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6A0C7A63" w:rsidR="002C50EE" w:rsidRDefault="002C50EE" w:rsidP="002C50EE">
      <w:pPr>
        <w:pStyle w:val="Heading1"/>
        <w:jc w:val="center"/>
      </w:pPr>
      <w:bookmarkStart w:id="0" w:name="_Hlk63124480"/>
      <w:r>
        <w:t>КРАТКА ХАРАКТЕРИСТИКА НА ПРОДУКТА</w:t>
      </w:r>
    </w:p>
    <w:p w14:paraId="7BC00C5E" w14:textId="11A75B47" w:rsidR="007D12C4" w:rsidRDefault="007D12C4" w:rsidP="007D12C4"/>
    <w:p w14:paraId="6BFCF9B9" w14:textId="77777777" w:rsidR="007D12C4" w:rsidRPr="007D12C4" w:rsidRDefault="007D12C4" w:rsidP="007D12C4">
      <w:pPr>
        <w:rPr>
          <w:sz w:val="24"/>
          <w:szCs w:val="24"/>
        </w:rPr>
      </w:pPr>
      <w:r w:rsidRPr="007D12C4">
        <w:rPr>
          <w:lang w:eastAsia="bg-BG"/>
        </w:rPr>
        <w:t>▼ 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w:t>
      </w:r>
    </w:p>
    <w:p w14:paraId="5C656046" w14:textId="77777777" w:rsidR="007D12C4" w:rsidRPr="007D12C4" w:rsidRDefault="007D12C4" w:rsidP="007D12C4"/>
    <w:p w14:paraId="4F735328" w14:textId="12FCAA69" w:rsidR="00DF4C8E" w:rsidRDefault="00DD466D" w:rsidP="00F44498">
      <w:pPr>
        <w:pStyle w:val="Heading1"/>
      </w:pPr>
      <w:r>
        <w:t>1.ИМЕ НА ЛЕКАРСТВЕНИЯ ПРОДУКТ</w:t>
      </w:r>
    </w:p>
    <w:p w14:paraId="02223BAB" w14:textId="63052E68" w:rsidR="007D12C4" w:rsidRDefault="007D12C4" w:rsidP="007D12C4"/>
    <w:p w14:paraId="48C2DA4A" w14:textId="77777777" w:rsidR="007D12C4" w:rsidRPr="007D12C4" w:rsidRDefault="007D12C4" w:rsidP="007D12C4">
      <w:pPr>
        <w:rPr>
          <w:sz w:val="24"/>
          <w:szCs w:val="24"/>
        </w:rPr>
      </w:pPr>
      <w:r w:rsidRPr="007D12C4">
        <w:rPr>
          <w:lang w:eastAsia="bg-BG"/>
        </w:rPr>
        <w:t xml:space="preserve">Корледин 7,5 </w:t>
      </w:r>
      <w:r w:rsidRPr="007D12C4">
        <w:rPr>
          <w:lang w:val="en-US"/>
        </w:rPr>
        <w:t>mg</w:t>
      </w:r>
      <w:r w:rsidRPr="007D12C4">
        <w:t xml:space="preserve"> </w:t>
      </w:r>
      <w:r w:rsidRPr="007D12C4">
        <w:rPr>
          <w:lang w:eastAsia="bg-BG"/>
        </w:rPr>
        <w:t>филмирани таблетки</w:t>
      </w:r>
    </w:p>
    <w:p w14:paraId="763D2202" w14:textId="77777777" w:rsidR="007D12C4" w:rsidRPr="007D12C4" w:rsidRDefault="007D12C4" w:rsidP="007D12C4">
      <w:pPr>
        <w:rPr>
          <w:sz w:val="24"/>
          <w:szCs w:val="24"/>
        </w:rPr>
      </w:pPr>
      <w:proofErr w:type="spellStart"/>
      <w:r w:rsidRPr="007D12C4">
        <w:rPr>
          <w:lang w:val="en-US"/>
        </w:rPr>
        <w:t>Corledin</w:t>
      </w:r>
      <w:proofErr w:type="spellEnd"/>
      <w:r w:rsidRPr="007D12C4">
        <w:t xml:space="preserve"> </w:t>
      </w:r>
      <w:r w:rsidRPr="007D12C4">
        <w:rPr>
          <w:lang w:eastAsia="bg-BG"/>
        </w:rPr>
        <w:t>7</w:t>
      </w:r>
      <w:proofErr w:type="gramStart"/>
      <w:r w:rsidRPr="007D12C4">
        <w:rPr>
          <w:lang w:eastAsia="bg-BG"/>
        </w:rPr>
        <w:t>,5</w:t>
      </w:r>
      <w:proofErr w:type="gramEnd"/>
      <w:r w:rsidRPr="007D12C4">
        <w:rPr>
          <w:lang w:eastAsia="bg-BG"/>
        </w:rPr>
        <w:t xml:space="preserve"> </w:t>
      </w:r>
      <w:r w:rsidRPr="007D12C4">
        <w:rPr>
          <w:lang w:val="en-US"/>
        </w:rPr>
        <w:t>mg</w:t>
      </w:r>
      <w:r w:rsidRPr="007D12C4">
        <w:t xml:space="preserve"> </w:t>
      </w:r>
      <w:r w:rsidRPr="007D12C4">
        <w:rPr>
          <w:lang w:val="en-US"/>
        </w:rPr>
        <w:t>film</w:t>
      </w:r>
      <w:r w:rsidRPr="007D12C4">
        <w:t>-</w:t>
      </w:r>
      <w:r w:rsidRPr="007D12C4">
        <w:rPr>
          <w:lang w:val="en-US"/>
        </w:rPr>
        <w:t>coated</w:t>
      </w:r>
      <w:r w:rsidRPr="007D12C4">
        <w:t xml:space="preserve"> </w:t>
      </w:r>
      <w:r w:rsidRPr="007D12C4">
        <w:rPr>
          <w:lang w:val="en-US"/>
        </w:rPr>
        <w:t>tablets</w:t>
      </w:r>
    </w:p>
    <w:p w14:paraId="1E3ECB5D" w14:textId="224E9612" w:rsidR="007D12C4" w:rsidRPr="007D12C4" w:rsidRDefault="007D12C4" w:rsidP="007D12C4"/>
    <w:p w14:paraId="2BF7ACB1" w14:textId="3BE00762" w:rsidR="00DF4C8E" w:rsidRDefault="00DD466D" w:rsidP="00F44498">
      <w:pPr>
        <w:pStyle w:val="Heading1"/>
      </w:pPr>
      <w:r>
        <w:t>2. КАЧЕСТВЕН И КОЛИЧЕСТВЕН СЪСТАВ</w:t>
      </w:r>
    </w:p>
    <w:p w14:paraId="1C880216" w14:textId="28C4C469" w:rsidR="007D12C4" w:rsidRDefault="007D12C4" w:rsidP="007D12C4"/>
    <w:p w14:paraId="1D5B93F4" w14:textId="77777777" w:rsidR="007D12C4" w:rsidRPr="007D12C4" w:rsidRDefault="007D12C4" w:rsidP="007D12C4">
      <w:pPr>
        <w:rPr>
          <w:sz w:val="24"/>
          <w:szCs w:val="24"/>
        </w:rPr>
      </w:pPr>
      <w:r w:rsidRPr="007D12C4">
        <w:rPr>
          <w:lang w:eastAsia="bg-BG"/>
        </w:rPr>
        <w:t xml:space="preserve">Една филмирана таблетка съдържа 7,5 </w:t>
      </w:r>
      <w:r w:rsidRPr="007D12C4">
        <w:rPr>
          <w:lang w:val="en-US"/>
        </w:rPr>
        <w:t>mg</w:t>
      </w:r>
      <w:r w:rsidRPr="007D12C4">
        <w:t xml:space="preserve"> </w:t>
      </w:r>
      <w:r w:rsidRPr="007D12C4">
        <w:rPr>
          <w:lang w:eastAsia="bg-BG"/>
        </w:rPr>
        <w:t xml:space="preserve">ивабрадин </w:t>
      </w:r>
      <w:r w:rsidRPr="007D12C4">
        <w:t>(</w:t>
      </w:r>
      <w:proofErr w:type="spellStart"/>
      <w:r w:rsidRPr="007D12C4">
        <w:rPr>
          <w:lang w:val="en-US"/>
        </w:rPr>
        <w:t>ivabradine</w:t>
      </w:r>
      <w:proofErr w:type="spellEnd"/>
      <w:r w:rsidRPr="007D12C4">
        <w:t xml:space="preserve">) </w:t>
      </w:r>
      <w:r w:rsidRPr="007D12C4">
        <w:rPr>
          <w:lang w:eastAsia="bg-BG"/>
        </w:rPr>
        <w:t xml:space="preserve">(еквивалентно на 8,085 </w:t>
      </w:r>
      <w:r w:rsidRPr="007D12C4">
        <w:rPr>
          <w:lang w:val="en-US"/>
        </w:rPr>
        <w:t>mg</w:t>
      </w:r>
      <w:r w:rsidRPr="007D12C4">
        <w:t xml:space="preserve"> </w:t>
      </w:r>
      <w:r w:rsidRPr="007D12C4">
        <w:rPr>
          <w:lang w:eastAsia="bg-BG"/>
        </w:rPr>
        <w:t>ивабрадин хидрохлорид).</w:t>
      </w:r>
    </w:p>
    <w:p w14:paraId="5D47AB44" w14:textId="77777777" w:rsidR="007D12C4" w:rsidRPr="007D12C4" w:rsidRDefault="007D12C4" w:rsidP="007D12C4">
      <w:pPr>
        <w:rPr>
          <w:sz w:val="24"/>
          <w:szCs w:val="24"/>
        </w:rPr>
      </w:pPr>
      <w:r w:rsidRPr="007D12C4">
        <w:rPr>
          <w:lang w:eastAsia="bg-BG"/>
        </w:rPr>
        <w:t xml:space="preserve">Помощно вещество с известно действие: Една таблетка от 7,5 </w:t>
      </w:r>
      <w:r w:rsidRPr="007D12C4">
        <w:rPr>
          <w:lang w:val="en-US"/>
        </w:rPr>
        <w:t>mg</w:t>
      </w:r>
      <w:r w:rsidRPr="007D12C4">
        <w:rPr>
          <w:lang w:val="ru-RU"/>
        </w:rPr>
        <w:t xml:space="preserve"> </w:t>
      </w:r>
      <w:r w:rsidRPr="007D12C4">
        <w:rPr>
          <w:lang w:eastAsia="bg-BG"/>
        </w:rPr>
        <w:t xml:space="preserve">съдържа 75 </w:t>
      </w:r>
      <w:r w:rsidRPr="007D12C4">
        <w:rPr>
          <w:lang w:val="en-US"/>
        </w:rPr>
        <w:t>mg</w:t>
      </w:r>
      <w:r w:rsidRPr="007D12C4">
        <w:rPr>
          <w:lang w:val="ru-RU"/>
        </w:rPr>
        <w:t xml:space="preserve"> </w:t>
      </w:r>
      <w:r w:rsidRPr="007D12C4">
        <w:rPr>
          <w:lang w:eastAsia="bg-BG"/>
        </w:rPr>
        <w:t>лактоза монохидрат.</w:t>
      </w:r>
    </w:p>
    <w:p w14:paraId="1FAFAF63" w14:textId="77777777" w:rsidR="007D12C4" w:rsidRPr="007D12C4" w:rsidRDefault="007D12C4" w:rsidP="007D12C4"/>
    <w:p w14:paraId="614984C4" w14:textId="21822F50" w:rsidR="008A6AF2" w:rsidRDefault="00DD466D" w:rsidP="002C50EE">
      <w:pPr>
        <w:pStyle w:val="Heading1"/>
      </w:pPr>
      <w:r>
        <w:t>3. ЛЕКАРСТВЕНА ФОРМА</w:t>
      </w:r>
    </w:p>
    <w:p w14:paraId="1A5DE136" w14:textId="1E95A398" w:rsidR="007D12C4" w:rsidRDefault="007D12C4" w:rsidP="007D12C4"/>
    <w:p w14:paraId="7931D30B" w14:textId="77777777" w:rsidR="007D12C4" w:rsidRPr="007D12C4" w:rsidRDefault="007D12C4" w:rsidP="007D12C4">
      <w:pPr>
        <w:rPr>
          <w:sz w:val="24"/>
          <w:szCs w:val="24"/>
        </w:rPr>
      </w:pPr>
      <w:r w:rsidRPr="007D12C4">
        <w:rPr>
          <w:lang w:eastAsia="bg-BG"/>
        </w:rPr>
        <w:t>Филмирана таблетка.</w:t>
      </w:r>
    </w:p>
    <w:p w14:paraId="077A55AB" w14:textId="77777777" w:rsidR="007D12C4" w:rsidRPr="007D12C4" w:rsidRDefault="007D12C4" w:rsidP="007D12C4">
      <w:pPr>
        <w:rPr>
          <w:sz w:val="24"/>
          <w:szCs w:val="24"/>
        </w:rPr>
      </w:pPr>
      <w:r w:rsidRPr="007D12C4">
        <w:rPr>
          <w:lang w:eastAsia="bg-BG"/>
        </w:rPr>
        <w:t xml:space="preserve">Бяла, кръгла, двойно-изпъкнала, филмирана таблетка с гравиран надпис “7,5” от едната страна и гладка от другата страна, с диаметър 6,3 </w:t>
      </w:r>
      <w:r w:rsidRPr="007D12C4">
        <w:rPr>
          <w:lang w:val="en-US"/>
        </w:rPr>
        <w:t>mm</w:t>
      </w:r>
      <w:r w:rsidRPr="007D12C4">
        <w:rPr>
          <w:lang w:val="ru-RU"/>
        </w:rPr>
        <w:t>.</w:t>
      </w:r>
    </w:p>
    <w:p w14:paraId="6DB1C2ED" w14:textId="77777777" w:rsidR="007D12C4" w:rsidRPr="007D12C4" w:rsidRDefault="007D12C4" w:rsidP="007D12C4"/>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7B354095" w:rsidR="00DF4C8E" w:rsidRDefault="00DF4C8E" w:rsidP="00DF4C8E">
      <w:pPr>
        <w:rPr>
          <w:rFonts w:cs="Arial"/>
          <w:sz w:val="24"/>
        </w:rPr>
      </w:pPr>
    </w:p>
    <w:p w14:paraId="5CD6E699"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Симптоматично лечение на хронична стабилна стенокардия.</w:t>
      </w:r>
    </w:p>
    <w:p w14:paraId="3B597305"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Ивабрадин е показан за симптоматично лечение на хронична стабилна стенокардия при възрастни с исхемична болест на сърцето с нормален синусов ритъм и сърдечна честота ≥ 70 удара в минута. Ивабрадин е показан:</w:t>
      </w:r>
    </w:p>
    <w:p w14:paraId="38B05599" w14:textId="77777777" w:rsidR="007D12C4" w:rsidRDefault="007D12C4" w:rsidP="007D12C4">
      <w:pPr>
        <w:pStyle w:val="ListParagraph"/>
        <w:numPr>
          <w:ilvl w:val="0"/>
          <w:numId w:val="2"/>
        </w:numPr>
        <w:spacing w:line="240" w:lineRule="auto"/>
        <w:rPr>
          <w:rFonts w:eastAsia="Times New Roman" w:cs="Arial"/>
          <w:color w:val="000000"/>
          <w:lang w:eastAsia="bg-BG"/>
        </w:rPr>
      </w:pPr>
      <w:r w:rsidRPr="007D12C4">
        <w:rPr>
          <w:rFonts w:eastAsia="Times New Roman" w:cs="Arial"/>
          <w:color w:val="000000"/>
          <w:lang w:eastAsia="bg-BG"/>
        </w:rPr>
        <w:t>при възрастни, които имат непоносимост или противопоказание към бета-блокери;</w:t>
      </w:r>
    </w:p>
    <w:p w14:paraId="6142BD7B" w14:textId="1E2626EF" w:rsidR="007D12C4" w:rsidRPr="007D12C4" w:rsidRDefault="007D12C4" w:rsidP="007D12C4">
      <w:pPr>
        <w:pStyle w:val="ListParagraph"/>
        <w:numPr>
          <w:ilvl w:val="0"/>
          <w:numId w:val="2"/>
        </w:numPr>
        <w:spacing w:line="240" w:lineRule="auto"/>
        <w:rPr>
          <w:rFonts w:eastAsia="Times New Roman" w:cs="Arial"/>
          <w:color w:val="000000"/>
          <w:lang w:eastAsia="bg-BG"/>
        </w:rPr>
      </w:pPr>
      <w:r w:rsidRPr="007D12C4">
        <w:rPr>
          <w:rFonts w:eastAsia="Times New Roman" w:cs="Arial"/>
          <w:color w:val="000000"/>
          <w:lang w:eastAsia="bg-BG"/>
        </w:rPr>
        <w:t>или в комбинация с бета-блокери при пациенти, неадекватно контролирани с оптимална доза бета-блокер.</w:t>
      </w:r>
    </w:p>
    <w:p w14:paraId="67149CCD" w14:textId="77777777" w:rsidR="007D12C4" w:rsidRPr="007D12C4" w:rsidRDefault="007D12C4" w:rsidP="007D12C4">
      <w:pPr>
        <w:spacing w:line="240" w:lineRule="auto"/>
        <w:rPr>
          <w:rFonts w:eastAsia="Times New Roman" w:cs="Arial"/>
          <w:color w:val="000000"/>
          <w:lang w:eastAsia="bg-BG"/>
        </w:rPr>
      </w:pPr>
    </w:p>
    <w:p w14:paraId="586C06CD" w14:textId="1AFC9609" w:rsidR="007D12C4" w:rsidRPr="007D12C4" w:rsidRDefault="007D12C4" w:rsidP="007D12C4">
      <w:pPr>
        <w:spacing w:line="240" w:lineRule="auto"/>
        <w:rPr>
          <w:rFonts w:eastAsia="Times New Roman" w:cs="Arial"/>
        </w:rPr>
      </w:pPr>
      <w:r w:rsidRPr="007D12C4">
        <w:rPr>
          <w:rFonts w:eastAsia="Times New Roman" w:cs="Arial"/>
          <w:color w:val="000000"/>
          <w:lang w:eastAsia="bg-BG"/>
        </w:rPr>
        <w:t>Лечение на хронична сърдечна недостатъчност</w:t>
      </w:r>
    </w:p>
    <w:p w14:paraId="434DCEA0"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Ивабрадин е показан при хронична сърдечна недостатъчност клас II до IV по </w:t>
      </w:r>
      <w:r w:rsidRPr="007D12C4">
        <w:rPr>
          <w:rFonts w:eastAsia="Times New Roman" w:cs="Arial"/>
          <w:color w:val="000000"/>
          <w:lang w:val="en-US"/>
        </w:rPr>
        <w:t>NYHA</w:t>
      </w:r>
      <w:r w:rsidRPr="007D12C4">
        <w:rPr>
          <w:rFonts w:eastAsia="Times New Roman" w:cs="Arial"/>
          <w:color w:val="000000"/>
          <w:lang w:val="ru-RU"/>
        </w:rPr>
        <w:t xml:space="preserve"> </w:t>
      </w:r>
      <w:r w:rsidRPr="007D12C4">
        <w:rPr>
          <w:rFonts w:eastAsia="Times New Roman" w:cs="Arial"/>
          <w:color w:val="000000"/>
          <w:lang w:eastAsia="bg-BG"/>
        </w:rPr>
        <w:t>със систолна дисфункция, при пациенти в синусов ритъм, при които сърдечната честата е ≥ 75 удара в минута, в комбинация със стандартна терапия, включваща лечение с бета-</w:t>
      </w:r>
      <w:r w:rsidRPr="007D12C4">
        <w:rPr>
          <w:rFonts w:eastAsia="Times New Roman" w:cs="Arial"/>
          <w:color w:val="000000"/>
          <w:lang w:eastAsia="bg-BG"/>
        </w:rPr>
        <w:lastRenderedPageBreak/>
        <w:t>блокер или когато лечението с бета-блокер е противопоказано или не се понася (вж. точка 5.1).</w:t>
      </w:r>
    </w:p>
    <w:p w14:paraId="44FB8E90" w14:textId="77777777" w:rsidR="007D12C4" w:rsidRPr="00DF4C8E" w:rsidRDefault="007D12C4" w:rsidP="00DF4C8E">
      <w:pPr>
        <w:rPr>
          <w:rFonts w:cs="Arial"/>
          <w:sz w:val="24"/>
        </w:rPr>
      </w:pPr>
    </w:p>
    <w:p w14:paraId="778B4979" w14:textId="5FD09FF4" w:rsidR="00DF4C8E" w:rsidRDefault="002C50EE" w:rsidP="00F44498">
      <w:pPr>
        <w:pStyle w:val="Heading2"/>
      </w:pPr>
      <w:r>
        <w:t>4.2. Дозировка и начин на приложение</w:t>
      </w:r>
    </w:p>
    <w:p w14:paraId="61953785" w14:textId="347FC807" w:rsidR="007D12C4" w:rsidRDefault="007D12C4" w:rsidP="007D12C4"/>
    <w:p w14:paraId="296CE171" w14:textId="77777777" w:rsidR="007D12C4" w:rsidRPr="007D12C4" w:rsidRDefault="007D12C4" w:rsidP="007D12C4">
      <w:pPr>
        <w:pStyle w:val="Heading3"/>
        <w:rPr>
          <w:rFonts w:eastAsia="Times New Roman"/>
          <w:u w:val="single"/>
        </w:rPr>
      </w:pPr>
      <w:r w:rsidRPr="007D12C4">
        <w:rPr>
          <w:rFonts w:eastAsia="Times New Roman"/>
          <w:u w:val="single"/>
          <w:lang w:eastAsia="bg-BG"/>
        </w:rPr>
        <w:t>Дозировка</w:t>
      </w:r>
    </w:p>
    <w:p w14:paraId="5111872A"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За различните дози се предлагат филмирани таблетки, съдържащи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и 7,5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ивабрадин.</w:t>
      </w:r>
    </w:p>
    <w:p w14:paraId="699B9C60" w14:textId="77777777" w:rsidR="007D12C4" w:rsidRDefault="007D12C4" w:rsidP="007D12C4">
      <w:pPr>
        <w:spacing w:line="240" w:lineRule="auto"/>
        <w:rPr>
          <w:rFonts w:eastAsia="Times New Roman" w:cs="Arial"/>
          <w:color w:val="000000"/>
          <w:lang w:eastAsia="bg-BG"/>
        </w:rPr>
      </w:pPr>
    </w:p>
    <w:p w14:paraId="287B2B4E" w14:textId="24AF0691" w:rsidR="007D12C4" w:rsidRPr="007D12C4" w:rsidRDefault="007D12C4" w:rsidP="007D12C4">
      <w:pPr>
        <w:spacing w:line="240" w:lineRule="auto"/>
        <w:rPr>
          <w:rFonts w:eastAsia="Times New Roman" w:cs="Arial"/>
        </w:rPr>
      </w:pPr>
      <w:r w:rsidRPr="007D12C4">
        <w:rPr>
          <w:rFonts w:eastAsia="Times New Roman" w:cs="Arial"/>
          <w:color w:val="000000"/>
          <w:lang w:eastAsia="bg-BG"/>
        </w:rPr>
        <w:t>Симптоматично лечение на хронична стабилна стенокардия</w:t>
      </w:r>
    </w:p>
    <w:p w14:paraId="3237302B" w14:textId="77777777" w:rsidR="007D12C4" w:rsidRDefault="007D12C4" w:rsidP="007D12C4">
      <w:pPr>
        <w:spacing w:line="240" w:lineRule="auto"/>
        <w:rPr>
          <w:rFonts w:eastAsia="Times New Roman" w:cs="Arial"/>
          <w:color w:val="000000"/>
          <w:lang w:eastAsia="bg-BG"/>
        </w:rPr>
      </w:pPr>
    </w:p>
    <w:p w14:paraId="18390909" w14:textId="11CAF574" w:rsidR="007D12C4" w:rsidRPr="007D12C4" w:rsidRDefault="007D12C4" w:rsidP="007D12C4">
      <w:pPr>
        <w:spacing w:line="240" w:lineRule="auto"/>
        <w:rPr>
          <w:rFonts w:eastAsia="Times New Roman" w:cs="Arial"/>
        </w:rPr>
      </w:pPr>
      <w:r w:rsidRPr="007D12C4">
        <w:rPr>
          <w:rFonts w:eastAsia="Times New Roman" w:cs="Arial"/>
          <w:color w:val="000000"/>
          <w:lang w:eastAsia="bg-BG"/>
        </w:rPr>
        <w:t>Препоръчва се решението за започване на лечение или за титриране на дозата да се извърши при наличието на поредица от измервания на сърдечната честота, ЕКГ или амбулаторно 24 часово проследяване.</w:t>
      </w:r>
    </w:p>
    <w:p w14:paraId="487501A5" w14:textId="77777777" w:rsidR="007D12C4" w:rsidRDefault="007D12C4" w:rsidP="007D12C4">
      <w:pPr>
        <w:spacing w:line="240" w:lineRule="auto"/>
        <w:rPr>
          <w:rFonts w:eastAsia="Times New Roman" w:cs="Arial"/>
          <w:color w:val="000000"/>
          <w:lang w:eastAsia="bg-BG"/>
        </w:rPr>
      </w:pPr>
    </w:p>
    <w:p w14:paraId="5F1C4C80" w14:textId="0A3FB0F9"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Началната доза на ивабрадин не трябва да превишава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при пациенти под 75 годишна възраст. След три до четири седмици лечение, ако пациентът все още има симптоми, ако началната доза се понася добре и ако сърдечната честота в покой остава над 60 удара в минута, дозата може да се увеличи до следващата по-висока доза при пациенти, приемащи 2,5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или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Поддържащата доза не трябва да превишава 7,5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два пъти дневно.</w:t>
      </w:r>
    </w:p>
    <w:p w14:paraId="5BAFA71C"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Ако няма подобрение на симптомите на стенокардия след 3 месеца от началото на лечението, лечението с Корледин трябва да се прекрати.</w:t>
      </w:r>
    </w:p>
    <w:p w14:paraId="7CAACA7D"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В допълнение, прекратяване на лечението трябва да се обмисли в случай, че има само ограничен симптоматичен отговор и когато няма клинично значимо намаляване на сърдечната честота в покой в рамките на три месеца.</w:t>
      </w:r>
    </w:p>
    <w:p w14:paraId="3F271E23"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Ако по време на лечението, сърдечната честота в покой се понижи под 50 удара в минута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 xml:space="preserve">или пациентът получи симптоми свързани с брадикардия, като световъртеж, уморяемост или хипотония, дозата трябва да бъде постепенно намалена, включително до най- ниската допустима доза от 2,5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(половин таблетка от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два пъти дневно). След намаляване на дозата, сърдечната честота трябва да се проследява (вж.точка 4.4). Лечението трябва да бъде прекратено, ако сърдечната честота остане трайно под 50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или при трайни прояви на брадикардия въпреки намаляването на дозата.</w:t>
      </w:r>
    </w:p>
    <w:p w14:paraId="10663885" w14:textId="77777777" w:rsidR="007D12C4" w:rsidRDefault="007D12C4" w:rsidP="007D12C4">
      <w:pPr>
        <w:spacing w:line="240" w:lineRule="auto"/>
        <w:rPr>
          <w:rFonts w:eastAsia="Times New Roman" w:cs="Arial"/>
          <w:color w:val="000000"/>
          <w:lang w:eastAsia="bg-BG"/>
        </w:rPr>
      </w:pPr>
    </w:p>
    <w:p w14:paraId="5ABC00F3" w14:textId="4BCCF1D4" w:rsidR="007D12C4" w:rsidRPr="007D12C4" w:rsidRDefault="007D12C4" w:rsidP="007D12C4">
      <w:pPr>
        <w:spacing w:line="240" w:lineRule="auto"/>
        <w:rPr>
          <w:rFonts w:eastAsia="Times New Roman" w:cs="Arial"/>
        </w:rPr>
      </w:pPr>
      <w:r w:rsidRPr="007D12C4">
        <w:rPr>
          <w:rFonts w:eastAsia="Times New Roman" w:cs="Arial"/>
          <w:color w:val="000000"/>
          <w:lang w:eastAsia="bg-BG"/>
        </w:rPr>
        <w:t>Лечение на хронична сърдечна недостатъчност</w:t>
      </w:r>
    </w:p>
    <w:p w14:paraId="797D5B1E"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Лечението трябва да се започне само при пациенти със стабилна сърдечна недостатъчност. Препоръчително е лекуващия лекар да има опит в лечението на хроничната сърдечна недостатъчност.</w:t>
      </w:r>
    </w:p>
    <w:p w14:paraId="591D7CDE"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Обичайната препоръчителна начална доза на ивабрадин е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След две седмици лечение, дозата може да се увеличи до 7,5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ако сърдечната честота в покой е трайно над 60 удара в минута или да се намали до 2,5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(половин таблетка от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ако сърдечната честота в покой е трайно под 50 удара в минута или в случай, че се появят симптоми, свързани с брадикардия като замайване, умора или хипотония. Ако сърдечната честота е между 50 и 60 удара в минута, трябва да се поддържа дозата от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два пъти дневно.</w:t>
      </w:r>
    </w:p>
    <w:p w14:paraId="5B4C2AF0"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Ако по време на лечението, сърдечната честота се понижи трайно под 50 удара в минута в покой или ако пациентът получи симптоми, свързани с брадикардия, дозата трябва да се титрира с понижаване до следващата по-ниска доза при пациенти, приемащи 7,5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или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Ако сърдечната честота нарасне трайно над </w:t>
      </w:r>
      <w:r w:rsidRPr="007D12C4">
        <w:rPr>
          <w:rFonts w:eastAsia="Times New Roman" w:cs="Arial"/>
          <w:color w:val="000000"/>
          <w:lang w:eastAsia="bg-BG"/>
        </w:rPr>
        <w:lastRenderedPageBreak/>
        <w:t xml:space="preserve">60 удара в минута в покой, дозата може да се титрира до следващата по-висока доза при пациенти, приемащи 2,5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или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два пъти дневно.</w:t>
      </w:r>
    </w:p>
    <w:p w14:paraId="14180E4F"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Лечението трябва да се спре, ако сърдечната честота остава под 50 удара в минута или симптомите на брадикардията персистират (вж. точка 4.4).</w:t>
      </w:r>
    </w:p>
    <w:p w14:paraId="704E9258" w14:textId="77777777" w:rsidR="007D12C4" w:rsidRDefault="007D12C4" w:rsidP="007D12C4">
      <w:pPr>
        <w:spacing w:line="240" w:lineRule="auto"/>
        <w:rPr>
          <w:rFonts w:eastAsia="Times New Roman" w:cs="Arial"/>
          <w:color w:val="000000"/>
          <w:u w:val="single"/>
          <w:lang w:eastAsia="bg-BG"/>
        </w:rPr>
      </w:pPr>
    </w:p>
    <w:p w14:paraId="79E9AD5C" w14:textId="3C930C60" w:rsidR="007D12C4" w:rsidRPr="007D12C4" w:rsidRDefault="007D12C4" w:rsidP="007D12C4">
      <w:pPr>
        <w:spacing w:line="240" w:lineRule="auto"/>
        <w:rPr>
          <w:rFonts w:eastAsia="Times New Roman" w:cs="Arial"/>
        </w:rPr>
      </w:pPr>
      <w:r w:rsidRPr="007D12C4">
        <w:rPr>
          <w:rFonts w:eastAsia="Times New Roman" w:cs="Arial"/>
          <w:color w:val="000000"/>
          <w:u w:val="single"/>
          <w:lang w:eastAsia="bg-BG"/>
        </w:rPr>
        <w:t>Специална популация</w:t>
      </w:r>
    </w:p>
    <w:p w14:paraId="14AC9943" w14:textId="77777777"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Старческа възраст</w:t>
      </w:r>
    </w:p>
    <w:p w14:paraId="25297ECD" w14:textId="11512126" w:rsidR="007D12C4" w:rsidRPr="007D12C4" w:rsidRDefault="007D12C4" w:rsidP="007D12C4">
      <w:pPr>
        <w:rPr>
          <w:rFonts w:cs="Arial"/>
        </w:rPr>
      </w:pPr>
    </w:p>
    <w:p w14:paraId="54C8E481"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При пациенти на възраст 75 или повече години, трябва да се има предвид по-ниска начална доза (2,5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т.е. половин таблетка от 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два пъти дневно) преди увеличаване на дозата, ако това се налага.</w:t>
      </w:r>
    </w:p>
    <w:p w14:paraId="138E9FAC" w14:textId="77777777" w:rsidR="007D12C4" w:rsidRDefault="007D12C4" w:rsidP="007D12C4">
      <w:pPr>
        <w:spacing w:line="240" w:lineRule="auto"/>
        <w:rPr>
          <w:rFonts w:eastAsia="Times New Roman" w:cs="Arial"/>
          <w:i/>
          <w:iCs/>
          <w:color w:val="000000"/>
          <w:lang w:eastAsia="bg-BG"/>
        </w:rPr>
      </w:pPr>
    </w:p>
    <w:p w14:paraId="39F313A3" w14:textId="03DEC094"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Пациенти с бъбречно увреждане</w:t>
      </w:r>
    </w:p>
    <w:p w14:paraId="3D4527D6"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Не се изисква корекция на дозата при пациенти с бъбречна недостатъчност и креатининов клирънс над 15 </w:t>
      </w:r>
      <w:r w:rsidRPr="007D12C4">
        <w:rPr>
          <w:rFonts w:eastAsia="Times New Roman" w:cs="Arial"/>
          <w:color w:val="000000"/>
          <w:lang w:val="en-US"/>
        </w:rPr>
        <w:t>ml</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(вж. точка 5.2).</w:t>
      </w:r>
    </w:p>
    <w:p w14:paraId="21160B7E"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Липсват данни при пациенти с креатининов клирънс под 15 </w:t>
      </w:r>
      <w:r w:rsidRPr="007D12C4">
        <w:rPr>
          <w:rFonts w:eastAsia="Times New Roman" w:cs="Arial"/>
          <w:color w:val="000000"/>
          <w:lang w:val="en-US"/>
        </w:rPr>
        <w:t>ml</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Следователно, сред тази популация Корледин трябва да бъде употребяван с повишено внимание.</w:t>
      </w:r>
    </w:p>
    <w:p w14:paraId="75573CD9" w14:textId="77777777" w:rsidR="007D12C4" w:rsidRDefault="007D12C4" w:rsidP="007D12C4">
      <w:pPr>
        <w:spacing w:line="240" w:lineRule="auto"/>
        <w:rPr>
          <w:rFonts w:eastAsia="Times New Roman" w:cs="Arial"/>
          <w:i/>
          <w:iCs/>
          <w:color w:val="000000"/>
          <w:lang w:eastAsia="bg-BG"/>
        </w:rPr>
      </w:pPr>
    </w:p>
    <w:p w14:paraId="65C3B6F0" w14:textId="61903BE9"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Пациенти с чернодробно увреждане</w:t>
      </w:r>
    </w:p>
    <w:p w14:paraId="204E110C"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При пациенти с леко чернодробно увреждане не се изисква корекция на дозата. Необходимо е повишено внимание при употреба на Корледин при пациенти с умерено чернодробно увреждане. Ивабрадин е противопоказан за употреба при пациенти с тежка чернодробна недостатъчност, тъй като не е изучен при тази популация и се очаква голямо нарастване на системната експозиция (вж. точки 43 и 5.2).</w:t>
      </w:r>
    </w:p>
    <w:p w14:paraId="063439A5" w14:textId="77777777" w:rsidR="007D12C4" w:rsidRDefault="007D12C4" w:rsidP="007D12C4">
      <w:pPr>
        <w:spacing w:line="240" w:lineRule="auto"/>
        <w:rPr>
          <w:rFonts w:eastAsia="Times New Roman" w:cs="Arial"/>
          <w:i/>
          <w:iCs/>
          <w:color w:val="000000"/>
          <w:lang w:eastAsia="bg-BG"/>
        </w:rPr>
      </w:pPr>
    </w:p>
    <w:p w14:paraId="6DF0B680" w14:textId="2EC63D8E"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Педиатрична популация</w:t>
      </w:r>
    </w:p>
    <w:p w14:paraId="46962EBB"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Безопасността и ефикасността на ивабрадин при деца на възраст под 18 години все още не са установени.</w:t>
      </w:r>
    </w:p>
    <w:p w14:paraId="0A8B9ADF"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Наличните данни са описани в точки 5.1 и 5.2, но препоръки за дозировката не могат да бъдат направени.</w:t>
      </w:r>
    </w:p>
    <w:p w14:paraId="7A8BCDF2" w14:textId="77777777" w:rsidR="007D12C4" w:rsidRDefault="007D12C4" w:rsidP="007D12C4">
      <w:pPr>
        <w:spacing w:line="240" w:lineRule="auto"/>
        <w:rPr>
          <w:rFonts w:eastAsia="Times New Roman" w:cs="Arial"/>
          <w:color w:val="000000"/>
          <w:u w:val="single"/>
          <w:lang w:eastAsia="bg-BG"/>
        </w:rPr>
      </w:pPr>
    </w:p>
    <w:p w14:paraId="28C115CF" w14:textId="1C94263E" w:rsidR="007D12C4" w:rsidRPr="007D12C4" w:rsidRDefault="007D12C4" w:rsidP="007D12C4">
      <w:pPr>
        <w:pStyle w:val="Heading3"/>
        <w:rPr>
          <w:rFonts w:eastAsia="Times New Roman"/>
          <w:u w:val="single"/>
        </w:rPr>
      </w:pPr>
      <w:r w:rsidRPr="007D12C4">
        <w:rPr>
          <w:rFonts w:eastAsia="Times New Roman"/>
          <w:u w:val="single"/>
          <w:lang w:eastAsia="bg-BG"/>
        </w:rPr>
        <w:t>Начин на приложение</w:t>
      </w:r>
    </w:p>
    <w:p w14:paraId="2A5A7A08" w14:textId="77777777" w:rsidR="007D12C4" w:rsidRDefault="007D12C4" w:rsidP="007D12C4">
      <w:pPr>
        <w:spacing w:line="240" w:lineRule="auto"/>
        <w:rPr>
          <w:rFonts w:eastAsia="Times New Roman" w:cs="Arial"/>
          <w:color w:val="000000"/>
          <w:lang w:eastAsia="bg-BG"/>
        </w:rPr>
      </w:pPr>
    </w:p>
    <w:p w14:paraId="126E73E7" w14:textId="6068AA4F" w:rsidR="007D12C4" w:rsidRPr="007D12C4" w:rsidRDefault="007D12C4" w:rsidP="007D12C4">
      <w:pPr>
        <w:spacing w:line="240" w:lineRule="auto"/>
        <w:rPr>
          <w:rFonts w:eastAsia="Times New Roman" w:cs="Arial"/>
        </w:rPr>
      </w:pPr>
      <w:r w:rsidRPr="007D12C4">
        <w:rPr>
          <w:rFonts w:eastAsia="Times New Roman" w:cs="Arial"/>
          <w:color w:val="000000"/>
          <w:lang w:eastAsia="bg-BG"/>
        </w:rPr>
        <w:t>Таблетките трябва да бъдат приемани перорално два пъти дневно, т.е. веднъж сутрин и веднъж вечер по време на хранене (вж. точка 5.2).</w:t>
      </w:r>
    </w:p>
    <w:p w14:paraId="707166EC" w14:textId="77777777" w:rsidR="007D12C4" w:rsidRPr="007D12C4" w:rsidRDefault="007D12C4" w:rsidP="007D12C4"/>
    <w:p w14:paraId="6A85390E" w14:textId="6C085CDF" w:rsidR="00DF4C8E" w:rsidRDefault="002C50EE" w:rsidP="00F44498">
      <w:pPr>
        <w:pStyle w:val="Heading2"/>
      </w:pPr>
      <w:r>
        <w:t>4.3. Противопоказания</w:t>
      </w:r>
    </w:p>
    <w:p w14:paraId="17DFBA4B" w14:textId="7CFA9CA5" w:rsidR="007D12C4" w:rsidRDefault="007D12C4" w:rsidP="007D12C4"/>
    <w:p w14:paraId="35885A49"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Свръхчувствителност към активното вещество или някое от помощните вещества изброени в точка 6.1;</w:t>
      </w:r>
    </w:p>
    <w:p w14:paraId="32842444"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Сърдечна честота в покой под 70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преди началото на лечението;</w:t>
      </w:r>
    </w:p>
    <w:p w14:paraId="7E646C03"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Кардиогенен шок;</w:t>
      </w:r>
    </w:p>
    <w:p w14:paraId="72A6C83E"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Остър миокарден инфаркт;</w:t>
      </w:r>
    </w:p>
    <w:p w14:paraId="685214CC"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 xml:space="preserve">Тежка хипотония (&lt;90/50 </w:t>
      </w:r>
      <w:r w:rsidRPr="007D12C4">
        <w:rPr>
          <w:rFonts w:eastAsia="Times New Roman" w:cs="Arial"/>
          <w:color w:val="000000"/>
          <w:lang w:val="en-US"/>
        </w:rPr>
        <w:t>mm</w:t>
      </w:r>
      <w:r w:rsidRPr="007D12C4">
        <w:rPr>
          <w:rFonts w:eastAsia="Times New Roman" w:cs="Arial"/>
          <w:color w:val="000000"/>
          <w:lang w:val="ru-RU"/>
        </w:rPr>
        <w:t xml:space="preserve"> </w:t>
      </w:r>
      <w:r w:rsidRPr="007D12C4">
        <w:rPr>
          <w:rFonts w:eastAsia="Times New Roman" w:cs="Arial"/>
          <w:color w:val="000000"/>
          <w:lang w:val="en-US"/>
        </w:rPr>
        <w:t>Hg</w:t>
      </w:r>
      <w:r w:rsidRPr="007D12C4">
        <w:rPr>
          <w:rFonts w:eastAsia="Times New Roman" w:cs="Arial"/>
          <w:color w:val="000000"/>
          <w:lang w:val="ru-RU"/>
        </w:rPr>
        <w:t>);</w:t>
      </w:r>
    </w:p>
    <w:p w14:paraId="7047C3E1"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Тежка чернодробна недостатъчност;</w:t>
      </w:r>
    </w:p>
    <w:p w14:paraId="3F5EE5DF"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Синдром на балния синусов възел;</w:t>
      </w:r>
    </w:p>
    <w:p w14:paraId="71648E38"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Сино-атриален блок;</w:t>
      </w:r>
    </w:p>
    <w:p w14:paraId="446F7555"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Нестабилна или остра сърдечна недостатъчност;</w:t>
      </w:r>
    </w:p>
    <w:p w14:paraId="22E9FB93"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lastRenderedPageBreak/>
        <w:t>Зависимост от пейсмейкър (сърдечна честота определена само от пейсмейкъра);</w:t>
      </w:r>
    </w:p>
    <w:p w14:paraId="788E3A2B"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Нестабилна стенокардия;</w:t>
      </w:r>
    </w:p>
    <w:p w14:paraId="308C5392"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bCs/>
          <w:color w:val="000000"/>
          <w:lang w:val="en-US"/>
        </w:rPr>
        <w:t>AV</w:t>
      </w:r>
      <w:r w:rsidRPr="007D12C4">
        <w:rPr>
          <w:rFonts w:eastAsia="Times New Roman" w:cs="Arial"/>
          <w:bCs/>
          <w:color w:val="000000"/>
          <w:lang w:val="ru-RU"/>
        </w:rPr>
        <w:t xml:space="preserve"> </w:t>
      </w:r>
      <w:r w:rsidRPr="007D12C4">
        <w:rPr>
          <w:rFonts w:eastAsia="Times New Roman" w:cs="Arial"/>
          <w:bCs/>
          <w:color w:val="000000"/>
          <w:lang w:eastAsia="bg-BG"/>
        </w:rPr>
        <w:t xml:space="preserve">блок </w:t>
      </w:r>
      <w:r w:rsidRPr="007D12C4">
        <w:rPr>
          <w:rFonts w:eastAsia="Times New Roman" w:cs="Arial"/>
          <w:bCs/>
          <w:color w:val="000000"/>
          <w:lang w:val="en-US"/>
        </w:rPr>
        <w:t>III</w:t>
      </w:r>
      <w:r w:rsidRPr="007D12C4">
        <w:rPr>
          <w:rFonts w:eastAsia="Times New Roman" w:cs="Arial"/>
          <w:bCs/>
          <w:color w:val="000000"/>
          <w:lang w:eastAsia="bg-BG"/>
        </w:rPr>
        <w:t xml:space="preserve"> степен;</w:t>
      </w:r>
    </w:p>
    <w:p w14:paraId="3F739A55"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 xml:space="preserve">Комбиниране със силни инхибитори на цитохром Р450 ЗА4, като азолови антимикотици (кетокояазол, итраконазол), макролидни антибиотици (кларитромицин, еритромицин </w:t>
      </w:r>
      <w:r w:rsidRPr="007D12C4">
        <w:rPr>
          <w:rFonts w:eastAsia="Times New Roman" w:cs="Arial"/>
          <w:color w:val="000000"/>
          <w:lang w:val="en-US"/>
        </w:rPr>
        <w:t>per</w:t>
      </w:r>
      <w:r w:rsidRPr="007D12C4">
        <w:rPr>
          <w:rFonts w:eastAsia="Times New Roman" w:cs="Arial"/>
          <w:color w:val="000000"/>
        </w:rPr>
        <w:t xml:space="preserve"> </w:t>
      </w:r>
      <w:proofErr w:type="spellStart"/>
      <w:r w:rsidRPr="007D12C4">
        <w:rPr>
          <w:rFonts w:eastAsia="Times New Roman" w:cs="Arial"/>
          <w:color w:val="000000"/>
          <w:lang w:val="en-US"/>
        </w:rPr>
        <w:t>os</w:t>
      </w:r>
      <w:proofErr w:type="spellEnd"/>
      <w:r w:rsidRPr="007D12C4">
        <w:rPr>
          <w:rFonts w:eastAsia="Times New Roman" w:cs="Arial"/>
          <w:color w:val="000000"/>
        </w:rPr>
        <w:t xml:space="preserve">, </w:t>
      </w:r>
      <w:r w:rsidRPr="007D12C4">
        <w:rPr>
          <w:rFonts w:eastAsia="Times New Roman" w:cs="Arial"/>
          <w:color w:val="000000"/>
          <w:lang w:eastAsia="bg-BG"/>
        </w:rPr>
        <w:t xml:space="preserve">Йозамицин, телитромицин), </w:t>
      </w:r>
      <w:r w:rsidRPr="007D12C4">
        <w:rPr>
          <w:rFonts w:eastAsia="Times New Roman" w:cs="Arial"/>
          <w:color w:val="000000"/>
          <w:lang w:val="en-US"/>
        </w:rPr>
        <w:t>HIV</w:t>
      </w:r>
      <w:r w:rsidRPr="007D12C4">
        <w:rPr>
          <w:rFonts w:eastAsia="Times New Roman" w:cs="Arial"/>
          <w:color w:val="000000"/>
          <w:lang w:eastAsia="bg-BG"/>
        </w:rPr>
        <w:t>-протеазни инхибитори (нелфинавир, ритонавир) и нефазодон (вж. точки 4.5 и 5.2);</w:t>
      </w:r>
    </w:p>
    <w:p w14:paraId="59491D37"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 xml:space="preserve">Комбиниране с верапамил или дилтиазем, които са умерени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eastAsia="bg-BG"/>
        </w:rPr>
        <w:t>А4 инхибитори, и които имат понижаващи сърдечната честота свойства (вж.точка 4.5;)</w:t>
      </w:r>
    </w:p>
    <w:p w14:paraId="4E590D31" w14:textId="6470DFDD" w:rsidR="007D12C4" w:rsidRPr="007D12C4" w:rsidRDefault="007D12C4" w:rsidP="007D12C4">
      <w:pPr>
        <w:pStyle w:val="ListParagraph"/>
        <w:numPr>
          <w:ilvl w:val="0"/>
          <w:numId w:val="2"/>
        </w:numPr>
        <w:spacing w:line="240" w:lineRule="auto"/>
        <w:rPr>
          <w:rFonts w:eastAsia="Times New Roman" w:cs="Arial"/>
        </w:rPr>
      </w:pPr>
      <w:r w:rsidRPr="007D12C4">
        <w:rPr>
          <w:lang w:eastAsia="bg-BG"/>
        </w:rPr>
        <w:t>Бременност, кърмене и жени с детероден потенциал, които не използват подходящи контрацептивни мерки (вж. точка 4.6).</w:t>
      </w:r>
    </w:p>
    <w:p w14:paraId="4D0330FC" w14:textId="77777777" w:rsidR="007D12C4" w:rsidRPr="007D12C4" w:rsidRDefault="007D12C4" w:rsidP="007D12C4"/>
    <w:p w14:paraId="115C9528" w14:textId="27D4D2D3" w:rsidR="00DF4C8E" w:rsidRDefault="002C50EE" w:rsidP="00F44498">
      <w:pPr>
        <w:pStyle w:val="Heading2"/>
      </w:pPr>
      <w:r>
        <w:t>4.4. Специални предупреждения и предпазни мерки при употреба</w:t>
      </w:r>
    </w:p>
    <w:p w14:paraId="2AA8C1F8" w14:textId="27260E5A" w:rsidR="007D12C4" w:rsidRDefault="007D12C4" w:rsidP="007D12C4"/>
    <w:p w14:paraId="3A4AFD21" w14:textId="77777777" w:rsidR="007D12C4" w:rsidRPr="007D12C4" w:rsidRDefault="007D12C4" w:rsidP="007D12C4">
      <w:pPr>
        <w:spacing w:line="240" w:lineRule="auto"/>
        <w:rPr>
          <w:rFonts w:eastAsia="Times New Roman" w:cs="Arial"/>
        </w:rPr>
      </w:pPr>
      <w:r w:rsidRPr="007D12C4">
        <w:rPr>
          <w:rFonts w:eastAsia="Times New Roman" w:cs="Arial"/>
          <w:color w:val="000000"/>
          <w:u w:val="single"/>
          <w:lang w:eastAsia="bg-BG"/>
        </w:rPr>
        <w:t>Специални предупреждения</w:t>
      </w:r>
    </w:p>
    <w:p w14:paraId="27FB6547" w14:textId="77777777" w:rsidR="007D12C4" w:rsidRDefault="007D12C4" w:rsidP="007D12C4">
      <w:pPr>
        <w:spacing w:line="240" w:lineRule="auto"/>
        <w:rPr>
          <w:rFonts w:eastAsia="Times New Roman" w:cs="Arial"/>
          <w:i/>
          <w:iCs/>
          <w:color w:val="000000"/>
          <w:lang w:eastAsia="bg-BG"/>
        </w:rPr>
      </w:pPr>
    </w:p>
    <w:p w14:paraId="69DDA34B" w14:textId="4F8B2446"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Липса на ползи във връзса с клиничния изход при пациенти със симптоматична хронична стабилна стенокардия</w:t>
      </w:r>
    </w:p>
    <w:p w14:paraId="76CE58F2" w14:textId="77777777"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Корледин</w:t>
      </w:r>
      <w:r w:rsidRPr="007D12C4">
        <w:rPr>
          <w:rFonts w:eastAsia="Times New Roman" w:cs="Arial"/>
          <w:color w:val="000000"/>
          <w:lang w:eastAsia="bg-BG"/>
        </w:rPr>
        <w:t xml:space="preserve"> е показан само за симптоматично лечение на хронична стабилна стенокардия, тъй като ивабрадин не носи ползи във връзка с клиничния изход по отношение на сърдечно-съдовата система (напр. инфаркт на миокарда или сърдечно-съдова смъртност) (вж. точка 5.1).</w:t>
      </w:r>
    </w:p>
    <w:p w14:paraId="43E79FCC" w14:textId="77777777" w:rsidR="007D12C4" w:rsidRDefault="007D12C4" w:rsidP="007D12C4">
      <w:pPr>
        <w:spacing w:line="240" w:lineRule="auto"/>
        <w:rPr>
          <w:rFonts w:eastAsia="Times New Roman" w:cs="Arial"/>
          <w:i/>
          <w:iCs/>
          <w:color w:val="000000"/>
          <w:lang w:eastAsia="bg-BG"/>
        </w:rPr>
      </w:pPr>
    </w:p>
    <w:p w14:paraId="653740E9" w14:textId="72691215"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Измерване на сърдечната честота</w:t>
      </w:r>
    </w:p>
    <w:p w14:paraId="13C2145F"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Предвид това, че сърдечната честота може да варира значително във времето, трябва да се обмисли извършването на поредица измервания на сърдечната честота, ЕКГ или амбулаторно 24 часово проследяване, когато се определя сърдечната честота в покой преди започването на лечението с Корледин и при пациенти на лечение с Корледин, когато се обмисля титриране на дозата. Това се отнася и за пациенти с ниска сърдечна честота, по-специално когато сърдечната честота се понижи под 50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или след намаляване на дозата (вж. точка 4.2).</w:t>
      </w:r>
    </w:p>
    <w:p w14:paraId="17943F4E" w14:textId="77777777"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Сърдечни аритмии</w:t>
      </w:r>
    </w:p>
    <w:p w14:paraId="2D4D4F0E"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Ивабрадин не е ефективен при лечението или превенцията на сърдечни аритмии и вероятно губи ефекта си при настъпване на тахиаритмия (напр. камерна или надкамерна тахикардия). Следователно, ивабрадин не се препоръчва при пациенти с предсърдно мъждене или други сърдечни аритмии, които пречат на функцията на синусовия възел.</w:t>
      </w:r>
    </w:p>
    <w:p w14:paraId="09DE9D03"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При пациенти, лекувани с ивабрадин, се повишава риска от развиване на предсърдно мъждене (вж. точка 4.8). Предсърдното мъждене е по-често при пациенти, използващи едновременно амиодарон или мощни антиаритмични средства клас I. Препоръчва се редовно клинично наблюдение на пациенти, лекуващи се с ивабрадин, за поява на предсърдно мъждене (трайно или пристьпно), включително при клинични показания и ЕКГ мониториране (напр. в случай на влошаваща се стенокардия, палпитации, неравномерен пулс).</w:t>
      </w:r>
    </w:p>
    <w:p w14:paraId="3C3A3629"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Пациентите трябва да бъдат информирани за признаците и симптомите на предсърдно мъждене и да бъдат посъветвани да се свържат с техния лекар, ако те се появят.</w:t>
      </w:r>
    </w:p>
    <w:p w14:paraId="203C93F8"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Ако по време на лечението настъпи предсърдно мъждене, съотношението полза/риск за продължаване на лечението с ивабрадин трябва да се обсъди внимателно.</w:t>
      </w:r>
    </w:p>
    <w:p w14:paraId="4F055919"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lastRenderedPageBreak/>
        <w:t>Пациентите с хронична сърдечна недостатъчност, с дефекти на интравентрикуларната проводимост (ляв бедрен блок, десен бедрен блок) и вентрикуларна диссинхрония, трябва да се наблюдават внимателно.</w:t>
      </w:r>
    </w:p>
    <w:p w14:paraId="5D9F3761" w14:textId="77777777" w:rsidR="007D12C4" w:rsidRDefault="007D12C4" w:rsidP="007D12C4">
      <w:pPr>
        <w:spacing w:line="240" w:lineRule="auto"/>
        <w:rPr>
          <w:rFonts w:eastAsia="Times New Roman" w:cs="Arial"/>
          <w:i/>
          <w:iCs/>
          <w:color w:val="000000"/>
          <w:lang w:eastAsia="bg-BG"/>
        </w:rPr>
      </w:pPr>
    </w:p>
    <w:p w14:paraId="1B380347" w14:textId="27EA2BCE"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 xml:space="preserve">Употреба при пациенти </w:t>
      </w:r>
      <w:r w:rsidRPr="007D12C4">
        <w:rPr>
          <w:rFonts w:eastAsia="Times New Roman" w:cs="Arial"/>
          <w:i/>
          <w:iCs/>
          <w:color w:val="000000"/>
          <w:lang w:val="en-US"/>
        </w:rPr>
        <w:t>c</w:t>
      </w:r>
      <w:r w:rsidRPr="007D12C4">
        <w:rPr>
          <w:rFonts w:eastAsia="Times New Roman" w:cs="Arial"/>
          <w:i/>
          <w:iCs/>
          <w:color w:val="000000"/>
          <w:lang w:eastAsia="bg-BG"/>
        </w:rPr>
        <w:t xml:space="preserve"> </w:t>
      </w:r>
      <w:r w:rsidRPr="007D12C4">
        <w:rPr>
          <w:rFonts w:eastAsia="Times New Roman" w:cs="Arial"/>
          <w:i/>
          <w:iCs/>
          <w:color w:val="000000"/>
          <w:lang w:val="en-US"/>
        </w:rPr>
        <w:t>AV</w:t>
      </w:r>
      <w:r w:rsidRPr="007D12C4">
        <w:rPr>
          <w:rFonts w:eastAsia="Times New Roman" w:cs="Arial"/>
          <w:i/>
          <w:iCs/>
          <w:color w:val="000000"/>
          <w:lang w:val="ru-RU"/>
        </w:rPr>
        <w:t xml:space="preserve"> </w:t>
      </w:r>
      <w:r w:rsidRPr="007D12C4">
        <w:rPr>
          <w:rFonts w:eastAsia="Times New Roman" w:cs="Arial"/>
          <w:i/>
          <w:iCs/>
          <w:color w:val="000000"/>
          <w:lang w:eastAsia="bg-BG"/>
        </w:rPr>
        <w:t>блок II степен</w:t>
      </w:r>
    </w:p>
    <w:p w14:paraId="4EE2838C"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Корледин не се препоръчва при пациенти с </w:t>
      </w:r>
      <w:r w:rsidRPr="007D12C4">
        <w:rPr>
          <w:rFonts w:eastAsia="Times New Roman" w:cs="Arial"/>
          <w:color w:val="000000"/>
          <w:lang w:val="en-US"/>
        </w:rPr>
        <w:t>AV</w:t>
      </w:r>
      <w:r w:rsidRPr="007D12C4">
        <w:rPr>
          <w:rFonts w:eastAsia="Times New Roman" w:cs="Arial"/>
          <w:color w:val="000000"/>
          <w:lang w:val="ru-RU"/>
        </w:rPr>
        <w:t xml:space="preserve"> </w:t>
      </w:r>
      <w:r w:rsidRPr="007D12C4">
        <w:rPr>
          <w:rFonts w:eastAsia="Times New Roman" w:cs="Arial"/>
          <w:color w:val="000000"/>
          <w:lang w:eastAsia="bg-BG"/>
        </w:rPr>
        <w:t xml:space="preserve">блок </w:t>
      </w:r>
      <w:r w:rsidRPr="007D12C4">
        <w:rPr>
          <w:rFonts w:eastAsia="Times New Roman" w:cs="Arial"/>
          <w:color w:val="000000"/>
          <w:lang w:val="en-US"/>
        </w:rPr>
        <w:t>II</w:t>
      </w:r>
      <w:r w:rsidRPr="007D12C4">
        <w:rPr>
          <w:rFonts w:eastAsia="Times New Roman" w:cs="Arial"/>
          <w:color w:val="000000"/>
          <w:lang w:eastAsia="bg-BG"/>
        </w:rPr>
        <w:t xml:space="preserve"> степен.</w:t>
      </w:r>
    </w:p>
    <w:p w14:paraId="1E31D5D5" w14:textId="77777777" w:rsidR="007D12C4" w:rsidRDefault="007D12C4" w:rsidP="007D12C4">
      <w:pPr>
        <w:spacing w:line="240" w:lineRule="auto"/>
        <w:rPr>
          <w:rFonts w:eastAsia="Times New Roman" w:cs="Arial"/>
          <w:i/>
          <w:iCs/>
          <w:color w:val="000000"/>
          <w:lang w:eastAsia="bg-BG"/>
        </w:rPr>
      </w:pPr>
    </w:p>
    <w:p w14:paraId="62DD7A02" w14:textId="401C7142"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Употреба при пациенти с ниска сърдечна честота</w:t>
      </w:r>
    </w:p>
    <w:p w14:paraId="659E8AFF"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Ивабрадин не трябва да бъде започван при пациенти със сърдечна честота в покой преди лечението под 70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(вж. точка 4.3).</w:t>
      </w:r>
    </w:p>
    <w:p w14:paraId="17B59FFD" w14:textId="77777777" w:rsidR="007D12C4" w:rsidRPr="007D12C4" w:rsidRDefault="007D12C4" w:rsidP="007D12C4">
      <w:pPr>
        <w:rPr>
          <w:rFonts w:eastAsia="Times New Roman" w:cs="Arial"/>
        </w:rPr>
      </w:pPr>
      <w:r w:rsidRPr="007D12C4">
        <w:rPr>
          <w:rFonts w:eastAsia="Times New Roman" w:cs="Arial"/>
          <w:color w:val="000000"/>
          <w:lang w:eastAsia="bg-BG"/>
        </w:rPr>
        <w:t>Ако по време на лечението сърдечната честота в покой се понижи трайно под 50 удара в минута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или пациентът получи симптоми свързани с брадикардия, като световъртеж, уморяемост или хипотония, дозата трябва да бъде постепенно намалена или лечението трябва да</w:t>
      </w:r>
      <w:r>
        <w:rPr>
          <w:rFonts w:eastAsia="Times New Roman" w:cs="Arial"/>
          <w:color w:val="000000"/>
          <w:lang w:eastAsia="bg-BG"/>
        </w:rPr>
        <w:t xml:space="preserve"> </w:t>
      </w:r>
      <w:r w:rsidRPr="007D12C4">
        <w:rPr>
          <w:rFonts w:eastAsia="Times New Roman" w:cs="Arial"/>
          <w:color w:val="000000"/>
          <w:lang w:eastAsia="bg-BG"/>
        </w:rPr>
        <w:t>бъде прекратено, ако сърдечната честота остане трайно под 50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 xml:space="preserve">или </w:t>
      </w:r>
      <w:r w:rsidRPr="007D12C4">
        <w:rPr>
          <w:rFonts w:eastAsia="Times New Roman" w:cs="Arial"/>
          <w:i/>
          <w:iCs/>
          <w:color w:val="000000"/>
          <w:lang w:eastAsia="bg-BG"/>
        </w:rPr>
        <w:t>при</w:t>
      </w:r>
      <w:r w:rsidRPr="007D12C4">
        <w:rPr>
          <w:rFonts w:eastAsia="Times New Roman" w:cs="Arial"/>
          <w:color w:val="000000"/>
          <w:lang w:eastAsia="bg-BG"/>
        </w:rPr>
        <w:t xml:space="preserve"> трайни прояви на брадикардия (вж. точка 4.2).</w:t>
      </w:r>
    </w:p>
    <w:p w14:paraId="67A0CA76" w14:textId="77777777" w:rsidR="007D12C4" w:rsidRDefault="007D12C4" w:rsidP="007D12C4">
      <w:pPr>
        <w:spacing w:line="240" w:lineRule="auto"/>
        <w:rPr>
          <w:rFonts w:eastAsia="Times New Roman" w:cs="Arial"/>
          <w:i/>
          <w:iCs/>
          <w:color w:val="000000"/>
          <w:lang w:eastAsia="bg-BG"/>
        </w:rPr>
      </w:pPr>
    </w:p>
    <w:p w14:paraId="2DC7590B" w14:textId="21D0F056"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Комбинация с калциеви антагонисти</w:t>
      </w:r>
    </w:p>
    <w:p w14:paraId="4ACF19E0" w14:textId="77777777" w:rsidR="007D12C4" w:rsidRDefault="007D12C4" w:rsidP="007D12C4">
      <w:pPr>
        <w:spacing w:line="240" w:lineRule="auto"/>
        <w:rPr>
          <w:rFonts w:eastAsia="Times New Roman" w:cs="Arial"/>
          <w:color w:val="000000"/>
          <w:lang w:eastAsia="bg-BG"/>
        </w:rPr>
      </w:pPr>
      <w:r w:rsidRPr="007D12C4">
        <w:rPr>
          <w:rFonts w:eastAsia="Times New Roman" w:cs="Arial"/>
          <w:color w:val="000000"/>
          <w:lang w:eastAsia="bg-BG"/>
        </w:rPr>
        <w:t xml:space="preserve">Едновременната употреба на ивабрадин с понижаващи сърдечната честота калциеви антагонисти, като верапамил или дилтиазем е противопоказана (вж. точки 4.3 и 4.5). Досега не са повдигани въпроси относно безопасността на комбиниране на ивабрадин с нитрати и дихидропиридинови калциеви антагонисти, като амлодипин. Не е установена допълнителната ефикасност на ивабрадин в комбинация с дихидропиридинови калциеви </w:t>
      </w:r>
    </w:p>
    <w:p w14:paraId="53AFD44F" w14:textId="1E840C0D" w:rsidR="007D12C4" w:rsidRPr="007D12C4" w:rsidRDefault="007D12C4" w:rsidP="007D12C4">
      <w:pPr>
        <w:spacing w:line="240" w:lineRule="auto"/>
        <w:rPr>
          <w:rFonts w:eastAsia="Times New Roman" w:cs="Arial"/>
        </w:rPr>
      </w:pPr>
      <w:r w:rsidRPr="007D12C4">
        <w:rPr>
          <w:rFonts w:eastAsia="Times New Roman" w:cs="Arial"/>
          <w:color w:val="000000"/>
          <w:lang w:eastAsia="bg-BG"/>
        </w:rPr>
        <w:t>антагонисти (вж. точка 5.1).</w:t>
      </w:r>
    </w:p>
    <w:p w14:paraId="28F4A35E" w14:textId="77777777" w:rsidR="007D12C4" w:rsidRDefault="007D12C4" w:rsidP="007D12C4">
      <w:pPr>
        <w:spacing w:line="240" w:lineRule="auto"/>
        <w:rPr>
          <w:rFonts w:eastAsia="Times New Roman" w:cs="Arial"/>
          <w:i/>
          <w:iCs/>
          <w:color w:val="000000"/>
          <w:lang w:eastAsia="bg-BG"/>
        </w:rPr>
      </w:pPr>
    </w:p>
    <w:p w14:paraId="1B70C852" w14:textId="06208756"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Хронична сърдечна недостатъчност</w:t>
      </w:r>
    </w:p>
    <w:p w14:paraId="50C1C1A9"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Сърдечната недостатъчност трябва да е стабилна, преди да се мисли за лечение с ивабрадин. Ивабрадин трябва да се използва с повишено внимание при пациенти със сърдечна недостатъчност от функционален клас IV по </w:t>
      </w:r>
      <w:r w:rsidRPr="007D12C4">
        <w:rPr>
          <w:rFonts w:eastAsia="Times New Roman" w:cs="Arial"/>
          <w:color w:val="000000"/>
          <w:lang w:val="en-US"/>
        </w:rPr>
        <w:t>NYHA</w:t>
      </w:r>
      <w:r w:rsidRPr="007D12C4">
        <w:rPr>
          <w:rFonts w:eastAsia="Times New Roman" w:cs="Arial"/>
          <w:color w:val="000000"/>
          <w:lang w:val="ru-RU"/>
        </w:rPr>
        <w:t xml:space="preserve">, </w:t>
      </w:r>
      <w:r w:rsidRPr="007D12C4">
        <w:rPr>
          <w:rFonts w:eastAsia="Times New Roman" w:cs="Arial"/>
          <w:color w:val="000000"/>
          <w:lang w:eastAsia="bg-BG"/>
        </w:rPr>
        <w:t>поради ограничено количество данни за тази популация.</w:t>
      </w:r>
    </w:p>
    <w:p w14:paraId="53A177F0" w14:textId="77777777" w:rsidR="007D12C4" w:rsidRDefault="007D12C4" w:rsidP="007D12C4">
      <w:pPr>
        <w:spacing w:line="240" w:lineRule="auto"/>
        <w:rPr>
          <w:rFonts w:eastAsia="Times New Roman" w:cs="Arial"/>
          <w:i/>
          <w:iCs/>
          <w:color w:val="000000"/>
          <w:lang w:eastAsia="bg-BG"/>
        </w:rPr>
      </w:pPr>
    </w:p>
    <w:p w14:paraId="342F625D" w14:textId="4C2C1EAC"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Инсулт</w:t>
      </w:r>
    </w:p>
    <w:p w14:paraId="18DD47D4"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Употребата на ивабрадин не се препоръчва непосредствено след инсулт, поради липса на данни при това състояние.</w:t>
      </w:r>
    </w:p>
    <w:p w14:paraId="61EFE008" w14:textId="77777777" w:rsidR="007D12C4" w:rsidRDefault="007D12C4" w:rsidP="007D12C4">
      <w:pPr>
        <w:spacing w:line="240" w:lineRule="auto"/>
        <w:rPr>
          <w:rFonts w:eastAsia="Times New Roman" w:cs="Arial"/>
          <w:i/>
          <w:iCs/>
          <w:color w:val="000000"/>
          <w:lang w:eastAsia="bg-BG"/>
        </w:rPr>
      </w:pPr>
    </w:p>
    <w:p w14:paraId="7C1952C6" w14:textId="748308A7"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Зрителна функция</w:t>
      </w:r>
    </w:p>
    <w:p w14:paraId="7289700F"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Ивабрадин повлиява функцията на ретината (вж. точка 5.1). Към днешна дата липсват доказателства за токсичен ефект на ивабрадин върху ретината, но ефектите върху функцията на ретината при дългосрочно лечение с ивабрадин над една година засега не са известни. При поява на неочаквано влошаване на зрителната функция трябва да се обсъди спиране на лечението с ивабрадин. При пациенти с пигментозен ретинит е необходимо повишено внимание.</w:t>
      </w:r>
    </w:p>
    <w:p w14:paraId="277FB67C" w14:textId="77777777" w:rsidR="007D12C4" w:rsidRDefault="007D12C4" w:rsidP="007D12C4">
      <w:pPr>
        <w:spacing w:line="240" w:lineRule="auto"/>
        <w:rPr>
          <w:rFonts w:eastAsia="Times New Roman" w:cs="Arial"/>
          <w:color w:val="000000"/>
          <w:u w:val="single"/>
          <w:lang w:eastAsia="bg-BG"/>
        </w:rPr>
      </w:pPr>
    </w:p>
    <w:p w14:paraId="1D9CF2A7" w14:textId="4A728C5D" w:rsidR="007D12C4" w:rsidRPr="007D12C4" w:rsidRDefault="007D12C4" w:rsidP="007D12C4">
      <w:pPr>
        <w:spacing w:line="240" w:lineRule="auto"/>
        <w:rPr>
          <w:rFonts w:eastAsia="Times New Roman" w:cs="Arial"/>
        </w:rPr>
      </w:pPr>
      <w:r w:rsidRPr="007D12C4">
        <w:rPr>
          <w:rFonts w:eastAsia="Times New Roman" w:cs="Arial"/>
          <w:color w:val="000000"/>
          <w:u w:val="single"/>
          <w:lang w:eastAsia="bg-BG"/>
        </w:rPr>
        <w:t>Предпазни мерки при употреба</w:t>
      </w:r>
    </w:p>
    <w:p w14:paraId="3497C8E6" w14:textId="77777777" w:rsidR="007D12C4" w:rsidRDefault="007D12C4" w:rsidP="007D12C4">
      <w:pPr>
        <w:spacing w:line="240" w:lineRule="auto"/>
        <w:rPr>
          <w:rFonts w:eastAsia="Times New Roman" w:cs="Arial"/>
          <w:i/>
          <w:iCs/>
          <w:color w:val="000000"/>
          <w:lang w:eastAsia="bg-BG"/>
        </w:rPr>
      </w:pPr>
    </w:p>
    <w:p w14:paraId="2915A63E" w14:textId="69887FB2"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Пациенти с хипотония</w:t>
      </w:r>
    </w:p>
    <w:p w14:paraId="3E976D7E"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Д анните при пациенти с лека до умерена хипотония са ограничени и, следователно, ивабрадин трябва да бъде използван с повишено внимание при тези пациенти. Ивабрадин е противопоказан при пациента с тежка хипотония (кръвно налягане &lt;90/50 </w:t>
      </w:r>
      <w:r w:rsidRPr="007D12C4">
        <w:rPr>
          <w:rFonts w:eastAsia="Times New Roman" w:cs="Arial"/>
          <w:color w:val="000000"/>
          <w:lang w:val="en-US"/>
        </w:rPr>
        <w:t>mmHg</w:t>
      </w:r>
      <w:r w:rsidRPr="007D12C4">
        <w:rPr>
          <w:rFonts w:eastAsia="Times New Roman" w:cs="Arial"/>
          <w:color w:val="000000"/>
          <w:lang w:val="ru-RU"/>
        </w:rPr>
        <w:t xml:space="preserve">) </w:t>
      </w:r>
      <w:r w:rsidRPr="007D12C4">
        <w:rPr>
          <w:rFonts w:eastAsia="Times New Roman" w:cs="Arial"/>
          <w:color w:val="000000"/>
          <w:lang w:eastAsia="bg-BG"/>
        </w:rPr>
        <w:t>(вж. точка 4.3).</w:t>
      </w:r>
    </w:p>
    <w:p w14:paraId="128B305A" w14:textId="77777777" w:rsidR="007D12C4" w:rsidRDefault="007D12C4" w:rsidP="007D12C4">
      <w:pPr>
        <w:spacing w:line="240" w:lineRule="auto"/>
        <w:rPr>
          <w:rFonts w:eastAsia="Times New Roman" w:cs="Arial"/>
          <w:i/>
          <w:iCs/>
          <w:color w:val="000000"/>
          <w:lang w:eastAsia="bg-BG"/>
        </w:rPr>
      </w:pPr>
    </w:p>
    <w:p w14:paraId="7739179F" w14:textId="77777777" w:rsidR="007D12C4" w:rsidRDefault="007D12C4" w:rsidP="007D12C4">
      <w:pPr>
        <w:spacing w:line="240" w:lineRule="auto"/>
        <w:rPr>
          <w:rFonts w:eastAsia="Times New Roman" w:cs="Arial"/>
          <w:i/>
          <w:iCs/>
          <w:color w:val="000000"/>
          <w:lang w:eastAsia="bg-BG"/>
        </w:rPr>
      </w:pPr>
    </w:p>
    <w:p w14:paraId="525053DD" w14:textId="00CA9815"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Предсърдно мъждене - сърдечни аритмии</w:t>
      </w:r>
    </w:p>
    <w:p w14:paraId="6EAE1DFF"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Липсват доказателства за риск от (прекомерна) брадикардия при възстановяване на синусовия ритъм, когато при пациенти лекувани с ивабрадин се предприеме фармакологична кардиоверсия. Все пак, поради отсъствие на достатъчно данни, неспешна кардиоверсия с прав ток трябва да се предвижда 24 часа след последния прием на ивабрадин.</w:t>
      </w:r>
    </w:p>
    <w:p w14:paraId="5756F22C" w14:textId="77777777" w:rsidR="007D12C4" w:rsidRDefault="007D12C4" w:rsidP="007D12C4">
      <w:pPr>
        <w:spacing w:line="240" w:lineRule="auto"/>
        <w:rPr>
          <w:rFonts w:eastAsia="Times New Roman" w:cs="Arial"/>
          <w:i/>
          <w:iCs/>
          <w:color w:val="000000"/>
          <w:lang w:eastAsia="bg-BG"/>
        </w:rPr>
      </w:pPr>
    </w:p>
    <w:p w14:paraId="28C1C23D" w14:textId="644C1F3A"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 xml:space="preserve">Употреба при пациенти с вроден </w:t>
      </w:r>
      <w:r w:rsidRPr="007D12C4">
        <w:rPr>
          <w:rFonts w:eastAsia="Times New Roman" w:cs="Arial"/>
          <w:i/>
          <w:iCs/>
          <w:color w:val="000000"/>
          <w:lang w:val="en-US"/>
        </w:rPr>
        <w:t>QT</w:t>
      </w:r>
      <w:r w:rsidRPr="007D12C4">
        <w:rPr>
          <w:rFonts w:eastAsia="Times New Roman" w:cs="Arial"/>
          <w:i/>
          <w:iCs/>
          <w:color w:val="000000"/>
          <w:lang w:val="ru-RU"/>
        </w:rPr>
        <w:t xml:space="preserve"> </w:t>
      </w:r>
      <w:r w:rsidRPr="007D12C4">
        <w:rPr>
          <w:rFonts w:eastAsia="Times New Roman" w:cs="Arial"/>
          <w:i/>
          <w:iCs/>
          <w:color w:val="000000"/>
          <w:lang w:eastAsia="bg-BG"/>
        </w:rPr>
        <w:t xml:space="preserve">синдром или лекувани с лекарствени продукти удължаващи </w:t>
      </w:r>
      <w:r w:rsidRPr="007D12C4">
        <w:rPr>
          <w:rFonts w:eastAsia="Times New Roman" w:cs="Arial"/>
          <w:i/>
          <w:iCs/>
          <w:color w:val="000000"/>
          <w:lang w:val="en-US"/>
        </w:rPr>
        <w:t>QT</w:t>
      </w:r>
    </w:p>
    <w:p w14:paraId="2C4568B7"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Употребата на ивабрадин при пациенти с вроден </w:t>
      </w:r>
      <w:r w:rsidRPr="007D12C4">
        <w:rPr>
          <w:rFonts w:eastAsia="Times New Roman" w:cs="Arial"/>
          <w:color w:val="000000"/>
          <w:lang w:val="en-US"/>
        </w:rPr>
        <w:t>QT</w:t>
      </w:r>
      <w:r w:rsidRPr="007D12C4">
        <w:rPr>
          <w:rFonts w:eastAsia="Times New Roman" w:cs="Arial"/>
          <w:color w:val="000000"/>
          <w:lang w:val="ru-RU"/>
        </w:rPr>
        <w:t xml:space="preserve"> </w:t>
      </w:r>
      <w:r w:rsidRPr="007D12C4">
        <w:rPr>
          <w:rFonts w:eastAsia="Times New Roman" w:cs="Arial"/>
          <w:color w:val="000000"/>
          <w:lang w:eastAsia="bg-BG"/>
        </w:rPr>
        <w:t xml:space="preserve">синдром или лекувани с лекарствени продукти удължаващи </w:t>
      </w:r>
      <w:r w:rsidRPr="007D12C4">
        <w:rPr>
          <w:rFonts w:eastAsia="Times New Roman" w:cs="Arial"/>
          <w:color w:val="000000"/>
          <w:lang w:val="en-US"/>
        </w:rPr>
        <w:t>QT</w:t>
      </w:r>
      <w:r w:rsidRPr="007D12C4">
        <w:rPr>
          <w:rFonts w:eastAsia="Times New Roman" w:cs="Arial"/>
          <w:color w:val="000000"/>
          <w:lang w:val="ru-RU"/>
        </w:rPr>
        <w:t xml:space="preserve"> </w:t>
      </w:r>
      <w:r w:rsidRPr="007D12C4">
        <w:rPr>
          <w:rFonts w:eastAsia="Times New Roman" w:cs="Arial"/>
          <w:color w:val="000000"/>
          <w:lang w:eastAsia="bg-BG"/>
        </w:rPr>
        <w:t>трябва да бъде избягвана (вж. точка 4.5). Ако комбинацията се счете за необходима, тогава се налага чест кардиологичен контрол.</w:t>
      </w:r>
    </w:p>
    <w:p w14:paraId="7DCF040D"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Намаляването на сърдечния ритъм, причинено от ивабрадин, може да усили удължаването на </w:t>
      </w:r>
      <w:r w:rsidRPr="007D12C4">
        <w:rPr>
          <w:rFonts w:eastAsia="Times New Roman" w:cs="Arial"/>
          <w:color w:val="000000"/>
          <w:lang w:val="en-US"/>
        </w:rPr>
        <w:t>QT</w:t>
      </w:r>
      <w:r w:rsidRPr="007D12C4">
        <w:rPr>
          <w:rFonts w:eastAsia="Times New Roman" w:cs="Arial"/>
          <w:color w:val="000000"/>
          <w:lang w:val="ru-RU"/>
        </w:rPr>
        <w:t xml:space="preserve"> </w:t>
      </w:r>
      <w:r w:rsidRPr="007D12C4">
        <w:rPr>
          <w:rFonts w:eastAsia="Times New Roman" w:cs="Arial"/>
          <w:color w:val="000000"/>
          <w:lang w:eastAsia="bg-BG"/>
        </w:rPr>
        <w:t xml:space="preserve">и нтервала, което може да доведе до тежки аритмии, по-специално </w:t>
      </w:r>
      <w:r w:rsidRPr="007D12C4">
        <w:rPr>
          <w:rFonts w:eastAsia="Times New Roman" w:cs="Arial"/>
          <w:i/>
          <w:iCs/>
          <w:color w:val="000000"/>
          <w:lang w:val="en-US"/>
        </w:rPr>
        <w:t>Torsade</w:t>
      </w:r>
      <w:r w:rsidRPr="007D12C4">
        <w:rPr>
          <w:rFonts w:eastAsia="Times New Roman" w:cs="Arial"/>
          <w:i/>
          <w:iCs/>
          <w:color w:val="000000"/>
          <w:lang w:val="ru-RU"/>
        </w:rPr>
        <w:t xml:space="preserve"> </w:t>
      </w:r>
      <w:r w:rsidRPr="007D12C4">
        <w:rPr>
          <w:rFonts w:eastAsia="Times New Roman" w:cs="Arial"/>
          <w:i/>
          <w:iCs/>
          <w:color w:val="000000"/>
          <w:lang w:val="en-US"/>
        </w:rPr>
        <w:t>de</w:t>
      </w:r>
      <w:r w:rsidRPr="007D12C4">
        <w:rPr>
          <w:rFonts w:eastAsia="Times New Roman" w:cs="Arial"/>
          <w:i/>
          <w:iCs/>
          <w:color w:val="000000"/>
          <w:lang w:val="ru-RU"/>
        </w:rPr>
        <w:t xml:space="preserve"> </w:t>
      </w:r>
      <w:r w:rsidRPr="007D12C4">
        <w:rPr>
          <w:rFonts w:eastAsia="Times New Roman" w:cs="Arial"/>
          <w:i/>
          <w:iCs/>
          <w:color w:val="000000"/>
          <w:lang w:val="en-US"/>
        </w:rPr>
        <w:t>pointes</w:t>
      </w:r>
      <w:r w:rsidRPr="007D12C4">
        <w:rPr>
          <w:rFonts w:eastAsia="Times New Roman" w:cs="Arial"/>
          <w:i/>
          <w:iCs/>
          <w:color w:val="000000"/>
          <w:lang w:val="ru-RU"/>
        </w:rPr>
        <w:t>.</w:t>
      </w:r>
    </w:p>
    <w:p w14:paraId="29F870E6" w14:textId="77777777" w:rsidR="007D12C4" w:rsidRDefault="007D12C4" w:rsidP="007D12C4">
      <w:pPr>
        <w:spacing w:line="240" w:lineRule="auto"/>
        <w:rPr>
          <w:rFonts w:eastAsia="Times New Roman" w:cs="Arial"/>
          <w:i/>
          <w:iCs/>
          <w:color w:val="000000"/>
          <w:lang w:eastAsia="bg-BG"/>
        </w:rPr>
      </w:pPr>
    </w:p>
    <w:p w14:paraId="4EE5F679" w14:textId="77777777" w:rsidR="007D12C4" w:rsidRPr="007D12C4" w:rsidRDefault="007D12C4" w:rsidP="007D12C4">
      <w:pPr>
        <w:rPr>
          <w:rFonts w:eastAsia="Times New Roman" w:cs="Arial"/>
        </w:rPr>
      </w:pPr>
      <w:r w:rsidRPr="007D12C4">
        <w:rPr>
          <w:rFonts w:eastAsia="Times New Roman" w:cs="Arial"/>
          <w:i/>
          <w:iCs/>
          <w:color w:val="000000"/>
          <w:lang w:eastAsia="bg-BG"/>
        </w:rPr>
        <w:t xml:space="preserve">Пациенти с хипертония, при които се налага промяна в лечението на кръвното налягане </w:t>
      </w:r>
      <w:r w:rsidRPr="007D12C4">
        <w:rPr>
          <w:rFonts w:eastAsia="Times New Roman" w:cs="Arial"/>
          <w:color w:val="000000"/>
          <w:lang w:eastAsia="bg-BG"/>
        </w:rPr>
        <w:t xml:space="preserve">При проучването </w:t>
      </w:r>
      <w:r w:rsidRPr="007D12C4">
        <w:rPr>
          <w:rFonts w:eastAsia="Times New Roman" w:cs="Arial"/>
          <w:color w:val="000000"/>
          <w:lang w:val="en-US"/>
        </w:rPr>
        <w:t>SHIFT</w:t>
      </w:r>
      <w:r w:rsidRPr="007D12C4">
        <w:rPr>
          <w:rFonts w:eastAsia="Times New Roman" w:cs="Arial"/>
          <w:color w:val="000000"/>
          <w:lang w:val="ru-RU"/>
        </w:rPr>
        <w:t xml:space="preserve">, </w:t>
      </w:r>
      <w:r w:rsidRPr="007D12C4">
        <w:rPr>
          <w:rFonts w:eastAsia="Times New Roman" w:cs="Arial"/>
          <w:color w:val="000000"/>
          <w:lang w:eastAsia="bg-BG"/>
        </w:rPr>
        <w:t>повечето пациенти са имали епизоди на повишено кръвно налягане, когато са били лекувани с ивабрадин (7,1%), в сравнение с пациенти, лекувани с плацебо (6,1%). Тези епизоди са се появили най-често скоро след промяна в терапията на кръвното налягане били</w:t>
      </w:r>
      <w:r>
        <w:rPr>
          <w:rFonts w:eastAsia="Times New Roman" w:cs="Arial"/>
          <w:color w:val="000000"/>
          <w:lang w:eastAsia="bg-BG"/>
        </w:rPr>
        <w:t xml:space="preserve"> </w:t>
      </w:r>
      <w:r w:rsidRPr="007D12C4">
        <w:rPr>
          <w:rFonts w:eastAsia="Times New Roman" w:cs="Arial"/>
          <w:color w:val="000000"/>
          <w:lang w:eastAsia="bg-BG"/>
        </w:rPr>
        <w:t>са преходни и не са засегнали лечебния ефект на ивабрадин. Когато са направени промени, в лечението при пациенти с хронична сърдечна недостатъчност, лекувани с ивабрадин, кръвното налягане трябва да се мониторира на подходящи интервали (вж. точка 4.8).</w:t>
      </w:r>
    </w:p>
    <w:p w14:paraId="688C9D65" w14:textId="77777777" w:rsidR="007D12C4" w:rsidRPr="007D12C4" w:rsidRDefault="007D12C4" w:rsidP="007D12C4">
      <w:pPr>
        <w:spacing w:line="240" w:lineRule="auto"/>
        <w:rPr>
          <w:rFonts w:eastAsia="Times New Roman" w:cs="Arial"/>
          <w:i/>
          <w:iCs/>
          <w:color w:val="000000"/>
          <w:lang w:eastAsia="bg-BG"/>
        </w:rPr>
      </w:pPr>
    </w:p>
    <w:p w14:paraId="672D5A18" w14:textId="0809519D"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Помощни вещества</w:t>
      </w:r>
    </w:p>
    <w:p w14:paraId="09DB632F" w14:textId="51E63843"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Тъй като таблетките съдържат лактоза, пациенти с редките наследствени проблеми галактозна непоносимост, </w:t>
      </w:r>
      <w:r w:rsidRPr="007D12C4">
        <w:rPr>
          <w:rFonts w:eastAsia="Times New Roman" w:cs="Arial"/>
          <w:color w:val="000000"/>
          <w:lang w:val="en-US"/>
        </w:rPr>
        <w:t>Lapp</w:t>
      </w:r>
      <w:r w:rsidRPr="007D12C4">
        <w:rPr>
          <w:rFonts w:eastAsia="Times New Roman" w:cs="Arial"/>
          <w:color w:val="000000"/>
          <w:lang w:val="ru-RU"/>
        </w:rPr>
        <w:t xml:space="preserve"> </w:t>
      </w:r>
      <w:r w:rsidRPr="007D12C4">
        <w:rPr>
          <w:rFonts w:eastAsia="Times New Roman" w:cs="Arial"/>
          <w:color w:val="000000"/>
          <w:lang w:eastAsia="bg-BG"/>
        </w:rPr>
        <w:t>лактазен дефицит или глюкозо-галактозна малабсорбция не трябва да приемат този лекарствен продукт.</w:t>
      </w:r>
    </w:p>
    <w:p w14:paraId="7A016291" w14:textId="3F40C8B2" w:rsidR="007D12C4" w:rsidRPr="007D12C4" w:rsidRDefault="007D12C4" w:rsidP="007D12C4"/>
    <w:p w14:paraId="070777EC" w14:textId="3B858DF0" w:rsidR="00DF4C8E" w:rsidRDefault="002C50EE" w:rsidP="00F44498">
      <w:pPr>
        <w:pStyle w:val="Heading2"/>
      </w:pPr>
      <w:r>
        <w:t>4.5. Взаимодействие с други лекарствени продукти и други форми на взаимодействие</w:t>
      </w:r>
    </w:p>
    <w:p w14:paraId="0DA2F294" w14:textId="33601F98" w:rsidR="007D12C4" w:rsidRDefault="007D12C4" w:rsidP="007D12C4"/>
    <w:p w14:paraId="60A3B705" w14:textId="77777777" w:rsidR="007D12C4" w:rsidRPr="007D12C4" w:rsidRDefault="007D12C4" w:rsidP="007D12C4">
      <w:pPr>
        <w:spacing w:line="240" w:lineRule="auto"/>
        <w:rPr>
          <w:rFonts w:eastAsia="Times New Roman" w:cs="Arial"/>
        </w:rPr>
      </w:pPr>
      <w:r w:rsidRPr="007D12C4">
        <w:rPr>
          <w:rFonts w:eastAsia="Times New Roman" w:cs="Arial"/>
          <w:i/>
          <w:iCs/>
          <w:color w:val="000000"/>
          <w:u w:val="single"/>
          <w:lang w:eastAsia="bg-BG"/>
        </w:rPr>
        <w:t>Фаомакодинамични взаимодействия</w:t>
      </w:r>
    </w:p>
    <w:p w14:paraId="398772E4" w14:textId="77777777" w:rsidR="007D12C4" w:rsidRDefault="007D12C4" w:rsidP="007D12C4">
      <w:pPr>
        <w:spacing w:line="240" w:lineRule="auto"/>
        <w:rPr>
          <w:rFonts w:eastAsia="Times New Roman" w:cs="Arial"/>
          <w:i/>
          <w:iCs/>
          <w:color w:val="000000"/>
          <w:lang w:eastAsia="bg-BG"/>
        </w:rPr>
      </w:pPr>
    </w:p>
    <w:p w14:paraId="03B133E8" w14:textId="2630CF25"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Едновременна употреба не се препоръчва</w:t>
      </w:r>
    </w:p>
    <w:p w14:paraId="4020ECC6"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Лекарствени продукти, удължаващи </w:t>
      </w:r>
      <w:r w:rsidRPr="007D12C4">
        <w:rPr>
          <w:rFonts w:eastAsia="Times New Roman" w:cs="Arial"/>
          <w:color w:val="000000"/>
          <w:lang w:val="en-US"/>
        </w:rPr>
        <w:t>QT</w:t>
      </w:r>
      <w:r w:rsidRPr="007D12C4">
        <w:rPr>
          <w:rFonts w:eastAsia="Times New Roman" w:cs="Arial"/>
          <w:color w:val="000000"/>
          <w:lang w:val="ru-RU"/>
        </w:rPr>
        <w:t>:</w:t>
      </w:r>
    </w:p>
    <w:p w14:paraId="07191835" w14:textId="7777777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 xml:space="preserve">Сърдечно-съдови лекарствени продукти удължаващи </w:t>
      </w:r>
      <w:r w:rsidRPr="007D12C4">
        <w:rPr>
          <w:rFonts w:eastAsia="Times New Roman" w:cs="Arial"/>
          <w:color w:val="000000"/>
          <w:lang w:val="en-US"/>
        </w:rPr>
        <w:t>QT</w:t>
      </w:r>
      <w:r w:rsidRPr="007D12C4">
        <w:rPr>
          <w:rFonts w:eastAsia="Times New Roman" w:cs="Arial"/>
          <w:color w:val="000000"/>
          <w:lang w:val="ru-RU"/>
        </w:rPr>
        <w:t xml:space="preserve"> </w:t>
      </w:r>
      <w:r w:rsidRPr="007D12C4">
        <w:rPr>
          <w:rFonts w:eastAsia="Times New Roman" w:cs="Arial"/>
          <w:color w:val="000000"/>
          <w:lang w:eastAsia="bg-BG"/>
        </w:rPr>
        <w:t>(напр. хинидин, дизопирамид, бепридил, соталол, ибутилид, амиодарон).</w:t>
      </w:r>
    </w:p>
    <w:p w14:paraId="068C8770" w14:textId="5AF51450"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 xml:space="preserve">Не-сърдечносъдови лекарствени продукти удължаващи </w:t>
      </w:r>
      <w:r w:rsidRPr="007D12C4">
        <w:rPr>
          <w:rFonts w:eastAsia="Times New Roman" w:cs="Arial"/>
          <w:color w:val="000000"/>
          <w:lang w:val="en-US"/>
        </w:rPr>
        <w:t>QT</w:t>
      </w:r>
      <w:r w:rsidRPr="007D12C4">
        <w:rPr>
          <w:rFonts w:eastAsia="Times New Roman" w:cs="Arial"/>
          <w:color w:val="000000"/>
        </w:rPr>
        <w:t xml:space="preserve"> </w:t>
      </w:r>
      <w:r w:rsidRPr="007D12C4">
        <w:rPr>
          <w:rFonts w:eastAsia="Times New Roman" w:cs="Arial"/>
          <w:color w:val="000000"/>
          <w:lang w:eastAsia="bg-BG"/>
        </w:rPr>
        <w:t>(напр. пимозид, зипрасидон, сертиндол, мефлокин, халофантрин, пентамидин, цизаприд, интравенозен еритромицин).</w:t>
      </w:r>
    </w:p>
    <w:p w14:paraId="04D9532F" w14:textId="77777777" w:rsidR="007D12C4" w:rsidRDefault="007D12C4" w:rsidP="007D12C4">
      <w:pPr>
        <w:spacing w:line="240" w:lineRule="auto"/>
        <w:rPr>
          <w:rFonts w:eastAsia="Times New Roman" w:cs="Arial"/>
          <w:color w:val="000000"/>
          <w:lang w:eastAsia="bg-BG"/>
        </w:rPr>
      </w:pPr>
    </w:p>
    <w:p w14:paraId="583494B9" w14:textId="68C2663E"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Едновременната употреба на сърдечносъдови и не-сърдечносъдови лекарствени продукти удължаващи </w:t>
      </w:r>
      <w:r w:rsidRPr="007D12C4">
        <w:rPr>
          <w:rFonts w:eastAsia="Times New Roman" w:cs="Arial"/>
          <w:color w:val="000000"/>
          <w:lang w:val="en-US"/>
        </w:rPr>
        <w:t>QT</w:t>
      </w:r>
      <w:r w:rsidRPr="007D12C4">
        <w:rPr>
          <w:rFonts w:eastAsia="Times New Roman" w:cs="Arial"/>
          <w:color w:val="000000"/>
          <w:lang w:val="ru-RU"/>
        </w:rPr>
        <w:t xml:space="preserve"> </w:t>
      </w:r>
      <w:r w:rsidRPr="007D12C4">
        <w:rPr>
          <w:rFonts w:eastAsia="Times New Roman" w:cs="Arial"/>
          <w:color w:val="000000"/>
          <w:lang w:eastAsia="bg-BG"/>
        </w:rPr>
        <w:t xml:space="preserve">с ивабрадин трябва да бъде избягвана, тъй като удължаването на </w:t>
      </w:r>
      <w:r w:rsidRPr="007D12C4">
        <w:rPr>
          <w:rFonts w:eastAsia="Times New Roman" w:cs="Arial"/>
          <w:color w:val="000000"/>
          <w:lang w:val="en-US"/>
        </w:rPr>
        <w:t>QT</w:t>
      </w:r>
      <w:r w:rsidRPr="007D12C4">
        <w:rPr>
          <w:rFonts w:eastAsia="Times New Roman" w:cs="Arial"/>
          <w:color w:val="000000"/>
          <w:lang w:val="ru-RU"/>
        </w:rPr>
        <w:t xml:space="preserve"> </w:t>
      </w:r>
      <w:r w:rsidRPr="007D12C4">
        <w:rPr>
          <w:rFonts w:eastAsia="Times New Roman" w:cs="Arial"/>
          <w:color w:val="000000"/>
          <w:lang w:eastAsia="bg-BG"/>
        </w:rPr>
        <w:t>може да екзацербира при забавяне на сърдечната честота. Ако комбинацията се счете за необходима, тогава се налага чест кардиологичен контрол (вж. точка 4.4).</w:t>
      </w:r>
    </w:p>
    <w:p w14:paraId="0F67ED02" w14:textId="77777777" w:rsidR="007D12C4" w:rsidRDefault="007D12C4" w:rsidP="007D12C4">
      <w:pPr>
        <w:spacing w:line="240" w:lineRule="auto"/>
        <w:rPr>
          <w:rFonts w:eastAsia="Times New Roman" w:cs="Arial"/>
          <w:i/>
          <w:iCs/>
          <w:color w:val="000000"/>
          <w:lang w:eastAsia="bg-BG"/>
        </w:rPr>
      </w:pPr>
    </w:p>
    <w:p w14:paraId="743A7085" w14:textId="2058F2D1"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lastRenderedPageBreak/>
        <w:t>Едновременна употреба с повишено внимание:</w:t>
      </w:r>
    </w:p>
    <w:p w14:paraId="00FB8D11"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Калий-губещи диуретаци (тиазидни или бримкови диуретици): хипокалемията може да увеличи риска от аритмия. Тъй като ивабрадин може да предизвика брадикардия, крайната комбинация от хипокалемия и брадикардия е предразполагащ фактор за появата на тежки аритмии, особено при пациенти със синдром на удължен </w:t>
      </w:r>
      <w:r w:rsidRPr="007D12C4">
        <w:rPr>
          <w:rFonts w:eastAsia="Times New Roman" w:cs="Arial"/>
          <w:color w:val="000000"/>
          <w:lang w:val="en-US"/>
        </w:rPr>
        <w:t>QT</w:t>
      </w:r>
      <w:r w:rsidRPr="007D12C4">
        <w:rPr>
          <w:rFonts w:eastAsia="Times New Roman" w:cs="Arial"/>
          <w:color w:val="000000"/>
          <w:lang w:val="ru-RU"/>
        </w:rPr>
        <w:t xml:space="preserve"> </w:t>
      </w:r>
      <w:r w:rsidRPr="007D12C4">
        <w:rPr>
          <w:rFonts w:eastAsia="Times New Roman" w:cs="Arial"/>
          <w:color w:val="000000"/>
          <w:lang w:eastAsia="bg-BG"/>
        </w:rPr>
        <w:t>интервал, независимо дали е от конгенитален произход или предизвикан от активно вещество.</w:t>
      </w:r>
    </w:p>
    <w:p w14:paraId="023A533F" w14:textId="77777777" w:rsidR="007D12C4" w:rsidRDefault="007D12C4" w:rsidP="007D12C4">
      <w:pPr>
        <w:spacing w:line="240" w:lineRule="auto"/>
        <w:rPr>
          <w:rFonts w:eastAsia="Times New Roman" w:cs="Arial"/>
          <w:i/>
          <w:iCs/>
          <w:color w:val="000000"/>
          <w:u w:val="single"/>
          <w:lang w:eastAsia="bg-BG"/>
        </w:rPr>
      </w:pPr>
    </w:p>
    <w:p w14:paraId="4D5F6445" w14:textId="20FC183B" w:rsidR="007D12C4" w:rsidRPr="007D12C4" w:rsidRDefault="007D12C4" w:rsidP="007D12C4">
      <w:pPr>
        <w:spacing w:line="240" w:lineRule="auto"/>
        <w:rPr>
          <w:rFonts w:eastAsia="Times New Roman" w:cs="Arial"/>
        </w:rPr>
      </w:pPr>
      <w:r w:rsidRPr="007D12C4">
        <w:rPr>
          <w:rFonts w:eastAsia="Times New Roman" w:cs="Arial"/>
          <w:i/>
          <w:iCs/>
          <w:color w:val="000000"/>
          <w:u w:val="single"/>
          <w:lang w:eastAsia="bg-BG"/>
        </w:rPr>
        <w:t>Фармакокинетични взаимодействия</w:t>
      </w:r>
    </w:p>
    <w:p w14:paraId="79C646FB" w14:textId="77777777" w:rsidR="007D12C4" w:rsidRDefault="007D12C4" w:rsidP="007D12C4">
      <w:pPr>
        <w:spacing w:line="240" w:lineRule="auto"/>
        <w:rPr>
          <w:rFonts w:eastAsia="Times New Roman" w:cs="Arial"/>
          <w:color w:val="000000"/>
          <w:lang w:eastAsia="bg-BG"/>
        </w:rPr>
      </w:pPr>
    </w:p>
    <w:p w14:paraId="5F969384" w14:textId="12985A20"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Цитохром Р450 ЗА4 </w:t>
      </w:r>
      <w:r w:rsidRPr="007D12C4">
        <w:rPr>
          <w:rFonts w:eastAsia="Times New Roman" w:cs="Arial"/>
          <w:color w:val="000000"/>
          <w:lang w:val="ru-RU"/>
        </w:rPr>
        <w:t>(</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val="en-US"/>
        </w:rPr>
        <w:t>A</w:t>
      </w:r>
      <w:r w:rsidRPr="007D12C4">
        <w:rPr>
          <w:rFonts w:eastAsia="Times New Roman" w:cs="Arial"/>
          <w:color w:val="000000"/>
          <w:lang w:val="ru-RU"/>
        </w:rPr>
        <w:t>4)</w:t>
      </w:r>
    </w:p>
    <w:p w14:paraId="2EA61C33"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Ивабрадин се метаболизира само от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eastAsia="bg-BG"/>
        </w:rPr>
        <w:t>А4 и е много слаб инхибитор на този цитохром,</w:t>
      </w:r>
    </w:p>
    <w:p w14:paraId="3594A3EC"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Има данни, че ивабрадин не повлиява метаболизма и плазмените концентрации на други субстрати на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val="en-US"/>
        </w:rPr>
        <w:t>A</w:t>
      </w:r>
      <w:r w:rsidRPr="007D12C4">
        <w:rPr>
          <w:rFonts w:eastAsia="Times New Roman" w:cs="Arial"/>
          <w:color w:val="000000"/>
          <w:lang w:val="ru-RU"/>
        </w:rPr>
        <w:t xml:space="preserve">4 </w:t>
      </w:r>
      <w:r w:rsidRPr="007D12C4">
        <w:rPr>
          <w:rFonts w:eastAsia="Times New Roman" w:cs="Arial"/>
          <w:color w:val="000000"/>
          <w:lang w:eastAsia="bg-BG"/>
        </w:rPr>
        <w:t xml:space="preserve">(леки, умерени и силни инхибитори). Инхибиторите и индукторите на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val="en-US"/>
        </w:rPr>
        <w:t>A</w:t>
      </w:r>
      <w:r w:rsidRPr="007D12C4">
        <w:rPr>
          <w:rFonts w:eastAsia="Times New Roman" w:cs="Arial"/>
          <w:color w:val="000000"/>
          <w:lang w:val="ru-RU"/>
        </w:rPr>
        <w:t xml:space="preserve">4 </w:t>
      </w:r>
      <w:r w:rsidRPr="007D12C4">
        <w:rPr>
          <w:rFonts w:eastAsia="Times New Roman" w:cs="Arial"/>
          <w:color w:val="000000"/>
          <w:lang w:eastAsia="bg-BG"/>
        </w:rPr>
        <w:t>са склонни да взаимодействат с ивабрадин и да повлияват неговия метаболизъм и фармакокинетика до клинично значима степен.</w:t>
      </w:r>
    </w:p>
    <w:p w14:paraId="226174F2"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При проучвания за лекарствени взаимодействия е установено, че </w:t>
      </w:r>
      <w:r w:rsidRPr="007D12C4">
        <w:rPr>
          <w:rFonts w:eastAsia="Times New Roman" w:cs="Arial"/>
          <w:color w:val="000000"/>
          <w:lang w:val="en-US"/>
        </w:rPr>
        <w:t>CYP</w:t>
      </w:r>
      <w:r w:rsidRPr="007D12C4">
        <w:rPr>
          <w:rFonts w:eastAsia="Times New Roman" w:cs="Arial"/>
          <w:color w:val="000000"/>
          <w:lang w:val="ru-RU"/>
        </w:rPr>
        <w:t xml:space="preserve">3 </w:t>
      </w:r>
      <w:r w:rsidRPr="007D12C4">
        <w:rPr>
          <w:rFonts w:eastAsia="Times New Roman" w:cs="Arial"/>
          <w:color w:val="000000"/>
          <w:lang w:eastAsia="bg-BG"/>
        </w:rPr>
        <w:t>А4 инхибиторите повишават плазмените концентрации на ивабрадин, докато индукторите ги понижават. Повишените плазмени концентрации на ивабрадин могат да бъдат свързани с риск от прекомерна брадикардия (вж. точка 4.4).</w:t>
      </w:r>
    </w:p>
    <w:p w14:paraId="34DA8CBC" w14:textId="77777777" w:rsidR="007D12C4" w:rsidRDefault="007D12C4" w:rsidP="007D12C4">
      <w:pPr>
        <w:spacing w:line="240" w:lineRule="auto"/>
        <w:rPr>
          <w:rFonts w:eastAsia="Times New Roman" w:cs="Arial"/>
          <w:i/>
          <w:iCs/>
          <w:color w:val="000000"/>
          <w:lang w:eastAsia="bg-BG"/>
        </w:rPr>
      </w:pPr>
    </w:p>
    <w:p w14:paraId="0FD02416" w14:textId="37832A69" w:rsidR="007D12C4" w:rsidRPr="007D12C4" w:rsidRDefault="007D12C4" w:rsidP="007D12C4">
      <w:pPr>
        <w:spacing w:line="240" w:lineRule="auto"/>
        <w:rPr>
          <w:rFonts w:eastAsia="Times New Roman" w:cs="Arial"/>
        </w:rPr>
      </w:pPr>
      <w:r>
        <w:rPr>
          <w:rFonts w:eastAsia="Times New Roman" w:cs="Arial"/>
          <w:i/>
          <w:iCs/>
          <w:color w:val="000000"/>
          <w:lang w:eastAsia="bg-BG"/>
        </w:rPr>
        <w:t>П</w:t>
      </w:r>
      <w:r w:rsidRPr="007D12C4">
        <w:rPr>
          <w:rFonts w:eastAsia="Times New Roman" w:cs="Arial"/>
          <w:i/>
          <w:iCs/>
          <w:color w:val="000000"/>
          <w:lang w:eastAsia="bg-BG"/>
        </w:rPr>
        <w:t>ротивопоказание за едновременна употреба</w:t>
      </w:r>
    </w:p>
    <w:p w14:paraId="726CC07C" w14:textId="77777777" w:rsidR="007D12C4" w:rsidRPr="007D12C4" w:rsidRDefault="007D12C4" w:rsidP="007D12C4">
      <w:pPr>
        <w:rPr>
          <w:rFonts w:eastAsia="Times New Roman" w:cs="Arial"/>
        </w:rPr>
      </w:pPr>
      <w:r w:rsidRPr="007D12C4">
        <w:rPr>
          <w:rFonts w:eastAsia="Times New Roman" w:cs="Arial"/>
          <w:color w:val="000000"/>
          <w:lang w:eastAsia="bg-BG"/>
        </w:rPr>
        <w:t xml:space="preserve">Едновременната употреба на мощни инхибитори на </w:t>
      </w:r>
      <w:r w:rsidRPr="007D12C4">
        <w:rPr>
          <w:rFonts w:eastAsia="Times New Roman" w:cs="Arial"/>
          <w:color w:val="000000"/>
          <w:lang w:val="en-US"/>
        </w:rPr>
        <w:t>CYP</w:t>
      </w:r>
      <w:r w:rsidRPr="007D12C4">
        <w:rPr>
          <w:rFonts w:eastAsia="Times New Roman" w:cs="Arial"/>
          <w:color w:val="000000"/>
        </w:rPr>
        <w:t xml:space="preserve">3 </w:t>
      </w:r>
      <w:r w:rsidRPr="007D12C4">
        <w:rPr>
          <w:rFonts w:eastAsia="Times New Roman" w:cs="Arial"/>
          <w:color w:val="000000"/>
          <w:lang w:eastAsia="bg-BG"/>
        </w:rPr>
        <w:t xml:space="preserve">А4, като азолови антимикотици (кетоконазол, итраконазол), макролидни антибиотици (кларитромицин, еритромицин </w:t>
      </w:r>
      <w:r w:rsidRPr="007D12C4">
        <w:rPr>
          <w:rFonts w:eastAsia="Times New Roman" w:cs="Arial"/>
          <w:color w:val="000000"/>
          <w:lang w:val="en-US"/>
        </w:rPr>
        <w:t>per</w:t>
      </w:r>
      <w:r w:rsidRPr="007D12C4">
        <w:rPr>
          <w:rFonts w:eastAsia="Times New Roman" w:cs="Arial"/>
          <w:color w:val="000000"/>
        </w:rPr>
        <w:t xml:space="preserve"> </w:t>
      </w:r>
      <w:proofErr w:type="spellStart"/>
      <w:r w:rsidRPr="007D12C4">
        <w:rPr>
          <w:rFonts w:eastAsia="Times New Roman" w:cs="Arial"/>
          <w:color w:val="000000"/>
          <w:lang w:val="en-US"/>
        </w:rPr>
        <w:t>os</w:t>
      </w:r>
      <w:proofErr w:type="spellEnd"/>
      <w:r w:rsidRPr="007D12C4">
        <w:rPr>
          <w:rFonts w:eastAsia="Times New Roman" w:cs="Arial"/>
          <w:color w:val="000000"/>
        </w:rPr>
        <w:t xml:space="preserve">, </w:t>
      </w:r>
      <w:r w:rsidRPr="007D12C4">
        <w:rPr>
          <w:rFonts w:eastAsia="Times New Roman" w:cs="Arial"/>
          <w:color w:val="000000"/>
          <w:lang w:eastAsia="bg-BG"/>
        </w:rPr>
        <w:t xml:space="preserve">йозамицин, телитромицин), инхибитори на </w:t>
      </w:r>
      <w:r w:rsidRPr="007D12C4">
        <w:rPr>
          <w:rFonts w:eastAsia="Times New Roman" w:cs="Arial"/>
          <w:color w:val="000000"/>
          <w:lang w:val="en-US"/>
        </w:rPr>
        <w:t>HIV</w:t>
      </w:r>
      <w:r w:rsidRPr="007D12C4">
        <w:rPr>
          <w:rFonts w:eastAsia="Times New Roman" w:cs="Arial"/>
          <w:color w:val="000000"/>
        </w:rPr>
        <w:t xml:space="preserve"> </w:t>
      </w:r>
      <w:r w:rsidRPr="007D12C4">
        <w:rPr>
          <w:rFonts w:eastAsia="Times New Roman" w:cs="Arial"/>
          <w:color w:val="000000"/>
          <w:lang w:eastAsia="bg-BG"/>
        </w:rPr>
        <w:t xml:space="preserve">протеазата (нелфинавир, ритонавир) и нефазодон е противопоказано (вж. точка 4.3). Мощните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val="en-US"/>
        </w:rPr>
        <w:t>A</w:t>
      </w:r>
      <w:r w:rsidRPr="007D12C4">
        <w:rPr>
          <w:rFonts w:eastAsia="Times New Roman" w:cs="Arial"/>
          <w:color w:val="000000"/>
          <w:lang w:val="ru-RU"/>
        </w:rPr>
        <w:t xml:space="preserve">4 </w:t>
      </w:r>
      <w:r w:rsidRPr="007D12C4">
        <w:rPr>
          <w:rFonts w:eastAsia="Times New Roman" w:cs="Arial"/>
          <w:color w:val="000000"/>
          <w:lang w:eastAsia="bg-BG"/>
        </w:rPr>
        <w:t>инхибитори кетоконазол (200</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веднъж</w:t>
      </w:r>
      <w:r>
        <w:rPr>
          <w:rFonts w:eastAsia="Times New Roman" w:cs="Arial"/>
          <w:color w:val="000000"/>
          <w:lang w:eastAsia="bg-BG"/>
        </w:rPr>
        <w:t xml:space="preserve"> </w:t>
      </w:r>
      <w:r w:rsidRPr="007D12C4">
        <w:rPr>
          <w:rFonts w:eastAsia="Times New Roman" w:cs="Arial"/>
          <w:color w:val="000000"/>
          <w:lang w:eastAsia="bg-BG"/>
        </w:rPr>
        <w:t xml:space="preserve">дневно) и йозамицин </w:t>
      </w:r>
      <w:r w:rsidRPr="007D12C4">
        <w:rPr>
          <w:rFonts w:eastAsia="Times New Roman" w:cs="Arial"/>
          <w:color w:val="000000"/>
          <w:lang w:val="ru-RU"/>
        </w:rPr>
        <w:t>(1</w:t>
      </w:r>
      <w:r w:rsidRPr="007D12C4">
        <w:rPr>
          <w:rFonts w:eastAsia="Times New Roman" w:cs="Arial"/>
          <w:color w:val="000000"/>
          <w:lang w:val="en-US"/>
        </w:rPr>
        <w:t>g</w:t>
      </w:r>
      <w:r w:rsidRPr="007D12C4">
        <w:rPr>
          <w:rFonts w:eastAsia="Times New Roman" w:cs="Arial"/>
          <w:color w:val="000000"/>
          <w:lang w:val="ru-RU"/>
        </w:rPr>
        <w:t xml:space="preserve"> </w:t>
      </w:r>
      <w:r w:rsidRPr="007D12C4">
        <w:rPr>
          <w:rFonts w:eastAsia="Times New Roman" w:cs="Arial"/>
          <w:color w:val="000000"/>
          <w:lang w:eastAsia="bg-BG"/>
        </w:rPr>
        <w:t>два пъти дневно) са увеличили 7- до 8-кратно средната плазмена експозиция на ивабрадин.</w:t>
      </w:r>
    </w:p>
    <w:p w14:paraId="072531D1" w14:textId="77777777" w:rsidR="007D12C4" w:rsidRDefault="007D12C4" w:rsidP="007D12C4">
      <w:pPr>
        <w:spacing w:line="240" w:lineRule="auto"/>
        <w:rPr>
          <w:rFonts w:eastAsia="Times New Roman" w:cs="Arial"/>
          <w:color w:val="000000"/>
          <w:lang w:eastAsia="bg-BG"/>
        </w:rPr>
      </w:pPr>
    </w:p>
    <w:p w14:paraId="5121425E" w14:textId="5885268F"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Умерени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val="en-US"/>
        </w:rPr>
        <w:t>A</w:t>
      </w:r>
      <w:r w:rsidRPr="007D12C4">
        <w:rPr>
          <w:rFonts w:eastAsia="Times New Roman" w:cs="Arial"/>
          <w:color w:val="000000"/>
          <w:lang w:val="ru-RU"/>
        </w:rPr>
        <w:t xml:space="preserve">4 </w:t>
      </w:r>
      <w:r w:rsidRPr="007D12C4">
        <w:rPr>
          <w:rFonts w:eastAsia="Times New Roman" w:cs="Arial"/>
          <w:color w:val="000000"/>
          <w:lang w:eastAsia="bg-BG"/>
        </w:rPr>
        <w:t xml:space="preserve">инхибитори: изпитвания за специфично взаимодействие при здрави доброволци и пациенти са показали, че комбинацията от ивабрадин и средствата забавящи сърдечната честота дилтиазем или верапамил е довела до нарастване на експозицията на ивабрадин (2- до 3-кратно нарастване на </w:t>
      </w:r>
      <w:r w:rsidRPr="007D12C4">
        <w:rPr>
          <w:rFonts w:eastAsia="Times New Roman" w:cs="Arial"/>
          <w:color w:val="000000"/>
          <w:lang w:val="en-US"/>
        </w:rPr>
        <w:t>AUC</w:t>
      </w:r>
      <w:r w:rsidRPr="007D12C4">
        <w:rPr>
          <w:rFonts w:eastAsia="Times New Roman" w:cs="Arial"/>
          <w:color w:val="000000"/>
          <w:lang w:val="ru-RU"/>
        </w:rPr>
        <w:t xml:space="preserve">) </w:t>
      </w:r>
      <w:r w:rsidRPr="007D12C4">
        <w:rPr>
          <w:rFonts w:eastAsia="Times New Roman" w:cs="Arial"/>
          <w:color w:val="000000"/>
          <w:lang w:eastAsia="bg-BG"/>
        </w:rPr>
        <w:t>и допълнително забавяне на сърдечната дейност с 5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w:t>
      </w:r>
    </w:p>
    <w:p w14:paraId="03FBEA97"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Едновременната употреба на ивабрадин с тези лекарствени продукти е противопоказана (вж. точка 4.3).</w:t>
      </w:r>
    </w:p>
    <w:p w14:paraId="219D7D96" w14:textId="77777777" w:rsidR="007D12C4" w:rsidRDefault="007D12C4" w:rsidP="007D12C4">
      <w:pPr>
        <w:spacing w:line="240" w:lineRule="auto"/>
        <w:rPr>
          <w:rFonts w:eastAsia="Times New Roman" w:cs="Arial"/>
          <w:i/>
          <w:iCs/>
          <w:color w:val="000000"/>
          <w:lang w:eastAsia="bg-BG"/>
        </w:rPr>
      </w:pPr>
    </w:p>
    <w:p w14:paraId="72635F8B" w14:textId="38F4C7B0"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Едновременна употреба, която не се препоръчва</w:t>
      </w:r>
    </w:p>
    <w:p w14:paraId="69555CA4"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Сок от грейпфрут: експозицията на ивабрадин нараства двукратно след едновременно приложение със сок от грейпфрут. Следователно приемът на сок от грейпфрут трябва да се избягва.</w:t>
      </w:r>
    </w:p>
    <w:p w14:paraId="1E9A029E" w14:textId="77777777" w:rsidR="007D12C4" w:rsidRDefault="007D12C4" w:rsidP="007D12C4">
      <w:pPr>
        <w:spacing w:line="240" w:lineRule="auto"/>
        <w:rPr>
          <w:rFonts w:eastAsia="Times New Roman" w:cs="Arial"/>
          <w:i/>
          <w:iCs/>
          <w:color w:val="000000"/>
          <w:lang w:eastAsia="bg-BG"/>
        </w:rPr>
      </w:pPr>
    </w:p>
    <w:p w14:paraId="0ACFF73E" w14:textId="31E7A462"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Едновременна употреба с повишено внимание</w:t>
      </w:r>
    </w:p>
    <w:p w14:paraId="674CBC12" w14:textId="499AEE37"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eastAsia="bg-BG"/>
        </w:rPr>
        <w:t xml:space="preserve">Умерени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eastAsia="bg-BG"/>
        </w:rPr>
        <w:t xml:space="preserve">А4 инхибитори: едновременната употреба на ивабрадин с други умерени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val="en-US"/>
        </w:rPr>
        <w:t>A</w:t>
      </w:r>
      <w:r w:rsidRPr="007D12C4">
        <w:rPr>
          <w:rFonts w:eastAsia="Times New Roman" w:cs="Arial"/>
          <w:color w:val="000000"/>
          <w:lang w:val="ru-RU"/>
        </w:rPr>
        <w:t xml:space="preserve">4 </w:t>
      </w:r>
      <w:r w:rsidRPr="007D12C4">
        <w:rPr>
          <w:rFonts w:eastAsia="Times New Roman" w:cs="Arial"/>
          <w:color w:val="000000"/>
          <w:lang w:eastAsia="bg-BG"/>
        </w:rPr>
        <w:t xml:space="preserve">инхибитори (напр., флуконазол) може да се обсъжда, при начална доза 2,5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два пъти дневно и ако сърдечната честота в покой е над 70 удара</w:t>
      </w:r>
      <w:r w:rsidRPr="007D12C4">
        <w:rPr>
          <w:rFonts w:eastAsia="Times New Roman" w:cs="Arial"/>
          <w:color w:val="000000"/>
          <w:lang w:val="ru-RU"/>
        </w:rPr>
        <w:t>/</w:t>
      </w:r>
      <w:r w:rsidRPr="007D12C4">
        <w:rPr>
          <w:rFonts w:eastAsia="Times New Roman" w:cs="Arial"/>
          <w:color w:val="000000"/>
          <w:lang w:val="en-US"/>
        </w:rPr>
        <w:t>min</w:t>
      </w:r>
      <w:r w:rsidRPr="007D12C4">
        <w:rPr>
          <w:rFonts w:eastAsia="Times New Roman" w:cs="Arial"/>
          <w:color w:val="000000"/>
          <w:lang w:val="ru-RU"/>
        </w:rPr>
        <w:t xml:space="preserve">, </w:t>
      </w:r>
      <w:r w:rsidRPr="007D12C4">
        <w:rPr>
          <w:rFonts w:eastAsia="Times New Roman" w:cs="Arial"/>
          <w:color w:val="000000"/>
          <w:lang w:eastAsia="bg-BG"/>
        </w:rPr>
        <w:t>с проследяване на сърдечната честота.</w:t>
      </w:r>
    </w:p>
    <w:p w14:paraId="241528FD" w14:textId="77777777" w:rsidR="007D12C4" w:rsidRDefault="007D12C4" w:rsidP="007D12C4">
      <w:pPr>
        <w:spacing w:line="240" w:lineRule="auto"/>
        <w:rPr>
          <w:rFonts w:eastAsia="Times New Roman" w:cs="Arial"/>
          <w:color w:val="000000"/>
          <w:lang w:val="en-US"/>
        </w:rPr>
      </w:pPr>
    </w:p>
    <w:p w14:paraId="05D7E160" w14:textId="25E68EDD" w:rsidR="007D12C4" w:rsidRPr="007D12C4" w:rsidRDefault="007D12C4" w:rsidP="007D12C4">
      <w:pPr>
        <w:pStyle w:val="ListParagraph"/>
        <w:numPr>
          <w:ilvl w:val="0"/>
          <w:numId w:val="2"/>
        </w:numPr>
        <w:spacing w:line="240" w:lineRule="auto"/>
        <w:rPr>
          <w:rFonts w:eastAsia="Times New Roman" w:cs="Arial"/>
        </w:rPr>
      </w:pP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val="en-US"/>
        </w:rPr>
        <w:t>A</w:t>
      </w:r>
      <w:r w:rsidRPr="007D12C4">
        <w:rPr>
          <w:rFonts w:eastAsia="Times New Roman" w:cs="Arial"/>
          <w:color w:val="000000"/>
          <w:lang w:val="ru-RU"/>
        </w:rPr>
        <w:t xml:space="preserve">4 </w:t>
      </w:r>
      <w:r w:rsidRPr="007D12C4">
        <w:rPr>
          <w:rFonts w:eastAsia="Times New Roman" w:cs="Arial"/>
          <w:color w:val="000000"/>
          <w:lang w:eastAsia="bg-BG"/>
        </w:rPr>
        <w:t xml:space="preserve">индуктори: индукторите на </w:t>
      </w:r>
      <w:r w:rsidRPr="007D12C4">
        <w:rPr>
          <w:rFonts w:eastAsia="Times New Roman" w:cs="Arial"/>
          <w:color w:val="000000"/>
          <w:lang w:val="en-US"/>
        </w:rPr>
        <w:t>CYP</w:t>
      </w:r>
      <w:r w:rsidRPr="007D12C4">
        <w:rPr>
          <w:rFonts w:eastAsia="Times New Roman" w:cs="Arial"/>
          <w:color w:val="000000"/>
          <w:lang w:val="ru-RU"/>
        </w:rPr>
        <w:t>3</w:t>
      </w:r>
      <w:r w:rsidRPr="007D12C4">
        <w:rPr>
          <w:rFonts w:eastAsia="Times New Roman" w:cs="Arial"/>
          <w:color w:val="000000"/>
          <w:lang w:eastAsia="bg-BG"/>
        </w:rPr>
        <w:t xml:space="preserve">А4 (напр. рифампицин, барбитурати, фенитоин, </w:t>
      </w:r>
      <w:proofErr w:type="spellStart"/>
      <w:r w:rsidRPr="007D12C4">
        <w:rPr>
          <w:rFonts w:eastAsia="Times New Roman" w:cs="Arial"/>
          <w:color w:val="000000"/>
          <w:lang w:val="en-US"/>
        </w:rPr>
        <w:t>Hypericum</w:t>
      </w:r>
      <w:proofErr w:type="spellEnd"/>
      <w:r w:rsidRPr="007D12C4">
        <w:rPr>
          <w:rFonts w:eastAsia="Times New Roman" w:cs="Arial"/>
          <w:color w:val="000000"/>
          <w:lang w:val="ru-RU"/>
        </w:rPr>
        <w:t xml:space="preserve"> </w:t>
      </w:r>
      <w:proofErr w:type="spellStart"/>
      <w:r w:rsidRPr="007D12C4">
        <w:rPr>
          <w:rFonts w:eastAsia="Times New Roman" w:cs="Arial"/>
          <w:color w:val="000000"/>
          <w:lang w:val="en-US"/>
        </w:rPr>
        <w:t>perforatum</w:t>
      </w:r>
      <w:proofErr w:type="spellEnd"/>
      <w:r w:rsidRPr="007D12C4">
        <w:rPr>
          <w:rFonts w:eastAsia="Times New Roman" w:cs="Arial"/>
          <w:color w:val="000000"/>
          <w:lang w:val="ru-RU"/>
        </w:rPr>
        <w:t xml:space="preserve"> </w:t>
      </w:r>
      <w:r w:rsidRPr="007D12C4">
        <w:rPr>
          <w:rFonts w:eastAsia="Times New Roman" w:cs="Arial"/>
          <w:color w:val="000000"/>
          <w:lang w:eastAsia="bg-BG"/>
        </w:rPr>
        <w:t xml:space="preserve">[жълт кантарион]) могат да понижат експозицията на ивабрадин и неговото действие. Едновременната употреба на </w:t>
      </w:r>
      <w:r w:rsidRPr="007D12C4">
        <w:rPr>
          <w:rFonts w:eastAsia="Times New Roman" w:cs="Arial"/>
          <w:color w:val="000000"/>
          <w:lang w:val="en-US"/>
        </w:rPr>
        <w:lastRenderedPageBreak/>
        <w:t>CYP</w:t>
      </w:r>
      <w:r w:rsidRPr="007D12C4">
        <w:rPr>
          <w:rFonts w:eastAsia="Times New Roman" w:cs="Arial"/>
          <w:color w:val="000000"/>
          <w:lang w:val="ru-RU"/>
        </w:rPr>
        <w:t>3</w:t>
      </w:r>
      <w:r w:rsidRPr="007D12C4">
        <w:rPr>
          <w:rFonts w:eastAsia="Times New Roman" w:cs="Arial"/>
          <w:color w:val="000000"/>
          <w:lang w:val="en-US"/>
        </w:rPr>
        <w:t>A</w:t>
      </w:r>
      <w:r w:rsidRPr="007D12C4">
        <w:rPr>
          <w:rFonts w:eastAsia="Times New Roman" w:cs="Arial"/>
          <w:color w:val="000000"/>
          <w:lang w:val="ru-RU"/>
        </w:rPr>
        <w:t xml:space="preserve">4 </w:t>
      </w:r>
      <w:r w:rsidRPr="007D12C4">
        <w:rPr>
          <w:rFonts w:eastAsia="Times New Roman" w:cs="Arial"/>
          <w:color w:val="000000"/>
          <w:lang w:eastAsia="bg-BG"/>
        </w:rPr>
        <w:t xml:space="preserve">индуциращи лекарствени продукти може да наложи корекция на дозата на ивабрадин. Беше доказано, че комбинацията от ивабрадин 10 </w:t>
      </w:r>
      <w:r w:rsidRPr="007D12C4">
        <w:rPr>
          <w:rFonts w:eastAsia="Times New Roman" w:cs="Arial"/>
          <w:color w:val="000000"/>
          <w:lang w:val="en-US"/>
        </w:rPr>
        <w:t>mg</w:t>
      </w:r>
      <w:r w:rsidRPr="007D12C4">
        <w:rPr>
          <w:rFonts w:eastAsia="Times New Roman" w:cs="Arial"/>
          <w:color w:val="000000"/>
          <w:lang w:val="ru-RU"/>
        </w:rPr>
        <w:t xml:space="preserve"> </w:t>
      </w:r>
      <w:r w:rsidRPr="007D12C4">
        <w:rPr>
          <w:rFonts w:eastAsia="Times New Roman" w:cs="Arial"/>
          <w:color w:val="000000"/>
          <w:lang w:eastAsia="bg-BG"/>
        </w:rPr>
        <w:t xml:space="preserve">два пъти дневно с жълт кантарион намалява </w:t>
      </w:r>
      <w:r w:rsidRPr="007D12C4">
        <w:rPr>
          <w:rFonts w:eastAsia="Times New Roman" w:cs="Arial"/>
          <w:color w:val="000000"/>
          <w:lang w:val="en-US"/>
        </w:rPr>
        <w:t>AUC</w:t>
      </w:r>
      <w:r w:rsidRPr="007D12C4">
        <w:rPr>
          <w:rFonts w:eastAsia="Times New Roman" w:cs="Arial"/>
          <w:color w:val="000000"/>
          <w:lang w:val="ru-RU"/>
        </w:rPr>
        <w:t xml:space="preserve"> </w:t>
      </w:r>
      <w:r w:rsidRPr="007D12C4">
        <w:rPr>
          <w:rFonts w:eastAsia="Times New Roman" w:cs="Arial"/>
          <w:color w:val="000000"/>
          <w:lang w:eastAsia="bg-BG"/>
        </w:rPr>
        <w:t>на ивабрадин наполовина. По време на лечение с ивабрадин приемът на жълт кантарион трябва да бъде ограничен.</w:t>
      </w:r>
    </w:p>
    <w:p w14:paraId="32088B3D" w14:textId="77777777" w:rsidR="007D12C4" w:rsidRDefault="007D12C4" w:rsidP="007D12C4">
      <w:pPr>
        <w:spacing w:line="240" w:lineRule="auto"/>
        <w:rPr>
          <w:rFonts w:eastAsia="Times New Roman" w:cs="Arial"/>
          <w:i/>
          <w:iCs/>
          <w:color w:val="000000"/>
          <w:lang w:eastAsia="bg-BG"/>
        </w:rPr>
      </w:pPr>
    </w:p>
    <w:p w14:paraId="45EDC364" w14:textId="1AFE8A33"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Едновременна употреба с други средства</w:t>
      </w:r>
    </w:p>
    <w:p w14:paraId="4D6DB0EA"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Специфични проучвания за лекарствени взаимодействия не са показали значим ефект на следните лекарствени продукти върху фармакокинетиката и фармакодинамиката на ивабрадин: инхибитори на протонната помпа (омепразол, ланзопразол), силденафил, инхибитори на </w:t>
      </w:r>
      <w:r w:rsidRPr="007D12C4">
        <w:rPr>
          <w:rFonts w:eastAsia="Times New Roman" w:cs="Arial"/>
          <w:color w:val="000000"/>
          <w:lang w:val="en-US"/>
        </w:rPr>
        <w:t>HMG</w:t>
      </w:r>
      <w:r w:rsidRPr="007D12C4">
        <w:rPr>
          <w:rFonts w:eastAsia="Times New Roman" w:cs="Arial"/>
          <w:color w:val="000000"/>
          <w:lang w:val="ru-RU"/>
        </w:rPr>
        <w:t xml:space="preserve"> </w:t>
      </w:r>
      <w:r w:rsidRPr="007D12C4">
        <w:rPr>
          <w:rFonts w:eastAsia="Times New Roman" w:cs="Arial"/>
          <w:color w:val="000000"/>
          <w:lang w:eastAsia="bg-BG"/>
        </w:rPr>
        <w:t>СоА редуктазата (симвастатин), дихидропиридинови калциеви антагонисти (амлодипин, ласидипин), дигоксин и варфарин. Освен това, не е настъпил клинично значим ефект на ивабрадин върху фармакокинетиката на симвастатин, амлодипин, ласидипин, върху фармакокинетиката и фармакодинамиката на дигоксин, варфарин и върху фармакодинамиката на аспирин.</w:t>
      </w:r>
    </w:p>
    <w:p w14:paraId="0428D5D5"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В клинични изпитвания фаза </w:t>
      </w:r>
      <w:r w:rsidRPr="007D12C4">
        <w:rPr>
          <w:rFonts w:eastAsia="Times New Roman" w:cs="Arial"/>
          <w:color w:val="000000"/>
          <w:lang w:val="en-US"/>
        </w:rPr>
        <w:t>III</w:t>
      </w:r>
      <w:r w:rsidRPr="007D12C4">
        <w:rPr>
          <w:rFonts w:eastAsia="Times New Roman" w:cs="Arial"/>
          <w:color w:val="000000"/>
          <w:lang w:eastAsia="bg-BG"/>
        </w:rPr>
        <w:t xml:space="preserve"> следните лекарствени продукти са били комбинирани рутинно с ивабрадин, без данни за проблеми, свързани с лекарствената безопасност: инхибитори на ангиотензин-конвертиращия ензим, ангиотензин </w:t>
      </w:r>
      <w:r w:rsidRPr="007D12C4">
        <w:rPr>
          <w:rFonts w:eastAsia="Times New Roman" w:cs="Arial"/>
          <w:color w:val="000000"/>
          <w:lang w:val="en-US"/>
        </w:rPr>
        <w:t>II</w:t>
      </w:r>
      <w:r w:rsidRPr="007D12C4">
        <w:rPr>
          <w:rFonts w:eastAsia="Times New Roman" w:cs="Arial"/>
          <w:color w:val="000000"/>
          <w:lang w:eastAsia="bg-BG"/>
        </w:rPr>
        <w:t xml:space="preserve">-рецепторни блокери, бета-блокери, диуретици, антагонисти на алдостерона, кратко- и дългодействащи нитрати, инхибитори на </w:t>
      </w:r>
      <w:r w:rsidRPr="007D12C4">
        <w:rPr>
          <w:rFonts w:eastAsia="Times New Roman" w:cs="Arial"/>
          <w:color w:val="000000"/>
          <w:lang w:val="en-US"/>
        </w:rPr>
        <w:t>HMG</w:t>
      </w:r>
      <w:r w:rsidRPr="007D12C4">
        <w:rPr>
          <w:rFonts w:eastAsia="Times New Roman" w:cs="Arial"/>
          <w:color w:val="000000"/>
          <w:lang w:val="ru-RU"/>
        </w:rPr>
        <w:t xml:space="preserve"> </w:t>
      </w:r>
      <w:r w:rsidRPr="007D12C4">
        <w:rPr>
          <w:rFonts w:eastAsia="Times New Roman" w:cs="Arial"/>
          <w:color w:val="000000"/>
          <w:lang w:eastAsia="bg-BG"/>
        </w:rPr>
        <w:t>СоА редуктазата, фибрата, инхибитори на протоннната помпа, орални противодиабетни средства, аспирин и други антигромбоцитни лекарствени продукти.</w:t>
      </w:r>
    </w:p>
    <w:p w14:paraId="2911628D" w14:textId="77777777" w:rsidR="007D12C4" w:rsidRDefault="007D12C4" w:rsidP="007D12C4">
      <w:pPr>
        <w:spacing w:line="240" w:lineRule="auto"/>
        <w:rPr>
          <w:rFonts w:eastAsia="Times New Roman" w:cs="Arial"/>
          <w:i/>
          <w:iCs/>
          <w:color w:val="000000"/>
          <w:lang w:eastAsia="bg-BG"/>
        </w:rPr>
      </w:pPr>
    </w:p>
    <w:p w14:paraId="2D9FF12C" w14:textId="0C6C1294" w:rsidR="007D12C4" w:rsidRPr="007D12C4" w:rsidRDefault="007D12C4" w:rsidP="007D12C4">
      <w:pPr>
        <w:spacing w:line="240" w:lineRule="auto"/>
        <w:rPr>
          <w:rFonts w:eastAsia="Times New Roman" w:cs="Arial"/>
        </w:rPr>
      </w:pPr>
      <w:r w:rsidRPr="007D12C4">
        <w:rPr>
          <w:rFonts w:eastAsia="Times New Roman" w:cs="Arial"/>
          <w:i/>
          <w:iCs/>
          <w:color w:val="000000"/>
          <w:lang w:eastAsia="bg-BG"/>
        </w:rPr>
        <w:t>Педиатрична популация</w:t>
      </w:r>
    </w:p>
    <w:p w14:paraId="09A8D646" w14:textId="6BF3DF93" w:rsidR="007D12C4" w:rsidRPr="007D12C4" w:rsidRDefault="007D12C4" w:rsidP="007D12C4">
      <w:pPr>
        <w:rPr>
          <w:rFonts w:eastAsia="Times New Roman" w:cs="Arial"/>
          <w:color w:val="000000"/>
          <w:lang w:eastAsia="bg-BG"/>
        </w:rPr>
      </w:pPr>
      <w:r w:rsidRPr="007D12C4">
        <w:rPr>
          <w:rFonts w:eastAsia="Times New Roman" w:cs="Arial"/>
          <w:color w:val="000000"/>
          <w:lang w:eastAsia="bg-BG"/>
        </w:rPr>
        <w:t>Проучвания за взаимодействията са провеждани само при възрастни.</w:t>
      </w:r>
    </w:p>
    <w:p w14:paraId="7CA43C12" w14:textId="77777777" w:rsidR="007D12C4" w:rsidRPr="007D12C4" w:rsidRDefault="007D12C4" w:rsidP="007D12C4"/>
    <w:p w14:paraId="29D2BD58" w14:textId="0CD26C4B" w:rsidR="00DF4C8E" w:rsidRDefault="002C50EE" w:rsidP="00F44498">
      <w:pPr>
        <w:pStyle w:val="Heading2"/>
      </w:pPr>
      <w:r>
        <w:t>4.6. Фертилитет, бременност и кърмене</w:t>
      </w:r>
    </w:p>
    <w:p w14:paraId="7F913782" w14:textId="010B7443" w:rsidR="007D12C4" w:rsidRDefault="007D12C4" w:rsidP="007D12C4"/>
    <w:p w14:paraId="10C9CE87" w14:textId="77777777" w:rsidR="007D12C4" w:rsidRPr="007D12C4" w:rsidRDefault="007D12C4" w:rsidP="007D12C4">
      <w:pPr>
        <w:spacing w:line="240" w:lineRule="auto"/>
        <w:rPr>
          <w:rFonts w:eastAsia="Times New Roman" w:cs="Arial"/>
        </w:rPr>
      </w:pPr>
      <w:r w:rsidRPr="007D12C4">
        <w:rPr>
          <w:rFonts w:eastAsia="Times New Roman" w:cs="Arial"/>
          <w:color w:val="000000"/>
          <w:u w:val="single"/>
          <w:lang w:eastAsia="bg-BG"/>
        </w:rPr>
        <w:t>Жени с детероден потенциал</w:t>
      </w:r>
    </w:p>
    <w:p w14:paraId="273741A2"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 xml:space="preserve">Жени </w:t>
      </w:r>
      <w:r w:rsidRPr="007D12C4">
        <w:rPr>
          <w:rFonts w:eastAsia="Times New Roman" w:cs="Arial"/>
          <w:color w:val="000000"/>
          <w:lang w:val="en-US"/>
        </w:rPr>
        <w:t>c</w:t>
      </w:r>
      <w:r w:rsidRPr="007D12C4">
        <w:rPr>
          <w:rFonts w:eastAsia="Times New Roman" w:cs="Arial"/>
          <w:color w:val="000000"/>
          <w:lang w:val="ru-RU"/>
        </w:rPr>
        <w:t xml:space="preserve"> </w:t>
      </w:r>
      <w:r w:rsidRPr="007D12C4">
        <w:rPr>
          <w:rFonts w:eastAsia="Times New Roman" w:cs="Arial"/>
          <w:color w:val="000000"/>
          <w:lang w:eastAsia="bg-BG"/>
        </w:rPr>
        <w:t>детероден потенциал трябва да използват подходящи контрацептивни мерки по време на лечението (вж. точка 4.3).</w:t>
      </w:r>
    </w:p>
    <w:p w14:paraId="587996D1" w14:textId="77777777" w:rsidR="007D12C4" w:rsidRDefault="007D12C4" w:rsidP="007D12C4">
      <w:pPr>
        <w:spacing w:line="240" w:lineRule="auto"/>
        <w:rPr>
          <w:rFonts w:eastAsia="Times New Roman" w:cs="Arial"/>
          <w:color w:val="000000"/>
          <w:u w:val="single"/>
          <w:lang w:eastAsia="bg-BG"/>
        </w:rPr>
      </w:pPr>
    </w:p>
    <w:p w14:paraId="0DDD9ADA" w14:textId="42447CEE" w:rsidR="007D12C4" w:rsidRPr="007D12C4" w:rsidRDefault="007D12C4" w:rsidP="007D12C4">
      <w:pPr>
        <w:pStyle w:val="Heading3"/>
        <w:rPr>
          <w:rFonts w:eastAsia="Times New Roman"/>
          <w:u w:val="single"/>
        </w:rPr>
      </w:pPr>
      <w:r w:rsidRPr="007D12C4">
        <w:rPr>
          <w:rFonts w:eastAsia="Times New Roman"/>
          <w:u w:val="single"/>
          <w:lang w:eastAsia="bg-BG"/>
        </w:rPr>
        <w:t>Бременност</w:t>
      </w:r>
    </w:p>
    <w:p w14:paraId="098A5D1D"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Липсват или има ограничени данни за употребата на ивабрадин при бременни жени.</w:t>
      </w:r>
    </w:p>
    <w:p w14:paraId="1C22D2B1"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Проучванията при животни показват репродуктивна токсичност. Тези проучвания са показали ембриотоксичен и тератогенен ефект (вж, точка 5.3). Потенциалният риск за хората е неизвестен. Поради това, ивабрадин е противопоказан по време на бременност (вж. точка 4.3).</w:t>
      </w:r>
    </w:p>
    <w:p w14:paraId="485D66FB" w14:textId="77777777" w:rsidR="007D12C4" w:rsidRDefault="007D12C4" w:rsidP="007D12C4">
      <w:pPr>
        <w:spacing w:line="240" w:lineRule="auto"/>
        <w:rPr>
          <w:rFonts w:eastAsia="Times New Roman" w:cs="Arial"/>
          <w:color w:val="000000"/>
          <w:u w:val="single"/>
          <w:lang w:eastAsia="bg-BG"/>
        </w:rPr>
      </w:pPr>
    </w:p>
    <w:p w14:paraId="7EF989C4" w14:textId="7D693684" w:rsidR="007D12C4" w:rsidRPr="007D12C4" w:rsidRDefault="007D12C4" w:rsidP="007D12C4">
      <w:pPr>
        <w:pStyle w:val="Heading3"/>
        <w:rPr>
          <w:rFonts w:eastAsia="Times New Roman"/>
          <w:u w:val="single"/>
        </w:rPr>
      </w:pPr>
      <w:r w:rsidRPr="007D12C4">
        <w:rPr>
          <w:rFonts w:eastAsia="Times New Roman"/>
          <w:u w:val="single"/>
          <w:lang w:eastAsia="bg-BG"/>
        </w:rPr>
        <w:t>Кърмене</w:t>
      </w:r>
    </w:p>
    <w:p w14:paraId="4627309E"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Проучванията при животни показват, че ивабрадин се екскретира в кърмата. Поради това, ивабрадин е противопоказан по време на кърмене (вж. точка 4.3).</w:t>
      </w:r>
    </w:p>
    <w:p w14:paraId="68810685"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Жени, които се нуждаят от лечение с ивабрадин, трябва да спрат да кърмят и да изберат друг начин за хранене на тяхното дете.</w:t>
      </w:r>
    </w:p>
    <w:p w14:paraId="38FDD88C" w14:textId="77777777" w:rsidR="007D12C4" w:rsidRDefault="007D12C4" w:rsidP="007D12C4">
      <w:pPr>
        <w:spacing w:line="240" w:lineRule="auto"/>
        <w:rPr>
          <w:rFonts w:eastAsia="Times New Roman" w:cs="Arial"/>
          <w:color w:val="000000"/>
          <w:u w:val="single"/>
          <w:lang w:eastAsia="bg-BG"/>
        </w:rPr>
      </w:pPr>
    </w:p>
    <w:p w14:paraId="38E41673" w14:textId="6CCE14B8" w:rsidR="007D12C4" w:rsidRPr="007D12C4" w:rsidRDefault="007D12C4" w:rsidP="007D12C4">
      <w:pPr>
        <w:pStyle w:val="Heading3"/>
        <w:rPr>
          <w:rFonts w:eastAsia="Times New Roman"/>
          <w:u w:val="single"/>
        </w:rPr>
      </w:pPr>
      <w:r w:rsidRPr="007D12C4">
        <w:rPr>
          <w:rFonts w:eastAsia="Times New Roman"/>
          <w:u w:val="single"/>
          <w:lang w:eastAsia="bg-BG"/>
        </w:rPr>
        <w:t>Фертилитет</w:t>
      </w:r>
    </w:p>
    <w:p w14:paraId="213E1677" w14:textId="77777777" w:rsidR="007D12C4" w:rsidRPr="007D12C4" w:rsidRDefault="007D12C4" w:rsidP="007D12C4">
      <w:pPr>
        <w:spacing w:line="240" w:lineRule="auto"/>
        <w:rPr>
          <w:rFonts w:eastAsia="Times New Roman" w:cs="Arial"/>
        </w:rPr>
      </w:pPr>
      <w:r w:rsidRPr="007D12C4">
        <w:rPr>
          <w:rFonts w:eastAsia="Times New Roman" w:cs="Arial"/>
          <w:color w:val="000000"/>
          <w:lang w:eastAsia="bg-BG"/>
        </w:rPr>
        <w:t>Проучванията при плъхове не са показали ефект върху фертилитета при мъжките и женските индивиди (вж. точка 5.3)</w:t>
      </w:r>
    </w:p>
    <w:p w14:paraId="2F77CF89" w14:textId="77777777" w:rsidR="007D12C4" w:rsidRPr="007D12C4" w:rsidRDefault="007D12C4" w:rsidP="007D12C4"/>
    <w:p w14:paraId="4DF5A2E7" w14:textId="47F5D526" w:rsidR="00DF4C8E" w:rsidRDefault="002C50EE" w:rsidP="00F44498">
      <w:pPr>
        <w:pStyle w:val="Heading2"/>
      </w:pPr>
      <w:r>
        <w:lastRenderedPageBreak/>
        <w:t>4.7. Ефекти върху способността за шофиране и работа с машини</w:t>
      </w:r>
    </w:p>
    <w:p w14:paraId="3CFEFD47" w14:textId="1D476AE8" w:rsidR="00AF6D6A" w:rsidRDefault="00AF6D6A" w:rsidP="00AF6D6A"/>
    <w:p w14:paraId="471D3DC3" w14:textId="77777777" w:rsidR="00AF6D6A" w:rsidRPr="00AF6D6A" w:rsidRDefault="00AF6D6A" w:rsidP="00AF6D6A">
      <w:pPr>
        <w:rPr>
          <w:sz w:val="24"/>
          <w:szCs w:val="24"/>
        </w:rPr>
      </w:pPr>
      <w:r w:rsidRPr="00AF6D6A">
        <w:rPr>
          <w:lang w:eastAsia="bg-BG"/>
        </w:rPr>
        <w:t>Специфично проучване за оценка на възможното влияние на ивабрадин върху способността за шофиране при здрави доброволци не показа нарушения на способността за шофиране. Обаче, при пост-маркетинговия опит, са съобщени случаи на нарушена способност за шофиране, в резултат на зрителни симптоми. Ивабрадин може да предизвика преходни светлинни възприятия, състоящи се главно от фосфени (вж. точка 4.8). Възможната поява на такива светлинни възприятия трябва да се има предвид при шофиране или работа с машини в ситуации, при които може да настъпи внезапна промяна на интензитета на светлината, особено при нощно кормуване.</w:t>
      </w:r>
    </w:p>
    <w:p w14:paraId="08F707C6" w14:textId="77777777" w:rsidR="00AF6D6A" w:rsidRDefault="00AF6D6A" w:rsidP="00AF6D6A">
      <w:pPr>
        <w:rPr>
          <w:lang w:eastAsia="bg-BG"/>
        </w:rPr>
      </w:pPr>
    </w:p>
    <w:p w14:paraId="47D748B7" w14:textId="51F3970F" w:rsidR="00AF6D6A" w:rsidRPr="00AF6D6A" w:rsidRDefault="00AF6D6A" w:rsidP="00AF6D6A">
      <w:pPr>
        <w:rPr>
          <w:sz w:val="24"/>
          <w:szCs w:val="24"/>
        </w:rPr>
      </w:pPr>
      <w:r w:rsidRPr="00AF6D6A">
        <w:rPr>
          <w:lang w:eastAsia="bg-BG"/>
        </w:rPr>
        <w:t>Ивабрадин не повлиява способността за работа с машини.</w:t>
      </w:r>
    </w:p>
    <w:p w14:paraId="57DCFF27" w14:textId="77777777" w:rsidR="00AF6D6A" w:rsidRPr="00AF6D6A" w:rsidRDefault="00AF6D6A" w:rsidP="00AF6D6A"/>
    <w:p w14:paraId="28229498" w14:textId="07F1EAEF" w:rsidR="00DF4C8E" w:rsidRDefault="002C50EE" w:rsidP="00F44498">
      <w:pPr>
        <w:pStyle w:val="Heading2"/>
      </w:pPr>
      <w:r>
        <w:t>4.8. Нежелани лекарствени реакции</w:t>
      </w:r>
    </w:p>
    <w:p w14:paraId="66CE888C" w14:textId="1C5945C4" w:rsidR="00AF6D6A" w:rsidRDefault="00AF6D6A" w:rsidP="00AF6D6A"/>
    <w:p w14:paraId="01CF9D43" w14:textId="77777777" w:rsidR="00AF6D6A" w:rsidRPr="00AF6D6A" w:rsidRDefault="00AF6D6A" w:rsidP="00AF6D6A">
      <w:pPr>
        <w:spacing w:line="240" w:lineRule="auto"/>
        <w:rPr>
          <w:rFonts w:eastAsia="Times New Roman" w:cs="Arial"/>
        </w:rPr>
      </w:pPr>
      <w:r w:rsidRPr="00AF6D6A">
        <w:rPr>
          <w:rFonts w:eastAsia="Times New Roman" w:cs="Arial"/>
          <w:color w:val="000000"/>
          <w:u w:val="single"/>
          <w:lang w:eastAsia="bg-BG"/>
        </w:rPr>
        <w:t>Обобщение на профила на безопасност</w:t>
      </w:r>
    </w:p>
    <w:p w14:paraId="14D0B62F" w14:textId="77777777" w:rsidR="00AF6D6A" w:rsidRPr="00AF6D6A" w:rsidRDefault="00AF6D6A" w:rsidP="00AF6D6A">
      <w:pPr>
        <w:spacing w:line="240" w:lineRule="auto"/>
        <w:rPr>
          <w:rFonts w:eastAsia="Times New Roman" w:cs="Arial"/>
        </w:rPr>
      </w:pPr>
      <w:r w:rsidRPr="00AF6D6A">
        <w:rPr>
          <w:rFonts w:eastAsia="Times New Roman" w:cs="Arial"/>
          <w:color w:val="000000"/>
          <w:lang w:eastAsia="bg-BG"/>
        </w:rPr>
        <w:t>Ивабрадин е проучен в клинични изпитвания обхващащи почти 45 000 участници.</w:t>
      </w:r>
    </w:p>
    <w:p w14:paraId="25E9EE50" w14:textId="77777777" w:rsidR="00AF6D6A" w:rsidRPr="00AF6D6A" w:rsidRDefault="00AF6D6A" w:rsidP="00AF6D6A">
      <w:pPr>
        <w:spacing w:line="240" w:lineRule="auto"/>
        <w:rPr>
          <w:rFonts w:eastAsia="Times New Roman" w:cs="Arial"/>
        </w:rPr>
      </w:pPr>
      <w:r w:rsidRPr="00AF6D6A">
        <w:rPr>
          <w:rFonts w:eastAsia="Times New Roman" w:cs="Arial"/>
          <w:color w:val="000000"/>
          <w:lang w:eastAsia="bg-BG"/>
        </w:rPr>
        <w:t>Най-честите нежелани лекарствени реакции с ивабрадин, светлинни феномени (фосфени) и брадикардия, са дозозависими и свързани с фармакологичния ефект на лекарствения продукт.</w:t>
      </w:r>
    </w:p>
    <w:p w14:paraId="5389A983" w14:textId="77777777" w:rsidR="00AF6D6A" w:rsidRPr="00AF6D6A" w:rsidRDefault="00AF6D6A" w:rsidP="00AF6D6A">
      <w:pPr>
        <w:spacing w:line="240" w:lineRule="auto"/>
        <w:rPr>
          <w:rFonts w:eastAsia="Times New Roman" w:cs="Arial"/>
          <w:color w:val="000000"/>
          <w:u w:val="single"/>
          <w:lang w:eastAsia="bg-BG"/>
        </w:rPr>
      </w:pPr>
    </w:p>
    <w:p w14:paraId="1A683740" w14:textId="785AEED7" w:rsidR="00AF6D6A" w:rsidRPr="00AF6D6A" w:rsidRDefault="00AF6D6A" w:rsidP="00AF6D6A">
      <w:pPr>
        <w:spacing w:line="240" w:lineRule="auto"/>
        <w:rPr>
          <w:rFonts w:eastAsia="Times New Roman" w:cs="Arial"/>
        </w:rPr>
      </w:pPr>
      <w:r w:rsidRPr="00AF6D6A">
        <w:rPr>
          <w:rFonts w:eastAsia="Times New Roman" w:cs="Arial"/>
          <w:color w:val="000000"/>
          <w:u w:val="single"/>
          <w:lang w:eastAsia="bg-BG"/>
        </w:rPr>
        <w:t>Списък на нежеланите лекарствени реакции в табличен вид</w:t>
      </w:r>
    </w:p>
    <w:p w14:paraId="2B1C50F7" w14:textId="77777777" w:rsidR="00AF6D6A" w:rsidRPr="00AF6D6A" w:rsidRDefault="00AF6D6A" w:rsidP="00AF6D6A">
      <w:pPr>
        <w:spacing w:line="240" w:lineRule="auto"/>
        <w:rPr>
          <w:rFonts w:eastAsia="Times New Roman" w:cs="Arial"/>
          <w:sz w:val="24"/>
          <w:szCs w:val="24"/>
        </w:rPr>
      </w:pPr>
      <w:r w:rsidRPr="00AF6D6A">
        <w:rPr>
          <w:rFonts w:eastAsia="Times New Roman" w:cs="Arial"/>
          <w:color w:val="000000"/>
          <w:lang w:eastAsia="bg-BG"/>
        </w:rPr>
        <w:t>Следните нежелани лекарствени реакции или събития се съобщават по време на клинични изпитвания и се класифицират по следната честота: много чести (≥1/10); чести (≥1/100 до &lt;1/10); нечести (≥ 1/1 000 до &lt;1/100); редки (≥1/10 000 до &lt;1/1000); много редки (&lt;1/10 000); с неизвестна честота (от наличните данни не може да бъде направена оценка).</w:t>
      </w:r>
    </w:p>
    <w:p w14:paraId="27D6410D" w14:textId="3D6E43D1" w:rsidR="00AF6D6A" w:rsidRDefault="00AF6D6A" w:rsidP="00AF6D6A"/>
    <w:tbl>
      <w:tblPr>
        <w:tblStyle w:val="TableGrid"/>
        <w:tblW w:w="0" w:type="auto"/>
        <w:tblLook w:val="04A0" w:firstRow="1" w:lastRow="0" w:firstColumn="1" w:lastColumn="0" w:noHBand="0" w:noVBand="1"/>
      </w:tblPr>
      <w:tblGrid>
        <w:gridCol w:w="3116"/>
        <w:gridCol w:w="3117"/>
        <w:gridCol w:w="3117"/>
      </w:tblGrid>
      <w:tr w:rsidR="00C57FFB" w14:paraId="318C8A32" w14:textId="77777777" w:rsidTr="00AF6D6A">
        <w:tc>
          <w:tcPr>
            <w:tcW w:w="3116" w:type="dxa"/>
          </w:tcPr>
          <w:p w14:paraId="5EAB80EC" w14:textId="37B3AFAC" w:rsidR="00C57FFB" w:rsidRPr="00C57FFB" w:rsidRDefault="00C57FFB" w:rsidP="00C57FFB">
            <w:r w:rsidRPr="00C57FFB">
              <w:t>Системо-органни класове</w:t>
            </w:r>
          </w:p>
        </w:tc>
        <w:tc>
          <w:tcPr>
            <w:tcW w:w="3117" w:type="dxa"/>
          </w:tcPr>
          <w:p w14:paraId="747DBFF6" w14:textId="036724A4" w:rsidR="00C57FFB" w:rsidRPr="00C57FFB" w:rsidRDefault="00C57FFB" w:rsidP="00C57FFB">
            <w:r w:rsidRPr="00C57FFB">
              <w:t>Честота</w:t>
            </w:r>
          </w:p>
        </w:tc>
        <w:tc>
          <w:tcPr>
            <w:tcW w:w="3117" w:type="dxa"/>
          </w:tcPr>
          <w:p w14:paraId="173A4598" w14:textId="26F5622D" w:rsidR="00C57FFB" w:rsidRPr="00C57FFB" w:rsidRDefault="00C57FFB" w:rsidP="00C57FFB">
            <w:r w:rsidRPr="00C57FFB">
              <w:t>Предпочитан термин</w:t>
            </w:r>
          </w:p>
        </w:tc>
      </w:tr>
      <w:tr w:rsidR="00C57FFB" w14:paraId="1AF90583" w14:textId="77777777" w:rsidTr="00AF6D6A">
        <w:tc>
          <w:tcPr>
            <w:tcW w:w="3116" w:type="dxa"/>
          </w:tcPr>
          <w:p w14:paraId="779E7FEB" w14:textId="2EC40D79" w:rsidR="00C57FFB" w:rsidRPr="00C57FFB" w:rsidRDefault="00C57FFB" w:rsidP="00C57FFB">
            <w:r w:rsidRPr="00C57FFB">
              <w:t>Нарушения на кръвта и лимфната система</w:t>
            </w:r>
          </w:p>
        </w:tc>
        <w:tc>
          <w:tcPr>
            <w:tcW w:w="3117" w:type="dxa"/>
          </w:tcPr>
          <w:p w14:paraId="169E5FD2" w14:textId="3245AC7B" w:rsidR="00C57FFB" w:rsidRPr="00C57FFB" w:rsidRDefault="00C57FFB" w:rsidP="00C57FFB">
            <w:r w:rsidRPr="00C57FFB">
              <w:t>Нечести</w:t>
            </w:r>
          </w:p>
        </w:tc>
        <w:tc>
          <w:tcPr>
            <w:tcW w:w="3117" w:type="dxa"/>
          </w:tcPr>
          <w:p w14:paraId="54CEC218" w14:textId="35F6B623" w:rsidR="00C57FFB" w:rsidRPr="00C57FFB" w:rsidRDefault="00C57FFB" w:rsidP="00C57FFB">
            <w:r w:rsidRPr="00C57FFB">
              <w:t>Еозинофилия</w:t>
            </w:r>
          </w:p>
        </w:tc>
      </w:tr>
      <w:tr w:rsidR="00C57FFB" w14:paraId="2D531E52" w14:textId="77777777" w:rsidTr="00AF6D6A">
        <w:tc>
          <w:tcPr>
            <w:tcW w:w="3116" w:type="dxa"/>
          </w:tcPr>
          <w:p w14:paraId="5E55308E" w14:textId="54B6332E" w:rsidR="00C57FFB" w:rsidRPr="00C57FFB" w:rsidRDefault="00C57FFB" w:rsidP="00C57FFB">
            <w:r w:rsidRPr="00C57FFB">
              <w:t>Нарушения на метаболизма и храненето</w:t>
            </w:r>
          </w:p>
        </w:tc>
        <w:tc>
          <w:tcPr>
            <w:tcW w:w="3117" w:type="dxa"/>
          </w:tcPr>
          <w:p w14:paraId="053499BF" w14:textId="6CD65D13" w:rsidR="00C57FFB" w:rsidRPr="00C57FFB" w:rsidRDefault="00C57FFB" w:rsidP="00C57FFB">
            <w:r w:rsidRPr="00C57FFB">
              <w:t>Нечести</w:t>
            </w:r>
          </w:p>
        </w:tc>
        <w:tc>
          <w:tcPr>
            <w:tcW w:w="3117" w:type="dxa"/>
          </w:tcPr>
          <w:p w14:paraId="4DFAE5EA" w14:textId="76BD9B48" w:rsidR="00C57FFB" w:rsidRPr="00C57FFB" w:rsidRDefault="00C57FFB" w:rsidP="00C57FFB">
            <w:r w:rsidRPr="00C57FFB">
              <w:t>Хиперурикемия</w:t>
            </w:r>
          </w:p>
        </w:tc>
      </w:tr>
      <w:tr w:rsidR="00C57FFB" w14:paraId="2BBE1D0A" w14:textId="77777777" w:rsidTr="00F2510A">
        <w:tc>
          <w:tcPr>
            <w:tcW w:w="3116" w:type="dxa"/>
            <w:vMerge w:val="restart"/>
          </w:tcPr>
          <w:p w14:paraId="68BF013C" w14:textId="3C5E3423" w:rsidR="00C57FFB" w:rsidRPr="00C57FFB" w:rsidRDefault="00C57FFB" w:rsidP="00C57FFB">
            <w:r w:rsidRPr="00C57FFB">
              <w:t>Нарушения на нервната система</w:t>
            </w:r>
          </w:p>
        </w:tc>
        <w:tc>
          <w:tcPr>
            <w:tcW w:w="3117" w:type="dxa"/>
          </w:tcPr>
          <w:p w14:paraId="029F45A6" w14:textId="0503033A" w:rsidR="00C57FFB" w:rsidRPr="00C57FFB" w:rsidRDefault="00C57FFB" w:rsidP="00C57FFB">
            <w:r w:rsidRPr="00C57FFB">
              <w:t>Чести</w:t>
            </w:r>
          </w:p>
        </w:tc>
        <w:tc>
          <w:tcPr>
            <w:tcW w:w="3117" w:type="dxa"/>
            <w:vAlign w:val="bottom"/>
          </w:tcPr>
          <w:p w14:paraId="333FA588" w14:textId="5F9F79BF" w:rsidR="00C57FFB" w:rsidRPr="00C57FFB" w:rsidRDefault="00C57FFB" w:rsidP="00C57FFB">
            <w:r w:rsidRPr="00C57FFB">
              <w:t>Главоболие, обикновено през първия месец от лечението Замайване, вероятно свързано с брадикардия</w:t>
            </w:r>
          </w:p>
        </w:tc>
      </w:tr>
      <w:tr w:rsidR="00C57FFB" w14:paraId="1CBD2D7A" w14:textId="77777777" w:rsidTr="00F2510A">
        <w:tc>
          <w:tcPr>
            <w:tcW w:w="3116" w:type="dxa"/>
            <w:vMerge/>
          </w:tcPr>
          <w:p w14:paraId="376CCFD1" w14:textId="77777777" w:rsidR="00C57FFB" w:rsidRPr="00C57FFB" w:rsidRDefault="00C57FFB" w:rsidP="00C57FFB"/>
        </w:tc>
        <w:tc>
          <w:tcPr>
            <w:tcW w:w="3117" w:type="dxa"/>
          </w:tcPr>
          <w:p w14:paraId="646D4DD4" w14:textId="040E7EA4" w:rsidR="00C57FFB" w:rsidRPr="00C57FFB" w:rsidRDefault="00C57FFB" w:rsidP="00C57FFB">
            <w:r w:rsidRPr="00C57FFB">
              <w:t>Нечести*</w:t>
            </w:r>
          </w:p>
        </w:tc>
        <w:tc>
          <w:tcPr>
            <w:tcW w:w="3117" w:type="dxa"/>
            <w:vAlign w:val="bottom"/>
          </w:tcPr>
          <w:p w14:paraId="504FB41A" w14:textId="3B1CFC6C" w:rsidR="00C57FFB" w:rsidRPr="00C57FFB" w:rsidRDefault="00C57FFB" w:rsidP="00C57FFB">
            <w:r w:rsidRPr="00C57FFB">
              <w:t>Синкоп, вероятно свързан с брадикардия</w:t>
            </w:r>
          </w:p>
        </w:tc>
      </w:tr>
      <w:tr w:rsidR="00C57FFB" w14:paraId="1B02E67B" w14:textId="77777777" w:rsidTr="00F2510A">
        <w:tc>
          <w:tcPr>
            <w:tcW w:w="3116" w:type="dxa"/>
            <w:vMerge w:val="restart"/>
          </w:tcPr>
          <w:p w14:paraId="2086679B" w14:textId="620C8077" w:rsidR="00C57FFB" w:rsidRPr="00C57FFB" w:rsidRDefault="00C57FFB" w:rsidP="00C57FFB">
            <w:r w:rsidRPr="00C57FFB">
              <w:t>Нарушения на очите</w:t>
            </w:r>
          </w:p>
        </w:tc>
        <w:tc>
          <w:tcPr>
            <w:tcW w:w="3117" w:type="dxa"/>
          </w:tcPr>
          <w:p w14:paraId="5F416752" w14:textId="14A94F24" w:rsidR="00C57FFB" w:rsidRPr="00C57FFB" w:rsidRDefault="00C57FFB" w:rsidP="00C57FFB">
            <w:r w:rsidRPr="00C57FFB">
              <w:t>Много чести</w:t>
            </w:r>
          </w:p>
        </w:tc>
        <w:tc>
          <w:tcPr>
            <w:tcW w:w="3117" w:type="dxa"/>
            <w:vAlign w:val="bottom"/>
          </w:tcPr>
          <w:p w14:paraId="6B258F9A" w14:textId="3E4DDFDC" w:rsidR="00C57FFB" w:rsidRPr="00C57FFB" w:rsidRDefault="00C57FFB" w:rsidP="00C57FFB">
            <w:r w:rsidRPr="00C57FFB">
              <w:t>Светлинни феномени (фосфени)</w:t>
            </w:r>
          </w:p>
        </w:tc>
      </w:tr>
      <w:tr w:rsidR="00C57FFB" w14:paraId="26CAF20B" w14:textId="77777777" w:rsidTr="00F2510A">
        <w:tc>
          <w:tcPr>
            <w:tcW w:w="3116" w:type="dxa"/>
            <w:vMerge/>
          </w:tcPr>
          <w:p w14:paraId="5950C6F0" w14:textId="77777777" w:rsidR="00C57FFB" w:rsidRPr="00C57FFB" w:rsidRDefault="00C57FFB" w:rsidP="00C57FFB"/>
        </w:tc>
        <w:tc>
          <w:tcPr>
            <w:tcW w:w="3117" w:type="dxa"/>
            <w:vAlign w:val="bottom"/>
          </w:tcPr>
          <w:p w14:paraId="0AECBF41" w14:textId="4C91D536" w:rsidR="00C57FFB" w:rsidRPr="00C57FFB" w:rsidRDefault="00C57FFB" w:rsidP="00C57FFB">
            <w:r w:rsidRPr="00C57FFB">
              <w:t>Чести</w:t>
            </w:r>
          </w:p>
        </w:tc>
        <w:tc>
          <w:tcPr>
            <w:tcW w:w="3117" w:type="dxa"/>
            <w:vAlign w:val="bottom"/>
          </w:tcPr>
          <w:p w14:paraId="3771E0D4" w14:textId="11AD4DBD" w:rsidR="00C57FFB" w:rsidRPr="00C57FFB" w:rsidRDefault="00C57FFB" w:rsidP="00C57FFB">
            <w:r w:rsidRPr="00C57FFB">
              <w:t>Замъглено виждане</w:t>
            </w:r>
          </w:p>
        </w:tc>
      </w:tr>
      <w:tr w:rsidR="00C57FFB" w14:paraId="5C08A077" w14:textId="77777777" w:rsidTr="00F2510A">
        <w:tc>
          <w:tcPr>
            <w:tcW w:w="3116" w:type="dxa"/>
            <w:vMerge/>
          </w:tcPr>
          <w:p w14:paraId="52B45F58" w14:textId="77777777" w:rsidR="00C57FFB" w:rsidRPr="00C57FFB" w:rsidRDefault="00C57FFB" w:rsidP="00C57FFB"/>
        </w:tc>
        <w:tc>
          <w:tcPr>
            <w:tcW w:w="3117" w:type="dxa"/>
          </w:tcPr>
          <w:p w14:paraId="6CBA9A84" w14:textId="408C0C53" w:rsidR="00C57FFB" w:rsidRPr="00C57FFB" w:rsidRDefault="00C57FFB" w:rsidP="00C57FFB">
            <w:r w:rsidRPr="00C57FFB">
              <w:t>Нечести*</w:t>
            </w:r>
          </w:p>
        </w:tc>
        <w:tc>
          <w:tcPr>
            <w:tcW w:w="3117" w:type="dxa"/>
            <w:vAlign w:val="bottom"/>
          </w:tcPr>
          <w:p w14:paraId="57C19CA0" w14:textId="77777777" w:rsidR="00C57FFB" w:rsidRPr="00C57FFB" w:rsidRDefault="00C57FFB" w:rsidP="00C57FFB">
            <w:r w:rsidRPr="00C57FFB">
              <w:t>Диплопия</w:t>
            </w:r>
          </w:p>
          <w:p w14:paraId="4DC6BB34" w14:textId="39A2831D" w:rsidR="00C57FFB" w:rsidRPr="00C57FFB" w:rsidRDefault="00C57FFB" w:rsidP="00C57FFB">
            <w:r w:rsidRPr="00C57FFB">
              <w:t>Нарушение на зрението</w:t>
            </w:r>
          </w:p>
        </w:tc>
      </w:tr>
      <w:tr w:rsidR="00C57FFB" w14:paraId="7A742C18" w14:textId="77777777" w:rsidTr="00F2510A">
        <w:tc>
          <w:tcPr>
            <w:tcW w:w="3116" w:type="dxa"/>
            <w:vAlign w:val="bottom"/>
          </w:tcPr>
          <w:p w14:paraId="5200E89F" w14:textId="2A8CB2F9" w:rsidR="00C57FFB" w:rsidRPr="00C57FFB" w:rsidRDefault="00C57FFB" w:rsidP="00C57FFB">
            <w:r w:rsidRPr="00C57FFB">
              <w:t>Нарушения на ухото и лабиринта</w:t>
            </w:r>
          </w:p>
        </w:tc>
        <w:tc>
          <w:tcPr>
            <w:tcW w:w="3117" w:type="dxa"/>
          </w:tcPr>
          <w:p w14:paraId="07E8EB1D" w14:textId="72BAC036" w:rsidR="00C57FFB" w:rsidRPr="00C57FFB" w:rsidRDefault="00C57FFB" w:rsidP="00C57FFB">
            <w:r w:rsidRPr="00C57FFB">
              <w:t>Нечести</w:t>
            </w:r>
          </w:p>
        </w:tc>
        <w:tc>
          <w:tcPr>
            <w:tcW w:w="3117" w:type="dxa"/>
          </w:tcPr>
          <w:p w14:paraId="0D9078BA" w14:textId="016CDBF2" w:rsidR="00C57FFB" w:rsidRPr="00C57FFB" w:rsidRDefault="00C57FFB" w:rsidP="00C57FFB">
            <w:r w:rsidRPr="00C57FFB">
              <w:t>Световъртеж</w:t>
            </w:r>
          </w:p>
        </w:tc>
      </w:tr>
      <w:tr w:rsidR="00C57FFB" w14:paraId="3AC90EA9" w14:textId="77777777" w:rsidTr="0012546B">
        <w:tc>
          <w:tcPr>
            <w:tcW w:w="3116" w:type="dxa"/>
            <w:vMerge w:val="restart"/>
          </w:tcPr>
          <w:p w14:paraId="55CC7B38" w14:textId="5464A05F" w:rsidR="00C57FFB" w:rsidRPr="00C57FFB" w:rsidRDefault="00C57FFB" w:rsidP="00C57FFB">
            <w:r w:rsidRPr="00C57FFB">
              <w:lastRenderedPageBreak/>
              <w:t>Сърдечни нарушения</w:t>
            </w:r>
          </w:p>
        </w:tc>
        <w:tc>
          <w:tcPr>
            <w:tcW w:w="3117" w:type="dxa"/>
          </w:tcPr>
          <w:p w14:paraId="209FFFC4" w14:textId="33694D0E" w:rsidR="00C57FFB" w:rsidRPr="00C57FFB" w:rsidRDefault="00C57FFB" w:rsidP="00C57FFB">
            <w:r w:rsidRPr="00C57FFB">
              <w:t>Чести</w:t>
            </w:r>
          </w:p>
        </w:tc>
        <w:tc>
          <w:tcPr>
            <w:tcW w:w="3117" w:type="dxa"/>
            <w:vAlign w:val="bottom"/>
          </w:tcPr>
          <w:p w14:paraId="69BDE52E" w14:textId="77777777" w:rsidR="00C57FFB" w:rsidRPr="00C57FFB" w:rsidRDefault="00C57FFB" w:rsidP="00C57FFB">
            <w:r w:rsidRPr="00C57FFB">
              <w:t>Брадикардия</w:t>
            </w:r>
          </w:p>
          <w:p w14:paraId="3523D5AD" w14:textId="350E0069" w:rsidR="00C57FFB" w:rsidRPr="00C57FFB" w:rsidRDefault="00C57FFB" w:rsidP="00C57FFB">
            <w:r w:rsidRPr="00C57FFB">
              <w:rPr>
                <w:lang w:val="en-US"/>
              </w:rPr>
              <w:t>A</w:t>
            </w:r>
            <w:r w:rsidRPr="00C57FFB">
              <w:t xml:space="preserve">V блок I степен (удължен </w:t>
            </w:r>
            <w:r w:rsidRPr="00C57FFB">
              <w:rPr>
                <w:lang w:val="en-US"/>
              </w:rPr>
              <w:t>PQ</w:t>
            </w:r>
            <w:r w:rsidRPr="00C57FFB">
              <w:rPr>
                <w:lang w:val="ru-RU"/>
              </w:rPr>
              <w:t xml:space="preserve"> </w:t>
            </w:r>
            <w:r w:rsidRPr="00C57FFB">
              <w:t>интервал на ЕКГ Камерни екстрасистоли Предсърдно мъждене</w:t>
            </w:r>
          </w:p>
        </w:tc>
      </w:tr>
      <w:tr w:rsidR="00C57FFB" w14:paraId="35AC8824" w14:textId="77777777" w:rsidTr="0012546B">
        <w:tc>
          <w:tcPr>
            <w:tcW w:w="3116" w:type="dxa"/>
            <w:vMerge/>
          </w:tcPr>
          <w:p w14:paraId="4E4447CE" w14:textId="77777777" w:rsidR="00C57FFB" w:rsidRPr="00C57FFB" w:rsidRDefault="00C57FFB" w:rsidP="00C57FFB"/>
        </w:tc>
        <w:tc>
          <w:tcPr>
            <w:tcW w:w="3117" w:type="dxa"/>
          </w:tcPr>
          <w:p w14:paraId="2C837E95" w14:textId="753288CB" w:rsidR="00C57FFB" w:rsidRPr="00C57FFB" w:rsidRDefault="00C57FFB" w:rsidP="00C57FFB">
            <w:r w:rsidRPr="00C57FFB">
              <w:t>Нечести</w:t>
            </w:r>
          </w:p>
        </w:tc>
        <w:tc>
          <w:tcPr>
            <w:tcW w:w="3117" w:type="dxa"/>
            <w:vAlign w:val="bottom"/>
          </w:tcPr>
          <w:p w14:paraId="4B9BDE50" w14:textId="2EB6CCFB" w:rsidR="00C57FFB" w:rsidRPr="00C57FFB" w:rsidRDefault="00C57FFB" w:rsidP="00C57FFB">
            <w:r w:rsidRPr="00C57FFB">
              <w:t>Палпитации, надкамерни екстрасистоли</w:t>
            </w:r>
          </w:p>
        </w:tc>
      </w:tr>
      <w:tr w:rsidR="00C57FFB" w14:paraId="730569A2" w14:textId="77777777" w:rsidTr="0012546B">
        <w:tc>
          <w:tcPr>
            <w:tcW w:w="3116" w:type="dxa"/>
            <w:vMerge/>
          </w:tcPr>
          <w:p w14:paraId="36EFA831" w14:textId="77777777" w:rsidR="00C57FFB" w:rsidRPr="00C57FFB" w:rsidRDefault="00C57FFB" w:rsidP="00C57FFB"/>
        </w:tc>
        <w:tc>
          <w:tcPr>
            <w:tcW w:w="3117" w:type="dxa"/>
          </w:tcPr>
          <w:p w14:paraId="231434D9" w14:textId="35E28F21" w:rsidR="00C57FFB" w:rsidRPr="00C57FFB" w:rsidRDefault="00C57FFB" w:rsidP="00C57FFB">
            <w:r w:rsidRPr="00C57FFB">
              <w:t>Много редки</w:t>
            </w:r>
          </w:p>
        </w:tc>
        <w:tc>
          <w:tcPr>
            <w:tcW w:w="3117" w:type="dxa"/>
            <w:vAlign w:val="bottom"/>
          </w:tcPr>
          <w:p w14:paraId="4F99A593" w14:textId="77777777" w:rsidR="00C57FFB" w:rsidRPr="00C57FFB" w:rsidRDefault="00C57FFB" w:rsidP="00C57FFB">
            <w:r w:rsidRPr="00C57FFB">
              <w:rPr>
                <w:lang w:val="en-US"/>
              </w:rPr>
              <w:t>AV</w:t>
            </w:r>
            <w:r w:rsidRPr="00C57FFB">
              <w:rPr>
                <w:lang w:val="ru-RU"/>
              </w:rPr>
              <w:t xml:space="preserve"> </w:t>
            </w:r>
            <w:r w:rsidRPr="00C57FFB">
              <w:t>блок 2</w:t>
            </w:r>
            <w:r w:rsidRPr="00C57FFB">
              <w:rPr>
                <w:vertAlign w:val="superscript"/>
              </w:rPr>
              <w:t>-ра</w:t>
            </w:r>
            <w:r w:rsidRPr="00C57FFB">
              <w:t xml:space="preserve"> степен, </w:t>
            </w:r>
            <w:r w:rsidRPr="00C57FFB">
              <w:rPr>
                <w:lang w:val="en-US"/>
              </w:rPr>
              <w:t>AV</w:t>
            </w:r>
            <w:r w:rsidRPr="00C57FFB">
              <w:rPr>
                <w:lang w:val="ru-RU"/>
              </w:rPr>
              <w:t xml:space="preserve"> </w:t>
            </w:r>
            <w:r w:rsidRPr="00C57FFB">
              <w:t>блок 3</w:t>
            </w:r>
            <w:r w:rsidRPr="00C57FFB">
              <w:rPr>
                <w:vertAlign w:val="superscript"/>
              </w:rPr>
              <w:t>-та</w:t>
            </w:r>
            <w:r w:rsidRPr="00C57FFB">
              <w:t xml:space="preserve"> степен</w:t>
            </w:r>
          </w:p>
          <w:p w14:paraId="593C2287" w14:textId="5471E845" w:rsidR="00C57FFB" w:rsidRPr="00C57FFB" w:rsidRDefault="00C57FFB" w:rsidP="00C57FFB">
            <w:r w:rsidRPr="00C57FFB">
              <w:t>Синдром на балния синусов възел</w:t>
            </w:r>
          </w:p>
        </w:tc>
      </w:tr>
      <w:tr w:rsidR="00C57FFB" w14:paraId="64A5DF60" w14:textId="77777777" w:rsidTr="0012546B">
        <w:tc>
          <w:tcPr>
            <w:tcW w:w="3116" w:type="dxa"/>
            <w:vMerge w:val="restart"/>
          </w:tcPr>
          <w:p w14:paraId="31B26ED4" w14:textId="30E8802D" w:rsidR="00C57FFB" w:rsidRPr="00C57FFB" w:rsidRDefault="00C57FFB" w:rsidP="00C57FFB">
            <w:r w:rsidRPr="00C57FFB">
              <w:t>Съдови нарушения</w:t>
            </w:r>
          </w:p>
        </w:tc>
        <w:tc>
          <w:tcPr>
            <w:tcW w:w="3117" w:type="dxa"/>
          </w:tcPr>
          <w:p w14:paraId="255281FA" w14:textId="628A0168" w:rsidR="00C57FFB" w:rsidRPr="00C57FFB" w:rsidRDefault="00C57FFB" w:rsidP="00C57FFB">
            <w:r w:rsidRPr="00C57FFB">
              <w:t>Чести</w:t>
            </w:r>
          </w:p>
        </w:tc>
        <w:tc>
          <w:tcPr>
            <w:tcW w:w="3117" w:type="dxa"/>
            <w:vAlign w:val="bottom"/>
          </w:tcPr>
          <w:p w14:paraId="695107D1" w14:textId="6364E26C" w:rsidR="00C57FFB" w:rsidRPr="00C57FFB" w:rsidRDefault="00C57FFB" w:rsidP="00C57FFB">
            <w:r w:rsidRPr="00C57FFB">
              <w:t>Неконтролирано кръвно налягане</w:t>
            </w:r>
          </w:p>
        </w:tc>
      </w:tr>
      <w:tr w:rsidR="00C57FFB" w14:paraId="1B2F5AB6" w14:textId="77777777" w:rsidTr="0012546B">
        <w:tc>
          <w:tcPr>
            <w:tcW w:w="3116" w:type="dxa"/>
            <w:vMerge/>
          </w:tcPr>
          <w:p w14:paraId="4A7748C8" w14:textId="77777777" w:rsidR="00C57FFB" w:rsidRPr="00C57FFB" w:rsidRDefault="00C57FFB" w:rsidP="00C57FFB"/>
        </w:tc>
        <w:tc>
          <w:tcPr>
            <w:tcW w:w="3117" w:type="dxa"/>
          </w:tcPr>
          <w:p w14:paraId="5D2FF181" w14:textId="304F3BCD" w:rsidR="00C57FFB" w:rsidRPr="00C57FFB" w:rsidRDefault="00C57FFB" w:rsidP="00C57FFB">
            <w:r w:rsidRPr="00C57FFB">
              <w:t>Нечести*</w:t>
            </w:r>
          </w:p>
        </w:tc>
        <w:tc>
          <w:tcPr>
            <w:tcW w:w="3117" w:type="dxa"/>
            <w:vAlign w:val="bottom"/>
          </w:tcPr>
          <w:p w14:paraId="1350BB55" w14:textId="6AB5F6E5" w:rsidR="00C57FFB" w:rsidRPr="00C57FFB" w:rsidRDefault="00C57FFB" w:rsidP="00C57FFB">
            <w:r w:rsidRPr="00C57FFB">
              <w:t>Хипотония, вероятно свързана с брадикардия</w:t>
            </w:r>
          </w:p>
        </w:tc>
      </w:tr>
      <w:tr w:rsidR="00C57FFB" w14:paraId="674AB31D" w14:textId="77777777" w:rsidTr="0012546B">
        <w:tc>
          <w:tcPr>
            <w:tcW w:w="3116" w:type="dxa"/>
            <w:vAlign w:val="bottom"/>
          </w:tcPr>
          <w:p w14:paraId="02B7BFC1" w14:textId="61CD9DB5" w:rsidR="00C57FFB" w:rsidRPr="00C57FFB" w:rsidRDefault="00C57FFB" w:rsidP="00C57FFB">
            <w:r w:rsidRPr="00C57FFB">
              <w:t>Респираторни, гръдни и медиастинални нарушения</w:t>
            </w:r>
          </w:p>
        </w:tc>
        <w:tc>
          <w:tcPr>
            <w:tcW w:w="3117" w:type="dxa"/>
          </w:tcPr>
          <w:p w14:paraId="5E43F51A" w14:textId="282825E3" w:rsidR="00C57FFB" w:rsidRPr="00C57FFB" w:rsidRDefault="00C57FFB" w:rsidP="00C57FFB">
            <w:r w:rsidRPr="00C57FFB">
              <w:t>Нечести</w:t>
            </w:r>
          </w:p>
        </w:tc>
        <w:tc>
          <w:tcPr>
            <w:tcW w:w="3117" w:type="dxa"/>
          </w:tcPr>
          <w:p w14:paraId="701EC3CE" w14:textId="274235FB" w:rsidR="00C57FFB" w:rsidRPr="00C57FFB" w:rsidRDefault="00C57FFB" w:rsidP="00C57FFB">
            <w:r w:rsidRPr="00C57FFB">
              <w:t>Диспнея</w:t>
            </w:r>
          </w:p>
        </w:tc>
      </w:tr>
      <w:tr w:rsidR="00C57FFB" w14:paraId="37502379" w14:textId="77777777" w:rsidTr="00DA60E7">
        <w:tc>
          <w:tcPr>
            <w:tcW w:w="3116" w:type="dxa"/>
          </w:tcPr>
          <w:p w14:paraId="37C65459" w14:textId="3A3A9416" w:rsidR="00C57FFB" w:rsidRPr="00C57FFB" w:rsidRDefault="00C57FFB" w:rsidP="00C57FFB">
            <w:r w:rsidRPr="00C57FFB">
              <w:t>Стомашно-чревни нарушения</w:t>
            </w:r>
          </w:p>
        </w:tc>
        <w:tc>
          <w:tcPr>
            <w:tcW w:w="3117" w:type="dxa"/>
          </w:tcPr>
          <w:p w14:paraId="4E9EBAFD" w14:textId="744FDD8A" w:rsidR="00C57FFB" w:rsidRPr="00C57FFB" w:rsidRDefault="00C57FFB" w:rsidP="00C57FFB">
            <w:r w:rsidRPr="00C57FFB">
              <w:t>Нечести</w:t>
            </w:r>
          </w:p>
        </w:tc>
        <w:tc>
          <w:tcPr>
            <w:tcW w:w="3117" w:type="dxa"/>
            <w:vAlign w:val="bottom"/>
          </w:tcPr>
          <w:p w14:paraId="3A7861E3" w14:textId="36F2F743" w:rsidR="00C57FFB" w:rsidRPr="00C57FFB" w:rsidRDefault="00C57FFB" w:rsidP="00C57FFB">
            <w:r w:rsidRPr="00C57FFB">
              <w:t>Гадене Запек Диария Коремна болка</w:t>
            </w:r>
          </w:p>
        </w:tc>
      </w:tr>
      <w:tr w:rsidR="00C57FFB" w14:paraId="36F2AE99" w14:textId="77777777" w:rsidTr="00DA60E7">
        <w:tc>
          <w:tcPr>
            <w:tcW w:w="3116" w:type="dxa"/>
            <w:vMerge w:val="restart"/>
          </w:tcPr>
          <w:p w14:paraId="186DA2EA" w14:textId="22049032" w:rsidR="00C57FFB" w:rsidRPr="00C57FFB" w:rsidRDefault="00C57FFB" w:rsidP="00C57FFB">
            <w:r w:rsidRPr="00C57FFB">
              <w:t>Нарушения на кожата и подкожната тъкан</w:t>
            </w:r>
          </w:p>
        </w:tc>
        <w:tc>
          <w:tcPr>
            <w:tcW w:w="3117" w:type="dxa"/>
          </w:tcPr>
          <w:p w14:paraId="410FA933" w14:textId="241C9340" w:rsidR="00C57FFB" w:rsidRPr="00C57FFB" w:rsidRDefault="00C57FFB" w:rsidP="00C57FFB">
            <w:r w:rsidRPr="00C57FFB">
              <w:t>Нечести*</w:t>
            </w:r>
          </w:p>
        </w:tc>
        <w:tc>
          <w:tcPr>
            <w:tcW w:w="3117" w:type="dxa"/>
            <w:vAlign w:val="bottom"/>
          </w:tcPr>
          <w:p w14:paraId="10DADA3A" w14:textId="7749C3DB" w:rsidR="00C57FFB" w:rsidRPr="00C57FFB" w:rsidRDefault="00C57FFB" w:rsidP="00C57FFB">
            <w:r w:rsidRPr="00C57FFB">
              <w:t>Ангиоедем Обрив</w:t>
            </w:r>
          </w:p>
        </w:tc>
      </w:tr>
      <w:tr w:rsidR="00C57FFB" w14:paraId="1E219872" w14:textId="77777777" w:rsidTr="00DA60E7">
        <w:tc>
          <w:tcPr>
            <w:tcW w:w="3116" w:type="dxa"/>
            <w:vMerge/>
          </w:tcPr>
          <w:p w14:paraId="17210105" w14:textId="77777777" w:rsidR="00C57FFB" w:rsidRPr="00C57FFB" w:rsidRDefault="00C57FFB" w:rsidP="00C57FFB"/>
        </w:tc>
        <w:tc>
          <w:tcPr>
            <w:tcW w:w="3117" w:type="dxa"/>
          </w:tcPr>
          <w:p w14:paraId="6830E3B2" w14:textId="63EB9EF2" w:rsidR="00C57FFB" w:rsidRPr="00C57FFB" w:rsidRDefault="00C57FFB" w:rsidP="00C57FFB">
            <w:r w:rsidRPr="00C57FFB">
              <w:t>Редки*</w:t>
            </w:r>
          </w:p>
        </w:tc>
        <w:tc>
          <w:tcPr>
            <w:tcW w:w="3117" w:type="dxa"/>
            <w:vAlign w:val="bottom"/>
          </w:tcPr>
          <w:p w14:paraId="369C1D6C" w14:textId="613D8374" w:rsidR="00C57FFB" w:rsidRPr="00C57FFB" w:rsidRDefault="00C57FFB" w:rsidP="00C57FFB">
            <w:r w:rsidRPr="00C57FFB">
              <w:t>Еритема Пруритус Уртикария</w:t>
            </w:r>
          </w:p>
        </w:tc>
      </w:tr>
      <w:tr w:rsidR="00C57FFB" w14:paraId="02C9B794" w14:textId="77777777" w:rsidTr="00C57FFB">
        <w:trPr>
          <w:trHeight w:val="770"/>
        </w:trPr>
        <w:tc>
          <w:tcPr>
            <w:tcW w:w="3116" w:type="dxa"/>
            <w:vAlign w:val="bottom"/>
          </w:tcPr>
          <w:p w14:paraId="09E20996" w14:textId="0FE8D54E" w:rsidR="00C57FFB" w:rsidRPr="00C57FFB" w:rsidRDefault="00C57FFB" w:rsidP="00C57FFB">
            <w:r w:rsidRPr="00C57FFB">
              <w:t>Нарушения на мускулно- скелетната система и съединителната тъкан</w:t>
            </w:r>
          </w:p>
        </w:tc>
        <w:tc>
          <w:tcPr>
            <w:tcW w:w="3117" w:type="dxa"/>
          </w:tcPr>
          <w:p w14:paraId="3F966D80" w14:textId="724BD4D8" w:rsidR="00C57FFB" w:rsidRPr="00C57FFB" w:rsidRDefault="00C57FFB" w:rsidP="00C57FFB">
            <w:r w:rsidRPr="00C57FFB">
              <w:t>Нечести</w:t>
            </w:r>
          </w:p>
        </w:tc>
        <w:tc>
          <w:tcPr>
            <w:tcW w:w="3117" w:type="dxa"/>
          </w:tcPr>
          <w:p w14:paraId="08F38F36" w14:textId="6231558F" w:rsidR="00C57FFB" w:rsidRPr="00C57FFB" w:rsidRDefault="00C57FFB" w:rsidP="00C57FFB">
            <w:r w:rsidRPr="00C57FFB">
              <w:t>Мускулни крампи</w:t>
            </w:r>
          </w:p>
        </w:tc>
      </w:tr>
      <w:tr w:rsidR="00C57FFB" w14:paraId="644D6F7C" w14:textId="77777777" w:rsidTr="00CD0987">
        <w:tc>
          <w:tcPr>
            <w:tcW w:w="3116" w:type="dxa"/>
            <w:vMerge w:val="restart"/>
          </w:tcPr>
          <w:p w14:paraId="0F945BA5" w14:textId="2067AB5A" w:rsidR="00C57FFB" w:rsidRPr="00C57FFB" w:rsidRDefault="00C57FFB" w:rsidP="00C57FFB">
            <w:r w:rsidRPr="00C57FFB">
              <w:t>Общи нарушения и ефекти на мястото на приложение</w:t>
            </w:r>
          </w:p>
        </w:tc>
        <w:tc>
          <w:tcPr>
            <w:tcW w:w="3117" w:type="dxa"/>
          </w:tcPr>
          <w:p w14:paraId="498C893B" w14:textId="4425547E" w:rsidR="00C57FFB" w:rsidRPr="00C57FFB" w:rsidRDefault="00C57FFB" w:rsidP="00C57FFB">
            <w:r w:rsidRPr="00C57FFB">
              <w:t>Нечести*</w:t>
            </w:r>
          </w:p>
        </w:tc>
        <w:tc>
          <w:tcPr>
            <w:tcW w:w="3117" w:type="dxa"/>
            <w:vAlign w:val="bottom"/>
          </w:tcPr>
          <w:p w14:paraId="67273379" w14:textId="77777777" w:rsidR="00C57FFB" w:rsidRPr="00C57FFB" w:rsidRDefault="00C57FFB" w:rsidP="00C57FFB">
            <w:r w:rsidRPr="00C57FFB">
              <w:t>Астения, свързана вероятно с брадикардия</w:t>
            </w:r>
          </w:p>
          <w:p w14:paraId="2F79876F" w14:textId="65EE90A8" w:rsidR="00C57FFB" w:rsidRPr="00C57FFB" w:rsidRDefault="00C57FFB" w:rsidP="00C57FFB">
            <w:r w:rsidRPr="00C57FFB">
              <w:t>Умора, свързана вероятно с брадикардия</w:t>
            </w:r>
          </w:p>
        </w:tc>
      </w:tr>
      <w:tr w:rsidR="00C57FFB" w14:paraId="70B7B562" w14:textId="77777777" w:rsidTr="00CD0987">
        <w:tc>
          <w:tcPr>
            <w:tcW w:w="3116" w:type="dxa"/>
            <w:vMerge/>
          </w:tcPr>
          <w:p w14:paraId="09BAD0CD" w14:textId="77777777" w:rsidR="00C57FFB" w:rsidRPr="00C57FFB" w:rsidRDefault="00C57FFB" w:rsidP="00C57FFB"/>
        </w:tc>
        <w:tc>
          <w:tcPr>
            <w:tcW w:w="3117" w:type="dxa"/>
          </w:tcPr>
          <w:p w14:paraId="5EE8F966" w14:textId="0C3065DC" w:rsidR="00C57FFB" w:rsidRPr="00C57FFB" w:rsidRDefault="00C57FFB" w:rsidP="00C57FFB">
            <w:r w:rsidRPr="00C57FFB">
              <w:t>Редки*</w:t>
            </w:r>
          </w:p>
        </w:tc>
        <w:tc>
          <w:tcPr>
            <w:tcW w:w="3117" w:type="dxa"/>
            <w:vAlign w:val="bottom"/>
          </w:tcPr>
          <w:p w14:paraId="2AB4AF59" w14:textId="37C060D2" w:rsidR="00C57FFB" w:rsidRPr="00C57FFB" w:rsidRDefault="00C57FFB" w:rsidP="00C57FFB">
            <w:r w:rsidRPr="00C57FFB">
              <w:t>Прималяване, вероятно свързано с б</w:t>
            </w:r>
            <w:r w:rsidRPr="00C57FFB">
              <w:rPr>
                <w:u w:val="single"/>
              </w:rPr>
              <w:t>радикардия</w:t>
            </w:r>
          </w:p>
        </w:tc>
      </w:tr>
      <w:tr w:rsidR="00C57FFB" w14:paraId="4A536181" w14:textId="77777777" w:rsidTr="00CD0987">
        <w:tc>
          <w:tcPr>
            <w:tcW w:w="3116" w:type="dxa"/>
          </w:tcPr>
          <w:p w14:paraId="52B65874" w14:textId="6A4F1F18" w:rsidR="00C57FFB" w:rsidRPr="00C57FFB" w:rsidRDefault="00C57FFB" w:rsidP="00C57FFB">
            <w:r w:rsidRPr="00C57FFB">
              <w:t>Изследвания</w:t>
            </w:r>
          </w:p>
        </w:tc>
        <w:tc>
          <w:tcPr>
            <w:tcW w:w="3117" w:type="dxa"/>
          </w:tcPr>
          <w:p w14:paraId="386C2AB0" w14:textId="7868CE81" w:rsidR="00C57FFB" w:rsidRPr="00C57FFB" w:rsidRDefault="00C57FFB" w:rsidP="00C57FFB">
            <w:r w:rsidRPr="00C57FFB">
              <w:t>Нечести</w:t>
            </w:r>
          </w:p>
        </w:tc>
        <w:tc>
          <w:tcPr>
            <w:tcW w:w="3117" w:type="dxa"/>
            <w:vAlign w:val="bottom"/>
          </w:tcPr>
          <w:p w14:paraId="67C7358E" w14:textId="77777777" w:rsidR="00C57FFB" w:rsidRPr="00C57FFB" w:rsidRDefault="00C57FFB" w:rsidP="00C57FFB">
            <w:r w:rsidRPr="00C57FFB">
              <w:t>Повишен креатинин в кръвта</w:t>
            </w:r>
          </w:p>
          <w:p w14:paraId="28AE85E5" w14:textId="605E6AD1" w:rsidR="00C57FFB" w:rsidRPr="00C57FFB" w:rsidRDefault="00C57FFB" w:rsidP="00C57FFB">
            <w:r w:rsidRPr="00C57FFB">
              <w:t xml:space="preserve">Удължен </w:t>
            </w:r>
            <w:r w:rsidRPr="00C57FFB">
              <w:rPr>
                <w:lang w:val="en-US"/>
              </w:rPr>
              <w:t>QT</w:t>
            </w:r>
            <w:r w:rsidRPr="00C57FFB">
              <w:rPr>
                <w:lang w:val="ru-RU"/>
              </w:rPr>
              <w:t xml:space="preserve"> </w:t>
            </w:r>
            <w:r w:rsidRPr="00C57FFB">
              <w:t>интервал по БКГ</w:t>
            </w:r>
          </w:p>
        </w:tc>
      </w:tr>
    </w:tbl>
    <w:p w14:paraId="4A2C8BFB" w14:textId="2134B2CA" w:rsidR="00AF6D6A" w:rsidRDefault="00AF6D6A" w:rsidP="00AF6D6A"/>
    <w:p w14:paraId="32E61859"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*Честота на нежелани събития от спонтанни доклади, изчислена при клиничните изпивания</w:t>
      </w:r>
    </w:p>
    <w:p w14:paraId="150F0AAA" w14:textId="77777777" w:rsidR="00C57FFB" w:rsidRDefault="00C57FFB" w:rsidP="00C57FFB">
      <w:pPr>
        <w:spacing w:line="240" w:lineRule="auto"/>
        <w:rPr>
          <w:rFonts w:eastAsia="Times New Roman" w:cs="Arial"/>
          <w:color w:val="000000"/>
          <w:u w:val="single"/>
          <w:lang w:eastAsia="bg-BG"/>
        </w:rPr>
      </w:pPr>
    </w:p>
    <w:p w14:paraId="4040CE2C" w14:textId="6A3F2F86"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Описание на избраните нежелани лекарствени реакции</w:t>
      </w:r>
    </w:p>
    <w:p w14:paraId="11323E89"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Светлинни феномени (фосфени) са били съобщени от 14,5% от пациентите, описват се като преходна увеличена яркост в ограничена зона от зрителното поле. Те обикновено се провокират от внезапни промени в интензивността на светлината. Фосфените могат също да се </w:t>
      </w:r>
      <w:r w:rsidRPr="00C57FFB">
        <w:rPr>
          <w:rFonts w:eastAsia="Times New Roman" w:cs="Arial"/>
          <w:b/>
          <w:bCs/>
          <w:i/>
          <w:iCs/>
          <w:color w:val="000000"/>
          <w:lang w:eastAsia="bg-BG"/>
        </w:rPr>
        <w:t>опишат като ореол, разпадане</w:t>
      </w:r>
      <w:r w:rsidRPr="00C57FFB">
        <w:rPr>
          <w:rFonts w:eastAsia="Times New Roman" w:cs="Arial"/>
          <w:color w:val="000000"/>
          <w:lang w:eastAsia="bg-BG"/>
        </w:rPr>
        <w:t xml:space="preserve"> на изображението (стробоскопски или калейдоскопски ефекти), цветни ярки светлини или двойно виждане (ретинална персистенция). Появата на фосфени става обикновено в първите два месеца от лечението, след което те могат да се явяват многократно. В повечето случаи се съобщава за фосфени с лека до умерена интензивност. Всички фосфени преминават по </w:t>
      </w:r>
      <w:r w:rsidRPr="00C57FFB">
        <w:rPr>
          <w:rFonts w:eastAsia="Times New Roman" w:cs="Arial"/>
          <w:color w:val="000000"/>
          <w:lang w:eastAsia="bg-BG"/>
        </w:rPr>
        <w:lastRenderedPageBreak/>
        <w:t>време на или след прекратяване на лечението, в по-голямата си част (77.5%) по време на лечението. По- малко от 1% от пациентите са променили ежедневните си навици или са преустановили лечението във връзка с фосфени.</w:t>
      </w:r>
    </w:p>
    <w:p w14:paraId="3B8565F6" w14:textId="77777777" w:rsidR="00C57FFB" w:rsidRDefault="00C57FFB" w:rsidP="00C57FFB">
      <w:pPr>
        <w:spacing w:line="240" w:lineRule="auto"/>
        <w:rPr>
          <w:rFonts w:eastAsia="Times New Roman" w:cs="Arial"/>
          <w:color w:val="000000"/>
          <w:lang w:eastAsia="bg-BG"/>
        </w:rPr>
      </w:pPr>
    </w:p>
    <w:p w14:paraId="4F95CB5C" w14:textId="7D18CD35" w:rsidR="00C57FFB" w:rsidRPr="00C57FFB" w:rsidRDefault="00C57FFB" w:rsidP="00C57FFB">
      <w:pPr>
        <w:spacing w:line="240" w:lineRule="auto"/>
        <w:rPr>
          <w:rFonts w:eastAsia="Times New Roman" w:cs="Arial"/>
        </w:rPr>
      </w:pPr>
      <w:r w:rsidRPr="00C57FFB">
        <w:rPr>
          <w:rFonts w:eastAsia="Times New Roman" w:cs="Arial"/>
          <w:color w:val="000000"/>
          <w:lang w:eastAsia="bg-BG"/>
        </w:rPr>
        <w:t>Брадикардия е била съобщена от 33% от пациентите особено през първите 2 до 3 месеца от започване на лечението. 0,5% от пациентите са получили изразена брадикардия 40 или по-малко удара</w:t>
      </w:r>
      <w:r w:rsidRPr="00C57FFB">
        <w:rPr>
          <w:rFonts w:eastAsia="Times New Roman" w:cs="Arial"/>
          <w:color w:val="000000"/>
          <w:lang w:val="ru-RU"/>
        </w:rPr>
        <w:t>/</w:t>
      </w:r>
      <w:r w:rsidRPr="00C57FFB">
        <w:rPr>
          <w:rFonts w:eastAsia="Times New Roman" w:cs="Arial"/>
          <w:color w:val="000000"/>
          <w:lang w:val="en-US"/>
        </w:rPr>
        <w:t>min</w:t>
      </w:r>
      <w:r w:rsidRPr="00C57FFB">
        <w:rPr>
          <w:rFonts w:eastAsia="Times New Roman" w:cs="Arial"/>
          <w:color w:val="000000"/>
          <w:lang w:val="ru-RU"/>
        </w:rPr>
        <w:t>.</w:t>
      </w:r>
    </w:p>
    <w:p w14:paraId="6EFA922A" w14:textId="77777777" w:rsidR="00C57FFB" w:rsidRDefault="00C57FFB" w:rsidP="00C57FFB">
      <w:pPr>
        <w:spacing w:line="240" w:lineRule="auto"/>
        <w:rPr>
          <w:rFonts w:eastAsia="Times New Roman" w:cs="Arial"/>
          <w:color w:val="000000"/>
          <w:lang w:eastAsia="bg-BG"/>
        </w:rPr>
      </w:pPr>
    </w:p>
    <w:p w14:paraId="40A76E1A" w14:textId="07A56404"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В проучването </w:t>
      </w:r>
      <w:r w:rsidRPr="00C57FFB">
        <w:rPr>
          <w:rFonts w:eastAsia="Times New Roman" w:cs="Arial"/>
          <w:color w:val="000000"/>
          <w:lang w:val="en-US"/>
        </w:rPr>
        <w:t>SIGNIFY</w:t>
      </w:r>
      <w:r w:rsidRPr="00C57FFB">
        <w:rPr>
          <w:rFonts w:eastAsia="Times New Roman" w:cs="Arial"/>
          <w:color w:val="000000"/>
          <w:lang w:val="ru-RU"/>
        </w:rPr>
        <w:t xml:space="preserve">, </w:t>
      </w:r>
      <w:r w:rsidRPr="00C57FFB">
        <w:rPr>
          <w:rFonts w:eastAsia="Times New Roman" w:cs="Arial"/>
          <w:color w:val="000000"/>
          <w:lang w:eastAsia="bg-BG"/>
        </w:rPr>
        <w:t xml:space="preserve">предсърдно мъждене е било наблюдавано в 53% от пациентите, приемащи </w:t>
      </w:r>
      <w:proofErr w:type="spellStart"/>
      <w:r w:rsidRPr="00C57FFB">
        <w:rPr>
          <w:rFonts w:eastAsia="Times New Roman" w:cs="Arial"/>
          <w:color w:val="000000"/>
          <w:lang w:val="en-US"/>
        </w:rPr>
        <w:t>ivabradine</w:t>
      </w:r>
      <w:proofErr w:type="spellEnd"/>
      <w:r w:rsidRPr="00C57FFB">
        <w:rPr>
          <w:rFonts w:eastAsia="Times New Roman" w:cs="Arial"/>
          <w:color w:val="000000"/>
          <w:lang w:val="ru-RU"/>
        </w:rPr>
        <w:t xml:space="preserve"> </w:t>
      </w:r>
      <w:r w:rsidRPr="00C57FFB">
        <w:rPr>
          <w:rFonts w:eastAsia="Times New Roman" w:cs="Arial"/>
          <w:color w:val="000000"/>
          <w:lang w:eastAsia="bg-BG"/>
        </w:rPr>
        <w:t xml:space="preserve">в сравнение с 3.8% в плацебо групата. В сборни анализи на всички двойнослепи контролирани клинични проучвания фази </w:t>
      </w:r>
      <w:r w:rsidRPr="00C57FFB">
        <w:rPr>
          <w:rFonts w:eastAsia="Times New Roman" w:cs="Arial"/>
          <w:color w:val="000000"/>
          <w:lang w:val="en-US"/>
        </w:rPr>
        <w:t>II</w:t>
      </w:r>
      <w:r w:rsidRPr="00C57FFB">
        <w:rPr>
          <w:rFonts w:eastAsia="Times New Roman" w:cs="Arial"/>
          <w:color w:val="000000"/>
          <w:lang w:val="ru-RU"/>
        </w:rPr>
        <w:t>/</w:t>
      </w:r>
      <w:r w:rsidRPr="00C57FFB">
        <w:rPr>
          <w:rFonts w:eastAsia="Times New Roman" w:cs="Arial"/>
          <w:color w:val="000000"/>
          <w:lang w:val="en-US"/>
        </w:rPr>
        <w:t>III</w:t>
      </w:r>
      <w:r w:rsidRPr="00C57FFB">
        <w:rPr>
          <w:rFonts w:eastAsia="Times New Roman" w:cs="Arial"/>
          <w:color w:val="000000"/>
          <w:lang w:eastAsia="bg-BG"/>
        </w:rPr>
        <w:t xml:space="preserve"> с продължителност от най-малко 3 месеца, включващи повече от 40 000 пациенти, честотата на предсърдно мъждене е била 4,86% при пациентите, лекувани с ивабрадин, в сравнение с 4,08% при контролите, съответстващи на коефицент на риск 1,26,95% </w:t>
      </w:r>
      <w:r w:rsidRPr="00C57FFB">
        <w:rPr>
          <w:rFonts w:eastAsia="Times New Roman" w:cs="Arial"/>
          <w:color w:val="000000"/>
          <w:lang w:val="en-US"/>
        </w:rPr>
        <w:t>CI</w:t>
      </w:r>
      <w:r w:rsidRPr="00C57FFB">
        <w:rPr>
          <w:rFonts w:eastAsia="Times New Roman" w:cs="Arial"/>
          <w:color w:val="000000"/>
          <w:lang w:val="ru-RU"/>
        </w:rPr>
        <w:t xml:space="preserve"> </w:t>
      </w:r>
      <w:r w:rsidRPr="00C57FFB">
        <w:rPr>
          <w:rFonts w:eastAsia="Times New Roman" w:cs="Arial"/>
          <w:color w:val="000000"/>
          <w:lang w:eastAsia="bg-BG"/>
        </w:rPr>
        <w:t>[1,15-1,39].</w:t>
      </w:r>
    </w:p>
    <w:p w14:paraId="5CCF215B" w14:textId="77777777" w:rsidR="00C57FFB" w:rsidRDefault="00C57FFB" w:rsidP="00C57FFB">
      <w:pPr>
        <w:spacing w:line="240" w:lineRule="auto"/>
        <w:rPr>
          <w:rFonts w:eastAsia="Times New Roman" w:cs="Arial"/>
          <w:color w:val="000000"/>
          <w:u w:val="single"/>
          <w:lang w:eastAsia="bg-BG"/>
        </w:rPr>
      </w:pPr>
    </w:p>
    <w:p w14:paraId="7237A193" w14:textId="45F08CF9"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Съобщаване на подозирани нежелани реакции</w:t>
      </w:r>
    </w:p>
    <w:p w14:paraId="667F03FB" w14:textId="77777777" w:rsidR="00C57FFB" w:rsidRDefault="00C57FFB" w:rsidP="00C57FFB">
      <w:pPr>
        <w:spacing w:line="240" w:lineRule="auto"/>
        <w:rPr>
          <w:rFonts w:eastAsia="Times New Roman" w:cs="Arial"/>
          <w:color w:val="000000"/>
          <w:lang w:eastAsia="bg-BG"/>
        </w:rPr>
      </w:pPr>
    </w:p>
    <w:p w14:paraId="5B3E8534" w14:textId="385D186E" w:rsidR="00C57FFB" w:rsidRPr="00C57FFB" w:rsidRDefault="00C57FFB" w:rsidP="00C57FFB">
      <w:pPr>
        <w:spacing w:line="240" w:lineRule="auto"/>
        <w:rPr>
          <w:rFonts w:eastAsia="Times New Roman" w:cs="Arial"/>
        </w:rPr>
      </w:pPr>
      <w:r w:rsidRPr="00C57FFB">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на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7BB18C27" w14:textId="77777777" w:rsidR="00C57FFB" w:rsidRDefault="00C57FFB" w:rsidP="00C57FFB">
      <w:pPr>
        <w:spacing w:line="240" w:lineRule="auto"/>
        <w:rPr>
          <w:rFonts w:eastAsia="Times New Roman" w:cs="Arial"/>
          <w:color w:val="000000"/>
          <w:lang w:eastAsia="bg-BG"/>
        </w:rPr>
      </w:pPr>
    </w:p>
    <w:p w14:paraId="606DD8CC" w14:textId="77777777" w:rsidR="00C57FFB" w:rsidRDefault="00C57FFB" w:rsidP="00C57FFB">
      <w:pPr>
        <w:spacing w:line="240" w:lineRule="auto"/>
        <w:rPr>
          <w:rFonts w:eastAsia="Times New Roman" w:cs="Arial"/>
          <w:color w:val="000000"/>
          <w:lang w:eastAsia="bg-BG"/>
        </w:rPr>
      </w:pPr>
      <w:r w:rsidRPr="00C57FFB">
        <w:rPr>
          <w:rFonts w:eastAsia="Times New Roman" w:cs="Arial"/>
          <w:color w:val="000000"/>
          <w:lang w:eastAsia="bg-BG"/>
        </w:rPr>
        <w:t xml:space="preserve">Изпълнителна агенция по лекарствата </w:t>
      </w:r>
    </w:p>
    <w:p w14:paraId="639B06EC" w14:textId="77777777" w:rsidR="00C57FFB" w:rsidRDefault="00C57FFB" w:rsidP="00C57FFB">
      <w:pPr>
        <w:spacing w:line="240" w:lineRule="auto"/>
        <w:rPr>
          <w:rFonts w:eastAsia="Times New Roman" w:cs="Arial"/>
          <w:color w:val="000000"/>
          <w:lang w:eastAsia="bg-BG"/>
        </w:rPr>
      </w:pPr>
      <w:r w:rsidRPr="00C57FFB">
        <w:rPr>
          <w:rFonts w:eastAsia="Times New Roman" w:cs="Arial"/>
          <w:color w:val="000000"/>
          <w:lang w:eastAsia="bg-BG"/>
        </w:rPr>
        <w:t xml:space="preserve">ул.,Дамян Груев" № 8 </w:t>
      </w:r>
    </w:p>
    <w:p w14:paraId="45F68A13" w14:textId="77777777" w:rsidR="00C57FFB" w:rsidRDefault="00C57FFB" w:rsidP="00C57FFB">
      <w:pPr>
        <w:spacing w:line="240" w:lineRule="auto"/>
        <w:rPr>
          <w:rFonts w:eastAsia="Times New Roman" w:cs="Arial"/>
          <w:color w:val="000000"/>
          <w:lang w:eastAsia="bg-BG"/>
        </w:rPr>
      </w:pPr>
      <w:r w:rsidRPr="00C57FFB">
        <w:rPr>
          <w:rFonts w:eastAsia="Times New Roman" w:cs="Arial"/>
          <w:color w:val="000000"/>
          <w:lang w:eastAsia="bg-BG"/>
        </w:rPr>
        <w:t xml:space="preserve">1303 София </w:t>
      </w:r>
    </w:p>
    <w:p w14:paraId="2CAC0F79" w14:textId="77777777" w:rsidR="00C57FFB" w:rsidRDefault="00C57FFB" w:rsidP="00C57FFB">
      <w:pPr>
        <w:spacing w:line="240" w:lineRule="auto"/>
        <w:rPr>
          <w:rFonts w:eastAsia="Times New Roman" w:cs="Arial"/>
          <w:color w:val="000000"/>
          <w:lang w:eastAsia="bg-BG"/>
        </w:rPr>
      </w:pPr>
      <w:r w:rsidRPr="00C57FFB">
        <w:rPr>
          <w:rFonts w:eastAsia="Times New Roman" w:cs="Arial"/>
          <w:color w:val="000000"/>
          <w:lang w:eastAsia="bg-BG"/>
        </w:rPr>
        <w:t xml:space="preserve">тел.:+ 359 2 890 34 17 </w:t>
      </w:r>
    </w:p>
    <w:p w14:paraId="0888FF06" w14:textId="1E1BD44B"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уебсайт: </w:t>
      </w:r>
      <w:r w:rsidRPr="00C57FFB">
        <w:rPr>
          <w:rFonts w:eastAsia="Times New Roman" w:cs="Arial"/>
        </w:rPr>
        <w:fldChar w:fldCharType="begin"/>
      </w:r>
      <w:r w:rsidRPr="00C57FFB">
        <w:rPr>
          <w:rFonts w:eastAsia="Times New Roman" w:cs="Arial"/>
        </w:rPr>
        <w:instrText xml:space="preserve"> HYPERLINK "http://www.bda.bg" </w:instrText>
      </w:r>
      <w:r w:rsidRPr="00C57FFB">
        <w:rPr>
          <w:rFonts w:eastAsia="Times New Roman" w:cs="Arial"/>
        </w:rPr>
      </w:r>
      <w:r w:rsidRPr="00C57FFB">
        <w:rPr>
          <w:rFonts w:eastAsia="Times New Roman" w:cs="Arial"/>
        </w:rPr>
        <w:fldChar w:fldCharType="separate"/>
      </w:r>
      <w:r w:rsidRPr="00C57FFB">
        <w:rPr>
          <w:rFonts w:eastAsia="Times New Roman" w:cs="Arial"/>
          <w:color w:val="000000"/>
          <w:u w:val="single"/>
          <w:lang w:val="en-US"/>
        </w:rPr>
        <w:t>www</w:t>
      </w:r>
      <w:r w:rsidRPr="00C57FFB">
        <w:rPr>
          <w:rFonts w:eastAsia="Times New Roman" w:cs="Arial"/>
          <w:color w:val="000000"/>
          <w:u w:val="single"/>
          <w:lang w:val="ru-RU"/>
        </w:rPr>
        <w:t>.</w:t>
      </w:r>
      <w:proofErr w:type="spellStart"/>
      <w:r w:rsidRPr="00C57FFB">
        <w:rPr>
          <w:rFonts w:eastAsia="Times New Roman" w:cs="Arial"/>
          <w:color w:val="000000"/>
          <w:u w:val="single"/>
          <w:lang w:val="en-US"/>
        </w:rPr>
        <w:t>bda</w:t>
      </w:r>
      <w:proofErr w:type="spellEnd"/>
      <w:r w:rsidRPr="00C57FFB">
        <w:rPr>
          <w:rFonts w:eastAsia="Times New Roman" w:cs="Arial"/>
          <w:color w:val="000000"/>
          <w:u w:val="single"/>
          <w:lang w:val="ru-RU"/>
        </w:rPr>
        <w:t>.</w:t>
      </w:r>
      <w:proofErr w:type="spellStart"/>
      <w:r w:rsidRPr="00C57FFB">
        <w:rPr>
          <w:rFonts w:eastAsia="Times New Roman" w:cs="Arial"/>
          <w:color w:val="000000"/>
          <w:u w:val="single"/>
          <w:lang w:val="en-US"/>
        </w:rPr>
        <w:t>bg</w:t>
      </w:r>
      <w:proofErr w:type="spellEnd"/>
      <w:r w:rsidRPr="00C57FFB">
        <w:rPr>
          <w:rFonts w:eastAsia="Times New Roman" w:cs="Arial"/>
        </w:rPr>
        <w:fldChar w:fldCharType="end"/>
      </w:r>
    </w:p>
    <w:p w14:paraId="7DBBA135" w14:textId="77777777" w:rsidR="00C57FFB" w:rsidRPr="00AF6D6A" w:rsidRDefault="00C57FFB" w:rsidP="00AF6D6A"/>
    <w:p w14:paraId="07687653" w14:textId="459EADE0" w:rsidR="00DF4C8E" w:rsidRDefault="002C50EE" w:rsidP="00F44498">
      <w:pPr>
        <w:pStyle w:val="Heading2"/>
      </w:pPr>
      <w:r>
        <w:t>4.9. Предозиране</w:t>
      </w:r>
    </w:p>
    <w:p w14:paraId="73813573" w14:textId="3EEC7D21" w:rsidR="00C57FFB" w:rsidRDefault="00C57FFB" w:rsidP="00C57FFB"/>
    <w:p w14:paraId="4A0F4B73" w14:textId="77777777" w:rsidR="00C57FFB" w:rsidRPr="00C57FFB" w:rsidRDefault="00C57FFB" w:rsidP="00C57FFB">
      <w:pPr>
        <w:pStyle w:val="Heading3"/>
        <w:rPr>
          <w:rFonts w:eastAsia="Times New Roman"/>
          <w:u w:val="single"/>
        </w:rPr>
      </w:pPr>
      <w:r w:rsidRPr="00C57FFB">
        <w:rPr>
          <w:rFonts w:eastAsia="Times New Roman"/>
          <w:u w:val="single"/>
          <w:lang w:eastAsia="bg-BG"/>
        </w:rPr>
        <w:t>Симптоми</w:t>
      </w:r>
    </w:p>
    <w:p w14:paraId="47CE6A58"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Предозирането може да доведе до тежка и продължителна брадикардия (в.ж. точка 4.8)</w:t>
      </w:r>
    </w:p>
    <w:p w14:paraId="557C43BE" w14:textId="77777777" w:rsidR="00C57FFB" w:rsidRDefault="00C57FFB" w:rsidP="00C57FFB">
      <w:pPr>
        <w:spacing w:line="240" w:lineRule="auto"/>
        <w:rPr>
          <w:rFonts w:eastAsia="Times New Roman" w:cs="Arial"/>
          <w:color w:val="000000"/>
          <w:u w:val="single"/>
          <w:lang w:eastAsia="bg-BG"/>
        </w:rPr>
      </w:pPr>
    </w:p>
    <w:p w14:paraId="54D29D91" w14:textId="0A99132C" w:rsidR="00C57FFB" w:rsidRPr="00C57FFB" w:rsidRDefault="00C57FFB" w:rsidP="00C57FFB">
      <w:pPr>
        <w:pStyle w:val="Heading3"/>
        <w:rPr>
          <w:rFonts w:eastAsia="Times New Roman"/>
          <w:u w:val="single"/>
        </w:rPr>
      </w:pPr>
      <w:r w:rsidRPr="00C57FFB">
        <w:rPr>
          <w:rFonts w:eastAsia="Times New Roman"/>
          <w:u w:val="single"/>
          <w:lang w:eastAsia="bg-BG"/>
        </w:rPr>
        <w:t>Лечение</w:t>
      </w:r>
    </w:p>
    <w:p w14:paraId="2EF39739" w14:textId="0101C9DC"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Тежката брадикардия трябва да бъде лекувана симптоматично в специализирани условия. В случай на </w:t>
      </w:r>
      <w:r w:rsidRPr="00C57FFB">
        <w:rPr>
          <w:rFonts w:eastAsia="Times New Roman" w:cs="Arial"/>
          <w:b/>
          <w:bCs/>
          <w:i/>
          <w:iCs/>
          <w:color w:val="000000"/>
          <w:lang w:eastAsia="bg-BG"/>
        </w:rPr>
        <w:t>брадикардия с лоша</w:t>
      </w:r>
      <w:r w:rsidRPr="00C57FFB">
        <w:rPr>
          <w:rFonts w:eastAsia="Times New Roman" w:cs="Arial"/>
          <w:color w:val="000000"/>
          <w:lang w:eastAsia="bg-BG"/>
        </w:rPr>
        <w:t xml:space="preserve"> хемодинамична лоносимост може да бъде обсъдено симптоматично лечение включващо интравенозни бета-стимулиращи лекарствени продукти, като изопреналин. При нужда може да се предприеме временна сърдечна електросткмулация.</w:t>
      </w:r>
    </w:p>
    <w:p w14:paraId="11893AAD" w14:textId="77777777" w:rsidR="00C57FFB" w:rsidRPr="00C57FFB" w:rsidRDefault="00C57FFB" w:rsidP="00C57FFB"/>
    <w:p w14:paraId="02081B24" w14:textId="1F46E296" w:rsidR="00395555" w:rsidRPr="00395555" w:rsidRDefault="002C50EE" w:rsidP="008A6AF2">
      <w:pPr>
        <w:pStyle w:val="Heading1"/>
      </w:pPr>
      <w:r>
        <w:t>5. ФАРМАКОЛОГИЧНИ СВОЙСТВА</w:t>
      </w:r>
    </w:p>
    <w:p w14:paraId="4D47A490" w14:textId="2D81378F" w:rsidR="00DF4C8E" w:rsidRDefault="002C50EE" w:rsidP="00F44498">
      <w:pPr>
        <w:pStyle w:val="Heading2"/>
      </w:pPr>
      <w:r>
        <w:t>5.1. Фармакодинамични свойства</w:t>
      </w:r>
    </w:p>
    <w:p w14:paraId="513D21BF" w14:textId="31446A17" w:rsidR="00C57FFB" w:rsidRDefault="00C57FFB" w:rsidP="00C57FFB"/>
    <w:p w14:paraId="1D9F6C3F"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Фармакотерапевтична група: Лечение на сърдечни заболявалия, други сърдечни препарати, АТС код: С01ЕВ17.</w:t>
      </w:r>
    </w:p>
    <w:p w14:paraId="09A90837" w14:textId="77777777" w:rsidR="00C57FFB" w:rsidRDefault="00C57FFB" w:rsidP="00C57FFB">
      <w:pPr>
        <w:spacing w:line="240" w:lineRule="auto"/>
        <w:rPr>
          <w:rFonts w:eastAsia="Times New Roman" w:cs="Arial"/>
          <w:color w:val="000000"/>
          <w:u w:val="single"/>
          <w:lang w:eastAsia="bg-BG"/>
        </w:rPr>
      </w:pPr>
    </w:p>
    <w:p w14:paraId="08087D5D" w14:textId="046AA0D7"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lastRenderedPageBreak/>
        <w:t>Механизъм на действие</w:t>
      </w:r>
    </w:p>
    <w:p w14:paraId="48BE0F68"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Ивабрадин е средство единствено за понижаване на сърдечната честота, действащо чрез селективна и специфична инхнбиция на електрическия </w:t>
      </w:r>
      <w:r w:rsidRPr="00C57FFB">
        <w:rPr>
          <w:rFonts w:eastAsia="Times New Roman" w:cs="Arial"/>
          <w:color w:val="000000"/>
          <w:lang w:val="en-US"/>
        </w:rPr>
        <w:t>I</w:t>
      </w:r>
      <w:r w:rsidRPr="00C57FFB">
        <w:rPr>
          <w:rFonts w:eastAsia="Times New Roman" w:cs="Arial"/>
          <w:color w:val="000000"/>
          <w:lang w:val="ru-RU"/>
        </w:rPr>
        <w:t xml:space="preserve"> </w:t>
      </w:r>
      <w:r w:rsidRPr="00C57FFB">
        <w:rPr>
          <w:rFonts w:eastAsia="Times New Roman" w:cs="Arial"/>
          <w:color w:val="000000"/>
          <w:lang w:eastAsia="bg-BG"/>
        </w:rPr>
        <w:t>поток на сърдечния пейсмекър, който контролира спонтанната диастолна деполяризация в синусовия възел и регулира сърдечната честота. Сърдечните ефекти са специфични за синусовия възел, без ефект върху интра-атриалното, атриовентрикуларното или интравентрикуларното преводно време, пито върху миокардния контрактилитет или камерната реполяризация.</w:t>
      </w:r>
    </w:p>
    <w:p w14:paraId="63E608C8" w14:textId="77777777" w:rsidR="00C57FFB" w:rsidRDefault="00C57FFB" w:rsidP="00C57FFB">
      <w:pPr>
        <w:spacing w:line="240" w:lineRule="auto"/>
        <w:rPr>
          <w:rFonts w:eastAsia="Times New Roman" w:cs="Arial"/>
          <w:color w:val="000000"/>
          <w:lang w:eastAsia="bg-BG"/>
        </w:rPr>
      </w:pPr>
    </w:p>
    <w:p w14:paraId="3E61F295" w14:textId="34ACCA9F" w:rsidR="00C57FFB" w:rsidRPr="00C57FFB" w:rsidRDefault="00C57FFB" w:rsidP="00C57FFB">
      <w:pPr>
        <w:spacing w:line="240" w:lineRule="auto"/>
        <w:rPr>
          <w:rFonts w:eastAsia="Times New Roman" w:cs="Arial"/>
        </w:rPr>
      </w:pPr>
      <w:r w:rsidRPr="00C57FFB">
        <w:rPr>
          <w:rFonts w:eastAsia="Times New Roman" w:cs="Arial"/>
          <w:color w:val="000000"/>
          <w:lang w:eastAsia="bg-BG"/>
        </w:rPr>
        <w:t>Ивабрадин може да взаимодейства и с електрическия поток в ретината, който е много сходен със сърдечния</w:t>
      </w:r>
      <w:r w:rsidRPr="00C57FFB">
        <w:rPr>
          <w:rFonts w:eastAsia="Times New Roman" w:cs="Arial"/>
          <w:color w:val="000000"/>
          <w:lang w:val="ru-RU"/>
        </w:rPr>
        <w:t xml:space="preserve"> </w:t>
      </w:r>
      <w:r w:rsidRPr="00C57FFB">
        <w:rPr>
          <w:rFonts w:eastAsia="Times New Roman" w:cs="Arial"/>
          <w:color w:val="000000"/>
          <w:lang w:val="en-US"/>
        </w:rPr>
        <w:t>I</w:t>
      </w:r>
      <w:r w:rsidRPr="00C57FFB">
        <w:rPr>
          <w:rFonts w:eastAsia="Times New Roman" w:cs="Arial"/>
          <w:color w:val="000000"/>
          <w:lang w:val="ru-RU"/>
        </w:rPr>
        <w:t xml:space="preserve">. </w:t>
      </w:r>
      <w:r w:rsidRPr="00C57FFB">
        <w:rPr>
          <w:rFonts w:eastAsia="Times New Roman" w:cs="Arial"/>
          <w:color w:val="000000"/>
          <w:lang w:eastAsia="bg-BG"/>
        </w:rPr>
        <w:t>Той участва в темпоралната резолюция на зрителната система чрез скъсяване на ретиналния отговор към ярки светлинни стимули.</w:t>
      </w:r>
    </w:p>
    <w:p w14:paraId="4EA403E3"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При провокиращи обстоятелства (напр. бързи промени в яркостта) частичната инхибиция на </w:t>
      </w:r>
      <w:r w:rsidRPr="00C57FFB">
        <w:rPr>
          <w:rFonts w:eastAsia="Times New Roman" w:cs="Arial"/>
          <w:color w:val="000000"/>
          <w:lang w:val="en-US"/>
        </w:rPr>
        <w:t>I</w:t>
      </w:r>
      <w:r w:rsidRPr="00C57FFB">
        <w:rPr>
          <w:rFonts w:eastAsia="Times New Roman" w:cs="Arial"/>
          <w:color w:val="000000"/>
          <w:lang w:val="ru-RU"/>
        </w:rPr>
        <w:t xml:space="preserve"> </w:t>
      </w:r>
      <w:r w:rsidRPr="00C57FFB">
        <w:rPr>
          <w:rFonts w:eastAsia="Times New Roman" w:cs="Arial"/>
          <w:color w:val="000000"/>
          <w:lang w:eastAsia="bg-BG"/>
        </w:rPr>
        <w:t>от</w:t>
      </w:r>
      <w:r w:rsidRPr="00C57FFB">
        <w:rPr>
          <w:rFonts w:eastAsia="Times New Roman" w:cs="Arial"/>
          <w:smallCaps/>
          <w:color w:val="000000"/>
          <w:lang w:eastAsia="bg-BG"/>
        </w:rPr>
        <w:t xml:space="preserve"> </w:t>
      </w:r>
      <w:r w:rsidRPr="00C57FFB">
        <w:rPr>
          <w:rFonts w:eastAsia="Times New Roman" w:cs="Arial"/>
          <w:color w:val="000000"/>
          <w:lang w:eastAsia="bg-BG"/>
        </w:rPr>
        <w:t>ивабрадин засилва светлинните възприятия, които могат да бъдат понякога усетени от пациентите. Светлинните възприятия (фосфени) се описват като преходно усилване на яркостта в ограничена зона на зрителното поле (вж. точка 4.8).</w:t>
      </w:r>
    </w:p>
    <w:p w14:paraId="148172D9" w14:textId="77777777" w:rsidR="00C57FFB" w:rsidRDefault="00C57FFB" w:rsidP="00C57FFB">
      <w:pPr>
        <w:spacing w:line="240" w:lineRule="auto"/>
        <w:rPr>
          <w:rFonts w:eastAsia="Times New Roman" w:cs="Arial"/>
          <w:color w:val="000000"/>
          <w:u w:val="single"/>
          <w:lang w:eastAsia="bg-BG"/>
        </w:rPr>
      </w:pPr>
    </w:p>
    <w:p w14:paraId="0535F96E" w14:textId="6DA95727"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Фармакодинамични ефекти</w:t>
      </w:r>
    </w:p>
    <w:p w14:paraId="11D9DABE" w14:textId="77777777" w:rsidR="00C57FFB" w:rsidRDefault="00C57FFB" w:rsidP="00C57FFB">
      <w:pPr>
        <w:spacing w:line="240" w:lineRule="auto"/>
        <w:rPr>
          <w:rFonts w:eastAsia="Times New Roman" w:cs="Arial"/>
          <w:color w:val="000000"/>
          <w:lang w:eastAsia="bg-BG"/>
        </w:rPr>
      </w:pPr>
    </w:p>
    <w:p w14:paraId="02AE9BE6" w14:textId="0AEBC464"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Главното фармакодинамично свойство на ивабрадин при човека е специфично доза-зависимо понижение на сърдечната честота. Анализът на редукциите на сърдечната честота с дози до 20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два пъти дневно показва тенденция към плато-ефект, който отговаря на намален риск от тежка брадикардия под 40 удара</w:t>
      </w:r>
      <w:r w:rsidRPr="00C57FFB">
        <w:rPr>
          <w:rFonts w:eastAsia="Times New Roman" w:cs="Arial"/>
          <w:color w:val="000000"/>
          <w:lang w:val="ru-RU"/>
        </w:rPr>
        <w:t>/</w:t>
      </w:r>
      <w:r w:rsidRPr="00C57FFB">
        <w:rPr>
          <w:rFonts w:eastAsia="Times New Roman" w:cs="Arial"/>
          <w:color w:val="000000"/>
          <w:lang w:val="en-US"/>
        </w:rPr>
        <w:t>min</w:t>
      </w:r>
      <w:r w:rsidRPr="00C57FFB">
        <w:rPr>
          <w:rFonts w:eastAsia="Times New Roman" w:cs="Arial"/>
          <w:color w:val="000000"/>
          <w:lang w:val="ru-RU"/>
        </w:rPr>
        <w:t xml:space="preserve"> </w:t>
      </w:r>
      <w:r w:rsidRPr="00C57FFB">
        <w:rPr>
          <w:rFonts w:eastAsia="Times New Roman" w:cs="Arial"/>
          <w:color w:val="000000"/>
          <w:lang w:eastAsia="bg-BG"/>
        </w:rPr>
        <w:t>(вж. точка 4.8).</w:t>
      </w:r>
    </w:p>
    <w:p w14:paraId="4868D4C0" w14:textId="77777777" w:rsidR="00C57FFB" w:rsidRDefault="00C57FFB" w:rsidP="00C57FFB">
      <w:pPr>
        <w:spacing w:line="240" w:lineRule="auto"/>
        <w:rPr>
          <w:rFonts w:eastAsia="Times New Roman" w:cs="Arial"/>
          <w:color w:val="000000"/>
          <w:lang w:eastAsia="bg-BG"/>
        </w:rPr>
      </w:pPr>
      <w:r w:rsidRPr="00C57FFB">
        <w:rPr>
          <w:rFonts w:eastAsia="Times New Roman" w:cs="Arial"/>
          <w:color w:val="000000"/>
          <w:lang w:eastAsia="bg-BG"/>
        </w:rPr>
        <w:t>При обичайните препоръчвани дози понижението на сърдечната честота е приблизително 10 удара</w:t>
      </w:r>
      <w:r w:rsidRPr="00C57FFB">
        <w:rPr>
          <w:rFonts w:eastAsia="Times New Roman" w:cs="Arial"/>
          <w:color w:val="000000"/>
          <w:lang w:val="ru-RU"/>
        </w:rPr>
        <w:t>/</w:t>
      </w:r>
      <w:r w:rsidRPr="00C57FFB">
        <w:rPr>
          <w:rFonts w:eastAsia="Times New Roman" w:cs="Arial"/>
          <w:color w:val="000000"/>
          <w:lang w:val="en-US"/>
        </w:rPr>
        <w:t>min</w:t>
      </w:r>
      <w:r w:rsidRPr="00C57FFB">
        <w:rPr>
          <w:rFonts w:eastAsia="Times New Roman" w:cs="Arial"/>
          <w:color w:val="000000"/>
          <w:lang w:val="ru-RU"/>
        </w:rPr>
        <w:t xml:space="preserve"> </w:t>
      </w:r>
      <w:r w:rsidRPr="00C57FFB">
        <w:rPr>
          <w:rFonts w:eastAsia="Times New Roman" w:cs="Arial"/>
          <w:color w:val="000000"/>
          <w:lang w:eastAsia="bg-BG"/>
        </w:rPr>
        <w:t xml:space="preserve">в покой и при физическо усилие. Това води до намаляване на сърдечната работа и консумацията на кислород от миокарда. Ивабрадин не повлиява вътресърдечнагга проводимост, контрактилитета (няма негативен инотропен ефект) или камерната реполяризация: </w:t>
      </w:r>
    </w:p>
    <w:p w14:paraId="2F68E0ED" w14:textId="77777777" w:rsidR="00C57FFB" w:rsidRPr="00C57FFB" w:rsidRDefault="00C57FFB" w:rsidP="00C57FFB">
      <w:pPr>
        <w:pStyle w:val="ListParagraph"/>
        <w:numPr>
          <w:ilvl w:val="0"/>
          <w:numId w:val="2"/>
        </w:numPr>
        <w:spacing w:line="240" w:lineRule="auto"/>
        <w:rPr>
          <w:rFonts w:eastAsia="Times New Roman" w:cs="Arial"/>
        </w:rPr>
      </w:pPr>
      <w:r w:rsidRPr="00C57FFB">
        <w:rPr>
          <w:rFonts w:eastAsia="Times New Roman" w:cs="Arial"/>
          <w:color w:val="000000"/>
          <w:lang w:eastAsia="bg-BG"/>
        </w:rPr>
        <w:t xml:space="preserve">в клинични електрофизиологични проучвания ивабрадин не е показал ефект върху атриовентрикуларното или интравентрикуларното проводни времена или коригираните </w:t>
      </w:r>
      <w:r w:rsidRPr="00C57FFB">
        <w:rPr>
          <w:rFonts w:eastAsia="Times New Roman" w:cs="Arial"/>
          <w:color w:val="000000"/>
          <w:lang w:val="en-US"/>
        </w:rPr>
        <w:t>QT</w:t>
      </w:r>
      <w:r w:rsidRPr="00C57FFB">
        <w:rPr>
          <w:rFonts w:eastAsia="Times New Roman" w:cs="Arial"/>
          <w:color w:val="000000"/>
          <w:lang w:val="ru-RU"/>
        </w:rPr>
        <w:t xml:space="preserve"> </w:t>
      </w:r>
      <w:r w:rsidRPr="00C57FFB">
        <w:rPr>
          <w:rFonts w:eastAsia="Times New Roman" w:cs="Arial"/>
          <w:color w:val="000000"/>
          <w:lang w:eastAsia="bg-BG"/>
        </w:rPr>
        <w:t>интервали;</w:t>
      </w:r>
    </w:p>
    <w:p w14:paraId="248F3148" w14:textId="2095D714" w:rsidR="00C57FFB" w:rsidRPr="00C57FFB" w:rsidRDefault="00C57FFB" w:rsidP="00C57FFB">
      <w:pPr>
        <w:pStyle w:val="ListParagraph"/>
        <w:numPr>
          <w:ilvl w:val="0"/>
          <w:numId w:val="2"/>
        </w:numPr>
        <w:spacing w:line="240" w:lineRule="auto"/>
        <w:rPr>
          <w:rFonts w:eastAsia="Times New Roman" w:cs="Arial"/>
        </w:rPr>
      </w:pPr>
      <w:r w:rsidRPr="00C57FFB">
        <w:rPr>
          <w:rFonts w:eastAsia="Times New Roman" w:cs="Arial"/>
          <w:color w:val="000000"/>
          <w:lang w:eastAsia="bg-BG"/>
        </w:rPr>
        <w:t>при пациенти с левокамерна дисфункция (левокамерна изтласкваща фракция [</w:t>
      </w:r>
      <w:r w:rsidRPr="00C57FFB">
        <w:rPr>
          <w:rFonts w:eastAsia="Times New Roman" w:cs="Arial"/>
          <w:color w:val="000000"/>
          <w:lang w:val="en-US"/>
        </w:rPr>
        <w:t>LVEF</w:t>
      </w:r>
      <w:r w:rsidRPr="00C57FFB">
        <w:rPr>
          <w:rFonts w:eastAsia="Times New Roman" w:cs="Arial"/>
          <w:color w:val="000000"/>
          <w:lang w:val="ru-RU"/>
        </w:rPr>
        <w:t>]</w:t>
      </w:r>
      <w:r w:rsidRPr="00C57FFB">
        <w:rPr>
          <w:rFonts w:eastAsia="Times New Roman" w:cs="Arial"/>
          <w:color w:val="000000"/>
          <w:lang w:eastAsia="bg-BG"/>
        </w:rPr>
        <w:t xml:space="preserve"> между 30 и </w:t>
      </w:r>
      <w:r w:rsidRPr="00C57FFB">
        <w:rPr>
          <w:rFonts w:eastAsia="Times New Roman" w:cs="Arial"/>
          <w:i/>
          <w:iCs/>
          <w:color w:val="000000"/>
          <w:lang w:eastAsia="bg-BG"/>
        </w:rPr>
        <w:t>45%)</w:t>
      </w:r>
      <w:r w:rsidRPr="00C57FFB">
        <w:rPr>
          <w:rFonts w:eastAsia="Times New Roman" w:cs="Arial"/>
          <w:color w:val="000000"/>
          <w:lang w:eastAsia="bg-BG"/>
        </w:rPr>
        <w:t xml:space="preserve"> ивабрадин не е имал неблагоприятен ефект върху </w:t>
      </w:r>
      <w:r w:rsidRPr="00C57FFB">
        <w:rPr>
          <w:rFonts w:eastAsia="Times New Roman" w:cs="Arial"/>
          <w:color w:val="000000"/>
          <w:lang w:val="en-US"/>
        </w:rPr>
        <w:t>LVEF</w:t>
      </w:r>
      <w:r w:rsidRPr="00C57FFB">
        <w:rPr>
          <w:rFonts w:eastAsia="Times New Roman" w:cs="Arial"/>
          <w:color w:val="000000"/>
          <w:lang w:val="ru-RU"/>
        </w:rPr>
        <w:t>.</w:t>
      </w:r>
    </w:p>
    <w:p w14:paraId="6C99603A" w14:textId="77777777" w:rsidR="00C57FFB" w:rsidRDefault="00C57FFB" w:rsidP="00C57FFB">
      <w:pPr>
        <w:spacing w:line="240" w:lineRule="auto"/>
        <w:rPr>
          <w:rFonts w:eastAsia="Times New Roman" w:cs="Arial"/>
          <w:color w:val="000000"/>
          <w:u w:val="single"/>
          <w:lang w:eastAsia="bg-BG"/>
        </w:rPr>
      </w:pPr>
    </w:p>
    <w:p w14:paraId="246251AD" w14:textId="451FB617"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Клинична ефикасност и безопасност</w:t>
      </w:r>
    </w:p>
    <w:p w14:paraId="07431748" w14:textId="77777777" w:rsidR="00C57FFB" w:rsidRDefault="00C57FFB" w:rsidP="00C57FFB">
      <w:pPr>
        <w:spacing w:line="240" w:lineRule="auto"/>
        <w:rPr>
          <w:rFonts w:eastAsia="Times New Roman" w:cs="Arial"/>
          <w:color w:val="000000"/>
          <w:lang w:eastAsia="bg-BG"/>
        </w:rPr>
      </w:pPr>
    </w:p>
    <w:p w14:paraId="6C2F4110" w14:textId="6BDFE438" w:rsidR="00C57FFB" w:rsidRDefault="00C57FFB" w:rsidP="00C57FFB">
      <w:pPr>
        <w:spacing w:line="240" w:lineRule="auto"/>
        <w:rPr>
          <w:rFonts w:eastAsia="Times New Roman" w:cs="Arial"/>
          <w:color w:val="000000"/>
          <w:lang w:eastAsia="bg-BG"/>
        </w:rPr>
      </w:pPr>
      <w:r w:rsidRPr="00C57FFB">
        <w:rPr>
          <w:rFonts w:eastAsia="Times New Roman" w:cs="Arial"/>
          <w:color w:val="000000"/>
          <w:lang w:eastAsia="bg-BG"/>
        </w:rPr>
        <w:t xml:space="preserve">Антиангинозната и антиисхемичната ефикасност на ивабрадин е била проучена в пет </w:t>
      </w:r>
    </w:p>
    <w:p w14:paraId="6AE42E5D" w14:textId="6589A296"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двойно- слепи рандомизирани проучвания (три срещу плацебо и по едно срещу атенолол и амлодапин). Тези проучвания са включвали общо 4 111 пациенти с хронична стабилна стенокардия, от които </w:t>
      </w:r>
      <w:r w:rsidRPr="00C57FFB">
        <w:rPr>
          <w:rFonts w:eastAsia="Times New Roman" w:cs="Arial"/>
          <w:i/>
          <w:iCs/>
          <w:color w:val="000000"/>
          <w:lang w:eastAsia="bg-BG"/>
        </w:rPr>
        <w:t xml:space="preserve">2 </w:t>
      </w:r>
      <w:r w:rsidRPr="00C57FFB">
        <w:rPr>
          <w:rFonts w:eastAsia="Times New Roman" w:cs="Arial"/>
          <w:color w:val="000000"/>
          <w:lang w:eastAsia="bg-BG"/>
        </w:rPr>
        <w:t>617 са получавали ивабрадин.</w:t>
      </w:r>
    </w:p>
    <w:p w14:paraId="0417AFBE" w14:textId="77777777" w:rsidR="00C57FFB" w:rsidRPr="00C57FFB" w:rsidRDefault="00C57FFB" w:rsidP="00C57FFB">
      <w:pPr>
        <w:rPr>
          <w:rFonts w:eastAsia="Times New Roman" w:cs="Arial"/>
        </w:rPr>
      </w:pPr>
      <w:r w:rsidRPr="00C57FFB">
        <w:rPr>
          <w:rFonts w:eastAsia="Times New Roman" w:cs="Arial"/>
          <w:color w:val="000000"/>
          <w:lang w:eastAsia="bg-BG"/>
        </w:rPr>
        <w:t xml:space="preserve">Те показват, че ивабрадин 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оказва ефект върху изпитваните параметри при натоварване в рамките на 3 до 4 седмици след започване на лечението. Доказана е ефикасност със 7,5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Допълнителната полза спрямо 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два пъти дневно е била установена в сравнително контролирано проучване спрямо атенолол: общата продължителност на физическото натоварване в момента на минимална плазмена концентрация е нараснала с около 1 минута след</w:t>
      </w:r>
      <w:r>
        <w:rPr>
          <w:rFonts w:eastAsia="Times New Roman" w:cs="Arial"/>
          <w:color w:val="000000"/>
          <w:lang w:eastAsia="bg-BG"/>
        </w:rPr>
        <w:t xml:space="preserve"> </w:t>
      </w:r>
      <w:r w:rsidRPr="00C57FFB">
        <w:rPr>
          <w:rFonts w:eastAsia="Times New Roman" w:cs="Arial"/>
          <w:color w:val="000000"/>
          <w:lang w:eastAsia="bg-BG"/>
        </w:rPr>
        <w:t xml:space="preserve">едномесечно лечение с 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и се е подобрила с почти 25 секунди след допълнителен 3-месечен период на лечение след директно преминаване на 7,5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два пъти дневно.</w:t>
      </w:r>
    </w:p>
    <w:p w14:paraId="2F59166F" w14:textId="77777777" w:rsidR="00C57FFB" w:rsidRDefault="00C57FFB" w:rsidP="00C57FFB">
      <w:pPr>
        <w:spacing w:line="240" w:lineRule="auto"/>
        <w:rPr>
          <w:rFonts w:eastAsia="Times New Roman" w:cs="Arial"/>
          <w:color w:val="000000"/>
          <w:lang w:eastAsia="bg-BG"/>
        </w:rPr>
      </w:pPr>
    </w:p>
    <w:p w14:paraId="1BBDC1C0" w14:textId="0BD617BB" w:rsidR="00C57FFB" w:rsidRPr="00C57FFB" w:rsidRDefault="00C57FFB" w:rsidP="00C57FFB">
      <w:pPr>
        <w:spacing w:line="240" w:lineRule="auto"/>
        <w:rPr>
          <w:rFonts w:eastAsia="Times New Roman" w:cs="Arial"/>
        </w:rPr>
      </w:pPr>
      <w:r w:rsidRPr="00C57FFB">
        <w:rPr>
          <w:rFonts w:eastAsia="Times New Roman" w:cs="Arial"/>
          <w:color w:val="000000"/>
          <w:lang w:eastAsia="bg-BG"/>
        </w:rPr>
        <w:lastRenderedPageBreak/>
        <w:t xml:space="preserve">Това проучване потвърждава антиангинозната и антиисхемична полза от ивабрадин при пациенти на възраст 65 или повече години. Ефикасността на 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и 7,5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върху параметрите на теста с натоварване (обща продължителност на натоварването, време до достигане на лимитираща стенокардия, време до начало на стенокардия и време до достигане на </w:t>
      </w:r>
      <w:r w:rsidRPr="00C57FFB">
        <w:rPr>
          <w:rFonts w:eastAsia="Times New Roman" w:cs="Arial"/>
          <w:color w:val="000000"/>
          <w:lang w:val="en-US"/>
        </w:rPr>
        <w:t>ST</w:t>
      </w:r>
      <w:r w:rsidRPr="00C57FFB">
        <w:rPr>
          <w:rFonts w:eastAsia="Times New Roman" w:cs="Arial"/>
          <w:color w:val="000000"/>
          <w:lang w:val="ru-RU"/>
        </w:rPr>
        <w:t xml:space="preserve"> </w:t>
      </w:r>
      <w:r w:rsidRPr="00C57FFB">
        <w:rPr>
          <w:rFonts w:eastAsia="Times New Roman" w:cs="Arial"/>
          <w:color w:val="000000"/>
          <w:lang w:eastAsia="bg-BG"/>
        </w:rPr>
        <w:t xml:space="preserve">депресия от 1 </w:t>
      </w:r>
      <w:r w:rsidRPr="00C57FFB">
        <w:rPr>
          <w:rFonts w:eastAsia="Times New Roman" w:cs="Arial"/>
          <w:color w:val="000000"/>
          <w:lang w:val="en-US"/>
        </w:rPr>
        <w:t>mm</w:t>
      </w:r>
      <w:r w:rsidRPr="00C57FFB">
        <w:rPr>
          <w:rFonts w:eastAsia="Times New Roman" w:cs="Arial"/>
          <w:color w:val="000000"/>
          <w:lang w:val="ru-RU"/>
        </w:rPr>
        <w:t xml:space="preserve">) </w:t>
      </w:r>
      <w:r w:rsidRPr="00C57FFB">
        <w:rPr>
          <w:rFonts w:eastAsia="Times New Roman" w:cs="Arial"/>
          <w:color w:val="000000"/>
          <w:lang w:eastAsia="bg-BG"/>
        </w:rPr>
        <w:t>е била потвърдена във всички проучвания и е била свързана с намаляване на честотата на ангинозните пристъпи е около 70%. При двукратен дневен прием ивабрадин има постоянна 24- часова ефикасност.</w:t>
      </w:r>
    </w:p>
    <w:p w14:paraId="2F9B435D" w14:textId="77777777" w:rsidR="00C57FFB" w:rsidRDefault="00C57FFB" w:rsidP="00C57FFB">
      <w:pPr>
        <w:spacing w:line="240" w:lineRule="auto"/>
        <w:rPr>
          <w:rFonts w:eastAsia="Times New Roman" w:cs="Arial"/>
          <w:color w:val="000000"/>
          <w:lang w:eastAsia="bg-BG"/>
        </w:rPr>
      </w:pPr>
    </w:p>
    <w:p w14:paraId="59BE9F4A" w14:textId="07BE6E54"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В рандомизирано плацебо контролирано проучване с 889 пациенти, ивабрадин, добавен към атенолол 50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еднократно дневно, показва допълнителна ефикасност при всички параметри на стрес-теста в края на дозовия интервал на лекарствена активност (12 часа след перорален прием).</w:t>
      </w:r>
    </w:p>
    <w:p w14:paraId="6BDAEE62" w14:textId="77777777" w:rsidR="00C57FFB" w:rsidRDefault="00C57FFB" w:rsidP="00C57FFB">
      <w:pPr>
        <w:spacing w:line="240" w:lineRule="auto"/>
        <w:rPr>
          <w:rFonts w:eastAsia="Times New Roman" w:cs="Arial"/>
          <w:color w:val="000000"/>
          <w:lang w:eastAsia="bg-BG"/>
        </w:rPr>
      </w:pPr>
    </w:p>
    <w:p w14:paraId="00F1D119" w14:textId="72741F1F" w:rsidR="00C57FFB" w:rsidRPr="00C57FFB" w:rsidRDefault="00C57FFB" w:rsidP="00C57FFB">
      <w:pPr>
        <w:spacing w:line="240" w:lineRule="auto"/>
        <w:rPr>
          <w:rFonts w:eastAsia="Times New Roman" w:cs="Arial"/>
        </w:rPr>
      </w:pPr>
      <w:r w:rsidRPr="00C57FFB">
        <w:rPr>
          <w:rFonts w:eastAsia="Times New Roman" w:cs="Arial"/>
          <w:color w:val="000000"/>
          <w:lang w:eastAsia="bg-BG"/>
        </w:rPr>
        <w:t>В равдомизирано плацебо-контролирано проучване със 725 пациенти ивабрадин не е показал по- голяма ефикасност след прибавяне към амлодипин при минимума на лекарствената активност (12 часа след перорален прием), но показал по-голяма ефикасност при пика на максимална активност (3-4 часа след перорален прием).</w:t>
      </w:r>
    </w:p>
    <w:p w14:paraId="6DDE5A7C" w14:textId="77777777" w:rsidR="00C57FFB" w:rsidRDefault="00C57FFB" w:rsidP="00C57FFB">
      <w:pPr>
        <w:spacing w:line="240" w:lineRule="auto"/>
        <w:rPr>
          <w:rFonts w:eastAsia="Times New Roman" w:cs="Arial"/>
          <w:color w:val="000000"/>
          <w:lang w:eastAsia="bg-BG"/>
        </w:rPr>
      </w:pPr>
    </w:p>
    <w:p w14:paraId="57EF5F2F" w14:textId="48F804D6"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В равдомизирано плацебо-контролирано проучване при 1277 пациенти, ивабрадин, добавен към амлодипин 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еднократно дневно или нмфедипин </w:t>
      </w:r>
      <w:r w:rsidRPr="00C57FFB">
        <w:rPr>
          <w:rFonts w:eastAsia="Times New Roman" w:cs="Arial"/>
          <w:color w:val="000000"/>
          <w:lang w:val="en-US"/>
        </w:rPr>
        <w:t>GITS</w:t>
      </w:r>
      <w:r w:rsidRPr="00C57FFB">
        <w:rPr>
          <w:rFonts w:eastAsia="Times New Roman" w:cs="Arial"/>
          <w:color w:val="000000"/>
          <w:lang w:val="ru-RU"/>
        </w:rPr>
        <w:t xml:space="preserve"> </w:t>
      </w:r>
      <w:r w:rsidRPr="00C57FFB">
        <w:rPr>
          <w:rFonts w:eastAsia="Times New Roman" w:cs="Arial"/>
          <w:color w:val="000000"/>
          <w:lang w:eastAsia="bg-BG"/>
        </w:rPr>
        <w:t xml:space="preserve">30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еднократно дневно, е показал статистически значима допълнителна ефикасност по отношение на отговора към лечението (дефиниран като намаление с най-малко 3 ангинозни пристъпа за седмица и/или увеличение на времето до достигане на </w:t>
      </w:r>
      <w:r w:rsidRPr="00C57FFB">
        <w:rPr>
          <w:rFonts w:eastAsia="Times New Roman" w:cs="Arial"/>
          <w:color w:val="000000"/>
          <w:lang w:val="en-US"/>
        </w:rPr>
        <w:t>ST</w:t>
      </w:r>
      <w:r w:rsidRPr="00C57FFB">
        <w:rPr>
          <w:rFonts w:eastAsia="Times New Roman" w:cs="Arial"/>
          <w:color w:val="000000"/>
          <w:lang w:val="ru-RU"/>
        </w:rPr>
        <w:t xml:space="preserve"> </w:t>
      </w:r>
      <w:r w:rsidRPr="00C57FFB">
        <w:rPr>
          <w:rFonts w:eastAsia="Times New Roman" w:cs="Arial"/>
          <w:color w:val="000000"/>
          <w:lang w:eastAsia="bg-BG"/>
        </w:rPr>
        <w:t xml:space="preserve">депресия от 1 </w:t>
      </w:r>
      <w:r w:rsidRPr="00C57FFB">
        <w:rPr>
          <w:rFonts w:eastAsia="Times New Roman" w:cs="Arial"/>
          <w:color w:val="000000"/>
          <w:lang w:val="en-US"/>
        </w:rPr>
        <w:t>mm</w:t>
      </w:r>
      <w:r w:rsidRPr="00C57FFB">
        <w:rPr>
          <w:rFonts w:eastAsia="Times New Roman" w:cs="Arial"/>
          <w:color w:val="000000"/>
          <w:lang w:val="ru-RU"/>
        </w:rPr>
        <w:t xml:space="preserve"> </w:t>
      </w:r>
      <w:r w:rsidRPr="00C57FFB">
        <w:rPr>
          <w:rFonts w:eastAsia="Times New Roman" w:cs="Arial"/>
          <w:color w:val="000000"/>
          <w:lang w:eastAsia="bg-BG"/>
        </w:rPr>
        <w:t>с най-малко 60</w:t>
      </w:r>
      <w:r w:rsidRPr="00C57FFB">
        <w:rPr>
          <w:rFonts w:eastAsia="Times New Roman" w:cs="Arial"/>
          <w:color w:val="000000"/>
          <w:lang w:val="en-US"/>
        </w:rPr>
        <w:t>s</w:t>
      </w:r>
      <w:r w:rsidRPr="00C57FFB">
        <w:rPr>
          <w:rFonts w:eastAsia="Times New Roman" w:cs="Arial"/>
          <w:color w:val="000000"/>
          <w:lang w:val="ru-RU"/>
        </w:rPr>
        <w:t xml:space="preserve"> </w:t>
      </w:r>
      <w:r w:rsidRPr="00C57FFB">
        <w:rPr>
          <w:rFonts w:eastAsia="Times New Roman" w:cs="Arial"/>
          <w:color w:val="000000"/>
          <w:lang w:eastAsia="bg-BG"/>
        </w:rPr>
        <w:t xml:space="preserve">по време на стрес-теста с бягаща пътека) при най-ниската лекарствена активност (12 часа след перорален прием на ивабрадин) след 6-седмичен период на лечение </w:t>
      </w:r>
      <w:r w:rsidRPr="00C57FFB">
        <w:rPr>
          <w:rFonts w:eastAsia="Times New Roman" w:cs="Arial"/>
          <w:color w:val="000000"/>
          <w:lang w:val="ru-RU"/>
        </w:rPr>
        <w:t>(</w:t>
      </w:r>
      <w:r w:rsidRPr="00C57FFB">
        <w:rPr>
          <w:rFonts w:eastAsia="Times New Roman" w:cs="Arial"/>
          <w:color w:val="000000"/>
          <w:lang w:val="en-US"/>
        </w:rPr>
        <w:t>OR</w:t>
      </w:r>
      <w:r w:rsidRPr="00C57FFB">
        <w:rPr>
          <w:rFonts w:eastAsia="Times New Roman" w:cs="Arial"/>
          <w:color w:val="000000"/>
          <w:lang w:val="ru-RU"/>
        </w:rPr>
        <w:t xml:space="preserve"> </w:t>
      </w:r>
      <w:r w:rsidRPr="00C57FFB">
        <w:rPr>
          <w:rFonts w:eastAsia="Times New Roman" w:cs="Arial"/>
          <w:color w:val="000000"/>
          <w:lang w:eastAsia="bg-BG"/>
        </w:rPr>
        <w:t xml:space="preserve">= 1,3; 95% </w:t>
      </w:r>
      <w:r w:rsidRPr="00C57FFB">
        <w:rPr>
          <w:rFonts w:eastAsia="Times New Roman" w:cs="Arial"/>
          <w:color w:val="000000"/>
          <w:lang w:val="en-US"/>
        </w:rPr>
        <w:t>CI</w:t>
      </w:r>
      <w:r w:rsidRPr="00C57FFB">
        <w:rPr>
          <w:rFonts w:eastAsia="Times New Roman" w:cs="Arial"/>
          <w:color w:val="000000"/>
          <w:lang w:val="ru-RU"/>
        </w:rPr>
        <w:t xml:space="preserve"> </w:t>
      </w:r>
      <w:r w:rsidRPr="00C57FFB">
        <w:rPr>
          <w:rFonts w:eastAsia="Times New Roman" w:cs="Arial"/>
          <w:color w:val="000000"/>
          <w:lang w:eastAsia="bg-BG"/>
        </w:rPr>
        <w:t>[ 1 ,.0-1,7]; р=0,012). Ивабрадин не е показал допълнителна ефикасност върху вторичните крайни точки на параметрите на стрес- теста при най- ниската лекарствена активност, въпреки че е показал допълнителна ефикасност при пика (3-4 часа след перорален прием).</w:t>
      </w:r>
    </w:p>
    <w:p w14:paraId="34757973" w14:textId="77777777" w:rsidR="00C57FFB" w:rsidRDefault="00C57FFB" w:rsidP="00C57FFB">
      <w:pPr>
        <w:spacing w:line="240" w:lineRule="auto"/>
        <w:rPr>
          <w:rFonts w:eastAsia="Times New Roman" w:cs="Arial"/>
          <w:color w:val="000000"/>
          <w:lang w:eastAsia="bg-BG"/>
        </w:rPr>
      </w:pPr>
    </w:p>
    <w:p w14:paraId="15236346" w14:textId="06423199" w:rsidR="00C57FFB" w:rsidRPr="00C57FFB" w:rsidRDefault="00C57FFB" w:rsidP="00C57FFB">
      <w:pPr>
        <w:spacing w:line="240" w:lineRule="auto"/>
        <w:rPr>
          <w:rFonts w:eastAsia="Times New Roman" w:cs="Arial"/>
        </w:rPr>
      </w:pPr>
      <w:r w:rsidRPr="00C57FFB">
        <w:rPr>
          <w:rFonts w:eastAsia="Times New Roman" w:cs="Arial"/>
          <w:color w:val="000000"/>
          <w:lang w:eastAsia="bg-BG"/>
        </w:rPr>
        <w:t>Ефикасността на ивабрадин се запазва напълно през целия 3- или 4 месечен период на лечение при проучванията за ефикасност. Липсват данни за фармакологичен толеранс (загуба на ефективност), възникващ по време на лечение, както и за ребаунд ефект след рязко спиране на лечението. Антиантинозните и антиисхемични ефекти на ивабрадин се свързват с доза-зависимо понижение на сърдечната честота и със значимо намаление на произведението на честота и налягане (сърдечна честота х систолно кръвно налягане) в покой и по време на натоварване. Действието върху кръвното налягане и периферното съдово съпротивление е пренебрежимо и няма клинично значение.</w:t>
      </w:r>
    </w:p>
    <w:p w14:paraId="1A48E909" w14:textId="77777777" w:rsidR="00C57FFB" w:rsidRDefault="00C57FFB" w:rsidP="00C57FFB">
      <w:pPr>
        <w:spacing w:line="240" w:lineRule="auto"/>
        <w:rPr>
          <w:rFonts w:eastAsia="Times New Roman" w:cs="Arial"/>
          <w:color w:val="000000"/>
          <w:lang w:eastAsia="bg-BG"/>
        </w:rPr>
      </w:pPr>
    </w:p>
    <w:p w14:paraId="09A4212A" w14:textId="19C0F377" w:rsidR="00C57FFB" w:rsidRPr="00C57FFB" w:rsidRDefault="00C57FFB" w:rsidP="00C57FFB">
      <w:pPr>
        <w:spacing w:line="240" w:lineRule="auto"/>
        <w:rPr>
          <w:rFonts w:eastAsia="Times New Roman" w:cs="Arial"/>
        </w:rPr>
      </w:pPr>
      <w:r w:rsidRPr="00C57FFB">
        <w:rPr>
          <w:rFonts w:eastAsia="Times New Roman" w:cs="Arial"/>
          <w:color w:val="000000"/>
          <w:lang w:eastAsia="bg-BG"/>
        </w:rPr>
        <w:t>Трайно понижение на сърдечната честота е било демонстрирано при пациенти лекувани с ивабрадин минимум една година (</w:t>
      </w:r>
      <w:r w:rsidRPr="00C57FFB">
        <w:rPr>
          <w:rFonts w:eastAsia="Times New Roman" w:cs="Arial"/>
          <w:color w:val="000000"/>
          <w:lang w:val="en-US"/>
        </w:rPr>
        <w:t>n</w:t>
      </w:r>
      <w:r w:rsidRPr="00C57FFB">
        <w:rPr>
          <w:rFonts w:eastAsia="Times New Roman" w:cs="Arial"/>
          <w:color w:val="000000"/>
          <w:lang w:val="ru-RU"/>
        </w:rPr>
        <w:t>=71</w:t>
      </w:r>
      <w:r w:rsidRPr="00C57FFB">
        <w:rPr>
          <w:rFonts w:eastAsia="Times New Roman" w:cs="Arial"/>
          <w:color w:val="000000"/>
          <w:lang w:eastAsia="bg-BG"/>
        </w:rPr>
        <w:t>3). Не се наблюдава влияние върху кръвната захар или липидния метаболизъм.</w:t>
      </w:r>
    </w:p>
    <w:p w14:paraId="545B1208" w14:textId="77777777" w:rsidR="00C57FFB" w:rsidRDefault="00C57FFB" w:rsidP="00C57FFB">
      <w:pPr>
        <w:spacing w:line="240" w:lineRule="auto"/>
        <w:rPr>
          <w:rFonts w:eastAsia="Times New Roman" w:cs="Arial"/>
          <w:color w:val="000000"/>
          <w:lang w:eastAsia="bg-BG"/>
        </w:rPr>
      </w:pPr>
    </w:p>
    <w:p w14:paraId="78990C97" w14:textId="7A20B8B6" w:rsidR="00C57FFB" w:rsidRPr="00C57FFB" w:rsidRDefault="00C57FFB" w:rsidP="00C57FFB">
      <w:pPr>
        <w:spacing w:line="240" w:lineRule="auto"/>
        <w:rPr>
          <w:rFonts w:eastAsia="Times New Roman" w:cs="Arial"/>
        </w:rPr>
      </w:pPr>
      <w:r w:rsidRPr="00C57FFB">
        <w:rPr>
          <w:rFonts w:eastAsia="Times New Roman" w:cs="Arial"/>
          <w:color w:val="000000"/>
          <w:lang w:eastAsia="bg-BG"/>
        </w:rPr>
        <w:t>Антиангинозната и антиисхемична ефикасност на ивабрадин се е запазила при диабетици (</w:t>
      </w:r>
      <w:r w:rsidRPr="00C57FFB">
        <w:rPr>
          <w:rFonts w:eastAsia="Times New Roman" w:cs="Arial"/>
          <w:color w:val="000000"/>
          <w:lang w:val="en-US"/>
        </w:rPr>
        <w:t>n</w:t>
      </w:r>
      <w:r w:rsidRPr="00C57FFB">
        <w:rPr>
          <w:rFonts w:eastAsia="Times New Roman" w:cs="Arial"/>
          <w:color w:val="000000"/>
          <w:lang w:eastAsia="bg-BG"/>
        </w:rPr>
        <w:t xml:space="preserve"> = 457) при профил на безопасност сравним с този в общата популация.</w:t>
      </w:r>
    </w:p>
    <w:p w14:paraId="6AD6EF0E" w14:textId="77777777" w:rsidR="00C57FFB" w:rsidRDefault="00C57FFB" w:rsidP="00C57FFB">
      <w:pPr>
        <w:spacing w:line="240" w:lineRule="auto"/>
        <w:rPr>
          <w:rFonts w:eastAsia="Times New Roman" w:cs="Arial"/>
          <w:color w:val="000000"/>
          <w:lang w:eastAsia="bg-BG"/>
        </w:rPr>
      </w:pPr>
    </w:p>
    <w:p w14:paraId="0BAF88DF" w14:textId="77777777" w:rsidR="00C57FFB" w:rsidRPr="00C57FFB" w:rsidRDefault="00C57FFB" w:rsidP="00C57FFB">
      <w:pPr>
        <w:rPr>
          <w:rFonts w:eastAsia="Times New Roman" w:cs="Arial"/>
        </w:rPr>
      </w:pPr>
      <w:r w:rsidRPr="00C57FFB">
        <w:rPr>
          <w:rFonts w:eastAsia="Times New Roman" w:cs="Arial"/>
          <w:color w:val="000000"/>
          <w:lang w:eastAsia="bg-BG"/>
        </w:rPr>
        <w:t>Мащабно проучване</w:t>
      </w:r>
      <w:r w:rsidRPr="00C57FFB">
        <w:rPr>
          <w:rFonts w:eastAsia="Times New Roman" w:cs="Arial"/>
          <w:color w:val="000000"/>
          <w:lang w:val="ru-RU"/>
        </w:rPr>
        <w:t xml:space="preserve"> </w:t>
      </w:r>
      <w:r w:rsidRPr="00C57FFB">
        <w:rPr>
          <w:rFonts w:eastAsia="Times New Roman" w:cs="Arial"/>
          <w:color w:val="000000"/>
          <w:lang w:eastAsia="bg-BG"/>
        </w:rPr>
        <w:t>за</w:t>
      </w:r>
      <w:r w:rsidRPr="00C57FFB">
        <w:rPr>
          <w:rFonts w:eastAsia="Times New Roman" w:cs="Arial"/>
          <w:color w:val="000000"/>
          <w:lang w:val="ru-RU"/>
        </w:rPr>
        <w:t xml:space="preserve"> </w:t>
      </w:r>
      <w:r w:rsidRPr="00C57FFB">
        <w:rPr>
          <w:rFonts w:eastAsia="Times New Roman" w:cs="Arial"/>
          <w:color w:val="000000"/>
          <w:lang w:eastAsia="bg-BG"/>
        </w:rPr>
        <w:t xml:space="preserve">заболеваемост-смъртност, </w:t>
      </w:r>
      <w:r w:rsidRPr="00C57FFB">
        <w:rPr>
          <w:rFonts w:eastAsia="Times New Roman" w:cs="Arial"/>
          <w:color w:val="000000"/>
          <w:lang w:val="en-US"/>
        </w:rPr>
        <w:t>BEAUTIFUL</w:t>
      </w:r>
      <w:r w:rsidRPr="00C57FFB">
        <w:rPr>
          <w:rFonts w:eastAsia="Times New Roman" w:cs="Arial"/>
          <w:color w:val="000000"/>
          <w:lang w:val="ru-RU"/>
        </w:rPr>
        <w:t xml:space="preserve">, </w:t>
      </w:r>
      <w:r w:rsidRPr="00C57FFB">
        <w:rPr>
          <w:rFonts w:eastAsia="Times New Roman" w:cs="Arial"/>
          <w:color w:val="000000"/>
          <w:lang w:eastAsia="bg-BG"/>
        </w:rPr>
        <w:t xml:space="preserve">е проведено при 10 917 пациенти с исхемична болест на сърцето и левокамерна дисфункция (ЛКФИ&lt;40%) на фона на оптимално лечение, като 86,9% от пациентите са получавали бета-блокери. Основният критерий за ефикасност е комбинацията от сърдечно-съдова смърт, </w:t>
      </w:r>
      <w:r w:rsidRPr="00C57FFB">
        <w:rPr>
          <w:rFonts w:eastAsia="Times New Roman" w:cs="Arial"/>
          <w:color w:val="000000"/>
          <w:lang w:eastAsia="bg-BG"/>
        </w:rPr>
        <w:lastRenderedPageBreak/>
        <w:t>хоспитализация при остър инфаркт на</w:t>
      </w:r>
      <w:r>
        <w:rPr>
          <w:rFonts w:eastAsia="Times New Roman" w:cs="Arial"/>
          <w:color w:val="000000"/>
          <w:lang w:eastAsia="bg-BG"/>
        </w:rPr>
        <w:t xml:space="preserve"> </w:t>
      </w:r>
      <w:r w:rsidRPr="00C57FFB">
        <w:rPr>
          <w:rFonts w:eastAsia="Times New Roman" w:cs="Arial"/>
          <w:color w:val="000000"/>
          <w:lang w:eastAsia="bg-BG"/>
        </w:rPr>
        <w:t>миокарда или хоспитализация паради ново възникнала или влошаваща се сърдечна недостатъчност. Проучването не показва разлика в процента при първичния комбиниран краен резултат в групата на пациентите, лекувани с ивабрадин, в сравнение с плацебо групата (релативен риск ивабрадин.плацебо 1,00, р=0,945).</w:t>
      </w:r>
    </w:p>
    <w:p w14:paraId="68228A15"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При </w:t>
      </w:r>
      <w:r w:rsidRPr="00C57FFB">
        <w:rPr>
          <w:rFonts w:eastAsia="Times New Roman" w:cs="Arial"/>
          <w:i/>
          <w:iCs/>
          <w:color w:val="000000"/>
          <w:lang w:val="en-US"/>
        </w:rPr>
        <w:t>post</w:t>
      </w:r>
      <w:r w:rsidRPr="00C57FFB">
        <w:rPr>
          <w:rFonts w:eastAsia="Times New Roman" w:cs="Arial"/>
          <w:i/>
          <w:iCs/>
          <w:color w:val="000000"/>
          <w:lang w:val="ru-RU"/>
        </w:rPr>
        <w:t>-</w:t>
      </w:r>
      <w:r w:rsidRPr="00C57FFB">
        <w:rPr>
          <w:rFonts w:eastAsia="Times New Roman" w:cs="Arial"/>
          <w:i/>
          <w:iCs/>
          <w:color w:val="000000"/>
          <w:lang w:val="en-US"/>
        </w:rPr>
        <w:t>hoc</w:t>
      </w:r>
      <w:r w:rsidRPr="00C57FFB">
        <w:rPr>
          <w:rFonts w:eastAsia="Times New Roman" w:cs="Arial"/>
          <w:color w:val="000000"/>
          <w:lang w:val="ru-RU"/>
        </w:rPr>
        <w:t xml:space="preserve"> </w:t>
      </w:r>
      <w:r w:rsidRPr="00C57FFB">
        <w:rPr>
          <w:rFonts w:eastAsia="Times New Roman" w:cs="Arial"/>
          <w:color w:val="000000"/>
          <w:lang w:eastAsia="bg-BG"/>
        </w:rPr>
        <w:t>подгрупа пациенти със симптоматична стенокардия по време на рандомизацията (</w:t>
      </w:r>
      <w:r w:rsidRPr="00C57FFB">
        <w:rPr>
          <w:rFonts w:eastAsia="Times New Roman" w:cs="Arial"/>
          <w:color w:val="000000"/>
          <w:lang w:val="en-US"/>
        </w:rPr>
        <w:t>n</w:t>
      </w:r>
      <w:r w:rsidRPr="00C57FFB">
        <w:rPr>
          <w:rFonts w:eastAsia="Times New Roman" w:cs="Arial"/>
          <w:color w:val="000000"/>
          <w:lang w:eastAsia="bg-BG"/>
        </w:rPr>
        <w:t>=1507) не е идентифициран сигнал във връзка с безопасността по отношение на сърдечно-съдова смърт, хоспитализация при остър инфаркт на миокарда или сърдечна недостатъчност (ивабрадин 12,0% срещу плацебо 15,5%, р=0,05).</w:t>
      </w:r>
    </w:p>
    <w:p w14:paraId="4E491673" w14:textId="77777777" w:rsidR="00C57FFB" w:rsidRDefault="00C57FFB" w:rsidP="00C57FFB">
      <w:pPr>
        <w:spacing w:line="240" w:lineRule="auto"/>
        <w:rPr>
          <w:rFonts w:eastAsia="Times New Roman" w:cs="Arial"/>
          <w:color w:val="000000"/>
          <w:lang w:eastAsia="bg-BG"/>
        </w:rPr>
      </w:pPr>
    </w:p>
    <w:p w14:paraId="101834E1" w14:textId="28688F2A"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Проведено е мащабно проучване по отношение на изхода, </w:t>
      </w:r>
      <w:r w:rsidRPr="00C57FFB">
        <w:rPr>
          <w:rFonts w:eastAsia="Times New Roman" w:cs="Arial"/>
          <w:color w:val="000000"/>
          <w:lang w:val="en-US"/>
        </w:rPr>
        <w:t>SIGNIFY</w:t>
      </w:r>
      <w:r w:rsidRPr="00C57FFB">
        <w:rPr>
          <w:rFonts w:eastAsia="Times New Roman" w:cs="Arial"/>
          <w:color w:val="000000"/>
          <w:lang w:val="ru-RU"/>
        </w:rPr>
        <w:t xml:space="preserve">, </w:t>
      </w:r>
      <w:r w:rsidRPr="00C57FFB">
        <w:rPr>
          <w:rFonts w:eastAsia="Times New Roman" w:cs="Arial"/>
          <w:color w:val="000000"/>
          <w:lang w:eastAsia="bg-BG"/>
        </w:rPr>
        <w:t xml:space="preserve">при 19102 пациенти с исхемична болест на сърцето и без клинична сърдечна недостатъчност (ЛКФИ &gt; 40%) на фона на оптимално основно лечение. Използвана е била по-висока терапевтична схема от одобрената дозировка (начална доза 7,5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ако възрастта е &gt; 75 години) и титриране до 10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два пъти дневно). Основният критерий за ефикасност е бил комбинацията от сърдечно-съдова смърт или нефатален инфаркт на миокарда.</w:t>
      </w:r>
      <w:r w:rsidRPr="00C57FFB">
        <w:rPr>
          <w:rFonts w:eastAsia="Times New Roman" w:cs="Arial"/>
          <w:color w:val="000000"/>
          <w:lang w:val="ru-RU"/>
        </w:rPr>
        <w:t xml:space="preserve"> </w:t>
      </w:r>
      <w:r w:rsidRPr="00C57FFB">
        <w:rPr>
          <w:rFonts w:eastAsia="Times New Roman" w:cs="Arial"/>
          <w:color w:val="000000"/>
          <w:lang w:eastAsia="bg-BG"/>
        </w:rPr>
        <w:t xml:space="preserve">Проучването не показва разлика в процента при първичната съставна крайна точка (ПСКТ) в групата на пациентите, лекувани с ивабрадин в сравнение с плацебо групата (относителен риск ивабрадин/плацебо 1,08, р=0,197). Съобщена е брадикардия при 17,9% в групата на пациентите, лекувани с ивабрадин (2,1% в плацебо групата). Верапамил, дилтиазем или мощни </w:t>
      </w:r>
      <w:r w:rsidRPr="00C57FFB">
        <w:rPr>
          <w:rFonts w:eastAsia="Times New Roman" w:cs="Arial"/>
          <w:color w:val="000000"/>
          <w:lang w:val="en-US"/>
        </w:rPr>
        <w:t>CYP</w:t>
      </w:r>
      <w:r w:rsidRPr="00C57FFB">
        <w:rPr>
          <w:rFonts w:eastAsia="Times New Roman" w:cs="Arial"/>
          <w:color w:val="000000"/>
          <w:lang w:val="ru-RU"/>
        </w:rPr>
        <w:t xml:space="preserve"> </w:t>
      </w:r>
      <w:r w:rsidRPr="00C57FFB">
        <w:rPr>
          <w:rFonts w:eastAsia="Times New Roman" w:cs="Arial"/>
          <w:color w:val="000000"/>
          <w:lang w:eastAsia="bg-BG"/>
        </w:rPr>
        <w:t xml:space="preserve">ЗА4 и Малко статистически значимо увеличение на ПКР е наблюдавано в предварително определена подгрупа от пациенти със стенокардия клас II по </w:t>
      </w:r>
      <w:r w:rsidRPr="00C57FFB">
        <w:rPr>
          <w:rFonts w:eastAsia="Times New Roman" w:cs="Arial"/>
          <w:color w:val="000000"/>
          <w:lang w:val="en-US"/>
        </w:rPr>
        <w:t>CCS</w:t>
      </w:r>
      <w:r w:rsidRPr="00C57FFB">
        <w:rPr>
          <w:rFonts w:eastAsia="Times New Roman" w:cs="Arial"/>
          <w:color w:val="000000"/>
          <w:lang w:val="ru-RU"/>
        </w:rPr>
        <w:t xml:space="preserve"> </w:t>
      </w:r>
      <w:r w:rsidRPr="00C57FFB">
        <w:rPr>
          <w:rFonts w:eastAsia="Times New Roman" w:cs="Arial"/>
          <w:color w:val="000000"/>
          <w:lang w:eastAsia="bg-BG"/>
        </w:rPr>
        <w:t>или по-висок при включването (</w:t>
      </w:r>
      <w:r w:rsidRPr="00C57FFB">
        <w:rPr>
          <w:rFonts w:eastAsia="Times New Roman" w:cs="Arial"/>
          <w:color w:val="000000"/>
          <w:lang w:val="en-US"/>
        </w:rPr>
        <w:t>n</w:t>
      </w:r>
      <w:r w:rsidRPr="00C57FFB">
        <w:rPr>
          <w:rFonts w:eastAsia="Times New Roman" w:cs="Arial"/>
          <w:color w:val="000000"/>
          <w:lang w:eastAsia="bg-BG"/>
        </w:rPr>
        <w:t xml:space="preserve">=12049) (честота на поява 3,4% срещу 2,9% годишно, относителен риск ивабрадин/плацебо 1,18, р=0,018), но не в подгрупата от цялата популация със стенокардия клас ≥ 1 по </w:t>
      </w:r>
      <w:r w:rsidRPr="00C57FFB">
        <w:rPr>
          <w:rFonts w:eastAsia="Times New Roman" w:cs="Arial"/>
          <w:color w:val="000000"/>
          <w:lang w:val="en-US"/>
        </w:rPr>
        <w:t>CCS</w:t>
      </w:r>
      <w:r w:rsidRPr="00C57FFB">
        <w:rPr>
          <w:rFonts w:eastAsia="Times New Roman" w:cs="Arial"/>
          <w:color w:val="000000"/>
          <w:lang w:val="ru-RU"/>
        </w:rPr>
        <w:t xml:space="preserve"> </w:t>
      </w:r>
      <w:r w:rsidRPr="00C57FFB">
        <w:rPr>
          <w:rFonts w:eastAsia="Times New Roman" w:cs="Arial"/>
          <w:color w:val="000000"/>
          <w:lang w:eastAsia="bg-BG"/>
        </w:rPr>
        <w:t>(</w:t>
      </w:r>
      <w:r w:rsidRPr="00C57FFB">
        <w:rPr>
          <w:rFonts w:eastAsia="Times New Roman" w:cs="Arial"/>
          <w:color w:val="000000"/>
          <w:lang w:val="en-US"/>
        </w:rPr>
        <w:t>n</w:t>
      </w:r>
      <w:r w:rsidRPr="00C57FFB">
        <w:rPr>
          <w:rFonts w:eastAsia="Times New Roman" w:cs="Arial"/>
          <w:color w:val="000000"/>
          <w:lang w:eastAsia="bg-BG"/>
        </w:rPr>
        <w:t>=14286) (относителен риск ивабрадин/плацебо 1,11,р=0,110).</w:t>
      </w:r>
    </w:p>
    <w:p w14:paraId="0BB148C6"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По-високата от одобрената доза, използвана в проучването, не обяснява напълно тези изводи.</w:t>
      </w:r>
    </w:p>
    <w:p w14:paraId="419CD3E9" w14:textId="77777777" w:rsidR="00C57FFB" w:rsidRDefault="00C57FFB" w:rsidP="00C57FFB">
      <w:pPr>
        <w:spacing w:line="240" w:lineRule="auto"/>
        <w:rPr>
          <w:rFonts w:eastAsia="Times New Roman" w:cs="Arial"/>
          <w:color w:val="000000"/>
          <w:lang w:eastAsia="bg-BG"/>
        </w:rPr>
      </w:pPr>
    </w:p>
    <w:p w14:paraId="2B418DC7" w14:textId="64EF0B99"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Проучването </w:t>
      </w:r>
      <w:r w:rsidRPr="00C57FFB">
        <w:rPr>
          <w:rFonts w:eastAsia="Times New Roman" w:cs="Arial"/>
          <w:color w:val="000000"/>
          <w:lang w:val="en-US"/>
        </w:rPr>
        <w:t>SHIFT</w:t>
      </w:r>
      <w:r w:rsidRPr="00C57FFB">
        <w:rPr>
          <w:rFonts w:eastAsia="Times New Roman" w:cs="Arial"/>
          <w:color w:val="000000"/>
          <w:lang w:val="ru-RU"/>
        </w:rPr>
        <w:t xml:space="preserve"> </w:t>
      </w:r>
      <w:r w:rsidRPr="00C57FFB">
        <w:rPr>
          <w:rFonts w:eastAsia="Times New Roman" w:cs="Arial"/>
          <w:color w:val="000000"/>
          <w:lang w:eastAsia="bg-BG"/>
        </w:rPr>
        <w:t xml:space="preserve">е голямо, многоценгрово, международно, рандомизирано, двойно сляпо, с плацебо-контролирани резултати изпитване, проведено при 6 505 възрастни пациенти със стабилна хронична ЗСН (за ≥4 седмици), от II до IV клас по </w:t>
      </w:r>
      <w:r w:rsidRPr="00C57FFB">
        <w:rPr>
          <w:rFonts w:eastAsia="Times New Roman" w:cs="Arial"/>
          <w:color w:val="000000"/>
          <w:lang w:val="en-US"/>
        </w:rPr>
        <w:t>NYHA</w:t>
      </w:r>
      <w:r w:rsidRPr="00C57FFB">
        <w:rPr>
          <w:rFonts w:eastAsia="Times New Roman" w:cs="Arial"/>
          <w:color w:val="000000"/>
          <w:lang w:val="ru-RU"/>
        </w:rPr>
        <w:t xml:space="preserve">, </w:t>
      </w:r>
      <w:r w:rsidRPr="00C57FFB">
        <w:rPr>
          <w:rFonts w:eastAsia="Times New Roman" w:cs="Arial"/>
          <w:color w:val="000000"/>
          <w:lang w:eastAsia="bg-BG"/>
        </w:rPr>
        <w:t>с намалена левокамерна фракция на изтласкване (ЛВФИ≤35%) и сърдечна честота в покой ≥70 удара в минута.</w:t>
      </w:r>
    </w:p>
    <w:p w14:paraId="0CE8C777"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Пациентите са получавали стандартно лечение, включващо бета-блокери (89%), АСЕ-инхибитсри и/или ангиотензин </w:t>
      </w:r>
      <w:r w:rsidRPr="00C57FFB">
        <w:rPr>
          <w:rFonts w:eastAsia="Times New Roman" w:cs="Arial"/>
          <w:color w:val="000000"/>
          <w:lang w:val="en-US"/>
        </w:rPr>
        <w:t>II</w:t>
      </w:r>
      <w:r w:rsidRPr="00C57FFB">
        <w:rPr>
          <w:rFonts w:eastAsia="Times New Roman" w:cs="Arial"/>
          <w:color w:val="000000"/>
          <w:lang w:eastAsia="bg-BG"/>
        </w:rPr>
        <w:t xml:space="preserve"> антагонисти (91%), диуретици (83 %) и антагонисти на алдостерона (60 %). В групата на ивабрадин, 67% от пациентите са били лекувани със 7,5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два пъти дневно.</w:t>
      </w:r>
    </w:p>
    <w:p w14:paraId="5938CE3C"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Медианата на продължителността на периода на проследяване е била 22,9 месеца. Лечението с ивабрадин е било свързано с намаляване на сърдечната честота средно с 15 удара в минута от изходната стойност от 80 удара в минута. чРазликата в сърдечната честота между ивабрадин и плацебо групите е била 10,8 удара в минута на 28 ден, 9,1 удара в минута на 12 месец и 8,3 удара в минута на 24 месец.</w:t>
      </w:r>
    </w:p>
    <w:p w14:paraId="488087FD" w14:textId="77777777" w:rsidR="00C57FFB" w:rsidRDefault="00C57FFB" w:rsidP="00C57FFB">
      <w:pPr>
        <w:spacing w:line="240" w:lineRule="auto"/>
        <w:rPr>
          <w:rFonts w:eastAsia="Times New Roman" w:cs="Arial"/>
          <w:color w:val="000000"/>
          <w:lang w:eastAsia="bg-BG"/>
        </w:rPr>
      </w:pPr>
    </w:p>
    <w:p w14:paraId="734CC1DD" w14:textId="387A57A1"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Проучването демонстрира клинично и статистически значимо намаление на относителния риск с 18%, на честотата на първичната съставна крайна точка на сърдечно-съдова смъртност и хоспитализация, поради влошаване на сърдечната недостатъчност (коефициент на риска: 0,82,95% </w:t>
      </w:r>
      <w:r w:rsidRPr="00C57FFB">
        <w:rPr>
          <w:rFonts w:eastAsia="Times New Roman" w:cs="Arial"/>
          <w:color w:val="000000"/>
          <w:lang w:val="en-US"/>
        </w:rPr>
        <w:t>CI</w:t>
      </w:r>
      <w:r w:rsidRPr="00C57FFB">
        <w:rPr>
          <w:rFonts w:eastAsia="Times New Roman" w:cs="Arial"/>
          <w:color w:val="000000"/>
          <w:lang w:val="ru-RU"/>
        </w:rPr>
        <w:t xml:space="preserve"> </w:t>
      </w:r>
      <w:r w:rsidRPr="00C57FFB">
        <w:rPr>
          <w:rFonts w:eastAsia="Times New Roman" w:cs="Arial"/>
          <w:color w:val="000000"/>
          <w:lang w:eastAsia="bg-BG"/>
        </w:rPr>
        <w:t xml:space="preserve">[0,75 ;0,90] - р&lt;0,0001), установено до 3 месеца след започване на лечението. Редукцията на абсолютния риск е била 4,2%. Резултатите по </w:t>
      </w:r>
      <w:r w:rsidRPr="00C57FFB">
        <w:rPr>
          <w:rFonts w:eastAsia="Times New Roman" w:cs="Arial"/>
          <w:color w:val="000000"/>
          <w:lang w:eastAsia="bg-BG"/>
        </w:rPr>
        <w:lastRenderedPageBreak/>
        <w:t>първичната крайна точка се изведени главно чрез крайните точки сърдечната недостатъчност, хоспитализация поради влошаване на сърдечната недостатъчност (абсолютен риск намален с 4,7%) и смърт поради сърдечна недостатъчност (абсолютен риск намален с 1,1%).</w:t>
      </w:r>
    </w:p>
    <w:p w14:paraId="11BF2F4B" w14:textId="77777777" w:rsidR="00C57FFB" w:rsidRDefault="00C57FFB" w:rsidP="00C57FFB">
      <w:pPr>
        <w:spacing w:line="240" w:lineRule="auto"/>
        <w:rPr>
          <w:rFonts w:eastAsia="Times New Roman" w:cs="Arial"/>
          <w:color w:val="000000"/>
          <w:lang w:eastAsia="bg-BG"/>
        </w:rPr>
      </w:pPr>
    </w:p>
    <w:p w14:paraId="62B634F8" w14:textId="05EDE036" w:rsidR="00C57FFB" w:rsidRPr="00C57FFB" w:rsidRDefault="00C57FFB" w:rsidP="00C57FFB">
      <w:pPr>
        <w:spacing w:line="240" w:lineRule="auto"/>
        <w:jc w:val="center"/>
        <w:rPr>
          <w:rFonts w:eastAsia="Times New Roman" w:cs="Arial"/>
        </w:rPr>
      </w:pPr>
      <w:r w:rsidRPr="00C57FFB">
        <w:rPr>
          <w:rFonts w:eastAsia="Times New Roman" w:cs="Arial"/>
          <w:color w:val="000000"/>
          <w:lang w:eastAsia="bg-BG"/>
        </w:rPr>
        <w:t>Ефект от лечението върху първичната съставна крайна точка, нейните компоненти и вторичните крайни точки</w:t>
      </w:r>
    </w:p>
    <w:p w14:paraId="2284EFDF" w14:textId="529DEBD6" w:rsidR="00C57FFB" w:rsidRPr="00C57FFB" w:rsidRDefault="00C57FFB" w:rsidP="00C57FFB">
      <w:pPr>
        <w:spacing w:line="240" w:lineRule="auto"/>
        <w:rPr>
          <w:rFonts w:eastAsia="Times New Roman" w:cs="Arial"/>
        </w:rPr>
      </w:pPr>
    </w:p>
    <w:tbl>
      <w:tblPr>
        <w:tblStyle w:val="TableGrid"/>
        <w:tblW w:w="0" w:type="auto"/>
        <w:tblLook w:val="04A0" w:firstRow="1" w:lastRow="0" w:firstColumn="1" w:lastColumn="0" w:noHBand="0" w:noVBand="1"/>
      </w:tblPr>
      <w:tblGrid>
        <w:gridCol w:w="1903"/>
        <w:gridCol w:w="1862"/>
        <w:gridCol w:w="1863"/>
        <w:gridCol w:w="1864"/>
        <w:gridCol w:w="1858"/>
      </w:tblGrid>
      <w:tr w:rsidR="00C57FFB" w14:paraId="0108A11C" w14:textId="77777777" w:rsidTr="00C57FFB">
        <w:tc>
          <w:tcPr>
            <w:tcW w:w="1870" w:type="dxa"/>
          </w:tcPr>
          <w:p w14:paraId="4C7973C0" w14:textId="77777777" w:rsidR="00C57FFB" w:rsidRPr="00C57FFB" w:rsidRDefault="00C57FFB" w:rsidP="00C57FFB">
            <w:pPr>
              <w:spacing w:line="240" w:lineRule="auto"/>
              <w:rPr>
                <w:rFonts w:eastAsia="Times New Roman" w:cs="Arial"/>
              </w:rPr>
            </w:pPr>
          </w:p>
        </w:tc>
        <w:tc>
          <w:tcPr>
            <w:tcW w:w="1870" w:type="dxa"/>
          </w:tcPr>
          <w:p w14:paraId="6A5A77AC" w14:textId="564DCC4F" w:rsidR="00C57FFB" w:rsidRPr="00C57FFB" w:rsidRDefault="00C57FFB" w:rsidP="00C57FFB">
            <w:pPr>
              <w:spacing w:line="240" w:lineRule="auto"/>
              <w:rPr>
                <w:rFonts w:eastAsia="Times New Roman" w:cs="Arial"/>
              </w:rPr>
            </w:pPr>
            <w:r w:rsidRPr="00C57FFB">
              <w:t xml:space="preserve">Ивабрадин </w:t>
            </w:r>
            <w:r w:rsidRPr="00C57FFB">
              <w:rPr>
                <w:lang w:val="en-US"/>
              </w:rPr>
              <w:t>(N=3241) n</w:t>
            </w:r>
            <w:r w:rsidRPr="00C57FFB">
              <w:t xml:space="preserve"> (%)</w:t>
            </w:r>
          </w:p>
        </w:tc>
        <w:tc>
          <w:tcPr>
            <w:tcW w:w="1870" w:type="dxa"/>
          </w:tcPr>
          <w:p w14:paraId="2BADE30B" w14:textId="01A3C5B9" w:rsidR="00C57FFB" w:rsidRPr="00C57FFB" w:rsidRDefault="00C57FFB" w:rsidP="00C57FFB">
            <w:pPr>
              <w:spacing w:line="240" w:lineRule="auto"/>
              <w:rPr>
                <w:rFonts w:eastAsia="Times New Roman" w:cs="Arial"/>
              </w:rPr>
            </w:pPr>
            <w:r w:rsidRPr="00C57FFB">
              <w:t xml:space="preserve">Плацебо (№3264) </w:t>
            </w:r>
            <w:r w:rsidRPr="00C57FFB">
              <w:rPr>
                <w:lang w:val="en-US"/>
              </w:rPr>
              <w:t>n</w:t>
            </w:r>
            <w:r w:rsidRPr="00C57FFB">
              <w:t xml:space="preserve"> (%)</w:t>
            </w:r>
          </w:p>
        </w:tc>
        <w:tc>
          <w:tcPr>
            <w:tcW w:w="1870" w:type="dxa"/>
          </w:tcPr>
          <w:p w14:paraId="48EBE381" w14:textId="02E50794" w:rsidR="00C57FFB" w:rsidRPr="00C57FFB" w:rsidRDefault="00C57FFB" w:rsidP="00C57FFB">
            <w:pPr>
              <w:spacing w:line="240" w:lineRule="auto"/>
              <w:rPr>
                <w:rFonts w:eastAsia="Times New Roman" w:cs="Arial"/>
              </w:rPr>
            </w:pPr>
            <w:r w:rsidRPr="00C57FFB">
              <w:t xml:space="preserve">Коефициент на риска [95% </w:t>
            </w:r>
            <w:r w:rsidRPr="00C57FFB">
              <w:rPr>
                <w:lang w:val="en-US"/>
              </w:rPr>
              <w:t>CI]</w:t>
            </w:r>
          </w:p>
        </w:tc>
        <w:tc>
          <w:tcPr>
            <w:tcW w:w="1870" w:type="dxa"/>
          </w:tcPr>
          <w:p w14:paraId="1C83A2C8" w14:textId="272FD161" w:rsidR="00C57FFB" w:rsidRPr="00C57FFB" w:rsidRDefault="00C57FFB" w:rsidP="00C57FFB">
            <w:pPr>
              <w:rPr>
                <w:rFonts w:eastAsia="Times New Roman" w:cs="Arial"/>
                <w:lang w:val="en-US"/>
              </w:rPr>
            </w:pPr>
            <w:r>
              <w:rPr>
                <w:rStyle w:val="PageNumber"/>
              </w:rPr>
              <w:t>p-стойност</w:t>
            </w:r>
          </w:p>
        </w:tc>
      </w:tr>
      <w:tr w:rsidR="00C57FFB" w14:paraId="0817E833" w14:textId="77777777" w:rsidTr="00C57FFB">
        <w:tc>
          <w:tcPr>
            <w:tcW w:w="1870" w:type="dxa"/>
          </w:tcPr>
          <w:p w14:paraId="43196977" w14:textId="37C99358" w:rsidR="00C57FFB" w:rsidRPr="00C57FFB" w:rsidRDefault="00C57FFB" w:rsidP="00C57FFB">
            <w:pPr>
              <w:spacing w:line="240" w:lineRule="auto"/>
              <w:rPr>
                <w:rFonts w:eastAsia="Times New Roman" w:cs="Arial"/>
              </w:rPr>
            </w:pPr>
            <w:r w:rsidRPr="00C57FFB">
              <w:t>Първична съставна крайна точка</w:t>
            </w:r>
          </w:p>
        </w:tc>
        <w:tc>
          <w:tcPr>
            <w:tcW w:w="1870" w:type="dxa"/>
          </w:tcPr>
          <w:p w14:paraId="40EFE036" w14:textId="4B2667EE" w:rsidR="00C57FFB" w:rsidRPr="00C57FFB" w:rsidRDefault="00C57FFB" w:rsidP="00C57FFB">
            <w:pPr>
              <w:spacing w:line="240" w:lineRule="auto"/>
              <w:rPr>
                <w:rFonts w:eastAsia="Times New Roman" w:cs="Arial"/>
              </w:rPr>
            </w:pPr>
            <w:r w:rsidRPr="00C57FFB">
              <w:t>793 (24,47)</w:t>
            </w:r>
          </w:p>
        </w:tc>
        <w:tc>
          <w:tcPr>
            <w:tcW w:w="1870" w:type="dxa"/>
          </w:tcPr>
          <w:p w14:paraId="4D793EB9" w14:textId="1B6DE63C" w:rsidR="00C57FFB" w:rsidRPr="00C57FFB" w:rsidRDefault="00C57FFB" w:rsidP="00C57FFB">
            <w:pPr>
              <w:spacing w:line="240" w:lineRule="auto"/>
              <w:rPr>
                <w:rFonts w:eastAsia="Times New Roman" w:cs="Arial"/>
              </w:rPr>
            </w:pPr>
            <w:r w:rsidRPr="00C57FFB">
              <w:t>937(28,71)</w:t>
            </w:r>
          </w:p>
        </w:tc>
        <w:tc>
          <w:tcPr>
            <w:tcW w:w="1870" w:type="dxa"/>
          </w:tcPr>
          <w:p w14:paraId="3F682782" w14:textId="62265E4B" w:rsidR="00C57FFB" w:rsidRPr="00C57FFB" w:rsidRDefault="00C57FFB" w:rsidP="00C57FFB">
            <w:pPr>
              <w:spacing w:line="240" w:lineRule="auto"/>
              <w:rPr>
                <w:rFonts w:eastAsia="Times New Roman" w:cs="Arial"/>
              </w:rPr>
            </w:pPr>
            <w:r w:rsidRPr="00C57FFB">
              <w:t>0,82 [0,75; 0,90]</w:t>
            </w:r>
          </w:p>
        </w:tc>
        <w:tc>
          <w:tcPr>
            <w:tcW w:w="1870" w:type="dxa"/>
          </w:tcPr>
          <w:p w14:paraId="19C07A13" w14:textId="74FC3C8F" w:rsidR="00C57FFB" w:rsidRPr="00C57FFB" w:rsidRDefault="00C57FFB" w:rsidP="00C57FFB">
            <w:pPr>
              <w:spacing w:line="240" w:lineRule="auto"/>
              <w:rPr>
                <w:rFonts w:eastAsia="Times New Roman" w:cs="Arial"/>
              </w:rPr>
            </w:pPr>
            <w:r w:rsidRPr="00C57FFB">
              <w:t>&lt;0,0001</w:t>
            </w:r>
          </w:p>
        </w:tc>
      </w:tr>
      <w:tr w:rsidR="00C57FFB" w14:paraId="2AD9E3F4" w14:textId="77777777" w:rsidTr="00C57FFB">
        <w:tc>
          <w:tcPr>
            <w:tcW w:w="1870" w:type="dxa"/>
          </w:tcPr>
          <w:p w14:paraId="0BAC2793" w14:textId="77777777" w:rsidR="00C57FFB" w:rsidRPr="00C57FFB" w:rsidRDefault="00C57FFB" w:rsidP="00C57FFB">
            <w:r w:rsidRPr="00C57FFB">
              <w:t>Компоненти:</w:t>
            </w:r>
          </w:p>
          <w:p w14:paraId="6676DBFC" w14:textId="77777777" w:rsidR="00C57FFB" w:rsidRPr="00C57FFB" w:rsidRDefault="00C57FFB" w:rsidP="00C57FFB">
            <w:r w:rsidRPr="00C57FFB">
              <w:t>-Сърдечно-съдова смърт</w:t>
            </w:r>
          </w:p>
          <w:p w14:paraId="18338FF9" w14:textId="78E24B7A" w:rsidR="00C57FFB" w:rsidRPr="00C57FFB" w:rsidRDefault="00C57FFB" w:rsidP="00C57FFB">
            <w:pPr>
              <w:spacing w:line="240" w:lineRule="auto"/>
              <w:rPr>
                <w:rFonts w:eastAsia="Times New Roman" w:cs="Arial"/>
              </w:rPr>
            </w:pPr>
            <w:r w:rsidRPr="00C57FFB">
              <w:t>-Хоспитализация поради влошаване на СН</w:t>
            </w:r>
          </w:p>
        </w:tc>
        <w:tc>
          <w:tcPr>
            <w:tcW w:w="1870" w:type="dxa"/>
          </w:tcPr>
          <w:p w14:paraId="1C768DF8" w14:textId="77777777" w:rsidR="00C57FFB" w:rsidRPr="00C57FFB" w:rsidRDefault="00C57FFB" w:rsidP="00C57FFB">
            <w:r w:rsidRPr="00C57FFB">
              <w:t>449(13,85)</w:t>
            </w:r>
          </w:p>
          <w:p w14:paraId="0D26F3B7" w14:textId="0B31264F" w:rsidR="00C57FFB" w:rsidRPr="00C57FFB" w:rsidRDefault="00C57FFB" w:rsidP="00C57FFB">
            <w:pPr>
              <w:spacing w:line="240" w:lineRule="auto"/>
              <w:rPr>
                <w:rFonts w:eastAsia="Times New Roman" w:cs="Arial"/>
              </w:rPr>
            </w:pPr>
            <w:r w:rsidRPr="00C57FFB">
              <w:t>514 (15,86)</w:t>
            </w:r>
          </w:p>
        </w:tc>
        <w:tc>
          <w:tcPr>
            <w:tcW w:w="1870" w:type="dxa"/>
          </w:tcPr>
          <w:p w14:paraId="7797558D" w14:textId="77777777" w:rsidR="00C57FFB" w:rsidRPr="00C57FFB" w:rsidRDefault="00C57FFB" w:rsidP="00C57FFB">
            <w:r w:rsidRPr="00C57FFB">
              <w:t>491 (15,04)</w:t>
            </w:r>
          </w:p>
          <w:p w14:paraId="2A60660F" w14:textId="03B9EC8D" w:rsidR="00C57FFB" w:rsidRPr="00C57FFB" w:rsidRDefault="00C57FFB" w:rsidP="00C57FFB">
            <w:pPr>
              <w:spacing w:line="240" w:lineRule="auto"/>
              <w:rPr>
                <w:rFonts w:eastAsia="Times New Roman" w:cs="Arial"/>
              </w:rPr>
            </w:pPr>
            <w:r w:rsidRPr="00C57FFB">
              <w:t>672 (20,59)</w:t>
            </w:r>
          </w:p>
        </w:tc>
        <w:tc>
          <w:tcPr>
            <w:tcW w:w="1870" w:type="dxa"/>
          </w:tcPr>
          <w:p w14:paraId="0EB4871C" w14:textId="77777777" w:rsidR="00C57FFB" w:rsidRPr="00C57FFB" w:rsidRDefault="00C57FFB" w:rsidP="00C57FFB">
            <w:r w:rsidRPr="00C57FFB">
              <w:t>0,91 [0,80; 1,03]</w:t>
            </w:r>
          </w:p>
          <w:p w14:paraId="4F38183A" w14:textId="3EB00541" w:rsidR="00C57FFB" w:rsidRPr="00C57FFB" w:rsidRDefault="00C57FFB" w:rsidP="00C57FFB">
            <w:pPr>
              <w:spacing w:line="240" w:lineRule="auto"/>
              <w:rPr>
                <w:rFonts w:eastAsia="Times New Roman" w:cs="Arial"/>
              </w:rPr>
            </w:pPr>
            <w:r w:rsidRPr="00C57FFB">
              <w:t>0,74 [0,66; 0,83]</w:t>
            </w:r>
          </w:p>
        </w:tc>
        <w:tc>
          <w:tcPr>
            <w:tcW w:w="1870" w:type="dxa"/>
          </w:tcPr>
          <w:p w14:paraId="01C65E6B" w14:textId="77777777" w:rsidR="00C57FFB" w:rsidRPr="00C57FFB" w:rsidRDefault="00C57FFB" w:rsidP="00C57FFB">
            <w:r w:rsidRPr="00C57FFB">
              <w:t>0,128</w:t>
            </w:r>
          </w:p>
          <w:p w14:paraId="36064D8D" w14:textId="3220CD25" w:rsidR="00C57FFB" w:rsidRPr="00C57FFB" w:rsidRDefault="00C57FFB" w:rsidP="00C57FFB">
            <w:pPr>
              <w:spacing w:line="240" w:lineRule="auto"/>
              <w:rPr>
                <w:rFonts w:eastAsia="Times New Roman" w:cs="Arial"/>
              </w:rPr>
            </w:pPr>
            <w:r w:rsidRPr="00C57FFB">
              <w:t>&lt;0,0001</w:t>
            </w:r>
          </w:p>
        </w:tc>
      </w:tr>
      <w:tr w:rsidR="00C57FFB" w14:paraId="1F4B7C9A" w14:textId="77777777" w:rsidTr="00C57FFB">
        <w:tc>
          <w:tcPr>
            <w:tcW w:w="1870" w:type="dxa"/>
          </w:tcPr>
          <w:p w14:paraId="2F6AC69B" w14:textId="77777777" w:rsidR="00C57FFB" w:rsidRPr="00C57FFB" w:rsidRDefault="00C57FFB" w:rsidP="00C57FFB">
            <w:r w:rsidRPr="00C57FFB">
              <w:t>Други вторични крайни точки:</w:t>
            </w:r>
          </w:p>
          <w:p w14:paraId="2E5201B3" w14:textId="77777777" w:rsidR="00C57FFB" w:rsidRPr="00C57FFB" w:rsidRDefault="00C57FFB" w:rsidP="00C57FFB">
            <w:r w:rsidRPr="00C57FFB">
              <w:t>-Обща смъртност</w:t>
            </w:r>
          </w:p>
          <w:p w14:paraId="1B17FE41" w14:textId="77777777" w:rsidR="00C57FFB" w:rsidRPr="00C57FFB" w:rsidRDefault="00C57FFB" w:rsidP="00C57FFB">
            <w:r w:rsidRPr="00C57FFB">
              <w:t>-Смърт от СН</w:t>
            </w:r>
          </w:p>
          <w:p w14:paraId="0281CF5F" w14:textId="77777777" w:rsidR="00C57FFB" w:rsidRPr="00C57FFB" w:rsidRDefault="00C57FFB" w:rsidP="00C57FFB">
            <w:r w:rsidRPr="00C57FFB">
              <w:t>-Общ брой хоспитализации</w:t>
            </w:r>
          </w:p>
          <w:p w14:paraId="48FD1520" w14:textId="77777777" w:rsidR="00C57FFB" w:rsidRPr="00C57FFB" w:rsidRDefault="00C57FFB" w:rsidP="00C57FFB">
            <w:r w:rsidRPr="00C57FFB">
              <w:t>-Хоспитализация поради</w:t>
            </w:r>
          </w:p>
          <w:p w14:paraId="040AD74B" w14:textId="30204D83" w:rsidR="00C57FFB" w:rsidRPr="00C57FFB" w:rsidRDefault="00C57FFB" w:rsidP="00C57FFB">
            <w:pPr>
              <w:spacing w:line="240" w:lineRule="auto"/>
              <w:rPr>
                <w:rFonts w:eastAsia="Times New Roman" w:cs="Arial"/>
              </w:rPr>
            </w:pPr>
            <w:r w:rsidRPr="00C57FFB">
              <w:t>сърдечно-съдови причини</w:t>
            </w:r>
          </w:p>
        </w:tc>
        <w:tc>
          <w:tcPr>
            <w:tcW w:w="1870" w:type="dxa"/>
          </w:tcPr>
          <w:p w14:paraId="2EF20EF2" w14:textId="624A5FBF" w:rsidR="00C57FFB" w:rsidRPr="00C57FFB" w:rsidRDefault="00C57FFB" w:rsidP="00C57FFB">
            <w:pPr>
              <w:spacing w:line="240" w:lineRule="auto"/>
              <w:rPr>
                <w:rFonts w:eastAsia="Times New Roman" w:cs="Arial"/>
              </w:rPr>
            </w:pPr>
            <w:r w:rsidRPr="00C57FFB">
              <w:t>503 (15,52) 113(3,49) 1231 (37,98) 977 (30,15)</w:t>
            </w:r>
          </w:p>
        </w:tc>
        <w:tc>
          <w:tcPr>
            <w:tcW w:w="1870" w:type="dxa"/>
          </w:tcPr>
          <w:p w14:paraId="17342452" w14:textId="5A481553" w:rsidR="00C57FFB" w:rsidRPr="00C57FFB" w:rsidRDefault="00C57FFB" w:rsidP="00C57FFB">
            <w:pPr>
              <w:spacing w:line="240" w:lineRule="auto"/>
              <w:rPr>
                <w:rFonts w:eastAsia="Times New Roman" w:cs="Arial"/>
              </w:rPr>
            </w:pPr>
            <w:r w:rsidRPr="00C57FFB">
              <w:t>552(16,91) 151 (4,63) 1356(41,54) 1122(34,38)</w:t>
            </w:r>
          </w:p>
        </w:tc>
        <w:tc>
          <w:tcPr>
            <w:tcW w:w="1870" w:type="dxa"/>
          </w:tcPr>
          <w:p w14:paraId="46621F6D" w14:textId="1A67036C" w:rsidR="00C57FFB" w:rsidRPr="00C57FFB" w:rsidRDefault="00C57FFB" w:rsidP="00C57FFB">
            <w:pPr>
              <w:spacing w:line="240" w:lineRule="auto"/>
              <w:rPr>
                <w:rFonts w:eastAsia="Times New Roman" w:cs="Arial"/>
              </w:rPr>
            </w:pPr>
            <w:r w:rsidRPr="00C57FFB">
              <w:t>0,90 [0,80; 1,02] 0,74 [0,58; 0,94] 0,89 [0,82; 096] 0,85 [0,78; 0,92]</w:t>
            </w:r>
          </w:p>
        </w:tc>
        <w:tc>
          <w:tcPr>
            <w:tcW w:w="1870" w:type="dxa"/>
          </w:tcPr>
          <w:p w14:paraId="7CFAF9C8" w14:textId="77777777" w:rsidR="00C57FFB" w:rsidRPr="00C57FFB" w:rsidRDefault="00C57FFB" w:rsidP="00C57FFB">
            <w:r w:rsidRPr="00C57FFB">
              <w:t>0,092</w:t>
            </w:r>
          </w:p>
          <w:p w14:paraId="434D6CA9" w14:textId="77777777" w:rsidR="00C57FFB" w:rsidRPr="00C57FFB" w:rsidRDefault="00C57FFB" w:rsidP="00C57FFB">
            <w:r w:rsidRPr="00C57FFB">
              <w:t>0,014</w:t>
            </w:r>
          </w:p>
          <w:p w14:paraId="0C4E64BE" w14:textId="77777777" w:rsidR="00C57FFB" w:rsidRPr="00C57FFB" w:rsidRDefault="00C57FFB" w:rsidP="00C57FFB">
            <w:r w:rsidRPr="00C57FFB">
              <w:t>0,003</w:t>
            </w:r>
          </w:p>
          <w:p w14:paraId="3D5C76EF" w14:textId="367B7C3B" w:rsidR="00C57FFB" w:rsidRPr="00C57FFB" w:rsidRDefault="00C57FFB" w:rsidP="00C57FFB">
            <w:pPr>
              <w:spacing w:line="240" w:lineRule="auto"/>
              <w:rPr>
                <w:rFonts w:eastAsia="Times New Roman" w:cs="Arial"/>
              </w:rPr>
            </w:pPr>
            <w:r w:rsidRPr="00C57FFB">
              <w:t>0,0002</w:t>
            </w:r>
          </w:p>
        </w:tc>
      </w:tr>
    </w:tbl>
    <w:p w14:paraId="4ED3A1CA" w14:textId="33E0DE07" w:rsidR="00C57FFB" w:rsidRPr="00C57FFB" w:rsidRDefault="00C57FFB" w:rsidP="00C57FFB">
      <w:pPr>
        <w:spacing w:line="240" w:lineRule="auto"/>
        <w:rPr>
          <w:rFonts w:eastAsia="Times New Roman" w:cs="Arial"/>
        </w:rPr>
      </w:pPr>
    </w:p>
    <w:p w14:paraId="2C9292C4"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Намаляването в първичната крайна цел е наблюдавано постоянно, независимо от пол, клас по </w:t>
      </w:r>
      <w:r w:rsidRPr="00C57FFB">
        <w:rPr>
          <w:rFonts w:eastAsia="Times New Roman" w:cs="Arial"/>
          <w:color w:val="000000"/>
          <w:lang w:val="en-US"/>
        </w:rPr>
        <w:t>NYHA</w:t>
      </w:r>
      <w:r w:rsidRPr="00C57FFB">
        <w:rPr>
          <w:rFonts w:eastAsia="Times New Roman" w:cs="Arial"/>
          <w:color w:val="000000"/>
          <w:lang w:val="ru-RU"/>
        </w:rPr>
        <w:t xml:space="preserve">, </w:t>
      </w:r>
      <w:r w:rsidRPr="00C57FFB">
        <w:rPr>
          <w:rFonts w:eastAsia="Times New Roman" w:cs="Arial"/>
          <w:color w:val="000000"/>
          <w:lang w:eastAsia="bg-BG"/>
        </w:rPr>
        <w:t>исхемична или не-исхемична етиология на сърдечната недостатъчност и анамнеза за съпътстващ диабет или хипертония.</w:t>
      </w:r>
    </w:p>
    <w:p w14:paraId="0E4697CB" w14:textId="77777777" w:rsidR="00C57FFB" w:rsidRDefault="00C57FFB" w:rsidP="00C57FFB">
      <w:pPr>
        <w:spacing w:line="240" w:lineRule="auto"/>
        <w:rPr>
          <w:rFonts w:eastAsia="Times New Roman" w:cs="Arial"/>
          <w:color w:val="000000"/>
          <w:lang w:eastAsia="bg-BG"/>
        </w:rPr>
      </w:pPr>
    </w:p>
    <w:p w14:paraId="0E153C3A" w14:textId="0BE5E9CA"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При подгрупата пациенти със сърдечна честота ≥75 удара в минута </w:t>
      </w:r>
      <w:r w:rsidRPr="00C57FFB">
        <w:rPr>
          <w:rFonts w:eastAsia="Times New Roman" w:cs="Arial"/>
          <w:color w:val="000000"/>
          <w:lang w:val="ru-RU"/>
        </w:rPr>
        <w:t>(</w:t>
      </w:r>
      <w:r w:rsidRPr="00C57FFB">
        <w:rPr>
          <w:rFonts w:eastAsia="Times New Roman" w:cs="Arial"/>
          <w:color w:val="000000"/>
          <w:lang w:val="en-US"/>
        </w:rPr>
        <w:t>n</w:t>
      </w:r>
      <w:r w:rsidRPr="00C57FFB">
        <w:rPr>
          <w:rFonts w:eastAsia="Times New Roman" w:cs="Arial"/>
          <w:color w:val="000000"/>
          <w:lang w:val="ru-RU"/>
        </w:rPr>
        <w:t xml:space="preserve">=4 </w:t>
      </w:r>
      <w:r w:rsidRPr="00C57FFB">
        <w:rPr>
          <w:rFonts w:eastAsia="Times New Roman" w:cs="Arial"/>
          <w:color w:val="000000"/>
          <w:lang w:eastAsia="bg-BG"/>
        </w:rPr>
        <w:t>15 0) е наблюдавано по- голямо намаляване на първичната съставна крайна точка от 24% (коефициент на риска: 0,76, 95%С</w:t>
      </w:r>
      <w:r w:rsidRPr="00C57FFB">
        <w:rPr>
          <w:rFonts w:eastAsia="Times New Roman" w:cs="Arial"/>
          <w:color w:val="000000"/>
          <w:lang w:val="en-US"/>
        </w:rPr>
        <w:t>I</w:t>
      </w:r>
      <w:r w:rsidRPr="00C57FFB">
        <w:rPr>
          <w:rFonts w:eastAsia="Times New Roman" w:cs="Arial"/>
          <w:color w:val="000000"/>
          <w:lang w:eastAsia="bg-BG"/>
        </w:rPr>
        <w:t xml:space="preserve"> [0,68; 0,85] - р&lt;0,0001) и на другите вторични крайни точки, включително обща смъртност (коефициент на риска: 0,83,95% </w:t>
      </w:r>
      <w:r w:rsidRPr="00C57FFB">
        <w:rPr>
          <w:rFonts w:eastAsia="Times New Roman" w:cs="Arial"/>
          <w:color w:val="000000"/>
          <w:lang w:val="en-US"/>
        </w:rPr>
        <w:t>CI</w:t>
      </w:r>
      <w:r w:rsidRPr="00C57FFB">
        <w:rPr>
          <w:rFonts w:eastAsia="Times New Roman" w:cs="Arial"/>
          <w:color w:val="000000"/>
          <w:lang w:val="ru-RU"/>
        </w:rPr>
        <w:t xml:space="preserve"> </w:t>
      </w:r>
      <w:r w:rsidRPr="00C57FFB">
        <w:rPr>
          <w:rFonts w:eastAsia="Times New Roman" w:cs="Arial"/>
          <w:color w:val="000000"/>
          <w:lang w:eastAsia="bg-BG"/>
        </w:rPr>
        <w:t xml:space="preserve">[0,72;0,96] - р=0,0109) и сърдечно-съдова смърт (коефициент на риска: 0,83,95% </w:t>
      </w:r>
      <w:r w:rsidRPr="00C57FFB">
        <w:rPr>
          <w:rFonts w:eastAsia="Times New Roman" w:cs="Arial"/>
          <w:color w:val="000000"/>
          <w:lang w:val="en-US"/>
        </w:rPr>
        <w:t>CI</w:t>
      </w:r>
      <w:r w:rsidRPr="00C57FFB">
        <w:rPr>
          <w:rFonts w:eastAsia="Times New Roman" w:cs="Arial"/>
          <w:color w:val="000000"/>
          <w:lang w:val="ru-RU"/>
        </w:rPr>
        <w:t xml:space="preserve"> </w:t>
      </w:r>
      <w:r w:rsidRPr="00C57FFB">
        <w:rPr>
          <w:rFonts w:eastAsia="Times New Roman" w:cs="Arial"/>
          <w:color w:val="000000"/>
          <w:lang w:eastAsia="bg-BG"/>
        </w:rPr>
        <w:t>[0,71 ;0,97] -р=0,0166). При тази подгрупа пациенти, профилът на безопасност на ивабрадин, съответства е този на общата популация.</w:t>
      </w:r>
    </w:p>
    <w:p w14:paraId="5CAE6977" w14:textId="77777777" w:rsidR="00C57FFB" w:rsidRDefault="00C57FFB" w:rsidP="00C57FFB">
      <w:pPr>
        <w:spacing w:line="240" w:lineRule="auto"/>
        <w:rPr>
          <w:rFonts w:eastAsia="Times New Roman" w:cs="Arial"/>
          <w:color w:val="000000"/>
          <w:lang w:eastAsia="bg-BG"/>
        </w:rPr>
      </w:pPr>
    </w:p>
    <w:p w14:paraId="5FB43A6F" w14:textId="4539FD12" w:rsidR="00C57FFB" w:rsidRPr="00C57FFB" w:rsidRDefault="00C57FFB" w:rsidP="00C57FFB">
      <w:pPr>
        <w:spacing w:line="240" w:lineRule="auto"/>
        <w:rPr>
          <w:rFonts w:eastAsia="Times New Roman" w:cs="Arial"/>
        </w:rPr>
      </w:pPr>
      <w:r w:rsidRPr="00C57FFB">
        <w:rPr>
          <w:rFonts w:eastAsia="Times New Roman" w:cs="Arial"/>
          <w:color w:val="000000"/>
          <w:lang w:eastAsia="bg-BG"/>
        </w:rPr>
        <w:t>Наблюдаван е значителен ефект върху първичната съставна крайна точка, при общата група пациенти, приемащи лечение с бета-блокери (коефициент на риска: 0,85,95%С</w:t>
      </w:r>
      <w:r w:rsidRPr="00C57FFB">
        <w:rPr>
          <w:rFonts w:eastAsia="Times New Roman" w:cs="Arial"/>
          <w:color w:val="000000"/>
          <w:lang w:val="en-US"/>
        </w:rPr>
        <w:t>I</w:t>
      </w:r>
      <w:r w:rsidRPr="00C57FFB">
        <w:rPr>
          <w:rFonts w:eastAsia="Times New Roman" w:cs="Arial"/>
          <w:color w:val="000000"/>
          <w:lang w:eastAsia="bg-BG"/>
        </w:rPr>
        <w:t xml:space="preserve"> [0,76;0,94]). При подгрупата пациенти, със сърдечна честота ≥75 удара в минута и на препоръчителната таргетна доза на бета-блокер, не е била наблюдавана статистически </w:t>
      </w:r>
      <w:r w:rsidRPr="00C57FFB">
        <w:rPr>
          <w:rFonts w:eastAsia="Times New Roman" w:cs="Arial"/>
          <w:color w:val="000000"/>
          <w:lang w:eastAsia="bg-BG"/>
        </w:rPr>
        <w:lastRenderedPageBreak/>
        <w:t>значима полза върху първичната съставна крайна точка (коефициент на риска: 0,97,95%С</w:t>
      </w:r>
      <w:r w:rsidRPr="00C57FFB">
        <w:rPr>
          <w:rFonts w:eastAsia="Times New Roman" w:cs="Arial"/>
          <w:color w:val="000000"/>
          <w:lang w:val="en-US"/>
        </w:rPr>
        <w:t>I</w:t>
      </w:r>
      <w:r w:rsidRPr="00C57FFB">
        <w:rPr>
          <w:rFonts w:eastAsia="Times New Roman" w:cs="Arial"/>
          <w:color w:val="000000"/>
          <w:lang w:eastAsia="bg-BG"/>
        </w:rPr>
        <w:t xml:space="preserve"> [0,74; 1,28]) и върху другите вторични крайни точки, включително хоспитализация поради влошаване на СН (коефициент на риска: 0,79, 95%С</w:t>
      </w:r>
      <w:r w:rsidRPr="00C57FFB">
        <w:rPr>
          <w:rFonts w:eastAsia="Times New Roman" w:cs="Arial"/>
          <w:color w:val="000000"/>
          <w:lang w:val="en-US"/>
        </w:rPr>
        <w:t>I</w:t>
      </w:r>
      <w:r w:rsidRPr="00C57FFB">
        <w:rPr>
          <w:rFonts w:eastAsia="Times New Roman" w:cs="Arial"/>
          <w:color w:val="000000"/>
          <w:lang w:eastAsia="bg-BG"/>
        </w:rPr>
        <w:t xml:space="preserve"> [0,56; 1,10]) или смърт от сърдечна недостатъчност (коефициент на риска: 0,69,95%С</w:t>
      </w:r>
      <w:r w:rsidRPr="00C57FFB">
        <w:rPr>
          <w:rFonts w:eastAsia="Times New Roman" w:cs="Arial"/>
          <w:color w:val="000000"/>
          <w:lang w:val="en-US"/>
        </w:rPr>
        <w:t>I</w:t>
      </w:r>
      <w:r w:rsidRPr="00C57FFB">
        <w:rPr>
          <w:rFonts w:eastAsia="Times New Roman" w:cs="Arial"/>
          <w:color w:val="000000"/>
          <w:lang w:eastAsia="bg-BG"/>
        </w:rPr>
        <w:t xml:space="preserve"> [0,31; 1,53]).</w:t>
      </w:r>
    </w:p>
    <w:p w14:paraId="621A8E6B" w14:textId="77777777" w:rsidR="00C57FFB" w:rsidRDefault="00C57FFB" w:rsidP="00C57FFB">
      <w:pPr>
        <w:spacing w:line="240" w:lineRule="auto"/>
        <w:rPr>
          <w:rFonts w:eastAsia="Times New Roman" w:cs="Arial"/>
          <w:color w:val="000000"/>
          <w:lang w:eastAsia="bg-BG"/>
        </w:rPr>
      </w:pPr>
    </w:p>
    <w:p w14:paraId="2032AB76" w14:textId="2A10D079"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Има значително подобрение на класа по </w:t>
      </w:r>
      <w:r w:rsidRPr="00C57FFB">
        <w:rPr>
          <w:rFonts w:eastAsia="Times New Roman" w:cs="Arial"/>
          <w:color w:val="000000"/>
          <w:lang w:val="en-US"/>
        </w:rPr>
        <w:t>NYHA</w:t>
      </w:r>
      <w:r w:rsidRPr="00C57FFB">
        <w:rPr>
          <w:rFonts w:eastAsia="Times New Roman" w:cs="Arial"/>
          <w:color w:val="000000"/>
          <w:lang w:val="ru-RU"/>
        </w:rPr>
        <w:t xml:space="preserve">, </w:t>
      </w:r>
      <w:r w:rsidRPr="00C57FFB">
        <w:rPr>
          <w:rFonts w:eastAsia="Times New Roman" w:cs="Arial"/>
          <w:color w:val="000000"/>
          <w:lang w:eastAsia="bg-BG"/>
        </w:rPr>
        <w:t>спрямо последната отчетена стойност: 887 (28%) от пациентите на ивабрадин са имали подобрение, в сравнение със 776 (24%) от пациентите на плацебо (р=0,001).</w:t>
      </w:r>
    </w:p>
    <w:p w14:paraId="52B66638" w14:textId="77777777" w:rsidR="00C57FFB" w:rsidRDefault="00C57FFB" w:rsidP="00C57FFB">
      <w:pPr>
        <w:spacing w:line="240" w:lineRule="auto"/>
        <w:rPr>
          <w:rFonts w:eastAsia="Times New Roman" w:cs="Arial"/>
          <w:color w:val="000000"/>
          <w:u w:val="single"/>
          <w:lang w:eastAsia="bg-BG"/>
        </w:rPr>
      </w:pPr>
    </w:p>
    <w:p w14:paraId="52E8A05D" w14:textId="2FD67E42"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Педиатрична популапия</w:t>
      </w:r>
    </w:p>
    <w:p w14:paraId="2B3E4A72" w14:textId="77777777" w:rsidR="00C57FFB" w:rsidRPr="00C57FFB" w:rsidRDefault="00C57FFB" w:rsidP="00C57FFB">
      <w:pPr>
        <w:rPr>
          <w:rFonts w:eastAsia="Times New Roman" w:cs="Arial"/>
        </w:rPr>
      </w:pPr>
      <w:r w:rsidRPr="00C57FFB">
        <w:rPr>
          <w:rFonts w:eastAsia="Times New Roman" w:cs="Arial"/>
          <w:color w:val="000000"/>
          <w:lang w:eastAsia="bg-BG"/>
        </w:rPr>
        <w:t xml:space="preserve">Проведено е рандомизнрано, двойносляпо, плацебо-контролирано проучване със 116 педиатрични пациенти (17 на възраст 6-12 месеца, 36 на възраст 1 -3 години и 63 на възраст 3-18 години) с хронична сърдечна недостатъчност и дилатативна кардиомиопатия </w:t>
      </w:r>
      <w:r w:rsidRPr="00C57FFB">
        <w:rPr>
          <w:rFonts w:eastAsia="Times New Roman" w:cs="Arial"/>
          <w:color w:val="000000"/>
          <w:lang w:val="ru-RU"/>
        </w:rPr>
        <w:t>(</w:t>
      </w:r>
      <w:r w:rsidRPr="00C57FFB">
        <w:rPr>
          <w:rFonts w:eastAsia="Times New Roman" w:cs="Arial"/>
          <w:color w:val="000000"/>
          <w:lang w:val="en-US"/>
        </w:rPr>
        <w:t>DCM</w:t>
      </w:r>
      <w:r w:rsidRPr="00C57FFB">
        <w:rPr>
          <w:rFonts w:eastAsia="Times New Roman" w:cs="Arial"/>
          <w:color w:val="000000"/>
          <w:lang w:val="ru-RU"/>
        </w:rPr>
        <w:t xml:space="preserve">) </w:t>
      </w:r>
      <w:r w:rsidRPr="00C57FFB">
        <w:rPr>
          <w:rFonts w:eastAsia="Times New Roman" w:cs="Arial"/>
          <w:color w:val="000000"/>
          <w:lang w:eastAsia="bg-BG"/>
        </w:rPr>
        <w:t xml:space="preserve">на фона на оптимално основно лечение. 74 са получили ивабрадин (съотношение 2:1). Началната доза е била 0,02 </w:t>
      </w:r>
      <w:r w:rsidRPr="00C57FFB">
        <w:rPr>
          <w:rFonts w:eastAsia="Times New Roman" w:cs="Arial"/>
          <w:color w:val="000000"/>
          <w:lang w:val="en-US"/>
        </w:rPr>
        <w:t>mg</w:t>
      </w:r>
      <w:r w:rsidRPr="00C57FFB">
        <w:rPr>
          <w:rFonts w:eastAsia="Times New Roman" w:cs="Arial"/>
          <w:color w:val="000000"/>
          <w:lang w:val="ru-RU"/>
        </w:rPr>
        <w:t>/</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във възрастовата подгрупа 6-12 месеца, 0,05 </w:t>
      </w:r>
      <w:r w:rsidRPr="00C57FFB">
        <w:rPr>
          <w:rFonts w:eastAsia="Times New Roman" w:cs="Arial"/>
          <w:color w:val="000000"/>
          <w:lang w:val="en-US"/>
        </w:rPr>
        <w:t>mg</w:t>
      </w:r>
      <w:r w:rsidRPr="00C57FFB">
        <w:rPr>
          <w:rFonts w:eastAsia="Times New Roman" w:cs="Arial"/>
          <w:color w:val="000000"/>
          <w:lang w:val="ru-RU"/>
        </w:rPr>
        <w:t>/</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при 1-3 години и 3-18 години &lt;40 </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 xml:space="preserve">и 2,5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при 3-18 години и ≥40 </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 xml:space="preserve">Дозата е била адаптирана в зависимост от терапевтичния отговор с максимални дози от 0,2 </w:t>
      </w:r>
      <w:r w:rsidRPr="00C57FFB">
        <w:rPr>
          <w:rFonts w:eastAsia="Times New Roman" w:cs="Arial"/>
          <w:color w:val="000000"/>
          <w:lang w:val="en-US"/>
        </w:rPr>
        <w:t>mg</w:t>
      </w:r>
      <w:r w:rsidRPr="00C57FFB">
        <w:rPr>
          <w:rFonts w:eastAsia="Times New Roman" w:cs="Arial"/>
          <w:color w:val="000000"/>
          <w:lang w:val="ru-RU"/>
        </w:rPr>
        <w:t>/</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два пъти</w:t>
      </w:r>
      <w:r>
        <w:rPr>
          <w:rFonts w:eastAsia="Times New Roman" w:cs="Arial"/>
          <w:color w:val="000000"/>
          <w:lang w:eastAsia="bg-BG"/>
        </w:rPr>
        <w:t xml:space="preserve"> </w:t>
      </w:r>
      <w:r w:rsidRPr="00C57FFB">
        <w:rPr>
          <w:rFonts w:eastAsia="Times New Roman" w:cs="Arial"/>
          <w:color w:val="000000"/>
          <w:lang w:eastAsia="bg-BG"/>
        </w:rPr>
        <w:t xml:space="preserve">дневно, 0,3 </w:t>
      </w:r>
      <w:r w:rsidRPr="00C57FFB">
        <w:rPr>
          <w:rFonts w:eastAsia="Times New Roman" w:cs="Arial"/>
          <w:color w:val="000000"/>
          <w:lang w:val="en-US"/>
        </w:rPr>
        <w:t>mg</w:t>
      </w:r>
      <w:r w:rsidRPr="00C57FFB">
        <w:rPr>
          <w:rFonts w:eastAsia="Times New Roman" w:cs="Arial"/>
          <w:color w:val="000000"/>
          <w:lang w:val="ru-RU"/>
        </w:rPr>
        <w:t>/</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и съответно 15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В това проучване ивабрадин е бил приложен или като перорална течна форма или като таблетка два пъти дневно. Липсата на разлика във фармакокинетиката между тези две форми е била показана в отворено рандомизирано кръстосано проучване с два периода при 24 здрави възрастни доброволци. При 69,9% от пациентите в групата на ивабрадин е било постигнато намаляване на сърдечната честота с 20% без брадикардия спрямо 12,2% в плацебо групата по време на периода на титриране от 2 до 8 седмици (съотношение на шансовете: Е=17,24,95% </w:t>
      </w:r>
      <w:r w:rsidRPr="00C57FFB">
        <w:rPr>
          <w:rFonts w:eastAsia="Times New Roman" w:cs="Arial"/>
          <w:color w:val="000000"/>
          <w:lang w:val="en-US"/>
        </w:rPr>
        <w:t>CI</w:t>
      </w:r>
      <w:r w:rsidRPr="00C57FFB">
        <w:rPr>
          <w:rFonts w:eastAsia="Times New Roman" w:cs="Arial"/>
          <w:color w:val="000000"/>
          <w:lang w:val="ru-RU"/>
        </w:rPr>
        <w:t xml:space="preserve"> </w:t>
      </w:r>
      <w:r w:rsidRPr="00C57FFB">
        <w:rPr>
          <w:rFonts w:eastAsia="Times New Roman" w:cs="Arial"/>
          <w:color w:val="000000"/>
          <w:lang w:eastAsia="bg-BG"/>
        </w:rPr>
        <w:t>[5,91; 50,30]).</w:t>
      </w:r>
    </w:p>
    <w:p w14:paraId="0FBABEAD"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Средните дози ивабрадин, които позволяват да се постигне намаляване на сърдечната честота с 20% са били съответно 0,13 ± 0,04 </w:t>
      </w:r>
      <w:r w:rsidRPr="00C57FFB">
        <w:rPr>
          <w:rFonts w:eastAsia="Times New Roman" w:cs="Arial"/>
          <w:color w:val="000000"/>
          <w:lang w:val="en-US"/>
        </w:rPr>
        <w:t>mg</w:t>
      </w:r>
      <w:r w:rsidRPr="00C57FFB">
        <w:rPr>
          <w:rFonts w:eastAsia="Times New Roman" w:cs="Arial"/>
          <w:color w:val="000000"/>
          <w:lang w:val="ru-RU"/>
        </w:rPr>
        <w:t>/</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0,10 ± 0,04 </w:t>
      </w:r>
      <w:r w:rsidRPr="00C57FFB">
        <w:rPr>
          <w:rFonts w:eastAsia="Times New Roman" w:cs="Arial"/>
          <w:color w:val="000000"/>
          <w:lang w:val="en-US"/>
        </w:rPr>
        <w:t>mg</w:t>
      </w:r>
      <w:r w:rsidRPr="00C57FFB">
        <w:rPr>
          <w:rFonts w:eastAsia="Times New Roman" w:cs="Arial"/>
          <w:color w:val="000000"/>
          <w:lang w:val="ru-RU"/>
        </w:rPr>
        <w:t>/</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и 4,1 ± 2,2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във възрастовите подгрупи 1-3 години, 3-18 години и &lt;40 </w:t>
      </w:r>
      <w:r w:rsidRPr="00C57FFB">
        <w:rPr>
          <w:rFonts w:eastAsia="Times New Roman" w:cs="Arial"/>
          <w:color w:val="000000"/>
          <w:lang w:val="en-US"/>
        </w:rPr>
        <w:t>kg</w:t>
      </w:r>
      <w:r w:rsidRPr="00C57FFB">
        <w:rPr>
          <w:rFonts w:eastAsia="Times New Roman" w:cs="Arial"/>
          <w:color w:val="000000"/>
          <w:lang w:val="ru-RU"/>
        </w:rPr>
        <w:t xml:space="preserve">, </w:t>
      </w:r>
      <w:r w:rsidRPr="00C57FFB">
        <w:rPr>
          <w:rFonts w:eastAsia="Times New Roman" w:cs="Arial"/>
          <w:color w:val="000000"/>
          <w:lang w:eastAsia="bg-BG"/>
        </w:rPr>
        <w:t xml:space="preserve">и 3-18 години и ≥ 40 </w:t>
      </w:r>
      <w:r w:rsidRPr="00C57FFB">
        <w:rPr>
          <w:rFonts w:eastAsia="Times New Roman" w:cs="Arial"/>
          <w:color w:val="000000"/>
          <w:lang w:val="en-US"/>
        </w:rPr>
        <w:t>kg</w:t>
      </w:r>
      <w:r w:rsidRPr="00C57FFB">
        <w:rPr>
          <w:rFonts w:eastAsia="Times New Roman" w:cs="Arial"/>
          <w:color w:val="000000"/>
          <w:lang w:val="ru-RU"/>
        </w:rPr>
        <w:t>.</w:t>
      </w:r>
    </w:p>
    <w:p w14:paraId="0A319C5D"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Средната ЛКФИ е нараствала от 31,8% до 45,3% на М012 в групата на ивабрадин спрямо 35,4% до 42,3% в плацебо групата. Има подобрение в класа по </w:t>
      </w:r>
      <w:r w:rsidRPr="00C57FFB">
        <w:rPr>
          <w:rFonts w:eastAsia="Times New Roman" w:cs="Arial"/>
          <w:color w:val="000000"/>
          <w:lang w:val="en-US"/>
        </w:rPr>
        <w:t>NYHA</w:t>
      </w:r>
      <w:r w:rsidRPr="00C57FFB">
        <w:rPr>
          <w:rFonts w:eastAsia="Times New Roman" w:cs="Arial"/>
          <w:color w:val="000000"/>
          <w:lang w:val="ru-RU"/>
        </w:rPr>
        <w:t xml:space="preserve"> </w:t>
      </w:r>
      <w:r w:rsidRPr="00C57FFB">
        <w:rPr>
          <w:rFonts w:eastAsia="Times New Roman" w:cs="Arial"/>
          <w:color w:val="000000"/>
          <w:lang w:eastAsia="bg-BG"/>
        </w:rPr>
        <w:t>при 37,7% от пациентите, приемащи ивабрадин, спрямо 25,0% в плацебо групата. Тези подобрения не са били статистически значими. Профилът на безопасност, след 1 година, е бил подобен на този, описан при възрастни пациенти с хронична сърдечна недостатъчност.</w:t>
      </w:r>
    </w:p>
    <w:p w14:paraId="7AFDE8A4" w14:textId="77777777" w:rsidR="00C57FFB" w:rsidRDefault="00C57FFB" w:rsidP="00C57FFB">
      <w:pPr>
        <w:spacing w:line="240" w:lineRule="auto"/>
        <w:rPr>
          <w:rFonts w:eastAsia="Times New Roman" w:cs="Arial"/>
          <w:color w:val="000000"/>
          <w:lang w:eastAsia="bg-BG"/>
        </w:rPr>
      </w:pPr>
    </w:p>
    <w:p w14:paraId="2C484107" w14:textId="0B6D4BB4" w:rsidR="00C57FFB" w:rsidRPr="00C57FFB" w:rsidRDefault="00C57FFB" w:rsidP="00C57FFB">
      <w:pPr>
        <w:spacing w:line="240" w:lineRule="auto"/>
        <w:rPr>
          <w:rFonts w:eastAsia="Times New Roman" w:cs="Arial"/>
        </w:rPr>
      </w:pPr>
      <w:r w:rsidRPr="00C57FFB">
        <w:rPr>
          <w:rFonts w:eastAsia="Times New Roman" w:cs="Arial"/>
          <w:color w:val="000000"/>
          <w:lang w:eastAsia="bg-BG"/>
        </w:rPr>
        <w:t>Дългосрочните ефекти на ивабрадин върху растежа, пубертета и общото развитие, както и дългосрочната ефикасност на лечението с ивабрадин в детска възраст за намаляване на сърдечносъдовата заболеваемост и смъртност не са били проучвани.</w:t>
      </w:r>
    </w:p>
    <w:p w14:paraId="2923DAF5" w14:textId="77777777" w:rsidR="00C57FFB" w:rsidRDefault="00C57FFB" w:rsidP="00C57FFB">
      <w:pPr>
        <w:spacing w:line="240" w:lineRule="auto"/>
        <w:rPr>
          <w:rFonts w:eastAsia="Times New Roman" w:cs="Arial"/>
          <w:color w:val="000000"/>
          <w:lang w:eastAsia="bg-BG"/>
        </w:rPr>
      </w:pPr>
    </w:p>
    <w:p w14:paraId="6AF36795" w14:textId="79D2DAE1"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Европейската агенция по лекарствата освобождава от задължението за предоставяне на резултатите от проучванията с </w:t>
      </w:r>
      <w:proofErr w:type="spellStart"/>
      <w:r w:rsidRPr="00C57FFB">
        <w:rPr>
          <w:rFonts w:eastAsia="Times New Roman" w:cs="Arial"/>
          <w:color w:val="000000"/>
          <w:lang w:val="en-US"/>
        </w:rPr>
        <w:t>Procoralan</w:t>
      </w:r>
      <w:proofErr w:type="spellEnd"/>
      <w:r w:rsidRPr="00C57FFB">
        <w:rPr>
          <w:rFonts w:eastAsia="Times New Roman" w:cs="Arial"/>
          <w:color w:val="000000"/>
          <w:lang w:val="ru-RU"/>
        </w:rPr>
        <w:t xml:space="preserve"> </w:t>
      </w:r>
      <w:r w:rsidRPr="00C57FFB">
        <w:rPr>
          <w:rFonts w:eastAsia="Times New Roman" w:cs="Arial"/>
          <w:color w:val="000000"/>
          <w:lang w:eastAsia="bg-BG"/>
        </w:rPr>
        <w:t>във всички подгрупи на педиатричната популация в лечението на стенокардия.</w:t>
      </w:r>
    </w:p>
    <w:p w14:paraId="16D9A842"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Европейската агенция по лекарствата освобождава от задължението за предоставяне на резултатите от проучванията с </w:t>
      </w:r>
      <w:proofErr w:type="spellStart"/>
      <w:r w:rsidRPr="00C57FFB">
        <w:rPr>
          <w:rFonts w:eastAsia="Times New Roman" w:cs="Arial"/>
          <w:color w:val="000000"/>
          <w:lang w:val="en-US"/>
        </w:rPr>
        <w:t>Procoralan</w:t>
      </w:r>
      <w:proofErr w:type="spellEnd"/>
      <w:r w:rsidRPr="00C57FFB">
        <w:rPr>
          <w:rFonts w:eastAsia="Times New Roman" w:cs="Arial"/>
          <w:color w:val="000000"/>
          <w:lang w:val="ru-RU"/>
        </w:rPr>
        <w:t xml:space="preserve"> </w:t>
      </w:r>
      <w:r w:rsidRPr="00C57FFB">
        <w:rPr>
          <w:rFonts w:eastAsia="Times New Roman" w:cs="Arial"/>
          <w:color w:val="000000"/>
          <w:lang w:eastAsia="bg-BG"/>
        </w:rPr>
        <w:t>при деца на възраст от 0 до 6 месеца в лечението на хронична сърдечна недостатъчност.</w:t>
      </w:r>
    </w:p>
    <w:p w14:paraId="28A6B5B2" w14:textId="3A7C4DAF" w:rsidR="00C57FFB" w:rsidRPr="00C57FFB" w:rsidRDefault="00C57FFB" w:rsidP="00C57FFB">
      <w:pPr>
        <w:rPr>
          <w:rFonts w:cs="Arial"/>
        </w:rPr>
      </w:pPr>
    </w:p>
    <w:p w14:paraId="79643DB7" w14:textId="5F93AE29" w:rsidR="00DF4C8E" w:rsidRDefault="002C50EE" w:rsidP="00F44498">
      <w:pPr>
        <w:pStyle w:val="Heading2"/>
      </w:pPr>
      <w:r>
        <w:t>5.2. Фармакокинетични свойства</w:t>
      </w:r>
    </w:p>
    <w:p w14:paraId="3F8D4DD6" w14:textId="2AEFD6A5" w:rsidR="00C57FFB" w:rsidRDefault="00C57FFB" w:rsidP="00C57FFB"/>
    <w:p w14:paraId="7A922F13" w14:textId="77777777" w:rsidR="00C57FFB" w:rsidRPr="00C57FFB" w:rsidRDefault="00C57FFB" w:rsidP="00C57FFB">
      <w:pPr>
        <w:spacing w:line="240" w:lineRule="auto"/>
        <w:rPr>
          <w:rFonts w:ascii="Times New Roman" w:eastAsia="Times New Roman" w:hAnsi="Times New Roman" w:cs="Times New Roman"/>
        </w:rPr>
      </w:pPr>
      <w:r w:rsidRPr="00C57FFB">
        <w:rPr>
          <w:rFonts w:ascii="Times New Roman" w:eastAsia="Times New Roman" w:hAnsi="Times New Roman" w:cs="Times New Roman"/>
          <w:color w:val="000000"/>
          <w:lang w:eastAsia="bg-BG"/>
        </w:rPr>
        <w:lastRenderedPageBreak/>
        <w:t xml:space="preserve">При физиологични условия ивабрадин се освобождава бързо от таблетките и има висока водоразтворимост (&gt;10 </w:t>
      </w:r>
      <w:r w:rsidRPr="00C57FFB">
        <w:rPr>
          <w:rFonts w:ascii="Times New Roman" w:eastAsia="Times New Roman" w:hAnsi="Times New Roman" w:cs="Times New Roman"/>
          <w:color w:val="000000"/>
          <w:lang w:val="en-US"/>
        </w:rPr>
        <w:t>mg</w:t>
      </w:r>
      <w:r w:rsidRPr="00C57FFB">
        <w:rPr>
          <w:rFonts w:ascii="Times New Roman" w:eastAsia="Times New Roman" w:hAnsi="Times New Roman" w:cs="Times New Roman"/>
          <w:color w:val="000000"/>
          <w:lang w:val="ru-RU"/>
        </w:rPr>
        <w:t>/</w:t>
      </w:r>
      <w:r w:rsidRPr="00C57FFB">
        <w:rPr>
          <w:rFonts w:ascii="Times New Roman" w:eastAsia="Times New Roman" w:hAnsi="Times New Roman" w:cs="Times New Roman"/>
          <w:color w:val="000000"/>
          <w:lang w:val="en-US"/>
        </w:rPr>
        <w:t>ml</w:t>
      </w:r>
      <w:r w:rsidRPr="00C57FFB">
        <w:rPr>
          <w:rFonts w:ascii="Times New Roman" w:eastAsia="Times New Roman" w:hAnsi="Times New Roman" w:cs="Times New Roman"/>
          <w:color w:val="000000"/>
          <w:lang w:val="ru-RU"/>
        </w:rPr>
        <w:t xml:space="preserve">). </w:t>
      </w:r>
      <w:r w:rsidRPr="00C57FFB">
        <w:rPr>
          <w:rFonts w:ascii="Times New Roman" w:eastAsia="Times New Roman" w:hAnsi="Times New Roman" w:cs="Times New Roman"/>
          <w:color w:val="000000"/>
          <w:lang w:eastAsia="bg-BG"/>
        </w:rPr>
        <w:t xml:space="preserve">Ивабрадин представлява </w:t>
      </w:r>
      <w:r w:rsidRPr="00C57FFB">
        <w:rPr>
          <w:rFonts w:ascii="Times New Roman" w:eastAsia="Times New Roman" w:hAnsi="Times New Roman" w:cs="Times New Roman"/>
          <w:color w:val="000000"/>
          <w:lang w:val="en-US"/>
        </w:rPr>
        <w:t>S</w:t>
      </w:r>
      <w:r w:rsidRPr="00C57FFB">
        <w:rPr>
          <w:rFonts w:ascii="Times New Roman" w:eastAsia="Times New Roman" w:hAnsi="Times New Roman" w:cs="Times New Roman"/>
          <w:color w:val="000000"/>
          <w:lang w:eastAsia="bg-BG"/>
        </w:rPr>
        <w:t xml:space="preserve">-енантиомер. който не претърпява биоконверсия </w:t>
      </w:r>
      <w:r w:rsidRPr="00C57FFB">
        <w:rPr>
          <w:rFonts w:ascii="Times New Roman" w:eastAsia="Times New Roman" w:hAnsi="Times New Roman" w:cs="Times New Roman"/>
          <w:i/>
          <w:iCs/>
          <w:color w:val="000000"/>
          <w:lang w:val="en-US"/>
        </w:rPr>
        <w:t>in</w:t>
      </w:r>
      <w:r w:rsidRPr="00C57FFB">
        <w:rPr>
          <w:rFonts w:ascii="Times New Roman" w:eastAsia="Times New Roman" w:hAnsi="Times New Roman" w:cs="Times New Roman"/>
          <w:i/>
          <w:iCs/>
          <w:color w:val="000000"/>
          <w:lang w:val="ru-RU"/>
        </w:rPr>
        <w:t xml:space="preserve"> </w:t>
      </w:r>
      <w:r w:rsidRPr="00C57FFB">
        <w:rPr>
          <w:rFonts w:ascii="Times New Roman" w:eastAsia="Times New Roman" w:hAnsi="Times New Roman" w:cs="Times New Roman"/>
          <w:i/>
          <w:iCs/>
          <w:color w:val="000000"/>
          <w:lang w:val="en-US"/>
        </w:rPr>
        <w:t>vivo</w:t>
      </w:r>
      <w:r w:rsidRPr="00C57FFB">
        <w:rPr>
          <w:rFonts w:ascii="Times New Roman" w:eastAsia="Times New Roman" w:hAnsi="Times New Roman" w:cs="Times New Roman"/>
          <w:i/>
          <w:iCs/>
          <w:color w:val="000000"/>
          <w:lang w:val="ru-RU"/>
        </w:rPr>
        <w:t>.</w:t>
      </w:r>
      <w:r w:rsidRPr="00C57FFB">
        <w:rPr>
          <w:rFonts w:ascii="Times New Roman" w:eastAsia="Times New Roman" w:hAnsi="Times New Roman" w:cs="Times New Roman"/>
          <w:color w:val="000000"/>
          <w:lang w:val="ru-RU"/>
        </w:rPr>
        <w:t xml:space="preserve"> </w:t>
      </w:r>
      <w:r w:rsidRPr="00C57FFB">
        <w:rPr>
          <w:rFonts w:ascii="Times New Roman" w:eastAsia="Times New Roman" w:hAnsi="Times New Roman" w:cs="Times New Roman"/>
          <w:color w:val="000000"/>
          <w:lang w:val="en-US"/>
        </w:rPr>
        <w:t>N</w:t>
      </w:r>
      <w:r w:rsidRPr="00C57FFB">
        <w:rPr>
          <w:rFonts w:ascii="Times New Roman" w:eastAsia="Times New Roman" w:hAnsi="Times New Roman" w:cs="Times New Roman"/>
          <w:color w:val="000000"/>
          <w:lang w:eastAsia="bg-BG"/>
        </w:rPr>
        <w:t>-дезметилираният дериват на ивабрадин беше идентифициран като главен активен метаболит при човека.</w:t>
      </w:r>
    </w:p>
    <w:p w14:paraId="2C3AB17B" w14:textId="77777777" w:rsidR="00C57FFB" w:rsidRPr="00C57FFB" w:rsidRDefault="00C57FFB" w:rsidP="00C57FFB">
      <w:pPr>
        <w:spacing w:line="240" w:lineRule="auto"/>
        <w:rPr>
          <w:rFonts w:ascii="Times New Roman" w:eastAsia="Times New Roman" w:hAnsi="Times New Roman" w:cs="Times New Roman"/>
          <w:color w:val="000000"/>
          <w:u w:val="single"/>
          <w:lang w:eastAsia="bg-BG"/>
        </w:rPr>
      </w:pPr>
    </w:p>
    <w:p w14:paraId="5524DA1F" w14:textId="4DAE2127" w:rsidR="00C57FFB" w:rsidRPr="00C57FFB" w:rsidRDefault="00C57FFB" w:rsidP="00C57FFB">
      <w:pPr>
        <w:spacing w:line="240" w:lineRule="auto"/>
        <w:rPr>
          <w:rFonts w:ascii="Times New Roman" w:eastAsia="Times New Roman" w:hAnsi="Times New Roman" w:cs="Times New Roman"/>
        </w:rPr>
      </w:pPr>
      <w:r w:rsidRPr="00C57FFB">
        <w:rPr>
          <w:rFonts w:ascii="Times New Roman" w:eastAsia="Times New Roman" w:hAnsi="Times New Roman" w:cs="Times New Roman"/>
          <w:color w:val="000000"/>
          <w:u w:val="single"/>
          <w:lang w:eastAsia="bg-BG"/>
        </w:rPr>
        <w:t>Абсорбция и бионаличност</w:t>
      </w:r>
    </w:p>
    <w:p w14:paraId="01D0B899" w14:textId="77777777" w:rsidR="00C57FFB" w:rsidRPr="00C57FFB" w:rsidRDefault="00C57FFB" w:rsidP="00C57FFB">
      <w:pPr>
        <w:spacing w:line="240" w:lineRule="auto"/>
        <w:rPr>
          <w:rFonts w:ascii="Times New Roman" w:eastAsia="Times New Roman" w:hAnsi="Times New Roman" w:cs="Times New Roman"/>
        </w:rPr>
      </w:pPr>
      <w:r w:rsidRPr="00C57FFB">
        <w:rPr>
          <w:rFonts w:ascii="Times New Roman" w:eastAsia="Times New Roman" w:hAnsi="Times New Roman" w:cs="Times New Roman"/>
          <w:color w:val="000000"/>
          <w:lang w:eastAsia="bg-BG"/>
        </w:rPr>
        <w:t>Ивабрадин се абсорбира бързо и почти напълно след перорално приложение с достигане на максимална плазмена концентрация след около 1 час при прием на гладно. Абсолютната бионаличност на филмираните таблетки е около 40%, поради ефекта на първо преминаване в червата и черния дроб.</w:t>
      </w:r>
    </w:p>
    <w:p w14:paraId="3F46772F" w14:textId="77777777" w:rsidR="00C57FFB" w:rsidRPr="00C57FFB" w:rsidRDefault="00C57FFB" w:rsidP="00C57FFB">
      <w:pPr>
        <w:spacing w:line="240" w:lineRule="auto"/>
        <w:rPr>
          <w:rFonts w:ascii="Times New Roman" w:eastAsia="Times New Roman" w:hAnsi="Times New Roman" w:cs="Times New Roman"/>
        </w:rPr>
      </w:pPr>
      <w:r w:rsidRPr="00C57FFB">
        <w:rPr>
          <w:rFonts w:ascii="Times New Roman" w:eastAsia="Times New Roman" w:hAnsi="Times New Roman" w:cs="Times New Roman"/>
          <w:color w:val="000000"/>
          <w:lang w:eastAsia="bg-BG"/>
        </w:rPr>
        <w:t>Храната забавя абсорбцията с приблизително 1 час и увеличава експозицията с 20 до 30%.</w:t>
      </w:r>
    </w:p>
    <w:p w14:paraId="0D57295C" w14:textId="77777777" w:rsidR="00C57FFB" w:rsidRPr="00C57FFB" w:rsidRDefault="00C57FFB" w:rsidP="00C57FFB">
      <w:pPr>
        <w:spacing w:line="240" w:lineRule="auto"/>
        <w:rPr>
          <w:rFonts w:ascii="Times New Roman" w:eastAsia="Times New Roman" w:hAnsi="Times New Roman" w:cs="Times New Roman"/>
        </w:rPr>
      </w:pPr>
      <w:r w:rsidRPr="00C57FFB">
        <w:rPr>
          <w:rFonts w:ascii="Times New Roman" w:eastAsia="Times New Roman" w:hAnsi="Times New Roman" w:cs="Times New Roman"/>
          <w:color w:val="000000"/>
          <w:lang w:eastAsia="bg-BG"/>
        </w:rPr>
        <w:t>Приемът на таблетката по време на хранене се препоръчва, за да се намалят интраиндивидуалните промени в експозицията (вж. точка 4.2).</w:t>
      </w:r>
    </w:p>
    <w:p w14:paraId="36AE15D6" w14:textId="77777777" w:rsidR="00C57FFB" w:rsidRPr="00C57FFB" w:rsidRDefault="00C57FFB" w:rsidP="00C57FFB">
      <w:pPr>
        <w:spacing w:line="240" w:lineRule="auto"/>
        <w:rPr>
          <w:rFonts w:ascii="Times New Roman" w:eastAsia="Times New Roman" w:hAnsi="Times New Roman" w:cs="Times New Roman"/>
          <w:color w:val="000000"/>
          <w:u w:val="single"/>
          <w:lang w:eastAsia="bg-BG"/>
        </w:rPr>
      </w:pPr>
    </w:p>
    <w:p w14:paraId="63DA6C63" w14:textId="62B78D21" w:rsidR="00C57FFB" w:rsidRPr="00C57FFB" w:rsidRDefault="00C57FFB" w:rsidP="00C57FFB">
      <w:pPr>
        <w:spacing w:line="240" w:lineRule="auto"/>
        <w:rPr>
          <w:rFonts w:ascii="Times New Roman" w:eastAsia="Times New Roman" w:hAnsi="Times New Roman" w:cs="Times New Roman"/>
        </w:rPr>
      </w:pPr>
      <w:r w:rsidRPr="00C57FFB">
        <w:rPr>
          <w:rFonts w:ascii="Times New Roman" w:eastAsia="Times New Roman" w:hAnsi="Times New Roman" w:cs="Times New Roman"/>
          <w:color w:val="000000"/>
          <w:u w:val="single"/>
          <w:lang w:eastAsia="bg-BG"/>
        </w:rPr>
        <w:t>Разпределение</w:t>
      </w:r>
    </w:p>
    <w:p w14:paraId="4D7CF41F" w14:textId="77777777" w:rsidR="00C57FFB" w:rsidRPr="00C57FFB" w:rsidRDefault="00C57FFB" w:rsidP="00C57FFB">
      <w:pPr>
        <w:spacing w:line="240" w:lineRule="auto"/>
        <w:rPr>
          <w:rFonts w:ascii="Times New Roman" w:eastAsia="Times New Roman" w:hAnsi="Times New Roman" w:cs="Times New Roman"/>
        </w:rPr>
      </w:pPr>
      <w:r w:rsidRPr="00C57FFB">
        <w:rPr>
          <w:rFonts w:ascii="Times New Roman" w:eastAsia="Times New Roman" w:hAnsi="Times New Roman" w:cs="Times New Roman"/>
          <w:color w:val="000000"/>
          <w:lang w:eastAsia="bg-BG"/>
        </w:rPr>
        <w:t xml:space="preserve">Ивабрадин е приблизително 70% свързан с плазмените белтъци и стационарният обем на разпределение при пациенти е близък до 1001. Максималната плазмена концентрация след хронично приложение в препоръчваната доза от 5 </w:t>
      </w:r>
      <w:r w:rsidRPr="00C57FFB">
        <w:rPr>
          <w:rFonts w:ascii="Times New Roman" w:eastAsia="Times New Roman" w:hAnsi="Times New Roman" w:cs="Times New Roman"/>
          <w:color w:val="000000"/>
          <w:lang w:val="en-US"/>
        </w:rPr>
        <w:t>mg</w:t>
      </w:r>
      <w:r w:rsidRPr="00C57FFB">
        <w:rPr>
          <w:rFonts w:ascii="Times New Roman" w:eastAsia="Times New Roman" w:hAnsi="Times New Roman" w:cs="Times New Roman"/>
          <w:color w:val="000000"/>
          <w:lang w:val="ru-RU"/>
        </w:rPr>
        <w:t xml:space="preserve"> </w:t>
      </w:r>
      <w:r w:rsidRPr="00C57FFB">
        <w:rPr>
          <w:rFonts w:ascii="Times New Roman" w:eastAsia="Times New Roman" w:hAnsi="Times New Roman" w:cs="Times New Roman"/>
          <w:color w:val="000000"/>
          <w:lang w:eastAsia="bg-BG"/>
        </w:rPr>
        <w:t xml:space="preserve">два пъти дневно е 22 </w:t>
      </w:r>
      <w:r w:rsidRPr="00C57FFB">
        <w:rPr>
          <w:rFonts w:ascii="Times New Roman" w:eastAsia="Times New Roman" w:hAnsi="Times New Roman" w:cs="Times New Roman"/>
          <w:color w:val="000000"/>
          <w:lang w:val="en-US"/>
        </w:rPr>
        <w:t>ng</w:t>
      </w:r>
      <w:r w:rsidRPr="00C57FFB">
        <w:rPr>
          <w:rFonts w:ascii="Times New Roman" w:eastAsia="Times New Roman" w:hAnsi="Times New Roman" w:cs="Times New Roman"/>
          <w:color w:val="000000"/>
          <w:lang w:val="ru-RU"/>
        </w:rPr>
        <w:t>/</w:t>
      </w:r>
      <w:r w:rsidRPr="00C57FFB">
        <w:rPr>
          <w:rFonts w:ascii="Times New Roman" w:eastAsia="Times New Roman" w:hAnsi="Times New Roman" w:cs="Times New Roman"/>
          <w:color w:val="000000"/>
          <w:lang w:val="en-US"/>
        </w:rPr>
        <w:t>ml</w:t>
      </w:r>
      <w:r w:rsidRPr="00C57FFB">
        <w:rPr>
          <w:rFonts w:ascii="Times New Roman" w:eastAsia="Times New Roman" w:hAnsi="Times New Roman" w:cs="Times New Roman"/>
          <w:color w:val="000000"/>
          <w:lang w:val="ru-RU"/>
        </w:rPr>
        <w:t xml:space="preserve"> (</w:t>
      </w:r>
      <w:r w:rsidRPr="00C57FFB">
        <w:rPr>
          <w:rFonts w:ascii="Times New Roman" w:eastAsia="Times New Roman" w:hAnsi="Times New Roman" w:cs="Times New Roman"/>
          <w:color w:val="000000"/>
          <w:lang w:val="en-US"/>
        </w:rPr>
        <w:t>CV</w:t>
      </w:r>
      <w:r w:rsidRPr="00C57FFB">
        <w:rPr>
          <w:rFonts w:ascii="Times New Roman" w:eastAsia="Times New Roman" w:hAnsi="Times New Roman" w:cs="Times New Roman"/>
          <w:color w:val="000000"/>
          <w:lang w:val="ru-RU"/>
        </w:rPr>
        <w:t xml:space="preserve">=29%). </w:t>
      </w:r>
      <w:r w:rsidRPr="00C57FFB">
        <w:rPr>
          <w:rFonts w:ascii="Times New Roman" w:eastAsia="Times New Roman" w:hAnsi="Times New Roman" w:cs="Times New Roman"/>
          <w:color w:val="000000"/>
          <w:lang w:eastAsia="bg-BG"/>
        </w:rPr>
        <w:t xml:space="preserve">Средната стационарна плазмена концентрация е 10 </w:t>
      </w:r>
      <w:r w:rsidRPr="00C57FFB">
        <w:rPr>
          <w:rFonts w:ascii="Times New Roman" w:eastAsia="Times New Roman" w:hAnsi="Times New Roman" w:cs="Times New Roman"/>
          <w:color w:val="000000"/>
          <w:lang w:val="en-US"/>
        </w:rPr>
        <w:t>ng</w:t>
      </w:r>
      <w:r w:rsidRPr="00C57FFB">
        <w:rPr>
          <w:rFonts w:ascii="Times New Roman" w:eastAsia="Times New Roman" w:hAnsi="Times New Roman" w:cs="Times New Roman"/>
          <w:color w:val="000000"/>
          <w:lang w:val="ru-RU"/>
        </w:rPr>
        <w:t>/</w:t>
      </w:r>
      <w:r w:rsidRPr="00C57FFB">
        <w:rPr>
          <w:rFonts w:ascii="Times New Roman" w:eastAsia="Times New Roman" w:hAnsi="Times New Roman" w:cs="Times New Roman"/>
          <w:color w:val="000000"/>
          <w:lang w:val="en-US"/>
        </w:rPr>
        <w:t>ml</w:t>
      </w:r>
      <w:r w:rsidRPr="00C57FFB">
        <w:rPr>
          <w:rFonts w:ascii="Times New Roman" w:eastAsia="Times New Roman" w:hAnsi="Times New Roman" w:cs="Times New Roman"/>
          <w:color w:val="000000"/>
          <w:lang w:val="ru-RU"/>
        </w:rPr>
        <w:t xml:space="preserve"> (</w:t>
      </w:r>
      <w:r w:rsidRPr="00C57FFB">
        <w:rPr>
          <w:rFonts w:ascii="Times New Roman" w:eastAsia="Times New Roman" w:hAnsi="Times New Roman" w:cs="Times New Roman"/>
          <w:color w:val="000000"/>
          <w:lang w:val="en-US"/>
        </w:rPr>
        <w:t>CV</w:t>
      </w:r>
      <w:r w:rsidRPr="00C57FFB">
        <w:rPr>
          <w:rFonts w:ascii="Times New Roman" w:eastAsia="Times New Roman" w:hAnsi="Times New Roman" w:cs="Times New Roman"/>
          <w:color w:val="000000"/>
          <w:lang w:val="ru-RU"/>
        </w:rPr>
        <w:t>=38%).</w:t>
      </w:r>
    </w:p>
    <w:p w14:paraId="4E0A51DB" w14:textId="4F888D54" w:rsidR="00C57FFB" w:rsidRDefault="00C57FFB" w:rsidP="00C57FFB"/>
    <w:p w14:paraId="26E06FCE" w14:textId="77777777"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Биотрансформация</w:t>
      </w:r>
    </w:p>
    <w:p w14:paraId="0B2DFE0B"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Ивабрадин се метаболизира главно от черния дроб и червата само чрез оксидация с цитохром Р450 ЗА4 </w:t>
      </w:r>
      <w:r w:rsidRPr="00C57FFB">
        <w:rPr>
          <w:rFonts w:eastAsia="Times New Roman" w:cs="Arial"/>
          <w:color w:val="000000"/>
          <w:lang w:val="ru-RU"/>
        </w:rPr>
        <w:t>(</w:t>
      </w:r>
      <w:r w:rsidRPr="00C57FFB">
        <w:rPr>
          <w:rFonts w:eastAsia="Times New Roman" w:cs="Arial"/>
          <w:color w:val="000000"/>
          <w:lang w:val="en-US"/>
        </w:rPr>
        <w:t>CYP</w:t>
      </w:r>
      <w:r w:rsidRPr="00C57FFB">
        <w:rPr>
          <w:rFonts w:eastAsia="Times New Roman" w:cs="Arial"/>
          <w:color w:val="000000"/>
          <w:lang w:val="ru-RU"/>
        </w:rPr>
        <w:t>3</w:t>
      </w:r>
      <w:r w:rsidRPr="00C57FFB">
        <w:rPr>
          <w:rFonts w:eastAsia="Times New Roman" w:cs="Arial"/>
          <w:color w:val="000000"/>
          <w:lang w:val="en-US"/>
        </w:rPr>
        <w:t>A</w:t>
      </w:r>
      <w:r w:rsidRPr="00C57FFB">
        <w:rPr>
          <w:rFonts w:eastAsia="Times New Roman" w:cs="Arial"/>
          <w:color w:val="000000"/>
          <w:lang w:val="ru-RU"/>
        </w:rPr>
        <w:t xml:space="preserve">4). </w:t>
      </w:r>
      <w:r w:rsidRPr="00C57FFB">
        <w:rPr>
          <w:rFonts w:eastAsia="Times New Roman" w:cs="Arial"/>
          <w:color w:val="000000"/>
          <w:lang w:eastAsia="bg-BG"/>
        </w:rPr>
        <w:t xml:space="preserve">Главният активен метаболит е </w:t>
      </w:r>
      <w:r w:rsidRPr="00C57FFB">
        <w:rPr>
          <w:rFonts w:eastAsia="Times New Roman" w:cs="Arial"/>
          <w:color w:val="000000"/>
          <w:lang w:val="en-US"/>
        </w:rPr>
        <w:t>N</w:t>
      </w:r>
      <w:r w:rsidRPr="00C57FFB">
        <w:rPr>
          <w:rFonts w:eastAsia="Times New Roman" w:cs="Arial"/>
          <w:color w:val="000000"/>
          <w:lang w:eastAsia="bg-BG"/>
        </w:rPr>
        <w:t>-дезметилираният дериват (</w:t>
      </w:r>
      <w:r w:rsidRPr="00C57FFB">
        <w:rPr>
          <w:rFonts w:eastAsia="Times New Roman" w:cs="Arial"/>
          <w:color w:val="000000"/>
          <w:lang w:val="en-US"/>
        </w:rPr>
        <w:t>S</w:t>
      </w:r>
      <w:r w:rsidRPr="00C57FFB">
        <w:rPr>
          <w:rFonts w:eastAsia="Times New Roman" w:cs="Arial"/>
          <w:color w:val="000000"/>
          <w:lang w:eastAsia="bg-BG"/>
        </w:rPr>
        <w:t xml:space="preserve"> 18982) с експозиция около 40% от тази на изходното вещество. Метаболизмът на този активен метаболит също включва </w:t>
      </w:r>
      <w:r w:rsidRPr="00C57FFB">
        <w:rPr>
          <w:rFonts w:eastAsia="Times New Roman" w:cs="Arial"/>
          <w:color w:val="000000"/>
          <w:lang w:val="en-US"/>
        </w:rPr>
        <w:t>CYP</w:t>
      </w:r>
      <w:r w:rsidRPr="00C57FFB">
        <w:rPr>
          <w:rFonts w:eastAsia="Times New Roman" w:cs="Arial"/>
          <w:color w:val="000000"/>
          <w:lang w:val="ru-RU"/>
        </w:rPr>
        <w:t>3</w:t>
      </w:r>
      <w:r w:rsidRPr="00C57FFB">
        <w:rPr>
          <w:rFonts w:eastAsia="Times New Roman" w:cs="Arial"/>
          <w:color w:val="000000"/>
          <w:lang w:val="en-US"/>
        </w:rPr>
        <w:t>A</w:t>
      </w:r>
      <w:r w:rsidRPr="00C57FFB">
        <w:rPr>
          <w:rFonts w:eastAsia="Times New Roman" w:cs="Arial"/>
          <w:color w:val="000000"/>
          <w:lang w:val="ru-RU"/>
        </w:rPr>
        <w:t xml:space="preserve">4. </w:t>
      </w:r>
      <w:r w:rsidRPr="00C57FFB">
        <w:rPr>
          <w:rFonts w:eastAsia="Times New Roman" w:cs="Arial"/>
          <w:color w:val="000000"/>
          <w:lang w:eastAsia="bg-BG"/>
        </w:rPr>
        <w:t>Ивабрадин има нисък афинитет към С</w:t>
      </w:r>
      <w:r w:rsidRPr="00C57FFB">
        <w:rPr>
          <w:rFonts w:eastAsia="Times New Roman" w:cs="Arial"/>
          <w:color w:val="000000"/>
          <w:lang w:val="en-US"/>
        </w:rPr>
        <w:t>YP</w:t>
      </w:r>
      <w:r w:rsidRPr="00C57FFB">
        <w:rPr>
          <w:rFonts w:eastAsia="Times New Roman" w:cs="Arial"/>
          <w:color w:val="000000"/>
          <w:lang w:val="ru-RU"/>
        </w:rPr>
        <w:t>3</w:t>
      </w:r>
      <w:r w:rsidRPr="00C57FFB">
        <w:rPr>
          <w:rFonts w:eastAsia="Times New Roman" w:cs="Arial"/>
          <w:color w:val="000000"/>
          <w:lang w:val="en-US"/>
        </w:rPr>
        <w:t>A</w:t>
      </w:r>
      <w:r w:rsidRPr="00C57FFB">
        <w:rPr>
          <w:rFonts w:eastAsia="Times New Roman" w:cs="Arial"/>
          <w:color w:val="000000"/>
          <w:lang w:val="ru-RU"/>
        </w:rPr>
        <w:t xml:space="preserve">4, </w:t>
      </w:r>
      <w:r w:rsidRPr="00C57FFB">
        <w:rPr>
          <w:rFonts w:eastAsia="Times New Roman" w:cs="Arial"/>
          <w:color w:val="000000"/>
          <w:lang w:eastAsia="bg-BG"/>
        </w:rPr>
        <w:t xml:space="preserve">не води до клинично значима индукция или инхибиция на </w:t>
      </w:r>
      <w:r w:rsidRPr="00C57FFB">
        <w:rPr>
          <w:rFonts w:eastAsia="Times New Roman" w:cs="Arial"/>
          <w:color w:val="000000"/>
          <w:lang w:val="en-US"/>
        </w:rPr>
        <w:t>CYP</w:t>
      </w:r>
      <w:r w:rsidRPr="00C57FFB">
        <w:rPr>
          <w:rFonts w:eastAsia="Times New Roman" w:cs="Arial"/>
          <w:color w:val="000000"/>
          <w:lang w:val="ru-RU"/>
        </w:rPr>
        <w:t xml:space="preserve">3 </w:t>
      </w:r>
      <w:r w:rsidRPr="00C57FFB">
        <w:rPr>
          <w:rFonts w:eastAsia="Times New Roman" w:cs="Arial"/>
          <w:color w:val="000000"/>
          <w:lang w:eastAsia="bg-BG"/>
        </w:rPr>
        <w:t xml:space="preserve">А4 и, следователно, е малко вероятно да промени метаболизма или плазмената концентрация на субстратите на </w:t>
      </w:r>
      <w:r w:rsidRPr="00C57FFB">
        <w:rPr>
          <w:rFonts w:eastAsia="Times New Roman" w:cs="Arial"/>
          <w:color w:val="000000"/>
          <w:lang w:val="en-US"/>
        </w:rPr>
        <w:t>CYP</w:t>
      </w:r>
      <w:r w:rsidRPr="00C57FFB">
        <w:rPr>
          <w:rFonts w:eastAsia="Times New Roman" w:cs="Arial"/>
          <w:color w:val="000000"/>
          <w:lang w:val="ru-RU"/>
        </w:rPr>
        <w:t>3</w:t>
      </w:r>
      <w:r w:rsidRPr="00C57FFB">
        <w:rPr>
          <w:rFonts w:eastAsia="Times New Roman" w:cs="Arial"/>
          <w:color w:val="000000"/>
          <w:lang w:val="en-US"/>
        </w:rPr>
        <w:t>A</w:t>
      </w:r>
      <w:r w:rsidRPr="00C57FFB">
        <w:rPr>
          <w:rFonts w:eastAsia="Times New Roman" w:cs="Arial"/>
          <w:color w:val="000000"/>
          <w:lang w:val="ru-RU"/>
        </w:rPr>
        <w:t xml:space="preserve">4. </w:t>
      </w:r>
      <w:r w:rsidRPr="00C57FFB">
        <w:rPr>
          <w:rFonts w:eastAsia="Times New Roman" w:cs="Arial"/>
          <w:color w:val="000000"/>
          <w:lang w:eastAsia="bg-BG"/>
        </w:rPr>
        <w:t>Напротив, мощните инхибитори и индуктори могат значително да засегнат плазмените концентрации на ивабрадин (вж. точка 4.5)</w:t>
      </w:r>
    </w:p>
    <w:p w14:paraId="57229999" w14:textId="77777777" w:rsidR="00C57FFB" w:rsidRDefault="00C57FFB" w:rsidP="00C57FFB">
      <w:pPr>
        <w:spacing w:line="240" w:lineRule="auto"/>
        <w:rPr>
          <w:rFonts w:eastAsia="Times New Roman" w:cs="Arial"/>
          <w:color w:val="000000"/>
          <w:u w:val="single"/>
          <w:lang w:eastAsia="bg-BG"/>
        </w:rPr>
      </w:pPr>
    </w:p>
    <w:p w14:paraId="7E77950E" w14:textId="396447C8"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Елиминиране</w:t>
      </w:r>
    </w:p>
    <w:p w14:paraId="64BC7646" w14:textId="77777777" w:rsidR="00C57FFB" w:rsidRDefault="00C57FFB" w:rsidP="00C57FFB">
      <w:pPr>
        <w:spacing w:line="240" w:lineRule="auto"/>
        <w:rPr>
          <w:rFonts w:eastAsia="Times New Roman" w:cs="Arial"/>
          <w:color w:val="000000"/>
          <w:lang w:eastAsia="bg-BG"/>
        </w:rPr>
      </w:pPr>
      <w:r w:rsidRPr="00C57FFB">
        <w:rPr>
          <w:rFonts w:eastAsia="Times New Roman" w:cs="Arial"/>
          <w:color w:val="000000"/>
          <w:lang w:eastAsia="bg-BG"/>
        </w:rPr>
        <w:t xml:space="preserve">Ивабрадин се елиминира с основен с основен полу-живот 2 часа (70-75% от </w:t>
      </w:r>
      <w:r w:rsidRPr="00C57FFB">
        <w:rPr>
          <w:rFonts w:eastAsia="Times New Roman" w:cs="Arial"/>
          <w:color w:val="000000"/>
          <w:lang w:val="en-US"/>
        </w:rPr>
        <w:t>AUC</w:t>
      </w:r>
      <w:r w:rsidRPr="00C57FFB">
        <w:rPr>
          <w:rFonts w:eastAsia="Times New Roman" w:cs="Arial"/>
          <w:color w:val="000000"/>
          <w:lang w:val="ru-RU"/>
        </w:rPr>
        <w:t xml:space="preserve">) </w:t>
      </w:r>
      <w:r w:rsidRPr="00C57FFB">
        <w:rPr>
          <w:rFonts w:eastAsia="Times New Roman" w:cs="Arial"/>
          <w:color w:val="000000"/>
          <w:lang w:eastAsia="bg-BG"/>
        </w:rPr>
        <w:t xml:space="preserve">в плазмата и ефективен полу-живот 11 часа. Тоталният клирьнс е почти 400 </w:t>
      </w:r>
      <w:r w:rsidRPr="00C57FFB">
        <w:rPr>
          <w:rFonts w:eastAsia="Times New Roman" w:cs="Arial"/>
          <w:color w:val="000000"/>
          <w:lang w:val="en-US"/>
        </w:rPr>
        <w:t>ml</w:t>
      </w:r>
      <w:r w:rsidRPr="00C57FFB">
        <w:rPr>
          <w:rFonts w:eastAsia="Times New Roman" w:cs="Arial"/>
          <w:color w:val="000000"/>
          <w:lang w:val="ru-RU"/>
        </w:rPr>
        <w:t>/</w:t>
      </w:r>
      <w:r w:rsidRPr="00C57FFB">
        <w:rPr>
          <w:rFonts w:eastAsia="Times New Roman" w:cs="Arial"/>
          <w:color w:val="000000"/>
          <w:lang w:val="en-US"/>
        </w:rPr>
        <w:t>min</w:t>
      </w:r>
      <w:r w:rsidRPr="00C57FFB">
        <w:rPr>
          <w:rFonts w:eastAsia="Times New Roman" w:cs="Arial"/>
          <w:color w:val="000000"/>
          <w:lang w:val="ru-RU"/>
        </w:rPr>
        <w:t xml:space="preserve">, </w:t>
      </w:r>
      <w:r w:rsidRPr="00C57FFB">
        <w:rPr>
          <w:rFonts w:eastAsia="Times New Roman" w:cs="Arial"/>
          <w:color w:val="000000"/>
          <w:lang w:eastAsia="bg-BG"/>
        </w:rPr>
        <w:t xml:space="preserve">а бъбречният клирьнс е около 70 </w:t>
      </w:r>
      <w:r w:rsidRPr="00C57FFB">
        <w:rPr>
          <w:rFonts w:eastAsia="Times New Roman" w:cs="Arial"/>
          <w:color w:val="000000"/>
          <w:lang w:val="en-US"/>
        </w:rPr>
        <w:t>ml</w:t>
      </w:r>
      <w:r w:rsidRPr="00C57FFB">
        <w:rPr>
          <w:rFonts w:eastAsia="Times New Roman" w:cs="Arial"/>
          <w:color w:val="000000"/>
          <w:lang w:val="ru-RU"/>
        </w:rPr>
        <w:t>/</w:t>
      </w:r>
      <w:r w:rsidRPr="00C57FFB">
        <w:rPr>
          <w:rFonts w:eastAsia="Times New Roman" w:cs="Arial"/>
          <w:color w:val="000000"/>
          <w:lang w:val="en-US"/>
        </w:rPr>
        <w:t>min</w:t>
      </w:r>
      <w:r w:rsidRPr="00C57FFB">
        <w:rPr>
          <w:rFonts w:eastAsia="Times New Roman" w:cs="Arial"/>
          <w:color w:val="000000"/>
          <w:lang w:val="ru-RU"/>
        </w:rPr>
        <w:t xml:space="preserve">. </w:t>
      </w:r>
      <w:r w:rsidRPr="00C57FFB">
        <w:rPr>
          <w:rFonts w:eastAsia="Times New Roman" w:cs="Arial"/>
          <w:color w:val="000000"/>
          <w:lang w:eastAsia="bg-BG"/>
        </w:rPr>
        <w:t xml:space="preserve">Екскрецията на метаболитите се осъществява в сходна степен чрез изпражненията и урината. Около 4% от оралната доза се екскретира в </w:t>
      </w:r>
    </w:p>
    <w:p w14:paraId="4C9E289B" w14:textId="656B6988" w:rsidR="00C57FFB" w:rsidRPr="00C57FFB" w:rsidRDefault="00C57FFB" w:rsidP="00C57FFB">
      <w:pPr>
        <w:spacing w:line="240" w:lineRule="auto"/>
        <w:rPr>
          <w:rFonts w:eastAsia="Times New Roman" w:cs="Arial"/>
        </w:rPr>
      </w:pPr>
      <w:r w:rsidRPr="00C57FFB">
        <w:rPr>
          <w:rFonts w:eastAsia="Times New Roman" w:cs="Arial"/>
          <w:color w:val="000000"/>
          <w:lang w:eastAsia="bg-BG"/>
        </w:rPr>
        <w:t>непроменен вид в урината.</w:t>
      </w:r>
    </w:p>
    <w:p w14:paraId="2FA93D32" w14:textId="77777777" w:rsidR="00C57FFB" w:rsidRDefault="00C57FFB" w:rsidP="00C57FFB">
      <w:pPr>
        <w:spacing w:line="240" w:lineRule="auto"/>
        <w:rPr>
          <w:rFonts w:eastAsia="Times New Roman" w:cs="Arial"/>
          <w:color w:val="000000"/>
          <w:u w:val="single"/>
          <w:lang w:eastAsia="bg-BG"/>
        </w:rPr>
      </w:pPr>
    </w:p>
    <w:p w14:paraId="6A889926" w14:textId="2D123C8A"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Линейност/нелинейност</w:t>
      </w:r>
    </w:p>
    <w:p w14:paraId="156834A7"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Кинетиката на ивабрадин има линеен характер в диапазона на орално дозиране 0,5-24 </w:t>
      </w:r>
      <w:r w:rsidRPr="00C57FFB">
        <w:rPr>
          <w:rFonts w:eastAsia="Times New Roman" w:cs="Arial"/>
          <w:color w:val="000000"/>
          <w:lang w:val="en-US"/>
        </w:rPr>
        <w:t>mg</w:t>
      </w:r>
      <w:r w:rsidRPr="00C57FFB">
        <w:rPr>
          <w:rFonts w:eastAsia="Times New Roman" w:cs="Arial"/>
          <w:color w:val="000000"/>
          <w:lang w:val="ru-RU"/>
        </w:rPr>
        <w:t>.</w:t>
      </w:r>
    </w:p>
    <w:p w14:paraId="54EF919D" w14:textId="77777777" w:rsidR="00C57FFB" w:rsidRDefault="00C57FFB" w:rsidP="00C57FFB">
      <w:pPr>
        <w:spacing w:line="240" w:lineRule="auto"/>
        <w:rPr>
          <w:rFonts w:eastAsia="Times New Roman" w:cs="Arial"/>
          <w:color w:val="000000"/>
          <w:u w:val="single"/>
          <w:lang w:eastAsia="bg-BG"/>
        </w:rPr>
      </w:pPr>
    </w:p>
    <w:p w14:paraId="59B8A915" w14:textId="0A9D7073"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Специални популации</w:t>
      </w:r>
    </w:p>
    <w:p w14:paraId="32E56FC4" w14:textId="77777777" w:rsidR="00C57FFB" w:rsidRPr="00C57FFB" w:rsidRDefault="00C57FFB" w:rsidP="00C57FFB">
      <w:pPr>
        <w:pStyle w:val="ListParagraph"/>
        <w:numPr>
          <w:ilvl w:val="0"/>
          <w:numId w:val="2"/>
        </w:numPr>
        <w:spacing w:line="240" w:lineRule="auto"/>
        <w:rPr>
          <w:rFonts w:eastAsia="Times New Roman" w:cs="Arial"/>
        </w:rPr>
      </w:pPr>
      <w:r w:rsidRPr="00C57FFB">
        <w:rPr>
          <w:rFonts w:eastAsia="Times New Roman" w:cs="Arial"/>
          <w:color w:val="000000"/>
          <w:lang w:eastAsia="bg-BG"/>
        </w:rPr>
        <w:t xml:space="preserve">Старческа възраст: не са наблюдавани фармакокинетични разлики </w:t>
      </w:r>
      <w:r w:rsidRPr="00C57FFB">
        <w:rPr>
          <w:rFonts w:eastAsia="Times New Roman" w:cs="Arial"/>
          <w:color w:val="000000"/>
          <w:lang w:val="ru-RU"/>
        </w:rPr>
        <w:t>(</w:t>
      </w:r>
      <w:r w:rsidRPr="00C57FFB">
        <w:rPr>
          <w:rFonts w:eastAsia="Times New Roman" w:cs="Arial"/>
          <w:color w:val="000000"/>
          <w:lang w:val="en-US"/>
        </w:rPr>
        <w:t>AUC</w:t>
      </w:r>
      <w:r w:rsidRPr="00C57FFB">
        <w:rPr>
          <w:rFonts w:eastAsia="Times New Roman" w:cs="Arial"/>
          <w:color w:val="000000"/>
          <w:lang w:val="ru-RU"/>
        </w:rPr>
        <w:t xml:space="preserve"> </w:t>
      </w:r>
      <w:r w:rsidRPr="00C57FFB">
        <w:rPr>
          <w:rFonts w:eastAsia="Times New Roman" w:cs="Arial"/>
          <w:color w:val="000000"/>
          <w:lang w:eastAsia="bg-BG"/>
        </w:rPr>
        <w:t>и С</w:t>
      </w:r>
      <w:r w:rsidRPr="00C57FFB">
        <w:rPr>
          <w:rFonts w:eastAsia="Times New Roman" w:cs="Arial"/>
          <w:color w:val="000000"/>
          <w:lang w:val="en-US"/>
        </w:rPr>
        <w:t>max</w:t>
      </w:r>
      <w:r w:rsidRPr="00C57FFB">
        <w:rPr>
          <w:rFonts w:eastAsia="Times New Roman" w:cs="Arial"/>
          <w:color w:val="000000"/>
          <w:lang w:eastAsia="bg-BG"/>
        </w:rPr>
        <w:t>) между по- възрастни (≥65 години) или много възрастни пациенти (≥75 години) и общата популация, (вж. точка 4.2).</w:t>
      </w:r>
    </w:p>
    <w:p w14:paraId="7FFC77E0" w14:textId="77777777" w:rsidR="00C57FFB" w:rsidRPr="00C57FFB" w:rsidRDefault="00C57FFB" w:rsidP="00C57FFB">
      <w:pPr>
        <w:pStyle w:val="ListParagraph"/>
        <w:numPr>
          <w:ilvl w:val="0"/>
          <w:numId w:val="2"/>
        </w:numPr>
        <w:spacing w:line="240" w:lineRule="auto"/>
        <w:rPr>
          <w:rFonts w:eastAsia="Times New Roman" w:cs="Arial"/>
        </w:rPr>
      </w:pPr>
      <w:r w:rsidRPr="00C57FFB">
        <w:rPr>
          <w:rFonts w:eastAsia="Times New Roman" w:cs="Arial"/>
          <w:color w:val="000000"/>
          <w:lang w:eastAsia="bg-BG"/>
        </w:rPr>
        <w:t xml:space="preserve">Бъбречно увреждане: Влиянието на бъбречната недостатъчност (креатининов клирънс от 15 до 60 </w:t>
      </w:r>
      <w:r w:rsidRPr="00C57FFB">
        <w:rPr>
          <w:rFonts w:eastAsia="Times New Roman" w:cs="Arial"/>
          <w:color w:val="000000"/>
          <w:lang w:val="en-US"/>
        </w:rPr>
        <w:t>ml</w:t>
      </w:r>
      <w:r w:rsidRPr="00C57FFB">
        <w:rPr>
          <w:rFonts w:eastAsia="Times New Roman" w:cs="Arial"/>
          <w:color w:val="000000"/>
          <w:lang w:val="ru-RU"/>
        </w:rPr>
        <w:t>/</w:t>
      </w:r>
      <w:r w:rsidRPr="00C57FFB">
        <w:rPr>
          <w:rFonts w:eastAsia="Times New Roman" w:cs="Arial"/>
          <w:color w:val="000000"/>
          <w:lang w:val="en-US"/>
        </w:rPr>
        <w:t>min</w:t>
      </w:r>
      <w:r w:rsidRPr="00C57FFB">
        <w:rPr>
          <w:rFonts w:eastAsia="Times New Roman" w:cs="Arial"/>
          <w:color w:val="000000"/>
          <w:lang w:val="ru-RU"/>
        </w:rPr>
        <w:t xml:space="preserve">) </w:t>
      </w:r>
      <w:r w:rsidRPr="00C57FFB">
        <w:rPr>
          <w:rFonts w:eastAsia="Times New Roman" w:cs="Arial"/>
          <w:color w:val="000000"/>
          <w:lang w:eastAsia="bg-BG"/>
        </w:rPr>
        <w:t xml:space="preserve">върху фармакокинетиката на ивабрадин е минимално във връзка с ниския принос на бъбречния клирьнс (около 20%) към общата елиминация както на ивабрадин, така и на главния му метаболит </w:t>
      </w:r>
      <w:r w:rsidRPr="00C57FFB">
        <w:rPr>
          <w:rFonts w:eastAsia="Times New Roman" w:cs="Arial"/>
          <w:color w:val="000000"/>
          <w:lang w:val="en-US"/>
        </w:rPr>
        <w:t>S</w:t>
      </w:r>
      <w:r w:rsidRPr="00C57FFB">
        <w:rPr>
          <w:rFonts w:eastAsia="Times New Roman" w:cs="Arial"/>
          <w:color w:val="000000"/>
          <w:lang w:val="ru-RU"/>
        </w:rPr>
        <w:t xml:space="preserve"> </w:t>
      </w:r>
      <w:r w:rsidRPr="00C57FFB">
        <w:rPr>
          <w:rFonts w:eastAsia="Times New Roman" w:cs="Arial"/>
          <w:color w:val="000000"/>
          <w:lang w:eastAsia="bg-BG"/>
        </w:rPr>
        <w:t>18982 (вж. точка 4.2).</w:t>
      </w:r>
    </w:p>
    <w:p w14:paraId="32A7A17C" w14:textId="77777777" w:rsidR="00C57FFB" w:rsidRPr="00C57FFB" w:rsidRDefault="00C57FFB" w:rsidP="00C57FFB">
      <w:pPr>
        <w:pStyle w:val="ListParagraph"/>
        <w:numPr>
          <w:ilvl w:val="0"/>
          <w:numId w:val="2"/>
        </w:numPr>
        <w:spacing w:line="240" w:lineRule="auto"/>
        <w:rPr>
          <w:rFonts w:eastAsia="Times New Roman" w:cs="Arial"/>
        </w:rPr>
      </w:pPr>
      <w:r w:rsidRPr="00C57FFB">
        <w:rPr>
          <w:rFonts w:eastAsia="Times New Roman" w:cs="Arial"/>
          <w:color w:val="000000"/>
          <w:lang w:eastAsia="bg-BG"/>
        </w:rPr>
        <w:lastRenderedPageBreak/>
        <w:t xml:space="preserve">Чернодробно увреждане: при пациенти с леко чернодробно увреждане </w:t>
      </w:r>
      <w:r w:rsidRPr="00C57FFB">
        <w:rPr>
          <w:rFonts w:eastAsia="Times New Roman" w:cs="Arial"/>
          <w:color w:val="000000"/>
          <w:lang w:val="ru-RU"/>
        </w:rPr>
        <w:t>(</w:t>
      </w:r>
      <w:r w:rsidRPr="00C57FFB">
        <w:rPr>
          <w:rFonts w:eastAsia="Times New Roman" w:cs="Arial"/>
          <w:color w:val="000000"/>
          <w:lang w:val="en-US"/>
        </w:rPr>
        <w:t>Child</w:t>
      </w:r>
      <w:r w:rsidRPr="00C57FFB">
        <w:rPr>
          <w:rFonts w:eastAsia="Times New Roman" w:cs="Arial"/>
          <w:color w:val="000000"/>
          <w:lang w:val="ru-RU"/>
        </w:rPr>
        <w:t xml:space="preserve"> </w:t>
      </w:r>
      <w:r w:rsidRPr="00C57FFB">
        <w:rPr>
          <w:rFonts w:eastAsia="Times New Roman" w:cs="Arial"/>
          <w:color w:val="000000"/>
          <w:lang w:val="en-US"/>
        </w:rPr>
        <w:t>Pugh</w:t>
      </w:r>
      <w:r w:rsidRPr="00C57FFB">
        <w:rPr>
          <w:rFonts w:eastAsia="Times New Roman" w:cs="Arial"/>
          <w:color w:val="000000"/>
          <w:lang w:val="ru-RU"/>
        </w:rPr>
        <w:t xml:space="preserve"> </w:t>
      </w:r>
      <w:r w:rsidRPr="00C57FFB">
        <w:rPr>
          <w:rFonts w:eastAsia="Times New Roman" w:cs="Arial"/>
          <w:color w:val="000000"/>
          <w:lang w:eastAsia="bg-BG"/>
        </w:rPr>
        <w:t xml:space="preserve">скор до 7) </w:t>
      </w:r>
      <w:r w:rsidRPr="00C57FFB">
        <w:rPr>
          <w:rFonts w:eastAsia="Times New Roman" w:cs="Arial"/>
          <w:color w:val="000000"/>
          <w:lang w:val="en-US"/>
        </w:rPr>
        <w:t>AUC</w:t>
      </w:r>
      <w:r w:rsidRPr="00C57FFB">
        <w:rPr>
          <w:rFonts w:eastAsia="Times New Roman" w:cs="Arial"/>
          <w:color w:val="000000"/>
          <w:lang w:val="ru-RU"/>
        </w:rPr>
        <w:t xml:space="preserve"> </w:t>
      </w:r>
      <w:r w:rsidRPr="00C57FFB">
        <w:rPr>
          <w:rFonts w:eastAsia="Times New Roman" w:cs="Arial"/>
          <w:color w:val="000000"/>
          <w:lang w:eastAsia="bg-BG"/>
        </w:rPr>
        <w:t>на несвързания ивабрадин и главния активен метаболит са били с около 20% по- високи, отколкото при лица с нормална чернодробна функция. Данните са недостатъчни, за да се направят изводи при пациенти с умерено чернодробно увреждано. Липсват данни при пациенти с тежка чернодробна недостатъчност (вж. точки 4.2 и 4.3).</w:t>
      </w:r>
    </w:p>
    <w:p w14:paraId="3E8921C7" w14:textId="09844715" w:rsidR="00C57FFB" w:rsidRPr="00C57FFB" w:rsidRDefault="00C57FFB" w:rsidP="00C57FFB">
      <w:pPr>
        <w:pStyle w:val="ListParagraph"/>
        <w:numPr>
          <w:ilvl w:val="0"/>
          <w:numId w:val="2"/>
        </w:numPr>
        <w:spacing w:line="240" w:lineRule="auto"/>
        <w:rPr>
          <w:rFonts w:eastAsia="Times New Roman" w:cs="Arial"/>
        </w:rPr>
      </w:pPr>
      <w:r w:rsidRPr="00C57FFB">
        <w:rPr>
          <w:rFonts w:eastAsia="Times New Roman" w:cs="Arial"/>
          <w:color w:val="000000"/>
          <w:lang w:eastAsia="bg-BG"/>
        </w:rPr>
        <w:t>Педиатрична популация: Фармакокинетнчния профил на ивабрадин при педиатрични пациенти от 6 месеца до по-малки от 18 години с хронична сърдечна недостатъчност е сходен с описаната при възрастни фармакокинетика, когато се прилага схема на титриране в зависимост от възрастта и телесното тегло.</w:t>
      </w:r>
    </w:p>
    <w:p w14:paraId="4320DAE6" w14:textId="77777777" w:rsidR="00C57FFB" w:rsidRDefault="00C57FFB" w:rsidP="00C57FFB">
      <w:pPr>
        <w:spacing w:line="240" w:lineRule="auto"/>
        <w:rPr>
          <w:rFonts w:eastAsia="Times New Roman" w:cs="Arial"/>
          <w:color w:val="000000"/>
          <w:u w:val="single"/>
          <w:lang w:eastAsia="bg-BG"/>
        </w:rPr>
      </w:pPr>
    </w:p>
    <w:p w14:paraId="2DE1B19A" w14:textId="63EAD601"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Връзка фармакокинетика/фармакодинамика (ФК/ФД)</w:t>
      </w:r>
    </w:p>
    <w:p w14:paraId="46672069"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Анализът на отношението ФК/ФД показа, че сърдечната честота намалява почти линейно с нарастване на плазмените концентрации на ивабрадин и </w:t>
      </w:r>
      <w:r w:rsidRPr="00C57FFB">
        <w:rPr>
          <w:rFonts w:eastAsia="Times New Roman" w:cs="Arial"/>
          <w:color w:val="000000"/>
          <w:lang w:val="en-US"/>
        </w:rPr>
        <w:t>S</w:t>
      </w:r>
      <w:r w:rsidRPr="00C57FFB">
        <w:rPr>
          <w:rFonts w:eastAsia="Times New Roman" w:cs="Arial"/>
          <w:color w:val="000000"/>
          <w:lang w:val="ru-RU"/>
        </w:rPr>
        <w:t xml:space="preserve"> </w:t>
      </w:r>
      <w:r w:rsidRPr="00C57FFB">
        <w:rPr>
          <w:rFonts w:eastAsia="Times New Roman" w:cs="Arial"/>
          <w:color w:val="000000"/>
          <w:lang w:eastAsia="bg-BG"/>
        </w:rPr>
        <w:t xml:space="preserve">18982 за дози до 15-20 </w:t>
      </w:r>
      <w:r w:rsidRPr="00C57FFB">
        <w:rPr>
          <w:rFonts w:eastAsia="Times New Roman" w:cs="Arial"/>
          <w:color w:val="000000"/>
          <w:lang w:val="en-US"/>
        </w:rPr>
        <w:t>mg</w:t>
      </w:r>
      <w:r w:rsidRPr="00C57FFB">
        <w:rPr>
          <w:rFonts w:eastAsia="Times New Roman" w:cs="Arial"/>
          <w:color w:val="000000"/>
          <w:lang w:val="ru-RU"/>
        </w:rPr>
        <w:t xml:space="preserve"> </w:t>
      </w:r>
      <w:r w:rsidRPr="00C57FFB">
        <w:rPr>
          <w:rFonts w:eastAsia="Times New Roman" w:cs="Arial"/>
          <w:color w:val="000000"/>
          <w:lang w:eastAsia="bg-BG"/>
        </w:rPr>
        <w:t xml:space="preserve">два пъти дневно. При по-високи дози понижението на сърдечната честота вече не е пропорционално на плазмените концентрации на ивабрадин и показва тенденция към достигане на плато. Високите експозиции на ивабрадин, които могат да настъпят, когато ивабрадин се приложи в комбинация със силни </w:t>
      </w:r>
      <w:r w:rsidRPr="00C57FFB">
        <w:rPr>
          <w:rFonts w:eastAsia="Times New Roman" w:cs="Arial"/>
          <w:color w:val="000000"/>
          <w:lang w:val="en-US"/>
        </w:rPr>
        <w:t>CYP</w:t>
      </w:r>
      <w:r w:rsidRPr="00C57FFB">
        <w:rPr>
          <w:rFonts w:eastAsia="Times New Roman" w:cs="Arial"/>
          <w:color w:val="000000"/>
          <w:lang w:val="ru-RU"/>
        </w:rPr>
        <w:t>3</w:t>
      </w:r>
      <w:r w:rsidRPr="00C57FFB">
        <w:rPr>
          <w:rFonts w:eastAsia="Times New Roman" w:cs="Arial"/>
          <w:color w:val="000000"/>
          <w:lang w:val="en-US"/>
        </w:rPr>
        <w:t>A</w:t>
      </w:r>
      <w:r w:rsidRPr="00C57FFB">
        <w:rPr>
          <w:rFonts w:eastAsia="Times New Roman" w:cs="Arial"/>
          <w:color w:val="000000"/>
          <w:lang w:val="ru-RU"/>
        </w:rPr>
        <w:t xml:space="preserve">4 </w:t>
      </w:r>
      <w:r w:rsidRPr="00C57FFB">
        <w:rPr>
          <w:rFonts w:eastAsia="Times New Roman" w:cs="Arial"/>
          <w:color w:val="000000"/>
          <w:lang w:eastAsia="bg-BG"/>
        </w:rPr>
        <w:t>инхибитори, могат да доведат до прекомерно понижение на сърдечната честота, въпреки че този риск намалява при умерени СУРЗА4 инхибитори (вж. точки 4.3,4.4 и 4.5). Връзката ФК/ФД на ивабрадин при педиатрични пациенти на възраст от 6 месеца до по-малки от 18 години с хронична сърдечна недостатъчност е сходна с описаната при възрастни връзка ФК/ФД.</w:t>
      </w:r>
    </w:p>
    <w:p w14:paraId="1F1AB3D4" w14:textId="5AB05450" w:rsidR="00C57FFB" w:rsidRPr="00C57FFB" w:rsidRDefault="00C57FFB" w:rsidP="00C57FFB"/>
    <w:p w14:paraId="028E658A" w14:textId="399F567B" w:rsidR="00395555" w:rsidRDefault="002C50EE" w:rsidP="008A6AF2">
      <w:pPr>
        <w:pStyle w:val="Heading2"/>
      </w:pPr>
      <w:r>
        <w:t>5.3. Предклинични данни за безопасност</w:t>
      </w:r>
    </w:p>
    <w:p w14:paraId="30C58939" w14:textId="252E0FB3" w:rsidR="00C57FFB" w:rsidRDefault="00C57FFB" w:rsidP="00C57FFB"/>
    <w:p w14:paraId="3A13546B"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Неклиничните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прилагане, генотоксичност, карциногенен потенциал. Проучванията за репродуктивна токсичност са показали липса на ефект на ивабрадин върху фертилитета при мъжки и женски плъхове. Когато бременни лабораторни животни са били третирани по време на органогенезата с експозиции, близки до терапевтичните дози, била наблюдавана по-висока честота на фетуси със сърдечни дефекти при плъхове и малък брой фетуси с ектродактилия при зайци.</w:t>
      </w:r>
    </w:p>
    <w:p w14:paraId="129A50FC"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При кучета, на които е даван ивабрадин (дози от 2,7 или 24 </w:t>
      </w:r>
      <w:r w:rsidRPr="00C57FFB">
        <w:rPr>
          <w:rFonts w:eastAsia="Times New Roman" w:cs="Arial"/>
          <w:color w:val="000000"/>
          <w:lang w:val="en-US"/>
        </w:rPr>
        <w:t>mg</w:t>
      </w:r>
      <w:r w:rsidRPr="00C57FFB">
        <w:rPr>
          <w:rFonts w:eastAsia="Times New Roman" w:cs="Arial"/>
          <w:color w:val="000000"/>
          <w:lang w:val="ru-RU"/>
        </w:rPr>
        <w:t>/</w:t>
      </w:r>
      <w:r w:rsidRPr="00C57FFB">
        <w:rPr>
          <w:rFonts w:eastAsia="Times New Roman" w:cs="Arial"/>
          <w:color w:val="000000"/>
          <w:lang w:val="en-US"/>
        </w:rPr>
        <w:t>kg</w:t>
      </w:r>
      <w:r w:rsidRPr="00C57FFB">
        <w:rPr>
          <w:rFonts w:eastAsia="Times New Roman" w:cs="Arial"/>
          <w:color w:val="000000"/>
          <w:lang w:eastAsia="bg-BG"/>
        </w:rPr>
        <w:t xml:space="preserve">/ден) за една година, са наблюдавани обратими промени на функцията на ретината, но те не са били свързани с увреждане на очните структури. Тези данни съответстват на фармакологичния ефект на ивабрадин, свързан с взаимодействието му с хиперлоляризационно-активираните токове в ретината, които са много сходни с </w:t>
      </w:r>
      <w:r w:rsidRPr="00C57FFB">
        <w:rPr>
          <w:rFonts w:eastAsia="Times New Roman" w:cs="Arial"/>
          <w:color w:val="000000"/>
          <w:lang w:val="en-US"/>
        </w:rPr>
        <w:t>I</w:t>
      </w:r>
      <w:r w:rsidRPr="00C57FFB">
        <w:rPr>
          <w:rFonts w:eastAsia="Times New Roman" w:cs="Arial"/>
          <w:color w:val="000000"/>
          <w:vertAlign w:val="subscript"/>
          <w:lang w:val="en-US"/>
        </w:rPr>
        <w:t>f</w:t>
      </w:r>
      <w:r w:rsidRPr="00C57FFB">
        <w:rPr>
          <w:rFonts w:eastAsia="Times New Roman" w:cs="Arial"/>
          <w:color w:val="000000"/>
          <w:lang w:val="ru-RU"/>
        </w:rPr>
        <w:t xml:space="preserve"> </w:t>
      </w:r>
      <w:r w:rsidRPr="00C57FFB">
        <w:rPr>
          <w:rFonts w:eastAsia="Times New Roman" w:cs="Arial"/>
          <w:color w:val="000000"/>
          <w:lang w:eastAsia="bg-BG"/>
        </w:rPr>
        <w:t>на сърдечния пейсмейкьр.</w:t>
      </w:r>
    </w:p>
    <w:p w14:paraId="45218B4B"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Други дългосрочни проучвания с многократни дози и проучвания за карциногенност не са довели до разкриване на клинично значими промени.</w:t>
      </w:r>
    </w:p>
    <w:p w14:paraId="045B9382" w14:textId="77777777" w:rsidR="00C57FFB" w:rsidRDefault="00C57FFB" w:rsidP="00C57FFB">
      <w:pPr>
        <w:spacing w:line="240" w:lineRule="auto"/>
        <w:rPr>
          <w:rFonts w:eastAsia="Times New Roman" w:cs="Arial"/>
          <w:color w:val="000000"/>
          <w:u w:val="single"/>
          <w:lang w:eastAsia="bg-BG"/>
        </w:rPr>
      </w:pPr>
    </w:p>
    <w:p w14:paraId="32E99B7B" w14:textId="515D5390" w:rsidR="00C57FFB" w:rsidRPr="00C57FFB" w:rsidRDefault="00C57FFB" w:rsidP="00C57FFB">
      <w:pPr>
        <w:spacing w:line="240" w:lineRule="auto"/>
        <w:rPr>
          <w:rFonts w:eastAsia="Times New Roman" w:cs="Arial"/>
        </w:rPr>
      </w:pPr>
      <w:r w:rsidRPr="00C57FFB">
        <w:rPr>
          <w:rFonts w:eastAsia="Times New Roman" w:cs="Arial"/>
          <w:color w:val="000000"/>
          <w:u w:val="single"/>
          <w:lang w:eastAsia="bg-BG"/>
        </w:rPr>
        <w:t xml:space="preserve">Оценка на риска за околната среда </w:t>
      </w:r>
      <w:r w:rsidRPr="00C57FFB">
        <w:rPr>
          <w:rFonts w:eastAsia="Times New Roman" w:cs="Arial"/>
          <w:color w:val="000000"/>
          <w:u w:val="single"/>
          <w:lang w:val="ru-RU"/>
        </w:rPr>
        <w:t>(</w:t>
      </w:r>
      <w:r w:rsidRPr="00C57FFB">
        <w:rPr>
          <w:rFonts w:eastAsia="Times New Roman" w:cs="Arial"/>
          <w:color w:val="000000"/>
          <w:u w:val="single"/>
          <w:lang w:val="en-US"/>
        </w:rPr>
        <w:t>ERA</w:t>
      </w:r>
      <w:r w:rsidRPr="00C57FFB">
        <w:rPr>
          <w:rFonts w:eastAsia="Times New Roman" w:cs="Arial"/>
          <w:color w:val="000000"/>
          <w:u w:val="single"/>
          <w:lang w:val="ru-RU"/>
        </w:rPr>
        <w:t>)</w:t>
      </w:r>
    </w:p>
    <w:p w14:paraId="46FE925A" w14:textId="77777777" w:rsidR="00C57FFB" w:rsidRPr="00C57FFB" w:rsidRDefault="00C57FFB" w:rsidP="00C57FFB">
      <w:pPr>
        <w:spacing w:line="240" w:lineRule="auto"/>
        <w:rPr>
          <w:rFonts w:eastAsia="Times New Roman" w:cs="Arial"/>
        </w:rPr>
      </w:pPr>
      <w:r w:rsidRPr="00C57FFB">
        <w:rPr>
          <w:rFonts w:eastAsia="Times New Roman" w:cs="Arial"/>
          <w:color w:val="000000"/>
          <w:lang w:eastAsia="bg-BG"/>
        </w:rPr>
        <w:t xml:space="preserve">Оценката на риска за околната среда от ивабрадин е проведена в съответствие с европейското ръководство за </w:t>
      </w:r>
      <w:r w:rsidRPr="00C57FFB">
        <w:rPr>
          <w:rFonts w:eastAsia="Times New Roman" w:cs="Arial"/>
          <w:color w:val="000000"/>
          <w:lang w:val="en-US"/>
        </w:rPr>
        <w:t>ERA</w:t>
      </w:r>
      <w:r w:rsidRPr="00C57FFB">
        <w:rPr>
          <w:rFonts w:eastAsia="Times New Roman" w:cs="Arial"/>
          <w:color w:val="000000"/>
          <w:lang w:val="ru-RU"/>
        </w:rPr>
        <w:t>.</w:t>
      </w:r>
    </w:p>
    <w:p w14:paraId="731CFE25" w14:textId="381953B7" w:rsidR="00C57FFB" w:rsidRPr="00C57FFB" w:rsidRDefault="00C57FFB" w:rsidP="00C57FFB">
      <w:pPr>
        <w:spacing w:line="240" w:lineRule="auto"/>
        <w:rPr>
          <w:rFonts w:eastAsia="Times New Roman" w:cs="Arial"/>
        </w:rPr>
      </w:pPr>
      <w:r w:rsidRPr="00C57FFB">
        <w:rPr>
          <w:rFonts w:eastAsia="Times New Roman" w:cs="Arial"/>
          <w:color w:val="000000"/>
          <w:lang w:eastAsia="bg-BG"/>
        </w:rPr>
        <w:t>Резултатите от тези проучвания подкрепят липсата на риск за околната среда от ивабрадин и ивабрадин не представлява заплаха за околната среда.</w:t>
      </w:r>
    </w:p>
    <w:p w14:paraId="6A7820AB" w14:textId="48368DAF" w:rsidR="008A6AF2" w:rsidRDefault="002C50EE" w:rsidP="00395555">
      <w:pPr>
        <w:pStyle w:val="Heading1"/>
      </w:pPr>
      <w:r>
        <w:t>7. ПРИТЕЖАТЕЛ НА РАЗРЕШЕНИЕТО ЗА УПОТРЕБА</w:t>
      </w:r>
    </w:p>
    <w:p w14:paraId="6FE659E6" w14:textId="7313B8E6" w:rsidR="00C57FFB" w:rsidRDefault="00C57FFB" w:rsidP="00C57FFB"/>
    <w:p w14:paraId="56A94292" w14:textId="10DD5705" w:rsidR="00C57FFB" w:rsidRPr="00C57FFB" w:rsidRDefault="00C57FFB" w:rsidP="00C57FFB">
      <w:r>
        <w:rPr>
          <w:b/>
          <w:bCs/>
        </w:rPr>
        <w:lastRenderedPageBreak/>
        <w:t xml:space="preserve">ИНБИОТЕХ ООД </w:t>
      </w:r>
      <w:r>
        <w:t>Ул. „Триадица“ № 5 А, 1000 София, България</w:t>
      </w:r>
    </w:p>
    <w:p w14:paraId="04840D59" w14:textId="16600527" w:rsidR="002C50EE" w:rsidRDefault="002C50EE" w:rsidP="00395555">
      <w:pPr>
        <w:pStyle w:val="Heading1"/>
      </w:pPr>
      <w:r>
        <w:t>8. НОМЕР НА РАЗРЕШЕНИЕТО ЗА УПОТРЕБА</w:t>
      </w:r>
    </w:p>
    <w:p w14:paraId="0AAAE268" w14:textId="6E39628D" w:rsidR="00C57FFB" w:rsidRPr="00C57FFB" w:rsidRDefault="00C57FFB" w:rsidP="00C57FFB">
      <w:bookmarkStart w:id="1" w:name="_GoBack"/>
      <w:bookmarkEnd w:id="1"/>
    </w:p>
    <w:p w14:paraId="2CCB5832" w14:textId="2CFED1E7"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0F453CC7" w:rsidR="007C605B" w:rsidRPr="002B0A88" w:rsidRDefault="00C57FFB" w:rsidP="00C57FFB">
      <w:pPr>
        <w:rPr>
          <w:sz w:val="24"/>
          <w:szCs w:val="24"/>
        </w:rPr>
      </w:pPr>
      <w:r>
        <w:t>м. февруари 2017</w:t>
      </w: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3"/>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7D12C4"/>
    <w:rsid w:val="00814073"/>
    <w:rsid w:val="00826F0D"/>
    <w:rsid w:val="00893B92"/>
    <w:rsid w:val="008A6AF2"/>
    <w:rsid w:val="008C70A2"/>
    <w:rsid w:val="009773E4"/>
    <w:rsid w:val="009B171C"/>
    <w:rsid w:val="009F1313"/>
    <w:rsid w:val="00A20351"/>
    <w:rsid w:val="00AA23EC"/>
    <w:rsid w:val="00AC63CE"/>
    <w:rsid w:val="00AE2107"/>
    <w:rsid w:val="00AF6D6A"/>
    <w:rsid w:val="00B275A8"/>
    <w:rsid w:val="00BF2600"/>
    <w:rsid w:val="00C0049F"/>
    <w:rsid w:val="00C07B84"/>
    <w:rsid w:val="00C33464"/>
    <w:rsid w:val="00C57FFB"/>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57FF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57FFB"/>
    <w:rPr>
      <w:rFonts w:ascii="Arial" w:hAnsi="Arial"/>
      <w:lang w:val="bg-BG"/>
    </w:rPr>
  </w:style>
  <w:style w:type="character" w:styleId="PageNumber">
    <w:name w:val="page number"/>
    <w:basedOn w:val="DefaultParagraphFont"/>
    <w:uiPriority w:val="99"/>
    <w:semiHidden/>
    <w:unhideWhenUsed/>
    <w:rsid w:val="00C5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6982</Words>
  <Characters>39798</Characters>
  <Application>Microsoft Office Word</Application>
  <DocSecurity>0</DocSecurity>
  <Lines>331</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2022-04-18T09:27:00Z</dcterms:created>
  <dcterms:modified xsi:type="dcterms:W3CDTF">2022-04-18T09:27:00Z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