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3920C85A" w:rsidR="002C50EE" w:rsidRDefault="002C50EE" w:rsidP="002C50EE">
      <w:pPr>
        <w:pStyle w:val="Heading1"/>
        <w:jc w:val="center"/>
      </w:pPr>
      <w:bookmarkStart w:id="0" w:name="_Hlk63124480"/>
      <w:r>
        <w:t>КРАТКА ХАРАКТЕРИСТИКА НА ПРОДУКТА</w:t>
      </w:r>
    </w:p>
    <w:p w14:paraId="39B2E4C2" w14:textId="77777777" w:rsidR="00C91DA6" w:rsidRPr="00C91DA6" w:rsidRDefault="00C91DA6" w:rsidP="00C91DA6"/>
    <w:p w14:paraId="3320F4BE" w14:textId="52D503B4" w:rsidR="00C40420" w:rsidRDefault="00DD466D" w:rsidP="004A448E">
      <w:pPr>
        <w:pStyle w:val="Heading1"/>
      </w:pPr>
      <w:r>
        <w:t>1.ИМЕ НА ЛЕКАРСТВЕНИЯ ПРОДУКТ</w:t>
      </w:r>
    </w:p>
    <w:p w14:paraId="50FBE895" w14:textId="6B166DF3" w:rsidR="00BD1692" w:rsidRDefault="00BD1692" w:rsidP="00BD1692"/>
    <w:p w14:paraId="0BD49749" w14:textId="77777777" w:rsidR="00BD1692" w:rsidRPr="00BD1692" w:rsidRDefault="00BD1692" w:rsidP="00BD1692">
      <w:pPr>
        <w:rPr>
          <w:sz w:val="24"/>
        </w:rPr>
      </w:pPr>
      <w:r w:rsidRPr="00BD1692">
        <w:rPr>
          <w:szCs w:val="20"/>
        </w:rPr>
        <w:t xml:space="preserve">Кориол 6,25 </w:t>
      </w:r>
      <w:r w:rsidRPr="00BD1692">
        <w:rPr>
          <w:szCs w:val="20"/>
          <w:lang w:val="en-US"/>
        </w:rPr>
        <w:t xml:space="preserve">mg </w:t>
      </w:r>
      <w:r w:rsidRPr="00BD1692">
        <w:rPr>
          <w:szCs w:val="20"/>
        </w:rPr>
        <w:t>таблетки</w:t>
      </w:r>
    </w:p>
    <w:p w14:paraId="75BC795F" w14:textId="77777777" w:rsidR="00BD1692" w:rsidRPr="00BD1692" w:rsidRDefault="00BD1692" w:rsidP="00BD1692">
      <w:pPr>
        <w:rPr>
          <w:sz w:val="24"/>
        </w:rPr>
      </w:pPr>
      <w:r w:rsidRPr="00BD1692">
        <w:rPr>
          <w:szCs w:val="20"/>
        </w:rPr>
        <w:t xml:space="preserve">Кориол 12,5 </w:t>
      </w:r>
      <w:r w:rsidRPr="00BD1692">
        <w:rPr>
          <w:szCs w:val="20"/>
          <w:lang w:val="en-US"/>
        </w:rPr>
        <w:t xml:space="preserve">mg </w:t>
      </w:r>
      <w:r w:rsidRPr="00BD1692">
        <w:rPr>
          <w:szCs w:val="20"/>
        </w:rPr>
        <w:t>таблетки</w:t>
      </w:r>
    </w:p>
    <w:p w14:paraId="5A893802" w14:textId="77777777" w:rsidR="00BD1692" w:rsidRPr="00BD1692" w:rsidRDefault="00BD1692" w:rsidP="00BD1692">
      <w:pPr>
        <w:rPr>
          <w:sz w:val="24"/>
        </w:rPr>
      </w:pPr>
      <w:r w:rsidRPr="00BD1692">
        <w:rPr>
          <w:szCs w:val="20"/>
        </w:rPr>
        <w:t xml:space="preserve">Кориол 25 </w:t>
      </w:r>
      <w:r w:rsidRPr="00BD1692">
        <w:rPr>
          <w:szCs w:val="20"/>
          <w:lang w:val="en-US"/>
        </w:rPr>
        <w:t xml:space="preserve">mg </w:t>
      </w:r>
      <w:r w:rsidRPr="00BD1692">
        <w:rPr>
          <w:szCs w:val="20"/>
        </w:rPr>
        <w:t>таблетки</w:t>
      </w:r>
    </w:p>
    <w:p w14:paraId="4EE5E2FF" w14:textId="77777777" w:rsidR="00BD1692" w:rsidRPr="00BD1692" w:rsidRDefault="00BD1692" w:rsidP="00BD1692">
      <w:pPr>
        <w:rPr>
          <w:szCs w:val="20"/>
          <w:lang w:val="en-US"/>
        </w:rPr>
      </w:pPr>
    </w:p>
    <w:p w14:paraId="5D36805D" w14:textId="78722AEE" w:rsidR="00BD1692" w:rsidRPr="00BD1692" w:rsidRDefault="00BD1692" w:rsidP="00BD1692">
      <w:pPr>
        <w:rPr>
          <w:sz w:val="24"/>
        </w:rPr>
      </w:pPr>
      <w:proofErr w:type="spellStart"/>
      <w:r w:rsidRPr="00BD1692">
        <w:rPr>
          <w:szCs w:val="20"/>
          <w:lang w:val="en-US"/>
        </w:rPr>
        <w:t>Coryol</w:t>
      </w:r>
      <w:proofErr w:type="spellEnd"/>
      <w:r w:rsidRPr="00BD1692">
        <w:rPr>
          <w:szCs w:val="20"/>
          <w:lang w:val="en-US"/>
        </w:rPr>
        <w:t xml:space="preserve"> </w:t>
      </w:r>
      <w:r w:rsidRPr="00BD1692">
        <w:rPr>
          <w:szCs w:val="20"/>
        </w:rPr>
        <w:t xml:space="preserve">6.25 </w:t>
      </w:r>
      <w:r w:rsidRPr="00BD1692">
        <w:rPr>
          <w:szCs w:val="20"/>
          <w:lang w:val="en-US"/>
        </w:rPr>
        <w:t>mg tablets</w:t>
      </w:r>
    </w:p>
    <w:p w14:paraId="27C9814D" w14:textId="77777777" w:rsidR="00BD1692" w:rsidRPr="00BD1692" w:rsidRDefault="00BD1692" w:rsidP="00BD1692">
      <w:pPr>
        <w:rPr>
          <w:szCs w:val="20"/>
          <w:lang w:val="en-US"/>
        </w:rPr>
      </w:pPr>
      <w:proofErr w:type="spellStart"/>
      <w:r w:rsidRPr="00BD1692">
        <w:rPr>
          <w:szCs w:val="20"/>
          <w:lang w:val="en-US"/>
        </w:rPr>
        <w:t>Coryol</w:t>
      </w:r>
      <w:proofErr w:type="spellEnd"/>
      <w:r w:rsidRPr="00BD1692">
        <w:rPr>
          <w:szCs w:val="20"/>
          <w:lang w:val="en-US"/>
        </w:rPr>
        <w:t xml:space="preserve"> </w:t>
      </w:r>
      <w:r w:rsidRPr="00BD1692">
        <w:rPr>
          <w:szCs w:val="20"/>
        </w:rPr>
        <w:t xml:space="preserve">12.5 </w:t>
      </w:r>
      <w:r w:rsidRPr="00BD1692">
        <w:rPr>
          <w:szCs w:val="20"/>
          <w:lang w:val="en-US"/>
        </w:rPr>
        <w:t xml:space="preserve">mg tablets </w:t>
      </w:r>
    </w:p>
    <w:p w14:paraId="5684EA9A" w14:textId="07801019" w:rsidR="00BD1692" w:rsidRDefault="00BD1692" w:rsidP="00BD1692">
      <w:pPr>
        <w:rPr>
          <w:szCs w:val="20"/>
          <w:lang w:val="en-US"/>
        </w:rPr>
      </w:pPr>
      <w:proofErr w:type="spellStart"/>
      <w:r w:rsidRPr="00BD1692">
        <w:rPr>
          <w:szCs w:val="20"/>
          <w:lang w:val="en-US"/>
        </w:rPr>
        <w:t>Coryol</w:t>
      </w:r>
      <w:proofErr w:type="spellEnd"/>
      <w:r w:rsidRPr="00BD1692">
        <w:rPr>
          <w:szCs w:val="20"/>
          <w:lang w:val="en-US"/>
        </w:rPr>
        <w:t xml:space="preserve"> 25</w:t>
      </w:r>
      <w:r w:rsidRPr="00BD1692">
        <w:rPr>
          <w:szCs w:val="20"/>
        </w:rPr>
        <w:t xml:space="preserve"> </w:t>
      </w:r>
      <w:r w:rsidRPr="00BD1692">
        <w:rPr>
          <w:szCs w:val="20"/>
          <w:lang w:val="en-US"/>
        </w:rPr>
        <w:t>mg tablets</w:t>
      </w:r>
    </w:p>
    <w:p w14:paraId="56F64302" w14:textId="77777777" w:rsidR="00BD1692" w:rsidRPr="00BD1692" w:rsidRDefault="00BD1692" w:rsidP="00BD1692">
      <w:pPr>
        <w:rPr>
          <w:sz w:val="24"/>
          <w:lang w:val="en-US"/>
        </w:rPr>
      </w:pPr>
    </w:p>
    <w:p w14:paraId="6920A680" w14:textId="64423843" w:rsidR="00C40420" w:rsidRDefault="00DD466D" w:rsidP="004A448E">
      <w:pPr>
        <w:pStyle w:val="Heading1"/>
      </w:pPr>
      <w:r>
        <w:t>2. КАЧЕСТВЕН И КОЛИЧЕСТВЕН СЪСТАВ</w:t>
      </w:r>
    </w:p>
    <w:p w14:paraId="5B754432" w14:textId="3CC6148C" w:rsidR="00BD1692" w:rsidRDefault="00BD1692" w:rsidP="00BD1692"/>
    <w:p w14:paraId="210EEBC4" w14:textId="77777777" w:rsidR="00BD1692" w:rsidRPr="00BD1692" w:rsidRDefault="00BD1692" w:rsidP="00BD1692">
      <w:pPr>
        <w:spacing w:line="240" w:lineRule="auto"/>
        <w:rPr>
          <w:rFonts w:eastAsia="Times New Roman" w:cs="Arial"/>
          <w:lang w:eastAsia="bg-BG"/>
        </w:rPr>
      </w:pPr>
      <w:r w:rsidRPr="00BD1692">
        <w:rPr>
          <w:rFonts w:eastAsia="Times New Roman" w:cs="Arial"/>
          <w:color w:val="000000"/>
          <w:lang w:eastAsia="bg-BG"/>
        </w:rPr>
        <w:t xml:space="preserve">Всяка таблетка съдържа 6,25 </w:t>
      </w:r>
      <w:r w:rsidRPr="00BD1692">
        <w:rPr>
          <w:rFonts w:eastAsia="Times New Roman" w:cs="Arial"/>
          <w:color w:val="000000"/>
          <w:lang w:val="en-US"/>
        </w:rPr>
        <w:t xml:space="preserve">mg, 12,5mg </w:t>
      </w:r>
      <w:r w:rsidRPr="00BD1692">
        <w:rPr>
          <w:rFonts w:eastAsia="Times New Roman" w:cs="Arial"/>
          <w:color w:val="000000"/>
          <w:lang w:eastAsia="bg-BG"/>
        </w:rPr>
        <w:t xml:space="preserve">или 25 </w:t>
      </w:r>
      <w:r w:rsidRPr="00BD1692">
        <w:rPr>
          <w:rFonts w:eastAsia="Times New Roman" w:cs="Arial"/>
          <w:color w:val="000000"/>
          <w:lang w:val="en-US"/>
        </w:rPr>
        <w:t xml:space="preserve">mg </w:t>
      </w:r>
      <w:r w:rsidRPr="00BD1692">
        <w:rPr>
          <w:rFonts w:eastAsia="Times New Roman" w:cs="Arial"/>
          <w:color w:val="000000"/>
          <w:lang w:eastAsia="bg-BG"/>
        </w:rPr>
        <w:t xml:space="preserve">карведилол </w:t>
      </w:r>
      <w:r w:rsidRPr="00BD1692">
        <w:rPr>
          <w:rFonts w:eastAsia="Times New Roman" w:cs="Arial"/>
          <w:i/>
          <w:iCs/>
          <w:color w:val="000000"/>
          <w:lang w:val="en-US"/>
        </w:rPr>
        <w:t>(carvedilol).</w:t>
      </w:r>
    </w:p>
    <w:p w14:paraId="3C77034F" w14:textId="77777777" w:rsidR="00BD1692" w:rsidRPr="00BD1692" w:rsidRDefault="00BD1692" w:rsidP="00BD1692">
      <w:pPr>
        <w:rPr>
          <w:rFonts w:eastAsia="Times New Roman" w:cs="Arial"/>
          <w:color w:val="000000"/>
          <w:u w:val="single"/>
          <w:lang w:eastAsia="bg-BG"/>
        </w:rPr>
      </w:pPr>
    </w:p>
    <w:p w14:paraId="160F054B" w14:textId="489F56CB" w:rsidR="00BD1692" w:rsidRPr="00BD1692" w:rsidRDefault="00BD1692" w:rsidP="00BD1692">
      <w:pPr>
        <w:rPr>
          <w:rFonts w:eastAsia="Times New Roman" w:cs="Arial"/>
          <w:color w:val="000000"/>
          <w:u w:val="single"/>
          <w:lang w:eastAsia="bg-BG"/>
        </w:rPr>
      </w:pPr>
      <w:r w:rsidRPr="00BD1692">
        <w:rPr>
          <w:rFonts w:eastAsia="Times New Roman" w:cs="Arial"/>
          <w:color w:val="000000"/>
          <w:u w:val="single"/>
          <w:lang w:eastAsia="bg-BG"/>
        </w:rPr>
        <w:t>Помощни вещества с известно действие:</w:t>
      </w:r>
    </w:p>
    <w:p w14:paraId="23D182D6" w14:textId="37952475" w:rsidR="00BD1692" w:rsidRPr="00BD1692" w:rsidRDefault="00BD1692" w:rsidP="00BD1692">
      <w:pPr>
        <w:rPr>
          <w:rFonts w:eastAsia="Times New Roman" w:cs="Arial"/>
          <w:color w:val="000000"/>
          <w:u w:val="single"/>
          <w:lang w:eastAsia="bg-BG"/>
        </w:rPr>
      </w:pPr>
    </w:p>
    <w:tbl>
      <w:tblPr>
        <w:tblStyle w:val="TableGrid"/>
        <w:tblW w:w="0" w:type="auto"/>
        <w:tblLook w:val="04A0" w:firstRow="1" w:lastRow="0" w:firstColumn="1" w:lastColumn="0" w:noHBand="0" w:noVBand="1"/>
      </w:tblPr>
      <w:tblGrid>
        <w:gridCol w:w="2337"/>
        <w:gridCol w:w="2337"/>
        <w:gridCol w:w="2339"/>
        <w:gridCol w:w="2337"/>
      </w:tblGrid>
      <w:tr w:rsidR="00BD1692" w:rsidRPr="00BD1692" w14:paraId="6BD32840" w14:textId="77777777" w:rsidTr="00BD1692">
        <w:tc>
          <w:tcPr>
            <w:tcW w:w="2375" w:type="dxa"/>
          </w:tcPr>
          <w:p w14:paraId="7B6C9917" w14:textId="77777777" w:rsidR="00BD1692" w:rsidRPr="00BD1692" w:rsidRDefault="00BD1692" w:rsidP="00BD1692">
            <w:pPr>
              <w:rPr>
                <w:rFonts w:eastAsia="Times New Roman" w:cs="Arial"/>
                <w:color w:val="000000"/>
                <w:u w:val="single"/>
                <w:lang w:eastAsia="bg-BG"/>
              </w:rPr>
            </w:pPr>
          </w:p>
        </w:tc>
        <w:tc>
          <w:tcPr>
            <w:tcW w:w="2375" w:type="dxa"/>
          </w:tcPr>
          <w:p w14:paraId="1039F401" w14:textId="6E6EB686" w:rsidR="00BD1692" w:rsidRPr="00BD1692" w:rsidRDefault="00BD1692" w:rsidP="00BD1692">
            <w:pPr>
              <w:rPr>
                <w:rFonts w:eastAsia="Times New Roman" w:cs="Arial"/>
                <w:color w:val="000000"/>
                <w:u w:val="single"/>
                <w:lang w:eastAsia="bg-BG"/>
              </w:rPr>
            </w:pPr>
            <w:r w:rsidRPr="00BD1692">
              <w:rPr>
                <w:rFonts w:cs="Arial"/>
              </w:rPr>
              <w:t xml:space="preserve">6,25 </w:t>
            </w:r>
            <w:r w:rsidRPr="00BD1692">
              <w:rPr>
                <w:rFonts w:cs="Arial"/>
                <w:lang w:val="en-US"/>
              </w:rPr>
              <w:t xml:space="preserve">mg </w:t>
            </w:r>
            <w:r w:rsidRPr="00BD1692">
              <w:rPr>
                <w:rFonts w:cs="Arial"/>
              </w:rPr>
              <w:t>таблетки</w:t>
            </w:r>
          </w:p>
        </w:tc>
        <w:tc>
          <w:tcPr>
            <w:tcW w:w="2375" w:type="dxa"/>
          </w:tcPr>
          <w:p w14:paraId="1A528C87" w14:textId="285D2D0A" w:rsidR="00BD1692" w:rsidRPr="00BD1692" w:rsidRDefault="00BD1692" w:rsidP="00BD1692">
            <w:pPr>
              <w:rPr>
                <w:rFonts w:eastAsia="Times New Roman" w:cs="Arial"/>
                <w:color w:val="000000"/>
                <w:u w:val="single"/>
                <w:lang w:eastAsia="bg-BG"/>
              </w:rPr>
            </w:pPr>
            <w:r w:rsidRPr="00BD1692">
              <w:rPr>
                <w:rFonts w:cs="Arial"/>
              </w:rPr>
              <w:t xml:space="preserve">12,5 </w:t>
            </w:r>
            <w:r w:rsidRPr="00BD1692">
              <w:rPr>
                <w:rFonts w:cs="Arial"/>
                <w:lang w:val="en-US"/>
              </w:rPr>
              <w:t xml:space="preserve">mg </w:t>
            </w:r>
            <w:r w:rsidRPr="00BD1692">
              <w:rPr>
                <w:rFonts w:cs="Arial"/>
              </w:rPr>
              <w:t>таблетки</w:t>
            </w:r>
          </w:p>
        </w:tc>
        <w:tc>
          <w:tcPr>
            <w:tcW w:w="2375" w:type="dxa"/>
          </w:tcPr>
          <w:p w14:paraId="6BE5D96D" w14:textId="3560E646" w:rsidR="00BD1692" w:rsidRPr="00BD1692" w:rsidRDefault="00BD1692" w:rsidP="00BD1692">
            <w:pPr>
              <w:rPr>
                <w:rFonts w:eastAsia="Times New Roman" w:cs="Arial"/>
                <w:color w:val="000000"/>
                <w:u w:val="single"/>
                <w:lang w:eastAsia="bg-BG"/>
              </w:rPr>
            </w:pPr>
            <w:r w:rsidRPr="00BD1692">
              <w:rPr>
                <w:rFonts w:cs="Arial"/>
                <w:lang w:val="en-US"/>
              </w:rPr>
              <w:t>25</w:t>
            </w:r>
            <w:r w:rsidRPr="00BD1692">
              <w:rPr>
                <w:rFonts w:cs="Arial"/>
              </w:rPr>
              <w:t xml:space="preserve"> </w:t>
            </w:r>
            <w:r w:rsidRPr="00BD1692">
              <w:rPr>
                <w:rFonts w:cs="Arial"/>
                <w:lang w:val="en-US"/>
              </w:rPr>
              <w:t xml:space="preserve">mg </w:t>
            </w:r>
            <w:r w:rsidRPr="00BD1692">
              <w:rPr>
                <w:rFonts w:cs="Arial"/>
              </w:rPr>
              <w:t>таблетки</w:t>
            </w:r>
          </w:p>
        </w:tc>
      </w:tr>
      <w:tr w:rsidR="00BD1692" w:rsidRPr="00BD1692" w14:paraId="53F7658B" w14:textId="77777777" w:rsidTr="00BD1692">
        <w:tc>
          <w:tcPr>
            <w:tcW w:w="2375" w:type="dxa"/>
          </w:tcPr>
          <w:p w14:paraId="1EBC109E" w14:textId="261ED05A" w:rsidR="00BD1692" w:rsidRPr="00BD1692" w:rsidRDefault="00BD1692" w:rsidP="00BD1692">
            <w:pPr>
              <w:rPr>
                <w:rFonts w:eastAsia="Times New Roman" w:cs="Arial"/>
                <w:color w:val="000000"/>
                <w:u w:val="single"/>
                <w:lang w:eastAsia="bg-BG"/>
              </w:rPr>
            </w:pPr>
            <w:r w:rsidRPr="00BD1692">
              <w:rPr>
                <w:rFonts w:cs="Arial"/>
              </w:rPr>
              <w:t>лактоза</w:t>
            </w:r>
          </w:p>
        </w:tc>
        <w:tc>
          <w:tcPr>
            <w:tcW w:w="2375" w:type="dxa"/>
          </w:tcPr>
          <w:p w14:paraId="2FD6507F" w14:textId="072BC08D" w:rsidR="00BD1692" w:rsidRPr="00BD1692" w:rsidRDefault="00BD1692" w:rsidP="00BD1692">
            <w:pPr>
              <w:rPr>
                <w:rFonts w:eastAsia="Times New Roman" w:cs="Arial"/>
                <w:color w:val="000000"/>
                <w:u w:val="single"/>
                <w:lang w:eastAsia="bg-BG"/>
              </w:rPr>
            </w:pPr>
            <w:r w:rsidRPr="00BD1692">
              <w:rPr>
                <w:rFonts w:cs="Arial"/>
              </w:rPr>
              <w:t xml:space="preserve">68,64 </w:t>
            </w:r>
            <w:r w:rsidRPr="00BD1692">
              <w:rPr>
                <w:rFonts w:cs="Arial"/>
                <w:lang w:val="en-US"/>
              </w:rPr>
              <w:t>mg</w:t>
            </w:r>
          </w:p>
        </w:tc>
        <w:tc>
          <w:tcPr>
            <w:tcW w:w="2375" w:type="dxa"/>
          </w:tcPr>
          <w:p w14:paraId="4BDADC79" w14:textId="34868903" w:rsidR="00BD1692" w:rsidRPr="00BD1692" w:rsidRDefault="00BD1692" w:rsidP="00BD1692">
            <w:pPr>
              <w:rPr>
                <w:rFonts w:eastAsia="Times New Roman" w:cs="Arial"/>
                <w:color w:val="000000"/>
                <w:u w:val="single"/>
                <w:lang w:eastAsia="bg-BG"/>
              </w:rPr>
            </w:pPr>
            <w:r w:rsidRPr="00BD1692">
              <w:rPr>
                <w:rFonts w:cs="Arial"/>
                <w:lang w:val="en-US"/>
              </w:rPr>
              <w:t>137,28mg</w:t>
            </w:r>
          </w:p>
        </w:tc>
        <w:tc>
          <w:tcPr>
            <w:tcW w:w="2375" w:type="dxa"/>
          </w:tcPr>
          <w:p w14:paraId="2648DA9C" w14:textId="2842FCE0" w:rsidR="00BD1692" w:rsidRPr="00BD1692" w:rsidRDefault="00BD1692" w:rsidP="00BD1692">
            <w:pPr>
              <w:rPr>
                <w:rFonts w:eastAsia="Times New Roman" w:cs="Arial"/>
                <w:color w:val="000000"/>
                <w:u w:val="single"/>
                <w:lang w:eastAsia="bg-BG"/>
              </w:rPr>
            </w:pPr>
            <w:r w:rsidRPr="00BD1692">
              <w:rPr>
                <w:rFonts w:cs="Arial"/>
                <w:lang w:val="en-US"/>
              </w:rPr>
              <w:t>80,75mg</w:t>
            </w:r>
          </w:p>
        </w:tc>
      </w:tr>
      <w:tr w:rsidR="00BD1692" w:rsidRPr="00BD1692" w14:paraId="03FF4FFD" w14:textId="77777777" w:rsidTr="00BD1692">
        <w:tc>
          <w:tcPr>
            <w:tcW w:w="2375" w:type="dxa"/>
          </w:tcPr>
          <w:p w14:paraId="54FF5B4A" w14:textId="2CEBED7A" w:rsidR="00BD1692" w:rsidRPr="00BD1692" w:rsidRDefault="00BD1692" w:rsidP="00BD1692">
            <w:pPr>
              <w:rPr>
                <w:rFonts w:eastAsia="Times New Roman" w:cs="Arial"/>
                <w:color w:val="000000"/>
                <w:u w:val="single"/>
                <w:lang w:eastAsia="bg-BG"/>
              </w:rPr>
            </w:pPr>
            <w:r w:rsidRPr="00BD1692">
              <w:rPr>
                <w:rFonts w:cs="Arial"/>
              </w:rPr>
              <w:t>захароза</w:t>
            </w:r>
          </w:p>
        </w:tc>
        <w:tc>
          <w:tcPr>
            <w:tcW w:w="2375" w:type="dxa"/>
          </w:tcPr>
          <w:p w14:paraId="635DFEE5" w14:textId="72021B76" w:rsidR="00BD1692" w:rsidRPr="00BD1692" w:rsidRDefault="00BD1692" w:rsidP="00BD1692">
            <w:pPr>
              <w:rPr>
                <w:rFonts w:eastAsia="Times New Roman" w:cs="Arial"/>
                <w:color w:val="000000"/>
                <w:u w:val="single"/>
                <w:lang w:eastAsia="bg-BG"/>
              </w:rPr>
            </w:pPr>
            <w:r w:rsidRPr="00BD1692">
              <w:rPr>
                <w:rFonts w:cs="Arial"/>
              </w:rPr>
              <w:t xml:space="preserve">5 </w:t>
            </w:r>
            <w:r w:rsidRPr="00BD1692">
              <w:rPr>
                <w:rFonts w:cs="Arial"/>
                <w:lang w:val="en-US"/>
              </w:rPr>
              <w:t>mg</w:t>
            </w:r>
          </w:p>
        </w:tc>
        <w:tc>
          <w:tcPr>
            <w:tcW w:w="2375" w:type="dxa"/>
          </w:tcPr>
          <w:p w14:paraId="28088F4E" w14:textId="55E47C45" w:rsidR="00BD1692" w:rsidRPr="00BD1692" w:rsidRDefault="00BD1692" w:rsidP="00BD1692">
            <w:pPr>
              <w:rPr>
                <w:rFonts w:eastAsia="Times New Roman" w:cs="Arial"/>
                <w:color w:val="000000"/>
                <w:u w:val="single"/>
                <w:lang w:eastAsia="bg-BG"/>
              </w:rPr>
            </w:pPr>
            <w:r w:rsidRPr="00BD1692">
              <w:rPr>
                <w:rFonts w:cs="Arial"/>
              </w:rPr>
              <w:t xml:space="preserve">10 </w:t>
            </w:r>
            <w:r w:rsidRPr="00BD1692">
              <w:rPr>
                <w:rFonts w:cs="Arial"/>
                <w:lang w:val="en-US"/>
              </w:rPr>
              <w:t>mg</w:t>
            </w:r>
          </w:p>
        </w:tc>
        <w:tc>
          <w:tcPr>
            <w:tcW w:w="2375" w:type="dxa"/>
          </w:tcPr>
          <w:p w14:paraId="6B6E5D54" w14:textId="39804D64" w:rsidR="00BD1692" w:rsidRPr="00BD1692" w:rsidRDefault="00BD1692" w:rsidP="00BD1692">
            <w:pPr>
              <w:rPr>
                <w:rFonts w:eastAsia="Times New Roman" w:cs="Arial"/>
                <w:color w:val="000000"/>
                <w:u w:val="single"/>
                <w:lang w:eastAsia="bg-BG"/>
              </w:rPr>
            </w:pPr>
            <w:r w:rsidRPr="00BD1692">
              <w:rPr>
                <w:rFonts w:cs="Arial"/>
                <w:lang w:val="en-US"/>
              </w:rPr>
              <w:t>60 mg</w:t>
            </w:r>
          </w:p>
        </w:tc>
      </w:tr>
    </w:tbl>
    <w:p w14:paraId="6FA478BD" w14:textId="77777777" w:rsidR="00BD1692" w:rsidRPr="00BD1692" w:rsidRDefault="00BD1692" w:rsidP="00BD1692">
      <w:pPr>
        <w:rPr>
          <w:rFonts w:eastAsia="Times New Roman" w:cs="Arial"/>
          <w:color w:val="000000"/>
          <w:u w:val="single"/>
          <w:lang w:eastAsia="bg-BG"/>
        </w:rPr>
      </w:pPr>
    </w:p>
    <w:p w14:paraId="2E1BCAC0" w14:textId="7B3DEF3A" w:rsidR="00BD1692" w:rsidRPr="00BD1692" w:rsidRDefault="00BD1692" w:rsidP="00BD1692">
      <w:pPr>
        <w:rPr>
          <w:rFonts w:eastAsia="Times New Roman" w:cs="Arial"/>
          <w:color w:val="000000"/>
          <w:u w:val="single"/>
          <w:lang w:eastAsia="bg-BG"/>
        </w:rPr>
      </w:pPr>
    </w:p>
    <w:p w14:paraId="120F8F37" w14:textId="1ABC65F0" w:rsidR="00BD1692" w:rsidRPr="00BD1692" w:rsidRDefault="00BD1692" w:rsidP="00BD1692">
      <w:pPr>
        <w:rPr>
          <w:rFonts w:cs="Arial"/>
        </w:rPr>
      </w:pPr>
      <w:r w:rsidRPr="00BD1692">
        <w:rPr>
          <w:rFonts w:cs="Arial"/>
        </w:rPr>
        <w:t>За пълния списък на помощните вещества, вижте точка 6.1.</w:t>
      </w:r>
    </w:p>
    <w:p w14:paraId="614984C4" w14:textId="407578D8" w:rsidR="008A6AF2" w:rsidRDefault="00DD466D" w:rsidP="002C50EE">
      <w:pPr>
        <w:pStyle w:val="Heading1"/>
      </w:pPr>
      <w:r>
        <w:t>3. ЛЕКАРСТВЕНА ФОРМА</w:t>
      </w:r>
    </w:p>
    <w:p w14:paraId="75A9DD7E" w14:textId="10A3219D" w:rsidR="00BD1692" w:rsidRDefault="00BD1692" w:rsidP="00BD1692"/>
    <w:p w14:paraId="1B8D6F0E" w14:textId="77777777" w:rsidR="00BD1692" w:rsidRPr="00BD1692" w:rsidRDefault="00BD1692" w:rsidP="00BD1692">
      <w:pPr>
        <w:rPr>
          <w:sz w:val="24"/>
        </w:rPr>
      </w:pPr>
      <w:r w:rsidRPr="00BD1692">
        <w:rPr>
          <w:szCs w:val="20"/>
        </w:rPr>
        <w:t>Таблетка</w:t>
      </w:r>
    </w:p>
    <w:p w14:paraId="1BEA3DD6" w14:textId="77777777" w:rsidR="00BD1692" w:rsidRPr="00BD1692" w:rsidRDefault="00BD1692" w:rsidP="00BD1692">
      <w:pPr>
        <w:rPr>
          <w:sz w:val="24"/>
        </w:rPr>
      </w:pPr>
      <w:r w:rsidRPr="00BD1692">
        <w:rPr>
          <w:szCs w:val="20"/>
        </w:rPr>
        <w:t xml:space="preserve">Таблетките от 6,25 </w:t>
      </w:r>
      <w:r w:rsidRPr="00BD1692">
        <w:rPr>
          <w:szCs w:val="20"/>
          <w:lang w:val="en-US"/>
        </w:rPr>
        <w:t xml:space="preserve">mg </w:t>
      </w:r>
      <w:r w:rsidRPr="00BD1692">
        <w:rPr>
          <w:szCs w:val="20"/>
        </w:rPr>
        <w:t xml:space="preserve">са: овални, леко двойноизпъкнали, бели, с делителна черта от едната страна и с отпечатано </w:t>
      </w:r>
      <w:r w:rsidRPr="00BD1692">
        <w:rPr>
          <w:szCs w:val="20"/>
          <w:lang w:val="en-US"/>
        </w:rPr>
        <w:t xml:space="preserve">“S2” </w:t>
      </w:r>
      <w:r w:rsidRPr="00BD1692">
        <w:rPr>
          <w:szCs w:val="20"/>
        </w:rPr>
        <w:t>от другата страна. Таблетката може да бъде разделена на две еднакви половини.</w:t>
      </w:r>
    </w:p>
    <w:p w14:paraId="0452F4BE" w14:textId="77777777" w:rsidR="00BD1692" w:rsidRPr="00BD1692" w:rsidRDefault="00BD1692" w:rsidP="00BD1692">
      <w:pPr>
        <w:rPr>
          <w:sz w:val="24"/>
        </w:rPr>
      </w:pPr>
      <w:r w:rsidRPr="00BD1692">
        <w:rPr>
          <w:szCs w:val="20"/>
        </w:rPr>
        <w:t xml:space="preserve">Таблетките от 12,5 </w:t>
      </w:r>
      <w:r w:rsidRPr="00BD1692">
        <w:rPr>
          <w:szCs w:val="20"/>
          <w:lang w:val="en-US"/>
        </w:rPr>
        <w:t xml:space="preserve">mg </w:t>
      </w:r>
      <w:r w:rsidRPr="00BD1692">
        <w:rPr>
          <w:szCs w:val="20"/>
        </w:rPr>
        <w:t>са: овални, леко двойноизпъкнали, бели, с делителна черта от едната страна и с отпечатано “S3” от другата страна. Таблетката може да бъде разделена на две еднакви половини.</w:t>
      </w:r>
      <w:r w:rsidRPr="00BD1692">
        <w:rPr>
          <w:szCs w:val="20"/>
          <w:lang w:val="en-US"/>
        </w:rPr>
        <w:t xml:space="preserve"> </w:t>
      </w:r>
    </w:p>
    <w:p w14:paraId="5D4D3ACE" w14:textId="7D83C0C3" w:rsidR="00BD1692" w:rsidRPr="00BD1692" w:rsidRDefault="00BD1692" w:rsidP="00BD1692">
      <w:pPr>
        <w:rPr>
          <w:sz w:val="24"/>
        </w:rPr>
      </w:pPr>
      <w:r w:rsidRPr="00BD1692">
        <w:rPr>
          <w:szCs w:val="20"/>
        </w:rPr>
        <w:t>Таблетките от 25</w:t>
      </w:r>
      <w:r w:rsidRPr="00BD1692">
        <w:rPr>
          <w:szCs w:val="20"/>
          <w:lang w:val="en-US"/>
        </w:rPr>
        <w:t xml:space="preserve"> mg </w:t>
      </w:r>
      <w:r w:rsidRPr="00BD1692">
        <w:rPr>
          <w:szCs w:val="20"/>
        </w:rPr>
        <w:t>са: кръгли, леко двойноизпъкнали, бели, с делителна черта от едната страна. Таблетката може да бъде разделена на две еднакви половини.</w:t>
      </w:r>
    </w:p>
    <w:p w14:paraId="490FC2C4" w14:textId="4286EB55" w:rsidR="002C50EE" w:rsidRDefault="002C50EE" w:rsidP="002C50EE">
      <w:pPr>
        <w:pStyle w:val="Heading1"/>
      </w:pPr>
      <w:r>
        <w:t>4. КЛИНИЧНИ ДАННИ</w:t>
      </w:r>
    </w:p>
    <w:p w14:paraId="4CFEE456" w14:textId="77777777" w:rsidR="00BD1692" w:rsidRPr="00BD1692" w:rsidRDefault="00BD1692" w:rsidP="00BD1692"/>
    <w:p w14:paraId="0C8E6903" w14:textId="698A8384" w:rsidR="008134C8" w:rsidRDefault="002C50EE" w:rsidP="004A448E">
      <w:pPr>
        <w:pStyle w:val="Heading2"/>
      </w:pPr>
      <w:r>
        <w:t>4.1. Терапевтични показания</w:t>
      </w:r>
    </w:p>
    <w:p w14:paraId="01E45BB6" w14:textId="309F1927" w:rsidR="00BD1692" w:rsidRPr="00BD1692" w:rsidRDefault="00BD1692" w:rsidP="00BD1692">
      <w:pPr>
        <w:rPr>
          <w:rFonts w:cs="Arial"/>
          <w:sz w:val="24"/>
        </w:rPr>
      </w:pPr>
    </w:p>
    <w:p w14:paraId="6DAED36C" w14:textId="3CCBFBC3" w:rsidR="00BD1692" w:rsidRPr="00BD1692" w:rsidRDefault="00BD1692" w:rsidP="00BD1692">
      <w:pPr>
        <w:pStyle w:val="ListParagraph"/>
        <w:numPr>
          <w:ilvl w:val="0"/>
          <w:numId w:val="35"/>
        </w:numPr>
        <w:spacing w:line="240" w:lineRule="auto"/>
        <w:rPr>
          <w:rFonts w:eastAsia="Times New Roman" w:cs="Arial"/>
          <w:sz w:val="28"/>
          <w:szCs w:val="24"/>
          <w:lang w:eastAsia="bg-BG"/>
        </w:rPr>
      </w:pPr>
      <w:r w:rsidRPr="00BD1692">
        <w:rPr>
          <w:rFonts w:eastAsia="Times New Roman" w:cs="Arial"/>
          <w:color w:val="000000"/>
          <w:szCs w:val="20"/>
          <w:lang w:eastAsia="bg-BG"/>
        </w:rPr>
        <w:lastRenderedPageBreak/>
        <w:t>Лечение на есенциална хипертония: Кориол може да се използва самостоятелно или в комбинация с други антихипертензивни продукти.</w:t>
      </w:r>
    </w:p>
    <w:p w14:paraId="565DB0F1" w14:textId="77777777" w:rsidR="00BD1692" w:rsidRPr="00BD1692" w:rsidRDefault="00BD1692" w:rsidP="00BD1692">
      <w:pPr>
        <w:pStyle w:val="ListParagraph"/>
        <w:numPr>
          <w:ilvl w:val="0"/>
          <w:numId w:val="35"/>
        </w:numPr>
        <w:spacing w:line="240" w:lineRule="auto"/>
        <w:rPr>
          <w:rFonts w:eastAsia="Times New Roman" w:cs="Arial"/>
          <w:sz w:val="28"/>
          <w:szCs w:val="24"/>
          <w:lang w:eastAsia="bg-BG"/>
        </w:rPr>
      </w:pPr>
      <w:r w:rsidRPr="00BD1692">
        <w:rPr>
          <w:rFonts w:eastAsia="Times New Roman" w:cs="Arial"/>
          <w:color w:val="000000"/>
          <w:szCs w:val="20"/>
          <w:lang w:eastAsia="bg-BG"/>
        </w:rPr>
        <w:t>Лечение на стабилна стенокардия.</w:t>
      </w:r>
    </w:p>
    <w:p w14:paraId="6294C44F" w14:textId="635A0150" w:rsidR="00BD1692" w:rsidRPr="00BD1692" w:rsidRDefault="00BD1692" w:rsidP="00BD1692">
      <w:pPr>
        <w:pStyle w:val="ListParagraph"/>
        <w:numPr>
          <w:ilvl w:val="0"/>
          <w:numId w:val="35"/>
        </w:numPr>
        <w:spacing w:line="240" w:lineRule="auto"/>
        <w:rPr>
          <w:rFonts w:eastAsia="Times New Roman" w:cs="Arial"/>
          <w:sz w:val="28"/>
          <w:szCs w:val="24"/>
          <w:lang w:eastAsia="bg-BG"/>
        </w:rPr>
      </w:pPr>
      <w:r w:rsidRPr="00BD1692">
        <w:rPr>
          <w:rFonts w:eastAsia="Times New Roman" w:cs="Arial"/>
          <w:color w:val="000000"/>
          <w:szCs w:val="20"/>
          <w:lang w:eastAsia="bg-BG"/>
        </w:rPr>
        <w:t>Лечение на хронична сърдечна недостатъчност.</w:t>
      </w:r>
    </w:p>
    <w:p w14:paraId="0EF14C42" w14:textId="77777777" w:rsidR="00BD1692" w:rsidRPr="00BD1692" w:rsidRDefault="00BD1692" w:rsidP="00BD1692">
      <w:pPr>
        <w:spacing w:line="240" w:lineRule="auto"/>
        <w:ind w:left="360"/>
        <w:rPr>
          <w:rFonts w:ascii="Times New Roman" w:eastAsia="Times New Roman" w:hAnsi="Times New Roman" w:cs="Times New Roman"/>
          <w:sz w:val="24"/>
          <w:szCs w:val="24"/>
          <w:lang w:eastAsia="bg-BG"/>
        </w:rPr>
      </w:pPr>
    </w:p>
    <w:p w14:paraId="30BE2C7B" w14:textId="282DD895" w:rsidR="008134C8" w:rsidRDefault="002C50EE" w:rsidP="004A448E">
      <w:pPr>
        <w:pStyle w:val="Heading2"/>
      </w:pPr>
      <w:r>
        <w:t>4.2. Дозировка и начин на приложение</w:t>
      </w:r>
    </w:p>
    <w:p w14:paraId="01DA84DB" w14:textId="372765EE" w:rsidR="00BD1692" w:rsidRDefault="00BD1692" w:rsidP="00BD1692"/>
    <w:p w14:paraId="253A5EE7" w14:textId="77777777" w:rsidR="00BD1692" w:rsidRPr="00BD1692" w:rsidRDefault="00BD1692" w:rsidP="00BD1692">
      <w:pPr>
        <w:pStyle w:val="Heading3"/>
        <w:rPr>
          <w:rFonts w:eastAsia="Times New Roman"/>
          <w:sz w:val="28"/>
          <w:u w:val="single"/>
          <w:lang w:eastAsia="bg-BG"/>
        </w:rPr>
      </w:pPr>
      <w:r w:rsidRPr="00BD1692">
        <w:rPr>
          <w:rFonts w:eastAsia="Times New Roman"/>
          <w:u w:val="single"/>
          <w:lang w:eastAsia="bg-BG"/>
        </w:rPr>
        <w:t>Дозировка</w:t>
      </w:r>
    </w:p>
    <w:p w14:paraId="06E346A5" w14:textId="77777777" w:rsidR="00BD1692" w:rsidRDefault="00BD1692" w:rsidP="00BD1692">
      <w:pPr>
        <w:spacing w:line="240" w:lineRule="auto"/>
        <w:rPr>
          <w:rFonts w:eastAsia="Times New Roman" w:cs="Arial"/>
          <w:color w:val="000000"/>
          <w:szCs w:val="20"/>
          <w:lang w:eastAsia="bg-BG"/>
        </w:rPr>
      </w:pPr>
    </w:p>
    <w:p w14:paraId="7D7E20EB" w14:textId="19D7CD14" w:rsidR="00BD1692" w:rsidRDefault="00BD1692" w:rsidP="00BD1692">
      <w:pPr>
        <w:spacing w:line="240" w:lineRule="auto"/>
        <w:rPr>
          <w:rFonts w:eastAsia="Times New Roman" w:cs="Arial"/>
          <w:color w:val="000000"/>
          <w:szCs w:val="20"/>
          <w:lang w:eastAsia="bg-BG"/>
        </w:rPr>
      </w:pPr>
      <w:r w:rsidRPr="00BD1692">
        <w:rPr>
          <w:rFonts w:eastAsia="Times New Roman" w:cs="Arial"/>
          <w:color w:val="000000"/>
          <w:szCs w:val="20"/>
          <w:lang w:eastAsia="bg-BG"/>
        </w:rPr>
        <w:t>Дозировката трябва да се определи индивидуално. Лечението трябва да започне с малки дози, които се увеличават постепенно на всеки 7 до 14 дни за постигане на оптимален клиничен ефект. След първата доза, както и при всяко увеличение на дозата, се препоръчва 1 час след</w:t>
      </w:r>
      <w:r w:rsidRPr="00BD1692">
        <w:rPr>
          <w:rFonts w:eastAsia="Times New Roman" w:cs="Arial"/>
          <w:sz w:val="28"/>
          <w:szCs w:val="24"/>
          <w:lang w:val="en-US" w:eastAsia="bg-BG"/>
        </w:rPr>
        <w:t xml:space="preserve"> </w:t>
      </w:r>
      <w:r w:rsidRPr="00BD1692">
        <w:rPr>
          <w:rFonts w:eastAsia="Times New Roman" w:cs="Arial"/>
          <w:color w:val="000000"/>
          <w:szCs w:val="20"/>
          <w:lang w:eastAsia="bg-BG"/>
        </w:rPr>
        <w:t>приемането на лекарствения продукт да се измери кръвното налягане на пациента, за да се изключи възможна хипотония.</w:t>
      </w:r>
    </w:p>
    <w:p w14:paraId="468065A6" w14:textId="46C86380" w:rsidR="00BD1692" w:rsidRDefault="00BD1692" w:rsidP="00BD1692">
      <w:pPr>
        <w:spacing w:line="240" w:lineRule="auto"/>
        <w:rPr>
          <w:rFonts w:eastAsia="Times New Roman" w:cs="Arial"/>
          <w:color w:val="000000"/>
          <w:szCs w:val="20"/>
          <w:lang w:eastAsia="bg-BG"/>
        </w:rPr>
      </w:pPr>
    </w:p>
    <w:p w14:paraId="29A78210"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Ако лечението е било преустановено за повече от две седмици, то трябва да бъде възобновено с най-ниската доза.</w:t>
      </w:r>
    </w:p>
    <w:p w14:paraId="3646D4F6" w14:textId="77777777" w:rsidR="00BD1692" w:rsidRPr="00BD1692" w:rsidRDefault="00BD1692" w:rsidP="00BD1692">
      <w:pPr>
        <w:spacing w:line="240" w:lineRule="auto"/>
        <w:rPr>
          <w:rFonts w:eastAsia="Times New Roman" w:cs="Arial"/>
          <w:b/>
          <w:bCs/>
          <w:color w:val="000000"/>
          <w:szCs w:val="20"/>
          <w:lang w:eastAsia="bg-BG"/>
        </w:rPr>
      </w:pPr>
      <w:bookmarkStart w:id="1" w:name="bookmark0"/>
    </w:p>
    <w:p w14:paraId="1A355EAE" w14:textId="0B2F7276" w:rsidR="00BD1692" w:rsidRPr="00BD1692" w:rsidRDefault="00BD1692" w:rsidP="00BD1692">
      <w:pPr>
        <w:spacing w:line="240" w:lineRule="auto"/>
        <w:rPr>
          <w:rFonts w:eastAsia="Times New Roman" w:cs="Arial"/>
          <w:sz w:val="28"/>
          <w:szCs w:val="24"/>
          <w:lang w:eastAsia="bg-BG"/>
        </w:rPr>
      </w:pPr>
      <w:r w:rsidRPr="00BD1692">
        <w:rPr>
          <w:rFonts w:eastAsia="Times New Roman" w:cs="Arial"/>
          <w:b/>
          <w:bCs/>
          <w:color w:val="000000"/>
          <w:szCs w:val="20"/>
          <w:lang w:eastAsia="bg-BG"/>
        </w:rPr>
        <w:t>Есенциална хипертония</w:t>
      </w:r>
      <w:bookmarkEnd w:id="1"/>
    </w:p>
    <w:p w14:paraId="0C7DFBE7"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Първоначалната доза Кориол е 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приемана сутрин, след закуска или 6,25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(сутрин и вечер). След 7 до 14 дни от започване на лечението, възможно е дори и след 2 дни, дозата може да бъде увеличена до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сутрин или по 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След 14 дни дозата може отново да бъде увеличена на 2 пъти по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дневно.</w:t>
      </w:r>
    </w:p>
    <w:p w14:paraId="5835735B"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Максималната доза Кориол за лечение на хипертония е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два пъти дневно.</w:t>
      </w:r>
    </w:p>
    <w:p w14:paraId="6F918764" w14:textId="77777777" w:rsidR="00BD1692" w:rsidRPr="00BD1692" w:rsidRDefault="00BD1692" w:rsidP="00BD1692">
      <w:pPr>
        <w:spacing w:line="240" w:lineRule="auto"/>
        <w:rPr>
          <w:rFonts w:eastAsia="Times New Roman" w:cs="Arial"/>
          <w:b/>
          <w:bCs/>
          <w:color w:val="000000"/>
          <w:szCs w:val="20"/>
          <w:lang w:eastAsia="bg-BG"/>
        </w:rPr>
      </w:pPr>
      <w:bookmarkStart w:id="2" w:name="bookmark2"/>
    </w:p>
    <w:p w14:paraId="15974ADE" w14:textId="5664AEC4" w:rsidR="00BD1692" w:rsidRPr="00BD1692" w:rsidRDefault="00BD1692" w:rsidP="00BD1692">
      <w:pPr>
        <w:spacing w:line="240" w:lineRule="auto"/>
        <w:rPr>
          <w:rFonts w:eastAsia="Times New Roman" w:cs="Arial"/>
          <w:sz w:val="28"/>
          <w:szCs w:val="24"/>
          <w:lang w:eastAsia="bg-BG"/>
        </w:rPr>
      </w:pPr>
      <w:r w:rsidRPr="00BD1692">
        <w:rPr>
          <w:rFonts w:eastAsia="Times New Roman" w:cs="Arial"/>
          <w:b/>
          <w:bCs/>
          <w:color w:val="000000"/>
          <w:szCs w:val="20"/>
          <w:lang w:eastAsia="bg-BG"/>
        </w:rPr>
        <w:t>Стабилна стенокардия</w:t>
      </w:r>
      <w:bookmarkEnd w:id="2"/>
    </w:p>
    <w:p w14:paraId="681FF432"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Първоначалната доза Кориол е 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приемана два пъти дневно, след хранене. След 7 до 14 дни от лечението, или дори след 2 дни от лечението, дозата може да бъде увеличена на 2 пъти по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на ден. Максималната дневна доза за лечение на хронична ангина пекторис е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Кориол, два пъти дневно.</w:t>
      </w:r>
    </w:p>
    <w:p w14:paraId="5D994A0D" w14:textId="77777777" w:rsidR="00BD1692" w:rsidRPr="00BD1692" w:rsidRDefault="00BD1692" w:rsidP="00BD1692">
      <w:pPr>
        <w:spacing w:line="240" w:lineRule="auto"/>
        <w:rPr>
          <w:rFonts w:eastAsia="Times New Roman" w:cs="Arial"/>
          <w:b/>
          <w:bCs/>
          <w:color w:val="000000"/>
          <w:szCs w:val="20"/>
          <w:lang w:eastAsia="bg-BG"/>
        </w:rPr>
      </w:pPr>
      <w:bookmarkStart w:id="3" w:name="bookmark4"/>
    </w:p>
    <w:p w14:paraId="2CE8224B" w14:textId="3D0400A3" w:rsidR="00BD1692" w:rsidRPr="00BD1692" w:rsidRDefault="00BD1692" w:rsidP="00BD1692">
      <w:pPr>
        <w:spacing w:line="240" w:lineRule="auto"/>
        <w:rPr>
          <w:rFonts w:eastAsia="Times New Roman" w:cs="Arial"/>
          <w:sz w:val="28"/>
          <w:szCs w:val="24"/>
          <w:lang w:eastAsia="bg-BG"/>
        </w:rPr>
      </w:pPr>
      <w:r w:rsidRPr="00BD1692">
        <w:rPr>
          <w:rFonts w:eastAsia="Times New Roman" w:cs="Arial"/>
          <w:b/>
          <w:bCs/>
          <w:color w:val="000000"/>
          <w:szCs w:val="20"/>
          <w:lang w:eastAsia="bg-BG"/>
        </w:rPr>
        <w:t>Хронична сърдечна недостатъчност</w:t>
      </w:r>
      <w:bookmarkEnd w:id="3"/>
    </w:p>
    <w:p w14:paraId="607861F3"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Кориол се препоръчва като допълнително средство към основното лечение с лекарствени продукти, като диуретици, АСЕ инхибитори и/или дигиталисови продукти. Може да се прилага като заместващо лечение, когато пациентите не понасят АСЕ инхибитори. Кориол може да се прилага само след като дозите на съответния диуретик, АСЕ инхибитор или дигиталисов продукт (ако са предписани такива продукти) са съответно стабилизирани.</w:t>
      </w:r>
    </w:p>
    <w:p w14:paraId="055284CB"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Схемата на дозиране е индивидуална. Пациентите трябва да се под непрекъснато медицинско наблюдение за поносимостта към лекарствения продукт в първите 2 до 3 часа след прием на началната доза и след прием на всяка нова по-висока доза. Появата на брадикардия (честота на пулса под 55 удара в минута) е сигнал за намаляване на дозата Кориол. При появата на признаци на хипотония най-напред се намалява дозата на диуретика или АСЕ инхибитора, ако тези мерки са недостатъчни, тогава се намалява и дозата на Кориол.</w:t>
      </w:r>
    </w:p>
    <w:p w14:paraId="49BD073C"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В началото на лечение с Кориол или след увеличаване на дозата може да се наблюдава преходно влошаване на симтомите на сърдечна недостатъчност. В такъв случай трябва да се увеличи дозата на диуретика. Понякога се налага да се намали временно дозата на Кориол или дори да се спре. Когато пациентът се стабилизира клинично лечението с </w:t>
      </w:r>
      <w:r w:rsidRPr="00BD1692">
        <w:rPr>
          <w:rFonts w:eastAsia="Times New Roman" w:cs="Arial"/>
          <w:color w:val="000000"/>
          <w:szCs w:val="20"/>
          <w:lang w:eastAsia="bg-BG"/>
        </w:rPr>
        <w:lastRenderedPageBreak/>
        <w:t xml:space="preserve">Кориол и/или увеличаването на дозите може да се започне отново. Ако симптомите на сърдечната недостатъчност се влошат към по-тежка форма </w:t>
      </w:r>
      <w:r w:rsidRPr="00BD1692">
        <w:rPr>
          <w:rFonts w:eastAsia="Times New Roman" w:cs="Arial"/>
          <w:color w:val="000000"/>
          <w:szCs w:val="20"/>
          <w:lang w:val="en-US"/>
        </w:rPr>
        <w:t xml:space="preserve">(NYHA </w:t>
      </w:r>
      <w:r w:rsidRPr="00BD1692">
        <w:rPr>
          <w:rFonts w:eastAsia="Times New Roman" w:cs="Arial"/>
          <w:color w:val="000000"/>
          <w:szCs w:val="20"/>
          <w:lang w:eastAsia="bg-BG"/>
        </w:rPr>
        <w:t>клас IV), трябва да се направи ревизия на цялостното лечение. При кардиогенен шок или декомпенсирана СН се налага използването на интравенозна инотропна терапия.</w:t>
      </w:r>
    </w:p>
    <w:p w14:paraId="73CB5811"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Началната доза е 3,125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При добра поносимост на тази доза, тя постепенно (в интервал през две седмици) може да се повишава до достигане на оптималната доза. Следващите дози трябва да са 6,25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след това 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w:t>
      </w:r>
      <w:r w:rsidRPr="00BD1692">
        <w:rPr>
          <w:rFonts w:eastAsia="Times New Roman" w:cs="Arial"/>
          <w:i/>
          <w:iCs/>
          <w:color w:val="000000"/>
          <w:szCs w:val="20"/>
          <w:lang w:eastAsia="bg-BG"/>
        </w:rPr>
        <w:t xml:space="preserve">и </w:t>
      </w:r>
      <w:r w:rsidRPr="00BD1692">
        <w:rPr>
          <w:rFonts w:eastAsia="Times New Roman" w:cs="Arial"/>
          <w:color w:val="000000"/>
          <w:szCs w:val="20"/>
          <w:lang w:eastAsia="bg-BG"/>
        </w:rPr>
        <w:t xml:space="preserve">накрая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Пациентът трябва да приема най-високите дози, които може да понесе добре. Най-високата препоръчвана доза е 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два пъти дневно. При пациенти, тежащи повече от 85 </w:t>
      </w:r>
      <w:r w:rsidRPr="00BD1692">
        <w:rPr>
          <w:rFonts w:eastAsia="Times New Roman" w:cs="Arial"/>
          <w:color w:val="000000"/>
          <w:szCs w:val="20"/>
          <w:lang w:val="en-US"/>
        </w:rPr>
        <w:t xml:space="preserve">kg, </w:t>
      </w:r>
      <w:r w:rsidRPr="00BD1692">
        <w:rPr>
          <w:rFonts w:eastAsia="Times New Roman" w:cs="Arial"/>
          <w:color w:val="000000"/>
          <w:szCs w:val="20"/>
          <w:lang w:eastAsia="bg-BG"/>
        </w:rPr>
        <w:t xml:space="preserve">дозата постепенно и внимателно се титрира до 50 </w:t>
      </w:r>
      <w:r w:rsidRPr="00BD1692">
        <w:rPr>
          <w:rFonts w:eastAsia="Times New Roman" w:cs="Arial"/>
          <w:color w:val="000000"/>
          <w:szCs w:val="20"/>
          <w:lang w:val="en-US"/>
        </w:rPr>
        <w:t xml:space="preserve">mg </w:t>
      </w:r>
      <w:r w:rsidRPr="00BD1692">
        <w:rPr>
          <w:rFonts w:eastAsia="Times New Roman" w:cs="Arial"/>
          <w:color w:val="000000"/>
          <w:szCs w:val="20"/>
          <w:lang w:eastAsia="bg-BG"/>
        </w:rPr>
        <w:t>два пъти дневно.</w:t>
      </w:r>
    </w:p>
    <w:p w14:paraId="0115387F" w14:textId="77777777" w:rsidR="00BD1692" w:rsidRPr="00BD1692" w:rsidRDefault="00BD1692" w:rsidP="00BD1692">
      <w:pPr>
        <w:spacing w:line="240" w:lineRule="auto"/>
        <w:rPr>
          <w:rFonts w:eastAsia="Times New Roman" w:cs="Arial"/>
          <w:color w:val="000000"/>
          <w:szCs w:val="20"/>
          <w:u w:val="single"/>
          <w:lang w:eastAsia="bg-BG"/>
        </w:rPr>
      </w:pPr>
    </w:p>
    <w:p w14:paraId="5AFE8B1F" w14:textId="5CBAB095"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u w:val="single"/>
          <w:lang w:eastAsia="bg-BG"/>
        </w:rPr>
        <w:t>Старческа възраст</w:t>
      </w:r>
    </w:p>
    <w:p w14:paraId="722C0358"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При пациенти в старческа възраст се препоръчва да се започне с по-ниска доза Кориол: 6,25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 xml:space="preserve">на ден за лечение на хипертония и 2 пъти по 6,25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на ден за лечение на ангина пекторис.</w:t>
      </w:r>
    </w:p>
    <w:p w14:paraId="77EF99E3" w14:textId="77777777" w:rsidR="00BD1692" w:rsidRPr="00BD1692" w:rsidRDefault="00BD1692" w:rsidP="00BD1692">
      <w:pPr>
        <w:spacing w:line="240" w:lineRule="auto"/>
        <w:rPr>
          <w:rFonts w:eastAsia="Times New Roman" w:cs="Arial"/>
          <w:color w:val="000000"/>
          <w:szCs w:val="20"/>
          <w:u w:val="single"/>
          <w:lang w:eastAsia="bg-BG"/>
        </w:rPr>
      </w:pPr>
    </w:p>
    <w:p w14:paraId="1D893411" w14:textId="262516FC"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u w:val="single"/>
          <w:lang w:eastAsia="bg-BG"/>
        </w:rPr>
        <w:t>Сърдечна недостатъчност</w:t>
      </w:r>
    </w:p>
    <w:p w14:paraId="339F35A3"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При пациенти със сърдечна недостатъчност препоръчваните дози са: 2 пъти по 3,125 </w:t>
      </w:r>
      <w:r w:rsidRPr="00BD1692">
        <w:rPr>
          <w:rFonts w:eastAsia="Times New Roman" w:cs="Arial"/>
          <w:color w:val="000000"/>
          <w:szCs w:val="20"/>
          <w:lang w:val="en-US"/>
        </w:rPr>
        <w:t xml:space="preserve">mg </w:t>
      </w:r>
      <w:r w:rsidRPr="00BD1692">
        <w:rPr>
          <w:rFonts w:eastAsia="Times New Roman" w:cs="Arial"/>
          <w:color w:val="000000"/>
          <w:szCs w:val="20"/>
          <w:lang w:eastAsia="bg-BG"/>
        </w:rPr>
        <w:t>на ден за лечение на хипертония и ангина пекторис.</w:t>
      </w:r>
      <w:r w:rsidRPr="00BD1692">
        <w:rPr>
          <w:rFonts w:eastAsia="Times New Roman" w:cs="Arial"/>
          <w:color w:val="000000"/>
          <w:szCs w:val="20"/>
          <w:lang w:eastAsia="bg-BG"/>
        </w:rPr>
        <w:tab/>
      </w:r>
    </w:p>
    <w:p w14:paraId="28C39AFB" w14:textId="77777777" w:rsidR="00BD1692" w:rsidRPr="00BD1692" w:rsidRDefault="00BD1692" w:rsidP="00BD1692">
      <w:pPr>
        <w:spacing w:line="240" w:lineRule="auto"/>
        <w:rPr>
          <w:rFonts w:eastAsia="Times New Roman" w:cs="Arial"/>
          <w:color w:val="000000"/>
          <w:szCs w:val="20"/>
          <w:u w:val="single"/>
          <w:lang w:eastAsia="bg-BG"/>
        </w:rPr>
      </w:pPr>
    </w:p>
    <w:p w14:paraId="7DD9704C" w14:textId="3DEF84BA"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u w:val="single"/>
          <w:lang w:eastAsia="bg-BG"/>
        </w:rPr>
        <w:t>Пропускане на доза</w:t>
      </w:r>
    </w:p>
    <w:p w14:paraId="109E094F" w14:textId="19B61BC2" w:rsidR="00BD1692" w:rsidRPr="00BD1692" w:rsidRDefault="00BD1692" w:rsidP="00BD1692">
      <w:pPr>
        <w:spacing w:line="240" w:lineRule="auto"/>
        <w:rPr>
          <w:rFonts w:eastAsia="Times New Roman" w:cs="Arial"/>
          <w:sz w:val="32"/>
          <w:szCs w:val="24"/>
          <w:lang w:eastAsia="bg-BG"/>
        </w:rPr>
      </w:pPr>
      <w:r w:rsidRPr="00BD1692">
        <w:rPr>
          <w:rFonts w:eastAsia="Times New Roman" w:cs="Arial"/>
          <w:color w:val="000000"/>
          <w:szCs w:val="20"/>
          <w:lang w:eastAsia="bg-BG"/>
        </w:rPr>
        <w:t>Пропуснатата доза трябва да бъде взета възможно най-скоро. Все пак, ако наближава времето за приемане на следващата доза, пациентът не трябва да се опитва да наваксва пропуснатата, а да вземе следващата доза в определеното време.</w:t>
      </w:r>
    </w:p>
    <w:p w14:paraId="295B3572" w14:textId="776AA2DB" w:rsidR="00BD1692" w:rsidRDefault="00BD1692" w:rsidP="00BD1692"/>
    <w:p w14:paraId="4CFCB81C" w14:textId="77777777" w:rsidR="00BD1692" w:rsidRPr="00BD1692" w:rsidRDefault="00BD1692" w:rsidP="00BD1692">
      <w:pPr>
        <w:pStyle w:val="Heading3"/>
        <w:rPr>
          <w:rFonts w:eastAsia="Times New Roman"/>
          <w:sz w:val="28"/>
          <w:u w:val="single"/>
          <w:lang w:eastAsia="bg-BG"/>
        </w:rPr>
      </w:pPr>
      <w:r w:rsidRPr="00BD1692">
        <w:rPr>
          <w:rFonts w:eastAsia="Times New Roman"/>
          <w:u w:val="single"/>
          <w:lang w:eastAsia="bg-BG"/>
        </w:rPr>
        <w:t>Начин на приложение</w:t>
      </w:r>
    </w:p>
    <w:p w14:paraId="50F69788" w14:textId="33E8BC15" w:rsidR="00BD1692" w:rsidRDefault="00BD1692" w:rsidP="00BD1692">
      <w:pPr>
        <w:rPr>
          <w:rFonts w:eastAsia="Times New Roman" w:cs="Arial"/>
          <w:color w:val="000000"/>
          <w:szCs w:val="20"/>
          <w:lang w:eastAsia="bg-BG"/>
        </w:rPr>
      </w:pPr>
      <w:r w:rsidRPr="00BD1692">
        <w:rPr>
          <w:rFonts w:eastAsia="Times New Roman" w:cs="Arial"/>
          <w:color w:val="000000"/>
          <w:szCs w:val="20"/>
          <w:lang w:eastAsia="bg-BG"/>
        </w:rPr>
        <w:t>Таблетките трябва да се приемат с течност. Пациенти със сърдечна недостатъчност трябва да приемат Кориол с храна, за да се забави степента на абсорбция и да се намали рискът от ортостатични ефекти.</w:t>
      </w:r>
    </w:p>
    <w:p w14:paraId="028431D9" w14:textId="77777777" w:rsidR="00BD1692" w:rsidRPr="00BD1692" w:rsidRDefault="00BD1692" w:rsidP="00BD1692">
      <w:pPr>
        <w:rPr>
          <w:rFonts w:cs="Arial"/>
          <w:sz w:val="24"/>
        </w:rPr>
      </w:pPr>
    </w:p>
    <w:p w14:paraId="28C984E8" w14:textId="5D3E5F1C" w:rsidR="008134C8" w:rsidRDefault="002C50EE" w:rsidP="004A448E">
      <w:pPr>
        <w:pStyle w:val="Heading2"/>
      </w:pPr>
      <w:r>
        <w:t>4.3. Противопоказания</w:t>
      </w:r>
    </w:p>
    <w:p w14:paraId="3CD3A39E" w14:textId="1E38B433" w:rsidR="00BD1692" w:rsidRDefault="00BD1692" w:rsidP="00BD1692"/>
    <w:p w14:paraId="012D7663"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Свръхчувствителност към активното вещество или към някое от помощните вещества, изброени в точка 6.1.</w:t>
      </w:r>
    </w:p>
    <w:p w14:paraId="482359BB"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Нестабилна/декомпенсирана сърдечна недостатъчност.</w:t>
      </w:r>
    </w:p>
    <w:p w14:paraId="0F362365"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Сърдечен атриовентрикуларен </w:t>
      </w:r>
      <w:r w:rsidRPr="00BD1692">
        <w:rPr>
          <w:rFonts w:eastAsia="Times New Roman" w:cs="Arial"/>
          <w:color w:val="000000"/>
          <w:szCs w:val="20"/>
          <w:lang w:val="en-US"/>
        </w:rPr>
        <w:t xml:space="preserve">(AV) </w:t>
      </w:r>
      <w:r w:rsidRPr="00BD1692">
        <w:rPr>
          <w:rFonts w:eastAsia="Times New Roman" w:cs="Arial"/>
          <w:color w:val="000000"/>
          <w:szCs w:val="20"/>
          <w:lang w:eastAsia="bg-BG"/>
        </w:rPr>
        <w:t>блок II и III степен (освен ако не е поставен постоянен пейс-мейкър).</w:t>
      </w:r>
    </w:p>
    <w:p w14:paraId="2AF88B12"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Тежка брадикардия (&lt; 50 </w:t>
      </w:r>
      <w:r w:rsidRPr="00BD1692">
        <w:rPr>
          <w:rFonts w:eastAsia="Times New Roman" w:cs="Arial"/>
          <w:color w:val="000000"/>
          <w:szCs w:val="20"/>
          <w:lang w:val="en-US"/>
        </w:rPr>
        <w:t>bpm).</w:t>
      </w:r>
    </w:p>
    <w:p w14:paraId="1BFBFFEB"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Синдром на болния синусов възел (включително сино-атриален блок).</w:t>
      </w:r>
    </w:p>
    <w:p w14:paraId="2D958DB3"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Кардиогенен шок.</w:t>
      </w:r>
    </w:p>
    <w:p w14:paraId="5D69CFC3"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Тежка хипотония (систолично артериално налягане &lt; 85 </w:t>
      </w:r>
      <w:r w:rsidRPr="00BD1692">
        <w:rPr>
          <w:rFonts w:eastAsia="Times New Roman" w:cs="Arial"/>
          <w:color w:val="000000"/>
          <w:szCs w:val="20"/>
          <w:lang w:val="en-US"/>
        </w:rPr>
        <w:t>mmHg).</w:t>
      </w:r>
    </w:p>
    <w:p w14:paraId="3F544D79"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Анамнеза, включваща бронхоспазъм или астма.</w:t>
      </w:r>
    </w:p>
    <w:p w14:paraId="202CE86F"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Клинично проявена чернодробна недостатъчност.</w:t>
      </w:r>
    </w:p>
    <w:p w14:paraId="0065CD2A" w14:textId="56AD1D16" w:rsidR="00BD1692" w:rsidRPr="00BD1692" w:rsidRDefault="00BD1692" w:rsidP="00BD1692">
      <w:pPr>
        <w:rPr>
          <w:rFonts w:eastAsia="Times New Roman" w:cs="Arial"/>
          <w:color w:val="000000"/>
          <w:szCs w:val="20"/>
          <w:lang w:eastAsia="bg-BG"/>
        </w:rPr>
      </w:pPr>
      <w:r w:rsidRPr="00BD1692">
        <w:rPr>
          <w:rFonts w:eastAsia="Times New Roman" w:cs="Arial"/>
          <w:color w:val="000000"/>
          <w:szCs w:val="20"/>
          <w:lang w:eastAsia="bg-BG"/>
        </w:rPr>
        <w:t>Метаболитна ацидоза.</w:t>
      </w:r>
    </w:p>
    <w:p w14:paraId="4A41B221" w14:textId="77777777" w:rsidR="00BD1692" w:rsidRPr="00BD1692" w:rsidRDefault="00BD1692" w:rsidP="00BD1692"/>
    <w:p w14:paraId="212F509C" w14:textId="2478F87F" w:rsidR="004F498A" w:rsidRDefault="002C50EE" w:rsidP="004A448E">
      <w:pPr>
        <w:pStyle w:val="Heading2"/>
      </w:pPr>
      <w:r>
        <w:t>4.4. Специални предупреждения и предпазни мерки при употреба</w:t>
      </w:r>
    </w:p>
    <w:p w14:paraId="4FE1EF7D" w14:textId="29AD669A" w:rsidR="00BD1692" w:rsidRDefault="00BD1692" w:rsidP="00BD1692"/>
    <w:p w14:paraId="05A376CB"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Хронична застойна сърдечна недостатъчност</w:t>
      </w:r>
    </w:p>
    <w:p w14:paraId="6B10FE58"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lastRenderedPageBreak/>
        <w:t xml:space="preserve">При пациенти със застойна сърдечна недостатъчност по време на повишаване на дозата на карведилол може да възникне влошаваща се сърдечна недостатъчност или задръжка на течности. Ако се появят такива симптоми, дозата на диуретика трябва да се повиши, а дозата на карведилол не трябва да се увеличава до възстановяване на клиничната стабилност. Понякога може да се наложи да се намали дозата на карведилол или лечението временно да се преустанови. Такива епизоди не изключват последващо успешно титриране на карведилол. Карведилол трябва да се прилага внимателно в комбинация е дигиталисови гликозиди тъй като двете лекарства могат да забавят </w:t>
      </w:r>
      <w:r w:rsidRPr="00BD1692">
        <w:rPr>
          <w:rFonts w:eastAsia="Times New Roman" w:cs="Arial"/>
          <w:color w:val="000000"/>
          <w:szCs w:val="20"/>
          <w:lang w:val="en-US"/>
        </w:rPr>
        <w:t xml:space="preserve">AV </w:t>
      </w:r>
      <w:r w:rsidRPr="00BD1692">
        <w:rPr>
          <w:rFonts w:eastAsia="Times New Roman" w:cs="Arial"/>
          <w:color w:val="000000"/>
          <w:szCs w:val="20"/>
          <w:lang w:eastAsia="bg-BG"/>
        </w:rPr>
        <w:t>провеждането (вж. точка 4.5).</w:t>
      </w:r>
    </w:p>
    <w:p w14:paraId="6DE7798F" w14:textId="77777777" w:rsidR="00BD1692" w:rsidRPr="00BD1692" w:rsidRDefault="00BD1692" w:rsidP="00BD1692">
      <w:pPr>
        <w:spacing w:line="240" w:lineRule="auto"/>
        <w:rPr>
          <w:rFonts w:eastAsia="Times New Roman" w:cs="Arial"/>
          <w:i/>
          <w:iCs/>
          <w:color w:val="000000"/>
          <w:szCs w:val="20"/>
          <w:lang w:eastAsia="bg-BG"/>
        </w:rPr>
      </w:pPr>
    </w:p>
    <w:p w14:paraId="05FA6371" w14:textId="71B95464"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Бъбречна функция при хронична сърдечна недостатъчност</w:t>
      </w:r>
    </w:p>
    <w:p w14:paraId="71C5A80F"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Наблюдавано е обратимо влошаване на бъбречната функция при лечение с карведилол при пациенти с хронична сърдечна недостатъчност с ниско артериално налягане (систолично АН под 100 </w:t>
      </w:r>
      <w:r w:rsidRPr="00BD1692">
        <w:rPr>
          <w:rFonts w:eastAsia="Times New Roman" w:cs="Arial"/>
          <w:color w:val="000000"/>
          <w:szCs w:val="20"/>
          <w:lang w:val="en-US"/>
        </w:rPr>
        <w:t xml:space="preserve">mmHg, </w:t>
      </w:r>
      <w:r w:rsidRPr="00BD1692">
        <w:rPr>
          <w:rFonts w:eastAsia="Times New Roman" w:cs="Arial"/>
          <w:color w:val="000000"/>
          <w:szCs w:val="20"/>
          <w:lang w:eastAsia="bg-BG"/>
        </w:rPr>
        <w:t>исхемична болест на сърцето и дифузно съдово заболяване и/или съпътстваща бъбречна недостатъчност). При пациенти с хронична сърдечна недостатъчност с тези рискови фактори бъбречната функция трябва да се мониторира по време на повишаването на дозата на карведилол и лекарството да се преустанови, или дозата да се намали при възникване на влошаване на бъбречната недостатъчност.</w:t>
      </w:r>
    </w:p>
    <w:p w14:paraId="086627A5" w14:textId="77777777" w:rsidR="00BD1692" w:rsidRPr="00BD1692" w:rsidRDefault="00BD1692" w:rsidP="00BD1692">
      <w:pPr>
        <w:spacing w:line="240" w:lineRule="auto"/>
        <w:rPr>
          <w:rFonts w:eastAsia="Times New Roman" w:cs="Arial"/>
          <w:i/>
          <w:iCs/>
          <w:color w:val="000000"/>
          <w:szCs w:val="20"/>
          <w:lang w:eastAsia="bg-BG"/>
        </w:rPr>
      </w:pPr>
    </w:p>
    <w:p w14:paraId="46CD48A0" w14:textId="642F5F41"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Левокамерна дисфункция след остър миокарден инфаркт</w:t>
      </w:r>
    </w:p>
    <w:p w14:paraId="4C6801A8"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Преди започване на лечение с карведилол пациентът трябва да е клинично стабилен и трябва да е получавал АСЕ инхибитор поне от 48 часа като дозата на АСЕ инхибитора трябва да е стабилна поне през последните 24 часа.</w:t>
      </w:r>
    </w:p>
    <w:p w14:paraId="207BC2B6" w14:textId="77777777" w:rsidR="00BD1692" w:rsidRPr="00BD1692" w:rsidRDefault="00BD1692" w:rsidP="00BD1692">
      <w:pPr>
        <w:spacing w:line="240" w:lineRule="auto"/>
        <w:rPr>
          <w:rFonts w:eastAsia="Times New Roman" w:cs="Arial"/>
          <w:i/>
          <w:iCs/>
          <w:color w:val="000000"/>
          <w:szCs w:val="20"/>
          <w:lang w:eastAsia="bg-BG"/>
        </w:rPr>
      </w:pPr>
    </w:p>
    <w:p w14:paraId="4D147A93" w14:textId="520B8F0D"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Хронична обструктивна белодробна болест</w:t>
      </w:r>
    </w:p>
    <w:p w14:paraId="25AF2C80"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Карведилол трябва да се прилага с внимание при пациенти с хронична обструктивна белодробна болест (ХОББ) с бронхоспазъм. които не получават перорално или инхалаторно лекарства, и само ако ползата от лечението превишава потенциалния риск.При пациенти с тенденция на бронхоспастични реакции може да се появи респираторен дистрес като резултат от възможно засилване на съпротивлението на дихателните пътища. Пациентите трябва да бъдат внимателно проследявани в началото на лечението и при последващо повишаване на</w:t>
      </w:r>
    </w:p>
    <w:p w14:paraId="7C45F3C3" w14:textId="5475A1EE" w:rsidR="00BD1692" w:rsidRDefault="00BD1692" w:rsidP="00BD1692">
      <w:pPr>
        <w:rPr>
          <w:rFonts w:eastAsia="Times New Roman" w:cs="Arial"/>
          <w:color w:val="000000"/>
          <w:szCs w:val="20"/>
          <w:lang w:eastAsia="bg-BG"/>
        </w:rPr>
      </w:pPr>
      <w:r w:rsidRPr="00BD1692">
        <w:rPr>
          <w:rFonts w:eastAsia="Times New Roman" w:cs="Arial"/>
          <w:color w:val="000000"/>
          <w:szCs w:val="20"/>
          <w:lang w:eastAsia="bg-BG"/>
        </w:rPr>
        <w:t xml:space="preserve">дозата на карведилол и дозата на карведилол трябва да се намали, ако възникне бронхоспазъм </w:t>
      </w:r>
      <w:r w:rsidRPr="00BD1692">
        <w:rPr>
          <w:rFonts w:eastAsia="Times New Roman" w:cs="Arial"/>
          <w:color w:val="000000"/>
          <w:szCs w:val="20"/>
          <w:vertAlign w:val="subscript"/>
          <w:lang w:eastAsia="bg-BG"/>
        </w:rPr>
        <w:t xml:space="preserve"> </w:t>
      </w:r>
      <w:r w:rsidRPr="00BD1692">
        <w:rPr>
          <w:rFonts w:eastAsia="Times New Roman" w:cs="Arial"/>
          <w:color w:val="000000"/>
          <w:szCs w:val="20"/>
          <w:lang w:eastAsia="bg-BG"/>
        </w:rPr>
        <w:t>по време на лечението.</w:t>
      </w:r>
    </w:p>
    <w:p w14:paraId="3FD1F8C2" w14:textId="75410762" w:rsidR="00BD1692" w:rsidRDefault="00BD1692" w:rsidP="00BD1692">
      <w:pPr>
        <w:rPr>
          <w:rFonts w:eastAsia="Times New Roman" w:cs="Arial"/>
          <w:color w:val="000000"/>
          <w:szCs w:val="20"/>
          <w:lang w:eastAsia="bg-BG"/>
        </w:rPr>
      </w:pPr>
    </w:p>
    <w:p w14:paraId="35079D1F"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Диабет</w:t>
      </w:r>
    </w:p>
    <w:p w14:paraId="00238DB9"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Изисква се повишено внимание при предписването на карведилол на пациенти със захарен диабет тъй като може да доведе до влошаване на контрола на кръвната захар или може да маскира или отслаби ранните признаци на остра хипогликемия. Алтернатива на бета-блокерите обикновено се предпочита при пациенти, зависими от инсулин. Поради това се налага редовно проследяване на кръвната захар при диабетици при започване на лечение или при повишаване на дозата на карведолол, а хипогликемичната терапия трябва да се коригира съответно (вж. точка 4.5).</w:t>
      </w:r>
    </w:p>
    <w:p w14:paraId="767F4253" w14:textId="77777777" w:rsidR="00BD1692" w:rsidRPr="00BD1692" w:rsidRDefault="00BD1692" w:rsidP="00BD1692">
      <w:pPr>
        <w:spacing w:line="240" w:lineRule="auto"/>
        <w:rPr>
          <w:rFonts w:eastAsia="Times New Roman" w:cs="Arial"/>
          <w:i/>
          <w:iCs/>
          <w:color w:val="000000"/>
          <w:szCs w:val="20"/>
          <w:lang w:eastAsia="bg-BG"/>
        </w:rPr>
      </w:pPr>
    </w:p>
    <w:p w14:paraId="6F00B56A" w14:textId="447924A2"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 xml:space="preserve">Периферно съдово заболяване и феномен на </w:t>
      </w:r>
      <w:proofErr w:type="spellStart"/>
      <w:r w:rsidRPr="00BD1692">
        <w:rPr>
          <w:rFonts w:eastAsia="Times New Roman" w:cs="Arial"/>
          <w:i/>
          <w:iCs/>
          <w:color w:val="000000"/>
          <w:szCs w:val="20"/>
          <w:lang w:val="en-US"/>
        </w:rPr>
        <w:t>Raynaurd</w:t>
      </w:r>
      <w:proofErr w:type="spellEnd"/>
    </w:p>
    <w:p w14:paraId="093CA118"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Кориол трябва да се прилага с внимание при пациенти с периферно съдово заболяване (напр. феномен на </w:t>
      </w:r>
      <w:proofErr w:type="spellStart"/>
      <w:r w:rsidRPr="00BD1692">
        <w:rPr>
          <w:rFonts w:eastAsia="Times New Roman" w:cs="Arial"/>
          <w:color w:val="000000"/>
          <w:szCs w:val="20"/>
          <w:lang w:val="en-US"/>
        </w:rPr>
        <w:t>Raynaurd</w:t>
      </w:r>
      <w:proofErr w:type="spellEnd"/>
      <w:r w:rsidRPr="00BD1692">
        <w:rPr>
          <w:rFonts w:eastAsia="Times New Roman" w:cs="Arial"/>
          <w:color w:val="000000"/>
          <w:szCs w:val="20"/>
          <w:lang w:val="en-US"/>
        </w:rPr>
        <w:t xml:space="preserve">), </w:t>
      </w:r>
      <w:r w:rsidRPr="00BD1692">
        <w:rPr>
          <w:rFonts w:eastAsia="Times New Roman" w:cs="Arial"/>
          <w:color w:val="000000"/>
          <w:szCs w:val="20"/>
          <w:lang w:eastAsia="bg-BG"/>
        </w:rPr>
        <w:t>тъй като бета-блокерите могат да отключат или да влошат симптомите на артериална недостатъчност. Тъй като обаче карведилол има също и алфа-блокиращи свойства, този ефект в голяма степен е балансиран.</w:t>
      </w:r>
    </w:p>
    <w:p w14:paraId="7E67429F" w14:textId="77777777" w:rsidR="00BD1692" w:rsidRPr="00BD1692" w:rsidRDefault="00BD1692" w:rsidP="00BD1692">
      <w:pPr>
        <w:spacing w:line="240" w:lineRule="auto"/>
        <w:rPr>
          <w:rFonts w:eastAsia="Times New Roman" w:cs="Arial"/>
          <w:i/>
          <w:iCs/>
          <w:color w:val="000000"/>
          <w:szCs w:val="20"/>
          <w:lang w:eastAsia="bg-BG"/>
        </w:rPr>
      </w:pPr>
    </w:p>
    <w:p w14:paraId="75FCC1B3" w14:textId="0FC47272"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lastRenderedPageBreak/>
        <w:t>Тиреотоксико за</w:t>
      </w:r>
    </w:p>
    <w:p w14:paraId="7C9FE1C4"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Карведилол може да маскира симптомите на тиреотоксикоза.</w:t>
      </w:r>
    </w:p>
    <w:p w14:paraId="274CB2EE" w14:textId="77777777" w:rsidR="00BD1692" w:rsidRPr="00BD1692" w:rsidRDefault="00BD1692" w:rsidP="00BD1692">
      <w:pPr>
        <w:spacing w:line="240" w:lineRule="auto"/>
        <w:rPr>
          <w:rFonts w:eastAsia="Times New Roman" w:cs="Arial"/>
          <w:i/>
          <w:iCs/>
          <w:color w:val="000000"/>
          <w:szCs w:val="20"/>
          <w:lang w:eastAsia="bg-BG"/>
        </w:rPr>
      </w:pPr>
    </w:p>
    <w:p w14:paraId="1CA51238" w14:textId="5A73CB57"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Брадикрадия</w:t>
      </w:r>
    </w:p>
    <w:p w14:paraId="03B8A51F"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Карведилол може да индуцира брадикардия. Ако сърдечната честота на пациента се понижи под 55 удара в минута, дозата на карведилол трябва да се намали.</w:t>
      </w:r>
    </w:p>
    <w:p w14:paraId="74B9E0F2" w14:textId="77777777" w:rsidR="00BD1692" w:rsidRPr="00BD1692" w:rsidRDefault="00BD1692" w:rsidP="00BD1692">
      <w:pPr>
        <w:spacing w:line="240" w:lineRule="auto"/>
        <w:rPr>
          <w:rFonts w:eastAsia="Times New Roman" w:cs="Arial"/>
          <w:i/>
          <w:iCs/>
          <w:color w:val="000000"/>
          <w:szCs w:val="20"/>
          <w:lang w:eastAsia="bg-BG"/>
        </w:rPr>
      </w:pPr>
    </w:p>
    <w:p w14:paraId="5DA34145" w14:textId="0B206470"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Свръхчувствителност</w:t>
      </w:r>
    </w:p>
    <w:p w14:paraId="5B0BD7F2"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Трябва да се внимава при прилагане на карведолол при пациенти с анамнеза за сериозни реакции на свръхчувствителност и при пациенти, подложени на десенсибилизиращо лечение, тъй като бета-блокерите може да увеличат както чувствителността към алергени, така и тежестта на реакциите на свръхчувствителност.</w:t>
      </w:r>
    </w:p>
    <w:p w14:paraId="495AA782" w14:textId="77777777" w:rsidR="00BD1692" w:rsidRPr="00BD1692" w:rsidRDefault="00BD1692" w:rsidP="00BD1692">
      <w:pPr>
        <w:spacing w:line="240" w:lineRule="auto"/>
        <w:rPr>
          <w:rFonts w:eastAsia="Times New Roman" w:cs="Arial"/>
          <w:i/>
          <w:iCs/>
          <w:color w:val="000000"/>
          <w:szCs w:val="20"/>
          <w:lang w:eastAsia="bg-BG"/>
        </w:rPr>
      </w:pPr>
    </w:p>
    <w:p w14:paraId="70683D9F" w14:textId="19F78FF7"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 xml:space="preserve">Тежки кожни нежелани реакции </w:t>
      </w:r>
      <w:r w:rsidRPr="00BD1692">
        <w:rPr>
          <w:rFonts w:eastAsia="Times New Roman" w:cs="Arial"/>
          <w:i/>
          <w:iCs/>
          <w:color w:val="000000"/>
          <w:szCs w:val="20"/>
          <w:lang w:val="en-US"/>
        </w:rPr>
        <w:t>(SCARs)</w:t>
      </w:r>
    </w:p>
    <w:p w14:paraId="6A10ED60"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 xml:space="preserve">Много редки случаи на тежки кожни нежелани реакции като токсична епидермална некролиза </w:t>
      </w:r>
      <w:r w:rsidRPr="00BD1692">
        <w:rPr>
          <w:rFonts w:eastAsia="Times New Roman" w:cs="Arial"/>
          <w:color w:val="000000"/>
          <w:szCs w:val="20"/>
          <w:lang w:val="en-US"/>
        </w:rPr>
        <w:t xml:space="preserve">(TEN) </w:t>
      </w:r>
      <w:r w:rsidRPr="00BD1692">
        <w:rPr>
          <w:rFonts w:eastAsia="Times New Roman" w:cs="Arial"/>
          <w:color w:val="000000"/>
          <w:szCs w:val="20"/>
          <w:lang w:eastAsia="bg-BG"/>
        </w:rPr>
        <w:t xml:space="preserve">и синдрома на </w:t>
      </w:r>
      <w:r w:rsidRPr="00BD1692">
        <w:rPr>
          <w:rFonts w:eastAsia="Times New Roman" w:cs="Arial"/>
          <w:color w:val="000000"/>
          <w:szCs w:val="20"/>
          <w:lang w:val="en-US"/>
        </w:rPr>
        <w:t xml:space="preserve">Stevens-Johnson (SJS) </w:t>
      </w:r>
      <w:r w:rsidRPr="00BD1692">
        <w:rPr>
          <w:rFonts w:eastAsia="Times New Roman" w:cs="Arial"/>
          <w:color w:val="000000"/>
          <w:szCs w:val="20"/>
          <w:lang w:eastAsia="bg-BG"/>
        </w:rPr>
        <w:t>са съобщени по време на лечението с карведилол (вж. точка 4.8). Приемането на карведилол трябва окончателно да се преустанови при пациенти, при които се наблюдават тежки кожни нежелани реакции, които е възможно да се дължат на карведилол.</w:t>
      </w:r>
    </w:p>
    <w:p w14:paraId="62516D6C" w14:textId="77777777" w:rsidR="00BD1692" w:rsidRPr="00BD1692" w:rsidRDefault="00BD1692" w:rsidP="00BD1692">
      <w:pPr>
        <w:spacing w:line="240" w:lineRule="auto"/>
        <w:rPr>
          <w:rFonts w:eastAsia="Times New Roman" w:cs="Arial"/>
          <w:i/>
          <w:iCs/>
          <w:color w:val="000000"/>
          <w:szCs w:val="20"/>
          <w:lang w:eastAsia="bg-BG"/>
        </w:rPr>
      </w:pPr>
    </w:p>
    <w:p w14:paraId="266F7C61" w14:textId="35D90995"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Псориазис</w:t>
      </w:r>
    </w:p>
    <w:p w14:paraId="1E035C6C"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При пациенти с анамнеза за псориазис, свързан с лечение с бета-блокери, карведилол трябва да се прилага само след преценка на съотношението -полза/риск.</w:t>
      </w:r>
    </w:p>
    <w:p w14:paraId="68564DAE" w14:textId="77777777" w:rsidR="00BD1692" w:rsidRPr="00BD1692" w:rsidRDefault="00BD1692" w:rsidP="00BD1692">
      <w:pPr>
        <w:spacing w:line="240" w:lineRule="auto"/>
        <w:rPr>
          <w:rFonts w:eastAsia="Times New Roman" w:cs="Arial"/>
          <w:i/>
          <w:iCs/>
          <w:color w:val="000000"/>
          <w:szCs w:val="20"/>
          <w:lang w:eastAsia="bg-BG"/>
        </w:rPr>
      </w:pPr>
    </w:p>
    <w:p w14:paraId="01FD6425" w14:textId="68DFAF55"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Взаимодействия с други лекарствени продукти</w:t>
      </w:r>
    </w:p>
    <w:p w14:paraId="70F788CD"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Налице са редица значими фармакокинетични и фармакодинамични взаимодействия с други лекарствени продукти (напр. дигоксин, циклоспорин, рифампицин, анестетици, антиаритмични лекарства, вж. точка 4.5).</w:t>
      </w:r>
    </w:p>
    <w:p w14:paraId="5A96B1DC" w14:textId="77777777" w:rsidR="00BD1692" w:rsidRPr="00BD1692" w:rsidRDefault="00BD1692" w:rsidP="00BD1692">
      <w:pPr>
        <w:spacing w:line="240" w:lineRule="auto"/>
        <w:rPr>
          <w:rFonts w:eastAsia="Times New Roman" w:cs="Arial"/>
          <w:i/>
          <w:iCs/>
          <w:color w:val="000000"/>
          <w:szCs w:val="20"/>
          <w:lang w:eastAsia="bg-BG"/>
        </w:rPr>
      </w:pPr>
    </w:p>
    <w:p w14:paraId="63480481" w14:textId="51EF0B70"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Феохромоцитом</w:t>
      </w:r>
    </w:p>
    <w:p w14:paraId="5CE1A626" w14:textId="77777777" w:rsidR="00BD1692" w:rsidRPr="00BD1692" w:rsidRDefault="00BD1692" w:rsidP="00BD1692">
      <w:pPr>
        <w:spacing w:line="240" w:lineRule="auto"/>
        <w:rPr>
          <w:rFonts w:eastAsia="Times New Roman" w:cs="Arial"/>
          <w:sz w:val="28"/>
          <w:szCs w:val="24"/>
          <w:lang w:eastAsia="bg-BG"/>
        </w:rPr>
      </w:pPr>
      <w:r w:rsidRPr="00BD1692">
        <w:rPr>
          <w:rFonts w:eastAsia="Times New Roman" w:cs="Arial"/>
          <w:color w:val="000000"/>
          <w:szCs w:val="20"/>
          <w:lang w:eastAsia="bg-BG"/>
        </w:rPr>
        <w:t>При пациенти с феохромоцитом преди приложението на бета-блокери трябва да се започне лечение с алфа-блокери. Въпреки че карведилол притежава и алфа и бета фармакологични свойства, няма опит с приложението на карведилол при това състояние. Поради това трябва да се внимава при приложение на карведилол на пациенти с подозрение за феохромоцитом.</w:t>
      </w:r>
    </w:p>
    <w:p w14:paraId="3A093709" w14:textId="77777777" w:rsidR="00BD1692" w:rsidRPr="00BD1692" w:rsidRDefault="00BD1692" w:rsidP="00BD1692">
      <w:pPr>
        <w:spacing w:line="240" w:lineRule="auto"/>
        <w:rPr>
          <w:rFonts w:eastAsia="Times New Roman" w:cs="Arial"/>
          <w:i/>
          <w:iCs/>
          <w:color w:val="000000"/>
          <w:szCs w:val="20"/>
          <w:lang w:eastAsia="bg-BG"/>
        </w:rPr>
      </w:pPr>
    </w:p>
    <w:p w14:paraId="57AFDF1D" w14:textId="62322D85" w:rsidR="00BD1692" w:rsidRPr="00BD1692" w:rsidRDefault="00BD1692" w:rsidP="00BD1692">
      <w:pPr>
        <w:spacing w:line="240" w:lineRule="auto"/>
        <w:rPr>
          <w:rFonts w:eastAsia="Times New Roman" w:cs="Arial"/>
          <w:sz w:val="28"/>
          <w:szCs w:val="24"/>
          <w:lang w:eastAsia="bg-BG"/>
        </w:rPr>
      </w:pPr>
      <w:r w:rsidRPr="00BD1692">
        <w:rPr>
          <w:rFonts w:eastAsia="Times New Roman" w:cs="Arial"/>
          <w:i/>
          <w:iCs/>
          <w:color w:val="000000"/>
          <w:szCs w:val="20"/>
          <w:lang w:eastAsia="bg-BG"/>
        </w:rPr>
        <w:t xml:space="preserve">Вариантна ангина на </w:t>
      </w:r>
      <w:proofErr w:type="spellStart"/>
      <w:r w:rsidRPr="00BD1692">
        <w:rPr>
          <w:rFonts w:eastAsia="Times New Roman" w:cs="Arial"/>
          <w:i/>
          <w:iCs/>
          <w:color w:val="000000"/>
          <w:szCs w:val="20"/>
          <w:lang w:val="en-US"/>
        </w:rPr>
        <w:t>Prinzmetal</w:t>
      </w:r>
      <w:proofErr w:type="spellEnd"/>
    </w:p>
    <w:p w14:paraId="5AC543CB" w14:textId="09B08008" w:rsidR="00BD1692" w:rsidRDefault="00BD1692" w:rsidP="00BD1692">
      <w:pPr>
        <w:rPr>
          <w:rFonts w:eastAsia="Times New Roman" w:cs="Arial"/>
          <w:color w:val="000000"/>
          <w:szCs w:val="20"/>
          <w:lang w:eastAsia="bg-BG"/>
        </w:rPr>
      </w:pPr>
      <w:r w:rsidRPr="00BD1692">
        <w:rPr>
          <w:rFonts w:eastAsia="Times New Roman" w:cs="Arial"/>
          <w:color w:val="000000"/>
          <w:szCs w:val="20"/>
          <w:lang w:eastAsia="bg-BG"/>
        </w:rPr>
        <w:t xml:space="preserve">Лекарства, притежаващи неселективна бета-блокираща активност, може да предизвикат болка в  гърдите при пациенти с вариантна ангина на </w:t>
      </w:r>
      <w:proofErr w:type="spellStart"/>
      <w:r w:rsidRPr="00BD1692">
        <w:rPr>
          <w:rFonts w:eastAsia="Times New Roman" w:cs="Arial"/>
          <w:color w:val="000000"/>
          <w:szCs w:val="20"/>
          <w:lang w:val="en-US"/>
        </w:rPr>
        <w:t>Prinzmetal</w:t>
      </w:r>
      <w:proofErr w:type="spellEnd"/>
      <w:r w:rsidRPr="00BD1692">
        <w:rPr>
          <w:rFonts w:eastAsia="Times New Roman" w:cs="Arial"/>
          <w:color w:val="000000"/>
          <w:szCs w:val="20"/>
          <w:lang w:val="en-US"/>
        </w:rPr>
        <w:t xml:space="preserve">. </w:t>
      </w:r>
      <w:r w:rsidRPr="00BD1692">
        <w:rPr>
          <w:rFonts w:eastAsia="Times New Roman" w:cs="Arial"/>
          <w:color w:val="000000"/>
          <w:szCs w:val="20"/>
          <w:lang w:eastAsia="bg-BG"/>
        </w:rPr>
        <w:t>Няма клиничен опит с карведилол при тези пациенти, въпреки че алфа-блокиращата активност на карведилол може да предодврати такива симптоми. Трябва обаче да се внимава при прилагането на карведилол на пациенти с  подозрение за вариантна ангина на Принцметал.</w:t>
      </w:r>
    </w:p>
    <w:p w14:paraId="532C6209" w14:textId="68B9D6C6" w:rsidR="00CC4A9F" w:rsidRDefault="00CC4A9F" w:rsidP="00BD1692">
      <w:pPr>
        <w:rPr>
          <w:rFonts w:eastAsia="Times New Roman" w:cs="Arial"/>
          <w:color w:val="000000"/>
          <w:szCs w:val="20"/>
          <w:lang w:eastAsia="bg-BG"/>
        </w:rPr>
      </w:pPr>
    </w:p>
    <w:p w14:paraId="4CFE947A" w14:textId="44D5B9A0"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Контактни лещи</w:t>
      </w:r>
    </w:p>
    <w:p w14:paraId="5D92E82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Лица, които носят контактни лещи, трябва да бъдат уведомени за възможността за намалено сълзоотделяне.</w:t>
      </w:r>
    </w:p>
    <w:p w14:paraId="46AD58C0" w14:textId="77777777" w:rsidR="00CC4A9F" w:rsidRPr="00CC4A9F" w:rsidRDefault="00CC4A9F" w:rsidP="00CC4A9F">
      <w:pPr>
        <w:spacing w:line="240" w:lineRule="auto"/>
        <w:rPr>
          <w:rFonts w:eastAsia="Times New Roman" w:cs="Arial"/>
          <w:i/>
          <w:iCs/>
          <w:color w:val="000000"/>
          <w:szCs w:val="20"/>
          <w:lang w:eastAsia="bg-BG"/>
        </w:rPr>
      </w:pPr>
    </w:p>
    <w:p w14:paraId="67E22113" w14:textId="6C2AF2B1"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Лактоза</w:t>
      </w:r>
    </w:p>
    <w:p w14:paraId="691BB31C"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lastRenderedPageBreak/>
        <w:t>Лекарственият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4AA166B" w14:textId="77777777" w:rsidR="00CC4A9F" w:rsidRPr="00CC4A9F" w:rsidRDefault="00CC4A9F" w:rsidP="00CC4A9F">
      <w:pPr>
        <w:spacing w:line="240" w:lineRule="auto"/>
        <w:rPr>
          <w:rFonts w:eastAsia="Times New Roman" w:cs="Arial"/>
          <w:i/>
          <w:iCs/>
          <w:color w:val="000000"/>
          <w:szCs w:val="20"/>
          <w:lang w:eastAsia="bg-BG"/>
        </w:rPr>
      </w:pPr>
    </w:p>
    <w:p w14:paraId="66B337E0" w14:textId="5B08336F"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Захароза</w:t>
      </w:r>
    </w:p>
    <w:p w14:paraId="3C714C29" w14:textId="563F1673" w:rsidR="00CC4A9F" w:rsidRPr="00CC4A9F" w:rsidRDefault="00CC4A9F" w:rsidP="00CC4A9F">
      <w:pPr>
        <w:rPr>
          <w:rFonts w:eastAsia="Times New Roman" w:cs="Arial"/>
          <w:color w:val="000000"/>
          <w:szCs w:val="20"/>
          <w:lang w:eastAsia="bg-BG"/>
        </w:rPr>
      </w:pPr>
      <w:r w:rsidRPr="00CC4A9F">
        <w:rPr>
          <w:rFonts w:eastAsia="Times New Roman" w:cs="Arial"/>
          <w:color w:val="000000"/>
          <w:szCs w:val="20"/>
          <w:lang w:eastAsia="bg-BG"/>
        </w:rPr>
        <w:t>Този лекарствен продукт съдържа захароза. Пациенти с редки наследствени проблеми на фруктозна недостатъчност, глюкозо-галактозна малабсорбция или захарозо-изомалтазна недостатъчност не трябва да приемат това лекарство.</w:t>
      </w:r>
    </w:p>
    <w:p w14:paraId="4D4D2620" w14:textId="77777777" w:rsidR="00CC4A9F" w:rsidRPr="00BD1692" w:rsidRDefault="00CC4A9F" w:rsidP="00CC4A9F">
      <w:pPr>
        <w:rPr>
          <w:rFonts w:cs="Arial"/>
          <w:sz w:val="28"/>
        </w:rPr>
      </w:pPr>
    </w:p>
    <w:p w14:paraId="619DED1E" w14:textId="562DB42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265B8D4" w14:textId="03706361" w:rsidR="00CC4A9F" w:rsidRDefault="00CC4A9F" w:rsidP="00CC4A9F"/>
    <w:p w14:paraId="3917BC1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b/>
          <w:bCs/>
          <w:color w:val="000000"/>
          <w:szCs w:val="20"/>
          <w:lang w:eastAsia="bg-BG"/>
        </w:rPr>
        <w:t>Фармакокинетични взаимодействия</w:t>
      </w:r>
    </w:p>
    <w:p w14:paraId="28A8634E" w14:textId="77777777" w:rsidR="00CC4A9F" w:rsidRPr="00CC4A9F" w:rsidRDefault="00CC4A9F" w:rsidP="00CC4A9F">
      <w:pPr>
        <w:spacing w:line="240" w:lineRule="auto"/>
        <w:rPr>
          <w:rFonts w:eastAsia="Times New Roman" w:cs="Arial"/>
          <w:i/>
          <w:iCs/>
          <w:color w:val="000000"/>
          <w:szCs w:val="20"/>
          <w:lang w:eastAsia="bg-BG"/>
        </w:rPr>
      </w:pPr>
    </w:p>
    <w:p w14:paraId="5E967DDD" w14:textId="53BD851C"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Влияние на карведилол на фармакокинетиката на другите лекарствени продукти</w:t>
      </w:r>
    </w:p>
    <w:p w14:paraId="32088A0C" w14:textId="77777777" w:rsidR="00CC4A9F" w:rsidRPr="00CC4A9F" w:rsidRDefault="00CC4A9F" w:rsidP="00CC4A9F">
      <w:pPr>
        <w:spacing w:line="240" w:lineRule="auto"/>
        <w:rPr>
          <w:rFonts w:eastAsia="Times New Roman" w:cs="Arial"/>
          <w:color w:val="000000"/>
          <w:szCs w:val="20"/>
          <w:lang w:eastAsia="bg-BG"/>
        </w:rPr>
      </w:pPr>
    </w:p>
    <w:p w14:paraId="4E676F23" w14:textId="5EF682E6"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Карведилол е субстрат, както и инхибитор на Р-глюкопротеин. Поради това, бионаличността на лекарствата, транспортирани от Р-глюкопротеин може да бъде повишена при едновременен прием с карведилол. В допълнение, бионаличността на карведилол може да се промени с индуктори или инхибитори на Р-глюкопротеин.</w:t>
      </w:r>
    </w:p>
    <w:p w14:paraId="25DB1E25" w14:textId="77777777" w:rsidR="00CC4A9F" w:rsidRPr="00CC4A9F" w:rsidRDefault="00CC4A9F" w:rsidP="00CC4A9F">
      <w:pPr>
        <w:spacing w:line="240" w:lineRule="auto"/>
        <w:rPr>
          <w:rFonts w:eastAsia="Times New Roman" w:cs="Arial"/>
          <w:color w:val="000000"/>
          <w:szCs w:val="20"/>
          <w:lang w:eastAsia="bg-BG"/>
        </w:rPr>
      </w:pPr>
    </w:p>
    <w:p w14:paraId="711F621C" w14:textId="0CA4B5B2"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Инхибиторите и индукторите н</w:t>
      </w:r>
      <w:r w:rsidRPr="00CC4A9F">
        <w:rPr>
          <w:rFonts w:eastAsia="Times New Roman" w:cs="Arial"/>
          <w:color w:val="000000"/>
          <w:szCs w:val="20"/>
          <w:lang w:val="en-US"/>
        </w:rPr>
        <w:t>a</w:t>
      </w:r>
      <w:r w:rsidRPr="00CC4A9F">
        <w:rPr>
          <w:rFonts w:eastAsia="Times New Roman" w:cs="Arial"/>
          <w:color w:val="000000"/>
          <w:szCs w:val="20"/>
          <w:lang w:eastAsia="bg-BG"/>
        </w:rPr>
        <w:t xml:space="preserve"> </w:t>
      </w:r>
      <w:r w:rsidRPr="00CC4A9F">
        <w:rPr>
          <w:rFonts w:eastAsia="Times New Roman" w:cs="Arial"/>
          <w:color w:val="000000"/>
          <w:szCs w:val="20"/>
          <w:lang w:val="en-US"/>
        </w:rPr>
        <w:t xml:space="preserve">CYP2D6 </w:t>
      </w:r>
      <w:r w:rsidRPr="00CC4A9F">
        <w:rPr>
          <w:rFonts w:eastAsia="Times New Roman" w:cs="Arial"/>
          <w:color w:val="000000"/>
          <w:szCs w:val="20"/>
          <w:lang w:eastAsia="bg-BG"/>
        </w:rPr>
        <w:t xml:space="preserve">и </w:t>
      </w:r>
      <w:r w:rsidRPr="00CC4A9F">
        <w:rPr>
          <w:rFonts w:eastAsia="Times New Roman" w:cs="Arial"/>
          <w:color w:val="000000"/>
          <w:szCs w:val="20"/>
          <w:lang w:val="en-US"/>
        </w:rPr>
        <w:t xml:space="preserve">CYP2C9 </w:t>
      </w:r>
      <w:r w:rsidRPr="00CC4A9F">
        <w:rPr>
          <w:rFonts w:eastAsia="Times New Roman" w:cs="Arial"/>
          <w:color w:val="000000"/>
          <w:szCs w:val="20"/>
          <w:lang w:eastAsia="bg-BG"/>
        </w:rPr>
        <w:t xml:space="preserve">могат да променят системния и/или пресистемния метаболизъм на карведилол стереоселективно, водещи до повишени или намалени плазмени концентрации на </w:t>
      </w:r>
      <w:r w:rsidRPr="00CC4A9F">
        <w:rPr>
          <w:rFonts w:eastAsia="Times New Roman" w:cs="Arial"/>
          <w:color w:val="000000"/>
          <w:szCs w:val="20"/>
          <w:lang w:val="en-US"/>
        </w:rPr>
        <w:t xml:space="preserve">R </w:t>
      </w:r>
      <w:r w:rsidRPr="00CC4A9F">
        <w:rPr>
          <w:rFonts w:eastAsia="Times New Roman" w:cs="Arial"/>
          <w:color w:val="000000"/>
          <w:szCs w:val="20"/>
          <w:lang w:eastAsia="bg-BG"/>
        </w:rPr>
        <w:t xml:space="preserve">и </w:t>
      </w:r>
      <w:r w:rsidRPr="00CC4A9F">
        <w:rPr>
          <w:rFonts w:eastAsia="Times New Roman" w:cs="Arial"/>
          <w:color w:val="000000"/>
          <w:szCs w:val="20"/>
          <w:lang w:val="en-US"/>
        </w:rPr>
        <w:t>S</w:t>
      </w:r>
      <w:r w:rsidRPr="00CC4A9F">
        <w:rPr>
          <w:rFonts w:eastAsia="Times New Roman" w:cs="Arial"/>
          <w:color w:val="000000"/>
          <w:szCs w:val="20"/>
          <w:lang w:eastAsia="bg-BG"/>
        </w:rPr>
        <w:t>-карведилол. Някой примери наблюдавани при пациенти или при здрави обекти са изброени по-долу, но списъкът не е изчерпателен.</w:t>
      </w:r>
    </w:p>
    <w:p w14:paraId="09349A84" w14:textId="77777777" w:rsidR="00CC4A9F" w:rsidRPr="00CC4A9F" w:rsidRDefault="00CC4A9F" w:rsidP="00CC4A9F">
      <w:pPr>
        <w:spacing w:line="240" w:lineRule="auto"/>
        <w:rPr>
          <w:rFonts w:eastAsia="Times New Roman" w:cs="Arial"/>
          <w:i/>
          <w:iCs/>
          <w:color w:val="000000"/>
          <w:szCs w:val="20"/>
          <w:lang w:eastAsia="bg-BG"/>
        </w:rPr>
      </w:pPr>
    </w:p>
    <w:p w14:paraId="5C03C88D" w14:textId="622038EC"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Дигоксин</w:t>
      </w:r>
    </w:p>
    <w:p w14:paraId="1831B72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В някои проучвания при здрави индивиди и при пациенти със сърдечна недостатъчност е доказана повишена експозиция на дигоксин до 20%. Значително по-голям ефект е наблюдаван при пациенти от мъжки пол в сравнение с пациенти от женски пол. Поради това се препоръчва мониториране на нивата на дигоксин при започване, адаптиране или преустановяване на карведилол (вж. точка 4.4). Карведилол не влияе върху интравенозно приложения дигоксин.</w:t>
      </w:r>
    </w:p>
    <w:p w14:paraId="3FEE3254" w14:textId="77777777" w:rsidR="00CC4A9F" w:rsidRPr="00CC4A9F" w:rsidRDefault="00CC4A9F" w:rsidP="00CC4A9F">
      <w:pPr>
        <w:spacing w:line="240" w:lineRule="auto"/>
        <w:rPr>
          <w:rFonts w:eastAsia="Times New Roman" w:cs="Arial"/>
          <w:i/>
          <w:iCs/>
          <w:color w:val="000000"/>
          <w:szCs w:val="20"/>
          <w:lang w:eastAsia="bg-BG"/>
        </w:rPr>
      </w:pPr>
    </w:p>
    <w:p w14:paraId="464BCBD3" w14:textId="42187931"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Циклоспорин</w:t>
      </w:r>
    </w:p>
    <w:p w14:paraId="64D73F2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Две проучвания при пациенти с бъбречна и сърдечна трансплантация, приемащи перорално циклоспорин са показали увеличение на плазмената концентрация на циклоспорин след прием на карведилол. Данните показват, че карведилол увеличава действието на перорално приемания циклоспорин с около 10% до 20%, поради което се налага намаляване на дозата на циклоспорин с 10-20%, за да се поддържат терапевтичните концентрации на циклоспорин. Механизмът на взаимодействие не е известен, но причината може да бъде инхибирането на чревния Р- гликопротеин от карведилол. Поради вариабилността на нивата на циклоспорин при отделните пациенти се препоръчва след започване на терапия с карведилол концентрациите на циклоспорин да се наблюдават внимателно и ако е необходимо дозата на циклоспорин да се коригира индивидуално. В случай на интравенозно приложение на циклоспорин не се очаква взаимодействие с карведилол.</w:t>
      </w:r>
      <w:r w:rsidRPr="00CC4A9F">
        <w:rPr>
          <w:rFonts w:eastAsia="Times New Roman" w:cs="Arial"/>
          <w:color w:val="000000"/>
          <w:szCs w:val="20"/>
          <w:lang w:eastAsia="bg-BG"/>
        </w:rPr>
        <w:tab/>
        <w:t>.</w:t>
      </w:r>
    </w:p>
    <w:p w14:paraId="159C7E96" w14:textId="77777777" w:rsidR="00CC4A9F" w:rsidRPr="00CC4A9F" w:rsidRDefault="00CC4A9F" w:rsidP="00CC4A9F">
      <w:pPr>
        <w:spacing w:line="240" w:lineRule="auto"/>
        <w:rPr>
          <w:rFonts w:eastAsia="Times New Roman" w:cs="Arial"/>
          <w:i/>
          <w:iCs/>
          <w:color w:val="000000"/>
          <w:szCs w:val="20"/>
          <w:lang w:eastAsia="bg-BG"/>
        </w:rPr>
      </w:pPr>
    </w:p>
    <w:p w14:paraId="309DE141" w14:textId="300D9F14"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Влияние на други лекарства върху фармакокинетиката на карведилол</w:t>
      </w:r>
    </w:p>
    <w:p w14:paraId="33D755A7" w14:textId="77777777" w:rsidR="00CC4A9F" w:rsidRPr="00CC4A9F" w:rsidRDefault="00CC4A9F" w:rsidP="00CC4A9F">
      <w:pPr>
        <w:spacing w:line="240" w:lineRule="auto"/>
        <w:rPr>
          <w:rFonts w:eastAsia="Times New Roman" w:cs="Arial"/>
          <w:sz w:val="28"/>
          <w:szCs w:val="24"/>
          <w:lang w:eastAsia="bg-BG"/>
        </w:rPr>
      </w:pPr>
    </w:p>
    <w:p w14:paraId="66FDB5B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Рифампицин</w:t>
      </w:r>
    </w:p>
    <w:p w14:paraId="1D6565A2" w14:textId="77777777" w:rsidR="00CC4A9F" w:rsidRPr="00CC4A9F" w:rsidRDefault="00CC4A9F" w:rsidP="00CC4A9F">
      <w:pPr>
        <w:rPr>
          <w:rFonts w:eastAsia="Times New Roman" w:cs="Arial"/>
          <w:sz w:val="28"/>
          <w:szCs w:val="24"/>
          <w:lang w:eastAsia="bg-BG"/>
        </w:rPr>
      </w:pPr>
      <w:r w:rsidRPr="00CC4A9F">
        <w:rPr>
          <w:rFonts w:eastAsia="Times New Roman" w:cs="Arial"/>
          <w:color w:val="000000"/>
          <w:szCs w:val="20"/>
          <w:lang w:eastAsia="bg-BG"/>
        </w:rPr>
        <w:t>В проучване на 12 здрави доброволци приложението на рифампицин е намалило плазмените нива на карведилол с около 60% и е наблюдавано намаление на ефекта на карведилол върху</w:t>
      </w:r>
      <w:r>
        <w:rPr>
          <w:rFonts w:eastAsia="Times New Roman" w:cs="Arial"/>
          <w:color w:val="000000"/>
          <w:szCs w:val="20"/>
          <w:lang w:val="en-US" w:eastAsia="bg-BG"/>
        </w:rPr>
        <w:t xml:space="preserve"> </w:t>
      </w:r>
      <w:r w:rsidRPr="00CC4A9F">
        <w:rPr>
          <w:rFonts w:eastAsia="Times New Roman" w:cs="Arial"/>
          <w:color w:val="000000"/>
          <w:szCs w:val="20"/>
          <w:lang w:eastAsia="bg-BG"/>
        </w:rPr>
        <w:t>систоличното кръвно налягане. Механизмът на взаимодействие не е известен, но може да се дължи на индуцирането на чревния Р гликопротеин от рифампицин. Необходимо е да има строго наблюдение на β-блокадата при пациенти, приемащи едновременно карведилол и рифампицин.</w:t>
      </w:r>
    </w:p>
    <w:p w14:paraId="34794B29" w14:textId="77777777" w:rsidR="00CC4A9F" w:rsidRPr="00CC4A9F" w:rsidRDefault="00CC4A9F" w:rsidP="00CC4A9F">
      <w:pPr>
        <w:spacing w:line="240" w:lineRule="auto"/>
        <w:rPr>
          <w:rFonts w:eastAsia="Times New Roman" w:cs="Arial"/>
          <w:i/>
          <w:iCs/>
          <w:color w:val="000000"/>
          <w:szCs w:val="20"/>
          <w:lang w:eastAsia="bg-BG"/>
        </w:rPr>
      </w:pPr>
    </w:p>
    <w:p w14:paraId="55F8C39A" w14:textId="01805CEB"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Амиодарон</w:t>
      </w:r>
    </w:p>
    <w:p w14:paraId="4374DD49"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В </w:t>
      </w:r>
      <w:r w:rsidRPr="00CC4A9F">
        <w:rPr>
          <w:rFonts w:eastAsia="Times New Roman" w:cs="Arial"/>
          <w:i/>
          <w:iCs/>
          <w:color w:val="000000"/>
          <w:szCs w:val="20"/>
          <w:lang w:val="en-US"/>
        </w:rPr>
        <w:t>in vitro</w:t>
      </w:r>
      <w:r w:rsidRPr="00CC4A9F">
        <w:rPr>
          <w:rFonts w:eastAsia="Times New Roman" w:cs="Arial"/>
          <w:color w:val="000000"/>
          <w:szCs w:val="20"/>
          <w:lang w:val="en-US"/>
        </w:rPr>
        <w:t xml:space="preserve"> </w:t>
      </w:r>
      <w:r w:rsidRPr="00CC4A9F">
        <w:rPr>
          <w:rFonts w:eastAsia="Times New Roman" w:cs="Arial"/>
          <w:color w:val="000000"/>
          <w:szCs w:val="20"/>
          <w:lang w:eastAsia="bg-BG"/>
        </w:rPr>
        <w:t xml:space="preserve">проучване с човешки чернодробни микрозоми е установено, че амиодарон и дезетиламиодарон инхибират окислението на </w:t>
      </w:r>
      <w:r w:rsidRPr="00CC4A9F">
        <w:rPr>
          <w:rFonts w:eastAsia="Times New Roman" w:cs="Arial"/>
          <w:color w:val="000000"/>
          <w:szCs w:val="20"/>
          <w:lang w:val="en-US"/>
        </w:rPr>
        <w:t xml:space="preserve">R </w:t>
      </w:r>
      <w:r w:rsidRPr="00CC4A9F">
        <w:rPr>
          <w:rFonts w:eastAsia="Times New Roman" w:cs="Arial"/>
          <w:color w:val="000000"/>
          <w:szCs w:val="20"/>
          <w:lang w:eastAsia="bg-BG"/>
        </w:rPr>
        <w:t xml:space="preserve">и </w:t>
      </w:r>
      <w:r w:rsidRPr="00CC4A9F">
        <w:rPr>
          <w:rFonts w:eastAsia="Times New Roman" w:cs="Arial"/>
          <w:color w:val="000000"/>
          <w:szCs w:val="20"/>
          <w:lang w:val="en-US"/>
        </w:rPr>
        <w:t>S</w:t>
      </w:r>
      <w:r w:rsidRPr="00CC4A9F">
        <w:rPr>
          <w:rFonts w:eastAsia="Times New Roman" w:cs="Arial"/>
          <w:color w:val="000000"/>
          <w:szCs w:val="20"/>
          <w:lang w:eastAsia="bg-BG"/>
        </w:rPr>
        <w:t xml:space="preserve">-карведилол. Минималната концентрация на </w:t>
      </w:r>
      <w:r w:rsidRPr="00CC4A9F">
        <w:rPr>
          <w:rFonts w:eastAsia="Times New Roman" w:cs="Arial"/>
          <w:color w:val="000000"/>
          <w:szCs w:val="20"/>
          <w:lang w:val="en-US"/>
        </w:rPr>
        <w:t xml:space="preserve">R </w:t>
      </w:r>
      <w:r w:rsidRPr="00CC4A9F">
        <w:rPr>
          <w:rFonts w:eastAsia="Times New Roman" w:cs="Arial"/>
          <w:color w:val="000000"/>
          <w:szCs w:val="20"/>
          <w:lang w:eastAsia="bg-BG"/>
        </w:rPr>
        <w:t xml:space="preserve">и </w:t>
      </w:r>
      <w:r w:rsidRPr="00CC4A9F">
        <w:rPr>
          <w:rFonts w:eastAsia="Times New Roman" w:cs="Arial"/>
          <w:color w:val="000000"/>
          <w:szCs w:val="20"/>
          <w:lang w:val="en-US"/>
        </w:rPr>
        <w:t>S</w:t>
      </w:r>
      <w:r w:rsidRPr="00CC4A9F">
        <w:rPr>
          <w:rFonts w:eastAsia="Times New Roman" w:cs="Arial"/>
          <w:color w:val="000000"/>
          <w:szCs w:val="20"/>
          <w:lang w:eastAsia="bg-BG"/>
        </w:rPr>
        <w:t xml:space="preserve">-карведилол значително се увеличава 2,2-кратно при пациенти със сърдечна недостатъчност, получаващи карведилол и едновременно амиодарон в сравнение с пациенти, подложени на монотерапия с карведилол. Ефектът на </w:t>
      </w:r>
      <w:r w:rsidRPr="00CC4A9F">
        <w:rPr>
          <w:rFonts w:eastAsia="Times New Roman" w:cs="Arial"/>
          <w:color w:val="000000"/>
          <w:szCs w:val="20"/>
          <w:lang w:val="en-US"/>
        </w:rPr>
        <w:t>S</w:t>
      </w:r>
      <w:r w:rsidRPr="00CC4A9F">
        <w:rPr>
          <w:rFonts w:eastAsia="Times New Roman" w:cs="Arial"/>
          <w:color w:val="000000"/>
          <w:szCs w:val="20"/>
          <w:lang w:eastAsia="bg-BG"/>
        </w:rPr>
        <w:t xml:space="preserve">-карведилол се приписва на дезетиламиодарон, метаболит на амиодарона, който е силен инхибитор на </w:t>
      </w:r>
      <w:r w:rsidRPr="00CC4A9F">
        <w:rPr>
          <w:rFonts w:eastAsia="Times New Roman" w:cs="Arial"/>
          <w:color w:val="000000"/>
          <w:szCs w:val="20"/>
          <w:lang w:val="en-US"/>
        </w:rPr>
        <w:t xml:space="preserve">CYP2C9, </w:t>
      </w:r>
      <w:r w:rsidRPr="00CC4A9F">
        <w:rPr>
          <w:rFonts w:eastAsia="Times New Roman" w:cs="Arial"/>
          <w:color w:val="000000"/>
          <w:szCs w:val="20"/>
          <w:lang w:eastAsia="bg-BG"/>
        </w:rPr>
        <w:t>Препоръчва се наблюдение за проява на β блокада при пациенти, лекувани с комбинация карведилол и амиодарон.</w:t>
      </w:r>
    </w:p>
    <w:p w14:paraId="743676CF" w14:textId="77777777" w:rsidR="00CC4A9F" w:rsidRPr="00CC4A9F" w:rsidRDefault="00CC4A9F" w:rsidP="00CC4A9F">
      <w:pPr>
        <w:spacing w:line="240" w:lineRule="auto"/>
        <w:rPr>
          <w:rFonts w:eastAsia="Times New Roman" w:cs="Arial"/>
          <w:i/>
          <w:iCs/>
          <w:color w:val="000000"/>
          <w:szCs w:val="20"/>
          <w:lang w:eastAsia="bg-BG"/>
        </w:rPr>
      </w:pPr>
    </w:p>
    <w:p w14:paraId="755A1A66" w14:textId="14390C73"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Флуоксетин и Пароксетин</w:t>
      </w:r>
    </w:p>
    <w:p w14:paraId="1CB3B5F1"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В рандомизирано, кръстосано проучване при 10 пациенти със сърдечна недостатъчност, едновременният прием на флуоксетин, мощен инхибитор на </w:t>
      </w:r>
      <w:r w:rsidRPr="00CC4A9F">
        <w:rPr>
          <w:rFonts w:eastAsia="Times New Roman" w:cs="Arial"/>
          <w:color w:val="000000"/>
          <w:szCs w:val="20"/>
          <w:lang w:val="en-US"/>
        </w:rPr>
        <w:t xml:space="preserve">CYP2D6, </w:t>
      </w:r>
      <w:r w:rsidRPr="00CC4A9F">
        <w:rPr>
          <w:rFonts w:eastAsia="Times New Roman" w:cs="Arial"/>
          <w:color w:val="000000"/>
          <w:szCs w:val="20"/>
          <w:lang w:eastAsia="bg-BG"/>
        </w:rPr>
        <w:t xml:space="preserve">е довело до стереоселективно инхибиране на метаболизма на карведилол с 77% увеличение на средната </w:t>
      </w:r>
      <w:r w:rsidRPr="00CC4A9F">
        <w:rPr>
          <w:rFonts w:eastAsia="Times New Roman" w:cs="Arial"/>
          <w:color w:val="000000"/>
          <w:szCs w:val="20"/>
          <w:lang w:val="en-US"/>
        </w:rPr>
        <w:t xml:space="preserve">AUC </w:t>
      </w:r>
      <w:r w:rsidRPr="00CC4A9F">
        <w:rPr>
          <w:rFonts w:eastAsia="Times New Roman" w:cs="Arial"/>
          <w:color w:val="000000"/>
          <w:szCs w:val="20"/>
          <w:lang w:eastAsia="bg-BG"/>
        </w:rPr>
        <w:t xml:space="preserve">на </w:t>
      </w:r>
      <w:r w:rsidRPr="00CC4A9F">
        <w:rPr>
          <w:rFonts w:eastAsia="Times New Roman" w:cs="Arial"/>
          <w:color w:val="000000"/>
          <w:szCs w:val="20"/>
          <w:lang w:val="en-US"/>
        </w:rPr>
        <w:t xml:space="preserve">R(+) </w:t>
      </w:r>
      <w:r w:rsidRPr="00CC4A9F">
        <w:rPr>
          <w:rFonts w:eastAsia="Times New Roman" w:cs="Arial"/>
          <w:color w:val="000000"/>
          <w:szCs w:val="20"/>
          <w:lang w:eastAsia="bg-BG"/>
        </w:rPr>
        <w:t xml:space="preserve">енантомера и статистически незначимо увеличение с 35% на </w:t>
      </w:r>
      <w:r w:rsidRPr="00CC4A9F">
        <w:rPr>
          <w:rFonts w:eastAsia="Times New Roman" w:cs="Arial"/>
          <w:color w:val="000000"/>
          <w:szCs w:val="20"/>
          <w:lang w:val="en-US"/>
        </w:rPr>
        <w:t xml:space="preserve">S </w:t>
      </w:r>
      <w:r w:rsidRPr="00CC4A9F">
        <w:rPr>
          <w:rFonts w:eastAsia="Times New Roman" w:cs="Arial"/>
          <w:color w:val="000000"/>
          <w:szCs w:val="20"/>
          <w:lang w:eastAsia="bg-BG"/>
        </w:rPr>
        <w:t xml:space="preserve">(-) енантиомера, в сравнение с плацебо групата. Въпреки това няма разлика при нежеланите реакции, кръвното налягане или сърдечната честота между третираните групи. Ефектът на еднократната доза пароксетин, мощен инхибитор на </w:t>
      </w:r>
      <w:r w:rsidRPr="00CC4A9F">
        <w:rPr>
          <w:rFonts w:eastAsia="Times New Roman" w:cs="Arial"/>
          <w:color w:val="000000"/>
          <w:szCs w:val="20"/>
          <w:lang w:val="en-US"/>
        </w:rPr>
        <w:t xml:space="preserve">CYP2D6, </w:t>
      </w:r>
      <w:r w:rsidRPr="00CC4A9F">
        <w:rPr>
          <w:rFonts w:eastAsia="Times New Roman" w:cs="Arial"/>
          <w:color w:val="000000"/>
          <w:szCs w:val="20"/>
          <w:lang w:eastAsia="bg-BG"/>
        </w:rPr>
        <w:t xml:space="preserve">върху фармакокинетиката на карведилол е бил изследван при 12 здрави доброволци след еднократен перорален прием. Независимо от голямото увеличение на влиянието на </w:t>
      </w:r>
      <w:r w:rsidRPr="00CC4A9F">
        <w:rPr>
          <w:rFonts w:eastAsia="Times New Roman" w:cs="Arial"/>
          <w:color w:val="000000"/>
          <w:szCs w:val="20"/>
          <w:lang w:val="en-US"/>
        </w:rPr>
        <w:t xml:space="preserve">R </w:t>
      </w:r>
      <w:r w:rsidRPr="00CC4A9F">
        <w:rPr>
          <w:rFonts w:eastAsia="Times New Roman" w:cs="Arial"/>
          <w:color w:val="000000"/>
          <w:szCs w:val="20"/>
          <w:lang w:eastAsia="bg-BG"/>
        </w:rPr>
        <w:t xml:space="preserve">и </w:t>
      </w:r>
      <w:r w:rsidRPr="00CC4A9F">
        <w:rPr>
          <w:rFonts w:eastAsia="Times New Roman" w:cs="Arial"/>
          <w:color w:val="000000"/>
          <w:szCs w:val="20"/>
          <w:lang w:val="en-US"/>
        </w:rPr>
        <w:t>S</w:t>
      </w:r>
      <w:r w:rsidRPr="00CC4A9F">
        <w:rPr>
          <w:rFonts w:eastAsia="Times New Roman" w:cs="Arial"/>
          <w:color w:val="000000"/>
          <w:szCs w:val="20"/>
          <w:lang w:eastAsia="bg-BG"/>
        </w:rPr>
        <w:t>-карведилол, в тези здрави индивиди не са наблюдавани клинични ефекти.</w:t>
      </w:r>
    </w:p>
    <w:p w14:paraId="7E2AC58C" w14:textId="77777777" w:rsidR="00CC4A9F" w:rsidRPr="00CC4A9F" w:rsidRDefault="00CC4A9F" w:rsidP="00CC4A9F">
      <w:pPr>
        <w:spacing w:line="240" w:lineRule="auto"/>
        <w:rPr>
          <w:rFonts w:eastAsia="Times New Roman" w:cs="Arial"/>
          <w:b/>
          <w:bCs/>
          <w:color w:val="000000"/>
          <w:szCs w:val="20"/>
          <w:lang w:eastAsia="bg-BG"/>
        </w:rPr>
      </w:pPr>
    </w:p>
    <w:p w14:paraId="35578DD5" w14:textId="6878D25A" w:rsidR="00CC4A9F" w:rsidRPr="00CC4A9F" w:rsidRDefault="00CC4A9F" w:rsidP="00CC4A9F">
      <w:pPr>
        <w:spacing w:line="240" w:lineRule="auto"/>
        <w:rPr>
          <w:rFonts w:eastAsia="Times New Roman" w:cs="Arial"/>
          <w:sz w:val="28"/>
          <w:szCs w:val="24"/>
          <w:lang w:eastAsia="bg-BG"/>
        </w:rPr>
      </w:pPr>
      <w:r w:rsidRPr="00CC4A9F">
        <w:rPr>
          <w:rFonts w:eastAsia="Times New Roman" w:cs="Arial"/>
          <w:b/>
          <w:bCs/>
          <w:color w:val="000000"/>
          <w:szCs w:val="20"/>
          <w:lang w:eastAsia="bg-BG"/>
        </w:rPr>
        <w:t>Фармакодинамични взаимодействия</w:t>
      </w:r>
    </w:p>
    <w:p w14:paraId="1CE9136E" w14:textId="77777777" w:rsidR="00CC4A9F" w:rsidRPr="00CC4A9F" w:rsidRDefault="00CC4A9F" w:rsidP="00CC4A9F">
      <w:pPr>
        <w:spacing w:line="240" w:lineRule="auto"/>
        <w:rPr>
          <w:rFonts w:eastAsia="Times New Roman" w:cs="Arial"/>
          <w:i/>
          <w:iCs/>
          <w:color w:val="000000"/>
          <w:szCs w:val="20"/>
          <w:lang w:eastAsia="bg-BG"/>
        </w:rPr>
      </w:pPr>
    </w:p>
    <w:p w14:paraId="7AE8EF74" w14:textId="49E9798E"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Инсулин или перорални хипогликемици</w:t>
      </w:r>
    </w:p>
    <w:p w14:paraId="5537357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Агенти със способности на β-блокери могат да повлияят способността на инсулина и пероралните хипогликемици да намаляват кръвната захар. Признаците на хипогликемия могат да бъдат маскирани или отслабени (особено тахикардия). При пациенти, приемащи инсулин или перорални хипогликемици, е необходимо регулярно мониториране на нивото на кръвната глюкоза.</w:t>
      </w:r>
    </w:p>
    <w:p w14:paraId="3FB815D4" w14:textId="77777777" w:rsidR="00CC4A9F" w:rsidRPr="00CC4A9F" w:rsidRDefault="00CC4A9F" w:rsidP="00CC4A9F">
      <w:pPr>
        <w:spacing w:line="240" w:lineRule="auto"/>
        <w:rPr>
          <w:rFonts w:eastAsia="Times New Roman" w:cs="Arial"/>
          <w:i/>
          <w:iCs/>
          <w:color w:val="000000"/>
          <w:szCs w:val="20"/>
          <w:lang w:eastAsia="bg-BG"/>
        </w:rPr>
      </w:pPr>
    </w:p>
    <w:p w14:paraId="420C0275" w14:textId="349B2A72"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Катхехоламин-изчерпващи агенти</w:t>
      </w:r>
    </w:p>
    <w:p w14:paraId="61C71A9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Пациенти, които приемат едновременно лекарства с бета-блокираща активност с лекарство, изчерпващо катехоламините (напр. резерпин и инхибитори на моноаминооксидазата), трябва да бъдат наблюдавани внимателно за признаци на хипотония и/или тежка брадикардия.</w:t>
      </w:r>
    </w:p>
    <w:p w14:paraId="5CABC507" w14:textId="77777777" w:rsidR="00CC4A9F" w:rsidRPr="00CC4A9F" w:rsidRDefault="00CC4A9F" w:rsidP="00CC4A9F">
      <w:pPr>
        <w:spacing w:line="240" w:lineRule="auto"/>
        <w:rPr>
          <w:rFonts w:eastAsia="Times New Roman" w:cs="Arial"/>
          <w:i/>
          <w:iCs/>
          <w:color w:val="000000"/>
          <w:szCs w:val="20"/>
          <w:lang w:eastAsia="bg-BG"/>
        </w:rPr>
      </w:pPr>
    </w:p>
    <w:p w14:paraId="2E55109E" w14:textId="6B9F6327"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Дигоксин</w:t>
      </w:r>
    </w:p>
    <w:p w14:paraId="106B427C"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Комбинираната употреба на бета блокери и дигоксин може да има за резултат допълнително удължаване на атриовентрикуларното </w:t>
      </w:r>
      <w:r w:rsidRPr="00CC4A9F">
        <w:rPr>
          <w:rFonts w:eastAsia="Times New Roman" w:cs="Arial"/>
          <w:color w:val="000000"/>
          <w:szCs w:val="20"/>
          <w:lang w:val="en-US"/>
        </w:rPr>
        <w:t xml:space="preserve">(AV) </w:t>
      </w:r>
      <w:r w:rsidRPr="00CC4A9F">
        <w:rPr>
          <w:rFonts w:eastAsia="Times New Roman" w:cs="Arial"/>
          <w:color w:val="000000"/>
          <w:szCs w:val="20"/>
          <w:lang w:eastAsia="bg-BG"/>
        </w:rPr>
        <w:t>преводно време.</w:t>
      </w:r>
    </w:p>
    <w:p w14:paraId="11C24C6D" w14:textId="77777777" w:rsidR="00CC4A9F" w:rsidRPr="00CC4A9F" w:rsidRDefault="00CC4A9F" w:rsidP="00CC4A9F">
      <w:pPr>
        <w:spacing w:line="240" w:lineRule="auto"/>
        <w:rPr>
          <w:rFonts w:eastAsia="Times New Roman" w:cs="Arial"/>
          <w:i/>
          <w:iCs/>
          <w:color w:val="000000"/>
          <w:szCs w:val="20"/>
          <w:lang w:eastAsia="bg-BG"/>
        </w:rPr>
      </w:pPr>
    </w:p>
    <w:p w14:paraId="7DE254A7" w14:textId="44B2931B"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lastRenderedPageBreak/>
        <w:t>Не-дихидропиридинови блокери на калциевите капали или други антиаритмици</w:t>
      </w:r>
    </w:p>
    <w:p w14:paraId="6ED6810D"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В комбинация с карведилол може да се увеличи рискът от смущения в </w:t>
      </w:r>
      <w:r w:rsidRPr="00CC4A9F">
        <w:rPr>
          <w:rFonts w:eastAsia="Times New Roman" w:cs="Arial"/>
          <w:color w:val="000000"/>
          <w:szCs w:val="20"/>
          <w:lang w:val="en-US"/>
        </w:rPr>
        <w:t>AV</w:t>
      </w:r>
      <w:r w:rsidRPr="00CC4A9F">
        <w:rPr>
          <w:rFonts w:eastAsia="Times New Roman" w:cs="Arial"/>
          <w:color w:val="000000"/>
          <w:szCs w:val="20"/>
          <w:lang w:eastAsia="bg-BG"/>
        </w:rPr>
        <w:t>-проводимост. (вж. точка 4.4). Наблюдавани са изолирани случаи на нарушение на проводимостта (рядко с нарушение на хемодинамиката), когато карведилол се прилага едновременно с дилтиазем. Както и при други продукти с бета-блокиращи свойства, ако карведилол трябва да се прилага перорално с не-дихидропиридиновите блокери на калциевите канали от вида на верапамил или дилтиазем, амиодарон или други антиаритмични продукти, се препоръчва да се контролира ЕКГ и кръвното налягане.</w:t>
      </w:r>
    </w:p>
    <w:p w14:paraId="5D000B89" w14:textId="77777777" w:rsidR="00CC4A9F" w:rsidRPr="00CC4A9F" w:rsidRDefault="00CC4A9F" w:rsidP="00CC4A9F">
      <w:pPr>
        <w:spacing w:line="240" w:lineRule="auto"/>
        <w:rPr>
          <w:rFonts w:eastAsia="Times New Roman" w:cs="Arial"/>
          <w:i/>
          <w:iCs/>
          <w:color w:val="000000"/>
          <w:szCs w:val="20"/>
          <w:lang w:eastAsia="bg-BG"/>
        </w:rPr>
      </w:pPr>
    </w:p>
    <w:p w14:paraId="3621CFA0" w14:textId="65FAAE5D"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Клонидин</w:t>
      </w:r>
    </w:p>
    <w:p w14:paraId="569EFF43" w14:textId="65C77A3B"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Едновременното приложение на клонидин и лекарства с бета-блокиращо действие може да</w:t>
      </w:r>
    </w:p>
    <w:p w14:paraId="09A122DC" w14:textId="3952ABCC" w:rsidR="00CC4A9F" w:rsidRDefault="00CC4A9F" w:rsidP="00CC4A9F">
      <w:pPr>
        <w:rPr>
          <w:rFonts w:eastAsia="Times New Roman" w:cs="Arial"/>
          <w:color w:val="000000"/>
          <w:szCs w:val="20"/>
          <w:lang w:eastAsia="bg-BG"/>
        </w:rPr>
      </w:pPr>
      <w:r w:rsidRPr="00CC4A9F">
        <w:rPr>
          <w:rFonts w:eastAsia="Times New Roman" w:cs="Arial"/>
          <w:color w:val="000000"/>
          <w:szCs w:val="20"/>
          <w:lang w:eastAsia="bg-BG"/>
        </w:rPr>
        <w:t>засили ефектите на понижаването на кръвното налягане и намаляване на сърдечната честота.</w:t>
      </w:r>
    </w:p>
    <w:p w14:paraId="33958119" w14:textId="09865EEC" w:rsidR="00CC4A9F" w:rsidRDefault="00CC4A9F" w:rsidP="00CC4A9F">
      <w:pPr>
        <w:rPr>
          <w:rFonts w:eastAsia="Times New Roman" w:cs="Arial"/>
          <w:color w:val="000000"/>
          <w:szCs w:val="20"/>
          <w:lang w:eastAsia="bg-BG"/>
        </w:rPr>
      </w:pPr>
    </w:p>
    <w:p w14:paraId="038A25C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Когато едновременното лечение с бета блокери и клонидин трябва да се преустанови, първо трябва да се спре приема на бета-блокера. Лечението с клонидин може да се прекрати след няколко дни като дозата постепенно се намалява.</w:t>
      </w:r>
    </w:p>
    <w:p w14:paraId="5AC4B7B9" w14:textId="77777777" w:rsidR="00CC4A9F" w:rsidRPr="00CC4A9F" w:rsidRDefault="00CC4A9F" w:rsidP="00CC4A9F">
      <w:pPr>
        <w:spacing w:line="240" w:lineRule="auto"/>
        <w:rPr>
          <w:rFonts w:eastAsia="Times New Roman" w:cs="Arial"/>
          <w:i/>
          <w:iCs/>
          <w:color w:val="000000"/>
          <w:szCs w:val="20"/>
          <w:lang w:eastAsia="bg-BG"/>
        </w:rPr>
      </w:pPr>
    </w:p>
    <w:p w14:paraId="65D8692F" w14:textId="314FBAF9"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Други антихипертензивни лекарства</w:t>
      </w:r>
    </w:p>
    <w:p w14:paraId="3A480FC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Както и при другите лекарства с бета-блокиращо действие, карведилол може да потенцира действието на другите антихипертензивни лекарства, които се приемат едновременно (напр. алфа-рецепторни антагонисти) или на такива, които предизвикват хипотания като нежелана реакция.</w:t>
      </w:r>
    </w:p>
    <w:p w14:paraId="0B3D4538" w14:textId="77777777" w:rsidR="00CC4A9F" w:rsidRPr="00CC4A9F" w:rsidRDefault="00CC4A9F" w:rsidP="00CC4A9F">
      <w:pPr>
        <w:spacing w:line="240" w:lineRule="auto"/>
        <w:rPr>
          <w:rFonts w:eastAsia="Times New Roman" w:cs="Arial"/>
          <w:i/>
          <w:iCs/>
          <w:color w:val="000000"/>
          <w:szCs w:val="20"/>
          <w:lang w:eastAsia="bg-BG"/>
        </w:rPr>
      </w:pPr>
    </w:p>
    <w:p w14:paraId="79915D97" w14:textId="47C9292C"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Анестетици</w:t>
      </w:r>
    </w:p>
    <w:p w14:paraId="58C05B1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По време на обща анестезия трябва да се обърне внимание на потенциалните синергични инотропни ефекти на карведилол и анестетиците (виж точка 4.4).</w:t>
      </w:r>
    </w:p>
    <w:p w14:paraId="6672AD0F"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НСПВС</w:t>
      </w:r>
    </w:p>
    <w:p w14:paraId="58660B63"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Едновременната употреба на нестероидни противовъзпалителни средства (НСПВС) и бета- адренергични блокери може да доведе до повишение и влошен контрол на артериалното налягане.</w:t>
      </w:r>
    </w:p>
    <w:p w14:paraId="1DE14B3D" w14:textId="77777777" w:rsidR="00CC4A9F" w:rsidRPr="00CC4A9F" w:rsidRDefault="00CC4A9F" w:rsidP="00CC4A9F">
      <w:pPr>
        <w:spacing w:line="240" w:lineRule="auto"/>
        <w:rPr>
          <w:rFonts w:eastAsia="Times New Roman" w:cs="Arial"/>
          <w:i/>
          <w:iCs/>
          <w:color w:val="000000"/>
          <w:szCs w:val="20"/>
          <w:lang w:eastAsia="bg-BG"/>
        </w:rPr>
      </w:pPr>
    </w:p>
    <w:p w14:paraId="5DCFC73B" w14:textId="48952CB7"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Бронходилататори бета-агонисти</w:t>
      </w:r>
    </w:p>
    <w:p w14:paraId="02F4381D" w14:textId="071AFC5A" w:rsidR="00CC4A9F" w:rsidRPr="00CC4A9F" w:rsidRDefault="00CC4A9F" w:rsidP="00CC4A9F">
      <w:pPr>
        <w:rPr>
          <w:rFonts w:cs="Arial"/>
          <w:sz w:val="24"/>
          <w:lang w:val="en-US"/>
        </w:rPr>
      </w:pPr>
      <w:r w:rsidRPr="00CC4A9F">
        <w:rPr>
          <w:rFonts w:eastAsia="Times New Roman" w:cs="Arial"/>
          <w:color w:val="000000"/>
          <w:szCs w:val="20"/>
          <w:lang w:eastAsia="bg-BG"/>
        </w:rPr>
        <w:t>Неселективни кардио бета-блокери се противопоставят на бронходилатиращия ефект на бета- агонистите. Необходим е внимателен мониторинг на пациентите.</w:t>
      </w:r>
    </w:p>
    <w:p w14:paraId="253A3129" w14:textId="77777777" w:rsidR="00CC4A9F" w:rsidRPr="00CC4A9F" w:rsidRDefault="00CC4A9F" w:rsidP="00CC4A9F"/>
    <w:p w14:paraId="394A7584" w14:textId="7172DF54" w:rsidR="004F498A" w:rsidRDefault="002C50EE" w:rsidP="004A448E">
      <w:pPr>
        <w:pStyle w:val="Heading2"/>
      </w:pPr>
      <w:r>
        <w:t>4.6. Фертилитет, бременност и кърмене</w:t>
      </w:r>
    </w:p>
    <w:p w14:paraId="5EEE8EA1" w14:textId="00E28CBC" w:rsidR="00CC4A9F" w:rsidRDefault="00CC4A9F" w:rsidP="00CC4A9F"/>
    <w:p w14:paraId="561D53E5" w14:textId="77777777" w:rsidR="00CC4A9F" w:rsidRPr="00CC4A9F" w:rsidRDefault="00CC4A9F" w:rsidP="00CC4A9F">
      <w:pPr>
        <w:pStyle w:val="Heading3"/>
        <w:rPr>
          <w:rFonts w:eastAsia="Times New Roman"/>
          <w:sz w:val="28"/>
          <w:u w:val="single"/>
          <w:lang w:eastAsia="bg-BG"/>
        </w:rPr>
      </w:pPr>
      <w:r w:rsidRPr="00CC4A9F">
        <w:rPr>
          <w:rFonts w:eastAsia="Times New Roman"/>
          <w:u w:val="single"/>
          <w:lang w:eastAsia="bg-BG"/>
        </w:rPr>
        <w:t>Бременност</w:t>
      </w:r>
    </w:p>
    <w:p w14:paraId="3E285FB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Няма достатъчно данни за употребата на карведилол при бременни жени. Проучванията при животни са недостатъчни по отношение на влиянието върху бременността, ембрионалното/ феталното развитие, раждането и постнаталното развитие (вж. точка 5.3.) Потенциалният риск при хора не е известен.</w:t>
      </w:r>
    </w:p>
    <w:p w14:paraId="2DEDD6E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Карведилол не трябва да се използва по време на бременност, освен ако потенциалната полза не превишава потенциалния риск.</w:t>
      </w:r>
    </w:p>
    <w:p w14:paraId="185A8F26"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Бета-блокерите намаляват плацентарната перфузия, което може да доведе до вътрематочна смърт на плода и преждевременно раждане. В допълнение, нежелани реакции (особено хипогликемия и брадикардия) могат да се появят при плода и </w:t>
      </w:r>
      <w:r w:rsidRPr="00CC4A9F">
        <w:rPr>
          <w:rFonts w:eastAsia="Times New Roman" w:cs="Arial"/>
          <w:color w:val="000000"/>
          <w:szCs w:val="20"/>
          <w:lang w:eastAsia="bg-BG"/>
        </w:rPr>
        <w:lastRenderedPageBreak/>
        <w:t>новороденото. Може да има повишен риск от сърдечни и белодробни усложнения при новороденото в постнаталния период. Проучванията при животни не са показали по същество доказателства за тератогенност с карведилол (вж. също точка 5.3).</w:t>
      </w:r>
    </w:p>
    <w:p w14:paraId="7A66E74A" w14:textId="77777777" w:rsidR="00CC4A9F" w:rsidRPr="00CC4A9F" w:rsidRDefault="00CC4A9F" w:rsidP="00CC4A9F">
      <w:pPr>
        <w:spacing w:line="240" w:lineRule="auto"/>
        <w:rPr>
          <w:rFonts w:eastAsia="Times New Roman" w:cs="Arial"/>
          <w:i/>
          <w:iCs/>
          <w:color w:val="000000"/>
          <w:szCs w:val="20"/>
          <w:lang w:eastAsia="bg-BG"/>
        </w:rPr>
      </w:pPr>
    </w:p>
    <w:p w14:paraId="65326ADC" w14:textId="0F779A4B" w:rsidR="00CC4A9F" w:rsidRPr="00CC4A9F" w:rsidRDefault="00CC4A9F" w:rsidP="00CC4A9F">
      <w:pPr>
        <w:pStyle w:val="Heading3"/>
        <w:rPr>
          <w:rFonts w:eastAsia="Times New Roman"/>
          <w:sz w:val="28"/>
          <w:u w:val="single"/>
          <w:lang w:eastAsia="bg-BG"/>
        </w:rPr>
      </w:pPr>
      <w:r w:rsidRPr="00CC4A9F">
        <w:rPr>
          <w:rFonts w:eastAsia="Times New Roman"/>
          <w:u w:val="single"/>
          <w:lang w:eastAsia="bg-BG"/>
        </w:rPr>
        <w:t>Кърмене</w:t>
      </w:r>
    </w:p>
    <w:p w14:paraId="0E3DBE66" w14:textId="5A3A73C1" w:rsidR="00CC4A9F" w:rsidRPr="00CC4A9F" w:rsidRDefault="00CC4A9F" w:rsidP="00CC4A9F">
      <w:pPr>
        <w:rPr>
          <w:rFonts w:cs="Arial"/>
          <w:sz w:val="24"/>
        </w:rPr>
      </w:pPr>
      <w:r w:rsidRPr="00CC4A9F">
        <w:rPr>
          <w:rFonts w:eastAsia="Times New Roman" w:cs="Arial"/>
          <w:color w:val="000000"/>
          <w:szCs w:val="20"/>
          <w:lang w:eastAsia="bg-BG"/>
        </w:rPr>
        <w:t>Проучванията при животни показват, че карведилол и/или неговите метаболити се екскретират в млякото на плъхове. Екскреция на карведилол в човешката кърма не е установена. Въпреки това, повечето бета-блокери, по специално липофилните съединения, преминават в кърмата, макар и в различна степен. Поради това след прием на карведилол не се препоръчва да се кърми.</w:t>
      </w:r>
    </w:p>
    <w:p w14:paraId="2248AF03" w14:textId="77777777" w:rsidR="00CC4A9F" w:rsidRPr="00CC4A9F" w:rsidRDefault="00CC4A9F" w:rsidP="00CC4A9F"/>
    <w:p w14:paraId="064DF1DE" w14:textId="2EF9A08C" w:rsidR="00CF77F7" w:rsidRDefault="002C50EE" w:rsidP="004A448E">
      <w:pPr>
        <w:pStyle w:val="Heading2"/>
      </w:pPr>
      <w:r>
        <w:t>4.7. Ефекти върху способността за шофиране и работа с машини</w:t>
      </w:r>
    </w:p>
    <w:p w14:paraId="3990F05A" w14:textId="08619034" w:rsidR="00CC4A9F" w:rsidRDefault="00CC4A9F" w:rsidP="00CC4A9F"/>
    <w:p w14:paraId="6A0E1581"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 са провеждани проучвания за ефектите на карведилол върху способността за шофиране и работа с машини при пациентите.</w:t>
      </w:r>
    </w:p>
    <w:p w14:paraId="4321E480" w14:textId="77777777" w:rsidR="00CC4A9F" w:rsidRPr="00CC4A9F" w:rsidRDefault="00CC4A9F" w:rsidP="00CC4A9F">
      <w:pPr>
        <w:rPr>
          <w:rFonts w:eastAsia="Times New Roman" w:cs="Arial"/>
          <w:color w:val="000000"/>
          <w:szCs w:val="20"/>
          <w:lang w:eastAsia="bg-BG"/>
        </w:rPr>
      </w:pPr>
    </w:p>
    <w:p w14:paraId="21E5D6C3" w14:textId="17A57FBB" w:rsidR="00CC4A9F" w:rsidRPr="00CC4A9F" w:rsidRDefault="00CC4A9F" w:rsidP="00CC4A9F">
      <w:pPr>
        <w:rPr>
          <w:rFonts w:cs="Arial"/>
          <w:sz w:val="24"/>
        </w:rPr>
      </w:pPr>
      <w:r w:rsidRPr="00CC4A9F">
        <w:rPr>
          <w:rFonts w:eastAsia="Times New Roman" w:cs="Arial"/>
          <w:color w:val="000000"/>
          <w:szCs w:val="20"/>
          <w:lang w:eastAsia="bg-BG"/>
        </w:rPr>
        <w:t>Поради възможност от развитие на индивидуални реакциии (напр. замайване, повишена умора) способността за шофиране, работа с машини и самостоятелна работа, без подкрепа на други може да бъде нарушена. Това се отнася особено при започването или при промяна на дозата и при употреба на алкохол.</w:t>
      </w:r>
    </w:p>
    <w:p w14:paraId="298F4E6F" w14:textId="77777777" w:rsidR="00CC4A9F" w:rsidRPr="00CC4A9F" w:rsidRDefault="00CC4A9F" w:rsidP="00CC4A9F"/>
    <w:p w14:paraId="37A3FD9F" w14:textId="6514581B" w:rsidR="00CF77F7" w:rsidRDefault="002C50EE" w:rsidP="004A448E">
      <w:pPr>
        <w:pStyle w:val="Heading2"/>
      </w:pPr>
      <w:r>
        <w:t>4.8. Нежелани лекарствени реакции</w:t>
      </w:r>
    </w:p>
    <w:p w14:paraId="5884EF54" w14:textId="7EDE5C74" w:rsidR="00CC4A9F" w:rsidRDefault="00CC4A9F" w:rsidP="00CC4A9F"/>
    <w:p w14:paraId="211056EC"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Нежеланите реакции, които могат да възникнат по време на лечението с карведилол, се класифицират в следните групи по реда на честотата:</w:t>
      </w:r>
    </w:p>
    <w:p w14:paraId="0AE371D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чести (≥ 1/10)</w:t>
      </w:r>
    </w:p>
    <w:p w14:paraId="5292A08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 1/100 до &lt; 1/10)</w:t>
      </w:r>
    </w:p>
    <w:p w14:paraId="5E25B5C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 1/1,000 до &lt; 1/100)</w:t>
      </w:r>
    </w:p>
    <w:p w14:paraId="67BAB55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Редки (≥ 1/10,000 до &lt; 1/1 000)</w:t>
      </w:r>
    </w:p>
    <w:p w14:paraId="00CB6044"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редки (&lt; 1/10 000) С неизвестна честота (честотата не може да бъде оценена от наличните данни)</w:t>
      </w:r>
    </w:p>
    <w:p w14:paraId="5A9BBC3C" w14:textId="77777777" w:rsidR="00CC4A9F" w:rsidRPr="00CC4A9F" w:rsidRDefault="00CC4A9F" w:rsidP="00CC4A9F">
      <w:pPr>
        <w:spacing w:line="240" w:lineRule="auto"/>
        <w:rPr>
          <w:rFonts w:eastAsia="Times New Roman" w:cs="Arial"/>
          <w:color w:val="000000"/>
          <w:szCs w:val="20"/>
          <w:lang w:eastAsia="bg-BG"/>
        </w:rPr>
      </w:pPr>
    </w:p>
    <w:p w14:paraId="1538B0C6" w14:textId="16807F2E"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При всяко групиране в зависимост от честотата, нежеланите реакции са представени в низходящ ред по отношение на тяхната сериозност.</w:t>
      </w:r>
    </w:p>
    <w:p w14:paraId="13F6C009" w14:textId="77777777" w:rsidR="00CC4A9F" w:rsidRPr="00CC4A9F" w:rsidRDefault="00CC4A9F" w:rsidP="00CC4A9F">
      <w:pPr>
        <w:spacing w:line="240" w:lineRule="auto"/>
        <w:rPr>
          <w:rFonts w:eastAsia="Times New Roman" w:cs="Arial"/>
          <w:color w:val="000000"/>
          <w:szCs w:val="20"/>
          <w:lang w:eastAsia="bg-BG"/>
        </w:rPr>
      </w:pPr>
    </w:p>
    <w:p w14:paraId="3AE26BE1" w14:textId="2391304D"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Честота на нежеланите реакции изброени по отделни органи и системи:</w:t>
      </w:r>
    </w:p>
    <w:p w14:paraId="1C94380E" w14:textId="77777777" w:rsidR="00CC4A9F" w:rsidRPr="00CC4A9F" w:rsidRDefault="00CC4A9F" w:rsidP="00CC4A9F">
      <w:pPr>
        <w:spacing w:line="240" w:lineRule="auto"/>
        <w:rPr>
          <w:rFonts w:eastAsia="Times New Roman" w:cs="Arial"/>
          <w:i/>
          <w:iCs/>
          <w:color w:val="000000"/>
          <w:szCs w:val="20"/>
          <w:lang w:eastAsia="bg-BG"/>
        </w:rPr>
      </w:pPr>
    </w:p>
    <w:p w14:paraId="1B5174D0" w14:textId="7C31C65F"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Инфекции и паразитози</w:t>
      </w:r>
    </w:p>
    <w:p w14:paraId="1EFB1818"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Бронхит, пневмония, инфекция на горните дихателни пътища, инфекции на пикочните пътища</w:t>
      </w:r>
    </w:p>
    <w:p w14:paraId="4834B1F7" w14:textId="77777777" w:rsidR="00CC4A9F" w:rsidRPr="00CC4A9F" w:rsidRDefault="00CC4A9F" w:rsidP="00CC4A9F">
      <w:pPr>
        <w:spacing w:line="240" w:lineRule="auto"/>
        <w:rPr>
          <w:rFonts w:eastAsia="Times New Roman" w:cs="Arial"/>
          <w:i/>
          <w:iCs/>
          <w:color w:val="000000"/>
          <w:szCs w:val="20"/>
          <w:lang w:eastAsia="bg-BG"/>
        </w:rPr>
      </w:pPr>
    </w:p>
    <w:p w14:paraId="21D823F7" w14:textId="7D372934"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кръвта и лимфната система</w:t>
      </w:r>
    </w:p>
    <w:p w14:paraId="7BE88D0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Анемия</w:t>
      </w:r>
    </w:p>
    <w:p w14:paraId="237623C6"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Редки: Тромбоцитопения</w:t>
      </w:r>
    </w:p>
    <w:p w14:paraId="064736A1"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редки: Левкопения</w:t>
      </w:r>
    </w:p>
    <w:p w14:paraId="0BFCDEFD" w14:textId="77777777" w:rsidR="00CC4A9F" w:rsidRPr="00CC4A9F" w:rsidRDefault="00CC4A9F" w:rsidP="00CC4A9F">
      <w:pPr>
        <w:spacing w:line="240" w:lineRule="auto"/>
        <w:rPr>
          <w:rFonts w:eastAsia="Times New Roman" w:cs="Arial"/>
          <w:i/>
          <w:iCs/>
          <w:color w:val="000000"/>
          <w:szCs w:val="20"/>
          <w:lang w:eastAsia="bg-BG"/>
        </w:rPr>
      </w:pPr>
    </w:p>
    <w:p w14:paraId="75076DD7" w14:textId="289C3729"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имунната система</w:t>
      </w:r>
    </w:p>
    <w:p w14:paraId="390DC984"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редки: Свръхчувствителност (алергична реакция)</w:t>
      </w:r>
    </w:p>
    <w:p w14:paraId="3AE6C284" w14:textId="77777777" w:rsidR="00CC4A9F" w:rsidRPr="00CC4A9F" w:rsidRDefault="00CC4A9F" w:rsidP="00CC4A9F">
      <w:pPr>
        <w:spacing w:line="240" w:lineRule="auto"/>
        <w:rPr>
          <w:rFonts w:eastAsia="Times New Roman" w:cs="Arial"/>
          <w:i/>
          <w:iCs/>
          <w:color w:val="000000"/>
          <w:szCs w:val="20"/>
          <w:lang w:eastAsia="bg-BG"/>
        </w:rPr>
      </w:pPr>
    </w:p>
    <w:p w14:paraId="60F8A2E5" w14:textId="7F034122"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lastRenderedPageBreak/>
        <w:t>Нарушения на метаболизма и храненето</w:t>
      </w:r>
    </w:p>
    <w:p w14:paraId="3D8E122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Увеличаване на теглото, хиперхолестеролемия, нарушен контрол на кръвната захар (хипергликемия, хипогликемия) при пациенти с предшестващ диабет.</w:t>
      </w:r>
    </w:p>
    <w:p w14:paraId="298A7E74" w14:textId="77777777" w:rsidR="00CC4A9F" w:rsidRPr="00CC4A9F" w:rsidRDefault="00CC4A9F" w:rsidP="00CC4A9F">
      <w:pPr>
        <w:spacing w:line="240" w:lineRule="auto"/>
        <w:rPr>
          <w:rFonts w:eastAsia="Times New Roman" w:cs="Arial"/>
          <w:i/>
          <w:iCs/>
          <w:color w:val="000000"/>
          <w:szCs w:val="20"/>
          <w:lang w:eastAsia="bg-BG"/>
        </w:rPr>
      </w:pPr>
    </w:p>
    <w:p w14:paraId="0E5ADEF3" w14:textId="41C123E2"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Психични нарушения</w:t>
      </w:r>
    </w:p>
    <w:p w14:paraId="4F27CB0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Депресия, потиснато настроение</w:t>
      </w:r>
    </w:p>
    <w:p w14:paraId="44A4683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Нарушения на съня</w:t>
      </w:r>
    </w:p>
    <w:p w14:paraId="4D2C3477" w14:textId="77777777" w:rsidR="00CC4A9F" w:rsidRPr="00CC4A9F" w:rsidRDefault="00CC4A9F" w:rsidP="00CC4A9F">
      <w:pPr>
        <w:spacing w:line="240" w:lineRule="auto"/>
        <w:rPr>
          <w:rFonts w:eastAsia="Times New Roman" w:cs="Arial"/>
          <w:i/>
          <w:iCs/>
          <w:color w:val="000000"/>
          <w:szCs w:val="20"/>
          <w:lang w:eastAsia="bg-BG"/>
        </w:rPr>
      </w:pPr>
    </w:p>
    <w:p w14:paraId="723FDBCD" w14:textId="4121EA74"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нервната система</w:t>
      </w:r>
    </w:p>
    <w:p w14:paraId="16E03A0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чести: Замаяност, главоболие</w:t>
      </w:r>
    </w:p>
    <w:p w14:paraId="331F612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Пресинкоп, синкоп, парестезия</w:t>
      </w:r>
    </w:p>
    <w:p w14:paraId="07A9FDD6" w14:textId="77777777" w:rsidR="00CC4A9F" w:rsidRPr="00CC4A9F" w:rsidRDefault="00CC4A9F" w:rsidP="00CC4A9F">
      <w:pPr>
        <w:spacing w:line="240" w:lineRule="auto"/>
        <w:rPr>
          <w:rFonts w:eastAsia="Times New Roman" w:cs="Arial"/>
          <w:i/>
          <w:iCs/>
          <w:color w:val="000000"/>
          <w:szCs w:val="20"/>
          <w:lang w:eastAsia="bg-BG"/>
        </w:rPr>
      </w:pPr>
    </w:p>
    <w:p w14:paraId="55DE247A" w14:textId="33E58848"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очите</w:t>
      </w:r>
    </w:p>
    <w:p w14:paraId="462A2EF7"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Зрителни увреждания, намлено отделяне на сълзи (сухота в очите), дразнене на очите</w:t>
      </w:r>
    </w:p>
    <w:p w14:paraId="69780DC0" w14:textId="77777777" w:rsidR="00CC4A9F" w:rsidRPr="00CC4A9F" w:rsidRDefault="00CC4A9F" w:rsidP="00CC4A9F">
      <w:pPr>
        <w:spacing w:line="240" w:lineRule="auto"/>
        <w:rPr>
          <w:rFonts w:eastAsia="Times New Roman" w:cs="Arial"/>
          <w:i/>
          <w:iCs/>
          <w:color w:val="000000"/>
          <w:szCs w:val="20"/>
          <w:lang w:eastAsia="bg-BG"/>
        </w:rPr>
      </w:pPr>
    </w:p>
    <w:p w14:paraId="5B58A0FB" w14:textId="1F7BBFC1"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Сърдечни нарушения</w:t>
      </w:r>
    </w:p>
    <w:p w14:paraId="7224A28F"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чести: Сърдечна недостатъчност</w:t>
      </w:r>
    </w:p>
    <w:p w14:paraId="027D3EF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Брадикардия, оток (включително генерализиран, периферен, зависим и генитален оток, оток на краката), хиперволемия, задръжка на течности</w:t>
      </w:r>
    </w:p>
    <w:p w14:paraId="19E441C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Нечести:</w:t>
      </w:r>
      <w:r w:rsidRPr="00CC4A9F">
        <w:rPr>
          <w:rFonts w:eastAsia="Times New Roman" w:cs="Arial"/>
          <w:color w:val="000000"/>
          <w:szCs w:val="20"/>
          <w:lang w:eastAsia="bg-BG"/>
        </w:rPr>
        <w:t xml:space="preserve"> Предсърдно-камерен блок</w:t>
      </w:r>
      <w:r w:rsidRPr="00CC4A9F">
        <w:rPr>
          <w:rFonts w:eastAsia="Times New Roman" w:cs="Arial"/>
          <w:i/>
          <w:iCs/>
          <w:color w:val="000000"/>
          <w:szCs w:val="20"/>
          <w:lang w:eastAsia="bg-BG"/>
        </w:rPr>
        <w:t>,</w:t>
      </w:r>
      <w:r w:rsidRPr="00CC4A9F">
        <w:rPr>
          <w:rFonts w:eastAsia="Times New Roman" w:cs="Arial"/>
          <w:color w:val="000000"/>
          <w:szCs w:val="20"/>
          <w:lang w:eastAsia="bg-BG"/>
        </w:rPr>
        <w:t xml:space="preserve"> стенокардия</w:t>
      </w:r>
    </w:p>
    <w:p w14:paraId="4F9CB224" w14:textId="77777777" w:rsidR="00CC4A9F" w:rsidRPr="00CC4A9F" w:rsidRDefault="00CC4A9F" w:rsidP="00CC4A9F">
      <w:pPr>
        <w:spacing w:line="240" w:lineRule="auto"/>
        <w:rPr>
          <w:rFonts w:eastAsia="Times New Roman" w:cs="Arial"/>
          <w:i/>
          <w:iCs/>
          <w:color w:val="000000"/>
          <w:szCs w:val="20"/>
          <w:lang w:eastAsia="bg-BG"/>
        </w:rPr>
      </w:pPr>
    </w:p>
    <w:p w14:paraId="64BB1DF2" w14:textId="3DB47942"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Съдови нарушения</w:t>
      </w:r>
      <w:r w:rsidRPr="00CC4A9F">
        <w:rPr>
          <w:rFonts w:eastAsia="Times New Roman" w:cs="Arial"/>
          <w:i/>
          <w:iCs/>
          <w:color w:val="000000"/>
          <w:szCs w:val="20"/>
          <w:lang w:eastAsia="bg-BG"/>
        </w:rPr>
        <w:tab/>
      </w:r>
    </w:p>
    <w:p w14:paraId="7978AA6C"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чести: Хипотония</w:t>
      </w:r>
    </w:p>
    <w:p w14:paraId="252EE573"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Ортостатична хипотония, нарушения на периферното кръвообращение</w:t>
      </w:r>
      <w:r w:rsidRPr="00CC4A9F">
        <w:rPr>
          <w:rFonts w:eastAsia="Times New Roman" w:cs="Arial"/>
          <w:color w:val="000000"/>
          <w:szCs w:val="20"/>
          <w:lang w:val="en-US"/>
        </w:rPr>
        <w:t xml:space="preserve"> (</w:t>
      </w:r>
      <w:r w:rsidRPr="00CC4A9F">
        <w:rPr>
          <w:rFonts w:eastAsia="Times New Roman" w:cs="Arial"/>
          <w:color w:val="000000"/>
          <w:szCs w:val="20"/>
          <w:lang w:eastAsia="bg-BG"/>
        </w:rPr>
        <w:t xml:space="preserve">студени крайници, периферна съдова болест, обостряне на интермитентно накуцване и феномен на </w:t>
      </w:r>
      <w:r w:rsidRPr="00CC4A9F">
        <w:rPr>
          <w:rFonts w:eastAsia="Times New Roman" w:cs="Arial"/>
          <w:color w:val="000000"/>
          <w:szCs w:val="20"/>
          <w:lang w:val="en-US"/>
        </w:rPr>
        <w:t xml:space="preserve">Reynaud), </w:t>
      </w:r>
      <w:r w:rsidRPr="00CC4A9F">
        <w:rPr>
          <w:rFonts w:eastAsia="Times New Roman" w:cs="Arial"/>
          <w:color w:val="000000"/>
          <w:szCs w:val="20"/>
          <w:lang w:eastAsia="bg-BG"/>
        </w:rPr>
        <w:t>хипертония.</w:t>
      </w:r>
    </w:p>
    <w:p w14:paraId="265686F5" w14:textId="77777777" w:rsidR="00CC4A9F" w:rsidRPr="00CC4A9F" w:rsidRDefault="00CC4A9F" w:rsidP="00CC4A9F">
      <w:pPr>
        <w:rPr>
          <w:rFonts w:eastAsia="Times New Roman" w:cs="Arial"/>
          <w:i/>
          <w:iCs/>
          <w:color w:val="000000"/>
          <w:szCs w:val="20"/>
          <w:lang w:eastAsia="bg-BG"/>
        </w:rPr>
      </w:pPr>
    </w:p>
    <w:p w14:paraId="338DC068" w14:textId="7AEC433D" w:rsidR="00CC4A9F" w:rsidRDefault="00CC4A9F" w:rsidP="00CC4A9F">
      <w:pPr>
        <w:rPr>
          <w:rFonts w:eastAsia="Times New Roman" w:cs="Arial"/>
          <w:i/>
          <w:iCs/>
          <w:color w:val="000000"/>
          <w:szCs w:val="20"/>
          <w:lang w:eastAsia="bg-BG"/>
        </w:rPr>
      </w:pPr>
      <w:r w:rsidRPr="00CC4A9F">
        <w:rPr>
          <w:rFonts w:eastAsia="Times New Roman" w:cs="Arial"/>
          <w:i/>
          <w:iCs/>
          <w:color w:val="000000"/>
          <w:szCs w:val="20"/>
          <w:lang w:eastAsia="bg-BG"/>
        </w:rPr>
        <w:t>Респираторни, гръдни и медиастинални нарушения</w:t>
      </w:r>
    </w:p>
    <w:p w14:paraId="529EF449"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Диспнея, белодробен оток, астма при предразположени пациенти</w:t>
      </w:r>
    </w:p>
    <w:p w14:paraId="370E66CB"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Редки: Запушване на носа, грипоподобни симптоми</w:t>
      </w:r>
    </w:p>
    <w:p w14:paraId="1ED312EE" w14:textId="77777777" w:rsidR="00CC4A9F" w:rsidRPr="00CC4A9F" w:rsidRDefault="00CC4A9F" w:rsidP="00CC4A9F">
      <w:pPr>
        <w:spacing w:line="240" w:lineRule="auto"/>
        <w:rPr>
          <w:rFonts w:eastAsia="Times New Roman" w:cs="Arial"/>
          <w:i/>
          <w:iCs/>
          <w:color w:val="000000"/>
          <w:szCs w:val="20"/>
          <w:lang w:eastAsia="bg-BG"/>
        </w:rPr>
      </w:pPr>
    </w:p>
    <w:p w14:paraId="3E8A3E28" w14:textId="0B678E84"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Стомашно-чревни нарушения</w:t>
      </w:r>
    </w:p>
    <w:p w14:paraId="587F5826"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Гадене, диария, повръщане, диспепсия, коремна болка</w:t>
      </w:r>
    </w:p>
    <w:p w14:paraId="28659EEB"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Запек</w:t>
      </w:r>
    </w:p>
    <w:p w14:paraId="5D8E738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Редки: Сухота в устата</w:t>
      </w:r>
    </w:p>
    <w:p w14:paraId="21FDB80E" w14:textId="77777777" w:rsidR="00CC4A9F" w:rsidRPr="00CC4A9F" w:rsidRDefault="00CC4A9F" w:rsidP="00CC4A9F">
      <w:pPr>
        <w:spacing w:line="240" w:lineRule="auto"/>
        <w:rPr>
          <w:rFonts w:eastAsia="Times New Roman" w:cs="Arial"/>
          <w:i/>
          <w:iCs/>
          <w:color w:val="000000"/>
          <w:szCs w:val="20"/>
          <w:lang w:eastAsia="bg-BG"/>
        </w:rPr>
      </w:pPr>
    </w:p>
    <w:p w14:paraId="3CF34AA0" w14:textId="2289F80C"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Чернодробни и жлъчни нарушения</w:t>
      </w:r>
    </w:p>
    <w:p w14:paraId="5C82BFA1"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Много редки: повишаване на аланин аминотрансфераза </w:t>
      </w:r>
      <w:r w:rsidRPr="00CC4A9F">
        <w:rPr>
          <w:rFonts w:eastAsia="Times New Roman" w:cs="Arial"/>
          <w:color w:val="000000"/>
          <w:szCs w:val="20"/>
          <w:lang w:val="en-US"/>
        </w:rPr>
        <w:t xml:space="preserve">(ALT), </w:t>
      </w:r>
      <w:r w:rsidRPr="00CC4A9F">
        <w:rPr>
          <w:rFonts w:eastAsia="Times New Roman" w:cs="Arial"/>
          <w:color w:val="000000"/>
          <w:szCs w:val="20"/>
          <w:lang w:eastAsia="bg-BG"/>
        </w:rPr>
        <w:t xml:space="preserve">аспартат аминотрансфераза </w:t>
      </w:r>
      <w:r w:rsidRPr="00CC4A9F">
        <w:rPr>
          <w:rFonts w:eastAsia="Times New Roman" w:cs="Arial"/>
          <w:color w:val="000000"/>
          <w:szCs w:val="20"/>
          <w:lang w:val="en-US"/>
        </w:rPr>
        <w:t xml:space="preserve">(AST) </w:t>
      </w:r>
      <w:r w:rsidRPr="00CC4A9F">
        <w:rPr>
          <w:rFonts w:eastAsia="Times New Roman" w:cs="Arial"/>
          <w:color w:val="000000"/>
          <w:szCs w:val="20"/>
          <w:lang w:eastAsia="bg-BG"/>
        </w:rPr>
        <w:t xml:space="preserve">и гамаглутамилтрансфераза </w:t>
      </w:r>
      <w:r w:rsidRPr="00CC4A9F">
        <w:rPr>
          <w:rFonts w:eastAsia="Times New Roman" w:cs="Arial"/>
          <w:color w:val="000000"/>
          <w:szCs w:val="20"/>
          <w:lang w:val="en-US"/>
        </w:rPr>
        <w:t>(GGT)</w:t>
      </w:r>
    </w:p>
    <w:p w14:paraId="6FF99EE1" w14:textId="77777777" w:rsidR="00CC4A9F" w:rsidRPr="00CC4A9F" w:rsidRDefault="00CC4A9F" w:rsidP="00CC4A9F">
      <w:pPr>
        <w:spacing w:line="240" w:lineRule="auto"/>
        <w:rPr>
          <w:rFonts w:eastAsia="Times New Roman" w:cs="Arial"/>
          <w:i/>
          <w:iCs/>
          <w:color w:val="000000"/>
          <w:szCs w:val="20"/>
          <w:lang w:eastAsia="bg-BG"/>
        </w:rPr>
      </w:pPr>
    </w:p>
    <w:p w14:paraId="1EFE65B9" w14:textId="1D8AC6CE"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кожата и подкожната тъкан</w:t>
      </w:r>
    </w:p>
    <w:p w14:paraId="209122B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кожни реакции (напр. алергична екзантема, дерматит, уртикария, сърбеж, псориатични и подобни на лихен планус кожни лезии), алопеция</w:t>
      </w:r>
    </w:p>
    <w:p w14:paraId="005E1F3B" w14:textId="77777777" w:rsidR="00CC4A9F" w:rsidRPr="00CC4A9F" w:rsidRDefault="00CC4A9F" w:rsidP="00CC4A9F">
      <w:pPr>
        <w:spacing w:line="240" w:lineRule="auto"/>
        <w:rPr>
          <w:rFonts w:eastAsia="Times New Roman" w:cs="Arial"/>
          <w:i/>
          <w:iCs/>
          <w:color w:val="000000"/>
          <w:szCs w:val="20"/>
          <w:lang w:eastAsia="bg-BG"/>
        </w:rPr>
      </w:pPr>
    </w:p>
    <w:p w14:paraId="7AED2B94" w14:textId="565119F8"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мускулно-скелетната система и съединителната тъкан</w:t>
      </w:r>
    </w:p>
    <w:p w14:paraId="77ADC4F3"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Чести: Болки в крайниците</w:t>
      </w:r>
    </w:p>
    <w:p w14:paraId="0C8A5259" w14:textId="77777777" w:rsidR="00CC4A9F" w:rsidRPr="00CC4A9F" w:rsidRDefault="00CC4A9F" w:rsidP="00CC4A9F">
      <w:pPr>
        <w:spacing w:line="240" w:lineRule="auto"/>
        <w:rPr>
          <w:rFonts w:eastAsia="Times New Roman" w:cs="Arial"/>
          <w:i/>
          <w:iCs/>
          <w:color w:val="000000"/>
          <w:szCs w:val="20"/>
          <w:lang w:eastAsia="bg-BG"/>
        </w:rPr>
      </w:pPr>
    </w:p>
    <w:p w14:paraId="6069859A" w14:textId="35E0CFA2"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бъбреците и пикочните пътища</w:t>
      </w:r>
    </w:p>
    <w:p w14:paraId="4B37515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lastRenderedPageBreak/>
        <w:t>Чести: Бъбречна недостатъчност и аномалии на бъбречната функция при пациенти с дифузно съдово заболяване и / или съпътстваща бъбречна недостатъчност, Редки: нарушения на уринирането</w:t>
      </w:r>
    </w:p>
    <w:p w14:paraId="2439569F"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редки; Задържане на урината при жени</w:t>
      </w:r>
    </w:p>
    <w:p w14:paraId="757D64FB" w14:textId="77777777" w:rsidR="00CC4A9F" w:rsidRPr="00CC4A9F" w:rsidRDefault="00CC4A9F" w:rsidP="00CC4A9F">
      <w:pPr>
        <w:spacing w:line="240" w:lineRule="auto"/>
        <w:rPr>
          <w:rFonts w:eastAsia="Times New Roman" w:cs="Arial"/>
          <w:i/>
          <w:iCs/>
          <w:color w:val="000000"/>
          <w:szCs w:val="20"/>
          <w:lang w:eastAsia="bg-BG"/>
        </w:rPr>
      </w:pPr>
    </w:p>
    <w:p w14:paraId="46BCD293" w14:textId="3185CFB0"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Нарушения на възпроизводителната система и гърдата</w:t>
      </w:r>
    </w:p>
    <w:p w14:paraId="54E72FD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Нечести: Еректилна дисфункция</w:t>
      </w:r>
    </w:p>
    <w:p w14:paraId="6D7BDBA3" w14:textId="77777777" w:rsidR="00CC4A9F" w:rsidRPr="00CC4A9F" w:rsidRDefault="00CC4A9F" w:rsidP="00CC4A9F">
      <w:pPr>
        <w:spacing w:line="240" w:lineRule="auto"/>
        <w:rPr>
          <w:rFonts w:eastAsia="Times New Roman" w:cs="Arial"/>
          <w:i/>
          <w:iCs/>
          <w:color w:val="000000"/>
          <w:szCs w:val="20"/>
          <w:lang w:eastAsia="bg-BG"/>
        </w:rPr>
      </w:pPr>
    </w:p>
    <w:p w14:paraId="4422134E" w14:textId="6697ED6A"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Общи нарушения и ефекти на мястото на приложението</w:t>
      </w:r>
    </w:p>
    <w:p w14:paraId="6A4B81E2"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Много чести: Астения (умора)</w:t>
      </w:r>
    </w:p>
    <w:p w14:paraId="6DC2A02D"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Общи: Оток, болка</w:t>
      </w:r>
    </w:p>
    <w:p w14:paraId="521383B8" w14:textId="77777777" w:rsidR="00CC4A9F" w:rsidRPr="00CC4A9F" w:rsidRDefault="00CC4A9F" w:rsidP="00CC4A9F">
      <w:pPr>
        <w:spacing w:line="240" w:lineRule="auto"/>
        <w:rPr>
          <w:rFonts w:eastAsia="Times New Roman" w:cs="Arial"/>
          <w:i/>
          <w:iCs/>
          <w:color w:val="000000"/>
          <w:szCs w:val="20"/>
          <w:lang w:eastAsia="bg-BG"/>
        </w:rPr>
      </w:pPr>
    </w:p>
    <w:p w14:paraId="5E87DFD2" w14:textId="43A5FE24" w:rsidR="00CC4A9F" w:rsidRPr="00CC4A9F" w:rsidRDefault="00CC4A9F" w:rsidP="00CC4A9F">
      <w:pPr>
        <w:spacing w:line="240" w:lineRule="auto"/>
        <w:rPr>
          <w:rFonts w:eastAsia="Times New Roman" w:cs="Arial"/>
          <w:sz w:val="28"/>
          <w:szCs w:val="24"/>
          <w:lang w:eastAsia="bg-BG"/>
        </w:rPr>
      </w:pPr>
      <w:r w:rsidRPr="00CC4A9F">
        <w:rPr>
          <w:rFonts w:eastAsia="Times New Roman" w:cs="Arial"/>
          <w:i/>
          <w:iCs/>
          <w:color w:val="000000"/>
          <w:szCs w:val="20"/>
          <w:lang w:eastAsia="bg-BG"/>
        </w:rPr>
        <w:t>Описание на избрани нежелани реакции</w:t>
      </w:r>
    </w:p>
    <w:p w14:paraId="1DA276B3"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Честотата на нежеланите реакции не зависи от дозата, с изключение на замайване, нарушено зрение и брадикардия.</w:t>
      </w:r>
    </w:p>
    <w:p w14:paraId="7CB06AB8"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Замайване, синкоп, главоболие и астения обикновено са леки и най-вероятно е да се появят в началото на лечението.</w:t>
      </w:r>
    </w:p>
    <w:p w14:paraId="16FB0FCE"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При пациенти със застойна сърдечна недостатъчност, по време на повишаване на дозата на карведилол може да възникне влошаване на сърдечната недостатъчност и задръжка на течности (вж. точка 4.4).</w:t>
      </w:r>
    </w:p>
    <w:p w14:paraId="0E37CA23" w14:textId="77777777" w:rsidR="00CC4A9F" w:rsidRPr="00CC4A9F" w:rsidRDefault="00CC4A9F" w:rsidP="00CC4A9F">
      <w:pPr>
        <w:spacing w:line="240" w:lineRule="auto"/>
        <w:rPr>
          <w:rFonts w:eastAsia="Times New Roman" w:cs="Arial"/>
          <w:color w:val="000000"/>
          <w:szCs w:val="20"/>
          <w:lang w:eastAsia="bg-BG"/>
        </w:rPr>
      </w:pPr>
    </w:p>
    <w:p w14:paraId="389A0829" w14:textId="51B0FF1D"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Сърдечната недостатъчност е често съобщавана нежелана реакция кактопри пациентите на плацебо (14,5%), така и за пациентите, лекувани с карведилол (15,4% ) с левокамерна дисфункция след остър миокарден инфаркт).</w:t>
      </w:r>
    </w:p>
    <w:p w14:paraId="0837DAD3"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Следните нежелани реакции са установени по време на пост-маркетинговата употреба на карведилол. Тъй като тези събития са докладвани при популация с неопределена големина не винаги е възможно да се направи надеждна оценка на тяхната честота и/или да се установи причинно-следствена връзка с въздействието на лекарствения продукт.</w:t>
      </w:r>
    </w:p>
    <w:p w14:paraId="2C84F0BA" w14:textId="77777777" w:rsidR="00CC4A9F" w:rsidRPr="00CC4A9F" w:rsidRDefault="00CC4A9F" w:rsidP="00CC4A9F">
      <w:pPr>
        <w:spacing w:line="240" w:lineRule="auto"/>
        <w:rPr>
          <w:rFonts w:eastAsia="Times New Roman" w:cs="Arial"/>
          <w:color w:val="000000"/>
          <w:szCs w:val="20"/>
          <w:lang w:eastAsia="bg-BG"/>
        </w:rPr>
      </w:pPr>
    </w:p>
    <w:p w14:paraId="61D28088" w14:textId="2B606810"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Като клас, бета-блокерите на адренергичните рецепторни могат да доведат до проява на латентен диабет, манифестния диабет да се влоши, регулацията на глюкозата в кръвта да се потисне.</w:t>
      </w:r>
    </w:p>
    <w:p w14:paraId="2D90E9A7" w14:textId="77777777" w:rsidR="00CC4A9F" w:rsidRPr="00CC4A9F" w:rsidRDefault="00CC4A9F" w:rsidP="00CC4A9F">
      <w:pPr>
        <w:spacing w:line="240" w:lineRule="auto"/>
        <w:rPr>
          <w:rFonts w:eastAsia="Times New Roman" w:cs="Arial"/>
          <w:color w:val="000000"/>
          <w:szCs w:val="20"/>
          <w:lang w:eastAsia="bg-BG"/>
        </w:rPr>
      </w:pPr>
    </w:p>
    <w:p w14:paraId="6399BDDE" w14:textId="0D5268F3"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Тежки кожни нежелани реакции (токсична епидермална некролиза , синдром на </w:t>
      </w:r>
      <w:r w:rsidRPr="00CC4A9F">
        <w:rPr>
          <w:rFonts w:eastAsia="Times New Roman" w:cs="Arial"/>
          <w:color w:val="000000"/>
          <w:szCs w:val="20"/>
          <w:lang w:val="en-US"/>
        </w:rPr>
        <w:t>Steven-</w:t>
      </w:r>
    </w:p>
    <w:p w14:paraId="54DC7DAF" w14:textId="542DFBD1" w:rsidR="00CC4A9F" w:rsidRDefault="00CC4A9F" w:rsidP="00CC4A9F">
      <w:pPr>
        <w:rPr>
          <w:rFonts w:eastAsia="Times New Roman" w:cs="Arial"/>
          <w:color w:val="000000"/>
          <w:szCs w:val="20"/>
          <w:lang w:eastAsia="bg-BG"/>
        </w:rPr>
      </w:pPr>
      <w:r w:rsidRPr="00CC4A9F">
        <w:rPr>
          <w:rFonts w:eastAsia="Times New Roman" w:cs="Arial"/>
          <w:color w:val="000000"/>
          <w:szCs w:val="20"/>
          <w:lang w:val="en-US"/>
        </w:rPr>
        <w:t xml:space="preserve">Johnson </w:t>
      </w:r>
      <w:r w:rsidRPr="00CC4A9F">
        <w:rPr>
          <w:rFonts w:eastAsia="Times New Roman" w:cs="Arial"/>
          <w:color w:val="000000"/>
          <w:szCs w:val="20"/>
          <w:lang w:eastAsia="bg-BG"/>
        </w:rPr>
        <w:t>(вж. точка 4.4).</w:t>
      </w:r>
    </w:p>
    <w:p w14:paraId="03226722" w14:textId="59DB2D89" w:rsidR="00CC4A9F" w:rsidRDefault="00CC4A9F" w:rsidP="00CC4A9F">
      <w:pPr>
        <w:rPr>
          <w:rFonts w:eastAsia="Times New Roman" w:cs="Arial"/>
          <w:color w:val="000000"/>
          <w:szCs w:val="20"/>
          <w:lang w:eastAsia="bg-BG"/>
        </w:rPr>
      </w:pPr>
    </w:p>
    <w:p w14:paraId="3E404368"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Карведилол може да предизвика задръжка на урина при жените, която изчезва при спиране на лекарството.</w:t>
      </w:r>
    </w:p>
    <w:p w14:paraId="479B53E3" w14:textId="77777777" w:rsidR="00CC4A9F" w:rsidRPr="00CC4A9F" w:rsidRDefault="00CC4A9F" w:rsidP="00CC4A9F">
      <w:pPr>
        <w:spacing w:line="240" w:lineRule="auto"/>
        <w:rPr>
          <w:rFonts w:eastAsia="Times New Roman" w:cs="Arial"/>
          <w:color w:val="000000"/>
          <w:szCs w:val="20"/>
          <w:u w:val="single"/>
          <w:lang w:eastAsia="bg-BG"/>
        </w:rPr>
      </w:pPr>
    </w:p>
    <w:p w14:paraId="4266C44C" w14:textId="6E121ACE"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u w:val="single"/>
          <w:lang w:eastAsia="bg-BG"/>
        </w:rPr>
        <w:t>Съобщаване на подозирани нежелани реакции</w:t>
      </w:r>
    </w:p>
    <w:p w14:paraId="7B857770"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4A44101A"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Тел.:+35 928903417</w:t>
      </w:r>
    </w:p>
    <w:p w14:paraId="486EC4BA" w14:textId="302A9E92" w:rsidR="00CC4A9F" w:rsidRPr="00CC4A9F" w:rsidRDefault="00CC4A9F" w:rsidP="00CC4A9F">
      <w:pPr>
        <w:rPr>
          <w:rFonts w:cs="Arial"/>
          <w:sz w:val="32"/>
        </w:rPr>
      </w:pPr>
      <w:r w:rsidRPr="00CC4A9F">
        <w:rPr>
          <w:rFonts w:eastAsia="Times New Roman" w:cs="Arial"/>
          <w:color w:val="000000"/>
          <w:szCs w:val="20"/>
          <w:lang w:eastAsia="bg-BG"/>
        </w:rPr>
        <w:t xml:space="preserve">уебсайт: </w:t>
      </w:r>
      <w:r w:rsidRPr="00CC4A9F">
        <w:rPr>
          <w:rFonts w:eastAsia="Times New Roman" w:cs="Arial"/>
          <w:color w:val="000000"/>
          <w:szCs w:val="20"/>
          <w:lang w:val="en-US"/>
        </w:rPr>
        <w:t>vvvvvv</w:t>
      </w:r>
      <w:r w:rsidRPr="00CC4A9F">
        <w:rPr>
          <w:rFonts w:eastAsia="Times New Roman" w:cs="Arial"/>
          <w:color w:val="000000"/>
          <w:szCs w:val="20"/>
          <w:u w:val="single"/>
          <w:lang w:val="en-US"/>
        </w:rPr>
        <w:t>.bda.bg</w:t>
      </w:r>
    </w:p>
    <w:p w14:paraId="0E04782E" w14:textId="77777777" w:rsidR="00CC4A9F" w:rsidRPr="00CC4A9F" w:rsidRDefault="00CC4A9F" w:rsidP="00CC4A9F"/>
    <w:p w14:paraId="0A023CE0" w14:textId="4500F64B" w:rsidR="00CF77F7" w:rsidRDefault="002C50EE" w:rsidP="004A448E">
      <w:pPr>
        <w:pStyle w:val="Heading2"/>
      </w:pPr>
      <w:r>
        <w:t>4.9. Предозиране</w:t>
      </w:r>
    </w:p>
    <w:p w14:paraId="50F57289" w14:textId="7337E30F" w:rsidR="00CC4A9F" w:rsidRDefault="00CC4A9F" w:rsidP="00CC4A9F"/>
    <w:p w14:paraId="62D97910" w14:textId="77777777" w:rsidR="00CC4A9F" w:rsidRPr="00CC4A9F" w:rsidRDefault="00CC4A9F" w:rsidP="00CC4A9F">
      <w:pPr>
        <w:pStyle w:val="Heading3"/>
        <w:rPr>
          <w:rFonts w:eastAsia="Times New Roman"/>
          <w:sz w:val="28"/>
          <w:u w:val="single"/>
          <w:lang w:eastAsia="bg-BG"/>
        </w:rPr>
      </w:pPr>
      <w:r w:rsidRPr="00CC4A9F">
        <w:rPr>
          <w:rFonts w:eastAsia="Times New Roman"/>
          <w:u w:val="single"/>
          <w:lang w:eastAsia="bg-BG"/>
        </w:rPr>
        <w:lastRenderedPageBreak/>
        <w:t>Симптоми</w:t>
      </w:r>
    </w:p>
    <w:p w14:paraId="4C064B48"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При предозиране може да се очакват тежки сърдечносъдови ефекти като хипотония, брадикардия, сърдечна недостатъчност, кардиогенен шок и сърдечен арест. Може да има също и респираторни проблеми, бронхоспазъм, повръщане, нарушено съзнание и генерализирани гърчове.</w:t>
      </w:r>
    </w:p>
    <w:p w14:paraId="12B28D7A" w14:textId="77777777" w:rsidR="00CC4A9F" w:rsidRPr="00CC4A9F" w:rsidRDefault="00CC4A9F" w:rsidP="00CC4A9F">
      <w:pPr>
        <w:spacing w:line="240" w:lineRule="auto"/>
        <w:rPr>
          <w:rFonts w:eastAsia="Times New Roman" w:cs="Arial"/>
          <w:i/>
          <w:iCs/>
          <w:color w:val="000000"/>
          <w:szCs w:val="20"/>
          <w:u w:val="single"/>
          <w:lang w:eastAsia="bg-BG"/>
        </w:rPr>
      </w:pPr>
    </w:p>
    <w:p w14:paraId="2882D549" w14:textId="491A5819" w:rsidR="00CC4A9F" w:rsidRPr="00CC4A9F" w:rsidRDefault="00CC4A9F" w:rsidP="00CC4A9F">
      <w:pPr>
        <w:pStyle w:val="Heading3"/>
        <w:rPr>
          <w:rFonts w:eastAsia="Times New Roman"/>
          <w:sz w:val="28"/>
          <w:u w:val="single"/>
          <w:lang w:eastAsia="bg-BG"/>
        </w:rPr>
      </w:pPr>
      <w:r w:rsidRPr="00CC4A9F">
        <w:rPr>
          <w:rFonts w:eastAsia="Times New Roman"/>
          <w:u w:val="single"/>
          <w:lang w:eastAsia="bg-BG"/>
        </w:rPr>
        <w:t>Лечение</w:t>
      </w:r>
    </w:p>
    <w:p w14:paraId="420EA8DD" w14:textId="1FB006E2" w:rsidR="00CC4A9F" w:rsidRDefault="00CC4A9F" w:rsidP="00CC4A9F">
      <w:pPr>
        <w:rPr>
          <w:rFonts w:eastAsia="Times New Roman" w:cs="Arial"/>
          <w:color w:val="000000"/>
          <w:szCs w:val="20"/>
          <w:lang w:eastAsia="bg-BG"/>
        </w:rPr>
      </w:pPr>
      <w:r w:rsidRPr="00CC4A9F">
        <w:rPr>
          <w:rFonts w:eastAsia="Times New Roman" w:cs="Arial"/>
          <w:color w:val="000000"/>
          <w:szCs w:val="20"/>
          <w:lang w:eastAsia="bg-BG"/>
        </w:rPr>
        <w:t>Пациентите трябва да бъдат наблюдавани за горепосочените признаци и симптоми и лекувани според преценката на лекуващи лекар и в съответствие със стандартната практика при пациенти с анамнеза за предозиране с бета-блокер (напр. атропин, трансвенозно стимулиране, глюкагон, фосфодиестеразен инхибитор като аминон или милринон, бета (β)-симпатикомиметици). Стомашна промивка или предизвикано повръщане може да са полезни през първите няколко часа след поглъщането. В случаите на предозиране със симптоми на шок, поддържащото лечение трябва да се продължи за достатъчно дълъг период от време, т.е. докато се стабилизира състоянието на пациента, тъй като може да се очаква удължаване на елиминационния полуживот и преразпределение на карведилол.</w:t>
      </w:r>
    </w:p>
    <w:p w14:paraId="3F04E065" w14:textId="77777777" w:rsidR="00CC4A9F" w:rsidRPr="00CC4A9F" w:rsidRDefault="00CC4A9F" w:rsidP="00CC4A9F">
      <w:pPr>
        <w:rPr>
          <w:rFonts w:cs="Arial"/>
          <w:sz w:val="24"/>
        </w:rPr>
      </w:pPr>
    </w:p>
    <w:p w14:paraId="02081B24" w14:textId="392169CB" w:rsidR="00395555" w:rsidRDefault="002C50EE" w:rsidP="008A6AF2">
      <w:pPr>
        <w:pStyle w:val="Heading1"/>
      </w:pPr>
      <w:r>
        <w:t>5. ФАРМАКОЛОГИЧНИ СВОЙСТВА</w:t>
      </w:r>
    </w:p>
    <w:p w14:paraId="6FF9BE25" w14:textId="5B007A0A" w:rsidR="00CC4A9F" w:rsidRPr="00CC4A9F" w:rsidRDefault="00CC4A9F" w:rsidP="00CC4A9F"/>
    <w:p w14:paraId="32B6DE66" w14:textId="3C56C15A" w:rsidR="00CF77F7" w:rsidRDefault="002C50EE" w:rsidP="004A448E">
      <w:pPr>
        <w:pStyle w:val="Heading2"/>
      </w:pPr>
      <w:r>
        <w:t>5.1. Фармакодинамични свойства</w:t>
      </w:r>
    </w:p>
    <w:p w14:paraId="67446CDD" w14:textId="47114BF4" w:rsidR="00CC4A9F" w:rsidRDefault="00CC4A9F" w:rsidP="00CC4A9F"/>
    <w:p w14:paraId="7B5B9225" w14:textId="77777777" w:rsidR="00CC4A9F" w:rsidRPr="00CC4A9F" w:rsidRDefault="00CC4A9F" w:rsidP="00CC4A9F">
      <w:pPr>
        <w:spacing w:line="240" w:lineRule="auto"/>
        <w:rPr>
          <w:rFonts w:eastAsia="Times New Roman" w:cs="Arial"/>
          <w:sz w:val="28"/>
          <w:szCs w:val="24"/>
          <w:lang w:eastAsia="bg-BG"/>
        </w:rPr>
      </w:pPr>
      <w:r w:rsidRPr="00CC4A9F">
        <w:rPr>
          <w:rFonts w:eastAsia="Times New Roman" w:cs="Arial"/>
          <w:color w:val="000000"/>
          <w:szCs w:val="20"/>
          <w:lang w:eastAsia="bg-BG"/>
        </w:rPr>
        <w:t xml:space="preserve">Фармакотерапевтична група: алфа и бета-блокери, АТС код: </w:t>
      </w:r>
      <w:r w:rsidRPr="00CC4A9F">
        <w:rPr>
          <w:rFonts w:eastAsia="Times New Roman" w:cs="Arial"/>
          <w:color w:val="000000"/>
          <w:szCs w:val="20"/>
          <w:lang w:val="en-US"/>
        </w:rPr>
        <w:t>C07AG02</w:t>
      </w:r>
    </w:p>
    <w:p w14:paraId="6F5518D3" w14:textId="77777777" w:rsidR="00CC4A9F" w:rsidRPr="00CC4A9F" w:rsidRDefault="00CC4A9F" w:rsidP="00CC4A9F">
      <w:pPr>
        <w:spacing w:line="240" w:lineRule="auto"/>
        <w:rPr>
          <w:rFonts w:eastAsia="Times New Roman" w:cs="Arial"/>
          <w:i/>
          <w:iCs/>
          <w:color w:val="000000"/>
          <w:szCs w:val="20"/>
          <w:lang w:eastAsia="bg-BG"/>
        </w:rPr>
      </w:pPr>
    </w:p>
    <w:p w14:paraId="030298A5" w14:textId="598C26AB" w:rsidR="00CC4A9F" w:rsidRPr="00CC4A9F" w:rsidRDefault="00C91DA6" w:rsidP="00CC4A9F">
      <w:pPr>
        <w:spacing w:line="240" w:lineRule="auto"/>
        <w:rPr>
          <w:rFonts w:eastAsia="Times New Roman" w:cs="Arial"/>
          <w:sz w:val="28"/>
          <w:szCs w:val="24"/>
          <w:lang w:eastAsia="bg-BG"/>
        </w:rPr>
      </w:pPr>
      <w:r>
        <w:rPr>
          <w:rFonts w:eastAsia="Times New Roman" w:cs="Arial"/>
          <w:i/>
          <w:iCs/>
          <w:color w:val="000000"/>
          <w:szCs w:val="20"/>
          <w:lang w:eastAsia="bg-BG"/>
        </w:rPr>
        <w:t>Механизъм н</w:t>
      </w:r>
      <w:r w:rsidR="00CC4A9F" w:rsidRPr="00CC4A9F">
        <w:rPr>
          <w:rFonts w:eastAsia="Times New Roman" w:cs="Arial"/>
          <w:i/>
          <w:iCs/>
          <w:color w:val="000000"/>
          <w:szCs w:val="20"/>
          <w:lang w:eastAsia="bg-BG"/>
        </w:rPr>
        <w:t>а действие</w:t>
      </w:r>
    </w:p>
    <w:p w14:paraId="7D9B982B" w14:textId="2EA64CAA" w:rsidR="00CC4A9F" w:rsidRPr="00CC4A9F" w:rsidRDefault="00CC4A9F" w:rsidP="00CC4A9F">
      <w:pPr>
        <w:rPr>
          <w:rFonts w:eastAsia="Times New Roman" w:cs="Arial"/>
          <w:color w:val="000000"/>
          <w:szCs w:val="20"/>
          <w:lang w:eastAsia="bg-BG"/>
        </w:rPr>
      </w:pPr>
      <w:r w:rsidRPr="00CC4A9F">
        <w:rPr>
          <w:rFonts w:eastAsia="Times New Roman" w:cs="Arial"/>
          <w:color w:val="000000"/>
          <w:szCs w:val="20"/>
          <w:lang w:eastAsia="bg-BG"/>
        </w:rPr>
        <w:t xml:space="preserve">Кориол действа по два начина. Активната съставка - карведилол, е рацемична смес; енантиомерите имат различен ефект и се метаболизират различно. </w:t>
      </w:r>
      <w:proofErr w:type="gramStart"/>
      <w:r w:rsidRPr="00CC4A9F">
        <w:rPr>
          <w:rFonts w:eastAsia="Times New Roman" w:cs="Arial"/>
          <w:color w:val="000000"/>
          <w:szCs w:val="20"/>
          <w:lang w:val="en-US"/>
        </w:rPr>
        <w:t>S(</w:t>
      </w:r>
      <w:proofErr w:type="gramEnd"/>
      <w:r w:rsidRPr="00CC4A9F">
        <w:rPr>
          <w:rFonts w:eastAsia="Times New Roman" w:cs="Arial"/>
          <w:color w:val="000000"/>
          <w:szCs w:val="20"/>
          <w:lang w:val="en-US"/>
        </w:rPr>
        <w:t xml:space="preserve">-) </w:t>
      </w:r>
      <w:r w:rsidRPr="00CC4A9F">
        <w:rPr>
          <w:rFonts w:eastAsia="Times New Roman" w:cs="Arial"/>
          <w:color w:val="000000"/>
          <w:szCs w:val="20"/>
          <w:lang w:eastAsia="bg-BG"/>
        </w:rPr>
        <w:t xml:space="preserve">енантиомерът оказва блокиращо действие на алфа- и бета-адре но рецепторите, докато </w:t>
      </w:r>
      <w:r w:rsidRPr="00CC4A9F">
        <w:rPr>
          <w:rFonts w:eastAsia="Times New Roman" w:cs="Arial"/>
          <w:color w:val="000000"/>
          <w:szCs w:val="20"/>
          <w:lang w:val="en-US"/>
        </w:rPr>
        <w:t xml:space="preserve">R(+) </w:t>
      </w:r>
      <w:r w:rsidRPr="00CC4A9F">
        <w:rPr>
          <w:rFonts w:eastAsia="Times New Roman" w:cs="Arial"/>
          <w:color w:val="000000"/>
          <w:szCs w:val="20"/>
          <w:lang w:eastAsia="bg-BG"/>
        </w:rPr>
        <w:t>енантиомерът има блокиращ ефект само върху алфа-адренорецепторите. Чрез кардионеселективно блокиране на бета-адренорецепторите, той намалява артериалното налягане, сърдечната честота и сърдечния дебит. Карведилол понижава налягането в белодробната артерия и в дясното предсърдие. Като блокира алфа</w:t>
      </w:r>
      <w:r w:rsidRPr="00CC4A9F">
        <w:rPr>
          <w:rFonts w:eastAsia="Times New Roman" w:cs="Arial"/>
          <w:color w:val="000000"/>
          <w:szCs w:val="20"/>
          <w:vertAlign w:val="subscript"/>
          <w:lang w:eastAsia="bg-BG"/>
        </w:rPr>
        <w:t>I</w:t>
      </w:r>
      <w:r w:rsidRPr="00CC4A9F">
        <w:rPr>
          <w:rFonts w:eastAsia="Times New Roman" w:cs="Arial"/>
          <w:color w:val="000000"/>
          <w:szCs w:val="20"/>
          <w:lang w:eastAsia="bg-BG"/>
        </w:rPr>
        <w:t>-адренорецепторите. той причинява периферна вазодилатация и намалява съпротивлението на съдовете. Благодарение на тези ефекти лекарственият продукт отпуска сърдечния мускул и предотвратява ангина пекторис. При пациенти със сърдечна недостатъчност карведилол увеличава фракцията на изтласкване на лявата камера</w:t>
      </w:r>
      <w:r w:rsidRPr="00CC4A9F">
        <w:rPr>
          <w:rFonts w:eastAsia="Times New Roman" w:cs="Arial"/>
          <w:color w:val="000000"/>
          <w:szCs w:val="20"/>
          <w:lang w:val="en-US"/>
        </w:rPr>
        <w:t xml:space="preserve"> </w:t>
      </w:r>
      <w:r w:rsidRPr="00CC4A9F">
        <w:rPr>
          <w:rFonts w:eastAsia="Times New Roman" w:cs="Arial"/>
          <w:color w:val="000000"/>
          <w:szCs w:val="20"/>
          <w:lang w:eastAsia="bg-BG"/>
        </w:rPr>
        <w:t>като подходящо облекчава симптомите на болестта. Подобно действие се наблюдава при пациенти с левокамерна дисфункция. Карведилол няма вътрешна симпатикомиметична активност. Някои  от ограниченията на традиционните β-блокери не касаят вазодидатационните β-блокери като карведилол.</w:t>
      </w:r>
    </w:p>
    <w:p w14:paraId="3CD7F2E5" w14:textId="70B45AC4" w:rsidR="00CC4A9F" w:rsidRDefault="00CC4A9F" w:rsidP="00CC4A9F"/>
    <w:p w14:paraId="7588B0B7"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i/>
          <w:iCs/>
          <w:color w:val="000000"/>
          <w:szCs w:val="20"/>
          <w:lang w:eastAsia="bg-BG"/>
        </w:rPr>
        <w:t>Фармакодинамични ефекти</w:t>
      </w:r>
    </w:p>
    <w:p w14:paraId="17F04CBA"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Ефектът върху кръвното налягане и сърдечната честота се проявява 1 до 2 часа след приемането на лекарствения продукт.</w:t>
      </w:r>
    </w:p>
    <w:p w14:paraId="78BC32F0"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lastRenderedPageBreak/>
        <w:t>При хипертоници с нормална бъбречна функция карведилол намалява съдовото съпротивление в бъбреците, като не причинява съществени промени в гломерулната филтрация, изтичането на бъбречния кръвоток и екскретирането на електролитите.</w:t>
      </w:r>
    </w:p>
    <w:p w14:paraId="66FB2A4E"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По правило карведилолът не оказва значителен ефект върху нивото на липопротеините в серума.</w:t>
      </w:r>
    </w:p>
    <w:p w14:paraId="5C4AA8EA" w14:textId="77777777" w:rsidR="00C91DA6" w:rsidRPr="00C91DA6" w:rsidRDefault="00C91DA6" w:rsidP="00C91DA6">
      <w:pPr>
        <w:spacing w:line="240" w:lineRule="auto"/>
        <w:rPr>
          <w:rFonts w:eastAsia="Times New Roman" w:cs="Arial"/>
          <w:i/>
          <w:iCs/>
          <w:color w:val="000000"/>
          <w:szCs w:val="20"/>
          <w:lang w:eastAsia="bg-BG"/>
        </w:rPr>
      </w:pPr>
    </w:p>
    <w:p w14:paraId="4C92DBC2" w14:textId="15E06335" w:rsidR="00C91DA6" w:rsidRPr="00C91DA6" w:rsidRDefault="00C91DA6" w:rsidP="00C91DA6">
      <w:pPr>
        <w:spacing w:line="240" w:lineRule="auto"/>
        <w:rPr>
          <w:rFonts w:eastAsia="Times New Roman" w:cs="Arial"/>
          <w:sz w:val="28"/>
          <w:szCs w:val="24"/>
          <w:lang w:eastAsia="bg-BG"/>
        </w:rPr>
      </w:pPr>
      <w:r w:rsidRPr="00C91DA6">
        <w:rPr>
          <w:rFonts w:eastAsia="Times New Roman" w:cs="Arial"/>
          <w:i/>
          <w:iCs/>
          <w:color w:val="000000"/>
          <w:szCs w:val="20"/>
          <w:lang w:eastAsia="bg-BG"/>
        </w:rPr>
        <w:t>Клинична ефикасност</w:t>
      </w:r>
    </w:p>
    <w:p w14:paraId="094FAE75" w14:textId="77777777" w:rsidR="00C91DA6" w:rsidRPr="00C91DA6" w:rsidRDefault="00C91DA6" w:rsidP="00C91DA6">
      <w:pPr>
        <w:spacing w:line="240" w:lineRule="auto"/>
        <w:rPr>
          <w:rFonts w:eastAsia="Times New Roman" w:cs="Arial"/>
          <w:color w:val="000000"/>
          <w:szCs w:val="20"/>
          <w:u w:val="single"/>
          <w:lang w:eastAsia="bg-BG"/>
        </w:rPr>
      </w:pPr>
    </w:p>
    <w:p w14:paraId="3905911F" w14:textId="373F0FD8"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u w:val="single"/>
          <w:lang w:eastAsia="bg-BG"/>
        </w:rPr>
        <w:t>Бъбр</w:t>
      </w:r>
      <w:bookmarkStart w:id="4" w:name="_GoBack"/>
      <w:bookmarkEnd w:id="4"/>
      <w:r w:rsidRPr="00C91DA6">
        <w:rPr>
          <w:rFonts w:eastAsia="Times New Roman" w:cs="Arial"/>
          <w:color w:val="000000"/>
          <w:szCs w:val="20"/>
          <w:u w:val="single"/>
          <w:lang w:eastAsia="bg-BG"/>
        </w:rPr>
        <w:t>ечно увреждане</w:t>
      </w:r>
    </w:p>
    <w:p w14:paraId="259D1E77"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Някои отворени проучвания са показали, че карведилол е ефективен лекарствен продукт при пациентите с бъбречна хипертония. Ефективността на карведилол е доказана и при пациентите с хронична бъбречна недостатъчност или такива на хемодиализа или след бъбречна транс плантация. Карведилол води до постепенно намаляване на кръвното налягане както в дните на хемодиализа, така и в дните без хемодиализа и понижаващия ефект на кръвното налягане е сравним с този, наблюдаван при пациенти с нормална бъбречна функция.</w:t>
      </w:r>
    </w:p>
    <w:p w14:paraId="17A68AA8"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Въз основа на получените резултати в сравнителните проучвания при пациенти на хемодиализа е направено заключението, че карведилол е по-ефективен и по-добре поносим от блокери на калциевите канали.</w:t>
      </w:r>
    </w:p>
    <w:p w14:paraId="6959C04F" w14:textId="77777777" w:rsidR="00C91DA6" w:rsidRPr="00C91DA6" w:rsidRDefault="00C91DA6" w:rsidP="00C91DA6">
      <w:pPr>
        <w:rPr>
          <w:rFonts w:eastAsia="Times New Roman" w:cs="Arial"/>
          <w:color w:val="000000"/>
          <w:szCs w:val="20"/>
          <w:lang w:eastAsia="bg-BG"/>
        </w:rPr>
      </w:pPr>
    </w:p>
    <w:p w14:paraId="520AF994" w14:textId="333374A9" w:rsidR="00C91DA6" w:rsidRPr="00C91DA6" w:rsidRDefault="00C91DA6" w:rsidP="00C91DA6">
      <w:pPr>
        <w:rPr>
          <w:rFonts w:eastAsia="Times New Roman" w:cs="Arial"/>
          <w:color w:val="000000"/>
          <w:szCs w:val="20"/>
          <w:lang w:eastAsia="bg-BG"/>
        </w:rPr>
      </w:pPr>
      <w:r w:rsidRPr="00C91DA6">
        <w:rPr>
          <w:rFonts w:eastAsia="Times New Roman" w:cs="Arial"/>
          <w:color w:val="000000"/>
          <w:szCs w:val="20"/>
          <w:lang w:eastAsia="bg-BG"/>
        </w:rPr>
        <w:t>Карведилол намалява заболеваемостта и смъртността при пациенти на диализа с дилативна кардиомиопатия. Мета-анализът на плацебо-контролирани клинични изследвания, включващи голям брой пациенти (&gt;4000) с лека до умерена хронична бъбречна болест, подкрепя лечението на пациенти с левокамерна дисфункция (със или без симптоматична сърдечна недостатъчност) с карведилол за намаляване честотата на смъртността от всякакъв произход, както и на събитията, свързани със сърдечна недостатъчност.</w:t>
      </w:r>
    </w:p>
    <w:p w14:paraId="580F48B1" w14:textId="77777777" w:rsidR="00C91DA6" w:rsidRPr="00CC4A9F" w:rsidRDefault="00C91DA6" w:rsidP="00C91DA6"/>
    <w:p w14:paraId="35F84B81" w14:textId="58762DF5" w:rsidR="00CF77F7" w:rsidRDefault="002C50EE" w:rsidP="004A448E">
      <w:pPr>
        <w:pStyle w:val="Heading2"/>
      </w:pPr>
      <w:r>
        <w:t>5.2. Фармакокинетични свойства</w:t>
      </w:r>
    </w:p>
    <w:p w14:paraId="48CDF947" w14:textId="20E0FA80" w:rsidR="00C91DA6" w:rsidRDefault="00C91DA6" w:rsidP="00C91DA6"/>
    <w:p w14:paraId="3FAE674F" w14:textId="77777777" w:rsidR="00C91DA6" w:rsidRPr="00C91DA6" w:rsidRDefault="00C91DA6" w:rsidP="00C91DA6">
      <w:pPr>
        <w:pStyle w:val="Heading3"/>
        <w:rPr>
          <w:rFonts w:eastAsia="Times New Roman"/>
          <w:u w:val="single"/>
          <w:lang w:eastAsia="bg-BG"/>
        </w:rPr>
      </w:pPr>
      <w:r w:rsidRPr="00C91DA6">
        <w:rPr>
          <w:rFonts w:eastAsia="Times New Roman"/>
          <w:u w:val="single"/>
          <w:lang w:eastAsia="bg-BG"/>
        </w:rPr>
        <w:t>Абсорбция</w:t>
      </w:r>
    </w:p>
    <w:p w14:paraId="20BE0A75"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След перорално приемане на таблетка от 25 </w:t>
      </w:r>
      <w:r w:rsidRPr="00C91DA6">
        <w:rPr>
          <w:rFonts w:eastAsia="Times New Roman" w:cs="Arial"/>
          <w:color w:val="000000"/>
          <w:szCs w:val="20"/>
          <w:lang w:val="en-US"/>
        </w:rPr>
        <w:t xml:space="preserve">mg </w:t>
      </w:r>
      <w:r w:rsidRPr="00C91DA6">
        <w:rPr>
          <w:rFonts w:eastAsia="Times New Roman" w:cs="Arial"/>
          <w:color w:val="000000"/>
          <w:szCs w:val="20"/>
          <w:lang w:eastAsia="bg-BG"/>
        </w:rPr>
        <w:t>от здрави лица, карведилол бързо се абсорбира с връх в плазмената концентрация С</w:t>
      </w:r>
      <w:r w:rsidRPr="00C91DA6">
        <w:rPr>
          <w:rFonts w:eastAsia="Times New Roman" w:cs="Arial"/>
          <w:color w:val="000000"/>
          <w:szCs w:val="20"/>
          <w:vertAlign w:val="subscript"/>
          <w:lang w:val="en-US"/>
        </w:rPr>
        <w:t>max</w:t>
      </w:r>
      <w:r w:rsidRPr="00C91DA6">
        <w:rPr>
          <w:rFonts w:eastAsia="Times New Roman" w:cs="Arial"/>
          <w:color w:val="000000"/>
          <w:szCs w:val="20"/>
          <w:lang w:eastAsia="bg-BG"/>
        </w:rPr>
        <w:t xml:space="preserve"> от 21 </w:t>
      </w:r>
      <w:r w:rsidRPr="00C91DA6">
        <w:rPr>
          <w:rFonts w:eastAsia="Times New Roman" w:cs="Arial"/>
          <w:color w:val="000000"/>
          <w:szCs w:val="20"/>
          <w:lang w:val="en-US"/>
        </w:rPr>
        <w:t xml:space="preserve">mg/l, </w:t>
      </w:r>
      <w:r w:rsidRPr="00C91DA6">
        <w:rPr>
          <w:rFonts w:eastAsia="Times New Roman" w:cs="Arial"/>
          <w:color w:val="000000"/>
          <w:szCs w:val="20"/>
          <w:lang w:eastAsia="bg-BG"/>
        </w:rPr>
        <w:t xml:space="preserve">които се достигат след приблизително 1,5 часа </w:t>
      </w:r>
      <w:r w:rsidRPr="00C91DA6">
        <w:rPr>
          <w:rFonts w:eastAsia="Times New Roman" w:cs="Arial"/>
          <w:color w:val="000000"/>
          <w:szCs w:val="20"/>
          <w:lang w:val="en-US"/>
        </w:rPr>
        <w:t>(</w:t>
      </w:r>
      <w:proofErr w:type="spellStart"/>
      <w:r w:rsidRPr="00C91DA6">
        <w:rPr>
          <w:rFonts w:eastAsia="Times New Roman" w:cs="Arial"/>
          <w:color w:val="000000"/>
          <w:szCs w:val="20"/>
          <w:lang w:val="en-US"/>
        </w:rPr>
        <w:t>t</w:t>
      </w:r>
      <w:r w:rsidRPr="00C91DA6">
        <w:rPr>
          <w:rFonts w:eastAsia="Times New Roman" w:cs="Arial"/>
          <w:color w:val="000000"/>
          <w:szCs w:val="20"/>
          <w:vertAlign w:val="subscript"/>
          <w:lang w:val="en-US"/>
        </w:rPr>
        <w:t>max</w:t>
      </w:r>
      <w:proofErr w:type="spellEnd"/>
      <w:r w:rsidRPr="00C91DA6">
        <w:rPr>
          <w:rFonts w:eastAsia="Times New Roman" w:cs="Arial"/>
          <w:color w:val="000000"/>
          <w:szCs w:val="20"/>
          <w:lang w:val="en-US"/>
        </w:rPr>
        <w:t xml:space="preserve">). </w:t>
      </w:r>
      <w:r w:rsidRPr="00C91DA6">
        <w:rPr>
          <w:rFonts w:eastAsia="Times New Roman" w:cs="Arial"/>
          <w:color w:val="000000"/>
          <w:szCs w:val="20"/>
          <w:lang w:eastAsia="bg-BG"/>
        </w:rPr>
        <w:t>Стойностите на С</w:t>
      </w:r>
      <w:r w:rsidRPr="00C91DA6">
        <w:rPr>
          <w:rFonts w:eastAsia="Times New Roman" w:cs="Arial"/>
          <w:color w:val="000000"/>
          <w:szCs w:val="20"/>
          <w:vertAlign w:val="subscript"/>
          <w:lang w:val="en-US"/>
        </w:rPr>
        <w:t>max</w:t>
      </w:r>
      <w:r w:rsidRPr="00C91DA6">
        <w:rPr>
          <w:rFonts w:eastAsia="Times New Roman" w:cs="Arial"/>
          <w:color w:val="000000"/>
          <w:szCs w:val="20"/>
          <w:lang w:val="en-US"/>
        </w:rPr>
        <w:t xml:space="preserve"> </w:t>
      </w:r>
      <w:r w:rsidRPr="00C91DA6">
        <w:rPr>
          <w:rFonts w:eastAsia="Times New Roman" w:cs="Arial"/>
          <w:color w:val="000000"/>
          <w:szCs w:val="20"/>
          <w:lang w:eastAsia="bg-BG"/>
        </w:rPr>
        <w:t xml:space="preserve">са линейно свързани с дозата. След пероралното приемане , карведилол преминава през екстензивен пресистемен метаболизъм, което дава като резултат абсолютна бионаличност от около 25% при здравите мъже. Карведилол е рацемат и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енантиомера се метаболизира по-бързо от </w:t>
      </w:r>
      <w:r w:rsidRPr="00C91DA6">
        <w:rPr>
          <w:rFonts w:eastAsia="Times New Roman" w:cs="Arial"/>
          <w:color w:val="000000"/>
          <w:szCs w:val="20"/>
          <w:lang w:val="en-US"/>
        </w:rPr>
        <w:t>R</w:t>
      </w:r>
      <w:r w:rsidRPr="00C91DA6">
        <w:rPr>
          <w:rFonts w:eastAsia="Times New Roman" w:cs="Arial"/>
          <w:color w:val="000000"/>
          <w:szCs w:val="20"/>
          <w:lang w:eastAsia="bg-BG"/>
        </w:rPr>
        <w:t xml:space="preserve">-(+)-енантиомера, като показва абсолютна орална бионаличност от 5% в сравнение с 31% за </w:t>
      </w:r>
      <w:r w:rsidRPr="00C91DA6">
        <w:rPr>
          <w:rFonts w:eastAsia="Times New Roman" w:cs="Arial"/>
          <w:color w:val="000000"/>
          <w:szCs w:val="20"/>
          <w:lang w:val="en-US"/>
        </w:rPr>
        <w:t>R</w:t>
      </w:r>
      <w:r w:rsidRPr="00C91DA6">
        <w:rPr>
          <w:rFonts w:eastAsia="Times New Roman" w:cs="Arial"/>
          <w:color w:val="000000"/>
          <w:szCs w:val="20"/>
          <w:lang w:eastAsia="bg-BG"/>
        </w:rPr>
        <w:t xml:space="preserve">-(+)-енантиомера. Максималната плазмена концентрация на </w:t>
      </w:r>
      <w:r w:rsidRPr="00C91DA6">
        <w:rPr>
          <w:rFonts w:eastAsia="Times New Roman" w:cs="Arial"/>
          <w:color w:val="000000"/>
          <w:szCs w:val="20"/>
          <w:lang w:val="en-US"/>
        </w:rPr>
        <w:t xml:space="preserve">R </w:t>
      </w:r>
      <w:r w:rsidRPr="00C91DA6">
        <w:rPr>
          <w:rFonts w:eastAsia="Times New Roman" w:cs="Arial"/>
          <w:color w:val="000000"/>
          <w:szCs w:val="20"/>
          <w:lang w:eastAsia="bg-BG"/>
        </w:rPr>
        <w:t xml:space="preserve">-карведилол е приблизително 2-кратно по-висока от тази на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-карведилол. </w:t>
      </w:r>
      <w:r w:rsidRPr="00C91DA6">
        <w:rPr>
          <w:rFonts w:eastAsia="Times New Roman" w:cs="Arial"/>
          <w:i/>
          <w:iCs/>
          <w:color w:val="000000"/>
          <w:szCs w:val="20"/>
          <w:lang w:val="en-US"/>
        </w:rPr>
        <w:t>In vitro</w:t>
      </w:r>
      <w:r w:rsidRPr="00C91DA6">
        <w:rPr>
          <w:rFonts w:eastAsia="Times New Roman" w:cs="Arial"/>
          <w:color w:val="000000"/>
          <w:szCs w:val="20"/>
          <w:lang w:val="en-US"/>
        </w:rPr>
        <w:t xml:space="preserve"> </w:t>
      </w:r>
      <w:r w:rsidRPr="00C91DA6">
        <w:rPr>
          <w:rFonts w:eastAsia="Times New Roman" w:cs="Arial"/>
          <w:color w:val="000000"/>
          <w:szCs w:val="20"/>
          <w:lang w:eastAsia="bg-BG"/>
        </w:rPr>
        <w:t xml:space="preserve">проучванията са показали, че карведилол е субстрат на ефлуксния транспортен Р- гликопротеин. Ролята на Р-гликопротеина в разпределението на карведилол също е потвърдена </w:t>
      </w:r>
      <w:r w:rsidRPr="00C91DA6">
        <w:rPr>
          <w:rFonts w:eastAsia="Times New Roman" w:cs="Arial"/>
          <w:i/>
          <w:iCs/>
          <w:color w:val="000000"/>
          <w:szCs w:val="20"/>
          <w:lang w:val="en-US"/>
        </w:rPr>
        <w:t>in vivo</w:t>
      </w:r>
      <w:r w:rsidRPr="00C91DA6">
        <w:rPr>
          <w:rFonts w:eastAsia="Times New Roman" w:cs="Arial"/>
          <w:color w:val="000000"/>
          <w:szCs w:val="20"/>
          <w:lang w:val="en-US"/>
        </w:rPr>
        <w:t xml:space="preserve"> </w:t>
      </w:r>
      <w:r w:rsidRPr="00C91DA6">
        <w:rPr>
          <w:rFonts w:eastAsia="Times New Roman" w:cs="Arial"/>
          <w:color w:val="000000"/>
          <w:szCs w:val="20"/>
          <w:lang w:eastAsia="bg-BG"/>
        </w:rPr>
        <w:t>при здрави индивиди. Храната не повлиява бионаличността. времето на пребиваване или максималната серумна концентрация, въпреки че времето за достигане на максималната плазмена концентрация се забавя.</w:t>
      </w:r>
    </w:p>
    <w:p w14:paraId="39120342" w14:textId="77777777" w:rsidR="00C91DA6" w:rsidRDefault="00C91DA6" w:rsidP="00C91DA6">
      <w:pPr>
        <w:spacing w:line="240" w:lineRule="auto"/>
        <w:rPr>
          <w:rFonts w:ascii="Times New Roman" w:eastAsia="Times New Roman" w:hAnsi="Times New Roman" w:cs="Times New Roman"/>
          <w:color w:val="000000"/>
          <w:sz w:val="20"/>
          <w:szCs w:val="20"/>
          <w:u w:val="single"/>
          <w:lang w:eastAsia="bg-BG"/>
        </w:rPr>
      </w:pPr>
    </w:p>
    <w:p w14:paraId="35A3EC4B" w14:textId="7CFAB581" w:rsidR="00C91DA6" w:rsidRPr="00C91DA6" w:rsidRDefault="00C91DA6" w:rsidP="00C91DA6">
      <w:pPr>
        <w:pStyle w:val="Heading3"/>
        <w:rPr>
          <w:rFonts w:eastAsia="Times New Roman"/>
          <w:u w:val="single"/>
          <w:lang w:eastAsia="bg-BG"/>
        </w:rPr>
      </w:pPr>
      <w:r w:rsidRPr="00C91DA6">
        <w:rPr>
          <w:rFonts w:eastAsia="Times New Roman"/>
          <w:u w:val="single"/>
          <w:lang w:eastAsia="bg-BG"/>
        </w:rPr>
        <w:t>Разпределение</w:t>
      </w:r>
    </w:p>
    <w:p w14:paraId="6CACBF27"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Карведилол е силно липофилен, което показва свързванеоколо 95% с плазмените протеини. Обемът на разпределение варира между 1,5 и 2 </w:t>
      </w:r>
      <w:r w:rsidRPr="00C91DA6">
        <w:rPr>
          <w:rFonts w:eastAsia="Times New Roman" w:cs="Arial"/>
          <w:color w:val="000000"/>
          <w:szCs w:val="20"/>
          <w:lang w:val="en-US"/>
        </w:rPr>
        <w:t>l/kg.</w:t>
      </w:r>
    </w:p>
    <w:p w14:paraId="2BF79AAB" w14:textId="77777777" w:rsidR="00C91DA6" w:rsidRDefault="00C91DA6" w:rsidP="00C91DA6">
      <w:pPr>
        <w:spacing w:line="240" w:lineRule="auto"/>
        <w:rPr>
          <w:rFonts w:ascii="Times New Roman" w:eastAsia="Times New Roman" w:hAnsi="Times New Roman" w:cs="Times New Roman"/>
          <w:color w:val="000000"/>
          <w:sz w:val="20"/>
          <w:szCs w:val="20"/>
          <w:u w:val="single"/>
          <w:lang w:eastAsia="bg-BG"/>
        </w:rPr>
      </w:pPr>
    </w:p>
    <w:p w14:paraId="3A2E2711" w14:textId="0313DC50" w:rsidR="00C91DA6" w:rsidRPr="00C91DA6" w:rsidRDefault="00C91DA6" w:rsidP="00C91DA6">
      <w:pPr>
        <w:pStyle w:val="Heading3"/>
        <w:rPr>
          <w:rFonts w:eastAsia="Times New Roman"/>
          <w:u w:val="single"/>
          <w:lang w:eastAsia="bg-BG"/>
        </w:rPr>
      </w:pPr>
      <w:r w:rsidRPr="00C91DA6">
        <w:rPr>
          <w:rFonts w:eastAsia="Times New Roman"/>
          <w:u w:val="single"/>
          <w:lang w:eastAsia="bg-BG"/>
        </w:rPr>
        <w:t>Метаболизъм</w:t>
      </w:r>
    </w:p>
    <w:p w14:paraId="179D803C"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При хора карведилол се метаболизира екстензивно в черния дроб чрез оксидиране и конюгиране до разнообразни метаболити. които се елиминират предимно през жлъчката.</w:t>
      </w:r>
    </w:p>
    <w:p w14:paraId="5EA6ADE8" w14:textId="77777777" w:rsidR="00C91DA6" w:rsidRPr="00C91DA6" w:rsidRDefault="00C91DA6" w:rsidP="00C91DA6">
      <w:pPr>
        <w:rPr>
          <w:rFonts w:eastAsia="Times New Roman" w:cs="Arial"/>
          <w:sz w:val="28"/>
          <w:szCs w:val="24"/>
          <w:lang w:eastAsia="bg-BG"/>
        </w:rPr>
      </w:pPr>
      <w:r w:rsidRPr="00C91DA6">
        <w:rPr>
          <w:rFonts w:eastAsia="Times New Roman" w:cs="Arial"/>
          <w:color w:val="000000"/>
          <w:szCs w:val="20"/>
          <w:lang w:eastAsia="bg-BG"/>
        </w:rPr>
        <w:t>Фармакокинетичните изследвания при хората са показали, че оксидативния метаболизъм на</w:t>
      </w:r>
      <w:r w:rsidRPr="00C91DA6">
        <w:rPr>
          <w:rFonts w:eastAsia="Times New Roman" w:cs="Arial"/>
          <w:color w:val="000000"/>
          <w:szCs w:val="20"/>
          <w:vertAlign w:val="subscript"/>
          <w:lang w:eastAsia="bg-BG"/>
        </w:rPr>
        <w:t xml:space="preserve"> </w:t>
      </w:r>
      <w:r w:rsidRPr="00C91DA6">
        <w:rPr>
          <w:rFonts w:eastAsia="Times New Roman" w:cs="Arial"/>
          <w:color w:val="000000"/>
          <w:szCs w:val="20"/>
          <w:lang w:eastAsia="bg-BG"/>
        </w:rPr>
        <w:t xml:space="preserve">карведилол е стереоселективен. Резултатите от </w:t>
      </w:r>
      <w:r w:rsidRPr="00C91DA6">
        <w:rPr>
          <w:rFonts w:eastAsia="Times New Roman" w:cs="Arial"/>
          <w:i/>
          <w:iCs/>
          <w:color w:val="000000"/>
          <w:szCs w:val="20"/>
          <w:lang w:val="en-US"/>
        </w:rPr>
        <w:t>in vitro</w:t>
      </w:r>
      <w:r w:rsidRPr="00C91DA6">
        <w:rPr>
          <w:rFonts w:eastAsia="Times New Roman" w:cs="Arial"/>
          <w:color w:val="000000"/>
          <w:szCs w:val="20"/>
          <w:lang w:val="en-US"/>
        </w:rPr>
        <w:t xml:space="preserve"> </w:t>
      </w:r>
      <w:r w:rsidRPr="00C91DA6">
        <w:rPr>
          <w:rFonts w:eastAsia="Times New Roman" w:cs="Arial"/>
          <w:color w:val="000000"/>
          <w:szCs w:val="20"/>
          <w:lang w:eastAsia="bg-BG"/>
        </w:rPr>
        <w:t>изследване посочват, че различни</w:t>
      </w:r>
      <w:r>
        <w:rPr>
          <w:rFonts w:eastAsia="Times New Roman" w:cs="Arial"/>
          <w:color w:val="000000"/>
          <w:szCs w:val="20"/>
          <w:lang w:eastAsia="bg-BG"/>
        </w:rPr>
        <w:t xml:space="preserve"> </w:t>
      </w:r>
      <w:r w:rsidRPr="00C91DA6">
        <w:rPr>
          <w:rFonts w:eastAsia="Times New Roman" w:cs="Arial"/>
          <w:color w:val="000000"/>
          <w:szCs w:val="20"/>
          <w:lang w:eastAsia="bg-BG"/>
        </w:rPr>
        <w:t xml:space="preserve">цитохром Р450 изоензими могат да бъдат включени в процеса на окисление и хидроксилиране включително </w:t>
      </w:r>
      <w:r w:rsidRPr="00C91DA6">
        <w:rPr>
          <w:rFonts w:eastAsia="Times New Roman" w:cs="Arial"/>
          <w:color w:val="000000"/>
          <w:szCs w:val="20"/>
          <w:lang w:val="en-US"/>
        </w:rPr>
        <w:t xml:space="preserve">CYP2D6, CYP3A4, CYP2E1. CYP2C9. </w:t>
      </w:r>
      <w:r w:rsidRPr="00C91DA6">
        <w:rPr>
          <w:rFonts w:eastAsia="Times New Roman" w:cs="Arial"/>
          <w:color w:val="000000"/>
          <w:szCs w:val="20"/>
          <w:lang w:eastAsia="bg-BG"/>
        </w:rPr>
        <w:t xml:space="preserve">както и </w:t>
      </w:r>
      <w:r w:rsidRPr="00C91DA6">
        <w:rPr>
          <w:rFonts w:eastAsia="Times New Roman" w:cs="Arial"/>
          <w:color w:val="000000"/>
          <w:szCs w:val="20"/>
          <w:lang w:val="en-US"/>
        </w:rPr>
        <w:t>CYP1</w:t>
      </w:r>
      <w:r w:rsidRPr="00C91DA6">
        <w:rPr>
          <w:rFonts w:eastAsia="Times New Roman" w:cs="Arial"/>
          <w:color w:val="000000"/>
          <w:szCs w:val="20"/>
          <w:lang w:eastAsia="bg-BG"/>
        </w:rPr>
        <w:t>А2.</w:t>
      </w:r>
    </w:p>
    <w:p w14:paraId="3B6A7D6A"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Проучванията при здрави доброволци и при пациенти са показали, че </w:t>
      </w:r>
      <w:r w:rsidRPr="00C91DA6">
        <w:rPr>
          <w:rFonts w:eastAsia="Times New Roman" w:cs="Arial"/>
          <w:color w:val="000000"/>
          <w:szCs w:val="20"/>
          <w:lang w:val="en-US"/>
        </w:rPr>
        <w:t>R</w:t>
      </w:r>
      <w:r w:rsidRPr="00C91DA6">
        <w:rPr>
          <w:rFonts w:eastAsia="Times New Roman" w:cs="Arial"/>
          <w:color w:val="000000"/>
          <w:szCs w:val="20"/>
          <w:lang w:eastAsia="bg-BG"/>
        </w:rPr>
        <w:t xml:space="preserve">-енантиомерът се метаболизира предимно от </w:t>
      </w:r>
      <w:r w:rsidRPr="00C91DA6">
        <w:rPr>
          <w:rFonts w:eastAsia="Times New Roman" w:cs="Arial"/>
          <w:color w:val="000000"/>
          <w:szCs w:val="20"/>
          <w:lang w:val="en-US"/>
        </w:rPr>
        <w:t xml:space="preserve">CYP2D6. S- </w:t>
      </w:r>
      <w:proofErr w:type="gramStart"/>
      <w:r w:rsidRPr="00C91DA6">
        <w:rPr>
          <w:rFonts w:eastAsia="Times New Roman" w:cs="Arial"/>
          <w:color w:val="000000"/>
          <w:szCs w:val="20"/>
          <w:lang w:eastAsia="bg-BG"/>
        </w:rPr>
        <w:t>енантиомерът</w:t>
      </w:r>
      <w:proofErr w:type="gramEnd"/>
      <w:r w:rsidRPr="00C91DA6">
        <w:rPr>
          <w:rFonts w:eastAsia="Times New Roman" w:cs="Arial"/>
          <w:color w:val="000000"/>
          <w:szCs w:val="20"/>
          <w:lang w:eastAsia="bg-BG"/>
        </w:rPr>
        <w:t xml:space="preserve"> се метаболизира главно от </w:t>
      </w:r>
      <w:r w:rsidRPr="00C91DA6">
        <w:rPr>
          <w:rFonts w:eastAsia="Times New Roman" w:cs="Arial"/>
          <w:color w:val="000000"/>
          <w:szCs w:val="20"/>
          <w:lang w:val="en-US"/>
        </w:rPr>
        <w:t xml:space="preserve">CYP2D6 </w:t>
      </w:r>
      <w:r w:rsidRPr="00C91DA6">
        <w:rPr>
          <w:rFonts w:eastAsia="Times New Roman" w:cs="Arial"/>
          <w:color w:val="000000"/>
          <w:szCs w:val="20"/>
          <w:lang w:eastAsia="bg-BG"/>
        </w:rPr>
        <w:t xml:space="preserve">и </w:t>
      </w:r>
      <w:r w:rsidRPr="00C91DA6">
        <w:rPr>
          <w:rFonts w:eastAsia="Times New Roman" w:cs="Arial"/>
          <w:color w:val="000000"/>
          <w:szCs w:val="20"/>
          <w:lang w:val="en-US"/>
        </w:rPr>
        <w:t>CYP2C9.</w:t>
      </w:r>
    </w:p>
    <w:p w14:paraId="32EA0FEF" w14:textId="77777777" w:rsidR="00C91DA6" w:rsidRPr="00C91DA6" w:rsidRDefault="00C91DA6" w:rsidP="00C91DA6">
      <w:pPr>
        <w:spacing w:line="240" w:lineRule="auto"/>
        <w:rPr>
          <w:rFonts w:eastAsia="Times New Roman" w:cs="Arial"/>
          <w:color w:val="000000"/>
          <w:szCs w:val="20"/>
          <w:u w:val="single"/>
          <w:lang w:eastAsia="bg-BG"/>
        </w:rPr>
      </w:pPr>
    </w:p>
    <w:p w14:paraId="7F5A2711" w14:textId="10C6BA69"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t>Генетичен полиморфизъм</w:t>
      </w:r>
    </w:p>
    <w:p w14:paraId="4099B608"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Резултатите от клиничните фармакокинетични изследвания при хора показват, че </w:t>
      </w:r>
      <w:r w:rsidRPr="00C91DA6">
        <w:rPr>
          <w:rFonts w:eastAsia="Times New Roman" w:cs="Arial"/>
          <w:color w:val="000000"/>
          <w:szCs w:val="20"/>
          <w:lang w:val="en-US"/>
        </w:rPr>
        <w:t xml:space="preserve">CYP2D6 </w:t>
      </w:r>
      <w:r w:rsidRPr="00C91DA6">
        <w:rPr>
          <w:rFonts w:eastAsia="Times New Roman" w:cs="Arial"/>
          <w:color w:val="000000"/>
          <w:szCs w:val="20"/>
          <w:lang w:eastAsia="bg-BG"/>
        </w:rPr>
        <w:t xml:space="preserve">играе важна роля в метаболизма на </w:t>
      </w:r>
      <w:r w:rsidRPr="00C91DA6">
        <w:rPr>
          <w:rFonts w:eastAsia="Times New Roman" w:cs="Arial"/>
          <w:color w:val="000000"/>
          <w:szCs w:val="20"/>
          <w:lang w:val="en-US"/>
        </w:rPr>
        <w:t xml:space="preserve">R </w:t>
      </w:r>
      <w:r w:rsidRPr="00C91DA6">
        <w:rPr>
          <w:rFonts w:eastAsia="Times New Roman" w:cs="Arial"/>
          <w:color w:val="000000"/>
          <w:szCs w:val="20"/>
          <w:lang w:eastAsia="bg-BG"/>
        </w:rPr>
        <w:t xml:space="preserve">и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карведилол. Като следствие на бавните </w:t>
      </w:r>
      <w:r w:rsidRPr="00C91DA6">
        <w:rPr>
          <w:rFonts w:eastAsia="Times New Roman" w:cs="Arial"/>
          <w:color w:val="000000"/>
          <w:szCs w:val="20"/>
          <w:lang w:val="en-US"/>
        </w:rPr>
        <w:t xml:space="preserve">CYP2D6 </w:t>
      </w:r>
      <w:r w:rsidRPr="00C91DA6">
        <w:rPr>
          <w:rFonts w:eastAsia="Times New Roman" w:cs="Arial"/>
          <w:color w:val="000000"/>
          <w:szCs w:val="20"/>
          <w:lang w:eastAsia="bg-BG"/>
        </w:rPr>
        <w:t xml:space="preserve">метаболизатори се увеличават плазмените концентрации на </w:t>
      </w:r>
      <w:r w:rsidRPr="00C91DA6">
        <w:rPr>
          <w:rFonts w:eastAsia="Times New Roman" w:cs="Arial"/>
          <w:color w:val="000000"/>
          <w:szCs w:val="20"/>
          <w:lang w:val="en-US"/>
        </w:rPr>
        <w:t xml:space="preserve">R </w:t>
      </w:r>
      <w:r w:rsidRPr="00C91DA6">
        <w:rPr>
          <w:rFonts w:eastAsia="Times New Roman" w:cs="Arial"/>
          <w:color w:val="000000"/>
          <w:szCs w:val="20"/>
          <w:lang w:eastAsia="bg-BG"/>
        </w:rPr>
        <w:t xml:space="preserve">и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карведилол, Значението на </w:t>
      </w:r>
      <w:r w:rsidRPr="00C91DA6">
        <w:rPr>
          <w:rFonts w:eastAsia="Times New Roman" w:cs="Arial"/>
          <w:color w:val="000000"/>
          <w:szCs w:val="20"/>
          <w:lang w:val="en-US"/>
        </w:rPr>
        <w:t xml:space="preserve">CYP2D6 </w:t>
      </w:r>
      <w:r w:rsidRPr="00C91DA6">
        <w:rPr>
          <w:rFonts w:eastAsia="Times New Roman" w:cs="Arial"/>
          <w:color w:val="000000"/>
          <w:szCs w:val="20"/>
          <w:lang w:eastAsia="bg-BG"/>
        </w:rPr>
        <w:t xml:space="preserve">генотип във фармакокинетиката на </w:t>
      </w:r>
      <w:r w:rsidRPr="00C91DA6">
        <w:rPr>
          <w:rFonts w:eastAsia="Times New Roman" w:cs="Arial"/>
          <w:color w:val="000000"/>
          <w:szCs w:val="20"/>
          <w:lang w:val="en-US"/>
        </w:rPr>
        <w:t xml:space="preserve">R </w:t>
      </w:r>
      <w:r w:rsidRPr="00C91DA6">
        <w:rPr>
          <w:rFonts w:eastAsia="Times New Roman" w:cs="Arial"/>
          <w:color w:val="000000"/>
          <w:szCs w:val="20"/>
          <w:lang w:eastAsia="bg-BG"/>
        </w:rPr>
        <w:t xml:space="preserve">и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карведилол е било потвърдено във фармакокинетичните изследвания на населението, докато други изследвания не потвърждават това наблюдение. Направен е изводът, че генетичният полиморфизъм </w:t>
      </w:r>
      <w:r w:rsidRPr="00C91DA6">
        <w:rPr>
          <w:rFonts w:eastAsia="Times New Roman" w:cs="Arial"/>
          <w:color w:val="000000"/>
          <w:szCs w:val="20"/>
          <w:lang w:val="en-US"/>
        </w:rPr>
        <w:t xml:space="preserve">CYP2D6 </w:t>
      </w:r>
      <w:r w:rsidRPr="00C91DA6">
        <w:rPr>
          <w:rFonts w:eastAsia="Times New Roman" w:cs="Arial"/>
          <w:color w:val="000000"/>
          <w:szCs w:val="20"/>
          <w:lang w:eastAsia="bg-BG"/>
        </w:rPr>
        <w:t>може да има ограничено клинично значение.</w:t>
      </w:r>
    </w:p>
    <w:p w14:paraId="29EC36D5" w14:textId="77777777" w:rsidR="00C91DA6" w:rsidRPr="00C91DA6" w:rsidRDefault="00C91DA6" w:rsidP="00C91DA6">
      <w:pPr>
        <w:spacing w:line="240" w:lineRule="auto"/>
        <w:rPr>
          <w:rFonts w:eastAsia="Times New Roman" w:cs="Arial"/>
          <w:color w:val="000000"/>
          <w:szCs w:val="20"/>
          <w:u w:val="single"/>
          <w:lang w:eastAsia="bg-BG"/>
        </w:rPr>
      </w:pPr>
    </w:p>
    <w:p w14:paraId="63E91850" w14:textId="587209BB"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t>Елиминиране</w:t>
      </w:r>
    </w:p>
    <w:p w14:paraId="005692E0"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След единична перорална доза от 50 </w:t>
      </w:r>
      <w:r w:rsidRPr="00C91DA6">
        <w:rPr>
          <w:rFonts w:eastAsia="Times New Roman" w:cs="Arial"/>
          <w:color w:val="000000"/>
          <w:szCs w:val="20"/>
          <w:lang w:val="en-US"/>
        </w:rPr>
        <w:t xml:space="preserve">mg, </w:t>
      </w:r>
      <w:r w:rsidRPr="00C91DA6">
        <w:rPr>
          <w:rFonts w:eastAsia="Times New Roman" w:cs="Arial"/>
          <w:color w:val="000000"/>
          <w:szCs w:val="20"/>
          <w:lang w:eastAsia="bg-BG"/>
        </w:rPr>
        <w:t xml:space="preserve">карведилол се отделя в жлъчката около 60% и се елиминира с фекалиите под формата на метаболити в рамките на </w:t>
      </w:r>
      <w:r w:rsidRPr="00C91DA6">
        <w:rPr>
          <w:rFonts w:eastAsia="Times New Roman" w:cs="Arial"/>
          <w:color w:val="000000"/>
          <w:szCs w:val="20"/>
          <w:lang w:val="en-US"/>
        </w:rPr>
        <w:t>1</w:t>
      </w:r>
      <w:r w:rsidRPr="00C91DA6">
        <w:rPr>
          <w:rFonts w:eastAsia="Times New Roman" w:cs="Arial"/>
          <w:color w:val="000000"/>
          <w:szCs w:val="20"/>
          <w:lang w:eastAsia="bg-BG"/>
        </w:rPr>
        <w:t xml:space="preserve">1 дни. След еднократна перорална доза, само около 16% се отделя в урината под формата на карведилол или неговите метаболити. Екскрецията на непроменения лекарствен продукт в урината представлява по- малко от 2%. След интравенозна инфузия на 12,5 </w:t>
      </w:r>
      <w:r w:rsidRPr="00C91DA6">
        <w:rPr>
          <w:rFonts w:eastAsia="Times New Roman" w:cs="Arial"/>
          <w:color w:val="000000"/>
          <w:szCs w:val="20"/>
          <w:lang w:val="en-US"/>
        </w:rPr>
        <w:t xml:space="preserve">mg </w:t>
      </w:r>
      <w:r w:rsidRPr="00C91DA6">
        <w:rPr>
          <w:rFonts w:eastAsia="Times New Roman" w:cs="Arial"/>
          <w:color w:val="000000"/>
          <w:szCs w:val="20"/>
          <w:lang w:eastAsia="bg-BG"/>
        </w:rPr>
        <w:t xml:space="preserve">при здрави доброволци, плазменият клиърънс на полуживот на карведилол достига около 600 </w:t>
      </w:r>
      <w:r w:rsidRPr="00C91DA6">
        <w:rPr>
          <w:rFonts w:eastAsia="Times New Roman" w:cs="Arial"/>
          <w:color w:val="000000"/>
          <w:szCs w:val="20"/>
          <w:lang w:val="en-US"/>
        </w:rPr>
        <w:t xml:space="preserve">ml/min, </w:t>
      </w:r>
      <w:r w:rsidRPr="00C91DA6">
        <w:rPr>
          <w:rFonts w:eastAsia="Times New Roman" w:cs="Arial"/>
          <w:color w:val="000000"/>
          <w:szCs w:val="20"/>
          <w:lang w:eastAsia="bg-BG"/>
        </w:rPr>
        <w:t xml:space="preserve">а елиминационният полуживот е около 2,5 часа. Времето на полуживот на карведилол при прилагане на таблетки от 50 </w:t>
      </w:r>
      <w:r w:rsidRPr="00C91DA6">
        <w:rPr>
          <w:rFonts w:eastAsia="Times New Roman" w:cs="Arial"/>
          <w:color w:val="000000"/>
          <w:szCs w:val="20"/>
          <w:lang w:val="en-US"/>
        </w:rPr>
        <w:t xml:space="preserve">mg, </w:t>
      </w:r>
      <w:r w:rsidRPr="00C91DA6">
        <w:rPr>
          <w:rFonts w:eastAsia="Times New Roman" w:cs="Arial"/>
          <w:color w:val="000000"/>
          <w:szCs w:val="20"/>
          <w:lang w:eastAsia="bg-BG"/>
        </w:rPr>
        <w:t xml:space="preserve">наблюдавано при същите лица е 6,5 часа и действително съответства на полупериода на абсорбцията от таблетката. След перорално приложение общият клиърънс на </w:t>
      </w:r>
      <w:r w:rsidRPr="00C91DA6">
        <w:rPr>
          <w:rFonts w:eastAsia="Times New Roman" w:cs="Arial"/>
          <w:color w:val="000000"/>
          <w:szCs w:val="20"/>
          <w:lang w:val="en-US"/>
        </w:rPr>
        <w:t xml:space="preserve">S- </w:t>
      </w:r>
      <w:r w:rsidRPr="00C91DA6">
        <w:rPr>
          <w:rFonts w:eastAsia="Times New Roman" w:cs="Arial"/>
          <w:color w:val="000000"/>
          <w:szCs w:val="20"/>
          <w:lang w:eastAsia="bg-BG"/>
        </w:rPr>
        <w:t xml:space="preserve">карведилол е приблизително два пъти по- голям от този на </w:t>
      </w:r>
      <w:r w:rsidRPr="00C91DA6">
        <w:rPr>
          <w:rFonts w:eastAsia="Times New Roman" w:cs="Arial"/>
          <w:color w:val="000000"/>
          <w:szCs w:val="20"/>
          <w:lang w:val="en-US"/>
        </w:rPr>
        <w:t xml:space="preserve">R- </w:t>
      </w:r>
      <w:r w:rsidRPr="00C91DA6">
        <w:rPr>
          <w:rFonts w:eastAsia="Times New Roman" w:cs="Arial"/>
          <w:color w:val="000000"/>
          <w:szCs w:val="20"/>
          <w:lang w:eastAsia="bg-BG"/>
        </w:rPr>
        <w:t>карведилол</w:t>
      </w:r>
      <w:r w:rsidRPr="00C91DA6">
        <w:rPr>
          <w:rFonts w:eastAsia="Times New Roman" w:cs="Arial"/>
          <w:i/>
          <w:iCs/>
          <w:color w:val="000000"/>
          <w:szCs w:val="20"/>
          <w:lang w:eastAsia="bg-BG"/>
        </w:rPr>
        <w:t>.Свойства при пациента</w:t>
      </w:r>
    </w:p>
    <w:p w14:paraId="2614BE47" w14:textId="77777777" w:rsidR="00C91DA6" w:rsidRPr="00C91DA6" w:rsidRDefault="00C91DA6" w:rsidP="00C91DA6">
      <w:pPr>
        <w:spacing w:line="240" w:lineRule="auto"/>
        <w:rPr>
          <w:rFonts w:eastAsia="Times New Roman" w:cs="Arial"/>
          <w:color w:val="000000"/>
          <w:szCs w:val="20"/>
          <w:lang w:eastAsia="bg-BG"/>
        </w:rPr>
      </w:pPr>
    </w:p>
    <w:p w14:paraId="144D5EBD" w14:textId="568E2455"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Фармакокинетиката на карведилол е повлиана от възрастта; плазмените нива на карведилол са с около 50% по-високи при пациенти в старческа възраст отколкото при млади хора.</w:t>
      </w:r>
    </w:p>
    <w:p w14:paraId="77383773"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При проучвания при пациенти с цироза на черния дроб, бионаличността на карведилол е четири пъти по-голяма.</w:t>
      </w:r>
    </w:p>
    <w:p w14:paraId="356749FC" w14:textId="77777777" w:rsidR="00C91DA6" w:rsidRPr="00C91DA6" w:rsidRDefault="00C91DA6" w:rsidP="00C91DA6">
      <w:pPr>
        <w:spacing w:line="240" w:lineRule="auto"/>
        <w:rPr>
          <w:rFonts w:eastAsia="Times New Roman" w:cs="Arial"/>
          <w:color w:val="000000"/>
          <w:szCs w:val="20"/>
          <w:u w:val="single"/>
          <w:lang w:eastAsia="bg-BG"/>
        </w:rPr>
      </w:pPr>
    </w:p>
    <w:p w14:paraId="42B4273A" w14:textId="6600526F"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t>Пациенти в старческа възраст</w:t>
      </w:r>
    </w:p>
    <w:p w14:paraId="1451B011"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Фармакокинетиката на карведилол се влияе от възрастта; Плазмените нива на карведилол са приблизително с 50% по-високи при възрастните хора в сравнение с младите индивиди.</w:t>
      </w:r>
    </w:p>
    <w:p w14:paraId="632A64CE" w14:textId="77777777" w:rsidR="00C91DA6" w:rsidRPr="00C91DA6" w:rsidRDefault="00C91DA6" w:rsidP="00C91DA6">
      <w:pPr>
        <w:spacing w:line="240" w:lineRule="auto"/>
        <w:rPr>
          <w:rFonts w:eastAsia="Times New Roman" w:cs="Arial"/>
          <w:color w:val="000000"/>
          <w:szCs w:val="20"/>
          <w:u w:val="single"/>
          <w:lang w:eastAsia="bg-BG"/>
        </w:rPr>
      </w:pPr>
    </w:p>
    <w:p w14:paraId="1CDC4768" w14:textId="04D464C4"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t>Деца</w:t>
      </w:r>
    </w:p>
    <w:p w14:paraId="49AC2258"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Изследването в педиатрията показва, че коригираният спрямо теглото клирънс е значително по- голям при децата в сравнение с възрастните.</w:t>
      </w:r>
    </w:p>
    <w:p w14:paraId="3CDF4A3A" w14:textId="77777777" w:rsidR="00C91DA6" w:rsidRPr="00C91DA6" w:rsidRDefault="00C91DA6" w:rsidP="00C91DA6">
      <w:pPr>
        <w:spacing w:line="240" w:lineRule="auto"/>
        <w:rPr>
          <w:rFonts w:eastAsia="Times New Roman" w:cs="Arial"/>
          <w:color w:val="000000"/>
          <w:szCs w:val="20"/>
          <w:u w:val="single"/>
          <w:lang w:eastAsia="bg-BG"/>
        </w:rPr>
      </w:pPr>
    </w:p>
    <w:p w14:paraId="6BAE6155" w14:textId="6C6A161D"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lastRenderedPageBreak/>
        <w:t>Чернодробно увреждане</w:t>
      </w:r>
    </w:p>
    <w:p w14:paraId="1BD8F224"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В проучване при пациенти с чернодробна цироза бионаличността на карведилол е четири пъти по-голяма. а пиковата плазмена концентрация е пет пъти по-висока и обемът на разпределение е три пъти по-висок, отколкото при здрави индивиди.</w:t>
      </w:r>
    </w:p>
    <w:p w14:paraId="7C4D1C86" w14:textId="77777777" w:rsidR="00C91DA6" w:rsidRPr="00C91DA6" w:rsidRDefault="00C91DA6" w:rsidP="00C91DA6">
      <w:pPr>
        <w:spacing w:line="240" w:lineRule="auto"/>
        <w:rPr>
          <w:rFonts w:eastAsia="Times New Roman" w:cs="Arial"/>
          <w:color w:val="000000"/>
          <w:szCs w:val="20"/>
          <w:lang w:eastAsia="bg-BG"/>
        </w:rPr>
      </w:pPr>
    </w:p>
    <w:p w14:paraId="6CCE1715" w14:textId="5D2F57EE" w:rsidR="00C91DA6" w:rsidRPr="00C91DA6" w:rsidRDefault="00C91DA6" w:rsidP="00C91DA6">
      <w:pPr>
        <w:pStyle w:val="Heading3"/>
        <w:rPr>
          <w:rFonts w:eastAsia="Times New Roman"/>
          <w:sz w:val="28"/>
          <w:u w:val="single"/>
          <w:lang w:eastAsia="bg-BG"/>
        </w:rPr>
      </w:pPr>
      <w:r w:rsidRPr="00C91DA6">
        <w:rPr>
          <w:rFonts w:eastAsia="Times New Roman"/>
          <w:u w:val="single"/>
          <w:lang w:eastAsia="bg-BG"/>
        </w:rPr>
        <w:t>Бъбречно увреждане</w:t>
      </w:r>
    </w:p>
    <w:p w14:paraId="546E984A" w14:textId="5AB3056D" w:rsidR="00C91DA6" w:rsidRPr="00C91DA6" w:rsidRDefault="00C91DA6" w:rsidP="00C91DA6">
      <w:pPr>
        <w:rPr>
          <w:rFonts w:eastAsia="Times New Roman" w:cs="Arial"/>
          <w:color w:val="000000"/>
          <w:szCs w:val="20"/>
          <w:lang w:eastAsia="bg-BG"/>
        </w:rPr>
      </w:pPr>
      <w:r w:rsidRPr="00C91DA6">
        <w:rPr>
          <w:rFonts w:eastAsia="Times New Roman" w:cs="Arial"/>
          <w:color w:val="000000"/>
          <w:szCs w:val="20"/>
          <w:lang w:eastAsia="bg-BG"/>
        </w:rPr>
        <w:t>Тъй като карведилол се екскретира главно чрез изпражненията, значителното натрупване при пациенти с бъбречно увреждане е малко вероятно.</w:t>
      </w:r>
    </w:p>
    <w:p w14:paraId="25F36E35" w14:textId="77777777" w:rsidR="00C91DA6" w:rsidRPr="00C91DA6" w:rsidRDefault="00C91DA6" w:rsidP="00C91DA6"/>
    <w:p w14:paraId="648E39DA" w14:textId="20E41FC2" w:rsidR="00CF77F7" w:rsidRDefault="002C50EE" w:rsidP="004A448E">
      <w:pPr>
        <w:pStyle w:val="Heading2"/>
      </w:pPr>
      <w:r>
        <w:t>5.3. Предклинични данни за безопасност</w:t>
      </w:r>
    </w:p>
    <w:p w14:paraId="6AA3244D" w14:textId="0FB47B1D" w:rsidR="00C91DA6" w:rsidRDefault="00C91DA6" w:rsidP="00C91DA6"/>
    <w:p w14:paraId="7A4D611C"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Изследвания върху лабораторни животни на острата токсичност на лекарствения продукт показват, че карведилол е слабо токсичен.</w:t>
      </w:r>
    </w:p>
    <w:p w14:paraId="1AC5646F" w14:textId="63324E02" w:rsidR="00C91DA6" w:rsidRPr="00C91DA6" w:rsidRDefault="00C91DA6" w:rsidP="00C91DA6">
      <w:pPr>
        <w:rPr>
          <w:rFonts w:eastAsia="Times New Roman" w:cs="Arial"/>
          <w:color w:val="000000"/>
          <w:sz w:val="24"/>
          <w:szCs w:val="20"/>
          <w:lang w:val="en-US"/>
        </w:rPr>
      </w:pPr>
      <w:r w:rsidRPr="00C91DA6">
        <w:rPr>
          <w:rFonts w:eastAsia="Times New Roman" w:cs="Arial"/>
          <w:color w:val="000000"/>
          <w:szCs w:val="20"/>
          <w:lang w:eastAsia="bg-BG"/>
        </w:rPr>
        <w:t xml:space="preserve">Оралните </w:t>
      </w:r>
      <w:r w:rsidRPr="00C91DA6">
        <w:rPr>
          <w:rFonts w:eastAsia="Times New Roman" w:cs="Arial"/>
          <w:color w:val="000000"/>
          <w:szCs w:val="20"/>
          <w:lang w:val="en-US"/>
        </w:rPr>
        <w:t>LD</w:t>
      </w:r>
      <w:r w:rsidRPr="00C91DA6">
        <w:rPr>
          <w:rFonts w:eastAsia="Times New Roman" w:cs="Arial"/>
          <w:color w:val="000000"/>
          <w:szCs w:val="20"/>
          <w:vertAlign w:val="subscript"/>
          <w:lang w:val="en-US"/>
        </w:rPr>
        <w:t>50</w:t>
      </w:r>
      <w:r w:rsidRPr="00C91DA6">
        <w:rPr>
          <w:rFonts w:eastAsia="Times New Roman" w:cs="Arial"/>
          <w:color w:val="000000"/>
          <w:szCs w:val="20"/>
          <w:lang w:val="en-US"/>
        </w:rPr>
        <w:t xml:space="preserve"> </w:t>
      </w:r>
      <w:r w:rsidRPr="00C91DA6">
        <w:rPr>
          <w:rFonts w:eastAsia="Times New Roman" w:cs="Arial"/>
          <w:color w:val="000000"/>
          <w:szCs w:val="20"/>
          <w:lang w:eastAsia="bg-BG"/>
        </w:rPr>
        <w:t xml:space="preserve">стойности са били над 2,9 </w:t>
      </w:r>
      <w:r w:rsidRPr="00C91DA6">
        <w:rPr>
          <w:rFonts w:eastAsia="Times New Roman" w:cs="Arial"/>
          <w:color w:val="000000"/>
          <w:szCs w:val="20"/>
          <w:lang w:val="en-US"/>
        </w:rPr>
        <w:t xml:space="preserve">g/kg </w:t>
      </w:r>
      <w:r w:rsidRPr="00C91DA6">
        <w:rPr>
          <w:rFonts w:eastAsia="Times New Roman" w:cs="Arial"/>
          <w:color w:val="000000"/>
          <w:szCs w:val="20"/>
          <w:lang w:eastAsia="bg-BG"/>
        </w:rPr>
        <w:t xml:space="preserve">при мишки, над 5 </w:t>
      </w:r>
      <w:r w:rsidRPr="00C91DA6">
        <w:rPr>
          <w:rFonts w:eastAsia="Times New Roman" w:cs="Arial"/>
          <w:color w:val="000000"/>
          <w:szCs w:val="20"/>
          <w:lang w:val="en-US"/>
        </w:rPr>
        <w:t xml:space="preserve">g/kg </w:t>
      </w:r>
      <w:r w:rsidRPr="00C91DA6">
        <w:rPr>
          <w:rFonts w:eastAsia="Times New Roman" w:cs="Arial"/>
          <w:color w:val="000000"/>
          <w:szCs w:val="20"/>
          <w:lang w:eastAsia="bg-BG"/>
        </w:rPr>
        <w:t xml:space="preserve">при плъхове и над 1 </w:t>
      </w:r>
      <w:r w:rsidRPr="00C91DA6">
        <w:rPr>
          <w:rFonts w:eastAsia="Times New Roman" w:cs="Arial"/>
          <w:color w:val="000000"/>
          <w:szCs w:val="20"/>
          <w:lang w:val="en-US"/>
        </w:rPr>
        <w:t>g/kg</w:t>
      </w:r>
      <w:r w:rsidRPr="00C91DA6">
        <w:rPr>
          <w:rFonts w:eastAsia="Times New Roman" w:cs="Arial"/>
          <w:color w:val="000000"/>
          <w:szCs w:val="20"/>
          <w:lang w:eastAsia="bg-BG"/>
        </w:rPr>
        <w:t xml:space="preserve"> при кучета. След интраперитонеално приложение стойностите </w:t>
      </w:r>
      <w:r w:rsidRPr="00C91DA6">
        <w:rPr>
          <w:rFonts w:eastAsia="Times New Roman" w:cs="Arial"/>
          <w:color w:val="000000"/>
          <w:szCs w:val="20"/>
          <w:lang w:val="en-US"/>
        </w:rPr>
        <w:t>LD</w:t>
      </w:r>
      <w:r w:rsidRPr="00C91DA6">
        <w:rPr>
          <w:rFonts w:eastAsia="Times New Roman" w:cs="Arial"/>
          <w:color w:val="000000"/>
          <w:szCs w:val="20"/>
          <w:vertAlign w:val="subscript"/>
          <w:lang w:val="en-US"/>
        </w:rPr>
        <w:t>50</w:t>
      </w:r>
      <w:r w:rsidRPr="00C91DA6">
        <w:rPr>
          <w:rFonts w:eastAsia="Times New Roman" w:cs="Arial"/>
          <w:color w:val="000000"/>
          <w:szCs w:val="20"/>
          <w:lang w:eastAsia="bg-BG"/>
        </w:rPr>
        <w:t xml:space="preserve"> са били 1,61 до 1,81 </w:t>
      </w:r>
      <w:r>
        <w:rPr>
          <w:rFonts w:eastAsia="Times New Roman" w:cs="Arial"/>
          <w:color w:val="000000"/>
          <w:szCs w:val="20"/>
          <w:lang w:val="en-US"/>
        </w:rPr>
        <w:t xml:space="preserve">g/kg </w:t>
      </w:r>
      <w:r w:rsidRPr="00C91DA6">
        <w:rPr>
          <w:rFonts w:eastAsia="Times New Roman" w:cs="Arial"/>
          <w:color w:val="000000"/>
          <w:szCs w:val="20"/>
          <w:lang w:eastAsia="bg-BG"/>
        </w:rPr>
        <w:t xml:space="preserve">при мишки и 0.77 до 1.35 </w:t>
      </w:r>
      <w:r w:rsidRPr="00C91DA6">
        <w:rPr>
          <w:rFonts w:eastAsia="Times New Roman" w:cs="Arial"/>
          <w:color w:val="000000"/>
          <w:szCs w:val="20"/>
          <w:lang w:val="en-US"/>
        </w:rPr>
        <w:t xml:space="preserve">g/kg </w:t>
      </w:r>
      <w:r w:rsidRPr="00C91DA6">
        <w:rPr>
          <w:rFonts w:eastAsia="Times New Roman" w:cs="Arial"/>
          <w:color w:val="000000"/>
          <w:szCs w:val="20"/>
          <w:lang w:eastAsia="bg-BG"/>
        </w:rPr>
        <w:t xml:space="preserve">при плъхове. След интравенозно приложение тези стойности са били 27 </w:t>
      </w:r>
      <w:r w:rsidRPr="00C91DA6">
        <w:rPr>
          <w:rFonts w:eastAsia="Times New Roman" w:cs="Arial"/>
          <w:color w:val="000000"/>
          <w:szCs w:val="20"/>
          <w:lang w:val="en-US"/>
        </w:rPr>
        <w:t xml:space="preserve">mg/kg </w:t>
      </w:r>
      <w:r w:rsidRPr="00C91DA6">
        <w:rPr>
          <w:rFonts w:eastAsia="Times New Roman" w:cs="Arial"/>
          <w:color w:val="000000"/>
          <w:szCs w:val="20"/>
          <w:lang w:eastAsia="bg-BG"/>
        </w:rPr>
        <w:t xml:space="preserve">при мишки и 25 </w:t>
      </w:r>
      <w:r w:rsidRPr="00C91DA6">
        <w:rPr>
          <w:rFonts w:eastAsia="Times New Roman" w:cs="Arial"/>
          <w:color w:val="000000"/>
          <w:szCs w:val="20"/>
          <w:lang w:val="en-US"/>
        </w:rPr>
        <w:t xml:space="preserve">mg/kg </w:t>
      </w:r>
      <w:r w:rsidRPr="00C91DA6">
        <w:rPr>
          <w:rFonts w:eastAsia="Times New Roman" w:cs="Arial"/>
          <w:color w:val="000000"/>
          <w:szCs w:val="20"/>
          <w:lang w:eastAsia="bg-BG"/>
        </w:rPr>
        <w:t>при плъхове.</w:t>
      </w:r>
    </w:p>
    <w:p w14:paraId="21AAB57E"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Не са наблюдавани токсични промени при плъхове след орално приложение на 30 </w:t>
      </w:r>
      <w:r w:rsidRPr="00C91DA6">
        <w:rPr>
          <w:rFonts w:eastAsia="Times New Roman" w:cs="Arial"/>
          <w:color w:val="000000"/>
          <w:szCs w:val="20"/>
          <w:lang w:val="en-US"/>
        </w:rPr>
        <w:t xml:space="preserve">mg/kg </w:t>
      </w:r>
      <w:r w:rsidRPr="00C91DA6">
        <w:rPr>
          <w:rFonts w:eastAsia="Times New Roman" w:cs="Arial"/>
          <w:color w:val="000000"/>
          <w:szCs w:val="20"/>
          <w:lang w:eastAsia="bg-BG"/>
        </w:rPr>
        <w:t xml:space="preserve">карведилол дневно (близо 100 пъти повече от терапевтичната доза при хора) в продължение на 13 седмици или при кучета по 10 </w:t>
      </w:r>
      <w:r w:rsidRPr="00C91DA6">
        <w:rPr>
          <w:rFonts w:eastAsia="Times New Roman" w:cs="Arial"/>
          <w:color w:val="000000"/>
          <w:szCs w:val="20"/>
          <w:lang w:val="en-US"/>
        </w:rPr>
        <w:t xml:space="preserve">mg/kg. </w:t>
      </w:r>
      <w:r w:rsidRPr="00C91DA6">
        <w:rPr>
          <w:rFonts w:eastAsia="Times New Roman" w:cs="Arial"/>
          <w:color w:val="000000"/>
          <w:szCs w:val="20"/>
          <w:lang w:eastAsia="bg-BG"/>
        </w:rPr>
        <w:t xml:space="preserve">При по-високи дози все пак се откриват единични морфологични и функционални промени в черния дроб, далака, и матката при плъхове и намаляване на локомоторната активност и на телесното тегло при кучета. Дози от 200 </w:t>
      </w:r>
      <w:r w:rsidRPr="00C91DA6">
        <w:rPr>
          <w:rFonts w:eastAsia="Times New Roman" w:cs="Arial"/>
          <w:color w:val="000000"/>
          <w:szCs w:val="20"/>
          <w:lang w:val="en-US"/>
        </w:rPr>
        <w:t>mg/kg</w:t>
      </w:r>
      <w:r w:rsidRPr="00C91DA6">
        <w:rPr>
          <w:rFonts w:eastAsia="Times New Roman" w:cs="Arial"/>
          <w:color w:val="000000"/>
          <w:szCs w:val="20"/>
          <w:lang w:eastAsia="bg-BG"/>
        </w:rPr>
        <w:t xml:space="preserve">/на ден или по-големи причиняват седация и намаляване на телесното тегло при плъхове в зряла възраст. Наблюдава се също намаляване на броя на няколко последователни котила, удължаване времето на износване, по-малко на брой жълти тела и оплодени яйца в матката. Пълна резобция се наблюдава при 18% от фетусите. При доза от 60 </w:t>
      </w:r>
      <w:r w:rsidRPr="00C91DA6">
        <w:rPr>
          <w:rFonts w:eastAsia="Times New Roman" w:cs="Arial"/>
          <w:color w:val="000000"/>
          <w:szCs w:val="20"/>
          <w:lang w:val="en-US"/>
        </w:rPr>
        <w:t>mg/kg</w:t>
      </w:r>
      <w:r w:rsidRPr="00C91DA6">
        <w:rPr>
          <w:rFonts w:eastAsia="Times New Roman" w:cs="Arial"/>
          <w:color w:val="000000"/>
          <w:szCs w:val="20"/>
          <w:lang w:eastAsia="bg-BG"/>
        </w:rPr>
        <w:t>/дневно (10 пъти максималната препоръчвана доза за хора) не се наблюдават токсични промени или нарушения на плодовитостта.</w:t>
      </w:r>
    </w:p>
    <w:p w14:paraId="060AF9D5" w14:textId="77777777" w:rsidR="00C91DA6" w:rsidRPr="00C91DA6" w:rsidRDefault="00C91DA6" w:rsidP="00C91DA6">
      <w:pPr>
        <w:spacing w:line="240" w:lineRule="auto"/>
        <w:rPr>
          <w:rFonts w:eastAsia="Times New Roman" w:cs="Arial"/>
          <w:color w:val="000000"/>
          <w:szCs w:val="20"/>
          <w:lang w:eastAsia="bg-BG"/>
        </w:rPr>
      </w:pPr>
    </w:p>
    <w:p w14:paraId="2D015AF9" w14:textId="4D886EAE"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Карведилол и/или неговите метаболити (като другите бета-блокери) преминават през плацентната бариера и се екскретират през майчиното мляко. По-висока смъртност е наблюдавана при новородени от плъхове, третирани с 60 </w:t>
      </w:r>
      <w:r w:rsidRPr="00C91DA6">
        <w:rPr>
          <w:rFonts w:eastAsia="Times New Roman" w:cs="Arial"/>
          <w:color w:val="000000"/>
          <w:szCs w:val="20"/>
          <w:lang w:val="en-US"/>
        </w:rPr>
        <w:t>mg/kg</w:t>
      </w:r>
      <w:r w:rsidRPr="00C91DA6">
        <w:rPr>
          <w:rFonts w:eastAsia="Times New Roman" w:cs="Arial"/>
          <w:color w:val="000000"/>
          <w:szCs w:val="20"/>
          <w:lang w:eastAsia="bg-BG"/>
        </w:rPr>
        <w:t>/дневно.</w:t>
      </w:r>
    </w:p>
    <w:p w14:paraId="395229D8" w14:textId="77777777" w:rsidR="00C91DA6" w:rsidRPr="00C91DA6" w:rsidRDefault="00C91DA6" w:rsidP="00C91DA6">
      <w:pPr>
        <w:spacing w:line="240" w:lineRule="auto"/>
        <w:rPr>
          <w:rFonts w:eastAsia="Times New Roman" w:cs="Arial"/>
          <w:color w:val="000000"/>
          <w:szCs w:val="20"/>
          <w:lang w:eastAsia="bg-BG"/>
        </w:rPr>
      </w:pPr>
    </w:p>
    <w:p w14:paraId="280BBEC7" w14:textId="6E1F1414"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 xml:space="preserve">При плъхове, получавали дози карведилол до 75 </w:t>
      </w:r>
      <w:r w:rsidRPr="00C91DA6">
        <w:rPr>
          <w:rFonts w:eastAsia="Times New Roman" w:cs="Arial"/>
          <w:color w:val="000000"/>
          <w:szCs w:val="20"/>
          <w:lang w:val="en-US"/>
        </w:rPr>
        <w:t>mg/kg</w:t>
      </w:r>
      <w:r w:rsidRPr="00C91DA6">
        <w:rPr>
          <w:rFonts w:eastAsia="Times New Roman" w:cs="Arial"/>
          <w:color w:val="000000"/>
          <w:szCs w:val="20"/>
          <w:lang w:eastAsia="bg-BG"/>
        </w:rPr>
        <w:t>/дневно в продължение на 2 години, карведилол не е показал канцерогенен ефект.</w:t>
      </w:r>
    </w:p>
    <w:p w14:paraId="6FB4875B" w14:textId="77777777" w:rsidR="00C91DA6" w:rsidRPr="00C91DA6" w:rsidRDefault="00C91DA6" w:rsidP="00C91DA6">
      <w:pPr>
        <w:rPr>
          <w:rFonts w:eastAsia="Times New Roman" w:cs="Arial"/>
          <w:color w:val="000000"/>
          <w:szCs w:val="20"/>
          <w:lang w:eastAsia="bg-BG"/>
        </w:rPr>
      </w:pPr>
    </w:p>
    <w:p w14:paraId="00CE9F83" w14:textId="7BB9917C" w:rsidR="00C91DA6" w:rsidRPr="00C91DA6" w:rsidRDefault="00C91DA6" w:rsidP="00C91DA6">
      <w:pPr>
        <w:rPr>
          <w:rFonts w:eastAsia="Times New Roman" w:cs="Arial"/>
          <w:color w:val="000000"/>
          <w:szCs w:val="20"/>
          <w:lang w:eastAsia="bg-BG"/>
        </w:rPr>
      </w:pPr>
      <w:r w:rsidRPr="00C91DA6">
        <w:rPr>
          <w:rFonts w:eastAsia="Times New Roman" w:cs="Arial"/>
          <w:color w:val="000000"/>
          <w:szCs w:val="20"/>
          <w:lang w:eastAsia="bg-BG"/>
        </w:rPr>
        <w:t xml:space="preserve">Карведилол няма мутагенен ефект при изпитване на генотоксичността му, при </w:t>
      </w:r>
      <w:r w:rsidRPr="00C91DA6">
        <w:rPr>
          <w:rFonts w:eastAsia="Times New Roman" w:cs="Arial"/>
          <w:i/>
          <w:iCs/>
          <w:color w:val="000000"/>
          <w:szCs w:val="20"/>
          <w:lang w:val="en-US"/>
        </w:rPr>
        <w:t xml:space="preserve">in vitro </w:t>
      </w:r>
      <w:r w:rsidRPr="00C91DA6">
        <w:rPr>
          <w:rFonts w:eastAsia="Times New Roman" w:cs="Arial"/>
          <w:color w:val="000000"/>
          <w:szCs w:val="20"/>
          <w:lang w:eastAsia="bg-BG"/>
        </w:rPr>
        <w:t xml:space="preserve">микронуклеарни тестове при хамстери или </w:t>
      </w:r>
      <w:r w:rsidRPr="00C91DA6">
        <w:rPr>
          <w:rFonts w:eastAsia="Times New Roman" w:cs="Arial"/>
          <w:i/>
          <w:iCs/>
          <w:color w:val="000000"/>
          <w:szCs w:val="20"/>
          <w:lang w:val="en-US"/>
        </w:rPr>
        <w:t>in vivo</w:t>
      </w:r>
      <w:r w:rsidRPr="00C91DA6">
        <w:rPr>
          <w:rFonts w:eastAsia="Times New Roman" w:cs="Arial"/>
          <w:color w:val="000000"/>
          <w:szCs w:val="20"/>
          <w:lang w:val="en-US"/>
        </w:rPr>
        <w:t xml:space="preserve"> </w:t>
      </w:r>
      <w:r w:rsidRPr="00C91DA6">
        <w:rPr>
          <w:rFonts w:eastAsia="Times New Roman" w:cs="Arial"/>
          <w:color w:val="000000"/>
          <w:szCs w:val="20"/>
          <w:lang w:eastAsia="bg-BG"/>
        </w:rPr>
        <w:t>тестове с човешки лимфоцити.</w:t>
      </w:r>
    </w:p>
    <w:p w14:paraId="190F43C0" w14:textId="77777777" w:rsidR="00C91DA6" w:rsidRPr="00C91DA6" w:rsidRDefault="00C91DA6" w:rsidP="00C91DA6">
      <w:pPr>
        <w:rPr>
          <w:rFonts w:cs="Arial"/>
          <w:sz w:val="24"/>
        </w:rPr>
      </w:pPr>
    </w:p>
    <w:p w14:paraId="6A7820AB" w14:textId="1BE7955F" w:rsidR="008A6AF2" w:rsidRDefault="002C50EE" w:rsidP="00395555">
      <w:pPr>
        <w:pStyle w:val="Heading1"/>
      </w:pPr>
      <w:r>
        <w:t>7. ПРИТЕЖАТЕЛ НА РАЗРЕШЕНИЕТО ЗА УПОТРЕБА</w:t>
      </w:r>
    </w:p>
    <w:p w14:paraId="1E5A0D8B" w14:textId="7FC65187" w:rsidR="00C91DA6" w:rsidRDefault="00C91DA6" w:rsidP="00C91DA6"/>
    <w:p w14:paraId="7632A58B" w14:textId="5D85248A" w:rsidR="00C91DA6" w:rsidRPr="00C91DA6" w:rsidRDefault="00C91DA6" w:rsidP="00C91DA6">
      <w:pPr>
        <w:rPr>
          <w:rFonts w:cs="Arial"/>
          <w:szCs w:val="20"/>
          <w:lang w:eastAsia="bg-BG"/>
        </w:rPr>
      </w:pPr>
      <w:r w:rsidRPr="00C91DA6">
        <w:rPr>
          <w:rFonts w:cs="Arial"/>
          <w:szCs w:val="20"/>
        </w:rPr>
        <w:t xml:space="preserve">KRKA, d.d., Novo mesto. </w:t>
      </w:r>
      <w:r w:rsidRPr="00C91DA6">
        <w:rPr>
          <w:rFonts w:cs="Arial"/>
          <w:szCs w:val="20"/>
          <w:lang w:eastAsia="bg-BG"/>
        </w:rPr>
        <w:t>Šmarješka cesta</w:t>
      </w:r>
      <w:r w:rsidRPr="00C91DA6">
        <w:rPr>
          <w:rFonts w:cs="Arial"/>
          <w:szCs w:val="20"/>
        </w:rPr>
        <w:t xml:space="preserve"> 6, 8501 Novo mesto, </w:t>
      </w:r>
      <w:r w:rsidRPr="00C91DA6">
        <w:rPr>
          <w:rFonts w:cs="Arial"/>
          <w:szCs w:val="20"/>
          <w:lang w:eastAsia="bg-BG"/>
        </w:rPr>
        <w:t>Словения</w:t>
      </w:r>
    </w:p>
    <w:p w14:paraId="57D79DD8" w14:textId="77777777" w:rsidR="00C91DA6" w:rsidRPr="00C91DA6" w:rsidRDefault="00C91DA6" w:rsidP="00C91DA6"/>
    <w:p w14:paraId="7BA1BA64" w14:textId="05CF4DE6" w:rsidR="00CF77F7" w:rsidRDefault="002C50EE" w:rsidP="004A448E">
      <w:pPr>
        <w:pStyle w:val="Heading1"/>
      </w:pPr>
      <w:r>
        <w:t>8. НОМЕР НА РАЗРЕШЕНИЕТО ЗА УПОТРЕБА</w:t>
      </w:r>
    </w:p>
    <w:p w14:paraId="7CEC2FA4" w14:textId="0BECA489" w:rsidR="00C91DA6" w:rsidRDefault="00C91DA6" w:rsidP="00C91DA6"/>
    <w:p w14:paraId="2333E66D" w14:textId="77777777" w:rsidR="00C91DA6" w:rsidRPr="00C91DA6" w:rsidRDefault="00C91DA6" w:rsidP="00C91DA6">
      <w:pPr>
        <w:spacing w:line="240" w:lineRule="auto"/>
        <w:rPr>
          <w:rFonts w:eastAsia="Times New Roman" w:cs="Arial"/>
          <w:sz w:val="28"/>
          <w:szCs w:val="24"/>
          <w:lang w:val="en-US" w:eastAsia="bg-BG"/>
        </w:rPr>
      </w:pPr>
      <w:proofErr w:type="spellStart"/>
      <w:r w:rsidRPr="00C91DA6">
        <w:rPr>
          <w:rFonts w:eastAsia="Times New Roman" w:cs="Arial"/>
          <w:color w:val="000000"/>
          <w:szCs w:val="20"/>
          <w:lang w:val="en-US"/>
        </w:rPr>
        <w:t>Pe</w:t>
      </w:r>
      <w:proofErr w:type="spellEnd"/>
      <w:r w:rsidRPr="00C91DA6">
        <w:rPr>
          <w:rFonts w:eastAsia="Times New Roman" w:cs="Arial"/>
          <w:color w:val="000000"/>
          <w:szCs w:val="20"/>
          <w:lang w:eastAsia="bg-BG"/>
        </w:rPr>
        <w:t>г</w:t>
      </w:r>
      <w:r w:rsidRPr="00C91DA6">
        <w:rPr>
          <w:rFonts w:eastAsia="Times New Roman" w:cs="Arial"/>
          <w:color w:val="000000"/>
          <w:szCs w:val="20"/>
          <w:lang w:val="en-US"/>
        </w:rPr>
        <w:t xml:space="preserve">. № 20020608 - </w:t>
      </w:r>
      <w:r w:rsidRPr="00C91DA6">
        <w:rPr>
          <w:rFonts w:eastAsia="Times New Roman" w:cs="Arial"/>
          <w:color w:val="000000"/>
          <w:szCs w:val="20"/>
          <w:lang w:eastAsia="bg-BG"/>
        </w:rPr>
        <w:t xml:space="preserve">Кориол </w:t>
      </w:r>
      <w:r w:rsidRPr="00C91DA6">
        <w:rPr>
          <w:rFonts w:eastAsia="Times New Roman" w:cs="Arial"/>
          <w:color w:val="000000"/>
          <w:szCs w:val="20"/>
          <w:lang w:val="en-US"/>
        </w:rPr>
        <w:t>6</w:t>
      </w:r>
      <w:proofErr w:type="gramStart"/>
      <w:r w:rsidRPr="00C91DA6">
        <w:rPr>
          <w:rFonts w:eastAsia="Times New Roman" w:cs="Arial"/>
          <w:color w:val="000000"/>
          <w:szCs w:val="20"/>
          <w:lang w:val="en-US"/>
        </w:rPr>
        <w:t>,25</w:t>
      </w:r>
      <w:proofErr w:type="gramEnd"/>
      <w:r w:rsidRPr="00C91DA6">
        <w:rPr>
          <w:rFonts w:eastAsia="Times New Roman" w:cs="Arial"/>
          <w:color w:val="000000"/>
          <w:szCs w:val="20"/>
          <w:lang w:val="en-US"/>
        </w:rPr>
        <w:t xml:space="preserve"> mg </w:t>
      </w:r>
      <w:r w:rsidRPr="00C91DA6">
        <w:rPr>
          <w:rFonts w:eastAsia="Times New Roman" w:cs="Arial"/>
          <w:color w:val="000000"/>
          <w:szCs w:val="20"/>
          <w:lang w:eastAsia="bg-BG"/>
        </w:rPr>
        <w:t>таблетки</w:t>
      </w:r>
    </w:p>
    <w:p w14:paraId="191BA862" w14:textId="77777777" w:rsidR="00C91DA6" w:rsidRPr="00C91DA6" w:rsidRDefault="00C91DA6" w:rsidP="00C91DA6">
      <w:pPr>
        <w:spacing w:line="240" w:lineRule="auto"/>
        <w:rPr>
          <w:rFonts w:eastAsia="Times New Roman" w:cs="Arial"/>
          <w:sz w:val="28"/>
          <w:szCs w:val="24"/>
          <w:lang w:val="en-US" w:eastAsia="bg-BG"/>
        </w:rPr>
      </w:pPr>
      <w:proofErr w:type="spellStart"/>
      <w:r w:rsidRPr="00C91DA6">
        <w:rPr>
          <w:rFonts w:eastAsia="Times New Roman" w:cs="Arial"/>
          <w:color w:val="000000"/>
          <w:szCs w:val="20"/>
          <w:lang w:val="en-US"/>
        </w:rPr>
        <w:lastRenderedPageBreak/>
        <w:t>Pe</w:t>
      </w:r>
      <w:proofErr w:type="spellEnd"/>
      <w:r w:rsidRPr="00C91DA6">
        <w:rPr>
          <w:rFonts w:eastAsia="Times New Roman" w:cs="Arial"/>
          <w:color w:val="000000"/>
          <w:szCs w:val="20"/>
          <w:lang w:eastAsia="bg-BG"/>
        </w:rPr>
        <w:t>г</w:t>
      </w:r>
      <w:r w:rsidRPr="00C91DA6">
        <w:rPr>
          <w:rFonts w:eastAsia="Times New Roman" w:cs="Arial"/>
          <w:color w:val="000000"/>
          <w:szCs w:val="20"/>
          <w:lang w:val="en-US"/>
        </w:rPr>
        <w:t xml:space="preserve">. № 20020609 - </w:t>
      </w:r>
      <w:r w:rsidRPr="00C91DA6">
        <w:rPr>
          <w:rFonts w:eastAsia="Times New Roman" w:cs="Arial"/>
          <w:color w:val="000000"/>
          <w:szCs w:val="20"/>
          <w:lang w:eastAsia="bg-BG"/>
        </w:rPr>
        <w:t xml:space="preserve">Кориол </w:t>
      </w:r>
      <w:r w:rsidRPr="00C91DA6">
        <w:rPr>
          <w:rFonts w:eastAsia="Times New Roman" w:cs="Arial"/>
          <w:color w:val="000000"/>
          <w:szCs w:val="20"/>
          <w:lang w:val="en-US"/>
        </w:rPr>
        <w:t>12</w:t>
      </w:r>
      <w:proofErr w:type="gramStart"/>
      <w:r w:rsidRPr="00C91DA6">
        <w:rPr>
          <w:rFonts w:eastAsia="Times New Roman" w:cs="Arial"/>
          <w:color w:val="000000"/>
          <w:szCs w:val="20"/>
          <w:lang w:val="en-US"/>
        </w:rPr>
        <w:t>,5</w:t>
      </w:r>
      <w:proofErr w:type="gramEnd"/>
      <w:r w:rsidRPr="00C91DA6">
        <w:rPr>
          <w:rFonts w:eastAsia="Times New Roman" w:cs="Arial"/>
          <w:color w:val="000000"/>
          <w:szCs w:val="20"/>
          <w:lang w:val="en-US"/>
        </w:rPr>
        <w:t xml:space="preserve"> mg </w:t>
      </w:r>
      <w:r w:rsidRPr="00C91DA6">
        <w:rPr>
          <w:rFonts w:eastAsia="Times New Roman" w:cs="Arial"/>
          <w:color w:val="000000"/>
          <w:szCs w:val="20"/>
          <w:lang w:eastAsia="bg-BG"/>
        </w:rPr>
        <w:t>таблетки</w:t>
      </w:r>
    </w:p>
    <w:p w14:paraId="1070DC49" w14:textId="551787B3" w:rsidR="00C91DA6" w:rsidRPr="00C91DA6" w:rsidRDefault="00C91DA6" w:rsidP="00C91DA6">
      <w:pPr>
        <w:rPr>
          <w:rFonts w:cs="Arial"/>
          <w:sz w:val="24"/>
        </w:rPr>
      </w:pPr>
      <w:proofErr w:type="spellStart"/>
      <w:r w:rsidRPr="00C91DA6">
        <w:rPr>
          <w:rFonts w:eastAsia="Times New Roman" w:cs="Arial"/>
          <w:color w:val="000000"/>
          <w:szCs w:val="20"/>
          <w:lang w:val="en-US"/>
        </w:rPr>
        <w:t>Pe</w:t>
      </w:r>
      <w:proofErr w:type="spellEnd"/>
      <w:r w:rsidRPr="00C91DA6">
        <w:rPr>
          <w:rFonts w:eastAsia="Times New Roman" w:cs="Arial"/>
          <w:color w:val="000000"/>
          <w:szCs w:val="20"/>
          <w:lang w:eastAsia="bg-BG"/>
        </w:rPr>
        <w:t>г</w:t>
      </w:r>
      <w:r w:rsidRPr="00C91DA6">
        <w:rPr>
          <w:rFonts w:eastAsia="Times New Roman" w:cs="Arial"/>
          <w:color w:val="000000"/>
          <w:szCs w:val="20"/>
          <w:lang w:val="en-US"/>
        </w:rPr>
        <w:t xml:space="preserve">. № 20020610 - </w:t>
      </w:r>
      <w:r w:rsidRPr="00C91DA6">
        <w:rPr>
          <w:rFonts w:eastAsia="Times New Roman" w:cs="Arial"/>
          <w:color w:val="000000"/>
          <w:szCs w:val="20"/>
          <w:lang w:eastAsia="bg-BG"/>
        </w:rPr>
        <w:t xml:space="preserve">Кориол </w:t>
      </w:r>
      <w:r w:rsidRPr="00C91DA6">
        <w:rPr>
          <w:rFonts w:eastAsia="Times New Roman" w:cs="Arial"/>
          <w:color w:val="000000"/>
          <w:szCs w:val="20"/>
          <w:lang w:val="en-US"/>
        </w:rPr>
        <w:t xml:space="preserve">25 mg </w:t>
      </w:r>
      <w:r w:rsidRPr="00C91DA6">
        <w:rPr>
          <w:rFonts w:eastAsia="Times New Roman" w:cs="Arial"/>
          <w:color w:val="000000"/>
          <w:szCs w:val="20"/>
          <w:lang w:eastAsia="bg-BG"/>
        </w:rPr>
        <w:t>таблетки</w:t>
      </w:r>
    </w:p>
    <w:p w14:paraId="5645C150" w14:textId="77777777" w:rsidR="00C91DA6" w:rsidRPr="00C91DA6" w:rsidRDefault="00C91DA6" w:rsidP="00C91DA6"/>
    <w:p w14:paraId="2CCB5832" w14:textId="02BDBE8A" w:rsidR="007C605B" w:rsidRDefault="002C50EE" w:rsidP="007C605B">
      <w:pPr>
        <w:pStyle w:val="Heading1"/>
      </w:pPr>
      <w:r>
        <w:t>9. ДАТА НА ПЪРВО РАЗРЕШАВАНЕ/ПОДНОВЯВАНЕ НА РАЗРЕШЕНИЕТО ЗА УПОТРЕБА</w:t>
      </w:r>
    </w:p>
    <w:p w14:paraId="444365CF" w14:textId="68A5A073" w:rsidR="00C91DA6" w:rsidRDefault="00C91DA6" w:rsidP="00C91DA6"/>
    <w:p w14:paraId="165B65FE" w14:textId="77777777" w:rsidR="00C91DA6" w:rsidRPr="00C91DA6" w:rsidRDefault="00C91DA6" w:rsidP="00C91DA6">
      <w:pPr>
        <w:spacing w:line="240" w:lineRule="auto"/>
        <w:rPr>
          <w:rFonts w:eastAsia="Times New Roman" w:cs="Arial"/>
          <w:sz w:val="28"/>
          <w:szCs w:val="24"/>
          <w:lang w:eastAsia="bg-BG"/>
        </w:rPr>
      </w:pPr>
      <w:r w:rsidRPr="00C91DA6">
        <w:rPr>
          <w:rFonts w:eastAsia="Times New Roman" w:cs="Arial"/>
          <w:color w:val="000000"/>
          <w:szCs w:val="20"/>
          <w:lang w:eastAsia="bg-BG"/>
        </w:rPr>
        <w:t>Дата на първо разрешаване: 23.07.2002</w:t>
      </w:r>
    </w:p>
    <w:p w14:paraId="35093BFC" w14:textId="6BE1ED40" w:rsidR="00C91DA6" w:rsidRPr="00C91DA6" w:rsidRDefault="00C91DA6" w:rsidP="00C91DA6">
      <w:pPr>
        <w:rPr>
          <w:rFonts w:eastAsia="Times New Roman" w:cs="Arial"/>
          <w:color w:val="000000"/>
          <w:szCs w:val="20"/>
          <w:lang w:eastAsia="bg-BG"/>
        </w:rPr>
      </w:pPr>
      <w:r w:rsidRPr="00C91DA6">
        <w:rPr>
          <w:rFonts w:eastAsia="Times New Roman" w:cs="Arial"/>
          <w:color w:val="000000"/>
          <w:szCs w:val="20"/>
          <w:lang w:eastAsia="bg-BG"/>
        </w:rPr>
        <w:t>Дата на последно подновяване: 10.10.2007</w:t>
      </w:r>
    </w:p>
    <w:p w14:paraId="5557A297" w14:textId="77777777" w:rsidR="00C91DA6" w:rsidRPr="00C91DA6" w:rsidRDefault="00C91DA6" w:rsidP="00C91DA6"/>
    <w:p w14:paraId="0E9D0119" w14:textId="79C7068A" w:rsidR="002C50EE" w:rsidRDefault="002C50EE" w:rsidP="002C50EE">
      <w:pPr>
        <w:pStyle w:val="Heading1"/>
      </w:pPr>
      <w:r>
        <w:t>10. ДАТА НА АКТУАЛИЗИРАНЕ НА ТЕКСТА</w:t>
      </w:r>
    </w:p>
    <w:p w14:paraId="6352D571" w14:textId="7BD32CE2" w:rsidR="00C91DA6" w:rsidRDefault="00C91DA6" w:rsidP="00C91DA6"/>
    <w:p w14:paraId="6F6DDC53" w14:textId="77777777" w:rsidR="00C91DA6" w:rsidRPr="00C91DA6" w:rsidRDefault="00C91DA6" w:rsidP="00C91DA6"/>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550A3"/>
    <w:multiLevelType w:val="hybridMultilevel"/>
    <w:tmpl w:val="D930A510"/>
    <w:lvl w:ilvl="0" w:tplc="5E7ACC94">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D1692"/>
    <w:rsid w:val="00BF2600"/>
    <w:rsid w:val="00C0049F"/>
    <w:rsid w:val="00C07B84"/>
    <w:rsid w:val="00C33464"/>
    <w:rsid w:val="00C40420"/>
    <w:rsid w:val="00C809A7"/>
    <w:rsid w:val="00C83063"/>
    <w:rsid w:val="00C87E90"/>
    <w:rsid w:val="00C91DA6"/>
    <w:rsid w:val="00CA1B57"/>
    <w:rsid w:val="00CC4A9F"/>
    <w:rsid w:val="00CF77F7"/>
    <w:rsid w:val="00D86297"/>
    <w:rsid w:val="00DD466D"/>
    <w:rsid w:val="00E6455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5435</Words>
  <Characters>30984</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2022-06-27T16:15:00Z</dcterms:created>
  <dcterms:modified xsi:type="dcterms:W3CDTF">2022-06-27T16:15:00Z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