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65065650" w:rsidR="009F77A4" w:rsidRDefault="00DD466D" w:rsidP="00387A66">
      <w:pPr>
        <w:pStyle w:val="Heading1"/>
      </w:pPr>
      <w:r>
        <w:t>1.ИМЕ НА ЛЕКАРСТВЕНИЯ ПРОДУКТ</w:t>
      </w:r>
    </w:p>
    <w:p w14:paraId="3F2A2FCD" w14:textId="5078A529" w:rsidR="00BC5EE6" w:rsidRDefault="00BC5EE6" w:rsidP="00BC5EE6"/>
    <w:p w14:paraId="440F4658" w14:textId="77777777" w:rsidR="00BC5EE6" w:rsidRDefault="00BC5EE6" w:rsidP="00BC5EE6">
      <w:pPr>
        <w:rPr>
          <w:lang w:eastAsia="bg-BG"/>
        </w:rPr>
      </w:pPr>
      <w:r w:rsidRPr="00BC5EE6">
        <w:rPr>
          <w:lang w:eastAsia="bg-BG"/>
        </w:rPr>
        <w:t xml:space="preserve">КосмоФер 50 </w:t>
      </w:r>
      <w:r w:rsidRPr="00BC5EE6">
        <w:rPr>
          <w:lang w:val="en-US"/>
        </w:rPr>
        <w:t xml:space="preserve">mg/ml </w:t>
      </w:r>
      <w:r w:rsidRPr="00BC5EE6">
        <w:rPr>
          <w:lang w:eastAsia="bg-BG"/>
        </w:rPr>
        <w:t xml:space="preserve">инжекционен/инфузионен разтвор </w:t>
      </w:r>
    </w:p>
    <w:p w14:paraId="4F440C28" w14:textId="61097D0D" w:rsidR="00BC5EE6" w:rsidRPr="00BC5EE6" w:rsidRDefault="00BC5EE6" w:rsidP="00BC5EE6">
      <w:pPr>
        <w:rPr>
          <w:lang w:val="en-US"/>
        </w:rPr>
      </w:pPr>
      <w:proofErr w:type="spellStart"/>
      <w:r w:rsidRPr="00BC5EE6">
        <w:rPr>
          <w:lang w:val="en-US"/>
        </w:rPr>
        <w:t>CosmoFer</w:t>
      </w:r>
      <w:proofErr w:type="spellEnd"/>
      <w:r w:rsidRPr="00BC5EE6">
        <w:rPr>
          <w:lang w:val="en-US"/>
        </w:rPr>
        <w:t xml:space="preserve"> </w:t>
      </w:r>
      <w:r w:rsidRPr="00BC5EE6">
        <w:rPr>
          <w:lang w:eastAsia="bg-BG"/>
        </w:rPr>
        <w:t xml:space="preserve">50 </w:t>
      </w:r>
      <w:r w:rsidRPr="00BC5EE6">
        <w:rPr>
          <w:lang w:val="en-US"/>
        </w:rPr>
        <w:t>mg/ml solution for injection/infusion</w:t>
      </w:r>
    </w:p>
    <w:p w14:paraId="3F64FFFE" w14:textId="77777777" w:rsidR="00BC5EE6" w:rsidRPr="00BC5EE6" w:rsidRDefault="00BC5EE6" w:rsidP="00BC5EE6"/>
    <w:p w14:paraId="0DF202EC" w14:textId="3BF84BE5" w:rsidR="00F53FB7" w:rsidRDefault="00DD466D" w:rsidP="00A93499">
      <w:pPr>
        <w:pStyle w:val="Heading1"/>
      </w:pPr>
      <w:r>
        <w:t>2. КАЧЕСТВЕН И КОЛИЧЕСТВЕН СЪСТАВ</w:t>
      </w:r>
    </w:p>
    <w:p w14:paraId="3F846D67" w14:textId="5665E0C2" w:rsidR="00BC5EE6" w:rsidRDefault="00BC5EE6" w:rsidP="00BC5EE6"/>
    <w:p w14:paraId="6D2F85FA" w14:textId="77777777" w:rsidR="00BC5EE6" w:rsidRPr="00BC5EE6" w:rsidRDefault="00BC5EE6" w:rsidP="00BC5EE6">
      <w:pPr>
        <w:rPr>
          <w:sz w:val="24"/>
          <w:szCs w:val="24"/>
          <w:lang w:eastAsia="bg-BG"/>
        </w:rPr>
      </w:pPr>
      <w:r w:rsidRPr="00BC5EE6">
        <w:rPr>
          <w:lang w:eastAsia="bg-BG"/>
        </w:rPr>
        <w:t xml:space="preserve">Всяка ампула от 2 </w:t>
      </w:r>
      <w:r w:rsidRPr="00BC5EE6">
        <w:rPr>
          <w:lang w:val="en-US"/>
        </w:rPr>
        <w:t xml:space="preserve">ml </w:t>
      </w:r>
      <w:r w:rsidRPr="00BC5EE6">
        <w:rPr>
          <w:lang w:eastAsia="bg-BG"/>
        </w:rPr>
        <w:t xml:space="preserve">съдържа 100 </w:t>
      </w:r>
      <w:r w:rsidRPr="00BC5EE6">
        <w:rPr>
          <w:lang w:val="en-US"/>
        </w:rPr>
        <w:t xml:space="preserve">mg </w:t>
      </w:r>
      <w:r w:rsidRPr="00BC5EE6">
        <w:rPr>
          <w:lang w:eastAsia="bg-BG"/>
        </w:rPr>
        <w:t>желязо(</w:t>
      </w:r>
      <w:r w:rsidRPr="00BC5EE6">
        <w:rPr>
          <w:lang w:val="en-US"/>
        </w:rPr>
        <w:t>III</w:t>
      </w:r>
      <w:r w:rsidRPr="00BC5EE6">
        <w:rPr>
          <w:lang w:eastAsia="bg-BG"/>
        </w:rPr>
        <w:t>) като желязо(</w:t>
      </w:r>
      <w:r w:rsidRPr="00BC5EE6">
        <w:rPr>
          <w:lang w:val="en-US"/>
        </w:rPr>
        <w:t>III</w:t>
      </w:r>
      <w:r w:rsidRPr="00BC5EE6">
        <w:rPr>
          <w:lang w:eastAsia="bg-BG"/>
        </w:rPr>
        <w:t xml:space="preserve">)-хицроксид декстранов комплекс </w:t>
      </w:r>
      <w:r w:rsidRPr="00BC5EE6">
        <w:rPr>
          <w:i/>
          <w:iCs/>
          <w:lang w:val="en-US"/>
        </w:rPr>
        <w:t>(Iron(III)-hydroxide dextran complex).</w:t>
      </w:r>
    </w:p>
    <w:p w14:paraId="2ABFD858" w14:textId="77777777" w:rsidR="00BC5EE6" w:rsidRDefault="00BC5EE6" w:rsidP="00BC5EE6">
      <w:pPr>
        <w:rPr>
          <w:lang w:eastAsia="bg-BG"/>
        </w:rPr>
      </w:pPr>
    </w:p>
    <w:p w14:paraId="5333C0D4" w14:textId="4588C379" w:rsidR="00BC5EE6" w:rsidRPr="00BC5EE6" w:rsidRDefault="00BC5EE6" w:rsidP="00BC5EE6">
      <w:pPr>
        <w:rPr>
          <w:sz w:val="24"/>
          <w:szCs w:val="24"/>
          <w:lang w:eastAsia="bg-BG"/>
        </w:rPr>
      </w:pPr>
      <w:r w:rsidRPr="00BC5EE6">
        <w:rPr>
          <w:lang w:eastAsia="bg-BG"/>
        </w:rPr>
        <w:t xml:space="preserve">Всяка ампула от 5 </w:t>
      </w:r>
      <w:r w:rsidRPr="00BC5EE6">
        <w:rPr>
          <w:lang w:val="en-US"/>
        </w:rPr>
        <w:t xml:space="preserve">ml </w:t>
      </w:r>
      <w:r w:rsidRPr="00BC5EE6">
        <w:rPr>
          <w:lang w:eastAsia="bg-BG"/>
        </w:rPr>
        <w:t xml:space="preserve">съдържа 250 </w:t>
      </w:r>
      <w:r w:rsidRPr="00BC5EE6">
        <w:rPr>
          <w:lang w:val="en-US"/>
        </w:rPr>
        <w:t xml:space="preserve">mg </w:t>
      </w:r>
      <w:r w:rsidRPr="00BC5EE6">
        <w:rPr>
          <w:lang w:eastAsia="bg-BG"/>
        </w:rPr>
        <w:t>желязо(Ш) като желязо(</w:t>
      </w:r>
      <w:r w:rsidRPr="00BC5EE6">
        <w:rPr>
          <w:lang w:val="en-US"/>
        </w:rPr>
        <w:t>III</w:t>
      </w:r>
      <w:r w:rsidRPr="00BC5EE6">
        <w:rPr>
          <w:lang w:eastAsia="bg-BG"/>
        </w:rPr>
        <w:t xml:space="preserve">)-хидроксид декстранов комплекс </w:t>
      </w:r>
      <w:r w:rsidRPr="00BC5EE6">
        <w:rPr>
          <w:i/>
          <w:iCs/>
          <w:lang w:val="en-US"/>
        </w:rPr>
        <w:t>(Iron(III)-hydroxide dextran complex).</w:t>
      </w:r>
    </w:p>
    <w:p w14:paraId="21A4ACE0" w14:textId="77777777" w:rsidR="00BC5EE6" w:rsidRDefault="00BC5EE6" w:rsidP="00BC5EE6">
      <w:pPr>
        <w:rPr>
          <w:lang w:eastAsia="bg-BG"/>
        </w:rPr>
      </w:pPr>
    </w:p>
    <w:p w14:paraId="03796C59" w14:textId="3A1A6515" w:rsidR="00BC5EE6" w:rsidRPr="00BC5EE6" w:rsidRDefault="00BC5EE6" w:rsidP="00BC5EE6">
      <w:pPr>
        <w:rPr>
          <w:sz w:val="24"/>
          <w:szCs w:val="24"/>
          <w:lang w:eastAsia="bg-BG"/>
        </w:rPr>
      </w:pPr>
      <w:r w:rsidRPr="00BC5EE6">
        <w:rPr>
          <w:lang w:eastAsia="bg-BG"/>
        </w:rPr>
        <w:t xml:space="preserve">Всеки милилитър съдържа 50 </w:t>
      </w:r>
      <w:r w:rsidRPr="00BC5EE6">
        <w:rPr>
          <w:lang w:val="en-US"/>
        </w:rPr>
        <w:t xml:space="preserve">mg </w:t>
      </w:r>
      <w:r w:rsidRPr="00BC5EE6">
        <w:rPr>
          <w:lang w:eastAsia="bg-BG"/>
        </w:rPr>
        <w:t>желязо(</w:t>
      </w:r>
      <w:r w:rsidRPr="00BC5EE6">
        <w:rPr>
          <w:lang w:val="en-US"/>
        </w:rPr>
        <w:t>III</w:t>
      </w:r>
      <w:r w:rsidRPr="00BC5EE6">
        <w:rPr>
          <w:lang w:eastAsia="bg-BG"/>
        </w:rPr>
        <w:t>) (</w:t>
      </w:r>
      <w:r w:rsidRPr="00BC5EE6">
        <w:rPr>
          <w:lang w:val="en-US"/>
        </w:rPr>
        <w:t>Iron(III)).</w:t>
      </w:r>
    </w:p>
    <w:p w14:paraId="1D6C523D" w14:textId="77777777" w:rsidR="00BC5EE6" w:rsidRPr="00BC5EE6" w:rsidRDefault="00BC5EE6" w:rsidP="00BC5EE6"/>
    <w:p w14:paraId="4CABB9ED" w14:textId="17157159" w:rsidR="00F53FB7" w:rsidRDefault="00DD466D" w:rsidP="00A93499">
      <w:pPr>
        <w:pStyle w:val="Heading1"/>
      </w:pPr>
      <w:r>
        <w:t>3. ЛЕКАРСТВЕНА ФОРМА</w:t>
      </w:r>
    </w:p>
    <w:p w14:paraId="2CAA3228" w14:textId="185305AB" w:rsidR="00BC5EE6" w:rsidRDefault="00BC5EE6" w:rsidP="00BC5EE6"/>
    <w:p w14:paraId="069546C0" w14:textId="77777777" w:rsidR="00BC5EE6" w:rsidRPr="00BC5EE6" w:rsidRDefault="00BC5EE6" w:rsidP="00BC5EE6">
      <w:pPr>
        <w:rPr>
          <w:sz w:val="24"/>
          <w:szCs w:val="24"/>
          <w:lang w:eastAsia="bg-BG"/>
        </w:rPr>
      </w:pPr>
      <w:r w:rsidRPr="00BC5EE6">
        <w:rPr>
          <w:lang w:eastAsia="bg-BG"/>
        </w:rPr>
        <w:t>Инжекционен/инфузионен разтвор</w:t>
      </w:r>
    </w:p>
    <w:p w14:paraId="2CC78BD3" w14:textId="77777777" w:rsidR="00BC5EE6" w:rsidRDefault="00BC5EE6" w:rsidP="00BC5EE6">
      <w:pPr>
        <w:rPr>
          <w:lang w:eastAsia="bg-BG"/>
        </w:rPr>
      </w:pPr>
    </w:p>
    <w:p w14:paraId="27C7EAE6" w14:textId="489C3C71" w:rsidR="00BC5EE6" w:rsidRPr="00BC5EE6" w:rsidRDefault="00BC5EE6" w:rsidP="00BC5EE6">
      <w:pPr>
        <w:rPr>
          <w:sz w:val="24"/>
          <w:szCs w:val="24"/>
          <w:lang w:eastAsia="bg-BG"/>
        </w:rPr>
      </w:pPr>
      <w:r w:rsidRPr="00BC5EE6">
        <w:rPr>
          <w:lang w:eastAsia="bg-BG"/>
        </w:rPr>
        <w:t>Тъмнокафяв разтвор</w:t>
      </w:r>
    </w:p>
    <w:p w14:paraId="440D427E" w14:textId="77777777" w:rsidR="00BC5EE6" w:rsidRPr="00BC5EE6" w:rsidRDefault="00BC5EE6" w:rsidP="00BC5EE6"/>
    <w:p w14:paraId="490FC2C4" w14:textId="6899DE43" w:rsidR="002C50EE" w:rsidRDefault="002C50EE" w:rsidP="002C50EE">
      <w:pPr>
        <w:pStyle w:val="Heading1"/>
      </w:pPr>
      <w:r>
        <w:t>4. КЛИНИЧНИ ДАННИ</w:t>
      </w:r>
    </w:p>
    <w:p w14:paraId="461901E4" w14:textId="20C5CCA5" w:rsidR="009F77A4" w:rsidRDefault="002C50EE" w:rsidP="00387A66">
      <w:pPr>
        <w:pStyle w:val="Heading2"/>
      </w:pPr>
      <w:r>
        <w:t>4.1. Терапевтични показания</w:t>
      </w:r>
    </w:p>
    <w:p w14:paraId="5F489960" w14:textId="7F30E3FE" w:rsidR="00BC5EE6" w:rsidRDefault="00BC5EE6" w:rsidP="00BC5EE6"/>
    <w:p w14:paraId="44420F91" w14:textId="69AD939F" w:rsidR="00BC5EE6" w:rsidRPr="00BC5EE6" w:rsidRDefault="00BC5EE6" w:rsidP="00BC5EE6">
      <w:pPr>
        <w:pStyle w:val="ListParagraph"/>
        <w:numPr>
          <w:ilvl w:val="0"/>
          <w:numId w:val="40"/>
        </w:numPr>
        <w:spacing w:line="240" w:lineRule="auto"/>
        <w:rPr>
          <w:rFonts w:eastAsia="Times New Roman" w:cs="Arial"/>
          <w:color w:val="000000"/>
          <w:lang w:eastAsia="bg-BG"/>
        </w:rPr>
      </w:pPr>
      <w:r w:rsidRPr="00BC5EE6">
        <w:rPr>
          <w:rFonts w:eastAsia="Times New Roman" w:cs="Arial"/>
          <w:color w:val="000000"/>
          <w:lang w:eastAsia="bg-BG"/>
        </w:rPr>
        <w:t>Само за възрастни лица</w:t>
      </w:r>
    </w:p>
    <w:p w14:paraId="13320ED5" w14:textId="77777777" w:rsidR="00BC5EE6" w:rsidRPr="00BC5EE6" w:rsidRDefault="00BC5EE6" w:rsidP="00BC5EE6">
      <w:pPr>
        <w:spacing w:line="240" w:lineRule="auto"/>
        <w:rPr>
          <w:rFonts w:eastAsia="Times New Roman" w:cs="Arial"/>
          <w:color w:val="000000"/>
          <w:lang w:eastAsia="bg-BG"/>
        </w:rPr>
      </w:pPr>
    </w:p>
    <w:p w14:paraId="355C0D5C" w14:textId="1CC02AAE"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КосмоФер е показан за лечение на железен дефицит при следните показания:</w:t>
      </w:r>
    </w:p>
    <w:p w14:paraId="27795A8A" w14:textId="77777777" w:rsidR="00BC5EE6" w:rsidRPr="00BC5EE6" w:rsidRDefault="00BC5EE6" w:rsidP="00BC5EE6">
      <w:pPr>
        <w:pStyle w:val="ListParagraph"/>
        <w:numPr>
          <w:ilvl w:val="0"/>
          <w:numId w:val="41"/>
        </w:numPr>
        <w:spacing w:line="240" w:lineRule="auto"/>
        <w:rPr>
          <w:rFonts w:eastAsia="Times New Roman" w:cs="Arial"/>
          <w:color w:val="000000"/>
          <w:lang w:eastAsia="bg-BG"/>
        </w:rPr>
      </w:pPr>
      <w:r w:rsidRPr="00BC5EE6">
        <w:rPr>
          <w:rFonts w:eastAsia="Times New Roman" w:cs="Arial"/>
          <w:color w:val="000000"/>
          <w:lang w:eastAsia="bg-BG"/>
        </w:rPr>
        <w:t>Доказана непоносимост към перорални железни препарати или доказана липса на ефект от</w:t>
      </w:r>
    </w:p>
    <w:p w14:paraId="6472AAC1" w14:textId="77777777"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перорална терапия с желязо;</w:t>
      </w:r>
    </w:p>
    <w:p w14:paraId="0D978E98" w14:textId="77777777" w:rsidR="00BC5EE6" w:rsidRPr="00BC5EE6" w:rsidRDefault="00BC5EE6" w:rsidP="00BC5EE6">
      <w:pPr>
        <w:spacing w:line="240" w:lineRule="auto"/>
        <w:rPr>
          <w:rFonts w:eastAsia="Times New Roman" w:cs="Arial"/>
          <w:sz w:val="28"/>
          <w:szCs w:val="28"/>
          <w:lang w:eastAsia="bg-BG"/>
        </w:rPr>
      </w:pPr>
    </w:p>
    <w:p w14:paraId="29E4F0FF" w14:textId="1E0DAC4B" w:rsidR="00BC5EE6" w:rsidRPr="00BC5EE6" w:rsidRDefault="00BC5EE6" w:rsidP="00BC5EE6">
      <w:pPr>
        <w:pStyle w:val="ListParagraph"/>
        <w:numPr>
          <w:ilvl w:val="0"/>
          <w:numId w:val="41"/>
        </w:numPr>
        <w:spacing w:line="240" w:lineRule="auto"/>
        <w:rPr>
          <w:rFonts w:eastAsia="Times New Roman" w:cs="Arial"/>
          <w:sz w:val="28"/>
          <w:szCs w:val="28"/>
          <w:lang w:eastAsia="bg-BG"/>
        </w:rPr>
      </w:pPr>
      <w:r w:rsidRPr="00BC5EE6">
        <w:rPr>
          <w:rFonts w:eastAsia="Times New Roman" w:cs="Arial"/>
          <w:color w:val="000000"/>
          <w:lang w:eastAsia="bg-BG"/>
        </w:rPr>
        <w:t>Когато има клинична необходимост да се достави бързо желязо за железните дела.</w:t>
      </w:r>
    </w:p>
    <w:p w14:paraId="597CAA61" w14:textId="77777777" w:rsidR="00BC5EE6" w:rsidRPr="00BC5EE6" w:rsidRDefault="00BC5EE6" w:rsidP="00BC5EE6">
      <w:pPr>
        <w:rPr>
          <w:rFonts w:eastAsia="Times New Roman" w:cs="Arial"/>
          <w:color w:val="000000"/>
          <w:lang w:eastAsia="bg-BG"/>
        </w:rPr>
      </w:pPr>
    </w:p>
    <w:p w14:paraId="11A78B9A" w14:textId="20DFD738" w:rsidR="00BC5EE6" w:rsidRDefault="00BC5EE6" w:rsidP="00BC5EE6">
      <w:pPr>
        <w:rPr>
          <w:rFonts w:eastAsia="Times New Roman" w:cs="Arial"/>
          <w:color w:val="000000"/>
          <w:lang w:eastAsia="bg-BG"/>
        </w:rPr>
      </w:pPr>
      <w:r w:rsidRPr="00BC5EE6">
        <w:rPr>
          <w:rFonts w:eastAsia="Times New Roman" w:cs="Arial"/>
          <w:color w:val="000000"/>
          <w:lang w:eastAsia="bg-BG"/>
        </w:rPr>
        <w:t>Диагнозата на железния дефицит трябва да се основава на подходящи лабораторни изследвания (напр. серумен феритин, серумно желязо, сатурация на трансферни и хипохромни еритроцити).</w:t>
      </w:r>
    </w:p>
    <w:p w14:paraId="46503392" w14:textId="77777777" w:rsidR="00BC5EE6" w:rsidRPr="00BC5EE6" w:rsidRDefault="00BC5EE6" w:rsidP="00BC5EE6">
      <w:pPr>
        <w:rPr>
          <w:rFonts w:cs="Arial"/>
          <w:sz w:val="24"/>
          <w:szCs w:val="24"/>
        </w:rPr>
      </w:pPr>
    </w:p>
    <w:p w14:paraId="31744E5A" w14:textId="0455A8B1" w:rsidR="009F77A4" w:rsidRDefault="002C50EE" w:rsidP="00387A66">
      <w:pPr>
        <w:pStyle w:val="Heading2"/>
      </w:pPr>
      <w:r>
        <w:lastRenderedPageBreak/>
        <w:t>4.2. Дозировка и начин на приложение</w:t>
      </w:r>
    </w:p>
    <w:p w14:paraId="65353FD4" w14:textId="46DE8454" w:rsidR="00BC5EE6" w:rsidRDefault="00BC5EE6" w:rsidP="00BC5EE6"/>
    <w:p w14:paraId="4D6FED4B" w14:textId="77777777"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Проследявайте внимателно пациентите за признаци и симптоми на реакции на свръхчувствителност по време на и след всяко приложение на КосмоФер.</w:t>
      </w:r>
    </w:p>
    <w:p w14:paraId="2E071CCA" w14:textId="77777777" w:rsidR="00BC5EE6" w:rsidRPr="00BC5EE6" w:rsidRDefault="00BC5EE6" w:rsidP="00BC5EE6">
      <w:pPr>
        <w:spacing w:line="240" w:lineRule="auto"/>
        <w:rPr>
          <w:rFonts w:eastAsia="Times New Roman" w:cs="Arial"/>
          <w:color w:val="000000"/>
          <w:lang w:eastAsia="bg-BG"/>
        </w:rPr>
      </w:pPr>
    </w:p>
    <w:p w14:paraId="59EF4451" w14:textId="1C637188"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КосмоФер трябва да се прилага само при непосредствено наличие на персонал, обучен да оценява и овладява анафилактични реакции, и пълни възможности за осигуряване на реанимация. Пациентът трябва да се наблюдава за нежелани реакции най-малко 30 минути след всяка инжекция с КосмоФер (вж. точка 4.4).</w:t>
      </w:r>
    </w:p>
    <w:p w14:paraId="0C39B1B7" w14:textId="77777777" w:rsidR="00BC5EE6" w:rsidRPr="00BC5EE6" w:rsidRDefault="00BC5EE6" w:rsidP="00BC5EE6">
      <w:pPr>
        <w:spacing w:line="240" w:lineRule="auto"/>
        <w:rPr>
          <w:rFonts w:eastAsia="Times New Roman" w:cs="Arial"/>
          <w:b/>
          <w:bCs/>
          <w:color w:val="000000"/>
          <w:lang w:eastAsia="bg-BG"/>
        </w:rPr>
      </w:pPr>
      <w:bookmarkStart w:id="1" w:name="bookmark0"/>
    </w:p>
    <w:p w14:paraId="4B1CAABF" w14:textId="681F1A1D" w:rsidR="00BC5EE6" w:rsidRPr="00BC5EE6" w:rsidRDefault="00BC5EE6" w:rsidP="00BC5EE6">
      <w:pPr>
        <w:spacing w:line="240" w:lineRule="auto"/>
        <w:rPr>
          <w:rFonts w:eastAsia="Times New Roman" w:cs="Arial"/>
          <w:lang w:eastAsia="bg-BG"/>
        </w:rPr>
      </w:pPr>
      <w:r w:rsidRPr="00BC5EE6">
        <w:rPr>
          <w:rFonts w:eastAsia="Times New Roman" w:cs="Arial"/>
          <w:b/>
          <w:bCs/>
          <w:color w:val="000000"/>
          <w:lang w:eastAsia="bg-BG"/>
        </w:rPr>
        <w:t>Начин на приложение:</w:t>
      </w:r>
      <w:bookmarkEnd w:id="1"/>
    </w:p>
    <w:p w14:paraId="245BE0C2" w14:textId="77777777" w:rsidR="00BC5EE6" w:rsidRPr="00BC5EE6" w:rsidRDefault="00BC5EE6" w:rsidP="00BC5EE6">
      <w:pPr>
        <w:rPr>
          <w:rFonts w:eastAsia="Times New Roman" w:cs="Arial"/>
          <w:color w:val="000000"/>
          <w:lang w:eastAsia="bg-BG"/>
        </w:rPr>
      </w:pPr>
    </w:p>
    <w:p w14:paraId="463F1D32" w14:textId="77777777" w:rsidR="00BC5EE6" w:rsidRPr="00BC5EE6" w:rsidRDefault="00BC5EE6" w:rsidP="00BC5EE6">
      <w:pPr>
        <w:rPr>
          <w:rFonts w:eastAsia="Times New Roman" w:cs="Arial"/>
          <w:lang w:eastAsia="bg-BG"/>
        </w:rPr>
      </w:pPr>
      <w:r w:rsidRPr="00BC5EE6">
        <w:rPr>
          <w:rFonts w:eastAsia="Times New Roman" w:cs="Arial"/>
          <w:color w:val="000000"/>
          <w:lang w:eastAsia="bg-BG"/>
        </w:rPr>
        <w:t>КосмоФер инжекционен/инфузионен разтвор може да се приложи като капкова инфузия или като</w:t>
      </w:r>
      <w:r w:rsidRPr="00BC5EE6">
        <w:rPr>
          <w:rFonts w:eastAsia="Times New Roman" w:cs="Arial"/>
          <w:color w:val="000000"/>
          <w:lang w:eastAsia="bg-BG"/>
        </w:rPr>
        <w:t xml:space="preserve"> </w:t>
      </w:r>
      <w:r w:rsidRPr="00BC5EE6">
        <w:rPr>
          <w:rFonts w:eastAsia="Times New Roman" w:cs="Arial"/>
          <w:color w:val="000000"/>
          <w:lang w:eastAsia="bg-BG"/>
        </w:rPr>
        <w:t>бавна интравенозна инжекция, като капковата инфузия е предпочитан път на въвеждане, за да се избегне потенциалния риск от хипотонични епизоди. КосмоФер, обаче, може също да се приложи и като неразреден разтвор, интрамускулно.</w:t>
      </w:r>
    </w:p>
    <w:p w14:paraId="7EDF1C2D" w14:textId="77777777" w:rsidR="00BC5EE6" w:rsidRPr="00BC5EE6" w:rsidRDefault="00BC5EE6" w:rsidP="00BC5EE6">
      <w:pPr>
        <w:spacing w:line="240" w:lineRule="auto"/>
        <w:rPr>
          <w:rFonts w:eastAsia="Times New Roman" w:cs="Arial"/>
          <w:i/>
          <w:iCs/>
          <w:color w:val="000000"/>
          <w:lang w:eastAsia="bg-BG"/>
        </w:rPr>
      </w:pPr>
    </w:p>
    <w:p w14:paraId="7E4FEAAA" w14:textId="5DB188EF" w:rsidR="00BC5EE6" w:rsidRPr="00BC5EE6" w:rsidRDefault="00BC5EE6" w:rsidP="00BC5EE6">
      <w:pPr>
        <w:spacing w:line="240" w:lineRule="auto"/>
        <w:rPr>
          <w:rFonts w:eastAsia="Times New Roman" w:cs="Arial"/>
          <w:lang w:eastAsia="bg-BG"/>
        </w:rPr>
      </w:pPr>
      <w:r w:rsidRPr="00BC5EE6">
        <w:rPr>
          <w:rFonts w:eastAsia="Times New Roman" w:cs="Arial"/>
          <w:i/>
          <w:iCs/>
          <w:color w:val="000000"/>
          <w:lang w:eastAsia="bg-BG"/>
        </w:rPr>
        <w:t>Възрастни и пациенти в старческа възраст</w:t>
      </w:r>
    </w:p>
    <w:p w14:paraId="5AEA845A" w14:textId="77777777"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Общата кумулативна доза на КосмоФер се определя от хемоглобиновото ниво и телесното тегло. Дозата и схемата на дозиране на КосмоФер трябва да бъдат индивидуално определени при всеки пациент, въз основа на изчисление на общия железен дефицит.</w:t>
      </w:r>
    </w:p>
    <w:p w14:paraId="17863E8B" w14:textId="77777777" w:rsidR="00BC5EE6" w:rsidRPr="00BC5EE6" w:rsidRDefault="00BC5EE6" w:rsidP="00BC5EE6">
      <w:pPr>
        <w:spacing w:line="240" w:lineRule="auto"/>
        <w:rPr>
          <w:rFonts w:eastAsia="Times New Roman" w:cs="Arial"/>
          <w:i/>
          <w:iCs/>
          <w:color w:val="000000"/>
          <w:lang w:eastAsia="bg-BG"/>
        </w:rPr>
      </w:pPr>
    </w:p>
    <w:p w14:paraId="71E44FA0" w14:textId="5048E501" w:rsidR="00BC5EE6" w:rsidRPr="00BC5EE6" w:rsidRDefault="00BC5EE6" w:rsidP="00BC5EE6">
      <w:pPr>
        <w:spacing w:line="240" w:lineRule="auto"/>
        <w:rPr>
          <w:rFonts w:eastAsia="Times New Roman" w:cs="Arial"/>
          <w:lang w:eastAsia="bg-BG"/>
        </w:rPr>
      </w:pPr>
      <w:r w:rsidRPr="00BC5EE6">
        <w:rPr>
          <w:rFonts w:eastAsia="Times New Roman" w:cs="Arial"/>
          <w:i/>
          <w:iCs/>
          <w:color w:val="000000"/>
          <w:lang w:eastAsia="bg-BG"/>
        </w:rPr>
        <w:t>Деца (под 14 години)</w:t>
      </w:r>
    </w:p>
    <w:p w14:paraId="5ECFB2A5" w14:textId="77777777"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КосмоФер не трябва да се използва при деца. Няма документирани данни за ефикасността и безопасността.</w:t>
      </w:r>
    </w:p>
    <w:p w14:paraId="4746333D" w14:textId="77777777" w:rsidR="00BC5EE6" w:rsidRPr="00BC5EE6" w:rsidRDefault="00BC5EE6" w:rsidP="00BC5EE6">
      <w:pPr>
        <w:spacing w:line="240" w:lineRule="auto"/>
        <w:rPr>
          <w:rFonts w:eastAsia="Times New Roman" w:cs="Arial"/>
          <w:b/>
          <w:bCs/>
          <w:color w:val="000000"/>
          <w:lang w:eastAsia="bg-BG"/>
        </w:rPr>
      </w:pPr>
    </w:p>
    <w:p w14:paraId="61055827" w14:textId="141A128C" w:rsidR="00BC5EE6" w:rsidRPr="00BC5EE6" w:rsidRDefault="00BC5EE6" w:rsidP="00BC5EE6">
      <w:pPr>
        <w:spacing w:line="240" w:lineRule="auto"/>
        <w:rPr>
          <w:rFonts w:eastAsia="Times New Roman" w:cs="Arial"/>
          <w:lang w:eastAsia="bg-BG"/>
        </w:rPr>
      </w:pPr>
      <w:r w:rsidRPr="00BC5EE6">
        <w:rPr>
          <w:rFonts w:eastAsia="Times New Roman" w:cs="Arial"/>
          <w:b/>
          <w:bCs/>
          <w:color w:val="000000"/>
          <w:lang w:eastAsia="bg-BG"/>
        </w:rPr>
        <w:t>Дозировка:</w:t>
      </w:r>
    </w:p>
    <w:p w14:paraId="0F0425D6" w14:textId="77777777" w:rsidR="00BC5EE6" w:rsidRPr="00BC5EE6" w:rsidRDefault="00BC5EE6" w:rsidP="00BC5EE6">
      <w:pPr>
        <w:spacing w:line="240" w:lineRule="auto"/>
        <w:rPr>
          <w:rFonts w:eastAsia="Times New Roman" w:cs="Arial"/>
          <w:color w:val="000000"/>
          <w:lang w:eastAsia="bg-BG"/>
        </w:rPr>
      </w:pPr>
    </w:p>
    <w:p w14:paraId="2513C5CF" w14:textId="6B2895B5"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 xml:space="preserve">Обичайната препоръчителна доза е 100-200 </w:t>
      </w:r>
      <w:r w:rsidRPr="00BC5EE6">
        <w:rPr>
          <w:rFonts w:eastAsia="Times New Roman" w:cs="Arial"/>
          <w:color w:val="000000"/>
          <w:lang w:val="en-US"/>
        </w:rPr>
        <w:t xml:space="preserve">mg </w:t>
      </w:r>
      <w:r w:rsidRPr="00BC5EE6">
        <w:rPr>
          <w:rFonts w:eastAsia="Times New Roman" w:cs="Arial"/>
          <w:color w:val="000000"/>
          <w:lang w:eastAsia="bg-BG"/>
        </w:rPr>
        <w:t xml:space="preserve">желязо, съответстващо на 2-4 </w:t>
      </w:r>
      <w:r w:rsidRPr="00BC5EE6">
        <w:rPr>
          <w:rFonts w:eastAsia="Times New Roman" w:cs="Arial"/>
          <w:color w:val="000000"/>
          <w:lang w:val="en-US"/>
        </w:rPr>
        <w:t xml:space="preserve">ml, </w:t>
      </w:r>
      <w:r w:rsidRPr="00BC5EE6">
        <w:rPr>
          <w:rFonts w:eastAsia="Times New Roman" w:cs="Arial"/>
          <w:color w:val="000000"/>
          <w:lang w:eastAsia="bg-BG"/>
        </w:rPr>
        <w:t xml:space="preserve">два до три пъти седмично в зависимост от хемоглобиновото ниво. Ако клиничните нужди налагат бързо постъпване на желязо в телесните депа, КосмоФер може да се прилага като инфузия на общата заместваща доза, съответстваща на 20 </w:t>
      </w:r>
      <w:r w:rsidRPr="00BC5EE6">
        <w:rPr>
          <w:rFonts w:eastAsia="Times New Roman" w:cs="Arial"/>
          <w:color w:val="000000"/>
          <w:lang w:val="en-US"/>
        </w:rPr>
        <w:t xml:space="preserve">mg </w:t>
      </w:r>
      <w:r w:rsidRPr="00BC5EE6">
        <w:rPr>
          <w:rFonts w:eastAsia="Times New Roman" w:cs="Arial"/>
          <w:color w:val="000000"/>
          <w:lang w:eastAsia="bg-BG"/>
        </w:rPr>
        <w:t>желязо</w:t>
      </w:r>
      <w:r w:rsidRPr="00BC5EE6">
        <w:rPr>
          <w:rFonts w:eastAsia="Times New Roman" w:cs="Arial"/>
          <w:color w:val="000000"/>
          <w:lang w:val="en-US"/>
        </w:rPr>
        <w:t xml:space="preserve">/kg </w:t>
      </w:r>
      <w:r w:rsidRPr="00BC5EE6">
        <w:rPr>
          <w:rFonts w:eastAsia="Times New Roman" w:cs="Arial"/>
          <w:color w:val="000000"/>
          <w:lang w:eastAsia="bg-BG"/>
        </w:rPr>
        <w:t>телесно тегло.</w:t>
      </w:r>
    </w:p>
    <w:p w14:paraId="0298506C" w14:textId="77777777"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КосмоФер инжекционен разтвор не трябва да се прилага едновременно с перорални железни препарати, тъй като абсорбцията на пероралното желязо ще се намали (вж. точка 4.5).</w:t>
      </w:r>
    </w:p>
    <w:p w14:paraId="145C91B1" w14:textId="77777777" w:rsidR="00BC5EE6" w:rsidRPr="00BC5EE6" w:rsidRDefault="00BC5EE6" w:rsidP="00BC5EE6">
      <w:pPr>
        <w:spacing w:line="240" w:lineRule="auto"/>
        <w:rPr>
          <w:rFonts w:eastAsia="Times New Roman" w:cs="Arial"/>
          <w:b/>
          <w:bCs/>
          <w:color w:val="000000"/>
          <w:lang w:eastAsia="bg-BG"/>
        </w:rPr>
      </w:pPr>
      <w:bookmarkStart w:id="2" w:name="bookmark2"/>
    </w:p>
    <w:p w14:paraId="2851F7E2" w14:textId="2D2C3791" w:rsidR="00BC5EE6" w:rsidRPr="00BC5EE6" w:rsidRDefault="00BC5EE6" w:rsidP="00BC5EE6">
      <w:pPr>
        <w:spacing w:line="240" w:lineRule="auto"/>
        <w:rPr>
          <w:rFonts w:eastAsia="Times New Roman" w:cs="Arial"/>
          <w:lang w:eastAsia="bg-BG"/>
        </w:rPr>
      </w:pPr>
      <w:r w:rsidRPr="00BC5EE6">
        <w:rPr>
          <w:rFonts w:eastAsia="Times New Roman" w:cs="Arial"/>
          <w:b/>
          <w:bCs/>
          <w:color w:val="000000"/>
          <w:lang w:eastAsia="bg-BG"/>
        </w:rPr>
        <w:t>Интравенозна капкова инфузия:</w:t>
      </w:r>
      <w:bookmarkEnd w:id="2"/>
    </w:p>
    <w:p w14:paraId="4DEBAE58" w14:textId="77777777" w:rsidR="00BC5EE6" w:rsidRPr="00BC5EE6" w:rsidRDefault="00BC5EE6" w:rsidP="00BC5EE6">
      <w:pPr>
        <w:spacing w:line="240" w:lineRule="auto"/>
        <w:rPr>
          <w:rFonts w:eastAsia="Times New Roman" w:cs="Arial"/>
          <w:color w:val="000000"/>
          <w:lang w:eastAsia="bg-BG"/>
        </w:rPr>
      </w:pPr>
    </w:p>
    <w:p w14:paraId="6B9F58DE" w14:textId="3E4DE8E0"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 xml:space="preserve">КосмоФер трябва да се разрежда само в 0,9% разтвор на натриев хлорид (нормален физиологичен разтвор) или в 5% глюкозен разтвор. КосмоФер в доза 100-200 </w:t>
      </w:r>
      <w:r w:rsidRPr="00BC5EE6">
        <w:rPr>
          <w:rFonts w:eastAsia="Times New Roman" w:cs="Arial"/>
          <w:color w:val="000000"/>
          <w:lang w:val="en-US"/>
        </w:rPr>
        <w:t xml:space="preserve">mg </w:t>
      </w:r>
      <w:r w:rsidRPr="00BC5EE6">
        <w:rPr>
          <w:rFonts w:eastAsia="Times New Roman" w:cs="Arial"/>
          <w:color w:val="000000"/>
          <w:lang w:eastAsia="bg-BG"/>
        </w:rPr>
        <w:t xml:space="preserve">желязо (2-4 </w:t>
      </w:r>
      <w:r w:rsidRPr="00BC5EE6">
        <w:rPr>
          <w:rFonts w:eastAsia="Times New Roman" w:cs="Arial"/>
          <w:color w:val="000000"/>
          <w:lang w:val="en-US"/>
        </w:rPr>
        <w:t xml:space="preserve">ml) </w:t>
      </w:r>
      <w:r w:rsidRPr="00BC5EE6">
        <w:rPr>
          <w:rFonts w:eastAsia="Times New Roman" w:cs="Arial"/>
          <w:color w:val="000000"/>
          <w:lang w:eastAsia="bg-BG"/>
        </w:rPr>
        <w:t xml:space="preserve">може да се разреди в 100 </w:t>
      </w:r>
      <w:r w:rsidRPr="00BC5EE6">
        <w:rPr>
          <w:rFonts w:eastAsia="Times New Roman" w:cs="Arial"/>
          <w:color w:val="000000"/>
          <w:lang w:val="en-US"/>
        </w:rPr>
        <w:t xml:space="preserve">ml. </w:t>
      </w:r>
      <w:r w:rsidRPr="00BC5EE6">
        <w:rPr>
          <w:rFonts w:eastAsia="Times New Roman" w:cs="Arial"/>
          <w:color w:val="000000"/>
          <w:lang w:eastAsia="bg-BG"/>
        </w:rPr>
        <w:t xml:space="preserve">Инфузията трябва да се приложи със скорост не повече от 100 </w:t>
      </w:r>
      <w:r w:rsidRPr="00BC5EE6">
        <w:rPr>
          <w:rFonts w:eastAsia="Times New Roman" w:cs="Arial"/>
          <w:color w:val="000000"/>
          <w:lang w:val="en-US"/>
        </w:rPr>
        <w:t xml:space="preserve">ml </w:t>
      </w:r>
      <w:r w:rsidRPr="00BC5EE6">
        <w:rPr>
          <w:rFonts w:eastAsia="Times New Roman" w:cs="Arial"/>
          <w:color w:val="000000"/>
          <w:lang w:eastAsia="bg-BG"/>
        </w:rPr>
        <w:t>за 30 минути.</w:t>
      </w:r>
    </w:p>
    <w:p w14:paraId="505BFB2A" w14:textId="77777777" w:rsidR="00BC5EE6" w:rsidRPr="00BC5EE6" w:rsidRDefault="00BC5EE6" w:rsidP="00BC5EE6">
      <w:pPr>
        <w:spacing w:line="240" w:lineRule="auto"/>
        <w:rPr>
          <w:rFonts w:eastAsia="Times New Roman" w:cs="Arial"/>
          <w:b/>
          <w:bCs/>
          <w:color w:val="000000"/>
          <w:lang w:eastAsia="bg-BG"/>
        </w:rPr>
      </w:pPr>
      <w:bookmarkStart w:id="3" w:name="bookmark4"/>
    </w:p>
    <w:p w14:paraId="5B211D3B" w14:textId="658C3F0E" w:rsidR="00BC5EE6" w:rsidRPr="00BC5EE6" w:rsidRDefault="00BC5EE6" w:rsidP="00BC5EE6">
      <w:pPr>
        <w:spacing w:line="240" w:lineRule="auto"/>
        <w:rPr>
          <w:rFonts w:eastAsia="Times New Roman" w:cs="Arial"/>
          <w:lang w:eastAsia="bg-BG"/>
        </w:rPr>
      </w:pPr>
      <w:r w:rsidRPr="00BC5EE6">
        <w:rPr>
          <w:rFonts w:eastAsia="Times New Roman" w:cs="Arial"/>
          <w:b/>
          <w:bCs/>
          <w:color w:val="000000"/>
          <w:lang w:eastAsia="bg-BG"/>
        </w:rPr>
        <w:t>Интравенозно инжектиране:</w:t>
      </w:r>
      <w:bookmarkEnd w:id="3"/>
    </w:p>
    <w:p w14:paraId="0E66109E" w14:textId="77777777" w:rsidR="00BC5EE6" w:rsidRPr="00BC5EE6" w:rsidRDefault="00BC5EE6" w:rsidP="00BC5EE6">
      <w:pPr>
        <w:spacing w:line="240" w:lineRule="auto"/>
        <w:rPr>
          <w:rFonts w:eastAsia="Times New Roman" w:cs="Arial"/>
          <w:color w:val="000000"/>
          <w:lang w:eastAsia="bg-BG"/>
        </w:rPr>
      </w:pPr>
    </w:p>
    <w:p w14:paraId="206B3F85" w14:textId="73BF567E"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 xml:space="preserve">КосмоФер може да се приложи в доза 100-200 </w:t>
      </w:r>
      <w:r w:rsidRPr="00BC5EE6">
        <w:rPr>
          <w:rFonts w:eastAsia="Times New Roman" w:cs="Arial"/>
          <w:color w:val="000000"/>
          <w:lang w:val="en-US"/>
        </w:rPr>
        <w:t xml:space="preserve">mg </w:t>
      </w:r>
      <w:r w:rsidRPr="00BC5EE6">
        <w:rPr>
          <w:rFonts w:eastAsia="Times New Roman" w:cs="Arial"/>
          <w:color w:val="000000"/>
          <w:lang w:eastAsia="bg-BG"/>
        </w:rPr>
        <w:t xml:space="preserve">желязо (2-4 </w:t>
      </w:r>
      <w:r w:rsidRPr="00BC5EE6">
        <w:rPr>
          <w:rFonts w:eastAsia="Times New Roman" w:cs="Arial"/>
          <w:color w:val="000000"/>
          <w:lang w:val="en-US"/>
        </w:rPr>
        <w:t xml:space="preserve">ml) </w:t>
      </w:r>
      <w:r w:rsidRPr="00BC5EE6">
        <w:rPr>
          <w:rFonts w:eastAsia="Times New Roman" w:cs="Arial"/>
          <w:color w:val="000000"/>
          <w:lang w:eastAsia="bg-BG"/>
        </w:rPr>
        <w:t xml:space="preserve">чрез бавна венозна инжекция (0,2 </w:t>
      </w:r>
      <w:r w:rsidRPr="00BC5EE6">
        <w:rPr>
          <w:rFonts w:eastAsia="Times New Roman" w:cs="Arial"/>
          <w:color w:val="000000"/>
          <w:lang w:val="en-US"/>
        </w:rPr>
        <w:t xml:space="preserve">ml/min), </w:t>
      </w:r>
      <w:r w:rsidRPr="00BC5EE6">
        <w:rPr>
          <w:rFonts w:eastAsia="Times New Roman" w:cs="Arial"/>
          <w:color w:val="000000"/>
          <w:lang w:eastAsia="bg-BG"/>
        </w:rPr>
        <w:t xml:space="preserve">за предпочитане разреден в 10-20 </w:t>
      </w:r>
      <w:r w:rsidRPr="00BC5EE6">
        <w:rPr>
          <w:rFonts w:eastAsia="Times New Roman" w:cs="Arial"/>
          <w:color w:val="000000"/>
          <w:lang w:val="en-US"/>
        </w:rPr>
        <w:t xml:space="preserve">ml </w:t>
      </w:r>
      <w:r w:rsidRPr="00BC5EE6">
        <w:rPr>
          <w:rFonts w:eastAsia="Times New Roman" w:cs="Arial"/>
          <w:color w:val="000000"/>
          <w:lang w:eastAsia="bg-BG"/>
        </w:rPr>
        <w:t>0,9% натриев хлорид или 5% глюкозен разтвор.</w:t>
      </w:r>
    </w:p>
    <w:p w14:paraId="78C82E51" w14:textId="77777777" w:rsidR="00BC5EE6" w:rsidRPr="00BC5EE6" w:rsidRDefault="00BC5EE6" w:rsidP="00BC5EE6">
      <w:pPr>
        <w:spacing w:line="240" w:lineRule="auto"/>
        <w:rPr>
          <w:rFonts w:eastAsia="Times New Roman" w:cs="Arial"/>
          <w:b/>
          <w:bCs/>
          <w:color w:val="000000"/>
          <w:lang w:eastAsia="bg-BG"/>
        </w:rPr>
      </w:pPr>
      <w:bookmarkStart w:id="4" w:name="bookmark6"/>
    </w:p>
    <w:p w14:paraId="4D70980C" w14:textId="7C984627" w:rsidR="00BC5EE6" w:rsidRPr="00BC5EE6" w:rsidRDefault="00BC5EE6" w:rsidP="00BC5EE6">
      <w:pPr>
        <w:spacing w:line="240" w:lineRule="auto"/>
        <w:rPr>
          <w:rFonts w:eastAsia="Times New Roman" w:cs="Arial"/>
          <w:lang w:eastAsia="bg-BG"/>
        </w:rPr>
      </w:pPr>
      <w:r w:rsidRPr="00BC5EE6">
        <w:rPr>
          <w:rFonts w:eastAsia="Times New Roman" w:cs="Arial"/>
          <w:b/>
          <w:bCs/>
          <w:color w:val="000000"/>
          <w:lang w:eastAsia="bg-BG"/>
        </w:rPr>
        <w:lastRenderedPageBreak/>
        <w:t>Инфузия на обща доза:</w:t>
      </w:r>
      <w:bookmarkEnd w:id="4"/>
    </w:p>
    <w:p w14:paraId="1CA3E961" w14:textId="77777777" w:rsidR="00BC5EE6" w:rsidRPr="00BC5EE6" w:rsidRDefault="00BC5EE6" w:rsidP="00BC5EE6">
      <w:pPr>
        <w:spacing w:line="240" w:lineRule="auto"/>
        <w:rPr>
          <w:rFonts w:eastAsia="Times New Roman" w:cs="Arial"/>
          <w:color w:val="000000"/>
          <w:lang w:eastAsia="bg-BG"/>
        </w:rPr>
      </w:pPr>
    </w:p>
    <w:p w14:paraId="7385F02E" w14:textId="32A5C5D9"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 xml:space="preserve">Непосредствено преди приложение, необходимото общо количество КосмоФер, определено от таблицата за дозировка или чрез изчисление, се добавя асептично към определен обем, обикновено 500 </w:t>
      </w:r>
      <w:r w:rsidRPr="00BC5EE6">
        <w:rPr>
          <w:rFonts w:eastAsia="Times New Roman" w:cs="Arial"/>
          <w:color w:val="000000"/>
          <w:lang w:val="en-US"/>
        </w:rPr>
        <w:t xml:space="preserve">ml </w:t>
      </w:r>
      <w:r w:rsidRPr="00BC5EE6">
        <w:rPr>
          <w:rFonts w:eastAsia="Times New Roman" w:cs="Arial"/>
          <w:color w:val="000000"/>
          <w:lang w:eastAsia="bg-BG"/>
        </w:rPr>
        <w:t xml:space="preserve">стерилен разтвор на натриев хлорид или 5% глюкоза. Общото количество КосмоФер, до 20 </w:t>
      </w:r>
      <w:r w:rsidRPr="00BC5EE6">
        <w:rPr>
          <w:rFonts w:eastAsia="Times New Roman" w:cs="Arial"/>
          <w:color w:val="000000"/>
          <w:lang w:val="en-US"/>
        </w:rPr>
        <w:t xml:space="preserve">mg/kg </w:t>
      </w:r>
      <w:r w:rsidRPr="00BC5EE6">
        <w:rPr>
          <w:rFonts w:eastAsia="Times New Roman" w:cs="Arial"/>
          <w:color w:val="000000"/>
          <w:lang w:eastAsia="bg-BG"/>
        </w:rPr>
        <w:t>телесно тегло, се инфузира интравенозно, бавно, в продължение на 4-6 часа. Скоростта на инфузията може да се повиши прогресивно до 45-60 капки за минута.</w:t>
      </w:r>
    </w:p>
    <w:p w14:paraId="745BFD28" w14:textId="77777777"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Инфузията на цялата доза е свързана с повишена честота на нежелани лекарствени реакции, по- специално алергични реакции от забавен тип. Интравенозното приложение на КосмоФер чрез приложение на цялата доза трябва да се ограничи само до болнична употреба.</w:t>
      </w:r>
    </w:p>
    <w:p w14:paraId="58B6F81B" w14:textId="77777777" w:rsidR="00BC5EE6" w:rsidRPr="00BC5EE6" w:rsidRDefault="00BC5EE6" w:rsidP="00BC5EE6">
      <w:pPr>
        <w:spacing w:line="240" w:lineRule="auto"/>
        <w:rPr>
          <w:rFonts w:eastAsia="Times New Roman" w:cs="Arial"/>
          <w:b/>
          <w:bCs/>
          <w:color w:val="000000"/>
          <w:lang w:eastAsia="bg-BG"/>
        </w:rPr>
      </w:pPr>
      <w:bookmarkStart w:id="5" w:name="bookmark8"/>
    </w:p>
    <w:p w14:paraId="080BEFD4" w14:textId="573CF605" w:rsidR="00BC5EE6" w:rsidRPr="00BC5EE6" w:rsidRDefault="00BC5EE6" w:rsidP="00BC5EE6">
      <w:pPr>
        <w:spacing w:line="240" w:lineRule="auto"/>
        <w:rPr>
          <w:rFonts w:eastAsia="Times New Roman" w:cs="Arial"/>
          <w:lang w:eastAsia="bg-BG"/>
        </w:rPr>
      </w:pPr>
      <w:r w:rsidRPr="00BC5EE6">
        <w:rPr>
          <w:rFonts w:eastAsia="Times New Roman" w:cs="Arial"/>
          <w:b/>
          <w:bCs/>
          <w:color w:val="000000"/>
          <w:lang w:eastAsia="bg-BG"/>
        </w:rPr>
        <w:t>Инжектиране в диализатор:</w:t>
      </w:r>
      <w:bookmarkEnd w:id="5"/>
    </w:p>
    <w:p w14:paraId="36528320" w14:textId="77777777" w:rsidR="00BC5EE6" w:rsidRPr="00BC5EE6" w:rsidRDefault="00BC5EE6" w:rsidP="00BC5EE6">
      <w:pPr>
        <w:spacing w:line="240" w:lineRule="auto"/>
        <w:rPr>
          <w:rFonts w:eastAsia="Times New Roman" w:cs="Arial"/>
          <w:color w:val="000000"/>
          <w:lang w:eastAsia="bg-BG"/>
        </w:rPr>
      </w:pPr>
    </w:p>
    <w:p w14:paraId="4CFC5B13" w14:textId="7E58F8EC"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КосмоФер може да се приложи по време на хемодиализа, директно във венозната част на диализатора, следвайки същите процедури, като описаните за интравенозно приложение</w:t>
      </w:r>
    </w:p>
    <w:p w14:paraId="5C2102F0" w14:textId="77777777" w:rsidR="00BC5EE6" w:rsidRPr="00BC5EE6" w:rsidRDefault="00BC5EE6" w:rsidP="00BC5EE6">
      <w:pPr>
        <w:spacing w:line="240" w:lineRule="auto"/>
        <w:rPr>
          <w:rFonts w:eastAsia="Times New Roman" w:cs="Arial"/>
          <w:b/>
          <w:bCs/>
          <w:color w:val="000000"/>
          <w:lang w:eastAsia="bg-BG"/>
        </w:rPr>
      </w:pPr>
      <w:bookmarkStart w:id="6" w:name="bookmark10"/>
    </w:p>
    <w:p w14:paraId="083ED78D" w14:textId="167D332D" w:rsidR="00BC5EE6" w:rsidRPr="00BC5EE6" w:rsidRDefault="00BC5EE6" w:rsidP="00BC5EE6">
      <w:pPr>
        <w:spacing w:line="240" w:lineRule="auto"/>
        <w:rPr>
          <w:rFonts w:eastAsia="Times New Roman" w:cs="Arial"/>
          <w:lang w:eastAsia="bg-BG"/>
        </w:rPr>
      </w:pPr>
      <w:r w:rsidRPr="00BC5EE6">
        <w:rPr>
          <w:rFonts w:eastAsia="Times New Roman" w:cs="Arial"/>
          <w:b/>
          <w:bCs/>
          <w:color w:val="000000"/>
          <w:lang w:eastAsia="bg-BG"/>
        </w:rPr>
        <w:t>Интрамускулна инжекция:</w:t>
      </w:r>
      <w:bookmarkEnd w:id="6"/>
    </w:p>
    <w:p w14:paraId="6EFA88C7" w14:textId="77777777" w:rsidR="00BC5EE6" w:rsidRPr="00BC5EE6" w:rsidRDefault="00BC5EE6" w:rsidP="00BC5EE6">
      <w:pPr>
        <w:rPr>
          <w:rFonts w:eastAsia="Times New Roman" w:cs="Arial"/>
          <w:color w:val="000000"/>
          <w:lang w:eastAsia="bg-BG"/>
        </w:rPr>
      </w:pPr>
    </w:p>
    <w:p w14:paraId="1BE5F157" w14:textId="77777777" w:rsidR="00BC5EE6" w:rsidRPr="00BC5EE6" w:rsidRDefault="00BC5EE6" w:rsidP="00BC5EE6">
      <w:pPr>
        <w:rPr>
          <w:rFonts w:eastAsia="Times New Roman" w:cs="Arial"/>
          <w:lang w:eastAsia="bg-BG"/>
        </w:rPr>
      </w:pPr>
      <w:r w:rsidRPr="00BC5EE6">
        <w:rPr>
          <w:rFonts w:eastAsia="Times New Roman" w:cs="Arial"/>
          <w:color w:val="000000"/>
          <w:lang w:eastAsia="bg-BG"/>
        </w:rPr>
        <w:t xml:space="preserve">Необходимото общо количество КосмоФер се определя или от таблицата за дозировка или чрез изчисление. Прилага се като серия неразредени инжекции от до 100 </w:t>
      </w:r>
      <w:r w:rsidRPr="00BC5EE6">
        <w:rPr>
          <w:rFonts w:eastAsia="Times New Roman" w:cs="Arial"/>
          <w:color w:val="000000"/>
          <w:lang w:val="en-US"/>
        </w:rPr>
        <w:t xml:space="preserve">mg </w:t>
      </w:r>
      <w:r w:rsidRPr="00BC5EE6">
        <w:rPr>
          <w:rFonts w:eastAsia="Times New Roman" w:cs="Arial"/>
          <w:color w:val="000000"/>
          <w:lang w:eastAsia="bg-BG"/>
        </w:rPr>
        <w:t xml:space="preserve">желязо (2,0 </w:t>
      </w:r>
      <w:r w:rsidRPr="00BC5EE6">
        <w:rPr>
          <w:rFonts w:eastAsia="Times New Roman" w:cs="Arial"/>
          <w:color w:val="000000"/>
          <w:lang w:val="en-US"/>
        </w:rPr>
        <w:t xml:space="preserve">ml), </w:t>
      </w:r>
      <w:r w:rsidRPr="00BC5EE6">
        <w:rPr>
          <w:rFonts w:eastAsia="Times New Roman" w:cs="Arial"/>
          <w:color w:val="000000"/>
          <w:lang w:eastAsia="bg-BG"/>
        </w:rPr>
        <w:t>всяка</w:t>
      </w:r>
      <w:r w:rsidRPr="00BC5EE6">
        <w:rPr>
          <w:rFonts w:eastAsia="Times New Roman" w:cs="Arial"/>
          <w:color w:val="000000"/>
          <w:lang w:eastAsia="bg-BG"/>
        </w:rPr>
        <w:t xml:space="preserve"> </w:t>
      </w:r>
      <w:r w:rsidRPr="00BC5EE6">
        <w:rPr>
          <w:rFonts w:eastAsia="Times New Roman" w:cs="Arial"/>
          <w:color w:val="000000"/>
          <w:lang w:eastAsia="bg-BG"/>
        </w:rPr>
        <w:t>една определена от телесното тегло на пациента. Ако пациентът е умерено активен, инжекциите могат да се прилагат дневно, при редуване на седалищните мускули. При слабо активни пациенти или такива на легло, честотата на инжекциите трябва да се намали до един или два пъти седмично.</w:t>
      </w:r>
    </w:p>
    <w:p w14:paraId="61CE8AA8" w14:textId="77777777" w:rsidR="00BC5EE6" w:rsidRPr="00BC5EE6" w:rsidRDefault="00BC5EE6" w:rsidP="00BC5EE6">
      <w:pPr>
        <w:spacing w:line="240" w:lineRule="auto"/>
        <w:rPr>
          <w:rFonts w:eastAsia="Times New Roman" w:cs="Arial"/>
          <w:color w:val="000000"/>
          <w:lang w:eastAsia="bg-BG"/>
        </w:rPr>
      </w:pPr>
    </w:p>
    <w:p w14:paraId="5F684FD9" w14:textId="4882ED18"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 xml:space="preserve">КосмоФер трябва да се прилага чрез дълбока интрамускулна инжекция, за да се намали риска от подкожно оцветяване. Трябва да се инжектира само в мускулната маса на горния външен квадрант на седалищния мускул - никога в ръката или други изложени на открито области. При възрастни индивиди с нормално тегло трябва да се използват игли с размер 20-21 </w:t>
      </w:r>
      <w:r w:rsidRPr="00BC5EE6">
        <w:rPr>
          <w:rFonts w:eastAsia="Times New Roman" w:cs="Arial"/>
          <w:color w:val="000000"/>
          <w:lang w:val="en-US"/>
        </w:rPr>
        <w:t xml:space="preserve">G </w:t>
      </w:r>
      <w:r w:rsidRPr="00BC5EE6">
        <w:rPr>
          <w:rFonts w:eastAsia="Times New Roman" w:cs="Arial"/>
          <w:color w:val="000000"/>
          <w:lang w:eastAsia="bg-BG"/>
        </w:rPr>
        <w:t xml:space="preserve">и най-малко 50 </w:t>
      </w:r>
      <w:r w:rsidRPr="00BC5EE6">
        <w:rPr>
          <w:rFonts w:eastAsia="Times New Roman" w:cs="Arial"/>
          <w:color w:val="000000"/>
          <w:lang w:val="en-US"/>
        </w:rPr>
        <w:t xml:space="preserve">mm </w:t>
      </w:r>
      <w:r w:rsidRPr="00BC5EE6">
        <w:rPr>
          <w:rFonts w:eastAsia="Times New Roman" w:cs="Arial"/>
          <w:color w:val="000000"/>
          <w:lang w:eastAsia="bg-BG"/>
        </w:rPr>
        <w:t xml:space="preserve">дължина. При пациенти с наднормено тегло дължината трябва да бъде 80-100 </w:t>
      </w:r>
      <w:r w:rsidRPr="00BC5EE6">
        <w:rPr>
          <w:rFonts w:eastAsia="Times New Roman" w:cs="Arial"/>
          <w:color w:val="000000"/>
          <w:lang w:val="en-US"/>
        </w:rPr>
        <w:t xml:space="preserve">mm, </w:t>
      </w:r>
      <w:r w:rsidRPr="00BC5EE6">
        <w:rPr>
          <w:rFonts w:eastAsia="Times New Roman" w:cs="Arial"/>
          <w:color w:val="000000"/>
          <w:lang w:eastAsia="bg-BG"/>
        </w:rPr>
        <w:t xml:space="preserve">докато при по- слабите се използва по-къса и по-малка игла (23 </w:t>
      </w:r>
      <w:r w:rsidRPr="00BC5EE6">
        <w:rPr>
          <w:rFonts w:eastAsia="Times New Roman" w:cs="Arial"/>
          <w:color w:val="000000"/>
          <w:lang w:val="en-US"/>
        </w:rPr>
        <w:t xml:space="preserve">G </w:t>
      </w:r>
      <w:r w:rsidRPr="00BC5EE6">
        <w:rPr>
          <w:rFonts w:eastAsia="Times New Roman" w:cs="Arial"/>
          <w:color w:val="000000"/>
          <w:lang w:eastAsia="bg-BG"/>
        </w:rPr>
        <w:t xml:space="preserve">х 32 </w:t>
      </w:r>
      <w:r w:rsidRPr="00BC5EE6">
        <w:rPr>
          <w:rFonts w:eastAsia="Times New Roman" w:cs="Arial"/>
          <w:color w:val="000000"/>
          <w:lang w:val="en-US"/>
        </w:rPr>
        <w:t xml:space="preserve">mm). </w:t>
      </w:r>
      <w:r w:rsidRPr="00BC5EE6">
        <w:rPr>
          <w:rFonts w:eastAsia="Times New Roman" w:cs="Arial"/>
          <w:color w:val="000000"/>
          <w:lang w:eastAsia="bg-BG"/>
        </w:rPr>
        <w:t xml:space="preserve">Пациентът трябва да е легнал в странично положение, с мястото на инжектиране нагоре, или в изправено положение, като тежестта на тялото да бъде пренесена на страната, противоположна на мястото на инжетиране. За да се избегне инжектиране или изтичане в подкожната тъкан, се препоръчва т.н. </w:t>
      </w:r>
      <w:r w:rsidRPr="00BC5EE6">
        <w:rPr>
          <w:rFonts w:eastAsia="Times New Roman" w:cs="Arial"/>
          <w:color w:val="000000"/>
          <w:lang w:val="en-US"/>
        </w:rPr>
        <w:t>Z</w:t>
      </w:r>
      <w:r w:rsidRPr="00BC5EE6">
        <w:rPr>
          <w:rFonts w:eastAsia="Times New Roman" w:cs="Arial"/>
          <w:color w:val="000000"/>
          <w:lang w:eastAsia="bg-BG"/>
        </w:rPr>
        <w:t>-техника (преместване на кожата в латерална посока, преди инжектиране). КосмоФер се инжектира бавно и постепенно. Важно е да се изчака няколко секунди преди да се изтегли иглата, за да се позволи на мускулната маса да приеме инжектирания обем. За да се намали изтичането през инжекционната следа, пациентът трябва да се съветва да не разтрива мястото на инжектиране.</w:t>
      </w:r>
    </w:p>
    <w:p w14:paraId="5D6CBC76" w14:textId="77777777" w:rsidR="00BC5EE6" w:rsidRPr="00BC5EE6" w:rsidRDefault="00BC5EE6" w:rsidP="00BC5EE6">
      <w:pPr>
        <w:spacing w:line="240" w:lineRule="auto"/>
        <w:rPr>
          <w:rFonts w:eastAsia="Times New Roman" w:cs="Arial"/>
          <w:b/>
          <w:bCs/>
          <w:color w:val="000000"/>
          <w:lang w:eastAsia="bg-BG"/>
        </w:rPr>
      </w:pPr>
    </w:p>
    <w:p w14:paraId="3FCC2F58" w14:textId="4BAA402C" w:rsidR="00BC5EE6" w:rsidRPr="00BC5EE6" w:rsidRDefault="00BC5EE6" w:rsidP="00BC5EE6">
      <w:pPr>
        <w:spacing w:line="240" w:lineRule="auto"/>
        <w:rPr>
          <w:rFonts w:eastAsia="Times New Roman" w:cs="Arial"/>
          <w:lang w:eastAsia="bg-BG"/>
        </w:rPr>
      </w:pPr>
      <w:r w:rsidRPr="00BC5EE6">
        <w:rPr>
          <w:rFonts w:eastAsia="Times New Roman" w:cs="Arial"/>
          <w:b/>
          <w:bCs/>
          <w:color w:val="000000"/>
          <w:lang w:eastAsia="bg-BG"/>
        </w:rPr>
        <w:t>Изчисляване на дозата:</w:t>
      </w:r>
    </w:p>
    <w:p w14:paraId="65F0AF04" w14:textId="77777777" w:rsidR="00BC5EE6" w:rsidRPr="00BC5EE6" w:rsidRDefault="00BC5EE6" w:rsidP="00BC5EE6">
      <w:pPr>
        <w:spacing w:line="240" w:lineRule="auto"/>
        <w:rPr>
          <w:rFonts w:eastAsia="Times New Roman" w:cs="Arial"/>
          <w:color w:val="000000"/>
          <w:u w:val="single"/>
          <w:lang w:eastAsia="bg-BG"/>
        </w:rPr>
      </w:pPr>
    </w:p>
    <w:p w14:paraId="174111F2" w14:textId="2F86EAF6" w:rsidR="00BC5EE6" w:rsidRPr="00BC5EE6" w:rsidRDefault="00BC5EE6" w:rsidP="00BC5EE6">
      <w:pPr>
        <w:spacing w:line="240" w:lineRule="auto"/>
        <w:rPr>
          <w:rFonts w:eastAsia="Times New Roman" w:cs="Arial"/>
          <w:lang w:eastAsia="bg-BG"/>
        </w:rPr>
      </w:pPr>
      <w:r w:rsidRPr="00BC5EE6">
        <w:rPr>
          <w:rFonts w:eastAsia="Times New Roman" w:cs="Arial"/>
          <w:color w:val="000000"/>
          <w:u w:val="single"/>
          <w:lang w:eastAsia="bg-BG"/>
        </w:rPr>
        <w:t>А) Възстановяване на желязото при пациенти с желязодефицитна анемия:</w:t>
      </w:r>
    </w:p>
    <w:p w14:paraId="365A35A0" w14:textId="77777777"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 xml:space="preserve">Факторите, участващи във формулата са представени по-долу. Необходимата доза трябва да бъде определена индивидуално според общия железен дефицит, изчислен според следната формула — хемоглобин в </w:t>
      </w:r>
      <w:r w:rsidRPr="00BC5EE6">
        <w:rPr>
          <w:rFonts w:eastAsia="Times New Roman" w:cs="Arial"/>
          <w:color w:val="000000"/>
          <w:lang w:val="en-US"/>
        </w:rPr>
        <w:t xml:space="preserve">g/1 </w:t>
      </w:r>
      <w:r w:rsidRPr="00BC5EE6">
        <w:rPr>
          <w:rFonts w:eastAsia="Times New Roman" w:cs="Arial"/>
          <w:color w:val="000000"/>
          <w:lang w:eastAsia="bg-BG"/>
        </w:rPr>
        <w:t xml:space="preserve">или в </w:t>
      </w:r>
      <w:r w:rsidRPr="00BC5EE6">
        <w:rPr>
          <w:rFonts w:eastAsia="Times New Roman" w:cs="Arial"/>
          <w:color w:val="000000"/>
          <w:lang w:val="en-US"/>
        </w:rPr>
        <w:t>mmol/l</w:t>
      </w:r>
      <w:r w:rsidRPr="00BC5EE6">
        <w:rPr>
          <w:rFonts w:eastAsia="Times New Roman" w:cs="Arial"/>
          <w:color w:val="000000"/>
          <w:lang w:eastAsia="bg-BG"/>
        </w:rPr>
        <w:t>.</w:t>
      </w:r>
    </w:p>
    <w:p w14:paraId="3AB4D75C" w14:textId="77777777" w:rsidR="00BC5EE6" w:rsidRPr="00BC5EE6" w:rsidRDefault="00BC5EE6" w:rsidP="00BC5EE6">
      <w:pPr>
        <w:spacing w:line="240" w:lineRule="auto"/>
        <w:rPr>
          <w:rFonts w:eastAsia="Times New Roman" w:cs="Arial"/>
          <w:color w:val="000000"/>
          <w:u w:val="single"/>
          <w:lang w:eastAsia="bg-BG"/>
        </w:rPr>
      </w:pPr>
    </w:p>
    <w:p w14:paraId="3DC80441" w14:textId="5D770983" w:rsidR="00BC5EE6" w:rsidRPr="00BC5EE6" w:rsidRDefault="00BC5EE6" w:rsidP="00BC5EE6">
      <w:pPr>
        <w:spacing w:line="240" w:lineRule="auto"/>
        <w:rPr>
          <w:rFonts w:eastAsia="Times New Roman" w:cs="Arial"/>
          <w:lang w:eastAsia="bg-BG"/>
        </w:rPr>
      </w:pPr>
      <w:r w:rsidRPr="00BC5EE6">
        <w:rPr>
          <w:rFonts w:eastAsia="Times New Roman" w:cs="Arial"/>
          <w:color w:val="000000"/>
          <w:u w:val="single"/>
          <w:lang w:eastAsia="bg-BG"/>
        </w:rPr>
        <w:lastRenderedPageBreak/>
        <w:t xml:space="preserve">Обща доза </w:t>
      </w:r>
      <w:r w:rsidRPr="00BC5EE6">
        <w:rPr>
          <w:rFonts w:eastAsia="Times New Roman" w:cs="Arial"/>
          <w:color w:val="000000"/>
          <w:u w:val="single"/>
          <w:lang w:val="en-US"/>
        </w:rPr>
        <w:t>(mg Fe)</w:t>
      </w:r>
      <w:r w:rsidRPr="00BC5EE6">
        <w:rPr>
          <w:rFonts w:eastAsia="Times New Roman" w:cs="Arial"/>
          <w:color w:val="000000"/>
          <w:lang w:val="en-US"/>
        </w:rPr>
        <w:t xml:space="preserve"> </w:t>
      </w:r>
      <w:r w:rsidRPr="00BC5EE6">
        <w:rPr>
          <w:rFonts w:eastAsia="Times New Roman" w:cs="Arial"/>
          <w:color w:val="000000"/>
          <w:lang w:eastAsia="bg-BG"/>
        </w:rPr>
        <w:t xml:space="preserve">- </w:t>
      </w:r>
      <w:r w:rsidRPr="00BC5EE6">
        <w:rPr>
          <w:rFonts w:eastAsia="Times New Roman" w:cs="Arial"/>
          <w:color w:val="000000"/>
          <w:lang w:val="en-US"/>
        </w:rPr>
        <w:t xml:space="preserve">Hb </w:t>
      </w:r>
      <w:r w:rsidRPr="00BC5EE6">
        <w:rPr>
          <w:rFonts w:eastAsia="Times New Roman" w:cs="Arial"/>
          <w:color w:val="000000"/>
          <w:lang w:eastAsia="bg-BG"/>
        </w:rPr>
        <w:t xml:space="preserve">в </w:t>
      </w:r>
      <w:r w:rsidRPr="00BC5EE6">
        <w:rPr>
          <w:rFonts w:eastAsia="Times New Roman" w:cs="Arial"/>
          <w:color w:val="000000"/>
          <w:lang w:val="en-US"/>
        </w:rPr>
        <w:t>g/l</w:t>
      </w:r>
      <w:r w:rsidRPr="00BC5EE6">
        <w:rPr>
          <w:rFonts w:eastAsia="Times New Roman" w:cs="Arial"/>
          <w:color w:val="000000"/>
          <w:lang w:eastAsia="bg-BG"/>
        </w:rPr>
        <w:t>:</w:t>
      </w:r>
    </w:p>
    <w:p w14:paraId="4853196A" w14:textId="77777777" w:rsidR="00BC5EE6" w:rsidRPr="00BC5EE6" w:rsidRDefault="00BC5EE6" w:rsidP="00BC5EE6">
      <w:pPr>
        <w:spacing w:line="240" w:lineRule="auto"/>
        <w:rPr>
          <w:rFonts w:eastAsia="Times New Roman" w:cs="Arial"/>
          <w:color w:val="000000"/>
          <w:lang w:eastAsia="bg-BG"/>
        </w:rPr>
      </w:pPr>
    </w:p>
    <w:p w14:paraId="3D58163E" w14:textId="65ECCBCB"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 xml:space="preserve">(Телесно тегло </w:t>
      </w:r>
      <w:r w:rsidRPr="00BC5EE6">
        <w:rPr>
          <w:rFonts w:eastAsia="Times New Roman" w:cs="Arial"/>
          <w:color w:val="000000"/>
          <w:lang w:val="en-US"/>
        </w:rPr>
        <w:t xml:space="preserve">(kg) </w:t>
      </w:r>
      <w:r w:rsidRPr="00BC5EE6">
        <w:rPr>
          <w:rFonts w:eastAsia="Times New Roman" w:cs="Arial"/>
          <w:color w:val="000000"/>
          <w:lang w:eastAsia="bg-BG"/>
        </w:rPr>
        <w:t>х (прицелно ниво на Н</w:t>
      </w:r>
      <w:r w:rsidRPr="00BC5EE6">
        <w:rPr>
          <w:rFonts w:eastAsia="Times New Roman" w:cs="Arial"/>
          <w:color w:val="000000"/>
          <w:lang w:val="en-US"/>
        </w:rPr>
        <w:t>b</w:t>
      </w:r>
      <w:r w:rsidRPr="00BC5EE6">
        <w:rPr>
          <w:rFonts w:eastAsia="Times New Roman" w:cs="Arial"/>
          <w:color w:val="000000"/>
          <w:lang w:eastAsia="bg-BG"/>
        </w:rPr>
        <w:t xml:space="preserve"> - реално ниво на </w:t>
      </w:r>
      <w:r w:rsidRPr="00BC5EE6">
        <w:rPr>
          <w:rFonts w:eastAsia="Times New Roman" w:cs="Arial"/>
          <w:color w:val="000000"/>
          <w:lang w:val="en-US"/>
        </w:rPr>
        <w:t xml:space="preserve">Hb) (g/l) </w:t>
      </w:r>
      <w:r w:rsidRPr="00BC5EE6">
        <w:rPr>
          <w:rFonts w:eastAsia="Times New Roman" w:cs="Arial"/>
          <w:color w:val="000000"/>
          <w:lang w:eastAsia="bg-BG"/>
        </w:rPr>
        <w:t xml:space="preserve">х 0,24) + </w:t>
      </w:r>
      <w:r w:rsidRPr="00BC5EE6">
        <w:rPr>
          <w:rFonts w:eastAsia="Times New Roman" w:cs="Arial"/>
          <w:color w:val="000000"/>
          <w:lang w:val="en-US"/>
        </w:rPr>
        <w:t xml:space="preserve">mg </w:t>
      </w:r>
      <w:r w:rsidRPr="00BC5EE6">
        <w:rPr>
          <w:rFonts w:eastAsia="Times New Roman" w:cs="Arial"/>
          <w:color w:val="000000"/>
          <w:lang w:eastAsia="bg-BG"/>
        </w:rPr>
        <w:t>желязо за железните депа</w:t>
      </w:r>
    </w:p>
    <w:p w14:paraId="775A2030" w14:textId="77777777"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 xml:space="preserve">Коефициентът 0,24 е получен чрез следните изчисления: а) Кръвен обем 70 </w:t>
      </w:r>
      <w:r w:rsidRPr="00BC5EE6">
        <w:rPr>
          <w:rFonts w:eastAsia="Times New Roman" w:cs="Arial"/>
          <w:color w:val="000000"/>
          <w:lang w:val="en-US"/>
        </w:rPr>
        <w:t xml:space="preserve">ml/kg </w:t>
      </w:r>
      <w:r w:rsidRPr="00BC5EE6">
        <w:rPr>
          <w:rFonts w:eastAsia="Times New Roman" w:cs="Arial"/>
          <w:color w:val="000000"/>
          <w:lang w:eastAsia="bg-BG"/>
        </w:rPr>
        <w:t xml:space="preserve">телесно тегло ≈ 7% от телесното тегло б) Съдържание на желязо в хемоглобина = 0,34% Коефициентът 0,24 = 0,0034 х 0,07 х 1 000 (превръщане на </w:t>
      </w:r>
      <w:r w:rsidRPr="00BC5EE6">
        <w:rPr>
          <w:rFonts w:eastAsia="Times New Roman" w:cs="Arial"/>
          <w:color w:val="000000"/>
          <w:lang w:val="en-US"/>
        </w:rPr>
        <w:t xml:space="preserve">g </w:t>
      </w:r>
      <w:r w:rsidRPr="00BC5EE6">
        <w:rPr>
          <w:rFonts w:eastAsia="Times New Roman" w:cs="Arial"/>
          <w:color w:val="000000"/>
          <w:lang w:eastAsia="bg-BG"/>
        </w:rPr>
        <w:t xml:space="preserve">в </w:t>
      </w:r>
      <w:r w:rsidRPr="00BC5EE6">
        <w:rPr>
          <w:rFonts w:eastAsia="Times New Roman" w:cs="Arial"/>
          <w:color w:val="000000"/>
          <w:lang w:val="en-US"/>
        </w:rPr>
        <w:t>mg)</w:t>
      </w:r>
    </w:p>
    <w:p w14:paraId="680D6BC8" w14:textId="77777777" w:rsidR="00BC5EE6" w:rsidRPr="00BC5EE6" w:rsidRDefault="00BC5EE6" w:rsidP="00BC5EE6">
      <w:pPr>
        <w:spacing w:line="240" w:lineRule="auto"/>
        <w:rPr>
          <w:rFonts w:eastAsia="Times New Roman" w:cs="Arial"/>
          <w:color w:val="000000"/>
          <w:u w:val="single"/>
          <w:lang w:eastAsia="bg-BG"/>
        </w:rPr>
      </w:pPr>
    </w:p>
    <w:p w14:paraId="5791BF35" w14:textId="46B6A60F" w:rsidR="00BC5EE6" w:rsidRPr="00BC5EE6" w:rsidRDefault="00BC5EE6" w:rsidP="00BC5EE6">
      <w:pPr>
        <w:spacing w:line="240" w:lineRule="auto"/>
        <w:rPr>
          <w:rFonts w:eastAsia="Times New Roman" w:cs="Arial"/>
          <w:lang w:eastAsia="bg-BG"/>
        </w:rPr>
      </w:pPr>
      <w:r w:rsidRPr="00BC5EE6">
        <w:rPr>
          <w:rFonts w:eastAsia="Times New Roman" w:cs="Arial"/>
          <w:color w:val="000000"/>
          <w:u w:val="single"/>
          <w:lang w:eastAsia="bg-BG"/>
        </w:rPr>
        <w:t xml:space="preserve">Обша доза </w:t>
      </w:r>
      <w:r w:rsidRPr="00BC5EE6">
        <w:rPr>
          <w:rFonts w:eastAsia="Times New Roman" w:cs="Arial"/>
          <w:color w:val="000000"/>
          <w:u w:val="single"/>
          <w:lang w:val="en-US"/>
        </w:rPr>
        <w:t>mg (Fe)</w:t>
      </w:r>
      <w:r w:rsidRPr="00BC5EE6">
        <w:rPr>
          <w:rFonts w:eastAsia="Times New Roman" w:cs="Arial"/>
          <w:color w:val="000000"/>
          <w:lang w:val="en-US"/>
        </w:rPr>
        <w:t xml:space="preserve"> </w:t>
      </w:r>
      <w:r w:rsidRPr="00BC5EE6">
        <w:rPr>
          <w:rFonts w:eastAsia="Times New Roman" w:cs="Arial"/>
          <w:color w:val="000000"/>
          <w:lang w:eastAsia="bg-BG"/>
        </w:rPr>
        <w:t xml:space="preserve">- </w:t>
      </w:r>
      <w:r w:rsidRPr="00BC5EE6">
        <w:rPr>
          <w:rFonts w:eastAsia="Times New Roman" w:cs="Arial"/>
          <w:color w:val="000000"/>
          <w:lang w:val="en-US"/>
        </w:rPr>
        <w:t xml:space="preserve">Hb </w:t>
      </w:r>
      <w:r w:rsidRPr="00BC5EE6">
        <w:rPr>
          <w:rFonts w:eastAsia="Times New Roman" w:cs="Arial"/>
          <w:color w:val="000000"/>
          <w:lang w:eastAsia="bg-BG"/>
        </w:rPr>
        <w:t xml:space="preserve">в </w:t>
      </w:r>
      <w:r w:rsidRPr="00BC5EE6">
        <w:rPr>
          <w:rFonts w:eastAsia="Times New Roman" w:cs="Arial"/>
          <w:color w:val="000000"/>
          <w:lang w:val="en-US"/>
        </w:rPr>
        <w:t>mmol/l</w:t>
      </w:r>
      <w:r w:rsidRPr="00BC5EE6">
        <w:rPr>
          <w:rFonts w:eastAsia="Times New Roman" w:cs="Arial"/>
          <w:color w:val="000000"/>
          <w:lang w:eastAsia="bg-BG"/>
        </w:rPr>
        <w:t>:</w:t>
      </w:r>
    </w:p>
    <w:p w14:paraId="03C6E241" w14:textId="77777777" w:rsidR="00BC5EE6" w:rsidRPr="00BC5EE6" w:rsidRDefault="00BC5EE6" w:rsidP="00BC5EE6">
      <w:pPr>
        <w:spacing w:line="240" w:lineRule="auto"/>
        <w:rPr>
          <w:rFonts w:eastAsia="Times New Roman" w:cs="Arial"/>
          <w:color w:val="000000"/>
          <w:lang w:eastAsia="bg-BG"/>
        </w:rPr>
      </w:pPr>
    </w:p>
    <w:p w14:paraId="0D613224" w14:textId="3702DC36"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 xml:space="preserve">Телесно тегло </w:t>
      </w:r>
      <w:r w:rsidRPr="00BC5EE6">
        <w:rPr>
          <w:rFonts w:eastAsia="Times New Roman" w:cs="Arial"/>
          <w:color w:val="000000"/>
          <w:lang w:val="en-US"/>
        </w:rPr>
        <w:t xml:space="preserve">(kg) </w:t>
      </w:r>
      <w:r w:rsidRPr="00BC5EE6">
        <w:rPr>
          <w:rFonts w:eastAsia="Times New Roman" w:cs="Arial"/>
          <w:color w:val="000000"/>
          <w:lang w:eastAsia="bg-BG"/>
        </w:rPr>
        <w:t xml:space="preserve">х (прицелно ниво на НЬ в </w:t>
      </w:r>
      <w:r w:rsidRPr="00BC5EE6">
        <w:rPr>
          <w:rFonts w:eastAsia="Times New Roman" w:cs="Arial"/>
          <w:color w:val="000000"/>
          <w:lang w:val="en-US"/>
        </w:rPr>
        <w:t xml:space="preserve">mmol/l </w:t>
      </w:r>
      <w:r w:rsidRPr="00BC5EE6">
        <w:rPr>
          <w:rFonts w:eastAsia="Times New Roman" w:cs="Arial"/>
          <w:color w:val="000000"/>
          <w:lang w:eastAsia="bg-BG"/>
        </w:rPr>
        <w:t xml:space="preserve">- реално ниво на НЬ в </w:t>
      </w:r>
      <w:r w:rsidRPr="00BC5EE6">
        <w:rPr>
          <w:rFonts w:eastAsia="Times New Roman" w:cs="Arial"/>
          <w:color w:val="000000"/>
          <w:lang w:val="en-US"/>
        </w:rPr>
        <w:t xml:space="preserve">mmol/l) </w:t>
      </w:r>
      <w:r w:rsidRPr="00BC5EE6">
        <w:rPr>
          <w:rFonts w:eastAsia="Times New Roman" w:cs="Arial"/>
          <w:color w:val="000000"/>
          <w:lang w:eastAsia="bg-BG"/>
        </w:rPr>
        <w:t xml:space="preserve">х 3,84 + </w:t>
      </w:r>
      <w:r w:rsidRPr="00BC5EE6">
        <w:rPr>
          <w:rFonts w:eastAsia="Times New Roman" w:cs="Arial"/>
          <w:color w:val="000000"/>
          <w:lang w:val="en-US"/>
        </w:rPr>
        <w:t xml:space="preserve">mg </w:t>
      </w:r>
      <w:r w:rsidRPr="00BC5EE6">
        <w:rPr>
          <w:rFonts w:eastAsia="Times New Roman" w:cs="Arial"/>
          <w:color w:val="000000"/>
          <w:lang w:eastAsia="bg-BG"/>
        </w:rPr>
        <w:t>желязо за железните депа</w:t>
      </w:r>
    </w:p>
    <w:p w14:paraId="335D47BE" w14:textId="77777777" w:rsidR="00BC5EE6" w:rsidRPr="00BC5EE6" w:rsidRDefault="00BC5EE6" w:rsidP="00BC5EE6">
      <w:pPr>
        <w:spacing w:line="240" w:lineRule="auto"/>
        <w:rPr>
          <w:rFonts w:eastAsia="Times New Roman" w:cs="Arial"/>
          <w:color w:val="000000"/>
          <w:lang w:eastAsia="bg-BG"/>
        </w:rPr>
      </w:pPr>
    </w:p>
    <w:p w14:paraId="64CD5968" w14:textId="7FE29AE5"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 xml:space="preserve">Коефициентът 3,84 </w:t>
      </w:r>
      <w:r w:rsidRPr="00BC5EE6">
        <w:rPr>
          <w:rFonts w:eastAsia="Times New Roman" w:cs="Arial"/>
          <w:i/>
          <w:iCs/>
          <w:color w:val="000000"/>
          <w:lang w:eastAsia="bg-BG"/>
        </w:rPr>
        <w:t>е</w:t>
      </w:r>
      <w:r w:rsidRPr="00BC5EE6">
        <w:rPr>
          <w:rFonts w:eastAsia="Times New Roman" w:cs="Arial"/>
          <w:color w:val="000000"/>
          <w:lang w:eastAsia="bg-BG"/>
        </w:rPr>
        <w:t xml:space="preserve"> получен чрез следните изчисления: а) Кръвен обем 70 </w:t>
      </w:r>
      <w:r w:rsidRPr="00BC5EE6">
        <w:rPr>
          <w:rFonts w:eastAsia="Times New Roman" w:cs="Arial"/>
          <w:color w:val="000000"/>
          <w:lang w:val="en-US"/>
        </w:rPr>
        <w:t xml:space="preserve">ml/kg </w:t>
      </w:r>
      <w:r w:rsidRPr="00BC5EE6">
        <w:rPr>
          <w:rFonts w:eastAsia="Times New Roman" w:cs="Arial"/>
          <w:color w:val="000000"/>
          <w:lang w:eastAsia="bg-BG"/>
        </w:rPr>
        <w:t xml:space="preserve">телесно тегло </w:t>
      </w:r>
      <w:r w:rsidRPr="00BC5EE6">
        <w:rPr>
          <w:rFonts w:eastAsia="Times New Roman" w:cs="Arial"/>
          <w:color w:val="000000"/>
          <w:lang w:val="en-US"/>
        </w:rPr>
        <w:t>≈</w:t>
      </w:r>
      <w:r w:rsidRPr="00BC5EE6">
        <w:rPr>
          <w:rFonts w:eastAsia="Times New Roman" w:cs="Arial"/>
          <w:color w:val="000000"/>
          <w:lang w:eastAsia="bg-BG"/>
        </w:rPr>
        <w:t xml:space="preserve">7% от телесното тегло б) Съдържание на желязо в хемоглобина = 0,34% в) Коефициентът за превръщане на желязото от хемоглобин в </w:t>
      </w:r>
      <w:r w:rsidRPr="00BC5EE6">
        <w:rPr>
          <w:rFonts w:eastAsia="Times New Roman" w:cs="Arial"/>
          <w:color w:val="000000"/>
          <w:lang w:val="en-US"/>
        </w:rPr>
        <w:t xml:space="preserve">g/1 </w:t>
      </w:r>
      <w:r w:rsidRPr="00BC5EE6">
        <w:rPr>
          <w:rFonts w:eastAsia="Times New Roman" w:cs="Arial"/>
          <w:color w:val="000000"/>
          <w:lang w:eastAsia="bg-BG"/>
        </w:rPr>
        <w:t xml:space="preserve">в </w:t>
      </w:r>
      <w:r w:rsidRPr="00BC5EE6">
        <w:rPr>
          <w:rFonts w:eastAsia="Times New Roman" w:cs="Arial"/>
          <w:color w:val="000000"/>
          <w:lang w:val="en-US"/>
        </w:rPr>
        <w:t xml:space="preserve">mmol/l </w:t>
      </w:r>
      <w:r w:rsidRPr="00BC5EE6">
        <w:rPr>
          <w:rFonts w:eastAsia="Times New Roman" w:cs="Arial"/>
          <w:color w:val="000000"/>
          <w:lang w:eastAsia="bg-BG"/>
        </w:rPr>
        <w:t>е 0,06205. Коефициентът 3,84 = 0,0034 х 0,07 х 1 000 / 0,06205</w:t>
      </w:r>
    </w:p>
    <w:p w14:paraId="4221E5B4" w14:textId="77777777" w:rsidR="00BC5EE6" w:rsidRPr="00BC5EE6" w:rsidRDefault="00BC5EE6" w:rsidP="00BC5EE6">
      <w:pPr>
        <w:spacing w:line="240" w:lineRule="auto"/>
        <w:rPr>
          <w:rFonts w:eastAsia="Times New Roman" w:cs="Arial"/>
          <w:color w:val="000000"/>
          <w:lang w:eastAsia="bg-BG"/>
        </w:rPr>
      </w:pPr>
    </w:p>
    <w:p w14:paraId="34EBCBD0" w14:textId="1C9603F1"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Таблицата по-долу показва количеството КосмоФер инжекционен разтвор в милилитри, който трябва да се използва при различните степени на желязодефицитна анемия.</w:t>
      </w:r>
    </w:p>
    <w:p w14:paraId="48EC6E5D" w14:textId="77777777" w:rsidR="00BC5EE6" w:rsidRPr="00BC5EE6" w:rsidRDefault="00BC5EE6" w:rsidP="00BC5EE6">
      <w:pPr>
        <w:spacing w:line="240" w:lineRule="auto"/>
        <w:rPr>
          <w:rFonts w:eastAsia="Times New Roman" w:cs="Arial"/>
          <w:color w:val="000000"/>
          <w:lang w:eastAsia="bg-BG"/>
        </w:rPr>
      </w:pPr>
    </w:p>
    <w:p w14:paraId="54F6CD04" w14:textId="65C81C24"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 xml:space="preserve">Данните в таблицата по-долу се базират на прицелно ниво на хемоглобин от 150 </w:t>
      </w:r>
      <w:r w:rsidRPr="00BC5EE6">
        <w:rPr>
          <w:rFonts w:eastAsia="Times New Roman" w:cs="Arial"/>
          <w:color w:val="000000"/>
          <w:lang w:val="en-US"/>
        </w:rPr>
        <w:t xml:space="preserve">g/l </w:t>
      </w:r>
      <w:r w:rsidRPr="00BC5EE6">
        <w:rPr>
          <w:rFonts w:eastAsia="Times New Roman" w:cs="Arial"/>
          <w:color w:val="000000"/>
          <w:lang w:eastAsia="bg-BG"/>
        </w:rPr>
        <w:t xml:space="preserve">или 9,3 </w:t>
      </w:r>
      <w:r w:rsidRPr="00BC5EE6">
        <w:rPr>
          <w:rFonts w:eastAsia="Times New Roman" w:cs="Arial"/>
          <w:color w:val="000000"/>
          <w:lang w:val="en-US"/>
        </w:rPr>
        <w:t>mmol/l</w:t>
      </w:r>
      <w:r w:rsidRPr="00BC5EE6">
        <w:rPr>
          <w:rFonts w:eastAsia="Times New Roman" w:cs="Arial"/>
          <w:color w:val="000000"/>
          <w:lang w:eastAsia="bg-BG"/>
        </w:rPr>
        <w:t xml:space="preserve"> и желязо за железните депа от 500 </w:t>
      </w:r>
      <w:r w:rsidRPr="00BC5EE6">
        <w:rPr>
          <w:rFonts w:eastAsia="Times New Roman" w:cs="Arial"/>
          <w:color w:val="000000"/>
          <w:lang w:val="en-US"/>
        </w:rPr>
        <w:t xml:space="preserve">mg, </w:t>
      </w:r>
      <w:r w:rsidRPr="00BC5EE6">
        <w:rPr>
          <w:rFonts w:eastAsia="Times New Roman" w:cs="Arial"/>
          <w:color w:val="000000"/>
          <w:lang w:eastAsia="bg-BG"/>
        </w:rPr>
        <w:t>които се прилагат при телесно тегло над 35</w:t>
      </w:r>
      <w:r w:rsidRPr="00BC5EE6">
        <w:rPr>
          <w:rFonts w:eastAsia="Times New Roman" w:cs="Arial"/>
          <w:color w:val="000000"/>
          <w:lang w:val="en-US"/>
        </w:rPr>
        <w:t xml:space="preserve"> kg</w:t>
      </w:r>
    </w:p>
    <w:p w14:paraId="6096E317" w14:textId="77777777" w:rsidR="00BC5EE6" w:rsidRPr="00BC5EE6" w:rsidRDefault="00BC5EE6" w:rsidP="00BC5EE6">
      <w:pPr>
        <w:rPr>
          <w:rFonts w:eastAsia="Times New Roman" w:cs="Arial"/>
          <w:lang w:eastAsia="bg-BG"/>
        </w:rPr>
      </w:pPr>
      <w:r w:rsidRPr="00BC5EE6">
        <w:rPr>
          <w:rFonts w:eastAsia="Times New Roman" w:cs="Arial"/>
          <w:color w:val="000000"/>
          <w:lang w:eastAsia="bg-BG"/>
        </w:rPr>
        <w:t>Въпреки, че има значителни различия в телесните пропорции и теглото сред мъжете и жените придружаващата таблица и формула представляват удобен инструмент за оценяване на необходимото общо количество желязо. Тази обща нужда от желязо отразява необходимото количество от желязо за възстановяване на концентрацията на хемоглобин в нормални или близо</w:t>
      </w:r>
      <w:r w:rsidRPr="00BC5EE6">
        <w:rPr>
          <w:rFonts w:eastAsia="Times New Roman" w:cs="Arial"/>
          <w:color w:val="000000"/>
          <w:lang w:eastAsia="bg-BG"/>
        </w:rPr>
        <w:t xml:space="preserve"> </w:t>
      </w:r>
      <w:r w:rsidRPr="00BC5EE6">
        <w:rPr>
          <w:rFonts w:eastAsia="Times New Roman" w:cs="Arial"/>
          <w:color w:val="000000"/>
          <w:lang w:eastAsia="bg-BG"/>
        </w:rPr>
        <w:t>до тези стойности плюс допълнителните количества, за да се осигури адекватно запълване на железните депа в повечето лица с умерено до тежко намалени нива на хемоглобина. Трябва да се помни, че желязодефицицигната анемия няма да се прояви, докато не се изчерпят железните депа. Следователно лечението трябва да възстанови желязото не само в хемоглобина, но и в железните депа.</w:t>
      </w:r>
    </w:p>
    <w:p w14:paraId="7A02A8F3" w14:textId="77777777" w:rsidR="00BC5EE6" w:rsidRPr="00BC5EE6" w:rsidRDefault="00BC5EE6" w:rsidP="00BC5EE6">
      <w:pPr>
        <w:spacing w:line="240" w:lineRule="auto"/>
        <w:rPr>
          <w:rFonts w:eastAsia="Times New Roman" w:cs="Arial"/>
          <w:color w:val="000000"/>
          <w:lang w:eastAsia="bg-BG"/>
        </w:rPr>
      </w:pPr>
    </w:p>
    <w:p w14:paraId="1792D614" w14:textId="6175A9DF" w:rsidR="00BC5EE6" w:rsidRPr="00BC5EE6" w:rsidRDefault="00BC5EE6" w:rsidP="00BC5EE6">
      <w:pPr>
        <w:spacing w:line="240" w:lineRule="auto"/>
        <w:rPr>
          <w:rFonts w:eastAsia="Times New Roman" w:cs="Arial"/>
          <w:lang w:eastAsia="bg-BG"/>
        </w:rPr>
      </w:pPr>
      <w:r w:rsidRPr="00BC5EE6">
        <w:rPr>
          <w:rFonts w:eastAsia="Times New Roman" w:cs="Arial"/>
          <w:color w:val="000000"/>
          <w:lang w:eastAsia="bg-BG"/>
        </w:rPr>
        <w:t>Ако необходимата обща доза превишава максималната разрешена дневна доза, приложението трябва да се раздели. Доказателства за терапевтичния отговор могат да се наблюдават след няколко дни от приложението на КосмоФер, като повишение в броя на ретикулопитите. Нивата на серумния феритни обикновено са добър прогностичен белег за възстановяване на железните депа. При пациенти на бъбречна диализа, получаващи КосмоФер, тази корелация може да не е валидна.</w:t>
      </w:r>
    </w:p>
    <w:p w14:paraId="7CA85945" w14:textId="77777777" w:rsidR="00BC5EE6" w:rsidRPr="00BC5EE6" w:rsidRDefault="00BC5EE6" w:rsidP="00BC5EE6">
      <w:pPr>
        <w:rPr>
          <w:rFonts w:eastAsia="Times New Roman" w:cs="Arial"/>
          <w:color w:val="000000"/>
          <w:u w:val="single"/>
          <w:lang w:eastAsia="bg-BG"/>
        </w:rPr>
      </w:pPr>
    </w:p>
    <w:p w14:paraId="61875BF6" w14:textId="438179A7" w:rsidR="00BC5EE6" w:rsidRDefault="00BC5EE6" w:rsidP="00BC5EE6">
      <w:pPr>
        <w:rPr>
          <w:rFonts w:eastAsia="Times New Roman" w:cs="Arial"/>
          <w:color w:val="000000"/>
          <w:u w:val="single"/>
          <w:lang w:eastAsia="bg-BG"/>
        </w:rPr>
      </w:pPr>
      <w:r w:rsidRPr="00BC5EE6">
        <w:rPr>
          <w:rFonts w:eastAsia="Times New Roman" w:cs="Arial"/>
          <w:color w:val="000000"/>
          <w:u w:val="single"/>
          <w:lang w:eastAsia="bg-BG"/>
        </w:rPr>
        <w:t xml:space="preserve">Обща доза КосмоФер в </w:t>
      </w:r>
      <w:r w:rsidRPr="00BC5EE6">
        <w:rPr>
          <w:rFonts w:eastAsia="Times New Roman" w:cs="Arial"/>
          <w:color w:val="000000"/>
          <w:u w:val="single"/>
          <w:lang w:val="en-US"/>
        </w:rPr>
        <w:t xml:space="preserve">ml, </w:t>
      </w:r>
      <w:r w:rsidRPr="00BC5EE6">
        <w:rPr>
          <w:rFonts w:eastAsia="Times New Roman" w:cs="Arial"/>
          <w:color w:val="000000"/>
          <w:u w:val="single"/>
          <w:lang w:eastAsia="bg-BG"/>
        </w:rPr>
        <w:t>необходима за приложение при железодефицитна анемия</w:t>
      </w:r>
    </w:p>
    <w:tbl>
      <w:tblPr>
        <w:tblStyle w:val="TableGrid"/>
        <w:tblW w:w="0" w:type="auto"/>
        <w:tblLook w:val="04A0" w:firstRow="1" w:lastRow="0" w:firstColumn="1" w:lastColumn="0" w:noHBand="0" w:noVBand="1"/>
      </w:tblPr>
      <w:tblGrid>
        <w:gridCol w:w="1822"/>
        <w:gridCol w:w="1243"/>
        <w:gridCol w:w="1243"/>
        <w:gridCol w:w="1244"/>
        <w:gridCol w:w="1244"/>
        <w:gridCol w:w="1244"/>
        <w:gridCol w:w="1310"/>
      </w:tblGrid>
      <w:tr w:rsidR="00BC5EE6" w14:paraId="744951B1" w14:textId="77777777" w:rsidTr="00BC5EE6">
        <w:tc>
          <w:tcPr>
            <w:tcW w:w="1357" w:type="dxa"/>
          </w:tcPr>
          <w:p w14:paraId="16C73AC6" w14:textId="631FCDF0" w:rsidR="00BC5EE6" w:rsidRPr="00BC5EE6" w:rsidRDefault="00BC5EE6" w:rsidP="00BC5EE6">
            <w:pPr>
              <w:rPr>
                <w:rFonts w:cs="Arial"/>
                <w:lang w:val="en-US"/>
              </w:rPr>
            </w:pPr>
            <w:r w:rsidRPr="00BC5EE6">
              <w:rPr>
                <w:rFonts w:cs="Arial"/>
                <w:lang w:eastAsia="bg-BG"/>
              </w:rPr>
              <w:t>Хемоглобиново съдържание</w:t>
            </w:r>
          </w:p>
        </w:tc>
        <w:tc>
          <w:tcPr>
            <w:tcW w:w="1357" w:type="dxa"/>
          </w:tcPr>
          <w:p w14:paraId="562C69B8" w14:textId="77777777" w:rsidR="00BC5EE6" w:rsidRPr="00BC5EE6" w:rsidRDefault="00BC5EE6" w:rsidP="00BC5EE6">
            <w:pPr>
              <w:rPr>
                <w:rFonts w:cs="Arial"/>
                <w:lang w:eastAsia="bg-BG"/>
              </w:rPr>
            </w:pPr>
            <w:r w:rsidRPr="00BC5EE6">
              <w:rPr>
                <w:rFonts w:cs="Arial"/>
                <w:lang w:eastAsia="bg-BG"/>
              </w:rPr>
              <w:t xml:space="preserve">60 </w:t>
            </w:r>
            <w:r w:rsidRPr="00BC5EE6">
              <w:rPr>
                <w:rFonts w:cs="Arial"/>
              </w:rPr>
              <w:t>g/1</w:t>
            </w:r>
          </w:p>
          <w:p w14:paraId="742676CC" w14:textId="00E0A984" w:rsidR="00BC5EE6" w:rsidRPr="00BC5EE6" w:rsidRDefault="00BC5EE6" w:rsidP="00BC5EE6">
            <w:pPr>
              <w:rPr>
                <w:rFonts w:cs="Arial"/>
                <w:lang w:val="en-US"/>
              </w:rPr>
            </w:pPr>
            <w:r w:rsidRPr="00BC5EE6">
              <w:rPr>
                <w:rFonts w:cs="Arial"/>
              </w:rPr>
              <w:t>≈</w:t>
            </w:r>
            <w:r w:rsidRPr="00BC5EE6">
              <w:rPr>
                <w:rFonts w:cs="Arial"/>
                <w:lang w:eastAsia="bg-BG"/>
              </w:rPr>
              <w:t xml:space="preserve"> 3,7 </w:t>
            </w:r>
            <w:r w:rsidRPr="00BC5EE6">
              <w:rPr>
                <w:rFonts w:cs="Arial"/>
              </w:rPr>
              <w:t>mmol/1</w:t>
            </w:r>
          </w:p>
        </w:tc>
        <w:tc>
          <w:tcPr>
            <w:tcW w:w="1357" w:type="dxa"/>
          </w:tcPr>
          <w:p w14:paraId="45D3CF1F" w14:textId="77777777" w:rsidR="00BC5EE6" w:rsidRPr="00BC5EE6" w:rsidRDefault="00BC5EE6" w:rsidP="00BC5EE6">
            <w:pPr>
              <w:rPr>
                <w:rFonts w:cs="Arial"/>
                <w:lang w:eastAsia="bg-BG"/>
              </w:rPr>
            </w:pPr>
            <w:r w:rsidRPr="00BC5EE6">
              <w:rPr>
                <w:rFonts w:cs="Arial"/>
                <w:lang w:eastAsia="bg-BG"/>
              </w:rPr>
              <w:t xml:space="preserve">75 </w:t>
            </w:r>
            <w:r w:rsidRPr="00BC5EE6">
              <w:rPr>
                <w:rFonts w:cs="Arial"/>
              </w:rPr>
              <w:t>g/1</w:t>
            </w:r>
          </w:p>
          <w:p w14:paraId="02A86B25" w14:textId="69BDAB82" w:rsidR="00BC5EE6" w:rsidRPr="00BC5EE6" w:rsidRDefault="00BC5EE6" w:rsidP="00BC5EE6">
            <w:pPr>
              <w:rPr>
                <w:rFonts w:cs="Arial"/>
                <w:lang w:val="en-US"/>
              </w:rPr>
            </w:pPr>
            <w:r w:rsidRPr="00BC5EE6">
              <w:rPr>
                <w:rFonts w:cs="Arial"/>
              </w:rPr>
              <w:t>≈</w:t>
            </w:r>
            <w:r w:rsidRPr="00BC5EE6">
              <w:rPr>
                <w:rFonts w:cs="Arial"/>
                <w:lang w:eastAsia="bg-BG"/>
              </w:rPr>
              <w:t xml:space="preserve">4,7 </w:t>
            </w:r>
            <w:r w:rsidRPr="00BC5EE6">
              <w:rPr>
                <w:rFonts w:cs="Arial"/>
              </w:rPr>
              <w:t>mmol/1</w:t>
            </w:r>
          </w:p>
        </w:tc>
        <w:tc>
          <w:tcPr>
            <w:tcW w:w="1357" w:type="dxa"/>
          </w:tcPr>
          <w:p w14:paraId="2C6977F7" w14:textId="77777777" w:rsidR="00BC5EE6" w:rsidRPr="00BC5EE6" w:rsidRDefault="00BC5EE6" w:rsidP="00BC5EE6">
            <w:pPr>
              <w:rPr>
                <w:rFonts w:cs="Arial"/>
                <w:lang w:eastAsia="bg-BG"/>
              </w:rPr>
            </w:pPr>
            <w:r w:rsidRPr="00BC5EE6">
              <w:rPr>
                <w:rFonts w:cs="Arial"/>
              </w:rPr>
              <w:t>90 g/1</w:t>
            </w:r>
          </w:p>
          <w:p w14:paraId="122327D0" w14:textId="652BFB1F" w:rsidR="00BC5EE6" w:rsidRPr="00BC5EE6" w:rsidRDefault="00BC5EE6" w:rsidP="00BC5EE6">
            <w:pPr>
              <w:rPr>
                <w:rFonts w:cs="Arial"/>
                <w:lang w:val="en-US"/>
              </w:rPr>
            </w:pPr>
            <w:r w:rsidRPr="00BC5EE6">
              <w:rPr>
                <w:rFonts w:cs="Arial"/>
              </w:rPr>
              <w:t>≈5,6 mmol/1</w:t>
            </w:r>
          </w:p>
        </w:tc>
        <w:tc>
          <w:tcPr>
            <w:tcW w:w="1357" w:type="dxa"/>
          </w:tcPr>
          <w:p w14:paraId="69BB00F9" w14:textId="634DBD89" w:rsidR="00BC5EE6" w:rsidRPr="00BC5EE6" w:rsidRDefault="00BC5EE6" w:rsidP="00BC5EE6">
            <w:pPr>
              <w:rPr>
                <w:rFonts w:cs="Arial"/>
                <w:lang w:val="en-US"/>
              </w:rPr>
            </w:pPr>
            <w:r w:rsidRPr="00BC5EE6">
              <w:rPr>
                <w:rFonts w:cs="Arial"/>
              </w:rPr>
              <w:t>105 g/1 ≈6,5 mmol/1</w:t>
            </w:r>
          </w:p>
        </w:tc>
        <w:tc>
          <w:tcPr>
            <w:tcW w:w="1357" w:type="dxa"/>
          </w:tcPr>
          <w:p w14:paraId="462139F5" w14:textId="386D127A" w:rsidR="00BC5EE6" w:rsidRPr="00BC5EE6" w:rsidRDefault="00BC5EE6" w:rsidP="00BC5EE6">
            <w:pPr>
              <w:rPr>
                <w:rFonts w:cs="Arial"/>
                <w:lang w:val="en-US"/>
              </w:rPr>
            </w:pPr>
            <w:r w:rsidRPr="00BC5EE6">
              <w:rPr>
                <w:rFonts w:cs="Arial"/>
              </w:rPr>
              <w:t>120 g/1 ≈7,4 mmol/1</w:t>
            </w:r>
          </w:p>
        </w:tc>
        <w:tc>
          <w:tcPr>
            <w:tcW w:w="1358" w:type="dxa"/>
          </w:tcPr>
          <w:p w14:paraId="03B93C42" w14:textId="4B6AA6C4" w:rsidR="00BC5EE6" w:rsidRPr="00BC5EE6" w:rsidRDefault="00BC5EE6" w:rsidP="00BC5EE6">
            <w:pPr>
              <w:rPr>
                <w:rFonts w:cs="Arial"/>
                <w:lang w:val="en-US"/>
              </w:rPr>
            </w:pPr>
            <w:r w:rsidRPr="00BC5EE6">
              <w:rPr>
                <w:rFonts w:cs="Arial"/>
              </w:rPr>
              <w:t>135 g/1 ≈8,4 mmol/1</w:t>
            </w:r>
          </w:p>
        </w:tc>
      </w:tr>
      <w:tr w:rsidR="00BC5EE6" w14:paraId="6513E619" w14:textId="77777777" w:rsidTr="009D0EFE">
        <w:tc>
          <w:tcPr>
            <w:tcW w:w="1357" w:type="dxa"/>
            <w:vAlign w:val="bottom"/>
          </w:tcPr>
          <w:p w14:paraId="3BCFE977" w14:textId="558C7BE0" w:rsidR="00BC5EE6" w:rsidRPr="00BC5EE6" w:rsidRDefault="00BC5EE6" w:rsidP="00BC5EE6">
            <w:pPr>
              <w:rPr>
                <w:rFonts w:cs="Arial"/>
                <w:lang w:val="en-US"/>
              </w:rPr>
            </w:pPr>
            <w:r w:rsidRPr="00BC5EE6">
              <w:rPr>
                <w:rFonts w:cs="Arial"/>
                <w:lang w:eastAsia="bg-BG"/>
              </w:rPr>
              <w:t xml:space="preserve">Телесно тегло </w:t>
            </w:r>
            <w:r w:rsidRPr="00BC5EE6">
              <w:rPr>
                <w:rFonts w:cs="Arial"/>
              </w:rPr>
              <w:t>(kg)</w:t>
            </w:r>
          </w:p>
        </w:tc>
        <w:tc>
          <w:tcPr>
            <w:tcW w:w="1357" w:type="dxa"/>
          </w:tcPr>
          <w:p w14:paraId="323C3EF1" w14:textId="77777777" w:rsidR="00BC5EE6" w:rsidRPr="00BC5EE6" w:rsidRDefault="00BC5EE6" w:rsidP="00BC5EE6">
            <w:pPr>
              <w:rPr>
                <w:rFonts w:cs="Arial"/>
                <w:lang w:val="en-US"/>
              </w:rPr>
            </w:pPr>
          </w:p>
        </w:tc>
        <w:tc>
          <w:tcPr>
            <w:tcW w:w="1357" w:type="dxa"/>
          </w:tcPr>
          <w:p w14:paraId="4C476CAE" w14:textId="77777777" w:rsidR="00BC5EE6" w:rsidRPr="00BC5EE6" w:rsidRDefault="00BC5EE6" w:rsidP="00BC5EE6">
            <w:pPr>
              <w:rPr>
                <w:rFonts w:cs="Arial"/>
                <w:lang w:val="en-US"/>
              </w:rPr>
            </w:pPr>
          </w:p>
        </w:tc>
        <w:tc>
          <w:tcPr>
            <w:tcW w:w="1357" w:type="dxa"/>
          </w:tcPr>
          <w:p w14:paraId="6B2133D6" w14:textId="77777777" w:rsidR="00BC5EE6" w:rsidRPr="00BC5EE6" w:rsidRDefault="00BC5EE6" w:rsidP="00BC5EE6">
            <w:pPr>
              <w:rPr>
                <w:rFonts w:cs="Arial"/>
                <w:lang w:val="en-US"/>
              </w:rPr>
            </w:pPr>
          </w:p>
        </w:tc>
        <w:tc>
          <w:tcPr>
            <w:tcW w:w="1357" w:type="dxa"/>
          </w:tcPr>
          <w:p w14:paraId="73CE96C5" w14:textId="77777777" w:rsidR="00BC5EE6" w:rsidRPr="00BC5EE6" w:rsidRDefault="00BC5EE6" w:rsidP="00BC5EE6">
            <w:pPr>
              <w:rPr>
                <w:rFonts w:cs="Arial"/>
                <w:lang w:val="en-US"/>
              </w:rPr>
            </w:pPr>
          </w:p>
        </w:tc>
        <w:tc>
          <w:tcPr>
            <w:tcW w:w="1357" w:type="dxa"/>
          </w:tcPr>
          <w:p w14:paraId="577AF17C" w14:textId="77777777" w:rsidR="00BC5EE6" w:rsidRPr="00BC5EE6" w:rsidRDefault="00BC5EE6" w:rsidP="00BC5EE6">
            <w:pPr>
              <w:rPr>
                <w:rFonts w:cs="Arial"/>
                <w:lang w:val="en-US"/>
              </w:rPr>
            </w:pPr>
          </w:p>
        </w:tc>
        <w:tc>
          <w:tcPr>
            <w:tcW w:w="1358" w:type="dxa"/>
          </w:tcPr>
          <w:p w14:paraId="228F0DDF" w14:textId="77777777" w:rsidR="00BC5EE6" w:rsidRPr="00BC5EE6" w:rsidRDefault="00BC5EE6" w:rsidP="00BC5EE6">
            <w:pPr>
              <w:rPr>
                <w:rFonts w:cs="Arial"/>
                <w:lang w:val="en-US"/>
              </w:rPr>
            </w:pPr>
          </w:p>
        </w:tc>
      </w:tr>
      <w:tr w:rsidR="00BC5EE6" w14:paraId="598ECCB0" w14:textId="77777777" w:rsidTr="00BC5EE6">
        <w:tc>
          <w:tcPr>
            <w:tcW w:w="1357" w:type="dxa"/>
          </w:tcPr>
          <w:p w14:paraId="476F2EDD" w14:textId="097935F1" w:rsidR="00BC5EE6" w:rsidRPr="00BC5EE6" w:rsidRDefault="00BC5EE6" w:rsidP="00BC5EE6">
            <w:pPr>
              <w:rPr>
                <w:rFonts w:cs="Arial"/>
                <w:lang w:val="en-US"/>
              </w:rPr>
            </w:pPr>
            <w:r w:rsidRPr="00BC5EE6">
              <w:rPr>
                <w:rFonts w:cs="Arial"/>
                <w:lang w:eastAsia="bg-BG"/>
              </w:rPr>
              <w:t>35</w:t>
            </w:r>
          </w:p>
        </w:tc>
        <w:tc>
          <w:tcPr>
            <w:tcW w:w="1357" w:type="dxa"/>
          </w:tcPr>
          <w:p w14:paraId="0F65AFB3" w14:textId="0A1711CE" w:rsidR="00BC5EE6" w:rsidRPr="00BC5EE6" w:rsidRDefault="00BC5EE6" w:rsidP="00BC5EE6">
            <w:pPr>
              <w:rPr>
                <w:rFonts w:cs="Arial"/>
                <w:lang w:val="en-US"/>
              </w:rPr>
            </w:pPr>
            <w:r w:rsidRPr="00BC5EE6">
              <w:rPr>
                <w:rFonts w:cs="Arial"/>
                <w:lang w:eastAsia="bg-BG"/>
              </w:rPr>
              <w:t>25</w:t>
            </w:r>
          </w:p>
        </w:tc>
        <w:tc>
          <w:tcPr>
            <w:tcW w:w="1357" w:type="dxa"/>
          </w:tcPr>
          <w:p w14:paraId="4B123095" w14:textId="3212C89B" w:rsidR="00BC5EE6" w:rsidRPr="00BC5EE6" w:rsidRDefault="00BC5EE6" w:rsidP="00BC5EE6">
            <w:pPr>
              <w:rPr>
                <w:rFonts w:cs="Arial"/>
                <w:lang w:val="en-US"/>
              </w:rPr>
            </w:pPr>
            <w:r w:rsidRPr="00BC5EE6">
              <w:rPr>
                <w:rFonts w:cs="Arial"/>
              </w:rPr>
              <w:t>23</w:t>
            </w:r>
          </w:p>
        </w:tc>
        <w:tc>
          <w:tcPr>
            <w:tcW w:w="1357" w:type="dxa"/>
          </w:tcPr>
          <w:p w14:paraId="13DE93B5" w14:textId="15A6A1B3" w:rsidR="00BC5EE6" w:rsidRPr="00BC5EE6" w:rsidRDefault="00BC5EE6" w:rsidP="00BC5EE6">
            <w:pPr>
              <w:rPr>
                <w:rFonts w:cs="Arial"/>
                <w:lang w:val="en-US"/>
              </w:rPr>
            </w:pPr>
            <w:r w:rsidRPr="00BC5EE6">
              <w:rPr>
                <w:rFonts w:cs="Arial"/>
              </w:rPr>
              <w:t>20</w:t>
            </w:r>
          </w:p>
        </w:tc>
        <w:tc>
          <w:tcPr>
            <w:tcW w:w="1357" w:type="dxa"/>
          </w:tcPr>
          <w:p w14:paraId="5CD5367B" w14:textId="34961D21" w:rsidR="00BC5EE6" w:rsidRPr="00BC5EE6" w:rsidRDefault="00BC5EE6" w:rsidP="00BC5EE6">
            <w:pPr>
              <w:rPr>
                <w:rFonts w:cs="Arial"/>
                <w:lang w:val="en-US"/>
              </w:rPr>
            </w:pPr>
            <w:r w:rsidRPr="00BC5EE6">
              <w:rPr>
                <w:rFonts w:cs="Arial"/>
              </w:rPr>
              <w:t>18</w:t>
            </w:r>
          </w:p>
        </w:tc>
        <w:tc>
          <w:tcPr>
            <w:tcW w:w="1357" w:type="dxa"/>
          </w:tcPr>
          <w:p w14:paraId="7A980192" w14:textId="7DE8514D" w:rsidR="00BC5EE6" w:rsidRPr="00BC5EE6" w:rsidRDefault="00BC5EE6" w:rsidP="00BC5EE6">
            <w:pPr>
              <w:rPr>
                <w:rFonts w:cs="Arial"/>
                <w:lang w:val="en-US"/>
              </w:rPr>
            </w:pPr>
            <w:r w:rsidRPr="00BC5EE6">
              <w:rPr>
                <w:rFonts w:cs="Arial"/>
              </w:rPr>
              <w:t>15</w:t>
            </w:r>
          </w:p>
        </w:tc>
        <w:tc>
          <w:tcPr>
            <w:tcW w:w="1358" w:type="dxa"/>
          </w:tcPr>
          <w:p w14:paraId="348125AA" w14:textId="548400C4" w:rsidR="00BC5EE6" w:rsidRPr="00BC5EE6" w:rsidRDefault="00BC5EE6" w:rsidP="00BC5EE6">
            <w:pPr>
              <w:rPr>
                <w:rFonts w:cs="Arial"/>
                <w:lang w:val="en-US"/>
              </w:rPr>
            </w:pPr>
            <w:r w:rsidRPr="00BC5EE6">
              <w:rPr>
                <w:rFonts w:cs="Arial"/>
              </w:rPr>
              <w:t>12,5</w:t>
            </w:r>
          </w:p>
        </w:tc>
      </w:tr>
      <w:tr w:rsidR="00BC5EE6" w14:paraId="5E1772D0" w14:textId="77777777" w:rsidTr="009D0EFE">
        <w:tc>
          <w:tcPr>
            <w:tcW w:w="1357" w:type="dxa"/>
            <w:vAlign w:val="bottom"/>
          </w:tcPr>
          <w:p w14:paraId="564F6549" w14:textId="671E3A8A" w:rsidR="00BC5EE6" w:rsidRPr="00BC5EE6" w:rsidRDefault="00BC5EE6" w:rsidP="00BC5EE6">
            <w:pPr>
              <w:rPr>
                <w:rFonts w:cs="Arial"/>
                <w:lang w:val="en-US"/>
              </w:rPr>
            </w:pPr>
            <w:r w:rsidRPr="00BC5EE6">
              <w:rPr>
                <w:rFonts w:cs="Arial"/>
                <w:lang w:eastAsia="bg-BG"/>
              </w:rPr>
              <w:t>40</w:t>
            </w:r>
          </w:p>
        </w:tc>
        <w:tc>
          <w:tcPr>
            <w:tcW w:w="1357" w:type="dxa"/>
            <w:vAlign w:val="bottom"/>
          </w:tcPr>
          <w:p w14:paraId="3EED8A32" w14:textId="0DB8AA16" w:rsidR="00BC5EE6" w:rsidRPr="00BC5EE6" w:rsidRDefault="00BC5EE6" w:rsidP="00BC5EE6">
            <w:pPr>
              <w:rPr>
                <w:rFonts w:cs="Arial"/>
                <w:lang w:val="en-US"/>
              </w:rPr>
            </w:pPr>
            <w:r w:rsidRPr="00BC5EE6">
              <w:rPr>
                <w:rFonts w:cs="Arial"/>
                <w:lang w:eastAsia="bg-BG"/>
              </w:rPr>
              <w:t>27</w:t>
            </w:r>
          </w:p>
        </w:tc>
        <w:tc>
          <w:tcPr>
            <w:tcW w:w="1357" w:type="dxa"/>
            <w:vAlign w:val="bottom"/>
          </w:tcPr>
          <w:p w14:paraId="39DB707D" w14:textId="0061BB54" w:rsidR="00BC5EE6" w:rsidRPr="00BC5EE6" w:rsidRDefault="00BC5EE6" w:rsidP="00BC5EE6">
            <w:pPr>
              <w:rPr>
                <w:rFonts w:cs="Arial"/>
                <w:lang w:val="en-US"/>
              </w:rPr>
            </w:pPr>
            <w:r w:rsidRPr="00BC5EE6">
              <w:rPr>
                <w:rFonts w:cs="Arial"/>
              </w:rPr>
              <w:t>24</w:t>
            </w:r>
          </w:p>
        </w:tc>
        <w:tc>
          <w:tcPr>
            <w:tcW w:w="1357" w:type="dxa"/>
            <w:vAlign w:val="bottom"/>
          </w:tcPr>
          <w:p w14:paraId="32773A76" w14:textId="405C34DF" w:rsidR="00BC5EE6" w:rsidRPr="00BC5EE6" w:rsidRDefault="00BC5EE6" w:rsidP="00BC5EE6">
            <w:pPr>
              <w:rPr>
                <w:rFonts w:cs="Arial"/>
                <w:lang w:val="en-US"/>
              </w:rPr>
            </w:pPr>
            <w:r w:rsidRPr="00BC5EE6">
              <w:rPr>
                <w:rFonts w:cs="Arial"/>
              </w:rPr>
              <w:t>22</w:t>
            </w:r>
          </w:p>
        </w:tc>
        <w:tc>
          <w:tcPr>
            <w:tcW w:w="1357" w:type="dxa"/>
            <w:vAlign w:val="bottom"/>
          </w:tcPr>
          <w:p w14:paraId="230A8C8C" w14:textId="2C652110" w:rsidR="00BC5EE6" w:rsidRPr="00BC5EE6" w:rsidRDefault="00BC5EE6" w:rsidP="00BC5EE6">
            <w:pPr>
              <w:rPr>
                <w:rFonts w:cs="Arial"/>
                <w:lang w:val="en-US"/>
              </w:rPr>
            </w:pPr>
            <w:r w:rsidRPr="00BC5EE6">
              <w:rPr>
                <w:rFonts w:cs="Arial"/>
              </w:rPr>
              <w:t>19</w:t>
            </w:r>
          </w:p>
        </w:tc>
        <w:tc>
          <w:tcPr>
            <w:tcW w:w="1357" w:type="dxa"/>
            <w:vAlign w:val="bottom"/>
          </w:tcPr>
          <w:p w14:paraId="66BE9BDE" w14:textId="3EB220B4" w:rsidR="00BC5EE6" w:rsidRPr="00BC5EE6" w:rsidRDefault="00BC5EE6" w:rsidP="00BC5EE6">
            <w:pPr>
              <w:rPr>
                <w:rFonts w:cs="Arial"/>
                <w:lang w:val="en-US"/>
              </w:rPr>
            </w:pPr>
            <w:r w:rsidRPr="00BC5EE6">
              <w:rPr>
                <w:rFonts w:cs="Arial"/>
              </w:rPr>
              <w:t>16</w:t>
            </w:r>
          </w:p>
        </w:tc>
        <w:tc>
          <w:tcPr>
            <w:tcW w:w="1358" w:type="dxa"/>
            <w:vAlign w:val="bottom"/>
          </w:tcPr>
          <w:p w14:paraId="396E78A7" w14:textId="529D7494" w:rsidR="00BC5EE6" w:rsidRPr="00BC5EE6" w:rsidRDefault="00BC5EE6" w:rsidP="00BC5EE6">
            <w:pPr>
              <w:rPr>
                <w:rFonts w:cs="Arial"/>
                <w:lang w:val="en-US"/>
              </w:rPr>
            </w:pPr>
            <w:r w:rsidRPr="00BC5EE6">
              <w:rPr>
                <w:rFonts w:cs="Arial"/>
              </w:rPr>
              <w:t>13</w:t>
            </w:r>
          </w:p>
        </w:tc>
      </w:tr>
      <w:tr w:rsidR="00BC5EE6" w14:paraId="41ABBFA4" w14:textId="77777777" w:rsidTr="00BC5EE6">
        <w:tc>
          <w:tcPr>
            <w:tcW w:w="1357" w:type="dxa"/>
          </w:tcPr>
          <w:p w14:paraId="449C6EBA" w14:textId="7D8E2DC6" w:rsidR="00BC5EE6" w:rsidRPr="00BC5EE6" w:rsidRDefault="00BC5EE6" w:rsidP="00BC5EE6">
            <w:pPr>
              <w:rPr>
                <w:rFonts w:cs="Arial"/>
                <w:lang w:val="en-US"/>
              </w:rPr>
            </w:pPr>
            <w:r w:rsidRPr="00BC5EE6">
              <w:rPr>
                <w:rFonts w:cs="Arial"/>
                <w:lang w:eastAsia="bg-BG"/>
              </w:rPr>
              <w:lastRenderedPageBreak/>
              <w:t>45</w:t>
            </w:r>
          </w:p>
        </w:tc>
        <w:tc>
          <w:tcPr>
            <w:tcW w:w="1357" w:type="dxa"/>
          </w:tcPr>
          <w:p w14:paraId="4050B541" w14:textId="527F073B" w:rsidR="00BC5EE6" w:rsidRPr="00BC5EE6" w:rsidRDefault="00BC5EE6" w:rsidP="00BC5EE6">
            <w:pPr>
              <w:rPr>
                <w:rFonts w:cs="Arial"/>
                <w:lang w:val="en-US"/>
              </w:rPr>
            </w:pPr>
            <w:r w:rsidRPr="00BC5EE6">
              <w:rPr>
                <w:rFonts w:cs="Arial"/>
                <w:lang w:eastAsia="bg-BG"/>
              </w:rPr>
              <w:t>29</w:t>
            </w:r>
          </w:p>
        </w:tc>
        <w:tc>
          <w:tcPr>
            <w:tcW w:w="1357" w:type="dxa"/>
          </w:tcPr>
          <w:p w14:paraId="734656BA" w14:textId="6E45377A" w:rsidR="00BC5EE6" w:rsidRPr="00BC5EE6" w:rsidRDefault="00BC5EE6" w:rsidP="00BC5EE6">
            <w:pPr>
              <w:rPr>
                <w:rFonts w:cs="Arial"/>
                <w:lang w:val="en-US"/>
              </w:rPr>
            </w:pPr>
            <w:r w:rsidRPr="00BC5EE6">
              <w:rPr>
                <w:rFonts w:cs="Arial"/>
              </w:rPr>
              <w:t>26</w:t>
            </w:r>
          </w:p>
        </w:tc>
        <w:tc>
          <w:tcPr>
            <w:tcW w:w="1357" w:type="dxa"/>
          </w:tcPr>
          <w:p w14:paraId="6C7A0EC9" w14:textId="706E2360" w:rsidR="00BC5EE6" w:rsidRPr="00BC5EE6" w:rsidRDefault="00BC5EE6" w:rsidP="00BC5EE6">
            <w:pPr>
              <w:rPr>
                <w:rFonts w:cs="Arial"/>
                <w:lang w:val="en-US"/>
              </w:rPr>
            </w:pPr>
            <w:r w:rsidRPr="00BC5EE6">
              <w:rPr>
                <w:rFonts w:cs="Arial"/>
              </w:rPr>
              <w:t>23</w:t>
            </w:r>
          </w:p>
        </w:tc>
        <w:tc>
          <w:tcPr>
            <w:tcW w:w="1357" w:type="dxa"/>
          </w:tcPr>
          <w:p w14:paraId="2196208B" w14:textId="4C5014FB" w:rsidR="00BC5EE6" w:rsidRPr="00BC5EE6" w:rsidRDefault="00BC5EE6" w:rsidP="00BC5EE6">
            <w:pPr>
              <w:rPr>
                <w:rFonts w:cs="Arial"/>
                <w:lang w:val="en-US"/>
              </w:rPr>
            </w:pPr>
            <w:r w:rsidRPr="00BC5EE6">
              <w:rPr>
                <w:rFonts w:cs="Arial"/>
              </w:rPr>
              <w:t>20</w:t>
            </w:r>
          </w:p>
        </w:tc>
        <w:tc>
          <w:tcPr>
            <w:tcW w:w="1357" w:type="dxa"/>
          </w:tcPr>
          <w:p w14:paraId="176B4127" w14:textId="3741CBCF" w:rsidR="00BC5EE6" w:rsidRPr="00BC5EE6" w:rsidRDefault="00BC5EE6" w:rsidP="00BC5EE6">
            <w:pPr>
              <w:rPr>
                <w:rFonts w:cs="Arial"/>
                <w:lang w:val="en-US"/>
              </w:rPr>
            </w:pPr>
            <w:r w:rsidRPr="00BC5EE6">
              <w:rPr>
                <w:rFonts w:cs="Arial"/>
              </w:rPr>
              <w:t>16,5</w:t>
            </w:r>
          </w:p>
        </w:tc>
        <w:tc>
          <w:tcPr>
            <w:tcW w:w="1358" w:type="dxa"/>
          </w:tcPr>
          <w:p w14:paraId="08AF21AE" w14:textId="723489E1" w:rsidR="00BC5EE6" w:rsidRPr="00BC5EE6" w:rsidRDefault="00BC5EE6" w:rsidP="00BC5EE6">
            <w:pPr>
              <w:rPr>
                <w:rFonts w:cs="Arial"/>
                <w:lang w:val="en-US"/>
              </w:rPr>
            </w:pPr>
            <w:r w:rsidRPr="00BC5EE6">
              <w:rPr>
                <w:rFonts w:cs="Arial"/>
              </w:rPr>
              <w:t>13</w:t>
            </w:r>
          </w:p>
        </w:tc>
      </w:tr>
      <w:tr w:rsidR="00BC5EE6" w14:paraId="252B1FF0" w14:textId="77777777" w:rsidTr="009D0EFE">
        <w:tc>
          <w:tcPr>
            <w:tcW w:w="1357" w:type="dxa"/>
            <w:vAlign w:val="bottom"/>
          </w:tcPr>
          <w:p w14:paraId="74E3CF97" w14:textId="649A7A17" w:rsidR="00BC5EE6" w:rsidRPr="00BC5EE6" w:rsidRDefault="00BC5EE6" w:rsidP="00BC5EE6">
            <w:pPr>
              <w:rPr>
                <w:rFonts w:cs="Arial"/>
                <w:lang w:val="en-US"/>
              </w:rPr>
            </w:pPr>
            <w:r w:rsidRPr="00BC5EE6">
              <w:rPr>
                <w:rFonts w:cs="Arial"/>
                <w:lang w:eastAsia="bg-BG"/>
              </w:rPr>
              <w:t>50</w:t>
            </w:r>
          </w:p>
        </w:tc>
        <w:tc>
          <w:tcPr>
            <w:tcW w:w="1357" w:type="dxa"/>
            <w:vAlign w:val="bottom"/>
          </w:tcPr>
          <w:p w14:paraId="629FCBF7" w14:textId="154AC037" w:rsidR="00BC5EE6" w:rsidRPr="00BC5EE6" w:rsidRDefault="00BC5EE6" w:rsidP="00BC5EE6">
            <w:pPr>
              <w:rPr>
                <w:rFonts w:cs="Arial"/>
                <w:lang w:val="en-US"/>
              </w:rPr>
            </w:pPr>
            <w:r w:rsidRPr="00BC5EE6">
              <w:rPr>
                <w:rFonts w:cs="Arial"/>
                <w:lang w:eastAsia="bg-BG"/>
              </w:rPr>
              <w:t>32</w:t>
            </w:r>
          </w:p>
        </w:tc>
        <w:tc>
          <w:tcPr>
            <w:tcW w:w="1357" w:type="dxa"/>
            <w:vAlign w:val="bottom"/>
          </w:tcPr>
          <w:p w14:paraId="2760A32A" w14:textId="6FBCBB1F" w:rsidR="00BC5EE6" w:rsidRPr="00BC5EE6" w:rsidRDefault="00BC5EE6" w:rsidP="00BC5EE6">
            <w:pPr>
              <w:rPr>
                <w:rFonts w:cs="Arial"/>
                <w:lang w:val="en-US"/>
              </w:rPr>
            </w:pPr>
            <w:r w:rsidRPr="00BC5EE6">
              <w:rPr>
                <w:rFonts w:cs="Arial"/>
              </w:rPr>
              <w:t>28</w:t>
            </w:r>
          </w:p>
        </w:tc>
        <w:tc>
          <w:tcPr>
            <w:tcW w:w="1357" w:type="dxa"/>
            <w:vAlign w:val="bottom"/>
          </w:tcPr>
          <w:p w14:paraId="41605355" w14:textId="3663767E" w:rsidR="00BC5EE6" w:rsidRPr="00BC5EE6" w:rsidRDefault="00BC5EE6" w:rsidP="00BC5EE6">
            <w:pPr>
              <w:rPr>
                <w:rFonts w:cs="Arial"/>
                <w:lang w:val="en-US"/>
              </w:rPr>
            </w:pPr>
            <w:r w:rsidRPr="00BC5EE6">
              <w:rPr>
                <w:rFonts w:cs="Arial"/>
              </w:rPr>
              <w:t>24</w:t>
            </w:r>
          </w:p>
        </w:tc>
        <w:tc>
          <w:tcPr>
            <w:tcW w:w="1357" w:type="dxa"/>
            <w:vAlign w:val="bottom"/>
          </w:tcPr>
          <w:p w14:paraId="2769ABE3" w14:textId="20C59EB6" w:rsidR="00BC5EE6" w:rsidRPr="00BC5EE6" w:rsidRDefault="00BC5EE6" w:rsidP="00BC5EE6">
            <w:pPr>
              <w:rPr>
                <w:rFonts w:cs="Arial"/>
                <w:lang w:val="en-US"/>
              </w:rPr>
            </w:pPr>
            <w:r w:rsidRPr="00BC5EE6">
              <w:rPr>
                <w:rFonts w:cs="Arial"/>
              </w:rPr>
              <w:t>21</w:t>
            </w:r>
          </w:p>
        </w:tc>
        <w:tc>
          <w:tcPr>
            <w:tcW w:w="1357" w:type="dxa"/>
            <w:vAlign w:val="bottom"/>
          </w:tcPr>
          <w:p w14:paraId="1BF3EC4C" w14:textId="586664E9" w:rsidR="00BC5EE6" w:rsidRPr="00BC5EE6" w:rsidRDefault="00BC5EE6" w:rsidP="00BC5EE6">
            <w:pPr>
              <w:rPr>
                <w:rFonts w:cs="Arial"/>
                <w:lang w:val="en-US"/>
              </w:rPr>
            </w:pPr>
            <w:r w:rsidRPr="00BC5EE6">
              <w:rPr>
                <w:rFonts w:cs="Arial"/>
              </w:rPr>
              <w:t>17</w:t>
            </w:r>
          </w:p>
        </w:tc>
        <w:tc>
          <w:tcPr>
            <w:tcW w:w="1358" w:type="dxa"/>
            <w:vAlign w:val="bottom"/>
          </w:tcPr>
          <w:p w14:paraId="77BCE85D" w14:textId="6B3A32B5" w:rsidR="00BC5EE6" w:rsidRPr="00BC5EE6" w:rsidRDefault="00BC5EE6" w:rsidP="00BC5EE6">
            <w:pPr>
              <w:rPr>
                <w:rFonts w:cs="Arial"/>
                <w:lang w:val="en-US"/>
              </w:rPr>
            </w:pPr>
            <w:r w:rsidRPr="00BC5EE6">
              <w:rPr>
                <w:rFonts w:cs="Arial"/>
              </w:rPr>
              <w:t>13,5</w:t>
            </w:r>
          </w:p>
        </w:tc>
      </w:tr>
      <w:tr w:rsidR="00BC5EE6" w14:paraId="5BF0ED90" w14:textId="77777777" w:rsidTr="009D0EFE">
        <w:tc>
          <w:tcPr>
            <w:tcW w:w="1357" w:type="dxa"/>
            <w:vAlign w:val="bottom"/>
          </w:tcPr>
          <w:p w14:paraId="02750040" w14:textId="32B83175" w:rsidR="00BC5EE6" w:rsidRPr="00BC5EE6" w:rsidRDefault="00BC5EE6" w:rsidP="00BC5EE6">
            <w:pPr>
              <w:rPr>
                <w:rFonts w:cs="Arial"/>
                <w:lang w:val="en-US"/>
              </w:rPr>
            </w:pPr>
            <w:r w:rsidRPr="00BC5EE6">
              <w:rPr>
                <w:rFonts w:cs="Arial"/>
                <w:lang w:eastAsia="bg-BG"/>
              </w:rPr>
              <w:t>55</w:t>
            </w:r>
          </w:p>
        </w:tc>
        <w:tc>
          <w:tcPr>
            <w:tcW w:w="1357" w:type="dxa"/>
            <w:vAlign w:val="bottom"/>
          </w:tcPr>
          <w:p w14:paraId="5D97445B" w14:textId="5F4E17F7" w:rsidR="00BC5EE6" w:rsidRPr="00BC5EE6" w:rsidRDefault="00BC5EE6" w:rsidP="00BC5EE6">
            <w:pPr>
              <w:rPr>
                <w:rFonts w:cs="Arial"/>
                <w:lang w:val="en-US"/>
              </w:rPr>
            </w:pPr>
            <w:r w:rsidRPr="00BC5EE6">
              <w:rPr>
                <w:rFonts w:cs="Arial"/>
                <w:lang w:eastAsia="bg-BG"/>
              </w:rPr>
              <w:t>34</w:t>
            </w:r>
          </w:p>
        </w:tc>
        <w:tc>
          <w:tcPr>
            <w:tcW w:w="1357" w:type="dxa"/>
            <w:vAlign w:val="bottom"/>
          </w:tcPr>
          <w:p w14:paraId="0F263E3E" w14:textId="51FA3CFD" w:rsidR="00BC5EE6" w:rsidRPr="00BC5EE6" w:rsidRDefault="00BC5EE6" w:rsidP="00BC5EE6">
            <w:pPr>
              <w:rPr>
                <w:rFonts w:cs="Arial"/>
                <w:lang w:val="en-US"/>
              </w:rPr>
            </w:pPr>
            <w:r w:rsidRPr="00BC5EE6">
              <w:rPr>
                <w:rFonts w:cs="Arial"/>
              </w:rPr>
              <w:t>30</w:t>
            </w:r>
          </w:p>
        </w:tc>
        <w:tc>
          <w:tcPr>
            <w:tcW w:w="1357" w:type="dxa"/>
            <w:vAlign w:val="bottom"/>
          </w:tcPr>
          <w:p w14:paraId="492E7936" w14:textId="0802A316" w:rsidR="00BC5EE6" w:rsidRPr="00BC5EE6" w:rsidRDefault="00BC5EE6" w:rsidP="00BC5EE6">
            <w:pPr>
              <w:rPr>
                <w:rFonts w:cs="Arial"/>
                <w:lang w:val="en-US"/>
              </w:rPr>
            </w:pPr>
            <w:r w:rsidRPr="00BC5EE6">
              <w:rPr>
                <w:rFonts w:cs="Arial"/>
              </w:rPr>
              <w:t>26</w:t>
            </w:r>
          </w:p>
        </w:tc>
        <w:tc>
          <w:tcPr>
            <w:tcW w:w="1357" w:type="dxa"/>
            <w:vAlign w:val="bottom"/>
          </w:tcPr>
          <w:p w14:paraId="16ECD84C" w14:textId="6837290E" w:rsidR="00BC5EE6" w:rsidRPr="00BC5EE6" w:rsidRDefault="00BC5EE6" w:rsidP="00BC5EE6">
            <w:pPr>
              <w:rPr>
                <w:rFonts w:cs="Arial"/>
                <w:lang w:val="en-US"/>
              </w:rPr>
            </w:pPr>
            <w:r w:rsidRPr="00BC5EE6">
              <w:rPr>
                <w:rFonts w:cs="Arial"/>
              </w:rPr>
              <w:t>22</w:t>
            </w:r>
          </w:p>
        </w:tc>
        <w:tc>
          <w:tcPr>
            <w:tcW w:w="1357" w:type="dxa"/>
            <w:vAlign w:val="bottom"/>
          </w:tcPr>
          <w:p w14:paraId="1732A09F" w14:textId="272EE26B" w:rsidR="00BC5EE6" w:rsidRPr="00BC5EE6" w:rsidRDefault="00BC5EE6" w:rsidP="00BC5EE6">
            <w:pPr>
              <w:rPr>
                <w:rFonts w:cs="Arial"/>
                <w:lang w:val="en-US"/>
              </w:rPr>
            </w:pPr>
            <w:r w:rsidRPr="00BC5EE6">
              <w:rPr>
                <w:rFonts w:cs="Arial"/>
              </w:rPr>
              <w:t>18</w:t>
            </w:r>
          </w:p>
        </w:tc>
        <w:tc>
          <w:tcPr>
            <w:tcW w:w="1358" w:type="dxa"/>
            <w:vAlign w:val="bottom"/>
          </w:tcPr>
          <w:p w14:paraId="0C48B268" w14:textId="4CB0DEAA" w:rsidR="00BC5EE6" w:rsidRPr="00BC5EE6" w:rsidRDefault="00BC5EE6" w:rsidP="00BC5EE6">
            <w:pPr>
              <w:rPr>
                <w:rFonts w:cs="Arial"/>
                <w:lang w:val="en-US"/>
              </w:rPr>
            </w:pPr>
            <w:r w:rsidRPr="00BC5EE6">
              <w:rPr>
                <w:rFonts w:cs="Arial"/>
              </w:rPr>
              <w:tab/>
              <w:t>14</w:t>
            </w:r>
          </w:p>
        </w:tc>
      </w:tr>
      <w:tr w:rsidR="00BC5EE6" w14:paraId="657D887F" w14:textId="77777777" w:rsidTr="009D0EFE">
        <w:tc>
          <w:tcPr>
            <w:tcW w:w="1357" w:type="dxa"/>
            <w:vAlign w:val="bottom"/>
          </w:tcPr>
          <w:p w14:paraId="44D6867A" w14:textId="385AF7A6" w:rsidR="00BC5EE6" w:rsidRPr="00BC5EE6" w:rsidRDefault="00BC5EE6" w:rsidP="00BC5EE6">
            <w:pPr>
              <w:rPr>
                <w:rFonts w:cs="Arial"/>
                <w:lang w:val="en-US"/>
              </w:rPr>
            </w:pPr>
            <w:r w:rsidRPr="00BC5EE6">
              <w:rPr>
                <w:rFonts w:cs="Arial"/>
                <w:lang w:eastAsia="bg-BG"/>
              </w:rPr>
              <w:t>60</w:t>
            </w:r>
          </w:p>
        </w:tc>
        <w:tc>
          <w:tcPr>
            <w:tcW w:w="1357" w:type="dxa"/>
            <w:vAlign w:val="bottom"/>
          </w:tcPr>
          <w:p w14:paraId="74F1D600" w14:textId="14DB779F" w:rsidR="00BC5EE6" w:rsidRPr="00BC5EE6" w:rsidRDefault="00BC5EE6" w:rsidP="00BC5EE6">
            <w:pPr>
              <w:rPr>
                <w:rFonts w:cs="Arial"/>
                <w:lang w:val="en-US"/>
              </w:rPr>
            </w:pPr>
            <w:r w:rsidRPr="00BC5EE6">
              <w:rPr>
                <w:rFonts w:cs="Arial"/>
                <w:lang w:eastAsia="bg-BG"/>
              </w:rPr>
              <w:t>36</w:t>
            </w:r>
          </w:p>
        </w:tc>
        <w:tc>
          <w:tcPr>
            <w:tcW w:w="1357" w:type="dxa"/>
            <w:vAlign w:val="bottom"/>
          </w:tcPr>
          <w:p w14:paraId="7CABBC7A" w14:textId="4288B9D8" w:rsidR="00BC5EE6" w:rsidRPr="00BC5EE6" w:rsidRDefault="00BC5EE6" w:rsidP="00BC5EE6">
            <w:pPr>
              <w:rPr>
                <w:rFonts w:cs="Arial"/>
                <w:lang w:val="en-US"/>
              </w:rPr>
            </w:pPr>
            <w:r w:rsidRPr="00BC5EE6">
              <w:rPr>
                <w:rFonts w:cs="Arial"/>
              </w:rPr>
              <w:t>32</w:t>
            </w:r>
          </w:p>
        </w:tc>
        <w:tc>
          <w:tcPr>
            <w:tcW w:w="1357" w:type="dxa"/>
            <w:vAlign w:val="bottom"/>
          </w:tcPr>
          <w:p w14:paraId="636A8589" w14:textId="124E7E52" w:rsidR="00BC5EE6" w:rsidRPr="00BC5EE6" w:rsidRDefault="00BC5EE6" w:rsidP="00BC5EE6">
            <w:pPr>
              <w:rPr>
                <w:rFonts w:cs="Arial"/>
                <w:lang w:val="en-US"/>
              </w:rPr>
            </w:pPr>
            <w:r w:rsidRPr="00BC5EE6">
              <w:rPr>
                <w:rFonts w:cs="Arial"/>
              </w:rPr>
              <w:t>27</w:t>
            </w:r>
          </w:p>
        </w:tc>
        <w:tc>
          <w:tcPr>
            <w:tcW w:w="1357" w:type="dxa"/>
            <w:vAlign w:val="bottom"/>
          </w:tcPr>
          <w:p w14:paraId="0891C44C" w14:textId="6850C403" w:rsidR="00BC5EE6" w:rsidRPr="00BC5EE6" w:rsidRDefault="00BC5EE6" w:rsidP="00BC5EE6">
            <w:pPr>
              <w:rPr>
                <w:rFonts w:cs="Arial"/>
                <w:lang w:val="en-US"/>
              </w:rPr>
            </w:pPr>
            <w:r w:rsidRPr="00BC5EE6">
              <w:rPr>
                <w:rFonts w:cs="Arial"/>
              </w:rPr>
              <w:t>23</w:t>
            </w:r>
          </w:p>
        </w:tc>
        <w:tc>
          <w:tcPr>
            <w:tcW w:w="1357" w:type="dxa"/>
            <w:vAlign w:val="bottom"/>
          </w:tcPr>
          <w:p w14:paraId="5B243DD2" w14:textId="7D7C9814" w:rsidR="00BC5EE6" w:rsidRPr="00BC5EE6" w:rsidRDefault="00BC5EE6" w:rsidP="00BC5EE6">
            <w:pPr>
              <w:rPr>
                <w:rFonts w:cs="Arial"/>
                <w:lang w:val="en-US"/>
              </w:rPr>
            </w:pPr>
            <w:r w:rsidRPr="00BC5EE6">
              <w:rPr>
                <w:rFonts w:cs="Arial"/>
              </w:rPr>
              <w:t>18,5</w:t>
            </w:r>
          </w:p>
        </w:tc>
        <w:tc>
          <w:tcPr>
            <w:tcW w:w="1358" w:type="dxa"/>
            <w:vAlign w:val="bottom"/>
          </w:tcPr>
          <w:p w14:paraId="1864938F" w14:textId="2FE3342C" w:rsidR="00BC5EE6" w:rsidRPr="00BC5EE6" w:rsidRDefault="00BC5EE6" w:rsidP="00BC5EE6">
            <w:pPr>
              <w:rPr>
                <w:rFonts w:cs="Arial"/>
                <w:lang w:val="en-US"/>
              </w:rPr>
            </w:pPr>
            <w:r w:rsidRPr="00BC5EE6">
              <w:rPr>
                <w:rFonts w:cs="Arial"/>
              </w:rPr>
              <w:t>14,5</w:t>
            </w:r>
          </w:p>
        </w:tc>
      </w:tr>
      <w:tr w:rsidR="00BC5EE6" w14:paraId="6814AAF5" w14:textId="77777777" w:rsidTr="009D0EFE">
        <w:tc>
          <w:tcPr>
            <w:tcW w:w="1357" w:type="dxa"/>
            <w:vAlign w:val="bottom"/>
          </w:tcPr>
          <w:p w14:paraId="1BEA6F25" w14:textId="3A554E08" w:rsidR="00BC5EE6" w:rsidRPr="00BC5EE6" w:rsidRDefault="00BC5EE6" w:rsidP="00BC5EE6">
            <w:pPr>
              <w:rPr>
                <w:rFonts w:cs="Arial"/>
                <w:lang w:val="en-US"/>
              </w:rPr>
            </w:pPr>
            <w:r w:rsidRPr="00BC5EE6">
              <w:rPr>
                <w:rFonts w:cs="Arial"/>
                <w:lang w:eastAsia="bg-BG"/>
              </w:rPr>
              <w:t>65</w:t>
            </w:r>
          </w:p>
        </w:tc>
        <w:tc>
          <w:tcPr>
            <w:tcW w:w="1357" w:type="dxa"/>
            <w:vAlign w:val="bottom"/>
          </w:tcPr>
          <w:p w14:paraId="0BB68D5A" w14:textId="759F5EC5" w:rsidR="00BC5EE6" w:rsidRPr="00BC5EE6" w:rsidRDefault="00BC5EE6" w:rsidP="00BC5EE6">
            <w:pPr>
              <w:rPr>
                <w:rFonts w:cs="Arial"/>
                <w:lang w:val="en-US"/>
              </w:rPr>
            </w:pPr>
            <w:r w:rsidRPr="00BC5EE6">
              <w:rPr>
                <w:rFonts w:cs="Arial"/>
                <w:lang w:eastAsia="bg-BG"/>
              </w:rPr>
              <w:t>38</w:t>
            </w:r>
          </w:p>
        </w:tc>
        <w:tc>
          <w:tcPr>
            <w:tcW w:w="1357" w:type="dxa"/>
            <w:vAlign w:val="bottom"/>
          </w:tcPr>
          <w:p w14:paraId="75595DEE" w14:textId="7E03B1E9" w:rsidR="00BC5EE6" w:rsidRPr="00BC5EE6" w:rsidRDefault="00BC5EE6" w:rsidP="00BC5EE6">
            <w:pPr>
              <w:rPr>
                <w:rFonts w:cs="Arial"/>
                <w:lang w:val="en-US"/>
              </w:rPr>
            </w:pPr>
            <w:r w:rsidRPr="00BC5EE6">
              <w:rPr>
                <w:rFonts w:cs="Arial"/>
              </w:rPr>
              <w:t>33</w:t>
            </w:r>
          </w:p>
        </w:tc>
        <w:tc>
          <w:tcPr>
            <w:tcW w:w="1357" w:type="dxa"/>
            <w:vAlign w:val="bottom"/>
          </w:tcPr>
          <w:p w14:paraId="0075620F" w14:textId="6ECD2BB5" w:rsidR="00BC5EE6" w:rsidRPr="00BC5EE6" w:rsidRDefault="00BC5EE6" w:rsidP="00BC5EE6">
            <w:pPr>
              <w:rPr>
                <w:rFonts w:cs="Arial"/>
                <w:lang w:val="en-US"/>
              </w:rPr>
            </w:pPr>
            <w:r w:rsidRPr="00BC5EE6">
              <w:rPr>
                <w:rFonts w:cs="Arial"/>
              </w:rPr>
              <w:t>29</w:t>
            </w:r>
          </w:p>
        </w:tc>
        <w:tc>
          <w:tcPr>
            <w:tcW w:w="1357" w:type="dxa"/>
            <w:vAlign w:val="bottom"/>
          </w:tcPr>
          <w:p w14:paraId="323F90D3" w14:textId="5012A687" w:rsidR="00BC5EE6" w:rsidRPr="00BC5EE6" w:rsidRDefault="00BC5EE6" w:rsidP="00BC5EE6">
            <w:pPr>
              <w:rPr>
                <w:rFonts w:cs="Arial"/>
                <w:lang w:val="en-US"/>
              </w:rPr>
            </w:pPr>
            <w:r w:rsidRPr="00BC5EE6">
              <w:rPr>
                <w:rFonts w:cs="Arial"/>
              </w:rPr>
              <w:t>24</w:t>
            </w:r>
          </w:p>
        </w:tc>
        <w:tc>
          <w:tcPr>
            <w:tcW w:w="1357" w:type="dxa"/>
            <w:vAlign w:val="bottom"/>
          </w:tcPr>
          <w:p w14:paraId="4BA3AB0C" w14:textId="768B78E8" w:rsidR="00BC5EE6" w:rsidRPr="00BC5EE6" w:rsidRDefault="00BC5EE6" w:rsidP="00BC5EE6">
            <w:pPr>
              <w:rPr>
                <w:rFonts w:cs="Arial"/>
                <w:lang w:val="en-US"/>
              </w:rPr>
            </w:pPr>
            <w:r w:rsidRPr="00BC5EE6">
              <w:rPr>
                <w:rFonts w:cs="Arial"/>
              </w:rPr>
              <w:t>19,5</w:t>
            </w:r>
          </w:p>
        </w:tc>
        <w:tc>
          <w:tcPr>
            <w:tcW w:w="1358" w:type="dxa"/>
            <w:vAlign w:val="bottom"/>
          </w:tcPr>
          <w:p w14:paraId="60E5B9C5" w14:textId="5FAA63C0" w:rsidR="00BC5EE6" w:rsidRPr="00BC5EE6" w:rsidRDefault="00BC5EE6" w:rsidP="00BC5EE6">
            <w:pPr>
              <w:rPr>
                <w:rFonts w:cs="Arial"/>
                <w:lang w:val="en-US"/>
              </w:rPr>
            </w:pPr>
            <w:r w:rsidRPr="00BC5EE6">
              <w:rPr>
                <w:rFonts w:cs="Arial"/>
              </w:rPr>
              <w:t>14,5</w:t>
            </w:r>
          </w:p>
        </w:tc>
      </w:tr>
      <w:tr w:rsidR="00BC5EE6" w14:paraId="266290CB" w14:textId="77777777" w:rsidTr="009D0EFE">
        <w:tc>
          <w:tcPr>
            <w:tcW w:w="1357" w:type="dxa"/>
            <w:vAlign w:val="bottom"/>
          </w:tcPr>
          <w:p w14:paraId="7BEF6486" w14:textId="26C1A62D" w:rsidR="00BC5EE6" w:rsidRPr="00BC5EE6" w:rsidRDefault="00BC5EE6" w:rsidP="00BC5EE6">
            <w:pPr>
              <w:rPr>
                <w:rFonts w:cs="Arial"/>
                <w:lang w:val="en-US"/>
              </w:rPr>
            </w:pPr>
            <w:r w:rsidRPr="00BC5EE6">
              <w:rPr>
                <w:rFonts w:cs="Arial"/>
                <w:lang w:eastAsia="bg-BG"/>
              </w:rPr>
              <w:t>70</w:t>
            </w:r>
          </w:p>
        </w:tc>
        <w:tc>
          <w:tcPr>
            <w:tcW w:w="1357" w:type="dxa"/>
            <w:vAlign w:val="bottom"/>
          </w:tcPr>
          <w:p w14:paraId="29F05B9F" w14:textId="6E10D5A0" w:rsidR="00BC5EE6" w:rsidRPr="00BC5EE6" w:rsidRDefault="00BC5EE6" w:rsidP="00BC5EE6">
            <w:pPr>
              <w:rPr>
                <w:rFonts w:cs="Arial"/>
                <w:lang w:val="en-US"/>
              </w:rPr>
            </w:pPr>
            <w:r w:rsidRPr="00BC5EE6">
              <w:rPr>
                <w:rFonts w:cs="Arial"/>
                <w:lang w:eastAsia="bg-BG"/>
              </w:rPr>
              <w:t>40</w:t>
            </w:r>
          </w:p>
        </w:tc>
        <w:tc>
          <w:tcPr>
            <w:tcW w:w="1357" w:type="dxa"/>
            <w:vAlign w:val="bottom"/>
          </w:tcPr>
          <w:p w14:paraId="04F7AED1" w14:textId="16E04DB1" w:rsidR="00BC5EE6" w:rsidRPr="00BC5EE6" w:rsidRDefault="00BC5EE6" w:rsidP="00BC5EE6">
            <w:pPr>
              <w:rPr>
                <w:rFonts w:cs="Arial"/>
                <w:lang w:val="en-US"/>
              </w:rPr>
            </w:pPr>
            <w:r w:rsidRPr="00BC5EE6">
              <w:rPr>
                <w:rFonts w:cs="Arial"/>
              </w:rPr>
              <w:t>35</w:t>
            </w:r>
          </w:p>
        </w:tc>
        <w:tc>
          <w:tcPr>
            <w:tcW w:w="1357" w:type="dxa"/>
            <w:vAlign w:val="bottom"/>
          </w:tcPr>
          <w:p w14:paraId="2CFA496A" w14:textId="36114ECD" w:rsidR="00BC5EE6" w:rsidRPr="00BC5EE6" w:rsidRDefault="00BC5EE6" w:rsidP="00BC5EE6">
            <w:pPr>
              <w:rPr>
                <w:rFonts w:cs="Arial"/>
                <w:lang w:val="en-US"/>
              </w:rPr>
            </w:pPr>
            <w:r w:rsidRPr="00BC5EE6">
              <w:rPr>
                <w:rFonts w:cs="Arial"/>
              </w:rPr>
              <w:t>30</w:t>
            </w:r>
          </w:p>
        </w:tc>
        <w:tc>
          <w:tcPr>
            <w:tcW w:w="1357" w:type="dxa"/>
            <w:vAlign w:val="bottom"/>
          </w:tcPr>
          <w:p w14:paraId="18DF37E9" w14:textId="5108DD99" w:rsidR="00BC5EE6" w:rsidRPr="00BC5EE6" w:rsidRDefault="00BC5EE6" w:rsidP="00BC5EE6">
            <w:pPr>
              <w:rPr>
                <w:rFonts w:cs="Arial"/>
                <w:lang w:val="en-US"/>
              </w:rPr>
            </w:pPr>
            <w:r w:rsidRPr="00BC5EE6">
              <w:rPr>
                <w:rFonts w:cs="Arial"/>
              </w:rPr>
              <w:t>25</w:t>
            </w:r>
          </w:p>
        </w:tc>
        <w:tc>
          <w:tcPr>
            <w:tcW w:w="1357" w:type="dxa"/>
            <w:vAlign w:val="bottom"/>
          </w:tcPr>
          <w:p w14:paraId="4670954D" w14:textId="5C2A093A" w:rsidR="00BC5EE6" w:rsidRPr="00BC5EE6" w:rsidRDefault="00BC5EE6" w:rsidP="00BC5EE6">
            <w:pPr>
              <w:rPr>
                <w:rFonts w:cs="Arial"/>
                <w:lang w:val="en-US"/>
              </w:rPr>
            </w:pPr>
            <w:r w:rsidRPr="00BC5EE6">
              <w:rPr>
                <w:rFonts w:cs="Arial"/>
              </w:rPr>
              <w:t>20</w:t>
            </w:r>
          </w:p>
        </w:tc>
        <w:tc>
          <w:tcPr>
            <w:tcW w:w="1358" w:type="dxa"/>
            <w:vAlign w:val="bottom"/>
          </w:tcPr>
          <w:p w14:paraId="681C7287" w14:textId="53B0DD52" w:rsidR="00BC5EE6" w:rsidRPr="00BC5EE6" w:rsidRDefault="00BC5EE6" w:rsidP="00BC5EE6">
            <w:pPr>
              <w:rPr>
                <w:rFonts w:cs="Arial"/>
                <w:lang w:val="en-US"/>
              </w:rPr>
            </w:pPr>
            <w:r w:rsidRPr="00BC5EE6">
              <w:rPr>
                <w:rFonts w:cs="Arial"/>
              </w:rPr>
              <w:t>15</w:t>
            </w:r>
          </w:p>
        </w:tc>
      </w:tr>
      <w:tr w:rsidR="00BC5EE6" w14:paraId="6657CA3C" w14:textId="77777777" w:rsidTr="009D0EFE">
        <w:tc>
          <w:tcPr>
            <w:tcW w:w="1357" w:type="dxa"/>
            <w:vAlign w:val="bottom"/>
          </w:tcPr>
          <w:p w14:paraId="2E5976DE" w14:textId="4327782B" w:rsidR="00BC5EE6" w:rsidRPr="00BC5EE6" w:rsidRDefault="00BC5EE6" w:rsidP="00BC5EE6">
            <w:pPr>
              <w:rPr>
                <w:rFonts w:cs="Arial"/>
                <w:lang w:val="en-US"/>
              </w:rPr>
            </w:pPr>
            <w:r w:rsidRPr="00BC5EE6">
              <w:rPr>
                <w:rFonts w:cs="Arial"/>
                <w:lang w:eastAsia="bg-BG"/>
              </w:rPr>
              <w:t>75</w:t>
            </w:r>
          </w:p>
        </w:tc>
        <w:tc>
          <w:tcPr>
            <w:tcW w:w="1357" w:type="dxa"/>
            <w:vAlign w:val="bottom"/>
          </w:tcPr>
          <w:p w14:paraId="3931E230" w14:textId="5C39DA3E" w:rsidR="00BC5EE6" w:rsidRPr="00BC5EE6" w:rsidRDefault="00BC5EE6" w:rsidP="00BC5EE6">
            <w:pPr>
              <w:rPr>
                <w:rFonts w:cs="Arial"/>
                <w:lang w:val="en-US"/>
              </w:rPr>
            </w:pPr>
            <w:r w:rsidRPr="00BC5EE6">
              <w:rPr>
                <w:rFonts w:cs="Arial"/>
                <w:lang w:eastAsia="bg-BG"/>
              </w:rPr>
              <w:t>42</w:t>
            </w:r>
          </w:p>
        </w:tc>
        <w:tc>
          <w:tcPr>
            <w:tcW w:w="1357" w:type="dxa"/>
            <w:vAlign w:val="bottom"/>
          </w:tcPr>
          <w:p w14:paraId="49BF267A" w14:textId="32766772" w:rsidR="00BC5EE6" w:rsidRPr="00BC5EE6" w:rsidRDefault="00BC5EE6" w:rsidP="00BC5EE6">
            <w:pPr>
              <w:rPr>
                <w:rFonts w:cs="Arial"/>
                <w:lang w:val="en-US"/>
              </w:rPr>
            </w:pPr>
            <w:r w:rsidRPr="00BC5EE6">
              <w:rPr>
                <w:rFonts w:cs="Arial"/>
              </w:rPr>
              <w:t>37</w:t>
            </w:r>
          </w:p>
        </w:tc>
        <w:tc>
          <w:tcPr>
            <w:tcW w:w="1357" w:type="dxa"/>
            <w:vAlign w:val="bottom"/>
          </w:tcPr>
          <w:p w14:paraId="4533E465" w14:textId="036B61FA" w:rsidR="00BC5EE6" w:rsidRPr="00BC5EE6" w:rsidRDefault="00BC5EE6" w:rsidP="00BC5EE6">
            <w:pPr>
              <w:rPr>
                <w:rFonts w:cs="Arial"/>
                <w:lang w:val="en-US"/>
              </w:rPr>
            </w:pPr>
            <w:r w:rsidRPr="00BC5EE6">
              <w:rPr>
                <w:rFonts w:cs="Arial"/>
              </w:rPr>
              <w:t>32</w:t>
            </w:r>
          </w:p>
        </w:tc>
        <w:tc>
          <w:tcPr>
            <w:tcW w:w="1357" w:type="dxa"/>
            <w:vAlign w:val="bottom"/>
          </w:tcPr>
          <w:p w14:paraId="72CDDADE" w14:textId="499A53F7" w:rsidR="00BC5EE6" w:rsidRPr="00BC5EE6" w:rsidRDefault="00BC5EE6" w:rsidP="00BC5EE6">
            <w:pPr>
              <w:rPr>
                <w:rFonts w:cs="Arial"/>
                <w:lang w:val="en-US"/>
              </w:rPr>
            </w:pPr>
            <w:r w:rsidRPr="00BC5EE6">
              <w:rPr>
                <w:rFonts w:cs="Arial"/>
              </w:rPr>
              <w:t>26</w:t>
            </w:r>
          </w:p>
        </w:tc>
        <w:tc>
          <w:tcPr>
            <w:tcW w:w="1357" w:type="dxa"/>
            <w:vAlign w:val="bottom"/>
          </w:tcPr>
          <w:p w14:paraId="5E52713B" w14:textId="409401A6" w:rsidR="00BC5EE6" w:rsidRPr="00BC5EE6" w:rsidRDefault="00BC5EE6" w:rsidP="00BC5EE6">
            <w:pPr>
              <w:rPr>
                <w:rFonts w:cs="Arial"/>
                <w:lang w:val="en-US"/>
              </w:rPr>
            </w:pPr>
            <w:r w:rsidRPr="00BC5EE6">
              <w:rPr>
                <w:rFonts w:cs="Arial"/>
              </w:rPr>
              <w:t>21</w:t>
            </w:r>
          </w:p>
        </w:tc>
        <w:tc>
          <w:tcPr>
            <w:tcW w:w="1358" w:type="dxa"/>
            <w:vAlign w:val="bottom"/>
          </w:tcPr>
          <w:p w14:paraId="1BCEC492" w14:textId="09100BC2" w:rsidR="00BC5EE6" w:rsidRPr="00BC5EE6" w:rsidRDefault="00BC5EE6" w:rsidP="00BC5EE6">
            <w:pPr>
              <w:rPr>
                <w:rFonts w:cs="Arial"/>
                <w:lang w:val="en-US"/>
              </w:rPr>
            </w:pPr>
            <w:r w:rsidRPr="00BC5EE6">
              <w:rPr>
                <w:rFonts w:cs="Arial"/>
              </w:rPr>
              <w:t>15,5</w:t>
            </w:r>
          </w:p>
        </w:tc>
      </w:tr>
      <w:tr w:rsidR="00BC5EE6" w14:paraId="3EABE4CA" w14:textId="77777777" w:rsidTr="009D0EFE">
        <w:tc>
          <w:tcPr>
            <w:tcW w:w="1357" w:type="dxa"/>
            <w:vAlign w:val="bottom"/>
          </w:tcPr>
          <w:p w14:paraId="50F65EA6" w14:textId="479FCBC5" w:rsidR="00BC5EE6" w:rsidRPr="00BC5EE6" w:rsidRDefault="00BC5EE6" w:rsidP="00BC5EE6">
            <w:pPr>
              <w:rPr>
                <w:rFonts w:cs="Arial"/>
                <w:lang w:val="en-US"/>
              </w:rPr>
            </w:pPr>
            <w:r w:rsidRPr="00BC5EE6">
              <w:rPr>
                <w:rFonts w:cs="Arial"/>
                <w:lang w:eastAsia="bg-BG"/>
              </w:rPr>
              <w:t>80</w:t>
            </w:r>
          </w:p>
        </w:tc>
        <w:tc>
          <w:tcPr>
            <w:tcW w:w="1357" w:type="dxa"/>
            <w:vAlign w:val="bottom"/>
          </w:tcPr>
          <w:p w14:paraId="1699F401" w14:textId="58592A8B" w:rsidR="00BC5EE6" w:rsidRPr="00BC5EE6" w:rsidRDefault="00BC5EE6" w:rsidP="00BC5EE6">
            <w:pPr>
              <w:rPr>
                <w:rFonts w:cs="Arial"/>
                <w:lang w:val="en-US"/>
              </w:rPr>
            </w:pPr>
            <w:r w:rsidRPr="00BC5EE6">
              <w:rPr>
                <w:rFonts w:cs="Arial"/>
                <w:lang w:eastAsia="bg-BG"/>
              </w:rPr>
              <w:t>45</w:t>
            </w:r>
          </w:p>
        </w:tc>
        <w:tc>
          <w:tcPr>
            <w:tcW w:w="1357" w:type="dxa"/>
            <w:vAlign w:val="bottom"/>
          </w:tcPr>
          <w:p w14:paraId="2B327AD8" w14:textId="6FC1F880" w:rsidR="00BC5EE6" w:rsidRPr="00BC5EE6" w:rsidRDefault="00BC5EE6" w:rsidP="00BC5EE6">
            <w:pPr>
              <w:rPr>
                <w:rFonts w:cs="Arial"/>
                <w:lang w:val="en-US"/>
              </w:rPr>
            </w:pPr>
            <w:r w:rsidRPr="00BC5EE6">
              <w:rPr>
                <w:rFonts w:cs="Arial"/>
              </w:rPr>
              <w:t>39</w:t>
            </w:r>
          </w:p>
        </w:tc>
        <w:tc>
          <w:tcPr>
            <w:tcW w:w="1357" w:type="dxa"/>
            <w:vAlign w:val="bottom"/>
          </w:tcPr>
          <w:p w14:paraId="4A9F77F3" w14:textId="7F6736D0" w:rsidR="00BC5EE6" w:rsidRPr="00BC5EE6" w:rsidRDefault="00BC5EE6" w:rsidP="00BC5EE6">
            <w:pPr>
              <w:rPr>
                <w:rFonts w:cs="Arial"/>
                <w:lang w:val="en-US"/>
              </w:rPr>
            </w:pPr>
            <w:r w:rsidRPr="00BC5EE6">
              <w:rPr>
                <w:rFonts w:cs="Arial"/>
              </w:rPr>
              <w:t>33</w:t>
            </w:r>
          </w:p>
        </w:tc>
        <w:tc>
          <w:tcPr>
            <w:tcW w:w="1357" w:type="dxa"/>
            <w:vAlign w:val="bottom"/>
          </w:tcPr>
          <w:p w14:paraId="62C98A0E" w14:textId="35AED48E" w:rsidR="00BC5EE6" w:rsidRPr="00BC5EE6" w:rsidRDefault="00BC5EE6" w:rsidP="00BC5EE6">
            <w:pPr>
              <w:rPr>
                <w:rFonts w:cs="Arial"/>
                <w:lang w:val="en-US"/>
              </w:rPr>
            </w:pPr>
            <w:r w:rsidRPr="00BC5EE6">
              <w:rPr>
                <w:rFonts w:cs="Arial"/>
              </w:rPr>
              <w:t>27</w:t>
            </w:r>
          </w:p>
        </w:tc>
        <w:tc>
          <w:tcPr>
            <w:tcW w:w="1357" w:type="dxa"/>
            <w:vAlign w:val="bottom"/>
          </w:tcPr>
          <w:p w14:paraId="68C220B0" w14:textId="0F1D2355" w:rsidR="00BC5EE6" w:rsidRPr="00BC5EE6" w:rsidRDefault="00BC5EE6" w:rsidP="00BC5EE6">
            <w:pPr>
              <w:rPr>
                <w:rFonts w:cs="Arial"/>
                <w:lang w:val="en-US"/>
              </w:rPr>
            </w:pPr>
            <w:r w:rsidRPr="00BC5EE6">
              <w:rPr>
                <w:rFonts w:cs="Arial"/>
              </w:rPr>
              <w:t>21,5</w:t>
            </w:r>
          </w:p>
        </w:tc>
        <w:tc>
          <w:tcPr>
            <w:tcW w:w="1358" w:type="dxa"/>
            <w:vAlign w:val="bottom"/>
          </w:tcPr>
          <w:p w14:paraId="7A6CE576" w14:textId="6BE11BE3" w:rsidR="00BC5EE6" w:rsidRPr="00BC5EE6" w:rsidRDefault="00BC5EE6" w:rsidP="00BC5EE6">
            <w:pPr>
              <w:rPr>
                <w:rFonts w:cs="Arial"/>
                <w:lang w:val="en-US"/>
              </w:rPr>
            </w:pPr>
            <w:r w:rsidRPr="00BC5EE6">
              <w:rPr>
                <w:rFonts w:cs="Arial"/>
              </w:rPr>
              <w:t>16</w:t>
            </w:r>
          </w:p>
        </w:tc>
      </w:tr>
      <w:tr w:rsidR="00BC5EE6" w14:paraId="066FC6DC" w14:textId="77777777" w:rsidTr="009D0EFE">
        <w:tc>
          <w:tcPr>
            <w:tcW w:w="1357" w:type="dxa"/>
            <w:vAlign w:val="bottom"/>
          </w:tcPr>
          <w:p w14:paraId="6374FC36" w14:textId="35F7D385" w:rsidR="00BC5EE6" w:rsidRPr="00BC5EE6" w:rsidRDefault="00BC5EE6" w:rsidP="00BC5EE6">
            <w:pPr>
              <w:rPr>
                <w:rFonts w:cs="Arial"/>
                <w:lang w:val="en-US"/>
              </w:rPr>
            </w:pPr>
            <w:r w:rsidRPr="00BC5EE6">
              <w:rPr>
                <w:rFonts w:cs="Arial"/>
                <w:lang w:eastAsia="bg-BG"/>
              </w:rPr>
              <w:t>85</w:t>
            </w:r>
          </w:p>
        </w:tc>
        <w:tc>
          <w:tcPr>
            <w:tcW w:w="1357" w:type="dxa"/>
            <w:vAlign w:val="bottom"/>
          </w:tcPr>
          <w:p w14:paraId="19FC93DD" w14:textId="7F7A591F" w:rsidR="00BC5EE6" w:rsidRPr="00BC5EE6" w:rsidRDefault="00BC5EE6" w:rsidP="00BC5EE6">
            <w:pPr>
              <w:rPr>
                <w:rFonts w:cs="Arial"/>
                <w:lang w:val="en-US"/>
              </w:rPr>
            </w:pPr>
            <w:r w:rsidRPr="00BC5EE6">
              <w:rPr>
                <w:rFonts w:cs="Arial"/>
                <w:lang w:eastAsia="bg-BG"/>
              </w:rPr>
              <w:t>47</w:t>
            </w:r>
          </w:p>
        </w:tc>
        <w:tc>
          <w:tcPr>
            <w:tcW w:w="1357" w:type="dxa"/>
            <w:vAlign w:val="bottom"/>
          </w:tcPr>
          <w:p w14:paraId="09C13C83" w14:textId="13BA093A" w:rsidR="00BC5EE6" w:rsidRPr="00BC5EE6" w:rsidRDefault="00BC5EE6" w:rsidP="00BC5EE6">
            <w:pPr>
              <w:rPr>
                <w:rFonts w:cs="Arial"/>
                <w:lang w:val="en-US"/>
              </w:rPr>
            </w:pPr>
            <w:r w:rsidRPr="00BC5EE6">
              <w:rPr>
                <w:rFonts w:cs="Arial"/>
              </w:rPr>
              <w:t>41</w:t>
            </w:r>
          </w:p>
        </w:tc>
        <w:tc>
          <w:tcPr>
            <w:tcW w:w="1357" w:type="dxa"/>
            <w:vAlign w:val="bottom"/>
          </w:tcPr>
          <w:p w14:paraId="553B1C0B" w14:textId="6300BF6C" w:rsidR="00BC5EE6" w:rsidRPr="00BC5EE6" w:rsidRDefault="00BC5EE6" w:rsidP="00BC5EE6">
            <w:pPr>
              <w:rPr>
                <w:rFonts w:cs="Arial"/>
                <w:lang w:val="en-US"/>
              </w:rPr>
            </w:pPr>
            <w:r w:rsidRPr="00BC5EE6">
              <w:rPr>
                <w:rFonts w:cs="Arial"/>
              </w:rPr>
              <w:t>34</w:t>
            </w:r>
          </w:p>
        </w:tc>
        <w:tc>
          <w:tcPr>
            <w:tcW w:w="1357" w:type="dxa"/>
            <w:vAlign w:val="bottom"/>
          </w:tcPr>
          <w:p w14:paraId="57AFC383" w14:textId="2EBC8BC5" w:rsidR="00BC5EE6" w:rsidRPr="00BC5EE6" w:rsidRDefault="00BC5EE6" w:rsidP="00BC5EE6">
            <w:pPr>
              <w:rPr>
                <w:rFonts w:cs="Arial"/>
                <w:lang w:val="en-US"/>
              </w:rPr>
            </w:pPr>
            <w:r w:rsidRPr="00BC5EE6">
              <w:rPr>
                <w:rFonts w:cs="Arial"/>
              </w:rPr>
              <w:t>28</w:t>
            </w:r>
          </w:p>
        </w:tc>
        <w:tc>
          <w:tcPr>
            <w:tcW w:w="1357" w:type="dxa"/>
            <w:vAlign w:val="bottom"/>
          </w:tcPr>
          <w:p w14:paraId="0CEC598D" w14:textId="124ACFDF" w:rsidR="00BC5EE6" w:rsidRPr="00BC5EE6" w:rsidRDefault="00BC5EE6" w:rsidP="00BC5EE6">
            <w:pPr>
              <w:rPr>
                <w:rFonts w:cs="Arial"/>
                <w:lang w:val="en-US"/>
              </w:rPr>
            </w:pPr>
            <w:r w:rsidRPr="00BC5EE6">
              <w:rPr>
                <w:rFonts w:cs="Arial"/>
              </w:rPr>
              <w:t>22</w:t>
            </w:r>
          </w:p>
        </w:tc>
        <w:tc>
          <w:tcPr>
            <w:tcW w:w="1358" w:type="dxa"/>
            <w:vAlign w:val="bottom"/>
          </w:tcPr>
          <w:p w14:paraId="62342B58" w14:textId="5B15668A" w:rsidR="00BC5EE6" w:rsidRPr="00BC5EE6" w:rsidRDefault="00BC5EE6" w:rsidP="00BC5EE6">
            <w:pPr>
              <w:rPr>
                <w:rFonts w:cs="Arial"/>
                <w:lang w:val="en-US"/>
              </w:rPr>
            </w:pPr>
            <w:r w:rsidRPr="00BC5EE6">
              <w:rPr>
                <w:rFonts w:cs="Arial"/>
              </w:rPr>
              <w:t>16</w:t>
            </w:r>
          </w:p>
        </w:tc>
      </w:tr>
      <w:tr w:rsidR="00BC5EE6" w14:paraId="1B2D8B9D" w14:textId="77777777" w:rsidTr="00BC5EE6">
        <w:tc>
          <w:tcPr>
            <w:tcW w:w="1357" w:type="dxa"/>
          </w:tcPr>
          <w:p w14:paraId="092C8B04" w14:textId="5F0BB5BD" w:rsidR="00BC5EE6" w:rsidRPr="00BC5EE6" w:rsidRDefault="00BC5EE6" w:rsidP="00BC5EE6">
            <w:pPr>
              <w:rPr>
                <w:rFonts w:cs="Arial"/>
                <w:lang w:val="en-US"/>
              </w:rPr>
            </w:pPr>
            <w:r w:rsidRPr="00BC5EE6">
              <w:rPr>
                <w:rFonts w:cs="Arial"/>
                <w:lang w:eastAsia="bg-BG"/>
              </w:rPr>
              <w:t>90</w:t>
            </w:r>
          </w:p>
        </w:tc>
        <w:tc>
          <w:tcPr>
            <w:tcW w:w="1357" w:type="dxa"/>
          </w:tcPr>
          <w:p w14:paraId="0CDDC88F" w14:textId="5F480C4B" w:rsidR="00BC5EE6" w:rsidRPr="00BC5EE6" w:rsidRDefault="00BC5EE6" w:rsidP="00BC5EE6">
            <w:pPr>
              <w:rPr>
                <w:rFonts w:cs="Arial"/>
                <w:lang w:val="en-US"/>
              </w:rPr>
            </w:pPr>
            <w:r w:rsidRPr="00BC5EE6">
              <w:rPr>
                <w:rFonts w:cs="Arial"/>
                <w:lang w:eastAsia="bg-BG"/>
              </w:rPr>
              <w:t>49</w:t>
            </w:r>
          </w:p>
        </w:tc>
        <w:tc>
          <w:tcPr>
            <w:tcW w:w="1357" w:type="dxa"/>
          </w:tcPr>
          <w:p w14:paraId="3363E0F4" w14:textId="6A0C8404" w:rsidR="00BC5EE6" w:rsidRPr="00BC5EE6" w:rsidRDefault="00BC5EE6" w:rsidP="00BC5EE6">
            <w:pPr>
              <w:rPr>
                <w:rFonts w:cs="Arial"/>
                <w:lang w:val="en-US"/>
              </w:rPr>
            </w:pPr>
            <w:r w:rsidRPr="00BC5EE6">
              <w:rPr>
                <w:rFonts w:cs="Arial"/>
              </w:rPr>
              <w:t>42</w:t>
            </w:r>
          </w:p>
        </w:tc>
        <w:tc>
          <w:tcPr>
            <w:tcW w:w="1357" w:type="dxa"/>
          </w:tcPr>
          <w:p w14:paraId="19B9C3AA" w14:textId="7D31876F" w:rsidR="00BC5EE6" w:rsidRPr="00BC5EE6" w:rsidRDefault="00BC5EE6" w:rsidP="00BC5EE6">
            <w:pPr>
              <w:rPr>
                <w:rFonts w:cs="Arial"/>
                <w:lang w:val="en-US"/>
              </w:rPr>
            </w:pPr>
            <w:r w:rsidRPr="00BC5EE6">
              <w:rPr>
                <w:rFonts w:cs="Arial"/>
              </w:rPr>
              <w:t>36</w:t>
            </w:r>
          </w:p>
        </w:tc>
        <w:tc>
          <w:tcPr>
            <w:tcW w:w="1357" w:type="dxa"/>
          </w:tcPr>
          <w:p w14:paraId="06940E21" w14:textId="7025A26F" w:rsidR="00BC5EE6" w:rsidRPr="00BC5EE6" w:rsidRDefault="00BC5EE6" w:rsidP="00BC5EE6">
            <w:pPr>
              <w:rPr>
                <w:rFonts w:cs="Arial"/>
                <w:lang w:val="en-US"/>
              </w:rPr>
            </w:pPr>
            <w:r w:rsidRPr="00BC5EE6">
              <w:rPr>
                <w:rFonts w:cs="Arial"/>
              </w:rPr>
              <w:t>29</w:t>
            </w:r>
          </w:p>
        </w:tc>
        <w:tc>
          <w:tcPr>
            <w:tcW w:w="1357" w:type="dxa"/>
          </w:tcPr>
          <w:p w14:paraId="78EEB265" w14:textId="6ED578ED" w:rsidR="00BC5EE6" w:rsidRPr="00BC5EE6" w:rsidRDefault="00BC5EE6" w:rsidP="00BC5EE6">
            <w:pPr>
              <w:rPr>
                <w:rFonts w:cs="Arial"/>
                <w:lang w:val="en-US"/>
              </w:rPr>
            </w:pPr>
            <w:r w:rsidRPr="00BC5EE6">
              <w:rPr>
                <w:rFonts w:cs="Arial"/>
              </w:rPr>
              <w:t>23</w:t>
            </w:r>
          </w:p>
        </w:tc>
        <w:tc>
          <w:tcPr>
            <w:tcW w:w="1358" w:type="dxa"/>
          </w:tcPr>
          <w:p w14:paraId="783EC58C" w14:textId="0E8D1F00" w:rsidR="00BC5EE6" w:rsidRPr="00BC5EE6" w:rsidRDefault="00BC5EE6" w:rsidP="00BC5EE6">
            <w:pPr>
              <w:rPr>
                <w:rFonts w:cs="Arial"/>
                <w:lang w:val="en-US"/>
              </w:rPr>
            </w:pPr>
            <w:r w:rsidRPr="00BC5EE6">
              <w:rPr>
                <w:rFonts w:cs="Arial"/>
              </w:rPr>
              <w:t>16,5</w:t>
            </w:r>
          </w:p>
        </w:tc>
      </w:tr>
    </w:tbl>
    <w:p w14:paraId="5924CED6" w14:textId="382CE377" w:rsidR="00BC5EE6" w:rsidRDefault="00BC5EE6" w:rsidP="00BC5EE6">
      <w:pPr>
        <w:rPr>
          <w:rFonts w:cs="Arial"/>
          <w:lang w:val="en-US"/>
        </w:rPr>
      </w:pPr>
    </w:p>
    <w:p w14:paraId="3B0BCFBD" w14:textId="77777777" w:rsidR="00BC5EE6" w:rsidRPr="00BC5EE6" w:rsidRDefault="00BC5EE6" w:rsidP="00BC5EE6">
      <w:pPr>
        <w:spacing w:line="240" w:lineRule="auto"/>
        <w:rPr>
          <w:rFonts w:eastAsia="Times New Roman" w:cs="Arial"/>
          <w:sz w:val="28"/>
          <w:szCs w:val="28"/>
          <w:lang w:eastAsia="bg-BG"/>
        </w:rPr>
      </w:pPr>
      <w:r w:rsidRPr="00BC5EE6">
        <w:rPr>
          <w:rFonts w:eastAsia="Times New Roman" w:cs="Arial"/>
          <w:b/>
          <w:bCs/>
          <w:color w:val="000000"/>
          <w:lang w:eastAsia="bg-BG"/>
        </w:rPr>
        <w:t xml:space="preserve">Бележка: </w:t>
      </w:r>
      <w:r w:rsidRPr="00BC5EE6">
        <w:rPr>
          <w:rFonts w:eastAsia="Times New Roman" w:cs="Arial"/>
          <w:color w:val="000000"/>
          <w:lang w:eastAsia="bg-BG"/>
        </w:rPr>
        <w:t>Таблицата и придружаващата формула са приложими при определяне на дозата само при пациенти с желязодефитна анемия. Те не трябва да се използват при определяне на дозата при пациенти, нуждаещи се от желязо след кръвозагуба.</w:t>
      </w:r>
    </w:p>
    <w:p w14:paraId="4C8DA390" w14:textId="77777777" w:rsidR="00BC5EE6" w:rsidRPr="00BC5EE6" w:rsidRDefault="00BC5EE6" w:rsidP="00BC5EE6">
      <w:pPr>
        <w:spacing w:line="240" w:lineRule="auto"/>
        <w:rPr>
          <w:rFonts w:eastAsia="Times New Roman" w:cs="Arial"/>
          <w:color w:val="000000"/>
          <w:u w:val="single"/>
          <w:lang w:eastAsia="bg-BG"/>
        </w:rPr>
      </w:pPr>
    </w:p>
    <w:p w14:paraId="4F2D4A25" w14:textId="032F66F6"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u w:val="single"/>
          <w:lang w:eastAsia="bg-BG"/>
        </w:rPr>
        <w:t>Б) Възстановяване на желязо при кръвозагуба:</w:t>
      </w:r>
    </w:p>
    <w:p w14:paraId="5DC7E295" w14:textId="77777777" w:rsidR="00BC5EE6" w:rsidRPr="00BC5EE6" w:rsidRDefault="00BC5EE6" w:rsidP="00BC5EE6">
      <w:pPr>
        <w:spacing w:line="240" w:lineRule="auto"/>
        <w:rPr>
          <w:rFonts w:eastAsia="Times New Roman" w:cs="Arial"/>
          <w:color w:val="000000"/>
          <w:lang w:eastAsia="bg-BG"/>
        </w:rPr>
      </w:pPr>
    </w:p>
    <w:p w14:paraId="17824808" w14:textId="70C8ADFE"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Терапията с желязо при пациенти с кръвозагуба трябва да бъде насочена към възстановяване на количеството желязо, еквивалентно на количеството желязо в загубената кръв. Описаната таблица и формула не са приложими за обикновено възстановяване на желязо. Количествата, установени при оценяване на индивидуалната периодична кръвозагуба и хематокритьт по време на кръвоизлив осигуряват подходящ метод за изчисляване на необходимата доза желязо.</w:t>
      </w:r>
    </w:p>
    <w:p w14:paraId="01E4C199" w14:textId="77777777" w:rsidR="00BC5EE6" w:rsidRPr="00BC5EE6" w:rsidRDefault="00BC5EE6" w:rsidP="00BC5EE6">
      <w:pPr>
        <w:spacing w:line="240" w:lineRule="auto"/>
        <w:rPr>
          <w:rFonts w:eastAsia="Times New Roman" w:cs="Arial"/>
          <w:color w:val="000000"/>
          <w:lang w:eastAsia="bg-BG"/>
        </w:rPr>
      </w:pPr>
    </w:p>
    <w:p w14:paraId="7C122588" w14:textId="584C4AF7"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Необходимата доза КосмоФер за компенсиране на железния дефицит се изчислява според следните формули.</w:t>
      </w:r>
    </w:p>
    <w:p w14:paraId="56D1A227" w14:textId="77777777" w:rsidR="00BC5EE6" w:rsidRPr="00BC5EE6" w:rsidRDefault="00BC5EE6" w:rsidP="00BC5EE6">
      <w:pPr>
        <w:spacing w:line="240" w:lineRule="auto"/>
        <w:rPr>
          <w:rFonts w:eastAsia="Times New Roman" w:cs="Arial"/>
          <w:color w:val="000000"/>
          <w:lang w:eastAsia="bg-BG"/>
        </w:rPr>
      </w:pPr>
    </w:p>
    <w:p w14:paraId="437E9B9E" w14:textId="77777777" w:rsidR="00BC5EE6" w:rsidRPr="00BC5EE6" w:rsidRDefault="00BC5EE6" w:rsidP="00BC5EE6">
      <w:pPr>
        <w:pStyle w:val="ListParagraph"/>
        <w:numPr>
          <w:ilvl w:val="0"/>
          <w:numId w:val="41"/>
        </w:numPr>
        <w:spacing w:line="240" w:lineRule="auto"/>
        <w:rPr>
          <w:rFonts w:eastAsia="Times New Roman" w:cs="Arial"/>
          <w:sz w:val="28"/>
          <w:szCs w:val="28"/>
          <w:lang w:eastAsia="bg-BG"/>
        </w:rPr>
      </w:pPr>
      <w:r w:rsidRPr="00BC5EE6">
        <w:rPr>
          <w:rFonts w:eastAsia="Times New Roman" w:cs="Arial"/>
          <w:color w:val="000000"/>
          <w:lang w:eastAsia="bg-BG"/>
        </w:rPr>
        <w:t xml:space="preserve">Ако обемът на кръвозагубата е известен: Приложението на 200 </w:t>
      </w:r>
      <w:r w:rsidRPr="00BC5EE6">
        <w:rPr>
          <w:rFonts w:eastAsia="Times New Roman" w:cs="Arial"/>
          <w:color w:val="000000"/>
          <w:lang w:val="en-US"/>
        </w:rPr>
        <w:t xml:space="preserve">mg </w:t>
      </w:r>
      <w:proofErr w:type="spellStart"/>
      <w:r w:rsidRPr="00BC5EE6">
        <w:rPr>
          <w:rFonts w:eastAsia="Times New Roman" w:cs="Arial"/>
          <w:color w:val="000000"/>
          <w:lang w:val="en-US"/>
        </w:rPr>
        <w:t>i.v.</w:t>
      </w:r>
      <w:proofErr w:type="spellEnd"/>
      <w:r w:rsidRPr="00BC5EE6">
        <w:rPr>
          <w:rFonts w:eastAsia="Times New Roman" w:cs="Arial"/>
          <w:color w:val="000000"/>
          <w:lang w:val="en-US"/>
        </w:rPr>
        <w:t xml:space="preserve"> </w:t>
      </w:r>
      <w:r w:rsidRPr="00BC5EE6">
        <w:rPr>
          <w:rFonts w:eastAsia="Times New Roman" w:cs="Arial"/>
          <w:color w:val="000000"/>
          <w:lang w:eastAsia="bg-BG"/>
        </w:rPr>
        <w:t xml:space="preserve">желязо (4 </w:t>
      </w:r>
      <w:r w:rsidRPr="00BC5EE6">
        <w:rPr>
          <w:rFonts w:eastAsia="Times New Roman" w:cs="Arial"/>
          <w:color w:val="000000"/>
          <w:lang w:val="en-US"/>
        </w:rPr>
        <w:t xml:space="preserve">ml </w:t>
      </w:r>
      <w:r w:rsidRPr="00BC5EE6">
        <w:rPr>
          <w:rFonts w:eastAsia="Times New Roman" w:cs="Arial"/>
          <w:color w:val="000000"/>
          <w:lang w:eastAsia="bg-BG"/>
        </w:rPr>
        <w:t xml:space="preserve">КосмоФер) води до повишение на хемоглобина, еквивалентно на 1 единица кръв (= 400 </w:t>
      </w:r>
      <w:r w:rsidRPr="00BC5EE6">
        <w:rPr>
          <w:rFonts w:eastAsia="Times New Roman" w:cs="Arial"/>
          <w:color w:val="000000"/>
          <w:lang w:val="en-US"/>
        </w:rPr>
        <w:t xml:space="preserve">ml </w:t>
      </w:r>
      <w:r w:rsidRPr="00BC5EE6">
        <w:rPr>
          <w:rFonts w:eastAsia="Times New Roman" w:cs="Arial"/>
          <w:color w:val="000000"/>
          <w:lang w:eastAsia="bg-BG"/>
        </w:rPr>
        <w:t xml:space="preserve">с 150 </w:t>
      </w:r>
      <w:r w:rsidRPr="00BC5EE6">
        <w:rPr>
          <w:rFonts w:eastAsia="Times New Roman" w:cs="Arial"/>
          <w:color w:val="000000"/>
          <w:lang w:val="en-US"/>
        </w:rPr>
        <w:t xml:space="preserve">g/l Hb </w:t>
      </w:r>
      <w:r w:rsidRPr="00BC5EE6">
        <w:rPr>
          <w:rFonts w:eastAsia="Times New Roman" w:cs="Arial"/>
          <w:color w:val="000000"/>
          <w:lang w:eastAsia="bg-BG"/>
        </w:rPr>
        <w:t xml:space="preserve">съдържание или 9,3 </w:t>
      </w:r>
      <w:r w:rsidRPr="00BC5EE6">
        <w:rPr>
          <w:rFonts w:eastAsia="Times New Roman" w:cs="Arial"/>
          <w:color w:val="000000"/>
          <w:lang w:val="en-US"/>
        </w:rPr>
        <w:t xml:space="preserve">mmol Hb/1 </w:t>
      </w:r>
      <w:r w:rsidRPr="00BC5EE6">
        <w:rPr>
          <w:rFonts w:eastAsia="Times New Roman" w:cs="Arial"/>
          <w:color w:val="000000"/>
          <w:lang w:eastAsia="bg-BG"/>
        </w:rPr>
        <w:t xml:space="preserve">- еквивалентни на 0,34% от 0,4 х 150 204 </w:t>
      </w:r>
      <w:r w:rsidRPr="00BC5EE6">
        <w:rPr>
          <w:rFonts w:eastAsia="Times New Roman" w:cs="Arial"/>
          <w:color w:val="000000"/>
          <w:lang w:val="en-US"/>
        </w:rPr>
        <w:t xml:space="preserve">mg </w:t>
      </w:r>
      <w:r w:rsidRPr="00BC5EE6">
        <w:rPr>
          <w:rFonts w:eastAsia="Times New Roman" w:cs="Arial"/>
          <w:color w:val="000000"/>
          <w:lang w:eastAsia="bg-BG"/>
        </w:rPr>
        <w:t>желязо).</w:t>
      </w:r>
      <w:r w:rsidRPr="00BC5EE6">
        <w:rPr>
          <w:rFonts w:eastAsia="Times New Roman" w:cs="Arial"/>
          <w:color w:val="000000"/>
          <w:lang w:val="en-US" w:eastAsia="bg-BG"/>
        </w:rPr>
        <w:t xml:space="preserve"> </w:t>
      </w:r>
      <w:r w:rsidRPr="00BC5EE6">
        <w:rPr>
          <w:rFonts w:eastAsia="Times New Roman" w:cs="Arial"/>
          <w:color w:val="000000"/>
          <w:lang w:eastAsia="bg-BG"/>
        </w:rPr>
        <w:t xml:space="preserve">Желязото, което трябва да се възстанови </w:t>
      </w:r>
      <w:r w:rsidRPr="00BC5EE6">
        <w:rPr>
          <w:rFonts w:eastAsia="Times New Roman" w:cs="Arial"/>
          <w:color w:val="000000"/>
          <w:lang w:val="en-US"/>
        </w:rPr>
        <w:t xml:space="preserve">[mg] </w:t>
      </w:r>
      <w:r w:rsidRPr="00BC5EE6">
        <w:rPr>
          <w:rFonts w:eastAsia="Times New Roman" w:cs="Arial"/>
          <w:color w:val="000000"/>
          <w:lang w:eastAsia="bg-BG"/>
        </w:rPr>
        <w:t>= брой на загубените кръвни единица х 200 Необходими милилитри КосмоФер = брой на загубените единици х 4.</w:t>
      </w:r>
    </w:p>
    <w:p w14:paraId="6A132577" w14:textId="1E4D19EE" w:rsidR="00BC5EE6" w:rsidRPr="00BC5EE6" w:rsidRDefault="00BC5EE6" w:rsidP="00BC5EE6">
      <w:pPr>
        <w:pStyle w:val="ListParagraph"/>
        <w:numPr>
          <w:ilvl w:val="0"/>
          <w:numId w:val="41"/>
        </w:numPr>
        <w:spacing w:line="240" w:lineRule="auto"/>
        <w:rPr>
          <w:rFonts w:eastAsia="Times New Roman" w:cs="Arial"/>
          <w:sz w:val="28"/>
          <w:szCs w:val="28"/>
          <w:lang w:eastAsia="bg-BG"/>
        </w:rPr>
      </w:pPr>
      <w:r w:rsidRPr="00BC5EE6">
        <w:rPr>
          <w:rFonts w:eastAsia="Times New Roman" w:cs="Arial"/>
          <w:color w:val="000000"/>
          <w:lang w:eastAsia="bg-BG"/>
        </w:rPr>
        <w:t>Ако хемоглобиновото ниво е редуцирано: Използвайте предната формула, имайки</w:t>
      </w:r>
      <w:r w:rsidRPr="00BC5EE6">
        <w:rPr>
          <w:rFonts w:eastAsia="Times New Roman" w:cs="Arial"/>
          <w:color w:val="000000"/>
          <w:lang w:val="en-US" w:eastAsia="bg-BG"/>
        </w:rPr>
        <w:t xml:space="preserve"> </w:t>
      </w:r>
      <w:r w:rsidRPr="00BC5EE6">
        <w:rPr>
          <w:rFonts w:eastAsia="Times New Roman" w:cs="Arial"/>
          <w:color w:val="000000"/>
          <w:lang w:eastAsia="bg-BG"/>
        </w:rPr>
        <w:t>предвид, че не е необходимо да се възстановяват железните депа.</w:t>
      </w:r>
    </w:p>
    <w:p w14:paraId="078567BE" w14:textId="77777777" w:rsidR="00BC5EE6" w:rsidRPr="00BC5EE6" w:rsidRDefault="00BC5EE6" w:rsidP="00BC5EE6">
      <w:pPr>
        <w:spacing w:line="240" w:lineRule="auto"/>
        <w:rPr>
          <w:rFonts w:eastAsia="Times New Roman" w:cs="Arial"/>
          <w:color w:val="000000"/>
          <w:lang w:val="en-US"/>
        </w:rPr>
      </w:pPr>
    </w:p>
    <w:p w14:paraId="7B913173" w14:textId="0EE87962"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val="en-US"/>
        </w:rPr>
        <w:t xml:space="preserve">Mg </w:t>
      </w:r>
      <w:r w:rsidRPr="00BC5EE6">
        <w:rPr>
          <w:rFonts w:eastAsia="Times New Roman" w:cs="Arial"/>
          <w:color w:val="000000"/>
          <w:lang w:eastAsia="bg-BG"/>
        </w:rPr>
        <w:t xml:space="preserve">желязо, което трябва да се възстанови = телесно тегло </w:t>
      </w:r>
      <w:r w:rsidRPr="00BC5EE6">
        <w:rPr>
          <w:rFonts w:eastAsia="Times New Roman" w:cs="Arial"/>
          <w:color w:val="000000"/>
          <w:lang w:val="en-US"/>
        </w:rPr>
        <w:t xml:space="preserve">(kg) </w:t>
      </w:r>
      <w:r w:rsidRPr="00BC5EE6">
        <w:rPr>
          <w:rFonts w:eastAsia="Times New Roman" w:cs="Arial"/>
          <w:color w:val="000000"/>
          <w:lang w:eastAsia="bg-BG"/>
        </w:rPr>
        <w:t>х 0,24 х (прицелно ниво на Н</w:t>
      </w:r>
      <w:r w:rsidRPr="00BC5EE6">
        <w:rPr>
          <w:rFonts w:eastAsia="Times New Roman" w:cs="Arial"/>
          <w:color w:val="000000"/>
          <w:lang w:val="en-US"/>
        </w:rPr>
        <w:t>b</w:t>
      </w:r>
      <w:r w:rsidRPr="00BC5EE6">
        <w:rPr>
          <w:rFonts w:eastAsia="Times New Roman" w:cs="Arial"/>
          <w:color w:val="000000"/>
          <w:lang w:eastAsia="bg-BG"/>
        </w:rPr>
        <w:t xml:space="preserve"> в </w:t>
      </w:r>
      <w:r w:rsidRPr="00BC5EE6">
        <w:rPr>
          <w:rFonts w:eastAsia="Times New Roman" w:cs="Arial"/>
          <w:color w:val="000000"/>
          <w:lang w:val="en-US"/>
        </w:rPr>
        <w:t xml:space="preserve">g/l </w:t>
      </w:r>
      <w:r w:rsidRPr="00BC5EE6">
        <w:rPr>
          <w:rFonts w:eastAsia="Times New Roman" w:cs="Arial"/>
          <w:color w:val="000000"/>
          <w:lang w:eastAsia="bg-BG"/>
        </w:rPr>
        <w:t>-реално ниво на Н</w:t>
      </w:r>
      <w:r w:rsidRPr="00BC5EE6">
        <w:rPr>
          <w:rFonts w:eastAsia="Times New Roman" w:cs="Arial"/>
          <w:color w:val="000000"/>
          <w:lang w:val="en-US"/>
        </w:rPr>
        <w:t>b</w:t>
      </w:r>
      <w:r w:rsidRPr="00BC5EE6">
        <w:rPr>
          <w:rFonts w:eastAsia="Times New Roman" w:cs="Arial"/>
          <w:color w:val="000000"/>
          <w:lang w:eastAsia="bg-BG"/>
        </w:rPr>
        <w:t xml:space="preserve"> в </w:t>
      </w:r>
      <w:r w:rsidRPr="00BC5EE6">
        <w:rPr>
          <w:rFonts w:eastAsia="Times New Roman" w:cs="Arial"/>
          <w:color w:val="000000"/>
          <w:lang w:val="en-US"/>
        </w:rPr>
        <w:t>g/l)</w:t>
      </w:r>
    </w:p>
    <w:p w14:paraId="0C230636" w14:textId="77777777"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Или</w:t>
      </w:r>
    </w:p>
    <w:p w14:paraId="36B1FBCB" w14:textId="77777777"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val="en-US"/>
        </w:rPr>
        <w:t xml:space="preserve">Mg </w:t>
      </w:r>
      <w:r w:rsidRPr="00BC5EE6">
        <w:rPr>
          <w:rFonts w:eastAsia="Times New Roman" w:cs="Arial"/>
          <w:color w:val="000000"/>
          <w:lang w:eastAsia="bg-BG"/>
        </w:rPr>
        <w:t xml:space="preserve">желязо, което трябва да се възстанови = телесно тегло </w:t>
      </w:r>
      <w:r w:rsidRPr="00BC5EE6">
        <w:rPr>
          <w:rFonts w:eastAsia="Times New Roman" w:cs="Arial"/>
          <w:color w:val="000000"/>
          <w:lang w:val="en-US"/>
        </w:rPr>
        <w:t xml:space="preserve">(kg) </w:t>
      </w:r>
      <w:r w:rsidRPr="00BC5EE6">
        <w:rPr>
          <w:rFonts w:eastAsia="Times New Roman" w:cs="Arial"/>
          <w:color w:val="000000"/>
          <w:lang w:eastAsia="bg-BG"/>
        </w:rPr>
        <w:t>х 3,84 х (прицелно ниво на Н</w:t>
      </w:r>
      <w:r w:rsidRPr="00BC5EE6">
        <w:rPr>
          <w:rFonts w:eastAsia="Times New Roman" w:cs="Arial"/>
          <w:color w:val="000000"/>
          <w:lang w:val="en-US"/>
        </w:rPr>
        <w:t>b</w:t>
      </w:r>
      <w:r w:rsidRPr="00BC5EE6">
        <w:rPr>
          <w:rFonts w:eastAsia="Times New Roman" w:cs="Arial"/>
          <w:color w:val="000000"/>
          <w:lang w:eastAsia="bg-BG"/>
        </w:rPr>
        <w:t xml:space="preserve"> в </w:t>
      </w:r>
      <w:r w:rsidRPr="00BC5EE6">
        <w:rPr>
          <w:rFonts w:eastAsia="Times New Roman" w:cs="Arial"/>
          <w:color w:val="000000"/>
          <w:lang w:val="en-US"/>
        </w:rPr>
        <w:t xml:space="preserve">mmol/1 </w:t>
      </w:r>
      <w:r w:rsidRPr="00BC5EE6">
        <w:rPr>
          <w:rFonts w:eastAsia="Times New Roman" w:cs="Arial"/>
          <w:color w:val="000000"/>
          <w:lang w:eastAsia="bg-BG"/>
        </w:rPr>
        <w:t>- реално ниво на Н</w:t>
      </w:r>
      <w:r w:rsidRPr="00BC5EE6">
        <w:rPr>
          <w:rFonts w:eastAsia="Times New Roman" w:cs="Arial"/>
          <w:color w:val="000000"/>
          <w:lang w:val="en-US"/>
        </w:rPr>
        <w:t>b</w:t>
      </w:r>
      <w:r w:rsidRPr="00BC5EE6">
        <w:rPr>
          <w:rFonts w:eastAsia="Times New Roman" w:cs="Arial"/>
          <w:color w:val="000000"/>
          <w:lang w:eastAsia="bg-BG"/>
        </w:rPr>
        <w:t xml:space="preserve"> в </w:t>
      </w:r>
      <w:r w:rsidRPr="00BC5EE6">
        <w:rPr>
          <w:rFonts w:eastAsia="Times New Roman" w:cs="Arial"/>
          <w:color w:val="000000"/>
          <w:lang w:val="en-US"/>
        </w:rPr>
        <w:t>mmol/l)</w:t>
      </w:r>
    </w:p>
    <w:p w14:paraId="51F5EBBA" w14:textId="77777777" w:rsidR="00BC5EE6" w:rsidRPr="00BC5EE6" w:rsidRDefault="00BC5EE6" w:rsidP="00BC5EE6">
      <w:pPr>
        <w:spacing w:line="240" w:lineRule="auto"/>
        <w:rPr>
          <w:rFonts w:eastAsia="Times New Roman" w:cs="Arial"/>
          <w:color w:val="000000"/>
          <w:lang w:eastAsia="bg-BG"/>
        </w:rPr>
      </w:pPr>
    </w:p>
    <w:p w14:paraId="65155ABC" w14:textId="23E98DE9"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 xml:space="preserve">Например: телесно тегло 60 </w:t>
      </w:r>
      <w:r w:rsidRPr="00BC5EE6">
        <w:rPr>
          <w:rFonts w:eastAsia="Times New Roman" w:cs="Arial"/>
          <w:color w:val="000000"/>
          <w:lang w:val="en-US"/>
        </w:rPr>
        <w:t xml:space="preserve">kg, </w:t>
      </w:r>
      <w:r w:rsidRPr="00BC5EE6">
        <w:rPr>
          <w:rFonts w:eastAsia="Times New Roman" w:cs="Arial"/>
          <w:color w:val="000000"/>
          <w:lang w:eastAsia="bg-BG"/>
        </w:rPr>
        <w:t>Н</w:t>
      </w:r>
      <w:r w:rsidRPr="00BC5EE6">
        <w:rPr>
          <w:rFonts w:eastAsia="Times New Roman" w:cs="Arial"/>
          <w:color w:val="000000"/>
          <w:lang w:val="en-US"/>
        </w:rPr>
        <w:t>b</w:t>
      </w:r>
      <w:r w:rsidRPr="00BC5EE6">
        <w:rPr>
          <w:rFonts w:eastAsia="Times New Roman" w:cs="Arial"/>
          <w:color w:val="000000"/>
          <w:lang w:eastAsia="bg-BG"/>
        </w:rPr>
        <w:t xml:space="preserve"> дефицит = 10 </w:t>
      </w:r>
      <w:r w:rsidRPr="00BC5EE6">
        <w:rPr>
          <w:rFonts w:eastAsia="Times New Roman" w:cs="Arial"/>
          <w:color w:val="000000"/>
          <w:lang w:val="en-US"/>
        </w:rPr>
        <w:t xml:space="preserve">g/1 </w:t>
      </w:r>
      <w:r w:rsidRPr="00BC5EE6">
        <w:rPr>
          <w:rFonts w:eastAsia="Times New Roman" w:cs="Arial"/>
          <w:color w:val="000000"/>
          <w:lang w:eastAsia="bg-BG"/>
        </w:rPr>
        <w:t xml:space="preserve">или 0,62 </w:t>
      </w:r>
      <w:r w:rsidRPr="00BC5EE6">
        <w:rPr>
          <w:rFonts w:eastAsia="Times New Roman" w:cs="Arial"/>
          <w:color w:val="000000"/>
          <w:lang w:val="en-US"/>
        </w:rPr>
        <w:t>mmol/l:</w:t>
      </w:r>
    </w:p>
    <w:p w14:paraId="7F46BCC7" w14:textId="77777777"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 xml:space="preserve">Желязото, което трябва да се възстанови = 60 х 0,24 х 10 = 60 х 3,84 х 0,62 =143 </w:t>
      </w:r>
      <w:r w:rsidRPr="00BC5EE6">
        <w:rPr>
          <w:rFonts w:eastAsia="Times New Roman" w:cs="Arial"/>
          <w:color w:val="000000"/>
          <w:lang w:val="en-US"/>
        </w:rPr>
        <w:t xml:space="preserve">mg </w:t>
      </w:r>
      <w:r w:rsidRPr="00BC5EE6">
        <w:rPr>
          <w:rFonts w:eastAsia="Times New Roman" w:cs="Arial"/>
          <w:color w:val="000000"/>
          <w:lang w:eastAsia="bg-BG"/>
        </w:rPr>
        <w:t>(</w:t>
      </w:r>
      <w:r w:rsidRPr="00BC5EE6">
        <w:rPr>
          <w:rFonts w:eastAsia="Times New Roman" w:cs="Arial"/>
          <w:color w:val="000000"/>
          <w:lang w:val="en-US"/>
        </w:rPr>
        <w:t>≈</w:t>
      </w:r>
      <w:r w:rsidRPr="00BC5EE6">
        <w:rPr>
          <w:rFonts w:eastAsia="Times New Roman" w:cs="Arial"/>
          <w:color w:val="000000"/>
          <w:lang w:eastAsia="bg-BG"/>
        </w:rPr>
        <w:t xml:space="preserve"> 3 </w:t>
      </w:r>
      <w:r w:rsidRPr="00BC5EE6">
        <w:rPr>
          <w:rFonts w:eastAsia="Times New Roman" w:cs="Arial"/>
          <w:color w:val="000000"/>
          <w:lang w:val="en-US"/>
        </w:rPr>
        <w:t xml:space="preserve">ml </w:t>
      </w:r>
      <w:r w:rsidRPr="00BC5EE6">
        <w:rPr>
          <w:rFonts w:eastAsia="Times New Roman" w:cs="Arial"/>
          <w:color w:val="000000"/>
          <w:lang w:eastAsia="bg-BG"/>
        </w:rPr>
        <w:t>КосмоФер).</w:t>
      </w:r>
    </w:p>
    <w:p w14:paraId="02DD0E91" w14:textId="77777777" w:rsidR="00BC5EE6" w:rsidRPr="00BC5EE6" w:rsidRDefault="00BC5EE6" w:rsidP="00BC5EE6">
      <w:pPr>
        <w:spacing w:line="240" w:lineRule="auto"/>
        <w:rPr>
          <w:rFonts w:ascii="Times New Roman" w:eastAsia="Times New Roman" w:hAnsi="Times New Roman" w:cs="Times New Roman"/>
          <w:sz w:val="24"/>
          <w:szCs w:val="24"/>
          <w:lang w:eastAsia="bg-BG"/>
        </w:rPr>
      </w:pPr>
    </w:p>
    <w:p w14:paraId="5D9E65DA" w14:textId="4FA2057D" w:rsidR="009F77A4" w:rsidRDefault="002C50EE" w:rsidP="00387A66">
      <w:pPr>
        <w:pStyle w:val="Heading2"/>
      </w:pPr>
      <w:r>
        <w:t>4.3. Противопоказания</w:t>
      </w:r>
    </w:p>
    <w:p w14:paraId="16A3A8DE" w14:textId="77777777" w:rsidR="00BC5EE6" w:rsidRDefault="00BC5EE6" w:rsidP="00BC5EE6">
      <w:pPr>
        <w:spacing w:line="240" w:lineRule="auto"/>
        <w:rPr>
          <w:rFonts w:ascii="Times New Roman" w:eastAsia="Times New Roman" w:hAnsi="Times New Roman" w:cs="Times New Roman"/>
          <w:color w:val="000000"/>
          <w:sz w:val="20"/>
          <w:szCs w:val="20"/>
          <w:lang w:eastAsia="bg-BG"/>
        </w:rPr>
      </w:pPr>
    </w:p>
    <w:p w14:paraId="62F0355B" w14:textId="41D800CE"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lastRenderedPageBreak/>
        <w:t>Свръхчувствителност към активното вещество, към КосмоФер или към някое от помощните вещества, изброени в точка 6.1.</w:t>
      </w:r>
    </w:p>
    <w:p w14:paraId="2FCBF94C" w14:textId="77777777" w:rsidR="00BC5EE6" w:rsidRPr="00BC5EE6" w:rsidRDefault="00BC5EE6" w:rsidP="00BC5EE6">
      <w:pPr>
        <w:spacing w:line="240" w:lineRule="auto"/>
        <w:rPr>
          <w:rFonts w:eastAsia="Times New Roman" w:cs="Arial"/>
          <w:color w:val="000000"/>
          <w:lang w:eastAsia="bg-BG"/>
        </w:rPr>
      </w:pPr>
    </w:p>
    <w:p w14:paraId="343BD4C0" w14:textId="7F13A5C9"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Известна сериозна свръхчувствителност към други продукти на желязото за парентерално приложение.</w:t>
      </w:r>
    </w:p>
    <w:p w14:paraId="6C66ABF4" w14:textId="77777777" w:rsidR="00BC5EE6" w:rsidRPr="00BC5EE6" w:rsidRDefault="00BC5EE6" w:rsidP="00BC5EE6">
      <w:pPr>
        <w:spacing w:line="240" w:lineRule="auto"/>
        <w:rPr>
          <w:rFonts w:eastAsia="Times New Roman" w:cs="Arial"/>
          <w:color w:val="000000"/>
          <w:lang w:eastAsia="bg-BG"/>
        </w:rPr>
      </w:pPr>
    </w:p>
    <w:p w14:paraId="765DAAC7" w14:textId="3F279407"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Нежелязодефицитна анемия (напр. хемолитична анемия).</w:t>
      </w:r>
    </w:p>
    <w:p w14:paraId="531F5D99" w14:textId="77777777" w:rsidR="00BC5EE6" w:rsidRPr="00BC5EE6" w:rsidRDefault="00BC5EE6" w:rsidP="00BC5EE6">
      <w:pPr>
        <w:spacing w:line="240" w:lineRule="auto"/>
        <w:rPr>
          <w:rFonts w:eastAsia="Times New Roman" w:cs="Arial"/>
          <w:color w:val="000000"/>
          <w:lang w:eastAsia="bg-BG"/>
        </w:rPr>
      </w:pPr>
    </w:p>
    <w:p w14:paraId="026D9D1E" w14:textId="39DFA08F"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Претоварване с желязо или нарушения в усвояването на желязо (напр. хемохроматоза, хемосидероза).</w:t>
      </w:r>
    </w:p>
    <w:p w14:paraId="156AEB59" w14:textId="77777777" w:rsidR="00BC5EE6" w:rsidRPr="00BC5EE6" w:rsidRDefault="00BC5EE6" w:rsidP="00BC5EE6">
      <w:pPr>
        <w:spacing w:line="240" w:lineRule="auto"/>
        <w:rPr>
          <w:rFonts w:eastAsia="Times New Roman" w:cs="Arial"/>
          <w:color w:val="000000"/>
          <w:lang w:eastAsia="bg-BG"/>
        </w:rPr>
      </w:pPr>
    </w:p>
    <w:p w14:paraId="42312F16" w14:textId="755693A4"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Декомпенсирана чернодробна цироза или хепатит.</w:t>
      </w:r>
    </w:p>
    <w:p w14:paraId="688AC64C" w14:textId="77777777" w:rsidR="00BC5EE6" w:rsidRPr="00BC5EE6" w:rsidRDefault="00BC5EE6" w:rsidP="00BC5EE6">
      <w:pPr>
        <w:spacing w:line="240" w:lineRule="auto"/>
        <w:rPr>
          <w:rFonts w:eastAsia="Times New Roman" w:cs="Arial"/>
          <w:color w:val="000000"/>
          <w:lang w:eastAsia="bg-BG"/>
        </w:rPr>
      </w:pPr>
    </w:p>
    <w:p w14:paraId="73E838C1" w14:textId="41D3770B"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Остра или хронична инфекция, тъй като парентералното приложение на желязо може да обостри вирусните или бактериални инфекции.</w:t>
      </w:r>
    </w:p>
    <w:p w14:paraId="5270862B" w14:textId="77777777" w:rsidR="00BC5EE6" w:rsidRPr="00BC5EE6" w:rsidRDefault="00BC5EE6" w:rsidP="00BC5EE6">
      <w:pPr>
        <w:spacing w:line="240" w:lineRule="auto"/>
        <w:rPr>
          <w:rFonts w:eastAsia="Times New Roman" w:cs="Arial"/>
          <w:color w:val="000000"/>
          <w:lang w:eastAsia="bg-BG"/>
        </w:rPr>
      </w:pPr>
    </w:p>
    <w:p w14:paraId="2ED64C2F" w14:textId="2EE641A1"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Остра бъбречна недостатъчност.</w:t>
      </w:r>
    </w:p>
    <w:p w14:paraId="4852D766" w14:textId="77777777" w:rsidR="00BC5EE6" w:rsidRPr="00BC5EE6" w:rsidRDefault="00BC5EE6" w:rsidP="00BC5EE6"/>
    <w:p w14:paraId="1C27CE53" w14:textId="2EC24964" w:rsidR="009F77A4" w:rsidRDefault="002C50EE" w:rsidP="00387A66">
      <w:pPr>
        <w:pStyle w:val="Heading2"/>
      </w:pPr>
      <w:r>
        <w:t>4.4. Специални предупреждения и предпазни мерки при употреба</w:t>
      </w:r>
    </w:p>
    <w:p w14:paraId="6E8646EF" w14:textId="305C3536" w:rsidR="00BC5EE6" w:rsidRDefault="00BC5EE6" w:rsidP="00BC5EE6"/>
    <w:p w14:paraId="01A35525" w14:textId="77777777"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 xml:space="preserve">Парентерално прилаганите препарати на желязото могат да предизвикат реакции на свръхчувствителност, включително сериозни и потенциално фатални анафилактични/анафилактоидни реакции. Реакции на свръхчувствителност са съобщавани и след парентерално прилагани комплекси на желязото в дози, които преди това не са предизвиквали събития. Съобщавани са случаи на свръхчувствителност, които прогресират до синдрома на </w:t>
      </w:r>
      <w:proofErr w:type="spellStart"/>
      <w:r w:rsidRPr="00BC5EE6">
        <w:rPr>
          <w:rFonts w:eastAsia="Times New Roman" w:cs="Arial"/>
          <w:color w:val="000000"/>
          <w:lang w:val="en-US"/>
        </w:rPr>
        <w:t>Kounis</w:t>
      </w:r>
      <w:proofErr w:type="spellEnd"/>
      <w:r w:rsidRPr="00BC5EE6">
        <w:rPr>
          <w:rFonts w:eastAsia="Times New Roman" w:cs="Arial"/>
          <w:color w:val="000000"/>
          <w:lang w:val="en-US"/>
        </w:rPr>
        <w:t xml:space="preserve"> </w:t>
      </w:r>
      <w:r w:rsidRPr="00BC5EE6">
        <w:rPr>
          <w:rFonts w:eastAsia="Times New Roman" w:cs="Arial"/>
          <w:color w:val="000000"/>
          <w:lang w:eastAsia="bg-BG"/>
        </w:rPr>
        <w:t>(остър алергичен спазъм на коронарните артерии, който може да доведе до миокарден инфаркт, вж. точка 4.8).</w:t>
      </w:r>
    </w:p>
    <w:p w14:paraId="25EF38F6" w14:textId="77777777" w:rsidR="00BC5EE6" w:rsidRPr="00BC5EE6" w:rsidRDefault="00BC5EE6" w:rsidP="00BC5EE6">
      <w:pPr>
        <w:spacing w:line="240" w:lineRule="auto"/>
        <w:rPr>
          <w:rFonts w:eastAsia="Times New Roman" w:cs="Arial"/>
          <w:color w:val="000000"/>
          <w:lang w:eastAsia="bg-BG"/>
        </w:rPr>
      </w:pPr>
    </w:p>
    <w:p w14:paraId="72062BFB" w14:textId="30A0DA9B"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Рискът е повишен при пациенти с известни алергии, в това число лекарствени алергии, включително пациенти с анамнеза за тежка астма, екзема или друга атопична алергия. Има и повишен риск от реакции на свръхчувствителност към парентерални комплекси на желязото при пациенти с имунни или възпалителни заболявания (напр. системен лупус еритематодес, ревматоиден артрит).</w:t>
      </w:r>
    </w:p>
    <w:p w14:paraId="096DE1F5" w14:textId="77777777" w:rsidR="00BC5EE6" w:rsidRPr="00BC5EE6" w:rsidRDefault="00BC5EE6" w:rsidP="00BC5EE6">
      <w:pPr>
        <w:spacing w:line="240" w:lineRule="auto"/>
        <w:rPr>
          <w:rFonts w:eastAsia="Times New Roman" w:cs="Arial"/>
          <w:color w:val="000000"/>
          <w:lang w:eastAsia="bg-BG"/>
        </w:rPr>
      </w:pPr>
    </w:p>
    <w:p w14:paraId="71D22E37" w14:textId="6569083C"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 xml:space="preserve">КосмоФер трябва да се прилага само при непосредствено наличие на персонал, обучен да оценява и овладява анафилактични реакции, </w:t>
      </w:r>
      <w:r w:rsidRPr="00BC5EE6">
        <w:rPr>
          <w:rFonts w:eastAsia="Times New Roman" w:cs="Arial"/>
          <w:i/>
          <w:iCs/>
          <w:color w:val="000000"/>
          <w:lang w:eastAsia="bg-BG"/>
        </w:rPr>
        <w:t>и</w:t>
      </w:r>
      <w:r w:rsidRPr="00BC5EE6">
        <w:rPr>
          <w:rFonts w:eastAsia="Times New Roman" w:cs="Arial"/>
          <w:color w:val="000000"/>
          <w:lang w:eastAsia="bg-BG"/>
        </w:rPr>
        <w:t xml:space="preserve"> пълни възможности за осигуряване на</w:t>
      </w:r>
    </w:p>
    <w:p w14:paraId="77B8A221" w14:textId="77777777" w:rsidR="00BC5EE6" w:rsidRPr="00BC5EE6" w:rsidRDefault="00BC5EE6" w:rsidP="00BC5EE6">
      <w:pPr>
        <w:rPr>
          <w:rFonts w:eastAsia="Times New Roman" w:cs="Arial"/>
          <w:sz w:val="28"/>
          <w:szCs w:val="28"/>
          <w:lang w:eastAsia="bg-BG"/>
        </w:rPr>
      </w:pPr>
      <w:r w:rsidRPr="00BC5EE6">
        <w:rPr>
          <w:rFonts w:eastAsia="Times New Roman" w:cs="Arial"/>
          <w:color w:val="000000"/>
          <w:lang w:eastAsia="bg-BG"/>
        </w:rPr>
        <w:t>реанимация. Всеки пациент трябва да се наблюдава за нежелани реакции най-малко 30 минути</w:t>
      </w:r>
      <w:r w:rsidRPr="00BC5EE6">
        <w:rPr>
          <w:rFonts w:eastAsia="Times New Roman" w:cs="Arial"/>
          <w:color w:val="000000"/>
          <w:vertAlign w:val="superscript"/>
          <w:lang w:eastAsia="bg-BG"/>
        </w:rPr>
        <w:t xml:space="preserve"> </w:t>
      </w:r>
      <w:r w:rsidRPr="00BC5EE6">
        <w:rPr>
          <w:rFonts w:eastAsia="Times New Roman" w:cs="Arial"/>
          <w:color w:val="000000"/>
          <w:lang w:eastAsia="bg-BG"/>
        </w:rPr>
        <w:t>след всяка инжекция с КосмоФер. При възникване на реакции на свръхчувствителност или признаци на непоносимост по време на прилагането, лечението трябва да се преустанови незабавно. Необходимо е наличието на условия за сърдечно-белодробна реанимация и</w:t>
      </w:r>
      <w:r w:rsidRPr="00BC5EE6">
        <w:rPr>
          <w:rFonts w:eastAsia="Times New Roman" w:cs="Arial"/>
          <w:color w:val="000000"/>
          <w:lang w:eastAsia="bg-BG"/>
        </w:rPr>
        <w:t xml:space="preserve"> </w:t>
      </w:r>
      <w:r w:rsidRPr="00BC5EE6">
        <w:rPr>
          <w:rFonts w:eastAsia="Times New Roman" w:cs="Arial"/>
          <w:color w:val="000000"/>
          <w:lang w:eastAsia="bg-BG"/>
        </w:rPr>
        <w:t>средства за овладяване на остри анафилактични/анафилактоидни реакции, включително инжекционен разтвор на адреналин 1:1000. Допълнително лечение с антихистамини и/или кортикостероиди трябва да се прилага по целесъобразност.</w:t>
      </w:r>
    </w:p>
    <w:p w14:paraId="24DD6FC3" w14:textId="77777777" w:rsidR="00BC5EE6" w:rsidRPr="00BC5EE6" w:rsidRDefault="00BC5EE6" w:rsidP="00BC5EE6">
      <w:pPr>
        <w:spacing w:line="240" w:lineRule="auto"/>
        <w:rPr>
          <w:rFonts w:eastAsia="Times New Roman" w:cs="Arial"/>
          <w:color w:val="000000"/>
          <w:lang w:eastAsia="bg-BG"/>
        </w:rPr>
      </w:pPr>
    </w:p>
    <w:p w14:paraId="0130B14C" w14:textId="673CDC54"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Интрамускулното и подкожно инжектиране на желязо-въглехидратни комплекси в много високи дози в експериментални условия при животни е довело до образуване на сарком при плъхове, мишки, зайци, хамстери, но не и при морски свинчета. Събраната информация и независимата оценка показват, че рискът от образуване на сарком при хора е минимален.</w:t>
      </w:r>
    </w:p>
    <w:p w14:paraId="74F36100" w14:textId="77777777" w:rsidR="00BC5EE6" w:rsidRPr="00BC5EE6" w:rsidRDefault="00BC5EE6" w:rsidP="00BC5EE6">
      <w:pPr>
        <w:spacing w:line="240" w:lineRule="auto"/>
        <w:rPr>
          <w:rFonts w:eastAsia="Times New Roman" w:cs="Arial"/>
          <w:color w:val="000000"/>
          <w:lang w:eastAsia="bg-BG"/>
        </w:rPr>
      </w:pPr>
    </w:p>
    <w:p w14:paraId="440E6249" w14:textId="5E155F3C" w:rsidR="00BC5EE6" w:rsidRPr="00BC5EE6" w:rsidRDefault="00BC5EE6" w:rsidP="00BC5EE6">
      <w:pPr>
        <w:spacing w:line="240" w:lineRule="auto"/>
        <w:rPr>
          <w:rFonts w:eastAsia="Times New Roman" w:cs="Arial"/>
          <w:sz w:val="28"/>
          <w:szCs w:val="28"/>
          <w:lang w:eastAsia="bg-BG"/>
        </w:rPr>
      </w:pPr>
      <w:r w:rsidRPr="00BC5EE6">
        <w:rPr>
          <w:rFonts w:eastAsia="Times New Roman" w:cs="Arial"/>
          <w:color w:val="000000"/>
          <w:lang w:eastAsia="bg-BG"/>
        </w:rPr>
        <w:t>Възможно е да възникнат епизоди на хипотония, ако интравенозната инжекция се поставя много бързо.</w:t>
      </w:r>
    </w:p>
    <w:p w14:paraId="3711CCC7" w14:textId="64A9A6C5" w:rsidR="00BC5EE6" w:rsidRPr="00BC5EE6" w:rsidRDefault="00BC5EE6" w:rsidP="00BC5EE6">
      <w:pPr>
        <w:tabs>
          <w:tab w:val="left" w:pos="4116"/>
        </w:tabs>
      </w:pPr>
      <w:r>
        <w:tab/>
        <w:t xml:space="preserve"> </w:t>
      </w:r>
    </w:p>
    <w:p w14:paraId="1DA47448" w14:textId="67CF4D54"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16D68A53" w14:textId="3F8560D4" w:rsidR="00BC5EE6" w:rsidRDefault="00BC5EE6" w:rsidP="00BC5EE6"/>
    <w:p w14:paraId="167BBCB1" w14:textId="77777777"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КосмоФер инжекционен разтвор не трябва да се прилага едновременно с перорални железни препарати, тъй като абсорбцията на пероралното желязо ще се намали. Пероралната терапия с желязо не трябва да се започва по-рано от 5 дни след последната инжекция на КосмоФер.</w:t>
      </w:r>
    </w:p>
    <w:p w14:paraId="1EBA1D6E" w14:textId="77777777" w:rsidR="00B85F70" w:rsidRPr="00B85F70" w:rsidRDefault="00B85F70" w:rsidP="00B85F70">
      <w:pPr>
        <w:spacing w:line="240" w:lineRule="auto"/>
        <w:rPr>
          <w:rFonts w:eastAsia="Times New Roman" w:cs="Arial"/>
          <w:color w:val="000000"/>
          <w:lang w:eastAsia="bg-BG"/>
        </w:rPr>
      </w:pPr>
    </w:p>
    <w:p w14:paraId="240299DC" w14:textId="2C06DF88"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 xml:space="preserve">Има съобщения, че големи дози на желязо-декстрановия комплекс (5 </w:t>
      </w:r>
      <w:r w:rsidRPr="00B85F70">
        <w:rPr>
          <w:rFonts w:eastAsia="Times New Roman" w:cs="Arial"/>
          <w:color w:val="000000"/>
          <w:lang w:val="en-US"/>
        </w:rPr>
        <w:t xml:space="preserve">ml </w:t>
      </w:r>
      <w:r w:rsidRPr="00B85F70">
        <w:rPr>
          <w:rFonts w:eastAsia="Times New Roman" w:cs="Arial"/>
          <w:color w:val="000000"/>
          <w:lang w:eastAsia="bg-BG"/>
        </w:rPr>
        <w:t>или повече) дават кафяво оцветяване на серума от кръвна проба, взета четири часа след приложението.</w:t>
      </w:r>
    </w:p>
    <w:p w14:paraId="48DB9C45" w14:textId="77777777" w:rsidR="00B85F70" w:rsidRPr="00B85F70" w:rsidRDefault="00B85F70" w:rsidP="00B85F70">
      <w:pPr>
        <w:rPr>
          <w:rFonts w:eastAsia="Times New Roman" w:cs="Arial"/>
          <w:color w:val="000000"/>
          <w:lang w:eastAsia="bg-BG"/>
        </w:rPr>
      </w:pPr>
    </w:p>
    <w:p w14:paraId="7AE07436" w14:textId="6507C134" w:rsidR="00BC5EE6" w:rsidRPr="00B85F70" w:rsidRDefault="00B85F70" w:rsidP="00B85F70">
      <w:pPr>
        <w:rPr>
          <w:rFonts w:eastAsia="Times New Roman" w:cs="Arial"/>
          <w:color w:val="000000"/>
          <w:lang w:eastAsia="bg-BG"/>
        </w:rPr>
      </w:pPr>
      <w:r w:rsidRPr="00B85F70">
        <w:rPr>
          <w:rFonts w:eastAsia="Times New Roman" w:cs="Arial"/>
          <w:color w:val="000000"/>
          <w:lang w:eastAsia="bg-BG"/>
        </w:rPr>
        <w:t>Лекарственият продукт може да причини фалшиво повишени стойности на серумния билирубин или фалшиво ниски стойности на серумния калций.</w:t>
      </w:r>
    </w:p>
    <w:p w14:paraId="758BC33A" w14:textId="77777777" w:rsidR="00B85F70" w:rsidRPr="00BC5EE6" w:rsidRDefault="00B85F70" w:rsidP="00B85F70"/>
    <w:p w14:paraId="48846BBA" w14:textId="4D50DEE3" w:rsidR="009F77A4" w:rsidRDefault="002C50EE" w:rsidP="00387A66">
      <w:pPr>
        <w:pStyle w:val="Heading2"/>
      </w:pPr>
      <w:r>
        <w:t>4.6. Фертилитет, бременност и кърмене</w:t>
      </w:r>
    </w:p>
    <w:p w14:paraId="32839816" w14:textId="7D6E53DD" w:rsidR="00B85F70" w:rsidRDefault="00B85F70" w:rsidP="00B85F70"/>
    <w:p w14:paraId="609D548C" w14:textId="77777777"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Липсват достатъчно и добре контролирани проучвания на КосмоФер при бременни жени.</w:t>
      </w:r>
    </w:p>
    <w:p w14:paraId="0EC157BA" w14:textId="77777777"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Поради това е необходима внимателна оценка на съотношението полза/риск преди употреба по време на бременност, като КосмоФер трябва да се използва по време на бременност само при категорична необходимост (вж. точка 4.4).</w:t>
      </w:r>
    </w:p>
    <w:p w14:paraId="4F9406A8" w14:textId="77777777" w:rsidR="00B85F70" w:rsidRPr="00B85F70" w:rsidRDefault="00B85F70" w:rsidP="00B85F70">
      <w:pPr>
        <w:spacing w:line="240" w:lineRule="auto"/>
        <w:rPr>
          <w:rFonts w:eastAsia="Times New Roman" w:cs="Arial"/>
          <w:color w:val="000000"/>
          <w:lang w:eastAsia="bg-BG"/>
        </w:rPr>
      </w:pPr>
    </w:p>
    <w:p w14:paraId="2A4F3E62" w14:textId="3B1FD751"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Желязодефицитна анемия през първия триместър на бременността може в много случаи да се лекува с перорално желязо. Лечението с КосмоФер трябва да се ограничи до втория и третия триместър, ако се прецени, че ползата превишава потенциалния риск както за майката, така и за фетуса.</w:t>
      </w:r>
    </w:p>
    <w:p w14:paraId="1E945223" w14:textId="77777777" w:rsidR="00B85F70" w:rsidRPr="00B85F70" w:rsidRDefault="00B85F70" w:rsidP="00B85F70">
      <w:pPr>
        <w:spacing w:line="240" w:lineRule="auto"/>
        <w:rPr>
          <w:rFonts w:eastAsia="Times New Roman" w:cs="Arial"/>
          <w:color w:val="000000"/>
          <w:lang w:eastAsia="bg-BG"/>
        </w:rPr>
      </w:pPr>
    </w:p>
    <w:p w14:paraId="3D18F7D7" w14:textId="10942677"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След приложение на парентерални продукти, съдържащи желязо, може да възникне фетална брадикардия. Обикновено тя е преходна и е последица от реакция на свръхчувствителност при майката. Необходимо е стриктно проследяване на плода по време на интравенозно приложение на парентерални продукти, съдържащи желязо, при бременни жени.</w:t>
      </w:r>
    </w:p>
    <w:p w14:paraId="443DC3FA" w14:textId="77777777" w:rsidR="00B85F70" w:rsidRPr="00B85F70" w:rsidRDefault="00B85F70" w:rsidP="00B85F70">
      <w:pPr>
        <w:rPr>
          <w:rFonts w:eastAsia="Times New Roman" w:cs="Arial"/>
          <w:color w:val="000000"/>
          <w:lang w:eastAsia="bg-BG"/>
        </w:rPr>
      </w:pPr>
    </w:p>
    <w:p w14:paraId="0C943741" w14:textId="7CFA0534" w:rsidR="00B85F70" w:rsidRDefault="00B85F70" w:rsidP="00B85F70">
      <w:pPr>
        <w:rPr>
          <w:rFonts w:eastAsia="Times New Roman" w:cs="Arial"/>
          <w:color w:val="000000"/>
          <w:lang w:eastAsia="bg-BG"/>
        </w:rPr>
      </w:pPr>
      <w:r w:rsidRPr="00B85F70">
        <w:rPr>
          <w:rFonts w:eastAsia="Times New Roman" w:cs="Arial"/>
          <w:color w:val="000000"/>
          <w:lang w:eastAsia="bg-BG"/>
        </w:rPr>
        <w:t>Не е известно дали желязо-декстрановият комплекс се екскретира в кърмата или животинското мляко. За предпочитане е да не се прилага КосмоФер през периода на кърмене.</w:t>
      </w:r>
    </w:p>
    <w:p w14:paraId="1EA68B63" w14:textId="77777777" w:rsidR="00B85F70" w:rsidRPr="00B85F70" w:rsidRDefault="00B85F70" w:rsidP="00B85F70">
      <w:pPr>
        <w:rPr>
          <w:rFonts w:cs="Arial"/>
          <w:sz w:val="24"/>
          <w:szCs w:val="24"/>
        </w:rPr>
      </w:pPr>
    </w:p>
    <w:p w14:paraId="321AAB00" w14:textId="5CD4A8C4" w:rsidR="009F77A4" w:rsidRDefault="002C50EE" w:rsidP="00387A66">
      <w:pPr>
        <w:pStyle w:val="Heading2"/>
      </w:pPr>
      <w:r>
        <w:t>4.7. Ефекти върху способността за шофиране и работа с машини</w:t>
      </w:r>
    </w:p>
    <w:p w14:paraId="655B5C8A" w14:textId="763E133A" w:rsidR="00B85F70" w:rsidRDefault="00B85F70" w:rsidP="00B85F70"/>
    <w:p w14:paraId="4674961A" w14:textId="20234694" w:rsidR="00B85F70" w:rsidRDefault="00B85F70" w:rsidP="00B85F70">
      <w:r>
        <w:t>Не са провеждани проучвания за ефекта върху способността за шофиране и работа с машини.</w:t>
      </w:r>
    </w:p>
    <w:p w14:paraId="04575E3B" w14:textId="77777777" w:rsidR="00B85F70" w:rsidRPr="00B85F70" w:rsidRDefault="00B85F70" w:rsidP="00B85F70"/>
    <w:p w14:paraId="136C86B8" w14:textId="5E26322F" w:rsidR="009F77A4" w:rsidRDefault="002C50EE" w:rsidP="00387A66">
      <w:pPr>
        <w:pStyle w:val="Heading2"/>
      </w:pPr>
      <w:r>
        <w:t>4.8. Нежелани лекарствени реакции</w:t>
      </w:r>
    </w:p>
    <w:p w14:paraId="7A6020E5" w14:textId="26C6B555" w:rsidR="00B85F70" w:rsidRDefault="00B85F70" w:rsidP="00B85F70"/>
    <w:p w14:paraId="132CF5F4" w14:textId="77777777"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lastRenderedPageBreak/>
        <w:t>При приблизително 5% от пациентите може да се очакват нежелани лекарствени реакции. Те са главно доза-зависими.</w:t>
      </w:r>
    </w:p>
    <w:p w14:paraId="3EE44B43" w14:textId="77777777"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Анафилактоидните реакции са нечести и включват уртикария, кожни обриви,</w:t>
      </w:r>
      <w:r w:rsidRPr="00B85F70">
        <w:rPr>
          <w:rFonts w:eastAsia="Times New Roman" w:cs="Arial"/>
          <w:color w:val="000000"/>
          <w:lang w:val="en-US"/>
        </w:rPr>
        <w:t xml:space="preserve"> </w:t>
      </w:r>
      <w:r w:rsidRPr="00B85F70">
        <w:rPr>
          <w:rFonts w:eastAsia="Times New Roman" w:cs="Arial"/>
          <w:color w:val="000000"/>
          <w:lang w:eastAsia="bg-BG"/>
        </w:rPr>
        <w:t>пруритус, гадене и втрисане. Приложението трябва да бъде спряно незабавно, когато се забележат признаци на анафилактоидна реакция.</w:t>
      </w:r>
    </w:p>
    <w:p w14:paraId="572816F7" w14:textId="77777777"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Острите, тежки анафилактоидни реакции са много редки. Обикновено те настъпват през първите</w:t>
      </w:r>
    </w:p>
    <w:p w14:paraId="1E56976E" w14:textId="77777777" w:rsidR="00B85F70" w:rsidRPr="00B85F70" w:rsidRDefault="00B85F70" w:rsidP="00B85F70">
      <w:pPr>
        <w:rPr>
          <w:rFonts w:eastAsia="Times New Roman" w:cs="Arial"/>
          <w:sz w:val="28"/>
          <w:szCs w:val="28"/>
          <w:lang w:eastAsia="bg-BG"/>
        </w:rPr>
      </w:pPr>
      <w:r w:rsidRPr="00B85F70">
        <w:rPr>
          <w:rFonts w:eastAsia="Times New Roman" w:cs="Arial"/>
          <w:color w:val="000000"/>
          <w:lang w:eastAsia="bg-BG"/>
        </w:rPr>
        <w:t>няколко минута от приложението и се характеризират, най-общо, с внезапно начало на затруднено</w:t>
      </w:r>
      <w:r w:rsidRPr="00B85F70">
        <w:rPr>
          <w:rFonts w:eastAsia="Times New Roman" w:cs="Arial"/>
          <w:color w:val="000000"/>
          <w:lang w:eastAsia="bg-BG"/>
        </w:rPr>
        <w:t xml:space="preserve"> </w:t>
      </w:r>
      <w:r w:rsidRPr="00B85F70">
        <w:rPr>
          <w:rFonts w:eastAsia="Times New Roman" w:cs="Arial"/>
          <w:color w:val="000000"/>
          <w:lang w:eastAsia="bg-BG"/>
        </w:rPr>
        <w:t>дишане и/или сърдечно-съдов колапс; докладвани са смъртни случаи.</w:t>
      </w:r>
    </w:p>
    <w:p w14:paraId="7AFC252F" w14:textId="77777777"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Забавените реакции са добре описани и могат да са тежки. Те се характеризират с артралгия, миалгия и понякога с повишена температура. Началото варира от няколко часа до четири дни след приложението. Симптомите обикновено продължават два до четири дни и отзвучават спонтанно или след използване на обикновени аналгетици.</w:t>
      </w:r>
    </w:p>
    <w:p w14:paraId="362B6E31" w14:textId="41096369"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Може да се настъпи обостряне на ставните болки при ревматоиден артрит. Съобщаваните локални реакции са болезненост и възпаление на или около мястото на инжектиране, и локална флебитна реакция.</w:t>
      </w:r>
    </w:p>
    <w:p w14:paraId="5FB53A65" w14:textId="77777777" w:rsidR="00B85F70" w:rsidRPr="00B85F70" w:rsidRDefault="00B85F70" w:rsidP="00B85F70">
      <w:pPr>
        <w:spacing w:line="240" w:lineRule="auto"/>
        <w:rPr>
          <w:rFonts w:eastAsia="Times New Roman" w:cs="Arial"/>
          <w:color w:val="000000"/>
          <w:lang w:eastAsia="bg-BG"/>
        </w:rPr>
      </w:pPr>
    </w:p>
    <w:p w14:paraId="3B2F19DB" w14:textId="62BD86CE" w:rsidR="00B85F70" w:rsidRDefault="00B85F70" w:rsidP="00B85F70">
      <w:pPr>
        <w:spacing w:line="240" w:lineRule="auto"/>
        <w:rPr>
          <w:rFonts w:eastAsia="Times New Roman" w:cs="Arial"/>
          <w:color w:val="000000"/>
          <w:lang w:eastAsia="bg-BG"/>
        </w:rPr>
      </w:pPr>
      <w:r w:rsidRPr="00B85F70">
        <w:rPr>
          <w:rFonts w:eastAsia="Times New Roman" w:cs="Arial"/>
          <w:color w:val="000000"/>
          <w:lang w:eastAsia="bg-BG"/>
        </w:rPr>
        <w:t>Наблюдавани са локални усложнения на мястото на инжектиране след интрамускулна инжекция като пигментиране на кожата, кървене, образуване на стерилни абсцеси, тъканна некроза или атрофия и болка.</w:t>
      </w:r>
    </w:p>
    <w:p w14:paraId="1BE9737D" w14:textId="66005667" w:rsidR="00B85F70" w:rsidRDefault="00B85F70" w:rsidP="00B85F70">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1900"/>
        <w:gridCol w:w="1977"/>
        <w:gridCol w:w="1753"/>
        <w:gridCol w:w="1952"/>
        <w:gridCol w:w="1768"/>
      </w:tblGrid>
      <w:tr w:rsidR="00B85F70" w14:paraId="3BFB533F" w14:textId="77777777" w:rsidTr="00B85F70">
        <w:tc>
          <w:tcPr>
            <w:tcW w:w="1900" w:type="dxa"/>
          </w:tcPr>
          <w:p w14:paraId="5E279F8B" w14:textId="712628D5" w:rsidR="00B85F70" w:rsidRPr="00B85F70" w:rsidRDefault="00B85F70" w:rsidP="00B85F70">
            <w:pPr>
              <w:spacing w:line="240" w:lineRule="auto"/>
              <w:rPr>
                <w:rFonts w:eastAsia="Times New Roman" w:cs="Arial"/>
                <w:lang w:eastAsia="bg-BG"/>
              </w:rPr>
            </w:pPr>
            <w:r w:rsidRPr="00B85F70">
              <w:rPr>
                <w:rFonts w:cs="Arial"/>
                <w:b/>
                <w:bCs/>
              </w:rPr>
              <w:t>Системо-оргянен клас</w:t>
            </w:r>
          </w:p>
        </w:tc>
        <w:tc>
          <w:tcPr>
            <w:tcW w:w="1977" w:type="dxa"/>
          </w:tcPr>
          <w:p w14:paraId="31206D24" w14:textId="5FF95B3A" w:rsidR="00B85F70" w:rsidRPr="00B85F70" w:rsidRDefault="00B85F70" w:rsidP="00B85F70">
            <w:pPr>
              <w:spacing w:line="240" w:lineRule="auto"/>
              <w:rPr>
                <w:rFonts w:eastAsia="Times New Roman" w:cs="Arial"/>
                <w:lang w:eastAsia="bg-BG"/>
              </w:rPr>
            </w:pPr>
            <w:r w:rsidRPr="00B85F70">
              <w:rPr>
                <w:rFonts w:cs="Arial"/>
                <w:b/>
                <w:bCs/>
              </w:rPr>
              <w:t xml:space="preserve">Нечеств </w:t>
            </w:r>
            <w:r w:rsidRPr="00B85F70">
              <w:rPr>
                <w:rFonts w:cs="Arial"/>
              </w:rPr>
              <w:t>(≥1/1 000 до &lt;1/100)</w:t>
            </w:r>
          </w:p>
        </w:tc>
        <w:tc>
          <w:tcPr>
            <w:tcW w:w="1872" w:type="dxa"/>
          </w:tcPr>
          <w:p w14:paraId="7C2DB6FA" w14:textId="77777777" w:rsidR="00B85F70" w:rsidRPr="00B85F70" w:rsidRDefault="00B85F70" w:rsidP="00B85F70">
            <w:pPr>
              <w:rPr>
                <w:rFonts w:cs="Arial"/>
              </w:rPr>
            </w:pPr>
            <w:r w:rsidRPr="00B85F70">
              <w:rPr>
                <w:rFonts w:cs="Arial"/>
                <w:b/>
                <w:bCs/>
              </w:rPr>
              <w:t>Редки</w:t>
            </w:r>
          </w:p>
          <w:p w14:paraId="4407C928" w14:textId="00D19F24" w:rsidR="00B85F70" w:rsidRPr="00B85F70" w:rsidRDefault="00B85F70" w:rsidP="00B85F70">
            <w:pPr>
              <w:spacing w:line="240" w:lineRule="auto"/>
              <w:rPr>
                <w:rFonts w:eastAsia="Times New Roman" w:cs="Arial"/>
                <w:lang w:eastAsia="bg-BG"/>
              </w:rPr>
            </w:pPr>
            <w:r w:rsidRPr="00B85F70">
              <w:rPr>
                <w:rFonts w:cs="Arial"/>
              </w:rPr>
              <w:t>(≥1/10 000 до &lt;1/1 000)</w:t>
            </w:r>
          </w:p>
        </w:tc>
        <w:tc>
          <w:tcPr>
            <w:tcW w:w="1952" w:type="dxa"/>
          </w:tcPr>
          <w:p w14:paraId="79BCDD84" w14:textId="04D2E78C" w:rsidR="00B85F70" w:rsidRPr="00B85F70" w:rsidRDefault="00B85F70" w:rsidP="00B85F70">
            <w:pPr>
              <w:spacing w:line="240" w:lineRule="auto"/>
              <w:rPr>
                <w:rFonts w:eastAsia="Times New Roman" w:cs="Arial"/>
                <w:lang w:eastAsia="bg-BG"/>
              </w:rPr>
            </w:pPr>
            <w:r w:rsidRPr="00B85F70">
              <w:rPr>
                <w:rFonts w:cs="Arial"/>
                <w:b/>
                <w:bCs/>
              </w:rPr>
              <w:t xml:space="preserve">Много редки </w:t>
            </w:r>
            <w:r w:rsidRPr="00B85F70">
              <w:rPr>
                <w:rFonts w:cs="Arial"/>
              </w:rPr>
              <w:t>(&lt;1/10 000)</w:t>
            </w:r>
          </w:p>
        </w:tc>
        <w:tc>
          <w:tcPr>
            <w:tcW w:w="1875" w:type="dxa"/>
          </w:tcPr>
          <w:p w14:paraId="5D8B16EC" w14:textId="2A099392" w:rsidR="00B85F70" w:rsidRPr="00B85F70" w:rsidRDefault="00B85F70" w:rsidP="00B85F70">
            <w:pPr>
              <w:spacing w:line="240" w:lineRule="auto"/>
              <w:rPr>
                <w:rFonts w:eastAsia="Times New Roman" w:cs="Arial"/>
                <w:lang w:eastAsia="bg-BG"/>
              </w:rPr>
            </w:pPr>
            <w:r w:rsidRPr="00B85F70">
              <w:rPr>
                <w:rFonts w:cs="Arial"/>
                <w:b/>
                <w:bCs/>
              </w:rPr>
              <w:t>С неизвестна честота</w:t>
            </w:r>
          </w:p>
        </w:tc>
      </w:tr>
      <w:tr w:rsidR="00B85F70" w14:paraId="005AF0C5" w14:textId="77777777" w:rsidTr="00B85F70">
        <w:tc>
          <w:tcPr>
            <w:tcW w:w="1900" w:type="dxa"/>
          </w:tcPr>
          <w:p w14:paraId="33B566DD" w14:textId="4C6EFF5E" w:rsidR="00B85F70" w:rsidRPr="00B85F70" w:rsidRDefault="00B85F70" w:rsidP="00B85F70">
            <w:pPr>
              <w:spacing w:line="240" w:lineRule="auto"/>
              <w:rPr>
                <w:rFonts w:eastAsia="Times New Roman" w:cs="Arial"/>
                <w:lang w:eastAsia="bg-BG"/>
              </w:rPr>
            </w:pPr>
            <w:r w:rsidRPr="00B85F70">
              <w:rPr>
                <w:rFonts w:cs="Arial"/>
              </w:rPr>
              <w:t>Нарушения на кръвта и лимфната система</w:t>
            </w:r>
          </w:p>
        </w:tc>
        <w:tc>
          <w:tcPr>
            <w:tcW w:w="1977" w:type="dxa"/>
          </w:tcPr>
          <w:p w14:paraId="5137F0FE" w14:textId="77777777" w:rsidR="00B85F70" w:rsidRPr="00B85F70" w:rsidRDefault="00B85F70" w:rsidP="00B85F70">
            <w:pPr>
              <w:spacing w:line="240" w:lineRule="auto"/>
              <w:rPr>
                <w:rFonts w:eastAsia="Times New Roman" w:cs="Arial"/>
                <w:lang w:eastAsia="bg-BG"/>
              </w:rPr>
            </w:pPr>
          </w:p>
        </w:tc>
        <w:tc>
          <w:tcPr>
            <w:tcW w:w="1872" w:type="dxa"/>
          </w:tcPr>
          <w:p w14:paraId="6A252FC4" w14:textId="77777777" w:rsidR="00B85F70" w:rsidRPr="00B85F70" w:rsidRDefault="00B85F70" w:rsidP="00B85F70">
            <w:pPr>
              <w:spacing w:line="240" w:lineRule="auto"/>
              <w:rPr>
                <w:rFonts w:eastAsia="Times New Roman" w:cs="Arial"/>
                <w:lang w:eastAsia="bg-BG"/>
              </w:rPr>
            </w:pPr>
          </w:p>
        </w:tc>
        <w:tc>
          <w:tcPr>
            <w:tcW w:w="1952" w:type="dxa"/>
          </w:tcPr>
          <w:p w14:paraId="2FA656D5" w14:textId="5947A3F5" w:rsidR="00B85F70" w:rsidRPr="00B85F70" w:rsidRDefault="00B85F70" w:rsidP="00B85F70">
            <w:pPr>
              <w:spacing w:line="240" w:lineRule="auto"/>
              <w:rPr>
                <w:rFonts w:eastAsia="Times New Roman" w:cs="Arial"/>
                <w:lang w:eastAsia="bg-BG"/>
              </w:rPr>
            </w:pPr>
            <w:r w:rsidRPr="00B85F70">
              <w:rPr>
                <w:rFonts w:cs="Arial"/>
              </w:rPr>
              <w:t>Хемолиза</w:t>
            </w:r>
          </w:p>
        </w:tc>
        <w:tc>
          <w:tcPr>
            <w:tcW w:w="1875" w:type="dxa"/>
          </w:tcPr>
          <w:p w14:paraId="1B5E010C" w14:textId="77777777" w:rsidR="00B85F70" w:rsidRPr="00B85F70" w:rsidRDefault="00B85F70" w:rsidP="00B85F70">
            <w:pPr>
              <w:spacing w:line="240" w:lineRule="auto"/>
              <w:rPr>
                <w:rFonts w:eastAsia="Times New Roman" w:cs="Arial"/>
                <w:lang w:eastAsia="bg-BG"/>
              </w:rPr>
            </w:pPr>
          </w:p>
        </w:tc>
      </w:tr>
      <w:tr w:rsidR="00B85F70" w14:paraId="281A492A" w14:textId="77777777" w:rsidTr="00B85F70">
        <w:tc>
          <w:tcPr>
            <w:tcW w:w="1900" w:type="dxa"/>
          </w:tcPr>
          <w:p w14:paraId="3BD36D04" w14:textId="2C69D841" w:rsidR="00B85F70" w:rsidRPr="00B85F70" w:rsidRDefault="00B85F70" w:rsidP="00B85F70">
            <w:pPr>
              <w:spacing w:line="240" w:lineRule="auto"/>
              <w:rPr>
                <w:rFonts w:eastAsia="Times New Roman" w:cs="Arial"/>
                <w:lang w:eastAsia="bg-BG"/>
              </w:rPr>
            </w:pPr>
            <w:r w:rsidRPr="00B85F70">
              <w:rPr>
                <w:rFonts w:cs="Arial"/>
              </w:rPr>
              <w:t>Сърдечни нарушения</w:t>
            </w:r>
          </w:p>
        </w:tc>
        <w:tc>
          <w:tcPr>
            <w:tcW w:w="1977" w:type="dxa"/>
          </w:tcPr>
          <w:p w14:paraId="3909F5D1" w14:textId="77777777" w:rsidR="00B85F70" w:rsidRPr="00B85F70" w:rsidRDefault="00B85F70" w:rsidP="00B85F70">
            <w:pPr>
              <w:spacing w:line="240" w:lineRule="auto"/>
              <w:rPr>
                <w:rFonts w:eastAsia="Times New Roman" w:cs="Arial"/>
                <w:lang w:eastAsia="bg-BG"/>
              </w:rPr>
            </w:pPr>
          </w:p>
        </w:tc>
        <w:tc>
          <w:tcPr>
            <w:tcW w:w="1872" w:type="dxa"/>
          </w:tcPr>
          <w:p w14:paraId="4E28201A" w14:textId="7399FED1" w:rsidR="00B85F70" w:rsidRPr="00B85F70" w:rsidRDefault="00B85F70" w:rsidP="00B85F70">
            <w:pPr>
              <w:spacing w:line="240" w:lineRule="auto"/>
              <w:rPr>
                <w:rFonts w:eastAsia="Times New Roman" w:cs="Arial"/>
                <w:lang w:eastAsia="bg-BG"/>
              </w:rPr>
            </w:pPr>
            <w:r w:rsidRPr="00B85F70">
              <w:rPr>
                <w:rFonts w:cs="Arial"/>
              </w:rPr>
              <w:t>Аритмия, тахикардия</w:t>
            </w:r>
          </w:p>
        </w:tc>
        <w:tc>
          <w:tcPr>
            <w:tcW w:w="1952" w:type="dxa"/>
            <w:vAlign w:val="bottom"/>
          </w:tcPr>
          <w:p w14:paraId="746462BA" w14:textId="75D18385" w:rsidR="00B85F70" w:rsidRPr="00B85F70" w:rsidRDefault="00B85F70" w:rsidP="00B85F70">
            <w:pPr>
              <w:spacing w:line="240" w:lineRule="auto"/>
              <w:rPr>
                <w:rFonts w:eastAsia="Times New Roman" w:cs="Arial"/>
                <w:lang w:eastAsia="bg-BG"/>
              </w:rPr>
            </w:pPr>
            <w:r w:rsidRPr="00B85F70">
              <w:rPr>
                <w:rFonts w:cs="Arial"/>
              </w:rPr>
              <w:t>Фетална брадикардия, палпитации</w:t>
            </w:r>
          </w:p>
        </w:tc>
        <w:tc>
          <w:tcPr>
            <w:tcW w:w="1875" w:type="dxa"/>
          </w:tcPr>
          <w:p w14:paraId="4A2C7F3E" w14:textId="01AF7F3B" w:rsidR="00B85F70" w:rsidRPr="00B85F70" w:rsidRDefault="00B85F70" w:rsidP="00B85F70">
            <w:pPr>
              <w:spacing w:line="240" w:lineRule="auto"/>
              <w:rPr>
                <w:rFonts w:eastAsia="Times New Roman" w:cs="Arial"/>
                <w:lang w:eastAsia="bg-BG"/>
              </w:rPr>
            </w:pPr>
            <w:r w:rsidRPr="00B85F70">
              <w:rPr>
                <w:rFonts w:cs="Arial"/>
              </w:rPr>
              <w:t xml:space="preserve">Синдром на </w:t>
            </w:r>
            <w:proofErr w:type="spellStart"/>
            <w:r w:rsidRPr="00B85F70">
              <w:rPr>
                <w:rFonts w:cs="Arial"/>
                <w:lang w:val="en-US"/>
              </w:rPr>
              <w:t>Kounis</w:t>
            </w:r>
            <w:proofErr w:type="spellEnd"/>
          </w:p>
        </w:tc>
      </w:tr>
      <w:tr w:rsidR="00B85F70" w14:paraId="29A29409" w14:textId="77777777" w:rsidTr="00B85F70">
        <w:tc>
          <w:tcPr>
            <w:tcW w:w="1900" w:type="dxa"/>
            <w:vAlign w:val="bottom"/>
          </w:tcPr>
          <w:p w14:paraId="1375895B" w14:textId="44B09BED" w:rsidR="00B85F70" w:rsidRPr="00B85F70" w:rsidRDefault="00B85F70" w:rsidP="00B85F70">
            <w:pPr>
              <w:spacing w:line="240" w:lineRule="auto"/>
              <w:rPr>
                <w:rFonts w:eastAsia="Times New Roman" w:cs="Arial"/>
                <w:lang w:eastAsia="bg-BG"/>
              </w:rPr>
            </w:pPr>
            <w:r w:rsidRPr="00B85F70">
              <w:rPr>
                <w:rFonts w:cs="Arial"/>
              </w:rPr>
              <w:t>Нарушения на ухото и лабиринта</w:t>
            </w:r>
          </w:p>
        </w:tc>
        <w:tc>
          <w:tcPr>
            <w:tcW w:w="1977" w:type="dxa"/>
          </w:tcPr>
          <w:p w14:paraId="1F232B46" w14:textId="77777777" w:rsidR="00B85F70" w:rsidRPr="00B85F70" w:rsidRDefault="00B85F70" w:rsidP="00B85F70">
            <w:pPr>
              <w:spacing w:line="240" w:lineRule="auto"/>
              <w:rPr>
                <w:rFonts w:eastAsia="Times New Roman" w:cs="Arial"/>
                <w:lang w:eastAsia="bg-BG"/>
              </w:rPr>
            </w:pPr>
          </w:p>
        </w:tc>
        <w:tc>
          <w:tcPr>
            <w:tcW w:w="1872" w:type="dxa"/>
          </w:tcPr>
          <w:p w14:paraId="233FCD49" w14:textId="77777777" w:rsidR="00B85F70" w:rsidRPr="00B85F70" w:rsidRDefault="00B85F70" w:rsidP="00B85F70">
            <w:pPr>
              <w:spacing w:line="240" w:lineRule="auto"/>
              <w:rPr>
                <w:rFonts w:eastAsia="Times New Roman" w:cs="Arial"/>
                <w:lang w:eastAsia="bg-BG"/>
              </w:rPr>
            </w:pPr>
          </w:p>
        </w:tc>
        <w:tc>
          <w:tcPr>
            <w:tcW w:w="1952" w:type="dxa"/>
          </w:tcPr>
          <w:p w14:paraId="61B32D7A" w14:textId="465AB45B" w:rsidR="00B85F70" w:rsidRPr="00B85F70" w:rsidRDefault="00B85F70" w:rsidP="00B85F70">
            <w:pPr>
              <w:spacing w:line="240" w:lineRule="auto"/>
              <w:rPr>
                <w:rFonts w:eastAsia="Times New Roman" w:cs="Arial"/>
                <w:lang w:eastAsia="bg-BG"/>
              </w:rPr>
            </w:pPr>
            <w:r w:rsidRPr="00B85F70">
              <w:rPr>
                <w:rFonts w:cs="Arial"/>
              </w:rPr>
              <w:t>Преходна глухота</w:t>
            </w:r>
          </w:p>
        </w:tc>
        <w:tc>
          <w:tcPr>
            <w:tcW w:w="1875" w:type="dxa"/>
          </w:tcPr>
          <w:p w14:paraId="31E497DC" w14:textId="77777777" w:rsidR="00B85F70" w:rsidRPr="00B85F70" w:rsidRDefault="00B85F70" w:rsidP="00B85F70">
            <w:pPr>
              <w:spacing w:line="240" w:lineRule="auto"/>
              <w:rPr>
                <w:rFonts w:eastAsia="Times New Roman" w:cs="Arial"/>
                <w:lang w:eastAsia="bg-BG"/>
              </w:rPr>
            </w:pPr>
          </w:p>
        </w:tc>
      </w:tr>
      <w:tr w:rsidR="00B85F70" w14:paraId="65A3A451" w14:textId="77777777" w:rsidTr="00B85F70">
        <w:tc>
          <w:tcPr>
            <w:tcW w:w="1900" w:type="dxa"/>
            <w:vAlign w:val="bottom"/>
          </w:tcPr>
          <w:p w14:paraId="5D15F130" w14:textId="20C5EF10" w:rsidR="00B85F70" w:rsidRPr="00B85F70" w:rsidRDefault="00B85F70" w:rsidP="00B85F70">
            <w:pPr>
              <w:spacing w:line="240" w:lineRule="auto"/>
              <w:rPr>
                <w:rFonts w:eastAsia="Times New Roman" w:cs="Arial"/>
                <w:lang w:eastAsia="bg-BG"/>
              </w:rPr>
            </w:pPr>
            <w:r w:rsidRPr="00B85F70">
              <w:rPr>
                <w:rFonts w:cs="Arial"/>
              </w:rPr>
              <w:t>Стомашно-чревни нарушения</w:t>
            </w:r>
          </w:p>
        </w:tc>
        <w:tc>
          <w:tcPr>
            <w:tcW w:w="1977" w:type="dxa"/>
            <w:vAlign w:val="bottom"/>
          </w:tcPr>
          <w:p w14:paraId="2DD2A910" w14:textId="6470F0C8" w:rsidR="00B85F70" w:rsidRPr="00B85F70" w:rsidRDefault="00B85F70" w:rsidP="00B85F70">
            <w:pPr>
              <w:spacing w:line="240" w:lineRule="auto"/>
              <w:rPr>
                <w:rFonts w:eastAsia="Times New Roman" w:cs="Arial"/>
                <w:lang w:eastAsia="bg-BG"/>
              </w:rPr>
            </w:pPr>
            <w:r w:rsidRPr="00B85F70">
              <w:rPr>
                <w:rFonts w:cs="Arial"/>
              </w:rPr>
              <w:t>Гадене, повръщане, коремна болка</w:t>
            </w:r>
          </w:p>
        </w:tc>
        <w:tc>
          <w:tcPr>
            <w:tcW w:w="1872" w:type="dxa"/>
          </w:tcPr>
          <w:p w14:paraId="05AC9080" w14:textId="5BD21CCB" w:rsidR="00B85F70" w:rsidRPr="00B85F70" w:rsidRDefault="00B85F70" w:rsidP="00B85F70">
            <w:pPr>
              <w:spacing w:line="240" w:lineRule="auto"/>
              <w:rPr>
                <w:rFonts w:eastAsia="Times New Roman" w:cs="Arial"/>
                <w:lang w:eastAsia="bg-BG"/>
              </w:rPr>
            </w:pPr>
            <w:r w:rsidRPr="00B85F70">
              <w:rPr>
                <w:rFonts w:cs="Arial"/>
              </w:rPr>
              <w:t>Диария</w:t>
            </w:r>
          </w:p>
        </w:tc>
        <w:tc>
          <w:tcPr>
            <w:tcW w:w="1952" w:type="dxa"/>
          </w:tcPr>
          <w:p w14:paraId="48302F21" w14:textId="77777777" w:rsidR="00B85F70" w:rsidRPr="00B85F70" w:rsidRDefault="00B85F70" w:rsidP="00B85F70">
            <w:pPr>
              <w:spacing w:line="240" w:lineRule="auto"/>
              <w:rPr>
                <w:rFonts w:eastAsia="Times New Roman" w:cs="Arial"/>
                <w:lang w:eastAsia="bg-BG"/>
              </w:rPr>
            </w:pPr>
          </w:p>
        </w:tc>
        <w:tc>
          <w:tcPr>
            <w:tcW w:w="1875" w:type="dxa"/>
          </w:tcPr>
          <w:p w14:paraId="7B8CDA67" w14:textId="77777777" w:rsidR="00B85F70" w:rsidRPr="00B85F70" w:rsidRDefault="00B85F70" w:rsidP="00B85F70">
            <w:pPr>
              <w:spacing w:line="240" w:lineRule="auto"/>
              <w:rPr>
                <w:rFonts w:eastAsia="Times New Roman" w:cs="Arial"/>
                <w:lang w:eastAsia="bg-BG"/>
              </w:rPr>
            </w:pPr>
          </w:p>
        </w:tc>
      </w:tr>
      <w:tr w:rsidR="00B85F70" w14:paraId="4F0B493D" w14:textId="77777777" w:rsidTr="00B85F70">
        <w:tc>
          <w:tcPr>
            <w:tcW w:w="1900" w:type="dxa"/>
          </w:tcPr>
          <w:p w14:paraId="51E39DDA" w14:textId="26A7866B" w:rsidR="00B85F70" w:rsidRPr="00B85F70" w:rsidRDefault="00B85F70" w:rsidP="00B85F70">
            <w:pPr>
              <w:spacing w:line="240" w:lineRule="auto"/>
              <w:rPr>
                <w:rFonts w:eastAsia="Times New Roman" w:cs="Arial"/>
                <w:lang w:eastAsia="bg-BG"/>
              </w:rPr>
            </w:pPr>
            <w:r w:rsidRPr="00B85F70">
              <w:rPr>
                <w:rFonts w:cs="Arial"/>
              </w:rPr>
              <w:t>Общи нарушения и ефекти на мястото на приложение</w:t>
            </w:r>
          </w:p>
        </w:tc>
        <w:tc>
          <w:tcPr>
            <w:tcW w:w="1977" w:type="dxa"/>
          </w:tcPr>
          <w:p w14:paraId="242B99A6" w14:textId="03DC7537" w:rsidR="00B85F70" w:rsidRPr="00B85F70" w:rsidRDefault="00B85F70" w:rsidP="00B85F70">
            <w:pPr>
              <w:spacing w:line="240" w:lineRule="auto"/>
              <w:rPr>
                <w:rFonts w:eastAsia="Times New Roman" w:cs="Arial"/>
                <w:lang w:eastAsia="bg-BG"/>
              </w:rPr>
            </w:pPr>
            <w:r w:rsidRPr="00B85F70">
              <w:rPr>
                <w:rFonts w:cs="Arial"/>
              </w:rPr>
              <w:t>Топли вълни</w:t>
            </w:r>
          </w:p>
        </w:tc>
        <w:tc>
          <w:tcPr>
            <w:tcW w:w="1872" w:type="dxa"/>
            <w:vAlign w:val="bottom"/>
          </w:tcPr>
          <w:p w14:paraId="3B897741" w14:textId="77777777" w:rsidR="00B85F70" w:rsidRPr="00B85F70" w:rsidRDefault="00B85F70" w:rsidP="00B85F70">
            <w:pPr>
              <w:rPr>
                <w:rFonts w:cs="Arial"/>
              </w:rPr>
            </w:pPr>
            <w:r w:rsidRPr="00B85F70">
              <w:rPr>
                <w:rFonts w:cs="Arial"/>
              </w:rPr>
              <w:t>Умора</w:t>
            </w:r>
          </w:p>
          <w:p w14:paraId="37B24CE6" w14:textId="23B0BBE7" w:rsidR="00B85F70" w:rsidRPr="00B85F70" w:rsidRDefault="00B85F70" w:rsidP="00B85F70">
            <w:pPr>
              <w:spacing w:line="240" w:lineRule="auto"/>
              <w:rPr>
                <w:rFonts w:eastAsia="Times New Roman" w:cs="Arial"/>
                <w:lang w:eastAsia="bg-BG"/>
              </w:rPr>
            </w:pPr>
            <w:r w:rsidRPr="00B85F70">
              <w:rPr>
                <w:rFonts w:cs="Arial"/>
              </w:rPr>
              <w:t>Болка и кафява пигментация на мястото на инжектиране</w:t>
            </w:r>
          </w:p>
        </w:tc>
        <w:tc>
          <w:tcPr>
            <w:tcW w:w="1952" w:type="dxa"/>
          </w:tcPr>
          <w:p w14:paraId="4E3CD3FE" w14:textId="77777777" w:rsidR="00B85F70" w:rsidRPr="00B85F70" w:rsidRDefault="00B85F70" w:rsidP="00B85F70">
            <w:pPr>
              <w:spacing w:line="240" w:lineRule="auto"/>
              <w:rPr>
                <w:rFonts w:eastAsia="Times New Roman" w:cs="Arial"/>
                <w:lang w:eastAsia="bg-BG"/>
              </w:rPr>
            </w:pPr>
          </w:p>
        </w:tc>
        <w:tc>
          <w:tcPr>
            <w:tcW w:w="1875" w:type="dxa"/>
            <w:vAlign w:val="bottom"/>
          </w:tcPr>
          <w:p w14:paraId="0E9D9935" w14:textId="4E2544BD" w:rsidR="00B85F70" w:rsidRPr="00B85F70" w:rsidRDefault="00B85F70" w:rsidP="00B85F70">
            <w:pPr>
              <w:spacing w:line="240" w:lineRule="auto"/>
              <w:rPr>
                <w:rFonts w:eastAsia="Times New Roman" w:cs="Arial"/>
                <w:lang w:eastAsia="bg-BG"/>
              </w:rPr>
            </w:pPr>
            <w:r w:rsidRPr="00B85F70">
              <w:rPr>
                <w:rFonts w:cs="Arial"/>
              </w:rPr>
              <w:t>Грипоподобно заболяване, чисто начало може да варира от няколко часа до няколко дни</w:t>
            </w:r>
          </w:p>
        </w:tc>
      </w:tr>
      <w:tr w:rsidR="00B85F70" w14:paraId="0AC1FB7C" w14:textId="77777777" w:rsidTr="00B85F70">
        <w:tc>
          <w:tcPr>
            <w:tcW w:w="1900" w:type="dxa"/>
          </w:tcPr>
          <w:p w14:paraId="7F0591D5" w14:textId="06CAECDE" w:rsidR="00B85F70" w:rsidRPr="00B85F70" w:rsidRDefault="00B85F70" w:rsidP="00B85F70">
            <w:pPr>
              <w:spacing w:line="240" w:lineRule="auto"/>
              <w:rPr>
                <w:rFonts w:eastAsia="Times New Roman" w:cs="Arial"/>
                <w:lang w:eastAsia="bg-BG"/>
              </w:rPr>
            </w:pPr>
            <w:r w:rsidRPr="00B85F70">
              <w:rPr>
                <w:rFonts w:cs="Arial"/>
              </w:rPr>
              <w:t>Нарушения на имунната система</w:t>
            </w:r>
          </w:p>
        </w:tc>
        <w:tc>
          <w:tcPr>
            <w:tcW w:w="1977" w:type="dxa"/>
          </w:tcPr>
          <w:p w14:paraId="13B88F11" w14:textId="31EDAAD6" w:rsidR="00B85F70" w:rsidRPr="00B85F70" w:rsidRDefault="00B85F70" w:rsidP="00B85F70">
            <w:pPr>
              <w:spacing w:line="240" w:lineRule="auto"/>
              <w:rPr>
                <w:rFonts w:eastAsia="Times New Roman" w:cs="Arial"/>
                <w:lang w:eastAsia="bg-BG"/>
              </w:rPr>
            </w:pPr>
            <w:r w:rsidRPr="00B85F70">
              <w:rPr>
                <w:rFonts w:cs="Arial"/>
              </w:rPr>
              <w:t xml:space="preserve">Анафилактоидни реакции включително диспнея, уртикария, обриви, сърбеж, гадене и </w:t>
            </w:r>
            <w:r w:rsidRPr="00B85F70">
              <w:rPr>
                <w:rFonts w:cs="Arial"/>
              </w:rPr>
              <w:lastRenderedPageBreak/>
              <w:t>втрисане</w:t>
            </w:r>
          </w:p>
        </w:tc>
        <w:tc>
          <w:tcPr>
            <w:tcW w:w="1872" w:type="dxa"/>
          </w:tcPr>
          <w:p w14:paraId="2A554E3A" w14:textId="77777777" w:rsidR="00B85F70" w:rsidRPr="00B85F70" w:rsidRDefault="00B85F70" w:rsidP="00B85F70">
            <w:pPr>
              <w:spacing w:line="240" w:lineRule="auto"/>
              <w:rPr>
                <w:rFonts w:eastAsia="Times New Roman" w:cs="Arial"/>
                <w:lang w:eastAsia="bg-BG"/>
              </w:rPr>
            </w:pPr>
          </w:p>
        </w:tc>
        <w:tc>
          <w:tcPr>
            <w:tcW w:w="1952" w:type="dxa"/>
            <w:vAlign w:val="bottom"/>
          </w:tcPr>
          <w:p w14:paraId="25A6D2C0" w14:textId="05BF9156" w:rsidR="00B85F70" w:rsidRPr="00B85F70" w:rsidRDefault="00B85F70" w:rsidP="00B85F70">
            <w:pPr>
              <w:spacing w:line="240" w:lineRule="auto"/>
              <w:rPr>
                <w:rFonts w:eastAsia="Times New Roman" w:cs="Arial"/>
                <w:lang w:eastAsia="bg-BG"/>
              </w:rPr>
            </w:pPr>
            <w:r w:rsidRPr="00B85F70">
              <w:rPr>
                <w:rFonts w:cs="Arial"/>
              </w:rPr>
              <w:t xml:space="preserve">Остри, тежки анафилактоидни реакции (внезапно начало на затруднено дишане и/или </w:t>
            </w:r>
            <w:r w:rsidRPr="00B85F70">
              <w:rPr>
                <w:rFonts w:cs="Arial"/>
              </w:rPr>
              <w:lastRenderedPageBreak/>
              <w:t>сърдечно-съдов</w:t>
            </w:r>
          </w:p>
        </w:tc>
        <w:tc>
          <w:tcPr>
            <w:tcW w:w="1875" w:type="dxa"/>
          </w:tcPr>
          <w:p w14:paraId="0BEFD4C3" w14:textId="77777777" w:rsidR="00B85F70" w:rsidRPr="00B85F70" w:rsidRDefault="00B85F70" w:rsidP="00B85F70">
            <w:pPr>
              <w:spacing w:line="240" w:lineRule="auto"/>
              <w:rPr>
                <w:rFonts w:eastAsia="Times New Roman" w:cs="Arial"/>
                <w:lang w:eastAsia="bg-BG"/>
              </w:rPr>
            </w:pPr>
          </w:p>
        </w:tc>
      </w:tr>
      <w:tr w:rsidR="00B85F70" w14:paraId="552E272B" w14:textId="77777777" w:rsidTr="00B85F70">
        <w:tc>
          <w:tcPr>
            <w:tcW w:w="1900" w:type="dxa"/>
            <w:vAlign w:val="center"/>
          </w:tcPr>
          <w:p w14:paraId="4ED971D4" w14:textId="21374F8F" w:rsidR="00B85F70" w:rsidRPr="00B85F70" w:rsidRDefault="00B85F70" w:rsidP="00B85F70">
            <w:pPr>
              <w:spacing w:line="240" w:lineRule="auto"/>
              <w:rPr>
                <w:rFonts w:eastAsia="Times New Roman" w:cs="Arial"/>
                <w:lang w:eastAsia="bg-BG"/>
              </w:rPr>
            </w:pPr>
            <w:r w:rsidRPr="00B85F70">
              <w:rPr>
                <w:rFonts w:cs="Arial"/>
              </w:rPr>
              <w:t>Нарушения на мускулно- скелетната система и съединителната</w:t>
            </w:r>
          </w:p>
        </w:tc>
        <w:tc>
          <w:tcPr>
            <w:tcW w:w="1977" w:type="dxa"/>
          </w:tcPr>
          <w:p w14:paraId="06F0AB2F" w14:textId="61F3E715" w:rsidR="00B85F70" w:rsidRPr="00B85F70" w:rsidRDefault="00B85F70" w:rsidP="00B85F70">
            <w:pPr>
              <w:spacing w:line="240" w:lineRule="auto"/>
              <w:rPr>
                <w:rFonts w:eastAsia="Times New Roman" w:cs="Arial"/>
                <w:lang w:eastAsia="bg-BG"/>
              </w:rPr>
            </w:pPr>
            <w:r w:rsidRPr="00B85F70">
              <w:rPr>
                <w:rFonts w:cs="Arial"/>
              </w:rPr>
              <w:t>Крампи</w:t>
            </w:r>
          </w:p>
        </w:tc>
        <w:tc>
          <w:tcPr>
            <w:tcW w:w="1872" w:type="dxa"/>
            <w:vAlign w:val="bottom"/>
          </w:tcPr>
          <w:p w14:paraId="64F4EB11" w14:textId="77777777" w:rsidR="00B85F70" w:rsidRPr="00B85F70" w:rsidRDefault="00B85F70" w:rsidP="00B85F70">
            <w:pPr>
              <w:rPr>
                <w:rFonts w:cs="Arial"/>
              </w:rPr>
            </w:pPr>
            <w:r w:rsidRPr="00B85F70">
              <w:rPr>
                <w:rFonts w:cs="Arial"/>
              </w:rPr>
              <w:t>Миалгия</w:t>
            </w:r>
          </w:p>
          <w:p w14:paraId="59E3E365" w14:textId="22EACE3C" w:rsidR="00B85F70" w:rsidRPr="00B85F70" w:rsidRDefault="00B85F70" w:rsidP="00B85F70">
            <w:pPr>
              <w:spacing w:line="240" w:lineRule="auto"/>
              <w:rPr>
                <w:rFonts w:eastAsia="Times New Roman" w:cs="Arial"/>
                <w:lang w:eastAsia="bg-BG"/>
              </w:rPr>
            </w:pPr>
            <w:r w:rsidRPr="00B85F70">
              <w:rPr>
                <w:rFonts w:cs="Arial"/>
              </w:rPr>
              <w:t>-</w:t>
            </w:r>
          </w:p>
        </w:tc>
        <w:tc>
          <w:tcPr>
            <w:tcW w:w="1952" w:type="dxa"/>
          </w:tcPr>
          <w:p w14:paraId="169771CF" w14:textId="77777777" w:rsidR="00B85F70" w:rsidRPr="00B85F70" w:rsidRDefault="00B85F70" w:rsidP="00B85F70">
            <w:pPr>
              <w:spacing w:line="240" w:lineRule="auto"/>
              <w:rPr>
                <w:rFonts w:eastAsia="Times New Roman" w:cs="Arial"/>
                <w:lang w:eastAsia="bg-BG"/>
              </w:rPr>
            </w:pPr>
          </w:p>
        </w:tc>
        <w:tc>
          <w:tcPr>
            <w:tcW w:w="1875" w:type="dxa"/>
            <w:vAlign w:val="bottom"/>
          </w:tcPr>
          <w:p w14:paraId="4AF5DD0D" w14:textId="77777777" w:rsidR="00B85F70" w:rsidRPr="00B85F70" w:rsidRDefault="00B85F70" w:rsidP="00B85F70">
            <w:pPr>
              <w:spacing w:line="240" w:lineRule="auto"/>
              <w:rPr>
                <w:rFonts w:eastAsia="Times New Roman" w:cs="Arial"/>
                <w:lang w:eastAsia="bg-BG"/>
              </w:rPr>
            </w:pPr>
          </w:p>
        </w:tc>
      </w:tr>
      <w:tr w:rsidR="00B85F70" w14:paraId="5EB4879B" w14:textId="77777777" w:rsidTr="00B85F70">
        <w:tc>
          <w:tcPr>
            <w:tcW w:w="1900" w:type="dxa"/>
          </w:tcPr>
          <w:p w14:paraId="66A18897" w14:textId="24F68C38" w:rsidR="00B85F70" w:rsidRPr="00B85F70" w:rsidRDefault="00B85F70" w:rsidP="00B85F70">
            <w:pPr>
              <w:spacing w:line="240" w:lineRule="auto"/>
              <w:rPr>
                <w:rFonts w:eastAsia="Times New Roman" w:cs="Arial"/>
                <w:lang w:eastAsia="bg-BG"/>
              </w:rPr>
            </w:pPr>
            <w:r w:rsidRPr="00B85F70">
              <w:rPr>
                <w:rFonts w:cs="Arial"/>
              </w:rPr>
              <w:t>Нарушения на нервната система</w:t>
            </w:r>
          </w:p>
        </w:tc>
        <w:tc>
          <w:tcPr>
            <w:tcW w:w="1977" w:type="dxa"/>
          </w:tcPr>
          <w:p w14:paraId="5E01FF3E" w14:textId="216E1191" w:rsidR="00B85F70" w:rsidRPr="00B85F70" w:rsidRDefault="00B85F70" w:rsidP="00B85F70">
            <w:pPr>
              <w:spacing w:line="240" w:lineRule="auto"/>
              <w:rPr>
                <w:rFonts w:eastAsia="Times New Roman" w:cs="Arial"/>
                <w:lang w:eastAsia="bg-BG"/>
              </w:rPr>
            </w:pPr>
            <w:r w:rsidRPr="00B85F70">
              <w:rPr>
                <w:rFonts w:cs="Arial"/>
              </w:rPr>
              <w:t>Замъглено виждане, скованост</w:t>
            </w:r>
          </w:p>
        </w:tc>
        <w:tc>
          <w:tcPr>
            <w:tcW w:w="1872" w:type="dxa"/>
          </w:tcPr>
          <w:p w14:paraId="0DA9C711" w14:textId="16A4BD9F" w:rsidR="00B85F70" w:rsidRPr="00B85F70" w:rsidRDefault="00B85F70" w:rsidP="00B85F70">
            <w:pPr>
              <w:spacing w:line="240" w:lineRule="auto"/>
              <w:rPr>
                <w:rFonts w:eastAsia="Times New Roman" w:cs="Arial"/>
                <w:lang w:eastAsia="bg-BG"/>
              </w:rPr>
            </w:pPr>
            <w:r w:rsidRPr="00B85F70">
              <w:rPr>
                <w:rFonts w:cs="Arial"/>
              </w:rPr>
              <w:t>Загуба на съзнание, гърчове, замаяност, безпокойство, тремор</w:t>
            </w:r>
          </w:p>
        </w:tc>
        <w:tc>
          <w:tcPr>
            <w:tcW w:w="1952" w:type="dxa"/>
          </w:tcPr>
          <w:p w14:paraId="45468CF9" w14:textId="490B3D5A" w:rsidR="00B85F70" w:rsidRPr="00B85F70" w:rsidRDefault="00B85F70" w:rsidP="00B85F70">
            <w:pPr>
              <w:spacing w:line="240" w:lineRule="auto"/>
              <w:rPr>
                <w:rFonts w:eastAsia="Times New Roman" w:cs="Arial"/>
                <w:lang w:eastAsia="bg-BG"/>
              </w:rPr>
            </w:pPr>
            <w:r w:rsidRPr="00B85F70">
              <w:rPr>
                <w:rFonts w:cs="Arial"/>
              </w:rPr>
              <w:t>Главоболие, парестезии</w:t>
            </w:r>
          </w:p>
        </w:tc>
        <w:tc>
          <w:tcPr>
            <w:tcW w:w="1875" w:type="dxa"/>
            <w:vAlign w:val="bottom"/>
          </w:tcPr>
          <w:p w14:paraId="3E9B1655" w14:textId="77777777" w:rsidR="00B85F70" w:rsidRPr="00B85F70" w:rsidRDefault="00B85F70" w:rsidP="00B85F70">
            <w:pPr>
              <w:spacing w:line="240" w:lineRule="auto"/>
              <w:rPr>
                <w:rFonts w:eastAsia="Times New Roman" w:cs="Arial"/>
                <w:lang w:eastAsia="bg-BG"/>
              </w:rPr>
            </w:pPr>
          </w:p>
        </w:tc>
      </w:tr>
      <w:tr w:rsidR="00B85F70" w14:paraId="64B3B32F" w14:textId="77777777" w:rsidTr="00B85F70">
        <w:tc>
          <w:tcPr>
            <w:tcW w:w="1900" w:type="dxa"/>
            <w:vAlign w:val="bottom"/>
          </w:tcPr>
          <w:p w14:paraId="4EC31F26" w14:textId="4F3D6F33" w:rsidR="00B85F70" w:rsidRPr="00B85F70" w:rsidRDefault="00B85F70" w:rsidP="00B85F70">
            <w:pPr>
              <w:spacing w:line="240" w:lineRule="auto"/>
              <w:rPr>
                <w:rFonts w:eastAsia="Times New Roman" w:cs="Arial"/>
                <w:lang w:eastAsia="bg-BG"/>
              </w:rPr>
            </w:pPr>
            <w:r w:rsidRPr="00B85F70">
              <w:rPr>
                <w:rFonts w:cs="Arial"/>
              </w:rPr>
              <w:t>Респираторни, гръдни и медиастинални нарушения</w:t>
            </w:r>
          </w:p>
        </w:tc>
        <w:tc>
          <w:tcPr>
            <w:tcW w:w="1977" w:type="dxa"/>
          </w:tcPr>
          <w:p w14:paraId="2E8EC67A" w14:textId="02DFD8A3" w:rsidR="00B85F70" w:rsidRPr="00B85F70" w:rsidRDefault="00B85F70" w:rsidP="00B85F70">
            <w:pPr>
              <w:spacing w:line="240" w:lineRule="auto"/>
              <w:rPr>
                <w:rFonts w:eastAsia="Times New Roman" w:cs="Arial"/>
                <w:lang w:eastAsia="bg-BG"/>
              </w:rPr>
            </w:pPr>
            <w:r w:rsidRPr="00B85F70">
              <w:rPr>
                <w:rFonts w:cs="Arial"/>
              </w:rPr>
              <w:t>Диспнея</w:t>
            </w:r>
          </w:p>
        </w:tc>
        <w:tc>
          <w:tcPr>
            <w:tcW w:w="1872" w:type="dxa"/>
          </w:tcPr>
          <w:p w14:paraId="36610FB6" w14:textId="6086A846" w:rsidR="00B85F70" w:rsidRPr="00B85F70" w:rsidRDefault="00B85F70" w:rsidP="00B85F70">
            <w:pPr>
              <w:spacing w:line="240" w:lineRule="auto"/>
              <w:rPr>
                <w:rFonts w:eastAsia="Times New Roman" w:cs="Arial"/>
                <w:lang w:eastAsia="bg-BG"/>
              </w:rPr>
            </w:pPr>
            <w:r w:rsidRPr="00B85F70">
              <w:rPr>
                <w:rFonts w:cs="Arial"/>
              </w:rPr>
              <w:t>Болка в гърдите</w:t>
            </w:r>
          </w:p>
        </w:tc>
        <w:tc>
          <w:tcPr>
            <w:tcW w:w="1952" w:type="dxa"/>
          </w:tcPr>
          <w:p w14:paraId="44A48758" w14:textId="77777777" w:rsidR="00B85F70" w:rsidRPr="00B85F70" w:rsidRDefault="00B85F70" w:rsidP="00B85F70">
            <w:pPr>
              <w:spacing w:line="240" w:lineRule="auto"/>
              <w:rPr>
                <w:rFonts w:eastAsia="Times New Roman" w:cs="Arial"/>
                <w:lang w:eastAsia="bg-BG"/>
              </w:rPr>
            </w:pPr>
          </w:p>
        </w:tc>
        <w:tc>
          <w:tcPr>
            <w:tcW w:w="1875" w:type="dxa"/>
          </w:tcPr>
          <w:p w14:paraId="76E906B8" w14:textId="77777777" w:rsidR="00B85F70" w:rsidRPr="00B85F70" w:rsidRDefault="00B85F70" w:rsidP="00B85F70">
            <w:pPr>
              <w:spacing w:line="240" w:lineRule="auto"/>
              <w:rPr>
                <w:rFonts w:eastAsia="Times New Roman" w:cs="Arial"/>
                <w:lang w:eastAsia="bg-BG"/>
              </w:rPr>
            </w:pPr>
          </w:p>
        </w:tc>
      </w:tr>
      <w:tr w:rsidR="00B85F70" w14:paraId="08444BA9" w14:textId="77777777" w:rsidTr="00B85F70">
        <w:tc>
          <w:tcPr>
            <w:tcW w:w="1900" w:type="dxa"/>
            <w:vAlign w:val="bottom"/>
          </w:tcPr>
          <w:p w14:paraId="5CEDF31B" w14:textId="28F27514" w:rsidR="00B85F70" w:rsidRPr="00B85F70" w:rsidRDefault="00B85F70" w:rsidP="00B85F70">
            <w:pPr>
              <w:spacing w:line="240" w:lineRule="auto"/>
              <w:rPr>
                <w:rFonts w:eastAsia="Times New Roman" w:cs="Arial"/>
                <w:lang w:eastAsia="bg-BG"/>
              </w:rPr>
            </w:pPr>
            <w:r w:rsidRPr="00B85F70">
              <w:rPr>
                <w:rFonts w:cs="Arial"/>
              </w:rPr>
              <w:t>Психични нарушения</w:t>
            </w:r>
          </w:p>
        </w:tc>
        <w:tc>
          <w:tcPr>
            <w:tcW w:w="1977" w:type="dxa"/>
          </w:tcPr>
          <w:p w14:paraId="2F943544" w14:textId="77777777" w:rsidR="00B85F70" w:rsidRPr="00B85F70" w:rsidRDefault="00B85F70" w:rsidP="00B85F70">
            <w:pPr>
              <w:spacing w:line="240" w:lineRule="auto"/>
              <w:rPr>
                <w:rFonts w:eastAsia="Times New Roman" w:cs="Arial"/>
                <w:lang w:eastAsia="bg-BG"/>
              </w:rPr>
            </w:pPr>
          </w:p>
        </w:tc>
        <w:tc>
          <w:tcPr>
            <w:tcW w:w="1872" w:type="dxa"/>
            <w:vAlign w:val="bottom"/>
          </w:tcPr>
          <w:p w14:paraId="63CC3F1A" w14:textId="78823D1B" w:rsidR="00B85F70" w:rsidRPr="00B85F70" w:rsidRDefault="00B85F70" w:rsidP="00B85F70">
            <w:pPr>
              <w:spacing w:line="240" w:lineRule="auto"/>
              <w:rPr>
                <w:rFonts w:eastAsia="Times New Roman" w:cs="Arial"/>
                <w:lang w:eastAsia="bg-BG"/>
              </w:rPr>
            </w:pPr>
            <w:r w:rsidRPr="00B85F70">
              <w:rPr>
                <w:rFonts w:cs="Arial"/>
              </w:rPr>
              <w:t>Промени в менталния [статус</w:t>
            </w:r>
          </w:p>
        </w:tc>
        <w:tc>
          <w:tcPr>
            <w:tcW w:w="1952" w:type="dxa"/>
          </w:tcPr>
          <w:p w14:paraId="2D9DBAA3" w14:textId="77777777" w:rsidR="00B85F70" w:rsidRPr="00B85F70" w:rsidRDefault="00B85F70" w:rsidP="00B85F70">
            <w:pPr>
              <w:spacing w:line="240" w:lineRule="auto"/>
              <w:rPr>
                <w:rFonts w:eastAsia="Times New Roman" w:cs="Arial"/>
                <w:lang w:eastAsia="bg-BG"/>
              </w:rPr>
            </w:pPr>
          </w:p>
        </w:tc>
        <w:tc>
          <w:tcPr>
            <w:tcW w:w="1875" w:type="dxa"/>
            <w:vAlign w:val="bottom"/>
          </w:tcPr>
          <w:p w14:paraId="170DD22A" w14:textId="77777777" w:rsidR="00B85F70" w:rsidRPr="00B85F70" w:rsidRDefault="00B85F70" w:rsidP="00B85F70">
            <w:pPr>
              <w:spacing w:line="240" w:lineRule="auto"/>
              <w:rPr>
                <w:rFonts w:eastAsia="Times New Roman" w:cs="Arial"/>
                <w:lang w:eastAsia="bg-BG"/>
              </w:rPr>
            </w:pPr>
          </w:p>
        </w:tc>
      </w:tr>
      <w:tr w:rsidR="00B85F70" w14:paraId="3DB292AB" w14:textId="77777777" w:rsidTr="00B85F70">
        <w:tc>
          <w:tcPr>
            <w:tcW w:w="1900" w:type="dxa"/>
          </w:tcPr>
          <w:p w14:paraId="3F1740ED" w14:textId="1A73CC5E" w:rsidR="00B85F70" w:rsidRPr="00B85F70" w:rsidRDefault="00B85F70" w:rsidP="00B85F70">
            <w:pPr>
              <w:spacing w:line="240" w:lineRule="auto"/>
              <w:rPr>
                <w:rFonts w:ascii="Times New Roman" w:eastAsia="Times New Roman" w:hAnsi="Times New Roman" w:cs="Times New Roman"/>
                <w:lang w:eastAsia="bg-BG"/>
              </w:rPr>
            </w:pPr>
            <w:r w:rsidRPr="00B85F70">
              <w:t>Нарушения на кожата и подкожната тъкан</w:t>
            </w:r>
          </w:p>
        </w:tc>
        <w:tc>
          <w:tcPr>
            <w:tcW w:w="1977" w:type="dxa"/>
          </w:tcPr>
          <w:p w14:paraId="7A229637" w14:textId="67740458" w:rsidR="00B85F70" w:rsidRPr="00B85F70" w:rsidRDefault="00B85F70" w:rsidP="00B85F70">
            <w:pPr>
              <w:spacing w:line="240" w:lineRule="auto"/>
              <w:rPr>
                <w:rFonts w:ascii="Times New Roman" w:eastAsia="Times New Roman" w:hAnsi="Times New Roman" w:cs="Times New Roman"/>
                <w:lang w:eastAsia="bg-BG"/>
              </w:rPr>
            </w:pPr>
            <w:r w:rsidRPr="00B85F70">
              <w:t>Зачервяване, пруритус, кожен обрив</w:t>
            </w:r>
          </w:p>
        </w:tc>
        <w:tc>
          <w:tcPr>
            <w:tcW w:w="1872" w:type="dxa"/>
          </w:tcPr>
          <w:p w14:paraId="1BE9BF2F" w14:textId="68D787C5" w:rsidR="00B85F70" w:rsidRPr="00B85F70" w:rsidRDefault="00B85F70" w:rsidP="00B85F70">
            <w:pPr>
              <w:spacing w:line="240" w:lineRule="auto"/>
              <w:rPr>
                <w:rFonts w:ascii="Times New Roman" w:eastAsia="Times New Roman" w:hAnsi="Times New Roman" w:cs="Times New Roman"/>
                <w:lang w:eastAsia="bg-BG"/>
              </w:rPr>
            </w:pPr>
            <w:r w:rsidRPr="00B85F70">
              <w:t>Ангиоедем, диафореза</w:t>
            </w:r>
          </w:p>
        </w:tc>
        <w:tc>
          <w:tcPr>
            <w:tcW w:w="1952" w:type="dxa"/>
          </w:tcPr>
          <w:p w14:paraId="715823A5" w14:textId="77777777" w:rsidR="00B85F70" w:rsidRPr="00B85F70" w:rsidRDefault="00B85F70" w:rsidP="00B85F70">
            <w:pPr>
              <w:spacing w:line="240" w:lineRule="auto"/>
              <w:rPr>
                <w:rFonts w:ascii="Times New Roman" w:eastAsia="Times New Roman" w:hAnsi="Times New Roman" w:cs="Times New Roman"/>
                <w:lang w:eastAsia="bg-BG"/>
              </w:rPr>
            </w:pPr>
          </w:p>
        </w:tc>
        <w:tc>
          <w:tcPr>
            <w:tcW w:w="1875" w:type="dxa"/>
          </w:tcPr>
          <w:p w14:paraId="5D5C6C46" w14:textId="77777777" w:rsidR="00B85F70" w:rsidRDefault="00B85F70" w:rsidP="00B85F70">
            <w:pPr>
              <w:spacing w:line="240" w:lineRule="auto"/>
              <w:rPr>
                <w:rFonts w:ascii="Times New Roman" w:eastAsia="Times New Roman" w:hAnsi="Times New Roman" w:cs="Times New Roman"/>
                <w:sz w:val="24"/>
                <w:szCs w:val="24"/>
                <w:lang w:eastAsia="bg-BG"/>
              </w:rPr>
            </w:pPr>
          </w:p>
        </w:tc>
      </w:tr>
      <w:tr w:rsidR="00B85F70" w14:paraId="701E78BF" w14:textId="77777777" w:rsidTr="00B85F70">
        <w:tc>
          <w:tcPr>
            <w:tcW w:w="1900" w:type="dxa"/>
          </w:tcPr>
          <w:p w14:paraId="06B190C7" w14:textId="2F808EAC" w:rsidR="00B85F70" w:rsidRPr="00B85F70" w:rsidRDefault="00B85F70" w:rsidP="00B85F70">
            <w:pPr>
              <w:spacing w:line="240" w:lineRule="auto"/>
              <w:rPr>
                <w:rFonts w:ascii="Times New Roman" w:eastAsia="Times New Roman" w:hAnsi="Times New Roman" w:cs="Times New Roman"/>
                <w:lang w:eastAsia="bg-BG"/>
              </w:rPr>
            </w:pPr>
            <w:r w:rsidRPr="00B85F70">
              <w:t>Съдови нарушения</w:t>
            </w:r>
          </w:p>
        </w:tc>
        <w:tc>
          <w:tcPr>
            <w:tcW w:w="1977" w:type="dxa"/>
          </w:tcPr>
          <w:p w14:paraId="650BCFEC" w14:textId="77777777" w:rsidR="00B85F70" w:rsidRPr="00B85F70" w:rsidRDefault="00B85F70" w:rsidP="00B85F70">
            <w:pPr>
              <w:spacing w:line="240" w:lineRule="auto"/>
              <w:rPr>
                <w:rFonts w:ascii="Times New Roman" w:eastAsia="Times New Roman" w:hAnsi="Times New Roman" w:cs="Times New Roman"/>
                <w:lang w:eastAsia="bg-BG"/>
              </w:rPr>
            </w:pPr>
          </w:p>
        </w:tc>
        <w:tc>
          <w:tcPr>
            <w:tcW w:w="1872" w:type="dxa"/>
          </w:tcPr>
          <w:p w14:paraId="11348254" w14:textId="71EE2ADB" w:rsidR="00B85F70" w:rsidRPr="00B85F70" w:rsidRDefault="00B85F70" w:rsidP="00B85F70">
            <w:pPr>
              <w:spacing w:line="240" w:lineRule="auto"/>
              <w:rPr>
                <w:rFonts w:ascii="Times New Roman" w:eastAsia="Times New Roman" w:hAnsi="Times New Roman" w:cs="Times New Roman"/>
                <w:lang w:eastAsia="bg-BG"/>
              </w:rPr>
            </w:pPr>
            <w:r w:rsidRPr="00B85F70">
              <w:t>Хипотония</w:t>
            </w:r>
          </w:p>
        </w:tc>
        <w:tc>
          <w:tcPr>
            <w:tcW w:w="1952" w:type="dxa"/>
          </w:tcPr>
          <w:p w14:paraId="26789214" w14:textId="58EF139C" w:rsidR="00B85F70" w:rsidRPr="00B85F70" w:rsidRDefault="00B85F70" w:rsidP="00B85F70">
            <w:pPr>
              <w:spacing w:line="240" w:lineRule="auto"/>
              <w:rPr>
                <w:rFonts w:ascii="Times New Roman" w:eastAsia="Times New Roman" w:hAnsi="Times New Roman" w:cs="Times New Roman"/>
                <w:lang w:eastAsia="bg-BG"/>
              </w:rPr>
            </w:pPr>
            <w:r w:rsidRPr="00B85F70">
              <w:t>Хипертония</w:t>
            </w:r>
          </w:p>
        </w:tc>
        <w:tc>
          <w:tcPr>
            <w:tcW w:w="1875" w:type="dxa"/>
          </w:tcPr>
          <w:p w14:paraId="7A88E0A1" w14:textId="77777777" w:rsidR="00B85F70" w:rsidRDefault="00B85F70" w:rsidP="00B85F70">
            <w:pPr>
              <w:spacing w:line="240" w:lineRule="auto"/>
              <w:rPr>
                <w:rFonts w:ascii="Times New Roman" w:eastAsia="Times New Roman" w:hAnsi="Times New Roman" w:cs="Times New Roman"/>
                <w:sz w:val="24"/>
                <w:szCs w:val="24"/>
                <w:lang w:eastAsia="bg-BG"/>
              </w:rPr>
            </w:pPr>
          </w:p>
        </w:tc>
      </w:tr>
    </w:tbl>
    <w:p w14:paraId="52C26188" w14:textId="77777777" w:rsidR="00B85F70" w:rsidRDefault="00B85F70" w:rsidP="00B85F70">
      <w:pPr>
        <w:spacing w:line="240" w:lineRule="auto"/>
        <w:rPr>
          <w:rFonts w:ascii="Times New Roman" w:eastAsia="Times New Roman" w:hAnsi="Times New Roman" w:cs="Times New Roman"/>
          <w:color w:val="000000"/>
          <w:sz w:val="20"/>
          <w:szCs w:val="20"/>
          <w:u w:val="single"/>
          <w:lang w:eastAsia="bg-BG"/>
        </w:rPr>
      </w:pPr>
    </w:p>
    <w:p w14:paraId="537B55E0" w14:textId="31ACF1BB" w:rsidR="00B85F70" w:rsidRPr="00B85F70" w:rsidRDefault="00B85F70" w:rsidP="00B85F70">
      <w:pPr>
        <w:spacing w:line="240" w:lineRule="auto"/>
        <w:rPr>
          <w:rFonts w:eastAsia="Times New Roman" w:cs="Arial"/>
          <w:lang w:eastAsia="bg-BG"/>
        </w:rPr>
      </w:pPr>
      <w:r w:rsidRPr="00B85F70">
        <w:rPr>
          <w:rFonts w:eastAsia="Times New Roman" w:cs="Arial"/>
          <w:color w:val="000000"/>
          <w:u w:val="single"/>
          <w:lang w:eastAsia="bg-BG"/>
        </w:rPr>
        <w:t>Съобщаване на подозирани нежелани реакции</w:t>
      </w:r>
    </w:p>
    <w:p w14:paraId="434216BC" w14:textId="77777777" w:rsidR="00B85F70" w:rsidRPr="00B85F70" w:rsidRDefault="00B85F70" w:rsidP="00B85F70">
      <w:pPr>
        <w:spacing w:line="240" w:lineRule="auto"/>
        <w:rPr>
          <w:rFonts w:eastAsia="Times New Roman" w:cs="Arial"/>
          <w:color w:val="000000"/>
          <w:lang w:eastAsia="bg-BG"/>
        </w:rPr>
      </w:pPr>
      <w:r w:rsidRPr="00B85F70">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w:t>
      </w:r>
    </w:p>
    <w:p w14:paraId="14549500" w14:textId="77777777" w:rsidR="00B85F70" w:rsidRPr="00B85F70" w:rsidRDefault="00B85F70" w:rsidP="00B85F70">
      <w:pPr>
        <w:spacing w:line="240" w:lineRule="auto"/>
        <w:rPr>
          <w:rFonts w:eastAsia="Times New Roman" w:cs="Arial"/>
          <w:color w:val="000000"/>
          <w:lang w:eastAsia="bg-BG"/>
        </w:rPr>
      </w:pPr>
      <w:r w:rsidRPr="00B85F70">
        <w:rPr>
          <w:rFonts w:eastAsia="Times New Roman" w:cs="Arial"/>
          <w:color w:val="000000"/>
          <w:lang w:eastAsia="bg-BG"/>
        </w:rPr>
        <w:t xml:space="preserve">ул. „Дамян Груев” № 8 </w:t>
      </w:r>
    </w:p>
    <w:p w14:paraId="3D9A4FD0" w14:textId="596F0D0D" w:rsidR="00B85F70" w:rsidRPr="00B85F70" w:rsidRDefault="00B85F70" w:rsidP="00B85F70">
      <w:pPr>
        <w:spacing w:line="240" w:lineRule="auto"/>
        <w:rPr>
          <w:rFonts w:eastAsia="Times New Roman" w:cs="Arial"/>
          <w:lang w:eastAsia="bg-BG"/>
        </w:rPr>
      </w:pPr>
      <w:r w:rsidRPr="00B85F70">
        <w:rPr>
          <w:rFonts w:eastAsia="Times New Roman" w:cs="Arial"/>
          <w:color w:val="000000"/>
          <w:lang w:eastAsia="bg-BG"/>
        </w:rPr>
        <w:t>1303 София</w:t>
      </w:r>
    </w:p>
    <w:p w14:paraId="65E5F069" w14:textId="77777777" w:rsidR="00B85F70" w:rsidRPr="00B85F70" w:rsidRDefault="00B85F70" w:rsidP="00B85F70">
      <w:pPr>
        <w:spacing w:line="240" w:lineRule="auto"/>
        <w:rPr>
          <w:rFonts w:eastAsia="Times New Roman" w:cs="Arial"/>
          <w:color w:val="000000"/>
          <w:lang w:eastAsia="bg-BG"/>
        </w:rPr>
      </w:pPr>
      <w:r w:rsidRPr="00B85F70">
        <w:rPr>
          <w:rFonts w:eastAsia="Times New Roman" w:cs="Arial"/>
          <w:color w:val="000000"/>
          <w:lang w:eastAsia="bg-BG"/>
        </w:rPr>
        <w:t xml:space="preserve">Тел.:+359 2 8903417 </w:t>
      </w:r>
    </w:p>
    <w:p w14:paraId="63F4A571" w14:textId="0BE4DC59" w:rsidR="00B85F70" w:rsidRPr="00B85F70" w:rsidRDefault="00B85F70" w:rsidP="00B85F70">
      <w:pPr>
        <w:spacing w:line="240" w:lineRule="auto"/>
        <w:rPr>
          <w:rFonts w:eastAsia="Times New Roman" w:cs="Arial"/>
          <w:lang w:eastAsia="bg-BG"/>
        </w:rPr>
      </w:pPr>
      <w:r w:rsidRPr="00B85F70">
        <w:rPr>
          <w:rFonts w:eastAsia="Times New Roman" w:cs="Arial"/>
          <w:color w:val="000000"/>
          <w:lang w:eastAsia="bg-BG"/>
        </w:rPr>
        <w:t xml:space="preserve">уебсайт: </w:t>
      </w:r>
      <w:r w:rsidRPr="00B85F70">
        <w:rPr>
          <w:rFonts w:eastAsia="Times New Roman" w:cs="Arial"/>
          <w:lang w:eastAsia="bg-BG"/>
        </w:rPr>
        <w:fldChar w:fldCharType="begin"/>
      </w:r>
      <w:r w:rsidRPr="00B85F70">
        <w:rPr>
          <w:rFonts w:eastAsia="Times New Roman" w:cs="Arial"/>
          <w:lang w:eastAsia="bg-BG"/>
        </w:rPr>
        <w:instrText xml:space="preserve"> HYPERLINK "http://www.bda.bg" </w:instrText>
      </w:r>
      <w:r w:rsidRPr="00B85F70">
        <w:rPr>
          <w:rFonts w:eastAsia="Times New Roman" w:cs="Arial"/>
          <w:lang w:eastAsia="bg-BG"/>
        </w:rPr>
      </w:r>
      <w:r w:rsidRPr="00B85F70">
        <w:rPr>
          <w:rFonts w:eastAsia="Times New Roman" w:cs="Arial"/>
          <w:lang w:eastAsia="bg-BG"/>
        </w:rPr>
        <w:fldChar w:fldCharType="separate"/>
      </w:r>
      <w:r w:rsidRPr="00B85F70">
        <w:rPr>
          <w:rFonts w:eastAsia="Times New Roman" w:cs="Arial"/>
          <w:color w:val="000000"/>
          <w:u w:val="single"/>
          <w:lang w:val="en-US"/>
        </w:rPr>
        <w:t>www.bda.bg</w:t>
      </w:r>
      <w:r w:rsidRPr="00B85F70">
        <w:rPr>
          <w:rFonts w:eastAsia="Times New Roman" w:cs="Arial"/>
          <w:lang w:eastAsia="bg-BG"/>
        </w:rPr>
        <w:fldChar w:fldCharType="end"/>
      </w:r>
    </w:p>
    <w:p w14:paraId="35FF9F03" w14:textId="77777777" w:rsidR="00B85F70" w:rsidRPr="00B85F70" w:rsidRDefault="00B85F70" w:rsidP="00B85F70">
      <w:pPr>
        <w:spacing w:line="240" w:lineRule="auto"/>
        <w:rPr>
          <w:rFonts w:ascii="Times New Roman" w:eastAsia="Times New Roman" w:hAnsi="Times New Roman" w:cs="Times New Roman"/>
          <w:sz w:val="24"/>
          <w:szCs w:val="24"/>
          <w:lang w:eastAsia="bg-BG"/>
        </w:rPr>
      </w:pPr>
    </w:p>
    <w:p w14:paraId="6ADC4A82" w14:textId="77777777" w:rsidR="00B85F70" w:rsidRPr="00B85F70" w:rsidRDefault="00B85F70" w:rsidP="00B85F70"/>
    <w:p w14:paraId="378A0F20" w14:textId="743F86CD" w:rsidR="001D095A" w:rsidRDefault="002C50EE" w:rsidP="00340E8D">
      <w:pPr>
        <w:pStyle w:val="Heading2"/>
      </w:pPr>
      <w:r>
        <w:t>4.9. Предозиране</w:t>
      </w:r>
    </w:p>
    <w:p w14:paraId="44235DC2" w14:textId="1BD0BBE9" w:rsidR="00B85F70" w:rsidRDefault="00B85F70" w:rsidP="00B85F70"/>
    <w:p w14:paraId="766642D2" w14:textId="77777777"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Желязо(</w:t>
      </w:r>
      <w:r w:rsidRPr="00B85F70">
        <w:rPr>
          <w:rFonts w:eastAsia="Times New Roman" w:cs="Arial"/>
          <w:color w:val="000000"/>
          <w:lang w:val="en-US"/>
        </w:rPr>
        <w:t>III</w:t>
      </w:r>
      <w:r w:rsidRPr="00B85F70">
        <w:rPr>
          <w:rFonts w:eastAsia="Times New Roman" w:cs="Arial"/>
          <w:color w:val="000000"/>
          <w:lang w:eastAsia="bg-BG"/>
        </w:rPr>
        <w:t>)-хидроксид декстрановият комплекс в КосмоФер притежава много ниска токсичност. Препаратът се понася добре и има минимален риск от инцидентно предозиране.</w:t>
      </w:r>
    </w:p>
    <w:p w14:paraId="1F6F070B" w14:textId="77777777" w:rsidR="00B85F70" w:rsidRPr="00B85F70" w:rsidRDefault="00B85F70" w:rsidP="00B85F70">
      <w:pPr>
        <w:spacing w:line="240" w:lineRule="auto"/>
        <w:rPr>
          <w:rFonts w:eastAsia="Times New Roman" w:cs="Arial"/>
          <w:color w:val="000000"/>
          <w:lang w:eastAsia="bg-BG"/>
        </w:rPr>
      </w:pPr>
    </w:p>
    <w:p w14:paraId="4C1E7663" w14:textId="1A969F6E"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Предозирането може да предизвика остро претоварване с желязо, което може да се прояви като хемосидероза. Могат да се приложат подпомагащи мерки, като хелатиращ желязото агент.</w:t>
      </w:r>
    </w:p>
    <w:p w14:paraId="082BFD07" w14:textId="77777777" w:rsidR="00B85F70" w:rsidRPr="00B85F70" w:rsidRDefault="00B85F70" w:rsidP="00B85F70">
      <w:pPr>
        <w:rPr>
          <w:rFonts w:eastAsia="Times New Roman" w:cs="Arial"/>
          <w:color w:val="000000"/>
          <w:lang w:eastAsia="bg-BG"/>
        </w:rPr>
      </w:pPr>
    </w:p>
    <w:p w14:paraId="31C5AAB8" w14:textId="5D5E5D3E" w:rsidR="00B85F70" w:rsidRPr="00B85F70" w:rsidRDefault="00B85F70" w:rsidP="00B85F70">
      <w:pPr>
        <w:rPr>
          <w:rFonts w:cs="Arial"/>
          <w:sz w:val="24"/>
          <w:szCs w:val="24"/>
          <w:lang w:val="en-US"/>
        </w:rPr>
      </w:pPr>
      <w:r w:rsidRPr="00B85F70">
        <w:rPr>
          <w:rFonts w:eastAsia="Times New Roman" w:cs="Arial"/>
          <w:color w:val="000000"/>
          <w:lang w:eastAsia="bg-BG"/>
        </w:rPr>
        <w:lastRenderedPageBreak/>
        <w:t>При хронично повторно приложение на желязо във високи дози, излишъкът от желязо кумулира в черния дроб и индуцира възпалителен процес, който може да доведе до фиброза.</w:t>
      </w:r>
    </w:p>
    <w:p w14:paraId="02081B24" w14:textId="36FE76F4" w:rsidR="00395555" w:rsidRPr="00395555" w:rsidRDefault="002C50EE" w:rsidP="008A6AF2">
      <w:pPr>
        <w:pStyle w:val="Heading1"/>
      </w:pPr>
      <w:r>
        <w:t>5. ФАРМАКОЛОГИЧНИ СВОЙСТВА</w:t>
      </w:r>
    </w:p>
    <w:p w14:paraId="7F6CC5E1" w14:textId="3A55F787" w:rsidR="00F62E44" w:rsidRDefault="002C50EE" w:rsidP="00387A66">
      <w:pPr>
        <w:pStyle w:val="Heading2"/>
      </w:pPr>
      <w:r>
        <w:t>5.1. Фармакодинамични свойства</w:t>
      </w:r>
    </w:p>
    <w:p w14:paraId="0F05C1A6" w14:textId="6AE2BB58" w:rsidR="00B85F70" w:rsidRDefault="00B85F70" w:rsidP="00B85F70"/>
    <w:p w14:paraId="1BF28276" w14:textId="77777777" w:rsidR="00B85F70" w:rsidRPr="00B85F70" w:rsidRDefault="00B85F70" w:rsidP="00B85F70">
      <w:pPr>
        <w:rPr>
          <w:sz w:val="24"/>
          <w:szCs w:val="24"/>
          <w:lang w:eastAsia="bg-BG"/>
        </w:rPr>
      </w:pPr>
      <w:r w:rsidRPr="00B85F70">
        <w:rPr>
          <w:lang w:eastAsia="bg-BG"/>
        </w:rPr>
        <w:t>Фармакотерапевтична група: железен парентерален препарат, АТС код: ВОЗА С</w:t>
      </w:r>
    </w:p>
    <w:p w14:paraId="4C4D8B68" w14:textId="77777777" w:rsidR="00B85F70" w:rsidRDefault="00B85F70" w:rsidP="00B85F70">
      <w:pPr>
        <w:rPr>
          <w:lang w:eastAsia="bg-BG"/>
        </w:rPr>
      </w:pPr>
    </w:p>
    <w:p w14:paraId="6EED0858" w14:textId="32B7B2A7" w:rsidR="00B85F70" w:rsidRDefault="00B85F70" w:rsidP="00B85F70">
      <w:pPr>
        <w:rPr>
          <w:lang w:eastAsia="bg-BG"/>
        </w:rPr>
      </w:pPr>
      <w:r w:rsidRPr="00B85F70">
        <w:rPr>
          <w:lang w:eastAsia="bg-BG"/>
        </w:rPr>
        <w:t xml:space="preserve">КосмоФер инжекционен/инфузионен разтвор съдържа желязо като стабилен желязо(Ш)- хидроксид декстранов комплекс, който е аналогичен на физиологичната форма на желязото, феритин (железен хидроксид фосфатен протеинов комплекс). Желязото е налично в не-йонна водноразтворима форма. </w:t>
      </w:r>
    </w:p>
    <w:p w14:paraId="4183B0A6" w14:textId="16661C72" w:rsidR="00B85F70" w:rsidRPr="00B85F70" w:rsidRDefault="00B85F70" w:rsidP="00B85F70">
      <w:pPr>
        <w:rPr>
          <w:sz w:val="24"/>
          <w:szCs w:val="24"/>
          <w:lang w:eastAsia="bg-BG"/>
        </w:rPr>
      </w:pPr>
      <w:r w:rsidRPr="00B85F70">
        <w:rPr>
          <w:lang w:eastAsia="bg-BG"/>
        </w:rPr>
        <w:t>Притежава много ниска токсичност и може да се прилага в големи дози.</w:t>
      </w:r>
    </w:p>
    <w:p w14:paraId="414FF004" w14:textId="77777777" w:rsidR="00B85F70" w:rsidRDefault="00B85F70" w:rsidP="00B85F70">
      <w:pPr>
        <w:rPr>
          <w:lang w:eastAsia="bg-BG"/>
        </w:rPr>
      </w:pPr>
    </w:p>
    <w:p w14:paraId="741CAA97" w14:textId="3E579730" w:rsidR="00B85F70" w:rsidRPr="00B85F70" w:rsidRDefault="00B85F70" w:rsidP="00B85F70">
      <w:pPr>
        <w:rPr>
          <w:sz w:val="24"/>
          <w:szCs w:val="24"/>
          <w:lang w:eastAsia="bg-BG"/>
        </w:rPr>
      </w:pPr>
      <w:r w:rsidRPr="00B85F70">
        <w:rPr>
          <w:lang w:eastAsia="bg-BG"/>
        </w:rPr>
        <w:t>Максималните серумни концентрации на феритин се достигат 7 до 9 дни след интравенозната доза на КосмоФер и бавно се възвръщат към изходните стойности след около 3 седмици.</w:t>
      </w:r>
    </w:p>
    <w:p w14:paraId="3A210E1B" w14:textId="77777777" w:rsidR="00B85F70" w:rsidRDefault="00B85F70" w:rsidP="00B85F70">
      <w:pPr>
        <w:rPr>
          <w:lang w:eastAsia="bg-BG"/>
        </w:rPr>
      </w:pPr>
    </w:p>
    <w:p w14:paraId="173A0819" w14:textId="2F26C943" w:rsidR="00B85F70" w:rsidRDefault="00B85F70" w:rsidP="00B85F70">
      <w:pPr>
        <w:rPr>
          <w:lang w:eastAsia="bg-BG"/>
        </w:rPr>
      </w:pPr>
      <w:r w:rsidRPr="00B85F70">
        <w:rPr>
          <w:lang w:eastAsia="bg-BG"/>
        </w:rPr>
        <w:t>Изследването на костния мозък за съдържание на желязо в депата може да не е показателно през продължителните периоди, последващи терапията с желязо-декстрановия комплекс, защото остатъчен желязо-декстран може да остане в ретикулоендотелните клетки.</w:t>
      </w:r>
    </w:p>
    <w:p w14:paraId="7E03CA3B" w14:textId="77777777" w:rsidR="00B85F70" w:rsidRPr="00B85F70" w:rsidRDefault="00B85F70" w:rsidP="00B85F70">
      <w:pPr>
        <w:rPr>
          <w:rFonts w:ascii="Times New Roman" w:eastAsia="Times New Roman" w:hAnsi="Times New Roman" w:cs="Times New Roman"/>
          <w:color w:val="000000"/>
          <w:sz w:val="20"/>
          <w:szCs w:val="20"/>
          <w:lang w:eastAsia="bg-BG"/>
        </w:rPr>
      </w:pPr>
    </w:p>
    <w:p w14:paraId="544FFDAF" w14:textId="491E71A4" w:rsidR="00F62E44" w:rsidRDefault="002C50EE" w:rsidP="00387A66">
      <w:pPr>
        <w:pStyle w:val="Heading2"/>
      </w:pPr>
      <w:r>
        <w:t>5.2. Фармакокинетични свойства</w:t>
      </w:r>
    </w:p>
    <w:p w14:paraId="2FFA7CAB" w14:textId="378D68AA" w:rsidR="00B85F70" w:rsidRDefault="00B85F70" w:rsidP="00B85F70"/>
    <w:p w14:paraId="7F42DAE3" w14:textId="77777777"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 xml:space="preserve">След интравенозна инфузия желязо-декстран се поема бързо от клетките на ретикулоендотелната система </w:t>
      </w:r>
      <w:r w:rsidRPr="00B85F70">
        <w:rPr>
          <w:rFonts w:eastAsia="Times New Roman" w:cs="Arial"/>
          <w:color w:val="000000"/>
          <w:lang w:val="en-US"/>
        </w:rPr>
        <w:t xml:space="preserve">(RES), </w:t>
      </w:r>
      <w:r w:rsidRPr="00B85F70">
        <w:rPr>
          <w:rFonts w:eastAsia="Times New Roman" w:cs="Arial"/>
          <w:color w:val="000000"/>
          <w:lang w:eastAsia="bg-BG"/>
        </w:rPr>
        <w:t>особено в черния дроб и слезката, откъдето желязото бавно се освобождава и се свързва с протеините. След приложение може да се наблюдава повишена хематопоеза в следващите 6-8 седмици. Плазменият елиминационен полуживот часа за циркулиращото желязо и 20 часа за общото желязо (свързано и циркулиращо)</w:t>
      </w:r>
    </w:p>
    <w:p w14:paraId="46F5129B" w14:textId="1847742B" w:rsidR="00B85F70" w:rsidRPr="00B85F70" w:rsidRDefault="00B85F70" w:rsidP="00B85F70">
      <w:pPr>
        <w:rPr>
          <w:rFonts w:cs="Arial"/>
          <w:sz w:val="24"/>
          <w:szCs w:val="24"/>
        </w:rPr>
      </w:pPr>
    </w:p>
    <w:p w14:paraId="23DAAE4A" w14:textId="77777777"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Циркулиращото желязо се отстранява от плазмата чрез клетките на ретикулоендотелната система, които разделят комплекса на неговите компоненти желязо и декстран. Желязото веднага се свързва към наличните протеинови групи и образува хемосидерин или феритни, физиологичните форми на желязо, или в по-малка степен към трансферни. Това желязо, което е обект на физиологичен контрол, възстановява хемоглобина и изчерпаните железни депа.</w:t>
      </w:r>
    </w:p>
    <w:p w14:paraId="083D2865" w14:textId="77777777" w:rsidR="00B85F70" w:rsidRPr="00B85F70" w:rsidRDefault="00B85F70" w:rsidP="00B85F70">
      <w:pPr>
        <w:spacing w:line="240" w:lineRule="auto"/>
        <w:rPr>
          <w:rFonts w:eastAsia="Times New Roman" w:cs="Arial"/>
          <w:color w:val="000000"/>
          <w:lang w:eastAsia="bg-BG"/>
        </w:rPr>
      </w:pPr>
    </w:p>
    <w:p w14:paraId="175D12A5" w14:textId="605A6E0F"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 xml:space="preserve">Желязото не се елиминира лесно от организма и кумулирането му може да е токсично. Поради големината на комплекса (165 000 </w:t>
      </w:r>
      <w:r w:rsidRPr="00B85F70">
        <w:rPr>
          <w:rFonts w:eastAsia="Times New Roman" w:cs="Arial"/>
          <w:color w:val="000000"/>
          <w:lang w:val="en-US"/>
        </w:rPr>
        <w:t xml:space="preserve">Daltons), </w:t>
      </w:r>
      <w:r w:rsidRPr="00B85F70">
        <w:rPr>
          <w:rFonts w:eastAsia="Times New Roman" w:cs="Arial"/>
          <w:color w:val="000000"/>
          <w:lang w:eastAsia="bg-BG"/>
        </w:rPr>
        <w:t>то не се елиминира през бъбреците. Малки количества желязо се елиминират чрез урината и изпражненията.</w:t>
      </w:r>
    </w:p>
    <w:p w14:paraId="0A69C15A" w14:textId="77777777" w:rsidR="00B85F70" w:rsidRPr="00B85F70" w:rsidRDefault="00B85F70" w:rsidP="00B85F70">
      <w:pPr>
        <w:spacing w:line="240" w:lineRule="auto"/>
        <w:rPr>
          <w:rFonts w:eastAsia="Times New Roman" w:cs="Arial"/>
          <w:color w:val="000000"/>
          <w:lang w:eastAsia="bg-BG"/>
        </w:rPr>
      </w:pPr>
    </w:p>
    <w:p w14:paraId="68A0FB89" w14:textId="2D43503B" w:rsidR="00B85F70" w:rsidRPr="00B85F70" w:rsidRDefault="00B85F70" w:rsidP="00B85F70">
      <w:pPr>
        <w:spacing w:line="240" w:lineRule="auto"/>
        <w:rPr>
          <w:rFonts w:eastAsia="Times New Roman" w:cs="Arial"/>
          <w:sz w:val="28"/>
          <w:szCs w:val="28"/>
          <w:lang w:eastAsia="bg-BG"/>
        </w:rPr>
      </w:pPr>
      <w:r w:rsidRPr="00B85F70">
        <w:rPr>
          <w:rFonts w:eastAsia="Times New Roman" w:cs="Arial"/>
          <w:color w:val="000000"/>
          <w:lang w:eastAsia="bg-BG"/>
        </w:rPr>
        <w:t>След инграмускулно инжектиране желязо-декстран се абсорбира от инжекционното място в капилярите и в лимфната система. Голямата част от интрамускулно приложения желязо-декстран се абсорбира до 72 часа; голямата част от оставащото желязо се абсорбира по време на следващите 3 до 4 седмици.</w:t>
      </w:r>
    </w:p>
    <w:p w14:paraId="160E64BA" w14:textId="77777777" w:rsidR="00B85F70" w:rsidRPr="00B85F70" w:rsidRDefault="00B85F70" w:rsidP="00B85F70">
      <w:pPr>
        <w:rPr>
          <w:rFonts w:eastAsia="Times New Roman" w:cs="Arial"/>
          <w:color w:val="000000"/>
          <w:lang w:eastAsia="bg-BG"/>
        </w:rPr>
      </w:pPr>
    </w:p>
    <w:p w14:paraId="08405AC9" w14:textId="2A90EDA9" w:rsidR="00B85F70" w:rsidRDefault="00B85F70" w:rsidP="00B85F70">
      <w:pPr>
        <w:rPr>
          <w:rFonts w:eastAsia="Times New Roman" w:cs="Arial"/>
          <w:color w:val="000000"/>
          <w:lang w:eastAsia="bg-BG"/>
        </w:rPr>
      </w:pPr>
      <w:r w:rsidRPr="00B85F70">
        <w:rPr>
          <w:rFonts w:eastAsia="Times New Roman" w:cs="Arial"/>
          <w:color w:val="000000"/>
          <w:lang w:eastAsia="bg-BG"/>
        </w:rPr>
        <w:t>Декстранът или се метаболизира или се екскретира.</w:t>
      </w:r>
    </w:p>
    <w:p w14:paraId="14FA2472" w14:textId="77777777" w:rsidR="00B85F70" w:rsidRPr="00B85F70" w:rsidRDefault="00B85F70" w:rsidP="00B85F70">
      <w:pPr>
        <w:rPr>
          <w:rFonts w:cs="Arial"/>
          <w:sz w:val="24"/>
          <w:szCs w:val="24"/>
        </w:rPr>
      </w:pPr>
    </w:p>
    <w:p w14:paraId="6925FEB0" w14:textId="5B54D7CB" w:rsidR="00F62E44" w:rsidRDefault="002C50EE" w:rsidP="00387A66">
      <w:pPr>
        <w:pStyle w:val="Heading2"/>
      </w:pPr>
      <w:r>
        <w:t>5.3. Предклинични данни за безопасност</w:t>
      </w:r>
    </w:p>
    <w:p w14:paraId="60E7714B" w14:textId="29F22F53" w:rsidR="00B85F70" w:rsidRDefault="00B85F70" w:rsidP="00B85F70"/>
    <w:p w14:paraId="1D18534E" w14:textId="77777777" w:rsidR="00B85F70" w:rsidRPr="00B85F70" w:rsidRDefault="00B85F70" w:rsidP="00B85F70">
      <w:pPr>
        <w:rPr>
          <w:sz w:val="24"/>
          <w:szCs w:val="24"/>
          <w:lang w:eastAsia="bg-BG"/>
        </w:rPr>
      </w:pPr>
      <w:r w:rsidRPr="00B85F70">
        <w:rPr>
          <w:lang w:eastAsia="bg-BG"/>
        </w:rPr>
        <w:t xml:space="preserve">Има съобщения, че КосмоФер е тератогенен и ембриоциден при бременни животни без анемия, приложен във високи еднократни дози над 125 </w:t>
      </w:r>
      <w:r w:rsidRPr="00B85F70">
        <w:rPr>
          <w:lang w:val="en-US"/>
        </w:rPr>
        <w:t xml:space="preserve">mg/kg. </w:t>
      </w:r>
      <w:r w:rsidRPr="00B85F70">
        <w:rPr>
          <w:lang w:eastAsia="bg-BG"/>
        </w:rPr>
        <w:t xml:space="preserve">Най-високата препоръчителна доза при клинично приложение е </w:t>
      </w:r>
      <w:r w:rsidRPr="00B85F70">
        <w:rPr>
          <w:lang w:val="en-US"/>
        </w:rPr>
        <w:t xml:space="preserve">20mg/kg. </w:t>
      </w:r>
      <w:r w:rsidRPr="00B85F70">
        <w:rPr>
          <w:lang w:eastAsia="bg-BG"/>
        </w:rPr>
        <w:t>Няма, обаче, подробна информация от тези проучвания.</w:t>
      </w:r>
    </w:p>
    <w:p w14:paraId="6B2C9A38" w14:textId="77777777" w:rsidR="00B85F70" w:rsidRDefault="00B85F70" w:rsidP="00B85F70">
      <w:pPr>
        <w:rPr>
          <w:i/>
          <w:iCs/>
          <w:lang w:val="en-US"/>
        </w:rPr>
      </w:pPr>
    </w:p>
    <w:p w14:paraId="4940A5B6" w14:textId="2638C6BA" w:rsidR="00B85F70" w:rsidRPr="00B85F70" w:rsidRDefault="00B85F70" w:rsidP="00B85F70">
      <w:pPr>
        <w:rPr>
          <w:sz w:val="24"/>
          <w:szCs w:val="24"/>
          <w:lang w:eastAsia="bg-BG"/>
        </w:rPr>
      </w:pPr>
      <w:r w:rsidRPr="00B85F70">
        <w:rPr>
          <w:i/>
          <w:iCs/>
          <w:lang w:val="en-US"/>
        </w:rPr>
        <w:t>In vivo</w:t>
      </w:r>
      <w:r w:rsidRPr="00B85F70">
        <w:rPr>
          <w:lang w:val="en-US"/>
        </w:rPr>
        <w:t xml:space="preserve"> </w:t>
      </w:r>
      <w:r w:rsidRPr="00B85F70">
        <w:rPr>
          <w:lang w:eastAsia="bg-BG"/>
        </w:rPr>
        <w:t xml:space="preserve">и </w:t>
      </w:r>
      <w:r w:rsidRPr="00B85F70">
        <w:rPr>
          <w:i/>
          <w:iCs/>
          <w:lang w:val="en-US"/>
        </w:rPr>
        <w:t>in vitro</w:t>
      </w:r>
      <w:r w:rsidRPr="00B85F70">
        <w:rPr>
          <w:lang w:val="en-US"/>
        </w:rPr>
        <w:t xml:space="preserve"> </w:t>
      </w:r>
      <w:r w:rsidRPr="00B85F70">
        <w:rPr>
          <w:lang w:eastAsia="bg-BG"/>
        </w:rPr>
        <w:t>проучвания върху генотоксичността показват мутагенна активност след прилагане на високи дози желязо-декстранов комплекс. Значимостта на тези резултати, обаче, не е ясна. Желязо-декстрановият комплекс не е мутагенен в субтоксични дози.</w:t>
      </w:r>
    </w:p>
    <w:p w14:paraId="6EBEBBD5" w14:textId="77777777" w:rsidR="00B85F70" w:rsidRDefault="00B85F70" w:rsidP="00B85F70">
      <w:pPr>
        <w:rPr>
          <w:lang w:eastAsia="bg-BG"/>
        </w:rPr>
      </w:pPr>
    </w:p>
    <w:p w14:paraId="4B0E5E44" w14:textId="09E69A6B" w:rsidR="00B85F70" w:rsidRPr="00B85F70" w:rsidRDefault="00B85F70" w:rsidP="00B85F70">
      <w:r w:rsidRPr="00B85F70">
        <w:rPr>
          <w:lang w:eastAsia="bg-BG"/>
        </w:rPr>
        <w:t>Няма други допълнителни предклинични данни, който са от значение за предписващите лекари освен тези, които са включени в КХП.</w:t>
      </w:r>
    </w:p>
    <w:p w14:paraId="357049A8" w14:textId="73A3370C" w:rsidR="00BB22B4" w:rsidRDefault="002C50EE" w:rsidP="00471F10">
      <w:pPr>
        <w:pStyle w:val="Heading1"/>
      </w:pPr>
      <w:r>
        <w:t>7. ПРИТЕЖАТЕЛ НА РАЗРЕШЕНИЕТО ЗА УПОТРЕБА</w:t>
      </w:r>
    </w:p>
    <w:p w14:paraId="5783B341" w14:textId="7280B407" w:rsidR="00B85F70" w:rsidRDefault="00B85F70" w:rsidP="00B85F70"/>
    <w:p w14:paraId="39CA26CB" w14:textId="77777777" w:rsidR="00B85F70" w:rsidRPr="00B85F70" w:rsidRDefault="00B85F70" w:rsidP="00B85F70">
      <w:pPr>
        <w:rPr>
          <w:sz w:val="24"/>
          <w:szCs w:val="24"/>
          <w:lang w:val="en-US" w:eastAsia="bg-BG"/>
        </w:rPr>
      </w:pPr>
      <w:proofErr w:type="spellStart"/>
      <w:r w:rsidRPr="00B85F70">
        <w:rPr>
          <w:lang w:val="en-US"/>
        </w:rPr>
        <w:t>Pharmacosmsos</w:t>
      </w:r>
      <w:proofErr w:type="spellEnd"/>
      <w:r w:rsidRPr="00B85F70">
        <w:rPr>
          <w:lang w:val="en-US"/>
        </w:rPr>
        <w:t xml:space="preserve"> A/S</w:t>
      </w:r>
    </w:p>
    <w:p w14:paraId="1B3F1217" w14:textId="77777777" w:rsidR="00B85F70" w:rsidRPr="00B85F70" w:rsidRDefault="00B85F70" w:rsidP="00B85F70">
      <w:pPr>
        <w:rPr>
          <w:sz w:val="24"/>
          <w:szCs w:val="24"/>
          <w:lang w:val="en-US" w:eastAsia="bg-BG"/>
        </w:rPr>
      </w:pPr>
      <w:proofErr w:type="spellStart"/>
      <w:r w:rsidRPr="00B85F70">
        <w:rPr>
          <w:lang w:val="en-US"/>
        </w:rPr>
        <w:t>Roervangsvej</w:t>
      </w:r>
      <w:proofErr w:type="spellEnd"/>
      <w:r w:rsidRPr="00B85F70">
        <w:rPr>
          <w:lang w:val="en-US"/>
        </w:rPr>
        <w:t xml:space="preserve"> </w:t>
      </w:r>
      <w:r w:rsidRPr="00B85F70">
        <w:rPr>
          <w:lang w:eastAsia="bg-BG"/>
        </w:rPr>
        <w:t>30</w:t>
      </w:r>
    </w:p>
    <w:p w14:paraId="5DA5B5C0" w14:textId="77777777" w:rsidR="00B85F70" w:rsidRPr="00B85F70" w:rsidRDefault="00B85F70" w:rsidP="00B85F70">
      <w:pPr>
        <w:rPr>
          <w:sz w:val="24"/>
          <w:szCs w:val="24"/>
          <w:lang w:val="en-US" w:eastAsia="bg-BG"/>
        </w:rPr>
      </w:pPr>
      <w:r w:rsidRPr="00B85F70">
        <w:rPr>
          <w:lang w:val="en-US"/>
        </w:rPr>
        <w:t>4300Holbaek</w:t>
      </w:r>
    </w:p>
    <w:p w14:paraId="4E877491" w14:textId="393A65D6" w:rsidR="00B85F70" w:rsidRPr="00B85F70" w:rsidRDefault="00B85F70" w:rsidP="00B85F70">
      <w:r w:rsidRPr="00B85F70">
        <w:rPr>
          <w:lang w:eastAsia="bg-BG"/>
        </w:rPr>
        <w:t>Дания</w:t>
      </w:r>
    </w:p>
    <w:p w14:paraId="0A53321D" w14:textId="5669F22B" w:rsidR="00EE6C97" w:rsidRDefault="00936AD0" w:rsidP="00A93499">
      <w:pPr>
        <w:pStyle w:val="Heading1"/>
      </w:pPr>
      <w:r>
        <w:t>8.</w:t>
      </w:r>
      <w:r w:rsidR="002C50EE">
        <w:t>НОМЕР НА РАЗРЕШЕНИЕТО ЗА УПОТРЕБА</w:t>
      </w:r>
    </w:p>
    <w:p w14:paraId="397C2CFE" w14:textId="6BD6F027" w:rsidR="00B85F70" w:rsidRDefault="00B85F70" w:rsidP="00B85F70"/>
    <w:p w14:paraId="2FC7E6E1" w14:textId="326A9CC1" w:rsidR="00B85F70" w:rsidRPr="00B85F70" w:rsidRDefault="00B85F70" w:rsidP="00B85F70">
      <w:r>
        <w:rPr>
          <w:lang w:val="en-US"/>
        </w:rPr>
        <w:t xml:space="preserve">Per. </w:t>
      </w:r>
      <w:r>
        <w:t>№ 20070017</w:t>
      </w:r>
    </w:p>
    <w:p w14:paraId="7C2688F5" w14:textId="6D610EDF" w:rsidR="00F62E44" w:rsidRDefault="00F62E44" w:rsidP="00F62E44"/>
    <w:p w14:paraId="00481C21" w14:textId="0894F96F" w:rsidR="00F62E44" w:rsidRDefault="002C50EE" w:rsidP="00387A66">
      <w:pPr>
        <w:pStyle w:val="Heading1"/>
      </w:pPr>
      <w:r>
        <w:t>9. ДАТА НА ПЪРВО РАЗРЕШАВАНЕ/ПОДНОВЯВАНЕ НА РАЗРЕШЕНИЕТО ЗА УПОТРЕБА</w:t>
      </w:r>
    </w:p>
    <w:p w14:paraId="5631D6DD" w14:textId="510CB753" w:rsidR="00B85F70" w:rsidRDefault="00B85F70" w:rsidP="00B85F70"/>
    <w:p w14:paraId="3BB88946" w14:textId="77777777" w:rsidR="00B85F70" w:rsidRPr="00B85F70" w:rsidRDefault="00B85F70" w:rsidP="00B85F70">
      <w:pPr>
        <w:rPr>
          <w:sz w:val="24"/>
          <w:szCs w:val="24"/>
          <w:lang w:eastAsia="bg-BG"/>
        </w:rPr>
      </w:pPr>
      <w:r w:rsidRPr="00B85F70">
        <w:rPr>
          <w:lang w:eastAsia="bg-BG"/>
        </w:rPr>
        <w:t>Дата на първо разрешаване: 15 март 2007 г.</w:t>
      </w:r>
    </w:p>
    <w:p w14:paraId="6FE1B93A" w14:textId="31772689" w:rsidR="00B85F70" w:rsidRPr="00B85F70" w:rsidRDefault="00B85F70" w:rsidP="00B85F70">
      <w:r w:rsidRPr="00B85F70">
        <w:rPr>
          <w:lang w:eastAsia="bg-BG"/>
        </w:rPr>
        <w:t>Дата на последно подновяване: 06 юли 2012 г.</w:t>
      </w:r>
    </w:p>
    <w:p w14:paraId="43FB38A2" w14:textId="0C18A683" w:rsidR="007C605B" w:rsidRDefault="002C50EE" w:rsidP="005726E3">
      <w:pPr>
        <w:pStyle w:val="Heading1"/>
      </w:pPr>
      <w:r>
        <w:t>10. ДАТА НА АКТУАЛИЗИРАНЕ НА ТЕКСТА</w:t>
      </w:r>
      <w:bookmarkEnd w:id="0"/>
    </w:p>
    <w:p w14:paraId="472617BD" w14:textId="41EDE8E9" w:rsidR="00BB22B4" w:rsidRPr="00BB22B4" w:rsidRDefault="00B85F70" w:rsidP="00B85F70">
      <w:r>
        <w:t>21.12.2021</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73DA5"/>
    <w:multiLevelType w:val="hybridMultilevel"/>
    <w:tmpl w:val="37E47D60"/>
    <w:lvl w:ilvl="0" w:tplc="691CB4C8">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A7B50"/>
    <w:multiLevelType w:val="hybridMultilevel"/>
    <w:tmpl w:val="83FE06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2"/>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5"/>
  </w:num>
  <w:num w:numId="12" w16cid:durableId="1434934028">
    <w:abstractNumId w:val="16"/>
  </w:num>
  <w:num w:numId="13" w16cid:durableId="479157895">
    <w:abstractNumId w:val="22"/>
  </w:num>
  <w:num w:numId="14" w16cid:durableId="1670476636">
    <w:abstractNumId w:val="14"/>
  </w:num>
  <w:num w:numId="15" w16cid:durableId="1000155783">
    <w:abstractNumId w:val="34"/>
  </w:num>
  <w:num w:numId="16" w16cid:durableId="2056420707">
    <w:abstractNumId w:val="11"/>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0"/>
  </w:num>
  <w:num w:numId="22" w16cid:durableId="1276465">
    <w:abstractNumId w:val="29"/>
  </w:num>
  <w:num w:numId="23" w16cid:durableId="1624310558">
    <w:abstractNumId w:val="21"/>
  </w:num>
  <w:num w:numId="24" w16cid:durableId="1692877547">
    <w:abstractNumId w:val="9"/>
  </w:num>
  <w:num w:numId="25" w16cid:durableId="50930855">
    <w:abstractNumId w:val="26"/>
  </w:num>
  <w:num w:numId="26" w16cid:durableId="176701536">
    <w:abstractNumId w:val="24"/>
  </w:num>
  <w:num w:numId="27" w16cid:durableId="2050564750">
    <w:abstractNumId w:val="36"/>
  </w:num>
  <w:num w:numId="28" w16cid:durableId="1820733422">
    <w:abstractNumId w:val="6"/>
  </w:num>
  <w:num w:numId="29" w16cid:durableId="973678124">
    <w:abstractNumId w:val="23"/>
  </w:num>
  <w:num w:numId="30" w16cid:durableId="154884452">
    <w:abstractNumId w:val="40"/>
  </w:num>
  <w:num w:numId="31" w16cid:durableId="1053964910">
    <w:abstractNumId w:val="5"/>
  </w:num>
  <w:num w:numId="32" w16cid:durableId="2073575793">
    <w:abstractNumId w:val="38"/>
  </w:num>
  <w:num w:numId="33" w16cid:durableId="1566643170">
    <w:abstractNumId w:val="33"/>
  </w:num>
  <w:num w:numId="34" w16cid:durableId="2060787732">
    <w:abstractNumId w:val="37"/>
  </w:num>
  <w:num w:numId="35" w16cid:durableId="34161354">
    <w:abstractNumId w:val="7"/>
  </w:num>
  <w:num w:numId="36" w16cid:durableId="1976908676">
    <w:abstractNumId w:val="10"/>
  </w:num>
  <w:num w:numId="37" w16cid:durableId="758528303">
    <w:abstractNumId w:val="17"/>
  </w:num>
  <w:num w:numId="38" w16cid:durableId="178396561">
    <w:abstractNumId w:val="39"/>
  </w:num>
  <w:num w:numId="39" w16cid:durableId="934825996">
    <w:abstractNumId w:val="13"/>
  </w:num>
  <w:num w:numId="40" w16cid:durableId="1366910650">
    <w:abstractNumId w:val="25"/>
  </w:num>
  <w:num w:numId="41" w16cid:durableId="5132313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85F70"/>
    <w:rsid w:val="00BA5B74"/>
    <w:rsid w:val="00BB22B4"/>
    <w:rsid w:val="00BC5EE6"/>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3369</Words>
  <Characters>19209</Characters>
  <Application>Microsoft Office Word</Application>
  <DocSecurity>0</DocSecurity>
  <Lines>160</Lines>
  <Paragraphs>45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2023-03-04T21:40:00Z</dcterms:created>
  <dcterms:modified xsi:type="dcterms:W3CDTF">2023-03-04T21:40:00Z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