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757A3D1C" w:rsidR="009F77A4" w:rsidRDefault="00DD466D" w:rsidP="00387A66">
      <w:pPr>
        <w:pStyle w:val="Heading1"/>
      </w:pPr>
      <w:r>
        <w:t>1.ИМЕ НА ЛЕКАРСТВЕНИЯ ПРОДУКТ</w:t>
      </w:r>
    </w:p>
    <w:p w14:paraId="6D874C3C" w14:textId="7A849DBE" w:rsidR="009058DE" w:rsidRDefault="009058DE" w:rsidP="009058DE"/>
    <w:p w14:paraId="2CBC826B" w14:textId="77777777" w:rsidR="009058DE" w:rsidRDefault="009058DE" w:rsidP="009058DE">
      <w:pPr>
        <w:rPr>
          <w:lang w:eastAsia="bg-BG"/>
        </w:rPr>
      </w:pPr>
      <w:r w:rsidRPr="009058DE">
        <w:rPr>
          <w:lang w:eastAsia="bg-BG"/>
        </w:rPr>
        <w:t xml:space="preserve">КОКСИЕНТ 90 </w:t>
      </w:r>
      <w:r w:rsidRPr="009058DE">
        <w:rPr>
          <w:lang w:val="en-US"/>
        </w:rPr>
        <w:t xml:space="preserve">mg </w:t>
      </w:r>
      <w:r w:rsidRPr="009058DE">
        <w:rPr>
          <w:lang w:eastAsia="bg-BG"/>
        </w:rPr>
        <w:t xml:space="preserve">филмирани таблетки </w:t>
      </w:r>
    </w:p>
    <w:p w14:paraId="13B67E97" w14:textId="7CB0FBE5" w:rsidR="009058DE" w:rsidRPr="009058DE" w:rsidRDefault="009058DE" w:rsidP="009058DE">
      <w:pPr>
        <w:rPr>
          <w:sz w:val="24"/>
          <w:szCs w:val="24"/>
          <w:lang w:eastAsia="bg-BG"/>
        </w:rPr>
      </w:pPr>
      <w:r w:rsidRPr="009058DE">
        <w:rPr>
          <w:lang w:val="en-US"/>
        </w:rPr>
        <w:t xml:space="preserve">COXIENT </w:t>
      </w:r>
      <w:r w:rsidRPr="009058DE">
        <w:rPr>
          <w:lang w:eastAsia="bg-BG"/>
        </w:rPr>
        <w:t xml:space="preserve">90 </w:t>
      </w:r>
      <w:r w:rsidRPr="009058DE">
        <w:rPr>
          <w:lang w:val="en-US"/>
        </w:rPr>
        <w:t>mg film-coated tablets</w:t>
      </w:r>
    </w:p>
    <w:p w14:paraId="4CA47D48" w14:textId="77777777" w:rsidR="009058DE" w:rsidRPr="009058DE" w:rsidRDefault="009058DE" w:rsidP="009058DE"/>
    <w:p w14:paraId="0DF202EC" w14:textId="56E41105" w:rsidR="00F53FB7" w:rsidRDefault="00DD466D" w:rsidP="00A93499">
      <w:pPr>
        <w:pStyle w:val="Heading1"/>
      </w:pPr>
      <w:r>
        <w:t>2. КАЧЕСТВЕН И КОЛИЧЕСТВЕН СЪСТАВ</w:t>
      </w:r>
    </w:p>
    <w:p w14:paraId="066DD7F8" w14:textId="3F02EED4" w:rsidR="009058DE" w:rsidRDefault="009058DE" w:rsidP="009058DE"/>
    <w:p w14:paraId="51FE2B70" w14:textId="77777777" w:rsidR="009058DE" w:rsidRPr="009058DE" w:rsidRDefault="009058DE" w:rsidP="009058DE">
      <w:pPr>
        <w:rPr>
          <w:sz w:val="24"/>
          <w:szCs w:val="24"/>
          <w:lang w:eastAsia="bg-BG"/>
        </w:rPr>
      </w:pPr>
      <w:r w:rsidRPr="009058DE">
        <w:rPr>
          <w:lang w:eastAsia="bg-BG"/>
        </w:rPr>
        <w:t xml:space="preserve">Всяка филмирана таблетка съдържа 90 </w:t>
      </w:r>
      <w:r w:rsidRPr="009058DE">
        <w:rPr>
          <w:lang w:val="en-US"/>
        </w:rPr>
        <w:t xml:space="preserve">mg </w:t>
      </w:r>
      <w:r w:rsidRPr="009058DE">
        <w:rPr>
          <w:lang w:eastAsia="bg-BG"/>
        </w:rPr>
        <w:t xml:space="preserve">еторикоксиб </w:t>
      </w:r>
      <w:r w:rsidRPr="009058DE">
        <w:rPr>
          <w:lang w:val="en-US"/>
        </w:rPr>
        <w:t>(etoricoxib).</w:t>
      </w:r>
    </w:p>
    <w:p w14:paraId="1F85A51A" w14:textId="77777777" w:rsidR="009058DE" w:rsidRDefault="009058DE" w:rsidP="009058DE">
      <w:pPr>
        <w:rPr>
          <w:u w:val="single"/>
          <w:lang w:eastAsia="bg-BG"/>
        </w:rPr>
      </w:pPr>
    </w:p>
    <w:p w14:paraId="1ED54341" w14:textId="6194AB8A" w:rsidR="009058DE" w:rsidRPr="009058DE" w:rsidRDefault="009058DE" w:rsidP="009058DE">
      <w:pPr>
        <w:rPr>
          <w:sz w:val="24"/>
          <w:szCs w:val="24"/>
          <w:lang w:eastAsia="bg-BG"/>
        </w:rPr>
      </w:pPr>
      <w:r w:rsidRPr="009058DE">
        <w:rPr>
          <w:u w:val="single"/>
          <w:lang w:eastAsia="bg-BG"/>
        </w:rPr>
        <w:t>Помощно вещество с известно действие:</w:t>
      </w:r>
    </w:p>
    <w:p w14:paraId="7681C6BD" w14:textId="77777777" w:rsidR="009058DE" w:rsidRPr="009058DE" w:rsidRDefault="009058DE" w:rsidP="009058DE">
      <w:pPr>
        <w:rPr>
          <w:sz w:val="24"/>
          <w:szCs w:val="24"/>
          <w:lang w:eastAsia="bg-BG"/>
        </w:rPr>
      </w:pPr>
      <w:r w:rsidRPr="009058DE">
        <w:rPr>
          <w:lang w:eastAsia="bg-BG"/>
        </w:rPr>
        <w:t xml:space="preserve">Всяка филмирана таблетка съдържа 1,680 </w:t>
      </w:r>
      <w:r w:rsidRPr="009058DE">
        <w:rPr>
          <w:lang w:val="en-US"/>
        </w:rPr>
        <w:t xml:space="preserve">mg </w:t>
      </w:r>
      <w:r w:rsidRPr="009058DE">
        <w:rPr>
          <w:lang w:eastAsia="bg-BG"/>
        </w:rPr>
        <w:t>лактоза монохидрат.</w:t>
      </w:r>
    </w:p>
    <w:p w14:paraId="6E911B85" w14:textId="77777777" w:rsidR="009058DE" w:rsidRPr="009058DE" w:rsidRDefault="009058DE" w:rsidP="009058DE"/>
    <w:p w14:paraId="4CABB9ED" w14:textId="51AC7839" w:rsidR="00F53FB7" w:rsidRDefault="00DD466D" w:rsidP="00A93499">
      <w:pPr>
        <w:pStyle w:val="Heading1"/>
      </w:pPr>
      <w:r>
        <w:t>3. ЛЕКАРСТВЕНА ФОРМА</w:t>
      </w:r>
    </w:p>
    <w:p w14:paraId="608CFF04" w14:textId="1C203444" w:rsidR="009058DE" w:rsidRDefault="009058DE" w:rsidP="009058DE"/>
    <w:p w14:paraId="4064AAD1" w14:textId="77777777" w:rsidR="009058DE" w:rsidRPr="009058DE" w:rsidRDefault="009058DE" w:rsidP="009058DE">
      <w:pPr>
        <w:rPr>
          <w:sz w:val="24"/>
          <w:szCs w:val="24"/>
          <w:lang w:eastAsia="bg-BG"/>
        </w:rPr>
      </w:pPr>
      <w:r w:rsidRPr="009058DE">
        <w:rPr>
          <w:lang w:eastAsia="bg-BG"/>
        </w:rPr>
        <w:t>Филмирана таблетка (таблетка)</w:t>
      </w:r>
    </w:p>
    <w:p w14:paraId="1A81D931" w14:textId="24C1678F" w:rsidR="009058DE" w:rsidRPr="009058DE" w:rsidRDefault="009058DE" w:rsidP="009058DE">
      <w:pPr>
        <w:rPr>
          <w:sz w:val="24"/>
          <w:szCs w:val="24"/>
          <w:lang w:eastAsia="bg-BG"/>
        </w:rPr>
      </w:pPr>
      <w:r w:rsidRPr="009058DE">
        <w:rPr>
          <w:lang w:eastAsia="bg-BG"/>
        </w:rPr>
        <w:t xml:space="preserve">Бели, кръгли, двойно изпъкнали филмирани таблетки с диаметър 7,5 </w:t>
      </w:r>
      <w:r w:rsidRPr="009058DE">
        <w:rPr>
          <w:lang w:val="en-US"/>
        </w:rPr>
        <w:t>mm.</w:t>
      </w:r>
    </w:p>
    <w:p w14:paraId="490FC2C4" w14:textId="6899DE43" w:rsidR="002C50EE" w:rsidRDefault="002C50EE" w:rsidP="002C50EE">
      <w:pPr>
        <w:pStyle w:val="Heading1"/>
      </w:pPr>
      <w:r>
        <w:t>4. КЛИНИЧНИ ДАННИ</w:t>
      </w:r>
    </w:p>
    <w:p w14:paraId="461901E4" w14:textId="3E720616" w:rsidR="009F77A4" w:rsidRDefault="002C50EE" w:rsidP="00387A66">
      <w:pPr>
        <w:pStyle w:val="Heading2"/>
      </w:pPr>
      <w:r>
        <w:t>4.1. Терапевтични показания</w:t>
      </w:r>
    </w:p>
    <w:p w14:paraId="37605315" w14:textId="05602559" w:rsidR="009058DE" w:rsidRDefault="009058DE" w:rsidP="009058DE"/>
    <w:p w14:paraId="582DA568"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КОКСИЕНТ е показан при възрастни и юноши на и над 16 години за симптоматично облекчение на остеоартрит (ОА), ревматоиден артрит (РА), анкилозиращ спондилит, и на болката и възпалителната симптоматика при остър подагрозен артрит.</w:t>
      </w:r>
    </w:p>
    <w:p w14:paraId="06DB4425" w14:textId="77777777" w:rsidR="009058DE" w:rsidRDefault="009058DE" w:rsidP="009058DE">
      <w:pPr>
        <w:spacing w:line="240" w:lineRule="auto"/>
        <w:rPr>
          <w:rFonts w:eastAsia="Times New Roman" w:cs="Arial"/>
          <w:color w:val="000000"/>
          <w:lang w:eastAsia="bg-BG"/>
        </w:rPr>
      </w:pPr>
    </w:p>
    <w:p w14:paraId="6A2F6424" w14:textId="4440D940"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КОКСИЕНТ е показан при възрастни и юноши на и над 16 години за краткосрочно лечение на умерена болка, свързана с дентална операция.</w:t>
      </w:r>
    </w:p>
    <w:p w14:paraId="3F2331F8" w14:textId="77777777" w:rsidR="009058DE" w:rsidRDefault="009058DE" w:rsidP="009058DE">
      <w:pPr>
        <w:rPr>
          <w:rFonts w:eastAsia="Times New Roman" w:cs="Arial"/>
          <w:color w:val="000000"/>
          <w:lang w:eastAsia="bg-BG"/>
        </w:rPr>
      </w:pPr>
    </w:p>
    <w:p w14:paraId="54857D34" w14:textId="4A6C6CC7" w:rsidR="009058DE" w:rsidRDefault="009058DE" w:rsidP="009058DE">
      <w:pPr>
        <w:rPr>
          <w:rFonts w:eastAsia="Times New Roman" w:cs="Arial"/>
          <w:color w:val="000000"/>
          <w:lang w:eastAsia="bg-BG"/>
        </w:rPr>
      </w:pPr>
      <w:r w:rsidRPr="009058DE">
        <w:rPr>
          <w:rFonts w:eastAsia="Times New Roman" w:cs="Arial"/>
          <w:color w:val="000000"/>
          <w:lang w:eastAsia="bg-BG"/>
        </w:rPr>
        <w:t>Решението да се предпише селективен СОХ-2 инхибитор, трябва да се базира на цялостна преценка за индивидуалните рискове за пациента (вж. точки 4.3,4.4).</w:t>
      </w:r>
    </w:p>
    <w:p w14:paraId="3C95E8E2" w14:textId="77777777" w:rsidR="009058DE" w:rsidRPr="009058DE" w:rsidRDefault="009058DE" w:rsidP="009058DE">
      <w:pPr>
        <w:rPr>
          <w:rFonts w:cs="Arial"/>
        </w:rPr>
      </w:pPr>
    </w:p>
    <w:p w14:paraId="31744E5A" w14:textId="24D1F564" w:rsidR="009F77A4" w:rsidRDefault="002C50EE" w:rsidP="00387A66">
      <w:pPr>
        <w:pStyle w:val="Heading2"/>
      </w:pPr>
      <w:r>
        <w:t>4.2. Дозировка и начин на приложение</w:t>
      </w:r>
    </w:p>
    <w:p w14:paraId="25BFCEC7" w14:textId="5E13F0BB" w:rsidR="009058DE" w:rsidRDefault="009058DE" w:rsidP="009058DE"/>
    <w:p w14:paraId="73BA271D" w14:textId="77777777" w:rsidR="009058DE" w:rsidRPr="009058DE" w:rsidRDefault="009058DE" w:rsidP="009058DE">
      <w:pPr>
        <w:pStyle w:val="Heading3"/>
        <w:rPr>
          <w:rFonts w:eastAsia="Times New Roman"/>
          <w:u w:val="single"/>
          <w:lang w:eastAsia="bg-BG"/>
        </w:rPr>
      </w:pPr>
      <w:r w:rsidRPr="009058DE">
        <w:rPr>
          <w:rFonts w:eastAsia="Times New Roman"/>
          <w:u w:val="single"/>
          <w:lang w:eastAsia="bg-BG"/>
        </w:rPr>
        <w:t>Дозировка</w:t>
      </w:r>
    </w:p>
    <w:p w14:paraId="20519956" w14:textId="77777777" w:rsidR="009058DE" w:rsidRDefault="009058DE" w:rsidP="009058DE">
      <w:pPr>
        <w:spacing w:line="240" w:lineRule="auto"/>
        <w:rPr>
          <w:rFonts w:eastAsia="Times New Roman" w:cs="Arial"/>
          <w:color w:val="000000"/>
          <w:lang w:eastAsia="bg-BG"/>
        </w:rPr>
      </w:pPr>
    </w:p>
    <w:p w14:paraId="477B6C49" w14:textId="43B560DB"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Тъй като сърдечно-съдовите рискове при еторикоксиб могат да се увеличат с дозата и продължителността на приложение, следва да се използва максимално ниска доза и максимално кратък период на приложение. Периодично следва да се прави преоценка на нуждите на пациента от симптоматично облекчение, особено при пациенти с остеоартрит (вж. точки 4.3, 4.4, 4.8 и 5.1)</w:t>
      </w:r>
    </w:p>
    <w:p w14:paraId="08083DA0" w14:textId="77777777" w:rsidR="009058DE" w:rsidRDefault="009058DE" w:rsidP="009058DE">
      <w:pPr>
        <w:spacing w:line="240" w:lineRule="auto"/>
        <w:rPr>
          <w:rFonts w:eastAsia="Times New Roman" w:cs="Arial"/>
          <w:i/>
          <w:iCs/>
          <w:color w:val="000000"/>
          <w:lang w:eastAsia="bg-BG"/>
        </w:rPr>
      </w:pPr>
    </w:p>
    <w:p w14:paraId="64F603F5" w14:textId="757441AB"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Остеоартрит</w:t>
      </w:r>
    </w:p>
    <w:p w14:paraId="4D02CD3B"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lastRenderedPageBreak/>
        <w:t xml:space="preserve">Препоръчителната доза е 30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При някои пациенти с недостатъчно облекчение на симптоматиката, увеличаване на дозата на 60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може да повиши ефективността. При липса на терапевтичен ефект следва да се прецени използването на други терапевтични възможности.</w:t>
      </w:r>
    </w:p>
    <w:p w14:paraId="529C8179" w14:textId="77777777" w:rsidR="009058DE" w:rsidRDefault="009058DE" w:rsidP="009058DE">
      <w:pPr>
        <w:spacing w:line="240" w:lineRule="auto"/>
        <w:rPr>
          <w:rFonts w:eastAsia="Times New Roman" w:cs="Arial"/>
          <w:i/>
          <w:iCs/>
          <w:color w:val="000000"/>
          <w:lang w:eastAsia="bg-BG"/>
        </w:rPr>
      </w:pPr>
    </w:p>
    <w:p w14:paraId="7F883A9A" w14:textId="3F30EA62"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Ревматоиден артрит</w:t>
      </w:r>
    </w:p>
    <w:p w14:paraId="68918112" w14:textId="77777777" w:rsidR="009058DE" w:rsidRPr="009058DE" w:rsidRDefault="009058DE" w:rsidP="009058DE">
      <w:pPr>
        <w:rPr>
          <w:rFonts w:eastAsia="Times New Roman" w:cs="Arial"/>
          <w:lang w:eastAsia="bg-BG"/>
        </w:rPr>
      </w:pPr>
      <w:r w:rsidRPr="009058DE">
        <w:rPr>
          <w:rFonts w:eastAsia="Times New Roman" w:cs="Arial"/>
          <w:color w:val="000000"/>
          <w:lang w:eastAsia="bg-BG"/>
        </w:rPr>
        <w:t xml:space="preserve">Препоръчителната доза е 60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При някои пациенти с недостатъчно облекчение на симптомите повишаване на дозите до 90 </w:t>
      </w:r>
      <w:r w:rsidRPr="009058DE">
        <w:rPr>
          <w:rFonts w:eastAsia="Times New Roman" w:cs="Arial"/>
          <w:color w:val="000000"/>
          <w:lang w:val="en-US"/>
        </w:rPr>
        <w:t xml:space="preserve">mg </w:t>
      </w:r>
      <w:r w:rsidRPr="009058DE">
        <w:rPr>
          <w:rFonts w:eastAsia="Times New Roman" w:cs="Arial"/>
          <w:color w:val="000000"/>
          <w:lang w:eastAsia="bg-BG"/>
        </w:rPr>
        <w:t>може да доведе до повишаване на</w:t>
      </w:r>
      <w:r>
        <w:rPr>
          <w:rFonts w:eastAsia="Times New Roman" w:cs="Arial"/>
          <w:lang w:eastAsia="bg-BG"/>
        </w:rPr>
        <w:t xml:space="preserve"> </w:t>
      </w:r>
      <w:r w:rsidRPr="009058DE">
        <w:rPr>
          <w:rFonts w:eastAsia="Times New Roman" w:cs="Arial"/>
          <w:color w:val="000000"/>
          <w:lang w:eastAsia="bg-BG"/>
        </w:rPr>
        <w:t>ефективността. След като пациентът е клинично стабилизиран, може да е подходящо титриране</w:t>
      </w:r>
      <w:r>
        <w:rPr>
          <w:rFonts w:eastAsia="Times New Roman" w:cs="Arial"/>
          <w:color w:val="000000"/>
          <w:lang w:eastAsia="bg-BG"/>
        </w:rPr>
        <w:t xml:space="preserve"> </w:t>
      </w:r>
      <w:r w:rsidRPr="009058DE">
        <w:rPr>
          <w:rFonts w:eastAsia="Times New Roman" w:cs="Arial"/>
          <w:color w:val="000000"/>
          <w:lang w:eastAsia="bg-BG"/>
        </w:rPr>
        <w:t xml:space="preserve">на дозата до 60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При липса на повишаване на терапевтичния ефект трябва да се прецени използването на други терапевтични възможности.</w:t>
      </w:r>
    </w:p>
    <w:p w14:paraId="094B1452" w14:textId="77777777" w:rsidR="009058DE" w:rsidRDefault="009058DE" w:rsidP="009058DE">
      <w:pPr>
        <w:spacing w:line="240" w:lineRule="auto"/>
        <w:rPr>
          <w:rFonts w:eastAsia="Times New Roman" w:cs="Arial"/>
          <w:i/>
          <w:iCs/>
          <w:color w:val="000000"/>
          <w:lang w:eastAsia="bg-BG"/>
        </w:rPr>
      </w:pPr>
    </w:p>
    <w:p w14:paraId="31118567" w14:textId="1D70BE8E"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Анкилозиращ спондилит</w:t>
      </w:r>
    </w:p>
    <w:p w14:paraId="08378F8C"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Препоръчителната доза е 60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При някои пациенти с недостатъчно облекчение на симптомите повишаване на дозите до 90 </w:t>
      </w:r>
      <w:r w:rsidRPr="009058DE">
        <w:rPr>
          <w:rFonts w:eastAsia="Times New Roman" w:cs="Arial"/>
          <w:color w:val="000000"/>
          <w:lang w:val="en-US"/>
        </w:rPr>
        <w:t xml:space="preserve">mg </w:t>
      </w:r>
      <w:r w:rsidRPr="009058DE">
        <w:rPr>
          <w:rFonts w:eastAsia="Times New Roman" w:cs="Arial"/>
          <w:color w:val="000000"/>
          <w:lang w:eastAsia="bg-BG"/>
        </w:rPr>
        <w:t xml:space="preserve">може да доведе до повишаване на ефективността. След като пациентът е клинично стабилизиран, може да е подходящо титриране на дозата до 60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При липса на повишаване на терапевтичния ефект трябва да се прецени използването на други терапевтични възможности.</w:t>
      </w:r>
    </w:p>
    <w:p w14:paraId="51218056" w14:textId="77777777" w:rsidR="009058DE" w:rsidRDefault="009058DE" w:rsidP="009058DE">
      <w:pPr>
        <w:spacing w:line="240" w:lineRule="auto"/>
        <w:rPr>
          <w:rFonts w:eastAsia="Times New Roman" w:cs="Arial"/>
          <w:i/>
          <w:iCs/>
          <w:color w:val="000000"/>
          <w:lang w:eastAsia="bg-BG"/>
        </w:rPr>
      </w:pPr>
    </w:p>
    <w:p w14:paraId="568A9A24" w14:textId="20575340"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Състояния на остра болка</w:t>
      </w:r>
    </w:p>
    <w:p w14:paraId="1E483E55"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Еторикоксиб трябва да се използва само по време на острия симптоматичен период при състояния на силна болка.</w:t>
      </w:r>
    </w:p>
    <w:p w14:paraId="3575D298" w14:textId="77777777" w:rsidR="009058DE" w:rsidRDefault="009058DE" w:rsidP="009058DE">
      <w:pPr>
        <w:spacing w:line="240" w:lineRule="auto"/>
        <w:rPr>
          <w:rFonts w:eastAsia="Times New Roman" w:cs="Arial"/>
          <w:i/>
          <w:iCs/>
          <w:color w:val="000000"/>
          <w:lang w:eastAsia="bg-BG"/>
        </w:rPr>
      </w:pPr>
    </w:p>
    <w:p w14:paraId="548C01E5" w14:textId="0D454507"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Остър подагрозен артрит</w:t>
      </w:r>
    </w:p>
    <w:p w14:paraId="1A317ED1"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Препоръчителната доза е 120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По време на клинични изпитвания за лечение на остър подагрозен артрит еторикоксиб е даван в продължение на 8 дни.</w:t>
      </w:r>
    </w:p>
    <w:p w14:paraId="62280A80" w14:textId="77777777" w:rsidR="009058DE" w:rsidRDefault="009058DE" w:rsidP="009058DE">
      <w:pPr>
        <w:spacing w:line="240" w:lineRule="auto"/>
        <w:rPr>
          <w:rFonts w:eastAsia="Times New Roman" w:cs="Arial"/>
          <w:i/>
          <w:iCs/>
          <w:color w:val="000000"/>
          <w:lang w:eastAsia="bg-BG"/>
        </w:rPr>
      </w:pPr>
    </w:p>
    <w:p w14:paraId="77DADC7B" w14:textId="041CDBC7"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Постоперативна болка след дентална операция</w:t>
      </w:r>
    </w:p>
    <w:p w14:paraId="2249629B"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Препоръчителната доза е 90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за не повече от 3 дни. Някои пациенти може да се нуждаят от друга постоперативна аналгезия в допълнение към КОКСИЕНТ по време на тридневния период на лечение.</w:t>
      </w:r>
    </w:p>
    <w:p w14:paraId="52EEA187" w14:textId="77777777" w:rsidR="009058DE" w:rsidRDefault="009058DE" w:rsidP="009058DE">
      <w:pPr>
        <w:spacing w:line="240" w:lineRule="auto"/>
        <w:rPr>
          <w:rFonts w:eastAsia="Times New Roman" w:cs="Arial"/>
          <w:color w:val="000000"/>
          <w:lang w:eastAsia="bg-BG"/>
        </w:rPr>
      </w:pPr>
    </w:p>
    <w:p w14:paraId="74589AF7" w14:textId="3527CCF5"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Дози, надвишаващи препоръчителните за отделните приложения или не са показали по-голяма ефикасност, или не са проучвани. Затова:</w:t>
      </w:r>
    </w:p>
    <w:p w14:paraId="4A7544FA" w14:textId="77777777" w:rsidR="009058DE" w:rsidRDefault="009058DE" w:rsidP="009058DE">
      <w:pPr>
        <w:spacing w:line="240" w:lineRule="auto"/>
        <w:rPr>
          <w:rFonts w:eastAsia="Times New Roman" w:cs="Arial"/>
          <w:color w:val="000000"/>
          <w:lang w:eastAsia="bg-BG"/>
        </w:rPr>
      </w:pPr>
    </w:p>
    <w:p w14:paraId="063DDA96" w14:textId="27B79FAC"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Дозата за ОА не трябва да надвишава 60 </w:t>
      </w:r>
      <w:r w:rsidRPr="009058DE">
        <w:rPr>
          <w:rFonts w:eastAsia="Times New Roman" w:cs="Arial"/>
          <w:color w:val="000000"/>
          <w:lang w:val="en-US"/>
        </w:rPr>
        <w:t xml:space="preserve">mg </w:t>
      </w:r>
      <w:r w:rsidRPr="009058DE">
        <w:rPr>
          <w:rFonts w:eastAsia="Times New Roman" w:cs="Arial"/>
          <w:color w:val="000000"/>
          <w:lang w:eastAsia="bg-BG"/>
        </w:rPr>
        <w:t>дневно.</w:t>
      </w:r>
    </w:p>
    <w:p w14:paraId="3ADB4A53" w14:textId="77777777" w:rsidR="009058DE" w:rsidRDefault="009058DE" w:rsidP="009058DE">
      <w:pPr>
        <w:spacing w:line="240" w:lineRule="auto"/>
        <w:rPr>
          <w:rFonts w:eastAsia="Times New Roman" w:cs="Arial"/>
          <w:color w:val="000000"/>
          <w:lang w:eastAsia="bg-BG"/>
        </w:rPr>
      </w:pPr>
    </w:p>
    <w:p w14:paraId="0DF772DA" w14:textId="0FE40D34"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Дозата за РА и анкилозиращ спондилит не трябва да надвишава 90 </w:t>
      </w:r>
      <w:r w:rsidRPr="009058DE">
        <w:rPr>
          <w:rFonts w:eastAsia="Times New Roman" w:cs="Arial"/>
          <w:color w:val="000000"/>
          <w:lang w:val="en-US"/>
        </w:rPr>
        <w:t xml:space="preserve">mg </w:t>
      </w:r>
      <w:r w:rsidRPr="009058DE">
        <w:rPr>
          <w:rFonts w:eastAsia="Times New Roman" w:cs="Arial"/>
          <w:color w:val="000000"/>
          <w:lang w:eastAsia="bg-BG"/>
        </w:rPr>
        <w:t>дневно.</w:t>
      </w:r>
    </w:p>
    <w:p w14:paraId="048C1205" w14:textId="77777777" w:rsidR="009058DE" w:rsidRDefault="009058DE" w:rsidP="009058DE">
      <w:pPr>
        <w:spacing w:line="240" w:lineRule="auto"/>
        <w:rPr>
          <w:rFonts w:eastAsia="Times New Roman" w:cs="Arial"/>
          <w:color w:val="000000"/>
          <w:lang w:eastAsia="bg-BG"/>
        </w:rPr>
      </w:pPr>
    </w:p>
    <w:p w14:paraId="68FDDE2C" w14:textId="09BF221B"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Дозата за остър подагрозен артрит не трябва да надвишава 120 </w:t>
      </w:r>
      <w:r w:rsidRPr="009058DE">
        <w:rPr>
          <w:rFonts w:eastAsia="Times New Roman" w:cs="Arial"/>
          <w:color w:val="000000"/>
          <w:lang w:val="en-US"/>
        </w:rPr>
        <w:t xml:space="preserve">mg </w:t>
      </w:r>
      <w:r w:rsidRPr="009058DE">
        <w:rPr>
          <w:rFonts w:eastAsia="Times New Roman" w:cs="Arial"/>
          <w:color w:val="000000"/>
          <w:lang w:eastAsia="bg-BG"/>
        </w:rPr>
        <w:t>дневно, като лечението се ограничава максимум до 8 дни.</w:t>
      </w:r>
    </w:p>
    <w:p w14:paraId="58482CCB" w14:textId="77777777" w:rsidR="009058DE" w:rsidRDefault="009058DE" w:rsidP="009058DE">
      <w:pPr>
        <w:spacing w:line="240" w:lineRule="auto"/>
        <w:rPr>
          <w:rFonts w:eastAsia="Times New Roman" w:cs="Arial"/>
          <w:color w:val="000000"/>
          <w:lang w:eastAsia="bg-BG"/>
        </w:rPr>
      </w:pPr>
    </w:p>
    <w:p w14:paraId="6E413B0A" w14:textId="0C9C03BD"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Дозата за постоперативна силна болка след дентална операция не трябва да надвишава 90 </w:t>
      </w:r>
      <w:r w:rsidRPr="009058DE">
        <w:rPr>
          <w:rFonts w:eastAsia="Times New Roman" w:cs="Arial"/>
          <w:color w:val="000000"/>
          <w:lang w:val="en-US"/>
        </w:rPr>
        <w:t xml:space="preserve">mg </w:t>
      </w:r>
      <w:r w:rsidRPr="009058DE">
        <w:rPr>
          <w:rFonts w:eastAsia="Times New Roman" w:cs="Arial"/>
          <w:color w:val="000000"/>
          <w:lang w:eastAsia="bg-BG"/>
        </w:rPr>
        <w:t>дневно, ограничено максимум до 3 дни.</w:t>
      </w:r>
    </w:p>
    <w:p w14:paraId="578FB780" w14:textId="77777777" w:rsidR="009058DE" w:rsidRDefault="009058DE" w:rsidP="009058DE">
      <w:pPr>
        <w:spacing w:line="240" w:lineRule="auto"/>
        <w:rPr>
          <w:rFonts w:eastAsia="Times New Roman" w:cs="Arial"/>
          <w:i/>
          <w:iCs/>
          <w:color w:val="000000"/>
          <w:lang w:eastAsia="bg-BG"/>
        </w:rPr>
      </w:pPr>
    </w:p>
    <w:p w14:paraId="5782CE8A" w14:textId="63EB5E5B"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Специални популации</w:t>
      </w:r>
    </w:p>
    <w:p w14:paraId="1E1D0165" w14:textId="77777777" w:rsidR="009058DE" w:rsidRDefault="009058DE" w:rsidP="009058DE">
      <w:pPr>
        <w:spacing w:line="240" w:lineRule="auto"/>
        <w:rPr>
          <w:rFonts w:eastAsia="Times New Roman" w:cs="Arial"/>
          <w:i/>
          <w:iCs/>
          <w:color w:val="000000"/>
          <w:u w:val="single"/>
          <w:lang w:eastAsia="bg-BG"/>
        </w:rPr>
      </w:pPr>
    </w:p>
    <w:p w14:paraId="503A7127" w14:textId="3F7F9FAA" w:rsidR="009058DE" w:rsidRPr="009058DE" w:rsidRDefault="009058DE" w:rsidP="009058DE">
      <w:pPr>
        <w:spacing w:line="240" w:lineRule="auto"/>
        <w:rPr>
          <w:rFonts w:eastAsia="Times New Roman" w:cs="Arial"/>
          <w:lang w:eastAsia="bg-BG"/>
        </w:rPr>
      </w:pPr>
      <w:r w:rsidRPr="009058DE">
        <w:rPr>
          <w:rFonts w:eastAsia="Times New Roman" w:cs="Arial"/>
          <w:i/>
          <w:iCs/>
          <w:color w:val="000000"/>
          <w:u w:val="single"/>
          <w:lang w:eastAsia="bg-BG"/>
        </w:rPr>
        <w:t>Паииенти в старческа възраст</w:t>
      </w:r>
    </w:p>
    <w:p w14:paraId="6D13CA05"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lastRenderedPageBreak/>
        <w:t>При пациенти в старческа възраст не се налага коригиране на дозата. Както и при други лекарства, приложението при пациенти в старческа възраст следва да става внимателно (вж.точка 4.4).</w:t>
      </w:r>
    </w:p>
    <w:p w14:paraId="65AA30F1" w14:textId="77777777" w:rsidR="009058DE" w:rsidRDefault="009058DE" w:rsidP="009058DE">
      <w:pPr>
        <w:spacing w:line="240" w:lineRule="auto"/>
        <w:rPr>
          <w:rFonts w:eastAsia="Times New Roman" w:cs="Arial"/>
          <w:i/>
          <w:iCs/>
          <w:color w:val="000000"/>
          <w:u w:val="single"/>
          <w:lang w:eastAsia="bg-BG"/>
        </w:rPr>
      </w:pPr>
    </w:p>
    <w:p w14:paraId="2B3A0E64" w14:textId="59CB41DA" w:rsidR="009058DE" w:rsidRPr="009058DE" w:rsidRDefault="009058DE" w:rsidP="009058DE">
      <w:pPr>
        <w:spacing w:line="240" w:lineRule="auto"/>
        <w:rPr>
          <w:rFonts w:eastAsia="Times New Roman" w:cs="Arial"/>
          <w:lang w:eastAsia="bg-BG"/>
        </w:rPr>
      </w:pPr>
      <w:r w:rsidRPr="009058DE">
        <w:rPr>
          <w:rFonts w:eastAsia="Times New Roman" w:cs="Arial"/>
          <w:i/>
          <w:iCs/>
          <w:color w:val="000000"/>
          <w:u w:val="single"/>
          <w:lang w:eastAsia="bg-BG"/>
        </w:rPr>
        <w:t>Паииенти с чернодробно увреждане</w:t>
      </w:r>
    </w:p>
    <w:p w14:paraId="6D46CD72"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Независимо от индикацията, при пациенти с лека степен на чернодробно увреждане </w:t>
      </w:r>
      <w:r w:rsidRPr="009058DE">
        <w:rPr>
          <w:rFonts w:eastAsia="Times New Roman" w:cs="Arial"/>
          <w:color w:val="000000"/>
          <w:lang w:val="en-US"/>
        </w:rPr>
        <w:t xml:space="preserve">(Child- Pugh score </w:t>
      </w:r>
      <w:r w:rsidRPr="009058DE">
        <w:rPr>
          <w:rFonts w:eastAsia="Times New Roman" w:cs="Arial"/>
          <w:color w:val="000000"/>
          <w:lang w:eastAsia="bg-BG"/>
        </w:rPr>
        <w:t xml:space="preserve">5-6), дозата не трябва да надвишава 60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При пациенти с умерена степен на чернодробно увреждане </w:t>
      </w:r>
      <w:r w:rsidRPr="009058DE">
        <w:rPr>
          <w:rFonts w:eastAsia="Times New Roman" w:cs="Arial"/>
          <w:color w:val="000000"/>
          <w:lang w:val="en-US"/>
        </w:rPr>
        <w:t xml:space="preserve">(Child-Pugh score </w:t>
      </w:r>
      <w:r w:rsidRPr="009058DE">
        <w:rPr>
          <w:rFonts w:eastAsia="Times New Roman" w:cs="Arial"/>
          <w:color w:val="000000"/>
          <w:lang w:eastAsia="bg-BG"/>
        </w:rPr>
        <w:t xml:space="preserve">7-9), независимо от индикацията, дозата от 30 </w:t>
      </w:r>
      <w:r w:rsidRPr="009058DE">
        <w:rPr>
          <w:rFonts w:eastAsia="Times New Roman" w:cs="Arial"/>
          <w:color w:val="000000"/>
          <w:lang w:val="en-US"/>
        </w:rPr>
        <w:t xml:space="preserve">mg </w:t>
      </w:r>
      <w:r w:rsidRPr="009058DE">
        <w:rPr>
          <w:rFonts w:eastAsia="Times New Roman" w:cs="Arial"/>
          <w:color w:val="000000"/>
          <w:lang w:eastAsia="bg-BG"/>
        </w:rPr>
        <w:t>веднъж дневно не трябва да се надхвърля.</w:t>
      </w:r>
    </w:p>
    <w:p w14:paraId="58932179" w14:textId="77777777" w:rsidR="009058DE" w:rsidRDefault="009058DE" w:rsidP="009058DE">
      <w:pPr>
        <w:spacing w:line="240" w:lineRule="auto"/>
        <w:rPr>
          <w:rFonts w:eastAsia="Times New Roman" w:cs="Arial"/>
          <w:color w:val="000000"/>
          <w:lang w:eastAsia="bg-BG"/>
        </w:rPr>
      </w:pPr>
    </w:p>
    <w:p w14:paraId="50447451" w14:textId="46D44620"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Клиничният опит е ограничен, особено при пациенти с умерена степен на чернодробно увреждане и затова е необходимо внимание. Няма клиничен опит при пациенти с тежка чернодробна недостатъчност </w:t>
      </w:r>
      <w:r w:rsidRPr="009058DE">
        <w:rPr>
          <w:rFonts w:eastAsia="Times New Roman" w:cs="Arial"/>
          <w:color w:val="000000"/>
          <w:lang w:val="en-US"/>
        </w:rPr>
        <w:t xml:space="preserve">(Child-Pugh </w:t>
      </w:r>
      <w:r w:rsidRPr="009058DE">
        <w:rPr>
          <w:rFonts w:eastAsia="Times New Roman" w:cs="Arial"/>
          <w:color w:val="000000"/>
          <w:lang w:eastAsia="bg-BG"/>
        </w:rPr>
        <w:t>индекс ≥ 10), затова прилагането на лекарството в такива случаи е противопоказано (вж. точки 4.3,4.4. и 5.2).</w:t>
      </w:r>
    </w:p>
    <w:p w14:paraId="0DFD3B30" w14:textId="77777777" w:rsidR="009058DE" w:rsidRDefault="009058DE" w:rsidP="009058DE">
      <w:pPr>
        <w:spacing w:line="240" w:lineRule="auto"/>
        <w:rPr>
          <w:rFonts w:eastAsia="Times New Roman" w:cs="Arial"/>
          <w:i/>
          <w:iCs/>
          <w:color w:val="000000"/>
          <w:u w:val="single"/>
          <w:lang w:eastAsia="bg-BG"/>
        </w:rPr>
      </w:pPr>
    </w:p>
    <w:p w14:paraId="6D2F2276" w14:textId="1F7815B8" w:rsidR="009058DE" w:rsidRDefault="009058DE" w:rsidP="009058DE">
      <w:pPr>
        <w:spacing w:line="240" w:lineRule="auto"/>
        <w:rPr>
          <w:rFonts w:eastAsia="Times New Roman" w:cs="Arial"/>
          <w:i/>
          <w:iCs/>
          <w:color w:val="000000"/>
          <w:u w:val="single"/>
          <w:lang w:eastAsia="bg-BG"/>
        </w:rPr>
      </w:pPr>
      <w:r w:rsidRPr="009058DE">
        <w:rPr>
          <w:rFonts w:eastAsia="Times New Roman" w:cs="Arial"/>
          <w:i/>
          <w:iCs/>
          <w:color w:val="000000"/>
          <w:u w:val="single"/>
          <w:lang w:eastAsia="bg-BG"/>
        </w:rPr>
        <w:t>Паииенти с бъбречно увреждане</w:t>
      </w:r>
    </w:p>
    <w:p w14:paraId="47569898"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val="en-US"/>
        </w:rPr>
        <w:t xml:space="preserve">He </w:t>
      </w:r>
      <w:r w:rsidRPr="009058DE">
        <w:rPr>
          <w:rFonts w:eastAsia="Times New Roman" w:cs="Arial"/>
          <w:color w:val="000000"/>
          <w:lang w:eastAsia="bg-BG"/>
        </w:rPr>
        <w:t xml:space="preserve">се налага коригиране на дозата при пациенти с креатининов клирънс ≥ 30 </w:t>
      </w:r>
      <w:r w:rsidRPr="009058DE">
        <w:rPr>
          <w:rFonts w:eastAsia="Times New Roman" w:cs="Arial"/>
          <w:color w:val="000000"/>
          <w:lang w:val="en-US"/>
        </w:rPr>
        <w:t>ml</w:t>
      </w:r>
      <w:r w:rsidRPr="009058DE">
        <w:rPr>
          <w:rFonts w:eastAsia="Times New Roman" w:cs="Arial"/>
          <w:color w:val="000000"/>
          <w:lang w:eastAsia="bg-BG"/>
        </w:rPr>
        <w:t xml:space="preserve">/минута (вж точка 5.2). Използването на еторикоксиб при пациенти с креатининов клирънс &lt;30 </w:t>
      </w:r>
      <w:r w:rsidRPr="009058DE">
        <w:rPr>
          <w:rFonts w:eastAsia="Times New Roman" w:cs="Arial"/>
          <w:color w:val="000000"/>
          <w:lang w:val="en-US"/>
        </w:rPr>
        <w:t>ml</w:t>
      </w:r>
      <w:r w:rsidRPr="009058DE">
        <w:rPr>
          <w:rFonts w:eastAsia="Times New Roman" w:cs="Arial"/>
          <w:color w:val="000000"/>
          <w:lang w:eastAsia="bg-BG"/>
        </w:rPr>
        <w:t>/минута е противопоказано (вж. точки 4.3 и 4.4).</w:t>
      </w:r>
    </w:p>
    <w:p w14:paraId="084D2079" w14:textId="77777777" w:rsidR="009058DE" w:rsidRDefault="009058DE" w:rsidP="009058DE">
      <w:pPr>
        <w:spacing w:line="240" w:lineRule="auto"/>
        <w:rPr>
          <w:rFonts w:eastAsia="Times New Roman" w:cs="Arial"/>
          <w:i/>
          <w:iCs/>
          <w:color w:val="000000"/>
          <w:lang w:eastAsia="bg-BG"/>
        </w:rPr>
      </w:pPr>
    </w:p>
    <w:p w14:paraId="6028E5B1" w14:textId="480BD091"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Педиатрична популация</w:t>
      </w:r>
    </w:p>
    <w:p w14:paraId="1C009C4E"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Еторикоксиб е противопоказан за употреба при деца и юноши на възраст под 16 години (виж точка 4.3).</w:t>
      </w:r>
    </w:p>
    <w:p w14:paraId="0251864B" w14:textId="77777777" w:rsidR="009058DE" w:rsidRPr="009058DE" w:rsidRDefault="009058DE" w:rsidP="009058DE">
      <w:pPr>
        <w:spacing w:line="240" w:lineRule="auto"/>
        <w:rPr>
          <w:rFonts w:eastAsia="Times New Roman" w:cs="Arial"/>
          <w:color w:val="000000"/>
          <w:u w:val="single"/>
          <w:lang w:eastAsia="bg-BG"/>
        </w:rPr>
      </w:pPr>
    </w:p>
    <w:p w14:paraId="5E79307B" w14:textId="17D931A0" w:rsidR="009058DE" w:rsidRPr="009058DE" w:rsidRDefault="009058DE" w:rsidP="009058DE">
      <w:pPr>
        <w:pStyle w:val="Heading3"/>
        <w:rPr>
          <w:rFonts w:eastAsia="Times New Roman"/>
          <w:u w:val="single"/>
          <w:lang w:eastAsia="bg-BG"/>
        </w:rPr>
      </w:pPr>
      <w:r w:rsidRPr="009058DE">
        <w:rPr>
          <w:rFonts w:eastAsia="Times New Roman"/>
          <w:u w:val="single"/>
          <w:lang w:eastAsia="bg-BG"/>
        </w:rPr>
        <w:t>Начин на приложение</w:t>
      </w:r>
    </w:p>
    <w:p w14:paraId="607D7559" w14:textId="77777777" w:rsidR="009058DE" w:rsidRDefault="009058DE" w:rsidP="009058DE">
      <w:pPr>
        <w:spacing w:line="240" w:lineRule="auto"/>
        <w:rPr>
          <w:rFonts w:eastAsia="Times New Roman" w:cs="Arial"/>
          <w:color w:val="000000"/>
          <w:lang w:eastAsia="bg-BG"/>
        </w:rPr>
      </w:pPr>
    </w:p>
    <w:p w14:paraId="6A45B7D9" w14:textId="04C6FA50"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КОКСИЕНТ се приема перорално и може да бъде приеман на гладно или по време на хранене. Ефектът от лекарствения продукт може да настъпи по-бързо, когато КОКСИЕНТ се приема на гладно. Това трябва да се има предвид, когато е необходимо да се постигне бързо повлияване на симптоматиката.</w:t>
      </w:r>
    </w:p>
    <w:p w14:paraId="5CE609DC" w14:textId="77777777" w:rsidR="009058DE" w:rsidRPr="009058DE" w:rsidRDefault="009058DE" w:rsidP="009058DE">
      <w:pPr>
        <w:spacing w:line="240" w:lineRule="auto"/>
        <w:rPr>
          <w:rFonts w:eastAsia="Times New Roman" w:cs="Arial"/>
          <w:lang w:eastAsia="bg-BG"/>
        </w:rPr>
      </w:pPr>
    </w:p>
    <w:p w14:paraId="3E070C7A" w14:textId="4449FD4E" w:rsidR="009058DE" w:rsidRPr="009058DE" w:rsidRDefault="009058DE" w:rsidP="009058DE">
      <w:pPr>
        <w:spacing w:line="240" w:lineRule="auto"/>
        <w:rPr>
          <w:rFonts w:eastAsia="Times New Roman" w:cs="Arial"/>
          <w:lang w:eastAsia="bg-BG"/>
        </w:rPr>
      </w:pPr>
    </w:p>
    <w:p w14:paraId="5D9E65DA" w14:textId="3A0C7D32" w:rsidR="009F77A4" w:rsidRDefault="002C50EE" w:rsidP="00387A66">
      <w:pPr>
        <w:pStyle w:val="Heading2"/>
      </w:pPr>
      <w:r>
        <w:t>4.3. Противопоказания</w:t>
      </w:r>
    </w:p>
    <w:p w14:paraId="0C2BAE6D" w14:textId="02CF351D" w:rsidR="009058DE" w:rsidRDefault="009058DE" w:rsidP="009058DE"/>
    <w:p w14:paraId="7230A1F4"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Свръхчувствителност към активната съставка или някое от помощните вещества, изброени в точка 6.1.</w:t>
      </w:r>
    </w:p>
    <w:p w14:paraId="2126F05E"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Активна пептична язва или активно кървене от стомашно-чревния (СЧ) тракт.</w:t>
      </w:r>
    </w:p>
    <w:p w14:paraId="1EC1E5F8"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Пациенти, които след прием на ацетилсалицилова киселина или НСПВС, включително СОХ-2 (циклооксигеназа-2) инхибитори, проявяват бронхоспазъм, остър ринит, носни полипи, ангионевротичен едем, уртикария или алергични реакции.</w:t>
      </w:r>
    </w:p>
    <w:p w14:paraId="11CFB878"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Бременност и кърмене (вж. точки 4.6 и 5.3)</w:t>
      </w:r>
    </w:p>
    <w:p w14:paraId="3439DC33"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 xml:space="preserve">Тежка чернодробна недостатъчност (серумен албумин &lt;25 </w:t>
      </w:r>
      <w:r w:rsidRPr="009058DE">
        <w:rPr>
          <w:rFonts w:eastAsia="Times New Roman" w:cs="Arial"/>
          <w:color w:val="000000"/>
          <w:lang w:val="en-US"/>
        </w:rPr>
        <w:t xml:space="preserve">g/l </w:t>
      </w:r>
      <w:r w:rsidRPr="009058DE">
        <w:rPr>
          <w:rFonts w:eastAsia="Times New Roman" w:cs="Arial"/>
          <w:color w:val="000000"/>
          <w:lang w:eastAsia="bg-BG"/>
        </w:rPr>
        <w:t xml:space="preserve">или </w:t>
      </w:r>
      <w:r w:rsidRPr="009058DE">
        <w:rPr>
          <w:rFonts w:eastAsia="Times New Roman" w:cs="Arial"/>
          <w:color w:val="000000"/>
          <w:lang w:val="en-US"/>
        </w:rPr>
        <w:t xml:space="preserve">Child-Pugh </w:t>
      </w:r>
      <w:r w:rsidRPr="009058DE">
        <w:rPr>
          <w:rFonts w:eastAsia="Times New Roman" w:cs="Arial"/>
          <w:color w:val="000000"/>
          <w:lang w:eastAsia="bg-BG"/>
        </w:rPr>
        <w:t>индекс ≥10).</w:t>
      </w:r>
    </w:p>
    <w:p w14:paraId="148BBF45"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 xml:space="preserve">Изследван бъбречен креатининов клирънс &lt;30 </w:t>
      </w:r>
      <w:r w:rsidRPr="009058DE">
        <w:rPr>
          <w:rFonts w:eastAsia="Times New Roman" w:cs="Arial"/>
          <w:color w:val="000000"/>
          <w:lang w:val="en-US"/>
        </w:rPr>
        <w:t>ml</w:t>
      </w:r>
      <w:r w:rsidRPr="009058DE">
        <w:rPr>
          <w:rFonts w:eastAsia="Times New Roman" w:cs="Arial"/>
          <w:color w:val="000000"/>
          <w:lang w:eastAsia="bg-BG"/>
        </w:rPr>
        <w:t>/минута.</w:t>
      </w:r>
    </w:p>
    <w:p w14:paraId="59E6DDA0"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Деца и юноши под 16-годишна възраст.</w:t>
      </w:r>
    </w:p>
    <w:p w14:paraId="313F2EAD"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Възпалителни заболявания на червата</w:t>
      </w:r>
    </w:p>
    <w:p w14:paraId="43B68739"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 xml:space="preserve">Застойна сърдечна недостатъчност </w:t>
      </w:r>
      <w:r w:rsidRPr="009058DE">
        <w:rPr>
          <w:rFonts w:eastAsia="Times New Roman" w:cs="Arial"/>
          <w:color w:val="000000"/>
          <w:lang w:val="en-US"/>
        </w:rPr>
        <w:t>(NYHA</w:t>
      </w:r>
      <w:r w:rsidRPr="009058DE">
        <w:rPr>
          <w:rFonts w:eastAsia="Times New Roman" w:cs="Arial"/>
          <w:color w:val="000000"/>
          <w:lang w:eastAsia="bg-BG"/>
        </w:rPr>
        <w:t xml:space="preserve"> </w:t>
      </w:r>
      <w:r w:rsidRPr="009058DE">
        <w:rPr>
          <w:rFonts w:eastAsia="Times New Roman" w:cs="Arial"/>
          <w:color w:val="000000"/>
          <w:lang w:val="en-US"/>
        </w:rPr>
        <w:t>II-IV).</w:t>
      </w:r>
    </w:p>
    <w:p w14:paraId="29423084" w14:textId="77777777"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t xml:space="preserve">Пациенти с хипертония, чието кръвно налягане е трайно увеличено над 140/90 </w:t>
      </w:r>
      <w:r w:rsidRPr="009058DE">
        <w:rPr>
          <w:rFonts w:eastAsia="Times New Roman" w:cs="Arial"/>
          <w:color w:val="000000"/>
          <w:lang w:val="en-US"/>
        </w:rPr>
        <w:t xml:space="preserve">mmHg </w:t>
      </w:r>
      <w:r w:rsidRPr="009058DE">
        <w:rPr>
          <w:rFonts w:eastAsia="Times New Roman" w:cs="Arial"/>
          <w:color w:val="000000"/>
          <w:lang w:eastAsia="bg-BG"/>
        </w:rPr>
        <w:t>и не е адекватно контролирано.</w:t>
      </w:r>
    </w:p>
    <w:p w14:paraId="01EF601A" w14:textId="094B4FD4" w:rsidR="009058DE" w:rsidRPr="009058DE" w:rsidRDefault="009058DE" w:rsidP="009058DE">
      <w:pPr>
        <w:pStyle w:val="ListParagraph"/>
        <w:numPr>
          <w:ilvl w:val="0"/>
          <w:numId w:val="40"/>
        </w:numPr>
        <w:spacing w:line="240" w:lineRule="auto"/>
        <w:rPr>
          <w:rFonts w:eastAsia="Times New Roman" w:cs="Arial"/>
          <w:lang w:eastAsia="bg-BG"/>
        </w:rPr>
      </w:pPr>
      <w:r w:rsidRPr="009058DE">
        <w:rPr>
          <w:rFonts w:eastAsia="Times New Roman" w:cs="Arial"/>
          <w:color w:val="000000"/>
          <w:lang w:eastAsia="bg-BG"/>
        </w:rPr>
        <w:lastRenderedPageBreak/>
        <w:t>Установена исхемична болест на сърцето, заболявания на периферните артериални съдове и/или мозъчно-съдово заболяване.</w:t>
      </w:r>
    </w:p>
    <w:p w14:paraId="62353EC6" w14:textId="77777777" w:rsidR="009058DE" w:rsidRPr="009058DE" w:rsidRDefault="009058DE" w:rsidP="009058DE"/>
    <w:p w14:paraId="1C27CE53" w14:textId="6B4BF548" w:rsidR="009F77A4" w:rsidRDefault="002C50EE" w:rsidP="00387A66">
      <w:pPr>
        <w:pStyle w:val="Heading2"/>
      </w:pPr>
      <w:r>
        <w:t>4.4. Специални предупреждения и предпазни мерки при употреба</w:t>
      </w:r>
    </w:p>
    <w:p w14:paraId="5C0DABA0" w14:textId="137E00E7" w:rsidR="009058DE" w:rsidRDefault="009058DE" w:rsidP="009058DE"/>
    <w:p w14:paraId="6DE689DA"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Стомашно-чревни ефекти</w:t>
      </w:r>
    </w:p>
    <w:p w14:paraId="40435E0A"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Усложнения от горните отдели на стомашно-чревния тракт (перфорации, язви или кървене </w:t>
      </w:r>
      <w:r w:rsidRPr="009058DE">
        <w:rPr>
          <w:rFonts w:eastAsia="Times New Roman" w:cs="Arial"/>
          <w:color w:val="000000"/>
          <w:lang w:val="en-US"/>
        </w:rPr>
        <w:t xml:space="preserve">(PUBs), </w:t>
      </w:r>
      <w:r w:rsidRPr="009058DE">
        <w:rPr>
          <w:rFonts w:eastAsia="Times New Roman" w:cs="Arial"/>
          <w:color w:val="000000"/>
          <w:lang w:eastAsia="bg-BG"/>
        </w:rPr>
        <w:t>някои от които с фатален изход, са настъпили при пациенти лекувани с еторикоксиб.</w:t>
      </w:r>
    </w:p>
    <w:p w14:paraId="51D2CAFB" w14:textId="77777777" w:rsidR="009058DE" w:rsidRDefault="009058DE" w:rsidP="009058DE">
      <w:pPr>
        <w:spacing w:line="240" w:lineRule="auto"/>
        <w:rPr>
          <w:rFonts w:eastAsia="Times New Roman" w:cs="Arial"/>
          <w:color w:val="000000"/>
          <w:lang w:eastAsia="bg-BG"/>
        </w:rPr>
      </w:pPr>
    </w:p>
    <w:p w14:paraId="737B8A8F" w14:textId="75D04422"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Внимателно трябва да се подхожда при пациенти с риск от развитие на стомашно-чревни усложнения от НСПВС*. пациенти в старческа възраст, пациенти, приемащи едновременно и други НСПВС или ацетилсалицилова киселина, или пациенти с прекарани стомашно-чревни заболявалия, като язва и кървене от стомашно-чревния тракт.</w:t>
      </w:r>
    </w:p>
    <w:p w14:paraId="0D8D0E68" w14:textId="77777777" w:rsidR="009058DE" w:rsidRDefault="009058DE" w:rsidP="009058DE">
      <w:pPr>
        <w:spacing w:line="240" w:lineRule="auto"/>
        <w:rPr>
          <w:rFonts w:eastAsia="Times New Roman" w:cs="Arial"/>
          <w:color w:val="000000"/>
          <w:lang w:eastAsia="bg-BG"/>
        </w:rPr>
      </w:pPr>
    </w:p>
    <w:p w14:paraId="657F837D" w14:textId="1EC1D820"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Има допълнително увеличаване на риска от стомашно-чревни нежелани лекарствени реакции (стомашно-чревна язва или други стомашно-чревни усложнения), когато еторикоксиб се приема заедно с ацетилсалицилова киселина (дори и в ниски дози). Значителна разлика по отношение на стомашно-чревната безопасност между селективни СОХ-2 инхибитори + ацетилсалицилова киселина спрямо НСПВС + ацетилсалицилова киселина, не е била демонстрирана в дългосрочни клинични проучвания (вж. точка 5.1).</w:t>
      </w:r>
    </w:p>
    <w:p w14:paraId="61E16648" w14:textId="77777777" w:rsidR="009058DE" w:rsidRDefault="009058DE" w:rsidP="009058DE">
      <w:pPr>
        <w:spacing w:line="240" w:lineRule="auto"/>
        <w:rPr>
          <w:rFonts w:eastAsia="Times New Roman" w:cs="Arial"/>
          <w:color w:val="000000"/>
          <w:u w:val="single"/>
          <w:lang w:eastAsia="bg-BG"/>
        </w:rPr>
      </w:pPr>
    </w:p>
    <w:p w14:paraId="67E42FD8" w14:textId="776E69E5"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Сърдечно-съдови ефекти</w:t>
      </w:r>
    </w:p>
    <w:p w14:paraId="52A37D9A" w14:textId="77777777" w:rsidR="009058DE" w:rsidRPr="009058DE" w:rsidRDefault="009058DE" w:rsidP="009058DE">
      <w:pPr>
        <w:rPr>
          <w:rFonts w:eastAsia="Times New Roman" w:cs="Arial"/>
          <w:lang w:eastAsia="bg-BG"/>
        </w:rPr>
      </w:pPr>
      <w:r w:rsidRPr="009058DE">
        <w:rPr>
          <w:rFonts w:eastAsia="Times New Roman" w:cs="Arial"/>
          <w:color w:val="000000"/>
          <w:lang w:eastAsia="bg-BG"/>
        </w:rPr>
        <w:t>Клинични проучвания предполагат, че лекарственият клас на селективните СОХ-2 инхибитори може да бъде свързан с риск от тромботични инциденти (особено миокарден инфаркт и инсулт), в сравнение с плацебо и някои НСПВС. Сърдечно-съдовите рискове при прилагането на еторикоксиб могат да нараснат с увеличаване на дозата и продължителността на прилагане</w:t>
      </w:r>
      <w:r>
        <w:rPr>
          <w:rFonts w:eastAsia="Times New Roman" w:cs="Arial"/>
          <w:color w:val="000000"/>
          <w:lang w:eastAsia="bg-BG"/>
        </w:rPr>
        <w:t xml:space="preserve">, </w:t>
      </w:r>
      <w:r w:rsidRPr="009058DE">
        <w:rPr>
          <w:rFonts w:eastAsia="Times New Roman" w:cs="Arial"/>
          <w:color w:val="000000"/>
          <w:lang w:eastAsia="bg-BG"/>
        </w:rPr>
        <w:t>поради което трябва да се използват най-ниските ефективни дози за най-кратък период от време. Необходимостта на пациента от симптоматично облекчаване и отговор спрямо терапията трябва да бъде периодично преоценявана, особено при пациенти с остеоартрит (вж. точки 4.2, 4.3,4.8 и 5.1).</w:t>
      </w:r>
    </w:p>
    <w:p w14:paraId="4DBA756F" w14:textId="77777777" w:rsidR="009058DE" w:rsidRDefault="009058DE" w:rsidP="009058DE">
      <w:pPr>
        <w:spacing w:line="240" w:lineRule="auto"/>
        <w:rPr>
          <w:rFonts w:eastAsia="Times New Roman" w:cs="Arial"/>
          <w:color w:val="000000"/>
          <w:lang w:eastAsia="bg-BG"/>
        </w:rPr>
      </w:pPr>
    </w:p>
    <w:p w14:paraId="65166EE9" w14:textId="1FEC77BE"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Пациенти със значителни рискови фактори за сърдечно-съдови инциденти (например хипертония, хиперлипидемия, диабет, тютюнопушене) трябва да бъдат лекувани с еторикоксиб след внимателно обмисляне (вж. точка 5.1).</w:t>
      </w:r>
    </w:p>
    <w:p w14:paraId="2A3C631B" w14:textId="77777777" w:rsidR="009058DE" w:rsidRDefault="009058DE" w:rsidP="009058DE">
      <w:pPr>
        <w:spacing w:line="240" w:lineRule="auto"/>
        <w:rPr>
          <w:rFonts w:eastAsia="Times New Roman" w:cs="Arial"/>
          <w:color w:val="000000"/>
          <w:lang w:eastAsia="bg-BG"/>
        </w:rPr>
      </w:pPr>
    </w:p>
    <w:p w14:paraId="28A9C50D" w14:textId="1603C8D5" w:rsidR="009058DE" w:rsidRPr="009058DE" w:rsidRDefault="009058DE" w:rsidP="009058DE">
      <w:pPr>
        <w:spacing w:line="240" w:lineRule="auto"/>
        <w:rPr>
          <w:rFonts w:eastAsia="Times New Roman" w:cs="Arial"/>
          <w:color w:val="000000"/>
          <w:lang w:eastAsia="bg-BG"/>
        </w:rPr>
      </w:pPr>
      <w:r w:rsidRPr="009058DE">
        <w:rPr>
          <w:rFonts w:eastAsia="Times New Roman" w:cs="Arial"/>
          <w:color w:val="000000"/>
          <w:lang w:eastAsia="bg-BG"/>
        </w:rPr>
        <w:t>СОХ-2 селективните инхибитори не заместват ацетилсалициловата киселина (аспирин) при профилактика на сърдечно-съдови тромбоемболични заболявания поради липсата на антиагрегантен ефект. Поради това антиагрегантната терапия не трябва да бъде прекъсвана (вж. точки 4.5 и 5.1).</w:t>
      </w:r>
    </w:p>
    <w:p w14:paraId="098ECE9B" w14:textId="77777777" w:rsidR="009058DE" w:rsidRDefault="009058DE" w:rsidP="009058DE">
      <w:pPr>
        <w:spacing w:line="240" w:lineRule="auto"/>
        <w:rPr>
          <w:rFonts w:eastAsia="Times New Roman" w:cs="Arial"/>
          <w:color w:val="000000"/>
          <w:u w:val="single"/>
          <w:lang w:eastAsia="bg-BG"/>
        </w:rPr>
      </w:pPr>
    </w:p>
    <w:p w14:paraId="13F9467D" w14:textId="69B2C079"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Ефекти върху бъбреците</w:t>
      </w:r>
    </w:p>
    <w:p w14:paraId="5D11D6D1"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Бъбречните простагландини може да имат важна роля в поддържането на бъбречната перфузия Затова при наличието на компрометирана бъбречна перфузия, прилагането на еторикоксиб може да предизвика вторично редуциране на бъбречния кръвоток и увреждане на бъбречната функция, посредством намаляване на производството на простагландини.Пациентите с най- висок риск в това отношение са тези, които имат предхождащо значимо увреждане на бъбречната функция, некомпенсирана сърдечна </w:t>
      </w:r>
      <w:r w:rsidRPr="009058DE">
        <w:rPr>
          <w:rFonts w:eastAsia="Times New Roman" w:cs="Arial"/>
          <w:color w:val="000000"/>
          <w:lang w:eastAsia="bg-BG"/>
        </w:rPr>
        <w:lastRenderedPageBreak/>
        <w:t>недостатъчност или цироза.При такива пациенти следва да се има предвид мониторирането на бъбречната функция.</w:t>
      </w:r>
    </w:p>
    <w:p w14:paraId="6FC96E99" w14:textId="77777777" w:rsidR="009058DE" w:rsidRDefault="009058DE" w:rsidP="009058DE">
      <w:pPr>
        <w:spacing w:line="240" w:lineRule="auto"/>
        <w:rPr>
          <w:rFonts w:eastAsia="Times New Roman" w:cs="Arial"/>
          <w:color w:val="000000"/>
          <w:u w:val="single"/>
          <w:lang w:eastAsia="bg-BG"/>
        </w:rPr>
      </w:pPr>
    </w:p>
    <w:p w14:paraId="106AEC9E" w14:textId="4698D252"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Задържане на течността, оток и хипертония</w:t>
      </w:r>
    </w:p>
    <w:p w14:paraId="710410F5"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Както и при други лекарствени продукти, за които е известно, че потискат простагландиновата синтеза, при пациенти на лечение с еторикоксиб се наблюдават задръжане на течности, оток и хипертония.</w:t>
      </w:r>
    </w:p>
    <w:p w14:paraId="5A9DDDF0" w14:textId="77777777" w:rsidR="009058DE" w:rsidRDefault="009058DE" w:rsidP="009058DE">
      <w:pPr>
        <w:spacing w:line="240" w:lineRule="auto"/>
        <w:rPr>
          <w:rFonts w:eastAsia="Times New Roman" w:cs="Arial"/>
          <w:color w:val="000000"/>
          <w:lang w:eastAsia="bg-BG"/>
        </w:rPr>
      </w:pPr>
    </w:p>
    <w:p w14:paraId="440B839C" w14:textId="1DA4E97B"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Всички нестероидни противовъзпалителни средства (НСПВС), включително еторикоксиб, могат да се свържат с новопоявила се или рекурентна застойна сърдечна недостатъчност. За информация относно определяния от дозата отговор при еторикоксиб вижте точка 5.1 Внимателно трябва да се подхожда към пациентите с анамнеза за сърдечна недостатъчност, левокамерна дисфункция, хипертония, както и към пациенти с предхождащ оток по други причини. Ако има клинични данни за влошаване на състоянието на тези пациенти, следва да се предприемат подходящи мерки, в това число и прекратяване на лечението с еторикоксиб.</w:t>
      </w:r>
    </w:p>
    <w:p w14:paraId="4FF3EFD4" w14:textId="77777777" w:rsidR="009058DE" w:rsidRDefault="009058DE" w:rsidP="009058DE">
      <w:pPr>
        <w:spacing w:line="240" w:lineRule="auto"/>
        <w:rPr>
          <w:rFonts w:eastAsia="Times New Roman" w:cs="Arial"/>
          <w:color w:val="000000"/>
          <w:lang w:eastAsia="bg-BG"/>
        </w:rPr>
      </w:pPr>
    </w:p>
    <w:p w14:paraId="08C4D436" w14:textId="75581A40"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Еторикоксиб може да бъде свързан с проява на по-честа и тежка хипертония в сравнение с други НСПВС и селективни СОХ-2 инхибитори, особено при високи дози. Поради това хипертонията трябва да бъде контролирана преди лечението с еторикоксиб (вж. т 4.3) и трябва да се обърне особено внимание на проследяване на кръвното налягане по време на лечението с еторикоксиб. Кръвното налягане следва да бъде контролирано две седмици от започване на лечението и периодично след това.Ако кръвното налягане се повиши значително, трябва да се помисли за алтернативно лечение.</w:t>
      </w:r>
    </w:p>
    <w:p w14:paraId="46E80637" w14:textId="77777777" w:rsidR="009058DE" w:rsidRDefault="009058DE" w:rsidP="009058DE">
      <w:pPr>
        <w:spacing w:line="240" w:lineRule="auto"/>
        <w:rPr>
          <w:rFonts w:eastAsia="Times New Roman" w:cs="Arial"/>
          <w:color w:val="000000"/>
          <w:u w:val="single"/>
          <w:lang w:eastAsia="bg-BG"/>
        </w:rPr>
      </w:pPr>
    </w:p>
    <w:p w14:paraId="020DDB9C" w14:textId="5C44651E"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Ефекти върху черния дроб</w:t>
      </w:r>
    </w:p>
    <w:p w14:paraId="68AEA7CA"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Повишаване на аланинаминотрансферазата </w:t>
      </w:r>
      <w:r w:rsidRPr="009058DE">
        <w:rPr>
          <w:rFonts w:eastAsia="Times New Roman" w:cs="Arial"/>
          <w:color w:val="000000"/>
          <w:lang w:val="en-US"/>
        </w:rPr>
        <w:t xml:space="preserve">(ALT) </w:t>
      </w:r>
      <w:r w:rsidRPr="009058DE">
        <w:rPr>
          <w:rFonts w:eastAsia="Times New Roman" w:cs="Arial"/>
          <w:color w:val="000000"/>
          <w:lang w:eastAsia="bg-BG"/>
        </w:rPr>
        <w:t xml:space="preserve">и/или аспартатаминотрансферазата </w:t>
      </w:r>
      <w:r w:rsidRPr="009058DE">
        <w:rPr>
          <w:rFonts w:eastAsia="Times New Roman" w:cs="Arial"/>
          <w:color w:val="000000"/>
          <w:lang w:val="en-US"/>
        </w:rPr>
        <w:t xml:space="preserve">(AST) </w:t>
      </w:r>
      <w:r w:rsidRPr="009058DE">
        <w:rPr>
          <w:rFonts w:eastAsia="Times New Roman" w:cs="Arial"/>
          <w:color w:val="000000"/>
          <w:lang w:eastAsia="bg-BG"/>
        </w:rPr>
        <w:t xml:space="preserve">(приблизително три или повече пъти над горната нормална граница) е било наблюдавано при около 1 % от пациентите в клиничните проучвания, които са лекувани с еторикоксиб до 1 година при доза 30,60 и 90 </w:t>
      </w:r>
      <w:r w:rsidRPr="009058DE">
        <w:rPr>
          <w:rFonts w:eastAsia="Times New Roman" w:cs="Arial"/>
          <w:color w:val="000000"/>
          <w:lang w:val="en-US"/>
        </w:rPr>
        <w:t xml:space="preserve">mg </w:t>
      </w:r>
      <w:r w:rsidRPr="009058DE">
        <w:rPr>
          <w:rFonts w:eastAsia="Times New Roman" w:cs="Arial"/>
          <w:color w:val="000000"/>
          <w:lang w:eastAsia="bg-BG"/>
        </w:rPr>
        <w:t>дневно.</w:t>
      </w:r>
    </w:p>
    <w:p w14:paraId="074A4A69" w14:textId="77777777" w:rsidR="009058DE" w:rsidRDefault="009058DE" w:rsidP="009058DE">
      <w:pPr>
        <w:spacing w:line="240" w:lineRule="auto"/>
        <w:rPr>
          <w:rFonts w:eastAsia="Times New Roman" w:cs="Arial"/>
          <w:color w:val="000000"/>
          <w:lang w:eastAsia="bg-BG"/>
        </w:rPr>
      </w:pPr>
    </w:p>
    <w:p w14:paraId="0F67F277" w14:textId="4E434F69"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Пациентите със симптоми и / или признаци за чернодробна дисфункция, следва да бъдат мониторирани. Ако се наблюдават признаци на чернодробна недостатъчност или персистират</w:t>
      </w:r>
      <w:r w:rsidRPr="009058DE">
        <w:rPr>
          <w:rFonts w:eastAsia="Times New Roman" w:cs="Arial"/>
          <w:color w:val="000000"/>
          <w:u w:val="single"/>
          <w:lang w:eastAsia="bg-BG"/>
        </w:rPr>
        <w:t xml:space="preserve"> </w:t>
      </w:r>
      <w:r w:rsidRPr="009058DE">
        <w:rPr>
          <w:rFonts w:eastAsia="Times New Roman" w:cs="Arial"/>
          <w:color w:val="000000"/>
          <w:lang w:eastAsia="bg-BG"/>
        </w:rPr>
        <w:t>патологични резултати от чернодробните тестове (три пъти над нормалната горна граница) лечението с еторикоксиб трябва да се прекрати.</w:t>
      </w:r>
    </w:p>
    <w:p w14:paraId="7647C2A7" w14:textId="77777777" w:rsidR="009058DE" w:rsidRDefault="009058DE" w:rsidP="009058DE">
      <w:pPr>
        <w:spacing w:line="240" w:lineRule="auto"/>
        <w:rPr>
          <w:rFonts w:eastAsia="Times New Roman" w:cs="Arial"/>
          <w:color w:val="000000"/>
          <w:u w:val="single"/>
          <w:lang w:eastAsia="bg-BG"/>
        </w:rPr>
      </w:pPr>
    </w:p>
    <w:p w14:paraId="21CD6FF0" w14:textId="32C74485"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Об</w:t>
      </w:r>
      <w:r>
        <w:rPr>
          <w:rFonts w:eastAsia="Times New Roman" w:cs="Arial"/>
          <w:color w:val="000000"/>
          <w:u w:val="single"/>
          <w:lang w:eastAsia="bg-BG"/>
        </w:rPr>
        <w:t>щ</w:t>
      </w:r>
      <w:r w:rsidRPr="009058DE">
        <w:rPr>
          <w:rFonts w:eastAsia="Times New Roman" w:cs="Arial"/>
          <w:color w:val="000000"/>
          <w:u w:val="single"/>
          <w:lang w:eastAsia="bg-BG"/>
        </w:rPr>
        <w:t>и ефекти</w:t>
      </w:r>
    </w:p>
    <w:p w14:paraId="4A36952D" w14:textId="77777777" w:rsidR="009058DE" w:rsidRPr="009058DE" w:rsidRDefault="009058DE" w:rsidP="009058DE">
      <w:pPr>
        <w:rPr>
          <w:rFonts w:eastAsia="Times New Roman" w:cs="Arial"/>
          <w:lang w:eastAsia="bg-BG"/>
        </w:rPr>
      </w:pPr>
      <w:r w:rsidRPr="009058DE">
        <w:rPr>
          <w:rFonts w:eastAsia="Times New Roman" w:cs="Arial"/>
          <w:color w:val="000000"/>
          <w:lang w:eastAsia="bg-BG"/>
        </w:rPr>
        <w:t>Ако по време на лечението при пациентите се влошат функциите на някоя от по-горе описаните</w:t>
      </w:r>
      <w:r>
        <w:rPr>
          <w:rFonts w:eastAsia="Times New Roman" w:cs="Arial"/>
          <w:color w:val="000000"/>
          <w:lang w:eastAsia="bg-BG"/>
        </w:rPr>
        <w:t xml:space="preserve"> </w:t>
      </w:r>
      <w:r w:rsidRPr="009058DE">
        <w:rPr>
          <w:rFonts w:eastAsia="Times New Roman" w:cs="Arial"/>
          <w:color w:val="000000"/>
          <w:lang w:eastAsia="bg-BG"/>
        </w:rPr>
        <w:t>системи, трябва да се вземат подходящи мерки и да се помисли за прекъсване на терапията с еторикоксиб. Трябва да се осъществява адекватно медицинско наблюдение по време на провеждането на лечение с еторикоксиб на пациенти в старческа възраст и такива с налична бъбречна, чернодробна или сърдечна дисфункция.</w:t>
      </w:r>
    </w:p>
    <w:p w14:paraId="4AAD9D76" w14:textId="77777777" w:rsidR="009058DE" w:rsidRDefault="009058DE" w:rsidP="009058DE">
      <w:pPr>
        <w:spacing w:line="240" w:lineRule="auto"/>
        <w:rPr>
          <w:rFonts w:eastAsia="Times New Roman" w:cs="Arial"/>
          <w:color w:val="000000"/>
          <w:lang w:eastAsia="bg-BG"/>
        </w:rPr>
      </w:pPr>
    </w:p>
    <w:p w14:paraId="2B05B3F1" w14:textId="306FC38C"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Лечението с еторикоксиб трябва да се осъществява внимателно при дехидратирани пациенти. Препоръчва се предварителна рехидратация на такива пациенти преди да започне терапията с еторикоксиб.</w:t>
      </w:r>
    </w:p>
    <w:p w14:paraId="713DEC30" w14:textId="77777777" w:rsidR="009058DE" w:rsidRDefault="009058DE" w:rsidP="009058DE">
      <w:pPr>
        <w:spacing w:line="240" w:lineRule="auto"/>
        <w:rPr>
          <w:rFonts w:eastAsia="Times New Roman" w:cs="Arial"/>
          <w:color w:val="000000"/>
          <w:lang w:eastAsia="bg-BG"/>
        </w:rPr>
      </w:pPr>
    </w:p>
    <w:p w14:paraId="14D5012A" w14:textId="017E9C46"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Сериозни кожни реакции, някои от които фатални, като ексфолиативен дерматит, синдром на </w:t>
      </w:r>
      <w:r w:rsidRPr="009058DE">
        <w:rPr>
          <w:rFonts w:eastAsia="Times New Roman" w:cs="Arial"/>
          <w:color w:val="000000"/>
          <w:lang w:val="en-US"/>
        </w:rPr>
        <w:t xml:space="preserve">Stevens-Johnson </w:t>
      </w:r>
      <w:r w:rsidRPr="009058DE">
        <w:rPr>
          <w:rFonts w:eastAsia="Times New Roman" w:cs="Arial"/>
          <w:color w:val="000000"/>
          <w:lang w:eastAsia="bg-BG"/>
        </w:rPr>
        <w:t xml:space="preserve">и токсична епцдермална некролиза, са били докладвани много рядко във връзка с използването на НСПВС и някои селективни СОХ-2 инхибитори </w:t>
      </w:r>
      <w:r w:rsidRPr="009058DE">
        <w:rPr>
          <w:rFonts w:eastAsia="Times New Roman" w:cs="Arial"/>
          <w:color w:val="000000"/>
          <w:lang w:eastAsia="bg-BG"/>
        </w:rPr>
        <w:lastRenderedPageBreak/>
        <w:t>през пост-маркетинговото наблюдение (вж. точка 4.8). Пациентите са изложени на най-голям риск от такива реакции в началото на терапията, като първата реакция се появява в повечето случаи през първия месец от лечението. Сериозни реакции на свръхчувствителност (като анафилаксия и ангиоедем) са били съобщавани при пациенти, приемащи еторикоксиб (вж. точка 4.8). Някои селективни СОХ-2 инхибитори са свързани с повишен риск от кожни реакции при пациенти, които са имали анамнеза за лекарствена алергия. Приемът на еторикоксиб трябва да бъде прекратен при първата проява на кожен обрив, лезия на лигавицата или други симптоми на свръхчувствителност.</w:t>
      </w:r>
    </w:p>
    <w:p w14:paraId="24B2B444" w14:textId="77777777" w:rsidR="009058DE" w:rsidRDefault="009058DE" w:rsidP="009058DE">
      <w:pPr>
        <w:spacing w:line="240" w:lineRule="auto"/>
        <w:rPr>
          <w:rFonts w:eastAsia="Times New Roman" w:cs="Arial"/>
          <w:color w:val="000000"/>
          <w:lang w:eastAsia="bg-BG"/>
        </w:rPr>
      </w:pPr>
    </w:p>
    <w:p w14:paraId="4A9A6F37" w14:textId="6F9AE792"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Еторикоксиб може да замаскира фебрилитет и други признаци на възпалителни заболявания.</w:t>
      </w:r>
    </w:p>
    <w:p w14:paraId="67413269" w14:textId="77777777" w:rsidR="009058DE" w:rsidRDefault="009058DE" w:rsidP="009058DE">
      <w:pPr>
        <w:spacing w:line="240" w:lineRule="auto"/>
        <w:rPr>
          <w:rFonts w:eastAsia="Times New Roman" w:cs="Arial"/>
          <w:color w:val="000000"/>
          <w:lang w:eastAsia="bg-BG"/>
        </w:rPr>
      </w:pPr>
    </w:p>
    <w:p w14:paraId="21A96B59" w14:textId="76BA61A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Внимателно трябва да се подхожда при едновременно прилагане на еторикоксиб с варфарин или други перорални антикоагуланти (вж. точка 4.5).</w:t>
      </w:r>
    </w:p>
    <w:p w14:paraId="377ED92E" w14:textId="77777777" w:rsidR="009058DE" w:rsidRDefault="009058DE" w:rsidP="009058DE">
      <w:pPr>
        <w:spacing w:line="240" w:lineRule="auto"/>
        <w:rPr>
          <w:rFonts w:eastAsia="Times New Roman" w:cs="Arial"/>
          <w:color w:val="000000"/>
          <w:lang w:eastAsia="bg-BG"/>
        </w:rPr>
      </w:pPr>
    </w:p>
    <w:p w14:paraId="7B87EB0D" w14:textId="4B37D1F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Използването на еторикоксиб, подобно на други лекарствени продукти, които потискат циклооксигеназната/простагландиновата синтеза, не се препоръчва при жени, които се опитват да забременеят (вж. точки 4.6, 5.1 и 5.3).</w:t>
      </w:r>
    </w:p>
    <w:p w14:paraId="00800C31" w14:textId="77777777" w:rsidR="009058DE" w:rsidRDefault="009058DE" w:rsidP="009058DE">
      <w:pPr>
        <w:spacing w:line="240" w:lineRule="auto"/>
        <w:rPr>
          <w:rFonts w:eastAsia="Times New Roman" w:cs="Arial"/>
          <w:color w:val="000000"/>
          <w:lang w:eastAsia="bg-BG"/>
        </w:rPr>
      </w:pPr>
    </w:p>
    <w:p w14:paraId="28515AFE" w14:textId="185E9B7F"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Таблетките КОКСИЕНТ съдържат лактоза. Пациенти с рядко срещана наследствена непоносимост към галактоза, лакгазна недостатъчност или глюкозо-галактозна малабсорбция, не трябва да приемат това лекарство.</w:t>
      </w:r>
    </w:p>
    <w:p w14:paraId="1F9125A3" w14:textId="77777777" w:rsidR="009058DE" w:rsidRPr="009058DE" w:rsidRDefault="009058DE" w:rsidP="009058DE">
      <w:pPr>
        <w:rPr>
          <w:rFonts w:eastAsia="Times New Roman" w:cs="Arial"/>
          <w:color w:val="000000"/>
          <w:lang w:eastAsia="bg-BG"/>
        </w:rPr>
      </w:pPr>
    </w:p>
    <w:p w14:paraId="1DA47448" w14:textId="4B6057FE"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A1C7AD9" w14:textId="41A1B864" w:rsidR="009058DE" w:rsidRDefault="009058DE" w:rsidP="009058DE"/>
    <w:p w14:paraId="3B75171E"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Фармакодинамични взаимодействия:</w:t>
      </w:r>
    </w:p>
    <w:p w14:paraId="6C9D2539" w14:textId="77777777" w:rsidR="009058DE" w:rsidRDefault="009058DE" w:rsidP="009058DE">
      <w:pPr>
        <w:spacing w:line="240" w:lineRule="auto"/>
        <w:rPr>
          <w:rFonts w:eastAsia="Times New Roman" w:cs="Arial"/>
          <w:i/>
          <w:iCs/>
          <w:color w:val="000000"/>
          <w:lang w:eastAsia="bg-BG"/>
        </w:rPr>
      </w:pPr>
    </w:p>
    <w:p w14:paraId="16049AA4" w14:textId="6D157E5A"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Перорални антикоагуланти</w:t>
      </w:r>
    </w:p>
    <w:p w14:paraId="49AD36A8"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При пациенти, стабилизирани на хронично лечение с варфарин, прилагането на еторикоксиб 120 </w:t>
      </w:r>
      <w:r w:rsidRPr="009058DE">
        <w:rPr>
          <w:rFonts w:eastAsia="Times New Roman" w:cs="Arial"/>
          <w:color w:val="000000"/>
          <w:lang w:val="en-US"/>
        </w:rPr>
        <w:t xml:space="preserve">mg </w:t>
      </w:r>
      <w:r w:rsidRPr="009058DE">
        <w:rPr>
          <w:rFonts w:eastAsia="Times New Roman" w:cs="Arial"/>
          <w:color w:val="000000"/>
          <w:lang w:eastAsia="bg-BG"/>
        </w:rPr>
        <w:t xml:space="preserve">дневно е свързано с приблизително 13 % увеличение на </w:t>
      </w:r>
      <w:r w:rsidRPr="009058DE">
        <w:rPr>
          <w:rFonts w:eastAsia="Times New Roman" w:cs="Arial"/>
          <w:color w:val="000000"/>
          <w:lang w:val="en-US"/>
        </w:rPr>
        <w:t xml:space="preserve">INR (International </w:t>
      </w:r>
      <w:proofErr w:type="spellStart"/>
      <w:r w:rsidRPr="009058DE">
        <w:rPr>
          <w:rFonts w:eastAsia="Times New Roman" w:cs="Arial"/>
          <w:color w:val="000000"/>
          <w:lang w:val="en-US"/>
        </w:rPr>
        <w:t>Normalised</w:t>
      </w:r>
      <w:proofErr w:type="spellEnd"/>
      <w:r w:rsidRPr="009058DE">
        <w:rPr>
          <w:rFonts w:eastAsia="Times New Roman" w:cs="Arial"/>
          <w:color w:val="000000"/>
          <w:lang w:val="en-US"/>
        </w:rPr>
        <w:t xml:space="preserve"> Ratio </w:t>
      </w:r>
      <w:r w:rsidRPr="009058DE">
        <w:rPr>
          <w:rFonts w:eastAsia="Times New Roman" w:cs="Arial"/>
          <w:color w:val="000000"/>
          <w:lang w:eastAsia="bg-BG"/>
        </w:rPr>
        <w:t xml:space="preserve">= международно нормализирано отношение) на протромбиновото време. Затова пациенти, които се лекуват с перорални антикоагуланти, следва стриктно да бъдат мониторирани по отношение на </w:t>
      </w:r>
      <w:r w:rsidRPr="009058DE">
        <w:rPr>
          <w:rFonts w:eastAsia="Times New Roman" w:cs="Arial"/>
          <w:color w:val="000000"/>
          <w:lang w:val="en-US"/>
        </w:rPr>
        <w:t xml:space="preserve">INR </w:t>
      </w:r>
      <w:r w:rsidRPr="009058DE">
        <w:rPr>
          <w:rFonts w:eastAsia="Times New Roman" w:cs="Arial"/>
          <w:color w:val="000000"/>
          <w:lang w:eastAsia="bg-BG"/>
        </w:rPr>
        <w:t>на протромбиновото време - особено в първите няколко дни, когато лечението с еторикоксиб започва или се променя дозата на лекарството (вж. точка 4.4).</w:t>
      </w:r>
    </w:p>
    <w:p w14:paraId="0A62F4B5" w14:textId="77777777" w:rsidR="009058DE" w:rsidRDefault="009058DE" w:rsidP="009058DE">
      <w:pPr>
        <w:spacing w:line="240" w:lineRule="auto"/>
        <w:rPr>
          <w:rFonts w:eastAsia="Times New Roman" w:cs="Arial"/>
          <w:i/>
          <w:iCs/>
          <w:color w:val="000000"/>
          <w:lang w:eastAsia="bg-BG"/>
        </w:rPr>
      </w:pPr>
    </w:p>
    <w:p w14:paraId="1516A3E6" w14:textId="63A9F683"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 xml:space="preserve">Диуретици, АСЕ и ангиотензин </w:t>
      </w:r>
      <w:r w:rsidRPr="009058DE">
        <w:rPr>
          <w:rFonts w:eastAsia="Times New Roman" w:cs="Arial"/>
          <w:i/>
          <w:iCs/>
          <w:color w:val="000000"/>
          <w:lang w:val="en-US"/>
        </w:rPr>
        <w:t>II</w:t>
      </w:r>
      <w:r w:rsidRPr="009058DE">
        <w:rPr>
          <w:rFonts w:eastAsia="Times New Roman" w:cs="Arial"/>
          <w:i/>
          <w:iCs/>
          <w:color w:val="000000"/>
          <w:lang w:eastAsia="bg-BG"/>
        </w:rPr>
        <w:t xml:space="preserve"> антагонисти</w:t>
      </w:r>
    </w:p>
    <w:p w14:paraId="007BC248" w14:textId="77777777" w:rsidR="009058DE" w:rsidRPr="009058DE" w:rsidRDefault="009058DE" w:rsidP="009058DE">
      <w:pPr>
        <w:rPr>
          <w:rFonts w:eastAsia="Times New Roman" w:cs="Arial"/>
          <w:lang w:eastAsia="bg-BG"/>
        </w:rPr>
      </w:pPr>
      <w:r w:rsidRPr="009058DE">
        <w:rPr>
          <w:rFonts w:eastAsia="Times New Roman" w:cs="Arial"/>
          <w:color w:val="000000"/>
          <w:lang w:eastAsia="bg-BG"/>
        </w:rPr>
        <w:t xml:space="preserve">НСПВС може да намалят ефекта на диуретиците и другите антихипертензивни лекарства. При някои пациенти с увредена бъбречна функция (напр. дехидратирани пациенти или пациенти в старческа възраст с увредена бъбречна функция) едновременното използване на АСЕ- инхибитори или ангиотензин </w:t>
      </w:r>
      <w:r w:rsidRPr="009058DE">
        <w:rPr>
          <w:rFonts w:eastAsia="Times New Roman" w:cs="Arial"/>
          <w:i/>
          <w:iCs/>
          <w:color w:val="000000"/>
          <w:lang w:eastAsia="bg-BG"/>
        </w:rPr>
        <w:t>II</w:t>
      </w:r>
      <w:r w:rsidRPr="009058DE">
        <w:rPr>
          <w:rFonts w:eastAsia="Times New Roman" w:cs="Arial"/>
          <w:color w:val="000000"/>
          <w:lang w:eastAsia="bg-BG"/>
        </w:rPr>
        <w:t xml:space="preserve"> антагонисти и средства, които инхибират циклооксигеназата може да предизвика допълнително влошаване на бъбречната функция, включително развитие на остра бъбречна недостатъчност, което обикновено е обратимо. Този факт следва да се има предвид при пациенти, които взимат едновременно еторикоксиб и АСЕ инхибитори или ангиотензин </w:t>
      </w:r>
      <w:r w:rsidRPr="009058DE">
        <w:rPr>
          <w:rFonts w:eastAsia="Times New Roman" w:cs="Arial"/>
          <w:i/>
          <w:iCs/>
          <w:color w:val="000000"/>
          <w:lang w:eastAsia="bg-BG"/>
        </w:rPr>
        <w:t>II</w:t>
      </w:r>
      <w:r w:rsidRPr="009058DE">
        <w:rPr>
          <w:rFonts w:eastAsia="Times New Roman" w:cs="Arial"/>
          <w:color w:val="000000"/>
          <w:lang w:eastAsia="bg-BG"/>
        </w:rPr>
        <w:t xml:space="preserve"> антагонисти. Поради това тази комбинация трябва да се прилага внимателно; особено при по-възрастни пациенти. Пациентите трябва да бъдат адекватно хидратирани и трябва да се обсъди </w:t>
      </w:r>
      <w:r w:rsidRPr="009058DE">
        <w:rPr>
          <w:rFonts w:eastAsia="Times New Roman" w:cs="Arial"/>
          <w:color w:val="000000"/>
          <w:lang w:eastAsia="bg-BG"/>
        </w:rPr>
        <w:lastRenderedPageBreak/>
        <w:t>мониториране на бъбречната функция след започване на комбинираната</w:t>
      </w:r>
      <w:r>
        <w:rPr>
          <w:rFonts w:eastAsia="Times New Roman" w:cs="Arial"/>
          <w:color w:val="000000"/>
          <w:lang w:eastAsia="bg-BG"/>
        </w:rPr>
        <w:t xml:space="preserve"> </w:t>
      </w:r>
      <w:r w:rsidRPr="009058DE">
        <w:rPr>
          <w:rFonts w:eastAsia="Times New Roman" w:cs="Arial"/>
          <w:color w:val="000000"/>
          <w:lang w:eastAsia="bg-BG"/>
        </w:rPr>
        <w:t>терапия и периодично след това.</w:t>
      </w:r>
    </w:p>
    <w:p w14:paraId="7950DAF4" w14:textId="77777777" w:rsidR="009058DE" w:rsidRDefault="009058DE" w:rsidP="009058DE">
      <w:pPr>
        <w:spacing w:line="240" w:lineRule="auto"/>
        <w:rPr>
          <w:rFonts w:eastAsia="Times New Roman" w:cs="Arial"/>
          <w:i/>
          <w:iCs/>
          <w:color w:val="000000"/>
          <w:lang w:eastAsia="bg-BG"/>
        </w:rPr>
      </w:pPr>
    </w:p>
    <w:p w14:paraId="26D8E2FE" w14:textId="6EF99EE0"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Ацетилсалициова киселина</w:t>
      </w:r>
    </w:p>
    <w:p w14:paraId="6988E727"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При проучване на здрави доброволци с постигнато равновесно състояние </w:t>
      </w:r>
      <w:r w:rsidRPr="009058DE">
        <w:rPr>
          <w:rFonts w:eastAsia="Times New Roman" w:cs="Arial"/>
          <w:color w:val="000000"/>
          <w:lang w:val="en-US"/>
        </w:rPr>
        <w:t xml:space="preserve">(steady state) </w:t>
      </w:r>
      <w:r w:rsidRPr="009058DE">
        <w:rPr>
          <w:rFonts w:eastAsia="Times New Roman" w:cs="Arial"/>
          <w:color w:val="000000"/>
          <w:lang w:eastAsia="bg-BG"/>
        </w:rPr>
        <w:t xml:space="preserve">еторикоксиб в доза 120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не е повлиял антиагрегантната активност на ацетилсалициловата киселина (доза 81 </w:t>
      </w:r>
      <w:r w:rsidRPr="009058DE">
        <w:rPr>
          <w:rFonts w:eastAsia="Times New Roman" w:cs="Arial"/>
          <w:color w:val="000000"/>
          <w:lang w:val="en-US"/>
        </w:rPr>
        <w:t xml:space="preserve">mg </w:t>
      </w:r>
      <w:r w:rsidRPr="009058DE">
        <w:rPr>
          <w:rFonts w:eastAsia="Times New Roman" w:cs="Arial"/>
          <w:color w:val="000000"/>
          <w:lang w:eastAsia="bg-BG"/>
        </w:rPr>
        <w:t>веднъж дневно). Еторикоксиб може да се използва едновременно с ацетилсалицилова киселина, дадена в доза за профилактика на сърдечно</w:t>
      </w:r>
      <w:r w:rsidRPr="009058DE">
        <w:rPr>
          <w:rFonts w:eastAsia="Times New Roman" w:cs="Arial"/>
          <w:color w:val="000000"/>
          <w:lang w:eastAsia="bg-BG"/>
        </w:rPr>
        <w:softHyphen/>
        <w:t>съдови инциденти (ниска доза на ацетилсалицилова киселина (аспирин)). Все пак едновременното прилагане на ацетилсалицилова киселина (ниска доза) с еторикоксиб може да увеличи честотата на улцерациите и другите СЧ усложнения в сравнение със случаите, когато еторикоксиб се използва самостоятелно. Не се препоръчва едновременното прилагане на еторикоксиб с по-високи от посочените за профилактика на сърдечно-съдови инциденти дози ацетилсалицилова киселина, както и с други НСПВС (вж. точки 5.1 и 4.4).</w:t>
      </w:r>
    </w:p>
    <w:p w14:paraId="6B8C11C9" w14:textId="77777777" w:rsidR="009058DE" w:rsidRDefault="009058DE" w:rsidP="009058DE">
      <w:pPr>
        <w:spacing w:line="240" w:lineRule="auto"/>
        <w:rPr>
          <w:rFonts w:eastAsia="Times New Roman" w:cs="Arial"/>
          <w:i/>
          <w:iCs/>
          <w:color w:val="000000"/>
          <w:lang w:eastAsia="bg-BG"/>
        </w:rPr>
      </w:pPr>
    </w:p>
    <w:p w14:paraId="4418ABB1" w14:textId="2DECABEB"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Циклоспорин и такролимус</w:t>
      </w:r>
    </w:p>
    <w:p w14:paraId="017F8E0E"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Въпреки че това взаимодействие с еторикоксиб не е проучвано, се знае, че едновременното прилагане на циклоспорин или такролимус с НСПВС може да увеличи нефротоксичния ефект на двете лекарства - циклоспорин или такролимус. Бъбречната функция следва да бъде мониторирана, когато се прилага еторикоксиб в комбинация с някои от тези две лекарства.</w:t>
      </w:r>
    </w:p>
    <w:p w14:paraId="691C55A9" w14:textId="77777777" w:rsidR="009058DE" w:rsidRDefault="009058DE" w:rsidP="009058DE">
      <w:pPr>
        <w:spacing w:line="240" w:lineRule="auto"/>
        <w:rPr>
          <w:rFonts w:eastAsia="Times New Roman" w:cs="Arial"/>
          <w:color w:val="000000"/>
          <w:u w:val="single"/>
          <w:lang w:eastAsia="bg-BG"/>
        </w:rPr>
      </w:pPr>
    </w:p>
    <w:p w14:paraId="15796004" w14:textId="77934DCB"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Фармакокинетични взаимодействия</w:t>
      </w:r>
    </w:p>
    <w:p w14:paraId="03DAB4D9" w14:textId="77777777" w:rsidR="009058DE" w:rsidRDefault="009058DE" w:rsidP="009058DE">
      <w:pPr>
        <w:spacing w:line="240" w:lineRule="auto"/>
        <w:rPr>
          <w:rFonts w:eastAsia="Times New Roman" w:cs="Arial"/>
          <w:i/>
          <w:iCs/>
          <w:color w:val="000000"/>
          <w:lang w:eastAsia="bg-BG"/>
        </w:rPr>
      </w:pPr>
    </w:p>
    <w:p w14:paraId="6C654461" w14:textId="7F0F2A67"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Ефект на еторикоксиб върху фармакокинетиката на други лекарства</w:t>
      </w:r>
    </w:p>
    <w:p w14:paraId="7826EEC0" w14:textId="77777777" w:rsidR="009058DE" w:rsidRDefault="009058DE" w:rsidP="009058DE">
      <w:pPr>
        <w:spacing w:line="240" w:lineRule="auto"/>
        <w:rPr>
          <w:rFonts w:eastAsia="Times New Roman" w:cs="Arial"/>
          <w:color w:val="000000"/>
          <w:lang w:eastAsia="bg-BG"/>
        </w:rPr>
      </w:pPr>
    </w:p>
    <w:p w14:paraId="03FD3B29" w14:textId="78588D05"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Литий: НСПВС намаляват бъбречната екскреция на литий, поради което се увеличава плазмената му концентрация. При необходимост трябва да се мониторира стриктно концентрацията на литий в кръвта и да се адаптира дозата на лития, докато се приема тази лекарствена комбинация, както и при спирането на НСПВС.</w:t>
      </w:r>
    </w:p>
    <w:p w14:paraId="5258D798" w14:textId="77777777" w:rsidR="009058DE" w:rsidRDefault="009058DE" w:rsidP="009058DE">
      <w:pPr>
        <w:spacing w:line="240" w:lineRule="auto"/>
        <w:rPr>
          <w:rFonts w:eastAsia="Times New Roman" w:cs="Arial"/>
          <w:color w:val="000000"/>
          <w:lang w:eastAsia="bg-BG"/>
        </w:rPr>
      </w:pPr>
    </w:p>
    <w:p w14:paraId="24D33DC8" w14:textId="08A2385C"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Метотрексат: Проведени са две проучвания за изследване на ефекта на еторикоксиб в доза 60, 90 или 120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в продължение на 7 дни при пациенти на лечение с метотрексат в доза от 7,5 до 20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седмично за лечение на ревматоиден артрит. Еторикоксиб при доза от 60 и 90 </w:t>
      </w:r>
      <w:r w:rsidRPr="009058DE">
        <w:rPr>
          <w:rFonts w:eastAsia="Times New Roman" w:cs="Arial"/>
          <w:color w:val="000000"/>
          <w:lang w:val="en-US"/>
        </w:rPr>
        <w:t xml:space="preserve">mg </w:t>
      </w:r>
      <w:r w:rsidRPr="009058DE">
        <w:rPr>
          <w:rFonts w:eastAsia="Times New Roman" w:cs="Arial"/>
          <w:color w:val="000000"/>
          <w:lang w:eastAsia="bg-BG"/>
        </w:rPr>
        <w:t xml:space="preserve">не е оказал ефект върху плазмената концентрация на метотрексат или бъбречния му клирънс.В едно проучване еторикоксиб в доза от 120 </w:t>
      </w:r>
      <w:r w:rsidRPr="009058DE">
        <w:rPr>
          <w:rFonts w:eastAsia="Times New Roman" w:cs="Arial"/>
          <w:color w:val="000000"/>
          <w:lang w:val="en-US"/>
        </w:rPr>
        <w:t xml:space="preserve">mg </w:t>
      </w:r>
      <w:r w:rsidRPr="009058DE">
        <w:rPr>
          <w:rFonts w:eastAsia="Times New Roman" w:cs="Arial"/>
          <w:color w:val="000000"/>
          <w:lang w:eastAsia="bg-BG"/>
        </w:rPr>
        <w:t>не е имал ефект, но в друго проучване при тази доза е увеличил плазмената концентрация на метотрексат с 28% и е намалил бъбречния клирънс на метотрексат с 13%. Препоръчва се мониториране за токсични ефекти на метотрексат, когато той се прилага в комбинация с еторикоксиб.</w:t>
      </w:r>
    </w:p>
    <w:p w14:paraId="6A426785" w14:textId="77777777" w:rsidR="009058DE" w:rsidRDefault="009058DE" w:rsidP="009058DE">
      <w:pPr>
        <w:spacing w:line="240" w:lineRule="auto"/>
        <w:rPr>
          <w:rFonts w:eastAsia="Times New Roman" w:cs="Arial"/>
          <w:color w:val="000000"/>
          <w:lang w:eastAsia="bg-BG"/>
        </w:rPr>
      </w:pPr>
    </w:p>
    <w:p w14:paraId="56F5E9BC" w14:textId="3553C892"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Перорални контрацептиви:</w:t>
      </w:r>
    </w:p>
    <w:p w14:paraId="3314C776"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Прилагането на 60 </w:t>
      </w:r>
      <w:r w:rsidRPr="009058DE">
        <w:rPr>
          <w:rFonts w:eastAsia="Times New Roman" w:cs="Arial"/>
          <w:color w:val="000000"/>
          <w:lang w:val="en-US"/>
        </w:rPr>
        <w:t xml:space="preserve">mg </w:t>
      </w:r>
      <w:r w:rsidRPr="009058DE">
        <w:rPr>
          <w:rFonts w:eastAsia="Times New Roman" w:cs="Arial"/>
          <w:color w:val="000000"/>
          <w:lang w:eastAsia="bg-BG"/>
        </w:rPr>
        <w:t xml:space="preserve">еторикоксиб едновременно с перорални контрацептиви, съдържащи 35 микрограма етинилестрадиол (ЕЕ) и 0,5 до 1 </w:t>
      </w:r>
      <w:r w:rsidRPr="009058DE">
        <w:rPr>
          <w:rFonts w:eastAsia="Times New Roman" w:cs="Arial"/>
          <w:color w:val="000000"/>
          <w:lang w:val="en-US"/>
        </w:rPr>
        <w:t xml:space="preserve">mg </w:t>
      </w:r>
      <w:r w:rsidRPr="009058DE">
        <w:rPr>
          <w:rFonts w:eastAsia="Times New Roman" w:cs="Arial"/>
          <w:color w:val="000000"/>
          <w:lang w:eastAsia="bg-BG"/>
        </w:rPr>
        <w:t xml:space="preserve">норетиндрон в продължение на 21 дни, е увеличило площта под кривата при стационарно състояние </w:t>
      </w:r>
      <w:r w:rsidRPr="009058DE">
        <w:rPr>
          <w:rFonts w:eastAsia="Times New Roman" w:cs="Arial"/>
          <w:color w:val="000000"/>
          <w:lang w:val="en-US"/>
        </w:rPr>
        <w:t>AUC</w:t>
      </w:r>
      <w:r w:rsidRPr="009058DE">
        <w:rPr>
          <w:rFonts w:eastAsia="Times New Roman" w:cs="Arial"/>
          <w:color w:val="000000"/>
          <w:vertAlign w:val="subscript"/>
          <w:lang w:val="en-US"/>
        </w:rPr>
        <w:t>0-24</w:t>
      </w:r>
      <w:r w:rsidRPr="009058DE">
        <w:rPr>
          <w:rFonts w:eastAsia="Times New Roman" w:cs="Arial"/>
          <w:color w:val="000000"/>
          <w:lang w:val="en-US"/>
        </w:rPr>
        <w:t xml:space="preserve"> </w:t>
      </w:r>
      <w:r w:rsidRPr="009058DE">
        <w:rPr>
          <w:rFonts w:eastAsia="Times New Roman" w:cs="Arial"/>
          <w:color w:val="000000"/>
          <w:lang w:eastAsia="bg-BG"/>
        </w:rPr>
        <w:t xml:space="preserve">за ЕЕ с 37 %. Прилагането на 120 </w:t>
      </w:r>
      <w:r w:rsidRPr="009058DE">
        <w:rPr>
          <w:rFonts w:eastAsia="Times New Roman" w:cs="Arial"/>
          <w:color w:val="000000"/>
          <w:lang w:val="en-US"/>
        </w:rPr>
        <w:t xml:space="preserve">mg </w:t>
      </w:r>
      <w:r w:rsidRPr="009058DE">
        <w:rPr>
          <w:rFonts w:eastAsia="Times New Roman" w:cs="Arial"/>
          <w:color w:val="000000"/>
          <w:lang w:eastAsia="bg-BG"/>
        </w:rPr>
        <w:t xml:space="preserve">еторикоксиб със същия перорален контрацептив, едновременно или с интервал от 12 часа, е увеличило площта под кривата при стационарно състояние </w:t>
      </w:r>
      <w:r w:rsidRPr="009058DE">
        <w:rPr>
          <w:rFonts w:eastAsia="Times New Roman" w:cs="Arial"/>
          <w:smallCaps/>
          <w:color w:val="000000"/>
          <w:lang w:val="en-US"/>
        </w:rPr>
        <w:t>AUC</w:t>
      </w:r>
      <w:r w:rsidRPr="009058DE">
        <w:rPr>
          <w:rFonts w:eastAsia="Times New Roman" w:cs="Arial"/>
          <w:smallCaps/>
          <w:color w:val="000000"/>
          <w:vertAlign w:val="subscript"/>
          <w:lang w:val="en-US"/>
        </w:rPr>
        <w:t>0-24</w:t>
      </w:r>
      <w:r w:rsidRPr="009058DE">
        <w:rPr>
          <w:rFonts w:eastAsia="Times New Roman" w:cs="Arial"/>
          <w:color w:val="000000"/>
          <w:lang w:val="en-US"/>
        </w:rPr>
        <w:t xml:space="preserve"> </w:t>
      </w:r>
      <w:r w:rsidRPr="009058DE">
        <w:rPr>
          <w:rFonts w:eastAsia="Times New Roman" w:cs="Arial"/>
          <w:color w:val="000000"/>
          <w:lang w:eastAsia="bg-BG"/>
        </w:rPr>
        <w:t>за ЕЕ от 50 до 60 %. Това увеличение на концентрацията на ЕЕ следва да се има предвид, когато се избира перорален контрацептив, който да се използва по време на прилагането на еторикоксиб.</w:t>
      </w:r>
    </w:p>
    <w:p w14:paraId="3F34BE80"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lastRenderedPageBreak/>
        <w:t>Увеличеното въздействие на ЕЕ може да повиши честотата на нежеланите реакции, свързани с пероралните контрацептиви (напр. прояви на венозна тромбоемболия при рискови жени).</w:t>
      </w:r>
    </w:p>
    <w:p w14:paraId="26E0F1C2" w14:textId="77777777" w:rsidR="009058DE" w:rsidRDefault="009058DE" w:rsidP="009058DE">
      <w:pPr>
        <w:rPr>
          <w:rFonts w:eastAsia="Times New Roman" w:cs="Arial"/>
          <w:color w:val="000000"/>
          <w:lang w:eastAsia="bg-BG"/>
        </w:rPr>
      </w:pPr>
    </w:p>
    <w:p w14:paraId="742B9AD5" w14:textId="1EA75E92" w:rsidR="009058DE" w:rsidRDefault="009058DE" w:rsidP="009058DE">
      <w:pPr>
        <w:rPr>
          <w:rFonts w:eastAsia="Times New Roman" w:cs="Arial"/>
          <w:color w:val="000000"/>
          <w:lang w:val="en-US"/>
        </w:rPr>
      </w:pPr>
      <w:r w:rsidRPr="009058DE">
        <w:rPr>
          <w:rFonts w:eastAsia="Times New Roman" w:cs="Arial"/>
          <w:color w:val="000000"/>
          <w:lang w:eastAsia="bg-BG"/>
        </w:rPr>
        <w:t xml:space="preserve">Хормоно-заместителна терапия (ХЗТ): Прилагането на еторикоксиб 120 </w:t>
      </w:r>
      <w:r w:rsidRPr="009058DE">
        <w:rPr>
          <w:rFonts w:eastAsia="Times New Roman" w:cs="Arial"/>
          <w:color w:val="000000"/>
          <w:lang w:val="en-US"/>
        </w:rPr>
        <w:t xml:space="preserve">mg </w:t>
      </w:r>
      <w:r w:rsidRPr="009058DE">
        <w:rPr>
          <w:rFonts w:eastAsia="Times New Roman" w:cs="Arial"/>
          <w:color w:val="000000"/>
          <w:lang w:eastAsia="bg-BG"/>
        </w:rPr>
        <w:t xml:space="preserve">заедно с хормонозаместителна терапия, съставена от конюгирани естрогени (0,625 </w:t>
      </w:r>
      <w:r w:rsidRPr="009058DE">
        <w:rPr>
          <w:rFonts w:eastAsia="Times New Roman" w:cs="Arial"/>
          <w:color w:val="000000"/>
          <w:lang w:val="en-US"/>
        </w:rPr>
        <w:t xml:space="preserve">mg </w:t>
      </w:r>
      <w:r w:rsidRPr="009058DE">
        <w:rPr>
          <w:rFonts w:eastAsia="Times New Roman" w:cs="Arial"/>
          <w:color w:val="000000"/>
          <w:lang w:eastAsia="bg-BG"/>
        </w:rPr>
        <w:t xml:space="preserve">Премарин) продължение на 28 дни е увеличило площта под кривата при стационарно състояние на неконюгирания естрон (41 %), еквилин (76 %), и 17-β -естрадиол (22 %). Ефектът на препоръчителните хронични дози еторикоксиб (30, 60 и 90 </w:t>
      </w:r>
      <w:r w:rsidRPr="009058DE">
        <w:rPr>
          <w:rFonts w:eastAsia="Times New Roman" w:cs="Arial"/>
          <w:color w:val="000000"/>
          <w:lang w:val="en-US"/>
        </w:rPr>
        <w:t>mg</w:t>
      </w:r>
      <w:r w:rsidRPr="009058DE">
        <w:rPr>
          <w:rFonts w:eastAsia="Times New Roman" w:cs="Arial"/>
          <w:color w:val="000000"/>
          <w:lang w:eastAsia="bg-BG"/>
        </w:rPr>
        <w:t>) не е бил проучен. Площите под</w:t>
      </w:r>
      <w:r w:rsidRPr="009058DE">
        <w:rPr>
          <w:rFonts w:eastAsia="Times New Roman" w:cs="Arial"/>
          <w:color w:val="000000"/>
          <w:u w:val="single"/>
          <w:lang w:eastAsia="bg-BG"/>
        </w:rPr>
        <w:t xml:space="preserve"> </w:t>
      </w:r>
      <w:r w:rsidRPr="009058DE">
        <w:rPr>
          <w:rFonts w:eastAsia="Times New Roman" w:cs="Arial"/>
          <w:color w:val="000000"/>
          <w:lang w:eastAsia="bg-BG"/>
        </w:rPr>
        <w:t xml:space="preserve">кривата </w:t>
      </w:r>
      <w:r w:rsidRPr="009058DE">
        <w:rPr>
          <w:rFonts w:eastAsia="Times New Roman" w:cs="Arial"/>
          <w:color w:val="000000"/>
          <w:lang w:val="en-US"/>
        </w:rPr>
        <w:t>AUC</w:t>
      </w:r>
      <w:r w:rsidRPr="009058DE">
        <w:rPr>
          <w:rFonts w:eastAsia="Times New Roman" w:cs="Arial"/>
          <w:color w:val="000000"/>
          <w:vertAlign w:val="subscript"/>
          <w:lang w:val="en-US"/>
        </w:rPr>
        <w:t>0-24</w:t>
      </w:r>
      <w:r w:rsidRPr="009058DE">
        <w:rPr>
          <w:rFonts w:eastAsia="Times New Roman" w:cs="Arial"/>
          <w:color w:val="000000"/>
          <w:lang w:val="en-US"/>
        </w:rPr>
        <w:t xml:space="preserve"> </w:t>
      </w:r>
      <w:proofErr w:type="spellStart"/>
      <w:r w:rsidRPr="009058DE">
        <w:rPr>
          <w:rFonts w:eastAsia="Times New Roman" w:cs="Arial"/>
          <w:color w:val="000000"/>
          <w:lang w:val="en-US"/>
        </w:rPr>
        <w:t>hr</w:t>
      </w:r>
      <w:proofErr w:type="spellEnd"/>
      <w:r w:rsidRPr="009058DE">
        <w:rPr>
          <w:rFonts w:eastAsia="Times New Roman" w:cs="Arial"/>
          <w:color w:val="000000"/>
          <w:lang w:val="en-US"/>
        </w:rPr>
        <w:t xml:space="preserve"> </w:t>
      </w:r>
      <w:r w:rsidRPr="009058DE">
        <w:rPr>
          <w:rFonts w:eastAsia="Times New Roman" w:cs="Arial"/>
          <w:color w:val="000000"/>
          <w:lang w:eastAsia="bg-BG"/>
        </w:rPr>
        <w:t xml:space="preserve">на тези естрогенни съставки на Премарин при едновременното му прилагане с еторикоксиб 120 </w:t>
      </w:r>
      <w:r w:rsidRPr="009058DE">
        <w:rPr>
          <w:rFonts w:eastAsia="Times New Roman" w:cs="Arial"/>
          <w:color w:val="000000"/>
          <w:lang w:val="en-US"/>
        </w:rPr>
        <w:t xml:space="preserve">mg </w:t>
      </w:r>
      <w:r w:rsidRPr="009058DE">
        <w:rPr>
          <w:rFonts w:eastAsia="Times New Roman" w:cs="Arial"/>
          <w:color w:val="000000"/>
          <w:lang w:eastAsia="bg-BG"/>
        </w:rPr>
        <w:t xml:space="preserve">са били по-малко от половината, в сравнение с тези при самостоятелното прилагане на Премарин и увеличаване на дозата му от 0,625 </w:t>
      </w:r>
      <w:r w:rsidRPr="009058DE">
        <w:rPr>
          <w:rFonts w:eastAsia="Times New Roman" w:cs="Arial"/>
          <w:color w:val="000000"/>
          <w:lang w:val="en-US"/>
        </w:rPr>
        <w:t xml:space="preserve">mg </w:t>
      </w:r>
      <w:r w:rsidRPr="009058DE">
        <w:rPr>
          <w:rFonts w:eastAsia="Times New Roman" w:cs="Arial"/>
          <w:color w:val="000000"/>
          <w:lang w:eastAsia="bg-BG"/>
        </w:rPr>
        <w:t xml:space="preserve">на 1,25 </w:t>
      </w:r>
      <w:r w:rsidRPr="009058DE">
        <w:rPr>
          <w:rFonts w:eastAsia="Times New Roman" w:cs="Arial"/>
          <w:color w:val="000000"/>
          <w:lang w:val="en-US"/>
        </w:rPr>
        <w:t>mg</w:t>
      </w:r>
    </w:p>
    <w:p w14:paraId="15E3B845" w14:textId="5C20EF81" w:rsidR="009058DE" w:rsidRDefault="009058DE" w:rsidP="009058DE">
      <w:pPr>
        <w:rPr>
          <w:rFonts w:eastAsia="Times New Roman" w:cs="Arial"/>
          <w:color w:val="000000"/>
          <w:lang w:val="en-US"/>
        </w:rPr>
      </w:pPr>
    </w:p>
    <w:p w14:paraId="770992A1"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Клиничното значение на тези увеличения не е известно и по-високи дози на Премарин не са били проучвани в комбинация с еторикоксиб.</w:t>
      </w:r>
      <w:r w:rsidRPr="009058DE">
        <w:rPr>
          <w:rFonts w:eastAsia="Times New Roman" w:cs="Arial"/>
          <w:color w:val="000000"/>
          <w:lang w:val="en-US"/>
        </w:rPr>
        <w:t xml:space="preserve"> </w:t>
      </w:r>
      <w:r w:rsidRPr="009058DE">
        <w:rPr>
          <w:rFonts w:eastAsia="Times New Roman" w:cs="Arial"/>
          <w:color w:val="000000"/>
          <w:lang w:eastAsia="bg-BG"/>
        </w:rPr>
        <w:t>Тези повишения на естрогенната концентрация трябва да се имат предвид при избора на хормонална терапия след менопаузата, при прилагане заедно с еторикоксиб, защото експозицията на увеличени нива на естроген могат да увеличат риска от нежелани реакции, свързани с ХЗТ.</w:t>
      </w:r>
    </w:p>
    <w:p w14:paraId="650A5EFB" w14:textId="77777777" w:rsidR="009058DE" w:rsidRDefault="009058DE" w:rsidP="009058DE">
      <w:pPr>
        <w:spacing w:line="240" w:lineRule="auto"/>
        <w:rPr>
          <w:rFonts w:eastAsia="Times New Roman" w:cs="Arial"/>
          <w:color w:val="000000"/>
          <w:lang w:eastAsia="bg-BG"/>
        </w:rPr>
      </w:pPr>
    </w:p>
    <w:p w14:paraId="454B2991" w14:textId="0E476C1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Преднизон/преднизолон: Според данните от проведените клинични проучвания за оценка на лекарствени взаимодействия, еторикоксиб не е оказал клинично значимо въздействие върху фармакокинетиката на преднизон/преднизолон.</w:t>
      </w:r>
    </w:p>
    <w:p w14:paraId="1DACE645" w14:textId="77777777" w:rsidR="009058DE" w:rsidRDefault="009058DE" w:rsidP="009058DE">
      <w:pPr>
        <w:spacing w:line="240" w:lineRule="auto"/>
        <w:rPr>
          <w:rFonts w:eastAsia="Times New Roman" w:cs="Arial"/>
          <w:color w:val="000000"/>
          <w:lang w:eastAsia="bg-BG"/>
        </w:rPr>
      </w:pPr>
    </w:p>
    <w:p w14:paraId="6F867BE9" w14:textId="59EABEF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Дигоксин: Еторикоксиб в доза 120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в продължение на 10 дни при здрави доброволци не е променил площта под кривата при стационарно състояние </w:t>
      </w:r>
      <w:r w:rsidRPr="009058DE">
        <w:rPr>
          <w:rFonts w:eastAsia="Times New Roman" w:cs="Arial"/>
          <w:color w:val="000000"/>
          <w:lang w:val="en-US"/>
        </w:rPr>
        <w:t xml:space="preserve">AUCo-24hr </w:t>
      </w:r>
      <w:r w:rsidRPr="009058DE">
        <w:rPr>
          <w:rFonts w:eastAsia="Times New Roman" w:cs="Arial"/>
          <w:color w:val="000000"/>
          <w:lang w:eastAsia="bg-BG"/>
        </w:rPr>
        <w:t>или бъбречното елиминиране на дигоксин. Наблюдавано е увеличение на С</w:t>
      </w:r>
      <w:r w:rsidRPr="009058DE">
        <w:rPr>
          <w:rFonts w:eastAsia="Times New Roman" w:cs="Arial"/>
          <w:color w:val="000000"/>
          <w:vertAlign w:val="subscript"/>
          <w:lang w:val="en-US"/>
        </w:rPr>
        <w:t>max</w:t>
      </w:r>
      <w:r w:rsidRPr="009058DE">
        <w:rPr>
          <w:rFonts w:eastAsia="Times New Roman" w:cs="Arial"/>
          <w:color w:val="000000"/>
          <w:lang w:eastAsia="bg-BG"/>
        </w:rPr>
        <w:t xml:space="preserve"> (максимална концентрация) за дигоксин (приблизително </w:t>
      </w:r>
      <w:r w:rsidRPr="009058DE">
        <w:rPr>
          <w:rFonts w:eastAsia="Times New Roman" w:cs="Arial"/>
          <w:i/>
          <w:iCs/>
          <w:color w:val="000000"/>
          <w:lang w:eastAsia="bg-BG"/>
        </w:rPr>
        <w:t>33</w:t>
      </w:r>
      <w:r w:rsidRPr="009058DE">
        <w:rPr>
          <w:rFonts w:eastAsia="Times New Roman" w:cs="Arial"/>
          <w:color w:val="000000"/>
          <w:lang w:eastAsia="bg-BG"/>
        </w:rPr>
        <w:t xml:space="preserve"> %). Това увеличение не е от съществено значение за повечето пациенти. Все пак пациентите, които са с повишен риск от дигоксинова интоксикация, трябва да бъдат проследявани за проявите на такава интоксикация, когато двете лекарства, еторикоксиб и дигоксин, се прилагат едновременно.</w:t>
      </w:r>
    </w:p>
    <w:p w14:paraId="6C6AE891" w14:textId="77777777" w:rsidR="009058DE" w:rsidRDefault="009058DE" w:rsidP="009058DE">
      <w:pPr>
        <w:spacing w:line="240" w:lineRule="auto"/>
        <w:rPr>
          <w:rFonts w:eastAsia="Times New Roman" w:cs="Arial"/>
          <w:i/>
          <w:iCs/>
          <w:color w:val="000000"/>
          <w:lang w:eastAsia="bg-BG"/>
        </w:rPr>
      </w:pPr>
    </w:p>
    <w:p w14:paraId="154C8A7D" w14:textId="0D0AA50F"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 xml:space="preserve">Ефект на еторикоксиб върху лекарствата, които се метаболизират чрез сулфотрансферази </w:t>
      </w:r>
      <w:r w:rsidRPr="009058DE">
        <w:rPr>
          <w:rFonts w:eastAsia="Times New Roman" w:cs="Arial"/>
          <w:color w:val="000000"/>
          <w:lang w:eastAsia="bg-BG"/>
        </w:rPr>
        <w:t xml:space="preserve">Еторикоксиб е инхибитор на сулфотрансферазата в човешкия организъм, по-специално </w:t>
      </w:r>
      <w:r w:rsidRPr="009058DE">
        <w:rPr>
          <w:rFonts w:eastAsia="Times New Roman" w:cs="Arial"/>
          <w:color w:val="000000"/>
          <w:lang w:val="en-US"/>
        </w:rPr>
        <w:t xml:space="preserve">SULT1E1 </w:t>
      </w:r>
      <w:r w:rsidRPr="009058DE">
        <w:rPr>
          <w:rFonts w:eastAsia="Times New Roman" w:cs="Arial"/>
          <w:color w:val="000000"/>
          <w:lang w:eastAsia="bg-BG"/>
        </w:rPr>
        <w:t>и е установено, че води до повишаване на серумната концентрация на етинилестрадиола (ЕЕ). Доколкото познанието за ефектите върху множеството сулфотранферази на настоящия етап е ограничено и клиничните последици от действието на множество лекарства са непълни и продължават да бъдат обект на изследване, трябва да се внимава, когато еторикоксиб се прилага едновременно с други лекарства, които се метаболизират главно от сулфотрансферазите (напр. перорални салбутамол и миноксидил).</w:t>
      </w:r>
    </w:p>
    <w:p w14:paraId="43E8202D" w14:textId="77777777" w:rsidR="009058DE" w:rsidRDefault="009058DE" w:rsidP="009058DE">
      <w:pPr>
        <w:spacing w:line="240" w:lineRule="auto"/>
        <w:rPr>
          <w:rFonts w:eastAsia="Times New Roman" w:cs="Arial"/>
          <w:i/>
          <w:iCs/>
          <w:color w:val="000000"/>
          <w:lang w:eastAsia="bg-BG"/>
        </w:rPr>
      </w:pPr>
    </w:p>
    <w:p w14:paraId="3469A62B" w14:textId="5C6904C0"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 xml:space="preserve">Ефект на еторикоксиб върху лекарствата, които се метаболизират от СУР изоензимите </w:t>
      </w:r>
      <w:r w:rsidRPr="009058DE">
        <w:rPr>
          <w:rFonts w:eastAsia="Times New Roman" w:cs="Arial"/>
          <w:color w:val="000000"/>
          <w:lang w:eastAsia="bg-BG"/>
        </w:rPr>
        <w:t xml:space="preserve">Въз основа на изследвания </w:t>
      </w:r>
      <w:r w:rsidRPr="009058DE">
        <w:rPr>
          <w:rFonts w:eastAsia="Times New Roman" w:cs="Arial"/>
          <w:i/>
          <w:iCs/>
          <w:color w:val="000000"/>
          <w:lang w:val="en-US"/>
        </w:rPr>
        <w:t>in vitro,</w:t>
      </w:r>
      <w:r w:rsidRPr="009058DE">
        <w:rPr>
          <w:rFonts w:eastAsia="Times New Roman" w:cs="Arial"/>
          <w:color w:val="000000"/>
          <w:lang w:val="en-US"/>
        </w:rPr>
        <w:t xml:space="preserve"> </w:t>
      </w:r>
      <w:r w:rsidRPr="009058DE">
        <w:rPr>
          <w:rFonts w:eastAsia="Times New Roman" w:cs="Arial"/>
          <w:color w:val="000000"/>
          <w:lang w:eastAsia="bg-BG"/>
        </w:rPr>
        <w:t xml:space="preserve">еторикоксиб не се очаква да инхибира цитохромите Р450 (СУР) 1А2,2С9,2С19, </w:t>
      </w:r>
      <w:r w:rsidRPr="009058DE">
        <w:rPr>
          <w:rFonts w:eastAsia="Times New Roman" w:cs="Arial"/>
          <w:color w:val="000000"/>
          <w:lang w:val="en-US"/>
        </w:rPr>
        <w:t>2D6</w:t>
      </w:r>
      <w:r w:rsidRPr="009058DE">
        <w:rPr>
          <w:rFonts w:eastAsia="Times New Roman" w:cs="Arial"/>
          <w:color w:val="000000"/>
          <w:lang w:eastAsia="bg-BG"/>
        </w:rPr>
        <w:t xml:space="preserve">,2Е1 или ЗА4. В проучване при здрави хора, прилагането на еторикоксиб в доза 120 </w:t>
      </w:r>
      <w:r w:rsidRPr="009058DE">
        <w:rPr>
          <w:rFonts w:eastAsia="Times New Roman" w:cs="Arial"/>
          <w:color w:val="000000"/>
          <w:lang w:val="en-US"/>
        </w:rPr>
        <w:t xml:space="preserve">mg </w:t>
      </w:r>
      <w:r w:rsidRPr="009058DE">
        <w:rPr>
          <w:rFonts w:eastAsia="Times New Roman" w:cs="Arial"/>
          <w:color w:val="000000"/>
          <w:lang w:eastAsia="bg-BG"/>
        </w:rPr>
        <w:t>дневно не е довело до промяна в активността на чернодробния СУРЗА4, оценена чрез еритромициновия дихателен тест.</w:t>
      </w:r>
    </w:p>
    <w:p w14:paraId="6C60E710" w14:textId="77777777" w:rsidR="009058DE" w:rsidRDefault="009058DE" w:rsidP="009058DE">
      <w:pPr>
        <w:spacing w:line="240" w:lineRule="auto"/>
        <w:rPr>
          <w:rFonts w:eastAsia="Times New Roman" w:cs="Arial"/>
          <w:i/>
          <w:iCs/>
          <w:color w:val="000000"/>
          <w:lang w:eastAsia="bg-BG"/>
        </w:rPr>
      </w:pPr>
    </w:p>
    <w:p w14:paraId="54188168" w14:textId="3B2743CD" w:rsidR="009058DE" w:rsidRPr="009058DE" w:rsidRDefault="009058DE" w:rsidP="009058DE">
      <w:pPr>
        <w:spacing w:line="240" w:lineRule="auto"/>
        <w:rPr>
          <w:rFonts w:eastAsia="Times New Roman" w:cs="Arial"/>
          <w:lang w:eastAsia="bg-BG"/>
        </w:rPr>
      </w:pPr>
      <w:r w:rsidRPr="009058DE">
        <w:rPr>
          <w:rFonts w:eastAsia="Times New Roman" w:cs="Arial"/>
          <w:i/>
          <w:iCs/>
          <w:color w:val="000000"/>
          <w:lang w:eastAsia="bg-BG"/>
        </w:rPr>
        <w:t>Ефект на други лекарства върху фармакокинетиката на еторикоксиб</w:t>
      </w:r>
    </w:p>
    <w:p w14:paraId="4B295F0D"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lastRenderedPageBreak/>
        <w:t xml:space="preserve">Основният път на метаболизиране на еторикоксиб е зависим от СУР ензимите. СУРЗА4 изглежда влияе върху метаболизма на еторикоксиб </w:t>
      </w:r>
      <w:r w:rsidRPr="009058DE">
        <w:rPr>
          <w:rFonts w:eastAsia="Times New Roman" w:cs="Arial"/>
          <w:i/>
          <w:iCs/>
          <w:color w:val="000000"/>
          <w:lang w:val="en-US"/>
        </w:rPr>
        <w:t>in vivo. In vitro</w:t>
      </w:r>
      <w:r w:rsidRPr="009058DE">
        <w:rPr>
          <w:rFonts w:eastAsia="Times New Roman" w:cs="Arial"/>
          <w:color w:val="000000"/>
          <w:lang w:val="en-US"/>
        </w:rPr>
        <w:t xml:space="preserve"> </w:t>
      </w:r>
      <w:r w:rsidRPr="009058DE">
        <w:rPr>
          <w:rFonts w:eastAsia="Times New Roman" w:cs="Arial"/>
          <w:color w:val="000000"/>
          <w:lang w:eastAsia="bg-BG"/>
        </w:rPr>
        <w:t xml:space="preserve">проучвания показват, че СУР </w:t>
      </w:r>
      <w:r w:rsidRPr="009058DE">
        <w:rPr>
          <w:rFonts w:eastAsia="Times New Roman" w:cs="Arial"/>
          <w:color w:val="000000"/>
          <w:lang w:val="en-US"/>
        </w:rPr>
        <w:t xml:space="preserve">CYP2D6, </w:t>
      </w:r>
      <w:r w:rsidRPr="009058DE">
        <w:rPr>
          <w:rFonts w:eastAsia="Times New Roman" w:cs="Arial"/>
          <w:color w:val="000000"/>
          <w:lang w:eastAsia="bg-BG"/>
        </w:rPr>
        <w:t xml:space="preserve">СУР2С9, СУР1А2 и СУР2С19 също могат да катализират основните процеси, но точна количествена оценка на съучастието им не е провеждана в условия </w:t>
      </w:r>
      <w:r w:rsidRPr="009058DE">
        <w:rPr>
          <w:rFonts w:eastAsia="Times New Roman" w:cs="Arial"/>
          <w:i/>
          <w:iCs/>
          <w:color w:val="000000"/>
          <w:lang w:val="en-US"/>
        </w:rPr>
        <w:t>in vivo.</w:t>
      </w:r>
    </w:p>
    <w:p w14:paraId="309B63F8" w14:textId="77777777" w:rsidR="009058DE" w:rsidRDefault="009058DE" w:rsidP="009058DE">
      <w:pPr>
        <w:spacing w:line="240" w:lineRule="auto"/>
        <w:rPr>
          <w:rFonts w:eastAsia="Times New Roman" w:cs="Arial"/>
          <w:color w:val="000000"/>
          <w:lang w:eastAsia="bg-BG"/>
        </w:rPr>
      </w:pPr>
    </w:p>
    <w:p w14:paraId="0D30619F" w14:textId="5C8D379D"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Кетоконазол: Кетоконазолът е мощен инхибитор на СУРЗА4. В доза 400 </w:t>
      </w:r>
      <w:r w:rsidRPr="009058DE">
        <w:rPr>
          <w:rFonts w:eastAsia="Times New Roman" w:cs="Arial"/>
          <w:color w:val="000000"/>
          <w:lang w:val="en-US"/>
        </w:rPr>
        <w:t xml:space="preserve">mg </w:t>
      </w:r>
      <w:r w:rsidRPr="009058DE">
        <w:rPr>
          <w:rFonts w:eastAsia="Times New Roman" w:cs="Arial"/>
          <w:color w:val="000000"/>
          <w:lang w:eastAsia="bg-BG"/>
        </w:rPr>
        <w:t xml:space="preserve">веднъж дневно в продължение на 11 дни при здрави доброволци не променя клинично значимо фармакокинетиката на еторикоксиб при еднократна доза от 60 </w:t>
      </w:r>
      <w:r w:rsidRPr="009058DE">
        <w:rPr>
          <w:rFonts w:eastAsia="Times New Roman" w:cs="Arial"/>
          <w:color w:val="000000"/>
          <w:lang w:val="en-US"/>
        </w:rPr>
        <w:t xml:space="preserve">mg </w:t>
      </w:r>
      <w:r w:rsidRPr="009058DE">
        <w:rPr>
          <w:rFonts w:eastAsia="Times New Roman" w:cs="Arial"/>
          <w:color w:val="000000"/>
          <w:lang w:eastAsia="bg-BG"/>
        </w:rPr>
        <w:t xml:space="preserve">(43 % увеличение на </w:t>
      </w:r>
      <w:r w:rsidRPr="009058DE">
        <w:rPr>
          <w:rFonts w:eastAsia="Times New Roman" w:cs="Arial"/>
          <w:color w:val="000000"/>
          <w:lang w:val="en-US"/>
        </w:rPr>
        <w:t>AUC).</w:t>
      </w:r>
    </w:p>
    <w:p w14:paraId="2478BBF1" w14:textId="77777777" w:rsidR="009058DE" w:rsidRDefault="009058DE" w:rsidP="009058DE">
      <w:pPr>
        <w:spacing w:line="240" w:lineRule="auto"/>
        <w:rPr>
          <w:rFonts w:eastAsia="Times New Roman" w:cs="Arial"/>
          <w:color w:val="000000"/>
          <w:lang w:eastAsia="bg-BG"/>
        </w:rPr>
      </w:pPr>
    </w:p>
    <w:p w14:paraId="141DD9D2" w14:textId="5456E414"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Вориконазол и миконазол: Едновременното приложение на перорален вориконазол или локален миконазол перорален гел (мощни инхибитори на СУРЗА4) с еторикоксиб води до леко повишаване на експозицията на еторикоксиб, без това да се счита за клинично значимо на база на публикуваните данни.</w:t>
      </w:r>
    </w:p>
    <w:p w14:paraId="08FC4C6E" w14:textId="77777777" w:rsidR="009058DE" w:rsidRDefault="009058DE" w:rsidP="009058DE">
      <w:pPr>
        <w:rPr>
          <w:rFonts w:eastAsia="Times New Roman" w:cs="Arial"/>
          <w:color w:val="000000"/>
          <w:lang w:eastAsia="bg-BG"/>
        </w:rPr>
      </w:pPr>
    </w:p>
    <w:p w14:paraId="769109CB" w14:textId="520CBD46" w:rsidR="009058DE" w:rsidRDefault="009058DE" w:rsidP="009058DE">
      <w:pPr>
        <w:rPr>
          <w:rFonts w:eastAsia="Times New Roman" w:cs="Arial"/>
          <w:color w:val="000000"/>
          <w:lang w:eastAsia="bg-BG"/>
        </w:rPr>
      </w:pPr>
      <w:r w:rsidRPr="009058DE">
        <w:rPr>
          <w:rFonts w:eastAsia="Times New Roman" w:cs="Arial"/>
          <w:color w:val="000000"/>
          <w:lang w:eastAsia="bg-BG"/>
        </w:rPr>
        <w:t xml:space="preserve">Рифампицин: Едновременното прилагане на еторикоксиб и рифампицин, мощен индуктор на </w:t>
      </w:r>
      <w:r w:rsidRPr="009058DE">
        <w:rPr>
          <w:rFonts w:eastAsia="Times New Roman" w:cs="Arial"/>
          <w:color w:val="000000"/>
          <w:lang w:val="en-US"/>
        </w:rPr>
        <w:t xml:space="preserve">CYP </w:t>
      </w:r>
      <w:r w:rsidRPr="009058DE">
        <w:rPr>
          <w:rFonts w:eastAsia="Times New Roman" w:cs="Arial"/>
          <w:color w:val="000000"/>
          <w:lang w:eastAsia="bg-BG"/>
        </w:rPr>
        <w:t>ензимите, води до намаляване на плазмените концентрации на еторикоксиб с 65%. Това може да доведе до рецидивиране на симптоматиката, за която се прилага еторикоксиб с рифампицин. Тъй като това предполага увеличаване на дозата на лекарството, следва да се отбележи, че не са проучени дози на еторикоксиб, по-високи от посочените за всяка индикация, когато се прилага едновременно с рифампицин. По тази причина не се и препоръчват по-високи дози (вж. точка 4.2).</w:t>
      </w:r>
    </w:p>
    <w:p w14:paraId="4DC611CD" w14:textId="42A5CA7A" w:rsidR="009058DE" w:rsidRDefault="009058DE" w:rsidP="009058DE">
      <w:pPr>
        <w:rPr>
          <w:rFonts w:eastAsia="Times New Roman" w:cs="Arial"/>
          <w:color w:val="000000"/>
          <w:lang w:eastAsia="bg-BG"/>
        </w:rPr>
      </w:pPr>
    </w:p>
    <w:p w14:paraId="6D557E76" w14:textId="2FD6414D" w:rsidR="009058DE" w:rsidRPr="009058DE" w:rsidRDefault="009058DE" w:rsidP="009058DE">
      <w:pPr>
        <w:rPr>
          <w:sz w:val="24"/>
          <w:szCs w:val="24"/>
          <w:lang w:eastAsia="bg-BG"/>
        </w:rPr>
      </w:pPr>
      <w:r w:rsidRPr="009058DE">
        <w:rPr>
          <w:lang w:eastAsia="bg-BG"/>
        </w:rPr>
        <w:t>Антиациди: Антиацидите не влияят върху фармакокинетиката на еторикоксиб в клинично значима степен.</w:t>
      </w:r>
    </w:p>
    <w:p w14:paraId="02138F3B" w14:textId="77777777" w:rsidR="009058DE" w:rsidRPr="009058DE" w:rsidRDefault="009058DE" w:rsidP="009058DE">
      <w:pPr>
        <w:rPr>
          <w:rFonts w:cs="Arial"/>
        </w:rPr>
      </w:pPr>
    </w:p>
    <w:p w14:paraId="48846BBA" w14:textId="783BB5B6" w:rsidR="009F77A4" w:rsidRDefault="002C50EE" w:rsidP="00387A66">
      <w:pPr>
        <w:pStyle w:val="Heading2"/>
      </w:pPr>
      <w:r>
        <w:t>4.6. Фертилитет, бременност и кърмене</w:t>
      </w:r>
    </w:p>
    <w:p w14:paraId="25B6F9D6" w14:textId="779B3DD0" w:rsidR="009058DE" w:rsidRDefault="009058DE" w:rsidP="009058DE"/>
    <w:p w14:paraId="69303A70" w14:textId="77777777" w:rsidR="009058DE" w:rsidRPr="009058DE" w:rsidRDefault="009058DE" w:rsidP="009058DE">
      <w:pPr>
        <w:pStyle w:val="Heading3"/>
        <w:rPr>
          <w:rFonts w:eastAsia="Times New Roman"/>
          <w:u w:val="single"/>
          <w:lang w:eastAsia="bg-BG"/>
        </w:rPr>
      </w:pPr>
      <w:r w:rsidRPr="009058DE">
        <w:rPr>
          <w:rFonts w:eastAsia="Times New Roman"/>
          <w:u w:val="single"/>
          <w:lang w:eastAsia="bg-BG"/>
        </w:rPr>
        <w:t>Бременност</w:t>
      </w:r>
    </w:p>
    <w:p w14:paraId="7A3ECA7A"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Няма клинични данни за влияние на еторикоксиб върху протичането на бременността. Проучванията при животни са установили токсичен ефект върху репродуктивната функция (вж. точка 5.3). Не е известен потенциален риск при бременни жени. Еторикоксиб, както другите лекарствени продукти, инхибиращи синтезата на простагландините, може да предизвика маточна слабост и преждевременно затваряне на Боталовия проток в последния триместьр. Еторикоксиб е противопоказан за прилагане по време на бременност (вж. точка 4.3). Ако една жена забременее по време на лечението с еторикоксиб, той трябва да бъде спрян.</w:t>
      </w:r>
    </w:p>
    <w:p w14:paraId="78DA1DD3" w14:textId="77777777" w:rsidR="009058DE" w:rsidRDefault="009058DE" w:rsidP="009058DE">
      <w:pPr>
        <w:spacing w:line="240" w:lineRule="auto"/>
        <w:rPr>
          <w:rFonts w:eastAsia="Times New Roman" w:cs="Arial"/>
          <w:color w:val="000000"/>
          <w:u w:val="single"/>
          <w:lang w:eastAsia="bg-BG"/>
        </w:rPr>
      </w:pPr>
    </w:p>
    <w:p w14:paraId="55EAAAD2" w14:textId="6A73D5B3" w:rsidR="009058DE" w:rsidRPr="009058DE" w:rsidRDefault="009058DE" w:rsidP="009058DE">
      <w:pPr>
        <w:pStyle w:val="Heading3"/>
        <w:rPr>
          <w:rFonts w:eastAsia="Times New Roman"/>
          <w:u w:val="single"/>
          <w:lang w:eastAsia="bg-BG"/>
        </w:rPr>
      </w:pPr>
      <w:r w:rsidRPr="009058DE">
        <w:rPr>
          <w:rFonts w:eastAsia="Times New Roman"/>
          <w:u w:val="single"/>
          <w:lang w:eastAsia="bg-BG"/>
        </w:rPr>
        <w:t>Кърмене</w:t>
      </w:r>
    </w:p>
    <w:p w14:paraId="26A827E9"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Не е известно дали еторикоксиб се отделя в човешката кърма. Еторикоксиб се отделя в кърмата на плъхове. Жените, които ползват еторикоксиб, не трябва да кърмят (вж. точки 4.3 и 5.3).</w:t>
      </w:r>
    </w:p>
    <w:p w14:paraId="247E70F7" w14:textId="77777777" w:rsidR="009058DE" w:rsidRDefault="009058DE" w:rsidP="009058DE">
      <w:pPr>
        <w:spacing w:line="240" w:lineRule="auto"/>
        <w:rPr>
          <w:rFonts w:eastAsia="Times New Roman" w:cs="Arial"/>
          <w:color w:val="000000"/>
          <w:u w:val="single"/>
          <w:lang w:eastAsia="bg-BG"/>
        </w:rPr>
      </w:pPr>
    </w:p>
    <w:p w14:paraId="1C0FE585" w14:textId="62B713C6" w:rsidR="009058DE" w:rsidRPr="009058DE" w:rsidRDefault="009058DE" w:rsidP="009058DE">
      <w:pPr>
        <w:pStyle w:val="Heading3"/>
        <w:rPr>
          <w:rFonts w:eastAsia="Times New Roman"/>
          <w:u w:val="single"/>
          <w:lang w:eastAsia="bg-BG"/>
        </w:rPr>
      </w:pPr>
      <w:r w:rsidRPr="009058DE">
        <w:rPr>
          <w:rFonts w:eastAsia="Times New Roman"/>
          <w:u w:val="single"/>
          <w:lang w:eastAsia="bg-BG"/>
        </w:rPr>
        <w:t>Фертилитет</w:t>
      </w:r>
    </w:p>
    <w:p w14:paraId="28E4EAEC"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Употребата на еторикоксиб, както и на всяко друго вещество, за което е известно, че инхибира СОХ-2, не се препоръчва при жени, опитващи се да забременеят.</w:t>
      </w:r>
    </w:p>
    <w:p w14:paraId="199F41D0" w14:textId="77777777" w:rsidR="009058DE" w:rsidRPr="009058DE" w:rsidRDefault="009058DE" w:rsidP="009058DE"/>
    <w:p w14:paraId="321AAB00" w14:textId="30CB7BC9" w:rsidR="009F77A4" w:rsidRDefault="002C50EE" w:rsidP="00387A66">
      <w:pPr>
        <w:pStyle w:val="Heading2"/>
      </w:pPr>
      <w:r>
        <w:lastRenderedPageBreak/>
        <w:t>4.7. Ефекти върху способността за шофиране и работа с машини</w:t>
      </w:r>
    </w:p>
    <w:p w14:paraId="09588E16" w14:textId="254FA115" w:rsidR="009058DE" w:rsidRDefault="009058DE" w:rsidP="009058DE"/>
    <w:p w14:paraId="2C32FA90" w14:textId="77777777" w:rsidR="009058DE" w:rsidRPr="009058DE" w:rsidRDefault="009058DE" w:rsidP="009058DE">
      <w:pPr>
        <w:rPr>
          <w:sz w:val="24"/>
          <w:szCs w:val="24"/>
          <w:lang w:eastAsia="bg-BG"/>
        </w:rPr>
      </w:pPr>
      <w:r w:rsidRPr="009058DE">
        <w:rPr>
          <w:lang w:eastAsia="bg-BG"/>
        </w:rPr>
        <w:t>Пациентите, които чувстват замаяност, световъртеж или сънливост при употреба на еторикоксиб, трябва да избягват да шофират и да работят с машини.</w:t>
      </w:r>
    </w:p>
    <w:p w14:paraId="465E4B3C" w14:textId="77777777" w:rsidR="009058DE" w:rsidRPr="009058DE" w:rsidRDefault="009058DE" w:rsidP="009058DE"/>
    <w:p w14:paraId="136C86B8" w14:textId="50995D42" w:rsidR="009F77A4" w:rsidRDefault="002C50EE" w:rsidP="00387A66">
      <w:pPr>
        <w:pStyle w:val="Heading2"/>
      </w:pPr>
      <w:r>
        <w:t>4.8. Нежелани лекарствени реакции</w:t>
      </w:r>
    </w:p>
    <w:p w14:paraId="269B8ADD" w14:textId="382B0A9D" w:rsidR="009058DE" w:rsidRDefault="009058DE" w:rsidP="009058DE"/>
    <w:p w14:paraId="562B859E"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Резюме на профила на безопасност</w:t>
      </w:r>
    </w:p>
    <w:p w14:paraId="5FF4E2CF" w14:textId="77777777" w:rsidR="009058DE" w:rsidRDefault="009058DE" w:rsidP="009058DE">
      <w:pPr>
        <w:spacing w:line="240" w:lineRule="auto"/>
        <w:rPr>
          <w:rFonts w:eastAsia="Times New Roman" w:cs="Arial"/>
          <w:color w:val="000000"/>
          <w:lang w:eastAsia="bg-BG"/>
        </w:rPr>
      </w:pPr>
    </w:p>
    <w:p w14:paraId="5EB1D96F" w14:textId="47E2B98B"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В клинични проучвания, безопасността от прилагането на еторикоксиб е била оценена при 9295 души, включително 6757 пациенти с ОА, РА, хронична болка в кръста или анкилозиращ спондилит (приблизително 600 пациенти с ОА или РА са били лекувани в продължение на минимум една година).</w:t>
      </w:r>
    </w:p>
    <w:p w14:paraId="402EA42A" w14:textId="77777777" w:rsidR="009058DE" w:rsidRDefault="009058DE" w:rsidP="009058DE">
      <w:pPr>
        <w:spacing w:line="240" w:lineRule="auto"/>
        <w:rPr>
          <w:rFonts w:eastAsia="Times New Roman" w:cs="Arial"/>
          <w:color w:val="000000"/>
          <w:lang w:eastAsia="bg-BG"/>
        </w:rPr>
      </w:pPr>
    </w:p>
    <w:p w14:paraId="67EF6BC3" w14:textId="50AE0CD2"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При клиничните проучвания, профилът на нежеланите лекарствени реакции е бил сходен при пациенти с ОА или РА, лекувани с еторикоксиб в продължение на една година или повече.</w:t>
      </w:r>
    </w:p>
    <w:p w14:paraId="76139E53" w14:textId="77777777" w:rsidR="009058DE" w:rsidRDefault="009058DE" w:rsidP="009058DE">
      <w:pPr>
        <w:spacing w:line="240" w:lineRule="auto"/>
        <w:rPr>
          <w:rFonts w:eastAsia="Times New Roman" w:cs="Arial"/>
          <w:color w:val="000000"/>
          <w:lang w:eastAsia="bg-BG"/>
        </w:rPr>
      </w:pPr>
    </w:p>
    <w:p w14:paraId="6705FC04" w14:textId="585CAADC"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При клинично проучване за остър подагрозен артрит, пациентите са били лекувани със 120 </w:t>
      </w:r>
      <w:r w:rsidRPr="009058DE">
        <w:rPr>
          <w:rFonts w:eastAsia="Times New Roman" w:cs="Arial"/>
          <w:color w:val="000000"/>
          <w:lang w:val="en-US"/>
        </w:rPr>
        <w:t xml:space="preserve">mg </w:t>
      </w:r>
      <w:r w:rsidRPr="009058DE">
        <w:rPr>
          <w:rFonts w:eastAsia="Times New Roman" w:cs="Arial"/>
          <w:color w:val="000000"/>
          <w:lang w:eastAsia="bg-BG"/>
        </w:rPr>
        <w:t>дневна доза, в продължение на осем дни. Профилът на нежеланите лекарствени реакции при това проучване е бил в общи линии близък до този, наблюдаван при комбинираните проучвания за ОА, РА и хронична болка в кръста.</w:t>
      </w:r>
    </w:p>
    <w:p w14:paraId="498FDAA3" w14:textId="77777777" w:rsidR="009058DE" w:rsidRDefault="009058DE" w:rsidP="009058DE">
      <w:pPr>
        <w:spacing w:line="240" w:lineRule="auto"/>
        <w:rPr>
          <w:rFonts w:eastAsia="Times New Roman" w:cs="Arial"/>
          <w:color w:val="000000"/>
          <w:lang w:eastAsia="bg-BG"/>
        </w:rPr>
      </w:pPr>
    </w:p>
    <w:p w14:paraId="6BA22009" w14:textId="69ADBF46"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В програма за проследяване на сърдечно-съдовата безопасност с обобщени данни от три клинични изпитвания спрямо активен компонент, 17 412 пациенти с ОА или РА са лекувани с еторикоксиб (60 или 90 </w:t>
      </w:r>
      <w:r w:rsidRPr="009058DE">
        <w:rPr>
          <w:rFonts w:eastAsia="Times New Roman" w:cs="Arial"/>
          <w:color w:val="000000"/>
          <w:lang w:val="en-US"/>
        </w:rPr>
        <w:t xml:space="preserve">mg) </w:t>
      </w:r>
      <w:r w:rsidRPr="009058DE">
        <w:rPr>
          <w:rFonts w:eastAsia="Times New Roman" w:cs="Arial"/>
          <w:color w:val="000000"/>
          <w:lang w:eastAsia="bg-BG"/>
        </w:rPr>
        <w:t>при средна продължителност на лечението 18 месеца. Данните за безопасност и подробностите за тази програма са представени в точка 5.1.</w:t>
      </w:r>
    </w:p>
    <w:p w14:paraId="1D806ED2" w14:textId="77777777" w:rsidR="009058DE" w:rsidRDefault="009058DE" w:rsidP="009058DE">
      <w:pPr>
        <w:spacing w:line="240" w:lineRule="auto"/>
        <w:rPr>
          <w:rFonts w:eastAsia="Times New Roman" w:cs="Arial"/>
          <w:color w:val="000000"/>
          <w:lang w:eastAsia="bg-BG"/>
        </w:rPr>
      </w:pPr>
    </w:p>
    <w:p w14:paraId="45B3D967" w14:textId="2EC382DF"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 xml:space="preserve">Профилът на нежелани лекарствени реакции при клинични проучвания за постоперативна дентална болка след операция, включващи 614 пациенти лекувани с еторикоксиб (90 </w:t>
      </w:r>
      <w:r w:rsidRPr="009058DE">
        <w:rPr>
          <w:rFonts w:eastAsia="Times New Roman" w:cs="Arial"/>
          <w:color w:val="000000"/>
          <w:lang w:val="en-US"/>
        </w:rPr>
        <w:t xml:space="preserve">mg </w:t>
      </w:r>
      <w:r w:rsidRPr="009058DE">
        <w:rPr>
          <w:rFonts w:eastAsia="Times New Roman" w:cs="Arial"/>
          <w:color w:val="000000"/>
          <w:lang w:eastAsia="bg-BG"/>
        </w:rPr>
        <w:t xml:space="preserve">и 120 </w:t>
      </w:r>
      <w:r w:rsidRPr="009058DE">
        <w:rPr>
          <w:rFonts w:eastAsia="Times New Roman" w:cs="Arial"/>
          <w:color w:val="000000"/>
          <w:lang w:val="en-US"/>
        </w:rPr>
        <w:t xml:space="preserve">mg), </w:t>
      </w:r>
      <w:r w:rsidRPr="009058DE">
        <w:rPr>
          <w:rFonts w:eastAsia="Times New Roman" w:cs="Arial"/>
          <w:color w:val="000000"/>
          <w:lang w:eastAsia="bg-BG"/>
        </w:rPr>
        <w:t>като цяло е подобен на този, съобщен при проучванията за ОА, РА и хронична болка долната част на гърба.</w:t>
      </w:r>
    </w:p>
    <w:p w14:paraId="15289370" w14:textId="77777777" w:rsidR="009058DE" w:rsidRDefault="009058DE" w:rsidP="009058DE">
      <w:pPr>
        <w:spacing w:line="240" w:lineRule="auto"/>
        <w:rPr>
          <w:rFonts w:eastAsia="Times New Roman" w:cs="Arial"/>
          <w:color w:val="000000"/>
          <w:u w:val="single"/>
          <w:lang w:eastAsia="bg-BG"/>
        </w:rPr>
      </w:pPr>
    </w:p>
    <w:p w14:paraId="1FA8200F" w14:textId="63281E8B" w:rsidR="009058DE" w:rsidRPr="009058DE" w:rsidRDefault="009058DE" w:rsidP="009058DE">
      <w:pPr>
        <w:spacing w:line="240" w:lineRule="auto"/>
        <w:rPr>
          <w:rFonts w:eastAsia="Times New Roman" w:cs="Arial"/>
          <w:lang w:eastAsia="bg-BG"/>
        </w:rPr>
      </w:pPr>
      <w:r w:rsidRPr="009058DE">
        <w:rPr>
          <w:rFonts w:eastAsia="Times New Roman" w:cs="Arial"/>
          <w:color w:val="000000"/>
          <w:u w:val="single"/>
          <w:lang w:eastAsia="bg-BG"/>
        </w:rPr>
        <w:t>Табличен списък на нежеланите реакции</w:t>
      </w:r>
    </w:p>
    <w:p w14:paraId="17118BB6" w14:textId="77777777" w:rsidR="009058DE" w:rsidRDefault="009058DE" w:rsidP="009058DE">
      <w:pPr>
        <w:rPr>
          <w:rFonts w:eastAsia="Times New Roman" w:cs="Arial"/>
          <w:color w:val="000000"/>
          <w:lang w:eastAsia="bg-BG"/>
        </w:rPr>
      </w:pPr>
    </w:p>
    <w:p w14:paraId="446749BE" w14:textId="77777777" w:rsidR="009058DE" w:rsidRPr="009058DE" w:rsidRDefault="009058DE" w:rsidP="009058DE">
      <w:pPr>
        <w:rPr>
          <w:rFonts w:eastAsia="Times New Roman" w:cs="Arial"/>
          <w:lang w:eastAsia="bg-BG"/>
        </w:rPr>
      </w:pPr>
      <w:r w:rsidRPr="009058DE">
        <w:rPr>
          <w:rFonts w:eastAsia="Times New Roman" w:cs="Arial"/>
          <w:color w:val="000000"/>
          <w:lang w:eastAsia="bg-BG"/>
        </w:rPr>
        <w:t>По време на клиничните изпитвания са установени следните нежелани лекарствени реакции с</w:t>
      </w:r>
      <w:r>
        <w:rPr>
          <w:rFonts w:eastAsia="Times New Roman" w:cs="Arial"/>
          <w:color w:val="000000"/>
          <w:lang w:eastAsia="bg-BG"/>
        </w:rPr>
        <w:t xml:space="preserve"> </w:t>
      </w:r>
      <w:r w:rsidRPr="009058DE">
        <w:rPr>
          <w:rFonts w:eastAsia="Times New Roman" w:cs="Arial"/>
          <w:color w:val="000000"/>
          <w:lang w:eastAsia="bg-BG"/>
        </w:rPr>
        <w:t xml:space="preserve">честота по-голяма от тази при прилагането на плацебо при пациенти с ОА, РА, хронична болка в кръста или анкилозиращ спондилит лекувани с еторикоксиб 30 </w:t>
      </w:r>
      <w:r w:rsidRPr="009058DE">
        <w:rPr>
          <w:rFonts w:eastAsia="Times New Roman" w:cs="Arial"/>
          <w:color w:val="000000"/>
          <w:lang w:val="en-US"/>
        </w:rPr>
        <w:t xml:space="preserve">mg, </w:t>
      </w:r>
      <w:r w:rsidRPr="009058DE">
        <w:rPr>
          <w:rFonts w:eastAsia="Times New Roman" w:cs="Arial"/>
          <w:color w:val="000000"/>
          <w:lang w:eastAsia="bg-BG"/>
        </w:rPr>
        <w:t xml:space="preserve">60 </w:t>
      </w:r>
      <w:r w:rsidRPr="009058DE">
        <w:rPr>
          <w:rFonts w:eastAsia="Times New Roman" w:cs="Arial"/>
          <w:color w:val="000000"/>
          <w:lang w:val="en-US"/>
        </w:rPr>
        <w:t xml:space="preserve">mg </w:t>
      </w:r>
      <w:r w:rsidRPr="009058DE">
        <w:rPr>
          <w:rFonts w:eastAsia="Times New Roman" w:cs="Arial"/>
          <w:color w:val="000000"/>
          <w:lang w:eastAsia="bg-BG"/>
        </w:rPr>
        <w:t xml:space="preserve">или 90 </w:t>
      </w:r>
      <w:r w:rsidRPr="009058DE">
        <w:rPr>
          <w:rFonts w:eastAsia="Times New Roman" w:cs="Arial"/>
          <w:color w:val="000000"/>
          <w:lang w:val="en-US"/>
        </w:rPr>
        <w:t xml:space="preserve">mg </w:t>
      </w:r>
      <w:r w:rsidRPr="009058DE">
        <w:rPr>
          <w:rFonts w:eastAsia="Times New Roman" w:cs="Arial"/>
          <w:color w:val="000000"/>
          <w:lang w:eastAsia="bg-BG"/>
        </w:rPr>
        <w:t xml:space="preserve">до препоръчителната доза за срок на лечение до 12 седмици, в проучванията по програмата </w:t>
      </w:r>
      <w:r w:rsidRPr="009058DE">
        <w:rPr>
          <w:rFonts w:eastAsia="Times New Roman" w:cs="Arial"/>
          <w:color w:val="000000"/>
          <w:lang w:val="en-US"/>
        </w:rPr>
        <w:t xml:space="preserve">MEDAL </w:t>
      </w:r>
      <w:r w:rsidRPr="009058DE">
        <w:rPr>
          <w:rFonts w:eastAsia="Times New Roman" w:cs="Arial"/>
          <w:color w:val="000000"/>
          <w:lang w:eastAsia="bg-BG"/>
        </w:rPr>
        <w:t>за срок на лечение до 31/2 години, в краткосрочни проучвания за срок на лечение до 7 дни за остра болка или в периода след пускане на пазара (вж. Таблица 1):</w:t>
      </w:r>
    </w:p>
    <w:p w14:paraId="73BEA68E" w14:textId="77777777" w:rsidR="009058DE" w:rsidRPr="009058DE" w:rsidRDefault="009058DE" w:rsidP="009058DE">
      <w:pPr>
        <w:spacing w:line="240" w:lineRule="auto"/>
        <w:rPr>
          <w:rFonts w:eastAsia="Times New Roman" w:cs="Arial"/>
          <w:i/>
          <w:iCs/>
          <w:color w:val="000000"/>
          <w:lang w:eastAsia="bg-BG"/>
        </w:rPr>
      </w:pPr>
    </w:p>
    <w:p w14:paraId="4984D624" w14:textId="64E30188" w:rsidR="009058DE" w:rsidRPr="009058DE" w:rsidRDefault="009058DE" w:rsidP="009058DE">
      <w:pPr>
        <w:spacing w:line="240" w:lineRule="auto"/>
        <w:rPr>
          <w:rFonts w:eastAsia="Times New Roman" w:cs="Arial"/>
          <w:i/>
          <w:iCs/>
          <w:color w:val="000000"/>
          <w:lang w:eastAsia="bg-BG"/>
        </w:rPr>
      </w:pPr>
      <w:r w:rsidRPr="009058DE">
        <w:rPr>
          <w:rFonts w:eastAsia="Times New Roman" w:cs="Arial"/>
          <w:i/>
          <w:iCs/>
          <w:color w:val="000000"/>
          <w:lang w:eastAsia="bg-BG"/>
        </w:rPr>
        <w:t>Таблица 1</w:t>
      </w:r>
    </w:p>
    <w:tbl>
      <w:tblPr>
        <w:tblStyle w:val="TableGrid"/>
        <w:tblW w:w="0" w:type="auto"/>
        <w:tblLook w:val="04A0" w:firstRow="1" w:lastRow="0" w:firstColumn="1" w:lastColumn="0" w:noHBand="0" w:noVBand="1"/>
      </w:tblPr>
      <w:tblGrid>
        <w:gridCol w:w="3092"/>
        <w:gridCol w:w="3195"/>
        <w:gridCol w:w="3063"/>
      </w:tblGrid>
      <w:tr w:rsidR="009058DE" w14:paraId="70BA179C" w14:textId="77777777" w:rsidTr="009058DE">
        <w:tc>
          <w:tcPr>
            <w:tcW w:w="3166" w:type="dxa"/>
          </w:tcPr>
          <w:p w14:paraId="5958741F" w14:textId="5AA59874" w:rsidR="009058DE" w:rsidRPr="009058DE" w:rsidRDefault="009058DE" w:rsidP="009058DE">
            <w:pPr>
              <w:rPr>
                <w:rFonts w:cs="Arial"/>
              </w:rPr>
            </w:pPr>
            <w:r w:rsidRPr="009058DE">
              <w:rPr>
                <w:b/>
                <w:bCs/>
              </w:rPr>
              <w:t>Системо-органна класификация</w:t>
            </w:r>
          </w:p>
        </w:tc>
        <w:tc>
          <w:tcPr>
            <w:tcW w:w="3195" w:type="dxa"/>
          </w:tcPr>
          <w:p w14:paraId="316B9E15" w14:textId="1DD685D1" w:rsidR="009058DE" w:rsidRPr="009058DE" w:rsidRDefault="009058DE" w:rsidP="009058DE">
            <w:pPr>
              <w:rPr>
                <w:rFonts w:cs="Arial"/>
              </w:rPr>
            </w:pPr>
            <w:r w:rsidRPr="009058DE">
              <w:rPr>
                <w:b/>
                <w:bCs/>
                <w:i/>
                <w:iCs/>
              </w:rPr>
              <w:t>Нежелани реакции</w:t>
            </w:r>
          </w:p>
        </w:tc>
        <w:tc>
          <w:tcPr>
            <w:tcW w:w="3167" w:type="dxa"/>
          </w:tcPr>
          <w:p w14:paraId="089C56C9" w14:textId="49D85713" w:rsidR="009058DE" w:rsidRPr="009058DE" w:rsidRDefault="009058DE" w:rsidP="009058DE">
            <w:pPr>
              <w:rPr>
                <w:rFonts w:cs="Arial"/>
              </w:rPr>
            </w:pPr>
            <w:r w:rsidRPr="009058DE">
              <w:rPr>
                <w:b/>
                <w:bCs/>
                <w:i/>
                <w:iCs/>
              </w:rPr>
              <w:t>Категория честота*</w:t>
            </w:r>
          </w:p>
        </w:tc>
      </w:tr>
      <w:tr w:rsidR="009058DE" w14:paraId="20353554" w14:textId="77777777" w:rsidTr="009058DE">
        <w:tc>
          <w:tcPr>
            <w:tcW w:w="3166" w:type="dxa"/>
            <w:vMerge w:val="restart"/>
          </w:tcPr>
          <w:p w14:paraId="2E28BD86" w14:textId="0B915DEE" w:rsidR="009058DE" w:rsidRPr="009058DE" w:rsidRDefault="009058DE" w:rsidP="009058DE">
            <w:pPr>
              <w:rPr>
                <w:rFonts w:cs="Arial"/>
              </w:rPr>
            </w:pPr>
            <w:r w:rsidRPr="009058DE">
              <w:t>Инфекции и инфестации</w:t>
            </w:r>
          </w:p>
        </w:tc>
        <w:tc>
          <w:tcPr>
            <w:tcW w:w="3195" w:type="dxa"/>
          </w:tcPr>
          <w:p w14:paraId="6BFB8F46" w14:textId="62CD27C2" w:rsidR="009058DE" w:rsidRPr="009058DE" w:rsidRDefault="009058DE" w:rsidP="009058DE">
            <w:pPr>
              <w:rPr>
                <w:rFonts w:cs="Arial"/>
              </w:rPr>
            </w:pPr>
            <w:r w:rsidRPr="009058DE">
              <w:t>алвеоларен остеит</w:t>
            </w:r>
          </w:p>
        </w:tc>
        <w:tc>
          <w:tcPr>
            <w:tcW w:w="3167" w:type="dxa"/>
          </w:tcPr>
          <w:p w14:paraId="2CB46937" w14:textId="737B356F" w:rsidR="009058DE" w:rsidRPr="009058DE" w:rsidRDefault="009058DE" w:rsidP="009058DE">
            <w:pPr>
              <w:rPr>
                <w:rFonts w:cs="Arial"/>
              </w:rPr>
            </w:pPr>
            <w:r w:rsidRPr="009058DE">
              <w:t>Чести</w:t>
            </w:r>
          </w:p>
        </w:tc>
      </w:tr>
      <w:tr w:rsidR="009058DE" w14:paraId="73AF533E" w14:textId="77777777" w:rsidTr="009058DE">
        <w:tc>
          <w:tcPr>
            <w:tcW w:w="3166" w:type="dxa"/>
            <w:vMerge/>
          </w:tcPr>
          <w:p w14:paraId="344BA2E5" w14:textId="77777777" w:rsidR="009058DE" w:rsidRPr="009058DE" w:rsidRDefault="009058DE" w:rsidP="009058DE">
            <w:pPr>
              <w:rPr>
                <w:rFonts w:cs="Arial"/>
              </w:rPr>
            </w:pPr>
          </w:p>
        </w:tc>
        <w:tc>
          <w:tcPr>
            <w:tcW w:w="3195" w:type="dxa"/>
          </w:tcPr>
          <w:p w14:paraId="54B4FAB0" w14:textId="58BDDC1C" w:rsidR="009058DE" w:rsidRPr="009058DE" w:rsidRDefault="009058DE" w:rsidP="009058DE">
            <w:pPr>
              <w:rPr>
                <w:rFonts w:cs="Arial"/>
              </w:rPr>
            </w:pPr>
            <w:r w:rsidRPr="009058DE">
              <w:t xml:space="preserve">гастроентерит, инфекции на </w:t>
            </w:r>
            <w:r w:rsidRPr="009058DE">
              <w:lastRenderedPageBreak/>
              <w:t>горните дихателни пътища, уринарни инфекции</w:t>
            </w:r>
          </w:p>
        </w:tc>
        <w:tc>
          <w:tcPr>
            <w:tcW w:w="3167" w:type="dxa"/>
          </w:tcPr>
          <w:p w14:paraId="3E02276D" w14:textId="06B1F086" w:rsidR="009058DE" w:rsidRPr="009058DE" w:rsidRDefault="009058DE" w:rsidP="009058DE">
            <w:pPr>
              <w:rPr>
                <w:rFonts w:cs="Arial"/>
              </w:rPr>
            </w:pPr>
            <w:r w:rsidRPr="009058DE">
              <w:lastRenderedPageBreak/>
              <w:t>Нечести</w:t>
            </w:r>
          </w:p>
        </w:tc>
      </w:tr>
      <w:tr w:rsidR="009058DE" w14:paraId="061C44A6" w14:textId="77777777" w:rsidTr="009058DE">
        <w:tc>
          <w:tcPr>
            <w:tcW w:w="3166" w:type="dxa"/>
          </w:tcPr>
          <w:p w14:paraId="281958C7" w14:textId="7364E9B1" w:rsidR="009058DE" w:rsidRPr="009058DE" w:rsidRDefault="009058DE" w:rsidP="009058DE">
            <w:pPr>
              <w:rPr>
                <w:rFonts w:cs="Arial"/>
              </w:rPr>
            </w:pPr>
            <w:r w:rsidRPr="009058DE">
              <w:t>Нарушения на кръвта и лимфната система</w:t>
            </w:r>
          </w:p>
        </w:tc>
        <w:tc>
          <w:tcPr>
            <w:tcW w:w="3195" w:type="dxa"/>
          </w:tcPr>
          <w:p w14:paraId="6F6F8974" w14:textId="0166212B" w:rsidR="009058DE" w:rsidRPr="009058DE" w:rsidRDefault="009058DE" w:rsidP="009058DE">
            <w:pPr>
              <w:rPr>
                <w:rFonts w:cs="Arial"/>
              </w:rPr>
            </w:pPr>
            <w:r w:rsidRPr="009058DE">
              <w:t>анемия (предимно свързана със стомашно-чревно кървене), левкопения, тромбоцитопения</w:t>
            </w:r>
          </w:p>
        </w:tc>
        <w:tc>
          <w:tcPr>
            <w:tcW w:w="3167" w:type="dxa"/>
          </w:tcPr>
          <w:p w14:paraId="24F92C11" w14:textId="46131775" w:rsidR="009058DE" w:rsidRPr="009058DE" w:rsidRDefault="009058DE" w:rsidP="009058DE">
            <w:pPr>
              <w:rPr>
                <w:rFonts w:cs="Arial"/>
              </w:rPr>
            </w:pPr>
            <w:r w:rsidRPr="009058DE">
              <w:t>Нечести</w:t>
            </w:r>
          </w:p>
        </w:tc>
      </w:tr>
      <w:tr w:rsidR="009058DE" w14:paraId="05262752" w14:textId="77777777" w:rsidTr="009058DE">
        <w:trPr>
          <w:trHeight w:val="64"/>
        </w:trPr>
        <w:tc>
          <w:tcPr>
            <w:tcW w:w="3166" w:type="dxa"/>
            <w:vMerge w:val="restart"/>
          </w:tcPr>
          <w:p w14:paraId="058237D3" w14:textId="6577BD1E" w:rsidR="009058DE" w:rsidRPr="009058DE" w:rsidRDefault="009058DE" w:rsidP="009058DE">
            <w:pPr>
              <w:rPr>
                <w:rFonts w:cs="Arial"/>
              </w:rPr>
            </w:pPr>
            <w:r w:rsidRPr="009058DE">
              <w:t>Нарушения на имунната система</w:t>
            </w:r>
          </w:p>
        </w:tc>
        <w:tc>
          <w:tcPr>
            <w:tcW w:w="3195" w:type="dxa"/>
          </w:tcPr>
          <w:p w14:paraId="6FA450DF" w14:textId="3D9F167E" w:rsidR="009058DE" w:rsidRPr="009058DE" w:rsidRDefault="009058DE" w:rsidP="009058DE">
            <w:pPr>
              <w:rPr>
                <w:rFonts w:cs="Arial"/>
              </w:rPr>
            </w:pPr>
            <w:r w:rsidRPr="009058DE">
              <w:t>свръхчувствителност</w:t>
            </w:r>
            <w:r w:rsidRPr="009058DE">
              <w:rPr>
                <w:vertAlign w:val="superscript"/>
              </w:rPr>
              <w:t>++β</w:t>
            </w:r>
          </w:p>
        </w:tc>
        <w:tc>
          <w:tcPr>
            <w:tcW w:w="3167" w:type="dxa"/>
          </w:tcPr>
          <w:p w14:paraId="0DBF7632" w14:textId="1B2EBD83" w:rsidR="009058DE" w:rsidRPr="009058DE" w:rsidRDefault="009058DE" w:rsidP="009058DE">
            <w:pPr>
              <w:rPr>
                <w:rFonts w:cs="Arial"/>
              </w:rPr>
            </w:pPr>
            <w:r w:rsidRPr="009058DE">
              <w:t>Нечести</w:t>
            </w:r>
          </w:p>
        </w:tc>
      </w:tr>
      <w:tr w:rsidR="009058DE" w14:paraId="79BBE830" w14:textId="77777777" w:rsidTr="009058DE">
        <w:tc>
          <w:tcPr>
            <w:tcW w:w="3166" w:type="dxa"/>
            <w:vMerge/>
          </w:tcPr>
          <w:p w14:paraId="23BF2F63" w14:textId="77777777" w:rsidR="009058DE" w:rsidRPr="009058DE" w:rsidRDefault="009058DE" w:rsidP="009058DE">
            <w:pPr>
              <w:rPr>
                <w:rFonts w:cs="Arial"/>
              </w:rPr>
            </w:pPr>
          </w:p>
        </w:tc>
        <w:tc>
          <w:tcPr>
            <w:tcW w:w="3195" w:type="dxa"/>
          </w:tcPr>
          <w:p w14:paraId="78899E16" w14:textId="6B2906FB" w:rsidR="009058DE" w:rsidRPr="009058DE" w:rsidRDefault="009058DE" w:rsidP="009058DE">
            <w:pPr>
              <w:rPr>
                <w:rFonts w:cs="Arial"/>
              </w:rPr>
            </w:pPr>
            <w:r w:rsidRPr="009058DE">
              <w:t>ангиоедем/анафилактични/ анафилактоидни реакции, включително шок</w:t>
            </w:r>
            <w:r w:rsidRPr="009058DE">
              <w:rPr>
                <w:vertAlign w:val="superscript"/>
              </w:rPr>
              <w:t>++</w:t>
            </w:r>
          </w:p>
        </w:tc>
        <w:tc>
          <w:tcPr>
            <w:tcW w:w="3167" w:type="dxa"/>
          </w:tcPr>
          <w:p w14:paraId="5282A9E0" w14:textId="1FFDB476" w:rsidR="009058DE" w:rsidRPr="009058DE" w:rsidRDefault="009058DE" w:rsidP="009058DE">
            <w:pPr>
              <w:rPr>
                <w:rFonts w:cs="Arial"/>
              </w:rPr>
            </w:pPr>
            <w:r w:rsidRPr="009058DE">
              <w:t>Редки</w:t>
            </w:r>
          </w:p>
        </w:tc>
      </w:tr>
      <w:tr w:rsidR="009058DE" w14:paraId="03697677" w14:textId="77777777" w:rsidTr="009058DE">
        <w:tc>
          <w:tcPr>
            <w:tcW w:w="3166" w:type="dxa"/>
            <w:vMerge w:val="restart"/>
          </w:tcPr>
          <w:p w14:paraId="38C77645" w14:textId="6300CE49" w:rsidR="009058DE" w:rsidRPr="009058DE" w:rsidRDefault="009058DE" w:rsidP="009058DE">
            <w:pPr>
              <w:rPr>
                <w:rFonts w:cs="Arial"/>
              </w:rPr>
            </w:pPr>
            <w:r w:rsidRPr="009058DE">
              <w:t>Нарушения на метаболизма и храненето</w:t>
            </w:r>
          </w:p>
        </w:tc>
        <w:tc>
          <w:tcPr>
            <w:tcW w:w="3195" w:type="dxa"/>
          </w:tcPr>
          <w:p w14:paraId="57110038" w14:textId="30F6A1EF" w:rsidR="009058DE" w:rsidRPr="009058DE" w:rsidRDefault="009058DE" w:rsidP="009058DE">
            <w:pPr>
              <w:rPr>
                <w:rFonts w:cs="Arial"/>
              </w:rPr>
            </w:pPr>
            <w:r w:rsidRPr="009058DE">
              <w:t>Едем/задържане на течности</w:t>
            </w:r>
          </w:p>
        </w:tc>
        <w:tc>
          <w:tcPr>
            <w:tcW w:w="3167" w:type="dxa"/>
          </w:tcPr>
          <w:p w14:paraId="4242454D" w14:textId="00AF1862" w:rsidR="009058DE" w:rsidRPr="009058DE" w:rsidRDefault="009058DE" w:rsidP="009058DE">
            <w:pPr>
              <w:rPr>
                <w:rFonts w:cs="Arial"/>
              </w:rPr>
            </w:pPr>
            <w:r w:rsidRPr="009058DE">
              <w:t>Чести</w:t>
            </w:r>
          </w:p>
        </w:tc>
      </w:tr>
      <w:tr w:rsidR="009058DE" w14:paraId="6B41BE7F" w14:textId="77777777" w:rsidTr="009058DE">
        <w:tc>
          <w:tcPr>
            <w:tcW w:w="3166" w:type="dxa"/>
            <w:vMerge/>
          </w:tcPr>
          <w:p w14:paraId="7FF25E63" w14:textId="77777777" w:rsidR="009058DE" w:rsidRPr="009058DE" w:rsidRDefault="009058DE" w:rsidP="009058DE">
            <w:pPr>
              <w:rPr>
                <w:rFonts w:cs="Arial"/>
              </w:rPr>
            </w:pPr>
          </w:p>
        </w:tc>
        <w:tc>
          <w:tcPr>
            <w:tcW w:w="3195" w:type="dxa"/>
          </w:tcPr>
          <w:p w14:paraId="101BEDC9" w14:textId="584710D0" w:rsidR="009058DE" w:rsidRPr="009058DE" w:rsidRDefault="009058DE" w:rsidP="009058DE">
            <w:pPr>
              <w:rPr>
                <w:rFonts w:cs="Arial"/>
              </w:rPr>
            </w:pPr>
            <w:r w:rsidRPr="009058DE">
              <w:t>увеличение или намаление на апетита, увеличение на теглото</w:t>
            </w:r>
          </w:p>
        </w:tc>
        <w:tc>
          <w:tcPr>
            <w:tcW w:w="3167" w:type="dxa"/>
          </w:tcPr>
          <w:p w14:paraId="1A7DE833" w14:textId="395CD1A8" w:rsidR="009058DE" w:rsidRPr="009058DE" w:rsidRDefault="009058DE" w:rsidP="009058DE">
            <w:pPr>
              <w:rPr>
                <w:rFonts w:cs="Arial"/>
              </w:rPr>
            </w:pPr>
            <w:r w:rsidRPr="009058DE">
              <w:t>Нечести</w:t>
            </w:r>
          </w:p>
        </w:tc>
      </w:tr>
      <w:tr w:rsidR="009058DE" w14:paraId="28E52796" w14:textId="77777777" w:rsidTr="009058DE">
        <w:tc>
          <w:tcPr>
            <w:tcW w:w="3166" w:type="dxa"/>
            <w:vMerge w:val="restart"/>
          </w:tcPr>
          <w:p w14:paraId="54360366" w14:textId="1D03AF5C" w:rsidR="009058DE" w:rsidRPr="009058DE" w:rsidRDefault="009058DE" w:rsidP="009058DE">
            <w:pPr>
              <w:rPr>
                <w:rFonts w:cs="Arial"/>
              </w:rPr>
            </w:pPr>
            <w:r w:rsidRPr="009058DE">
              <w:t>Психични нарушения</w:t>
            </w:r>
          </w:p>
        </w:tc>
        <w:tc>
          <w:tcPr>
            <w:tcW w:w="3195" w:type="dxa"/>
          </w:tcPr>
          <w:p w14:paraId="372D443C" w14:textId="316B1585" w:rsidR="009058DE" w:rsidRPr="009058DE" w:rsidRDefault="009058DE" w:rsidP="009058DE">
            <w:pPr>
              <w:rPr>
                <w:rFonts w:cs="Arial"/>
              </w:rPr>
            </w:pPr>
            <w:r w:rsidRPr="009058DE">
              <w:t>тревожност, депресия, намалена възможност за умствена работа, халюцинации</w:t>
            </w:r>
            <w:r w:rsidRPr="009058DE">
              <w:rPr>
                <w:vertAlign w:val="superscript"/>
              </w:rPr>
              <w:t>++</w:t>
            </w:r>
          </w:p>
        </w:tc>
        <w:tc>
          <w:tcPr>
            <w:tcW w:w="3167" w:type="dxa"/>
          </w:tcPr>
          <w:p w14:paraId="5E9F8604" w14:textId="74255286" w:rsidR="009058DE" w:rsidRPr="009058DE" w:rsidRDefault="009058DE" w:rsidP="009058DE">
            <w:pPr>
              <w:rPr>
                <w:rFonts w:cs="Arial"/>
              </w:rPr>
            </w:pPr>
            <w:r w:rsidRPr="009058DE">
              <w:t>Нечести</w:t>
            </w:r>
          </w:p>
        </w:tc>
      </w:tr>
      <w:tr w:rsidR="009058DE" w14:paraId="377334CC" w14:textId="77777777" w:rsidTr="009058DE">
        <w:tc>
          <w:tcPr>
            <w:tcW w:w="3166" w:type="dxa"/>
            <w:vMerge/>
          </w:tcPr>
          <w:p w14:paraId="7A2C810D" w14:textId="77777777" w:rsidR="009058DE" w:rsidRPr="009058DE" w:rsidRDefault="009058DE" w:rsidP="009058DE">
            <w:pPr>
              <w:rPr>
                <w:rFonts w:cs="Arial"/>
              </w:rPr>
            </w:pPr>
          </w:p>
        </w:tc>
        <w:tc>
          <w:tcPr>
            <w:tcW w:w="3195" w:type="dxa"/>
          </w:tcPr>
          <w:p w14:paraId="185FCE94" w14:textId="56DBDC42" w:rsidR="009058DE" w:rsidRPr="009058DE" w:rsidRDefault="009058DE" w:rsidP="009058DE">
            <w:pPr>
              <w:rPr>
                <w:rFonts w:cs="Arial"/>
              </w:rPr>
            </w:pPr>
            <w:r w:rsidRPr="009058DE">
              <w:t>обърканост</w:t>
            </w:r>
            <w:r w:rsidRPr="009058DE">
              <w:rPr>
                <w:vertAlign w:val="superscript"/>
              </w:rPr>
              <w:t>++</w:t>
            </w:r>
            <w:r w:rsidRPr="009058DE">
              <w:t>, безпокойство</w:t>
            </w:r>
            <w:r w:rsidRPr="009058DE">
              <w:rPr>
                <w:vertAlign w:val="superscript"/>
              </w:rPr>
              <w:t>++</w:t>
            </w:r>
          </w:p>
        </w:tc>
        <w:tc>
          <w:tcPr>
            <w:tcW w:w="3167" w:type="dxa"/>
          </w:tcPr>
          <w:p w14:paraId="2E84CB2C" w14:textId="4B9DBA4D" w:rsidR="009058DE" w:rsidRPr="009058DE" w:rsidRDefault="009058DE" w:rsidP="009058DE">
            <w:pPr>
              <w:rPr>
                <w:rFonts w:cs="Arial"/>
              </w:rPr>
            </w:pPr>
            <w:r w:rsidRPr="009058DE">
              <w:t>Редки</w:t>
            </w:r>
          </w:p>
        </w:tc>
      </w:tr>
      <w:tr w:rsidR="009058DE" w14:paraId="6930A684" w14:textId="77777777" w:rsidTr="009058DE">
        <w:tc>
          <w:tcPr>
            <w:tcW w:w="3166" w:type="dxa"/>
            <w:vMerge w:val="restart"/>
          </w:tcPr>
          <w:p w14:paraId="59BD3978" w14:textId="7D00EC24" w:rsidR="009058DE" w:rsidRPr="009058DE" w:rsidRDefault="009058DE" w:rsidP="009058DE">
            <w:pPr>
              <w:rPr>
                <w:rFonts w:cs="Arial"/>
              </w:rPr>
            </w:pPr>
            <w:r w:rsidRPr="009058DE">
              <w:t>Нарушения на нервната система</w:t>
            </w:r>
          </w:p>
        </w:tc>
        <w:tc>
          <w:tcPr>
            <w:tcW w:w="3195" w:type="dxa"/>
          </w:tcPr>
          <w:p w14:paraId="4B5295BF" w14:textId="27702EEB" w:rsidR="009058DE" w:rsidRPr="009058DE" w:rsidRDefault="009058DE" w:rsidP="009058DE">
            <w:pPr>
              <w:rPr>
                <w:rFonts w:cs="Arial"/>
              </w:rPr>
            </w:pPr>
            <w:r w:rsidRPr="009058DE">
              <w:t>замаяност, главоболие</w:t>
            </w:r>
          </w:p>
        </w:tc>
        <w:tc>
          <w:tcPr>
            <w:tcW w:w="3167" w:type="dxa"/>
          </w:tcPr>
          <w:p w14:paraId="3A47A278" w14:textId="15C4C15E" w:rsidR="009058DE" w:rsidRPr="009058DE" w:rsidRDefault="009058DE" w:rsidP="009058DE">
            <w:pPr>
              <w:rPr>
                <w:rFonts w:cs="Arial"/>
              </w:rPr>
            </w:pPr>
            <w:r w:rsidRPr="009058DE">
              <w:t>Чести</w:t>
            </w:r>
          </w:p>
        </w:tc>
      </w:tr>
      <w:tr w:rsidR="009058DE" w14:paraId="10451469" w14:textId="77777777" w:rsidTr="009058DE">
        <w:tc>
          <w:tcPr>
            <w:tcW w:w="3166" w:type="dxa"/>
            <w:vMerge/>
          </w:tcPr>
          <w:p w14:paraId="0A70F664" w14:textId="77777777" w:rsidR="009058DE" w:rsidRPr="009058DE" w:rsidRDefault="009058DE" w:rsidP="009058DE">
            <w:pPr>
              <w:rPr>
                <w:rFonts w:cs="Arial"/>
              </w:rPr>
            </w:pPr>
          </w:p>
        </w:tc>
        <w:tc>
          <w:tcPr>
            <w:tcW w:w="3195" w:type="dxa"/>
          </w:tcPr>
          <w:p w14:paraId="2AA9050A" w14:textId="383AFE61" w:rsidR="009058DE" w:rsidRPr="009058DE" w:rsidRDefault="009058DE" w:rsidP="009058DE">
            <w:pPr>
              <w:rPr>
                <w:rFonts w:cs="Arial"/>
              </w:rPr>
            </w:pPr>
            <w:r w:rsidRPr="009058DE">
              <w:t>дисгеузия, безсъние, парестезия/хипоестезия, сънливост</w:t>
            </w:r>
          </w:p>
        </w:tc>
        <w:tc>
          <w:tcPr>
            <w:tcW w:w="3167" w:type="dxa"/>
          </w:tcPr>
          <w:p w14:paraId="313318A4" w14:textId="4A3D90CD" w:rsidR="009058DE" w:rsidRPr="009058DE" w:rsidRDefault="009058DE" w:rsidP="009058DE">
            <w:pPr>
              <w:rPr>
                <w:rFonts w:cs="Arial"/>
              </w:rPr>
            </w:pPr>
            <w:r w:rsidRPr="009058DE">
              <w:t>Нечести</w:t>
            </w:r>
          </w:p>
        </w:tc>
      </w:tr>
      <w:tr w:rsidR="009058DE" w14:paraId="4516EF4B" w14:textId="77777777" w:rsidTr="009058DE">
        <w:tc>
          <w:tcPr>
            <w:tcW w:w="3166" w:type="dxa"/>
          </w:tcPr>
          <w:p w14:paraId="452CC8E6" w14:textId="36E8DFD7" w:rsidR="009058DE" w:rsidRPr="009058DE" w:rsidRDefault="009058DE" w:rsidP="009058DE">
            <w:pPr>
              <w:rPr>
                <w:rFonts w:cs="Arial"/>
              </w:rPr>
            </w:pPr>
            <w:r w:rsidRPr="009058DE">
              <w:t>Нарушения на очите</w:t>
            </w:r>
          </w:p>
        </w:tc>
        <w:tc>
          <w:tcPr>
            <w:tcW w:w="3195" w:type="dxa"/>
          </w:tcPr>
          <w:p w14:paraId="622407B4" w14:textId="1EE00D01" w:rsidR="009058DE" w:rsidRPr="009058DE" w:rsidRDefault="009058DE" w:rsidP="009058DE">
            <w:pPr>
              <w:rPr>
                <w:rFonts w:cs="Arial"/>
              </w:rPr>
            </w:pPr>
            <w:r w:rsidRPr="009058DE">
              <w:t>замъглено зрение, конюнктивит</w:t>
            </w:r>
          </w:p>
        </w:tc>
        <w:tc>
          <w:tcPr>
            <w:tcW w:w="3167" w:type="dxa"/>
          </w:tcPr>
          <w:p w14:paraId="1B4870AA" w14:textId="145FA74C" w:rsidR="009058DE" w:rsidRPr="009058DE" w:rsidRDefault="009058DE" w:rsidP="009058DE">
            <w:pPr>
              <w:rPr>
                <w:rFonts w:cs="Arial"/>
              </w:rPr>
            </w:pPr>
            <w:r w:rsidRPr="009058DE">
              <w:t>Нечести</w:t>
            </w:r>
          </w:p>
        </w:tc>
      </w:tr>
      <w:tr w:rsidR="009058DE" w14:paraId="5DECD09C" w14:textId="77777777" w:rsidTr="009058DE">
        <w:tc>
          <w:tcPr>
            <w:tcW w:w="3166" w:type="dxa"/>
          </w:tcPr>
          <w:p w14:paraId="1BE6D94E" w14:textId="34A1D079" w:rsidR="009058DE" w:rsidRPr="009058DE" w:rsidRDefault="009058DE" w:rsidP="009058DE">
            <w:pPr>
              <w:rPr>
                <w:rFonts w:cs="Arial"/>
              </w:rPr>
            </w:pPr>
            <w:r w:rsidRPr="009058DE">
              <w:t>Нарушения на ухото и лабиринта</w:t>
            </w:r>
          </w:p>
        </w:tc>
        <w:tc>
          <w:tcPr>
            <w:tcW w:w="3195" w:type="dxa"/>
          </w:tcPr>
          <w:p w14:paraId="022B3CA3" w14:textId="3EC77ED5" w:rsidR="009058DE" w:rsidRPr="009058DE" w:rsidRDefault="009058DE" w:rsidP="009058DE">
            <w:pPr>
              <w:rPr>
                <w:rFonts w:cs="Arial"/>
              </w:rPr>
            </w:pPr>
            <w:r w:rsidRPr="009058DE">
              <w:t>шум в ушите, световъртеж</w:t>
            </w:r>
          </w:p>
        </w:tc>
        <w:tc>
          <w:tcPr>
            <w:tcW w:w="3167" w:type="dxa"/>
          </w:tcPr>
          <w:p w14:paraId="4FC1EEA3" w14:textId="06599929" w:rsidR="009058DE" w:rsidRPr="009058DE" w:rsidRDefault="009058DE" w:rsidP="009058DE">
            <w:pPr>
              <w:rPr>
                <w:rFonts w:cs="Arial"/>
              </w:rPr>
            </w:pPr>
            <w:r w:rsidRPr="009058DE">
              <w:t>Нечести</w:t>
            </w:r>
          </w:p>
        </w:tc>
      </w:tr>
      <w:tr w:rsidR="009058DE" w14:paraId="3DEB0AAF" w14:textId="77777777" w:rsidTr="009058DE">
        <w:tc>
          <w:tcPr>
            <w:tcW w:w="3166" w:type="dxa"/>
            <w:vMerge w:val="restart"/>
          </w:tcPr>
          <w:p w14:paraId="610BE901" w14:textId="36555CF6" w:rsidR="009058DE" w:rsidRPr="009058DE" w:rsidRDefault="009058DE" w:rsidP="009058DE">
            <w:pPr>
              <w:rPr>
                <w:rFonts w:cs="Arial"/>
              </w:rPr>
            </w:pPr>
            <w:r w:rsidRPr="009058DE">
              <w:t>Сърдечни нарушения</w:t>
            </w:r>
          </w:p>
        </w:tc>
        <w:tc>
          <w:tcPr>
            <w:tcW w:w="3195" w:type="dxa"/>
          </w:tcPr>
          <w:p w14:paraId="20F6C0A1" w14:textId="03DC2383" w:rsidR="009058DE" w:rsidRPr="009058DE" w:rsidRDefault="009058DE" w:rsidP="009058DE">
            <w:pPr>
              <w:rPr>
                <w:rFonts w:cs="Arial"/>
              </w:rPr>
            </w:pPr>
            <w:r w:rsidRPr="009058DE">
              <w:t>палпитации, аритмия</w:t>
            </w:r>
            <w:r w:rsidRPr="009058DE">
              <w:rPr>
                <w:vertAlign w:val="superscript"/>
              </w:rPr>
              <w:t>++</w:t>
            </w:r>
          </w:p>
        </w:tc>
        <w:tc>
          <w:tcPr>
            <w:tcW w:w="3167" w:type="dxa"/>
          </w:tcPr>
          <w:p w14:paraId="35489E3B" w14:textId="2F4AF969" w:rsidR="009058DE" w:rsidRPr="009058DE" w:rsidRDefault="009058DE" w:rsidP="009058DE">
            <w:pPr>
              <w:rPr>
                <w:rFonts w:cs="Arial"/>
              </w:rPr>
            </w:pPr>
            <w:r w:rsidRPr="009058DE">
              <w:t>Чести</w:t>
            </w:r>
          </w:p>
        </w:tc>
      </w:tr>
      <w:tr w:rsidR="009058DE" w14:paraId="05D502BB" w14:textId="77777777" w:rsidTr="009058DE">
        <w:tc>
          <w:tcPr>
            <w:tcW w:w="3166" w:type="dxa"/>
            <w:vMerge/>
          </w:tcPr>
          <w:p w14:paraId="7D05BFD3" w14:textId="77777777" w:rsidR="009058DE" w:rsidRPr="009058DE" w:rsidRDefault="009058DE" w:rsidP="009058DE">
            <w:pPr>
              <w:rPr>
                <w:rFonts w:cs="Arial"/>
              </w:rPr>
            </w:pPr>
          </w:p>
        </w:tc>
        <w:tc>
          <w:tcPr>
            <w:tcW w:w="3195" w:type="dxa"/>
          </w:tcPr>
          <w:p w14:paraId="609D0334" w14:textId="6A4EFA0C" w:rsidR="009058DE" w:rsidRPr="009058DE" w:rsidRDefault="009058DE" w:rsidP="009058DE">
            <w:pPr>
              <w:rPr>
                <w:rFonts w:cs="Arial"/>
              </w:rPr>
            </w:pPr>
            <w:r w:rsidRPr="009058DE">
              <w:t>предсърдно мъждене, тахикардия</w:t>
            </w:r>
            <w:r w:rsidRPr="009058DE">
              <w:rPr>
                <w:vertAlign w:val="superscript"/>
              </w:rPr>
              <w:t>++</w:t>
            </w:r>
            <w:r w:rsidRPr="009058DE">
              <w:t>, застойна сърдечна недостатъчност, неспецифични промени в ЕКГ, стенокардия</w:t>
            </w:r>
            <w:r w:rsidRPr="009058DE">
              <w:rPr>
                <w:vertAlign w:val="superscript"/>
              </w:rPr>
              <w:t>++</w:t>
            </w:r>
            <w:r w:rsidRPr="009058DE">
              <w:t>, миокарден инфаркт</w:t>
            </w:r>
            <w:r w:rsidRPr="009058DE">
              <w:rPr>
                <w:vertAlign w:val="superscript"/>
              </w:rPr>
              <w:t>§</w:t>
            </w:r>
          </w:p>
        </w:tc>
        <w:tc>
          <w:tcPr>
            <w:tcW w:w="3167" w:type="dxa"/>
          </w:tcPr>
          <w:p w14:paraId="0290BDFB" w14:textId="72DB9472" w:rsidR="009058DE" w:rsidRPr="009058DE" w:rsidRDefault="009058DE" w:rsidP="009058DE">
            <w:pPr>
              <w:rPr>
                <w:rFonts w:cs="Arial"/>
              </w:rPr>
            </w:pPr>
            <w:r w:rsidRPr="009058DE">
              <w:t>Нечести</w:t>
            </w:r>
          </w:p>
        </w:tc>
      </w:tr>
      <w:tr w:rsidR="009058DE" w14:paraId="47F40791" w14:textId="77777777" w:rsidTr="009058DE">
        <w:tc>
          <w:tcPr>
            <w:tcW w:w="3166" w:type="dxa"/>
            <w:vMerge w:val="restart"/>
          </w:tcPr>
          <w:p w14:paraId="57D66A6B" w14:textId="57818E0B" w:rsidR="009058DE" w:rsidRPr="009058DE" w:rsidRDefault="009058DE" w:rsidP="009058DE">
            <w:pPr>
              <w:rPr>
                <w:rFonts w:cs="Arial"/>
              </w:rPr>
            </w:pPr>
            <w:r w:rsidRPr="009058DE">
              <w:t>Съдови нарушения</w:t>
            </w:r>
          </w:p>
        </w:tc>
        <w:tc>
          <w:tcPr>
            <w:tcW w:w="3195" w:type="dxa"/>
          </w:tcPr>
          <w:p w14:paraId="57BD7B54" w14:textId="20332725" w:rsidR="009058DE" w:rsidRPr="009058DE" w:rsidRDefault="009058DE" w:rsidP="009058DE">
            <w:pPr>
              <w:rPr>
                <w:rFonts w:cs="Arial"/>
              </w:rPr>
            </w:pPr>
            <w:r w:rsidRPr="009058DE">
              <w:t>хипертония</w:t>
            </w:r>
          </w:p>
        </w:tc>
        <w:tc>
          <w:tcPr>
            <w:tcW w:w="3167" w:type="dxa"/>
          </w:tcPr>
          <w:p w14:paraId="1B3128B9" w14:textId="6571868A" w:rsidR="009058DE" w:rsidRPr="009058DE" w:rsidRDefault="009058DE" w:rsidP="009058DE">
            <w:pPr>
              <w:rPr>
                <w:rFonts w:cs="Arial"/>
              </w:rPr>
            </w:pPr>
            <w:r w:rsidRPr="009058DE">
              <w:t>Чести</w:t>
            </w:r>
          </w:p>
        </w:tc>
      </w:tr>
      <w:tr w:rsidR="009058DE" w14:paraId="61A85B80" w14:textId="77777777" w:rsidTr="009058DE">
        <w:tc>
          <w:tcPr>
            <w:tcW w:w="3166" w:type="dxa"/>
            <w:vMerge/>
          </w:tcPr>
          <w:p w14:paraId="77D30EA7" w14:textId="77777777" w:rsidR="009058DE" w:rsidRPr="009058DE" w:rsidRDefault="009058DE" w:rsidP="009058DE">
            <w:pPr>
              <w:rPr>
                <w:rFonts w:cs="Arial"/>
              </w:rPr>
            </w:pPr>
          </w:p>
        </w:tc>
        <w:tc>
          <w:tcPr>
            <w:tcW w:w="3195" w:type="dxa"/>
          </w:tcPr>
          <w:p w14:paraId="76E619B8" w14:textId="4F433CA4" w:rsidR="009058DE" w:rsidRPr="009058DE" w:rsidRDefault="009058DE" w:rsidP="009058DE">
            <w:pPr>
              <w:rPr>
                <w:rFonts w:cs="Arial"/>
              </w:rPr>
            </w:pPr>
            <w:r w:rsidRPr="009058DE">
              <w:t>зачервяване, мозъчно-съдови инциденти</w:t>
            </w:r>
            <w:r w:rsidRPr="009058DE">
              <w:rPr>
                <w:vertAlign w:val="superscript"/>
              </w:rPr>
              <w:t>§</w:t>
            </w:r>
            <w:r w:rsidRPr="009058DE">
              <w:t>, преходна исхемична атака, хипертонична криза</w:t>
            </w:r>
            <w:r w:rsidRPr="009058DE">
              <w:rPr>
                <w:vertAlign w:val="superscript"/>
              </w:rPr>
              <w:t>++</w:t>
            </w:r>
            <w:r w:rsidRPr="009058DE">
              <w:t>, васкулит</w:t>
            </w:r>
            <w:r w:rsidRPr="009058DE">
              <w:rPr>
                <w:vertAlign w:val="superscript"/>
              </w:rPr>
              <w:t>++</w:t>
            </w:r>
          </w:p>
        </w:tc>
        <w:tc>
          <w:tcPr>
            <w:tcW w:w="3167" w:type="dxa"/>
          </w:tcPr>
          <w:p w14:paraId="7475AE30" w14:textId="617A379E" w:rsidR="009058DE" w:rsidRPr="009058DE" w:rsidRDefault="009058DE" w:rsidP="009058DE">
            <w:pPr>
              <w:rPr>
                <w:rFonts w:cs="Arial"/>
              </w:rPr>
            </w:pPr>
            <w:r w:rsidRPr="009058DE">
              <w:t>Нечести</w:t>
            </w:r>
          </w:p>
        </w:tc>
      </w:tr>
      <w:tr w:rsidR="009058DE" w14:paraId="1487EE04" w14:textId="77777777" w:rsidTr="009058DE">
        <w:tc>
          <w:tcPr>
            <w:tcW w:w="3166" w:type="dxa"/>
            <w:vMerge w:val="restart"/>
          </w:tcPr>
          <w:p w14:paraId="12CB2547" w14:textId="3CA28E71" w:rsidR="009058DE" w:rsidRPr="009058DE" w:rsidRDefault="009058DE" w:rsidP="009058DE">
            <w:pPr>
              <w:rPr>
                <w:rFonts w:cs="Arial"/>
              </w:rPr>
            </w:pPr>
            <w:r w:rsidRPr="009058DE">
              <w:t>Респираторни, гръдни и медиастинални нарушения</w:t>
            </w:r>
          </w:p>
        </w:tc>
        <w:tc>
          <w:tcPr>
            <w:tcW w:w="3195" w:type="dxa"/>
          </w:tcPr>
          <w:p w14:paraId="1661DE3A" w14:textId="433F4A36" w:rsidR="009058DE" w:rsidRPr="009058DE" w:rsidRDefault="009058DE" w:rsidP="009058DE">
            <w:pPr>
              <w:rPr>
                <w:rFonts w:cs="Arial"/>
              </w:rPr>
            </w:pPr>
            <w:r w:rsidRPr="009058DE">
              <w:t>бронхоспазъм</w:t>
            </w:r>
            <w:r w:rsidRPr="009058DE">
              <w:rPr>
                <w:vertAlign w:val="superscript"/>
              </w:rPr>
              <w:t>++</w:t>
            </w:r>
          </w:p>
        </w:tc>
        <w:tc>
          <w:tcPr>
            <w:tcW w:w="3167" w:type="dxa"/>
          </w:tcPr>
          <w:p w14:paraId="43970AD9" w14:textId="67C76EF9" w:rsidR="009058DE" w:rsidRDefault="009058DE" w:rsidP="009058DE">
            <w:pPr>
              <w:rPr>
                <w:rFonts w:cs="Arial"/>
              </w:rPr>
            </w:pPr>
            <w:r>
              <w:t>Чести</w:t>
            </w:r>
          </w:p>
        </w:tc>
      </w:tr>
      <w:tr w:rsidR="009058DE" w14:paraId="34B09451" w14:textId="77777777" w:rsidTr="009058DE">
        <w:tc>
          <w:tcPr>
            <w:tcW w:w="3166" w:type="dxa"/>
            <w:vMerge/>
          </w:tcPr>
          <w:p w14:paraId="3DC2D85C" w14:textId="77777777" w:rsidR="009058DE" w:rsidRPr="009058DE" w:rsidRDefault="009058DE" w:rsidP="009058DE">
            <w:pPr>
              <w:rPr>
                <w:rFonts w:cs="Arial"/>
              </w:rPr>
            </w:pPr>
          </w:p>
        </w:tc>
        <w:tc>
          <w:tcPr>
            <w:tcW w:w="3195" w:type="dxa"/>
          </w:tcPr>
          <w:p w14:paraId="76F31124" w14:textId="6E0EC631" w:rsidR="009058DE" w:rsidRPr="009058DE" w:rsidRDefault="009058DE" w:rsidP="009058DE">
            <w:pPr>
              <w:rPr>
                <w:rFonts w:cs="Arial"/>
              </w:rPr>
            </w:pPr>
            <w:r w:rsidRPr="009058DE">
              <w:t>кашлица, диспнея, епистаксис</w:t>
            </w:r>
          </w:p>
        </w:tc>
        <w:tc>
          <w:tcPr>
            <w:tcW w:w="3167" w:type="dxa"/>
          </w:tcPr>
          <w:p w14:paraId="65E59C78" w14:textId="527E4635" w:rsidR="009058DE" w:rsidRDefault="009058DE" w:rsidP="009058DE">
            <w:pPr>
              <w:rPr>
                <w:rFonts w:cs="Arial"/>
              </w:rPr>
            </w:pPr>
            <w:r>
              <w:t>Нечести</w:t>
            </w:r>
          </w:p>
        </w:tc>
      </w:tr>
      <w:tr w:rsidR="009058DE" w14:paraId="7C38842C" w14:textId="77777777" w:rsidTr="009058DE">
        <w:tc>
          <w:tcPr>
            <w:tcW w:w="3166" w:type="dxa"/>
            <w:vMerge w:val="restart"/>
          </w:tcPr>
          <w:p w14:paraId="7536B067" w14:textId="49803BB2" w:rsidR="009058DE" w:rsidRPr="009058DE" w:rsidRDefault="009058DE" w:rsidP="009058DE">
            <w:pPr>
              <w:rPr>
                <w:rFonts w:cs="Arial"/>
              </w:rPr>
            </w:pPr>
            <w:r w:rsidRPr="009058DE">
              <w:t>Стомашно-чревни нарушения</w:t>
            </w:r>
          </w:p>
        </w:tc>
        <w:tc>
          <w:tcPr>
            <w:tcW w:w="3195" w:type="dxa"/>
            <w:vAlign w:val="bottom"/>
          </w:tcPr>
          <w:p w14:paraId="4E1A5C79" w14:textId="577F084F" w:rsidR="009058DE" w:rsidRPr="009058DE" w:rsidRDefault="009058DE" w:rsidP="009058DE">
            <w:pPr>
              <w:rPr>
                <w:rFonts w:cs="Arial"/>
              </w:rPr>
            </w:pPr>
            <w:r w:rsidRPr="009058DE">
              <w:t>коремна болка</w:t>
            </w:r>
          </w:p>
        </w:tc>
        <w:tc>
          <w:tcPr>
            <w:tcW w:w="3167" w:type="dxa"/>
            <w:vAlign w:val="bottom"/>
          </w:tcPr>
          <w:p w14:paraId="645A6DF0" w14:textId="3F6EA713" w:rsidR="009058DE" w:rsidRPr="009058DE" w:rsidRDefault="009058DE" w:rsidP="009058DE">
            <w:pPr>
              <w:rPr>
                <w:rFonts w:cs="Arial"/>
              </w:rPr>
            </w:pPr>
            <w:r w:rsidRPr="009058DE">
              <w:t>Много чести</w:t>
            </w:r>
          </w:p>
        </w:tc>
      </w:tr>
      <w:tr w:rsidR="009058DE" w14:paraId="20F7B516" w14:textId="77777777" w:rsidTr="009058DE">
        <w:tc>
          <w:tcPr>
            <w:tcW w:w="3166" w:type="dxa"/>
            <w:vMerge/>
          </w:tcPr>
          <w:p w14:paraId="1F339315" w14:textId="77777777" w:rsidR="009058DE" w:rsidRPr="009058DE" w:rsidRDefault="009058DE" w:rsidP="009058DE">
            <w:pPr>
              <w:rPr>
                <w:rFonts w:cs="Arial"/>
              </w:rPr>
            </w:pPr>
          </w:p>
        </w:tc>
        <w:tc>
          <w:tcPr>
            <w:tcW w:w="3195" w:type="dxa"/>
            <w:vAlign w:val="bottom"/>
          </w:tcPr>
          <w:p w14:paraId="189E534A" w14:textId="130C5EB8" w:rsidR="009058DE" w:rsidRPr="009058DE" w:rsidRDefault="009058DE" w:rsidP="009058DE">
            <w:pPr>
              <w:rPr>
                <w:rFonts w:cs="Arial"/>
              </w:rPr>
            </w:pPr>
            <w:r w:rsidRPr="009058DE">
              <w:t xml:space="preserve">запек, флатуленция, </w:t>
            </w:r>
            <w:r w:rsidRPr="009058DE">
              <w:lastRenderedPageBreak/>
              <w:t>гастрит, киселини/рефлукс, диария, диспепсия/епигастрален дискомфорт, гадене, повръщане, езофагит, язви в устата</w:t>
            </w:r>
          </w:p>
        </w:tc>
        <w:tc>
          <w:tcPr>
            <w:tcW w:w="3167" w:type="dxa"/>
          </w:tcPr>
          <w:p w14:paraId="0CEDFC60" w14:textId="5C9A7203" w:rsidR="009058DE" w:rsidRPr="009058DE" w:rsidRDefault="009058DE" w:rsidP="009058DE">
            <w:pPr>
              <w:rPr>
                <w:rFonts w:cs="Arial"/>
              </w:rPr>
            </w:pPr>
            <w:r w:rsidRPr="009058DE">
              <w:lastRenderedPageBreak/>
              <w:t>Чести</w:t>
            </w:r>
          </w:p>
        </w:tc>
      </w:tr>
      <w:tr w:rsidR="009058DE" w14:paraId="0E24626D" w14:textId="77777777" w:rsidTr="009058DE">
        <w:tc>
          <w:tcPr>
            <w:tcW w:w="3166" w:type="dxa"/>
            <w:vMerge/>
          </w:tcPr>
          <w:p w14:paraId="59EAC809" w14:textId="77777777" w:rsidR="009058DE" w:rsidRPr="009058DE" w:rsidRDefault="009058DE" w:rsidP="009058DE">
            <w:pPr>
              <w:rPr>
                <w:rFonts w:cs="Arial"/>
              </w:rPr>
            </w:pPr>
          </w:p>
        </w:tc>
        <w:tc>
          <w:tcPr>
            <w:tcW w:w="3195" w:type="dxa"/>
            <w:vAlign w:val="bottom"/>
          </w:tcPr>
          <w:p w14:paraId="1F08E035" w14:textId="2C14CDA2" w:rsidR="009058DE" w:rsidRPr="009058DE" w:rsidRDefault="009058DE" w:rsidP="009058DE">
            <w:pPr>
              <w:rPr>
                <w:rFonts w:cs="Arial"/>
              </w:rPr>
            </w:pPr>
            <w:r w:rsidRPr="009058DE">
              <w:t>подуване на корема, промени в перисталтиката, сухота в устата, гастродуоденална язва, пептични язви включващи перфорации и кървене от СЧ тракт, синдром на раздразненото черво, панкреатит</w:t>
            </w:r>
            <w:r w:rsidRPr="009058DE">
              <w:rPr>
                <w:vertAlign w:val="superscript"/>
              </w:rPr>
              <w:t>++</w:t>
            </w:r>
          </w:p>
        </w:tc>
        <w:tc>
          <w:tcPr>
            <w:tcW w:w="3167" w:type="dxa"/>
          </w:tcPr>
          <w:p w14:paraId="328E0A0D" w14:textId="352192F3" w:rsidR="009058DE" w:rsidRPr="009058DE" w:rsidRDefault="009058DE" w:rsidP="009058DE">
            <w:pPr>
              <w:rPr>
                <w:rFonts w:cs="Arial"/>
              </w:rPr>
            </w:pPr>
            <w:r w:rsidRPr="009058DE">
              <w:t>Нечести</w:t>
            </w:r>
          </w:p>
        </w:tc>
      </w:tr>
      <w:tr w:rsidR="009058DE" w14:paraId="3CC6387C" w14:textId="77777777" w:rsidTr="009058DE">
        <w:tc>
          <w:tcPr>
            <w:tcW w:w="3166" w:type="dxa"/>
            <w:vMerge w:val="restart"/>
          </w:tcPr>
          <w:p w14:paraId="24E0B0F0" w14:textId="640F389C" w:rsidR="009058DE" w:rsidRPr="009058DE" w:rsidRDefault="009058DE" w:rsidP="009058DE">
            <w:pPr>
              <w:rPr>
                <w:rFonts w:cs="Arial"/>
              </w:rPr>
            </w:pPr>
            <w:r w:rsidRPr="009058DE">
              <w:t>Хепатобилиарни нарушения</w:t>
            </w:r>
          </w:p>
        </w:tc>
        <w:tc>
          <w:tcPr>
            <w:tcW w:w="3195" w:type="dxa"/>
            <w:vAlign w:val="bottom"/>
          </w:tcPr>
          <w:p w14:paraId="5AF0A9A6" w14:textId="36FBABB0" w:rsidR="009058DE" w:rsidRPr="009058DE" w:rsidRDefault="009058DE" w:rsidP="009058DE">
            <w:pPr>
              <w:rPr>
                <w:rFonts w:cs="Arial"/>
              </w:rPr>
            </w:pPr>
            <w:r w:rsidRPr="009058DE">
              <w:t xml:space="preserve">увеличение на </w:t>
            </w:r>
            <w:r w:rsidRPr="009058DE">
              <w:rPr>
                <w:lang w:val="en-US"/>
              </w:rPr>
              <w:t>ALT</w:t>
            </w:r>
            <w:r w:rsidRPr="009058DE">
              <w:t xml:space="preserve">, увеличение на </w:t>
            </w:r>
            <w:r w:rsidRPr="009058DE">
              <w:rPr>
                <w:lang w:val="en-US"/>
              </w:rPr>
              <w:t>AST</w:t>
            </w:r>
          </w:p>
        </w:tc>
        <w:tc>
          <w:tcPr>
            <w:tcW w:w="3167" w:type="dxa"/>
          </w:tcPr>
          <w:p w14:paraId="5DA92390" w14:textId="6FF651CE" w:rsidR="009058DE" w:rsidRPr="009058DE" w:rsidRDefault="009058DE" w:rsidP="009058DE">
            <w:pPr>
              <w:rPr>
                <w:rFonts w:cs="Arial"/>
              </w:rPr>
            </w:pPr>
            <w:r w:rsidRPr="009058DE">
              <w:t>Чести</w:t>
            </w:r>
          </w:p>
        </w:tc>
      </w:tr>
      <w:tr w:rsidR="009058DE" w14:paraId="058461E4" w14:textId="77777777" w:rsidTr="009058DE">
        <w:tc>
          <w:tcPr>
            <w:tcW w:w="3166" w:type="dxa"/>
            <w:vMerge/>
          </w:tcPr>
          <w:p w14:paraId="1B71B97A" w14:textId="77777777" w:rsidR="009058DE" w:rsidRPr="009058DE" w:rsidRDefault="009058DE" w:rsidP="009058DE">
            <w:pPr>
              <w:rPr>
                <w:rFonts w:cs="Arial"/>
              </w:rPr>
            </w:pPr>
          </w:p>
        </w:tc>
        <w:tc>
          <w:tcPr>
            <w:tcW w:w="3195" w:type="dxa"/>
            <w:vAlign w:val="bottom"/>
          </w:tcPr>
          <w:p w14:paraId="74E53B48" w14:textId="57AD47FE" w:rsidR="009058DE" w:rsidRPr="009058DE" w:rsidRDefault="009058DE" w:rsidP="009058DE">
            <w:pPr>
              <w:rPr>
                <w:rFonts w:cs="Arial"/>
              </w:rPr>
            </w:pPr>
            <w:r w:rsidRPr="009058DE">
              <w:t>хепатит</w:t>
            </w:r>
            <w:r w:rsidRPr="009058DE">
              <w:rPr>
                <w:vertAlign w:val="superscript"/>
              </w:rPr>
              <w:t>++</w:t>
            </w:r>
          </w:p>
        </w:tc>
        <w:tc>
          <w:tcPr>
            <w:tcW w:w="3167" w:type="dxa"/>
            <w:vAlign w:val="bottom"/>
          </w:tcPr>
          <w:p w14:paraId="192041AE" w14:textId="2DAFB45D" w:rsidR="009058DE" w:rsidRPr="009058DE" w:rsidRDefault="009058DE" w:rsidP="009058DE">
            <w:pPr>
              <w:rPr>
                <w:rFonts w:cs="Arial"/>
              </w:rPr>
            </w:pPr>
            <w:r w:rsidRPr="009058DE">
              <w:t>Редки</w:t>
            </w:r>
          </w:p>
        </w:tc>
      </w:tr>
      <w:tr w:rsidR="009058DE" w14:paraId="14715088" w14:textId="77777777" w:rsidTr="009058DE">
        <w:tc>
          <w:tcPr>
            <w:tcW w:w="3166" w:type="dxa"/>
            <w:vMerge/>
          </w:tcPr>
          <w:p w14:paraId="42AC2BB7" w14:textId="77777777" w:rsidR="009058DE" w:rsidRPr="009058DE" w:rsidRDefault="009058DE" w:rsidP="009058DE">
            <w:pPr>
              <w:rPr>
                <w:rFonts w:cs="Arial"/>
              </w:rPr>
            </w:pPr>
          </w:p>
        </w:tc>
        <w:tc>
          <w:tcPr>
            <w:tcW w:w="3195" w:type="dxa"/>
            <w:vAlign w:val="bottom"/>
          </w:tcPr>
          <w:p w14:paraId="48A72C80" w14:textId="77777777" w:rsidR="009058DE" w:rsidRPr="009058DE" w:rsidRDefault="009058DE" w:rsidP="009058DE">
            <w:r w:rsidRPr="009058DE">
              <w:t>чернодробна</w:t>
            </w:r>
          </w:p>
          <w:p w14:paraId="6215D4AF" w14:textId="506306BC" w:rsidR="009058DE" w:rsidRPr="009058DE" w:rsidRDefault="009058DE" w:rsidP="009058DE">
            <w:pPr>
              <w:rPr>
                <w:rFonts w:cs="Arial"/>
              </w:rPr>
            </w:pPr>
            <w:r w:rsidRPr="009058DE">
              <w:t>недостатъчност</w:t>
            </w:r>
            <w:r w:rsidRPr="009058DE">
              <w:rPr>
                <w:vertAlign w:val="superscript"/>
              </w:rPr>
              <w:t>++</w:t>
            </w:r>
            <w:r w:rsidRPr="009058DE">
              <w:t>, жълтеница</w:t>
            </w:r>
            <w:r w:rsidRPr="009058DE">
              <w:rPr>
                <w:vertAlign w:val="superscript"/>
              </w:rPr>
              <w:t>++</w:t>
            </w:r>
          </w:p>
        </w:tc>
        <w:tc>
          <w:tcPr>
            <w:tcW w:w="3167" w:type="dxa"/>
          </w:tcPr>
          <w:p w14:paraId="7A8D292B" w14:textId="02064B25" w:rsidR="009058DE" w:rsidRPr="009058DE" w:rsidRDefault="009058DE" w:rsidP="009058DE">
            <w:pPr>
              <w:rPr>
                <w:rFonts w:cs="Arial"/>
              </w:rPr>
            </w:pPr>
            <w:r w:rsidRPr="009058DE">
              <w:t>Редки</w:t>
            </w:r>
            <w:r w:rsidRPr="009058DE">
              <w:rPr>
                <w:vertAlign w:val="superscript"/>
              </w:rPr>
              <w:t>+</w:t>
            </w:r>
          </w:p>
        </w:tc>
      </w:tr>
      <w:tr w:rsidR="009058DE" w14:paraId="4D30BB2B" w14:textId="77777777" w:rsidTr="009058DE">
        <w:tc>
          <w:tcPr>
            <w:tcW w:w="3166" w:type="dxa"/>
            <w:vMerge w:val="restart"/>
          </w:tcPr>
          <w:p w14:paraId="5A2B3943" w14:textId="467D6CAF" w:rsidR="009058DE" w:rsidRPr="009058DE" w:rsidRDefault="009058DE" w:rsidP="009058DE">
            <w:pPr>
              <w:rPr>
                <w:rFonts w:cs="Arial"/>
              </w:rPr>
            </w:pPr>
            <w:r w:rsidRPr="009058DE">
              <w:t>Нарушения на кожата и подкожната тъкан</w:t>
            </w:r>
          </w:p>
        </w:tc>
        <w:tc>
          <w:tcPr>
            <w:tcW w:w="3195" w:type="dxa"/>
            <w:vAlign w:val="bottom"/>
          </w:tcPr>
          <w:p w14:paraId="4740A099" w14:textId="54BF4FCA" w:rsidR="009058DE" w:rsidRPr="009058DE" w:rsidRDefault="009058DE" w:rsidP="009058DE">
            <w:pPr>
              <w:rPr>
                <w:rFonts w:cs="Arial"/>
              </w:rPr>
            </w:pPr>
            <w:r w:rsidRPr="009058DE">
              <w:t>екхимози</w:t>
            </w:r>
          </w:p>
        </w:tc>
        <w:tc>
          <w:tcPr>
            <w:tcW w:w="3167" w:type="dxa"/>
            <w:vAlign w:val="bottom"/>
          </w:tcPr>
          <w:p w14:paraId="155DDE95" w14:textId="4A64DD89" w:rsidR="009058DE" w:rsidRPr="009058DE" w:rsidRDefault="009058DE" w:rsidP="009058DE">
            <w:pPr>
              <w:rPr>
                <w:rFonts w:cs="Arial"/>
              </w:rPr>
            </w:pPr>
            <w:r w:rsidRPr="009058DE">
              <w:t>Чести</w:t>
            </w:r>
          </w:p>
        </w:tc>
      </w:tr>
      <w:tr w:rsidR="009058DE" w14:paraId="7383AD07" w14:textId="77777777" w:rsidTr="009058DE">
        <w:tc>
          <w:tcPr>
            <w:tcW w:w="3166" w:type="dxa"/>
            <w:vMerge/>
          </w:tcPr>
          <w:p w14:paraId="61892D92" w14:textId="77777777" w:rsidR="009058DE" w:rsidRPr="009058DE" w:rsidRDefault="009058DE" w:rsidP="009058DE">
            <w:pPr>
              <w:rPr>
                <w:rFonts w:cs="Arial"/>
              </w:rPr>
            </w:pPr>
          </w:p>
        </w:tc>
        <w:tc>
          <w:tcPr>
            <w:tcW w:w="3195" w:type="dxa"/>
            <w:vAlign w:val="bottom"/>
          </w:tcPr>
          <w:p w14:paraId="66A628C8" w14:textId="1A93B2DA" w:rsidR="009058DE" w:rsidRPr="009058DE" w:rsidRDefault="009058DE" w:rsidP="009058DE">
            <w:pPr>
              <w:rPr>
                <w:rFonts w:cs="Arial"/>
              </w:rPr>
            </w:pPr>
            <w:r w:rsidRPr="009058DE">
              <w:t>оток на лицето, сърбеж, обрив, еритема</w:t>
            </w:r>
            <w:r w:rsidRPr="009058DE">
              <w:rPr>
                <w:vertAlign w:val="superscript"/>
              </w:rPr>
              <w:t>++</w:t>
            </w:r>
            <w:r w:rsidRPr="009058DE">
              <w:t>, уртикария</w:t>
            </w:r>
            <w:r w:rsidRPr="009058DE">
              <w:rPr>
                <w:vertAlign w:val="superscript"/>
              </w:rPr>
              <w:t>++</w:t>
            </w:r>
          </w:p>
        </w:tc>
        <w:tc>
          <w:tcPr>
            <w:tcW w:w="3167" w:type="dxa"/>
          </w:tcPr>
          <w:p w14:paraId="0F776C55" w14:textId="2F41261F" w:rsidR="009058DE" w:rsidRPr="009058DE" w:rsidRDefault="009058DE" w:rsidP="009058DE">
            <w:pPr>
              <w:rPr>
                <w:rFonts w:cs="Arial"/>
              </w:rPr>
            </w:pPr>
            <w:r w:rsidRPr="009058DE">
              <w:t>Нечести</w:t>
            </w:r>
          </w:p>
        </w:tc>
      </w:tr>
      <w:tr w:rsidR="009058DE" w14:paraId="53FA9E5A" w14:textId="77777777" w:rsidTr="009058DE">
        <w:tc>
          <w:tcPr>
            <w:tcW w:w="3166" w:type="dxa"/>
            <w:vMerge/>
          </w:tcPr>
          <w:p w14:paraId="1D91CF92" w14:textId="77777777" w:rsidR="009058DE" w:rsidRPr="009058DE" w:rsidRDefault="009058DE" w:rsidP="009058DE">
            <w:pPr>
              <w:rPr>
                <w:rFonts w:cs="Arial"/>
              </w:rPr>
            </w:pPr>
          </w:p>
        </w:tc>
        <w:tc>
          <w:tcPr>
            <w:tcW w:w="3195" w:type="dxa"/>
            <w:vAlign w:val="bottom"/>
          </w:tcPr>
          <w:p w14:paraId="7DD4C869" w14:textId="71602D54" w:rsidR="009058DE" w:rsidRPr="009058DE" w:rsidRDefault="009058DE" w:rsidP="009058DE">
            <w:pPr>
              <w:rPr>
                <w:rFonts w:cs="Arial"/>
              </w:rPr>
            </w:pPr>
            <w:r w:rsidRPr="009058DE">
              <w:t xml:space="preserve">синдром на </w:t>
            </w:r>
            <w:r w:rsidRPr="009058DE">
              <w:rPr>
                <w:lang w:val="en-US"/>
              </w:rPr>
              <w:t>Stevens-Johnson</w:t>
            </w:r>
            <w:r w:rsidRPr="009058DE">
              <w:rPr>
                <w:vertAlign w:val="superscript"/>
                <w:lang w:val="en-US"/>
              </w:rPr>
              <w:t>1</w:t>
            </w:r>
            <w:r w:rsidRPr="009058DE">
              <w:rPr>
                <w:lang w:val="en-US"/>
              </w:rPr>
              <w:t xml:space="preserve">, </w:t>
            </w:r>
            <w:r w:rsidRPr="009058DE">
              <w:t>токсична епидермална некролиза</w:t>
            </w:r>
            <w:r w:rsidRPr="009058DE">
              <w:rPr>
                <w:vertAlign w:val="superscript"/>
              </w:rPr>
              <w:t>++</w:t>
            </w:r>
            <w:r w:rsidRPr="009058DE">
              <w:t>, непрогресиращ лекарствен обрив</w:t>
            </w:r>
            <w:r w:rsidRPr="009058DE">
              <w:rPr>
                <w:vertAlign w:val="superscript"/>
              </w:rPr>
              <w:t>++</w:t>
            </w:r>
          </w:p>
        </w:tc>
        <w:tc>
          <w:tcPr>
            <w:tcW w:w="3167" w:type="dxa"/>
          </w:tcPr>
          <w:p w14:paraId="67196312" w14:textId="11B7E6F4" w:rsidR="009058DE" w:rsidRPr="009058DE" w:rsidRDefault="009058DE" w:rsidP="009058DE">
            <w:pPr>
              <w:rPr>
                <w:rFonts w:cs="Arial"/>
              </w:rPr>
            </w:pPr>
            <w:r w:rsidRPr="009058DE">
              <w:t>Редки</w:t>
            </w:r>
            <w:r w:rsidRPr="009058DE">
              <w:rPr>
                <w:vertAlign w:val="superscript"/>
              </w:rPr>
              <w:t>+</w:t>
            </w:r>
          </w:p>
        </w:tc>
      </w:tr>
      <w:tr w:rsidR="009058DE" w14:paraId="018474BB" w14:textId="77777777" w:rsidTr="009058DE">
        <w:tc>
          <w:tcPr>
            <w:tcW w:w="3166" w:type="dxa"/>
            <w:vAlign w:val="bottom"/>
          </w:tcPr>
          <w:p w14:paraId="5099C35A" w14:textId="494C2DE4" w:rsidR="009058DE" w:rsidRPr="009058DE" w:rsidRDefault="009058DE" w:rsidP="009058DE">
            <w:pPr>
              <w:rPr>
                <w:rFonts w:cs="Arial"/>
              </w:rPr>
            </w:pPr>
            <w:r w:rsidRPr="009058DE">
              <w:t>Нарушения на мускулно- скелетната система и съединителната тъкан</w:t>
            </w:r>
          </w:p>
        </w:tc>
        <w:tc>
          <w:tcPr>
            <w:tcW w:w="3195" w:type="dxa"/>
            <w:vAlign w:val="bottom"/>
          </w:tcPr>
          <w:p w14:paraId="35E839AC" w14:textId="0A896D1B" w:rsidR="009058DE" w:rsidRPr="009058DE" w:rsidRDefault="009058DE" w:rsidP="009058DE">
            <w:pPr>
              <w:rPr>
                <w:rFonts w:cs="Arial"/>
              </w:rPr>
            </w:pPr>
            <w:r w:rsidRPr="009058DE">
              <w:t>мускулни крампи/спазми, болка/ригидност на мускулатурата</w:t>
            </w:r>
          </w:p>
        </w:tc>
        <w:tc>
          <w:tcPr>
            <w:tcW w:w="3167" w:type="dxa"/>
          </w:tcPr>
          <w:p w14:paraId="28F95D7E" w14:textId="552B6027" w:rsidR="009058DE" w:rsidRPr="009058DE" w:rsidRDefault="009058DE" w:rsidP="009058DE">
            <w:pPr>
              <w:rPr>
                <w:rFonts w:cs="Arial"/>
              </w:rPr>
            </w:pPr>
            <w:r w:rsidRPr="009058DE">
              <w:t>Нечести</w:t>
            </w:r>
          </w:p>
        </w:tc>
      </w:tr>
      <w:tr w:rsidR="009058DE" w14:paraId="4D852FDC" w14:textId="77777777" w:rsidTr="009058DE">
        <w:tc>
          <w:tcPr>
            <w:tcW w:w="3166" w:type="dxa"/>
          </w:tcPr>
          <w:p w14:paraId="517EE820" w14:textId="7C148C9C" w:rsidR="009058DE" w:rsidRPr="009058DE" w:rsidRDefault="009058DE" w:rsidP="009058DE">
            <w:pPr>
              <w:rPr>
                <w:rFonts w:cs="Arial"/>
              </w:rPr>
            </w:pPr>
            <w:r w:rsidRPr="009058DE">
              <w:t>Нарушения на бъбреците и пикочните пътища</w:t>
            </w:r>
          </w:p>
        </w:tc>
        <w:tc>
          <w:tcPr>
            <w:tcW w:w="3195" w:type="dxa"/>
            <w:vAlign w:val="bottom"/>
          </w:tcPr>
          <w:p w14:paraId="3B6331B6" w14:textId="77777777" w:rsidR="009058DE" w:rsidRPr="009058DE" w:rsidRDefault="009058DE" w:rsidP="009058DE">
            <w:r w:rsidRPr="009058DE">
              <w:t>протеинурия, повишение на серумния креатинин, бъбречно</w:t>
            </w:r>
          </w:p>
          <w:p w14:paraId="0C9BE454" w14:textId="6776E277" w:rsidR="009058DE" w:rsidRPr="009058DE" w:rsidRDefault="009058DE" w:rsidP="009058DE">
            <w:pPr>
              <w:rPr>
                <w:rFonts w:cs="Arial"/>
              </w:rPr>
            </w:pPr>
            <w:r w:rsidRPr="009058DE">
              <w:t>нарушение/недостатьчност</w:t>
            </w:r>
            <w:r w:rsidRPr="009058DE">
              <w:rPr>
                <w:vertAlign w:val="superscript"/>
              </w:rPr>
              <w:t xml:space="preserve">++ </w:t>
            </w:r>
            <w:r w:rsidRPr="009058DE">
              <w:t>(вж. точка 4.4)</w:t>
            </w:r>
          </w:p>
        </w:tc>
        <w:tc>
          <w:tcPr>
            <w:tcW w:w="3167" w:type="dxa"/>
          </w:tcPr>
          <w:p w14:paraId="53931B25" w14:textId="56DAD6C8" w:rsidR="009058DE" w:rsidRPr="009058DE" w:rsidRDefault="009058DE" w:rsidP="009058DE">
            <w:pPr>
              <w:rPr>
                <w:rFonts w:cs="Arial"/>
              </w:rPr>
            </w:pPr>
            <w:r w:rsidRPr="009058DE">
              <w:t>Нечести</w:t>
            </w:r>
          </w:p>
        </w:tc>
      </w:tr>
      <w:tr w:rsidR="009058DE" w14:paraId="680B52B5" w14:textId="77777777" w:rsidTr="009058DE">
        <w:tc>
          <w:tcPr>
            <w:tcW w:w="3166" w:type="dxa"/>
            <w:vMerge w:val="restart"/>
          </w:tcPr>
          <w:p w14:paraId="0989E776" w14:textId="246E918C" w:rsidR="009058DE" w:rsidRPr="009058DE" w:rsidRDefault="009058DE" w:rsidP="009058DE">
            <w:pPr>
              <w:rPr>
                <w:rFonts w:cs="Arial"/>
              </w:rPr>
            </w:pPr>
            <w:r w:rsidRPr="009058DE">
              <w:t>Общи нарушения и ефекти на мястото на приложение</w:t>
            </w:r>
          </w:p>
        </w:tc>
        <w:tc>
          <w:tcPr>
            <w:tcW w:w="3195" w:type="dxa"/>
            <w:vAlign w:val="bottom"/>
          </w:tcPr>
          <w:p w14:paraId="0A8159DC" w14:textId="40D26800" w:rsidR="009058DE" w:rsidRPr="009058DE" w:rsidRDefault="009058DE" w:rsidP="009058DE">
            <w:pPr>
              <w:rPr>
                <w:rFonts w:cs="Arial"/>
              </w:rPr>
            </w:pPr>
            <w:r w:rsidRPr="009058DE">
              <w:t>астения/умора, грипоподобно състояние</w:t>
            </w:r>
          </w:p>
        </w:tc>
        <w:tc>
          <w:tcPr>
            <w:tcW w:w="3167" w:type="dxa"/>
          </w:tcPr>
          <w:p w14:paraId="1F61050C" w14:textId="62EC8E0E" w:rsidR="009058DE" w:rsidRPr="009058DE" w:rsidRDefault="009058DE" w:rsidP="009058DE">
            <w:pPr>
              <w:rPr>
                <w:rFonts w:cs="Arial"/>
              </w:rPr>
            </w:pPr>
            <w:r w:rsidRPr="009058DE">
              <w:t>Чести</w:t>
            </w:r>
          </w:p>
        </w:tc>
      </w:tr>
      <w:tr w:rsidR="009058DE" w14:paraId="5A8C6FA2" w14:textId="77777777" w:rsidTr="009058DE">
        <w:tc>
          <w:tcPr>
            <w:tcW w:w="3166" w:type="dxa"/>
            <w:vMerge/>
          </w:tcPr>
          <w:p w14:paraId="1570D02F" w14:textId="77777777" w:rsidR="009058DE" w:rsidRPr="009058DE" w:rsidRDefault="009058DE" w:rsidP="009058DE">
            <w:pPr>
              <w:rPr>
                <w:rFonts w:cs="Arial"/>
              </w:rPr>
            </w:pPr>
          </w:p>
        </w:tc>
        <w:tc>
          <w:tcPr>
            <w:tcW w:w="3195" w:type="dxa"/>
            <w:vAlign w:val="bottom"/>
          </w:tcPr>
          <w:p w14:paraId="23EF5A2A" w14:textId="2812A8EC" w:rsidR="009058DE" w:rsidRPr="009058DE" w:rsidRDefault="009058DE" w:rsidP="009058DE">
            <w:pPr>
              <w:rPr>
                <w:rFonts w:cs="Arial"/>
              </w:rPr>
            </w:pPr>
            <w:r w:rsidRPr="009058DE">
              <w:t>гръдна болка</w:t>
            </w:r>
          </w:p>
        </w:tc>
        <w:tc>
          <w:tcPr>
            <w:tcW w:w="3167" w:type="dxa"/>
            <w:vAlign w:val="bottom"/>
          </w:tcPr>
          <w:p w14:paraId="3062D4DA" w14:textId="6EE7268B" w:rsidR="009058DE" w:rsidRPr="009058DE" w:rsidRDefault="009058DE" w:rsidP="009058DE">
            <w:pPr>
              <w:rPr>
                <w:rFonts w:cs="Arial"/>
              </w:rPr>
            </w:pPr>
            <w:r w:rsidRPr="009058DE">
              <w:t>Нечести</w:t>
            </w:r>
          </w:p>
        </w:tc>
      </w:tr>
      <w:tr w:rsidR="009058DE" w14:paraId="4ED59BF5" w14:textId="77777777" w:rsidTr="009058DE">
        <w:tc>
          <w:tcPr>
            <w:tcW w:w="3166" w:type="dxa"/>
          </w:tcPr>
          <w:p w14:paraId="58A37BC8" w14:textId="34BEA745" w:rsidR="009058DE" w:rsidRPr="009058DE" w:rsidRDefault="009058DE" w:rsidP="009058DE">
            <w:pPr>
              <w:rPr>
                <w:rFonts w:cs="Arial"/>
              </w:rPr>
            </w:pPr>
            <w:r w:rsidRPr="009058DE">
              <w:t>Изследвания</w:t>
            </w:r>
          </w:p>
        </w:tc>
        <w:tc>
          <w:tcPr>
            <w:tcW w:w="3195" w:type="dxa"/>
            <w:vAlign w:val="bottom"/>
          </w:tcPr>
          <w:p w14:paraId="12D09102" w14:textId="1123D6D0" w:rsidR="009058DE" w:rsidRPr="009058DE" w:rsidRDefault="009058DE" w:rsidP="009058DE">
            <w:pPr>
              <w:rPr>
                <w:rFonts w:cs="Arial"/>
              </w:rPr>
            </w:pPr>
            <w:r w:rsidRPr="009058DE">
              <w:t>увеличение на уреята в кръвта, увеличение на креатинфосфокиназа, хиперкалиемия, увеличение на пикочната киселина</w:t>
            </w:r>
          </w:p>
        </w:tc>
        <w:tc>
          <w:tcPr>
            <w:tcW w:w="3167" w:type="dxa"/>
          </w:tcPr>
          <w:p w14:paraId="6657BC09" w14:textId="26F4ADC0" w:rsidR="009058DE" w:rsidRPr="009058DE" w:rsidRDefault="009058DE" w:rsidP="009058DE">
            <w:pPr>
              <w:rPr>
                <w:rFonts w:cs="Arial"/>
              </w:rPr>
            </w:pPr>
            <w:r w:rsidRPr="009058DE">
              <w:t>Нечести</w:t>
            </w:r>
          </w:p>
        </w:tc>
      </w:tr>
      <w:tr w:rsidR="009058DE" w14:paraId="6C2EFD5C" w14:textId="77777777" w:rsidTr="009058DE">
        <w:tc>
          <w:tcPr>
            <w:tcW w:w="3166" w:type="dxa"/>
          </w:tcPr>
          <w:p w14:paraId="73CCD50D" w14:textId="77777777" w:rsidR="009058DE" w:rsidRPr="009058DE" w:rsidRDefault="009058DE" w:rsidP="009058DE">
            <w:pPr>
              <w:rPr>
                <w:rFonts w:cs="Arial"/>
              </w:rPr>
            </w:pPr>
          </w:p>
        </w:tc>
        <w:tc>
          <w:tcPr>
            <w:tcW w:w="3195" w:type="dxa"/>
            <w:vAlign w:val="bottom"/>
          </w:tcPr>
          <w:p w14:paraId="141645C4" w14:textId="13BA5D78" w:rsidR="009058DE" w:rsidRPr="009058DE" w:rsidRDefault="009058DE" w:rsidP="009058DE">
            <w:pPr>
              <w:rPr>
                <w:rFonts w:cs="Arial"/>
              </w:rPr>
            </w:pPr>
            <w:r w:rsidRPr="009058DE">
              <w:t xml:space="preserve">понижаване нивата на </w:t>
            </w:r>
            <w:r w:rsidRPr="009058DE">
              <w:lastRenderedPageBreak/>
              <w:t>натрий в кръвта</w:t>
            </w:r>
          </w:p>
        </w:tc>
        <w:tc>
          <w:tcPr>
            <w:tcW w:w="3167" w:type="dxa"/>
          </w:tcPr>
          <w:p w14:paraId="357F355D" w14:textId="6FA07957" w:rsidR="009058DE" w:rsidRPr="009058DE" w:rsidRDefault="009058DE" w:rsidP="009058DE">
            <w:pPr>
              <w:rPr>
                <w:rFonts w:cs="Arial"/>
              </w:rPr>
            </w:pPr>
            <w:r w:rsidRPr="009058DE">
              <w:lastRenderedPageBreak/>
              <w:t>Редки</w:t>
            </w:r>
          </w:p>
        </w:tc>
      </w:tr>
      <w:tr w:rsidR="009058DE" w14:paraId="5D13DCE6" w14:textId="77777777" w:rsidTr="00076CDC">
        <w:tc>
          <w:tcPr>
            <w:tcW w:w="9528" w:type="dxa"/>
            <w:gridSpan w:val="3"/>
          </w:tcPr>
          <w:p w14:paraId="4D85A18C"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*Категория честота: дефинирана за всеки термин на нежелана реакция по честотата, съобщена в базата данни на клиничните проучвания: много чести (&gt;1/10), чести (&gt;1/100 до &lt;1/10), нечести (&gt;1/1000 до &lt;1/100), редки (&gt;1/10 000 до &lt;1/1000), много редки (&lt;1/10,000).</w:t>
            </w:r>
          </w:p>
          <w:p w14:paraId="1A935632"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vertAlign w:val="superscript"/>
                <w:lang w:eastAsia="bg-BG"/>
              </w:rPr>
              <w:t>++</w:t>
            </w:r>
            <w:r w:rsidRPr="009058DE">
              <w:rPr>
                <w:rFonts w:eastAsia="Times New Roman" w:cs="Arial"/>
                <w:color w:val="000000"/>
                <w:lang w:eastAsia="bg-BG"/>
              </w:rPr>
              <w:t>Тази нежелана реакция е идентифицирана през постмаркетинговото наблюдение. Честотата на нейното съобщаване е оценена на базата на най-високата честота, наблюдавана в данните от клинични изпитвания, обобщени по индикация и одобрена доза.</w:t>
            </w:r>
          </w:p>
          <w:p w14:paraId="215E89F1"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vertAlign w:val="superscript"/>
                <w:lang w:eastAsia="bg-BG"/>
              </w:rPr>
              <w:t>+</w:t>
            </w:r>
            <w:r w:rsidRPr="009058DE">
              <w:rPr>
                <w:rFonts w:eastAsia="Times New Roman" w:cs="Arial"/>
                <w:color w:val="000000"/>
                <w:lang w:eastAsia="bg-BG"/>
              </w:rPr>
              <w:t xml:space="preserve"> Категорията честата „Редки“ е определена според ръководството за Кратка характеристика на продукта (КХП) (рев. 2, септември 2009) на база на определена горна граница на 95% доверителен интервал за 0 събития, като се има предвид броя участници, лекувани с</w:t>
            </w:r>
          </w:p>
          <w:p w14:paraId="43083693" w14:textId="77777777" w:rsidR="009058DE" w:rsidRPr="009058DE" w:rsidRDefault="009058DE" w:rsidP="009058DE">
            <w:pPr>
              <w:rPr>
                <w:rFonts w:eastAsia="Times New Roman" w:cs="Arial"/>
                <w:color w:val="000000"/>
                <w:lang w:val="en-US"/>
              </w:rPr>
            </w:pPr>
            <w:r w:rsidRPr="009058DE">
              <w:rPr>
                <w:rFonts w:eastAsia="Times New Roman" w:cs="Arial"/>
                <w:color w:val="000000"/>
                <w:lang w:eastAsia="bg-BG"/>
              </w:rPr>
              <w:t>еторикоксиб, в анализа на данните от фаза III, обобщени по доза и индикация (</w:t>
            </w:r>
            <w:r w:rsidRPr="009058DE">
              <w:rPr>
                <w:rFonts w:eastAsia="Times New Roman" w:cs="Arial"/>
                <w:color w:val="000000"/>
                <w:lang w:val="en-US"/>
              </w:rPr>
              <w:t>n=15 470).</w:t>
            </w:r>
          </w:p>
          <w:p w14:paraId="48DA0817" w14:textId="77777777" w:rsidR="009058DE" w:rsidRPr="009058DE" w:rsidRDefault="009058DE" w:rsidP="009058DE">
            <w:pPr>
              <w:spacing w:line="240" w:lineRule="auto"/>
              <w:rPr>
                <w:rFonts w:eastAsia="Times New Roman" w:cs="Arial"/>
                <w:lang w:eastAsia="bg-BG"/>
              </w:rPr>
            </w:pPr>
            <w:r w:rsidRPr="009058DE">
              <w:rPr>
                <w:rFonts w:eastAsia="Times New Roman" w:cs="Arial"/>
                <w:color w:val="000000"/>
                <w:lang w:eastAsia="bg-BG"/>
              </w:rPr>
              <w:t>βСвръхчувствителност включва термините „ алергия”, „ лекарствена алергия”, „лекарствена свръхчувствителност“, „свръхчувствителност“, „неуточнена свръхчувствителност“, „реакция на свръхчувствителност“ и „неспецифична алергия“.</w:t>
            </w:r>
          </w:p>
          <w:p w14:paraId="2D84DCB5" w14:textId="6F752D99" w:rsidR="009058DE" w:rsidRDefault="009058DE" w:rsidP="009058DE">
            <w:pPr>
              <w:rPr>
                <w:rFonts w:cs="Arial"/>
              </w:rPr>
            </w:pPr>
            <w:r w:rsidRPr="009058DE">
              <w:rPr>
                <w:rFonts w:eastAsia="Times New Roman" w:cs="Arial"/>
                <w:color w:val="000000"/>
                <w:lang w:eastAsia="bg-BG"/>
              </w:rPr>
              <w:t xml:space="preserve">§На база на анализи на дългосрочни клинични изпитвания с плацебо и активна контрола, селективните СОХ-2 инхибитори са свързвани с повишен риск от сериозни тромботични артериални събития, включително миокарден инфаркт и инсулт. Повишаването на абсолютния риск за такива събития е малко вероятно да надвиши 1 % за година на базата на съществуващи </w:t>
            </w:r>
            <w:r w:rsidRPr="009058DE">
              <w:rPr>
                <w:rFonts w:eastAsia="Times New Roman" w:cs="Arial"/>
                <w:color w:val="000000"/>
                <w:u w:val="single"/>
                <w:lang w:eastAsia="bg-BG"/>
              </w:rPr>
              <w:t>данни (нечести).</w:t>
            </w:r>
          </w:p>
        </w:tc>
      </w:tr>
    </w:tbl>
    <w:p w14:paraId="495886E2" w14:textId="77777777" w:rsidR="006B43A1" w:rsidRDefault="006B43A1" w:rsidP="006B43A1">
      <w:pPr>
        <w:spacing w:line="240" w:lineRule="auto"/>
        <w:rPr>
          <w:rFonts w:eastAsia="Times New Roman" w:cs="Arial"/>
          <w:color w:val="000000"/>
          <w:lang w:eastAsia="bg-BG"/>
        </w:rPr>
      </w:pPr>
    </w:p>
    <w:p w14:paraId="3B707912" w14:textId="6EE7B004"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Следните сериозни нежелани лекарствени реакции са били наблюдавани при употребата на НСПВС и поради това не могат да се изключат и за еторикоксиб: нефротоксичност, включително интерстициален нефрит и нефротичен синдром.</w:t>
      </w:r>
    </w:p>
    <w:p w14:paraId="40ADFDC3" w14:textId="77777777" w:rsidR="006B43A1" w:rsidRDefault="006B43A1" w:rsidP="006B43A1">
      <w:pPr>
        <w:spacing w:line="240" w:lineRule="auto"/>
        <w:rPr>
          <w:rFonts w:eastAsia="Times New Roman" w:cs="Arial"/>
          <w:color w:val="000000"/>
          <w:u w:val="single"/>
          <w:lang w:eastAsia="bg-BG"/>
        </w:rPr>
      </w:pPr>
    </w:p>
    <w:p w14:paraId="64E17576" w14:textId="5E536747"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Съобщаване на подозирани нежелани реакции</w:t>
      </w:r>
    </w:p>
    <w:p w14:paraId="378E733D" w14:textId="77777777" w:rsidR="006B43A1" w:rsidRDefault="006B43A1" w:rsidP="006B43A1">
      <w:pPr>
        <w:spacing w:line="240" w:lineRule="auto"/>
        <w:rPr>
          <w:rFonts w:eastAsia="Times New Roman" w:cs="Arial"/>
          <w:color w:val="000000"/>
          <w:lang w:eastAsia="bg-BG"/>
        </w:rPr>
      </w:pPr>
    </w:p>
    <w:p w14:paraId="38642C79" w14:textId="6DECFC0D" w:rsidR="006B43A1" w:rsidRPr="006B43A1" w:rsidRDefault="006B43A1" w:rsidP="006B43A1">
      <w:pPr>
        <w:spacing w:line="240" w:lineRule="auto"/>
        <w:rPr>
          <w:rFonts w:ascii="Times New Roman" w:eastAsia="Times New Roman" w:hAnsi="Times New Roman" w:cs="Times New Roman"/>
          <w:sz w:val="24"/>
          <w:szCs w:val="24"/>
          <w:lang w:eastAsia="bg-BG"/>
        </w:rPr>
      </w:pPr>
      <w:r w:rsidRPr="006B43A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28903417, уебсайт: </w:t>
      </w:r>
      <w:r w:rsidRPr="006B43A1">
        <w:rPr>
          <w:rFonts w:eastAsia="Times New Roman" w:cs="Arial"/>
          <w:lang w:eastAsia="bg-BG"/>
        </w:rPr>
        <w:fldChar w:fldCharType="begin"/>
      </w:r>
      <w:r w:rsidRPr="006B43A1">
        <w:rPr>
          <w:rFonts w:eastAsia="Times New Roman" w:cs="Arial"/>
          <w:lang w:eastAsia="bg-BG"/>
        </w:rPr>
        <w:instrText xml:space="preserve"> HYPERLINK "http://www.bda.bg" </w:instrText>
      </w:r>
      <w:r w:rsidRPr="006B43A1">
        <w:rPr>
          <w:rFonts w:eastAsia="Times New Roman" w:cs="Arial"/>
          <w:lang w:eastAsia="bg-BG"/>
        </w:rPr>
      </w:r>
      <w:r w:rsidRPr="006B43A1">
        <w:rPr>
          <w:rFonts w:eastAsia="Times New Roman" w:cs="Arial"/>
          <w:lang w:eastAsia="bg-BG"/>
        </w:rPr>
        <w:fldChar w:fldCharType="separate"/>
      </w:r>
      <w:r w:rsidRPr="006B43A1">
        <w:rPr>
          <w:rFonts w:eastAsia="Times New Roman" w:cs="Arial"/>
          <w:color w:val="000000"/>
          <w:lang w:val="en-US"/>
        </w:rPr>
        <w:t>www.bda.bg</w:t>
      </w:r>
      <w:r w:rsidRPr="006B43A1">
        <w:rPr>
          <w:rFonts w:eastAsia="Times New Roman" w:cs="Arial"/>
          <w:lang w:eastAsia="bg-BG"/>
        </w:rPr>
        <w:fldChar w:fldCharType="end"/>
      </w:r>
      <w:r w:rsidRPr="006B43A1">
        <w:rPr>
          <w:rFonts w:eastAsia="Times New Roman" w:cs="Arial"/>
          <w:color w:val="000000"/>
          <w:lang w:val="en-US"/>
        </w:rPr>
        <w:t>.</w:t>
      </w:r>
    </w:p>
    <w:p w14:paraId="66430A11" w14:textId="0817EDEF" w:rsidR="009058DE" w:rsidRPr="009058DE" w:rsidRDefault="009058DE" w:rsidP="009058DE">
      <w:pPr>
        <w:rPr>
          <w:rFonts w:cs="Arial"/>
        </w:rPr>
      </w:pPr>
    </w:p>
    <w:p w14:paraId="378A0F20" w14:textId="643B68A3" w:rsidR="001D095A" w:rsidRDefault="002C50EE" w:rsidP="00340E8D">
      <w:pPr>
        <w:pStyle w:val="Heading2"/>
      </w:pPr>
      <w:r>
        <w:t>4.9. Предозиране</w:t>
      </w:r>
    </w:p>
    <w:p w14:paraId="562A1B91" w14:textId="2870682A" w:rsidR="006B43A1" w:rsidRDefault="006B43A1" w:rsidP="006B43A1"/>
    <w:p w14:paraId="045CC2CA"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По време на клинични проучвания еднократното прилагане на доза до 500 </w:t>
      </w:r>
      <w:r w:rsidRPr="006B43A1">
        <w:rPr>
          <w:rFonts w:eastAsia="Times New Roman" w:cs="Arial"/>
          <w:color w:val="000000"/>
          <w:lang w:val="en-US"/>
        </w:rPr>
        <w:t xml:space="preserve">mg </w:t>
      </w:r>
      <w:r w:rsidRPr="006B43A1">
        <w:rPr>
          <w:rFonts w:eastAsia="Times New Roman" w:cs="Arial"/>
          <w:color w:val="000000"/>
          <w:lang w:eastAsia="bg-BG"/>
        </w:rPr>
        <w:t xml:space="preserve">еторикоксиб и няколко дози до 150 </w:t>
      </w:r>
      <w:r w:rsidRPr="006B43A1">
        <w:rPr>
          <w:rFonts w:eastAsia="Times New Roman" w:cs="Arial"/>
          <w:color w:val="000000"/>
          <w:lang w:val="en-US"/>
        </w:rPr>
        <w:t xml:space="preserve">mg </w:t>
      </w:r>
      <w:r w:rsidRPr="006B43A1">
        <w:rPr>
          <w:rFonts w:eastAsia="Times New Roman" w:cs="Arial"/>
          <w:color w:val="000000"/>
          <w:lang w:eastAsia="bg-BG"/>
        </w:rPr>
        <w:t>/ден в продължение на 21 дни не са причинили токсичен ефект. Има съобщения за остро предозиране на еторикоксиб, макар че в повечето случаи не се съобщава за нежелани реакции. Най-често наблюдаваните нежелани реакции съответстват на профила на безопасност на еторикоксиб (напр. стомашно-чревни прояви, кардиоренални прояви).</w:t>
      </w:r>
    </w:p>
    <w:p w14:paraId="75A97C12"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В случай на предозиране е логично да се приложат обичайните поддържащи мерки, напр. отстраняване на нерезорбираната част от СЧ тракт, клинично проследяване, симптоматична терапия и друга, ако е необходима.</w:t>
      </w:r>
    </w:p>
    <w:p w14:paraId="4D81C9A0" w14:textId="77777777" w:rsidR="006B43A1" w:rsidRDefault="006B43A1" w:rsidP="006B43A1">
      <w:pPr>
        <w:spacing w:line="240" w:lineRule="auto"/>
        <w:rPr>
          <w:rFonts w:eastAsia="Times New Roman" w:cs="Arial"/>
          <w:color w:val="000000"/>
          <w:lang w:eastAsia="bg-BG"/>
        </w:rPr>
      </w:pPr>
    </w:p>
    <w:p w14:paraId="0209C3B1" w14:textId="75F184D5"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Еторикоксиб не се отстранява чрез хемодиализа; не се знае дали еторикоксиб може да бъде отстранен чрез перитонеална диализа.</w:t>
      </w:r>
    </w:p>
    <w:p w14:paraId="7B58C89A" w14:textId="77777777" w:rsidR="006B43A1" w:rsidRPr="006B43A1" w:rsidRDefault="006B43A1" w:rsidP="006B43A1"/>
    <w:p w14:paraId="02081B24" w14:textId="36FE76F4" w:rsidR="00395555" w:rsidRPr="00395555" w:rsidRDefault="002C50EE" w:rsidP="008A6AF2">
      <w:pPr>
        <w:pStyle w:val="Heading1"/>
      </w:pPr>
      <w:r>
        <w:t>5. ФАРМАКОЛОГИЧНИ СВОЙСТВА</w:t>
      </w:r>
    </w:p>
    <w:p w14:paraId="7F6CC5E1" w14:textId="0720EED9" w:rsidR="00F62E44" w:rsidRDefault="002C50EE" w:rsidP="00387A66">
      <w:pPr>
        <w:pStyle w:val="Heading2"/>
      </w:pPr>
      <w:r>
        <w:t>5.1. Фармакодинамични свойства</w:t>
      </w:r>
    </w:p>
    <w:p w14:paraId="1577A7A4" w14:textId="2A6709E2" w:rsidR="006B43A1" w:rsidRDefault="006B43A1" w:rsidP="006B43A1"/>
    <w:p w14:paraId="087B15BF"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Фармакотерапевтична група; противовъзпалителни и противоревматични продукти, нестероидни средства, коксиби, АТС код: М01 АН05</w:t>
      </w:r>
    </w:p>
    <w:p w14:paraId="6054CF54" w14:textId="77777777" w:rsidR="006B43A1" w:rsidRDefault="006B43A1" w:rsidP="006B43A1">
      <w:pPr>
        <w:spacing w:line="240" w:lineRule="auto"/>
        <w:rPr>
          <w:rFonts w:eastAsia="Times New Roman" w:cs="Arial"/>
          <w:color w:val="000000"/>
          <w:u w:val="single"/>
          <w:lang w:eastAsia="bg-BG"/>
        </w:rPr>
      </w:pPr>
    </w:p>
    <w:p w14:paraId="74FDFE20" w14:textId="52389910"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Механизъм на действие</w:t>
      </w:r>
    </w:p>
    <w:p w14:paraId="6F8070C1" w14:textId="77777777" w:rsidR="006B43A1" w:rsidRDefault="006B43A1" w:rsidP="006B43A1">
      <w:pPr>
        <w:spacing w:line="240" w:lineRule="auto"/>
        <w:rPr>
          <w:rFonts w:eastAsia="Times New Roman" w:cs="Arial"/>
          <w:color w:val="000000"/>
          <w:lang w:eastAsia="bg-BG"/>
        </w:rPr>
      </w:pPr>
    </w:p>
    <w:p w14:paraId="4F0B053D" w14:textId="30A2C586"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Еторикоксиб е перорален, селективен циклооксигеназа-2 (СОХ-2) инхибитор в рамките на клинично използвания дозов интервал.</w:t>
      </w:r>
    </w:p>
    <w:p w14:paraId="20E960EB" w14:textId="77777777" w:rsidR="006B43A1" w:rsidRDefault="006B43A1" w:rsidP="006B43A1">
      <w:pPr>
        <w:spacing w:line="240" w:lineRule="auto"/>
        <w:rPr>
          <w:rFonts w:eastAsia="Times New Roman" w:cs="Arial"/>
          <w:color w:val="000000"/>
          <w:lang w:eastAsia="bg-BG"/>
        </w:rPr>
      </w:pPr>
    </w:p>
    <w:p w14:paraId="74D4D97C" w14:textId="2D729C78"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По време на клиничните фармакологични проучвания е бил отчетен дозозависим ефект на еторикоксиб по отношение на инхибирането на СОХ-2, без да се инхибира СОХ-1 при дози до 150 </w:t>
      </w:r>
      <w:r w:rsidRPr="006B43A1">
        <w:rPr>
          <w:rFonts w:eastAsia="Times New Roman" w:cs="Arial"/>
          <w:color w:val="000000"/>
          <w:lang w:val="en-US"/>
        </w:rPr>
        <w:t xml:space="preserve">mg </w:t>
      </w:r>
      <w:r w:rsidRPr="006B43A1">
        <w:rPr>
          <w:rFonts w:eastAsia="Times New Roman" w:cs="Arial"/>
          <w:color w:val="000000"/>
          <w:lang w:eastAsia="bg-BG"/>
        </w:rPr>
        <w:t>дневно. Еторикоксиб не е инхибирал синтезата на простагландини в стомашната лигавица и не е повлиял функцията на тромбоцитите.</w:t>
      </w:r>
    </w:p>
    <w:p w14:paraId="5B2B9B7A" w14:textId="77777777" w:rsidR="006B43A1" w:rsidRDefault="006B43A1" w:rsidP="006B43A1">
      <w:pPr>
        <w:spacing w:line="240" w:lineRule="auto"/>
        <w:rPr>
          <w:rFonts w:eastAsia="Times New Roman" w:cs="Arial"/>
          <w:color w:val="000000"/>
          <w:lang w:eastAsia="bg-BG"/>
        </w:rPr>
      </w:pPr>
    </w:p>
    <w:p w14:paraId="04E57D7C" w14:textId="77777777" w:rsidR="006B43A1" w:rsidRPr="006B43A1" w:rsidRDefault="006B43A1" w:rsidP="006B43A1">
      <w:pPr>
        <w:rPr>
          <w:rFonts w:eastAsia="Times New Roman" w:cs="Arial"/>
          <w:lang w:eastAsia="bg-BG"/>
        </w:rPr>
      </w:pPr>
      <w:r w:rsidRPr="006B43A1">
        <w:rPr>
          <w:rFonts w:eastAsia="Times New Roman" w:cs="Arial"/>
          <w:color w:val="000000"/>
          <w:lang w:eastAsia="bg-BG"/>
        </w:rPr>
        <w:t>Циклооксигеназата е отговорна за произвеждането на простагландини. Познати са две изоензимни форми СОХ-1 и СОХ-2. СОХ-2 е изоформата на ензима, която се предизвиква от</w:t>
      </w:r>
      <w:r>
        <w:rPr>
          <w:rFonts w:eastAsia="Times New Roman" w:cs="Arial"/>
          <w:color w:val="000000"/>
          <w:lang w:eastAsia="bg-BG"/>
        </w:rPr>
        <w:t xml:space="preserve"> </w:t>
      </w:r>
      <w:r w:rsidRPr="006B43A1">
        <w:rPr>
          <w:rFonts w:eastAsia="Times New Roman" w:cs="Arial"/>
          <w:color w:val="000000"/>
          <w:lang w:eastAsia="bg-BG"/>
        </w:rPr>
        <w:t>провъзпалителни стимули и се счита, че е основно отговорна за синтеза на простаноидни медиатори на болката, възпалението и температурата. СОХ-2 също така участва в овулацията, закрепянето и затварянето на Боталовия проток, регулацията на бъбречната функция и функциите на централната нервна система (появата на температура, усещането за болка и процеса на разпознаване). Може също така да играе роля в процеса на заздравяване на язва.СОХ-2 е установен в тъканите около стомашни язви у хора, но връзката му с излекуването на язвата не е установена.</w:t>
      </w:r>
    </w:p>
    <w:p w14:paraId="71A2EEA1" w14:textId="77777777" w:rsidR="006B43A1" w:rsidRDefault="006B43A1" w:rsidP="006B43A1">
      <w:pPr>
        <w:spacing w:line="240" w:lineRule="auto"/>
        <w:rPr>
          <w:rFonts w:eastAsia="Times New Roman" w:cs="Arial"/>
          <w:color w:val="000000"/>
          <w:u w:val="single"/>
          <w:lang w:eastAsia="bg-BG"/>
        </w:rPr>
      </w:pPr>
    </w:p>
    <w:p w14:paraId="730BC24E" w14:textId="799C0619"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Клинична ефикасност и безопасност</w:t>
      </w:r>
    </w:p>
    <w:p w14:paraId="0F5D122C" w14:textId="77777777" w:rsidR="006B43A1" w:rsidRDefault="006B43A1" w:rsidP="006B43A1">
      <w:pPr>
        <w:spacing w:line="240" w:lineRule="auto"/>
        <w:rPr>
          <w:rFonts w:eastAsia="Times New Roman" w:cs="Arial"/>
          <w:i/>
          <w:iCs/>
          <w:color w:val="000000"/>
          <w:lang w:eastAsia="bg-BG"/>
        </w:rPr>
      </w:pPr>
    </w:p>
    <w:p w14:paraId="252A1662" w14:textId="12A998F1"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Ефикасност</w:t>
      </w:r>
    </w:p>
    <w:p w14:paraId="02524509" w14:textId="77777777" w:rsidR="006B43A1" w:rsidRDefault="006B43A1" w:rsidP="006B43A1">
      <w:pPr>
        <w:spacing w:line="240" w:lineRule="auto"/>
        <w:rPr>
          <w:rFonts w:eastAsia="Times New Roman" w:cs="Arial"/>
          <w:color w:val="000000"/>
          <w:lang w:eastAsia="bg-BG"/>
        </w:rPr>
      </w:pPr>
    </w:p>
    <w:p w14:paraId="5AA984BE" w14:textId="008ED371"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При пациенти с остеоартрит (ОА), еторикоксиб в доза 60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значително облекчава болката и повишава оценката на пациента за състоянието на заболяването .Тези благоприятни ефекти се наблюдават от втория ден на лечението и се запазват до 52 седмици. Проучванията върху еторикоксиб 30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показват ефикасност превъзхождаща плацебо за 12-седмичен период на лечение (при сходна система за оценка като проучванията по-горе). При проучване с различни дози,еторикоксиб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дава значително по-изразено подобрение от 30 </w:t>
      </w:r>
      <w:r w:rsidRPr="006B43A1">
        <w:rPr>
          <w:rFonts w:eastAsia="Times New Roman" w:cs="Arial"/>
          <w:color w:val="000000"/>
          <w:lang w:val="en-US"/>
        </w:rPr>
        <w:t xml:space="preserve">mg </w:t>
      </w:r>
      <w:r w:rsidRPr="006B43A1">
        <w:rPr>
          <w:rFonts w:eastAsia="Times New Roman" w:cs="Arial"/>
          <w:color w:val="000000"/>
          <w:lang w:eastAsia="bg-BG"/>
        </w:rPr>
        <w:t xml:space="preserve">по отношение на всички 3 първични крайни точки за период на лечение от 6 седмици. Дозата от 30 </w:t>
      </w:r>
      <w:r w:rsidRPr="006B43A1">
        <w:rPr>
          <w:rFonts w:eastAsia="Times New Roman" w:cs="Arial"/>
          <w:color w:val="000000"/>
          <w:lang w:val="en-US"/>
        </w:rPr>
        <w:t xml:space="preserve">mg </w:t>
      </w:r>
      <w:r w:rsidRPr="006B43A1">
        <w:rPr>
          <w:rFonts w:eastAsia="Times New Roman" w:cs="Arial"/>
          <w:color w:val="000000"/>
          <w:lang w:eastAsia="bg-BG"/>
        </w:rPr>
        <w:t>не е била проучвана при остеоартрит на ръцете.</w:t>
      </w:r>
    </w:p>
    <w:p w14:paraId="0EF12CEF" w14:textId="77777777" w:rsidR="006B43A1" w:rsidRDefault="006B43A1" w:rsidP="006B43A1">
      <w:pPr>
        <w:spacing w:line="240" w:lineRule="auto"/>
        <w:rPr>
          <w:rFonts w:eastAsia="Times New Roman" w:cs="Arial"/>
          <w:color w:val="000000"/>
          <w:lang w:eastAsia="bg-BG"/>
        </w:rPr>
      </w:pPr>
    </w:p>
    <w:p w14:paraId="34565061" w14:textId="292F197A"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При пациентите с ревматоиден артрит (РА), 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и 90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осигурява значително подобрение по отношение на болка, възпаление и подвижност. В проучвания, оценяващи дозите от 60 </w:t>
      </w:r>
      <w:r w:rsidRPr="006B43A1">
        <w:rPr>
          <w:rFonts w:eastAsia="Times New Roman" w:cs="Arial"/>
          <w:color w:val="000000"/>
          <w:lang w:val="en-US"/>
        </w:rPr>
        <w:t xml:space="preserve">mg </w:t>
      </w:r>
      <w:r w:rsidRPr="006B43A1">
        <w:rPr>
          <w:rFonts w:eastAsia="Times New Roman" w:cs="Arial"/>
          <w:color w:val="000000"/>
          <w:lang w:eastAsia="bg-BG"/>
        </w:rPr>
        <w:t xml:space="preserve">и 90 </w:t>
      </w:r>
      <w:r w:rsidRPr="006B43A1">
        <w:rPr>
          <w:rFonts w:eastAsia="Times New Roman" w:cs="Arial"/>
          <w:color w:val="000000"/>
          <w:lang w:val="en-US"/>
        </w:rPr>
        <w:t xml:space="preserve">mg </w:t>
      </w:r>
      <w:r w:rsidRPr="006B43A1">
        <w:rPr>
          <w:rFonts w:eastAsia="Times New Roman" w:cs="Arial"/>
          <w:color w:val="000000"/>
          <w:lang w:eastAsia="bg-BG"/>
        </w:rPr>
        <w:t xml:space="preserve">тези благоприятни ефекти се запазват за целия 12-седмичен период на лечение. В проучване, оценяващо дозата от 60 </w:t>
      </w:r>
      <w:r w:rsidRPr="006B43A1">
        <w:rPr>
          <w:rFonts w:eastAsia="Times New Roman" w:cs="Arial"/>
          <w:color w:val="000000"/>
          <w:lang w:val="en-US"/>
        </w:rPr>
        <w:t xml:space="preserve">mg </w:t>
      </w:r>
      <w:r w:rsidRPr="006B43A1">
        <w:rPr>
          <w:rFonts w:eastAsia="Times New Roman" w:cs="Arial"/>
          <w:color w:val="000000"/>
          <w:lang w:eastAsia="bg-BG"/>
        </w:rPr>
        <w:t xml:space="preserve">в сравнение с тази от 90 </w:t>
      </w:r>
      <w:r w:rsidRPr="006B43A1">
        <w:rPr>
          <w:rFonts w:eastAsia="Times New Roman" w:cs="Arial"/>
          <w:color w:val="000000"/>
          <w:lang w:val="en-US"/>
        </w:rPr>
        <w:t xml:space="preserve">mg, </w:t>
      </w:r>
      <w:r w:rsidRPr="006B43A1">
        <w:rPr>
          <w:rFonts w:eastAsia="Times New Roman" w:cs="Arial"/>
          <w:color w:val="000000"/>
          <w:lang w:eastAsia="bg-BG"/>
        </w:rPr>
        <w:t xml:space="preserve">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и 90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са по-ефективни от плацебо. Дозата от 90 </w:t>
      </w:r>
      <w:r w:rsidRPr="006B43A1">
        <w:rPr>
          <w:rFonts w:eastAsia="Times New Roman" w:cs="Arial"/>
          <w:color w:val="000000"/>
          <w:lang w:val="en-US"/>
        </w:rPr>
        <w:t xml:space="preserve">mg </w:t>
      </w:r>
      <w:r w:rsidRPr="006B43A1">
        <w:rPr>
          <w:rFonts w:eastAsia="Times New Roman" w:cs="Arial"/>
          <w:color w:val="000000"/>
          <w:lang w:eastAsia="bg-BG"/>
        </w:rPr>
        <w:t xml:space="preserve">превъзхожда дозата от 60 </w:t>
      </w:r>
      <w:r w:rsidRPr="006B43A1">
        <w:rPr>
          <w:rFonts w:eastAsia="Times New Roman" w:cs="Arial"/>
          <w:color w:val="000000"/>
          <w:lang w:val="en-US"/>
        </w:rPr>
        <w:t xml:space="preserve">mg </w:t>
      </w:r>
      <w:r w:rsidRPr="006B43A1">
        <w:rPr>
          <w:rFonts w:eastAsia="Times New Roman" w:cs="Arial"/>
          <w:color w:val="000000"/>
          <w:lang w:eastAsia="bg-BG"/>
        </w:rPr>
        <w:t xml:space="preserve">според общата </w:t>
      </w:r>
      <w:r w:rsidRPr="006B43A1">
        <w:rPr>
          <w:rFonts w:eastAsia="Times New Roman" w:cs="Arial"/>
          <w:color w:val="000000"/>
          <w:lang w:eastAsia="bg-BG"/>
        </w:rPr>
        <w:lastRenderedPageBreak/>
        <w:t xml:space="preserve">оценка на болката при пациентите (0-100 </w:t>
      </w:r>
      <w:r w:rsidRPr="006B43A1">
        <w:rPr>
          <w:rFonts w:eastAsia="Times New Roman" w:cs="Arial"/>
          <w:color w:val="000000"/>
          <w:lang w:val="en-US"/>
        </w:rPr>
        <w:t xml:space="preserve">mm </w:t>
      </w:r>
      <w:r w:rsidRPr="006B43A1">
        <w:rPr>
          <w:rFonts w:eastAsia="Times New Roman" w:cs="Arial"/>
          <w:color w:val="000000"/>
          <w:lang w:eastAsia="bg-BG"/>
        </w:rPr>
        <w:t xml:space="preserve">визуална аналогова скала), със средно подобрение от -2,71 </w:t>
      </w:r>
      <w:r w:rsidRPr="006B43A1">
        <w:rPr>
          <w:rFonts w:eastAsia="Times New Roman" w:cs="Arial"/>
          <w:color w:val="000000"/>
          <w:lang w:val="en-US"/>
        </w:rPr>
        <w:t xml:space="preserve">mm </w:t>
      </w:r>
      <w:r w:rsidRPr="006B43A1">
        <w:rPr>
          <w:rFonts w:eastAsia="Times New Roman" w:cs="Arial"/>
          <w:color w:val="000000"/>
          <w:lang w:eastAsia="bg-BG"/>
        </w:rPr>
        <w:t xml:space="preserve">(95%С1: -4,98 </w:t>
      </w:r>
      <w:r w:rsidRPr="006B43A1">
        <w:rPr>
          <w:rFonts w:eastAsia="Times New Roman" w:cs="Arial"/>
          <w:color w:val="000000"/>
          <w:lang w:val="en-US"/>
        </w:rPr>
        <w:t xml:space="preserve">mm, </w:t>
      </w:r>
      <w:r w:rsidRPr="006B43A1">
        <w:rPr>
          <w:rFonts w:eastAsia="Times New Roman" w:cs="Arial"/>
          <w:color w:val="000000"/>
          <w:lang w:eastAsia="bg-BG"/>
        </w:rPr>
        <w:t xml:space="preserve">- 0,45 </w:t>
      </w:r>
      <w:r w:rsidRPr="006B43A1">
        <w:rPr>
          <w:rFonts w:eastAsia="Times New Roman" w:cs="Arial"/>
          <w:color w:val="000000"/>
          <w:lang w:val="en-US"/>
        </w:rPr>
        <w:t>mm).</w:t>
      </w:r>
    </w:p>
    <w:p w14:paraId="4B8B32B1" w14:textId="77777777" w:rsidR="006B43A1" w:rsidRDefault="006B43A1" w:rsidP="006B43A1">
      <w:pPr>
        <w:spacing w:line="240" w:lineRule="auto"/>
        <w:rPr>
          <w:rFonts w:eastAsia="Times New Roman" w:cs="Arial"/>
          <w:color w:val="000000"/>
          <w:lang w:eastAsia="bg-BG"/>
        </w:rPr>
      </w:pPr>
    </w:p>
    <w:p w14:paraId="6E566D88" w14:textId="55557C3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При пациентите с пристъп на остър подагрозен артрит, еторикоксиб 120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за период на лечение от осем дни, потиска умерена до силна болка и възпаление така, както индометацин 50 </w:t>
      </w:r>
      <w:r w:rsidRPr="006B43A1">
        <w:rPr>
          <w:rFonts w:eastAsia="Times New Roman" w:cs="Arial"/>
          <w:color w:val="000000"/>
          <w:lang w:val="en-US"/>
        </w:rPr>
        <w:t xml:space="preserve">mg </w:t>
      </w:r>
      <w:r w:rsidRPr="006B43A1">
        <w:rPr>
          <w:rFonts w:eastAsia="Times New Roman" w:cs="Arial"/>
          <w:color w:val="000000"/>
          <w:lang w:eastAsia="bg-BG"/>
        </w:rPr>
        <w:t>три пъти дневно. Потискане на болката има на четвъртия час от започване на лечението.</w:t>
      </w:r>
    </w:p>
    <w:p w14:paraId="04B4E183"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При пациенти с анкилозиращ спондилит, еторикоксиб 90 </w:t>
      </w:r>
      <w:r w:rsidRPr="006B43A1">
        <w:rPr>
          <w:rFonts w:eastAsia="Times New Roman" w:cs="Arial"/>
          <w:color w:val="000000"/>
          <w:lang w:val="en-US"/>
        </w:rPr>
        <w:t xml:space="preserve">mg </w:t>
      </w:r>
      <w:r w:rsidRPr="006B43A1">
        <w:rPr>
          <w:rFonts w:eastAsia="Times New Roman" w:cs="Arial"/>
          <w:color w:val="000000"/>
          <w:lang w:eastAsia="bg-BG"/>
        </w:rPr>
        <w:t>веднъж дневно дава значително подобрение по отношение на болка в гръбнака, възпаление, скованост и функционалност. Клиничният ефект от приложението на еторикоксиб се наблюдава още на втория ден от започване на лечението и се запазва през целия период на лечение от 52 седмици.</w:t>
      </w:r>
    </w:p>
    <w:p w14:paraId="2A3C0FAB"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Във второ проучване, оценяващо дозата от 60 </w:t>
      </w:r>
      <w:r w:rsidRPr="006B43A1">
        <w:rPr>
          <w:rFonts w:eastAsia="Times New Roman" w:cs="Arial"/>
          <w:color w:val="000000"/>
          <w:lang w:val="en-US"/>
        </w:rPr>
        <w:t xml:space="preserve">mg </w:t>
      </w:r>
      <w:r w:rsidRPr="006B43A1">
        <w:rPr>
          <w:rFonts w:eastAsia="Times New Roman" w:cs="Arial"/>
          <w:color w:val="000000"/>
          <w:lang w:eastAsia="bg-BG"/>
        </w:rPr>
        <w:t xml:space="preserve">с тази от 90 </w:t>
      </w:r>
      <w:r w:rsidRPr="006B43A1">
        <w:rPr>
          <w:rFonts w:eastAsia="Times New Roman" w:cs="Arial"/>
          <w:color w:val="000000"/>
          <w:lang w:val="en-US"/>
        </w:rPr>
        <w:t xml:space="preserve">mg, </w:t>
      </w:r>
      <w:r w:rsidRPr="006B43A1">
        <w:rPr>
          <w:rFonts w:eastAsia="Times New Roman" w:cs="Arial"/>
          <w:color w:val="000000"/>
          <w:lang w:eastAsia="bg-BG"/>
        </w:rPr>
        <w:t xml:space="preserve">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и 90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са показали сходен ефект в сравнение с напроксен 1000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Сред тези, при които няма добър отговор към 60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за 6 седмици, увеличението на дозата до 90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подобрява скора на интензивност на спиналната болка (0-100 </w:t>
      </w:r>
      <w:r w:rsidRPr="006B43A1">
        <w:rPr>
          <w:rFonts w:eastAsia="Times New Roman" w:cs="Arial"/>
          <w:color w:val="000000"/>
          <w:lang w:val="en-US"/>
        </w:rPr>
        <w:t xml:space="preserve">mm </w:t>
      </w:r>
      <w:r w:rsidRPr="006B43A1">
        <w:rPr>
          <w:rFonts w:eastAsia="Times New Roman" w:cs="Arial"/>
          <w:color w:val="000000"/>
          <w:lang w:eastAsia="bg-BG"/>
        </w:rPr>
        <w:t xml:space="preserve">визуална аналогова скала) в сравнение с тези, които продължават с 60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със средно подобрение от 2,70 </w:t>
      </w:r>
      <w:r w:rsidRPr="006B43A1">
        <w:rPr>
          <w:rFonts w:eastAsia="Times New Roman" w:cs="Arial"/>
          <w:color w:val="000000"/>
          <w:lang w:val="en-US"/>
        </w:rPr>
        <w:t xml:space="preserve">mm </w:t>
      </w:r>
      <w:r w:rsidRPr="006B43A1">
        <w:rPr>
          <w:rFonts w:eastAsia="Times New Roman" w:cs="Arial"/>
          <w:color w:val="000000"/>
          <w:lang w:eastAsia="bg-BG"/>
        </w:rPr>
        <w:t xml:space="preserve">(95% </w:t>
      </w:r>
      <w:r w:rsidRPr="006B43A1">
        <w:rPr>
          <w:rFonts w:eastAsia="Times New Roman" w:cs="Arial"/>
          <w:color w:val="000000"/>
          <w:lang w:val="en-US"/>
        </w:rPr>
        <w:t xml:space="preserve">CI: </w:t>
      </w:r>
      <w:r w:rsidRPr="006B43A1">
        <w:rPr>
          <w:rFonts w:eastAsia="Times New Roman" w:cs="Arial"/>
          <w:color w:val="000000"/>
          <w:lang w:eastAsia="bg-BG"/>
        </w:rPr>
        <w:t xml:space="preserve">-4,88 </w:t>
      </w:r>
      <w:r w:rsidRPr="006B43A1">
        <w:rPr>
          <w:rFonts w:eastAsia="Times New Roman" w:cs="Arial"/>
          <w:color w:val="000000"/>
          <w:lang w:val="en-US"/>
        </w:rPr>
        <w:t xml:space="preserve">mm, </w:t>
      </w:r>
      <w:r w:rsidRPr="006B43A1">
        <w:rPr>
          <w:rFonts w:eastAsia="Times New Roman" w:cs="Arial"/>
          <w:color w:val="000000"/>
          <w:lang w:eastAsia="bg-BG"/>
        </w:rPr>
        <w:t xml:space="preserve">-0,52 </w:t>
      </w:r>
      <w:r w:rsidRPr="006B43A1">
        <w:rPr>
          <w:rFonts w:eastAsia="Times New Roman" w:cs="Arial"/>
          <w:color w:val="000000"/>
          <w:lang w:val="en-US"/>
        </w:rPr>
        <w:t>mm).</w:t>
      </w:r>
    </w:p>
    <w:p w14:paraId="34CB621E" w14:textId="77777777" w:rsidR="006B43A1" w:rsidRDefault="006B43A1" w:rsidP="006B43A1">
      <w:pPr>
        <w:spacing w:line="240" w:lineRule="auto"/>
        <w:rPr>
          <w:rFonts w:eastAsia="Times New Roman" w:cs="Arial"/>
          <w:color w:val="000000"/>
          <w:lang w:eastAsia="bg-BG"/>
        </w:rPr>
      </w:pPr>
    </w:p>
    <w:p w14:paraId="24A87291" w14:textId="797FFA01" w:rsidR="006B43A1" w:rsidRDefault="006B43A1" w:rsidP="006B43A1">
      <w:pPr>
        <w:spacing w:line="240" w:lineRule="auto"/>
        <w:rPr>
          <w:rFonts w:eastAsia="Times New Roman" w:cs="Arial"/>
          <w:color w:val="000000"/>
          <w:lang w:eastAsia="bg-BG"/>
        </w:rPr>
      </w:pPr>
      <w:r w:rsidRPr="006B43A1">
        <w:rPr>
          <w:rFonts w:eastAsia="Times New Roman" w:cs="Arial"/>
          <w:color w:val="000000"/>
          <w:lang w:eastAsia="bg-BG"/>
        </w:rPr>
        <w:t xml:space="preserve">При клинични проучвания оценяващи постоперативна дентална болка,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е прилаган веднъж дневно за период до три дни. В подгрупата на пациенти с умерена болка в началото,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показва сходен аналгетичен ефект с този на ибупрофен 600 </w:t>
      </w:r>
      <w:r w:rsidRPr="006B43A1">
        <w:rPr>
          <w:rFonts w:eastAsia="Times New Roman" w:cs="Arial"/>
          <w:color w:val="000000"/>
          <w:lang w:val="en-US"/>
        </w:rPr>
        <w:t xml:space="preserve">mg </w:t>
      </w:r>
      <w:r w:rsidRPr="006B43A1">
        <w:rPr>
          <w:rFonts w:eastAsia="Times New Roman" w:cs="Arial"/>
          <w:color w:val="000000"/>
          <w:lang w:eastAsia="bg-BG"/>
        </w:rPr>
        <w:t xml:space="preserve">(16,11 срещу 16,39; Р=0,722), и по-силен от този на парацетамол/кодеин 600 </w:t>
      </w:r>
      <w:r w:rsidRPr="006B43A1">
        <w:rPr>
          <w:rFonts w:eastAsia="Times New Roman" w:cs="Arial"/>
          <w:color w:val="000000"/>
          <w:lang w:val="en-US"/>
        </w:rPr>
        <w:t xml:space="preserve">mg </w:t>
      </w:r>
      <w:r w:rsidRPr="006B43A1">
        <w:rPr>
          <w:rFonts w:eastAsia="Times New Roman" w:cs="Arial"/>
          <w:color w:val="000000"/>
          <w:lang w:eastAsia="bg-BG"/>
        </w:rPr>
        <w:t xml:space="preserve">/60 </w:t>
      </w:r>
      <w:r w:rsidRPr="006B43A1">
        <w:rPr>
          <w:rFonts w:eastAsia="Times New Roman" w:cs="Arial"/>
          <w:color w:val="000000"/>
          <w:lang w:val="en-US"/>
        </w:rPr>
        <w:t xml:space="preserve">mg </w:t>
      </w:r>
      <w:r w:rsidRPr="006B43A1">
        <w:rPr>
          <w:rFonts w:eastAsia="Times New Roman" w:cs="Arial"/>
          <w:color w:val="000000"/>
          <w:lang w:eastAsia="bg-BG"/>
        </w:rPr>
        <w:t xml:space="preserve">(11,00; Р&lt;0,001) и плацебо (6,84; Р&lt;0,001), измерено като общо облекчение на болката за първите 6 часа </w:t>
      </w:r>
      <w:r w:rsidRPr="006B43A1">
        <w:rPr>
          <w:rFonts w:eastAsia="Times New Roman" w:cs="Arial"/>
          <w:color w:val="000000"/>
          <w:lang w:val="en-US"/>
        </w:rPr>
        <w:t xml:space="preserve">(TOPAR6). </w:t>
      </w:r>
      <w:r w:rsidRPr="006B43A1">
        <w:rPr>
          <w:rFonts w:eastAsia="Times New Roman" w:cs="Arial"/>
          <w:color w:val="000000"/>
          <w:lang w:eastAsia="bg-BG"/>
        </w:rPr>
        <w:t xml:space="preserve">Частта пациенти, съобщили за употребата на допълнително лекарство по време на първите 24 часа от дозирането, са 40,8 % за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25,5 % за ибупрофен 600 </w:t>
      </w:r>
      <w:r w:rsidRPr="006B43A1">
        <w:rPr>
          <w:rFonts w:eastAsia="Times New Roman" w:cs="Arial"/>
          <w:color w:val="000000"/>
          <w:lang w:val="en-US"/>
        </w:rPr>
        <w:t>mg</w:t>
      </w:r>
      <w:r w:rsidRPr="006B43A1">
        <w:rPr>
          <w:rFonts w:eastAsia="Times New Roman" w:cs="Arial"/>
          <w:color w:val="000000"/>
          <w:vertAlign w:val="superscript"/>
          <w:lang w:val="en-US"/>
        </w:rPr>
        <w:t xml:space="preserve"> </w:t>
      </w:r>
      <w:r w:rsidRPr="006B43A1">
        <w:rPr>
          <w:rFonts w:eastAsia="Times New Roman" w:cs="Arial"/>
          <w:color w:val="000000"/>
          <w:lang w:val="en-US"/>
        </w:rPr>
        <w:t xml:space="preserve">Q6h </w:t>
      </w:r>
      <w:r w:rsidRPr="006B43A1">
        <w:rPr>
          <w:rFonts w:eastAsia="Times New Roman" w:cs="Arial"/>
          <w:color w:val="000000"/>
          <w:lang w:eastAsia="bg-BG"/>
        </w:rPr>
        <w:t xml:space="preserve">и 46,7 % за парацетамол/кодеин 600 </w:t>
      </w:r>
      <w:r w:rsidRPr="006B43A1">
        <w:rPr>
          <w:rFonts w:eastAsia="Times New Roman" w:cs="Arial"/>
          <w:color w:val="000000"/>
          <w:lang w:val="en-US"/>
        </w:rPr>
        <w:t xml:space="preserve">mg </w:t>
      </w:r>
      <w:r w:rsidRPr="006B43A1">
        <w:rPr>
          <w:rFonts w:eastAsia="Times New Roman" w:cs="Arial"/>
          <w:color w:val="000000"/>
          <w:lang w:eastAsia="bg-BG"/>
        </w:rPr>
        <w:t xml:space="preserve">/60 </w:t>
      </w:r>
      <w:r w:rsidRPr="006B43A1">
        <w:rPr>
          <w:rFonts w:eastAsia="Times New Roman" w:cs="Arial"/>
          <w:color w:val="000000"/>
          <w:lang w:val="en-US"/>
        </w:rPr>
        <w:t xml:space="preserve">mg </w:t>
      </w:r>
      <w:r w:rsidRPr="006B43A1">
        <w:rPr>
          <w:rFonts w:eastAsia="Times New Roman" w:cs="Arial"/>
          <w:color w:val="000000"/>
          <w:lang w:eastAsia="bg-BG"/>
        </w:rPr>
        <w:t xml:space="preserve">в сравнение със 76,2 % за плацебо. В това проучване медианата на началото на действието (осезаемо облекчаване на болката) на 90 </w:t>
      </w:r>
      <w:r w:rsidRPr="006B43A1">
        <w:rPr>
          <w:rFonts w:eastAsia="Times New Roman" w:cs="Arial"/>
          <w:color w:val="000000"/>
          <w:lang w:val="en-US"/>
        </w:rPr>
        <w:t>mg</w:t>
      </w:r>
      <w:r w:rsidRPr="006B43A1">
        <w:rPr>
          <w:rFonts w:eastAsia="Times New Roman" w:cs="Arial"/>
          <w:color w:val="000000"/>
          <w:lang w:eastAsia="bg-BG"/>
        </w:rPr>
        <w:t xml:space="preserve"> еторикоксиб е била 28 минути след приложението.</w:t>
      </w:r>
    </w:p>
    <w:p w14:paraId="3DA6E1CA" w14:textId="4630CBBD" w:rsidR="006B43A1" w:rsidRDefault="006B43A1" w:rsidP="006B43A1">
      <w:pPr>
        <w:spacing w:line="240" w:lineRule="auto"/>
        <w:rPr>
          <w:rFonts w:eastAsia="Times New Roman" w:cs="Arial"/>
          <w:color w:val="000000"/>
          <w:lang w:eastAsia="bg-BG"/>
        </w:rPr>
      </w:pPr>
    </w:p>
    <w:p w14:paraId="63279626" w14:textId="77777777"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Безопасност</w:t>
      </w:r>
    </w:p>
    <w:p w14:paraId="4C71AE71" w14:textId="77777777" w:rsidR="006B43A1" w:rsidRDefault="006B43A1" w:rsidP="006B43A1">
      <w:pPr>
        <w:spacing w:line="240" w:lineRule="auto"/>
        <w:rPr>
          <w:rFonts w:eastAsia="Times New Roman" w:cs="Arial"/>
          <w:i/>
          <w:iCs/>
          <w:color w:val="000000"/>
          <w:lang w:eastAsia="bg-BG"/>
        </w:rPr>
      </w:pPr>
    </w:p>
    <w:p w14:paraId="00B8205A" w14:textId="79D71C9D" w:rsidR="006B43A1" w:rsidRPr="006B43A1" w:rsidRDefault="006B43A1" w:rsidP="006B43A1">
      <w:pPr>
        <w:spacing w:line="240" w:lineRule="auto"/>
        <w:rPr>
          <w:rFonts w:eastAsia="Times New Roman" w:cs="Arial"/>
          <w:i/>
          <w:iCs/>
          <w:color w:val="000000"/>
          <w:lang w:eastAsia="bg-BG"/>
        </w:rPr>
      </w:pPr>
      <w:r w:rsidRPr="006B43A1">
        <w:rPr>
          <w:rFonts w:eastAsia="Times New Roman" w:cs="Arial"/>
          <w:i/>
          <w:iCs/>
          <w:color w:val="000000"/>
          <w:lang w:eastAsia="bg-BG"/>
        </w:rPr>
        <w:t xml:space="preserve">Програма </w:t>
      </w:r>
      <w:r w:rsidRPr="006B43A1">
        <w:rPr>
          <w:rFonts w:eastAsia="Times New Roman" w:cs="Arial"/>
          <w:i/>
          <w:iCs/>
          <w:color w:val="000000"/>
          <w:lang w:val="en-US"/>
        </w:rPr>
        <w:t xml:space="preserve">Multinational Etoricoxib and Diclofenac Arthritis Long-term (MEDAL) </w:t>
      </w:r>
      <w:r w:rsidRPr="006B43A1">
        <w:rPr>
          <w:rFonts w:eastAsia="Times New Roman" w:cs="Arial"/>
          <w:i/>
          <w:iCs/>
          <w:color w:val="000000"/>
          <w:lang w:eastAsia="bg-BG"/>
        </w:rPr>
        <w:t>Многонационална програма за продължително прилагани еторикоксиб и диклофенак.</w:t>
      </w:r>
    </w:p>
    <w:p w14:paraId="2659B7A3" w14:textId="77777777" w:rsidR="006B43A1" w:rsidRDefault="006B43A1" w:rsidP="006B43A1">
      <w:pPr>
        <w:spacing w:line="240" w:lineRule="auto"/>
        <w:rPr>
          <w:rFonts w:eastAsia="Times New Roman" w:cs="Arial"/>
          <w:color w:val="000000"/>
          <w:lang w:eastAsia="bg-BG"/>
        </w:rPr>
      </w:pPr>
    </w:p>
    <w:p w14:paraId="32BDC96E" w14:textId="403E052F"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Програмата </w:t>
      </w:r>
      <w:r w:rsidRPr="006B43A1">
        <w:rPr>
          <w:rFonts w:eastAsia="Times New Roman" w:cs="Arial"/>
          <w:color w:val="000000"/>
          <w:lang w:val="en-US"/>
        </w:rPr>
        <w:t xml:space="preserve">MEDAL </w:t>
      </w:r>
      <w:r w:rsidRPr="006B43A1">
        <w:rPr>
          <w:rFonts w:eastAsia="Times New Roman" w:cs="Arial"/>
          <w:color w:val="000000"/>
          <w:lang w:eastAsia="bg-BG"/>
        </w:rPr>
        <w:t xml:space="preserve">е проспективна програма за проследяване на резултатите, свързани със сърдечно-съдовата (СС) безопасност чрез обобщени данни от три рандомизирани, двойно слепи срещу активна съставка контролирани изпитвания, проучването </w:t>
      </w:r>
      <w:r w:rsidRPr="006B43A1">
        <w:rPr>
          <w:rFonts w:eastAsia="Times New Roman" w:cs="Arial"/>
          <w:color w:val="000000"/>
          <w:lang w:val="en-US"/>
        </w:rPr>
        <w:t xml:space="preserve">MEDAL, EDGE </w:t>
      </w:r>
      <w:r w:rsidRPr="006B43A1">
        <w:rPr>
          <w:rFonts w:eastAsia="Times New Roman" w:cs="Arial"/>
          <w:color w:val="000000"/>
          <w:lang w:eastAsia="bg-BG"/>
        </w:rPr>
        <w:t xml:space="preserve">II и </w:t>
      </w:r>
      <w:r w:rsidRPr="006B43A1">
        <w:rPr>
          <w:rFonts w:eastAsia="Times New Roman" w:cs="Arial"/>
          <w:color w:val="000000"/>
          <w:lang w:val="en-US"/>
        </w:rPr>
        <w:t>EDGE.</w:t>
      </w:r>
    </w:p>
    <w:p w14:paraId="617BA715" w14:textId="77777777" w:rsidR="006B43A1" w:rsidRDefault="006B43A1" w:rsidP="006B43A1">
      <w:pPr>
        <w:spacing w:line="240" w:lineRule="auto"/>
        <w:rPr>
          <w:rFonts w:eastAsia="Times New Roman" w:cs="Arial"/>
          <w:color w:val="000000"/>
          <w:lang w:eastAsia="bg-BG"/>
        </w:rPr>
      </w:pPr>
    </w:p>
    <w:p w14:paraId="35E5454C" w14:textId="5AE6C0B4"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Проучването </w:t>
      </w:r>
      <w:r w:rsidRPr="006B43A1">
        <w:rPr>
          <w:rFonts w:eastAsia="Times New Roman" w:cs="Arial"/>
          <w:color w:val="000000"/>
          <w:lang w:val="en-US"/>
        </w:rPr>
        <w:t xml:space="preserve">MEDAL </w:t>
      </w:r>
      <w:r w:rsidRPr="006B43A1">
        <w:rPr>
          <w:rFonts w:eastAsia="Times New Roman" w:cs="Arial"/>
          <w:color w:val="000000"/>
          <w:lang w:eastAsia="bg-BG"/>
        </w:rPr>
        <w:t xml:space="preserve">е проучване с крайна точка, определена от </w:t>
      </w:r>
      <w:r w:rsidRPr="006B43A1">
        <w:rPr>
          <w:rFonts w:eastAsia="Times New Roman" w:cs="Arial"/>
          <w:color w:val="000000"/>
          <w:lang w:val="en-US"/>
        </w:rPr>
        <w:t xml:space="preserve">CV </w:t>
      </w:r>
      <w:r w:rsidRPr="006B43A1">
        <w:rPr>
          <w:rFonts w:eastAsia="Times New Roman" w:cs="Arial"/>
          <w:color w:val="000000"/>
          <w:lang w:eastAsia="bg-BG"/>
        </w:rPr>
        <w:t xml:space="preserve">резултатите при 17 804 пациенти с ОА и 5 700 с РА, лекувани с 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(ОА) или 90 </w:t>
      </w:r>
      <w:r w:rsidRPr="006B43A1">
        <w:rPr>
          <w:rFonts w:eastAsia="Times New Roman" w:cs="Arial"/>
          <w:color w:val="000000"/>
          <w:lang w:val="en-US"/>
        </w:rPr>
        <w:t xml:space="preserve">mg </w:t>
      </w:r>
      <w:r w:rsidRPr="006B43A1">
        <w:rPr>
          <w:rFonts w:eastAsia="Times New Roman" w:cs="Arial"/>
          <w:color w:val="000000"/>
          <w:lang w:eastAsia="bg-BG"/>
        </w:rPr>
        <w:t xml:space="preserve">(ОА </w:t>
      </w:r>
      <w:r w:rsidRPr="006B43A1">
        <w:rPr>
          <w:rFonts w:eastAsia="Times New Roman" w:cs="Arial"/>
          <w:color w:val="000000"/>
          <w:lang w:val="en-US"/>
        </w:rPr>
        <w:t xml:space="preserve">and </w:t>
      </w:r>
      <w:r w:rsidRPr="006B43A1">
        <w:rPr>
          <w:rFonts w:eastAsia="Times New Roman" w:cs="Arial"/>
          <w:color w:val="000000"/>
          <w:lang w:eastAsia="bg-BG"/>
        </w:rPr>
        <w:t xml:space="preserve">РА) или диклофенак 150 </w:t>
      </w:r>
      <w:r w:rsidRPr="006B43A1">
        <w:rPr>
          <w:rFonts w:eastAsia="Times New Roman" w:cs="Arial"/>
          <w:color w:val="000000"/>
          <w:lang w:val="en-US"/>
        </w:rPr>
        <w:t xml:space="preserve">mg </w:t>
      </w:r>
      <w:r w:rsidRPr="006B43A1">
        <w:rPr>
          <w:rFonts w:eastAsia="Times New Roman" w:cs="Arial"/>
          <w:color w:val="000000"/>
          <w:lang w:eastAsia="bg-BG"/>
        </w:rPr>
        <w:t>дневно за период средно от 20.3 месеца (максимум 42.3 месеца, медиана 21.3 месеца). В това изпитване се отчитат само сериозни нежелани реакции и преустановяване на участието поради каквато и да е нежелана реакция.</w:t>
      </w:r>
    </w:p>
    <w:p w14:paraId="37A04CC3"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Проучванията </w:t>
      </w:r>
      <w:r w:rsidRPr="006B43A1">
        <w:rPr>
          <w:rFonts w:eastAsia="Times New Roman" w:cs="Arial"/>
          <w:color w:val="000000"/>
          <w:lang w:val="en-US"/>
        </w:rPr>
        <w:t xml:space="preserve">EDGE </w:t>
      </w:r>
      <w:r w:rsidRPr="006B43A1">
        <w:rPr>
          <w:rFonts w:eastAsia="Times New Roman" w:cs="Arial"/>
          <w:color w:val="000000"/>
          <w:lang w:eastAsia="bg-BG"/>
        </w:rPr>
        <w:t xml:space="preserve">и </w:t>
      </w:r>
      <w:r w:rsidRPr="006B43A1">
        <w:rPr>
          <w:rFonts w:eastAsia="Times New Roman" w:cs="Arial"/>
          <w:color w:val="000000"/>
          <w:lang w:val="en-US"/>
        </w:rPr>
        <w:t xml:space="preserve">EDGE </w:t>
      </w:r>
      <w:r w:rsidRPr="006B43A1">
        <w:rPr>
          <w:rFonts w:eastAsia="Times New Roman" w:cs="Arial"/>
          <w:color w:val="000000"/>
          <w:lang w:eastAsia="bg-BG"/>
        </w:rPr>
        <w:t xml:space="preserve">II сравняват стомашно-чревната поносимост на еторикоксиб и диклофенак. Проучването </w:t>
      </w:r>
      <w:r w:rsidRPr="006B43A1">
        <w:rPr>
          <w:rFonts w:eastAsia="Times New Roman" w:cs="Arial"/>
          <w:color w:val="000000"/>
          <w:lang w:val="en-US"/>
        </w:rPr>
        <w:t xml:space="preserve">EDGE </w:t>
      </w:r>
      <w:r w:rsidRPr="006B43A1">
        <w:rPr>
          <w:rFonts w:eastAsia="Times New Roman" w:cs="Arial"/>
          <w:color w:val="000000"/>
          <w:lang w:eastAsia="bg-BG"/>
        </w:rPr>
        <w:t xml:space="preserve">включва 7 111 пациенти с ОА, лекувани с доза еторикоксиб от 90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(1.5 пъти дозата препоръчителна за ОА) или диклофенак 150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за период средно 9.1 месеца (максимум 16.6 месеца, медиана 11.4 </w:t>
      </w:r>
      <w:r w:rsidRPr="006B43A1">
        <w:rPr>
          <w:rFonts w:eastAsia="Times New Roman" w:cs="Arial"/>
          <w:color w:val="000000"/>
          <w:lang w:eastAsia="bg-BG"/>
        </w:rPr>
        <w:lastRenderedPageBreak/>
        <w:t xml:space="preserve">месеца). Проучването </w:t>
      </w:r>
      <w:r w:rsidRPr="006B43A1">
        <w:rPr>
          <w:rFonts w:eastAsia="Times New Roman" w:cs="Arial"/>
          <w:color w:val="000000"/>
          <w:lang w:val="en-US"/>
        </w:rPr>
        <w:t xml:space="preserve">EDGE </w:t>
      </w:r>
      <w:r w:rsidRPr="006B43A1">
        <w:rPr>
          <w:rFonts w:eastAsia="Times New Roman" w:cs="Arial"/>
          <w:color w:val="000000"/>
          <w:lang w:eastAsia="bg-BG"/>
        </w:rPr>
        <w:t xml:space="preserve">П включва 4 086 пациенти с РА, лекувани с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или диклофенак 150 </w:t>
      </w:r>
      <w:r w:rsidRPr="006B43A1">
        <w:rPr>
          <w:rFonts w:eastAsia="Times New Roman" w:cs="Arial"/>
          <w:color w:val="000000"/>
          <w:lang w:val="en-US"/>
        </w:rPr>
        <w:t xml:space="preserve">mg </w:t>
      </w:r>
      <w:r w:rsidRPr="006B43A1">
        <w:rPr>
          <w:rFonts w:eastAsia="Times New Roman" w:cs="Arial"/>
          <w:color w:val="000000"/>
          <w:lang w:eastAsia="bg-BG"/>
        </w:rPr>
        <w:t>дневно за период средно 19.2 месеца (максимум 33.1 месеца, медиана 24 месеца).</w:t>
      </w:r>
    </w:p>
    <w:p w14:paraId="42765239" w14:textId="77777777" w:rsidR="006B43A1" w:rsidRDefault="006B43A1" w:rsidP="006B43A1">
      <w:pPr>
        <w:spacing w:line="240" w:lineRule="auto"/>
        <w:rPr>
          <w:rFonts w:eastAsia="Times New Roman" w:cs="Arial"/>
          <w:color w:val="000000"/>
          <w:lang w:eastAsia="bg-BG"/>
        </w:rPr>
      </w:pPr>
    </w:p>
    <w:p w14:paraId="1BADB666" w14:textId="5FC5CDD5"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В обобщената програма </w:t>
      </w:r>
      <w:r w:rsidRPr="006B43A1">
        <w:rPr>
          <w:rFonts w:eastAsia="Times New Roman" w:cs="Arial"/>
          <w:color w:val="000000"/>
          <w:lang w:val="en-US"/>
        </w:rPr>
        <w:t xml:space="preserve">MEDAL </w:t>
      </w:r>
      <w:r w:rsidRPr="006B43A1">
        <w:rPr>
          <w:rFonts w:eastAsia="Times New Roman" w:cs="Arial"/>
          <w:color w:val="000000"/>
          <w:lang w:eastAsia="bg-BG"/>
        </w:rPr>
        <w:t>34 701 пациенти с ОА или РА са лекувани за период средно 17.9 месеца (максимум 42.3 месеца, медиана 16.3 месеца) като приблизително 12 800 пациенти провеждат лечение по-продължително от 24 месеца. Пациентите, участващи в програмата, имат като изходно състояние различни сърдечно-съдови и стомашно-чревни рискови фактори. Пациентите, с анамнеза за неотдавнашен инфаркт на миокарда, байпас на коронарна артерия с присадка или перкутанна коронарна интервенция в предходните 6 месеца преди включването, не се допускат до участие. В проучванията е разрешено използването на гастропротективни продукти и ниска доза аспирин.</w:t>
      </w:r>
    </w:p>
    <w:p w14:paraId="57D32FA6" w14:textId="77777777" w:rsidR="006B43A1" w:rsidRDefault="006B43A1" w:rsidP="006B43A1">
      <w:pPr>
        <w:spacing w:line="240" w:lineRule="auto"/>
        <w:rPr>
          <w:rFonts w:eastAsia="Times New Roman" w:cs="Arial"/>
          <w:i/>
          <w:iCs/>
          <w:color w:val="000000"/>
          <w:lang w:eastAsia="bg-BG"/>
        </w:rPr>
      </w:pPr>
    </w:p>
    <w:p w14:paraId="723B2D8F" w14:textId="503D397C"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Обща безопасност</w:t>
      </w:r>
    </w:p>
    <w:p w14:paraId="634FC43A"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Няма значителни разлики между еторикоксиб и диклофенак в честотата на сърдечно-съдовите тромботични прояви . Кардиоренални нежелани реакции се наблюдават по-често при еторикоксиб, отколкото при диклофенак и тези ефекти са дозозависими (вижте специфичните резултати по-долу). Стомашно-чревните и чернодробни нежелани реакции се наблюдават значително по-често при диклофенак отколкото при еторикоксиб. Честотата на нежеланите реакции при </w:t>
      </w:r>
      <w:r w:rsidRPr="006B43A1">
        <w:rPr>
          <w:rFonts w:eastAsia="Times New Roman" w:cs="Arial"/>
          <w:color w:val="000000"/>
          <w:lang w:val="en-US"/>
        </w:rPr>
        <w:t xml:space="preserve">EDGE </w:t>
      </w:r>
      <w:r w:rsidRPr="006B43A1">
        <w:rPr>
          <w:rFonts w:eastAsia="Times New Roman" w:cs="Arial"/>
          <w:color w:val="000000"/>
          <w:lang w:eastAsia="bg-BG"/>
        </w:rPr>
        <w:t xml:space="preserve">и </w:t>
      </w:r>
      <w:r w:rsidRPr="006B43A1">
        <w:rPr>
          <w:rFonts w:eastAsia="Times New Roman" w:cs="Arial"/>
          <w:color w:val="000000"/>
          <w:lang w:val="en-US"/>
        </w:rPr>
        <w:t xml:space="preserve">EDGE </w:t>
      </w:r>
      <w:r w:rsidRPr="006B43A1">
        <w:rPr>
          <w:rFonts w:eastAsia="Times New Roman" w:cs="Arial"/>
          <w:color w:val="000000"/>
          <w:lang w:eastAsia="bg-BG"/>
        </w:rPr>
        <w:t xml:space="preserve">II и на нежеланите реакции, преценени като сериозни или водещи до прекратяване участие в проучването </w:t>
      </w:r>
      <w:r w:rsidRPr="006B43A1">
        <w:rPr>
          <w:rFonts w:eastAsia="Times New Roman" w:cs="Arial"/>
          <w:color w:val="000000"/>
          <w:lang w:val="en-US"/>
        </w:rPr>
        <w:t xml:space="preserve">MEDAL </w:t>
      </w:r>
      <w:r w:rsidRPr="006B43A1">
        <w:rPr>
          <w:rFonts w:eastAsia="Times New Roman" w:cs="Arial"/>
          <w:color w:val="000000"/>
          <w:lang w:eastAsia="bg-BG"/>
        </w:rPr>
        <w:t>е по-висока при еторикоксиб в сравнение с диклофенак.</w:t>
      </w:r>
    </w:p>
    <w:p w14:paraId="02A641F1" w14:textId="77777777" w:rsidR="006B43A1" w:rsidRDefault="006B43A1" w:rsidP="006B43A1">
      <w:pPr>
        <w:spacing w:line="240" w:lineRule="auto"/>
        <w:rPr>
          <w:rFonts w:eastAsia="Times New Roman" w:cs="Arial"/>
          <w:i/>
          <w:iCs/>
          <w:color w:val="000000"/>
          <w:lang w:eastAsia="bg-BG"/>
        </w:rPr>
      </w:pPr>
    </w:p>
    <w:p w14:paraId="0627D9E3" w14:textId="5BD7D8D5"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Сърдечно-съдови резултати за безопасността</w:t>
      </w:r>
    </w:p>
    <w:p w14:paraId="41DE93C2"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Честотата на потвърдените тромботични сърдечно-съдови сериозни нежелани реакции (включващи сърдечни, мозъчно-съдови и периферно-съдови прояви) е сравнима за еторикоксиб и диклофенак, като резултатите са обобщени в таблицата по-долу. Няма статистически значими разлики в честотата на тромботичните събития между еторикоксиб и диклофенак при всички анализирани подгрупи, включително различни категории пациенти в цялата гама на изходния сърдечно-съдов риск. Когато се разглеждат поотделно, относителният риск за потвърдени тромботични сърдечно-съдови нежелани реакции при 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или 90 </w:t>
      </w:r>
      <w:r w:rsidRPr="006B43A1">
        <w:rPr>
          <w:rFonts w:eastAsia="Times New Roman" w:cs="Arial"/>
          <w:color w:val="000000"/>
          <w:lang w:val="en-US"/>
        </w:rPr>
        <w:t xml:space="preserve">mg </w:t>
      </w:r>
      <w:r w:rsidRPr="006B43A1">
        <w:rPr>
          <w:rFonts w:eastAsia="Times New Roman" w:cs="Arial"/>
          <w:color w:val="000000"/>
          <w:lang w:eastAsia="bg-BG"/>
        </w:rPr>
        <w:t xml:space="preserve">в сравнение с диклофенак 150 </w:t>
      </w:r>
      <w:r w:rsidRPr="006B43A1">
        <w:rPr>
          <w:rFonts w:eastAsia="Times New Roman" w:cs="Arial"/>
          <w:color w:val="000000"/>
          <w:lang w:val="en-US"/>
        </w:rPr>
        <w:t xml:space="preserve">mg </w:t>
      </w:r>
      <w:r w:rsidRPr="006B43A1">
        <w:rPr>
          <w:rFonts w:eastAsia="Times New Roman" w:cs="Arial"/>
          <w:color w:val="000000"/>
          <w:lang w:eastAsia="bg-BG"/>
        </w:rPr>
        <w:t>е бил сходен.</w:t>
      </w:r>
    </w:p>
    <w:p w14:paraId="5904E4D4" w14:textId="3F3C76DE" w:rsidR="006B43A1" w:rsidRDefault="006B43A1" w:rsidP="006B43A1">
      <w:pPr>
        <w:spacing w:line="240" w:lineRule="auto"/>
        <w:rPr>
          <w:rFonts w:eastAsia="Times New Roman" w:cs="Arial"/>
          <w:lang w:eastAsia="bg-BG"/>
        </w:rPr>
      </w:pPr>
    </w:p>
    <w:tbl>
      <w:tblPr>
        <w:tblStyle w:val="TableGrid"/>
        <w:tblW w:w="0" w:type="auto"/>
        <w:tblLook w:val="04A0" w:firstRow="1" w:lastRow="0" w:firstColumn="1" w:lastColumn="0" w:noHBand="0" w:noVBand="1"/>
      </w:tblPr>
      <w:tblGrid>
        <w:gridCol w:w="2632"/>
        <w:gridCol w:w="2228"/>
        <w:gridCol w:w="2245"/>
        <w:gridCol w:w="2245"/>
      </w:tblGrid>
      <w:tr w:rsidR="006B43A1" w14:paraId="4717AB5E" w14:textId="77777777" w:rsidTr="00166C4B">
        <w:tc>
          <w:tcPr>
            <w:tcW w:w="9576" w:type="dxa"/>
            <w:gridSpan w:val="4"/>
          </w:tcPr>
          <w:p w14:paraId="5692E5F9" w14:textId="77777777"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Таблица 2</w:t>
            </w:r>
          </w:p>
          <w:p w14:paraId="499DD596" w14:textId="5C8D5381" w:rsidR="006B43A1" w:rsidRPr="006B43A1" w:rsidRDefault="006B43A1" w:rsidP="006B43A1">
            <w:pPr>
              <w:spacing w:line="240" w:lineRule="auto"/>
              <w:rPr>
                <w:rFonts w:eastAsia="Times New Roman" w:cs="Arial"/>
                <w:lang w:val="en-US" w:eastAsia="bg-BG"/>
              </w:rPr>
            </w:pPr>
            <w:r w:rsidRPr="006B43A1">
              <w:rPr>
                <w:rFonts w:eastAsia="Times New Roman" w:cs="Arial"/>
                <w:color w:val="000000"/>
                <w:lang w:eastAsia="bg-BG"/>
              </w:rPr>
              <w:t xml:space="preserve">Честота на потвърдени тромботични СС прояви (обобщена програма </w:t>
            </w:r>
            <w:r w:rsidRPr="006B43A1">
              <w:rPr>
                <w:rFonts w:eastAsia="Times New Roman" w:cs="Arial"/>
                <w:color w:val="000000"/>
                <w:lang w:val="en-US"/>
              </w:rPr>
              <w:t>MEDAL)</w:t>
            </w:r>
          </w:p>
        </w:tc>
      </w:tr>
      <w:tr w:rsidR="006B43A1" w14:paraId="4F1E7E4A" w14:textId="77777777" w:rsidTr="006B43A1">
        <w:tc>
          <w:tcPr>
            <w:tcW w:w="2724" w:type="dxa"/>
          </w:tcPr>
          <w:p w14:paraId="721600C0" w14:textId="77777777" w:rsidR="006B43A1" w:rsidRDefault="006B43A1" w:rsidP="006B43A1">
            <w:pPr>
              <w:spacing w:line="240" w:lineRule="auto"/>
              <w:rPr>
                <w:rFonts w:eastAsia="Times New Roman" w:cs="Arial"/>
                <w:lang w:val="en-US" w:eastAsia="bg-BG"/>
              </w:rPr>
            </w:pPr>
          </w:p>
        </w:tc>
        <w:tc>
          <w:tcPr>
            <w:tcW w:w="2282" w:type="dxa"/>
          </w:tcPr>
          <w:p w14:paraId="01CE5F46" w14:textId="77777777" w:rsidR="006B43A1" w:rsidRDefault="006B43A1" w:rsidP="006B43A1">
            <w:r>
              <w:t xml:space="preserve">Еторикоксиб </w:t>
            </w:r>
            <w:r>
              <w:rPr>
                <w:lang w:val="en-US"/>
              </w:rPr>
              <w:t xml:space="preserve">(N=16819) </w:t>
            </w:r>
            <w:r>
              <w:t>25836 Пациент -</w:t>
            </w:r>
          </w:p>
          <w:p w14:paraId="5127AA27" w14:textId="6529B122" w:rsidR="006B43A1" w:rsidRDefault="006B43A1" w:rsidP="006B43A1">
            <w:pPr>
              <w:rPr>
                <w:rFonts w:eastAsia="Times New Roman" w:cs="Arial"/>
                <w:lang w:val="en-US" w:eastAsia="bg-BG"/>
              </w:rPr>
            </w:pPr>
            <w:r>
              <w:t>Години</w:t>
            </w:r>
          </w:p>
        </w:tc>
        <w:tc>
          <w:tcPr>
            <w:tcW w:w="2285" w:type="dxa"/>
          </w:tcPr>
          <w:p w14:paraId="0B7D41BE" w14:textId="77777777" w:rsidR="006B43A1" w:rsidRDefault="006B43A1" w:rsidP="006B43A1">
            <w:r>
              <w:t xml:space="preserve">Диклофенак </w:t>
            </w:r>
            <w:r>
              <w:rPr>
                <w:lang w:val="en-US"/>
              </w:rPr>
              <w:t xml:space="preserve">(N=16483) </w:t>
            </w:r>
            <w:r>
              <w:t>24766 Пациент -</w:t>
            </w:r>
          </w:p>
          <w:p w14:paraId="79B7834A" w14:textId="5F4FDF14" w:rsidR="006B43A1" w:rsidRDefault="006B43A1" w:rsidP="006B43A1">
            <w:pPr>
              <w:rPr>
                <w:rFonts w:eastAsia="Times New Roman" w:cs="Arial"/>
                <w:lang w:val="en-US" w:eastAsia="bg-BG"/>
              </w:rPr>
            </w:pPr>
            <w:r>
              <w:t>Години</w:t>
            </w:r>
          </w:p>
        </w:tc>
        <w:tc>
          <w:tcPr>
            <w:tcW w:w="2285" w:type="dxa"/>
          </w:tcPr>
          <w:p w14:paraId="162DDFEE" w14:textId="77777777" w:rsidR="006B43A1" w:rsidRDefault="006B43A1" w:rsidP="006B43A1">
            <w:r>
              <w:t>Сравн</w:t>
            </w:r>
            <w:r>
              <w:rPr>
                <w:lang w:val="en-US"/>
              </w:rPr>
              <w:t>e</w:t>
            </w:r>
            <w:r>
              <w:t>ние между</w:t>
            </w:r>
          </w:p>
          <w:p w14:paraId="1034A805" w14:textId="78F462E2" w:rsidR="006B43A1" w:rsidRDefault="006B43A1" w:rsidP="006B43A1">
            <w:pPr>
              <w:rPr>
                <w:rFonts w:eastAsia="Times New Roman" w:cs="Arial"/>
                <w:lang w:val="en-US" w:eastAsia="bg-BG"/>
              </w:rPr>
            </w:pPr>
            <w:r>
              <w:t>лечения.</w:t>
            </w:r>
          </w:p>
        </w:tc>
      </w:tr>
      <w:tr w:rsidR="006B43A1" w14:paraId="2713A1B3" w14:textId="77777777" w:rsidTr="006B43A1">
        <w:tc>
          <w:tcPr>
            <w:tcW w:w="2724" w:type="dxa"/>
          </w:tcPr>
          <w:p w14:paraId="5FDFB8BE" w14:textId="77777777" w:rsidR="006B43A1" w:rsidRDefault="006B43A1" w:rsidP="006B43A1">
            <w:pPr>
              <w:spacing w:line="240" w:lineRule="auto"/>
              <w:rPr>
                <w:rFonts w:eastAsia="Times New Roman" w:cs="Arial"/>
                <w:lang w:val="en-US" w:eastAsia="bg-BG"/>
              </w:rPr>
            </w:pPr>
          </w:p>
        </w:tc>
        <w:tc>
          <w:tcPr>
            <w:tcW w:w="2282" w:type="dxa"/>
          </w:tcPr>
          <w:p w14:paraId="24BF4564" w14:textId="7ED948DF" w:rsidR="006B43A1" w:rsidRDefault="006B43A1" w:rsidP="006B43A1">
            <w:pPr>
              <w:rPr>
                <w:rFonts w:eastAsia="Times New Roman" w:cs="Arial"/>
                <w:lang w:val="en-US" w:eastAsia="bg-BG"/>
              </w:rPr>
            </w:pPr>
            <w:r>
              <w:t>Честота</w:t>
            </w:r>
            <w:r>
              <w:rPr>
                <w:vertAlign w:val="superscript"/>
              </w:rPr>
              <w:t xml:space="preserve">+ </w:t>
            </w:r>
            <w:r>
              <w:t xml:space="preserve">(95% </w:t>
            </w:r>
            <w:r>
              <w:rPr>
                <w:lang w:val="en-US"/>
              </w:rPr>
              <w:t>CI)</w:t>
            </w:r>
          </w:p>
        </w:tc>
        <w:tc>
          <w:tcPr>
            <w:tcW w:w="2285" w:type="dxa"/>
          </w:tcPr>
          <w:p w14:paraId="58D5C42D" w14:textId="70CD8F3D" w:rsidR="006B43A1" w:rsidRDefault="006B43A1" w:rsidP="006B43A1">
            <w:pPr>
              <w:rPr>
                <w:rFonts w:eastAsia="Times New Roman" w:cs="Arial"/>
                <w:lang w:val="en-US" w:eastAsia="bg-BG"/>
              </w:rPr>
            </w:pPr>
            <w:r>
              <w:t>Честота</w:t>
            </w:r>
            <w:r>
              <w:rPr>
                <w:vertAlign w:val="superscript"/>
              </w:rPr>
              <w:t>+</w:t>
            </w:r>
            <w:r>
              <w:t xml:space="preserve"> (95% </w:t>
            </w:r>
            <w:r>
              <w:rPr>
                <w:lang w:val="en-US"/>
              </w:rPr>
              <w:t>CI)</w:t>
            </w:r>
          </w:p>
        </w:tc>
        <w:tc>
          <w:tcPr>
            <w:tcW w:w="2285" w:type="dxa"/>
          </w:tcPr>
          <w:p w14:paraId="1BD3CAB1" w14:textId="18FD1DA9" w:rsidR="006B43A1" w:rsidRDefault="006B43A1" w:rsidP="006B43A1">
            <w:pPr>
              <w:rPr>
                <w:rFonts w:eastAsia="Times New Roman" w:cs="Arial"/>
                <w:lang w:val="en-US" w:eastAsia="bg-BG"/>
              </w:rPr>
            </w:pPr>
            <w:r>
              <w:t xml:space="preserve">Относителен риск(95% </w:t>
            </w:r>
            <w:r>
              <w:rPr>
                <w:lang w:val="en-US"/>
              </w:rPr>
              <w:t>CI)</w:t>
            </w:r>
          </w:p>
        </w:tc>
      </w:tr>
      <w:tr w:rsidR="006B43A1" w14:paraId="30B9F5D8" w14:textId="77777777" w:rsidTr="00A32DA7">
        <w:tc>
          <w:tcPr>
            <w:tcW w:w="9576" w:type="dxa"/>
            <w:gridSpan w:val="4"/>
          </w:tcPr>
          <w:p w14:paraId="7B06034F" w14:textId="21D7646C" w:rsidR="006B43A1" w:rsidRDefault="006B43A1" w:rsidP="006B43A1">
            <w:pPr>
              <w:rPr>
                <w:rFonts w:cs="Arial"/>
                <w:lang w:val="en-US" w:eastAsia="bg-BG"/>
              </w:rPr>
            </w:pPr>
            <w:r w:rsidRPr="006B43A1">
              <w:rPr>
                <w:lang w:eastAsia="bg-BG"/>
              </w:rPr>
              <w:t>Потвърдени тромботични сърдечно-съдови сериозни нежелани реакции</w:t>
            </w:r>
          </w:p>
        </w:tc>
      </w:tr>
      <w:tr w:rsidR="006B43A1" w14:paraId="5F2D634F" w14:textId="77777777" w:rsidTr="006B43A1">
        <w:tc>
          <w:tcPr>
            <w:tcW w:w="2724" w:type="dxa"/>
          </w:tcPr>
          <w:p w14:paraId="69193AF4" w14:textId="6155EC4E" w:rsidR="006B43A1" w:rsidRDefault="006B43A1" w:rsidP="006B43A1">
            <w:pPr>
              <w:rPr>
                <w:rFonts w:eastAsia="Times New Roman" w:cs="Arial"/>
                <w:lang w:val="en-US" w:eastAsia="bg-BG"/>
              </w:rPr>
            </w:pPr>
            <w:r>
              <w:t>По протокол</w:t>
            </w:r>
          </w:p>
        </w:tc>
        <w:tc>
          <w:tcPr>
            <w:tcW w:w="2282" w:type="dxa"/>
          </w:tcPr>
          <w:p w14:paraId="07F79A88" w14:textId="38574953" w:rsidR="006B43A1" w:rsidRDefault="006B43A1" w:rsidP="006B43A1">
            <w:pPr>
              <w:rPr>
                <w:rFonts w:eastAsia="Times New Roman" w:cs="Arial"/>
                <w:lang w:val="en-US" w:eastAsia="bg-BG"/>
              </w:rPr>
            </w:pPr>
            <w:r>
              <w:t>1.24(1.11, 1.38)</w:t>
            </w:r>
          </w:p>
        </w:tc>
        <w:tc>
          <w:tcPr>
            <w:tcW w:w="2285" w:type="dxa"/>
          </w:tcPr>
          <w:p w14:paraId="40EFF87F" w14:textId="07A4B897" w:rsidR="006B43A1" w:rsidRDefault="006B43A1" w:rsidP="006B43A1">
            <w:pPr>
              <w:rPr>
                <w:rFonts w:eastAsia="Times New Roman" w:cs="Arial"/>
                <w:lang w:val="en-US" w:eastAsia="bg-BG"/>
              </w:rPr>
            </w:pPr>
            <w:r>
              <w:t>1.30(1.17, 1.45)</w:t>
            </w:r>
          </w:p>
        </w:tc>
        <w:tc>
          <w:tcPr>
            <w:tcW w:w="2285" w:type="dxa"/>
          </w:tcPr>
          <w:p w14:paraId="511CF69A" w14:textId="554A3E9D" w:rsidR="006B43A1" w:rsidRDefault="006B43A1" w:rsidP="006B43A1">
            <w:pPr>
              <w:rPr>
                <w:rFonts w:eastAsia="Times New Roman" w:cs="Arial"/>
                <w:lang w:val="en-US" w:eastAsia="bg-BG"/>
              </w:rPr>
            </w:pPr>
            <w:r>
              <w:t>0.95 (0.81,1.11)</w:t>
            </w:r>
          </w:p>
        </w:tc>
      </w:tr>
      <w:tr w:rsidR="006B43A1" w14:paraId="0545349B" w14:textId="77777777" w:rsidTr="006B43A1">
        <w:tc>
          <w:tcPr>
            <w:tcW w:w="2724" w:type="dxa"/>
          </w:tcPr>
          <w:p w14:paraId="6B47C715" w14:textId="1C50EAFF" w:rsidR="006B43A1" w:rsidRDefault="006B43A1" w:rsidP="006B43A1">
            <w:pPr>
              <w:rPr>
                <w:rFonts w:eastAsia="Times New Roman" w:cs="Arial"/>
                <w:lang w:val="en-US" w:eastAsia="bg-BG"/>
              </w:rPr>
            </w:pPr>
            <w:r>
              <w:t>Намерение за лечение</w:t>
            </w:r>
          </w:p>
        </w:tc>
        <w:tc>
          <w:tcPr>
            <w:tcW w:w="2282" w:type="dxa"/>
          </w:tcPr>
          <w:p w14:paraId="3BAD545C" w14:textId="675409EF" w:rsidR="006B43A1" w:rsidRDefault="006B43A1" w:rsidP="006B43A1">
            <w:pPr>
              <w:rPr>
                <w:rFonts w:eastAsia="Times New Roman" w:cs="Arial"/>
                <w:lang w:val="en-US" w:eastAsia="bg-BG"/>
              </w:rPr>
            </w:pPr>
            <w:r>
              <w:t>1.25 (1.14,1.36)</w:t>
            </w:r>
          </w:p>
        </w:tc>
        <w:tc>
          <w:tcPr>
            <w:tcW w:w="2285" w:type="dxa"/>
          </w:tcPr>
          <w:p w14:paraId="038A1E46" w14:textId="1E0DF2BD" w:rsidR="006B43A1" w:rsidRDefault="006B43A1" w:rsidP="006B43A1">
            <w:pPr>
              <w:rPr>
                <w:rFonts w:eastAsia="Times New Roman" w:cs="Arial"/>
                <w:lang w:val="en-US" w:eastAsia="bg-BG"/>
              </w:rPr>
            </w:pPr>
            <w:r>
              <w:t>1.19(1.08,1.30)</w:t>
            </w:r>
          </w:p>
        </w:tc>
        <w:tc>
          <w:tcPr>
            <w:tcW w:w="2285" w:type="dxa"/>
          </w:tcPr>
          <w:p w14:paraId="64B81687" w14:textId="1825F921" w:rsidR="006B43A1" w:rsidRDefault="006B43A1" w:rsidP="006B43A1">
            <w:pPr>
              <w:rPr>
                <w:rFonts w:eastAsia="Times New Roman" w:cs="Arial"/>
                <w:lang w:val="en-US" w:eastAsia="bg-BG"/>
              </w:rPr>
            </w:pPr>
            <w:r>
              <w:t>1.05 (0.93,1.19)</w:t>
            </w:r>
          </w:p>
        </w:tc>
      </w:tr>
      <w:tr w:rsidR="006B43A1" w14:paraId="738A0420" w14:textId="77777777" w:rsidTr="00B04D6A">
        <w:tc>
          <w:tcPr>
            <w:tcW w:w="9576" w:type="dxa"/>
            <w:gridSpan w:val="4"/>
          </w:tcPr>
          <w:p w14:paraId="5C4C3B41" w14:textId="329328C3" w:rsidR="006B43A1" w:rsidRDefault="006B43A1" w:rsidP="006B43A1">
            <w:pPr>
              <w:rPr>
                <w:rFonts w:cs="Arial"/>
                <w:lang w:val="en-US" w:eastAsia="bg-BG"/>
              </w:rPr>
            </w:pPr>
            <w:r w:rsidRPr="006B43A1">
              <w:rPr>
                <w:lang w:eastAsia="bg-BG"/>
              </w:rPr>
              <w:t>Потвърдени сърдечни прояви</w:t>
            </w:r>
          </w:p>
        </w:tc>
      </w:tr>
      <w:tr w:rsidR="006B43A1" w14:paraId="46A35480" w14:textId="77777777" w:rsidTr="006B43A1">
        <w:tc>
          <w:tcPr>
            <w:tcW w:w="2724" w:type="dxa"/>
          </w:tcPr>
          <w:p w14:paraId="10CD45D3" w14:textId="1FD6A2AE" w:rsidR="006B43A1" w:rsidRDefault="006B43A1" w:rsidP="006B43A1">
            <w:pPr>
              <w:rPr>
                <w:rFonts w:eastAsia="Times New Roman" w:cs="Arial"/>
                <w:lang w:val="en-US" w:eastAsia="bg-BG"/>
              </w:rPr>
            </w:pPr>
            <w:r>
              <w:t>По протокол</w:t>
            </w:r>
          </w:p>
        </w:tc>
        <w:tc>
          <w:tcPr>
            <w:tcW w:w="2282" w:type="dxa"/>
          </w:tcPr>
          <w:p w14:paraId="2DFC6F6B" w14:textId="082BA09E" w:rsidR="006B43A1" w:rsidRDefault="006B43A1" w:rsidP="006B43A1">
            <w:pPr>
              <w:rPr>
                <w:rFonts w:eastAsia="Times New Roman" w:cs="Arial"/>
                <w:lang w:val="en-US" w:eastAsia="bg-BG"/>
              </w:rPr>
            </w:pPr>
            <w:r>
              <w:t>0.71 (0.61,0.82)</w:t>
            </w:r>
          </w:p>
        </w:tc>
        <w:tc>
          <w:tcPr>
            <w:tcW w:w="2285" w:type="dxa"/>
          </w:tcPr>
          <w:p w14:paraId="484B2573" w14:textId="0CBD88BF" w:rsidR="006B43A1" w:rsidRDefault="006B43A1" w:rsidP="006B43A1">
            <w:pPr>
              <w:rPr>
                <w:rFonts w:eastAsia="Times New Roman" w:cs="Arial"/>
                <w:lang w:val="en-US" w:eastAsia="bg-BG"/>
              </w:rPr>
            </w:pPr>
            <w:r>
              <w:t>0.78 (0.68,0.90)</w:t>
            </w:r>
          </w:p>
        </w:tc>
        <w:tc>
          <w:tcPr>
            <w:tcW w:w="2285" w:type="dxa"/>
          </w:tcPr>
          <w:p w14:paraId="05E894DB" w14:textId="5E33B577" w:rsidR="006B43A1" w:rsidRDefault="006B43A1" w:rsidP="006B43A1">
            <w:pPr>
              <w:rPr>
                <w:rFonts w:eastAsia="Times New Roman" w:cs="Arial"/>
                <w:lang w:val="en-US" w:eastAsia="bg-BG"/>
              </w:rPr>
            </w:pPr>
            <w:r>
              <w:t>0.90 (0.74, 1.10)</w:t>
            </w:r>
          </w:p>
        </w:tc>
      </w:tr>
      <w:tr w:rsidR="006B43A1" w14:paraId="61D7A351" w14:textId="77777777" w:rsidTr="006B43A1">
        <w:tc>
          <w:tcPr>
            <w:tcW w:w="2724" w:type="dxa"/>
          </w:tcPr>
          <w:p w14:paraId="02ED7C29" w14:textId="00C58B46" w:rsidR="006B43A1" w:rsidRDefault="006B43A1" w:rsidP="006B43A1">
            <w:pPr>
              <w:rPr>
                <w:rFonts w:eastAsia="Times New Roman" w:cs="Arial"/>
                <w:lang w:val="en-US" w:eastAsia="bg-BG"/>
              </w:rPr>
            </w:pPr>
            <w:r>
              <w:t>Намерение за лечение</w:t>
            </w:r>
          </w:p>
        </w:tc>
        <w:tc>
          <w:tcPr>
            <w:tcW w:w="2282" w:type="dxa"/>
          </w:tcPr>
          <w:p w14:paraId="6BC0D336" w14:textId="357CA544" w:rsidR="006B43A1" w:rsidRDefault="006B43A1" w:rsidP="006B43A1">
            <w:pPr>
              <w:rPr>
                <w:rFonts w:eastAsia="Times New Roman" w:cs="Arial"/>
                <w:lang w:val="en-US" w:eastAsia="bg-BG"/>
              </w:rPr>
            </w:pPr>
            <w:r>
              <w:t>0.69 (0.61,0.78)</w:t>
            </w:r>
          </w:p>
        </w:tc>
        <w:tc>
          <w:tcPr>
            <w:tcW w:w="2285" w:type="dxa"/>
          </w:tcPr>
          <w:p w14:paraId="5F739FCD" w14:textId="09DCFB52" w:rsidR="006B43A1" w:rsidRDefault="006B43A1" w:rsidP="006B43A1">
            <w:pPr>
              <w:rPr>
                <w:rFonts w:eastAsia="Times New Roman" w:cs="Arial"/>
                <w:lang w:val="en-US" w:eastAsia="bg-BG"/>
              </w:rPr>
            </w:pPr>
            <w:r>
              <w:t>0.70 (0.62,0.79)</w:t>
            </w:r>
          </w:p>
        </w:tc>
        <w:tc>
          <w:tcPr>
            <w:tcW w:w="2285" w:type="dxa"/>
          </w:tcPr>
          <w:p w14:paraId="71C65C81" w14:textId="7DA24104" w:rsidR="006B43A1" w:rsidRDefault="006B43A1" w:rsidP="006B43A1">
            <w:pPr>
              <w:rPr>
                <w:rFonts w:eastAsia="Times New Roman" w:cs="Arial"/>
                <w:lang w:val="en-US" w:eastAsia="bg-BG"/>
              </w:rPr>
            </w:pPr>
            <w:r>
              <w:t>0.99(0.84,1.17)</w:t>
            </w:r>
          </w:p>
        </w:tc>
      </w:tr>
      <w:tr w:rsidR="006B43A1" w14:paraId="351C1AA0" w14:textId="77777777" w:rsidTr="00797E62">
        <w:tc>
          <w:tcPr>
            <w:tcW w:w="9576" w:type="dxa"/>
            <w:gridSpan w:val="4"/>
          </w:tcPr>
          <w:p w14:paraId="51F1677D" w14:textId="4B9169BF" w:rsidR="006B43A1" w:rsidRDefault="006B43A1" w:rsidP="006B43A1">
            <w:pPr>
              <w:rPr>
                <w:rFonts w:eastAsia="Times New Roman" w:cs="Arial"/>
                <w:lang w:val="en-US" w:eastAsia="bg-BG"/>
              </w:rPr>
            </w:pPr>
            <w:r>
              <w:lastRenderedPageBreak/>
              <w:t>Потвърдени мозъчно-съдови прояви</w:t>
            </w:r>
          </w:p>
        </w:tc>
      </w:tr>
      <w:tr w:rsidR="006B43A1" w14:paraId="10932F66" w14:textId="77777777" w:rsidTr="006B43A1">
        <w:tc>
          <w:tcPr>
            <w:tcW w:w="2724" w:type="dxa"/>
          </w:tcPr>
          <w:p w14:paraId="12363B67" w14:textId="76A3346A" w:rsidR="006B43A1" w:rsidRDefault="006B43A1" w:rsidP="006B43A1">
            <w:pPr>
              <w:rPr>
                <w:rFonts w:eastAsia="Times New Roman" w:cs="Arial"/>
                <w:lang w:val="en-US" w:eastAsia="bg-BG"/>
              </w:rPr>
            </w:pPr>
            <w:r>
              <w:t>По протокол</w:t>
            </w:r>
          </w:p>
        </w:tc>
        <w:tc>
          <w:tcPr>
            <w:tcW w:w="2282" w:type="dxa"/>
          </w:tcPr>
          <w:p w14:paraId="459198A3" w14:textId="6E1EAD88" w:rsidR="006B43A1" w:rsidRDefault="006B43A1" w:rsidP="006B43A1">
            <w:pPr>
              <w:rPr>
                <w:rFonts w:eastAsia="Times New Roman" w:cs="Arial"/>
                <w:lang w:val="en-US" w:eastAsia="bg-BG"/>
              </w:rPr>
            </w:pPr>
            <w:r>
              <w:t>0.34 (0.28, 0.42)</w:t>
            </w:r>
          </w:p>
        </w:tc>
        <w:tc>
          <w:tcPr>
            <w:tcW w:w="2285" w:type="dxa"/>
          </w:tcPr>
          <w:p w14:paraId="7D998438" w14:textId="29F43152" w:rsidR="006B43A1" w:rsidRDefault="006B43A1" w:rsidP="006B43A1">
            <w:pPr>
              <w:rPr>
                <w:rFonts w:eastAsia="Times New Roman" w:cs="Arial"/>
                <w:lang w:val="en-US" w:eastAsia="bg-BG"/>
              </w:rPr>
            </w:pPr>
            <w:r>
              <w:t>0.32 (0.25,0.40)</w:t>
            </w:r>
          </w:p>
        </w:tc>
        <w:tc>
          <w:tcPr>
            <w:tcW w:w="2285" w:type="dxa"/>
          </w:tcPr>
          <w:p w14:paraId="057264D7" w14:textId="1814D475" w:rsidR="006B43A1" w:rsidRDefault="006B43A1" w:rsidP="006B43A1">
            <w:pPr>
              <w:rPr>
                <w:rFonts w:eastAsia="Times New Roman" w:cs="Arial"/>
                <w:lang w:val="en-US" w:eastAsia="bg-BG"/>
              </w:rPr>
            </w:pPr>
            <w:r>
              <w:t>1.08 (0.80,1.46)</w:t>
            </w:r>
          </w:p>
        </w:tc>
      </w:tr>
      <w:tr w:rsidR="006B43A1" w14:paraId="3CA3340C" w14:textId="77777777" w:rsidTr="006B43A1">
        <w:tc>
          <w:tcPr>
            <w:tcW w:w="2724" w:type="dxa"/>
          </w:tcPr>
          <w:p w14:paraId="798E24BB" w14:textId="722752C9" w:rsidR="006B43A1" w:rsidRDefault="006B43A1" w:rsidP="006B43A1">
            <w:pPr>
              <w:rPr>
                <w:rFonts w:eastAsia="Times New Roman" w:cs="Arial"/>
                <w:lang w:val="en-US" w:eastAsia="bg-BG"/>
              </w:rPr>
            </w:pPr>
            <w:r>
              <w:t>Намерение за лечение</w:t>
            </w:r>
          </w:p>
        </w:tc>
        <w:tc>
          <w:tcPr>
            <w:tcW w:w="2282" w:type="dxa"/>
          </w:tcPr>
          <w:p w14:paraId="5D24217A" w14:textId="699FD164" w:rsidR="006B43A1" w:rsidRDefault="006B43A1" w:rsidP="006B43A1">
            <w:pPr>
              <w:rPr>
                <w:rFonts w:eastAsia="Times New Roman" w:cs="Arial"/>
                <w:lang w:val="en-US" w:eastAsia="bg-BG"/>
              </w:rPr>
            </w:pPr>
            <w:r>
              <w:t>0.33 (0.28, 0.39)</w:t>
            </w:r>
          </w:p>
        </w:tc>
        <w:tc>
          <w:tcPr>
            <w:tcW w:w="2285" w:type="dxa"/>
          </w:tcPr>
          <w:p w14:paraId="4E2535CA" w14:textId="3330EA95" w:rsidR="006B43A1" w:rsidRDefault="006B43A1" w:rsidP="006B43A1">
            <w:pPr>
              <w:rPr>
                <w:rFonts w:eastAsia="Times New Roman" w:cs="Arial"/>
                <w:lang w:val="en-US" w:eastAsia="bg-BG"/>
              </w:rPr>
            </w:pPr>
            <w:r>
              <w:t>0.29 (0.24, 0.35)</w:t>
            </w:r>
          </w:p>
        </w:tc>
        <w:tc>
          <w:tcPr>
            <w:tcW w:w="2285" w:type="dxa"/>
          </w:tcPr>
          <w:p w14:paraId="048D5284" w14:textId="76A41644" w:rsidR="006B43A1" w:rsidRDefault="006B43A1" w:rsidP="006B43A1">
            <w:pPr>
              <w:rPr>
                <w:rFonts w:eastAsia="Times New Roman" w:cs="Arial"/>
                <w:lang w:val="en-US" w:eastAsia="bg-BG"/>
              </w:rPr>
            </w:pPr>
            <w:r>
              <w:t>1.12(0.87, 1.44)</w:t>
            </w:r>
          </w:p>
        </w:tc>
      </w:tr>
      <w:tr w:rsidR="006B43A1" w14:paraId="6997619E" w14:textId="77777777" w:rsidTr="00FC4DB1">
        <w:tc>
          <w:tcPr>
            <w:tcW w:w="9576" w:type="dxa"/>
            <w:gridSpan w:val="4"/>
          </w:tcPr>
          <w:p w14:paraId="058C11E6" w14:textId="4C0D9D9C" w:rsidR="006B43A1" w:rsidRDefault="006B43A1" w:rsidP="006B43A1">
            <w:pPr>
              <w:rPr>
                <w:rFonts w:eastAsia="Times New Roman" w:cs="Arial"/>
                <w:lang w:val="en-US" w:eastAsia="bg-BG"/>
              </w:rPr>
            </w:pPr>
            <w:r>
              <w:t>Потвърдени периферни съдови прояви</w:t>
            </w:r>
          </w:p>
        </w:tc>
      </w:tr>
      <w:tr w:rsidR="006B43A1" w14:paraId="41F91232" w14:textId="77777777" w:rsidTr="006B43A1">
        <w:tc>
          <w:tcPr>
            <w:tcW w:w="2724" w:type="dxa"/>
          </w:tcPr>
          <w:p w14:paraId="6F88EC06" w14:textId="3E1E70FD" w:rsidR="006B43A1" w:rsidRDefault="006B43A1" w:rsidP="006B43A1">
            <w:pPr>
              <w:rPr>
                <w:rFonts w:eastAsia="Times New Roman" w:cs="Arial"/>
                <w:lang w:val="en-US" w:eastAsia="bg-BG"/>
              </w:rPr>
            </w:pPr>
            <w:r>
              <w:t>По протокол</w:t>
            </w:r>
          </w:p>
        </w:tc>
        <w:tc>
          <w:tcPr>
            <w:tcW w:w="2282" w:type="dxa"/>
          </w:tcPr>
          <w:p w14:paraId="72D38528" w14:textId="30E179D2" w:rsidR="006B43A1" w:rsidRDefault="006B43A1" w:rsidP="006B43A1">
            <w:pPr>
              <w:rPr>
                <w:rFonts w:eastAsia="Times New Roman" w:cs="Arial"/>
                <w:lang w:val="en-US" w:eastAsia="bg-BG"/>
              </w:rPr>
            </w:pPr>
            <w:r>
              <w:t>0.20 (0.15,0.27)</w:t>
            </w:r>
          </w:p>
        </w:tc>
        <w:tc>
          <w:tcPr>
            <w:tcW w:w="2285" w:type="dxa"/>
          </w:tcPr>
          <w:p w14:paraId="37A84DC9" w14:textId="550B4AF3" w:rsidR="006B43A1" w:rsidRDefault="006B43A1" w:rsidP="006B43A1">
            <w:pPr>
              <w:rPr>
                <w:rFonts w:eastAsia="Times New Roman" w:cs="Arial"/>
                <w:lang w:val="en-US" w:eastAsia="bg-BG"/>
              </w:rPr>
            </w:pPr>
            <w:r>
              <w:t>0.22 (0.17, 0.29)</w:t>
            </w:r>
          </w:p>
        </w:tc>
        <w:tc>
          <w:tcPr>
            <w:tcW w:w="2285" w:type="dxa"/>
          </w:tcPr>
          <w:p w14:paraId="4EBCF468" w14:textId="2D472811" w:rsidR="006B43A1" w:rsidRDefault="006B43A1" w:rsidP="006B43A1">
            <w:pPr>
              <w:rPr>
                <w:rFonts w:eastAsia="Times New Roman" w:cs="Arial"/>
                <w:lang w:val="en-US" w:eastAsia="bg-BG"/>
              </w:rPr>
            </w:pPr>
            <w:r>
              <w:t>0.92 (0.63,1.35)</w:t>
            </w:r>
          </w:p>
        </w:tc>
      </w:tr>
      <w:tr w:rsidR="006B43A1" w14:paraId="30D6EBFC" w14:textId="77777777" w:rsidTr="006B43A1">
        <w:tc>
          <w:tcPr>
            <w:tcW w:w="2724" w:type="dxa"/>
          </w:tcPr>
          <w:p w14:paraId="0B3BEEE5" w14:textId="1DD8DB36" w:rsidR="006B43A1" w:rsidRDefault="006B43A1" w:rsidP="006B43A1">
            <w:pPr>
              <w:rPr>
                <w:rFonts w:eastAsia="Times New Roman" w:cs="Arial"/>
                <w:lang w:val="en-US" w:eastAsia="bg-BG"/>
              </w:rPr>
            </w:pPr>
            <w:r>
              <w:t>Намерение за лечение</w:t>
            </w:r>
          </w:p>
        </w:tc>
        <w:tc>
          <w:tcPr>
            <w:tcW w:w="2282" w:type="dxa"/>
          </w:tcPr>
          <w:p w14:paraId="15487BCB" w14:textId="235E6196" w:rsidR="006B43A1" w:rsidRDefault="006B43A1" w:rsidP="006B43A1">
            <w:pPr>
              <w:rPr>
                <w:rFonts w:eastAsia="Times New Roman" w:cs="Arial"/>
                <w:lang w:val="en-US" w:eastAsia="bg-BG"/>
              </w:rPr>
            </w:pPr>
            <w:r>
              <w:t>0.24 (0.20, 0.30)</w:t>
            </w:r>
          </w:p>
        </w:tc>
        <w:tc>
          <w:tcPr>
            <w:tcW w:w="2285" w:type="dxa"/>
          </w:tcPr>
          <w:p w14:paraId="18C1E1DB" w14:textId="76D28F74" w:rsidR="006B43A1" w:rsidRDefault="006B43A1" w:rsidP="006B43A1">
            <w:pPr>
              <w:rPr>
                <w:rFonts w:eastAsia="Times New Roman" w:cs="Arial"/>
                <w:lang w:val="en-US" w:eastAsia="bg-BG"/>
              </w:rPr>
            </w:pPr>
            <w:r>
              <w:t>0.23 (0.18, 0.28)</w:t>
            </w:r>
          </w:p>
        </w:tc>
        <w:tc>
          <w:tcPr>
            <w:tcW w:w="2285" w:type="dxa"/>
          </w:tcPr>
          <w:p w14:paraId="6102507E" w14:textId="06D65ECA" w:rsidR="006B43A1" w:rsidRDefault="006B43A1" w:rsidP="006B43A1">
            <w:pPr>
              <w:rPr>
                <w:rFonts w:eastAsia="Times New Roman" w:cs="Arial"/>
                <w:lang w:val="en-US" w:eastAsia="bg-BG"/>
              </w:rPr>
            </w:pPr>
            <w:r>
              <w:t>1.08 (0.81, 1.44)</w:t>
            </w:r>
          </w:p>
        </w:tc>
      </w:tr>
      <w:tr w:rsidR="006B43A1" w14:paraId="4004A8EF" w14:textId="77777777" w:rsidTr="0026411A">
        <w:tc>
          <w:tcPr>
            <w:tcW w:w="9576" w:type="dxa"/>
            <w:gridSpan w:val="4"/>
          </w:tcPr>
          <w:p w14:paraId="5ADA0571"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vertAlign w:val="superscript"/>
                <w:lang w:eastAsia="bg-BG"/>
              </w:rPr>
              <w:t>+</w:t>
            </w:r>
            <w:r w:rsidRPr="006B43A1">
              <w:rPr>
                <w:rFonts w:eastAsia="Times New Roman" w:cs="Arial"/>
                <w:color w:val="000000"/>
                <w:lang w:eastAsia="bg-BG"/>
              </w:rPr>
              <w:t>Събития на 100 пациентогодини С</w:t>
            </w:r>
            <w:r w:rsidRPr="006B43A1">
              <w:rPr>
                <w:rFonts w:eastAsia="Times New Roman" w:cs="Arial"/>
                <w:color w:val="000000"/>
                <w:lang w:val="en-US"/>
              </w:rPr>
              <w:t>I</w:t>
            </w:r>
            <w:r w:rsidRPr="006B43A1">
              <w:rPr>
                <w:rFonts w:eastAsia="Times New Roman" w:cs="Arial"/>
                <w:color w:val="000000"/>
                <w:lang w:eastAsia="bg-BG"/>
              </w:rPr>
              <w:t xml:space="preserve">= доверителен интервал </w:t>
            </w:r>
            <w:r w:rsidRPr="006B43A1">
              <w:rPr>
                <w:rFonts w:eastAsia="Times New Roman" w:cs="Arial"/>
                <w:color w:val="000000"/>
                <w:lang w:val="en-US"/>
              </w:rPr>
              <w:t xml:space="preserve">N= </w:t>
            </w:r>
            <w:r w:rsidRPr="006B43A1">
              <w:rPr>
                <w:rFonts w:eastAsia="Times New Roman" w:cs="Arial"/>
                <w:color w:val="000000"/>
                <w:lang w:eastAsia="bg-BG"/>
              </w:rPr>
              <w:t>общ брой пациенти, включени в популацията по протокол</w:t>
            </w:r>
          </w:p>
          <w:p w14:paraId="5E207DD3" w14:textId="77777777" w:rsidR="006B43A1" w:rsidRDefault="006B43A1" w:rsidP="006B43A1">
            <w:pPr>
              <w:spacing w:line="240" w:lineRule="auto"/>
              <w:rPr>
                <w:rFonts w:eastAsia="Times New Roman" w:cs="Arial"/>
                <w:color w:val="000000"/>
                <w:lang w:eastAsia="bg-BG"/>
              </w:rPr>
            </w:pPr>
          </w:p>
          <w:p w14:paraId="790FAE44" w14:textId="66C63D09"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По протокол: всички прояви при приложението на проучваното лечение или до 14 дни след прекратяването му (изключени: пациенти, приели &lt; 75% от изпитваното лечение или приемали невключено в проучването НСПВС &gt;10% от времето).</w:t>
            </w:r>
          </w:p>
          <w:p w14:paraId="3DE7ADA8" w14:textId="77777777" w:rsidR="006B43A1" w:rsidRDefault="006B43A1" w:rsidP="006B43A1">
            <w:pPr>
              <w:spacing w:line="240" w:lineRule="auto"/>
              <w:rPr>
                <w:rFonts w:eastAsia="Times New Roman" w:cs="Arial"/>
                <w:color w:val="000000"/>
                <w:lang w:eastAsia="bg-BG"/>
              </w:rPr>
            </w:pPr>
          </w:p>
          <w:p w14:paraId="15282448" w14:textId="1F87F5A6" w:rsidR="006B43A1" w:rsidRPr="006B43A1" w:rsidRDefault="006B43A1" w:rsidP="006B43A1">
            <w:pPr>
              <w:spacing w:line="240" w:lineRule="auto"/>
              <w:rPr>
                <w:rFonts w:ascii="Times New Roman" w:eastAsia="Times New Roman" w:hAnsi="Times New Roman" w:cs="Times New Roman"/>
                <w:sz w:val="24"/>
                <w:szCs w:val="24"/>
                <w:lang w:eastAsia="bg-BG"/>
              </w:rPr>
            </w:pPr>
            <w:r w:rsidRPr="006B43A1">
              <w:rPr>
                <w:rFonts w:eastAsia="Times New Roman" w:cs="Arial"/>
                <w:color w:val="000000"/>
                <w:lang w:eastAsia="bg-BG"/>
              </w:rPr>
              <w:t>Намерение за лечение: всички потвърдени прояви до края на изпитването (включително пациенти, потенциално изложени на невключени в проучването интервенции след преустановяване на изпитваното лечение). Общ брой рандомизирани пациенти,</w:t>
            </w:r>
            <w:r w:rsidRPr="006B43A1">
              <w:rPr>
                <w:rFonts w:eastAsia="Times New Roman" w:cs="Arial"/>
                <w:color w:val="000000"/>
                <w:lang w:val="en-US"/>
              </w:rPr>
              <w:t xml:space="preserve"> n</w:t>
            </w:r>
            <w:r w:rsidRPr="006B43A1">
              <w:rPr>
                <w:rFonts w:eastAsia="Times New Roman" w:cs="Arial"/>
                <w:color w:val="000000"/>
                <w:lang w:eastAsia="bg-BG"/>
              </w:rPr>
              <w:t>= 17 412 на еторикоксиб и 17 289 на диклофенак.</w:t>
            </w:r>
          </w:p>
        </w:tc>
      </w:tr>
    </w:tbl>
    <w:p w14:paraId="0DA904F6" w14:textId="77777777" w:rsidR="006B43A1" w:rsidRPr="006B43A1" w:rsidRDefault="006B43A1" w:rsidP="006B43A1">
      <w:pPr>
        <w:spacing w:line="240" w:lineRule="auto"/>
        <w:rPr>
          <w:rFonts w:eastAsia="Times New Roman" w:cs="Arial"/>
          <w:lang w:val="en-US" w:eastAsia="bg-BG"/>
        </w:rPr>
      </w:pPr>
    </w:p>
    <w:p w14:paraId="577E9575"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Сърдечно-съдова смъртност, както и общата смъртност, са сходни при лекуваните групи с еторикоксиб и диклофенак.</w:t>
      </w:r>
    </w:p>
    <w:p w14:paraId="79940F40" w14:textId="77777777" w:rsidR="006B43A1" w:rsidRDefault="006B43A1" w:rsidP="006B43A1">
      <w:pPr>
        <w:spacing w:line="240" w:lineRule="auto"/>
        <w:rPr>
          <w:rFonts w:eastAsia="Times New Roman" w:cs="Arial"/>
          <w:i/>
          <w:iCs/>
          <w:color w:val="000000"/>
          <w:lang w:eastAsia="bg-BG"/>
        </w:rPr>
      </w:pPr>
    </w:p>
    <w:p w14:paraId="2E3884B1" w14:textId="19CD71D1"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Кардиоренални прояви:</w:t>
      </w:r>
    </w:p>
    <w:p w14:paraId="42F8AB56" w14:textId="77777777" w:rsidR="006B43A1" w:rsidRDefault="006B43A1" w:rsidP="006B43A1">
      <w:pPr>
        <w:rPr>
          <w:rFonts w:eastAsia="Times New Roman" w:cs="Arial"/>
          <w:color w:val="000000"/>
          <w:lang w:eastAsia="bg-BG"/>
        </w:rPr>
      </w:pPr>
    </w:p>
    <w:p w14:paraId="627F470B" w14:textId="77777777" w:rsidR="006B43A1" w:rsidRPr="006B43A1" w:rsidRDefault="006B43A1" w:rsidP="006B43A1">
      <w:pPr>
        <w:rPr>
          <w:rFonts w:eastAsia="Times New Roman" w:cs="Arial"/>
          <w:lang w:eastAsia="bg-BG"/>
        </w:rPr>
      </w:pPr>
      <w:r w:rsidRPr="006B43A1">
        <w:rPr>
          <w:rFonts w:eastAsia="Times New Roman" w:cs="Arial"/>
          <w:color w:val="000000"/>
          <w:lang w:eastAsia="bg-BG"/>
        </w:rPr>
        <w:t xml:space="preserve">Приблизително 50 % от пациентите, включени в проучването </w:t>
      </w:r>
      <w:r w:rsidRPr="006B43A1">
        <w:rPr>
          <w:rFonts w:eastAsia="Times New Roman" w:cs="Arial"/>
          <w:color w:val="000000"/>
          <w:lang w:val="en-US"/>
        </w:rPr>
        <w:t xml:space="preserve">MEDAL, </w:t>
      </w:r>
      <w:r w:rsidRPr="006B43A1">
        <w:rPr>
          <w:rFonts w:eastAsia="Times New Roman" w:cs="Arial"/>
          <w:color w:val="000000"/>
          <w:lang w:eastAsia="bg-BG"/>
        </w:rPr>
        <w:t xml:space="preserve">са с анамнеза за изходна хипертония. В това проучване честотата на прекратяване на участието, поради свързани с хипертония нежелани реакции, е статистически значимо по-висока за еторикоксиб в сравнение с диклофенак. Честотата на застойната сърдечна недостатъчност като нежелана реакция (прекратявания и сериозни реакции) се проявява еднакво при 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в сравнение с диклофенак 150 </w:t>
      </w:r>
      <w:r w:rsidRPr="006B43A1">
        <w:rPr>
          <w:rFonts w:eastAsia="Times New Roman" w:cs="Arial"/>
          <w:color w:val="000000"/>
          <w:lang w:val="en-US"/>
        </w:rPr>
        <w:t>mg</w:t>
      </w:r>
      <w:r w:rsidRPr="006B43A1">
        <w:rPr>
          <w:rFonts w:eastAsia="Times New Roman" w:cs="Arial"/>
          <w:color w:val="000000"/>
          <w:lang w:eastAsia="bg-BG"/>
        </w:rPr>
        <w:t xml:space="preserve">, но е по-висока при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в сравнение с диклофенак 150 </w:t>
      </w:r>
      <w:r w:rsidRPr="006B43A1">
        <w:rPr>
          <w:rFonts w:eastAsia="Times New Roman" w:cs="Arial"/>
          <w:color w:val="000000"/>
          <w:lang w:val="en-US"/>
        </w:rPr>
        <w:t xml:space="preserve">mg </w:t>
      </w:r>
      <w:r w:rsidRPr="006B43A1">
        <w:rPr>
          <w:rFonts w:eastAsia="Times New Roman" w:cs="Arial"/>
          <w:color w:val="000000"/>
          <w:lang w:eastAsia="bg-BG"/>
        </w:rPr>
        <w:t xml:space="preserve">(статистически значима за 90 </w:t>
      </w:r>
      <w:r w:rsidRPr="006B43A1">
        <w:rPr>
          <w:rFonts w:eastAsia="Times New Roman" w:cs="Arial"/>
          <w:color w:val="000000"/>
          <w:lang w:val="en-US"/>
        </w:rPr>
        <w:t xml:space="preserve">mg </w:t>
      </w:r>
      <w:r w:rsidRPr="006B43A1">
        <w:rPr>
          <w:rFonts w:eastAsia="Times New Roman" w:cs="Arial"/>
          <w:color w:val="000000"/>
          <w:lang w:eastAsia="bg-BG"/>
        </w:rPr>
        <w:t xml:space="preserve">еторикоксиб спрямо 150 </w:t>
      </w:r>
      <w:r w:rsidRPr="006B43A1">
        <w:rPr>
          <w:rFonts w:eastAsia="Times New Roman" w:cs="Arial"/>
          <w:color w:val="000000"/>
          <w:lang w:val="en-US"/>
        </w:rPr>
        <w:t xml:space="preserve">mg </w:t>
      </w:r>
      <w:r w:rsidRPr="006B43A1">
        <w:rPr>
          <w:rFonts w:eastAsia="Times New Roman" w:cs="Arial"/>
          <w:color w:val="000000"/>
          <w:lang w:eastAsia="bg-BG"/>
        </w:rPr>
        <w:t xml:space="preserve">диклофенак при групата в </w:t>
      </w:r>
      <w:r w:rsidRPr="006B43A1">
        <w:rPr>
          <w:rFonts w:eastAsia="Times New Roman" w:cs="Arial"/>
          <w:color w:val="000000"/>
          <w:lang w:val="en-US"/>
        </w:rPr>
        <w:t xml:space="preserve">MEDAL </w:t>
      </w:r>
      <w:r w:rsidRPr="006B43A1">
        <w:rPr>
          <w:rFonts w:eastAsia="Times New Roman" w:cs="Arial"/>
          <w:color w:val="000000"/>
          <w:lang w:eastAsia="bg-BG"/>
        </w:rPr>
        <w:t xml:space="preserve">с ОА). Честотата на потвърдените прояви на нежелани реакции, свързани със застойна сърдечна недостатъчност (прояви, които са сериозни и водят до хоспитализация или посещение в спешно отделение) е незначимо по-висока при еторикоксиб в сравнение с диклофенак 150 </w:t>
      </w:r>
      <w:r w:rsidRPr="006B43A1">
        <w:rPr>
          <w:rFonts w:eastAsia="Times New Roman" w:cs="Arial"/>
          <w:color w:val="000000"/>
          <w:lang w:val="en-US"/>
        </w:rPr>
        <w:t>mg</w:t>
      </w:r>
      <w:r w:rsidRPr="006B43A1">
        <w:rPr>
          <w:rFonts w:eastAsia="Times New Roman" w:cs="Arial"/>
          <w:color w:val="000000"/>
          <w:lang w:eastAsia="bg-BG"/>
        </w:rPr>
        <w:t xml:space="preserve"> като този ефект е дозозависим. Честотата на прекратяванията поради свързани с оток нежелани реакции е по-висока при еторикоксиб, отколкото при диклофенак 150 </w:t>
      </w:r>
      <w:r w:rsidRPr="006B43A1">
        <w:rPr>
          <w:rFonts w:eastAsia="Times New Roman" w:cs="Arial"/>
          <w:color w:val="000000"/>
          <w:lang w:val="en-US"/>
        </w:rPr>
        <w:t>mg</w:t>
      </w:r>
      <w:r w:rsidRPr="006B43A1">
        <w:rPr>
          <w:rFonts w:eastAsia="Times New Roman" w:cs="Arial"/>
          <w:color w:val="000000"/>
          <w:lang w:eastAsia="bg-BG"/>
        </w:rPr>
        <w:t>, и този ефект е</w:t>
      </w:r>
      <w:r>
        <w:rPr>
          <w:rFonts w:eastAsia="Times New Roman" w:cs="Arial"/>
          <w:color w:val="000000"/>
          <w:lang w:val="en-US" w:eastAsia="bg-BG"/>
        </w:rPr>
        <w:t xml:space="preserve"> </w:t>
      </w:r>
      <w:r w:rsidRPr="006B43A1">
        <w:rPr>
          <w:rFonts w:eastAsia="Times New Roman" w:cs="Arial"/>
          <w:color w:val="000000"/>
          <w:lang w:eastAsia="bg-BG"/>
        </w:rPr>
        <w:t xml:space="preserve">дозозависим (статистически значим за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но не за еторикоксиб 60 </w:t>
      </w:r>
      <w:r w:rsidRPr="006B43A1">
        <w:rPr>
          <w:rFonts w:eastAsia="Times New Roman" w:cs="Arial"/>
          <w:color w:val="000000"/>
          <w:lang w:val="en-US"/>
        </w:rPr>
        <w:t>mg).</w:t>
      </w:r>
    </w:p>
    <w:p w14:paraId="5E4AB1F5" w14:textId="77777777" w:rsidR="006B43A1" w:rsidRDefault="006B43A1" w:rsidP="006B43A1">
      <w:pPr>
        <w:spacing w:line="240" w:lineRule="auto"/>
        <w:rPr>
          <w:rFonts w:eastAsia="Times New Roman" w:cs="Arial"/>
          <w:color w:val="000000"/>
          <w:lang w:eastAsia="bg-BG"/>
        </w:rPr>
      </w:pPr>
    </w:p>
    <w:p w14:paraId="47D55ADF" w14:textId="29207C3B"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Кардиореналните резултати при </w:t>
      </w:r>
      <w:r w:rsidRPr="006B43A1">
        <w:rPr>
          <w:rFonts w:eastAsia="Times New Roman" w:cs="Arial"/>
          <w:color w:val="000000"/>
          <w:lang w:val="en-US"/>
        </w:rPr>
        <w:t xml:space="preserve">EDGE </w:t>
      </w:r>
      <w:r w:rsidRPr="006B43A1">
        <w:rPr>
          <w:rFonts w:eastAsia="Times New Roman" w:cs="Arial"/>
          <w:color w:val="000000"/>
          <w:lang w:eastAsia="bg-BG"/>
        </w:rPr>
        <w:t xml:space="preserve">и </w:t>
      </w:r>
      <w:r w:rsidRPr="006B43A1">
        <w:rPr>
          <w:rFonts w:eastAsia="Times New Roman" w:cs="Arial"/>
          <w:color w:val="000000"/>
          <w:lang w:val="en-US"/>
        </w:rPr>
        <w:t xml:space="preserve">EDGE </w:t>
      </w:r>
      <w:r w:rsidRPr="006B43A1">
        <w:rPr>
          <w:rFonts w:eastAsia="Times New Roman" w:cs="Arial"/>
          <w:color w:val="000000"/>
          <w:lang w:eastAsia="bg-BG"/>
        </w:rPr>
        <w:t xml:space="preserve">II съответстват на описаните при проучването </w:t>
      </w:r>
      <w:r w:rsidRPr="006B43A1">
        <w:rPr>
          <w:rFonts w:eastAsia="Times New Roman" w:cs="Arial"/>
          <w:color w:val="000000"/>
          <w:lang w:val="en-US"/>
        </w:rPr>
        <w:t>MEDAL.</w:t>
      </w:r>
    </w:p>
    <w:p w14:paraId="15F16159" w14:textId="77777777" w:rsidR="006B43A1" w:rsidRDefault="006B43A1" w:rsidP="006B43A1">
      <w:pPr>
        <w:spacing w:line="240" w:lineRule="auto"/>
        <w:rPr>
          <w:rFonts w:eastAsia="Times New Roman" w:cs="Arial"/>
          <w:color w:val="000000"/>
          <w:lang w:eastAsia="bg-BG"/>
        </w:rPr>
      </w:pPr>
    </w:p>
    <w:p w14:paraId="5F0BE9BD" w14:textId="7299EBA1"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В отделните проучвания от програмата </w:t>
      </w:r>
      <w:r w:rsidRPr="006B43A1">
        <w:rPr>
          <w:rFonts w:eastAsia="Times New Roman" w:cs="Arial"/>
          <w:color w:val="000000"/>
          <w:lang w:val="en-US"/>
        </w:rPr>
        <w:t xml:space="preserve">MEDAL </w:t>
      </w:r>
      <w:r w:rsidRPr="006B43A1">
        <w:rPr>
          <w:rFonts w:eastAsia="Times New Roman" w:cs="Arial"/>
          <w:color w:val="000000"/>
          <w:lang w:eastAsia="bg-BG"/>
        </w:rPr>
        <w:t xml:space="preserve">върху еторикоксиб (60 </w:t>
      </w:r>
      <w:r w:rsidRPr="006B43A1">
        <w:rPr>
          <w:rFonts w:eastAsia="Times New Roman" w:cs="Arial"/>
          <w:color w:val="000000"/>
          <w:lang w:val="en-US"/>
        </w:rPr>
        <w:t xml:space="preserve">mg </w:t>
      </w:r>
      <w:r w:rsidRPr="006B43A1">
        <w:rPr>
          <w:rFonts w:eastAsia="Times New Roman" w:cs="Arial"/>
          <w:color w:val="000000"/>
          <w:lang w:eastAsia="bg-BG"/>
        </w:rPr>
        <w:t xml:space="preserve">или 90 </w:t>
      </w:r>
      <w:r w:rsidRPr="006B43A1">
        <w:rPr>
          <w:rFonts w:eastAsia="Times New Roman" w:cs="Arial"/>
          <w:color w:val="000000"/>
          <w:lang w:val="en-US"/>
        </w:rPr>
        <w:t xml:space="preserve">mg), </w:t>
      </w:r>
      <w:r w:rsidRPr="006B43A1">
        <w:rPr>
          <w:rFonts w:eastAsia="Times New Roman" w:cs="Arial"/>
          <w:color w:val="000000"/>
          <w:lang w:eastAsia="bg-BG"/>
        </w:rPr>
        <w:t xml:space="preserve">абсолютната честота на прекратяванията в която и да е от групите е до 2.6 % за хипертония, до 1.9% за оток и до 1.1 % за застойна сърдечна недостатъчност, като по-висока честота на прекратявания има при еторикоксиб 90 </w:t>
      </w:r>
      <w:r w:rsidRPr="006B43A1">
        <w:rPr>
          <w:rFonts w:eastAsia="Times New Roman" w:cs="Arial"/>
          <w:color w:val="000000"/>
          <w:lang w:val="en-US"/>
        </w:rPr>
        <w:t>mg</w:t>
      </w:r>
      <w:r w:rsidRPr="006B43A1">
        <w:rPr>
          <w:rFonts w:eastAsia="Times New Roman" w:cs="Arial"/>
          <w:color w:val="000000"/>
          <w:lang w:eastAsia="bg-BG"/>
        </w:rPr>
        <w:t xml:space="preserve">, отколкото при еторикоксиб 60 </w:t>
      </w:r>
      <w:r w:rsidRPr="006B43A1">
        <w:rPr>
          <w:rFonts w:eastAsia="Times New Roman" w:cs="Arial"/>
          <w:color w:val="000000"/>
          <w:lang w:val="en-US"/>
        </w:rPr>
        <w:t>mg.</w:t>
      </w:r>
    </w:p>
    <w:p w14:paraId="2066B5DF" w14:textId="77777777" w:rsidR="006B43A1" w:rsidRDefault="006B43A1" w:rsidP="006B43A1">
      <w:pPr>
        <w:spacing w:line="240" w:lineRule="auto"/>
        <w:rPr>
          <w:rFonts w:eastAsia="Times New Roman" w:cs="Arial"/>
          <w:i/>
          <w:iCs/>
          <w:color w:val="000000"/>
          <w:lang w:eastAsia="bg-BG"/>
        </w:rPr>
      </w:pPr>
    </w:p>
    <w:p w14:paraId="6712D17F" w14:textId="68304F7F"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 xml:space="preserve">Програма </w:t>
      </w:r>
      <w:r w:rsidRPr="006B43A1">
        <w:rPr>
          <w:rFonts w:eastAsia="Times New Roman" w:cs="Arial"/>
          <w:i/>
          <w:iCs/>
          <w:color w:val="000000"/>
          <w:lang w:val="en-US"/>
        </w:rPr>
        <w:t xml:space="preserve">MEDAL </w:t>
      </w:r>
      <w:r w:rsidRPr="006B43A1">
        <w:rPr>
          <w:rFonts w:eastAsia="Times New Roman" w:cs="Arial"/>
          <w:i/>
          <w:iCs/>
          <w:color w:val="000000"/>
          <w:lang w:eastAsia="bg-BG"/>
        </w:rPr>
        <w:t>- резултати за стомашно-чревна поносимост:</w:t>
      </w:r>
    </w:p>
    <w:p w14:paraId="25A1AD2A" w14:textId="77777777" w:rsidR="006B43A1" w:rsidRDefault="006B43A1" w:rsidP="006B43A1">
      <w:pPr>
        <w:spacing w:line="240" w:lineRule="auto"/>
        <w:rPr>
          <w:rFonts w:eastAsia="Times New Roman" w:cs="Arial"/>
          <w:color w:val="000000"/>
          <w:lang w:eastAsia="bg-BG"/>
        </w:rPr>
      </w:pPr>
    </w:p>
    <w:p w14:paraId="57FBED2C" w14:textId="1F5BF3B8"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Значително по-ниска честота на прекратяване на лечението поради каквато и да (напр. диспепсия, коремна болка, язва) СЧ нежелана реакция се наблюдава при еторикоксиб в сравнение с диклофенак във всяко от трите проучвания съставляващи програмата </w:t>
      </w:r>
      <w:r w:rsidRPr="006B43A1">
        <w:rPr>
          <w:rFonts w:eastAsia="Times New Roman" w:cs="Arial"/>
          <w:color w:val="000000"/>
          <w:lang w:val="en-US"/>
        </w:rPr>
        <w:t xml:space="preserve">MEDAL. </w:t>
      </w:r>
      <w:r w:rsidRPr="006B43A1">
        <w:rPr>
          <w:rFonts w:eastAsia="Times New Roman" w:cs="Arial"/>
          <w:color w:val="000000"/>
          <w:lang w:eastAsia="bg-BG"/>
        </w:rPr>
        <w:t xml:space="preserve">Честотата на прекратяване поради нежелана СЧ реакция на сто пациентогодини за целия период на проучване е както следва: 3.23 за еторикоксиб и 4.96 за диклофенак в проучването </w:t>
      </w:r>
      <w:r w:rsidRPr="006B43A1">
        <w:rPr>
          <w:rFonts w:eastAsia="Times New Roman" w:cs="Arial"/>
          <w:color w:val="000000"/>
          <w:lang w:val="en-US"/>
        </w:rPr>
        <w:t xml:space="preserve">MEDAL; </w:t>
      </w:r>
      <w:r w:rsidRPr="006B43A1">
        <w:rPr>
          <w:rFonts w:eastAsia="Times New Roman" w:cs="Arial"/>
          <w:color w:val="000000"/>
          <w:lang w:eastAsia="bg-BG"/>
        </w:rPr>
        <w:t xml:space="preserve">9.12 за еторикоксиб и 12.28 за диклофенак в проучването </w:t>
      </w:r>
      <w:r w:rsidRPr="006B43A1">
        <w:rPr>
          <w:rFonts w:eastAsia="Times New Roman" w:cs="Arial"/>
          <w:color w:val="000000"/>
          <w:lang w:val="en-US"/>
        </w:rPr>
        <w:t xml:space="preserve">EDGE; </w:t>
      </w:r>
      <w:r w:rsidRPr="006B43A1">
        <w:rPr>
          <w:rFonts w:eastAsia="Times New Roman" w:cs="Arial"/>
          <w:color w:val="000000"/>
          <w:lang w:eastAsia="bg-BG"/>
        </w:rPr>
        <w:t xml:space="preserve">3.71 за еторикоксиб и 4.81 за диклофенак в проучването </w:t>
      </w:r>
      <w:r w:rsidRPr="006B43A1">
        <w:rPr>
          <w:rFonts w:eastAsia="Times New Roman" w:cs="Arial"/>
          <w:color w:val="000000"/>
          <w:lang w:val="en-US"/>
        </w:rPr>
        <w:t xml:space="preserve">EDGE </w:t>
      </w:r>
      <w:r w:rsidRPr="006B43A1">
        <w:rPr>
          <w:rFonts w:eastAsia="Times New Roman" w:cs="Arial"/>
          <w:color w:val="000000"/>
          <w:lang w:eastAsia="bg-BG"/>
        </w:rPr>
        <w:t>П.</w:t>
      </w:r>
    </w:p>
    <w:p w14:paraId="4415D7CA" w14:textId="77777777" w:rsidR="006B43A1" w:rsidRDefault="006B43A1" w:rsidP="006B43A1">
      <w:pPr>
        <w:spacing w:line="240" w:lineRule="auto"/>
        <w:rPr>
          <w:rFonts w:eastAsia="Times New Roman" w:cs="Arial"/>
          <w:i/>
          <w:iCs/>
          <w:color w:val="000000"/>
          <w:lang w:eastAsia="bg-BG"/>
        </w:rPr>
      </w:pPr>
    </w:p>
    <w:p w14:paraId="76C68A5F" w14:textId="467CFD7F"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 xml:space="preserve">Програма </w:t>
      </w:r>
      <w:r w:rsidRPr="006B43A1">
        <w:rPr>
          <w:rFonts w:eastAsia="Times New Roman" w:cs="Arial"/>
          <w:i/>
          <w:iCs/>
          <w:color w:val="000000"/>
          <w:lang w:val="en-US"/>
        </w:rPr>
        <w:t xml:space="preserve">MEDAL </w:t>
      </w:r>
      <w:r w:rsidRPr="006B43A1">
        <w:rPr>
          <w:rFonts w:eastAsia="Times New Roman" w:cs="Arial"/>
          <w:i/>
          <w:iCs/>
          <w:color w:val="000000"/>
          <w:lang w:eastAsia="bg-BG"/>
        </w:rPr>
        <w:t>- резултати за стомашно-чревна безопасност</w:t>
      </w:r>
    </w:p>
    <w:p w14:paraId="5D5A3877" w14:textId="77777777" w:rsidR="006B43A1" w:rsidRDefault="006B43A1" w:rsidP="006B43A1">
      <w:pPr>
        <w:spacing w:line="240" w:lineRule="auto"/>
        <w:rPr>
          <w:rFonts w:eastAsia="Times New Roman" w:cs="Arial"/>
          <w:color w:val="000000"/>
          <w:lang w:eastAsia="bg-BG"/>
        </w:rPr>
      </w:pPr>
    </w:p>
    <w:p w14:paraId="39B7531A" w14:textId="15043461"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Общите горни СЧ прояви се определят като перфорации, язви и кървене. Подгрупата общи горни СЧ прояви, определени като усложнени, включва перфорации, обструкции и усложнено кървене; подгрупата общи горни СЧ прояви, определени като неусложнени, включва неусложнено кървене и неусложнени язви. Значително по-ниска честота на общи горни СЧ прояви се наблюдава при еторикоксиб в сравнение с диклофенак. Няма значима разлика между еторикоксиб и диклофенак в честотата на усложнените прояви. За подгрупата на кръвоизливи от горния СЧ тракт (усложнени и неусложнени комбинирани), няма значима разлика между еторикоксиб и диклофенак. Ползата от приложението по отношение на горния СЧ тракт на еторикоксиб в сравнение с диклофенак не е статистически значима за пациенти, приемащи едновременно ниска доза аспирин (приблизително 33 % от пациентите).</w:t>
      </w:r>
    </w:p>
    <w:p w14:paraId="347976E6" w14:textId="77777777" w:rsidR="006B43A1" w:rsidRDefault="006B43A1" w:rsidP="006B43A1">
      <w:pPr>
        <w:spacing w:line="240" w:lineRule="auto"/>
        <w:rPr>
          <w:rFonts w:eastAsia="Times New Roman" w:cs="Arial"/>
          <w:color w:val="000000"/>
          <w:lang w:eastAsia="bg-BG"/>
        </w:rPr>
      </w:pPr>
    </w:p>
    <w:p w14:paraId="48FBD833" w14:textId="6935152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Честотата за сто пациентогодини на потвърдени усложнени и неусложнени клинични прояви от горния СЧ тракт (перфорации, язви и кървене </w:t>
      </w:r>
      <w:r w:rsidRPr="006B43A1">
        <w:rPr>
          <w:rFonts w:eastAsia="Times New Roman" w:cs="Arial"/>
          <w:color w:val="000000"/>
          <w:lang w:val="en-US"/>
        </w:rPr>
        <w:t xml:space="preserve">(PUB) </w:t>
      </w:r>
      <w:r w:rsidRPr="006B43A1">
        <w:rPr>
          <w:rFonts w:eastAsia="Times New Roman" w:cs="Arial"/>
          <w:color w:val="000000"/>
          <w:lang w:eastAsia="bg-BG"/>
        </w:rPr>
        <w:t xml:space="preserve">е 0.67 (95 % </w:t>
      </w:r>
      <w:r w:rsidRPr="006B43A1">
        <w:rPr>
          <w:rFonts w:eastAsia="Times New Roman" w:cs="Arial"/>
          <w:color w:val="000000"/>
          <w:lang w:val="en-US"/>
        </w:rPr>
        <w:t xml:space="preserve">CI </w:t>
      </w:r>
      <w:r w:rsidRPr="006B43A1">
        <w:rPr>
          <w:rFonts w:eastAsia="Times New Roman" w:cs="Arial"/>
          <w:color w:val="000000"/>
          <w:lang w:eastAsia="bg-BG"/>
        </w:rPr>
        <w:t xml:space="preserve">0.57, 0.77) за еторикоксиб и 0.97 (95 % </w:t>
      </w:r>
      <w:r w:rsidRPr="006B43A1">
        <w:rPr>
          <w:rFonts w:eastAsia="Times New Roman" w:cs="Arial"/>
          <w:color w:val="000000"/>
          <w:lang w:val="en-US"/>
        </w:rPr>
        <w:t xml:space="preserve">CI </w:t>
      </w:r>
      <w:r w:rsidRPr="006B43A1">
        <w:rPr>
          <w:rFonts w:eastAsia="Times New Roman" w:cs="Arial"/>
          <w:color w:val="000000"/>
          <w:lang w:eastAsia="bg-BG"/>
        </w:rPr>
        <w:t xml:space="preserve">0.85, 1,. 10) за диклофенак, даващо относителен риск от 0.69 (95 % </w:t>
      </w:r>
      <w:r w:rsidRPr="006B43A1">
        <w:rPr>
          <w:rFonts w:eastAsia="Times New Roman" w:cs="Arial"/>
          <w:color w:val="000000"/>
          <w:lang w:val="en-US"/>
        </w:rPr>
        <w:t xml:space="preserve">CI </w:t>
      </w:r>
      <w:r w:rsidRPr="006B43A1">
        <w:rPr>
          <w:rFonts w:eastAsia="Times New Roman" w:cs="Arial"/>
          <w:color w:val="000000"/>
          <w:lang w:eastAsia="bg-BG"/>
        </w:rPr>
        <w:t>0.57,0.83).</w:t>
      </w:r>
    </w:p>
    <w:p w14:paraId="699D5512" w14:textId="77777777" w:rsidR="006B43A1" w:rsidRDefault="006B43A1" w:rsidP="006B43A1">
      <w:pPr>
        <w:spacing w:line="240" w:lineRule="auto"/>
        <w:rPr>
          <w:rFonts w:eastAsia="Times New Roman" w:cs="Arial"/>
          <w:color w:val="000000"/>
          <w:lang w:eastAsia="bg-BG"/>
        </w:rPr>
      </w:pPr>
    </w:p>
    <w:p w14:paraId="00A1E882" w14:textId="32D32774"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Определена е честотата на потвърдените горни СЧ прояви при пациенти в напреднала възраст като най-голямо намаление се наблюдава при пациенти на възраст ≥ 75 години (1.35 [95 % </w:t>
      </w:r>
      <w:r w:rsidRPr="006B43A1">
        <w:rPr>
          <w:rFonts w:eastAsia="Times New Roman" w:cs="Arial"/>
          <w:color w:val="000000"/>
          <w:lang w:val="en-US"/>
        </w:rPr>
        <w:t xml:space="preserve">CI </w:t>
      </w:r>
      <w:r w:rsidRPr="006B43A1">
        <w:rPr>
          <w:rFonts w:eastAsia="Times New Roman" w:cs="Arial"/>
          <w:color w:val="000000"/>
          <w:lang w:eastAsia="bg-BG"/>
        </w:rPr>
        <w:t xml:space="preserve">0.94, 1.87] срещу 2.78 [95 % </w:t>
      </w:r>
      <w:r w:rsidRPr="006B43A1">
        <w:rPr>
          <w:rFonts w:eastAsia="Times New Roman" w:cs="Arial"/>
          <w:color w:val="000000"/>
          <w:lang w:val="en-US"/>
        </w:rPr>
        <w:t xml:space="preserve">CI </w:t>
      </w:r>
      <w:r w:rsidRPr="006B43A1">
        <w:rPr>
          <w:rFonts w:eastAsia="Times New Roman" w:cs="Arial"/>
          <w:color w:val="000000"/>
          <w:lang w:eastAsia="bg-BG"/>
        </w:rPr>
        <w:t>2.14,3.56] прояви за сто пациентогодини съответно за еторикоксиб и диклофенак).</w:t>
      </w:r>
    </w:p>
    <w:p w14:paraId="3FF9DB14" w14:textId="77777777" w:rsidR="006B43A1" w:rsidRDefault="006B43A1" w:rsidP="006B43A1">
      <w:pPr>
        <w:spacing w:line="240" w:lineRule="auto"/>
        <w:rPr>
          <w:rFonts w:eastAsia="Times New Roman" w:cs="Arial"/>
          <w:color w:val="000000"/>
          <w:lang w:eastAsia="bg-BG"/>
        </w:rPr>
      </w:pPr>
    </w:p>
    <w:p w14:paraId="5E617DBE" w14:textId="53D57BC3"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Честотата на потвърдените прояви от долния СЧ тракт (перфорация на тънки и дебело черво, обструкция или кръвоизлив </w:t>
      </w:r>
      <w:r w:rsidRPr="006B43A1">
        <w:rPr>
          <w:rFonts w:eastAsia="Times New Roman" w:cs="Arial"/>
          <w:color w:val="000000"/>
          <w:lang w:val="en-US"/>
        </w:rPr>
        <w:t xml:space="preserve">(PUB </w:t>
      </w:r>
      <w:r w:rsidRPr="006B43A1">
        <w:rPr>
          <w:rFonts w:eastAsia="Times New Roman" w:cs="Arial"/>
          <w:color w:val="000000"/>
          <w:lang w:eastAsia="bg-BG"/>
        </w:rPr>
        <w:t>) не показва значителна разлика между еторикоксиб и диклофенак.</w:t>
      </w:r>
    </w:p>
    <w:p w14:paraId="62FB4D6D" w14:textId="77777777" w:rsidR="006B43A1" w:rsidRDefault="006B43A1" w:rsidP="006B43A1">
      <w:pPr>
        <w:spacing w:line="240" w:lineRule="auto"/>
        <w:rPr>
          <w:rFonts w:eastAsia="Times New Roman" w:cs="Arial"/>
          <w:i/>
          <w:iCs/>
          <w:color w:val="000000"/>
          <w:lang w:eastAsia="bg-BG"/>
        </w:rPr>
      </w:pPr>
    </w:p>
    <w:p w14:paraId="5D21DCE8" w14:textId="6F56760A" w:rsidR="006B43A1" w:rsidRPr="006B43A1" w:rsidRDefault="006B43A1" w:rsidP="006B43A1">
      <w:pPr>
        <w:spacing w:line="240" w:lineRule="auto"/>
        <w:rPr>
          <w:rFonts w:eastAsia="Times New Roman" w:cs="Arial"/>
          <w:lang w:eastAsia="bg-BG"/>
        </w:rPr>
      </w:pPr>
      <w:r w:rsidRPr="006B43A1">
        <w:rPr>
          <w:rFonts w:eastAsia="Times New Roman" w:cs="Arial"/>
          <w:i/>
          <w:iCs/>
          <w:color w:val="000000"/>
          <w:lang w:eastAsia="bg-BG"/>
        </w:rPr>
        <w:t xml:space="preserve">Програма </w:t>
      </w:r>
      <w:r w:rsidRPr="006B43A1">
        <w:rPr>
          <w:rFonts w:eastAsia="Times New Roman" w:cs="Arial"/>
          <w:i/>
          <w:iCs/>
          <w:color w:val="000000"/>
          <w:lang w:val="en-US"/>
        </w:rPr>
        <w:t xml:space="preserve">MEDAL </w:t>
      </w:r>
      <w:r w:rsidRPr="006B43A1">
        <w:rPr>
          <w:rFonts w:eastAsia="Times New Roman" w:cs="Arial"/>
          <w:i/>
          <w:iCs/>
          <w:color w:val="000000"/>
          <w:lang w:eastAsia="bg-BG"/>
        </w:rPr>
        <w:t>- резултати за чернодробна безопасност:</w:t>
      </w:r>
    </w:p>
    <w:p w14:paraId="7BE5A1D7" w14:textId="77777777" w:rsidR="006B43A1" w:rsidRDefault="006B43A1" w:rsidP="006B43A1">
      <w:pPr>
        <w:spacing w:line="240" w:lineRule="auto"/>
        <w:rPr>
          <w:rFonts w:eastAsia="Times New Roman" w:cs="Arial"/>
          <w:color w:val="000000"/>
          <w:lang w:eastAsia="bg-BG"/>
        </w:rPr>
      </w:pPr>
    </w:p>
    <w:p w14:paraId="77249163" w14:textId="5DD628BC"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Еторикоксиб се свързва със статистически значимо по-ниска честота на прекратяване поради чернодробно свързани нежелани реакции в сравнение с диклофенак. В обобщената програма </w:t>
      </w:r>
      <w:r w:rsidRPr="006B43A1">
        <w:rPr>
          <w:rFonts w:eastAsia="Times New Roman" w:cs="Arial"/>
          <w:color w:val="000000"/>
          <w:lang w:val="en-US"/>
        </w:rPr>
        <w:t xml:space="preserve">MEDAL, </w:t>
      </w:r>
      <w:r w:rsidRPr="006B43A1">
        <w:rPr>
          <w:rFonts w:eastAsia="Times New Roman" w:cs="Arial"/>
          <w:color w:val="000000"/>
          <w:lang w:eastAsia="bg-BG"/>
        </w:rPr>
        <w:t xml:space="preserve">0.3 % от пациентите на еторикоксиб и 2.7 % от тези на диклофенак прекратяват поради свързана с черния дроб нежелана реакция. Честотата за сто пациентогодини е 0.22 за еторикоксиб и 1.84 за диклофенак (р-стойност &lt; 0.001 за еторикоксиб спрямо диклофенак). В същото време повечето от нежеланите чернодробно проявени реакции в програмата </w:t>
      </w:r>
      <w:r w:rsidRPr="006B43A1">
        <w:rPr>
          <w:rFonts w:eastAsia="Times New Roman" w:cs="Arial"/>
          <w:color w:val="000000"/>
          <w:lang w:val="en-US"/>
        </w:rPr>
        <w:t xml:space="preserve">MEDAL </w:t>
      </w:r>
      <w:r w:rsidRPr="006B43A1">
        <w:rPr>
          <w:rFonts w:eastAsia="Times New Roman" w:cs="Arial"/>
          <w:color w:val="000000"/>
          <w:lang w:eastAsia="bg-BG"/>
        </w:rPr>
        <w:t>не са сериозни.</w:t>
      </w:r>
    </w:p>
    <w:p w14:paraId="1C74C6AD" w14:textId="77777777" w:rsidR="006B43A1" w:rsidRDefault="006B43A1" w:rsidP="006B43A1">
      <w:pPr>
        <w:spacing w:line="240" w:lineRule="auto"/>
        <w:rPr>
          <w:rFonts w:eastAsia="Times New Roman" w:cs="Arial"/>
          <w:color w:val="000000"/>
          <w:u w:val="single"/>
          <w:lang w:eastAsia="bg-BG"/>
        </w:rPr>
      </w:pPr>
    </w:p>
    <w:p w14:paraId="50EA6C63" w14:textId="337EA460"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Допълнителни данни за тромботична сърдечно-съдова безопасност</w:t>
      </w:r>
    </w:p>
    <w:p w14:paraId="50FF27BB"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В клинични проучвания извън тези от програмата </w:t>
      </w:r>
      <w:r w:rsidRPr="006B43A1">
        <w:rPr>
          <w:rFonts w:eastAsia="Times New Roman" w:cs="Arial"/>
          <w:color w:val="000000"/>
          <w:lang w:val="en-US"/>
        </w:rPr>
        <w:t xml:space="preserve">MEDAL, </w:t>
      </w:r>
      <w:r w:rsidRPr="006B43A1">
        <w:rPr>
          <w:rFonts w:eastAsia="Times New Roman" w:cs="Arial"/>
          <w:color w:val="000000"/>
          <w:lang w:eastAsia="bg-BG"/>
        </w:rPr>
        <w:t xml:space="preserve">приблизително 3 100 пациенти са лекувани с еторикоксиб ≥ 60 </w:t>
      </w:r>
      <w:r w:rsidRPr="006B43A1">
        <w:rPr>
          <w:rFonts w:eastAsia="Times New Roman" w:cs="Arial"/>
          <w:color w:val="000000"/>
          <w:lang w:val="en-US"/>
        </w:rPr>
        <w:t xml:space="preserve">mg </w:t>
      </w:r>
      <w:r w:rsidRPr="006B43A1">
        <w:rPr>
          <w:rFonts w:eastAsia="Times New Roman" w:cs="Arial"/>
          <w:color w:val="000000"/>
          <w:lang w:eastAsia="bg-BG"/>
        </w:rPr>
        <w:t xml:space="preserve">дневно за 12 или повече седмици. Не се наблюдава видима разлика в честотата на потвърдените сериозни тромботични сърдечно-съдови </w:t>
      </w:r>
      <w:r w:rsidRPr="006B43A1">
        <w:rPr>
          <w:rFonts w:eastAsia="Times New Roman" w:cs="Arial"/>
          <w:color w:val="000000"/>
          <w:lang w:eastAsia="bg-BG"/>
        </w:rPr>
        <w:lastRenderedPageBreak/>
        <w:t xml:space="preserve">прояви между пациентите на еторикоксиб ≥ 60 </w:t>
      </w:r>
      <w:r w:rsidRPr="006B43A1">
        <w:rPr>
          <w:rFonts w:eastAsia="Times New Roman" w:cs="Arial"/>
          <w:color w:val="000000"/>
          <w:lang w:val="en-US"/>
        </w:rPr>
        <w:t xml:space="preserve">mg </w:t>
      </w:r>
      <w:r w:rsidRPr="006B43A1">
        <w:rPr>
          <w:rFonts w:eastAsia="Times New Roman" w:cs="Arial"/>
          <w:color w:val="000000"/>
          <w:lang w:eastAsia="bg-BG"/>
        </w:rPr>
        <w:t xml:space="preserve">,плацебо или ненапроксенови НСПВС. В същото време честотата на тези прояви е по-висока при пациентите, получавали еторикоксиб в сравнение с тези, получавали напроксен 500 </w:t>
      </w:r>
      <w:r w:rsidRPr="006B43A1">
        <w:rPr>
          <w:rFonts w:eastAsia="Times New Roman" w:cs="Arial"/>
          <w:color w:val="000000"/>
          <w:lang w:val="en-US"/>
        </w:rPr>
        <w:t xml:space="preserve">mg </w:t>
      </w:r>
      <w:r w:rsidRPr="006B43A1">
        <w:rPr>
          <w:rFonts w:eastAsia="Times New Roman" w:cs="Arial"/>
          <w:color w:val="000000"/>
          <w:lang w:eastAsia="bg-BG"/>
        </w:rPr>
        <w:t>два пъти дневно. Разликата в антитромбоцитната активност между някои СОХ-1 потискащи НСПВС и селективни СОХ-2 инхибитори може да е от клинично значение при пациенти, рискови за тромбоемболични прояви. Селективните СОХ-2 инхибитори намаляват формирането на системен (и поради това възможно ендотелен) простациклин, без да засягат тромбоксана на тромбоцитите. Клиничното значение на тези наблюдения не е установено.</w:t>
      </w:r>
    </w:p>
    <w:p w14:paraId="507058AD" w14:textId="77777777" w:rsidR="006B43A1" w:rsidRDefault="006B43A1" w:rsidP="006B43A1">
      <w:pPr>
        <w:spacing w:line="240" w:lineRule="auto"/>
        <w:rPr>
          <w:rFonts w:eastAsia="Times New Roman" w:cs="Arial"/>
          <w:color w:val="000000"/>
          <w:u w:val="single"/>
          <w:lang w:eastAsia="bg-BG"/>
        </w:rPr>
      </w:pPr>
    </w:p>
    <w:p w14:paraId="67A40F6B" w14:textId="1AB297A5"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Допълнителни данни за стомашно-чревна безопасност</w:t>
      </w:r>
    </w:p>
    <w:p w14:paraId="1BF05796"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В две 12-седмични, двойнослепи ендоскопски проучвания кумулативната честота на стомашно- чревните улцерации е значително по-ниска при пациентите, лекувани с еторикоксиб 120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отколкото при пациентите, лекувани с напроксен 500 </w:t>
      </w:r>
      <w:r w:rsidRPr="006B43A1">
        <w:rPr>
          <w:rFonts w:eastAsia="Times New Roman" w:cs="Arial"/>
          <w:color w:val="000000"/>
          <w:lang w:val="en-US"/>
        </w:rPr>
        <w:t xml:space="preserve">mg </w:t>
      </w:r>
      <w:r w:rsidRPr="006B43A1">
        <w:rPr>
          <w:rFonts w:eastAsia="Times New Roman" w:cs="Arial"/>
          <w:color w:val="000000"/>
          <w:lang w:eastAsia="bg-BG"/>
        </w:rPr>
        <w:t xml:space="preserve">два пъти дневно или ибупрофен 800 </w:t>
      </w:r>
      <w:r w:rsidRPr="006B43A1">
        <w:rPr>
          <w:rFonts w:eastAsia="Times New Roman" w:cs="Arial"/>
          <w:color w:val="000000"/>
          <w:lang w:val="en-US"/>
        </w:rPr>
        <w:t xml:space="preserve">mg </w:t>
      </w:r>
      <w:r w:rsidRPr="006B43A1">
        <w:rPr>
          <w:rFonts w:eastAsia="Times New Roman" w:cs="Arial"/>
          <w:color w:val="000000"/>
          <w:lang w:eastAsia="bg-BG"/>
        </w:rPr>
        <w:t>три пъти дневно. Еторикоксиб е бил с по-висока честота на улцерациите в сравнение с плацебо.</w:t>
      </w:r>
    </w:p>
    <w:p w14:paraId="7BF92A28" w14:textId="77777777" w:rsidR="006B43A1" w:rsidRDefault="006B43A1" w:rsidP="006B43A1">
      <w:pPr>
        <w:spacing w:line="240" w:lineRule="auto"/>
        <w:rPr>
          <w:rFonts w:eastAsia="Times New Roman" w:cs="Arial"/>
          <w:color w:val="000000"/>
          <w:u w:val="single"/>
          <w:lang w:eastAsia="bg-BG"/>
        </w:rPr>
      </w:pPr>
    </w:p>
    <w:p w14:paraId="6E5CD58E" w14:textId="0106C67C"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 xml:space="preserve">Проучване на бъбречната функция при пациенти в старческа възраст: </w:t>
      </w:r>
      <w:r w:rsidRPr="006B43A1">
        <w:rPr>
          <w:rFonts w:eastAsia="Times New Roman" w:cs="Arial"/>
          <w:color w:val="000000"/>
          <w:lang w:eastAsia="bg-BG"/>
        </w:rPr>
        <w:t xml:space="preserve">Рандомизирано, двойносляпо, паралелногрупово, плацебо-контролирано проучване оценява ефекта от 15 дневно лечение с еторикоксиб (90 </w:t>
      </w:r>
      <w:r w:rsidRPr="006B43A1">
        <w:rPr>
          <w:rFonts w:eastAsia="Times New Roman" w:cs="Arial"/>
          <w:color w:val="000000"/>
          <w:lang w:val="en-US"/>
        </w:rPr>
        <w:t xml:space="preserve">mg), </w:t>
      </w:r>
      <w:r w:rsidRPr="006B43A1">
        <w:rPr>
          <w:rFonts w:eastAsia="Times New Roman" w:cs="Arial"/>
          <w:color w:val="000000"/>
          <w:lang w:eastAsia="bg-BG"/>
        </w:rPr>
        <w:t xml:space="preserve">целекоксиб (200 </w:t>
      </w:r>
      <w:r w:rsidRPr="006B43A1">
        <w:rPr>
          <w:rFonts w:eastAsia="Times New Roman" w:cs="Arial"/>
          <w:color w:val="000000"/>
          <w:lang w:val="en-US"/>
        </w:rPr>
        <w:t>mg</w:t>
      </w:r>
      <w:r w:rsidRPr="006B43A1">
        <w:rPr>
          <w:rFonts w:eastAsia="Times New Roman" w:cs="Arial"/>
          <w:color w:val="000000"/>
          <w:lang w:eastAsia="bg-BG"/>
        </w:rPr>
        <w:t xml:space="preserve">), напроксен (500 </w:t>
      </w:r>
      <w:r w:rsidRPr="006B43A1">
        <w:rPr>
          <w:rFonts w:eastAsia="Times New Roman" w:cs="Arial"/>
          <w:color w:val="000000"/>
          <w:lang w:val="en-US"/>
        </w:rPr>
        <w:t xml:space="preserve">mg) </w:t>
      </w:r>
      <w:r w:rsidRPr="006B43A1">
        <w:rPr>
          <w:rFonts w:eastAsia="Times New Roman" w:cs="Arial"/>
          <w:color w:val="000000"/>
          <w:lang w:eastAsia="bg-BG"/>
        </w:rPr>
        <w:t xml:space="preserve">и плацебо, върху екскрецията на натрий в урината, кръвното налягане и други параметри на бъбречната функция, при пациенти на възраст 60 -85 години на диета от200 </w:t>
      </w:r>
      <w:proofErr w:type="spellStart"/>
      <w:r w:rsidRPr="006B43A1">
        <w:rPr>
          <w:rFonts w:eastAsia="Times New Roman" w:cs="Arial"/>
          <w:color w:val="000000"/>
          <w:lang w:val="en-US"/>
        </w:rPr>
        <w:t>mEq</w:t>
      </w:r>
      <w:proofErr w:type="spellEnd"/>
      <w:r w:rsidRPr="006B43A1">
        <w:rPr>
          <w:rFonts w:eastAsia="Times New Roman" w:cs="Arial"/>
          <w:color w:val="000000"/>
          <w:lang w:eastAsia="bg-BG"/>
        </w:rPr>
        <w:t xml:space="preserve">/ден натрий. Еторикоксиб, целекоксиб и напроксен имат близък ефект върху уринарната екскреция на натрий за двуседмичния период на лечение. Всички продукти за активно сравнение показват повишение в сравнение с плацебо на систоличното кръвно налягане, еторикоксиб обаче се свързва със статистически значимо повишение на ден 14 в сравнение с целекоксиб и напроксен (средната промяна спрямо изходното ниво за систоличното артериално налягане: еторикоксиб 7.7 </w:t>
      </w:r>
      <w:r w:rsidRPr="006B43A1">
        <w:rPr>
          <w:rFonts w:eastAsia="Times New Roman" w:cs="Arial"/>
          <w:color w:val="000000"/>
          <w:lang w:val="en-US"/>
        </w:rPr>
        <w:t xml:space="preserve">mmHg, </w:t>
      </w:r>
      <w:r w:rsidRPr="006B43A1">
        <w:rPr>
          <w:rFonts w:eastAsia="Times New Roman" w:cs="Arial"/>
          <w:color w:val="000000"/>
          <w:lang w:eastAsia="bg-BG"/>
        </w:rPr>
        <w:t xml:space="preserve">целекоксиб 2.4 </w:t>
      </w:r>
      <w:r w:rsidRPr="006B43A1">
        <w:rPr>
          <w:rFonts w:eastAsia="Times New Roman" w:cs="Arial"/>
          <w:color w:val="000000"/>
          <w:lang w:val="en-US"/>
        </w:rPr>
        <w:t xml:space="preserve">mmHg, </w:t>
      </w:r>
      <w:r w:rsidRPr="006B43A1">
        <w:rPr>
          <w:rFonts w:eastAsia="Times New Roman" w:cs="Arial"/>
          <w:color w:val="000000"/>
          <w:lang w:eastAsia="bg-BG"/>
        </w:rPr>
        <w:t xml:space="preserve">напроксен 3.6 </w:t>
      </w:r>
      <w:r w:rsidRPr="006B43A1">
        <w:rPr>
          <w:rFonts w:eastAsia="Times New Roman" w:cs="Arial"/>
          <w:color w:val="000000"/>
          <w:lang w:val="en-US"/>
        </w:rPr>
        <w:t>mmHg).</w:t>
      </w:r>
    </w:p>
    <w:p w14:paraId="0CE288F7" w14:textId="77777777" w:rsidR="006B43A1" w:rsidRPr="006B43A1" w:rsidRDefault="006B43A1" w:rsidP="006B43A1"/>
    <w:p w14:paraId="544FFDAF" w14:textId="20D339B2" w:rsidR="00F62E44" w:rsidRDefault="002C50EE" w:rsidP="00387A66">
      <w:pPr>
        <w:pStyle w:val="Heading2"/>
      </w:pPr>
      <w:r>
        <w:t>5.2. Фармакокинетични свойства</w:t>
      </w:r>
    </w:p>
    <w:p w14:paraId="625915BD" w14:textId="0EA3D6B8" w:rsidR="006B43A1" w:rsidRDefault="006B43A1" w:rsidP="006B43A1"/>
    <w:p w14:paraId="79A92D5C"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Абсорбция</w:t>
      </w:r>
    </w:p>
    <w:p w14:paraId="6A3E1AAE"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Перорално приложен еторикоксиб се абсорбира добре. Абсолютната бионаличност е приблизително 100 %. След 120 </w:t>
      </w:r>
      <w:r w:rsidRPr="006B43A1">
        <w:rPr>
          <w:rFonts w:eastAsia="Times New Roman" w:cs="Arial"/>
          <w:color w:val="000000"/>
          <w:lang w:val="en-US"/>
        </w:rPr>
        <w:t xml:space="preserve">mg </w:t>
      </w:r>
      <w:r w:rsidRPr="006B43A1">
        <w:rPr>
          <w:rFonts w:eastAsia="Times New Roman" w:cs="Arial"/>
          <w:color w:val="000000"/>
          <w:lang w:eastAsia="bg-BG"/>
        </w:rPr>
        <w:t xml:space="preserve">веднъж дневно до постигане на устойчиво равновесие </w:t>
      </w:r>
      <w:r w:rsidRPr="006B43A1">
        <w:rPr>
          <w:rFonts w:eastAsia="Times New Roman" w:cs="Arial"/>
          <w:color w:val="000000"/>
          <w:lang w:val="en-US"/>
        </w:rPr>
        <w:t>(steady state</w:t>
      </w:r>
      <w:r w:rsidRPr="006B43A1">
        <w:rPr>
          <w:rFonts w:eastAsia="Times New Roman" w:cs="Arial"/>
          <w:color w:val="000000"/>
          <w:lang w:eastAsia="bg-BG"/>
        </w:rPr>
        <w:t>), пикова плазмена концентрация (средна С</w:t>
      </w:r>
      <w:r w:rsidRPr="006B43A1">
        <w:rPr>
          <w:rFonts w:eastAsia="Times New Roman" w:cs="Arial"/>
          <w:color w:val="000000"/>
          <w:vertAlign w:val="subscript"/>
          <w:lang w:val="en-US"/>
        </w:rPr>
        <w:t>max</w:t>
      </w:r>
      <w:r w:rsidRPr="006B43A1">
        <w:rPr>
          <w:rFonts w:eastAsia="Times New Roman" w:cs="Arial"/>
          <w:color w:val="000000"/>
          <w:lang w:eastAsia="bg-BG"/>
        </w:rPr>
        <w:t>= 3.6 μ</w:t>
      </w:r>
      <w:r w:rsidRPr="006B43A1">
        <w:rPr>
          <w:rFonts w:eastAsia="Times New Roman" w:cs="Arial"/>
          <w:color w:val="000000"/>
          <w:lang w:val="en-US"/>
        </w:rPr>
        <w:t xml:space="preserve">g/ml) </w:t>
      </w:r>
      <w:r w:rsidRPr="006B43A1">
        <w:rPr>
          <w:rFonts w:eastAsia="Times New Roman" w:cs="Arial"/>
          <w:color w:val="000000"/>
          <w:lang w:eastAsia="bg-BG"/>
        </w:rPr>
        <w:t>е наблюдавана приблизително 1 час (Т</w:t>
      </w:r>
      <w:r w:rsidRPr="006B43A1">
        <w:rPr>
          <w:rFonts w:eastAsia="Times New Roman" w:cs="Arial"/>
          <w:color w:val="000000"/>
          <w:vertAlign w:val="subscript"/>
          <w:lang w:val="en-US"/>
        </w:rPr>
        <w:t>max</w:t>
      </w:r>
      <w:r w:rsidRPr="006B43A1">
        <w:rPr>
          <w:rFonts w:eastAsia="Times New Roman" w:cs="Arial"/>
          <w:color w:val="000000"/>
          <w:lang w:eastAsia="bg-BG"/>
        </w:rPr>
        <w:t>) след приложението при възрастни пациенти на гладно. Средногеометричната ППК</w:t>
      </w:r>
      <w:r w:rsidRPr="006B43A1">
        <w:rPr>
          <w:rFonts w:eastAsia="Times New Roman" w:cs="Arial"/>
          <w:color w:val="000000"/>
          <w:vertAlign w:val="subscript"/>
          <w:lang w:eastAsia="bg-BG"/>
        </w:rPr>
        <w:t>0-24</w:t>
      </w:r>
      <w:proofErr w:type="spellStart"/>
      <w:r w:rsidRPr="006B43A1">
        <w:rPr>
          <w:rFonts w:eastAsia="Times New Roman" w:cs="Arial"/>
          <w:color w:val="000000"/>
          <w:vertAlign w:val="subscript"/>
          <w:lang w:val="en-US"/>
        </w:rPr>
        <w:t>hr</w:t>
      </w:r>
      <w:proofErr w:type="spellEnd"/>
      <w:r w:rsidRPr="006B43A1">
        <w:rPr>
          <w:rFonts w:eastAsia="Times New Roman" w:cs="Arial"/>
          <w:color w:val="000000"/>
          <w:lang w:val="en-US"/>
        </w:rPr>
        <w:t xml:space="preserve"> </w:t>
      </w:r>
      <w:r w:rsidRPr="006B43A1">
        <w:rPr>
          <w:rFonts w:eastAsia="Times New Roman" w:cs="Arial"/>
          <w:color w:val="000000"/>
          <w:lang w:eastAsia="bg-BG"/>
        </w:rPr>
        <w:t>(</w:t>
      </w:r>
      <w:r w:rsidRPr="006B43A1">
        <w:rPr>
          <w:rFonts w:eastAsia="Times New Roman" w:cs="Arial"/>
          <w:color w:val="000000"/>
          <w:lang w:val="en-US"/>
        </w:rPr>
        <w:t>AUC</w:t>
      </w:r>
      <w:r w:rsidRPr="006B43A1">
        <w:rPr>
          <w:rFonts w:eastAsia="Times New Roman" w:cs="Arial"/>
          <w:color w:val="000000"/>
          <w:vertAlign w:val="subscript"/>
          <w:lang w:val="en-US"/>
        </w:rPr>
        <w:t>0-24hr</w:t>
      </w:r>
      <w:r w:rsidRPr="006B43A1">
        <w:rPr>
          <w:rFonts w:eastAsia="Times New Roman" w:cs="Arial"/>
          <w:color w:val="000000"/>
          <w:lang w:val="en-US"/>
        </w:rPr>
        <w:t xml:space="preserve">) </w:t>
      </w:r>
      <w:r w:rsidRPr="006B43A1">
        <w:rPr>
          <w:rFonts w:eastAsia="Times New Roman" w:cs="Arial"/>
          <w:color w:val="000000"/>
          <w:lang w:eastAsia="bg-BG"/>
        </w:rPr>
        <w:t>е 37.8 μ</w:t>
      </w:r>
      <w:r w:rsidRPr="006B43A1">
        <w:rPr>
          <w:rFonts w:eastAsia="Times New Roman" w:cs="Arial"/>
          <w:color w:val="000000"/>
          <w:lang w:val="en-US"/>
        </w:rPr>
        <w:t>g*</w:t>
      </w:r>
      <w:proofErr w:type="spellStart"/>
      <w:r w:rsidRPr="006B43A1">
        <w:rPr>
          <w:rFonts w:eastAsia="Times New Roman" w:cs="Arial"/>
          <w:color w:val="000000"/>
          <w:lang w:val="en-US"/>
        </w:rPr>
        <w:t>hr</w:t>
      </w:r>
      <w:proofErr w:type="spellEnd"/>
      <w:r w:rsidRPr="006B43A1">
        <w:rPr>
          <w:rFonts w:eastAsia="Times New Roman" w:cs="Arial"/>
          <w:color w:val="000000"/>
          <w:lang w:val="en-US"/>
        </w:rPr>
        <w:t>/ml</w:t>
      </w:r>
      <w:r w:rsidRPr="006B43A1">
        <w:rPr>
          <w:rFonts w:eastAsia="Times New Roman" w:cs="Arial"/>
          <w:color w:val="000000"/>
          <w:lang w:eastAsia="bg-BG"/>
        </w:rPr>
        <w:t>. Фармакокинетиката на еторикоксиб е линейна в рамките на клиничния дозов интервал.</w:t>
      </w:r>
    </w:p>
    <w:p w14:paraId="4E6C233B" w14:textId="77777777" w:rsidR="006B43A1" w:rsidRDefault="006B43A1" w:rsidP="006B43A1">
      <w:pPr>
        <w:spacing w:line="240" w:lineRule="auto"/>
        <w:rPr>
          <w:rFonts w:eastAsia="Times New Roman" w:cs="Arial"/>
          <w:color w:val="000000"/>
          <w:lang w:eastAsia="bg-BG"/>
        </w:rPr>
      </w:pPr>
    </w:p>
    <w:p w14:paraId="6B927394" w14:textId="0A6E8EE2"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 xml:space="preserve">Приемът с храна, богата на мазнини, няма ефект върху степента на абсорбция на еторикоксиб след приложение на доза от 120 </w:t>
      </w:r>
      <w:r w:rsidRPr="006B43A1">
        <w:rPr>
          <w:rFonts w:eastAsia="Times New Roman" w:cs="Arial"/>
          <w:color w:val="000000"/>
          <w:lang w:val="en-US"/>
        </w:rPr>
        <w:t xml:space="preserve">mg. </w:t>
      </w:r>
      <w:r w:rsidRPr="006B43A1">
        <w:rPr>
          <w:rFonts w:eastAsia="Times New Roman" w:cs="Arial"/>
          <w:color w:val="000000"/>
          <w:lang w:eastAsia="bg-BG"/>
        </w:rPr>
        <w:t>Скоростта на абсорбцията е била повлияна в следните граници: 36 % намаление на С</w:t>
      </w:r>
      <w:r w:rsidRPr="006B43A1">
        <w:rPr>
          <w:rFonts w:eastAsia="Times New Roman" w:cs="Arial"/>
          <w:color w:val="000000"/>
          <w:vertAlign w:val="subscript"/>
          <w:lang w:val="en-US"/>
        </w:rPr>
        <w:t>max</w:t>
      </w:r>
      <w:r w:rsidRPr="006B43A1">
        <w:rPr>
          <w:rFonts w:eastAsia="Times New Roman" w:cs="Arial"/>
          <w:color w:val="000000"/>
          <w:lang w:eastAsia="bg-BG"/>
        </w:rPr>
        <w:t xml:space="preserve"> и увеличение на Т</w:t>
      </w:r>
      <w:r w:rsidRPr="006B43A1">
        <w:rPr>
          <w:rFonts w:eastAsia="Times New Roman" w:cs="Arial"/>
          <w:color w:val="000000"/>
          <w:vertAlign w:val="subscript"/>
          <w:lang w:val="en-US"/>
        </w:rPr>
        <w:t>max</w:t>
      </w:r>
      <w:r w:rsidRPr="006B43A1">
        <w:rPr>
          <w:rFonts w:eastAsia="Times New Roman" w:cs="Arial"/>
          <w:color w:val="000000"/>
          <w:lang w:eastAsia="bg-BG"/>
        </w:rPr>
        <w:t xml:space="preserve"> с 2 часа. Тези данни не са били счетени за клинично значими. В клиничните изследвания еторикоксиб е бил взиман независимо от приема на храна.</w:t>
      </w:r>
    </w:p>
    <w:p w14:paraId="316FE66B" w14:textId="77777777" w:rsidR="006B43A1" w:rsidRDefault="006B43A1" w:rsidP="006B43A1">
      <w:pPr>
        <w:spacing w:line="240" w:lineRule="auto"/>
        <w:rPr>
          <w:rFonts w:eastAsia="Times New Roman" w:cs="Arial"/>
          <w:color w:val="000000"/>
          <w:u w:val="single"/>
          <w:lang w:eastAsia="bg-BG"/>
        </w:rPr>
      </w:pPr>
    </w:p>
    <w:p w14:paraId="6C68E3F5" w14:textId="259071F1"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Разпределение</w:t>
      </w:r>
    </w:p>
    <w:p w14:paraId="0EFE1D20"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t>Еторикоксиб се свързва с плазмените протеини в приблизително 92 % при концентрации от 0.05 до 5 μ</w:t>
      </w:r>
      <w:r w:rsidRPr="006B43A1">
        <w:rPr>
          <w:rFonts w:eastAsia="Times New Roman" w:cs="Arial"/>
          <w:color w:val="000000"/>
          <w:lang w:val="en-US"/>
        </w:rPr>
        <w:t xml:space="preserve">g/ml. </w:t>
      </w:r>
      <w:r w:rsidRPr="006B43A1">
        <w:rPr>
          <w:rFonts w:eastAsia="Times New Roman" w:cs="Arial"/>
          <w:color w:val="000000"/>
          <w:lang w:eastAsia="bg-BG"/>
        </w:rPr>
        <w:t xml:space="preserve">Обемът на разпределение в равновесно състояние </w:t>
      </w:r>
      <w:r w:rsidRPr="006B43A1">
        <w:rPr>
          <w:rFonts w:eastAsia="Times New Roman" w:cs="Arial"/>
          <w:color w:val="000000"/>
          <w:lang w:val="en-US"/>
        </w:rPr>
        <w:t>(</w:t>
      </w:r>
      <w:proofErr w:type="spellStart"/>
      <w:r w:rsidRPr="006B43A1">
        <w:rPr>
          <w:rFonts w:eastAsia="Times New Roman" w:cs="Arial"/>
          <w:color w:val="000000"/>
          <w:lang w:val="en-US"/>
        </w:rPr>
        <w:t>Vdss</w:t>
      </w:r>
      <w:proofErr w:type="spellEnd"/>
      <w:r w:rsidRPr="006B43A1">
        <w:rPr>
          <w:rFonts w:eastAsia="Times New Roman" w:cs="Arial"/>
          <w:color w:val="000000"/>
          <w:lang w:eastAsia="bg-BG"/>
        </w:rPr>
        <w:t>) е бил приблизително 120 1 при хората.</w:t>
      </w:r>
    </w:p>
    <w:p w14:paraId="45B0167D" w14:textId="77777777" w:rsidR="006B43A1" w:rsidRPr="006B43A1" w:rsidRDefault="006B43A1" w:rsidP="006B43A1">
      <w:pPr>
        <w:spacing w:line="240" w:lineRule="auto"/>
        <w:rPr>
          <w:rFonts w:eastAsia="Times New Roman" w:cs="Arial"/>
          <w:lang w:eastAsia="bg-BG"/>
        </w:rPr>
      </w:pPr>
      <w:r w:rsidRPr="006B43A1">
        <w:rPr>
          <w:rFonts w:eastAsia="Times New Roman" w:cs="Arial"/>
          <w:color w:val="000000"/>
          <w:lang w:eastAsia="bg-BG"/>
        </w:rPr>
        <w:lastRenderedPageBreak/>
        <w:t>Еторикоксиб преминава плацентарната бариера при плъхове и зайци и хематоенцефалната бариера при плъхове.</w:t>
      </w:r>
    </w:p>
    <w:p w14:paraId="469C5F20" w14:textId="77777777" w:rsidR="006B43A1" w:rsidRDefault="006B43A1" w:rsidP="006B43A1">
      <w:pPr>
        <w:spacing w:line="240" w:lineRule="auto"/>
        <w:rPr>
          <w:rFonts w:eastAsia="Times New Roman" w:cs="Arial"/>
          <w:color w:val="000000"/>
          <w:u w:val="single"/>
          <w:lang w:eastAsia="bg-BG"/>
        </w:rPr>
      </w:pPr>
    </w:p>
    <w:p w14:paraId="0F5B864A" w14:textId="2CE775BB" w:rsidR="006B43A1" w:rsidRPr="006B43A1" w:rsidRDefault="006B43A1" w:rsidP="006B43A1">
      <w:pPr>
        <w:spacing w:line="240" w:lineRule="auto"/>
        <w:rPr>
          <w:rFonts w:eastAsia="Times New Roman" w:cs="Arial"/>
          <w:lang w:eastAsia="bg-BG"/>
        </w:rPr>
      </w:pPr>
      <w:r w:rsidRPr="006B43A1">
        <w:rPr>
          <w:rFonts w:eastAsia="Times New Roman" w:cs="Arial"/>
          <w:color w:val="000000"/>
          <w:u w:val="single"/>
          <w:lang w:eastAsia="bg-BG"/>
        </w:rPr>
        <w:t>Биотрансформация</w:t>
      </w:r>
    </w:p>
    <w:p w14:paraId="635BA451" w14:textId="77777777" w:rsidR="00421E1A" w:rsidRPr="00421E1A" w:rsidRDefault="006B43A1" w:rsidP="00421E1A">
      <w:pPr>
        <w:rPr>
          <w:rFonts w:eastAsia="Times New Roman" w:cs="Arial"/>
          <w:lang w:eastAsia="bg-BG"/>
        </w:rPr>
      </w:pPr>
      <w:r w:rsidRPr="006B43A1">
        <w:rPr>
          <w:rFonts w:eastAsia="Times New Roman" w:cs="Arial"/>
          <w:color w:val="000000"/>
          <w:lang w:eastAsia="bg-BG"/>
        </w:rPr>
        <w:t>Еторикоксиб се метаболизира напълно като &lt; 1 % от дозата се установява в урината под формата на изходното лекарство. Основният път на метаболизиране с формиране на 6’-</w:t>
      </w:r>
      <w:r w:rsidR="00421E1A" w:rsidRPr="00421E1A">
        <w:rPr>
          <w:rFonts w:eastAsia="Times New Roman" w:cs="Arial"/>
          <w:color w:val="000000"/>
          <w:lang w:eastAsia="bg-BG"/>
        </w:rPr>
        <w:t xml:space="preserve">хидроксиметил дериват се катализира от </w:t>
      </w:r>
      <w:r w:rsidR="00421E1A" w:rsidRPr="00421E1A">
        <w:rPr>
          <w:rFonts w:eastAsia="Times New Roman" w:cs="Arial"/>
          <w:color w:val="000000"/>
          <w:lang w:val="en-US"/>
        </w:rPr>
        <w:t xml:space="preserve">CYP </w:t>
      </w:r>
      <w:r w:rsidR="00421E1A" w:rsidRPr="00421E1A">
        <w:rPr>
          <w:rFonts w:eastAsia="Times New Roman" w:cs="Arial"/>
          <w:color w:val="000000"/>
          <w:lang w:eastAsia="bg-BG"/>
        </w:rPr>
        <w:t xml:space="preserve">ензимите. </w:t>
      </w:r>
      <w:r w:rsidR="00421E1A" w:rsidRPr="00421E1A">
        <w:rPr>
          <w:rFonts w:eastAsia="Times New Roman" w:cs="Arial"/>
          <w:color w:val="000000"/>
          <w:lang w:val="en-US"/>
        </w:rPr>
        <w:t xml:space="preserve">CYP3A4 </w:t>
      </w:r>
      <w:r w:rsidR="00421E1A" w:rsidRPr="00421E1A">
        <w:rPr>
          <w:rFonts w:eastAsia="Times New Roman" w:cs="Arial"/>
          <w:color w:val="000000"/>
          <w:lang w:eastAsia="bg-BG"/>
        </w:rPr>
        <w:t xml:space="preserve">вероятно допринася за метаболизирането на еторикоксиб </w:t>
      </w:r>
      <w:r w:rsidR="00421E1A" w:rsidRPr="00421E1A">
        <w:rPr>
          <w:rFonts w:eastAsia="Times New Roman" w:cs="Arial"/>
          <w:i/>
          <w:iCs/>
          <w:color w:val="000000"/>
          <w:lang w:val="en-US"/>
        </w:rPr>
        <w:t>in vivo. In vitro</w:t>
      </w:r>
      <w:r w:rsidR="00421E1A" w:rsidRPr="00421E1A">
        <w:rPr>
          <w:rFonts w:eastAsia="Times New Roman" w:cs="Arial"/>
          <w:color w:val="000000"/>
          <w:lang w:val="en-US"/>
        </w:rPr>
        <w:t xml:space="preserve"> </w:t>
      </w:r>
      <w:r w:rsidR="00421E1A" w:rsidRPr="00421E1A">
        <w:rPr>
          <w:rFonts w:eastAsia="Times New Roman" w:cs="Arial"/>
          <w:color w:val="000000"/>
          <w:lang w:eastAsia="bg-BG"/>
        </w:rPr>
        <w:t xml:space="preserve">проучванията установяват, че </w:t>
      </w:r>
      <w:r w:rsidR="00421E1A" w:rsidRPr="00421E1A">
        <w:rPr>
          <w:rFonts w:eastAsia="Times New Roman" w:cs="Arial"/>
          <w:color w:val="000000"/>
          <w:lang w:val="en-US"/>
        </w:rPr>
        <w:t xml:space="preserve">CYP2D6, CYP2C9, CYP1A2 </w:t>
      </w:r>
      <w:r w:rsidR="00421E1A" w:rsidRPr="00421E1A">
        <w:rPr>
          <w:rFonts w:eastAsia="Times New Roman" w:cs="Arial"/>
          <w:color w:val="000000"/>
          <w:lang w:eastAsia="bg-BG"/>
        </w:rPr>
        <w:t xml:space="preserve">и </w:t>
      </w:r>
      <w:r w:rsidR="00421E1A" w:rsidRPr="00421E1A">
        <w:rPr>
          <w:rFonts w:eastAsia="Times New Roman" w:cs="Arial"/>
          <w:color w:val="000000"/>
          <w:lang w:val="en-US"/>
        </w:rPr>
        <w:t xml:space="preserve">CYP2C19 </w:t>
      </w:r>
      <w:r w:rsidR="00421E1A" w:rsidRPr="00421E1A">
        <w:rPr>
          <w:rFonts w:eastAsia="Times New Roman" w:cs="Arial"/>
          <w:color w:val="000000"/>
          <w:lang w:eastAsia="bg-BG"/>
        </w:rPr>
        <w:t xml:space="preserve">също може да катализират основната метаболитна верига, но техните количествени отношения </w:t>
      </w:r>
      <w:r w:rsidR="00421E1A" w:rsidRPr="00421E1A">
        <w:rPr>
          <w:rFonts w:eastAsia="Times New Roman" w:cs="Arial"/>
          <w:i/>
          <w:iCs/>
          <w:color w:val="000000"/>
          <w:lang w:val="en-US"/>
        </w:rPr>
        <w:t>in vivo</w:t>
      </w:r>
      <w:r w:rsidR="00421E1A" w:rsidRPr="00421E1A">
        <w:rPr>
          <w:rFonts w:eastAsia="Times New Roman" w:cs="Arial"/>
          <w:color w:val="000000"/>
          <w:lang w:val="en-US"/>
        </w:rPr>
        <w:t xml:space="preserve"> </w:t>
      </w:r>
      <w:r w:rsidR="00421E1A" w:rsidRPr="00421E1A">
        <w:rPr>
          <w:rFonts w:eastAsia="Times New Roman" w:cs="Arial"/>
          <w:color w:val="000000"/>
          <w:lang w:eastAsia="bg-BG"/>
        </w:rPr>
        <w:t>не са проучвани.</w:t>
      </w:r>
    </w:p>
    <w:p w14:paraId="39E6021F" w14:textId="77777777" w:rsidR="00421E1A" w:rsidRDefault="00421E1A" w:rsidP="00421E1A">
      <w:pPr>
        <w:spacing w:line="240" w:lineRule="auto"/>
        <w:rPr>
          <w:rFonts w:eastAsia="Times New Roman" w:cs="Arial"/>
          <w:color w:val="000000"/>
          <w:lang w:eastAsia="bg-BG"/>
        </w:rPr>
      </w:pPr>
    </w:p>
    <w:p w14:paraId="4DBBB30F" w14:textId="47E867E1"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Идентифицирани са пет метаболита при човека. Основният метаболитен продукт е 6’-карбокси киселинно производно на еторикоксиб, образувано чрез по-нататъшно окисление на 6’- хидроксиметил производното. Тези основни метаболитни продукти или нямат измерима активност, или са слабо активни като СОХ-2 инхибитори. Нито един от тези метаболити не инхибира СОХ-1.</w:t>
      </w:r>
    </w:p>
    <w:p w14:paraId="2F82CC67" w14:textId="77777777" w:rsidR="00421E1A" w:rsidRDefault="00421E1A" w:rsidP="00421E1A">
      <w:pPr>
        <w:spacing w:line="240" w:lineRule="auto"/>
        <w:rPr>
          <w:rFonts w:eastAsia="Times New Roman" w:cs="Arial"/>
          <w:color w:val="000000"/>
          <w:u w:val="single"/>
          <w:lang w:eastAsia="bg-BG"/>
        </w:rPr>
      </w:pPr>
    </w:p>
    <w:p w14:paraId="34D1150D" w14:textId="0F6EFA3E" w:rsidR="00421E1A" w:rsidRPr="00421E1A" w:rsidRDefault="00421E1A" w:rsidP="00421E1A">
      <w:pPr>
        <w:spacing w:line="240" w:lineRule="auto"/>
        <w:rPr>
          <w:rFonts w:eastAsia="Times New Roman" w:cs="Arial"/>
          <w:lang w:eastAsia="bg-BG"/>
        </w:rPr>
      </w:pPr>
      <w:r w:rsidRPr="00421E1A">
        <w:rPr>
          <w:rFonts w:eastAsia="Times New Roman" w:cs="Arial"/>
          <w:color w:val="000000"/>
          <w:u w:val="single"/>
          <w:lang w:eastAsia="bg-BG"/>
        </w:rPr>
        <w:t>Елиминиране</w:t>
      </w:r>
    </w:p>
    <w:p w14:paraId="54215BF4"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След прилагането на еднократна, маркирана с радиоизотоп доза от 25 </w:t>
      </w:r>
      <w:r w:rsidRPr="00421E1A">
        <w:rPr>
          <w:rFonts w:eastAsia="Times New Roman" w:cs="Arial"/>
          <w:color w:val="000000"/>
          <w:lang w:val="en-US"/>
        </w:rPr>
        <w:t xml:space="preserve">mg </w:t>
      </w:r>
      <w:r w:rsidRPr="00421E1A">
        <w:rPr>
          <w:rFonts w:eastAsia="Times New Roman" w:cs="Arial"/>
          <w:color w:val="000000"/>
          <w:lang w:eastAsia="bg-BG"/>
        </w:rPr>
        <w:t>еторикоксиб интравенозно на здрави лица, 70 % от радиоактивността е била установена в урината и 20% във фекалиите, главно под формата на метаболити. По-малко от 2% е установена под формата на непроменено лекарство.</w:t>
      </w:r>
    </w:p>
    <w:p w14:paraId="4DA7BCFC" w14:textId="77777777" w:rsidR="00421E1A" w:rsidRDefault="00421E1A" w:rsidP="00421E1A">
      <w:pPr>
        <w:spacing w:line="240" w:lineRule="auto"/>
        <w:rPr>
          <w:rFonts w:eastAsia="Times New Roman" w:cs="Arial"/>
          <w:color w:val="000000"/>
          <w:lang w:eastAsia="bg-BG"/>
        </w:rPr>
      </w:pPr>
    </w:p>
    <w:p w14:paraId="1ED17D61" w14:textId="47EC41DE"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Елиминирането на еторикоксиб става предимно чрез метаболизиране и последваща ренална екскреция. Устойчиви равновесни концентрации на еторикоксиб се установяват в рамките на седем дни при еднократно прилагане на доза от 120 </w:t>
      </w:r>
      <w:r w:rsidRPr="00421E1A">
        <w:rPr>
          <w:rFonts w:eastAsia="Times New Roman" w:cs="Arial"/>
          <w:color w:val="000000"/>
          <w:lang w:val="en-US"/>
        </w:rPr>
        <w:t xml:space="preserve">mg, </w:t>
      </w:r>
      <w:r w:rsidRPr="00421E1A">
        <w:rPr>
          <w:rFonts w:eastAsia="Times New Roman" w:cs="Arial"/>
          <w:color w:val="000000"/>
          <w:lang w:eastAsia="bg-BG"/>
        </w:rPr>
        <w:t xml:space="preserve">при отношение на кумулиране приблизително 2, отговарящо на време на полуживот от приблизително 22 часа. Плазменият клирънс след интравенозна доза от 25 </w:t>
      </w:r>
      <w:r w:rsidRPr="00421E1A">
        <w:rPr>
          <w:rFonts w:eastAsia="Times New Roman" w:cs="Arial"/>
          <w:color w:val="000000"/>
          <w:lang w:val="en-US"/>
        </w:rPr>
        <w:t xml:space="preserve">mg </w:t>
      </w:r>
      <w:r w:rsidRPr="00421E1A">
        <w:rPr>
          <w:rFonts w:eastAsia="Times New Roman" w:cs="Arial"/>
          <w:color w:val="000000"/>
          <w:lang w:eastAsia="bg-BG"/>
        </w:rPr>
        <w:t xml:space="preserve">е приблизително 50 </w:t>
      </w:r>
      <w:r w:rsidRPr="00421E1A">
        <w:rPr>
          <w:rFonts w:eastAsia="Times New Roman" w:cs="Arial"/>
          <w:color w:val="000000"/>
          <w:lang w:val="en-US"/>
        </w:rPr>
        <w:t xml:space="preserve">ml </w:t>
      </w:r>
      <w:r w:rsidRPr="00421E1A">
        <w:rPr>
          <w:rFonts w:eastAsia="Times New Roman" w:cs="Arial"/>
          <w:color w:val="000000"/>
          <w:lang w:eastAsia="bg-BG"/>
        </w:rPr>
        <w:t>/минута.</w:t>
      </w:r>
    </w:p>
    <w:p w14:paraId="14B550D6" w14:textId="77777777" w:rsidR="00421E1A" w:rsidRDefault="00421E1A" w:rsidP="00421E1A">
      <w:pPr>
        <w:spacing w:line="240" w:lineRule="auto"/>
        <w:rPr>
          <w:rFonts w:eastAsia="Times New Roman" w:cs="Arial"/>
          <w:color w:val="000000"/>
          <w:u w:val="single"/>
          <w:lang w:eastAsia="bg-BG"/>
        </w:rPr>
      </w:pPr>
    </w:p>
    <w:p w14:paraId="65C3AEA1" w14:textId="3709F97F" w:rsidR="00421E1A" w:rsidRPr="00421E1A" w:rsidRDefault="00421E1A" w:rsidP="00421E1A">
      <w:pPr>
        <w:spacing w:line="240" w:lineRule="auto"/>
        <w:rPr>
          <w:rFonts w:eastAsia="Times New Roman" w:cs="Arial"/>
          <w:lang w:eastAsia="bg-BG"/>
        </w:rPr>
      </w:pPr>
      <w:r w:rsidRPr="00421E1A">
        <w:rPr>
          <w:rFonts w:eastAsia="Times New Roman" w:cs="Arial"/>
          <w:color w:val="000000"/>
          <w:u w:val="single"/>
          <w:lang w:eastAsia="bg-BG"/>
        </w:rPr>
        <w:t>Характеристики при специални групи пациенти:</w:t>
      </w:r>
    </w:p>
    <w:p w14:paraId="2B19EAB1" w14:textId="77777777" w:rsidR="00421E1A" w:rsidRDefault="00421E1A" w:rsidP="00421E1A">
      <w:pPr>
        <w:spacing w:line="240" w:lineRule="auto"/>
        <w:rPr>
          <w:rFonts w:eastAsia="Times New Roman" w:cs="Arial"/>
          <w:i/>
          <w:iCs/>
          <w:color w:val="000000"/>
          <w:lang w:eastAsia="bg-BG"/>
        </w:rPr>
      </w:pPr>
    </w:p>
    <w:p w14:paraId="1F0F3FC4" w14:textId="43478DDB" w:rsidR="00421E1A" w:rsidRPr="00421E1A" w:rsidRDefault="00421E1A" w:rsidP="00421E1A">
      <w:pPr>
        <w:spacing w:line="240" w:lineRule="auto"/>
        <w:rPr>
          <w:rFonts w:eastAsia="Times New Roman" w:cs="Arial"/>
          <w:lang w:eastAsia="bg-BG"/>
        </w:rPr>
      </w:pPr>
      <w:r w:rsidRPr="00421E1A">
        <w:rPr>
          <w:rFonts w:eastAsia="Times New Roman" w:cs="Arial"/>
          <w:i/>
          <w:iCs/>
          <w:color w:val="000000"/>
          <w:lang w:eastAsia="bg-BG"/>
        </w:rPr>
        <w:t>Пациенти в старческа възраст</w:t>
      </w:r>
    </w:p>
    <w:p w14:paraId="270DFD8C" w14:textId="0AEAD11A"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Фармакокинетиката при пациенти в старческа възраст (възраст ≥ 65 години) е близка до тази при младите.</w:t>
      </w:r>
    </w:p>
    <w:p w14:paraId="5FFCEDC6" w14:textId="77777777" w:rsidR="00421E1A" w:rsidRDefault="00421E1A" w:rsidP="00421E1A">
      <w:pPr>
        <w:spacing w:line="240" w:lineRule="auto"/>
        <w:rPr>
          <w:rFonts w:eastAsia="Times New Roman" w:cs="Arial"/>
          <w:i/>
          <w:iCs/>
          <w:color w:val="000000"/>
          <w:lang w:eastAsia="bg-BG"/>
        </w:rPr>
      </w:pPr>
    </w:p>
    <w:p w14:paraId="5EC4B84D" w14:textId="1C4D63DE" w:rsidR="00421E1A" w:rsidRPr="00421E1A" w:rsidRDefault="00421E1A" w:rsidP="00421E1A">
      <w:pPr>
        <w:spacing w:line="240" w:lineRule="auto"/>
        <w:rPr>
          <w:rFonts w:eastAsia="Times New Roman" w:cs="Arial"/>
          <w:lang w:eastAsia="bg-BG"/>
        </w:rPr>
      </w:pPr>
      <w:r w:rsidRPr="00421E1A">
        <w:rPr>
          <w:rFonts w:eastAsia="Times New Roman" w:cs="Arial"/>
          <w:i/>
          <w:iCs/>
          <w:color w:val="000000"/>
          <w:lang w:eastAsia="bg-BG"/>
        </w:rPr>
        <w:t>Пол</w:t>
      </w:r>
    </w:p>
    <w:p w14:paraId="3BDF5703"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Не се установява разлика във фармакокинетиката при мъже и жени.</w:t>
      </w:r>
    </w:p>
    <w:p w14:paraId="37E37AF8" w14:textId="77777777" w:rsidR="00421E1A" w:rsidRDefault="00421E1A" w:rsidP="00421E1A">
      <w:pPr>
        <w:spacing w:line="240" w:lineRule="auto"/>
        <w:rPr>
          <w:rFonts w:eastAsia="Times New Roman" w:cs="Arial"/>
          <w:i/>
          <w:iCs/>
          <w:color w:val="000000"/>
          <w:lang w:eastAsia="bg-BG"/>
        </w:rPr>
      </w:pPr>
    </w:p>
    <w:p w14:paraId="0219DD4B" w14:textId="053AB2A1" w:rsidR="00421E1A" w:rsidRPr="00421E1A" w:rsidRDefault="00421E1A" w:rsidP="00421E1A">
      <w:pPr>
        <w:spacing w:line="240" w:lineRule="auto"/>
        <w:rPr>
          <w:rFonts w:eastAsia="Times New Roman" w:cs="Arial"/>
          <w:lang w:eastAsia="bg-BG"/>
        </w:rPr>
      </w:pPr>
      <w:r w:rsidRPr="00421E1A">
        <w:rPr>
          <w:rFonts w:eastAsia="Times New Roman" w:cs="Arial"/>
          <w:i/>
          <w:iCs/>
          <w:color w:val="000000"/>
          <w:lang w:eastAsia="bg-BG"/>
        </w:rPr>
        <w:t>Чернодробно увреждане</w:t>
      </w:r>
    </w:p>
    <w:p w14:paraId="354B397F"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При пациенти с лека степен на чернодробно увреждане </w:t>
      </w:r>
      <w:r w:rsidRPr="00421E1A">
        <w:rPr>
          <w:rFonts w:eastAsia="Times New Roman" w:cs="Arial"/>
          <w:color w:val="000000"/>
          <w:lang w:val="en-US"/>
        </w:rPr>
        <w:t xml:space="preserve">(Child-Pugh </w:t>
      </w:r>
      <w:r w:rsidRPr="00421E1A">
        <w:rPr>
          <w:rFonts w:eastAsia="Times New Roman" w:cs="Arial"/>
          <w:color w:val="000000"/>
          <w:lang w:eastAsia="bg-BG"/>
        </w:rPr>
        <w:t xml:space="preserve">индекс 5-6), прилагането на еторикоксиб в доза 60 </w:t>
      </w:r>
      <w:r w:rsidRPr="00421E1A">
        <w:rPr>
          <w:rFonts w:eastAsia="Times New Roman" w:cs="Arial"/>
          <w:color w:val="000000"/>
          <w:lang w:val="en-US"/>
        </w:rPr>
        <w:t xml:space="preserve">mg </w:t>
      </w:r>
      <w:r w:rsidRPr="00421E1A">
        <w:rPr>
          <w:rFonts w:eastAsia="Times New Roman" w:cs="Arial"/>
          <w:color w:val="000000"/>
          <w:lang w:eastAsia="bg-BG"/>
        </w:rPr>
        <w:t xml:space="preserve">веднъж дневно е довело до приблизително 16 % по-голяма средна </w:t>
      </w:r>
      <w:r w:rsidRPr="00421E1A">
        <w:rPr>
          <w:rFonts w:eastAsia="Times New Roman" w:cs="Arial"/>
          <w:color w:val="000000"/>
          <w:lang w:val="en-US"/>
        </w:rPr>
        <w:t xml:space="preserve">AUC </w:t>
      </w:r>
      <w:r w:rsidRPr="00421E1A">
        <w:rPr>
          <w:rFonts w:eastAsia="Times New Roman" w:cs="Arial"/>
          <w:color w:val="000000"/>
          <w:lang w:eastAsia="bg-BG"/>
        </w:rPr>
        <w:t xml:space="preserve">в сравнение със здрави лица на същия дозов режим. При пациентите с умерена степен на чернодробно увреждане </w:t>
      </w:r>
      <w:r w:rsidRPr="00421E1A">
        <w:rPr>
          <w:rFonts w:eastAsia="Times New Roman" w:cs="Arial"/>
          <w:color w:val="000000"/>
          <w:lang w:val="en-US"/>
        </w:rPr>
        <w:t xml:space="preserve">(Child-Pugh </w:t>
      </w:r>
      <w:r w:rsidRPr="00421E1A">
        <w:rPr>
          <w:rFonts w:eastAsia="Times New Roman" w:cs="Arial"/>
          <w:color w:val="000000"/>
          <w:lang w:eastAsia="bg-BG"/>
        </w:rPr>
        <w:t xml:space="preserve">индекс 7-9), прилагането на еторикоксиб в доза 60 </w:t>
      </w:r>
      <w:r w:rsidRPr="00421E1A">
        <w:rPr>
          <w:rFonts w:eastAsia="Times New Roman" w:cs="Arial"/>
          <w:color w:val="000000"/>
          <w:lang w:val="en-US"/>
        </w:rPr>
        <w:t xml:space="preserve">mg </w:t>
      </w:r>
      <w:r w:rsidRPr="00421E1A">
        <w:rPr>
          <w:rFonts w:eastAsia="Times New Roman" w:cs="Arial"/>
          <w:color w:val="000000"/>
          <w:lang w:eastAsia="bg-BG"/>
        </w:rPr>
        <w:t xml:space="preserve">през ден е довело до средна </w:t>
      </w:r>
      <w:r w:rsidRPr="00421E1A">
        <w:rPr>
          <w:rFonts w:eastAsia="Times New Roman" w:cs="Arial"/>
          <w:color w:val="000000"/>
          <w:lang w:val="en-US"/>
        </w:rPr>
        <w:t xml:space="preserve">AUC, </w:t>
      </w:r>
      <w:r w:rsidRPr="00421E1A">
        <w:rPr>
          <w:rFonts w:eastAsia="Times New Roman" w:cs="Arial"/>
          <w:color w:val="000000"/>
          <w:lang w:eastAsia="bg-BG"/>
        </w:rPr>
        <w:t xml:space="preserve">близка до тази на здравите лица при дозов режим от 60 </w:t>
      </w:r>
      <w:r w:rsidRPr="00421E1A">
        <w:rPr>
          <w:rFonts w:eastAsia="Times New Roman" w:cs="Arial"/>
          <w:color w:val="000000"/>
          <w:lang w:val="en-US"/>
        </w:rPr>
        <w:t xml:space="preserve">mg </w:t>
      </w:r>
      <w:r w:rsidRPr="00421E1A">
        <w:rPr>
          <w:rFonts w:eastAsia="Times New Roman" w:cs="Arial"/>
          <w:color w:val="000000"/>
          <w:lang w:eastAsia="bg-BG"/>
        </w:rPr>
        <w:t xml:space="preserve">дневно; еторикоксиб 30 </w:t>
      </w:r>
      <w:r w:rsidRPr="00421E1A">
        <w:rPr>
          <w:rFonts w:eastAsia="Times New Roman" w:cs="Arial"/>
          <w:color w:val="000000"/>
          <w:lang w:val="en-US"/>
        </w:rPr>
        <w:t xml:space="preserve">mg </w:t>
      </w:r>
      <w:r w:rsidRPr="00421E1A">
        <w:rPr>
          <w:rFonts w:eastAsia="Times New Roman" w:cs="Arial"/>
          <w:color w:val="000000"/>
          <w:lang w:eastAsia="bg-BG"/>
        </w:rPr>
        <w:t xml:space="preserve">веднъж дневно не е проучван в тази популация. Няма клинични и фармакокинетични данни за пациенти с тежка степен на чернодробно увреждане </w:t>
      </w:r>
      <w:r w:rsidRPr="00421E1A">
        <w:rPr>
          <w:rFonts w:eastAsia="Times New Roman" w:cs="Arial"/>
          <w:color w:val="000000"/>
          <w:lang w:val="en-US"/>
        </w:rPr>
        <w:t xml:space="preserve">(Child-Pugh </w:t>
      </w:r>
      <w:r w:rsidRPr="00421E1A">
        <w:rPr>
          <w:rFonts w:eastAsia="Times New Roman" w:cs="Arial"/>
          <w:color w:val="000000"/>
          <w:lang w:eastAsia="bg-BG"/>
        </w:rPr>
        <w:t>индекс ≥10) (вж. точки 4.2 и 4.3).</w:t>
      </w:r>
    </w:p>
    <w:p w14:paraId="3EBA432E" w14:textId="77777777" w:rsidR="00421E1A" w:rsidRDefault="00421E1A" w:rsidP="00421E1A">
      <w:pPr>
        <w:spacing w:line="240" w:lineRule="auto"/>
        <w:rPr>
          <w:rFonts w:eastAsia="Times New Roman" w:cs="Arial"/>
          <w:i/>
          <w:iCs/>
          <w:color w:val="000000"/>
          <w:lang w:eastAsia="bg-BG"/>
        </w:rPr>
      </w:pPr>
    </w:p>
    <w:p w14:paraId="21E9A045" w14:textId="2CF14394" w:rsidR="00421E1A" w:rsidRPr="00421E1A" w:rsidRDefault="00421E1A" w:rsidP="00421E1A">
      <w:pPr>
        <w:spacing w:line="240" w:lineRule="auto"/>
        <w:rPr>
          <w:rFonts w:eastAsia="Times New Roman" w:cs="Arial"/>
          <w:lang w:eastAsia="bg-BG"/>
        </w:rPr>
      </w:pPr>
      <w:r w:rsidRPr="00421E1A">
        <w:rPr>
          <w:rFonts w:eastAsia="Times New Roman" w:cs="Arial"/>
          <w:i/>
          <w:iCs/>
          <w:color w:val="000000"/>
          <w:lang w:eastAsia="bg-BG"/>
        </w:rPr>
        <w:lastRenderedPageBreak/>
        <w:t>Бъбречно увреждане</w:t>
      </w:r>
    </w:p>
    <w:p w14:paraId="1AB64D76"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Фармакокинетиката при еднократна доза от 120 </w:t>
      </w:r>
      <w:r w:rsidRPr="00421E1A">
        <w:rPr>
          <w:rFonts w:eastAsia="Times New Roman" w:cs="Arial"/>
          <w:color w:val="000000"/>
          <w:lang w:val="en-US"/>
        </w:rPr>
        <w:t xml:space="preserve">mg </w:t>
      </w:r>
      <w:r w:rsidRPr="00421E1A">
        <w:rPr>
          <w:rFonts w:eastAsia="Times New Roman" w:cs="Arial"/>
          <w:color w:val="000000"/>
          <w:lang w:eastAsia="bg-BG"/>
        </w:rPr>
        <w:t xml:space="preserve">еторикоксиб, приложена на пациенти с умерена до тежка бъбречна недостатъчност и такива с крайна фаза на бъбречно заболяване на хемодиализа, не се е различавала значимо спрямо тази при здрави лица. Хемодиализата е имала малък принос по отношение на елиминирането (диализен клирънс приблизително 50 </w:t>
      </w:r>
      <w:r w:rsidRPr="00421E1A">
        <w:rPr>
          <w:rFonts w:eastAsia="Times New Roman" w:cs="Arial"/>
          <w:color w:val="000000"/>
          <w:lang w:val="en-US"/>
        </w:rPr>
        <w:t>ml</w:t>
      </w:r>
      <w:r w:rsidRPr="00421E1A">
        <w:rPr>
          <w:rFonts w:eastAsia="Times New Roman" w:cs="Arial"/>
          <w:color w:val="000000"/>
          <w:lang w:eastAsia="bg-BG"/>
        </w:rPr>
        <w:t>/минута) (вж. точки 4.3 и 4.4).</w:t>
      </w:r>
    </w:p>
    <w:p w14:paraId="21FADF98" w14:textId="77777777" w:rsidR="00421E1A" w:rsidRDefault="00421E1A" w:rsidP="00421E1A">
      <w:pPr>
        <w:spacing w:line="240" w:lineRule="auto"/>
        <w:rPr>
          <w:rFonts w:eastAsia="Times New Roman" w:cs="Arial"/>
          <w:i/>
          <w:iCs/>
          <w:color w:val="000000"/>
          <w:lang w:eastAsia="bg-BG"/>
        </w:rPr>
      </w:pPr>
    </w:p>
    <w:p w14:paraId="5EC66BE7" w14:textId="0AB02151" w:rsidR="00421E1A" w:rsidRPr="00421E1A" w:rsidRDefault="00421E1A" w:rsidP="00421E1A">
      <w:pPr>
        <w:spacing w:line="240" w:lineRule="auto"/>
        <w:rPr>
          <w:rFonts w:eastAsia="Times New Roman" w:cs="Arial"/>
          <w:lang w:eastAsia="bg-BG"/>
        </w:rPr>
      </w:pPr>
      <w:r w:rsidRPr="00421E1A">
        <w:rPr>
          <w:rFonts w:eastAsia="Times New Roman" w:cs="Arial"/>
          <w:i/>
          <w:iCs/>
          <w:color w:val="000000"/>
          <w:lang w:eastAsia="bg-BG"/>
        </w:rPr>
        <w:t>Педиатрична популация</w:t>
      </w:r>
    </w:p>
    <w:p w14:paraId="7D26540E"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Фармакокинетиката на еторикоксиб при педиатрични пациенти (възраст &lt;12 години) не е изследвана.</w:t>
      </w:r>
    </w:p>
    <w:p w14:paraId="0177FF31" w14:textId="77777777" w:rsidR="00421E1A" w:rsidRDefault="00421E1A" w:rsidP="00421E1A">
      <w:pPr>
        <w:spacing w:line="240" w:lineRule="auto"/>
        <w:rPr>
          <w:rFonts w:eastAsia="Times New Roman" w:cs="Arial"/>
          <w:color w:val="000000"/>
          <w:lang w:eastAsia="bg-BG"/>
        </w:rPr>
      </w:pPr>
    </w:p>
    <w:p w14:paraId="4273A6CE" w14:textId="7385B6BE" w:rsidR="00421E1A" w:rsidRDefault="00421E1A" w:rsidP="00421E1A">
      <w:pPr>
        <w:spacing w:line="240" w:lineRule="auto"/>
        <w:rPr>
          <w:rFonts w:eastAsia="Times New Roman" w:cs="Arial"/>
          <w:color w:val="000000"/>
          <w:lang w:eastAsia="bg-BG"/>
        </w:rPr>
      </w:pPr>
      <w:r w:rsidRPr="00421E1A">
        <w:rPr>
          <w:rFonts w:eastAsia="Times New Roman" w:cs="Arial"/>
          <w:color w:val="000000"/>
          <w:lang w:eastAsia="bg-BG"/>
        </w:rPr>
        <w:t>При фармакокинетично проучване (</w:t>
      </w:r>
      <w:r w:rsidRPr="00421E1A">
        <w:rPr>
          <w:rFonts w:eastAsia="Times New Roman" w:cs="Arial"/>
          <w:color w:val="000000"/>
          <w:lang w:val="en-US"/>
        </w:rPr>
        <w:t>n</w:t>
      </w:r>
      <w:r w:rsidRPr="00421E1A">
        <w:rPr>
          <w:rFonts w:eastAsia="Times New Roman" w:cs="Arial"/>
          <w:color w:val="000000"/>
          <w:lang w:eastAsia="bg-BG"/>
        </w:rPr>
        <w:t>=16) проведено сред юноши (възраст от 12 до</w:t>
      </w:r>
      <w:r w:rsidRPr="00421E1A">
        <w:rPr>
          <w:rFonts w:eastAsia="Times New Roman" w:cs="Arial"/>
          <w:color w:val="000000"/>
          <w:lang w:val="en-US"/>
        </w:rPr>
        <w:t xml:space="preserve"> 17 </w:t>
      </w:r>
      <w:r w:rsidRPr="00421E1A">
        <w:rPr>
          <w:rFonts w:eastAsia="Times New Roman" w:cs="Arial"/>
          <w:color w:val="000000"/>
          <w:lang w:eastAsia="bg-BG"/>
        </w:rPr>
        <w:t xml:space="preserve">години) фармакокинетиката при юношите с тегло от 40 до 60 </w:t>
      </w:r>
      <w:r w:rsidRPr="00421E1A">
        <w:rPr>
          <w:rFonts w:eastAsia="Times New Roman" w:cs="Arial"/>
          <w:color w:val="000000"/>
          <w:lang w:val="en-US"/>
        </w:rPr>
        <w:t xml:space="preserve">kg </w:t>
      </w:r>
      <w:r w:rsidRPr="00421E1A">
        <w:rPr>
          <w:rFonts w:eastAsia="Times New Roman" w:cs="Arial"/>
          <w:color w:val="000000"/>
          <w:lang w:eastAsia="bg-BG"/>
        </w:rPr>
        <w:t xml:space="preserve">при доза на еторикоксиб от 60 </w:t>
      </w:r>
      <w:r w:rsidRPr="00421E1A">
        <w:rPr>
          <w:rFonts w:eastAsia="Times New Roman" w:cs="Arial"/>
          <w:color w:val="000000"/>
          <w:lang w:val="en-US"/>
        </w:rPr>
        <w:t>mg</w:t>
      </w:r>
      <w:r w:rsidRPr="00421E1A">
        <w:rPr>
          <w:rFonts w:eastAsia="Times New Roman" w:cs="Arial"/>
          <w:i/>
          <w:iCs/>
          <w:color w:val="000000"/>
          <w:lang w:eastAsia="bg-BG"/>
        </w:rPr>
        <w:t xml:space="preserve"> </w:t>
      </w:r>
      <w:r w:rsidRPr="00421E1A">
        <w:rPr>
          <w:rFonts w:eastAsia="Times New Roman" w:cs="Arial"/>
          <w:color w:val="000000"/>
          <w:lang w:eastAsia="bg-BG"/>
        </w:rPr>
        <w:t xml:space="preserve">веднъж дневно и при юношите с тегло &gt;60 </w:t>
      </w:r>
      <w:r w:rsidRPr="00421E1A">
        <w:rPr>
          <w:rFonts w:eastAsia="Times New Roman" w:cs="Arial"/>
          <w:color w:val="000000"/>
          <w:lang w:val="en-US"/>
        </w:rPr>
        <w:t xml:space="preserve">kg </w:t>
      </w:r>
      <w:r w:rsidRPr="00421E1A">
        <w:rPr>
          <w:rFonts w:eastAsia="Times New Roman" w:cs="Arial"/>
          <w:color w:val="000000"/>
          <w:lang w:eastAsia="bg-BG"/>
        </w:rPr>
        <w:t xml:space="preserve">(доза на еторикоксиб 90 </w:t>
      </w:r>
      <w:r w:rsidRPr="00421E1A">
        <w:rPr>
          <w:rFonts w:eastAsia="Times New Roman" w:cs="Arial"/>
          <w:color w:val="000000"/>
          <w:lang w:val="en-US"/>
        </w:rPr>
        <w:t xml:space="preserve">mg </w:t>
      </w:r>
      <w:r w:rsidRPr="00421E1A">
        <w:rPr>
          <w:rFonts w:eastAsia="Times New Roman" w:cs="Arial"/>
          <w:color w:val="000000"/>
          <w:lang w:eastAsia="bg-BG"/>
        </w:rPr>
        <w:t xml:space="preserve">веднъж дневно) е била близка до тази на възрастни, получили еторикоксиб в доза 90 </w:t>
      </w:r>
      <w:r w:rsidRPr="00421E1A">
        <w:rPr>
          <w:rFonts w:eastAsia="Times New Roman" w:cs="Arial"/>
          <w:color w:val="000000"/>
          <w:lang w:val="en-US"/>
        </w:rPr>
        <w:t xml:space="preserve">mg </w:t>
      </w:r>
      <w:r w:rsidRPr="00421E1A">
        <w:rPr>
          <w:rFonts w:eastAsia="Times New Roman" w:cs="Arial"/>
          <w:color w:val="000000"/>
          <w:lang w:eastAsia="bg-BG"/>
        </w:rPr>
        <w:t>веднъж дневно.</w:t>
      </w:r>
    </w:p>
    <w:p w14:paraId="6BC07CDA" w14:textId="528296E1" w:rsidR="00421E1A" w:rsidRDefault="00421E1A" w:rsidP="00421E1A">
      <w:pPr>
        <w:spacing w:line="240" w:lineRule="auto"/>
        <w:rPr>
          <w:rFonts w:eastAsia="Times New Roman" w:cs="Arial"/>
          <w:color w:val="000000"/>
          <w:lang w:eastAsia="bg-BG"/>
        </w:rPr>
      </w:pPr>
    </w:p>
    <w:p w14:paraId="76E30DED" w14:textId="148CF8C5" w:rsidR="00421E1A" w:rsidRPr="00421E1A" w:rsidRDefault="00421E1A" w:rsidP="00421E1A">
      <w:pPr>
        <w:rPr>
          <w:sz w:val="24"/>
          <w:szCs w:val="24"/>
          <w:lang w:eastAsia="bg-BG"/>
        </w:rPr>
      </w:pPr>
      <w:r w:rsidRPr="00421E1A">
        <w:rPr>
          <w:lang w:eastAsia="bg-BG"/>
        </w:rPr>
        <w:t>Безопасността и ефективността на еторикоксиб при педиатрични пациенти не са изследвани (вж. точка 4.2).</w:t>
      </w:r>
    </w:p>
    <w:p w14:paraId="3E710944" w14:textId="69D30147" w:rsidR="006B43A1" w:rsidRPr="006B43A1" w:rsidRDefault="006B43A1" w:rsidP="006B43A1">
      <w:pPr>
        <w:rPr>
          <w:rFonts w:cs="Arial"/>
        </w:rPr>
      </w:pPr>
    </w:p>
    <w:p w14:paraId="6925FEB0" w14:textId="7304E29B" w:rsidR="00F62E44" w:rsidRDefault="002C50EE" w:rsidP="00387A66">
      <w:pPr>
        <w:pStyle w:val="Heading2"/>
      </w:pPr>
      <w:r>
        <w:t>5.3. Предклинични данни за безопасност</w:t>
      </w:r>
    </w:p>
    <w:p w14:paraId="1D7640BB" w14:textId="5C9E197A" w:rsidR="00421E1A" w:rsidRDefault="00421E1A" w:rsidP="00421E1A"/>
    <w:p w14:paraId="174D48FB"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В предклиничните проучвания с еторикоксиб не е била установена генна токсичност. Еторикоксиб не е бил канцерогенен при мишки, лъховете са развили хепатоцелуларен и тиреоиден фоликулоцелуларен аденом при дозировка &gt; 2-пъти дневната доза при хора [90 </w:t>
      </w:r>
      <w:r w:rsidRPr="00421E1A">
        <w:rPr>
          <w:rFonts w:eastAsia="Times New Roman" w:cs="Arial"/>
          <w:color w:val="000000"/>
          <w:lang w:val="en-US"/>
        </w:rPr>
        <w:t xml:space="preserve">mg] </w:t>
      </w:r>
      <w:r w:rsidRPr="00421E1A">
        <w:rPr>
          <w:rFonts w:eastAsia="Times New Roman" w:cs="Arial"/>
          <w:color w:val="000000"/>
          <w:lang w:eastAsia="bg-BG"/>
        </w:rPr>
        <w:t>и системна ежедневна експозиция в продължение на приблизително 2 години.</w:t>
      </w:r>
    </w:p>
    <w:p w14:paraId="0AF58B78"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Хепатоцелуларният и тиреоидният фоликулоцелуларен аденом, наблюдавани при плъховете, са били счетени за резултат на специфичен за плъховете механизъм, свързан с индукция на чернодробните </w:t>
      </w:r>
      <w:r w:rsidRPr="00421E1A">
        <w:rPr>
          <w:rFonts w:eastAsia="Times New Roman" w:cs="Arial"/>
          <w:color w:val="000000"/>
          <w:lang w:val="en-US"/>
        </w:rPr>
        <w:t xml:space="preserve">CYP </w:t>
      </w:r>
      <w:r w:rsidRPr="00421E1A">
        <w:rPr>
          <w:rFonts w:eastAsia="Times New Roman" w:cs="Arial"/>
          <w:color w:val="000000"/>
          <w:lang w:eastAsia="bg-BG"/>
        </w:rPr>
        <w:t xml:space="preserve">ензими. Не е установено еторикоксиб да предизвиква индукция на чернодробния </w:t>
      </w:r>
      <w:r w:rsidRPr="00421E1A">
        <w:rPr>
          <w:rFonts w:eastAsia="Times New Roman" w:cs="Arial"/>
          <w:color w:val="000000"/>
          <w:lang w:val="en-US"/>
        </w:rPr>
        <w:t xml:space="preserve">CYP3A </w:t>
      </w:r>
      <w:r w:rsidRPr="00421E1A">
        <w:rPr>
          <w:rFonts w:eastAsia="Times New Roman" w:cs="Arial"/>
          <w:color w:val="000000"/>
          <w:lang w:eastAsia="bg-BG"/>
        </w:rPr>
        <w:t>ензим при хората.</w:t>
      </w:r>
    </w:p>
    <w:p w14:paraId="4C95CF1B" w14:textId="77777777" w:rsidR="00421E1A" w:rsidRDefault="00421E1A" w:rsidP="00421E1A">
      <w:pPr>
        <w:spacing w:line="240" w:lineRule="auto"/>
        <w:rPr>
          <w:rFonts w:eastAsia="Times New Roman" w:cs="Arial"/>
          <w:color w:val="000000"/>
          <w:lang w:eastAsia="bg-BG"/>
        </w:rPr>
      </w:pPr>
    </w:p>
    <w:p w14:paraId="1F5D429B" w14:textId="77777777" w:rsidR="00421E1A" w:rsidRDefault="00421E1A" w:rsidP="00421E1A">
      <w:pPr>
        <w:spacing w:line="240" w:lineRule="auto"/>
        <w:rPr>
          <w:rFonts w:eastAsia="Times New Roman" w:cs="Arial"/>
          <w:color w:val="000000"/>
          <w:lang w:eastAsia="bg-BG"/>
        </w:rPr>
      </w:pPr>
      <w:r w:rsidRPr="00421E1A">
        <w:rPr>
          <w:rFonts w:eastAsia="Times New Roman" w:cs="Arial"/>
          <w:color w:val="000000"/>
          <w:lang w:eastAsia="bg-BG"/>
        </w:rPr>
        <w:t xml:space="preserve">Гастроинтестиналната токсичност на еторикоксиб при плъховете се увеличава с дозата и времето на експозиция. В проучване за токсичността на еторикоксиб продължило 14 седмици, улцерации на СЧ тракт са били наблюдавани при експозиция, надхвърляща тази при човек с прилагането на терапевтичната доза. При проучванията за токсичност в продължение на 53 и 106 седмици, язви в СЧ тракт са били наблюдавани също така при експозиции, сравними с тези при хора с прилагане на терапевтичната доза. При кучета, бъбречни и гастроинтестинални аномалии са били наблюдавани при висока дозова </w:t>
      </w:r>
    </w:p>
    <w:p w14:paraId="08F43C9C" w14:textId="2A371CEC"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експозиция.</w:t>
      </w:r>
    </w:p>
    <w:p w14:paraId="09524267" w14:textId="77777777" w:rsidR="00421E1A" w:rsidRDefault="00421E1A" w:rsidP="00421E1A">
      <w:pPr>
        <w:spacing w:line="240" w:lineRule="auto"/>
        <w:rPr>
          <w:rFonts w:eastAsia="Times New Roman" w:cs="Arial"/>
          <w:color w:val="000000"/>
          <w:lang w:eastAsia="bg-BG"/>
        </w:rPr>
      </w:pPr>
    </w:p>
    <w:p w14:paraId="1CC5E120" w14:textId="57D108FA"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 xml:space="preserve">Еторикоксиб не е показал тератогенност при проучвания за репродуктивна токсичност, проведени върху плъхове с доза 15 </w:t>
      </w:r>
      <w:r w:rsidRPr="00421E1A">
        <w:rPr>
          <w:rFonts w:eastAsia="Times New Roman" w:cs="Arial"/>
          <w:color w:val="000000"/>
          <w:lang w:val="en-US"/>
        </w:rPr>
        <w:t>mg/kg</w:t>
      </w:r>
      <w:r w:rsidRPr="00421E1A">
        <w:rPr>
          <w:rFonts w:eastAsia="Times New Roman" w:cs="Arial"/>
          <w:color w:val="000000"/>
          <w:lang w:eastAsia="bg-BG"/>
        </w:rPr>
        <w:t xml:space="preserve">/дневно (това е приблизително 1.5 пъти над дневната доза за хора [90 </w:t>
      </w:r>
      <w:r w:rsidRPr="00421E1A">
        <w:rPr>
          <w:rFonts w:eastAsia="Times New Roman" w:cs="Arial"/>
          <w:color w:val="000000"/>
          <w:lang w:val="en-US"/>
        </w:rPr>
        <w:t xml:space="preserve">mg] </w:t>
      </w:r>
      <w:r w:rsidRPr="00421E1A">
        <w:rPr>
          <w:rFonts w:eastAsia="Times New Roman" w:cs="Arial"/>
          <w:color w:val="000000"/>
          <w:lang w:eastAsia="bg-BG"/>
        </w:rPr>
        <w:t xml:space="preserve">при системна експозиция). При зайци е наблюдавано свързано с лечението повишение на сърдечно-съдовите малформации при нива на експозиция под клиничната експозиция при дневната доза за хората (90 </w:t>
      </w:r>
      <w:r w:rsidRPr="00421E1A">
        <w:rPr>
          <w:rFonts w:eastAsia="Times New Roman" w:cs="Arial"/>
          <w:color w:val="000000"/>
          <w:lang w:val="en-US"/>
        </w:rPr>
        <w:t>mg).</w:t>
      </w:r>
    </w:p>
    <w:p w14:paraId="6E5A41CB" w14:textId="77777777"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t>Въпреки това, не са наблюдавани свързани с лечението външни малформации или промени във феталния скелет. При плъховете и зайците е наблюдавано дозозависимо увеличение на постимплантационна загуба при експозиция, еквивалентна на или 1.5 пъти по-голяма от тази при хората (вж. точки 4.3 и 4.6).</w:t>
      </w:r>
    </w:p>
    <w:p w14:paraId="6E109459" w14:textId="77777777" w:rsidR="00421E1A" w:rsidRDefault="00421E1A" w:rsidP="00421E1A">
      <w:pPr>
        <w:spacing w:line="240" w:lineRule="auto"/>
        <w:rPr>
          <w:rFonts w:eastAsia="Times New Roman" w:cs="Arial"/>
          <w:color w:val="000000"/>
          <w:lang w:eastAsia="bg-BG"/>
        </w:rPr>
      </w:pPr>
    </w:p>
    <w:p w14:paraId="179AF94B" w14:textId="33CA2C41" w:rsidR="00421E1A" w:rsidRPr="00421E1A" w:rsidRDefault="00421E1A" w:rsidP="00421E1A">
      <w:pPr>
        <w:spacing w:line="240" w:lineRule="auto"/>
        <w:rPr>
          <w:rFonts w:eastAsia="Times New Roman" w:cs="Arial"/>
          <w:lang w:eastAsia="bg-BG"/>
        </w:rPr>
      </w:pPr>
      <w:r w:rsidRPr="00421E1A">
        <w:rPr>
          <w:rFonts w:eastAsia="Times New Roman" w:cs="Arial"/>
          <w:color w:val="000000"/>
          <w:lang w:eastAsia="bg-BG"/>
        </w:rPr>
        <w:lastRenderedPageBreak/>
        <w:t>Еторикоксиб се екскретира в млякото на плъховете при лактация, като концентрациите са приблизително два пъти над тези в плазмата. Теглото на малките е намаляло при захранването с мляко от женски плъхове, които са получавали еторикоксиб по време на лактация.</w:t>
      </w:r>
    </w:p>
    <w:p w14:paraId="38444B77" w14:textId="77777777" w:rsidR="00421E1A" w:rsidRPr="00421E1A" w:rsidRDefault="00421E1A" w:rsidP="00421E1A"/>
    <w:p w14:paraId="357049A8" w14:textId="0D181944" w:rsidR="00BB22B4" w:rsidRDefault="002C50EE" w:rsidP="00471F10">
      <w:pPr>
        <w:pStyle w:val="Heading1"/>
      </w:pPr>
      <w:r>
        <w:t>7. ПРИТЕЖАТЕЛ НА РАЗРЕШЕНИЕТО ЗА УПОТРЕБА</w:t>
      </w:r>
    </w:p>
    <w:p w14:paraId="708DEDCA" w14:textId="0FE83F0B" w:rsidR="00421E1A" w:rsidRDefault="00421E1A" w:rsidP="00421E1A"/>
    <w:p w14:paraId="6878693A" w14:textId="77777777" w:rsidR="00421E1A" w:rsidRPr="00421E1A" w:rsidRDefault="00421E1A" w:rsidP="00421E1A">
      <w:pPr>
        <w:rPr>
          <w:sz w:val="24"/>
          <w:szCs w:val="24"/>
          <w:lang w:val="en-US" w:eastAsia="bg-BG"/>
        </w:rPr>
      </w:pPr>
      <w:proofErr w:type="spellStart"/>
      <w:r w:rsidRPr="00421E1A">
        <w:rPr>
          <w:lang w:val="en-US"/>
        </w:rPr>
        <w:t>Alvogen</w:t>
      </w:r>
      <w:proofErr w:type="spellEnd"/>
      <w:r w:rsidRPr="00421E1A">
        <w:rPr>
          <w:lang w:val="en-US"/>
        </w:rPr>
        <w:t xml:space="preserve"> Malta Operations (ROW) Ltd.</w:t>
      </w:r>
    </w:p>
    <w:p w14:paraId="6E69B680" w14:textId="77777777" w:rsidR="00421E1A" w:rsidRPr="00421E1A" w:rsidRDefault="00421E1A" w:rsidP="00421E1A">
      <w:pPr>
        <w:rPr>
          <w:sz w:val="24"/>
          <w:szCs w:val="24"/>
          <w:lang w:val="en-US" w:eastAsia="bg-BG"/>
        </w:rPr>
      </w:pPr>
      <w:r w:rsidRPr="00421E1A">
        <w:rPr>
          <w:lang w:val="en-US"/>
        </w:rPr>
        <w:t>Malta Life Sciences Park, Building 1, Level 4,</w:t>
      </w:r>
    </w:p>
    <w:p w14:paraId="688B43EF" w14:textId="77777777" w:rsidR="00421E1A" w:rsidRPr="00421E1A" w:rsidRDefault="00421E1A" w:rsidP="00421E1A">
      <w:pPr>
        <w:rPr>
          <w:sz w:val="24"/>
          <w:szCs w:val="24"/>
          <w:lang w:val="en-US" w:eastAsia="bg-BG"/>
        </w:rPr>
      </w:pPr>
      <w:r w:rsidRPr="00421E1A">
        <w:rPr>
          <w:lang w:val="en-US"/>
        </w:rPr>
        <w:t xml:space="preserve">Sir </w:t>
      </w:r>
      <w:proofErr w:type="spellStart"/>
      <w:r w:rsidRPr="00421E1A">
        <w:rPr>
          <w:lang w:val="en-US"/>
        </w:rPr>
        <w:t>Temi</w:t>
      </w:r>
      <w:proofErr w:type="spellEnd"/>
      <w:r w:rsidRPr="00421E1A">
        <w:rPr>
          <w:lang w:val="en-US"/>
        </w:rPr>
        <w:t xml:space="preserve"> Zammit Buildings,</w:t>
      </w:r>
    </w:p>
    <w:p w14:paraId="41BA1658" w14:textId="77777777" w:rsidR="00421E1A" w:rsidRPr="00421E1A" w:rsidRDefault="00421E1A" w:rsidP="00421E1A">
      <w:pPr>
        <w:rPr>
          <w:sz w:val="24"/>
          <w:szCs w:val="24"/>
          <w:lang w:val="en-US" w:eastAsia="bg-BG"/>
        </w:rPr>
      </w:pPr>
      <w:r w:rsidRPr="00421E1A">
        <w:rPr>
          <w:lang w:val="en-US"/>
        </w:rPr>
        <w:t>San Gwann SGN 3000,</w:t>
      </w:r>
    </w:p>
    <w:p w14:paraId="5BC748C2" w14:textId="1AF804BD" w:rsidR="00421E1A" w:rsidRPr="00421E1A" w:rsidRDefault="00421E1A" w:rsidP="00421E1A">
      <w:r w:rsidRPr="00421E1A">
        <w:rPr>
          <w:lang w:eastAsia="bg-BG"/>
        </w:rPr>
        <w:t>Малта</w:t>
      </w:r>
    </w:p>
    <w:p w14:paraId="0A53321D" w14:textId="2EB13F0F" w:rsidR="00EE6C97" w:rsidRDefault="00936AD0" w:rsidP="00A93499">
      <w:pPr>
        <w:pStyle w:val="Heading1"/>
      </w:pPr>
      <w:r>
        <w:t>8.</w:t>
      </w:r>
      <w:r w:rsidR="002C50EE">
        <w:t>НОМЕР НА РАЗРЕШЕНИЕТО ЗА УПОТРЕБА</w:t>
      </w:r>
    </w:p>
    <w:p w14:paraId="60CCF984" w14:textId="328D1957" w:rsidR="00421E1A" w:rsidRDefault="00421E1A" w:rsidP="00421E1A"/>
    <w:p w14:paraId="6A11F705" w14:textId="0F6BD572" w:rsidR="00421E1A" w:rsidRPr="00421E1A" w:rsidRDefault="00421E1A" w:rsidP="00421E1A">
      <w:r>
        <w:t xml:space="preserve">Регистрационен номер: </w:t>
      </w:r>
      <w:r>
        <w:rPr>
          <w:lang w:val="en-US"/>
        </w:rPr>
        <w:t>20160336</w:t>
      </w:r>
    </w:p>
    <w:p w14:paraId="7C2688F5" w14:textId="6D610EDF" w:rsidR="00F62E44" w:rsidRDefault="00F62E44" w:rsidP="00F62E44"/>
    <w:p w14:paraId="00481C21" w14:textId="07EFF9AF" w:rsidR="00F62E44" w:rsidRDefault="002C50EE" w:rsidP="00387A66">
      <w:pPr>
        <w:pStyle w:val="Heading1"/>
      </w:pPr>
      <w:r>
        <w:t>9. ДАТА НА ПЪРВО РАЗРЕШАВАНЕ/ПОДНОВЯВАНЕ НА РАЗРЕШЕНИЕТО ЗА УПОТРЕБА</w:t>
      </w:r>
    </w:p>
    <w:p w14:paraId="1C4A5072" w14:textId="69FCDCC9" w:rsidR="00421E1A" w:rsidRDefault="00421E1A" w:rsidP="00421E1A"/>
    <w:p w14:paraId="24AEEDC7" w14:textId="3F48989F" w:rsidR="00421E1A" w:rsidRPr="00421E1A" w:rsidRDefault="00421E1A" w:rsidP="00421E1A">
      <w:r>
        <w:t>Дата на първо разрешаване: 04.11.2016</w:t>
      </w:r>
    </w:p>
    <w:p w14:paraId="43FB38A2" w14:textId="2A2C7E24"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3EF62596"/>
    <w:multiLevelType w:val="hybridMultilevel"/>
    <w:tmpl w:val="91F04F56"/>
    <w:lvl w:ilvl="0" w:tplc="F41C7DB8">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598872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1E1A"/>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6B43A1"/>
    <w:rsid w:val="007122AD"/>
    <w:rsid w:val="0075649D"/>
    <w:rsid w:val="007C605B"/>
    <w:rsid w:val="008134C8"/>
    <w:rsid w:val="00814073"/>
    <w:rsid w:val="00826F0D"/>
    <w:rsid w:val="00875EEC"/>
    <w:rsid w:val="00893B92"/>
    <w:rsid w:val="008A6AF2"/>
    <w:rsid w:val="008C70A2"/>
    <w:rsid w:val="008F7F23"/>
    <w:rsid w:val="009058DE"/>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8208</Words>
  <Characters>46792</Characters>
  <Application>Microsoft Office Word</Application>
  <DocSecurity>0</DocSecurity>
  <Lines>389</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2023-03-04T01:16:00Z</dcterms:created>
  <dcterms:modified xsi:type="dcterms:W3CDTF">2023-03-04T01:16:00Z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