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04A2AA78" w:rsidR="00C40420" w:rsidRDefault="00DD466D" w:rsidP="004A448E">
      <w:pPr>
        <w:pStyle w:val="Heading1"/>
      </w:pPr>
      <w:r>
        <w:t>1.ИМЕ НА ЛЕКАРСТВЕНИЯ ПРОДУКТ</w:t>
      </w:r>
    </w:p>
    <w:p w14:paraId="6F7270C4" w14:textId="145D11BB" w:rsidR="0030322F" w:rsidRDefault="0030322F" w:rsidP="0030322F"/>
    <w:p w14:paraId="35F1C2EC" w14:textId="77777777" w:rsidR="0030322F" w:rsidRPr="0030322F" w:rsidRDefault="0030322F" w:rsidP="0030322F">
      <w:pPr>
        <w:rPr>
          <w:sz w:val="24"/>
          <w:szCs w:val="24"/>
          <w:lang w:val="en-US"/>
        </w:rPr>
      </w:pPr>
      <w:r w:rsidRPr="0030322F">
        <w:rPr>
          <w:lang w:eastAsia="bg-BG"/>
        </w:rPr>
        <w:t xml:space="preserve">Крестор 10 </w:t>
      </w:r>
      <w:r w:rsidRPr="0030322F">
        <w:rPr>
          <w:lang w:val="en-US"/>
        </w:rPr>
        <w:t xml:space="preserve">mg </w:t>
      </w:r>
      <w:r w:rsidRPr="0030322F">
        <w:rPr>
          <w:lang w:eastAsia="bg-BG"/>
        </w:rPr>
        <w:t>филмирани таблетки</w:t>
      </w:r>
    </w:p>
    <w:p w14:paraId="16CF9FDB" w14:textId="77777777" w:rsidR="0030322F" w:rsidRPr="0030322F" w:rsidRDefault="0030322F" w:rsidP="0030322F">
      <w:pPr>
        <w:rPr>
          <w:sz w:val="24"/>
          <w:szCs w:val="24"/>
          <w:lang w:val="en-US"/>
        </w:rPr>
      </w:pPr>
      <w:r w:rsidRPr="0030322F">
        <w:rPr>
          <w:lang w:val="en-US"/>
        </w:rPr>
        <w:t xml:space="preserve">Crestor </w:t>
      </w:r>
      <w:r w:rsidRPr="0030322F">
        <w:rPr>
          <w:lang w:eastAsia="bg-BG"/>
        </w:rPr>
        <w:t xml:space="preserve">10 </w:t>
      </w:r>
      <w:r w:rsidRPr="0030322F">
        <w:rPr>
          <w:lang w:val="en-US"/>
        </w:rPr>
        <w:t>mg film-coated tablets</w:t>
      </w:r>
    </w:p>
    <w:p w14:paraId="517DF698" w14:textId="77777777" w:rsidR="0030322F" w:rsidRPr="0030322F" w:rsidRDefault="0030322F" w:rsidP="0030322F">
      <w:pPr>
        <w:rPr>
          <w:lang w:val="en-US"/>
        </w:rPr>
      </w:pPr>
    </w:p>
    <w:p w14:paraId="6920A680" w14:textId="3634602A" w:rsidR="00C40420" w:rsidRDefault="00DD466D" w:rsidP="004A448E">
      <w:pPr>
        <w:pStyle w:val="Heading1"/>
      </w:pPr>
      <w:r>
        <w:t>2. КАЧЕСТВЕН И КОЛИЧЕСТВЕН СЪСТАВ</w:t>
      </w:r>
    </w:p>
    <w:p w14:paraId="1259E94D" w14:textId="1E57F1BC" w:rsidR="0030322F" w:rsidRDefault="0030322F" w:rsidP="0030322F"/>
    <w:p w14:paraId="325868D9" w14:textId="77777777" w:rsidR="0030322F" w:rsidRPr="0030322F" w:rsidRDefault="0030322F" w:rsidP="0030322F">
      <w:pPr>
        <w:rPr>
          <w:sz w:val="24"/>
          <w:szCs w:val="24"/>
        </w:rPr>
      </w:pPr>
      <w:r w:rsidRPr="0030322F">
        <w:rPr>
          <w:lang w:eastAsia="bg-BG"/>
        </w:rPr>
        <w:t xml:space="preserve">Всяка таблетка съдържа 10 </w:t>
      </w:r>
      <w:r w:rsidRPr="0030322F">
        <w:rPr>
          <w:lang w:val="en-US"/>
        </w:rPr>
        <w:t>mg</w:t>
      </w:r>
      <w:r w:rsidRPr="0030322F">
        <w:t xml:space="preserve"> </w:t>
      </w:r>
      <w:r w:rsidRPr="0030322F">
        <w:rPr>
          <w:lang w:eastAsia="bg-BG"/>
        </w:rPr>
        <w:t xml:space="preserve">розувастатин </w:t>
      </w:r>
      <w:r w:rsidRPr="0030322F">
        <w:rPr>
          <w:i/>
          <w:iCs/>
        </w:rPr>
        <w:t>(</w:t>
      </w:r>
      <w:proofErr w:type="spellStart"/>
      <w:r w:rsidRPr="0030322F">
        <w:rPr>
          <w:i/>
          <w:iCs/>
          <w:lang w:val="en-US"/>
        </w:rPr>
        <w:t>rosuvastatin</w:t>
      </w:r>
      <w:proofErr w:type="spellEnd"/>
      <w:r w:rsidRPr="0030322F">
        <w:rPr>
          <w:i/>
          <w:iCs/>
        </w:rPr>
        <w:t>)</w:t>
      </w:r>
      <w:r w:rsidRPr="0030322F">
        <w:t xml:space="preserve"> </w:t>
      </w:r>
      <w:r w:rsidRPr="0030322F">
        <w:rPr>
          <w:lang w:eastAsia="bg-BG"/>
        </w:rPr>
        <w:t xml:space="preserve">като розувастатин калций. Всяка таблетка съдържа 91,3 </w:t>
      </w:r>
      <w:r w:rsidRPr="0030322F">
        <w:rPr>
          <w:lang w:val="en-US"/>
        </w:rPr>
        <w:t xml:space="preserve">mg </w:t>
      </w:r>
      <w:r w:rsidRPr="0030322F">
        <w:rPr>
          <w:lang w:eastAsia="bg-BG"/>
        </w:rPr>
        <w:t>лактоза монохидрат.</w:t>
      </w:r>
    </w:p>
    <w:p w14:paraId="2EE18D11" w14:textId="77777777" w:rsidR="0030322F" w:rsidRPr="0030322F" w:rsidRDefault="0030322F" w:rsidP="0030322F"/>
    <w:p w14:paraId="614984C4" w14:textId="04BB1105" w:rsidR="008A6AF2" w:rsidRDefault="00DD466D" w:rsidP="002C50EE">
      <w:pPr>
        <w:pStyle w:val="Heading1"/>
      </w:pPr>
      <w:r>
        <w:t>3. ЛЕКАРСТВЕНА ФОРМА</w:t>
      </w:r>
    </w:p>
    <w:p w14:paraId="1788AB89" w14:textId="71295B84" w:rsidR="0030322F" w:rsidRDefault="0030322F" w:rsidP="0030322F"/>
    <w:p w14:paraId="65DE8069" w14:textId="77777777" w:rsidR="0030322F" w:rsidRPr="0030322F" w:rsidRDefault="0030322F" w:rsidP="0030322F">
      <w:pPr>
        <w:rPr>
          <w:sz w:val="24"/>
          <w:szCs w:val="24"/>
        </w:rPr>
      </w:pPr>
      <w:r w:rsidRPr="0030322F">
        <w:rPr>
          <w:lang w:eastAsia="bg-BG"/>
        </w:rPr>
        <w:t>Филмирана таблетка.</w:t>
      </w:r>
    </w:p>
    <w:p w14:paraId="5AA8D25C" w14:textId="595427F0" w:rsidR="0030322F" w:rsidRDefault="0030322F" w:rsidP="0030322F">
      <w:pPr>
        <w:rPr>
          <w:lang w:eastAsia="bg-BG"/>
        </w:rPr>
      </w:pPr>
      <w:r w:rsidRPr="0030322F">
        <w:rPr>
          <w:lang w:eastAsia="bg-BG"/>
        </w:rPr>
        <w:t xml:space="preserve">Кръгла, оцветена в розово таблетка със знак </w:t>
      </w:r>
      <w:r w:rsidRPr="0030322F">
        <w:rPr>
          <w:lang w:val="ru-RU"/>
        </w:rPr>
        <w:t>„</w:t>
      </w:r>
      <w:r w:rsidRPr="0030322F">
        <w:rPr>
          <w:lang w:val="en-US"/>
        </w:rPr>
        <w:t>ZD</w:t>
      </w:r>
      <w:r w:rsidRPr="0030322F">
        <w:rPr>
          <w:lang w:val="ru-RU"/>
        </w:rPr>
        <w:t xml:space="preserve">4522” </w:t>
      </w:r>
      <w:r w:rsidRPr="0030322F">
        <w:rPr>
          <w:lang w:eastAsia="bg-BG"/>
        </w:rPr>
        <w:t>и „10” от едната страна и немаркирана откъм обратната.</w:t>
      </w:r>
    </w:p>
    <w:p w14:paraId="0C8CFBA8" w14:textId="77777777" w:rsidR="0030322F" w:rsidRPr="0030322F" w:rsidRDefault="0030322F" w:rsidP="0030322F"/>
    <w:p w14:paraId="490FC2C4" w14:textId="32682B15" w:rsidR="002C50EE" w:rsidRDefault="002C50EE" w:rsidP="002C50EE">
      <w:pPr>
        <w:pStyle w:val="Heading1"/>
      </w:pPr>
      <w:r>
        <w:t>4. КЛИНИЧНИ ДАННИ</w:t>
      </w:r>
    </w:p>
    <w:p w14:paraId="0C8E6903" w14:textId="73EACA72" w:rsidR="008134C8" w:rsidRDefault="002C50EE" w:rsidP="004A448E">
      <w:pPr>
        <w:pStyle w:val="Heading2"/>
      </w:pPr>
      <w:r>
        <w:t>4.1. Терапевтични показания</w:t>
      </w:r>
    </w:p>
    <w:p w14:paraId="11657FC9" w14:textId="7DE40BF8" w:rsidR="0030322F" w:rsidRDefault="0030322F" w:rsidP="0030322F"/>
    <w:p w14:paraId="7A5AF0A4"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Лечение на хиперхолестеролемия</w:t>
      </w:r>
    </w:p>
    <w:p w14:paraId="0DCEC894"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Възрастни, юноши и деца на или над 6-годишна възраст с първична хиперхолестеролемия (тип Па включително хетерозиготна фамилна хиперхолестеролемия) или смесена дислипидемия (тип </w:t>
      </w:r>
      <w:proofErr w:type="spellStart"/>
      <w:r w:rsidRPr="0030322F">
        <w:rPr>
          <w:rFonts w:eastAsia="Times New Roman" w:cs="Arial"/>
          <w:bCs/>
          <w:color w:val="000000"/>
          <w:szCs w:val="20"/>
          <w:lang w:val="en-US"/>
        </w:rPr>
        <w:t>IIb</w:t>
      </w:r>
      <w:proofErr w:type="spellEnd"/>
      <w:r w:rsidRPr="0030322F">
        <w:rPr>
          <w:rFonts w:eastAsia="Times New Roman" w:cs="Arial"/>
          <w:bCs/>
          <w:color w:val="000000"/>
          <w:szCs w:val="20"/>
          <w:lang w:eastAsia="bg-BG"/>
        </w:rPr>
        <w:t>) като добавка към диетата, когато резултатът от диетата и други нефармакологични мерки (напр. физически упражнения, намаляване на теглото) не е задоволителен.</w:t>
      </w:r>
    </w:p>
    <w:p w14:paraId="7550F031" w14:textId="77777777" w:rsidR="0030322F" w:rsidRPr="0030322F" w:rsidRDefault="0030322F" w:rsidP="0030322F">
      <w:pPr>
        <w:spacing w:line="240" w:lineRule="auto"/>
        <w:rPr>
          <w:rFonts w:eastAsia="Times New Roman" w:cs="Arial"/>
          <w:bCs/>
          <w:color w:val="000000"/>
          <w:szCs w:val="20"/>
          <w:lang w:eastAsia="bg-BG"/>
        </w:rPr>
      </w:pPr>
    </w:p>
    <w:p w14:paraId="50F19920" w14:textId="2894F392"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Възрастни, юноши и деца на или над 6-годишна възраст с хомозиготна фамилна хиперхолестеролемия като добавка към диетата, както и с друго липидопонижаващо лечение (напр. </w:t>
      </w:r>
      <w:r w:rsidRPr="0030322F">
        <w:rPr>
          <w:rFonts w:eastAsia="Times New Roman" w:cs="Arial"/>
          <w:bCs/>
          <w:color w:val="000000"/>
          <w:szCs w:val="20"/>
          <w:lang w:val="en-US"/>
        </w:rPr>
        <w:t>LDL</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афереза) или когато това лечение не е подходящо.</w:t>
      </w:r>
    </w:p>
    <w:p w14:paraId="77AFA68A" w14:textId="77777777" w:rsidR="0030322F" w:rsidRPr="0030322F" w:rsidRDefault="0030322F" w:rsidP="0030322F">
      <w:pPr>
        <w:spacing w:line="240" w:lineRule="auto"/>
        <w:rPr>
          <w:rFonts w:eastAsia="Times New Roman" w:cs="Arial"/>
          <w:bCs/>
          <w:color w:val="000000"/>
          <w:szCs w:val="20"/>
          <w:u w:val="single"/>
          <w:lang w:eastAsia="bg-BG"/>
        </w:rPr>
      </w:pPr>
    </w:p>
    <w:p w14:paraId="5F8C45C7" w14:textId="5F69C4CC"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Превенпия на сърдечно-съдови събития</w:t>
      </w:r>
    </w:p>
    <w:p w14:paraId="235DC560"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Предотвратяване на големи сърдечно-съдови събития при пациенти, оценени с висок риск за първо сърдечно-съдово събитие (вж. точка 5.1), като допълнение към коригирането на други рискови фактори.</w:t>
      </w:r>
    </w:p>
    <w:p w14:paraId="30AC3403" w14:textId="77777777" w:rsidR="0030322F" w:rsidRPr="0030322F" w:rsidRDefault="0030322F" w:rsidP="0030322F"/>
    <w:p w14:paraId="30BE2C7B" w14:textId="26FCE0DE" w:rsidR="008134C8" w:rsidRDefault="002C50EE" w:rsidP="004A448E">
      <w:pPr>
        <w:pStyle w:val="Heading2"/>
      </w:pPr>
      <w:r>
        <w:t>4.2. Дозировка и начин на приложение</w:t>
      </w:r>
    </w:p>
    <w:p w14:paraId="4E4B7160" w14:textId="3F4949B7" w:rsidR="0030322F" w:rsidRDefault="0030322F" w:rsidP="0030322F"/>
    <w:p w14:paraId="744BBFE9"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Преди започване на терапията, пациентът трябва да бъде поставен на стандартна диета за понижаване нивото на холестерола, която да продължи и по време на лечението. Изборът на дозировка се определя от индивидуалните терапевтични цели, които се </w:t>
      </w:r>
      <w:r w:rsidRPr="0030322F">
        <w:rPr>
          <w:rFonts w:eastAsia="Times New Roman" w:cs="Arial"/>
          <w:bCs/>
          <w:color w:val="000000"/>
          <w:szCs w:val="20"/>
          <w:lang w:eastAsia="bg-BG"/>
        </w:rPr>
        <w:lastRenderedPageBreak/>
        <w:t>определят от препоръките на съвременните консенсусни ръководства за контрол на холестеролемията.</w:t>
      </w:r>
    </w:p>
    <w:p w14:paraId="650D2FFD" w14:textId="77777777" w:rsidR="0030322F" w:rsidRPr="0030322F" w:rsidRDefault="0030322F" w:rsidP="0030322F">
      <w:pPr>
        <w:spacing w:line="240" w:lineRule="auto"/>
        <w:rPr>
          <w:rFonts w:eastAsia="Times New Roman" w:cs="Arial"/>
          <w:bCs/>
          <w:color w:val="000000"/>
          <w:szCs w:val="20"/>
          <w:lang w:eastAsia="bg-BG"/>
        </w:rPr>
      </w:pPr>
    </w:p>
    <w:p w14:paraId="190E4FF3" w14:textId="44D2C645"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Крестор може да се приема по всяко време на деня, със или без храна.</w:t>
      </w:r>
    </w:p>
    <w:p w14:paraId="2AC1681A" w14:textId="77777777" w:rsidR="0030322F" w:rsidRPr="0030322F" w:rsidRDefault="0030322F" w:rsidP="0030322F">
      <w:pPr>
        <w:spacing w:line="240" w:lineRule="auto"/>
        <w:rPr>
          <w:rFonts w:eastAsia="Times New Roman" w:cs="Arial"/>
          <w:bCs/>
          <w:color w:val="000000"/>
          <w:szCs w:val="20"/>
          <w:u w:val="single"/>
          <w:lang w:eastAsia="bg-BG"/>
        </w:rPr>
      </w:pPr>
    </w:p>
    <w:p w14:paraId="551DCBF5" w14:textId="45F6DE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Лечение на хиперхолесгеролемия</w:t>
      </w:r>
    </w:p>
    <w:p w14:paraId="015E3BAC" w14:textId="77777777" w:rsidR="0030322F" w:rsidRPr="0030322F" w:rsidRDefault="0030322F" w:rsidP="0030322F">
      <w:pPr>
        <w:rPr>
          <w:rFonts w:eastAsia="Times New Roman" w:cs="Arial"/>
          <w:sz w:val="28"/>
          <w:szCs w:val="24"/>
        </w:rPr>
      </w:pPr>
      <w:r w:rsidRPr="0030322F">
        <w:rPr>
          <w:rFonts w:eastAsia="Times New Roman" w:cs="Arial"/>
          <w:bCs/>
          <w:color w:val="000000"/>
          <w:szCs w:val="20"/>
          <w:lang w:eastAsia="bg-BG"/>
        </w:rPr>
        <w:t xml:space="preserve">Препоръчваната начална доза е 5 или 10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веднъж дневно, както при пациенти, които не са приемали статини, така и при преминаване от друг инхибитор на </w:t>
      </w:r>
      <w:r w:rsidRPr="0030322F">
        <w:rPr>
          <w:rFonts w:eastAsia="Times New Roman" w:cs="Arial"/>
          <w:bCs/>
          <w:color w:val="000000"/>
          <w:szCs w:val="20"/>
          <w:lang w:val="en-US"/>
        </w:rPr>
        <w:t>HMG</w:t>
      </w:r>
      <w:r w:rsidRPr="0030322F">
        <w:rPr>
          <w:rFonts w:eastAsia="Times New Roman" w:cs="Arial"/>
          <w:bCs/>
          <w:color w:val="000000"/>
          <w:szCs w:val="20"/>
          <w:lang w:val="ru-RU"/>
        </w:rPr>
        <w:t>-</w:t>
      </w:r>
      <w:r w:rsidRPr="0030322F">
        <w:rPr>
          <w:rFonts w:eastAsia="Times New Roman" w:cs="Arial"/>
          <w:bCs/>
          <w:color w:val="000000"/>
          <w:szCs w:val="20"/>
          <w:lang w:val="en-US"/>
        </w:rPr>
        <w:t>CoA</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редуктазата. Изборът на началната доза от медикамента зависи от нивото на серумния холестерол, бъдещия сърдечно-съдов риск и риска от поява на нежелани реакции към лечението (вж. по-долу). При необходимост, дозата може да се коригира, като се премине на следващото дозово ниво след 4 седмици (вж. точка 5.1). В сравнение с по-ниските дози и предвид повишената честота на съобщаване на нежелани реакции при доза от 40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в сравнение с по-ниските дози (вж. точка 4.8), последно титриране до максималната доза от 40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трябва да се предприема само при пациенти с тежка хиперхолестеролемия с висок сърдечносъдов риск (особено тези с фамилна хиперхолестеролемия), които не достигат желаното ниво на холестерол при лечение с 20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и при които ще се прави рутинно проследяване в хода на лечението (вж. точка 4.4). При започване на лечение с 40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се препоръчва постоянно наблюдение на пациента от специалист.</w:t>
      </w:r>
    </w:p>
    <w:p w14:paraId="4209CF66" w14:textId="77777777" w:rsidR="0030322F" w:rsidRPr="0030322F" w:rsidRDefault="0030322F" w:rsidP="0030322F">
      <w:pPr>
        <w:spacing w:line="240" w:lineRule="auto"/>
        <w:rPr>
          <w:rFonts w:eastAsia="Times New Roman" w:cs="Arial"/>
          <w:bCs/>
          <w:color w:val="000000"/>
          <w:szCs w:val="20"/>
          <w:u w:val="single"/>
          <w:lang w:eastAsia="bg-BG"/>
        </w:rPr>
      </w:pPr>
    </w:p>
    <w:p w14:paraId="1723ED29" w14:textId="09E219F0"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Превенция на сърдечно-съдови събития</w:t>
      </w:r>
    </w:p>
    <w:p w14:paraId="584DEFCC"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В проучването за понижаване на риска от сърдечно-съдови събития е използвана доза от 20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(вж. точка 5.1).</w:t>
      </w:r>
    </w:p>
    <w:p w14:paraId="29956864" w14:textId="77777777" w:rsidR="0030322F" w:rsidRPr="0030322F" w:rsidRDefault="0030322F" w:rsidP="0030322F">
      <w:pPr>
        <w:spacing w:line="240" w:lineRule="auto"/>
        <w:rPr>
          <w:rFonts w:eastAsia="Times New Roman" w:cs="Arial"/>
          <w:bCs/>
          <w:i/>
          <w:iCs/>
          <w:color w:val="000000"/>
          <w:szCs w:val="20"/>
          <w:lang w:eastAsia="bg-BG"/>
        </w:rPr>
      </w:pPr>
    </w:p>
    <w:p w14:paraId="40F54967" w14:textId="0D665346" w:rsidR="0030322F" w:rsidRPr="0030322F" w:rsidRDefault="0030322F" w:rsidP="0030322F">
      <w:pPr>
        <w:spacing w:line="240" w:lineRule="auto"/>
        <w:rPr>
          <w:rFonts w:eastAsia="Times New Roman" w:cs="Arial"/>
          <w:sz w:val="28"/>
          <w:szCs w:val="24"/>
        </w:rPr>
      </w:pPr>
      <w:r w:rsidRPr="0030322F">
        <w:rPr>
          <w:rFonts w:eastAsia="Times New Roman" w:cs="Arial"/>
          <w:bCs/>
          <w:i/>
          <w:iCs/>
          <w:color w:val="000000"/>
          <w:szCs w:val="20"/>
          <w:lang w:eastAsia="bg-BG"/>
        </w:rPr>
        <w:t>Педиатрична популация</w:t>
      </w:r>
    </w:p>
    <w:p w14:paraId="1D0DBFF3"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Употребата при деца трябва да се провежда само от специалисти.</w:t>
      </w:r>
    </w:p>
    <w:p w14:paraId="2097D9FA" w14:textId="77777777" w:rsidR="0030322F" w:rsidRPr="0030322F" w:rsidRDefault="0030322F" w:rsidP="0030322F">
      <w:pPr>
        <w:spacing w:line="240" w:lineRule="auto"/>
        <w:rPr>
          <w:rFonts w:eastAsia="Times New Roman" w:cs="Arial"/>
          <w:bCs/>
          <w:color w:val="000000"/>
          <w:szCs w:val="20"/>
          <w:u w:val="single"/>
          <w:lang w:eastAsia="bg-BG"/>
        </w:rPr>
      </w:pPr>
    </w:p>
    <w:p w14:paraId="3389845A" w14:textId="63D29480"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Деца и юноши на възраст 6 до 17 години (стадий &lt; II-V по Танер)</w:t>
      </w:r>
    </w:p>
    <w:p w14:paraId="3DA73794"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Хетерозиготна фамилна хиперхолестеролемия</w:t>
      </w:r>
    </w:p>
    <w:p w14:paraId="530BFC29"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При деца и юноши с хетерозиготна фамилна хиперхолестеролемия обичайната начална доза е 5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дневно.</w:t>
      </w:r>
    </w:p>
    <w:p w14:paraId="0117EEA7" w14:textId="77777777" w:rsidR="0030322F" w:rsidRPr="0030322F" w:rsidRDefault="0030322F" w:rsidP="0030322F">
      <w:pPr>
        <w:pStyle w:val="ListParagraph"/>
        <w:numPr>
          <w:ilvl w:val="0"/>
          <w:numId w:val="35"/>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 xml:space="preserve">При деца на възраст 6 до 9 години с хетерозиготна фамилна хиперхолестеролемия обичайният дозов диапазон е 5-10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перорално веднъж дневно. Безопасността и ефикасността на дози по-високи от 10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не са проучвани при тази популация.</w:t>
      </w:r>
    </w:p>
    <w:p w14:paraId="552C74FA" w14:textId="437BD7F0" w:rsidR="0030322F" w:rsidRPr="0030322F" w:rsidRDefault="0030322F" w:rsidP="0030322F">
      <w:pPr>
        <w:pStyle w:val="ListParagraph"/>
        <w:numPr>
          <w:ilvl w:val="0"/>
          <w:numId w:val="35"/>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 xml:space="preserve">При деца на възраст 10 до 17 години с хетерозиготна фамилна хиперхолестеролемия обичайният дозов диапазон е 5-20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перорално веднъж дневно. Безопасността и ефикасността на дози по-високи от 20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не са проучвани при тази популация.</w:t>
      </w:r>
    </w:p>
    <w:p w14:paraId="2AB7838C" w14:textId="77777777" w:rsidR="0030322F" w:rsidRPr="0030322F" w:rsidRDefault="0030322F" w:rsidP="0030322F">
      <w:pPr>
        <w:spacing w:line="240" w:lineRule="auto"/>
        <w:rPr>
          <w:rFonts w:eastAsia="Times New Roman" w:cs="Arial"/>
          <w:bCs/>
          <w:color w:val="000000"/>
          <w:szCs w:val="20"/>
          <w:lang w:eastAsia="bg-BG"/>
        </w:rPr>
      </w:pPr>
    </w:p>
    <w:p w14:paraId="25906F31" w14:textId="0E2B35B1"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Титрирането трябва да се провежда съгласно индивидуалния отговор и поносимост на педиатричните пациенти, както се препоръчва в препоръките за лечение на деца (вж. точка 4.4). Децата и юношите трябва да се подложат на стандартна холестероло-понижаваща диета преди да се започне лечение с розувастатин; диетата трябва да се продължи по време иа лечението с розувастатин.</w:t>
      </w:r>
    </w:p>
    <w:p w14:paraId="3AE97F7A" w14:textId="77777777" w:rsidR="0030322F" w:rsidRPr="0030322F" w:rsidRDefault="0030322F" w:rsidP="0030322F">
      <w:pPr>
        <w:spacing w:line="240" w:lineRule="auto"/>
        <w:rPr>
          <w:rFonts w:eastAsia="Times New Roman" w:cs="Arial"/>
          <w:bCs/>
          <w:color w:val="000000"/>
          <w:szCs w:val="20"/>
          <w:u w:val="single"/>
          <w:lang w:eastAsia="bg-BG"/>
        </w:rPr>
      </w:pPr>
    </w:p>
    <w:p w14:paraId="31067282" w14:textId="5D3E5255"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Хомозиготна фамилна хиперхолестеролемия</w:t>
      </w:r>
    </w:p>
    <w:p w14:paraId="5F63B88C"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При деца на възраст 6 до 17 години с хомозиготна фамилна хиперхолестеролемия, препоръчителната доза е 20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веднъж дневно. Има ограничен опит с дози различни от 20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при тази популация.</w:t>
      </w:r>
    </w:p>
    <w:p w14:paraId="0FABAC1A"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lastRenderedPageBreak/>
        <w:t xml:space="preserve">Таблетката от 40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не е подходяща за употреба при педиатрични пациенти.</w:t>
      </w:r>
    </w:p>
    <w:p w14:paraId="78A8B185" w14:textId="77777777" w:rsidR="0030322F" w:rsidRPr="0030322F" w:rsidRDefault="0030322F" w:rsidP="0030322F">
      <w:pPr>
        <w:spacing w:line="240" w:lineRule="auto"/>
        <w:rPr>
          <w:rFonts w:eastAsia="Times New Roman" w:cs="Arial"/>
          <w:bCs/>
          <w:color w:val="000000"/>
          <w:szCs w:val="20"/>
          <w:u w:val="single"/>
          <w:lang w:eastAsia="bg-BG"/>
        </w:rPr>
      </w:pPr>
    </w:p>
    <w:p w14:paraId="47F621BC" w14:textId="2ACC3F64"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Деца по-малки от 6 години</w:t>
      </w:r>
    </w:p>
    <w:p w14:paraId="4878FD4B"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Безопасността и ефикасността на употребата при деца по малки от 6 години не са проучвани. Следователно, Крестор не се препоръчва за употреба при деца по-малки от 6 години.</w:t>
      </w:r>
    </w:p>
    <w:p w14:paraId="31097DCA" w14:textId="77777777" w:rsidR="0030322F" w:rsidRPr="0030322F" w:rsidRDefault="0030322F" w:rsidP="0030322F">
      <w:pPr>
        <w:spacing w:line="240" w:lineRule="auto"/>
        <w:rPr>
          <w:rFonts w:eastAsia="Times New Roman" w:cs="Arial"/>
          <w:bCs/>
          <w:color w:val="000000"/>
          <w:szCs w:val="20"/>
          <w:u w:val="single"/>
          <w:lang w:eastAsia="bg-BG"/>
        </w:rPr>
      </w:pPr>
    </w:p>
    <w:p w14:paraId="6499F179" w14:textId="7AAF457B"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Употреба при пациенти в старческа възраст</w:t>
      </w:r>
    </w:p>
    <w:p w14:paraId="00D196E3"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Препоръчваната първоначална доза при пациенти над 70-годишна възраст е 5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(вж. точка 4.4). Друго коригиране на дозировката в зависимост от възрастта не е необходимо.</w:t>
      </w:r>
    </w:p>
    <w:p w14:paraId="2360D80A" w14:textId="77777777" w:rsidR="0030322F" w:rsidRPr="0030322F" w:rsidRDefault="0030322F" w:rsidP="0030322F">
      <w:pPr>
        <w:spacing w:line="240" w:lineRule="auto"/>
        <w:rPr>
          <w:rFonts w:eastAsia="Times New Roman" w:cs="Arial"/>
          <w:bCs/>
          <w:color w:val="000000"/>
          <w:szCs w:val="20"/>
          <w:u w:val="single"/>
          <w:lang w:eastAsia="bg-BG"/>
        </w:rPr>
      </w:pPr>
    </w:p>
    <w:p w14:paraId="03963379" w14:textId="542B7CD5"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Дозиране при пациенти с бъбречна недостатъчност</w:t>
      </w:r>
    </w:p>
    <w:p w14:paraId="3441547E"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При пациенти с леко до умерено бъбречно увреждане се прилагат обичайните дози. При пациенти с умерено бъбречно увреждане препоръчваната първоначална доза е 5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(креатининов клирънс под 60 </w:t>
      </w:r>
      <w:r w:rsidRPr="0030322F">
        <w:rPr>
          <w:rFonts w:eastAsia="Times New Roman" w:cs="Arial"/>
          <w:bCs/>
          <w:color w:val="000000"/>
          <w:szCs w:val="20"/>
          <w:lang w:val="en-US"/>
        </w:rPr>
        <w:t>ml</w:t>
      </w:r>
      <w:r w:rsidRPr="0030322F">
        <w:rPr>
          <w:rFonts w:eastAsia="Times New Roman" w:cs="Arial"/>
          <w:bCs/>
          <w:color w:val="000000"/>
          <w:szCs w:val="20"/>
          <w:lang w:val="ru-RU"/>
        </w:rPr>
        <w:t>/</w:t>
      </w:r>
      <w:r w:rsidRPr="0030322F">
        <w:rPr>
          <w:rFonts w:eastAsia="Times New Roman" w:cs="Arial"/>
          <w:bCs/>
          <w:color w:val="000000"/>
          <w:szCs w:val="20"/>
          <w:lang w:val="en-US"/>
        </w:rPr>
        <w:t>min</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Дозировката от 40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е противопоказана при пациенти с умерено бъбречно увреждане. При пациенти с тежко бъбречно увреждане употребата на Крестор е противопоказана (вж. точки 4.3 и 5.2).</w:t>
      </w:r>
    </w:p>
    <w:p w14:paraId="600F6E34" w14:textId="77777777" w:rsidR="0030322F" w:rsidRPr="0030322F" w:rsidRDefault="0030322F" w:rsidP="0030322F">
      <w:pPr>
        <w:spacing w:line="240" w:lineRule="auto"/>
        <w:rPr>
          <w:rFonts w:eastAsia="Times New Roman" w:cs="Arial"/>
          <w:bCs/>
          <w:color w:val="000000"/>
          <w:szCs w:val="20"/>
          <w:u w:val="single"/>
          <w:lang w:eastAsia="bg-BG"/>
        </w:rPr>
      </w:pPr>
    </w:p>
    <w:p w14:paraId="49533933" w14:textId="54B93412"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Дозиране при пациенти с чернодробно увреждане</w:t>
      </w:r>
    </w:p>
    <w:p w14:paraId="55241DE0" w14:textId="77777777" w:rsidR="0030322F" w:rsidRPr="0030322F" w:rsidRDefault="0030322F" w:rsidP="0030322F">
      <w:pPr>
        <w:rPr>
          <w:rFonts w:eastAsia="Times New Roman" w:cs="Arial"/>
          <w:sz w:val="28"/>
          <w:szCs w:val="24"/>
        </w:rPr>
      </w:pPr>
      <w:r w:rsidRPr="0030322F">
        <w:rPr>
          <w:rFonts w:eastAsia="Times New Roman" w:cs="Arial"/>
          <w:bCs/>
          <w:color w:val="000000"/>
          <w:szCs w:val="20"/>
          <w:lang w:eastAsia="bg-BG"/>
        </w:rPr>
        <w:t xml:space="preserve">Не е наблюдавана повишена системна експозиция на розувастатин при пациенти с оценка по скалата на </w:t>
      </w:r>
      <w:r w:rsidRPr="0030322F">
        <w:rPr>
          <w:rFonts w:eastAsia="Times New Roman" w:cs="Arial"/>
          <w:bCs/>
          <w:color w:val="000000"/>
          <w:szCs w:val="20"/>
          <w:lang w:val="en-US"/>
        </w:rPr>
        <w:t>Child</w:t>
      </w:r>
      <w:r w:rsidRPr="0030322F">
        <w:rPr>
          <w:rFonts w:eastAsia="Times New Roman" w:cs="Arial"/>
          <w:bCs/>
          <w:color w:val="000000"/>
          <w:szCs w:val="20"/>
          <w:lang w:val="ru-RU"/>
        </w:rPr>
        <w:t>-</w:t>
      </w:r>
      <w:r w:rsidRPr="0030322F">
        <w:rPr>
          <w:rFonts w:eastAsia="Times New Roman" w:cs="Arial"/>
          <w:bCs/>
          <w:color w:val="000000"/>
          <w:szCs w:val="20"/>
          <w:lang w:val="en-US"/>
        </w:rPr>
        <w:t>Pugh</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 7. Въпреки това, повишена системна експозиция е наблюдавана при пациенти с оценка по скалата на </w:t>
      </w:r>
      <w:r w:rsidRPr="0030322F">
        <w:rPr>
          <w:rFonts w:eastAsia="Times New Roman" w:cs="Arial"/>
          <w:bCs/>
          <w:color w:val="000000"/>
          <w:szCs w:val="20"/>
          <w:lang w:val="en-US"/>
        </w:rPr>
        <w:t>Child</w:t>
      </w:r>
      <w:r w:rsidRPr="0030322F">
        <w:rPr>
          <w:rFonts w:eastAsia="Times New Roman" w:cs="Arial"/>
          <w:bCs/>
          <w:color w:val="000000"/>
          <w:szCs w:val="20"/>
          <w:lang w:val="ru-RU"/>
        </w:rPr>
        <w:t>-</w:t>
      </w:r>
      <w:r w:rsidRPr="0030322F">
        <w:rPr>
          <w:rFonts w:eastAsia="Times New Roman" w:cs="Arial"/>
          <w:bCs/>
          <w:color w:val="000000"/>
          <w:szCs w:val="20"/>
          <w:lang w:val="en-US"/>
        </w:rPr>
        <w:t>Pugh</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8 и 9 (вж. точка 5.2). При тези пациенти трябва да се предприеме оценка на бъбречната функция (вж. точка 4.4). Няма данни за пациенти с оценка по скалата на </w:t>
      </w:r>
      <w:r w:rsidRPr="0030322F">
        <w:rPr>
          <w:rFonts w:eastAsia="Times New Roman" w:cs="Arial"/>
          <w:bCs/>
          <w:color w:val="000000"/>
          <w:szCs w:val="20"/>
          <w:lang w:val="en-US"/>
        </w:rPr>
        <w:t>Child</w:t>
      </w:r>
      <w:r w:rsidRPr="0030322F">
        <w:rPr>
          <w:rFonts w:eastAsia="Times New Roman" w:cs="Arial"/>
          <w:bCs/>
          <w:color w:val="000000"/>
          <w:szCs w:val="20"/>
          <w:lang w:val="ru-RU"/>
        </w:rPr>
        <w:t>-</w:t>
      </w:r>
      <w:r w:rsidRPr="0030322F">
        <w:rPr>
          <w:rFonts w:eastAsia="Times New Roman" w:cs="Arial"/>
          <w:bCs/>
          <w:color w:val="000000"/>
          <w:szCs w:val="20"/>
          <w:lang w:val="en-US"/>
        </w:rPr>
        <w:t>Pugh</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над 9. Крестор е противопоказан при пациенти с активно чернодробно увреждане (вж. точка 4.3).</w:t>
      </w:r>
    </w:p>
    <w:p w14:paraId="045DDD98" w14:textId="77777777" w:rsidR="0030322F" w:rsidRPr="0030322F" w:rsidRDefault="0030322F" w:rsidP="0030322F">
      <w:pPr>
        <w:spacing w:line="240" w:lineRule="auto"/>
        <w:rPr>
          <w:rFonts w:eastAsia="Times New Roman" w:cs="Arial"/>
          <w:bCs/>
          <w:color w:val="000000"/>
          <w:szCs w:val="20"/>
          <w:u w:val="single"/>
          <w:lang w:eastAsia="bg-BG"/>
        </w:rPr>
      </w:pPr>
    </w:p>
    <w:p w14:paraId="659B0B11" w14:textId="13B791B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Раса</w:t>
      </w:r>
    </w:p>
    <w:p w14:paraId="08046C36"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При пациенти от азиатската раса се наблюдава повишена системна експозиция на медикамента (вж. точки 4.3,4.4 и 5.2). Препоръчваната първоначална доза при пациенти от азиатски произход е 5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При тези пациенти е противопоказано приложение на доза от 40 </w:t>
      </w:r>
      <w:r w:rsidRPr="0030322F">
        <w:rPr>
          <w:rFonts w:eastAsia="Times New Roman" w:cs="Arial"/>
          <w:bCs/>
          <w:color w:val="000000"/>
          <w:szCs w:val="20"/>
          <w:lang w:val="en-US"/>
        </w:rPr>
        <w:t>mg</w:t>
      </w:r>
      <w:r w:rsidRPr="0030322F">
        <w:rPr>
          <w:rFonts w:eastAsia="Times New Roman" w:cs="Arial"/>
          <w:bCs/>
          <w:color w:val="000000"/>
          <w:szCs w:val="20"/>
          <w:lang w:val="ru-RU"/>
        </w:rPr>
        <w:t>.</w:t>
      </w:r>
    </w:p>
    <w:p w14:paraId="3B570069" w14:textId="77777777" w:rsidR="0030322F" w:rsidRPr="0030322F" w:rsidRDefault="0030322F" w:rsidP="0030322F">
      <w:pPr>
        <w:spacing w:line="240" w:lineRule="auto"/>
        <w:rPr>
          <w:rFonts w:eastAsia="Times New Roman" w:cs="Arial"/>
          <w:bCs/>
          <w:color w:val="000000"/>
          <w:szCs w:val="20"/>
          <w:u w:val="single"/>
          <w:lang w:eastAsia="bg-BG"/>
        </w:rPr>
      </w:pPr>
    </w:p>
    <w:p w14:paraId="2CB80FB6" w14:textId="4B19E445"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Генетичен полиморфизъм</w:t>
      </w:r>
    </w:p>
    <w:p w14:paraId="2C3F8685"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Показано е, че генотиповете </w:t>
      </w:r>
      <w:r w:rsidRPr="0030322F">
        <w:rPr>
          <w:rFonts w:eastAsia="Times New Roman" w:cs="Arial"/>
          <w:bCs/>
          <w:color w:val="000000"/>
          <w:szCs w:val="20"/>
          <w:lang w:val="en-US"/>
        </w:rPr>
        <w:t>SLCO</w:t>
      </w:r>
      <w:r w:rsidRPr="0030322F">
        <w:rPr>
          <w:rFonts w:eastAsia="Times New Roman" w:cs="Arial"/>
          <w:bCs/>
          <w:color w:val="000000"/>
          <w:szCs w:val="20"/>
          <w:lang w:val="ru-RU"/>
        </w:rPr>
        <w:t>1</w:t>
      </w:r>
      <w:r w:rsidRPr="0030322F">
        <w:rPr>
          <w:rFonts w:eastAsia="Times New Roman" w:cs="Arial"/>
          <w:bCs/>
          <w:color w:val="000000"/>
          <w:szCs w:val="20"/>
          <w:lang w:val="en-US"/>
        </w:rPr>
        <w:t>B</w:t>
      </w:r>
      <w:r w:rsidRPr="0030322F">
        <w:rPr>
          <w:rFonts w:eastAsia="Times New Roman" w:cs="Arial"/>
          <w:bCs/>
          <w:color w:val="000000"/>
          <w:szCs w:val="20"/>
          <w:lang w:val="ru-RU"/>
        </w:rPr>
        <w:t xml:space="preserve">1 </w:t>
      </w:r>
      <w:r w:rsidRPr="0030322F">
        <w:rPr>
          <w:rFonts w:eastAsia="Times New Roman" w:cs="Arial"/>
          <w:bCs/>
          <w:color w:val="000000"/>
          <w:szCs w:val="20"/>
          <w:lang w:eastAsia="bg-BG"/>
        </w:rPr>
        <w:t>(ОАТР1В1) с</w:t>
      </w:r>
      <w:r w:rsidRPr="0030322F">
        <w:rPr>
          <w:rFonts w:eastAsia="Times New Roman" w:cs="Arial"/>
          <w:bCs/>
          <w:color w:val="000000"/>
          <w:szCs w:val="20"/>
          <w:lang w:val="ru-RU"/>
        </w:rPr>
        <w:t>.521</w:t>
      </w:r>
      <w:r w:rsidRPr="0030322F">
        <w:rPr>
          <w:rFonts w:eastAsia="Times New Roman" w:cs="Arial"/>
          <w:bCs/>
          <w:color w:val="000000"/>
          <w:szCs w:val="20"/>
          <w:lang w:val="en-US"/>
        </w:rPr>
        <w:t>CC</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и </w:t>
      </w:r>
      <w:r w:rsidRPr="0030322F">
        <w:rPr>
          <w:rFonts w:eastAsia="Times New Roman" w:cs="Arial"/>
          <w:bCs/>
          <w:color w:val="000000"/>
          <w:szCs w:val="20"/>
          <w:lang w:val="en-US"/>
        </w:rPr>
        <w:t>ABCG</w:t>
      </w:r>
      <w:r w:rsidRPr="0030322F">
        <w:rPr>
          <w:rFonts w:eastAsia="Times New Roman" w:cs="Arial"/>
          <w:bCs/>
          <w:color w:val="000000"/>
          <w:szCs w:val="20"/>
          <w:lang w:val="ru-RU"/>
        </w:rPr>
        <w:t>2 (</w:t>
      </w:r>
      <w:r w:rsidRPr="0030322F">
        <w:rPr>
          <w:rFonts w:eastAsia="Times New Roman" w:cs="Arial"/>
          <w:bCs/>
          <w:color w:val="000000"/>
          <w:szCs w:val="20"/>
          <w:lang w:val="en-US"/>
        </w:rPr>
        <w:t>BCRP</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с</w:t>
      </w:r>
      <w:r w:rsidRPr="0030322F">
        <w:rPr>
          <w:rFonts w:eastAsia="Times New Roman" w:cs="Arial"/>
          <w:bCs/>
          <w:color w:val="000000"/>
          <w:szCs w:val="20"/>
          <w:lang w:val="ru-RU"/>
        </w:rPr>
        <w:t>.421</w:t>
      </w:r>
      <w:r w:rsidRPr="0030322F">
        <w:rPr>
          <w:rFonts w:eastAsia="Times New Roman" w:cs="Arial"/>
          <w:bCs/>
          <w:color w:val="000000"/>
          <w:szCs w:val="20"/>
          <w:lang w:val="en-US"/>
        </w:rPr>
        <w:t>AA</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са свързани с повишаване на експозицията </w:t>
      </w:r>
      <w:r w:rsidRPr="0030322F">
        <w:rPr>
          <w:rFonts w:eastAsia="Times New Roman" w:cs="Arial"/>
          <w:bCs/>
          <w:color w:val="000000"/>
          <w:szCs w:val="20"/>
          <w:lang w:val="ru-RU"/>
        </w:rPr>
        <w:t>(</w:t>
      </w:r>
      <w:r w:rsidRPr="0030322F">
        <w:rPr>
          <w:rFonts w:eastAsia="Times New Roman" w:cs="Arial"/>
          <w:bCs/>
          <w:color w:val="000000"/>
          <w:szCs w:val="20"/>
          <w:lang w:val="en-US"/>
        </w:rPr>
        <w:t>AUC</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на розувастатин, в сравнение с </w:t>
      </w:r>
      <w:r w:rsidRPr="0030322F">
        <w:rPr>
          <w:rFonts w:eastAsia="Times New Roman" w:cs="Arial"/>
          <w:bCs/>
          <w:color w:val="000000"/>
          <w:szCs w:val="20"/>
          <w:lang w:val="en-US"/>
        </w:rPr>
        <w:t>SLCO</w:t>
      </w:r>
      <w:r w:rsidRPr="0030322F">
        <w:rPr>
          <w:rFonts w:eastAsia="Times New Roman" w:cs="Arial"/>
          <w:bCs/>
          <w:color w:val="000000"/>
          <w:szCs w:val="20"/>
          <w:lang w:val="ru-RU"/>
        </w:rPr>
        <w:t>1</w:t>
      </w:r>
      <w:r w:rsidRPr="0030322F">
        <w:rPr>
          <w:rFonts w:eastAsia="Times New Roman" w:cs="Arial"/>
          <w:bCs/>
          <w:color w:val="000000"/>
          <w:szCs w:val="20"/>
          <w:lang w:val="en-US"/>
        </w:rPr>
        <w:t>B</w:t>
      </w:r>
      <w:r w:rsidRPr="0030322F">
        <w:rPr>
          <w:rFonts w:eastAsia="Times New Roman" w:cs="Arial"/>
          <w:bCs/>
          <w:color w:val="000000"/>
          <w:szCs w:val="20"/>
          <w:lang w:val="ru-RU"/>
        </w:rPr>
        <w:t xml:space="preserve">1 </w:t>
      </w:r>
      <w:r w:rsidRPr="0030322F">
        <w:rPr>
          <w:rFonts w:eastAsia="Times New Roman" w:cs="Arial"/>
          <w:bCs/>
          <w:color w:val="000000"/>
          <w:szCs w:val="20"/>
          <w:lang w:eastAsia="bg-BG"/>
        </w:rPr>
        <w:t>с</w:t>
      </w:r>
      <w:r w:rsidRPr="0030322F">
        <w:rPr>
          <w:rFonts w:eastAsia="Times New Roman" w:cs="Arial"/>
          <w:bCs/>
          <w:color w:val="000000"/>
          <w:szCs w:val="20"/>
          <w:lang w:val="ru-RU"/>
        </w:rPr>
        <w:t>.521</w:t>
      </w:r>
      <w:r w:rsidRPr="0030322F">
        <w:rPr>
          <w:rFonts w:eastAsia="Times New Roman" w:cs="Arial"/>
          <w:bCs/>
          <w:color w:val="000000"/>
          <w:szCs w:val="20"/>
          <w:lang w:val="en-US"/>
        </w:rPr>
        <w:t>TT</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и </w:t>
      </w:r>
      <w:r w:rsidRPr="0030322F">
        <w:rPr>
          <w:rFonts w:eastAsia="Times New Roman" w:cs="Arial"/>
          <w:bCs/>
          <w:color w:val="000000"/>
          <w:szCs w:val="20"/>
          <w:lang w:val="en-US"/>
        </w:rPr>
        <w:t>ABCG</w:t>
      </w:r>
      <w:r w:rsidRPr="0030322F">
        <w:rPr>
          <w:rFonts w:eastAsia="Times New Roman" w:cs="Arial"/>
          <w:bCs/>
          <w:color w:val="000000"/>
          <w:szCs w:val="20"/>
          <w:lang w:val="ru-RU"/>
        </w:rPr>
        <w:t xml:space="preserve">2 </w:t>
      </w:r>
      <w:r w:rsidRPr="0030322F">
        <w:rPr>
          <w:rFonts w:eastAsia="Times New Roman" w:cs="Arial"/>
          <w:bCs/>
          <w:color w:val="000000"/>
          <w:szCs w:val="20"/>
          <w:lang w:eastAsia="bg-BG"/>
        </w:rPr>
        <w:t>с.421СС. За пациентите, за които е известно, че имат генотип с</w:t>
      </w:r>
      <w:r w:rsidRPr="0030322F">
        <w:rPr>
          <w:rFonts w:eastAsia="Times New Roman" w:cs="Arial"/>
          <w:bCs/>
          <w:color w:val="000000"/>
          <w:szCs w:val="20"/>
          <w:lang w:val="ru-RU"/>
        </w:rPr>
        <w:t>.521</w:t>
      </w:r>
      <w:r w:rsidRPr="0030322F">
        <w:rPr>
          <w:rFonts w:eastAsia="Times New Roman" w:cs="Arial"/>
          <w:bCs/>
          <w:color w:val="000000"/>
          <w:szCs w:val="20"/>
          <w:lang w:val="en-US"/>
        </w:rPr>
        <w:t>CC</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или С.421АА, се препоръчва максимална еднократна дневна доза от 20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Крестор (вж. точки 4.4,4.5 и 5.2).</w:t>
      </w:r>
    </w:p>
    <w:p w14:paraId="4E310F04" w14:textId="77777777" w:rsidR="0030322F" w:rsidRPr="0030322F" w:rsidRDefault="0030322F" w:rsidP="0030322F">
      <w:pPr>
        <w:spacing w:line="240" w:lineRule="auto"/>
        <w:rPr>
          <w:rFonts w:eastAsia="Times New Roman" w:cs="Arial"/>
          <w:bCs/>
          <w:color w:val="000000"/>
          <w:szCs w:val="20"/>
          <w:u w:val="single"/>
          <w:lang w:eastAsia="bg-BG"/>
        </w:rPr>
      </w:pPr>
    </w:p>
    <w:p w14:paraId="1C186825" w14:textId="4A8AE99D"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Дозиране при пациенти, предразположени към развитие на миопатия</w:t>
      </w:r>
    </w:p>
    <w:p w14:paraId="6F602662"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При пациенти с предразполагащи фактори за развитите на миопатия препоръчваната начална доза е 5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(вж. точка 4.4).</w:t>
      </w:r>
    </w:p>
    <w:p w14:paraId="6DF77D32" w14:textId="77777777" w:rsidR="0030322F" w:rsidRPr="0030322F" w:rsidRDefault="0030322F" w:rsidP="0030322F">
      <w:pPr>
        <w:spacing w:line="240" w:lineRule="auto"/>
        <w:rPr>
          <w:rFonts w:eastAsia="Times New Roman" w:cs="Arial"/>
          <w:bCs/>
          <w:color w:val="000000"/>
          <w:szCs w:val="20"/>
          <w:lang w:eastAsia="bg-BG"/>
        </w:rPr>
      </w:pPr>
    </w:p>
    <w:p w14:paraId="56AD80BA" w14:textId="693694CD"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При някои от тези пациенти е противопоказано приложението на доза от 40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(вж. точка 4.3).</w:t>
      </w:r>
    </w:p>
    <w:p w14:paraId="2B6F55AD" w14:textId="77777777" w:rsidR="0030322F" w:rsidRPr="0030322F" w:rsidRDefault="0030322F" w:rsidP="0030322F">
      <w:pPr>
        <w:spacing w:line="240" w:lineRule="auto"/>
        <w:rPr>
          <w:rFonts w:eastAsia="Times New Roman" w:cs="Arial"/>
          <w:bCs/>
          <w:color w:val="000000"/>
          <w:szCs w:val="20"/>
          <w:u w:val="single"/>
          <w:lang w:eastAsia="bg-BG"/>
        </w:rPr>
      </w:pPr>
    </w:p>
    <w:p w14:paraId="5930349D" w14:textId="47D0AC50"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Съпътстваща терапия</w:t>
      </w:r>
    </w:p>
    <w:p w14:paraId="295F4B18"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Розувастатин е субстрат на различни транспортерни протеини (напр. ОАТР1В1 и </w:t>
      </w:r>
      <w:r w:rsidRPr="0030322F">
        <w:rPr>
          <w:rFonts w:eastAsia="Times New Roman" w:cs="Arial"/>
          <w:bCs/>
          <w:color w:val="000000"/>
          <w:szCs w:val="20"/>
          <w:lang w:val="en-US"/>
        </w:rPr>
        <w:t>BCRP</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Рискът от миопатия (включително рабдомиолиза) се повишава, когато Крестор се прилага едновременно с определени лекарствени продукти, които могат да повишат плазмената </w:t>
      </w:r>
      <w:r w:rsidRPr="0030322F">
        <w:rPr>
          <w:rFonts w:eastAsia="Times New Roman" w:cs="Arial"/>
          <w:bCs/>
          <w:color w:val="000000"/>
          <w:szCs w:val="20"/>
          <w:lang w:eastAsia="bg-BG"/>
        </w:rPr>
        <w:lastRenderedPageBreak/>
        <w:t>концентрация на розувастатин, поради взаимодействие с тези транспортерни протеини (напр. циклоспорин и някои протеазни инхибитори, включително комбинации на ритонавир с атазанавир, лопинавир и/или типранавир; вж. точки 4.4 и 4.5). На предписващите лекари се препоръчва да вземат предвид съответната лекарствена информация, когато обмислят прилагане на такива продукти заедно с Крестор. Когато е възможно, трябва да се имат предвид алтернативни лекарства и, ако е необходимо, да се има предвид временно прекъсване на терапията с Крестор. В ситуации, когато едновременното приложение на тези лекарствени продукти с Крестор е неизбежно, ползата и риска от съпътстващата терапия и корекции на дозата на Крестор трябва внимателно да се обмислят (вж. точка 4.5).</w:t>
      </w:r>
    </w:p>
    <w:p w14:paraId="799DC326" w14:textId="7A3E3165" w:rsidR="0030322F" w:rsidRPr="0030322F" w:rsidRDefault="0030322F" w:rsidP="0030322F"/>
    <w:p w14:paraId="28C984E8" w14:textId="3EF9F9A3" w:rsidR="008134C8" w:rsidRDefault="002C50EE" w:rsidP="004A448E">
      <w:pPr>
        <w:pStyle w:val="Heading2"/>
      </w:pPr>
      <w:r>
        <w:t>4.3. Противопоказания</w:t>
      </w:r>
    </w:p>
    <w:p w14:paraId="16EAA521" w14:textId="42CD9E55" w:rsidR="0030322F" w:rsidRDefault="0030322F" w:rsidP="0030322F"/>
    <w:p w14:paraId="547FDB70"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Крестор е противопоказан:</w:t>
      </w:r>
    </w:p>
    <w:p w14:paraId="4B119512" w14:textId="77777777" w:rsidR="0030322F" w:rsidRPr="0030322F" w:rsidRDefault="0030322F" w:rsidP="0030322F">
      <w:pPr>
        <w:pStyle w:val="ListParagraph"/>
        <w:numPr>
          <w:ilvl w:val="0"/>
          <w:numId w:val="36"/>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При пациенти със свръхчувствителност към розувастатин или някое от помощните вещества.</w:t>
      </w:r>
    </w:p>
    <w:p w14:paraId="4AD1E211" w14:textId="77777777" w:rsidR="0030322F" w:rsidRPr="0030322F" w:rsidRDefault="0030322F" w:rsidP="0030322F">
      <w:pPr>
        <w:pStyle w:val="ListParagraph"/>
        <w:numPr>
          <w:ilvl w:val="0"/>
          <w:numId w:val="36"/>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При пациенти с активно чернодробно заболяване, включително неуточнено, продължително покачване на серумните трансаминази и всяко покачване на серумните трансаминази три пъти над горната граница на нормата.</w:t>
      </w:r>
    </w:p>
    <w:p w14:paraId="32BC6378" w14:textId="77777777" w:rsidR="0030322F" w:rsidRPr="0030322F" w:rsidRDefault="0030322F" w:rsidP="0030322F">
      <w:pPr>
        <w:pStyle w:val="ListParagraph"/>
        <w:numPr>
          <w:ilvl w:val="0"/>
          <w:numId w:val="36"/>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 xml:space="preserve">При пациенти с тежко бъбречно увреждане (креатининов клирънс &lt; 30 </w:t>
      </w:r>
      <w:r w:rsidRPr="0030322F">
        <w:rPr>
          <w:rFonts w:eastAsia="Times New Roman" w:cs="Arial"/>
          <w:bCs/>
          <w:color w:val="000000"/>
          <w:szCs w:val="20"/>
          <w:lang w:val="en-US"/>
        </w:rPr>
        <w:t>ml</w:t>
      </w:r>
      <w:r w:rsidRPr="0030322F">
        <w:rPr>
          <w:rFonts w:eastAsia="Times New Roman" w:cs="Arial"/>
          <w:bCs/>
          <w:color w:val="000000"/>
          <w:szCs w:val="20"/>
          <w:lang w:val="ru-RU"/>
        </w:rPr>
        <w:t>/</w:t>
      </w:r>
      <w:r w:rsidRPr="0030322F">
        <w:rPr>
          <w:rFonts w:eastAsia="Times New Roman" w:cs="Arial"/>
          <w:bCs/>
          <w:color w:val="000000"/>
          <w:szCs w:val="20"/>
          <w:lang w:val="en-US"/>
        </w:rPr>
        <w:t>min</w:t>
      </w:r>
      <w:r w:rsidRPr="0030322F">
        <w:rPr>
          <w:rFonts w:eastAsia="Times New Roman" w:cs="Arial"/>
          <w:bCs/>
          <w:color w:val="000000"/>
          <w:szCs w:val="20"/>
          <w:lang w:val="ru-RU"/>
        </w:rPr>
        <w:t>).</w:t>
      </w:r>
    </w:p>
    <w:p w14:paraId="420DF278" w14:textId="77777777" w:rsidR="0030322F" w:rsidRPr="0030322F" w:rsidRDefault="0030322F" w:rsidP="0030322F">
      <w:pPr>
        <w:pStyle w:val="ListParagraph"/>
        <w:numPr>
          <w:ilvl w:val="0"/>
          <w:numId w:val="36"/>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При пациенти с миопатия.</w:t>
      </w:r>
    </w:p>
    <w:p w14:paraId="73EEBE62" w14:textId="77777777" w:rsidR="0030322F" w:rsidRPr="0030322F" w:rsidRDefault="0030322F" w:rsidP="0030322F">
      <w:pPr>
        <w:pStyle w:val="ListParagraph"/>
        <w:numPr>
          <w:ilvl w:val="0"/>
          <w:numId w:val="36"/>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При пациенти, приемащи едновременно софосбувир/велпатасвир/воксилапревир (вж. точка 4.5)</w:t>
      </w:r>
    </w:p>
    <w:p w14:paraId="290448B4" w14:textId="77777777" w:rsidR="0030322F" w:rsidRPr="0030322F" w:rsidRDefault="0030322F" w:rsidP="0030322F">
      <w:pPr>
        <w:pStyle w:val="ListParagraph"/>
        <w:numPr>
          <w:ilvl w:val="0"/>
          <w:numId w:val="36"/>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При пациенти, приемащи едновременно циклоспорин.</w:t>
      </w:r>
    </w:p>
    <w:p w14:paraId="6C914A35" w14:textId="54CF1FD0" w:rsidR="0030322F" w:rsidRPr="0030322F" w:rsidRDefault="0030322F" w:rsidP="0030322F">
      <w:pPr>
        <w:pStyle w:val="ListParagraph"/>
        <w:numPr>
          <w:ilvl w:val="0"/>
          <w:numId w:val="36"/>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По време на бременност, кърмене и при жени в детеродна възраст, които не използват подходящи контрацептивни мерки.</w:t>
      </w:r>
    </w:p>
    <w:p w14:paraId="7498184E" w14:textId="77777777" w:rsidR="0030322F" w:rsidRPr="0030322F" w:rsidRDefault="0030322F" w:rsidP="0030322F">
      <w:pPr>
        <w:spacing w:line="240" w:lineRule="auto"/>
        <w:rPr>
          <w:rFonts w:eastAsia="Times New Roman" w:cs="Arial"/>
          <w:bCs/>
          <w:color w:val="000000"/>
          <w:szCs w:val="20"/>
          <w:lang w:eastAsia="bg-BG"/>
        </w:rPr>
      </w:pPr>
    </w:p>
    <w:p w14:paraId="1CD8B75C" w14:textId="2465E893"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Дозата от 40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е противопоказана при пациенти с предразполагащи фактори за развитие на</w:t>
      </w:r>
    </w:p>
    <w:p w14:paraId="40FF11AC"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миопатия/рабдомиолиза. Такива фактори са:</w:t>
      </w:r>
    </w:p>
    <w:p w14:paraId="628B69AC" w14:textId="77777777" w:rsidR="0030322F" w:rsidRPr="0030322F" w:rsidRDefault="0030322F" w:rsidP="0030322F">
      <w:pPr>
        <w:pStyle w:val="ListParagraph"/>
        <w:numPr>
          <w:ilvl w:val="0"/>
          <w:numId w:val="37"/>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 xml:space="preserve">Умерено по степен бъбречно увреждане (креатининов клирънс под 60 </w:t>
      </w:r>
      <w:r w:rsidRPr="0030322F">
        <w:rPr>
          <w:rFonts w:eastAsia="Times New Roman" w:cs="Arial"/>
          <w:bCs/>
          <w:color w:val="000000"/>
          <w:szCs w:val="20"/>
          <w:lang w:val="en-US"/>
        </w:rPr>
        <w:t>ml</w:t>
      </w:r>
      <w:r w:rsidRPr="0030322F">
        <w:rPr>
          <w:rFonts w:eastAsia="Times New Roman" w:cs="Arial"/>
          <w:bCs/>
          <w:color w:val="000000"/>
          <w:szCs w:val="20"/>
          <w:lang w:val="ru-RU"/>
        </w:rPr>
        <w:t>/</w:t>
      </w:r>
      <w:r w:rsidRPr="0030322F">
        <w:rPr>
          <w:rFonts w:eastAsia="Times New Roman" w:cs="Arial"/>
          <w:bCs/>
          <w:color w:val="000000"/>
          <w:szCs w:val="20"/>
          <w:lang w:val="en-US"/>
        </w:rPr>
        <w:t>min</w:t>
      </w:r>
      <w:r w:rsidRPr="0030322F">
        <w:rPr>
          <w:rFonts w:eastAsia="Times New Roman" w:cs="Arial"/>
          <w:bCs/>
          <w:color w:val="000000"/>
          <w:szCs w:val="20"/>
          <w:lang w:val="ru-RU"/>
        </w:rPr>
        <w:t>).</w:t>
      </w:r>
    </w:p>
    <w:p w14:paraId="3DC10244" w14:textId="77777777" w:rsidR="0030322F" w:rsidRPr="0030322F" w:rsidRDefault="0030322F" w:rsidP="0030322F">
      <w:pPr>
        <w:pStyle w:val="ListParagraph"/>
        <w:numPr>
          <w:ilvl w:val="0"/>
          <w:numId w:val="37"/>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Хипотиреоидизъм.</w:t>
      </w:r>
    </w:p>
    <w:p w14:paraId="4B5005D2" w14:textId="77777777" w:rsidR="0030322F" w:rsidRPr="0030322F" w:rsidRDefault="0030322F" w:rsidP="0030322F">
      <w:pPr>
        <w:pStyle w:val="ListParagraph"/>
        <w:numPr>
          <w:ilvl w:val="0"/>
          <w:numId w:val="37"/>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Лична или фамилна анамнеза за наследствени мускулни заболявалия.</w:t>
      </w:r>
    </w:p>
    <w:p w14:paraId="696B1D01" w14:textId="77777777" w:rsidR="0030322F" w:rsidRPr="0030322F" w:rsidRDefault="0030322F" w:rsidP="0030322F">
      <w:pPr>
        <w:pStyle w:val="ListParagraph"/>
        <w:numPr>
          <w:ilvl w:val="0"/>
          <w:numId w:val="37"/>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Анамнеза за поява на мускулно увреждане по време на лечение с друг медикамент от групата на инхибиторите на хидрокси-метил-глутарил-коензим А редуктазата или с фибрат.</w:t>
      </w:r>
    </w:p>
    <w:p w14:paraId="183DEAEC" w14:textId="77777777" w:rsidR="0030322F" w:rsidRPr="0030322F" w:rsidRDefault="0030322F" w:rsidP="0030322F">
      <w:pPr>
        <w:pStyle w:val="ListParagraph"/>
        <w:numPr>
          <w:ilvl w:val="0"/>
          <w:numId w:val="37"/>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Злоупотреба с алкохол.</w:t>
      </w:r>
    </w:p>
    <w:p w14:paraId="416E32D8" w14:textId="77777777" w:rsidR="0030322F" w:rsidRPr="0030322F" w:rsidRDefault="0030322F" w:rsidP="0030322F">
      <w:pPr>
        <w:pStyle w:val="ListParagraph"/>
        <w:numPr>
          <w:ilvl w:val="0"/>
          <w:numId w:val="37"/>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Състояния, при които може да се повиши плазменото ниво на медикамента.</w:t>
      </w:r>
    </w:p>
    <w:p w14:paraId="040221AE" w14:textId="77777777" w:rsidR="0030322F" w:rsidRPr="0030322F" w:rsidRDefault="0030322F" w:rsidP="0030322F">
      <w:pPr>
        <w:pStyle w:val="ListParagraph"/>
        <w:numPr>
          <w:ilvl w:val="0"/>
          <w:numId w:val="37"/>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Лица от азиатската раса.</w:t>
      </w:r>
    </w:p>
    <w:p w14:paraId="0DC7F51F" w14:textId="77777777" w:rsidR="0030322F" w:rsidRPr="0030322F" w:rsidRDefault="0030322F" w:rsidP="0030322F">
      <w:pPr>
        <w:pStyle w:val="ListParagraph"/>
        <w:numPr>
          <w:ilvl w:val="0"/>
          <w:numId w:val="37"/>
        </w:numPr>
        <w:spacing w:line="240" w:lineRule="auto"/>
        <w:rPr>
          <w:rFonts w:eastAsia="Times New Roman" w:cs="Arial"/>
          <w:bCs/>
          <w:color w:val="000000"/>
          <w:szCs w:val="20"/>
          <w:lang w:eastAsia="bg-BG"/>
        </w:rPr>
      </w:pPr>
      <w:r w:rsidRPr="0030322F">
        <w:rPr>
          <w:rFonts w:eastAsia="Times New Roman" w:cs="Arial"/>
          <w:bCs/>
          <w:color w:val="000000"/>
          <w:szCs w:val="20"/>
          <w:lang w:eastAsia="bg-BG"/>
        </w:rPr>
        <w:t>Съпътстващо лечение с фибрата.</w:t>
      </w:r>
    </w:p>
    <w:p w14:paraId="13923843" w14:textId="4DDC0C12" w:rsidR="0030322F" w:rsidRPr="0030322F" w:rsidRDefault="0030322F" w:rsidP="0030322F">
      <w:pPr>
        <w:pStyle w:val="ListParagraph"/>
        <w:spacing w:line="240" w:lineRule="auto"/>
        <w:rPr>
          <w:rFonts w:eastAsia="Times New Roman" w:cs="Arial"/>
          <w:bCs/>
          <w:color w:val="000000"/>
          <w:szCs w:val="20"/>
          <w:lang w:eastAsia="bg-BG"/>
        </w:rPr>
      </w:pPr>
      <w:r w:rsidRPr="0030322F">
        <w:rPr>
          <w:rFonts w:eastAsia="Times New Roman" w:cs="Arial"/>
          <w:bCs/>
          <w:color w:val="000000"/>
          <w:szCs w:val="20"/>
          <w:lang w:eastAsia="bg-BG"/>
        </w:rPr>
        <w:t>(Вж. точки 4.4,4.5 и 5.2).</w:t>
      </w:r>
    </w:p>
    <w:p w14:paraId="2758A0A7" w14:textId="77777777" w:rsidR="0030322F" w:rsidRPr="0030322F" w:rsidRDefault="0030322F" w:rsidP="0030322F">
      <w:pPr>
        <w:spacing w:line="240" w:lineRule="auto"/>
        <w:rPr>
          <w:rFonts w:ascii="Times New Roman" w:eastAsia="Times New Roman" w:hAnsi="Times New Roman" w:cs="Times New Roman"/>
          <w:b/>
          <w:bCs/>
          <w:color w:val="000000"/>
          <w:sz w:val="20"/>
          <w:szCs w:val="20"/>
          <w:lang w:eastAsia="bg-BG"/>
        </w:rPr>
      </w:pPr>
    </w:p>
    <w:p w14:paraId="653FF752" w14:textId="77777777" w:rsidR="0030322F" w:rsidRPr="0030322F" w:rsidRDefault="0030322F" w:rsidP="0030322F"/>
    <w:p w14:paraId="212F509C" w14:textId="14EBC0E7" w:rsidR="004F498A" w:rsidRDefault="002C50EE" w:rsidP="004A448E">
      <w:pPr>
        <w:pStyle w:val="Heading2"/>
      </w:pPr>
      <w:r>
        <w:t>4.4. Специални предупреждения и предпазни мерки при употреба</w:t>
      </w:r>
    </w:p>
    <w:p w14:paraId="335423FA" w14:textId="3DF5014A" w:rsidR="0030322F" w:rsidRDefault="0030322F" w:rsidP="0030322F"/>
    <w:p w14:paraId="131F1F99" w14:textId="77777777" w:rsidR="0030322F" w:rsidRPr="0030322F" w:rsidRDefault="0030322F" w:rsidP="0030322F">
      <w:pPr>
        <w:spacing w:line="240" w:lineRule="auto"/>
        <w:rPr>
          <w:rFonts w:eastAsia="Times New Roman" w:cs="Arial"/>
        </w:rPr>
      </w:pPr>
      <w:r w:rsidRPr="0030322F">
        <w:rPr>
          <w:rFonts w:eastAsia="Times New Roman" w:cs="Arial"/>
          <w:bCs/>
          <w:i/>
          <w:iCs/>
          <w:color w:val="000000"/>
          <w:lang w:eastAsia="bg-BG"/>
        </w:rPr>
        <w:t>Бъбреци</w:t>
      </w:r>
    </w:p>
    <w:p w14:paraId="2C0BDAEB" w14:textId="77777777"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 xml:space="preserve">При пациенти, лекувани с по-високи дози Крестор, по-конкретно 40 </w:t>
      </w:r>
      <w:r w:rsidRPr="0030322F">
        <w:rPr>
          <w:rFonts w:eastAsia="Times New Roman" w:cs="Arial"/>
          <w:bCs/>
          <w:color w:val="000000"/>
          <w:lang w:val="en-US"/>
        </w:rPr>
        <w:t>mg</w:t>
      </w:r>
      <w:r w:rsidRPr="0030322F">
        <w:rPr>
          <w:rFonts w:eastAsia="Times New Roman" w:cs="Arial"/>
          <w:bCs/>
          <w:color w:val="000000"/>
          <w:lang w:val="ru-RU"/>
        </w:rPr>
        <w:t xml:space="preserve">, </w:t>
      </w:r>
      <w:r w:rsidRPr="0030322F">
        <w:rPr>
          <w:rFonts w:eastAsia="Times New Roman" w:cs="Arial"/>
          <w:bCs/>
          <w:color w:val="000000"/>
          <w:lang w:eastAsia="bg-BG"/>
        </w:rPr>
        <w:t xml:space="preserve">е наблюдавана протеинурия, която е установена при изследване с тест-ленти, с предимно тубулен произход и в повечето случаи с преходен или интермитентен характер. Не е доказано </w:t>
      </w:r>
      <w:r w:rsidRPr="0030322F">
        <w:rPr>
          <w:rFonts w:eastAsia="Times New Roman" w:cs="Arial"/>
          <w:bCs/>
          <w:color w:val="000000"/>
          <w:lang w:eastAsia="bg-BG"/>
        </w:rPr>
        <w:lastRenderedPageBreak/>
        <w:t xml:space="preserve">протеинурията да предшества остро или прогресивно бъбречно заболяване (вж. точка 4.8). Докладваната честота на сериозни бъбречни увреди при постмаркетинговата употреба е по-висока при дозировка от 40 </w:t>
      </w:r>
      <w:r w:rsidRPr="0030322F">
        <w:rPr>
          <w:rFonts w:eastAsia="Times New Roman" w:cs="Arial"/>
          <w:bCs/>
          <w:color w:val="000000"/>
          <w:lang w:val="en-US"/>
        </w:rPr>
        <w:t>mg</w:t>
      </w:r>
      <w:r w:rsidRPr="0030322F">
        <w:rPr>
          <w:rFonts w:eastAsia="Times New Roman" w:cs="Arial"/>
          <w:bCs/>
          <w:color w:val="000000"/>
          <w:lang w:val="ru-RU"/>
        </w:rPr>
        <w:t xml:space="preserve">. </w:t>
      </w:r>
      <w:r w:rsidRPr="0030322F">
        <w:rPr>
          <w:rFonts w:eastAsia="Times New Roman" w:cs="Arial"/>
          <w:bCs/>
          <w:color w:val="000000"/>
          <w:lang w:eastAsia="bg-BG"/>
        </w:rPr>
        <w:t xml:space="preserve">Оценка на бъбречната функция трябва да се направи по време на рутинно проследяване при пациенти, обичайно лекувани с 40 </w:t>
      </w:r>
      <w:r w:rsidRPr="0030322F">
        <w:rPr>
          <w:rFonts w:eastAsia="Times New Roman" w:cs="Arial"/>
          <w:bCs/>
          <w:color w:val="000000"/>
          <w:lang w:val="en-US"/>
        </w:rPr>
        <w:t>mg</w:t>
      </w:r>
      <w:r w:rsidRPr="0030322F">
        <w:rPr>
          <w:rFonts w:eastAsia="Times New Roman" w:cs="Arial"/>
          <w:bCs/>
          <w:color w:val="000000"/>
          <w:lang w:val="ru-RU"/>
        </w:rPr>
        <w:t>.</w:t>
      </w:r>
    </w:p>
    <w:p w14:paraId="42768C42" w14:textId="77777777" w:rsidR="0030322F" w:rsidRPr="0030322F" w:rsidRDefault="0030322F" w:rsidP="0030322F">
      <w:pPr>
        <w:spacing w:line="240" w:lineRule="auto"/>
        <w:rPr>
          <w:rFonts w:eastAsia="Times New Roman" w:cs="Arial"/>
          <w:bCs/>
          <w:i/>
          <w:iCs/>
          <w:color w:val="000000"/>
          <w:lang w:eastAsia="bg-BG"/>
        </w:rPr>
      </w:pPr>
    </w:p>
    <w:p w14:paraId="5DDA34E6" w14:textId="2DBCE3A9" w:rsidR="0030322F" w:rsidRPr="0030322F" w:rsidRDefault="0030322F" w:rsidP="0030322F">
      <w:pPr>
        <w:spacing w:line="240" w:lineRule="auto"/>
        <w:rPr>
          <w:rFonts w:eastAsia="Times New Roman" w:cs="Arial"/>
        </w:rPr>
      </w:pPr>
      <w:r w:rsidRPr="0030322F">
        <w:rPr>
          <w:rFonts w:eastAsia="Times New Roman" w:cs="Arial"/>
          <w:bCs/>
          <w:i/>
          <w:iCs/>
          <w:color w:val="000000"/>
          <w:lang w:eastAsia="bg-BG"/>
        </w:rPr>
        <w:t>Скелетна мускулатура</w:t>
      </w:r>
    </w:p>
    <w:p w14:paraId="172C38FE" w14:textId="77777777"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 xml:space="preserve">Ефекти върху скелетната мускулатура (миалгия, миопатия и по-рядко рабдомиолиза) са съобщавани при приложение на всички дозови режими, особено при дози над 20 </w:t>
      </w:r>
      <w:r w:rsidRPr="0030322F">
        <w:rPr>
          <w:rFonts w:eastAsia="Times New Roman" w:cs="Arial"/>
          <w:bCs/>
          <w:color w:val="000000"/>
          <w:lang w:val="en-US"/>
        </w:rPr>
        <w:t>mg</w:t>
      </w:r>
      <w:r w:rsidRPr="0030322F">
        <w:rPr>
          <w:rFonts w:eastAsia="Times New Roman" w:cs="Arial"/>
          <w:bCs/>
          <w:color w:val="000000"/>
          <w:lang w:val="ru-RU"/>
        </w:rPr>
        <w:t xml:space="preserve">. </w:t>
      </w:r>
      <w:r w:rsidRPr="0030322F">
        <w:rPr>
          <w:rFonts w:eastAsia="Times New Roman" w:cs="Arial"/>
          <w:bCs/>
          <w:color w:val="000000"/>
          <w:lang w:eastAsia="bg-BG"/>
        </w:rPr>
        <w:t xml:space="preserve">Много редки случаи на рабдомиолиза са докладвани при използването на езетимиб в комбинация с </w:t>
      </w:r>
      <w:r w:rsidRPr="0030322F">
        <w:rPr>
          <w:rFonts w:eastAsia="Times New Roman" w:cs="Arial"/>
          <w:bCs/>
          <w:color w:val="000000"/>
          <w:lang w:val="en-US"/>
        </w:rPr>
        <w:t>HMG</w:t>
      </w:r>
      <w:r w:rsidRPr="0030322F">
        <w:rPr>
          <w:rFonts w:eastAsia="Times New Roman" w:cs="Arial"/>
          <w:bCs/>
          <w:color w:val="000000"/>
          <w:lang w:val="ru-RU"/>
        </w:rPr>
        <w:t>-</w:t>
      </w:r>
      <w:r w:rsidRPr="0030322F">
        <w:rPr>
          <w:rFonts w:eastAsia="Times New Roman" w:cs="Arial"/>
          <w:bCs/>
          <w:color w:val="000000"/>
          <w:lang w:val="en-US"/>
        </w:rPr>
        <w:t>CoA</w:t>
      </w:r>
      <w:r w:rsidRPr="0030322F">
        <w:rPr>
          <w:rFonts w:eastAsia="Times New Roman" w:cs="Arial"/>
          <w:bCs/>
          <w:color w:val="000000"/>
          <w:lang w:val="ru-RU"/>
        </w:rPr>
        <w:t xml:space="preserve"> </w:t>
      </w:r>
      <w:r w:rsidRPr="0030322F">
        <w:rPr>
          <w:rFonts w:eastAsia="Times New Roman" w:cs="Arial"/>
          <w:bCs/>
          <w:color w:val="000000"/>
          <w:lang w:eastAsia="bg-BG"/>
        </w:rPr>
        <w:t>редуктазни инхибитори. Не може да бъде изключено фармакодинамично взаимодействие (вж. точка 4.5) и е необходимо внимание при комбинираното им използване.</w:t>
      </w:r>
    </w:p>
    <w:p w14:paraId="78FB6EF8" w14:textId="77777777" w:rsidR="0030322F" w:rsidRPr="0030322F" w:rsidRDefault="0030322F" w:rsidP="0030322F">
      <w:pPr>
        <w:spacing w:line="240" w:lineRule="auto"/>
        <w:rPr>
          <w:rFonts w:eastAsia="Times New Roman" w:cs="Arial"/>
          <w:bCs/>
          <w:color w:val="000000"/>
          <w:lang w:eastAsia="bg-BG"/>
        </w:rPr>
      </w:pPr>
    </w:p>
    <w:p w14:paraId="16932F29" w14:textId="58EF8CDA"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 xml:space="preserve">Както при другите </w:t>
      </w:r>
      <w:r w:rsidRPr="0030322F">
        <w:rPr>
          <w:rFonts w:eastAsia="Times New Roman" w:cs="Arial"/>
          <w:bCs/>
          <w:color w:val="000000"/>
          <w:lang w:val="en-US"/>
        </w:rPr>
        <w:t>HMG</w:t>
      </w:r>
      <w:r w:rsidRPr="0030322F">
        <w:rPr>
          <w:rFonts w:eastAsia="Times New Roman" w:cs="Arial"/>
          <w:bCs/>
          <w:color w:val="000000"/>
          <w:lang w:val="ru-RU"/>
        </w:rPr>
        <w:t>-</w:t>
      </w:r>
      <w:r w:rsidRPr="0030322F">
        <w:rPr>
          <w:rFonts w:eastAsia="Times New Roman" w:cs="Arial"/>
          <w:bCs/>
          <w:color w:val="000000"/>
          <w:lang w:val="en-US"/>
        </w:rPr>
        <w:t>CoA</w:t>
      </w:r>
      <w:r w:rsidRPr="0030322F">
        <w:rPr>
          <w:rFonts w:eastAsia="Times New Roman" w:cs="Arial"/>
          <w:bCs/>
          <w:color w:val="000000"/>
          <w:lang w:val="ru-RU"/>
        </w:rPr>
        <w:t xml:space="preserve"> </w:t>
      </w:r>
      <w:r w:rsidRPr="0030322F">
        <w:rPr>
          <w:rFonts w:eastAsia="Times New Roman" w:cs="Arial"/>
          <w:bCs/>
          <w:color w:val="000000"/>
          <w:lang w:eastAsia="bg-BG"/>
        </w:rPr>
        <w:t xml:space="preserve">редуктазни инхибитори, докладваната честота на рабдомиолиза, асоциирана с Крестор при постмаркетинговата употреба, е по-висока при дозировка от 40 </w:t>
      </w:r>
      <w:r w:rsidRPr="0030322F">
        <w:rPr>
          <w:rFonts w:eastAsia="Times New Roman" w:cs="Arial"/>
          <w:bCs/>
          <w:color w:val="000000"/>
          <w:lang w:val="en-US"/>
        </w:rPr>
        <w:t>mg</w:t>
      </w:r>
      <w:r w:rsidRPr="0030322F">
        <w:rPr>
          <w:rFonts w:eastAsia="Times New Roman" w:cs="Arial"/>
          <w:bCs/>
          <w:color w:val="000000"/>
          <w:lang w:val="ru-RU"/>
        </w:rPr>
        <w:t>.</w:t>
      </w:r>
    </w:p>
    <w:p w14:paraId="1BB7519B" w14:textId="77777777" w:rsidR="0030322F" w:rsidRPr="0030322F" w:rsidRDefault="0030322F" w:rsidP="0030322F">
      <w:pPr>
        <w:spacing w:line="240" w:lineRule="auto"/>
        <w:rPr>
          <w:rFonts w:eastAsia="Times New Roman" w:cs="Arial"/>
          <w:bCs/>
          <w:i/>
          <w:iCs/>
          <w:color w:val="000000"/>
          <w:lang w:eastAsia="bg-BG"/>
        </w:rPr>
      </w:pPr>
    </w:p>
    <w:p w14:paraId="2784E4EE" w14:textId="60DD0FE3" w:rsidR="0030322F" w:rsidRPr="0030322F" w:rsidRDefault="0030322F" w:rsidP="0030322F">
      <w:pPr>
        <w:spacing w:line="240" w:lineRule="auto"/>
        <w:rPr>
          <w:rFonts w:eastAsia="Times New Roman" w:cs="Arial"/>
        </w:rPr>
      </w:pPr>
      <w:r w:rsidRPr="0030322F">
        <w:rPr>
          <w:rFonts w:eastAsia="Times New Roman" w:cs="Arial"/>
          <w:bCs/>
          <w:i/>
          <w:iCs/>
          <w:color w:val="000000"/>
          <w:lang w:eastAsia="bg-BG"/>
        </w:rPr>
        <w:t>Измерване на креатинкиназата</w:t>
      </w:r>
    </w:p>
    <w:p w14:paraId="304F384F" w14:textId="77777777"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Креатинкиназата (СК) не трябва да се измерва след усилени упражнения или при наличието на друг причинител на увеличение на СК, което може да затрудни тълкуването на резултата. Ако нивото на СК е значително повишено при изходно ниво (&gt; 5 пъти горната допустима граница), тест за потвърждаване на резултата трябва да бъде направен в рамките на 5-7 дни. Ако повторното изследване потвърди изходно ниво на СК &gt; 5 пъти горната допустима граница, не трябва да се започва лечение.</w:t>
      </w:r>
    </w:p>
    <w:p w14:paraId="5815A0AD" w14:textId="77777777" w:rsidR="0030322F" w:rsidRPr="0030322F" w:rsidRDefault="0030322F" w:rsidP="0030322F">
      <w:pPr>
        <w:spacing w:line="240" w:lineRule="auto"/>
        <w:rPr>
          <w:rFonts w:eastAsia="Times New Roman" w:cs="Arial"/>
          <w:bCs/>
          <w:i/>
          <w:iCs/>
          <w:color w:val="000000"/>
          <w:lang w:eastAsia="bg-BG"/>
        </w:rPr>
      </w:pPr>
    </w:p>
    <w:p w14:paraId="6A2FEADD" w14:textId="62C26E7D" w:rsidR="0030322F" w:rsidRPr="0030322F" w:rsidRDefault="0030322F" w:rsidP="0030322F">
      <w:pPr>
        <w:spacing w:line="240" w:lineRule="auto"/>
        <w:rPr>
          <w:rFonts w:eastAsia="Times New Roman" w:cs="Arial"/>
        </w:rPr>
      </w:pPr>
      <w:r w:rsidRPr="0030322F">
        <w:rPr>
          <w:rFonts w:eastAsia="Times New Roman" w:cs="Arial"/>
          <w:bCs/>
          <w:i/>
          <w:iCs/>
          <w:color w:val="000000"/>
          <w:lang w:eastAsia="bg-BG"/>
        </w:rPr>
        <w:t>Преди лечението</w:t>
      </w:r>
    </w:p>
    <w:p w14:paraId="4B521B04" w14:textId="77777777"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 xml:space="preserve">Както и други инхибитори на </w:t>
      </w:r>
      <w:r w:rsidRPr="0030322F">
        <w:rPr>
          <w:rFonts w:eastAsia="Times New Roman" w:cs="Arial"/>
          <w:bCs/>
          <w:color w:val="000000"/>
          <w:lang w:val="en-US"/>
        </w:rPr>
        <w:t>HMG</w:t>
      </w:r>
      <w:r w:rsidRPr="0030322F">
        <w:rPr>
          <w:rFonts w:eastAsia="Times New Roman" w:cs="Arial"/>
          <w:bCs/>
          <w:color w:val="000000"/>
          <w:lang w:val="ru-RU"/>
        </w:rPr>
        <w:t>-</w:t>
      </w:r>
      <w:r w:rsidRPr="0030322F">
        <w:rPr>
          <w:rFonts w:eastAsia="Times New Roman" w:cs="Arial"/>
          <w:bCs/>
          <w:color w:val="000000"/>
          <w:lang w:val="en-US"/>
        </w:rPr>
        <w:t>CoA</w:t>
      </w:r>
      <w:r w:rsidRPr="0030322F">
        <w:rPr>
          <w:rFonts w:eastAsia="Times New Roman" w:cs="Arial"/>
          <w:bCs/>
          <w:color w:val="000000"/>
          <w:lang w:val="ru-RU"/>
        </w:rPr>
        <w:t xml:space="preserve"> </w:t>
      </w:r>
      <w:r w:rsidRPr="0030322F">
        <w:rPr>
          <w:rFonts w:eastAsia="Times New Roman" w:cs="Arial"/>
          <w:bCs/>
          <w:color w:val="000000"/>
          <w:lang w:eastAsia="bg-BG"/>
        </w:rPr>
        <w:t>редуктазата, Крестор трябва да бъде предписван с особено внимание при пациенти, за които са налице фактори, предразполагащи развитие на миопатия/рабдомиолиза. Такива фактори са:</w:t>
      </w:r>
    </w:p>
    <w:p w14:paraId="53955535" w14:textId="77777777" w:rsidR="0030322F" w:rsidRPr="0030322F" w:rsidRDefault="0030322F" w:rsidP="0030322F">
      <w:pPr>
        <w:pStyle w:val="ListParagraph"/>
        <w:numPr>
          <w:ilvl w:val="0"/>
          <w:numId w:val="38"/>
        </w:numPr>
        <w:spacing w:line="240" w:lineRule="auto"/>
        <w:rPr>
          <w:rFonts w:eastAsia="Times New Roman" w:cs="Arial"/>
          <w:bCs/>
          <w:color w:val="000000"/>
          <w:lang w:eastAsia="bg-BG"/>
        </w:rPr>
      </w:pPr>
      <w:r w:rsidRPr="0030322F">
        <w:rPr>
          <w:rFonts w:eastAsia="Times New Roman" w:cs="Arial"/>
          <w:bCs/>
          <w:color w:val="000000"/>
          <w:lang w:eastAsia="bg-BG"/>
        </w:rPr>
        <w:t>Бъбречно увреждане.</w:t>
      </w:r>
    </w:p>
    <w:p w14:paraId="2594F69C" w14:textId="77777777" w:rsidR="0030322F" w:rsidRPr="0030322F" w:rsidRDefault="0030322F" w:rsidP="0030322F">
      <w:pPr>
        <w:pStyle w:val="ListParagraph"/>
        <w:numPr>
          <w:ilvl w:val="0"/>
          <w:numId w:val="38"/>
        </w:numPr>
        <w:spacing w:line="240" w:lineRule="auto"/>
        <w:rPr>
          <w:rFonts w:eastAsia="Times New Roman" w:cs="Arial"/>
          <w:bCs/>
          <w:color w:val="000000"/>
          <w:lang w:eastAsia="bg-BG"/>
        </w:rPr>
      </w:pPr>
      <w:r w:rsidRPr="0030322F">
        <w:rPr>
          <w:rFonts w:eastAsia="Times New Roman" w:cs="Arial"/>
          <w:bCs/>
          <w:color w:val="000000"/>
          <w:lang w:eastAsia="bg-BG"/>
        </w:rPr>
        <w:t>Хипотиреоидизъм.</w:t>
      </w:r>
    </w:p>
    <w:p w14:paraId="41A35E25" w14:textId="77777777" w:rsidR="0030322F" w:rsidRPr="0030322F" w:rsidRDefault="0030322F" w:rsidP="0030322F">
      <w:pPr>
        <w:pStyle w:val="ListParagraph"/>
        <w:numPr>
          <w:ilvl w:val="0"/>
          <w:numId w:val="38"/>
        </w:numPr>
        <w:spacing w:line="240" w:lineRule="auto"/>
        <w:rPr>
          <w:rFonts w:eastAsia="Times New Roman" w:cs="Arial"/>
          <w:bCs/>
          <w:color w:val="000000"/>
          <w:lang w:eastAsia="bg-BG"/>
        </w:rPr>
      </w:pPr>
      <w:r w:rsidRPr="0030322F">
        <w:rPr>
          <w:rFonts w:eastAsia="Times New Roman" w:cs="Arial"/>
          <w:bCs/>
          <w:color w:val="000000"/>
          <w:lang w:eastAsia="bg-BG"/>
        </w:rPr>
        <w:t>Лична или фамилна анамнеза за наследствено мускулно заболяване.</w:t>
      </w:r>
    </w:p>
    <w:p w14:paraId="64360497" w14:textId="77777777" w:rsidR="0030322F" w:rsidRPr="0030322F" w:rsidRDefault="0030322F" w:rsidP="0030322F">
      <w:pPr>
        <w:pStyle w:val="ListParagraph"/>
        <w:numPr>
          <w:ilvl w:val="0"/>
          <w:numId w:val="38"/>
        </w:numPr>
        <w:spacing w:line="240" w:lineRule="auto"/>
        <w:rPr>
          <w:rFonts w:eastAsia="Times New Roman" w:cs="Arial"/>
          <w:bCs/>
          <w:color w:val="000000"/>
          <w:lang w:eastAsia="bg-BG"/>
        </w:rPr>
      </w:pPr>
      <w:r w:rsidRPr="0030322F">
        <w:rPr>
          <w:rFonts w:eastAsia="Times New Roman" w:cs="Arial"/>
          <w:bCs/>
          <w:color w:val="000000"/>
          <w:lang w:eastAsia="bg-BG"/>
        </w:rPr>
        <w:t xml:space="preserve">Установена мускулна токсичност към други инхибитори на </w:t>
      </w:r>
      <w:r w:rsidRPr="0030322F">
        <w:rPr>
          <w:rFonts w:eastAsia="Times New Roman" w:cs="Arial"/>
          <w:bCs/>
          <w:color w:val="000000"/>
          <w:lang w:val="en-US"/>
        </w:rPr>
        <w:t>HMG</w:t>
      </w:r>
      <w:r w:rsidRPr="0030322F">
        <w:rPr>
          <w:rFonts w:eastAsia="Times New Roman" w:cs="Arial"/>
          <w:bCs/>
          <w:color w:val="000000"/>
          <w:lang w:val="ru-RU"/>
        </w:rPr>
        <w:t>-</w:t>
      </w:r>
      <w:r w:rsidRPr="0030322F">
        <w:rPr>
          <w:rFonts w:eastAsia="Times New Roman" w:cs="Arial"/>
          <w:bCs/>
          <w:color w:val="000000"/>
          <w:lang w:val="en-US"/>
        </w:rPr>
        <w:t>CoA</w:t>
      </w:r>
      <w:r w:rsidRPr="0030322F">
        <w:rPr>
          <w:rFonts w:eastAsia="Times New Roman" w:cs="Arial"/>
          <w:bCs/>
          <w:color w:val="000000"/>
          <w:lang w:val="ru-RU"/>
        </w:rPr>
        <w:t xml:space="preserve"> </w:t>
      </w:r>
      <w:r w:rsidRPr="0030322F">
        <w:rPr>
          <w:rFonts w:eastAsia="Times New Roman" w:cs="Arial"/>
          <w:bCs/>
          <w:color w:val="000000"/>
          <w:lang w:eastAsia="bg-BG"/>
        </w:rPr>
        <w:t>редуктазата или фибрата.</w:t>
      </w:r>
    </w:p>
    <w:p w14:paraId="5FE7D6A5" w14:textId="77777777" w:rsidR="0030322F" w:rsidRPr="0030322F" w:rsidRDefault="0030322F" w:rsidP="0030322F">
      <w:pPr>
        <w:pStyle w:val="ListParagraph"/>
        <w:numPr>
          <w:ilvl w:val="0"/>
          <w:numId w:val="38"/>
        </w:numPr>
        <w:spacing w:line="240" w:lineRule="auto"/>
        <w:rPr>
          <w:rFonts w:eastAsia="Times New Roman" w:cs="Arial"/>
          <w:bCs/>
          <w:color w:val="000000"/>
          <w:lang w:eastAsia="bg-BG"/>
        </w:rPr>
      </w:pPr>
      <w:r w:rsidRPr="0030322F">
        <w:rPr>
          <w:rFonts w:eastAsia="Times New Roman" w:cs="Arial"/>
          <w:bCs/>
          <w:color w:val="000000"/>
          <w:lang w:eastAsia="bg-BG"/>
        </w:rPr>
        <w:t>Злоупотреба с алкохол.</w:t>
      </w:r>
    </w:p>
    <w:p w14:paraId="21E7BD56" w14:textId="77777777" w:rsidR="0030322F" w:rsidRPr="0030322F" w:rsidRDefault="0030322F" w:rsidP="0030322F">
      <w:pPr>
        <w:pStyle w:val="ListParagraph"/>
        <w:numPr>
          <w:ilvl w:val="0"/>
          <w:numId w:val="38"/>
        </w:numPr>
        <w:spacing w:line="240" w:lineRule="auto"/>
        <w:rPr>
          <w:rFonts w:eastAsia="Times New Roman" w:cs="Arial"/>
          <w:bCs/>
          <w:color w:val="000000"/>
          <w:lang w:eastAsia="bg-BG"/>
        </w:rPr>
      </w:pPr>
      <w:r w:rsidRPr="0030322F">
        <w:rPr>
          <w:rFonts w:eastAsia="Times New Roman" w:cs="Arial"/>
          <w:bCs/>
          <w:color w:val="000000"/>
          <w:lang w:eastAsia="bg-BG"/>
        </w:rPr>
        <w:t>Пациенти на възраст над 70 години.</w:t>
      </w:r>
    </w:p>
    <w:p w14:paraId="00FD141D" w14:textId="77777777" w:rsidR="0030322F" w:rsidRPr="0030322F" w:rsidRDefault="0030322F" w:rsidP="0030322F">
      <w:pPr>
        <w:pStyle w:val="ListParagraph"/>
        <w:numPr>
          <w:ilvl w:val="0"/>
          <w:numId w:val="38"/>
        </w:numPr>
        <w:spacing w:line="240" w:lineRule="auto"/>
        <w:rPr>
          <w:rFonts w:eastAsia="Times New Roman" w:cs="Arial"/>
          <w:bCs/>
          <w:color w:val="000000"/>
          <w:lang w:eastAsia="bg-BG"/>
        </w:rPr>
      </w:pPr>
      <w:r w:rsidRPr="0030322F">
        <w:rPr>
          <w:rFonts w:eastAsia="Times New Roman" w:cs="Arial"/>
          <w:bCs/>
          <w:color w:val="000000"/>
          <w:lang w:eastAsia="bg-BG"/>
        </w:rPr>
        <w:t>Състояния, при които може да се наблюдава покачване на плазмените нива</w:t>
      </w:r>
    </w:p>
    <w:p w14:paraId="141223CD" w14:textId="084CAFB3" w:rsidR="0030322F" w:rsidRPr="0030322F" w:rsidRDefault="0030322F" w:rsidP="0030322F">
      <w:pPr>
        <w:pStyle w:val="ListParagraph"/>
        <w:numPr>
          <w:ilvl w:val="0"/>
          <w:numId w:val="38"/>
        </w:numPr>
        <w:spacing w:line="240" w:lineRule="auto"/>
        <w:rPr>
          <w:rFonts w:eastAsia="Times New Roman" w:cs="Arial"/>
          <w:bCs/>
          <w:color w:val="000000"/>
          <w:lang w:eastAsia="bg-BG"/>
        </w:rPr>
      </w:pPr>
      <w:r w:rsidRPr="0030322F">
        <w:rPr>
          <w:rFonts w:eastAsia="Times New Roman" w:cs="Arial"/>
          <w:bCs/>
          <w:color w:val="000000"/>
          <w:lang w:eastAsia="bg-BG"/>
        </w:rPr>
        <w:t>Едновременно приложение на фибрата.</w:t>
      </w:r>
    </w:p>
    <w:p w14:paraId="00D30809" w14:textId="77777777" w:rsidR="0030322F" w:rsidRPr="0030322F" w:rsidRDefault="0030322F" w:rsidP="0030322F">
      <w:pPr>
        <w:spacing w:line="240" w:lineRule="auto"/>
        <w:rPr>
          <w:rFonts w:eastAsia="Times New Roman" w:cs="Arial"/>
          <w:bCs/>
          <w:color w:val="000000"/>
          <w:lang w:eastAsia="bg-BG"/>
        </w:rPr>
      </w:pPr>
    </w:p>
    <w:p w14:paraId="16F41B02" w14:textId="3AE80006" w:rsidR="0030322F" w:rsidRPr="0030322F" w:rsidRDefault="0030322F" w:rsidP="0030322F">
      <w:pPr>
        <w:spacing w:line="240" w:lineRule="auto"/>
        <w:rPr>
          <w:rFonts w:eastAsia="Times New Roman" w:cs="Arial"/>
          <w:bCs/>
          <w:color w:val="000000"/>
          <w:lang w:eastAsia="bg-BG"/>
        </w:rPr>
      </w:pPr>
      <w:r w:rsidRPr="0030322F">
        <w:rPr>
          <w:rFonts w:eastAsia="Times New Roman" w:cs="Arial"/>
          <w:bCs/>
          <w:color w:val="000000"/>
          <w:lang w:eastAsia="bg-BG"/>
        </w:rPr>
        <w:t>При подобни пациенти трябва да се предвиди отношението риск/полза и да бъдат поставени под клинично наблюдение. Ако изходното ниво на СК е значително повишено (&gt;5 пъти горната граница на нормата), не трябва да се започва лечение.</w:t>
      </w:r>
    </w:p>
    <w:p w14:paraId="7155B198" w14:textId="7F8B05E2" w:rsidR="0030322F" w:rsidRPr="0030322F" w:rsidRDefault="0030322F" w:rsidP="0030322F">
      <w:pPr>
        <w:spacing w:line="240" w:lineRule="auto"/>
        <w:rPr>
          <w:rFonts w:eastAsia="Times New Roman" w:cs="Arial"/>
          <w:bCs/>
          <w:color w:val="000000"/>
          <w:lang w:eastAsia="bg-BG"/>
        </w:rPr>
      </w:pPr>
    </w:p>
    <w:p w14:paraId="3D6FACBE" w14:textId="77777777" w:rsidR="0030322F" w:rsidRPr="0030322F" w:rsidRDefault="0030322F" w:rsidP="0030322F">
      <w:pPr>
        <w:spacing w:line="240" w:lineRule="auto"/>
        <w:rPr>
          <w:rFonts w:eastAsia="Times New Roman" w:cs="Arial"/>
        </w:rPr>
      </w:pPr>
      <w:r w:rsidRPr="0030322F">
        <w:rPr>
          <w:rFonts w:eastAsia="Times New Roman" w:cs="Arial"/>
          <w:bCs/>
          <w:i/>
          <w:iCs/>
          <w:color w:val="000000"/>
          <w:lang w:eastAsia="bg-BG"/>
        </w:rPr>
        <w:t>По време на лечението</w:t>
      </w:r>
    </w:p>
    <w:p w14:paraId="0042BC22" w14:textId="77777777"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 xml:space="preserve">Пациентите се задължават незабавно да докладват необясними мускулни болки, усещане за слабост или схващане, най-вече ако са свързани с неразположение или фебрилитет. При тези пациенти трябва да се измерят нивата на СК. Терапията трябва да се прекрати, ако нивото на СК е значително повишено (&gt; 5 пъти горната допустима граница), или мускулните симптоми са тежки и причиняват ежедневно неразположение (дори нивото на СК да е ≤ 5 пъти горната допустима граница). Ако симптомите изчезнат и нивото на СК се </w:t>
      </w:r>
      <w:r w:rsidRPr="0030322F">
        <w:rPr>
          <w:rFonts w:eastAsia="Times New Roman" w:cs="Arial"/>
          <w:bCs/>
          <w:color w:val="000000"/>
          <w:lang w:eastAsia="bg-BG"/>
        </w:rPr>
        <w:lastRenderedPageBreak/>
        <w:t xml:space="preserve">нормализира, може да се помисли за повторно лечение с Крестор или алтернативен инхибигор на </w:t>
      </w:r>
      <w:r w:rsidRPr="0030322F">
        <w:rPr>
          <w:rFonts w:eastAsia="Times New Roman" w:cs="Arial"/>
          <w:bCs/>
          <w:color w:val="000000"/>
          <w:lang w:val="en-US"/>
        </w:rPr>
        <w:t>HMG</w:t>
      </w:r>
      <w:r w:rsidRPr="0030322F">
        <w:rPr>
          <w:rFonts w:eastAsia="Times New Roman" w:cs="Arial"/>
          <w:bCs/>
          <w:color w:val="000000"/>
          <w:lang w:val="ru-RU"/>
        </w:rPr>
        <w:t>-</w:t>
      </w:r>
      <w:r w:rsidRPr="0030322F">
        <w:rPr>
          <w:rFonts w:eastAsia="Times New Roman" w:cs="Arial"/>
          <w:bCs/>
          <w:color w:val="000000"/>
          <w:lang w:val="en-US"/>
        </w:rPr>
        <w:t>CoA</w:t>
      </w:r>
      <w:r w:rsidRPr="0030322F">
        <w:rPr>
          <w:rFonts w:eastAsia="Times New Roman" w:cs="Arial"/>
          <w:bCs/>
          <w:color w:val="000000"/>
          <w:lang w:val="ru-RU"/>
        </w:rPr>
        <w:t xml:space="preserve"> </w:t>
      </w:r>
      <w:r w:rsidRPr="0030322F">
        <w:rPr>
          <w:rFonts w:eastAsia="Times New Roman" w:cs="Arial"/>
          <w:bCs/>
          <w:color w:val="000000"/>
          <w:lang w:eastAsia="bg-BG"/>
        </w:rPr>
        <w:t>редуктазата в най-ниска доза под наблюдение. Рутинно наблюдение на нивото на СК при пациенти без симптоми не е основателно.</w:t>
      </w:r>
    </w:p>
    <w:p w14:paraId="266819FE" w14:textId="77777777" w:rsidR="0030322F" w:rsidRPr="0030322F" w:rsidRDefault="0030322F" w:rsidP="0030322F">
      <w:pPr>
        <w:spacing w:line="240" w:lineRule="auto"/>
        <w:rPr>
          <w:rFonts w:eastAsia="Times New Roman" w:cs="Arial"/>
          <w:bCs/>
          <w:color w:val="000000"/>
          <w:lang w:eastAsia="bg-BG"/>
        </w:rPr>
      </w:pPr>
    </w:p>
    <w:p w14:paraId="1B38264B" w14:textId="7C14009A"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Има много редки доклади за имуномедиирана некротизираща миопатия, която клинично се характеризира с персистираща проксимална мускулна слабост и повишена креатинкиназа по време на лечението или след спиране на стативите, включително розувастатин. Може да е необходмо допълнително нервномускулно или серологично изследване. Може да се наложи лечение с имуносупресиращи лекарства.</w:t>
      </w:r>
    </w:p>
    <w:p w14:paraId="343D900E" w14:textId="77777777" w:rsidR="0030322F" w:rsidRPr="0030322F" w:rsidRDefault="0030322F" w:rsidP="0030322F">
      <w:pPr>
        <w:spacing w:line="240" w:lineRule="auto"/>
        <w:rPr>
          <w:rFonts w:eastAsia="Times New Roman" w:cs="Arial"/>
          <w:bCs/>
          <w:color w:val="000000"/>
          <w:lang w:eastAsia="bg-BG"/>
        </w:rPr>
      </w:pPr>
    </w:p>
    <w:p w14:paraId="5421B8BA" w14:textId="02B9FD78"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 xml:space="preserve">При клиничните изпитвания на Крестор не са наблюдавани данни за повишени ефекти върху скелетната мускулатура в малката група пациенти, при които Крестор е прилаган с друго съпътстващо лечение. Увеличение на честотата на миозит и миопатия е наблюдавано, обаче, при пациенти, получаващи други инхибитори на </w:t>
      </w:r>
      <w:r w:rsidRPr="0030322F">
        <w:rPr>
          <w:rFonts w:eastAsia="Times New Roman" w:cs="Arial"/>
          <w:bCs/>
          <w:color w:val="000000"/>
          <w:lang w:val="en-US"/>
        </w:rPr>
        <w:t>HMG</w:t>
      </w:r>
      <w:r w:rsidRPr="0030322F">
        <w:rPr>
          <w:rFonts w:eastAsia="Times New Roman" w:cs="Arial"/>
          <w:bCs/>
          <w:color w:val="000000"/>
          <w:lang w:val="ru-RU"/>
        </w:rPr>
        <w:t>-</w:t>
      </w:r>
      <w:r w:rsidRPr="0030322F">
        <w:rPr>
          <w:rFonts w:eastAsia="Times New Roman" w:cs="Arial"/>
          <w:bCs/>
          <w:color w:val="000000"/>
          <w:lang w:val="en-US"/>
        </w:rPr>
        <w:t>CoA</w:t>
      </w:r>
      <w:r w:rsidRPr="0030322F">
        <w:rPr>
          <w:rFonts w:eastAsia="Times New Roman" w:cs="Arial"/>
          <w:bCs/>
          <w:color w:val="000000"/>
          <w:lang w:val="ru-RU"/>
        </w:rPr>
        <w:t xml:space="preserve"> </w:t>
      </w:r>
      <w:r w:rsidRPr="0030322F">
        <w:rPr>
          <w:rFonts w:eastAsia="Times New Roman" w:cs="Arial"/>
          <w:bCs/>
          <w:color w:val="000000"/>
          <w:lang w:eastAsia="bg-BG"/>
        </w:rPr>
        <w:t xml:space="preserve">редуктазата заедно с циклоспорин, производни на фибриновата киселина, включително гемфиброзил, никотинова киселина, азолови антимикотици, протеазни инхибитори и макролидни антибиотици. Гемфиброзил повишава риска от миопатия, ако се приема едновременно с някои инхибитори на </w:t>
      </w:r>
      <w:r w:rsidRPr="0030322F">
        <w:rPr>
          <w:rFonts w:eastAsia="Times New Roman" w:cs="Arial"/>
          <w:bCs/>
          <w:color w:val="000000"/>
          <w:lang w:val="en-US"/>
        </w:rPr>
        <w:t>HMG</w:t>
      </w:r>
      <w:r w:rsidRPr="0030322F">
        <w:rPr>
          <w:rFonts w:eastAsia="Times New Roman" w:cs="Arial"/>
          <w:bCs/>
          <w:color w:val="000000"/>
          <w:lang w:val="ru-RU"/>
        </w:rPr>
        <w:t>-</w:t>
      </w:r>
      <w:r w:rsidRPr="0030322F">
        <w:rPr>
          <w:rFonts w:eastAsia="Times New Roman" w:cs="Arial"/>
          <w:bCs/>
          <w:color w:val="000000"/>
          <w:lang w:val="en-US"/>
        </w:rPr>
        <w:t>CoA</w:t>
      </w:r>
      <w:r w:rsidRPr="0030322F">
        <w:rPr>
          <w:rFonts w:eastAsia="Times New Roman" w:cs="Arial"/>
          <w:bCs/>
          <w:color w:val="000000"/>
          <w:lang w:val="ru-RU"/>
        </w:rPr>
        <w:t xml:space="preserve"> </w:t>
      </w:r>
      <w:r w:rsidRPr="0030322F">
        <w:rPr>
          <w:rFonts w:eastAsia="Times New Roman" w:cs="Arial"/>
          <w:bCs/>
          <w:color w:val="000000"/>
          <w:lang w:eastAsia="bg-BG"/>
        </w:rPr>
        <w:t xml:space="preserve">редуктазата. Поради това, комбинацията между гемфиброзил и Крестор не е препоръчителна. Ползата от допълнително снижаване в липидните нива в резултат от комбинираното приемане на Крестор и фибрата или ниацин, трябва да бъде внимателно изчислена спрямо потенциалния риск от подобни комбинации. При едновременно приложение на фибрати, лечението с дози от 40 </w:t>
      </w:r>
      <w:r w:rsidRPr="0030322F">
        <w:rPr>
          <w:rFonts w:eastAsia="Times New Roman" w:cs="Arial"/>
          <w:bCs/>
          <w:color w:val="000000"/>
          <w:lang w:val="en-US"/>
        </w:rPr>
        <w:t>mg</w:t>
      </w:r>
      <w:r w:rsidRPr="0030322F">
        <w:rPr>
          <w:rFonts w:eastAsia="Times New Roman" w:cs="Arial"/>
          <w:bCs/>
          <w:color w:val="000000"/>
          <w:lang w:val="ru-RU"/>
        </w:rPr>
        <w:t xml:space="preserve"> </w:t>
      </w:r>
      <w:r w:rsidRPr="0030322F">
        <w:rPr>
          <w:rFonts w:eastAsia="Times New Roman" w:cs="Arial"/>
          <w:bCs/>
          <w:color w:val="000000"/>
          <w:lang w:eastAsia="bg-BG"/>
        </w:rPr>
        <w:t>е противопоказано (вж. точки 4.5 и 4.8).</w:t>
      </w:r>
    </w:p>
    <w:p w14:paraId="0B7611B6" w14:textId="77777777" w:rsidR="0030322F" w:rsidRPr="0030322F" w:rsidRDefault="0030322F" w:rsidP="0030322F">
      <w:pPr>
        <w:spacing w:line="240" w:lineRule="auto"/>
        <w:rPr>
          <w:rFonts w:eastAsia="Times New Roman" w:cs="Arial"/>
          <w:bCs/>
          <w:color w:val="000000"/>
          <w:lang w:eastAsia="bg-BG"/>
        </w:rPr>
      </w:pPr>
    </w:p>
    <w:p w14:paraId="2CB8A99D" w14:textId="38CC2A0D"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Крестор не трябва да се прилага едновременно с фузидова киселина за системно приложение или в рамките на 7 дни след спиране на лечението с фузидова киселина. При пациенти, при които използването на фузидова киселина за системно приложение е значимо, лечението със статини трябва да бъде преустановено през целия период на лечение с фузидова киселина. Има съобщения за рабдомиолиза (включително няколко с фатален изход) при пациенти, приемащи фузидова киселина и статини в комбинация (вж. точка 4.5). Пациентите трябва да бъдат посъветвани да потърсят незабавно медицинска помощ, ако изпитват симптоми на мускулна слабост, болка или болезненост. Лечението със статини може да бъде подновено седем дни след последната доза на фузидова киселина. При извънредни обстоятелства, когато е необходима продължителна употреба на фузидова киселина за системно приложение, например за лечение на тежки инфекции, необходимостта от едновременно приложение на Крестор и фузидова киселина трябва да се прецени индивидуално, и под строг медицински контрол.</w:t>
      </w:r>
    </w:p>
    <w:p w14:paraId="4343AB58" w14:textId="77777777" w:rsidR="0030322F" w:rsidRPr="0030322F" w:rsidRDefault="0030322F" w:rsidP="0030322F">
      <w:pPr>
        <w:spacing w:line="240" w:lineRule="auto"/>
        <w:rPr>
          <w:rFonts w:eastAsia="Times New Roman" w:cs="Arial"/>
          <w:bCs/>
          <w:color w:val="000000"/>
          <w:lang w:eastAsia="bg-BG"/>
        </w:rPr>
      </w:pPr>
    </w:p>
    <w:p w14:paraId="434FB10B" w14:textId="4B92368D"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Крестор не трябва да се употребява при пациенти с остри сериозни състояния, предполагащи миопатия, или предразполагащи към развитие на бъбречна недостатъчност, вследствие рабдомиолиза (напр. сепсис, хипотония, голяма операция, травма, тежки метаболитни, ендокринни и електролитни нарушения или неконтролирани гърчове).</w:t>
      </w:r>
    </w:p>
    <w:p w14:paraId="2BF577C2" w14:textId="77777777" w:rsidR="0030322F" w:rsidRPr="0030322F" w:rsidRDefault="0030322F" w:rsidP="0030322F">
      <w:pPr>
        <w:spacing w:line="240" w:lineRule="auto"/>
        <w:rPr>
          <w:rFonts w:eastAsia="Times New Roman" w:cs="Arial"/>
          <w:bCs/>
          <w:color w:val="000000"/>
          <w:u w:val="single"/>
          <w:lang w:eastAsia="bg-BG"/>
        </w:rPr>
      </w:pPr>
    </w:p>
    <w:p w14:paraId="6347D7FF" w14:textId="16112CEF" w:rsidR="0030322F" w:rsidRPr="0030322F" w:rsidRDefault="0030322F" w:rsidP="0030322F">
      <w:pPr>
        <w:spacing w:line="240" w:lineRule="auto"/>
        <w:rPr>
          <w:rFonts w:eastAsia="Times New Roman" w:cs="Arial"/>
        </w:rPr>
      </w:pPr>
      <w:r w:rsidRPr="0030322F">
        <w:rPr>
          <w:rFonts w:eastAsia="Times New Roman" w:cs="Arial"/>
          <w:bCs/>
          <w:color w:val="000000"/>
          <w:u w:val="single"/>
          <w:lang w:eastAsia="bg-BG"/>
        </w:rPr>
        <w:t>Тежки кожни нежелани реакции</w:t>
      </w:r>
    </w:p>
    <w:p w14:paraId="136D9E13" w14:textId="56364C25"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 xml:space="preserve">Тежки кожни нежелани реакции, включително синдром на </w:t>
      </w:r>
      <w:r w:rsidRPr="0030322F">
        <w:rPr>
          <w:rFonts w:eastAsia="Times New Roman" w:cs="Arial"/>
          <w:bCs/>
          <w:color w:val="000000"/>
          <w:lang w:val="en-US"/>
        </w:rPr>
        <w:t>Stevens</w:t>
      </w:r>
      <w:r w:rsidRPr="0030322F">
        <w:rPr>
          <w:rFonts w:eastAsia="Times New Roman" w:cs="Arial"/>
          <w:bCs/>
          <w:color w:val="000000"/>
          <w:lang w:val="ru-RU"/>
        </w:rPr>
        <w:t>-</w:t>
      </w:r>
      <w:r w:rsidRPr="0030322F">
        <w:rPr>
          <w:rFonts w:eastAsia="Times New Roman" w:cs="Arial"/>
          <w:bCs/>
          <w:color w:val="000000"/>
          <w:lang w:val="en-US"/>
        </w:rPr>
        <w:t>Johnson</w:t>
      </w:r>
      <w:r w:rsidRPr="0030322F">
        <w:rPr>
          <w:rFonts w:eastAsia="Times New Roman" w:cs="Arial"/>
          <w:bCs/>
          <w:color w:val="000000"/>
          <w:lang w:val="ru-RU"/>
        </w:rPr>
        <w:t xml:space="preserve"> (</w:t>
      </w:r>
      <w:r w:rsidRPr="0030322F">
        <w:rPr>
          <w:rFonts w:eastAsia="Times New Roman" w:cs="Arial"/>
          <w:bCs/>
          <w:color w:val="000000"/>
          <w:lang w:val="en-US"/>
        </w:rPr>
        <w:t>SJS</w:t>
      </w:r>
      <w:r w:rsidRPr="0030322F">
        <w:rPr>
          <w:rFonts w:eastAsia="Times New Roman" w:cs="Arial"/>
          <w:bCs/>
          <w:color w:val="000000"/>
          <w:lang w:val="ru-RU"/>
        </w:rPr>
        <w:t xml:space="preserve">) </w:t>
      </w:r>
      <w:r w:rsidRPr="0030322F">
        <w:rPr>
          <w:rFonts w:eastAsia="Times New Roman" w:cs="Arial"/>
          <w:bCs/>
          <w:color w:val="000000"/>
          <w:lang w:eastAsia="bg-BG"/>
        </w:rPr>
        <w:t xml:space="preserve">и лекарствена реакция с еозинофилия и системни симптоми </w:t>
      </w:r>
      <w:r w:rsidRPr="0030322F">
        <w:rPr>
          <w:rFonts w:eastAsia="Times New Roman" w:cs="Arial"/>
          <w:bCs/>
          <w:color w:val="000000"/>
          <w:lang w:val="ru-RU"/>
        </w:rPr>
        <w:t>(</w:t>
      </w:r>
      <w:r w:rsidRPr="0030322F">
        <w:rPr>
          <w:rFonts w:eastAsia="Times New Roman" w:cs="Arial"/>
          <w:bCs/>
          <w:color w:val="000000"/>
          <w:lang w:val="en-US"/>
        </w:rPr>
        <w:t>DRESS</w:t>
      </w:r>
      <w:r w:rsidRPr="0030322F">
        <w:rPr>
          <w:rFonts w:eastAsia="Times New Roman" w:cs="Arial"/>
          <w:bCs/>
          <w:color w:val="000000"/>
          <w:lang w:val="ru-RU"/>
        </w:rPr>
        <w:t xml:space="preserve">), </w:t>
      </w:r>
      <w:r w:rsidRPr="0030322F">
        <w:rPr>
          <w:rFonts w:eastAsia="Times New Roman" w:cs="Arial"/>
          <w:bCs/>
          <w:color w:val="000000"/>
          <w:lang w:eastAsia="bg-BG"/>
        </w:rPr>
        <w:t xml:space="preserve">които могат да бъдат живото застрашаващи или с летален изход, са докладвани при употребата на розувастатин (вж. точка 4.8). По време на назначаването му, пациентите трябва да бъдат информирани за признаците и симптомите на тежки кожни реакции и да бъдат внимателно наблюдавани. появят признаци и симптоми, предполагащи тези реакции, </w:t>
      </w:r>
      <w:r w:rsidRPr="0030322F">
        <w:rPr>
          <w:rFonts w:eastAsia="Times New Roman" w:cs="Arial"/>
          <w:bCs/>
          <w:color w:val="000000"/>
          <w:lang w:eastAsia="bg-BG"/>
        </w:rPr>
        <w:lastRenderedPageBreak/>
        <w:t>лечението с Крестор трябва да бъде преустановено незабавно и да бъде обмислено алтернативно лечение.</w:t>
      </w:r>
    </w:p>
    <w:p w14:paraId="7B3F5B0E" w14:textId="03002A64" w:rsidR="0030322F" w:rsidRPr="0030322F" w:rsidRDefault="0030322F" w:rsidP="0030322F">
      <w:pPr>
        <w:rPr>
          <w:rFonts w:cs="Arial"/>
        </w:rPr>
      </w:pPr>
    </w:p>
    <w:p w14:paraId="4E2CFBF3" w14:textId="77777777"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 xml:space="preserve">Ако пациентът развие сериозна реакция като </w:t>
      </w:r>
      <w:r w:rsidRPr="0030322F">
        <w:rPr>
          <w:rFonts w:eastAsia="Times New Roman" w:cs="Arial"/>
          <w:bCs/>
          <w:color w:val="000000"/>
          <w:lang w:val="en-US"/>
        </w:rPr>
        <w:t>SJS</w:t>
      </w:r>
      <w:r w:rsidRPr="0030322F">
        <w:rPr>
          <w:rFonts w:eastAsia="Times New Roman" w:cs="Arial"/>
          <w:bCs/>
          <w:color w:val="000000"/>
          <w:lang w:val="ru-RU"/>
        </w:rPr>
        <w:t xml:space="preserve"> </w:t>
      </w:r>
      <w:r w:rsidRPr="0030322F">
        <w:rPr>
          <w:rFonts w:eastAsia="Times New Roman" w:cs="Arial"/>
          <w:bCs/>
          <w:color w:val="000000"/>
          <w:lang w:eastAsia="bg-BG"/>
        </w:rPr>
        <w:t xml:space="preserve">или </w:t>
      </w:r>
      <w:r w:rsidRPr="0030322F">
        <w:rPr>
          <w:rFonts w:eastAsia="Times New Roman" w:cs="Arial"/>
          <w:bCs/>
          <w:color w:val="000000"/>
          <w:lang w:val="en-US"/>
        </w:rPr>
        <w:t>DRESS</w:t>
      </w:r>
      <w:r w:rsidRPr="0030322F">
        <w:rPr>
          <w:rFonts w:eastAsia="Times New Roman" w:cs="Arial"/>
          <w:bCs/>
          <w:color w:val="000000"/>
          <w:lang w:val="ru-RU"/>
        </w:rPr>
        <w:t xml:space="preserve"> </w:t>
      </w:r>
      <w:r w:rsidRPr="0030322F">
        <w:rPr>
          <w:rFonts w:eastAsia="Times New Roman" w:cs="Arial"/>
          <w:bCs/>
          <w:color w:val="000000"/>
          <w:lang w:eastAsia="bg-BG"/>
        </w:rPr>
        <w:t>при употребата на Крестор, лечението с Крестор не трябва никога да се подновява при този пациент.</w:t>
      </w:r>
    </w:p>
    <w:p w14:paraId="06752DFB" w14:textId="77777777" w:rsidR="0030322F" w:rsidRPr="0030322F" w:rsidRDefault="0030322F" w:rsidP="0030322F">
      <w:pPr>
        <w:spacing w:line="240" w:lineRule="auto"/>
        <w:rPr>
          <w:rFonts w:eastAsia="Times New Roman" w:cs="Arial"/>
          <w:bCs/>
          <w:color w:val="000000"/>
          <w:u w:val="single"/>
          <w:lang w:eastAsia="bg-BG"/>
        </w:rPr>
      </w:pPr>
    </w:p>
    <w:p w14:paraId="2ECA76DD" w14:textId="60E9DAA1" w:rsidR="0030322F" w:rsidRPr="0030322F" w:rsidRDefault="0030322F" w:rsidP="0030322F">
      <w:pPr>
        <w:spacing w:line="240" w:lineRule="auto"/>
        <w:rPr>
          <w:rFonts w:eastAsia="Times New Roman" w:cs="Arial"/>
        </w:rPr>
      </w:pPr>
      <w:r w:rsidRPr="0030322F">
        <w:rPr>
          <w:rFonts w:eastAsia="Times New Roman" w:cs="Arial"/>
          <w:bCs/>
          <w:color w:val="000000"/>
          <w:u w:val="single"/>
          <w:lang w:eastAsia="bg-BG"/>
        </w:rPr>
        <w:t>Влияние върху черния дроб</w:t>
      </w:r>
    </w:p>
    <w:p w14:paraId="283ED11B" w14:textId="77777777"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 xml:space="preserve">Както при други инхибитори на </w:t>
      </w:r>
      <w:r w:rsidRPr="0030322F">
        <w:rPr>
          <w:rFonts w:eastAsia="Times New Roman" w:cs="Arial"/>
          <w:bCs/>
          <w:color w:val="000000"/>
          <w:lang w:val="en-US"/>
        </w:rPr>
        <w:t>HMG</w:t>
      </w:r>
      <w:r w:rsidRPr="0030322F">
        <w:rPr>
          <w:rFonts w:eastAsia="Times New Roman" w:cs="Arial"/>
          <w:bCs/>
          <w:color w:val="000000"/>
          <w:lang w:val="ru-RU"/>
        </w:rPr>
        <w:t>-</w:t>
      </w:r>
      <w:r w:rsidRPr="0030322F">
        <w:rPr>
          <w:rFonts w:eastAsia="Times New Roman" w:cs="Arial"/>
          <w:bCs/>
          <w:color w:val="000000"/>
          <w:lang w:val="en-US"/>
        </w:rPr>
        <w:t>CoA</w:t>
      </w:r>
      <w:r w:rsidRPr="0030322F">
        <w:rPr>
          <w:rFonts w:eastAsia="Times New Roman" w:cs="Arial"/>
          <w:bCs/>
          <w:color w:val="000000"/>
          <w:lang w:val="ru-RU"/>
        </w:rPr>
        <w:t xml:space="preserve"> </w:t>
      </w:r>
      <w:r w:rsidRPr="0030322F">
        <w:rPr>
          <w:rFonts w:eastAsia="Times New Roman" w:cs="Arial"/>
          <w:bCs/>
          <w:color w:val="000000"/>
          <w:lang w:eastAsia="bg-BG"/>
        </w:rPr>
        <w:t xml:space="preserve">редуктазата, Крестор трябва внимателно да се прилага при пациенти, които приемат голямо количество алкохол и/или са имали заболяване на черния дроб. Препоръчително е да се направят изследвания на черния дроб преди, и 3 месеца след започване на лечението. Крестор трябва да бъде преустановен или дозата трябва да се намали, ако нивото на серумните трансаминази надвишава три пъти горната граница на нормата. Докладваната честота за сериозни чернодробни увреди (заключващи се главно в увеличени чернодробни трансаминази) при постмаркетинговата употреба, е по-висока при дозировка от 40 </w:t>
      </w:r>
      <w:r w:rsidRPr="0030322F">
        <w:rPr>
          <w:rFonts w:eastAsia="Times New Roman" w:cs="Arial"/>
          <w:bCs/>
          <w:color w:val="000000"/>
          <w:lang w:val="en-US"/>
        </w:rPr>
        <w:t>mg</w:t>
      </w:r>
      <w:r w:rsidRPr="0030322F">
        <w:rPr>
          <w:rFonts w:eastAsia="Times New Roman" w:cs="Arial"/>
          <w:bCs/>
          <w:color w:val="000000"/>
          <w:lang w:val="ru-RU"/>
        </w:rPr>
        <w:t>.</w:t>
      </w:r>
    </w:p>
    <w:p w14:paraId="1A47786D" w14:textId="77777777" w:rsidR="0030322F" w:rsidRPr="0030322F" w:rsidRDefault="0030322F" w:rsidP="0030322F">
      <w:pPr>
        <w:spacing w:line="240" w:lineRule="auto"/>
        <w:rPr>
          <w:rFonts w:eastAsia="Times New Roman" w:cs="Arial"/>
          <w:bCs/>
          <w:color w:val="000000"/>
          <w:lang w:eastAsia="bg-BG"/>
        </w:rPr>
      </w:pPr>
    </w:p>
    <w:p w14:paraId="0CE8C3F7" w14:textId="5871A157"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При пациенти с вторична хиперхолестеролемия, причинена от хипотиреоидизъм или нефротичен синдром, основното заболяване трябва да се лекува преди започване на лечение с Крестор.</w:t>
      </w:r>
    </w:p>
    <w:p w14:paraId="3125CD65" w14:textId="77777777" w:rsidR="0030322F" w:rsidRPr="0030322F" w:rsidRDefault="0030322F" w:rsidP="0030322F">
      <w:pPr>
        <w:spacing w:line="240" w:lineRule="auto"/>
        <w:rPr>
          <w:rFonts w:eastAsia="Times New Roman" w:cs="Arial"/>
          <w:bCs/>
          <w:color w:val="000000"/>
          <w:u w:val="single"/>
          <w:lang w:eastAsia="bg-BG"/>
        </w:rPr>
      </w:pPr>
    </w:p>
    <w:p w14:paraId="58B29553" w14:textId="42E39DB4" w:rsidR="0030322F" w:rsidRPr="0030322F" w:rsidRDefault="0030322F" w:rsidP="0030322F">
      <w:pPr>
        <w:spacing w:line="240" w:lineRule="auto"/>
        <w:rPr>
          <w:rFonts w:eastAsia="Times New Roman" w:cs="Arial"/>
        </w:rPr>
      </w:pPr>
      <w:r w:rsidRPr="0030322F">
        <w:rPr>
          <w:rFonts w:eastAsia="Times New Roman" w:cs="Arial"/>
          <w:bCs/>
          <w:color w:val="000000"/>
          <w:u w:val="single"/>
          <w:lang w:eastAsia="bg-BG"/>
        </w:rPr>
        <w:t>Раса</w:t>
      </w:r>
    </w:p>
    <w:p w14:paraId="56176CA4" w14:textId="77777777"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Фармакокинетичните проучвания показват, че при пациентите от азиатската раса е налице по- висока експозиция в сравнение с тези от кавказката (бялата) раса (вж. точки 4.2,4.3 и 5.2).</w:t>
      </w:r>
    </w:p>
    <w:p w14:paraId="0CB51FDA" w14:textId="77777777" w:rsidR="0030322F" w:rsidRPr="0030322F" w:rsidRDefault="0030322F" w:rsidP="0030322F">
      <w:pPr>
        <w:spacing w:line="240" w:lineRule="auto"/>
        <w:rPr>
          <w:rFonts w:eastAsia="Times New Roman" w:cs="Arial"/>
          <w:bCs/>
          <w:color w:val="000000"/>
          <w:u w:val="single"/>
          <w:lang w:eastAsia="bg-BG"/>
        </w:rPr>
      </w:pPr>
    </w:p>
    <w:p w14:paraId="5BAFA119" w14:textId="12456EB7" w:rsidR="0030322F" w:rsidRPr="0030322F" w:rsidRDefault="0030322F" w:rsidP="0030322F">
      <w:pPr>
        <w:spacing w:line="240" w:lineRule="auto"/>
        <w:rPr>
          <w:rFonts w:eastAsia="Times New Roman" w:cs="Arial"/>
        </w:rPr>
      </w:pPr>
      <w:r w:rsidRPr="0030322F">
        <w:rPr>
          <w:rFonts w:eastAsia="Times New Roman" w:cs="Arial"/>
          <w:bCs/>
          <w:color w:val="000000"/>
          <w:u w:val="single"/>
          <w:lang w:eastAsia="bg-BG"/>
        </w:rPr>
        <w:t>Протеазни инхибитори</w:t>
      </w:r>
    </w:p>
    <w:p w14:paraId="7BC42DE5" w14:textId="77777777"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 xml:space="preserve">Повишена системна експозиция на розувастатин е наблюдавана при пациенти, приемащи розувастатин едновременно с различни протеазни инхибитори, в комбинация с ритонавир. Трябва да се обмисли както ползата от липидопонижаване чрез употреба на Крестор при пациенти с </w:t>
      </w:r>
      <w:r w:rsidRPr="0030322F">
        <w:rPr>
          <w:rFonts w:eastAsia="Times New Roman" w:cs="Arial"/>
          <w:bCs/>
          <w:color w:val="000000"/>
          <w:lang w:val="en-US"/>
        </w:rPr>
        <w:t>HIV</w:t>
      </w:r>
      <w:r w:rsidRPr="0030322F">
        <w:rPr>
          <w:rFonts w:eastAsia="Times New Roman" w:cs="Arial"/>
          <w:bCs/>
          <w:color w:val="000000"/>
          <w:lang w:val="ru-RU"/>
        </w:rPr>
        <w:t xml:space="preserve">, </w:t>
      </w:r>
      <w:r w:rsidRPr="0030322F">
        <w:rPr>
          <w:rFonts w:eastAsia="Times New Roman" w:cs="Arial"/>
          <w:bCs/>
          <w:color w:val="000000"/>
          <w:lang w:eastAsia="bg-BG"/>
        </w:rPr>
        <w:t>които приемат протеазни инхибитори, така и потенциала за повишена конценрация на розувастатин, когато се започва терапията и се повишава дозата на Крестор при пациенти, лекувани с протеазни инхибитори. Едновременното приложение с определени протеазни инхибитори не се препоръчва, освен ако дозата на Крестор не се коригира (вж. таблица 1 и точки 4.2 и 4.5).</w:t>
      </w:r>
    </w:p>
    <w:p w14:paraId="085244CF" w14:textId="77777777" w:rsidR="0030322F" w:rsidRPr="0030322F" w:rsidRDefault="0030322F" w:rsidP="0030322F">
      <w:pPr>
        <w:spacing w:line="240" w:lineRule="auto"/>
        <w:rPr>
          <w:rFonts w:eastAsia="Times New Roman" w:cs="Arial"/>
          <w:bCs/>
          <w:color w:val="000000"/>
          <w:u w:val="single"/>
          <w:lang w:eastAsia="bg-BG"/>
        </w:rPr>
      </w:pPr>
    </w:p>
    <w:p w14:paraId="3021A706" w14:textId="1B93989B" w:rsidR="0030322F" w:rsidRPr="0030322F" w:rsidRDefault="0030322F" w:rsidP="0030322F">
      <w:pPr>
        <w:spacing w:line="240" w:lineRule="auto"/>
        <w:rPr>
          <w:rFonts w:eastAsia="Times New Roman" w:cs="Arial"/>
        </w:rPr>
      </w:pPr>
      <w:r w:rsidRPr="0030322F">
        <w:rPr>
          <w:rFonts w:eastAsia="Times New Roman" w:cs="Arial"/>
          <w:bCs/>
          <w:color w:val="000000"/>
          <w:u w:val="single"/>
          <w:lang w:eastAsia="bg-BG"/>
        </w:rPr>
        <w:t>Непоносимост към лактоза</w:t>
      </w:r>
    </w:p>
    <w:p w14:paraId="16115C56" w14:textId="77777777"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 xml:space="preserve">Пациенти с редки наследствени проблеми като галактозна непоносимост, </w:t>
      </w:r>
      <w:r w:rsidRPr="0030322F">
        <w:rPr>
          <w:rFonts w:eastAsia="Times New Roman" w:cs="Arial"/>
          <w:bCs/>
          <w:color w:val="000000"/>
          <w:lang w:val="en-US"/>
        </w:rPr>
        <w:t>Lapp</w:t>
      </w:r>
      <w:r w:rsidRPr="0030322F">
        <w:rPr>
          <w:rFonts w:eastAsia="Times New Roman" w:cs="Arial"/>
          <w:bCs/>
          <w:color w:val="000000"/>
          <w:lang w:val="ru-RU"/>
        </w:rPr>
        <w:t xml:space="preserve"> </w:t>
      </w:r>
      <w:r w:rsidRPr="0030322F">
        <w:rPr>
          <w:rFonts w:eastAsia="Times New Roman" w:cs="Arial"/>
          <w:bCs/>
          <w:color w:val="000000"/>
          <w:lang w:eastAsia="bg-BG"/>
        </w:rPr>
        <w:t>лактазен дефицит или глюкозо-галактозна малабсорбция не трябва да приемат това лекарство.</w:t>
      </w:r>
    </w:p>
    <w:p w14:paraId="780FDB6C" w14:textId="77777777" w:rsidR="0030322F" w:rsidRPr="0030322F" w:rsidRDefault="0030322F" w:rsidP="0030322F">
      <w:pPr>
        <w:spacing w:line="240" w:lineRule="auto"/>
        <w:rPr>
          <w:rFonts w:eastAsia="Times New Roman" w:cs="Arial"/>
          <w:bCs/>
          <w:color w:val="000000"/>
          <w:u w:val="single"/>
          <w:lang w:eastAsia="bg-BG"/>
        </w:rPr>
      </w:pPr>
    </w:p>
    <w:p w14:paraId="331009D6" w14:textId="57266C26" w:rsidR="0030322F" w:rsidRPr="0030322F" w:rsidRDefault="0030322F" w:rsidP="0030322F">
      <w:pPr>
        <w:spacing w:line="240" w:lineRule="auto"/>
        <w:rPr>
          <w:rFonts w:eastAsia="Times New Roman" w:cs="Arial"/>
        </w:rPr>
      </w:pPr>
      <w:r w:rsidRPr="0030322F">
        <w:rPr>
          <w:rFonts w:eastAsia="Times New Roman" w:cs="Arial"/>
          <w:bCs/>
          <w:color w:val="000000"/>
          <w:u w:val="single"/>
          <w:lang w:eastAsia="bg-BG"/>
        </w:rPr>
        <w:t>Интерстициална белодробна болест</w:t>
      </w:r>
    </w:p>
    <w:p w14:paraId="0956323C" w14:textId="77777777"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Докладвани са изолирани случаи на интерстициална белодробна болест при приложение на някои статини, особено при продължителна терапия (вж. точка 4.8). Клиничните прояви могат да включват диспнея, непродуктивна кашлица и влошаване на общото състояние (умора, загуба на тегло и треска). Ако има подозрение, че пациентът е развил интерстициална белодробна болест, терапията със статии трябва да бъде преустановена.</w:t>
      </w:r>
    </w:p>
    <w:p w14:paraId="265551B6" w14:textId="77777777" w:rsidR="0030322F" w:rsidRPr="0030322F" w:rsidRDefault="0030322F" w:rsidP="0030322F">
      <w:pPr>
        <w:spacing w:line="240" w:lineRule="auto"/>
        <w:rPr>
          <w:rFonts w:eastAsia="Times New Roman" w:cs="Arial"/>
          <w:bCs/>
          <w:color w:val="000000"/>
          <w:u w:val="single"/>
          <w:lang w:eastAsia="bg-BG"/>
        </w:rPr>
      </w:pPr>
    </w:p>
    <w:p w14:paraId="4AD1D2F5" w14:textId="1361B479" w:rsidR="0030322F" w:rsidRPr="0030322F" w:rsidRDefault="0030322F" w:rsidP="0030322F">
      <w:pPr>
        <w:spacing w:line="240" w:lineRule="auto"/>
        <w:rPr>
          <w:rFonts w:eastAsia="Times New Roman" w:cs="Arial"/>
        </w:rPr>
      </w:pPr>
      <w:r w:rsidRPr="0030322F">
        <w:rPr>
          <w:rFonts w:eastAsia="Times New Roman" w:cs="Arial"/>
          <w:bCs/>
          <w:color w:val="000000"/>
          <w:u w:val="single"/>
          <w:lang w:eastAsia="bg-BG"/>
        </w:rPr>
        <w:t>Захарен диабет</w:t>
      </w:r>
    </w:p>
    <w:p w14:paraId="6E96CC74" w14:textId="77777777"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 xml:space="preserve">Някои доказателства предполагат, че статините като клас повишават кръвната глюкоза и при някои пациенти, високорискови за развитие на диабет в бъдеще, могат да доведат до такова ниво на хипергликемия, при което е подходящо прилагането на редовната грижа, </w:t>
      </w:r>
      <w:r w:rsidRPr="0030322F">
        <w:rPr>
          <w:rFonts w:eastAsia="Times New Roman" w:cs="Arial"/>
          <w:bCs/>
          <w:color w:val="000000"/>
          <w:lang w:eastAsia="bg-BG"/>
        </w:rPr>
        <w:lastRenderedPageBreak/>
        <w:t xml:space="preserve">провеждана при диабет. Този риск, обаче се надделява от редукцията на васкуларния риск със статини и, следователно, не трябва да бъде причина за спиране на статиновата терапия. Рисковите пациенти (глюкоза на гладно 5,6 до 6,9 </w:t>
      </w:r>
      <w:proofErr w:type="spellStart"/>
      <w:r w:rsidRPr="0030322F">
        <w:rPr>
          <w:rFonts w:eastAsia="Times New Roman" w:cs="Arial"/>
          <w:bCs/>
          <w:color w:val="000000"/>
          <w:lang w:val="en-US"/>
        </w:rPr>
        <w:t>mmol</w:t>
      </w:r>
      <w:proofErr w:type="spellEnd"/>
      <w:r w:rsidRPr="0030322F">
        <w:rPr>
          <w:rFonts w:eastAsia="Times New Roman" w:cs="Arial"/>
          <w:bCs/>
          <w:color w:val="000000"/>
          <w:lang w:val="ru-RU"/>
        </w:rPr>
        <w:t xml:space="preserve">/1, </w:t>
      </w:r>
      <w:r w:rsidRPr="0030322F">
        <w:rPr>
          <w:rFonts w:eastAsia="Times New Roman" w:cs="Arial"/>
          <w:bCs/>
          <w:color w:val="000000"/>
          <w:lang w:eastAsia="bg-BG"/>
        </w:rPr>
        <w:t xml:space="preserve">индекс на телесна маса &gt; 30 </w:t>
      </w:r>
      <w:r w:rsidRPr="0030322F">
        <w:rPr>
          <w:rFonts w:eastAsia="Times New Roman" w:cs="Arial"/>
          <w:bCs/>
          <w:color w:val="000000"/>
          <w:lang w:val="en-US"/>
        </w:rPr>
        <w:t>kg</w:t>
      </w:r>
      <w:r w:rsidRPr="0030322F">
        <w:rPr>
          <w:rFonts w:eastAsia="Times New Roman" w:cs="Arial"/>
          <w:bCs/>
          <w:color w:val="000000"/>
          <w:lang w:val="ru-RU"/>
        </w:rPr>
        <w:t>/</w:t>
      </w:r>
      <w:r w:rsidRPr="0030322F">
        <w:rPr>
          <w:rFonts w:eastAsia="Times New Roman" w:cs="Arial"/>
          <w:bCs/>
          <w:color w:val="000000"/>
          <w:lang w:val="en-US"/>
        </w:rPr>
        <w:t>m</w:t>
      </w:r>
      <w:r w:rsidRPr="0030322F">
        <w:rPr>
          <w:rFonts w:eastAsia="Times New Roman" w:cs="Arial"/>
          <w:bCs/>
          <w:color w:val="000000"/>
          <w:vertAlign w:val="superscript"/>
          <w:lang w:val="ru-RU"/>
        </w:rPr>
        <w:t>2</w:t>
      </w:r>
      <w:r w:rsidRPr="0030322F">
        <w:rPr>
          <w:rFonts w:eastAsia="Times New Roman" w:cs="Arial"/>
          <w:bCs/>
          <w:color w:val="000000"/>
          <w:lang w:val="ru-RU"/>
        </w:rPr>
        <w:t xml:space="preserve">, </w:t>
      </w:r>
      <w:r w:rsidRPr="0030322F">
        <w:rPr>
          <w:rFonts w:eastAsia="Times New Roman" w:cs="Arial"/>
          <w:bCs/>
          <w:color w:val="000000"/>
          <w:lang w:eastAsia="bg-BG"/>
        </w:rPr>
        <w:t>повишени стойности на триглицеридите, хипертония) трябва да се проследяват както клинично, така и биохимично, съгласно националните ръководства.</w:t>
      </w:r>
    </w:p>
    <w:p w14:paraId="70149C99" w14:textId="77777777" w:rsidR="0030322F" w:rsidRPr="0030322F" w:rsidRDefault="0030322F" w:rsidP="0030322F">
      <w:pPr>
        <w:spacing w:line="240" w:lineRule="auto"/>
        <w:rPr>
          <w:rFonts w:eastAsia="Times New Roman" w:cs="Arial"/>
          <w:bCs/>
          <w:color w:val="000000"/>
          <w:lang w:eastAsia="bg-BG"/>
        </w:rPr>
      </w:pPr>
    </w:p>
    <w:p w14:paraId="2A2E7AF9" w14:textId="322C7F18"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 xml:space="preserve">В проучването </w:t>
      </w:r>
      <w:r w:rsidRPr="0030322F">
        <w:rPr>
          <w:rFonts w:eastAsia="Times New Roman" w:cs="Arial"/>
          <w:bCs/>
          <w:color w:val="000000"/>
          <w:lang w:val="en-US"/>
        </w:rPr>
        <w:t>JUPITER</w:t>
      </w:r>
      <w:r w:rsidRPr="0030322F">
        <w:rPr>
          <w:rFonts w:eastAsia="Times New Roman" w:cs="Arial"/>
          <w:bCs/>
          <w:color w:val="000000"/>
          <w:lang w:val="ru-RU"/>
        </w:rPr>
        <w:t xml:space="preserve">, </w:t>
      </w:r>
      <w:r w:rsidRPr="0030322F">
        <w:rPr>
          <w:rFonts w:eastAsia="Times New Roman" w:cs="Arial"/>
          <w:bCs/>
          <w:color w:val="000000"/>
          <w:lang w:eastAsia="bg-BG"/>
        </w:rPr>
        <w:t>съобщената обща честота на захарен диабет е 2, %</w:t>
      </w:r>
      <w:r w:rsidRPr="0030322F">
        <w:rPr>
          <w:rFonts w:eastAsia="Times New Roman" w:cs="Arial"/>
          <w:bCs/>
          <w:color w:val="000000"/>
          <w:lang w:val="ru-RU"/>
        </w:rPr>
        <w:t xml:space="preserve"> </w:t>
      </w:r>
      <w:r w:rsidRPr="0030322F">
        <w:rPr>
          <w:rFonts w:eastAsia="Times New Roman" w:cs="Arial"/>
          <w:bCs/>
          <w:color w:val="000000"/>
          <w:lang w:eastAsia="bg-BG"/>
        </w:rPr>
        <w:t xml:space="preserve">за розувастатин и 2, % за плацебо, главно при пациенти с глюкоза на гладно 5,6 до 6,9 </w:t>
      </w:r>
      <w:proofErr w:type="spellStart"/>
      <w:r w:rsidRPr="0030322F">
        <w:rPr>
          <w:rFonts w:eastAsia="Times New Roman" w:cs="Arial"/>
          <w:bCs/>
          <w:color w:val="000000"/>
          <w:lang w:val="en-US"/>
        </w:rPr>
        <w:t>mmol</w:t>
      </w:r>
      <w:proofErr w:type="spellEnd"/>
      <w:r w:rsidRPr="0030322F">
        <w:rPr>
          <w:rFonts w:eastAsia="Times New Roman" w:cs="Arial"/>
          <w:bCs/>
          <w:color w:val="000000"/>
          <w:lang w:val="ru-RU"/>
        </w:rPr>
        <w:t>/1.</w:t>
      </w:r>
    </w:p>
    <w:p w14:paraId="66F46EDF" w14:textId="77777777" w:rsidR="0030322F" w:rsidRPr="0030322F" w:rsidRDefault="0030322F" w:rsidP="0030322F">
      <w:pPr>
        <w:spacing w:line="240" w:lineRule="auto"/>
        <w:rPr>
          <w:rFonts w:eastAsia="Times New Roman" w:cs="Arial"/>
          <w:bCs/>
          <w:color w:val="000000"/>
          <w:u w:val="single"/>
          <w:lang w:eastAsia="bg-BG"/>
        </w:rPr>
      </w:pPr>
    </w:p>
    <w:p w14:paraId="54306D9C" w14:textId="61C89476" w:rsidR="0030322F" w:rsidRPr="0030322F" w:rsidRDefault="0030322F" w:rsidP="0030322F">
      <w:pPr>
        <w:spacing w:line="240" w:lineRule="auto"/>
        <w:rPr>
          <w:rFonts w:eastAsia="Times New Roman" w:cs="Arial"/>
        </w:rPr>
      </w:pPr>
      <w:r w:rsidRPr="0030322F">
        <w:rPr>
          <w:rFonts w:eastAsia="Times New Roman" w:cs="Arial"/>
          <w:bCs/>
          <w:color w:val="000000"/>
          <w:u w:val="single"/>
          <w:lang w:eastAsia="bg-BG"/>
        </w:rPr>
        <w:t>Педиатрична популация</w:t>
      </w:r>
    </w:p>
    <w:p w14:paraId="086B57EA" w14:textId="77777777"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 xml:space="preserve">Оценяването на линейното израстване (височина), тегло, </w:t>
      </w:r>
      <w:r w:rsidRPr="0030322F">
        <w:rPr>
          <w:rFonts w:eastAsia="Times New Roman" w:cs="Arial"/>
          <w:bCs/>
          <w:color w:val="000000"/>
          <w:lang w:val="en-US"/>
        </w:rPr>
        <w:t>BMI</w:t>
      </w:r>
      <w:r w:rsidRPr="0030322F">
        <w:rPr>
          <w:rFonts w:eastAsia="Times New Roman" w:cs="Arial"/>
          <w:bCs/>
          <w:color w:val="000000"/>
          <w:lang w:val="ru-RU"/>
        </w:rPr>
        <w:t xml:space="preserve"> </w:t>
      </w:r>
      <w:r w:rsidRPr="0030322F">
        <w:rPr>
          <w:rFonts w:eastAsia="Times New Roman" w:cs="Arial"/>
          <w:bCs/>
          <w:color w:val="000000"/>
          <w:lang w:eastAsia="bg-BG"/>
        </w:rPr>
        <w:t xml:space="preserve">(индекс на телесната маса) и вторичните полови белези на половото съзряване по скалата на </w:t>
      </w:r>
      <w:r w:rsidRPr="0030322F">
        <w:rPr>
          <w:rFonts w:eastAsia="Times New Roman" w:cs="Arial"/>
          <w:bCs/>
          <w:color w:val="000000"/>
          <w:lang w:val="en-US"/>
        </w:rPr>
        <w:t>Tanner</w:t>
      </w:r>
      <w:r w:rsidRPr="0030322F">
        <w:rPr>
          <w:rFonts w:eastAsia="Times New Roman" w:cs="Arial"/>
          <w:bCs/>
          <w:color w:val="000000"/>
          <w:lang w:val="ru-RU"/>
        </w:rPr>
        <w:t xml:space="preserve"> </w:t>
      </w:r>
      <w:r w:rsidRPr="0030322F">
        <w:rPr>
          <w:rFonts w:eastAsia="Times New Roman" w:cs="Arial"/>
          <w:bCs/>
          <w:color w:val="000000"/>
          <w:lang w:eastAsia="bg-BG"/>
        </w:rPr>
        <w:t xml:space="preserve">при педиатрични пациенти на възраст 6 до 17 години, приемащи розувастатин, е ограничено до двугодишен период. След две години на третиране по време на проучването, не е забелязан никакъв ефект върху растежа, теглото, </w:t>
      </w:r>
      <w:r w:rsidRPr="0030322F">
        <w:rPr>
          <w:rFonts w:eastAsia="Times New Roman" w:cs="Arial"/>
          <w:bCs/>
          <w:color w:val="000000"/>
          <w:lang w:val="en-US"/>
        </w:rPr>
        <w:t>BMI</w:t>
      </w:r>
      <w:r w:rsidRPr="0030322F">
        <w:rPr>
          <w:rFonts w:eastAsia="Times New Roman" w:cs="Arial"/>
          <w:bCs/>
          <w:color w:val="000000"/>
          <w:lang w:val="ru-RU"/>
        </w:rPr>
        <w:t xml:space="preserve"> </w:t>
      </w:r>
      <w:r w:rsidRPr="0030322F">
        <w:rPr>
          <w:rFonts w:eastAsia="Times New Roman" w:cs="Arial"/>
          <w:bCs/>
          <w:color w:val="000000"/>
          <w:lang w:eastAsia="bg-BG"/>
        </w:rPr>
        <w:t>или половото съзряване (вж. точка 5.1).</w:t>
      </w:r>
    </w:p>
    <w:p w14:paraId="4BAC8EEB" w14:textId="77777777" w:rsidR="0030322F" w:rsidRPr="0030322F" w:rsidRDefault="0030322F" w:rsidP="0030322F">
      <w:pPr>
        <w:spacing w:line="240" w:lineRule="auto"/>
        <w:rPr>
          <w:rFonts w:eastAsia="Times New Roman" w:cs="Arial"/>
          <w:bCs/>
          <w:color w:val="000000"/>
          <w:lang w:eastAsia="bg-BG"/>
        </w:rPr>
      </w:pPr>
    </w:p>
    <w:p w14:paraId="19185B97" w14:textId="567E7071" w:rsidR="0030322F" w:rsidRPr="0030322F" w:rsidRDefault="0030322F" w:rsidP="0030322F">
      <w:pPr>
        <w:spacing w:line="240" w:lineRule="auto"/>
        <w:rPr>
          <w:rFonts w:eastAsia="Times New Roman" w:cs="Arial"/>
        </w:rPr>
      </w:pPr>
      <w:r w:rsidRPr="0030322F">
        <w:rPr>
          <w:rFonts w:eastAsia="Times New Roman" w:cs="Arial"/>
          <w:bCs/>
          <w:color w:val="000000"/>
          <w:lang w:eastAsia="bg-BG"/>
        </w:rPr>
        <w:t>В клинично проучване на деца и юноши, приемащи розувастатин за 52 седмици, повишаване на СК &gt; 10</w:t>
      </w:r>
      <w:proofErr w:type="spellStart"/>
      <w:r w:rsidRPr="0030322F">
        <w:rPr>
          <w:rFonts w:eastAsia="Times New Roman" w:cs="Arial"/>
          <w:bCs/>
          <w:color w:val="000000"/>
          <w:lang w:val="en-US"/>
        </w:rPr>
        <w:t>xULN</w:t>
      </w:r>
      <w:proofErr w:type="spellEnd"/>
      <w:r w:rsidRPr="0030322F">
        <w:rPr>
          <w:rFonts w:eastAsia="Times New Roman" w:cs="Arial"/>
          <w:bCs/>
          <w:color w:val="000000"/>
          <w:lang w:val="ru-RU"/>
        </w:rPr>
        <w:t xml:space="preserve"> </w:t>
      </w:r>
      <w:r w:rsidRPr="0030322F">
        <w:rPr>
          <w:rFonts w:eastAsia="Times New Roman" w:cs="Arial"/>
          <w:bCs/>
          <w:color w:val="000000"/>
          <w:lang w:eastAsia="bg-BG"/>
        </w:rPr>
        <w:t>и мускулните симптоми след упражнение или повишена физическа активност са наблюдавани по-често, в сравнение с наблюдения от клинични проучвания при възрастни (вж. точка 4.8).</w:t>
      </w:r>
    </w:p>
    <w:p w14:paraId="5DA90A8D" w14:textId="2591F078" w:rsidR="0030322F" w:rsidRPr="0030322F" w:rsidRDefault="0030322F" w:rsidP="0030322F"/>
    <w:p w14:paraId="619DED1E" w14:textId="3906B797"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1BDE117" w14:textId="7C7102E6" w:rsidR="0030322F" w:rsidRDefault="0030322F" w:rsidP="0030322F"/>
    <w:p w14:paraId="096021EA" w14:textId="77777777" w:rsidR="0030322F" w:rsidRPr="0030322F" w:rsidRDefault="0030322F" w:rsidP="0030322F">
      <w:pPr>
        <w:spacing w:line="240" w:lineRule="auto"/>
        <w:rPr>
          <w:rFonts w:eastAsia="Times New Roman" w:cs="Arial"/>
          <w:sz w:val="28"/>
          <w:szCs w:val="24"/>
        </w:rPr>
      </w:pPr>
      <w:r w:rsidRPr="0030322F">
        <w:rPr>
          <w:rFonts w:eastAsia="Times New Roman" w:cs="Arial"/>
          <w:bCs/>
          <w:i/>
          <w:iCs/>
          <w:color w:val="000000"/>
          <w:szCs w:val="20"/>
          <w:lang w:eastAsia="bg-BG"/>
        </w:rPr>
        <w:t>Ефект на едновременно прилагани лекарствени продукти върху розувастатин</w:t>
      </w:r>
    </w:p>
    <w:p w14:paraId="21025A21" w14:textId="77777777" w:rsidR="0030322F" w:rsidRPr="0030322F" w:rsidRDefault="0030322F" w:rsidP="0030322F">
      <w:pPr>
        <w:spacing w:line="240" w:lineRule="auto"/>
        <w:rPr>
          <w:rFonts w:eastAsia="Times New Roman" w:cs="Arial"/>
          <w:bCs/>
          <w:color w:val="000000"/>
          <w:szCs w:val="20"/>
          <w:u w:val="single"/>
          <w:lang w:eastAsia="bg-BG"/>
        </w:rPr>
      </w:pPr>
    </w:p>
    <w:p w14:paraId="4801C228" w14:textId="76727BC0"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Инхибитори на транспортерните протеини</w:t>
      </w:r>
    </w:p>
    <w:p w14:paraId="0682628F"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Розувастатин е субстрат на определени транспортерни протеини, включително чернодробния ъптейк транспортер ОАТР1В1 и ефлукс транспоргера </w:t>
      </w:r>
      <w:r w:rsidRPr="0030322F">
        <w:rPr>
          <w:rFonts w:eastAsia="Times New Roman" w:cs="Arial"/>
          <w:bCs/>
          <w:color w:val="000000"/>
          <w:szCs w:val="20"/>
          <w:lang w:val="en-US"/>
        </w:rPr>
        <w:t>BCRP</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Едновременното приложение на Крестор с лекарствени продукти, които са инхибитори на тези транспортерни протеини, може да доведе до повишаване на плазмената концентрация на розувастатин и повишен риск от миопатия (вж. таблица 1 и точки 4.2 и 4.4).</w:t>
      </w:r>
    </w:p>
    <w:p w14:paraId="60B14F77" w14:textId="77777777" w:rsidR="0030322F" w:rsidRPr="0030322F" w:rsidRDefault="0030322F" w:rsidP="0030322F">
      <w:pPr>
        <w:spacing w:line="240" w:lineRule="auto"/>
        <w:rPr>
          <w:rFonts w:eastAsia="Times New Roman" w:cs="Arial"/>
          <w:bCs/>
          <w:color w:val="000000"/>
          <w:szCs w:val="20"/>
          <w:u w:val="single"/>
          <w:lang w:eastAsia="bg-BG"/>
        </w:rPr>
      </w:pPr>
    </w:p>
    <w:p w14:paraId="530BBC40" w14:textId="724874AF"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Циклоспорин</w:t>
      </w:r>
    </w:p>
    <w:p w14:paraId="0441B4DA"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При едновременното приложение на Крестор с циклоспорин, средните стойности на </w:t>
      </w:r>
      <w:r w:rsidRPr="0030322F">
        <w:rPr>
          <w:rFonts w:eastAsia="Times New Roman" w:cs="Arial"/>
          <w:bCs/>
          <w:color w:val="000000"/>
          <w:szCs w:val="20"/>
          <w:lang w:val="en-US"/>
        </w:rPr>
        <w:t>AUC</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на розувастатин са били средно 7 пъти по-високи от тези, наблюдавани при здрави доброволци, на които е приложена същата доза (вж. таблица 1). Крестор е противопоказан при пациенти, които едновременно получават циклоспорин (вж. точка 4.3). Едновременното приложение не е повлияло плазмените концентрации на циклоспорин.</w:t>
      </w:r>
    </w:p>
    <w:p w14:paraId="47431801" w14:textId="77777777" w:rsidR="0030322F" w:rsidRPr="0030322F" w:rsidRDefault="0030322F" w:rsidP="0030322F">
      <w:pPr>
        <w:spacing w:line="240" w:lineRule="auto"/>
        <w:rPr>
          <w:rFonts w:eastAsia="Times New Roman" w:cs="Arial"/>
          <w:bCs/>
          <w:color w:val="000000"/>
          <w:szCs w:val="20"/>
          <w:u w:val="single"/>
          <w:lang w:eastAsia="bg-BG"/>
        </w:rPr>
      </w:pPr>
    </w:p>
    <w:p w14:paraId="67C3BB40" w14:textId="0D4265AB"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Гемфиброзил и други липидопонижаваши продукти</w:t>
      </w:r>
    </w:p>
    <w:p w14:paraId="5AF37EF5"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Едновременното приложение на Крестор и гемфиброзил е довело до двукратно повишение на С</w:t>
      </w:r>
      <w:r w:rsidRPr="0030322F">
        <w:rPr>
          <w:rFonts w:eastAsia="Times New Roman" w:cs="Arial"/>
          <w:bCs/>
          <w:color w:val="000000"/>
          <w:szCs w:val="20"/>
          <w:vertAlign w:val="subscript"/>
          <w:lang w:val="en-US"/>
        </w:rPr>
        <w:t>max</w:t>
      </w:r>
      <w:r w:rsidRPr="0030322F">
        <w:rPr>
          <w:rFonts w:eastAsia="Times New Roman" w:cs="Arial"/>
          <w:bCs/>
          <w:color w:val="000000"/>
          <w:szCs w:val="20"/>
          <w:lang w:eastAsia="bg-BG"/>
        </w:rPr>
        <w:t xml:space="preserve"> и </w:t>
      </w:r>
      <w:r w:rsidRPr="0030322F">
        <w:rPr>
          <w:rFonts w:eastAsia="Times New Roman" w:cs="Arial"/>
          <w:bCs/>
          <w:color w:val="000000"/>
          <w:szCs w:val="20"/>
          <w:lang w:val="en-US"/>
        </w:rPr>
        <w:t>AUC</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на розувастатин (вж. точка 4.4). Данните от фармакокинетичните проучвания, изследващи лекарствените взаимодействия, не показват взаимодействие с фенофибрат, но е възможна поява на фармакодинамични взаимодействия. Гемфиброзил, фенофибрат и останалите медикаменти от групата на </w:t>
      </w:r>
      <w:r w:rsidRPr="0030322F">
        <w:rPr>
          <w:rFonts w:eastAsia="Times New Roman" w:cs="Arial"/>
          <w:bCs/>
          <w:color w:val="000000"/>
          <w:szCs w:val="20"/>
          <w:lang w:eastAsia="bg-BG"/>
        </w:rPr>
        <w:lastRenderedPageBreak/>
        <w:t xml:space="preserve">фибратите и липидопонижаващиге дози (в дози ≥ 1 </w:t>
      </w:r>
      <w:r w:rsidRPr="0030322F">
        <w:rPr>
          <w:rFonts w:eastAsia="Times New Roman" w:cs="Arial"/>
          <w:bCs/>
          <w:color w:val="000000"/>
          <w:szCs w:val="20"/>
          <w:lang w:val="en-US"/>
        </w:rPr>
        <w:t>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на ден) ниацин (никотинова киселина), повишават риска от поява на миопатия при комбиниране с инхибитори на хидрокси-метил-глутарил-коензим А редуктазата, най-вероятно поради факта, че последните могат да предизвикат появата на това усложнение и при монотерапия. Дозата от 40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е противопоказана при едновременен прием на фибрати (вж. точки 4.3 и 4.4). При тези пациенти лечението също трябва да започне с 5 </w:t>
      </w:r>
      <w:r w:rsidRPr="0030322F">
        <w:rPr>
          <w:rFonts w:eastAsia="Times New Roman" w:cs="Arial"/>
          <w:bCs/>
          <w:color w:val="000000"/>
          <w:szCs w:val="20"/>
          <w:lang w:val="en-US"/>
        </w:rPr>
        <w:t>mg</w:t>
      </w:r>
      <w:r w:rsidRPr="0030322F">
        <w:rPr>
          <w:rFonts w:eastAsia="Times New Roman" w:cs="Arial"/>
          <w:bCs/>
          <w:color w:val="000000"/>
          <w:szCs w:val="20"/>
          <w:lang w:val="ru-RU"/>
        </w:rPr>
        <w:t>.</w:t>
      </w:r>
    </w:p>
    <w:p w14:paraId="403C3FAF" w14:textId="77777777" w:rsidR="0030322F" w:rsidRPr="0030322F" w:rsidRDefault="0030322F" w:rsidP="0030322F">
      <w:pPr>
        <w:spacing w:line="240" w:lineRule="auto"/>
        <w:rPr>
          <w:rFonts w:eastAsia="Times New Roman" w:cs="Arial"/>
          <w:bCs/>
          <w:color w:val="000000"/>
          <w:szCs w:val="20"/>
          <w:u w:val="single"/>
          <w:lang w:eastAsia="bg-BG"/>
        </w:rPr>
      </w:pPr>
    </w:p>
    <w:p w14:paraId="4A5A6EBF" w14:textId="73FCB1C1"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Езетимиб</w:t>
      </w:r>
    </w:p>
    <w:p w14:paraId="0A5764E4"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Едновременното използване на 40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Крестор и 10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езетимиб, не води до промени в </w:t>
      </w:r>
      <w:r w:rsidRPr="0030322F">
        <w:rPr>
          <w:rFonts w:eastAsia="Times New Roman" w:cs="Arial"/>
          <w:bCs/>
          <w:color w:val="000000"/>
          <w:szCs w:val="20"/>
          <w:lang w:val="en-US"/>
        </w:rPr>
        <w:t>AUC</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и на двата продукта, когато се прилагат при здрави доброволци. Има 1,2 пъти повишение на </w:t>
      </w:r>
      <w:r w:rsidRPr="0030322F">
        <w:rPr>
          <w:rFonts w:eastAsia="Times New Roman" w:cs="Arial"/>
          <w:bCs/>
          <w:color w:val="000000"/>
          <w:szCs w:val="20"/>
          <w:lang w:val="en-US"/>
        </w:rPr>
        <w:t>AUC</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на розувастатин, когато 10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Крестор и 10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езетимиб са приложени при пациенти с хиперхолестеролемия (таблица 1). Не може да се изключи фармакодинамично взаимодействие между тях, което да има за резултат нежелани реакции (вж. точка 4.4).</w:t>
      </w:r>
    </w:p>
    <w:p w14:paraId="313E832E" w14:textId="77777777" w:rsidR="0030322F" w:rsidRPr="0030322F" w:rsidRDefault="0030322F" w:rsidP="0030322F">
      <w:pPr>
        <w:spacing w:line="240" w:lineRule="auto"/>
        <w:rPr>
          <w:rFonts w:eastAsia="Times New Roman" w:cs="Arial"/>
          <w:bCs/>
          <w:color w:val="000000"/>
          <w:szCs w:val="20"/>
          <w:u w:val="single"/>
          <w:lang w:eastAsia="bg-BG"/>
        </w:rPr>
      </w:pPr>
    </w:p>
    <w:p w14:paraId="55C62797" w14:textId="6263FF1A"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Протеазни инхибитори</w:t>
      </w:r>
    </w:p>
    <w:p w14:paraId="57BBB2EF" w14:textId="77777777" w:rsidR="0030322F" w:rsidRPr="0030322F" w:rsidRDefault="0030322F" w:rsidP="0030322F">
      <w:pPr>
        <w:rPr>
          <w:rFonts w:eastAsia="Times New Roman" w:cs="Arial"/>
          <w:sz w:val="28"/>
          <w:szCs w:val="24"/>
        </w:rPr>
      </w:pPr>
      <w:r w:rsidRPr="0030322F">
        <w:rPr>
          <w:rFonts w:eastAsia="Times New Roman" w:cs="Arial"/>
          <w:bCs/>
          <w:color w:val="000000"/>
          <w:szCs w:val="20"/>
          <w:lang w:eastAsia="bg-BG"/>
        </w:rPr>
        <w:t xml:space="preserve">Въпреки че точният механизъм на взаимодействие не е известен, едновременното приложение с протеазни инхибитори може рязко да повиши експозицията на розувастатин (вж. таблица 1). Например, едновременното приложение на 10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розувастатин и комбиниран продукт, състоящ се от два протеазни инхибитора (300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атазанавир/100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ритонавир) по време на едно фармакокинетично проучване при здрави доброволци, се асоциира с приблизително трикратно нарастване на </w:t>
      </w:r>
      <w:r w:rsidRPr="0030322F">
        <w:rPr>
          <w:rFonts w:eastAsia="Times New Roman" w:cs="Arial"/>
          <w:bCs/>
          <w:color w:val="000000"/>
          <w:szCs w:val="20"/>
          <w:lang w:val="en-US"/>
        </w:rPr>
        <w:t>AUC</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на розувастатин. Едновременното приложение на Креатор и някои комбинации от протеазни инхибитори, може да се има предвид след внимателно предценяване на корекциите на дозата на Крестор, на база очакваното повишение на експозицията на розувастатин (таблица 1 и точки 4.2 и 4.4).</w:t>
      </w:r>
    </w:p>
    <w:p w14:paraId="2F508BD6" w14:textId="77777777" w:rsidR="0030322F" w:rsidRPr="0030322F" w:rsidRDefault="0030322F" w:rsidP="0030322F">
      <w:pPr>
        <w:spacing w:line="240" w:lineRule="auto"/>
        <w:rPr>
          <w:rFonts w:eastAsia="Times New Roman" w:cs="Arial"/>
          <w:bCs/>
          <w:color w:val="000000"/>
          <w:szCs w:val="20"/>
          <w:u w:val="single"/>
          <w:lang w:eastAsia="bg-BG"/>
        </w:rPr>
      </w:pPr>
    </w:p>
    <w:p w14:paraId="56CC72A2" w14:textId="617DB9DF"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Антиапиди</w:t>
      </w:r>
    </w:p>
    <w:p w14:paraId="7C569BB2"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Едновременното приложение на Крестор с антиацидна суспензия, съдържаща алуминиев и магнезиев хидроксид, е довело до намаляване на плазмената концентрация на розувастатин с приблизително 50 %. Този ефект е бил отслабен, когато антиацидите са давани 2 часа след приема на Крестор. Клиничното значение на това взаимодействие не е изследвано.</w:t>
      </w:r>
    </w:p>
    <w:p w14:paraId="73A370CB" w14:textId="77777777" w:rsidR="0030322F" w:rsidRPr="0030322F" w:rsidRDefault="0030322F" w:rsidP="0030322F">
      <w:pPr>
        <w:spacing w:line="240" w:lineRule="auto"/>
        <w:rPr>
          <w:rFonts w:eastAsia="Times New Roman" w:cs="Arial"/>
          <w:bCs/>
          <w:color w:val="000000"/>
          <w:szCs w:val="20"/>
          <w:u w:val="single"/>
          <w:lang w:eastAsia="bg-BG"/>
        </w:rPr>
      </w:pPr>
    </w:p>
    <w:p w14:paraId="219FFC9E" w14:textId="401152D4"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Еритромицин</w:t>
      </w:r>
    </w:p>
    <w:p w14:paraId="11AB041B"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Едновременният прием на Крестор и еритромицин е довел до 20 % намаление на </w:t>
      </w:r>
      <w:r w:rsidRPr="0030322F">
        <w:rPr>
          <w:rFonts w:eastAsia="Times New Roman" w:cs="Arial"/>
          <w:bCs/>
          <w:color w:val="000000"/>
          <w:szCs w:val="20"/>
          <w:lang w:val="en-US"/>
        </w:rPr>
        <w:t>AUC</w:t>
      </w:r>
      <w:r w:rsidRPr="0030322F">
        <w:rPr>
          <w:rFonts w:eastAsia="Times New Roman" w:cs="Arial"/>
          <w:bCs/>
          <w:color w:val="000000"/>
          <w:szCs w:val="20"/>
          <w:lang w:val="ru-RU"/>
        </w:rPr>
        <w:t>(</w:t>
      </w:r>
      <w:r w:rsidRPr="0030322F">
        <w:rPr>
          <w:rFonts w:eastAsia="Times New Roman" w:cs="Arial"/>
          <w:bCs/>
          <w:color w:val="000000"/>
          <w:szCs w:val="20"/>
          <w:lang w:val="en-US"/>
        </w:rPr>
        <w:t>o</w:t>
      </w:r>
      <w:r w:rsidRPr="0030322F">
        <w:rPr>
          <w:rFonts w:eastAsia="Times New Roman" w:cs="Arial"/>
          <w:bCs/>
          <w:color w:val="000000"/>
          <w:szCs w:val="20"/>
          <w:lang w:val="ru-RU"/>
        </w:rPr>
        <w:t>-</w:t>
      </w:r>
      <w:r w:rsidRPr="0030322F">
        <w:rPr>
          <w:rFonts w:eastAsia="Times New Roman" w:cs="Arial"/>
          <w:bCs/>
          <w:color w:val="000000"/>
          <w:szCs w:val="20"/>
          <w:lang w:val="en-US"/>
        </w:rPr>
        <w:t>t</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и 30 % намаление на С</w:t>
      </w:r>
      <w:r w:rsidRPr="0030322F">
        <w:rPr>
          <w:rFonts w:eastAsia="Times New Roman" w:cs="Arial"/>
          <w:bCs/>
          <w:color w:val="000000"/>
          <w:szCs w:val="20"/>
          <w:vertAlign w:val="subscript"/>
          <w:lang w:val="en-US"/>
        </w:rPr>
        <w:t>max</w:t>
      </w:r>
      <w:r w:rsidRPr="0030322F">
        <w:rPr>
          <w:rFonts w:eastAsia="Times New Roman" w:cs="Arial"/>
          <w:bCs/>
          <w:color w:val="000000"/>
          <w:szCs w:val="20"/>
          <w:lang w:eastAsia="bg-BG"/>
        </w:rPr>
        <w:t xml:space="preserve"> на розувастатин. Взаимодействието може да е предизвикано от повишения чревен мотилитет, вследствие на приема на еритромицин.</w:t>
      </w:r>
    </w:p>
    <w:p w14:paraId="7118683B" w14:textId="77777777" w:rsidR="0030322F" w:rsidRPr="0030322F" w:rsidRDefault="0030322F" w:rsidP="0030322F">
      <w:pPr>
        <w:spacing w:line="240" w:lineRule="auto"/>
        <w:rPr>
          <w:rFonts w:eastAsia="Times New Roman" w:cs="Arial"/>
          <w:bCs/>
          <w:color w:val="000000"/>
          <w:szCs w:val="20"/>
          <w:u w:val="single"/>
          <w:lang w:eastAsia="bg-BG"/>
        </w:rPr>
      </w:pPr>
    </w:p>
    <w:p w14:paraId="68C936F4" w14:textId="602B1D85"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Ензими от системата на цитохром Р450</w:t>
      </w:r>
    </w:p>
    <w:p w14:paraId="0A4E22DC" w14:textId="77777777"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Данните от </w:t>
      </w:r>
      <w:r w:rsidRPr="0030322F">
        <w:rPr>
          <w:rFonts w:eastAsia="Times New Roman" w:cs="Arial"/>
          <w:bCs/>
          <w:i/>
          <w:iCs/>
          <w:color w:val="000000"/>
          <w:szCs w:val="20"/>
          <w:lang w:val="en-US"/>
        </w:rPr>
        <w:t>in</w:t>
      </w:r>
      <w:r w:rsidRPr="0030322F">
        <w:rPr>
          <w:rFonts w:eastAsia="Times New Roman" w:cs="Arial"/>
          <w:bCs/>
          <w:i/>
          <w:iCs/>
          <w:color w:val="000000"/>
          <w:szCs w:val="20"/>
          <w:lang w:val="ru-RU"/>
        </w:rPr>
        <w:t xml:space="preserve"> </w:t>
      </w:r>
      <w:r w:rsidRPr="0030322F">
        <w:rPr>
          <w:rFonts w:eastAsia="Times New Roman" w:cs="Arial"/>
          <w:bCs/>
          <w:i/>
          <w:iCs/>
          <w:color w:val="000000"/>
          <w:szCs w:val="20"/>
          <w:lang w:val="en-US"/>
        </w:rPr>
        <w:t>vitro</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и </w:t>
      </w:r>
      <w:r w:rsidRPr="0030322F">
        <w:rPr>
          <w:rFonts w:eastAsia="Times New Roman" w:cs="Arial"/>
          <w:bCs/>
          <w:i/>
          <w:iCs/>
          <w:color w:val="000000"/>
          <w:szCs w:val="20"/>
          <w:lang w:val="en-US"/>
        </w:rPr>
        <w:t>in</w:t>
      </w:r>
      <w:r w:rsidRPr="0030322F">
        <w:rPr>
          <w:rFonts w:eastAsia="Times New Roman" w:cs="Arial"/>
          <w:bCs/>
          <w:i/>
          <w:iCs/>
          <w:color w:val="000000"/>
          <w:szCs w:val="20"/>
          <w:lang w:val="ru-RU"/>
        </w:rPr>
        <w:t xml:space="preserve"> </w:t>
      </w:r>
      <w:r w:rsidRPr="0030322F">
        <w:rPr>
          <w:rFonts w:eastAsia="Times New Roman" w:cs="Arial"/>
          <w:bCs/>
          <w:i/>
          <w:iCs/>
          <w:color w:val="000000"/>
          <w:szCs w:val="20"/>
          <w:lang w:val="en-US"/>
        </w:rPr>
        <w:t>vivo</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проучвания показват, че розувастатин не е нито инхибитор, нито индуктор на цитохром Р450 изоензимите. Розувастатин е слаб субстрат за тези изоензими. Следователно, лекарствени взаимодействия, резултат от цитохром Р450-медиирания метаболизъм, не се очакват. Не са наблюдавани клинично значими взаимодействия между розувастатин и флуконазол (инхибитор на </w:t>
      </w:r>
      <w:r w:rsidRPr="0030322F">
        <w:rPr>
          <w:rFonts w:eastAsia="Times New Roman" w:cs="Arial"/>
          <w:bCs/>
          <w:color w:val="000000"/>
          <w:szCs w:val="20"/>
          <w:lang w:val="en-US"/>
        </w:rPr>
        <w:t>CYP</w:t>
      </w:r>
      <w:r w:rsidRPr="0030322F">
        <w:rPr>
          <w:rFonts w:eastAsia="Times New Roman" w:cs="Arial"/>
          <w:bCs/>
          <w:color w:val="000000"/>
          <w:szCs w:val="20"/>
          <w:lang w:val="ru-RU"/>
        </w:rPr>
        <w:t>2</w:t>
      </w:r>
      <w:r w:rsidRPr="0030322F">
        <w:rPr>
          <w:rFonts w:eastAsia="Times New Roman" w:cs="Arial"/>
          <w:bCs/>
          <w:color w:val="000000"/>
          <w:szCs w:val="20"/>
          <w:lang w:val="en-US"/>
        </w:rPr>
        <w:t>C</w:t>
      </w:r>
      <w:r w:rsidRPr="0030322F">
        <w:rPr>
          <w:rFonts w:eastAsia="Times New Roman" w:cs="Arial"/>
          <w:bCs/>
          <w:color w:val="000000"/>
          <w:szCs w:val="20"/>
          <w:lang w:val="ru-RU"/>
        </w:rPr>
        <w:t xml:space="preserve">9 </w:t>
      </w:r>
      <w:r w:rsidRPr="0030322F">
        <w:rPr>
          <w:rFonts w:eastAsia="Times New Roman" w:cs="Arial"/>
          <w:bCs/>
          <w:color w:val="000000"/>
          <w:szCs w:val="20"/>
          <w:lang w:eastAsia="bg-BG"/>
        </w:rPr>
        <w:t xml:space="preserve">и </w:t>
      </w:r>
      <w:r w:rsidRPr="0030322F">
        <w:rPr>
          <w:rFonts w:eastAsia="Times New Roman" w:cs="Arial"/>
          <w:bCs/>
          <w:color w:val="000000"/>
          <w:szCs w:val="20"/>
          <w:lang w:val="en-US"/>
        </w:rPr>
        <w:t>CYP</w:t>
      </w:r>
      <w:r w:rsidRPr="0030322F">
        <w:rPr>
          <w:rFonts w:eastAsia="Times New Roman" w:cs="Arial"/>
          <w:bCs/>
          <w:color w:val="000000"/>
          <w:szCs w:val="20"/>
          <w:lang w:val="ru-RU"/>
        </w:rPr>
        <w:t>3</w:t>
      </w:r>
      <w:r w:rsidRPr="0030322F">
        <w:rPr>
          <w:rFonts w:eastAsia="Times New Roman" w:cs="Arial"/>
          <w:bCs/>
          <w:color w:val="000000"/>
          <w:szCs w:val="20"/>
          <w:lang w:val="en-US"/>
        </w:rPr>
        <w:t>A</w:t>
      </w:r>
      <w:r w:rsidRPr="0030322F">
        <w:rPr>
          <w:rFonts w:eastAsia="Times New Roman" w:cs="Arial"/>
          <w:bCs/>
          <w:color w:val="000000"/>
          <w:szCs w:val="20"/>
          <w:lang w:val="ru-RU"/>
        </w:rPr>
        <w:t xml:space="preserve">4), </w:t>
      </w:r>
      <w:r w:rsidRPr="0030322F">
        <w:rPr>
          <w:rFonts w:eastAsia="Times New Roman" w:cs="Arial"/>
          <w:bCs/>
          <w:color w:val="000000"/>
          <w:szCs w:val="20"/>
          <w:lang w:eastAsia="bg-BG"/>
        </w:rPr>
        <w:t xml:space="preserve">или кетоконазол (инхибитор на </w:t>
      </w:r>
      <w:r w:rsidRPr="0030322F">
        <w:rPr>
          <w:rFonts w:eastAsia="Times New Roman" w:cs="Arial"/>
          <w:bCs/>
          <w:color w:val="000000"/>
          <w:szCs w:val="20"/>
          <w:lang w:val="en-US"/>
        </w:rPr>
        <w:t>CYP</w:t>
      </w:r>
      <w:r w:rsidRPr="0030322F">
        <w:rPr>
          <w:rFonts w:eastAsia="Times New Roman" w:cs="Arial"/>
          <w:bCs/>
          <w:color w:val="000000"/>
          <w:szCs w:val="20"/>
          <w:lang w:val="ru-RU"/>
        </w:rPr>
        <w:t>2</w:t>
      </w:r>
      <w:r w:rsidRPr="0030322F">
        <w:rPr>
          <w:rFonts w:eastAsia="Times New Roman" w:cs="Arial"/>
          <w:bCs/>
          <w:color w:val="000000"/>
          <w:szCs w:val="20"/>
          <w:lang w:val="en-US"/>
        </w:rPr>
        <w:t>A</w:t>
      </w:r>
      <w:r w:rsidRPr="0030322F">
        <w:rPr>
          <w:rFonts w:eastAsia="Times New Roman" w:cs="Arial"/>
          <w:bCs/>
          <w:color w:val="000000"/>
          <w:szCs w:val="20"/>
          <w:lang w:val="ru-RU"/>
        </w:rPr>
        <w:t xml:space="preserve">6 </w:t>
      </w:r>
      <w:r w:rsidRPr="0030322F">
        <w:rPr>
          <w:rFonts w:eastAsia="Times New Roman" w:cs="Arial"/>
          <w:bCs/>
          <w:color w:val="000000"/>
          <w:szCs w:val="20"/>
          <w:lang w:eastAsia="bg-BG"/>
        </w:rPr>
        <w:t xml:space="preserve">и </w:t>
      </w:r>
      <w:r w:rsidRPr="0030322F">
        <w:rPr>
          <w:rFonts w:eastAsia="Times New Roman" w:cs="Arial"/>
          <w:bCs/>
          <w:color w:val="000000"/>
          <w:szCs w:val="20"/>
          <w:lang w:val="en-US"/>
        </w:rPr>
        <w:t>CYP</w:t>
      </w:r>
      <w:r w:rsidRPr="0030322F">
        <w:rPr>
          <w:rFonts w:eastAsia="Times New Roman" w:cs="Arial"/>
          <w:bCs/>
          <w:color w:val="000000"/>
          <w:szCs w:val="20"/>
          <w:lang w:val="ru-RU"/>
        </w:rPr>
        <w:t>3</w:t>
      </w:r>
      <w:r w:rsidRPr="0030322F">
        <w:rPr>
          <w:rFonts w:eastAsia="Times New Roman" w:cs="Arial"/>
          <w:bCs/>
          <w:color w:val="000000"/>
          <w:szCs w:val="20"/>
          <w:lang w:val="en-US"/>
        </w:rPr>
        <w:t>A</w:t>
      </w:r>
      <w:r w:rsidRPr="0030322F">
        <w:rPr>
          <w:rFonts w:eastAsia="Times New Roman" w:cs="Arial"/>
          <w:bCs/>
          <w:color w:val="000000"/>
          <w:szCs w:val="20"/>
          <w:lang w:val="ru-RU"/>
        </w:rPr>
        <w:t xml:space="preserve">4). </w:t>
      </w:r>
      <w:r w:rsidRPr="0030322F">
        <w:rPr>
          <w:rFonts w:eastAsia="Times New Roman" w:cs="Arial"/>
          <w:bCs/>
          <w:color w:val="000000"/>
          <w:szCs w:val="20"/>
          <w:lang w:eastAsia="bg-BG"/>
        </w:rPr>
        <w:t xml:space="preserve">Едновременният прием на итраконазол (инхибитор на </w:t>
      </w:r>
      <w:r w:rsidRPr="0030322F">
        <w:rPr>
          <w:rFonts w:eastAsia="Times New Roman" w:cs="Arial"/>
          <w:bCs/>
          <w:color w:val="000000"/>
          <w:szCs w:val="20"/>
          <w:lang w:val="en-US"/>
        </w:rPr>
        <w:t>CYP</w:t>
      </w:r>
      <w:r w:rsidRPr="0030322F">
        <w:rPr>
          <w:rFonts w:eastAsia="Times New Roman" w:cs="Arial"/>
          <w:bCs/>
          <w:color w:val="000000"/>
          <w:szCs w:val="20"/>
          <w:lang w:val="ru-RU"/>
        </w:rPr>
        <w:t>3</w:t>
      </w:r>
      <w:r w:rsidRPr="0030322F">
        <w:rPr>
          <w:rFonts w:eastAsia="Times New Roman" w:cs="Arial"/>
          <w:bCs/>
          <w:color w:val="000000"/>
          <w:szCs w:val="20"/>
          <w:lang w:val="en-US"/>
        </w:rPr>
        <w:t>A</w:t>
      </w:r>
      <w:r w:rsidRPr="0030322F">
        <w:rPr>
          <w:rFonts w:eastAsia="Times New Roman" w:cs="Arial"/>
          <w:bCs/>
          <w:color w:val="000000"/>
          <w:szCs w:val="20"/>
          <w:lang w:val="ru-RU"/>
        </w:rPr>
        <w:t xml:space="preserve">4) </w:t>
      </w:r>
      <w:r w:rsidRPr="0030322F">
        <w:rPr>
          <w:rFonts w:eastAsia="Times New Roman" w:cs="Arial"/>
          <w:bCs/>
          <w:color w:val="000000"/>
          <w:szCs w:val="20"/>
          <w:lang w:eastAsia="bg-BG"/>
        </w:rPr>
        <w:t xml:space="preserve">и розувастатин води до 28 % увеличение на </w:t>
      </w:r>
      <w:r w:rsidRPr="0030322F">
        <w:rPr>
          <w:rFonts w:eastAsia="Times New Roman" w:cs="Arial"/>
          <w:bCs/>
          <w:color w:val="000000"/>
          <w:szCs w:val="20"/>
          <w:lang w:val="en-US"/>
        </w:rPr>
        <w:t>AUC</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на розувастатин. Това малко увеличение не е клинично значимо. По тази причина, лекарствени взаимодействия в следствие на метаболизъм, медииран от цитохром Р450, не се очакват.</w:t>
      </w:r>
    </w:p>
    <w:p w14:paraId="176633C2" w14:textId="77777777" w:rsidR="0030322F" w:rsidRPr="0030322F" w:rsidRDefault="0030322F" w:rsidP="0030322F">
      <w:pPr>
        <w:spacing w:line="240" w:lineRule="auto"/>
        <w:rPr>
          <w:rFonts w:eastAsia="Times New Roman" w:cs="Arial"/>
          <w:bCs/>
          <w:color w:val="000000"/>
          <w:szCs w:val="20"/>
          <w:u w:val="single"/>
          <w:lang w:eastAsia="bg-BG"/>
        </w:rPr>
      </w:pPr>
    </w:p>
    <w:p w14:paraId="729BFAD4" w14:textId="5063955F"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u w:val="single"/>
          <w:lang w:eastAsia="bg-BG"/>
        </w:rPr>
        <w:t xml:space="preserve">Взаимодействия, които изискват корекция на дозата на розувастатин (вж. също таблица 1) </w:t>
      </w:r>
      <w:r w:rsidRPr="0030322F">
        <w:rPr>
          <w:rFonts w:eastAsia="Times New Roman" w:cs="Arial"/>
          <w:bCs/>
          <w:color w:val="000000"/>
          <w:szCs w:val="20"/>
          <w:lang w:eastAsia="bg-BG"/>
        </w:rPr>
        <w:t xml:space="preserve">Когато е необходимо да се прилага Крестор едновременно с други лекарствени продукти, за които е известно, че повишават експозицията на розувастатин, дозите на Крестор трябва да се коригират. На предписващите лекари се препоръчва да вземат предвид съответната лекарствена информация, когато обмислят прилагане на такива продукти заедно с Крестор. Започва се с доза на Крестор от 5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веднъж дневно, ако очакваното повишение на експозицията </w:t>
      </w:r>
      <w:r w:rsidRPr="0030322F">
        <w:rPr>
          <w:rFonts w:eastAsia="Times New Roman" w:cs="Arial"/>
          <w:bCs/>
          <w:color w:val="000000"/>
          <w:szCs w:val="20"/>
          <w:lang w:val="ru-RU"/>
        </w:rPr>
        <w:t>(</w:t>
      </w:r>
      <w:r w:rsidRPr="0030322F">
        <w:rPr>
          <w:rFonts w:eastAsia="Times New Roman" w:cs="Arial"/>
          <w:bCs/>
          <w:color w:val="000000"/>
          <w:szCs w:val="20"/>
          <w:lang w:val="en-US"/>
        </w:rPr>
        <w:t>AUC</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е приблизително двукратно или по-голямо. Максималната дневна доза на Крестор трябва да се коригира така, че очакваната експозиция на розувастатин няма вероятност да надвиши тази на 40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дневна доза Крестор, приет без взаимодействащи лекарствени прдукти, напр. доза от 20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Крестор с гемфиброзил (1,9 пъти повишение) и доза от 10 </w:t>
      </w:r>
      <w:r w:rsidRPr="0030322F">
        <w:rPr>
          <w:rFonts w:eastAsia="Times New Roman" w:cs="Arial"/>
          <w:bCs/>
          <w:color w:val="000000"/>
          <w:szCs w:val="20"/>
          <w:lang w:val="en-US"/>
        </w:rPr>
        <w:t>mg</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Крестор с комбинация ритонавир/атазанавир (3,1 пъти повишение).</w:t>
      </w:r>
    </w:p>
    <w:p w14:paraId="0CE599CA" w14:textId="77777777" w:rsidR="0030322F" w:rsidRPr="0030322F" w:rsidRDefault="0030322F" w:rsidP="0030322F">
      <w:pPr>
        <w:spacing w:line="240" w:lineRule="auto"/>
        <w:rPr>
          <w:rFonts w:eastAsia="Times New Roman" w:cs="Arial"/>
          <w:bCs/>
          <w:color w:val="000000"/>
          <w:szCs w:val="20"/>
          <w:lang w:eastAsia="bg-BG"/>
        </w:rPr>
      </w:pPr>
    </w:p>
    <w:p w14:paraId="64F29DF6" w14:textId="46DC4F93" w:rsidR="0030322F" w:rsidRPr="0030322F" w:rsidRDefault="0030322F" w:rsidP="0030322F">
      <w:pPr>
        <w:spacing w:line="240" w:lineRule="auto"/>
        <w:rPr>
          <w:rFonts w:eastAsia="Times New Roman" w:cs="Arial"/>
          <w:sz w:val="28"/>
          <w:szCs w:val="24"/>
        </w:rPr>
      </w:pPr>
      <w:r w:rsidRPr="0030322F">
        <w:rPr>
          <w:rFonts w:eastAsia="Times New Roman" w:cs="Arial"/>
          <w:bCs/>
          <w:color w:val="000000"/>
          <w:szCs w:val="20"/>
          <w:lang w:eastAsia="bg-BG"/>
        </w:rPr>
        <w:t xml:space="preserve">Ако се наблюдава, че лекарствен продукт повишава </w:t>
      </w:r>
      <w:r w:rsidRPr="0030322F">
        <w:rPr>
          <w:rFonts w:eastAsia="Times New Roman" w:cs="Arial"/>
          <w:bCs/>
          <w:color w:val="000000"/>
          <w:szCs w:val="20"/>
          <w:lang w:val="en-US"/>
        </w:rPr>
        <w:t>AUC</w:t>
      </w:r>
      <w:r w:rsidRPr="0030322F">
        <w:rPr>
          <w:rFonts w:eastAsia="Times New Roman" w:cs="Arial"/>
          <w:bCs/>
          <w:color w:val="000000"/>
          <w:szCs w:val="20"/>
          <w:lang w:val="ru-RU"/>
        </w:rPr>
        <w:t xml:space="preserve"> </w:t>
      </w:r>
      <w:r w:rsidRPr="0030322F">
        <w:rPr>
          <w:rFonts w:eastAsia="Times New Roman" w:cs="Arial"/>
          <w:bCs/>
          <w:color w:val="000000"/>
          <w:szCs w:val="20"/>
          <w:lang w:eastAsia="bg-BG"/>
        </w:rPr>
        <w:t xml:space="preserve">на розувастатин по-малко от 2 пъти, началната доза не трябва да се намалява, но трябва да се подхожда с внимание, ако дозата на Крестор се повиши над 20 </w:t>
      </w:r>
      <w:r w:rsidRPr="0030322F">
        <w:rPr>
          <w:rFonts w:eastAsia="Times New Roman" w:cs="Arial"/>
          <w:bCs/>
          <w:color w:val="000000"/>
          <w:szCs w:val="20"/>
          <w:lang w:val="en-US"/>
        </w:rPr>
        <w:t>mg</w:t>
      </w:r>
      <w:r w:rsidRPr="0030322F">
        <w:rPr>
          <w:rFonts w:eastAsia="Times New Roman" w:cs="Arial"/>
          <w:bCs/>
          <w:color w:val="000000"/>
          <w:szCs w:val="20"/>
          <w:lang w:val="ru-RU"/>
        </w:rPr>
        <w:t>.</w:t>
      </w:r>
    </w:p>
    <w:p w14:paraId="25245377" w14:textId="77777777" w:rsidR="0030322F" w:rsidRPr="0030322F" w:rsidRDefault="0030322F" w:rsidP="0030322F">
      <w:pPr>
        <w:rPr>
          <w:rFonts w:eastAsia="Times New Roman" w:cs="Arial"/>
          <w:bCs/>
          <w:color w:val="000000"/>
          <w:szCs w:val="20"/>
          <w:lang w:eastAsia="bg-BG"/>
        </w:rPr>
      </w:pPr>
    </w:p>
    <w:p w14:paraId="16891FB4" w14:textId="1935760A" w:rsidR="0030322F" w:rsidRDefault="0030322F" w:rsidP="0030322F">
      <w:pPr>
        <w:rPr>
          <w:rFonts w:eastAsia="Times New Roman" w:cs="Arial"/>
          <w:b/>
          <w:bCs/>
          <w:color w:val="000000"/>
          <w:szCs w:val="20"/>
          <w:lang w:eastAsia="bg-BG"/>
        </w:rPr>
      </w:pPr>
      <w:r w:rsidRPr="0030322F">
        <w:rPr>
          <w:rFonts w:eastAsia="Times New Roman" w:cs="Arial"/>
          <w:b/>
          <w:bCs/>
          <w:color w:val="000000"/>
          <w:szCs w:val="20"/>
          <w:lang w:eastAsia="bg-BG"/>
        </w:rPr>
        <w:t xml:space="preserve">Таблица 1. Ефект на едновременно прилаган лекарствен продукт върху експозицията на розувастатин </w:t>
      </w:r>
      <w:r w:rsidRPr="0030322F">
        <w:rPr>
          <w:rFonts w:eastAsia="Times New Roman" w:cs="Arial"/>
          <w:b/>
          <w:bCs/>
          <w:color w:val="000000"/>
          <w:szCs w:val="20"/>
          <w:lang w:val="ru-RU"/>
        </w:rPr>
        <w:t>(</w:t>
      </w:r>
      <w:r w:rsidRPr="0030322F">
        <w:rPr>
          <w:rFonts w:eastAsia="Times New Roman" w:cs="Arial"/>
          <w:b/>
          <w:bCs/>
          <w:color w:val="000000"/>
          <w:szCs w:val="20"/>
          <w:lang w:val="en-US"/>
        </w:rPr>
        <w:t>AUC</w:t>
      </w:r>
      <w:r w:rsidRPr="0030322F">
        <w:rPr>
          <w:rFonts w:eastAsia="Times New Roman" w:cs="Arial"/>
          <w:b/>
          <w:bCs/>
          <w:color w:val="000000"/>
          <w:szCs w:val="20"/>
          <w:lang w:val="ru-RU"/>
        </w:rPr>
        <w:t xml:space="preserve">, </w:t>
      </w:r>
      <w:r w:rsidRPr="0030322F">
        <w:rPr>
          <w:rFonts w:eastAsia="Times New Roman" w:cs="Arial"/>
          <w:b/>
          <w:bCs/>
          <w:color w:val="000000"/>
          <w:szCs w:val="20"/>
          <w:lang w:eastAsia="bg-BG"/>
        </w:rPr>
        <w:t>в низходящ ред) от публикувани клинични проучвания</w:t>
      </w:r>
    </w:p>
    <w:tbl>
      <w:tblPr>
        <w:tblStyle w:val="TableGrid"/>
        <w:tblW w:w="0" w:type="auto"/>
        <w:tblLook w:val="04A0" w:firstRow="1" w:lastRow="0" w:firstColumn="1" w:lastColumn="0" w:noHBand="0" w:noVBand="1"/>
      </w:tblPr>
      <w:tblGrid>
        <w:gridCol w:w="4236"/>
        <w:gridCol w:w="2538"/>
        <w:gridCol w:w="2576"/>
      </w:tblGrid>
      <w:tr w:rsidR="007E220E" w14:paraId="18B2635C" w14:textId="77777777" w:rsidTr="00286891">
        <w:tc>
          <w:tcPr>
            <w:tcW w:w="9576" w:type="dxa"/>
            <w:gridSpan w:val="3"/>
          </w:tcPr>
          <w:p w14:paraId="7A2FD95B" w14:textId="54F56A6B" w:rsidR="007E220E" w:rsidRPr="007E220E" w:rsidRDefault="007E220E" w:rsidP="007E220E">
            <w:pPr>
              <w:rPr>
                <w:rFonts w:eastAsia="Times New Roman" w:cs="Arial"/>
                <w:b/>
                <w:color w:val="000000"/>
                <w:szCs w:val="20"/>
                <w:lang w:eastAsia="bg-BG"/>
              </w:rPr>
            </w:pPr>
            <w:r w:rsidRPr="007E220E">
              <w:rPr>
                <w:b/>
              </w:rPr>
              <w:t xml:space="preserve">Повишаване на </w:t>
            </w:r>
            <w:r w:rsidRPr="007E220E">
              <w:rPr>
                <w:b/>
                <w:lang w:val="en-US"/>
              </w:rPr>
              <w:t>AUC</w:t>
            </w:r>
            <w:r w:rsidRPr="007E220E">
              <w:rPr>
                <w:b/>
                <w:lang w:val="ru-RU"/>
              </w:rPr>
              <w:t xml:space="preserve"> </w:t>
            </w:r>
            <w:r w:rsidRPr="007E220E">
              <w:rPr>
                <w:b/>
              </w:rPr>
              <w:t>на розувастатин 2 пъти или повече от 2 пъти</w:t>
            </w:r>
          </w:p>
        </w:tc>
      </w:tr>
      <w:tr w:rsidR="007E220E" w14:paraId="5100BA72" w14:textId="77777777" w:rsidTr="007E220E">
        <w:tc>
          <w:tcPr>
            <w:tcW w:w="4236" w:type="dxa"/>
            <w:vAlign w:val="bottom"/>
          </w:tcPr>
          <w:p w14:paraId="0E9A7819" w14:textId="5058BFAC" w:rsidR="007E220E" w:rsidRPr="007E220E" w:rsidRDefault="007E220E" w:rsidP="007E220E">
            <w:pPr>
              <w:rPr>
                <w:rFonts w:eastAsia="Times New Roman" w:cs="Arial"/>
                <w:b/>
                <w:color w:val="000000"/>
                <w:lang w:eastAsia="bg-BG"/>
              </w:rPr>
            </w:pPr>
            <w:r w:rsidRPr="007E220E">
              <w:rPr>
                <w:b/>
              </w:rPr>
              <w:t>Дозов режим на взаимодействащото лекарство</w:t>
            </w:r>
          </w:p>
        </w:tc>
        <w:tc>
          <w:tcPr>
            <w:tcW w:w="2654" w:type="dxa"/>
            <w:vAlign w:val="bottom"/>
          </w:tcPr>
          <w:p w14:paraId="56FE08FC" w14:textId="77BE148E" w:rsidR="007E220E" w:rsidRPr="007E220E" w:rsidRDefault="007E220E" w:rsidP="007E220E">
            <w:pPr>
              <w:rPr>
                <w:rFonts w:eastAsia="Times New Roman" w:cs="Arial"/>
                <w:b/>
                <w:color w:val="000000"/>
                <w:lang w:eastAsia="bg-BG"/>
              </w:rPr>
            </w:pPr>
            <w:r w:rsidRPr="007E220E">
              <w:rPr>
                <w:b/>
              </w:rPr>
              <w:t>Дозов режим на розувастатин</w:t>
            </w:r>
          </w:p>
        </w:tc>
        <w:tc>
          <w:tcPr>
            <w:tcW w:w="2686" w:type="dxa"/>
            <w:vAlign w:val="bottom"/>
          </w:tcPr>
          <w:p w14:paraId="6AAB8456" w14:textId="52277B14" w:rsidR="007E220E" w:rsidRPr="007E220E" w:rsidRDefault="007E220E" w:rsidP="007E220E">
            <w:pPr>
              <w:rPr>
                <w:rFonts w:eastAsia="Times New Roman" w:cs="Arial"/>
                <w:b/>
                <w:color w:val="000000"/>
                <w:lang w:eastAsia="bg-BG"/>
              </w:rPr>
            </w:pPr>
            <w:r w:rsidRPr="007E220E">
              <w:rPr>
                <w:b/>
              </w:rPr>
              <w:t xml:space="preserve">Промяна в </w:t>
            </w:r>
            <w:r w:rsidRPr="007E220E">
              <w:rPr>
                <w:b/>
                <w:lang w:val="en-US"/>
              </w:rPr>
              <w:t>AUC</w:t>
            </w:r>
            <w:r w:rsidRPr="007E220E">
              <w:rPr>
                <w:b/>
                <w:lang w:val="ru-RU"/>
              </w:rPr>
              <w:t xml:space="preserve"> </w:t>
            </w:r>
            <w:r w:rsidRPr="007E220E">
              <w:rPr>
                <w:b/>
              </w:rPr>
              <w:t>на розувастатин*</w:t>
            </w:r>
          </w:p>
        </w:tc>
      </w:tr>
      <w:tr w:rsidR="007E220E" w14:paraId="6ACD7CF7" w14:textId="77777777" w:rsidTr="007E220E">
        <w:tc>
          <w:tcPr>
            <w:tcW w:w="4236" w:type="dxa"/>
            <w:vAlign w:val="bottom"/>
          </w:tcPr>
          <w:p w14:paraId="4FA992E5" w14:textId="77777777" w:rsidR="007E220E" w:rsidRPr="007E220E" w:rsidRDefault="007E220E" w:rsidP="007E220E">
            <w:r w:rsidRPr="007E220E">
              <w:t xml:space="preserve">Софосбувир/велпатасвир/воксилапрев ир (400 </w:t>
            </w:r>
            <w:r w:rsidRPr="007E220E">
              <w:rPr>
                <w:lang w:val="en-US"/>
              </w:rPr>
              <w:t>mg</w:t>
            </w:r>
            <w:r w:rsidRPr="007E220E">
              <w:t xml:space="preserve">-100 </w:t>
            </w:r>
            <w:r w:rsidRPr="007E220E">
              <w:rPr>
                <w:lang w:val="en-US"/>
              </w:rPr>
              <w:t>mg</w:t>
            </w:r>
            <w:r w:rsidRPr="007E220E">
              <w:t xml:space="preserve">-100 </w:t>
            </w:r>
            <w:r w:rsidRPr="007E220E">
              <w:rPr>
                <w:lang w:val="en-US"/>
              </w:rPr>
              <w:t>mg</w:t>
            </w:r>
            <w:r w:rsidRPr="007E220E">
              <w:t>) +</w:t>
            </w:r>
          </w:p>
          <w:p w14:paraId="23FD9423" w14:textId="377532DC" w:rsidR="007E220E" w:rsidRPr="007E220E" w:rsidRDefault="007E220E" w:rsidP="007E220E">
            <w:pPr>
              <w:rPr>
                <w:rFonts w:eastAsia="Times New Roman" w:cs="Arial"/>
                <w:color w:val="000000"/>
                <w:lang w:eastAsia="bg-BG"/>
              </w:rPr>
            </w:pPr>
            <w:r w:rsidRPr="007E220E">
              <w:t xml:space="preserve">Воксилапревир (100 </w:t>
            </w:r>
            <w:r w:rsidRPr="007E220E">
              <w:rPr>
                <w:lang w:val="en-US"/>
              </w:rPr>
              <w:t>mg</w:t>
            </w:r>
            <w:r w:rsidRPr="007E220E">
              <w:rPr>
                <w:lang w:val="ru-RU"/>
              </w:rPr>
              <w:t xml:space="preserve">) </w:t>
            </w:r>
            <w:r w:rsidRPr="007E220E">
              <w:t>веднъж дневно за 15 дни</w:t>
            </w:r>
          </w:p>
        </w:tc>
        <w:tc>
          <w:tcPr>
            <w:tcW w:w="2654" w:type="dxa"/>
          </w:tcPr>
          <w:p w14:paraId="5228CBB2" w14:textId="262CE955" w:rsidR="007E220E" w:rsidRPr="007E220E" w:rsidRDefault="007E220E" w:rsidP="007E220E">
            <w:pPr>
              <w:rPr>
                <w:rFonts w:eastAsia="Times New Roman" w:cs="Arial"/>
                <w:color w:val="000000"/>
                <w:lang w:eastAsia="bg-BG"/>
              </w:rPr>
            </w:pPr>
            <w:r w:rsidRPr="007E220E">
              <w:t xml:space="preserve">10 </w:t>
            </w:r>
            <w:r w:rsidRPr="007E220E">
              <w:rPr>
                <w:lang w:val="en-US"/>
              </w:rPr>
              <w:t xml:space="preserve">mg </w:t>
            </w:r>
            <w:r w:rsidRPr="007E220E">
              <w:t>единична доза</w:t>
            </w:r>
          </w:p>
        </w:tc>
        <w:tc>
          <w:tcPr>
            <w:tcW w:w="2686" w:type="dxa"/>
          </w:tcPr>
          <w:p w14:paraId="021B425C" w14:textId="24001954" w:rsidR="007E220E" w:rsidRPr="007E220E" w:rsidRDefault="007E220E" w:rsidP="007E220E">
            <w:pPr>
              <w:rPr>
                <w:rFonts w:eastAsia="Times New Roman" w:cs="Arial"/>
                <w:color w:val="000000"/>
                <w:lang w:eastAsia="bg-BG"/>
              </w:rPr>
            </w:pPr>
            <w:r w:rsidRPr="007E220E">
              <w:t>7,4 пъти</w:t>
            </w:r>
          </w:p>
        </w:tc>
      </w:tr>
      <w:tr w:rsidR="007E220E" w14:paraId="33FE0BCB" w14:textId="77777777" w:rsidTr="007E220E">
        <w:tc>
          <w:tcPr>
            <w:tcW w:w="4236" w:type="dxa"/>
            <w:vAlign w:val="bottom"/>
          </w:tcPr>
          <w:p w14:paraId="683FFCC0" w14:textId="32D86EE1" w:rsidR="007E220E" w:rsidRPr="007E220E" w:rsidRDefault="007E220E" w:rsidP="007E220E">
            <w:pPr>
              <w:rPr>
                <w:rFonts w:eastAsia="Times New Roman" w:cs="Arial"/>
                <w:color w:val="000000"/>
                <w:lang w:eastAsia="bg-BG"/>
              </w:rPr>
            </w:pPr>
            <w:r w:rsidRPr="007E220E">
              <w:t xml:space="preserve">Циклоспорин 75 </w:t>
            </w:r>
            <w:r w:rsidRPr="007E220E">
              <w:rPr>
                <w:lang w:val="en-US"/>
              </w:rPr>
              <w:t>mg</w:t>
            </w:r>
            <w:r w:rsidRPr="007E220E">
              <w:rPr>
                <w:lang w:val="ru-RU"/>
              </w:rPr>
              <w:t xml:space="preserve"> </w:t>
            </w:r>
            <w:r w:rsidRPr="007E220E">
              <w:t xml:space="preserve">два пъти на ден до 200 </w:t>
            </w:r>
            <w:r w:rsidRPr="007E220E">
              <w:rPr>
                <w:lang w:val="en-US"/>
              </w:rPr>
              <w:t>mg</w:t>
            </w:r>
            <w:r w:rsidRPr="007E220E">
              <w:rPr>
                <w:lang w:val="ru-RU"/>
              </w:rPr>
              <w:t xml:space="preserve"> </w:t>
            </w:r>
            <w:r w:rsidRPr="007E220E">
              <w:t>два пъти на ден, 6 месеца</w:t>
            </w:r>
          </w:p>
        </w:tc>
        <w:tc>
          <w:tcPr>
            <w:tcW w:w="2654" w:type="dxa"/>
            <w:vAlign w:val="center"/>
          </w:tcPr>
          <w:p w14:paraId="79D04D9A" w14:textId="34226C87" w:rsidR="007E220E" w:rsidRPr="007E220E" w:rsidRDefault="007E220E" w:rsidP="007E220E">
            <w:pPr>
              <w:rPr>
                <w:rFonts w:eastAsia="Times New Roman" w:cs="Arial"/>
                <w:color w:val="000000"/>
                <w:lang w:eastAsia="bg-BG"/>
              </w:rPr>
            </w:pPr>
            <w:r w:rsidRPr="007E220E">
              <w:t xml:space="preserve">10 </w:t>
            </w:r>
            <w:r w:rsidRPr="007E220E">
              <w:rPr>
                <w:lang w:val="en-US"/>
              </w:rPr>
              <w:t xml:space="preserve">mg </w:t>
            </w:r>
            <w:r w:rsidRPr="007E220E">
              <w:t>веднъж дневно, 10 дни</w:t>
            </w:r>
          </w:p>
        </w:tc>
        <w:tc>
          <w:tcPr>
            <w:tcW w:w="2686" w:type="dxa"/>
            <w:vAlign w:val="bottom"/>
          </w:tcPr>
          <w:p w14:paraId="473E16D0" w14:textId="27AA5920" w:rsidR="007E220E" w:rsidRPr="007E220E" w:rsidRDefault="007E220E" w:rsidP="007E220E">
            <w:pPr>
              <w:rPr>
                <w:rFonts w:eastAsia="Times New Roman" w:cs="Arial"/>
                <w:color w:val="000000"/>
                <w:lang w:eastAsia="bg-BG"/>
              </w:rPr>
            </w:pPr>
            <w:r w:rsidRPr="007E220E">
              <w:rPr>
                <w:rFonts w:cs="Arial"/>
                <w:i/>
                <w:iCs/>
                <w:lang w:val="en-US"/>
              </w:rPr>
              <w:t>7,1</w:t>
            </w:r>
            <w:r w:rsidRPr="007E220E">
              <w:rPr>
                <w:rFonts w:cs="Arial"/>
                <w:i/>
                <w:iCs/>
              </w:rPr>
              <w:t xml:space="preserve"> пъти </w:t>
            </w:r>
            <w:r w:rsidRPr="007E220E">
              <w:rPr>
                <w:i/>
                <w:iCs/>
              </w:rPr>
              <w:t>↑</w:t>
            </w:r>
          </w:p>
        </w:tc>
      </w:tr>
      <w:tr w:rsidR="007E220E" w14:paraId="74D1C01D" w14:textId="77777777" w:rsidTr="007E220E">
        <w:tc>
          <w:tcPr>
            <w:tcW w:w="4236" w:type="dxa"/>
          </w:tcPr>
          <w:p w14:paraId="3417499B" w14:textId="7BA30FC6" w:rsidR="007E220E" w:rsidRPr="007E220E" w:rsidRDefault="007E220E" w:rsidP="007E220E">
            <w:pPr>
              <w:rPr>
                <w:rFonts w:eastAsia="Times New Roman" w:cs="Arial"/>
                <w:bCs/>
                <w:color w:val="000000"/>
                <w:szCs w:val="20"/>
                <w:lang w:eastAsia="bg-BG"/>
              </w:rPr>
            </w:pPr>
            <w:r w:rsidRPr="007E220E">
              <w:rPr>
                <w:bCs/>
                <w:szCs w:val="20"/>
              </w:rPr>
              <w:t xml:space="preserve">Даролутамид 600 </w:t>
            </w:r>
            <w:r w:rsidRPr="007E220E">
              <w:rPr>
                <w:bCs/>
                <w:szCs w:val="20"/>
                <w:lang w:val="en-US"/>
              </w:rPr>
              <w:t>mg</w:t>
            </w:r>
            <w:r w:rsidRPr="007E220E">
              <w:rPr>
                <w:bCs/>
                <w:szCs w:val="20"/>
                <w:lang w:val="ru-RU"/>
              </w:rPr>
              <w:t xml:space="preserve"> </w:t>
            </w:r>
            <w:r w:rsidRPr="007E220E">
              <w:rPr>
                <w:bCs/>
                <w:szCs w:val="20"/>
              </w:rPr>
              <w:t>2 х дн., 5 дни</w:t>
            </w:r>
          </w:p>
        </w:tc>
        <w:tc>
          <w:tcPr>
            <w:tcW w:w="2654" w:type="dxa"/>
          </w:tcPr>
          <w:p w14:paraId="7C6F977F" w14:textId="39A10954" w:rsidR="007E220E" w:rsidRPr="007E220E" w:rsidRDefault="007E220E" w:rsidP="007E220E">
            <w:pPr>
              <w:rPr>
                <w:rFonts w:eastAsia="Times New Roman" w:cs="Arial"/>
                <w:bCs/>
                <w:color w:val="000000"/>
                <w:szCs w:val="20"/>
                <w:lang w:eastAsia="bg-BG"/>
              </w:rPr>
            </w:pPr>
            <w:r w:rsidRPr="007E220E">
              <w:rPr>
                <w:bCs/>
                <w:szCs w:val="20"/>
              </w:rPr>
              <w:t>5</w:t>
            </w:r>
            <w:r w:rsidRPr="007E220E">
              <w:rPr>
                <w:bCs/>
                <w:szCs w:val="20"/>
                <w:lang w:val="en-US"/>
              </w:rPr>
              <w:t>mg,</w:t>
            </w:r>
            <w:r w:rsidRPr="007E220E">
              <w:rPr>
                <w:bCs/>
                <w:szCs w:val="20"/>
              </w:rPr>
              <w:t>единична доза</w:t>
            </w:r>
          </w:p>
        </w:tc>
        <w:tc>
          <w:tcPr>
            <w:tcW w:w="2686" w:type="dxa"/>
          </w:tcPr>
          <w:p w14:paraId="6013DB52" w14:textId="71EFB2A8" w:rsidR="007E220E" w:rsidRPr="007E220E" w:rsidRDefault="007E220E" w:rsidP="007E220E">
            <w:pPr>
              <w:rPr>
                <w:rFonts w:eastAsia="Times New Roman" w:cs="Arial"/>
                <w:bCs/>
                <w:color w:val="000000"/>
                <w:szCs w:val="20"/>
                <w:lang w:eastAsia="bg-BG"/>
              </w:rPr>
            </w:pPr>
            <w:r w:rsidRPr="007E220E">
              <w:rPr>
                <w:bCs/>
                <w:szCs w:val="20"/>
              </w:rPr>
              <w:t>5,2</w:t>
            </w:r>
            <w:r w:rsidRPr="007E220E">
              <w:rPr>
                <w:bCs/>
                <w:szCs w:val="20"/>
                <w:lang w:val="en-US"/>
              </w:rPr>
              <w:t xml:space="preserve"> </w:t>
            </w:r>
            <w:r w:rsidRPr="007E220E">
              <w:rPr>
                <w:bCs/>
                <w:szCs w:val="20"/>
              </w:rPr>
              <w:t>пъри ↑</w:t>
            </w:r>
          </w:p>
        </w:tc>
      </w:tr>
      <w:tr w:rsidR="007E220E" w14:paraId="20AA2D58" w14:textId="77777777" w:rsidTr="007E220E">
        <w:tc>
          <w:tcPr>
            <w:tcW w:w="4236" w:type="dxa"/>
            <w:vAlign w:val="bottom"/>
          </w:tcPr>
          <w:p w14:paraId="2DC404E2" w14:textId="13A5BA64" w:rsidR="007E220E" w:rsidRPr="007E220E" w:rsidRDefault="007E220E" w:rsidP="007E220E">
            <w:pPr>
              <w:rPr>
                <w:rFonts w:eastAsia="Times New Roman" w:cs="Arial"/>
                <w:bCs/>
                <w:color w:val="000000"/>
                <w:szCs w:val="20"/>
                <w:lang w:eastAsia="bg-BG"/>
              </w:rPr>
            </w:pPr>
            <w:r w:rsidRPr="007E220E">
              <w:rPr>
                <w:bCs/>
                <w:szCs w:val="20"/>
              </w:rPr>
              <w:t xml:space="preserve">Регорафениб 160 </w:t>
            </w:r>
            <w:r w:rsidRPr="007E220E">
              <w:rPr>
                <w:bCs/>
                <w:szCs w:val="20"/>
                <w:lang w:val="en-US"/>
              </w:rPr>
              <w:t>mg</w:t>
            </w:r>
            <w:r w:rsidRPr="007E220E">
              <w:rPr>
                <w:bCs/>
                <w:szCs w:val="20"/>
                <w:lang w:val="ru-RU"/>
              </w:rPr>
              <w:t xml:space="preserve">, </w:t>
            </w:r>
            <w:r w:rsidRPr="007E220E">
              <w:rPr>
                <w:bCs/>
                <w:szCs w:val="20"/>
              </w:rPr>
              <w:t>веднъж дневно, 14 дни</w:t>
            </w:r>
          </w:p>
        </w:tc>
        <w:tc>
          <w:tcPr>
            <w:tcW w:w="2654" w:type="dxa"/>
          </w:tcPr>
          <w:p w14:paraId="53FC1EC1" w14:textId="57EC3C68" w:rsidR="007E220E" w:rsidRPr="007E220E" w:rsidRDefault="007E220E" w:rsidP="007E220E">
            <w:pPr>
              <w:rPr>
                <w:rFonts w:eastAsia="Times New Roman" w:cs="Arial"/>
                <w:bCs/>
                <w:color w:val="000000"/>
                <w:szCs w:val="20"/>
                <w:lang w:eastAsia="bg-BG"/>
              </w:rPr>
            </w:pPr>
            <w:r w:rsidRPr="007E220E">
              <w:rPr>
                <w:bCs/>
                <w:szCs w:val="20"/>
              </w:rPr>
              <w:t xml:space="preserve">5 </w:t>
            </w:r>
            <w:r w:rsidRPr="007E220E">
              <w:rPr>
                <w:bCs/>
                <w:szCs w:val="20"/>
                <w:lang w:val="en-US"/>
              </w:rPr>
              <w:t xml:space="preserve">mg, </w:t>
            </w:r>
            <w:r w:rsidRPr="007E220E">
              <w:rPr>
                <w:bCs/>
                <w:szCs w:val="20"/>
              </w:rPr>
              <w:t>единична доза</w:t>
            </w:r>
          </w:p>
        </w:tc>
        <w:tc>
          <w:tcPr>
            <w:tcW w:w="2686" w:type="dxa"/>
          </w:tcPr>
          <w:p w14:paraId="0A34A4FD" w14:textId="1CD656D2" w:rsidR="007E220E" w:rsidRPr="007E220E" w:rsidRDefault="007E220E" w:rsidP="007E220E">
            <w:pPr>
              <w:rPr>
                <w:rFonts w:eastAsia="Times New Roman" w:cs="Arial"/>
                <w:bCs/>
                <w:color w:val="000000"/>
                <w:szCs w:val="20"/>
                <w:lang w:eastAsia="bg-BG"/>
              </w:rPr>
            </w:pPr>
            <w:r w:rsidRPr="007E220E">
              <w:rPr>
                <w:bCs/>
                <w:szCs w:val="20"/>
              </w:rPr>
              <w:t>3,8 пъти</w:t>
            </w:r>
          </w:p>
        </w:tc>
      </w:tr>
      <w:tr w:rsidR="007E220E" w14:paraId="0518079A" w14:textId="77777777" w:rsidTr="007E220E">
        <w:tc>
          <w:tcPr>
            <w:tcW w:w="4236" w:type="dxa"/>
          </w:tcPr>
          <w:p w14:paraId="3B9A3B9F" w14:textId="65CD857C" w:rsidR="007E220E" w:rsidRPr="007E220E" w:rsidRDefault="007E220E" w:rsidP="007E220E">
            <w:pPr>
              <w:rPr>
                <w:rFonts w:eastAsia="Times New Roman" w:cs="Arial"/>
                <w:bCs/>
                <w:color w:val="000000"/>
                <w:szCs w:val="20"/>
                <w:lang w:eastAsia="bg-BG"/>
              </w:rPr>
            </w:pPr>
            <w:r w:rsidRPr="007E220E">
              <w:rPr>
                <w:bCs/>
                <w:szCs w:val="20"/>
              </w:rPr>
              <w:t xml:space="preserve">Атазанавир 300 </w:t>
            </w:r>
            <w:r w:rsidRPr="007E220E">
              <w:rPr>
                <w:bCs/>
                <w:szCs w:val="20"/>
                <w:lang w:val="en-US"/>
              </w:rPr>
              <w:t>mg</w:t>
            </w:r>
            <w:r w:rsidRPr="007E220E">
              <w:rPr>
                <w:bCs/>
                <w:szCs w:val="20"/>
              </w:rPr>
              <w:t xml:space="preserve">/ритонавир 100 </w:t>
            </w:r>
            <w:r w:rsidRPr="007E220E">
              <w:rPr>
                <w:bCs/>
                <w:szCs w:val="20"/>
                <w:lang w:val="en-US"/>
              </w:rPr>
              <w:t>mg</w:t>
            </w:r>
            <w:r w:rsidRPr="007E220E">
              <w:rPr>
                <w:bCs/>
                <w:szCs w:val="20"/>
                <w:lang w:val="ru-RU"/>
              </w:rPr>
              <w:t xml:space="preserve"> </w:t>
            </w:r>
            <w:r w:rsidRPr="007E220E">
              <w:rPr>
                <w:bCs/>
                <w:szCs w:val="20"/>
              </w:rPr>
              <w:t>веднъж дневно, 8 дни</w:t>
            </w:r>
          </w:p>
        </w:tc>
        <w:tc>
          <w:tcPr>
            <w:tcW w:w="2654" w:type="dxa"/>
          </w:tcPr>
          <w:p w14:paraId="26EE1483" w14:textId="1886E607" w:rsidR="007E220E" w:rsidRPr="007E220E" w:rsidRDefault="007E220E" w:rsidP="007E220E">
            <w:pPr>
              <w:rPr>
                <w:rFonts w:eastAsia="Times New Roman" w:cs="Arial"/>
                <w:bCs/>
                <w:color w:val="000000"/>
                <w:szCs w:val="20"/>
                <w:lang w:eastAsia="bg-BG"/>
              </w:rPr>
            </w:pPr>
            <w:r w:rsidRPr="007E220E">
              <w:rPr>
                <w:bCs/>
                <w:szCs w:val="20"/>
              </w:rPr>
              <w:t xml:space="preserve">10 </w:t>
            </w:r>
            <w:r w:rsidRPr="007E220E">
              <w:rPr>
                <w:bCs/>
                <w:szCs w:val="20"/>
                <w:lang w:val="en-US"/>
              </w:rPr>
              <w:t xml:space="preserve">mg, </w:t>
            </w:r>
            <w:r w:rsidRPr="007E220E">
              <w:rPr>
                <w:bCs/>
                <w:szCs w:val="20"/>
              </w:rPr>
              <w:t>единична доза</w:t>
            </w:r>
          </w:p>
        </w:tc>
        <w:tc>
          <w:tcPr>
            <w:tcW w:w="2686" w:type="dxa"/>
          </w:tcPr>
          <w:p w14:paraId="16959F96" w14:textId="0A335750" w:rsidR="007E220E" w:rsidRPr="007E220E" w:rsidRDefault="007E220E" w:rsidP="007E220E">
            <w:pPr>
              <w:rPr>
                <w:rFonts w:eastAsia="Times New Roman" w:cs="Arial"/>
                <w:bCs/>
                <w:color w:val="000000"/>
                <w:szCs w:val="20"/>
                <w:lang w:eastAsia="bg-BG"/>
              </w:rPr>
            </w:pPr>
            <w:r w:rsidRPr="007E220E">
              <w:rPr>
                <w:bCs/>
                <w:szCs w:val="20"/>
              </w:rPr>
              <w:t>3,1 пъти ↑</w:t>
            </w:r>
          </w:p>
        </w:tc>
      </w:tr>
      <w:tr w:rsidR="007E220E" w14:paraId="1791E29B" w14:textId="77777777" w:rsidTr="007E220E">
        <w:tc>
          <w:tcPr>
            <w:tcW w:w="4236" w:type="dxa"/>
            <w:vAlign w:val="bottom"/>
          </w:tcPr>
          <w:p w14:paraId="05E844B7" w14:textId="6EA95773" w:rsidR="007E220E" w:rsidRPr="007E220E" w:rsidRDefault="007E220E" w:rsidP="007E220E">
            <w:pPr>
              <w:rPr>
                <w:rFonts w:eastAsia="Times New Roman" w:cs="Arial"/>
                <w:bCs/>
                <w:color w:val="000000"/>
                <w:szCs w:val="20"/>
                <w:lang w:eastAsia="bg-BG"/>
              </w:rPr>
            </w:pPr>
            <w:r w:rsidRPr="007E220E">
              <w:rPr>
                <w:bCs/>
                <w:szCs w:val="20"/>
              </w:rPr>
              <w:t xml:space="preserve">Велпатасвир 100 </w:t>
            </w:r>
            <w:r w:rsidRPr="007E220E">
              <w:rPr>
                <w:bCs/>
                <w:szCs w:val="20"/>
                <w:lang w:val="en-US"/>
              </w:rPr>
              <w:t xml:space="preserve">mg </w:t>
            </w:r>
            <w:r w:rsidRPr="007E220E">
              <w:rPr>
                <w:bCs/>
                <w:szCs w:val="20"/>
              </w:rPr>
              <w:t>веднъж дневно</w:t>
            </w:r>
          </w:p>
        </w:tc>
        <w:tc>
          <w:tcPr>
            <w:tcW w:w="2654" w:type="dxa"/>
            <w:vAlign w:val="bottom"/>
          </w:tcPr>
          <w:p w14:paraId="3AA0C293" w14:textId="718CCA3D" w:rsidR="007E220E" w:rsidRPr="007E220E" w:rsidRDefault="007E220E" w:rsidP="007E220E">
            <w:pPr>
              <w:rPr>
                <w:rFonts w:eastAsia="Times New Roman" w:cs="Arial"/>
                <w:bCs/>
                <w:color w:val="000000"/>
                <w:szCs w:val="20"/>
                <w:lang w:eastAsia="bg-BG"/>
              </w:rPr>
            </w:pPr>
            <w:r w:rsidRPr="007E220E">
              <w:rPr>
                <w:bCs/>
                <w:szCs w:val="20"/>
              </w:rPr>
              <w:t xml:space="preserve">10 </w:t>
            </w:r>
            <w:r w:rsidRPr="007E220E">
              <w:rPr>
                <w:bCs/>
                <w:szCs w:val="20"/>
                <w:lang w:val="en-US"/>
              </w:rPr>
              <w:t xml:space="preserve">mg, </w:t>
            </w:r>
            <w:r w:rsidRPr="007E220E">
              <w:rPr>
                <w:bCs/>
                <w:szCs w:val="20"/>
              </w:rPr>
              <w:t>единична доза</w:t>
            </w:r>
          </w:p>
        </w:tc>
        <w:tc>
          <w:tcPr>
            <w:tcW w:w="2686" w:type="dxa"/>
            <w:vAlign w:val="bottom"/>
          </w:tcPr>
          <w:p w14:paraId="44554DAE" w14:textId="413782EB" w:rsidR="007E220E" w:rsidRPr="007E220E" w:rsidRDefault="007E220E" w:rsidP="007E220E">
            <w:pPr>
              <w:rPr>
                <w:rFonts w:eastAsia="Times New Roman" w:cs="Arial"/>
                <w:bCs/>
                <w:color w:val="000000"/>
                <w:szCs w:val="20"/>
                <w:lang w:eastAsia="bg-BG"/>
              </w:rPr>
            </w:pPr>
            <w:r w:rsidRPr="007E220E">
              <w:rPr>
                <w:bCs/>
                <w:szCs w:val="20"/>
              </w:rPr>
              <w:t>2,7 пъти</w:t>
            </w:r>
          </w:p>
        </w:tc>
      </w:tr>
      <w:tr w:rsidR="007E220E" w14:paraId="6139A756" w14:textId="77777777" w:rsidTr="007E220E">
        <w:tc>
          <w:tcPr>
            <w:tcW w:w="4236" w:type="dxa"/>
            <w:vAlign w:val="bottom"/>
          </w:tcPr>
          <w:p w14:paraId="09A6357C" w14:textId="77777777" w:rsidR="007E220E" w:rsidRPr="007E220E" w:rsidRDefault="007E220E" w:rsidP="007E220E">
            <w:r w:rsidRPr="007E220E">
              <w:rPr>
                <w:bCs/>
                <w:szCs w:val="20"/>
              </w:rPr>
              <w:t xml:space="preserve">Омбитасвир 25 </w:t>
            </w:r>
            <w:r w:rsidRPr="007E220E">
              <w:rPr>
                <w:bCs/>
                <w:szCs w:val="20"/>
                <w:lang w:val="en-US"/>
              </w:rPr>
              <w:t>mg</w:t>
            </w:r>
            <w:r w:rsidRPr="007E220E">
              <w:rPr>
                <w:bCs/>
                <w:szCs w:val="20"/>
              </w:rPr>
              <w:t xml:space="preserve">/париталревир 150 </w:t>
            </w:r>
            <w:r w:rsidRPr="007E220E">
              <w:rPr>
                <w:bCs/>
                <w:szCs w:val="20"/>
                <w:lang w:val="en-US"/>
              </w:rPr>
              <w:t>mg</w:t>
            </w:r>
            <w:r w:rsidRPr="007E220E">
              <w:rPr>
                <w:bCs/>
                <w:szCs w:val="20"/>
              </w:rPr>
              <w:t xml:space="preserve">/ ритонавир 100 </w:t>
            </w:r>
            <w:r w:rsidRPr="007E220E">
              <w:rPr>
                <w:bCs/>
                <w:szCs w:val="20"/>
                <w:lang w:val="en-US"/>
              </w:rPr>
              <w:t>mg</w:t>
            </w:r>
            <w:r w:rsidRPr="007E220E">
              <w:rPr>
                <w:bCs/>
                <w:szCs w:val="20"/>
              </w:rPr>
              <w:t xml:space="preserve"> веднъж дневно / дазабувир 400 </w:t>
            </w:r>
            <w:r w:rsidRPr="007E220E">
              <w:rPr>
                <w:bCs/>
                <w:szCs w:val="20"/>
                <w:lang w:val="en-US"/>
              </w:rPr>
              <w:t>mg</w:t>
            </w:r>
            <w:r w:rsidRPr="007E220E">
              <w:rPr>
                <w:bCs/>
                <w:szCs w:val="20"/>
              </w:rPr>
              <w:t xml:space="preserve"> 2 пъти</w:t>
            </w:r>
          </w:p>
          <w:p w14:paraId="52AF1858" w14:textId="485E8DCB" w:rsidR="007E220E" w:rsidRPr="007E220E" w:rsidRDefault="007E220E" w:rsidP="007E220E">
            <w:pPr>
              <w:rPr>
                <w:rFonts w:eastAsia="Times New Roman" w:cs="Arial"/>
                <w:bCs/>
                <w:color w:val="000000"/>
                <w:szCs w:val="20"/>
                <w:lang w:eastAsia="bg-BG"/>
              </w:rPr>
            </w:pPr>
            <w:r w:rsidRPr="007E220E">
              <w:rPr>
                <w:bCs/>
                <w:szCs w:val="20"/>
              </w:rPr>
              <w:t>дневно, 14 дни</w:t>
            </w:r>
          </w:p>
        </w:tc>
        <w:tc>
          <w:tcPr>
            <w:tcW w:w="2654" w:type="dxa"/>
          </w:tcPr>
          <w:p w14:paraId="2245BF1D" w14:textId="6E7283FA" w:rsidR="007E220E" w:rsidRPr="007E220E" w:rsidRDefault="007E220E" w:rsidP="007E220E">
            <w:pPr>
              <w:rPr>
                <w:rFonts w:eastAsia="Times New Roman" w:cs="Arial"/>
                <w:bCs/>
                <w:color w:val="000000"/>
                <w:szCs w:val="20"/>
                <w:lang w:eastAsia="bg-BG"/>
              </w:rPr>
            </w:pPr>
            <w:r w:rsidRPr="007E220E">
              <w:rPr>
                <w:bCs/>
                <w:szCs w:val="20"/>
              </w:rPr>
              <w:t xml:space="preserve">5 </w:t>
            </w:r>
            <w:r w:rsidRPr="007E220E">
              <w:rPr>
                <w:bCs/>
                <w:szCs w:val="20"/>
                <w:lang w:val="en-US"/>
              </w:rPr>
              <w:t xml:space="preserve">mg, </w:t>
            </w:r>
            <w:r w:rsidRPr="007E220E">
              <w:rPr>
                <w:bCs/>
                <w:szCs w:val="20"/>
              </w:rPr>
              <w:t>единична доза</w:t>
            </w:r>
          </w:p>
        </w:tc>
        <w:tc>
          <w:tcPr>
            <w:tcW w:w="2686" w:type="dxa"/>
          </w:tcPr>
          <w:p w14:paraId="68C17886" w14:textId="3A3E08DA" w:rsidR="007E220E" w:rsidRPr="007E220E" w:rsidRDefault="007E220E" w:rsidP="007E220E">
            <w:pPr>
              <w:rPr>
                <w:rFonts w:eastAsia="Times New Roman" w:cs="Arial"/>
                <w:bCs/>
                <w:color w:val="000000"/>
                <w:szCs w:val="20"/>
                <w:lang w:eastAsia="bg-BG"/>
              </w:rPr>
            </w:pPr>
            <w:r w:rsidRPr="007E220E">
              <w:rPr>
                <w:bCs/>
                <w:szCs w:val="20"/>
              </w:rPr>
              <w:t>2,6 пъти</w:t>
            </w:r>
          </w:p>
        </w:tc>
      </w:tr>
      <w:tr w:rsidR="007E220E" w14:paraId="07BDFFC6" w14:textId="77777777" w:rsidTr="003772BF">
        <w:tc>
          <w:tcPr>
            <w:tcW w:w="4236" w:type="dxa"/>
          </w:tcPr>
          <w:p w14:paraId="632A195A" w14:textId="77777777" w:rsidR="007E220E" w:rsidRPr="007E220E" w:rsidRDefault="007E220E" w:rsidP="007E220E"/>
          <w:p w14:paraId="7BD57557" w14:textId="611B7FC3" w:rsidR="007E220E" w:rsidRPr="007E220E" w:rsidRDefault="007E220E" w:rsidP="007E220E">
            <w:pPr>
              <w:rPr>
                <w:rFonts w:eastAsia="Times New Roman" w:cs="Arial"/>
                <w:bCs/>
                <w:color w:val="000000"/>
                <w:szCs w:val="20"/>
                <w:lang w:eastAsia="bg-BG"/>
              </w:rPr>
            </w:pPr>
            <w:r w:rsidRPr="007E220E">
              <w:rPr>
                <w:bCs/>
                <w:szCs w:val="20"/>
              </w:rPr>
              <w:t xml:space="preserve">Гразопревир 200 </w:t>
            </w:r>
            <w:r w:rsidRPr="007E220E">
              <w:rPr>
                <w:bCs/>
                <w:szCs w:val="20"/>
                <w:lang w:val="en-US"/>
              </w:rPr>
              <w:t>mg</w:t>
            </w:r>
            <w:r w:rsidRPr="007E220E">
              <w:rPr>
                <w:bCs/>
                <w:szCs w:val="20"/>
              </w:rPr>
              <w:t xml:space="preserve">/елбасвир 50 </w:t>
            </w:r>
            <w:r w:rsidRPr="007E220E">
              <w:rPr>
                <w:bCs/>
                <w:szCs w:val="20"/>
                <w:lang w:val="en-US"/>
              </w:rPr>
              <w:t>mg</w:t>
            </w:r>
            <w:r w:rsidRPr="007E220E">
              <w:rPr>
                <w:bCs/>
                <w:szCs w:val="20"/>
                <w:lang w:val="ru-RU"/>
              </w:rPr>
              <w:t xml:space="preserve"> </w:t>
            </w:r>
            <w:r w:rsidRPr="007E220E">
              <w:rPr>
                <w:bCs/>
                <w:szCs w:val="20"/>
              </w:rPr>
              <w:t>веднъж дневно, 11 дни</w:t>
            </w:r>
          </w:p>
        </w:tc>
        <w:tc>
          <w:tcPr>
            <w:tcW w:w="2654" w:type="dxa"/>
            <w:vAlign w:val="center"/>
          </w:tcPr>
          <w:p w14:paraId="47038869" w14:textId="77015585" w:rsidR="007E220E" w:rsidRPr="007E220E" w:rsidRDefault="007E220E" w:rsidP="007E220E">
            <w:pPr>
              <w:rPr>
                <w:rFonts w:eastAsia="Times New Roman" w:cs="Arial"/>
                <w:bCs/>
                <w:color w:val="000000"/>
                <w:szCs w:val="20"/>
                <w:lang w:eastAsia="bg-BG"/>
              </w:rPr>
            </w:pPr>
            <w:r w:rsidRPr="007E220E">
              <w:rPr>
                <w:bCs/>
                <w:szCs w:val="20"/>
              </w:rPr>
              <w:t xml:space="preserve">10 </w:t>
            </w:r>
            <w:r w:rsidRPr="007E220E">
              <w:rPr>
                <w:bCs/>
                <w:szCs w:val="20"/>
                <w:lang w:val="en-US"/>
              </w:rPr>
              <w:t xml:space="preserve">mg, </w:t>
            </w:r>
            <w:r w:rsidRPr="007E220E">
              <w:rPr>
                <w:bCs/>
                <w:szCs w:val="20"/>
              </w:rPr>
              <w:t>единична доза</w:t>
            </w:r>
          </w:p>
        </w:tc>
        <w:tc>
          <w:tcPr>
            <w:tcW w:w="2686" w:type="dxa"/>
            <w:vAlign w:val="center"/>
          </w:tcPr>
          <w:p w14:paraId="6D94FD15" w14:textId="093ACEEC" w:rsidR="007E220E" w:rsidRPr="007E220E" w:rsidRDefault="007E220E" w:rsidP="007E220E">
            <w:pPr>
              <w:rPr>
                <w:rFonts w:eastAsia="Times New Roman" w:cs="Arial"/>
                <w:bCs/>
                <w:color w:val="000000"/>
                <w:szCs w:val="20"/>
                <w:lang w:eastAsia="bg-BG"/>
              </w:rPr>
            </w:pPr>
            <w:r w:rsidRPr="007E220E">
              <w:rPr>
                <w:bCs/>
                <w:szCs w:val="20"/>
              </w:rPr>
              <w:t>2,3 пъти</w:t>
            </w:r>
          </w:p>
        </w:tc>
      </w:tr>
      <w:tr w:rsidR="007E220E" w14:paraId="79E5A4D4" w14:textId="77777777" w:rsidTr="007E220E">
        <w:tc>
          <w:tcPr>
            <w:tcW w:w="4236" w:type="dxa"/>
          </w:tcPr>
          <w:p w14:paraId="1F0A0D33" w14:textId="3020F419" w:rsidR="007E220E" w:rsidRPr="007E220E" w:rsidRDefault="007E220E" w:rsidP="007E220E">
            <w:pPr>
              <w:rPr>
                <w:rFonts w:eastAsia="Times New Roman" w:cs="Arial"/>
                <w:bCs/>
                <w:color w:val="000000"/>
                <w:szCs w:val="20"/>
                <w:lang w:eastAsia="bg-BG"/>
              </w:rPr>
            </w:pPr>
            <w:r w:rsidRPr="007E220E">
              <w:rPr>
                <w:bCs/>
                <w:szCs w:val="20"/>
              </w:rPr>
              <w:t xml:space="preserve">Глекапревир 400 </w:t>
            </w:r>
            <w:r w:rsidRPr="007E220E">
              <w:rPr>
                <w:bCs/>
                <w:szCs w:val="20"/>
                <w:lang w:val="en-US"/>
              </w:rPr>
              <w:t>mg</w:t>
            </w:r>
            <w:r w:rsidRPr="007E220E">
              <w:rPr>
                <w:bCs/>
                <w:szCs w:val="20"/>
              </w:rPr>
              <w:t xml:space="preserve">/пибрентасвир 120 </w:t>
            </w:r>
            <w:r w:rsidRPr="007E220E">
              <w:rPr>
                <w:bCs/>
                <w:szCs w:val="20"/>
                <w:lang w:val="en-US"/>
              </w:rPr>
              <w:t>mg</w:t>
            </w:r>
            <w:r w:rsidRPr="007E220E">
              <w:rPr>
                <w:bCs/>
                <w:szCs w:val="20"/>
                <w:lang w:val="ru-RU"/>
              </w:rPr>
              <w:t xml:space="preserve"> </w:t>
            </w:r>
            <w:r w:rsidRPr="007E220E">
              <w:rPr>
                <w:bCs/>
                <w:szCs w:val="20"/>
              </w:rPr>
              <w:t>веднъж дневно, 7 дни</w:t>
            </w:r>
          </w:p>
        </w:tc>
        <w:tc>
          <w:tcPr>
            <w:tcW w:w="2654" w:type="dxa"/>
          </w:tcPr>
          <w:p w14:paraId="5FA90ED4" w14:textId="7B413E0B" w:rsidR="007E220E" w:rsidRPr="007E220E" w:rsidRDefault="007E220E" w:rsidP="007E220E">
            <w:pPr>
              <w:rPr>
                <w:rFonts w:eastAsia="Times New Roman" w:cs="Arial"/>
                <w:bCs/>
                <w:color w:val="000000"/>
                <w:szCs w:val="20"/>
                <w:lang w:eastAsia="bg-BG"/>
              </w:rPr>
            </w:pPr>
            <w:r w:rsidRPr="007E220E">
              <w:rPr>
                <w:bCs/>
                <w:szCs w:val="20"/>
              </w:rPr>
              <w:t xml:space="preserve">5 </w:t>
            </w:r>
            <w:r w:rsidRPr="007E220E">
              <w:rPr>
                <w:bCs/>
                <w:szCs w:val="20"/>
                <w:lang w:val="en-US"/>
              </w:rPr>
              <w:t xml:space="preserve">mg </w:t>
            </w:r>
            <w:r w:rsidRPr="007E220E">
              <w:rPr>
                <w:bCs/>
                <w:szCs w:val="20"/>
              </w:rPr>
              <w:t>веднъж дневно, 7 дни</w:t>
            </w:r>
          </w:p>
        </w:tc>
        <w:tc>
          <w:tcPr>
            <w:tcW w:w="2686" w:type="dxa"/>
          </w:tcPr>
          <w:p w14:paraId="73AAC8C8" w14:textId="10F61978" w:rsidR="007E220E" w:rsidRPr="007E220E" w:rsidRDefault="007E220E" w:rsidP="007E220E">
            <w:pPr>
              <w:rPr>
                <w:rFonts w:eastAsia="Times New Roman" w:cs="Arial"/>
                <w:bCs/>
                <w:color w:val="000000"/>
                <w:szCs w:val="20"/>
                <w:lang w:eastAsia="bg-BG"/>
              </w:rPr>
            </w:pPr>
            <w:r w:rsidRPr="007E220E">
              <w:rPr>
                <w:bCs/>
                <w:szCs w:val="20"/>
              </w:rPr>
              <w:t>2,2 пъти</w:t>
            </w:r>
          </w:p>
        </w:tc>
      </w:tr>
      <w:tr w:rsidR="007E220E" w14:paraId="7F9B069F" w14:textId="77777777" w:rsidTr="007E220E">
        <w:tc>
          <w:tcPr>
            <w:tcW w:w="4236" w:type="dxa"/>
          </w:tcPr>
          <w:p w14:paraId="79F142BC" w14:textId="3ACC753E" w:rsidR="007E220E" w:rsidRPr="007E220E" w:rsidRDefault="007E220E" w:rsidP="007E220E">
            <w:pPr>
              <w:rPr>
                <w:rFonts w:eastAsia="Times New Roman" w:cs="Arial"/>
                <w:bCs/>
                <w:color w:val="000000"/>
                <w:szCs w:val="20"/>
                <w:lang w:eastAsia="bg-BG"/>
              </w:rPr>
            </w:pPr>
            <w:r w:rsidRPr="007E220E">
              <w:rPr>
                <w:bCs/>
                <w:szCs w:val="20"/>
              </w:rPr>
              <w:t xml:space="preserve">Лопинавир 400 </w:t>
            </w:r>
            <w:r w:rsidRPr="007E220E">
              <w:rPr>
                <w:bCs/>
                <w:szCs w:val="20"/>
                <w:lang w:val="en-US"/>
              </w:rPr>
              <w:t>mg</w:t>
            </w:r>
            <w:r w:rsidRPr="007E220E">
              <w:rPr>
                <w:bCs/>
                <w:szCs w:val="20"/>
              </w:rPr>
              <w:t xml:space="preserve">/ритонавир 100 </w:t>
            </w:r>
            <w:r w:rsidRPr="007E220E">
              <w:rPr>
                <w:bCs/>
                <w:szCs w:val="20"/>
                <w:lang w:val="en-US"/>
              </w:rPr>
              <w:t>mg</w:t>
            </w:r>
            <w:r w:rsidRPr="007E220E">
              <w:rPr>
                <w:bCs/>
                <w:szCs w:val="20"/>
                <w:lang w:val="ru-RU"/>
              </w:rPr>
              <w:t xml:space="preserve"> </w:t>
            </w:r>
            <w:r w:rsidRPr="007E220E">
              <w:rPr>
                <w:bCs/>
                <w:szCs w:val="20"/>
              </w:rPr>
              <w:t>два пъти на ден, 17 дни</w:t>
            </w:r>
          </w:p>
        </w:tc>
        <w:tc>
          <w:tcPr>
            <w:tcW w:w="2654" w:type="dxa"/>
          </w:tcPr>
          <w:p w14:paraId="379A31E4" w14:textId="50BAAD61" w:rsidR="007E220E" w:rsidRPr="007E220E" w:rsidRDefault="007E220E" w:rsidP="007E220E">
            <w:pPr>
              <w:rPr>
                <w:rFonts w:eastAsia="Times New Roman" w:cs="Arial"/>
                <w:bCs/>
                <w:color w:val="000000"/>
                <w:szCs w:val="20"/>
                <w:lang w:eastAsia="bg-BG"/>
              </w:rPr>
            </w:pPr>
            <w:r w:rsidRPr="007E220E">
              <w:rPr>
                <w:bCs/>
                <w:szCs w:val="20"/>
              </w:rPr>
              <w:t xml:space="preserve">20 </w:t>
            </w:r>
            <w:r w:rsidRPr="007E220E">
              <w:rPr>
                <w:bCs/>
                <w:szCs w:val="20"/>
                <w:lang w:val="en-US"/>
              </w:rPr>
              <w:t xml:space="preserve">mg </w:t>
            </w:r>
            <w:r w:rsidRPr="007E220E">
              <w:rPr>
                <w:bCs/>
                <w:szCs w:val="20"/>
              </w:rPr>
              <w:t>веднъж дневно, 7 дни</w:t>
            </w:r>
          </w:p>
        </w:tc>
        <w:tc>
          <w:tcPr>
            <w:tcW w:w="2686" w:type="dxa"/>
          </w:tcPr>
          <w:p w14:paraId="3178BA97" w14:textId="249A449F" w:rsidR="007E220E" w:rsidRPr="007E220E" w:rsidRDefault="007E220E" w:rsidP="007E220E">
            <w:pPr>
              <w:rPr>
                <w:rFonts w:eastAsia="Times New Roman" w:cs="Arial"/>
                <w:bCs/>
                <w:color w:val="000000"/>
                <w:szCs w:val="20"/>
                <w:lang w:eastAsia="bg-BG"/>
              </w:rPr>
            </w:pPr>
            <w:r w:rsidRPr="007E220E">
              <w:rPr>
                <w:bCs/>
                <w:szCs w:val="20"/>
              </w:rPr>
              <w:t>2,1 пъти ↑</w:t>
            </w:r>
          </w:p>
        </w:tc>
      </w:tr>
      <w:tr w:rsidR="007E220E" w14:paraId="24AA6EE5" w14:textId="77777777" w:rsidTr="003473FD">
        <w:tc>
          <w:tcPr>
            <w:tcW w:w="4236" w:type="dxa"/>
            <w:vAlign w:val="bottom"/>
          </w:tcPr>
          <w:p w14:paraId="795A04CF" w14:textId="72E6214D" w:rsidR="007E220E" w:rsidRPr="007E220E" w:rsidRDefault="007E220E" w:rsidP="007E220E">
            <w:pPr>
              <w:rPr>
                <w:rFonts w:eastAsia="Times New Roman" w:cs="Arial"/>
                <w:bCs/>
                <w:color w:val="000000"/>
                <w:szCs w:val="20"/>
                <w:lang w:eastAsia="bg-BG"/>
              </w:rPr>
            </w:pPr>
            <w:r w:rsidRPr="007E220E">
              <w:rPr>
                <w:bCs/>
                <w:szCs w:val="20"/>
              </w:rPr>
              <w:lastRenderedPageBreak/>
              <w:t xml:space="preserve">Клопидогрел 300 </w:t>
            </w:r>
            <w:r w:rsidRPr="007E220E">
              <w:rPr>
                <w:bCs/>
                <w:szCs w:val="20"/>
                <w:lang w:val="en-US"/>
              </w:rPr>
              <w:t>mg</w:t>
            </w:r>
            <w:r w:rsidRPr="007E220E">
              <w:rPr>
                <w:bCs/>
                <w:szCs w:val="20"/>
                <w:lang w:val="ru-RU"/>
              </w:rPr>
              <w:t xml:space="preserve"> </w:t>
            </w:r>
            <w:r w:rsidRPr="007E220E">
              <w:rPr>
                <w:bCs/>
                <w:szCs w:val="20"/>
              </w:rPr>
              <w:t xml:space="preserve">натоварваща доза, последвана от 75 </w:t>
            </w:r>
            <w:r w:rsidRPr="007E220E">
              <w:rPr>
                <w:bCs/>
                <w:szCs w:val="20"/>
                <w:lang w:val="en-US"/>
              </w:rPr>
              <w:t>mg</w:t>
            </w:r>
            <w:r w:rsidRPr="007E220E">
              <w:rPr>
                <w:bCs/>
                <w:szCs w:val="20"/>
                <w:lang w:val="ru-RU"/>
              </w:rPr>
              <w:t xml:space="preserve"> </w:t>
            </w:r>
            <w:r w:rsidRPr="007E220E">
              <w:rPr>
                <w:bCs/>
                <w:szCs w:val="20"/>
              </w:rPr>
              <w:t>на 24 часа</w:t>
            </w:r>
          </w:p>
        </w:tc>
        <w:tc>
          <w:tcPr>
            <w:tcW w:w="2654" w:type="dxa"/>
          </w:tcPr>
          <w:p w14:paraId="0D776D91" w14:textId="01986ADB" w:rsidR="007E220E" w:rsidRPr="007E220E" w:rsidRDefault="007E220E" w:rsidP="007E220E">
            <w:pPr>
              <w:rPr>
                <w:rFonts w:eastAsia="Times New Roman" w:cs="Arial"/>
                <w:bCs/>
                <w:color w:val="000000"/>
                <w:szCs w:val="20"/>
                <w:lang w:eastAsia="bg-BG"/>
              </w:rPr>
            </w:pPr>
            <w:r w:rsidRPr="007E220E">
              <w:rPr>
                <w:bCs/>
                <w:szCs w:val="20"/>
              </w:rPr>
              <w:t xml:space="preserve">20 </w:t>
            </w:r>
            <w:r w:rsidRPr="007E220E">
              <w:rPr>
                <w:bCs/>
                <w:szCs w:val="20"/>
                <w:lang w:val="en-US"/>
              </w:rPr>
              <w:t xml:space="preserve">mg, </w:t>
            </w:r>
            <w:r w:rsidRPr="007E220E">
              <w:rPr>
                <w:bCs/>
                <w:szCs w:val="20"/>
              </w:rPr>
              <w:t>единична доза</w:t>
            </w:r>
          </w:p>
        </w:tc>
        <w:tc>
          <w:tcPr>
            <w:tcW w:w="2686" w:type="dxa"/>
          </w:tcPr>
          <w:p w14:paraId="39B30A99" w14:textId="4F480BFB" w:rsidR="007E220E" w:rsidRPr="007E220E" w:rsidRDefault="007E220E" w:rsidP="007E220E">
            <w:pPr>
              <w:rPr>
                <w:rFonts w:eastAsia="Times New Roman" w:cs="Arial"/>
                <w:bCs/>
                <w:color w:val="000000"/>
                <w:szCs w:val="20"/>
                <w:lang w:eastAsia="bg-BG"/>
              </w:rPr>
            </w:pPr>
            <w:r w:rsidRPr="007E220E">
              <w:rPr>
                <w:bCs/>
                <w:szCs w:val="20"/>
              </w:rPr>
              <w:t>2 пъти ↑</w:t>
            </w:r>
          </w:p>
        </w:tc>
      </w:tr>
      <w:tr w:rsidR="007E220E" w14:paraId="073C3DCF" w14:textId="77777777" w:rsidTr="007E220E">
        <w:tc>
          <w:tcPr>
            <w:tcW w:w="4236" w:type="dxa"/>
          </w:tcPr>
          <w:p w14:paraId="396CFC77" w14:textId="1A006D69" w:rsidR="007E220E" w:rsidRPr="007E220E" w:rsidRDefault="007E220E" w:rsidP="007E220E">
            <w:pPr>
              <w:rPr>
                <w:rFonts w:eastAsia="Times New Roman" w:cs="Arial"/>
                <w:bCs/>
                <w:color w:val="000000"/>
                <w:szCs w:val="20"/>
                <w:lang w:eastAsia="bg-BG"/>
              </w:rPr>
            </w:pPr>
            <w:r w:rsidRPr="007E220E">
              <w:rPr>
                <w:bCs/>
                <w:szCs w:val="20"/>
              </w:rPr>
              <w:t xml:space="preserve">Гемфиброзил 600 </w:t>
            </w:r>
            <w:r w:rsidRPr="007E220E">
              <w:rPr>
                <w:bCs/>
                <w:szCs w:val="20"/>
                <w:lang w:val="en-US"/>
              </w:rPr>
              <w:t>mg</w:t>
            </w:r>
            <w:r w:rsidRPr="007E220E">
              <w:rPr>
                <w:bCs/>
                <w:szCs w:val="20"/>
                <w:lang w:val="ru-RU"/>
              </w:rPr>
              <w:t xml:space="preserve"> </w:t>
            </w:r>
            <w:r w:rsidRPr="007E220E">
              <w:rPr>
                <w:bCs/>
                <w:szCs w:val="20"/>
              </w:rPr>
              <w:t>два пъти на ден, 7 дни</w:t>
            </w:r>
          </w:p>
        </w:tc>
        <w:tc>
          <w:tcPr>
            <w:tcW w:w="2654" w:type="dxa"/>
          </w:tcPr>
          <w:p w14:paraId="251E40B1" w14:textId="1D721031" w:rsidR="007E220E" w:rsidRPr="007E220E" w:rsidRDefault="007E220E" w:rsidP="007E220E">
            <w:pPr>
              <w:rPr>
                <w:rFonts w:eastAsia="Times New Roman" w:cs="Arial"/>
                <w:bCs/>
                <w:color w:val="000000"/>
                <w:szCs w:val="20"/>
                <w:lang w:eastAsia="bg-BG"/>
              </w:rPr>
            </w:pPr>
            <w:r w:rsidRPr="007E220E">
              <w:rPr>
                <w:bCs/>
                <w:szCs w:val="20"/>
              </w:rPr>
              <w:t xml:space="preserve">80 </w:t>
            </w:r>
            <w:r w:rsidRPr="007E220E">
              <w:rPr>
                <w:bCs/>
                <w:szCs w:val="20"/>
                <w:lang w:val="en-US"/>
              </w:rPr>
              <w:t xml:space="preserve">mg, </w:t>
            </w:r>
            <w:r w:rsidRPr="007E220E">
              <w:rPr>
                <w:bCs/>
                <w:szCs w:val="20"/>
              </w:rPr>
              <w:t>единична доза</w:t>
            </w:r>
          </w:p>
        </w:tc>
        <w:tc>
          <w:tcPr>
            <w:tcW w:w="2686" w:type="dxa"/>
          </w:tcPr>
          <w:p w14:paraId="14A48984" w14:textId="3BE3E05F" w:rsidR="007E220E" w:rsidRPr="007E220E" w:rsidRDefault="007E220E" w:rsidP="007E220E">
            <w:pPr>
              <w:rPr>
                <w:rFonts w:eastAsia="Times New Roman" w:cs="Arial"/>
                <w:bCs/>
                <w:color w:val="000000"/>
                <w:szCs w:val="20"/>
                <w:lang w:eastAsia="bg-BG"/>
              </w:rPr>
            </w:pPr>
            <w:r w:rsidRPr="007E220E">
              <w:rPr>
                <w:bCs/>
                <w:szCs w:val="20"/>
              </w:rPr>
              <w:t>1,9 пъти ↑</w:t>
            </w:r>
          </w:p>
        </w:tc>
      </w:tr>
      <w:tr w:rsidR="007E220E" w14:paraId="7333B896" w14:textId="77777777" w:rsidTr="00B929AC">
        <w:tc>
          <w:tcPr>
            <w:tcW w:w="9576" w:type="dxa"/>
            <w:gridSpan w:val="3"/>
          </w:tcPr>
          <w:p w14:paraId="5BEB76A6" w14:textId="4122AFFB" w:rsidR="007E220E" w:rsidRPr="007E220E" w:rsidRDefault="007E220E" w:rsidP="0030322F">
            <w:pPr>
              <w:rPr>
                <w:rFonts w:eastAsia="Times New Roman" w:cs="Arial"/>
                <w:b/>
                <w:bCs/>
                <w:color w:val="000000"/>
                <w:szCs w:val="20"/>
                <w:lang w:eastAsia="bg-BG"/>
              </w:rPr>
            </w:pPr>
            <w:r w:rsidRPr="007E220E">
              <w:rPr>
                <w:b/>
                <w:bCs/>
                <w:szCs w:val="20"/>
              </w:rPr>
              <w:t xml:space="preserve">Повишаване на </w:t>
            </w:r>
            <w:r w:rsidRPr="007E220E">
              <w:rPr>
                <w:b/>
                <w:bCs/>
                <w:szCs w:val="20"/>
                <w:lang w:val="en-US"/>
              </w:rPr>
              <w:t>AUC</w:t>
            </w:r>
            <w:r w:rsidRPr="007E220E">
              <w:rPr>
                <w:b/>
                <w:bCs/>
                <w:szCs w:val="20"/>
                <w:lang w:val="ru-RU"/>
              </w:rPr>
              <w:t xml:space="preserve"> </w:t>
            </w:r>
            <w:r w:rsidRPr="007E220E">
              <w:rPr>
                <w:b/>
                <w:bCs/>
                <w:szCs w:val="20"/>
              </w:rPr>
              <w:t>на розувастатин по-малко от 2 пъти</w:t>
            </w:r>
          </w:p>
        </w:tc>
      </w:tr>
      <w:tr w:rsidR="007E220E" w14:paraId="231D1893" w14:textId="77777777" w:rsidTr="007E220E">
        <w:tc>
          <w:tcPr>
            <w:tcW w:w="4236" w:type="dxa"/>
          </w:tcPr>
          <w:p w14:paraId="223D3D1E" w14:textId="38D6F80E" w:rsidR="007E220E" w:rsidRPr="007E220E" w:rsidRDefault="007E220E" w:rsidP="007E220E">
            <w:pPr>
              <w:rPr>
                <w:rFonts w:eastAsia="Times New Roman" w:cs="Arial"/>
                <w:bCs/>
                <w:color w:val="000000"/>
                <w:szCs w:val="20"/>
                <w:lang w:eastAsia="bg-BG"/>
              </w:rPr>
            </w:pPr>
            <w:r w:rsidRPr="007E220E">
              <w:rPr>
                <w:bCs/>
                <w:szCs w:val="20"/>
              </w:rPr>
              <w:t xml:space="preserve">Елтромбопаг 75 </w:t>
            </w:r>
            <w:r w:rsidRPr="007E220E">
              <w:rPr>
                <w:bCs/>
                <w:szCs w:val="20"/>
                <w:lang w:val="en-US"/>
              </w:rPr>
              <w:t>mg</w:t>
            </w:r>
            <w:r w:rsidRPr="007E220E">
              <w:rPr>
                <w:bCs/>
                <w:szCs w:val="20"/>
                <w:lang w:val="ru-RU"/>
              </w:rPr>
              <w:t xml:space="preserve"> </w:t>
            </w:r>
            <w:r w:rsidRPr="007E220E">
              <w:rPr>
                <w:bCs/>
                <w:szCs w:val="20"/>
              </w:rPr>
              <w:t>веднъж дневно, 5 дни</w:t>
            </w:r>
          </w:p>
        </w:tc>
        <w:tc>
          <w:tcPr>
            <w:tcW w:w="2654" w:type="dxa"/>
          </w:tcPr>
          <w:p w14:paraId="225E6DA9" w14:textId="29F6F2CD" w:rsidR="007E220E" w:rsidRPr="007E220E" w:rsidRDefault="007E220E" w:rsidP="007E220E">
            <w:pPr>
              <w:rPr>
                <w:rFonts w:eastAsia="Times New Roman" w:cs="Arial"/>
                <w:bCs/>
                <w:color w:val="000000"/>
                <w:szCs w:val="20"/>
                <w:lang w:eastAsia="bg-BG"/>
              </w:rPr>
            </w:pPr>
            <w:r w:rsidRPr="007E220E">
              <w:rPr>
                <w:bCs/>
                <w:szCs w:val="20"/>
              </w:rPr>
              <w:t xml:space="preserve">10 </w:t>
            </w:r>
            <w:r w:rsidRPr="007E220E">
              <w:rPr>
                <w:bCs/>
                <w:szCs w:val="20"/>
                <w:lang w:val="en-US"/>
              </w:rPr>
              <w:t xml:space="preserve">mg, </w:t>
            </w:r>
            <w:r w:rsidRPr="007E220E">
              <w:rPr>
                <w:bCs/>
                <w:szCs w:val="20"/>
              </w:rPr>
              <w:t>единична доза</w:t>
            </w:r>
          </w:p>
        </w:tc>
        <w:tc>
          <w:tcPr>
            <w:tcW w:w="2686" w:type="dxa"/>
          </w:tcPr>
          <w:p w14:paraId="1BA1A3FE" w14:textId="01CD616B" w:rsidR="007E220E" w:rsidRPr="007E220E" w:rsidRDefault="007E220E" w:rsidP="007E220E">
            <w:pPr>
              <w:rPr>
                <w:rFonts w:eastAsia="Times New Roman" w:cs="Arial"/>
                <w:bCs/>
                <w:color w:val="000000"/>
                <w:szCs w:val="20"/>
                <w:lang w:eastAsia="bg-BG"/>
              </w:rPr>
            </w:pPr>
            <w:r w:rsidRPr="007E220E">
              <w:rPr>
                <w:bCs/>
                <w:szCs w:val="20"/>
              </w:rPr>
              <w:t>1,6 пъти ↑</w:t>
            </w:r>
          </w:p>
        </w:tc>
      </w:tr>
      <w:tr w:rsidR="007E220E" w14:paraId="79EF1A4E" w14:textId="77777777" w:rsidTr="007E220E">
        <w:tc>
          <w:tcPr>
            <w:tcW w:w="4236" w:type="dxa"/>
          </w:tcPr>
          <w:p w14:paraId="2E4475F4" w14:textId="3F1EE92A" w:rsidR="007E220E" w:rsidRPr="007E220E" w:rsidRDefault="007E220E" w:rsidP="007E220E">
            <w:pPr>
              <w:rPr>
                <w:rFonts w:eastAsia="Times New Roman" w:cs="Arial"/>
                <w:bCs/>
                <w:color w:val="000000"/>
                <w:szCs w:val="20"/>
                <w:lang w:eastAsia="bg-BG"/>
              </w:rPr>
            </w:pPr>
            <w:r w:rsidRPr="007E220E">
              <w:rPr>
                <w:bCs/>
                <w:szCs w:val="20"/>
              </w:rPr>
              <w:t xml:space="preserve">Дарунавир 600 </w:t>
            </w:r>
            <w:r w:rsidRPr="007E220E">
              <w:rPr>
                <w:bCs/>
                <w:szCs w:val="20"/>
                <w:lang w:val="en-US"/>
              </w:rPr>
              <w:t>mg</w:t>
            </w:r>
            <w:r w:rsidRPr="007E220E">
              <w:rPr>
                <w:bCs/>
                <w:szCs w:val="20"/>
              </w:rPr>
              <w:t xml:space="preserve">/ритонавир 100 </w:t>
            </w:r>
            <w:r w:rsidRPr="007E220E">
              <w:rPr>
                <w:bCs/>
                <w:szCs w:val="20"/>
                <w:lang w:val="en-US"/>
              </w:rPr>
              <w:t>mg</w:t>
            </w:r>
            <w:r w:rsidRPr="007E220E">
              <w:rPr>
                <w:bCs/>
                <w:szCs w:val="20"/>
                <w:lang w:val="ru-RU"/>
              </w:rPr>
              <w:t xml:space="preserve"> </w:t>
            </w:r>
            <w:r w:rsidRPr="007E220E">
              <w:rPr>
                <w:bCs/>
                <w:szCs w:val="20"/>
              </w:rPr>
              <w:t>два пъти на ден, 7 дни</w:t>
            </w:r>
          </w:p>
        </w:tc>
        <w:tc>
          <w:tcPr>
            <w:tcW w:w="2654" w:type="dxa"/>
          </w:tcPr>
          <w:p w14:paraId="136DCE1C" w14:textId="1FE3B8F1" w:rsidR="007E220E" w:rsidRPr="007E220E" w:rsidRDefault="007E220E" w:rsidP="007E220E">
            <w:pPr>
              <w:rPr>
                <w:rFonts w:eastAsia="Times New Roman" w:cs="Arial"/>
                <w:bCs/>
                <w:color w:val="000000"/>
                <w:szCs w:val="20"/>
                <w:lang w:eastAsia="bg-BG"/>
              </w:rPr>
            </w:pPr>
            <w:r w:rsidRPr="007E220E">
              <w:rPr>
                <w:bCs/>
                <w:szCs w:val="20"/>
              </w:rPr>
              <w:t xml:space="preserve">10 </w:t>
            </w:r>
            <w:r w:rsidRPr="007E220E">
              <w:rPr>
                <w:bCs/>
                <w:szCs w:val="20"/>
                <w:lang w:val="en-US"/>
              </w:rPr>
              <w:t xml:space="preserve">mg </w:t>
            </w:r>
            <w:r w:rsidRPr="007E220E">
              <w:rPr>
                <w:bCs/>
                <w:szCs w:val="20"/>
              </w:rPr>
              <w:t>веднъж дневно, 7 дни</w:t>
            </w:r>
          </w:p>
        </w:tc>
        <w:tc>
          <w:tcPr>
            <w:tcW w:w="2686" w:type="dxa"/>
          </w:tcPr>
          <w:p w14:paraId="7688D20C" w14:textId="7E3AC75E" w:rsidR="007E220E" w:rsidRPr="007E220E" w:rsidRDefault="007E220E" w:rsidP="007E220E">
            <w:pPr>
              <w:rPr>
                <w:rFonts w:eastAsia="Times New Roman" w:cs="Arial"/>
                <w:bCs/>
                <w:color w:val="000000"/>
                <w:szCs w:val="20"/>
                <w:lang w:eastAsia="bg-BG"/>
              </w:rPr>
            </w:pPr>
            <w:r w:rsidRPr="007E220E">
              <w:rPr>
                <w:bCs/>
                <w:szCs w:val="20"/>
              </w:rPr>
              <w:t>1,5 пъти ↑</w:t>
            </w:r>
          </w:p>
        </w:tc>
      </w:tr>
      <w:tr w:rsidR="007E220E" w14:paraId="359674CE" w14:textId="77777777" w:rsidTr="007E220E">
        <w:tc>
          <w:tcPr>
            <w:tcW w:w="4236" w:type="dxa"/>
          </w:tcPr>
          <w:p w14:paraId="64D11D97" w14:textId="2FFF6ED7" w:rsidR="007E220E" w:rsidRPr="007E220E" w:rsidRDefault="007E220E" w:rsidP="007E220E">
            <w:pPr>
              <w:rPr>
                <w:rFonts w:eastAsia="Times New Roman" w:cs="Arial"/>
                <w:bCs/>
                <w:color w:val="000000"/>
                <w:szCs w:val="20"/>
                <w:lang w:eastAsia="bg-BG"/>
              </w:rPr>
            </w:pPr>
            <w:r w:rsidRPr="007E220E">
              <w:rPr>
                <w:bCs/>
                <w:szCs w:val="20"/>
              </w:rPr>
              <w:t xml:space="preserve">Типранавир 500 </w:t>
            </w:r>
            <w:r w:rsidRPr="007E220E">
              <w:rPr>
                <w:bCs/>
                <w:szCs w:val="20"/>
                <w:lang w:val="en-US"/>
              </w:rPr>
              <w:t>mg</w:t>
            </w:r>
            <w:r w:rsidRPr="007E220E">
              <w:rPr>
                <w:bCs/>
                <w:szCs w:val="20"/>
              </w:rPr>
              <w:t xml:space="preserve">/ритонавир 200 </w:t>
            </w:r>
            <w:r w:rsidRPr="007E220E">
              <w:rPr>
                <w:bCs/>
                <w:szCs w:val="20"/>
                <w:lang w:val="en-US"/>
              </w:rPr>
              <w:t>mg</w:t>
            </w:r>
            <w:r w:rsidRPr="007E220E">
              <w:rPr>
                <w:bCs/>
                <w:szCs w:val="20"/>
                <w:lang w:val="ru-RU"/>
              </w:rPr>
              <w:t xml:space="preserve"> </w:t>
            </w:r>
            <w:r w:rsidRPr="007E220E">
              <w:rPr>
                <w:bCs/>
                <w:szCs w:val="20"/>
              </w:rPr>
              <w:t>два пъти на ден, 11 дни</w:t>
            </w:r>
          </w:p>
        </w:tc>
        <w:tc>
          <w:tcPr>
            <w:tcW w:w="2654" w:type="dxa"/>
          </w:tcPr>
          <w:p w14:paraId="4569226A" w14:textId="754BF429" w:rsidR="007E220E" w:rsidRPr="007E220E" w:rsidRDefault="007E220E" w:rsidP="007E220E">
            <w:pPr>
              <w:rPr>
                <w:rFonts w:eastAsia="Times New Roman" w:cs="Arial"/>
                <w:bCs/>
                <w:color w:val="000000"/>
                <w:szCs w:val="20"/>
                <w:lang w:eastAsia="bg-BG"/>
              </w:rPr>
            </w:pPr>
            <w:r w:rsidRPr="007E220E">
              <w:rPr>
                <w:bCs/>
                <w:szCs w:val="20"/>
              </w:rPr>
              <w:t xml:space="preserve">10 </w:t>
            </w:r>
            <w:r w:rsidRPr="007E220E">
              <w:rPr>
                <w:bCs/>
                <w:szCs w:val="20"/>
                <w:lang w:val="en-US"/>
              </w:rPr>
              <w:t xml:space="preserve">mg, </w:t>
            </w:r>
            <w:r w:rsidRPr="007E220E">
              <w:rPr>
                <w:bCs/>
                <w:szCs w:val="20"/>
              </w:rPr>
              <w:t>единична доза</w:t>
            </w:r>
          </w:p>
        </w:tc>
        <w:tc>
          <w:tcPr>
            <w:tcW w:w="2686" w:type="dxa"/>
          </w:tcPr>
          <w:p w14:paraId="6D5A204F" w14:textId="7DE2C2B9" w:rsidR="007E220E" w:rsidRPr="007E220E" w:rsidRDefault="007E220E" w:rsidP="007E220E">
            <w:pPr>
              <w:rPr>
                <w:rFonts w:eastAsia="Times New Roman" w:cs="Arial"/>
                <w:bCs/>
                <w:color w:val="000000"/>
                <w:szCs w:val="20"/>
                <w:lang w:eastAsia="bg-BG"/>
              </w:rPr>
            </w:pPr>
            <w:r w:rsidRPr="007E220E">
              <w:rPr>
                <w:bCs/>
                <w:szCs w:val="20"/>
              </w:rPr>
              <w:t>1,4 пъти ↑</w:t>
            </w:r>
          </w:p>
        </w:tc>
      </w:tr>
      <w:tr w:rsidR="007E220E" w14:paraId="2C171429" w14:textId="77777777" w:rsidTr="007E220E">
        <w:tc>
          <w:tcPr>
            <w:tcW w:w="4236" w:type="dxa"/>
          </w:tcPr>
          <w:p w14:paraId="680BD149" w14:textId="01570D52" w:rsidR="007E220E" w:rsidRPr="007E220E" w:rsidRDefault="007E220E" w:rsidP="007E220E">
            <w:pPr>
              <w:rPr>
                <w:rFonts w:eastAsia="Times New Roman" w:cs="Arial"/>
                <w:bCs/>
                <w:color w:val="000000"/>
                <w:szCs w:val="20"/>
                <w:lang w:eastAsia="bg-BG"/>
              </w:rPr>
            </w:pPr>
            <w:r w:rsidRPr="007E220E">
              <w:rPr>
                <w:bCs/>
                <w:szCs w:val="20"/>
              </w:rPr>
              <w:t xml:space="preserve">Дронедарон 400 </w:t>
            </w:r>
            <w:r w:rsidRPr="007E220E">
              <w:rPr>
                <w:bCs/>
                <w:szCs w:val="20"/>
                <w:lang w:val="en-US"/>
              </w:rPr>
              <w:t>mg</w:t>
            </w:r>
            <w:r w:rsidRPr="007E220E">
              <w:rPr>
                <w:bCs/>
                <w:szCs w:val="20"/>
                <w:lang w:val="ru-RU"/>
              </w:rPr>
              <w:t xml:space="preserve"> </w:t>
            </w:r>
            <w:r w:rsidRPr="007E220E">
              <w:rPr>
                <w:bCs/>
                <w:szCs w:val="20"/>
              </w:rPr>
              <w:t>два пъти на ден</w:t>
            </w:r>
          </w:p>
        </w:tc>
        <w:tc>
          <w:tcPr>
            <w:tcW w:w="2654" w:type="dxa"/>
          </w:tcPr>
          <w:p w14:paraId="2868BE2E" w14:textId="03A6B0CD" w:rsidR="007E220E" w:rsidRPr="007E220E" w:rsidRDefault="007E220E" w:rsidP="007E220E">
            <w:pPr>
              <w:rPr>
                <w:rFonts w:eastAsia="Times New Roman" w:cs="Arial"/>
                <w:bCs/>
                <w:color w:val="000000"/>
                <w:szCs w:val="20"/>
                <w:lang w:eastAsia="bg-BG"/>
              </w:rPr>
            </w:pPr>
            <w:r w:rsidRPr="007E220E">
              <w:rPr>
                <w:bCs/>
                <w:szCs w:val="20"/>
              </w:rPr>
              <w:t>Не е налична</w:t>
            </w:r>
          </w:p>
        </w:tc>
        <w:tc>
          <w:tcPr>
            <w:tcW w:w="2686" w:type="dxa"/>
          </w:tcPr>
          <w:p w14:paraId="5554AA53" w14:textId="2CD949D2" w:rsidR="007E220E" w:rsidRPr="007E220E" w:rsidRDefault="007E220E" w:rsidP="007E220E">
            <w:pPr>
              <w:rPr>
                <w:rFonts w:eastAsia="Times New Roman" w:cs="Arial"/>
                <w:bCs/>
                <w:color w:val="000000"/>
                <w:szCs w:val="20"/>
                <w:lang w:eastAsia="bg-BG"/>
              </w:rPr>
            </w:pPr>
            <w:r w:rsidRPr="007E220E">
              <w:rPr>
                <w:bCs/>
                <w:szCs w:val="20"/>
              </w:rPr>
              <w:t>1,4 пъти ↑</w:t>
            </w:r>
          </w:p>
        </w:tc>
      </w:tr>
      <w:tr w:rsidR="007E220E" w14:paraId="0633FE4A" w14:textId="77777777" w:rsidTr="007E220E">
        <w:tc>
          <w:tcPr>
            <w:tcW w:w="4236" w:type="dxa"/>
          </w:tcPr>
          <w:p w14:paraId="0C6D32DA" w14:textId="26F1B5BF" w:rsidR="007E220E" w:rsidRPr="007E220E" w:rsidRDefault="007E220E" w:rsidP="007E220E">
            <w:pPr>
              <w:rPr>
                <w:rFonts w:eastAsia="Times New Roman" w:cs="Arial"/>
                <w:bCs/>
                <w:color w:val="000000"/>
                <w:szCs w:val="20"/>
                <w:lang w:eastAsia="bg-BG"/>
              </w:rPr>
            </w:pPr>
            <w:r w:rsidRPr="007E220E">
              <w:rPr>
                <w:bCs/>
                <w:szCs w:val="20"/>
              </w:rPr>
              <w:t xml:space="preserve">Итраконазол 200 </w:t>
            </w:r>
            <w:r w:rsidRPr="007E220E">
              <w:rPr>
                <w:bCs/>
                <w:szCs w:val="20"/>
                <w:lang w:val="en-US"/>
              </w:rPr>
              <w:t>mg</w:t>
            </w:r>
            <w:r w:rsidRPr="007E220E">
              <w:rPr>
                <w:bCs/>
                <w:szCs w:val="20"/>
                <w:lang w:val="ru-RU"/>
              </w:rPr>
              <w:t xml:space="preserve"> </w:t>
            </w:r>
            <w:r w:rsidRPr="007E220E">
              <w:rPr>
                <w:bCs/>
                <w:szCs w:val="20"/>
              </w:rPr>
              <w:t>веднъж дневно, 5 дни</w:t>
            </w:r>
          </w:p>
        </w:tc>
        <w:tc>
          <w:tcPr>
            <w:tcW w:w="2654" w:type="dxa"/>
          </w:tcPr>
          <w:p w14:paraId="54449363" w14:textId="21D61A45" w:rsidR="007E220E" w:rsidRPr="007E220E" w:rsidRDefault="007E220E" w:rsidP="007E220E">
            <w:pPr>
              <w:rPr>
                <w:rFonts w:eastAsia="Times New Roman" w:cs="Arial"/>
                <w:bCs/>
                <w:color w:val="000000"/>
                <w:szCs w:val="20"/>
                <w:lang w:eastAsia="bg-BG"/>
              </w:rPr>
            </w:pPr>
            <w:r w:rsidRPr="007E220E">
              <w:rPr>
                <w:bCs/>
                <w:szCs w:val="20"/>
              </w:rPr>
              <w:t xml:space="preserve">10 </w:t>
            </w:r>
            <w:r w:rsidRPr="007E220E">
              <w:rPr>
                <w:bCs/>
                <w:szCs w:val="20"/>
                <w:lang w:val="en-US"/>
              </w:rPr>
              <w:t xml:space="preserve">mg, </w:t>
            </w:r>
            <w:r w:rsidRPr="007E220E">
              <w:rPr>
                <w:bCs/>
                <w:szCs w:val="20"/>
              </w:rPr>
              <w:t>единична доза</w:t>
            </w:r>
          </w:p>
        </w:tc>
        <w:tc>
          <w:tcPr>
            <w:tcW w:w="2686" w:type="dxa"/>
          </w:tcPr>
          <w:p w14:paraId="65D70DA9" w14:textId="2DBA9BE7" w:rsidR="007E220E" w:rsidRPr="007E220E" w:rsidRDefault="007E220E" w:rsidP="007E220E">
            <w:pPr>
              <w:rPr>
                <w:rFonts w:eastAsia="Times New Roman" w:cs="Arial"/>
                <w:bCs/>
                <w:color w:val="000000"/>
                <w:szCs w:val="20"/>
                <w:lang w:eastAsia="bg-BG"/>
              </w:rPr>
            </w:pPr>
            <w:r w:rsidRPr="007E220E">
              <w:rPr>
                <w:bCs/>
                <w:szCs w:val="20"/>
              </w:rPr>
              <w:t>1,4 пъти ↑**</w:t>
            </w:r>
          </w:p>
        </w:tc>
      </w:tr>
      <w:tr w:rsidR="007E220E" w14:paraId="67837721" w14:textId="77777777" w:rsidTr="007E220E">
        <w:tc>
          <w:tcPr>
            <w:tcW w:w="4236" w:type="dxa"/>
          </w:tcPr>
          <w:p w14:paraId="13AF13F5" w14:textId="6AFBAC0B" w:rsidR="007E220E" w:rsidRPr="007E220E" w:rsidRDefault="007E220E" w:rsidP="007E220E">
            <w:pPr>
              <w:rPr>
                <w:rFonts w:eastAsia="Times New Roman" w:cs="Arial"/>
                <w:bCs/>
                <w:color w:val="000000"/>
                <w:szCs w:val="20"/>
                <w:lang w:eastAsia="bg-BG"/>
              </w:rPr>
            </w:pPr>
            <w:r w:rsidRPr="007E220E">
              <w:rPr>
                <w:bCs/>
                <w:szCs w:val="20"/>
              </w:rPr>
              <w:t xml:space="preserve">Езетимиб 10 </w:t>
            </w:r>
            <w:r w:rsidRPr="007E220E">
              <w:rPr>
                <w:bCs/>
                <w:szCs w:val="20"/>
                <w:lang w:val="en-US"/>
              </w:rPr>
              <w:t>mg</w:t>
            </w:r>
            <w:r w:rsidRPr="007E220E">
              <w:rPr>
                <w:bCs/>
                <w:szCs w:val="20"/>
                <w:lang w:val="ru-RU"/>
              </w:rPr>
              <w:t xml:space="preserve"> </w:t>
            </w:r>
            <w:r w:rsidRPr="007E220E">
              <w:rPr>
                <w:bCs/>
                <w:szCs w:val="20"/>
              </w:rPr>
              <w:t>веднъж дневно, 14 дни</w:t>
            </w:r>
          </w:p>
        </w:tc>
        <w:tc>
          <w:tcPr>
            <w:tcW w:w="2654" w:type="dxa"/>
          </w:tcPr>
          <w:p w14:paraId="3E9D64E3" w14:textId="54041041" w:rsidR="007E220E" w:rsidRPr="007E220E" w:rsidRDefault="007E220E" w:rsidP="007E220E">
            <w:pPr>
              <w:rPr>
                <w:rFonts w:eastAsia="Times New Roman" w:cs="Arial"/>
                <w:bCs/>
                <w:color w:val="000000"/>
                <w:szCs w:val="20"/>
                <w:lang w:eastAsia="bg-BG"/>
              </w:rPr>
            </w:pPr>
            <w:r w:rsidRPr="007E220E">
              <w:rPr>
                <w:bCs/>
                <w:szCs w:val="20"/>
              </w:rPr>
              <w:t xml:space="preserve">10 </w:t>
            </w:r>
            <w:r w:rsidRPr="007E220E">
              <w:rPr>
                <w:bCs/>
                <w:szCs w:val="20"/>
                <w:lang w:val="en-US"/>
              </w:rPr>
              <w:t xml:space="preserve">mg, </w:t>
            </w:r>
            <w:r w:rsidRPr="007E220E">
              <w:rPr>
                <w:bCs/>
                <w:szCs w:val="20"/>
              </w:rPr>
              <w:t>веднъж дневно, 14 дни</w:t>
            </w:r>
          </w:p>
        </w:tc>
        <w:tc>
          <w:tcPr>
            <w:tcW w:w="2686" w:type="dxa"/>
          </w:tcPr>
          <w:p w14:paraId="37342BDC" w14:textId="3AF05F36" w:rsidR="007E220E" w:rsidRPr="007E220E" w:rsidRDefault="007E220E" w:rsidP="007E220E">
            <w:pPr>
              <w:rPr>
                <w:rFonts w:eastAsia="Times New Roman" w:cs="Arial"/>
                <w:bCs/>
                <w:color w:val="000000"/>
                <w:szCs w:val="20"/>
                <w:lang w:eastAsia="bg-BG"/>
              </w:rPr>
            </w:pPr>
            <w:r w:rsidRPr="007E220E">
              <w:rPr>
                <w:bCs/>
                <w:szCs w:val="20"/>
              </w:rPr>
              <w:t>1,2 пъти ↑**</w:t>
            </w:r>
          </w:p>
        </w:tc>
      </w:tr>
      <w:tr w:rsidR="007E220E" w14:paraId="7A495542" w14:textId="77777777" w:rsidTr="0083279B">
        <w:tc>
          <w:tcPr>
            <w:tcW w:w="9576" w:type="dxa"/>
            <w:gridSpan w:val="3"/>
          </w:tcPr>
          <w:p w14:paraId="38E668A5" w14:textId="349DDC98" w:rsidR="007E220E" w:rsidRPr="007E220E" w:rsidRDefault="007E220E" w:rsidP="007E220E">
            <w:pPr>
              <w:rPr>
                <w:rFonts w:eastAsia="Times New Roman" w:cs="Arial"/>
                <w:b/>
                <w:color w:val="000000"/>
                <w:lang w:eastAsia="bg-BG"/>
              </w:rPr>
            </w:pPr>
            <w:r w:rsidRPr="007E220E">
              <w:rPr>
                <w:b/>
              </w:rPr>
              <w:t xml:space="preserve">Понижаване на </w:t>
            </w:r>
            <w:r w:rsidRPr="007E220E">
              <w:rPr>
                <w:b/>
                <w:lang w:val="en-US"/>
              </w:rPr>
              <w:t>AUC</w:t>
            </w:r>
            <w:r w:rsidRPr="007E220E">
              <w:rPr>
                <w:b/>
                <w:lang w:val="ru-RU"/>
              </w:rPr>
              <w:t xml:space="preserve"> </w:t>
            </w:r>
            <w:r w:rsidRPr="007E220E">
              <w:rPr>
                <w:b/>
              </w:rPr>
              <w:t>на розувастатин</w:t>
            </w:r>
          </w:p>
        </w:tc>
      </w:tr>
      <w:tr w:rsidR="007E220E" w14:paraId="44C2EDC4" w14:textId="77777777" w:rsidTr="007E220E">
        <w:tc>
          <w:tcPr>
            <w:tcW w:w="4236" w:type="dxa"/>
          </w:tcPr>
          <w:p w14:paraId="6A58C494" w14:textId="01C1FA18" w:rsidR="007E220E" w:rsidRDefault="007E220E" w:rsidP="007E220E">
            <w:pPr>
              <w:rPr>
                <w:rFonts w:eastAsia="Times New Roman" w:cs="Arial"/>
                <w:bCs/>
                <w:color w:val="000000"/>
                <w:szCs w:val="20"/>
                <w:lang w:eastAsia="bg-BG"/>
              </w:rPr>
            </w:pPr>
            <w:r>
              <w:rPr>
                <w:bCs/>
                <w:sz w:val="20"/>
                <w:szCs w:val="20"/>
              </w:rPr>
              <w:t xml:space="preserve">Еритромицин 500 </w:t>
            </w:r>
            <w:r>
              <w:rPr>
                <w:bCs/>
                <w:sz w:val="20"/>
                <w:szCs w:val="20"/>
                <w:lang w:val="en-US"/>
              </w:rPr>
              <w:t>mg</w:t>
            </w:r>
            <w:r w:rsidRPr="007E220E">
              <w:rPr>
                <w:bCs/>
                <w:sz w:val="20"/>
                <w:szCs w:val="20"/>
                <w:lang w:val="ru-RU"/>
              </w:rPr>
              <w:t xml:space="preserve"> </w:t>
            </w:r>
            <w:r>
              <w:rPr>
                <w:bCs/>
                <w:sz w:val="20"/>
                <w:szCs w:val="20"/>
              </w:rPr>
              <w:t>четири пъти на ден, 7 дни</w:t>
            </w:r>
          </w:p>
        </w:tc>
        <w:tc>
          <w:tcPr>
            <w:tcW w:w="2654" w:type="dxa"/>
          </w:tcPr>
          <w:p w14:paraId="6A7A487D" w14:textId="09A42AA3" w:rsidR="007E220E" w:rsidRDefault="007E220E" w:rsidP="007E220E">
            <w:pPr>
              <w:rPr>
                <w:rFonts w:eastAsia="Times New Roman" w:cs="Arial"/>
                <w:bCs/>
                <w:color w:val="000000"/>
                <w:szCs w:val="20"/>
                <w:lang w:eastAsia="bg-BG"/>
              </w:rPr>
            </w:pPr>
            <w:r>
              <w:rPr>
                <w:bCs/>
                <w:sz w:val="20"/>
                <w:szCs w:val="20"/>
              </w:rPr>
              <w:t xml:space="preserve">80 </w:t>
            </w:r>
            <w:r>
              <w:rPr>
                <w:bCs/>
                <w:sz w:val="20"/>
                <w:szCs w:val="20"/>
                <w:lang w:val="en-US"/>
              </w:rPr>
              <w:t xml:space="preserve">mg, </w:t>
            </w:r>
            <w:r>
              <w:rPr>
                <w:bCs/>
                <w:sz w:val="20"/>
                <w:szCs w:val="20"/>
              </w:rPr>
              <w:t>единична доза</w:t>
            </w:r>
          </w:p>
        </w:tc>
        <w:tc>
          <w:tcPr>
            <w:tcW w:w="2686" w:type="dxa"/>
          </w:tcPr>
          <w:p w14:paraId="703BE4BC" w14:textId="7A04605E" w:rsidR="007E220E" w:rsidRDefault="007E220E" w:rsidP="007E220E">
            <w:pPr>
              <w:rPr>
                <w:rFonts w:eastAsia="Times New Roman" w:cs="Arial"/>
                <w:bCs/>
                <w:color w:val="000000"/>
                <w:szCs w:val="20"/>
                <w:lang w:eastAsia="bg-BG"/>
              </w:rPr>
            </w:pPr>
            <w:r>
              <w:rPr>
                <w:bCs/>
                <w:sz w:val="20"/>
                <w:szCs w:val="20"/>
              </w:rPr>
              <w:t>20% ↓</w:t>
            </w:r>
          </w:p>
        </w:tc>
      </w:tr>
      <w:tr w:rsidR="007E220E" w14:paraId="12F5353B" w14:textId="77777777" w:rsidTr="00CA05C5">
        <w:tc>
          <w:tcPr>
            <w:tcW w:w="4236" w:type="dxa"/>
            <w:vAlign w:val="bottom"/>
          </w:tcPr>
          <w:p w14:paraId="05286095" w14:textId="78914E46" w:rsidR="007E220E" w:rsidRDefault="007E220E" w:rsidP="007E220E">
            <w:pPr>
              <w:rPr>
                <w:rFonts w:eastAsia="Times New Roman" w:cs="Arial"/>
                <w:bCs/>
                <w:color w:val="000000"/>
                <w:szCs w:val="20"/>
                <w:lang w:eastAsia="bg-BG"/>
              </w:rPr>
            </w:pPr>
            <w:r>
              <w:rPr>
                <w:bCs/>
                <w:sz w:val="20"/>
                <w:szCs w:val="20"/>
              </w:rPr>
              <w:t xml:space="preserve">Баикалин 50 </w:t>
            </w:r>
            <w:r>
              <w:rPr>
                <w:bCs/>
                <w:sz w:val="20"/>
                <w:szCs w:val="20"/>
                <w:lang w:val="en-US"/>
              </w:rPr>
              <w:t>mg</w:t>
            </w:r>
            <w:r w:rsidRPr="007E220E">
              <w:rPr>
                <w:bCs/>
                <w:sz w:val="20"/>
                <w:szCs w:val="20"/>
                <w:lang w:val="ru-RU"/>
              </w:rPr>
              <w:t xml:space="preserve"> </w:t>
            </w:r>
            <w:r>
              <w:rPr>
                <w:bCs/>
                <w:sz w:val="20"/>
                <w:szCs w:val="20"/>
              </w:rPr>
              <w:t>три пъти на ден, 14 дни</w:t>
            </w:r>
          </w:p>
        </w:tc>
        <w:tc>
          <w:tcPr>
            <w:tcW w:w="2654" w:type="dxa"/>
          </w:tcPr>
          <w:p w14:paraId="790DE893" w14:textId="7974CA1D" w:rsidR="007E220E" w:rsidRDefault="007E220E" w:rsidP="007E220E">
            <w:pPr>
              <w:rPr>
                <w:rFonts w:eastAsia="Times New Roman" w:cs="Arial"/>
                <w:bCs/>
                <w:color w:val="000000"/>
                <w:szCs w:val="20"/>
                <w:lang w:eastAsia="bg-BG"/>
              </w:rPr>
            </w:pPr>
            <w:r>
              <w:rPr>
                <w:bCs/>
                <w:sz w:val="20"/>
                <w:szCs w:val="20"/>
              </w:rPr>
              <w:t xml:space="preserve">20 </w:t>
            </w:r>
            <w:r>
              <w:rPr>
                <w:bCs/>
                <w:sz w:val="20"/>
                <w:szCs w:val="20"/>
                <w:lang w:val="en-US"/>
              </w:rPr>
              <w:t xml:space="preserve">mg, </w:t>
            </w:r>
            <w:r>
              <w:rPr>
                <w:bCs/>
                <w:sz w:val="20"/>
                <w:szCs w:val="20"/>
              </w:rPr>
              <w:t>единична доза</w:t>
            </w:r>
          </w:p>
        </w:tc>
        <w:tc>
          <w:tcPr>
            <w:tcW w:w="2686" w:type="dxa"/>
            <w:vAlign w:val="bottom"/>
          </w:tcPr>
          <w:p w14:paraId="25A0554D" w14:textId="107AAFF3" w:rsidR="007E220E" w:rsidRDefault="007E220E" w:rsidP="007E220E">
            <w:pPr>
              <w:rPr>
                <w:rFonts w:eastAsia="Times New Roman" w:cs="Arial"/>
                <w:bCs/>
                <w:color w:val="000000"/>
                <w:szCs w:val="20"/>
                <w:lang w:eastAsia="bg-BG"/>
              </w:rPr>
            </w:pPr>
            <w:r>
              <w:rPr>
                <w:bCs/>
                <w:sz w:val="20"/>
                <w:szCs w:val="20"/>
                <w:lang w:val="en-US"/>
              </w:rPr>
              <w:t>47%</w:t>
            </w:r>
            <w:r>
              <w:rPr>
                <w:bCs/>
                <w:sz w:val="20"/>
                <w:szCs w:val="20"/>
              </w:rPr>
              <w:t>↓</w:t>
            </w:r>
          </w:p>
        </w:tc>
      </w:tr>
    </w:tbl>
    <w:p w14:paraId="70CB43DE" w14:textId="77777777"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lang w:eastAsia="bg-BG"/>
        </w:rPr>
        <w:t>*Данните, посочени като х пъти промяна, представят просто съотношение между едновременно приложение и приложение на розувастатин самостоятелно. Данните, посочени като % представят процента разлика, отнесен на самостоятелното приложение на розувастатин.</w:t>
      </w:r>
    </w:p>
    <w:p w14:paraId="40F78765" w14:textId="77777777"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lang w:eastAsia="bg-BG"/>
        </w:rPr>
        <w:t>Повишаването е представено като „↑”понижението като „↓”.</w:t>
      </w:r>
    </w:p>
    <w:p w14:paraId="73120F52" w14:textId="77777777"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lang w:eastAsia="bg-BG"/>
        </w:rPr>
        <w:t>**Няколко проучвания за взаимодействие са проведени с различни дозировки Крестор, таблицата представя най-значимото съотношение.</w:t>
      </w:r>
    </w:p>
    <w:p w14:paraId="16E2B0A2" w14:textId="77777777"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lang w:val="en-US"/>
        </w:rPr>
        <w:t>AUC</w:t>
      </w:r>
      <w:r w:rsidRPr="007E220E">
        <w:rPr>
          <w:rFonts w:eastAsia="Times New Roman" w:cs="Arial"/>
          <w:bCs/>
          <w:color w:val="000000"/>
          <w:szCs w:val="20"/>
          <w:lang w:val="ru-RU"/>
        </w:rPr>
        <w:t xml:space="preserve"> </w:t>
      </w:r>
      <w:r w:rsidRPr="007E220E">
        <w:rPr>
          <w:rFonts w:eastAsia="Times New Roman" w:cs="Arial"/>
          <w:bCs/>
          <w:color w:val="000000"/>
          <w:szCs w:val="20"/>
          <w:lang w:eastAsia="bg-BG"/>
        </w:rPr>
        <w:t>= площ под кривата;</w:t>
      </w:r>
    </w:p>
    <w:p w14:paraId="25D8291C" w14:textId="77777777" w:rsidR="007E220E" w:rsidRPr="007E220E" w:rsidRDefault="007E220E" w:rsidP="007E220E">
      <w:pPr>
        <w:spacing w:line="240" w:lineRule="auto"/>
        <w:rPr>
          <w:rFonts w:eastAsia="Times New Roman" w:cs="Arial"/>
          <w:bCs/>
          <w:color w:val="000000"/>
          <w:szCs w:val="20"/>
          <w:lang w:eastAsia="bg-BG"/>
        </w:rPr>
      </w:pPr>
    </w:p>
    <w:p w14:paraId="119EE370" w14:textId="46898C4C"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lang w:eastAsia="bg-BG"/>
        </w:rPr>
        <w:t xml:space="preserve">Следните лекарствени продукти/комбинации не оказват клинично значим ефект върху </w:t>
      </w:r>
      <w:r w:rsidRPr="007E220E">
        <w:rPr>
          <w:rFonts w:eastAsia="Times New Roman" w:cs="Arial"/>
          <w:bCs/>
          <w:color w:val="000000"/>
          <w:szCs w:val="20"/>
          <w:lang w:val="en-US"/>
        </w:rPr>
        <w:t>AUC</w:t>
      </w:r>
      <w:r w:rsidRPr="007E220E">
        <w:rPr>
          <w:rFonts w:eastAsia="Times New Roman" w:cs="Arial"/>
          <w:bCs/>
          <w:color w:val="000000"/>
          <w:szCs w:val="20"/>
          <w:lang w:val="ru-RU"/>
        </w:rPr>
        <w:t xml:space="preserve"> </w:t>
      </w:r>
      <w:r w:rsidRPr="007E220E">
        <w:rPr>
          <w:rFonts w:eastAsia="Times New Roman" w:cs="Arial"/>
          <w:bCs/>
          <w:color w:val="000000"/>
          <w:szCs w:val="20"/>
          <w:lang w:eastAsia="bg-BG"/>
        </w:rPr>
        <w:t>на розувастатин при едновременно приложение:</w:t>
      </w:r>
    </w:p>
    <w:p w14:paraId="1787F617" w14:textId="77777777"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lang w:eastAsia="bg-BG"/>
        </w:rPr>
        <w:t xml:space="preserve">Алеглитазар 0,3 </w:t>
      </w:r>
      <w:r w:rsidRPr="007E220E">
        <w:rPr>
          <w:rFonts w:eastAsia="Times New Roman" w:cs="Arial"/>
          <w:bCs/>
          <w:color w:val="000000"/>
          <w:szCs w:val="20"/>
          <w:lang w:val="en-US"/>
        </w:rPr>
        <w:t>mg</w:t>
      </w:r>
      <w:r w:rsidRPr="007E220E">
        <w:rPr>
          <w:rFonts w:eastAsia="Times New Roman" w:cs="Arial"/>
          <w:bCs/>
          <w:color w:val="000000"/>
          <w:szCs w:val="20"/>
          <w:lang w:val="ru-RU"/>
        </w:rPr>
        <w:t xml:space="preserve"> </w:t>
      </w:r>
      <w:r w:rsidRPr="007E220E">
        <w:rPr>
          <w:rFonts w:eastAsia="Times New Roman" w:cs="Arial"/>
          <w:bCs/>
          <w:color w:val="000000"/>
          <w:szCs w:val="20"/>
          <w:lang w:eastAsia="bg-BG"/>
        </w:rPr>
        <w:t xml:space="preserve">приложение за 7 дни; Фенофибрат 67 </w:t>
      </w:r>
      <w:r w:rsidRPr="007E220E">
        <w:rPr>
          <w:rFonts w:eastAsia="Times New Roman" w:cs="Arial"/>
          <w:bCs/>
          <w:color w:val="000000"/>
          <w:szCs w:val="20"/>
          <w:lang w:val="en-US"/>
        </w:rPr>
        <w:t>mg</w:t>
      </w:r>
      <w:r w:rsidRPr="007E220E">
        <w:rPr>
          <w:rFonts w:eastAsia="Times New Roman" w:cs="Arial"/>
          <w:bCs/>
          <w:color w:val="000000"/>
          <w:szCs w:val="20"/>
          <w:lang w:val="ru-RU"/>
        </w:rPr>
        <w:t xml:space="preserve"> </w:t>
      </w:r>
      <w:r w:rsidRPr="007E220E">
        <w:rPr>
          <w:rFonts w:eastAsia="Times New Roman" w:cs="Arial"/>
          <w:bCs/>
          <w:color w:val="000000"/>
          <w:szCs w:val="20"/>
          <w:lang w:eastAsia="bg-BG"/>
        </w:rPr>
        <w:t xml:space="preserve">7 дни приложение три пъти на ден; Флуконазол 200 </w:t>
      </w:r>
      <w:r w:rsidRPr="007E220E">
        <w:rPr>
          <w:rFonts w:eastAsia="Times New Roman" w:cs="Arial"/>
          <w:bCs/>
          <w:color w:val="000000"/>
          <w:szCs w:val="20"/>
          <w:lang w:val="en-US"/>
        </w:rPr>
        <w:t>mg</w:t>
      </w:r>
      <w:r w:rsidRPr="007E220E">
        <w:rPr>
          <w:rFonts w:eastAsia="Times New Roman" w:cs="Arial"/>
          <w:bCs/>
          <w:color w:val="000000"/>
          <w:szCs w:val="20"/>
          <w:lang w:val="ru-RU"/>
        </w:rPr>
        <w:t xml:space="preserve"> 11</w:t>
      </w:r>
      <w:r w:rsidRPr="007E220E">
        <w:rPr>
          <w:rFonts w:eastAsia="Times New Roman" w:cs="Arial"/>
          <w:bCs/>
          <w:color w:val="000000"/>
          <w:szCs w:val="20"/>
          <w:lang w:eastAsia="bg-BG"/>
        </w:rPr>
        <w:t xml:space="preserve"> дни приложение веднъж дневно; Фозампренавир 700 </w:t>
      </w:r>
      <w:r w:rsidRPr="007E220E">
        <w:rPr>
          <w:rFonts w:eastAsia="Times New Roman" w:cs="Arial"/>
          <w:bCs/>
          <w:color w:val="000000"/>
          <w:szCs w:val="20"/>
          <w:lang w:val="en-US"/>
        </w:rPr>
        <w:t>mg</w:t>
      </w:r>
      <w:r w:rsidRPr="007E220E">
        <w:rPr>
          <w:rFonts w:eastAsia="Times New Roman" w:cs="Arial"/>
          <w:bCs/>
          <w:color w:val="000000"/>
          <w:szCs w:val="20"/>
          <w:lang w:eastAsia="bg-BG"/>
        </w:rPr>
        <w:t xml:space="preserve">/ритонавир 100 </w:t>
      </w:r>
      <w:r w:rsidRPr="007E220E">
        <w:rPr>
          <w:rFonts w:eastAsia="Times New Roman" w:cs="Arial"/>
          <w:bCs/>
          <w:color w:val="000000"/>
          <w:szCs w:val="20"/>
          <w:lang w:val="en-US"/>
        </w:rPr>
        <w:t>mg</w:t>
      </w:r>
      <w:r w:rsidRPr="007E220E">
        <w:rPr>
          <w:rFonts w:eastAsia="Times New Roman" w:cs="Arial"/>
          <w:bCs/>
          <w:color w:val="000000"/>
          <w:szCs w:val="20"/>
          <w:lang w:val="ru-RU"/>
        </w:rPr>
        <w:t xml:space="preserve"> </w:t>
      </w:r>
      <w:r w:rsidRPr="007E220E">
        <w:rPr>
          <w:rFonts w:eastAsia="Times New Roman" w:cs="Arial"/>
          <w:bCs/>
          <w:color w:val="000000"/>
          <w:szCs w:val="20"/>
          <w:lang w:eastAsia="bg-BG"/>
        </w:rPr>
        <w:t xml:space="preserve">8 дни приложение два пъти на ден; Кетоконазол 200 </w:t>
      </w:r>
      <w:r w:rsidRPr="007E220E">
        <w:rPr>
          <w:rFonts w:eastAsia="Times New Roman" w:cs="Arial"/>
          <w:bCs/>
          <w:color w:val="000000"/>
          <w:szCs w:val="20"/>
          <w:lang w:val="en-US"/>
        </w:rPr>
        <w:t>mg</w:t>
      </w:r>
      <w:r w:rsidRPr="007E220E">
        <w:rPr>
          <w:rFonts w:eastAsia="Times New Roman" w:cs="Arial"/>
          <w:bCs/>
          <w:color w:val="000000"/>
          <w:szCs w:val="20"/>
          <w:lang w:val="ru-RU"/>
        </w:rPr>
        <w:t xml:space="preserve"> </w:t>
      </w:r>
      <w:r w:rsidRPr="007E220E">
        <w:rPr>
          <w:rFonts w:eastAsia="Times New Roman" w:cs="Arial"/>
          <w:bCs/>
          <w:color w:val="000000"/>
          <w:szCs w:val="20"/>
          <w:lang w:eastAsia="bg-BG"/>
        </w:rPr>
        <w:t xml:space="preserve">7 дни приложение два пъти на ден; Рифампин 450 </w:t>
      </w:r>
      <w:r w:rsidRPr="007E220E">
        <w:rPr>
          <w:rFonts w:eastAsia="Times New Roman" w:cs="Arial"/>
          <w:bCs/>
          <w:color w:val="000000"/>
          <w:szCs w:val="20"/>
          <w:lang w:val="en-US"/>
        </w:rPr>
        <w:t>mg</w:t>
      </w:r>
      <w:r w:rsidRPr="007E220E">
        <w:rPr>
          <w:rFonts w:eastAsia="Times New Roman" w:cs="Arial"/>
          <w:bCs/>
          <w:color w:val="000000"/>
          <w:szCs w:val="20"/>
          <w:lang w:val="ru-RU"/>
        </w:rPr>
        <w:t xml:space="preserve"> </w:t>
      </w:r>
      <w:r w:rsidRPr="007E220E">
        <w:rPr>
          <w:rFonts w:eastAsia="Times New Roman" w:cs="Arial"/>
          <w:bCs/>
          <w:color w:val="000000"/>
          <w:szCs w:val="20"/>
          <w:lang w:eastAsia="bg-BG"/>
        </w:rPr>
        <w:t xml:space="preserve">7 дни приложение веднъж дневно; Силимарин 140 </w:t>
      </w:r>
      <w:r w:rsidRPr="007E220E">
        <w:rPr>
          <w:rFonts w:eastAsia="Times New Roman" w:cs="Arial"/>
          <w:bCs/>
          <w:color w:val="000000"/>
          <w:szCs w:val="20"/>
          <w:lang w:val="en-US"/>
        </w:rPr>
        <w:t>mg</w:t>
      </w:r>
      <w:r w:rsidRPr="007E220E">
        <w:rPr>
          <w:rFonts w:eastAsia="Times New Roman" w:cs="Arial"/>
          <w:bCs/>
          <w:color w:val="000000"/>
          <w:szCs w:val="20"/>
          <w:lang w:val="ru-RU"/>
        </w:rPr>
        <w:t xml:space="preserve"> </w:t>
      </w:r>
      <w:r w:rsidRPr="007E220E">
        <w:rPr>
          <w:rFonts w:eastAsia="Times New Roman" w:cs="Arial"/>
          <w:bCs/>
          <w:color w:val="000000"/>
          <w:szCs w:val="20"/>
          <w:lang w:eastAsia="bg-BG"/>
        </w:rPr>
        <w:t>5 дни приложение три пъти на ден.</w:t>
      </w:r>
    </w:p>
    <w:p w14:paraId="5A93E250" w14:textId="77777777" w:rsidR="007E220E" w:rsidRPr="007E220E" w:rsidRDefault="007E220E" w:rsidP="007E220E">
      <w:pPr>
        <w:spacing w:line="240" w:lineRule="auto"/>
        <w:rPr>
          <w:rFonts w:eastAsia="Times New Roman" w:cs="Arial"/>
          <w:bCs/>
          <w:i/>
          <w:iCs/>
          <w:color w:val="000000"/>
          <w:szCs w:val="20"/>
          <w:lang w:eastAsia="bg-BG"/>
        </w:rPr>
      </w:pPr>
    </w:p>
    <w:p w14:paraId="55F87EE3" w14:textId="70ADE76B" w:rsidR="007E220E" w:rsidRPr="007E220E" w:rsidRDefault="007E220E" w:rsidP="007E220E">
      <w:pPr>
        <w:spacing w:line="240" w:lineRule="auto"/>
        <w:rPr>
          <w:rFonts w:eastAsia="Times New Roman" w:cs="Arial"/>
          <w:sz w:val="28"/>
          <w:szCs w:val="24"/>
        </w:rPr>
      </w:pPr>
      <w:r w:rsidRPr="007E220E">
        <w:rPr>
          <w:rFonts w:eastAsia="Times New Roman" w:cs="Arial"/>
          <w:bCs/>
          <w:i/>
          <w:iCs/>
          <w:color w:val="000000"/>
          <w:szCs w:val="20"/>
          <w:lang w:eastAsia="bg-BG"/>
        </w:rPr>
        <w:t>Ефект на розувастатин върху едновременно прилагани лекарствени продукти</w:t>
      </w:r>
    </w:p>
    <w:p w14:paraId="1133EE73" w14:textId="77777777" w:rsidR="007E220E" w:rsidRPr="007E220E" w:rsidRDefault="007E220E" w:rsidP="007E220E">
      <w:pPr>
        <w:spacing w:line="240" w:lineRule="auto"/>
        <w:rPr>
          <w:rFonts w:eastAsia="Times New Roman" w:cs="Arial"/>
          <w:bCs/>
          <w:color w:val="000000"/>
          <w:szCs w:val="20"/>
          <w:u w:val="single"/>
          <w:lang w:eastAsia="bg-BG"/>
        </w:rPr>
      </w:pPr>
    </w:p>
    <w:p w14:paraId="39289C96" w14:textId="765E0D5F"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u w:val="single"/>
          <w:lang w:eastAsia="bg-BG"/>
        </w:rPr>
        <w:t>Антагонисти на витамин К</w:t>
      </w:r>
    </w:p>
    <w:p w14:paraId="660C0354" w14:textId="77777777"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lang w:eastAsia="bg-BG"/>
        </w:rPr>
        <w:t xml:space="preserve">Подобно на други инхибитори на </w:t>
      </w:r>
      <w:r w:rsidRPr="007E220E">
        <w:rPr>
          <w:rFonts w:eastAsia="Times New Roman" w:cs="Arial"/>
          <w:bCs/>
          <w:color w:val="000000"/>
          <w:szCs w:val="20"/>
          <w:lang w:val="en-US"/>
        </w:rPr>
        <w:t>HMG</w:t>
      </w:r>
      <w:r w:rsidRPr="007E220E">
        <w:rPr>
          <w:rFonts w:eastAsia="Times New Roman" w:cs="Arial"/>
          <w:bCs/>
          <w:color w:val="000000"/>
          <w:szCs w:val="20"/>
          <w:lang w:val="ru-RU"/>
        </w:rPr>
        <w:t>-</w:t>
      </w:r>
      <w:r w:rsidRPr="007E220E">
        <w:rPr>
          <w:rFonts w:eastAsia="Times New Roman" w:cs="Arial"/>
          <w:bCs/>
          <w:color w:val="000000"/>
          <w:szCs w:val="20"/>
          <w:lang w:val="en-US"/>
        </w:rPr>
        <w:t>CoA</w:t>
      </w:r>
      <w:r w:rsidRPr="007E220E">
        <w:rPr>
          <w:rFonts w:eastAsia="Times New Roman" w:cs="Arial"/>
          <w:bCs/>
          <w:color w:val="000000"/>
          <w:szCs w:val="20"/>
          <w:lang w:val="ru-RU"/>
        </w:rPr>
        <w:t xml:space="preserve"> </w:t>
      </w:r>
      <w:r w:rsidRPr="007E220E">
        <w:rPr>
          <w:rFonts w:eastAsia="Times New Roman" w:cs="Arial"/>
          <w:bCs/>
          <w:color w:val="000000"/>
          <w:szCs w:val="20"/>
          <w:lang w:eastAsia="bg-BG"/>
        </w:rPr>
        <w:t xml:space="preserve">редуктазата, започването на лечение с Крестор или титрирането на дозата му при пациенти, приемащи антагонисти на витамин К (като варфарин или други кумаринови антикоагуланти), може да доведе до повишение на международното нормализирано съотношение </w:t>
      </w:r>
      <w:r w:rsidRPr="007E220E">
        <w:rPr>
          <w:rFonts w:eastAsia="Times New Roman" w:cs="Arial"/>
          <w:bCs/>
          <w:color w:val="000000"/>
          <w:szCs w:val="20"/>
          <w:lang w:val="ru-RU"/>
        </w:rPr>
        <w:t>(</w:t>
      </w:r>
      <w:r w:rsidRPr="007E220E">
        <w:rPr>
          <w:rFonts w:eastAsia="Times New Roman" w:cs="Arial"/>
          <w:bCs/>
          <w:color w:val="000000"/>
          <w:szCs w:val="20"/>
          <w:lang w:val="en-US"/>
        </w:rPr>
        <w:t>International</w:t>
      </w:r>
      <w:r w:rsidRPr="007E220E">
        <w:rPr>
          <w:rFonts w:eastAsia="Times New Roman" w:cs="Arial"/>
          <w:bCs/>
          <w:color w:val="000000"/>
          <w:szCs w:val="20"/>
          <w:lang w:val="ru-RU"/>
        </w:rPr>
        <w:t xml:space="preserve"> </w:t>
      </w:r>
      <w:proofErr w:type="spellStart"/>
      <w:r w:rsidRPr="007E220E">
        <w:rPr>
          <w:rFonts w:eastAsia="Times New Roman" w:cs="Arial"/>
          <w:bCs/>
          <w:color w:val="000000"/>
          <w:szCs w:val="20"/>
          <w:lang w:val="en-US"/>
        </w:rPr>
        <w:t>Normalised</w:t>
      </w:r>
      <w:proofErr w:type="spellEnd"/>
      <w:r w:rsidRPr="007E220E">
        <w:rPr>
          <w:rFonts w:eastAsia="Times New Roman" w:cs="Arial"/>
          <w:bCs/>
          <w:color w:val="000000"/>
          <w:szCs w:val="20"/>
          <w:lang w:val="ru-RU"/>
        </w:rPr>
        <w:t xml:space="preserve"> </w:t>
      </w:r>
      <w:r w:rsidRPr="007E220E">
        <w:rPr>
          <w:rFonts w:eastAsia="Times New Roman" w:cs="Arial"/>
          <w:bCs/>
          <w:color w:val="000000"/>
          <w:szCs w:val="20"/>
          <w:lang w:val="en-US"/>
        </w:rPr>
        <w:t>Ratio</w:t>
      </w:r>
      <w:r w:rsidRPr="007E220E">
        <w:rPr>
          <w:rFonts w:eastAsia="Times New Roman" w:cs="Arial"/>
          <w:bCs/>
          <w:color w:val="000000"/>
          <w:szCs w:val="20"/>
          <w:lang w:val="ru-RU"/>
        </w:rPr>
        <w:t xml:space="preserve">, </w:t>
      </w:r>
      <w:r w:rsidRPr="007E220E">
        <w:rPr>
          <w:rFonts w:eastAsia="Times New Roman" w:cs="Arial"/>
          <w:bCs/>
          <w:color w:val="000000"/>
          <w:szCs w:val="20"/>
          <w:lang w:val="en-US"/>
        </w:rPr>
        <w:t>INR</w:t>
      </w:r>
      <w:r w:rsidRPr="007E220E">
        <w:rPr>
          <w:rFonts w:eastAsia="Times New Roman" w:cs="Arial"/>
          <w:bCs/>
          <w:color w:val="000000"/>
          <w:szCs w:val="20"/>
          <w:lang w:val="ru-RU"/>
        </w:rPr>
        <w:t>).</w:t>
      </w:r>
    </w:p>
    <w:p w14:paraId="75E88960" w14:textId="77777777"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lang w:eastAsia="bg-BG"/>
        </w:rPr>
        <w:t xml:space="preserve">Прекъсването на лечението или намаляване на дозата на титриране с Крестор може да доведе до намаление на </w:t>
      </w:r>
      <w:r w:rsidRPr="007E220E">
        <w:rPr>
          <w:rFonts w:eastAsia="Times New Roman" w:cs="Arial"/>
          <w:bCs/>
          <w:color w:val="000000"/>
          <w:szCs w:val="20"/>
          <w:lang w:val="en-US"/>
        </w:rPr>
        <w:t>INR</w:t>
      </w:r>
      <w:r w:rsidRPr="007E220E">
        <w:rPr>
          <w:rFonts w:eastAsia="Times New Roman" w:cs="Arial"/>
          <w:bCs/>
          <w:color w:val="000000"/>
          <w:szCs w:val="20"/>
          <w:lang w:val="ru-RU"/>
        </w:rPr>
        <w:t xml:space="preserve">. </w:t>
      </w:r>
      <w:r w:rsidRPr="007E220E">
        <w:rPr>
          <w:rFonts w:eastAsia="Times New Roman" w:cs="Arial"/>
          <w:bCs/>
          <w:color w:val="000000"/>
          <w:szCs w:val="20"/>
          <w:lang w:eastAsia="bg-BG"/>
        </w:rPr>
        <w:t xml:space="preserve">При подобни ситуации се препоръчва мониториране на </w:t>
      </w:r>
      <w:r w:rsidRPr="007E220E">
        <w:rPr>
          <w:rFonts w:eastAsia="Times New Roman" w:cs="Arial"/>
          <w:bCs/>
          <w:color w:val="000000"/>
          <w:szCs w:val="20"/>
          <w:lang w:val="en-US"/>
        </w:rPr>
        <w:t>INR</w:t>
      </w:r>
      <w:r w:rsidRPr="007E220E">
        <w:rPr>
          <w:rFonts w:eastAsia="Times New Roman" w:cs="Arial"/>
          <w:bCs/>
          <w:color w:val="000000"/>
          <w:szCs w:val="20"/>
          <w:lang w:val="ru-RU"/>
        </w:rPr>
        <w:t>.</w:t>
      </w:r>
    </w:p>
    <w:p w14:paraId="51E934E7" w14:textId="77777777" w:rsidR="007E220E" w:rsidRPr="007E220E" w:rsidRDefault="007E220E" w:rsidP="007E220E">
      <w:pPr>
        <w:spacing w:line="240" w:lineRule="auto"/>
        <w:rPr>
          <w:rFonts w:eastAsia="Times New Roman" w:cs="Arial"/>
          <w:bCs/>
          <w:color w:val="000000"/>
          <w:szCs w:val="20"/>
          <w:u w:val="single"/>
          <w:lang w:eastAsia="bg-BG"/>
        </w:rPr>
      </w:pPr>
    </w:p>
    <w:p w14:paraId="74EB1C3C" w14:textId="104F6BDA"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u w:val="single"/>
          <w:lang w:eastAsia="bg-BG"/>
        </w:rPr>
        <w:t>Перорални контоацептиви/хормонозаместваща терапия</w:t>
      </w:r>
    </w:p>
    <w:p w14:paraId="7AA72D71" w14:textId="77777777"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lang w:eastAsia="bg-BG"/>
        </w:rPr>
        <w:lastRenderedPageBreak/>
        <w:t xml:space="preserve">Едновременният прием на Крестор и перорални контрацептиви, е довел до повишаване на </w:t>
      </w:r>
      <w:r w:rsidRPr="007E220E">
        <w:rPr>
          <w:rFonts w:eastAsia="Times New Roman" w:cs="Arial"/>
          <w:bCs/>
          <w:color w:val="000000"/>
          <w:szCs w:val="20"/>
          <w:lang w:val="en-US"/>
        </w:rPr>
        <w:t>AUC</w:t>
      </w:r>
      <w:r w:rsidRPr="007E220E">
        <w:rPr>
          <w:rFonts w:eastAsia="Times New Roman" w:cs="Arial"/>
          <w:bCs/>
          <w:color w:val="000000"/>
          <w:szCs w:val="20"/>
          <w:lang w:val="ru-RU"/>
        </w:rPr>
        <w:t xml:space="preserve"> </w:t>
      </w:r>
      <w:r w:rsidRPr="007E220E">
        <w:rPr>
          <w:rFonts w:eastAsia="Times New Roman" w:cs="Arial"/>
          <w:bCs/>
          <w:color w:val="000000"/>
          <w:szCs w:val="20"/>
          <w:lang w:eastAsia="bg-BG"/>
        </w:rPr>
        <w:t>на етинил естрадиол и норгестрел, съответно с 26 % и 34 %. Тези повишени плазмени концентрации трябва да се вземат под внимание, когато се определя дозировката на пероралните контрацептиви. Няма фармакокинетични данни за пациенти, които приемат едновременно Крестор и хормоно-заместваща терапия. Ето защо, взаимодействието, описано по-горе, не трябва да бъде изключено като вероятно. Въпреки това, тази комбинация е била широко прилагана от жени в клинични изпитвания и е била толерирана добре.</w:t>
      </w:r>
    </w:p>
    <w:p w14:paraId="51A38FB6" w14:textId="77777777" w:rsidR="007E220E" w:rsidRPr="007E220E" w:rsidRDefault="007E220E" w:rsidP="007E220E">
      <w:pPr>
        <w:spacing w:line="240" w:lineRule="auto"/>
        <w:rPr>
          <w:rFonts w:eastAsia="Times New Roman" w:cs="Arial"/>
          <w:bCs/>
          <w:color w:val="000000"/>
          <w:szCs w:val="20"/>
          <w:u w:val="single"/>
          <w:lang w:eastAsia="bg-BG"/>
        </w:rPr>
      </w:pPr>
    </w:p>
    <w:p w14:paraId="7A874DCB" w14:textId="7A9F7049"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u w:val="single"/>
          <w:lang w:eastAsia="bg-BG"/>
        </w:rPr>
        <w:t>Други лекарствени продукти</w:t>
      </w:r>
    </w:p>
    <w:p w14:paraId="33C06DCA" w14:textId="77777777"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lang w:eastAsia="bg-BG"/>
        </w:rPr>
        <w:t>Дигоксин: Въз основа на данните от специфични проучвания за изследване на лекарствени взаимодействия, не се очаква клинично значимо взаимодействие с дигоксин.</w:t>
      </w:r>
    </w:p>
    <w:p w14:paraId="7B8D6DF2" w14:textId="77777777" w:rsidR="007E220E" w:rsidRPr="007E220E" w:rsidRDefault="007E220E" w:rsidP="007E220E">
      <w:pPr>
        <w:spacing w:line="240" w:lineRule="auto"/>
        <w:rPr>
          <w:rFonts w:eastAsia="Times New Roman" w:cs="Arial"/>
          <w:bCs/>
          <w:i/>
          <w:iCs/>
          <w:color w:val="000000"/>
          <w:szCs w:val="20"/>
          <w:lang w:eastAsia="bg-BG"/>
        </w:rPr>
      </w:pPr>
    </w:p>
    <w:p w14:paraId="7840C0C3" w14:textId="0ACD283D" w:rsidR="007E220E" w:rsidRPr="007E220E" w:rsidRDefault="007E220E" w:rsidP="007E220E">
      <w:pPr>
        <w:spacing w:line="240" w:lineRule="auto"/>
        <w:rPr>
          <w:rFonts w:eastAsia="Times New Roman" w:cs="Arial"/>
          <w:sz w:val="28"/>
          <w:szCs w:val="24"/>
        </w:rPr>
      </w:pPr>
      <w:r w:rsidRPr="007E220E">
        <w:rPr>
          <w:rFonts w:eastAsia="Times New Roman" w:cs="Arial"/>
          <w:bCs/>
          <w:i/>
          <w:iCs/>
          <w:color w:val="000000"/>
          <w:szCs w:val="20"/>
          <w:lang w:eastAsia="bg-BG"/>
        </w:rPr>
        <w:t>Фузидова киселина:</w:t>
      </w:r>
      <w:r w:rsidRPr="007E220E">
        <w:rPr>
          <w:rFonts w:eastAsia="Times New Roman" w:cs="Arial"/>
          <w:bCs/>
          <w:color w:val="000000"/>
          <w:szCs w:val="20"/>
          <w:lang w:eastAsia="bg-BG"/>
        </w:rPr>
        <w:t xml:space="preserve"> Не са провеждани проучвания за изследване на взаимодействия с розувастатин и фузидова киселина. Рискът от миопатия, включително рабдомиолиза, може да се увеличи при едновременна употреба на фузидова киселина за системно приложение и статини. Механизмът на това взаимодействие (фармакодинамично или фармакокинетично, или и двете) е все още неизвестен. Има съобщения за рабдомиолиза (включително няколко с фатален изход) при пациенти, приемащи тази комбинация.</w:t>
      </w:r>
    </w:p>
    <w:p w14:paraId="0795FC0D" w14:textId="77777777" w:rsidR="007E220E" w:rsidRPr="007E220E" w:rsidRDefault="007E220E" w:rsidP="007E220E">
      <w:pPr>
        <w:spacing w:line="240" w:lineRule="auto"/>
        <w:rPr>
          <w:rFonts w:eastAsia="Times New Roman" w:cs="Arial"/>
          <w:bCs/>
          <w:color w:val="000000"/>
          <w:szCs w:val="20"/>
          <w:lang w:eastAsia="bg-BG"/>
        </w:rPr>
      </w:pPr>
    </w:p>
    <w:p w14:paraId="672FE5A2" w14:textId="7BBFC92F"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lang w:eastAsia="bg-BG"/>
        </w:rPr>
        <w:t>Ако терапията с фузидова киселина за системно приложение е наложителна, лечението с Крестор трябва да бъде прекъснато по време на периода на лечение с фузидова киселина. Вижте също точка 4.4.</w:t>
      </w:r>
    </w:p>
    <w:p w14:paraId="4E63F103" w14:textId="77777777" w:rsidR="007E220E" w:rsidRPr="007E220E" w:rsidRDefault="007E220E" w:rsidP="007E220E">
      <w:pPr>
        <w:spacing w:line="240" w:lineRule="auto"/>
        <w:rPr>
          <w:rFonts w:eastAsia="Times New Roman" w:cs="Arial"/>
          <w:bCs/>
          <w:color w:val="000000"/>
          <w:szCs w:val="20"/>
          <w:u w:val="single"/>
          <w:lang w:eastAsia="bg-BG"/>
        </w:rPr>
      </w:pPr>
    </w:p>
    <w:p w14:paraId="33896E2A" w14:textId="1FF32876"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u w:val="single"/>
          <w:lang w:eastAsia="bg-BG"/>
        </w:rPr>
        <w:t>Педиатрична популация</w:t>
      </w:r>
    </w:p>
    <w:p w14:paraId="32FE26D7" w14:textId="3A5413D4" w:rsidR="0030322F" w:rsidRPr="0030322F" w:rsidRDefault="007E220E" w:rsidP="007E220E">
      <w:pPr>
        <w:rPr>
          <w:rFonts w:eastAsia="Times New Roman" w:cs="Arial"/>
          <w:b/>
          <w:bCs/>
          <w:color w:val="000000"/>
          <w:szCs w:val="20"/>
          <w:lang w:eastAsia="bg-BG"/>
        </w:rPr>
      </w:pPr>
      <w:r w:rsidRPr="007E220E">
        <w:rPr>
          <w:rFonts w:eastAsia="Times New Roman" w:cs="Arial"/>
          <w:bCs/>
          <w:color w:val="000000"/>
          <w:szCs w:val="20"/>
          <w:lang w:eastAsia="bg-BG"/>
        </w:rPr>
        <w:t>Проучвания за взаимодействия са провеждани само при възрастни. Степента на взаимодействията в педиатричната популация не е известна.</w:t>
      </w:r>
    </w:p>
    <w:p w14:paraId="67A5889E" w14:textId="6B21D821" w:rsidR="0030322F" w:rsidRPr="0030322F" w:rsidRDefault="0030322F" w:rsidP="0030322F"/>
    <w:p w14:paraId="394A7584" w14:textId="5820A81F" w:rsidR="004F498A" w:rsidRDefault="002C50EE" w:rsidP="004A448E">
      <w:pPr>
        <w:pStyle w:val="Heading2"/>
      </w:pPr>
      <w:r>
        <w:t>4.6. Фертилитет, бременност и кърмене</w:t>
      </w:r>
    </w:p>
    <w:p w14:paraId="77DE9EED" w14:textId="3283D8FE" w:rsidR="007E220E" w:rsidRDefault="007E220E" w:rsidP="007E220E"/>
    <w:p w14:paraId="7E3BDDDC" w14:textId="77777777" w:rsidR="007E220E" w:rsidRPr="007E220E" w:rsidRDefault="007E220E" w:rsidP="007E220E">
      <w:pPr>
        <w:rPr>
          <w:sz w:val="24"/>
          <w:szCs w:val="24"/>
        </w:rPr>
      </w:pPr>
      <w:r w:rsidRPr="007E220E">
        <w:rPr>
          <w:lang w:eastAsia="bg-BG"/>
        </w:rPr>
        <w:t>Крестор е противопоказан по време на бременност и кърмене.</w:t>
      </w:r>
    </w:p>
    <w:p w14:paraId="59BB440C" w14:textId="77777777" w:rsidR="007E220E" w:rsidRPr="007E220E" w:rsidRDefault="007E220E" w:rsidP="007E220E">
      <w:pPr>
        <w:rPr>
          <w:sz w:val="24"/>
          <w:szCs w:val="24"/>
        </w:rPr>
      </w:pPr>
      <w:r w:rsidRPr="007E220E">
        <w:rPr>
          <w:lang w:eastAsia="bg-BG"/>
        </w:rPr>
        <w:t>Жени в детеродна възраст трябва да прилагат подходящи контрацептивни мерки.</w:t>
      </w:r>
    </w:p>
    <w:p w14:paraId="6C438CEA" w14:textId="77777777" w:rsidR="007E220E" w:rsidRDefault="007E220E" w:rsidP="007E220E">
      <w:pPr>
        <w:rPr>
          <w:lang w:eastAsia="bg-BG"/>
        </w:rPr>
      </w:pPr>
    </w:p>
    <w:p w14:paraId="002E5568" w14:textId="0C8F307B" w:rsidR="007E220E" w:rsidRPr="007E220E" w:rsidRDefault="007E220E" w:rsidP="007E220E">
      <w:pPr>
        <w:rPr>
          <w:sz w:val="24"/>
          <w:szCs w:val="24"/>
        </w:rPr>
      </w:pPr>
      <w:r w:rsidRPr="007E220E">
        <w:rPr>
          <w:lang w:eastAsia="bg-BG"/>
        </w:rPr>
        <w:t xml:space="preserve">Холестеролът и други продукти на холестероловия биосинтез са важни за развитието на плода. Ето защо, потенциалният риск от инхибиране на </w:t>
      </w:r>
      <w:r w:rsidRPr="007E220E">
        <w:rPr>
          <w:lang w:val="en-US"/>
        </w:rPr>
        <w:t>HMG</w:t>
      </w:r>
      <w:r w:rsidRPr="007E220E">
        <w:rPr>
          <w:lang w:val="ru-RU"/>
        </w:rPr>
        <w:t>-</w:t>
      </w:r>
      <w:r w:rsidRPr="007E220E">
        <w:rPr>
          <w:lang w:val="en-US"/>
        </w:rPr>
        <w:t>CoA</w:t>
      </w:r>
      <w:r w:rsidRPr="007E220E">
        <w:rPr>
          <w:lang w:val="ru-RU"/>
        </w:rPr>
        <w:t xml:space="preserve"> </w:t>
      </w:r>
      <w:r w:rsidRPr="007E220E">
        <w:rPr>
          <w:lang w:eastAsia="bg-BG"/>
        </w:rPr>
        <w:t>редуктазата е по-голям, в сравнение с ползата от лечението по време на бременност. Изследванията върху животни осигуряват ограничени данни за репродуктивна токсичност (вж. точка 5.3). Ако пациентка забременее по време на лечение с това лекарство, приемът трябва да бъде незабавно преустановен. Розувастатин се отделя в млякото на плъхове. Няма установени данни за отделяне в млякото при хората (вж. точка 4.3).</w:t>
      </w:r>
    </w:p>
    <w:p w14:paraId="07285B86" w14:textId="77777777" w:rsidR="007E220E" w:rsidRPr="007E220E" w:rsidRDefault="007E220E" w:rsidP="007E220E"/>
    <w:p w14:paraId="064DF1DE" w14:textId="7681D7FE" w:rsidR="00CF77F7" w:rsidRDefault="002C50EE" w:rsidP="004A448E">
      <w:pPr>
        <w:pStyle w:val="Heading2"/>
      </w:pPr>
      <w:r>
        <w:t>4.7. Ефекти върху способността за шофиране и работа с машини</w:t>
      </w:r>
    </w:p>
    <w:p w14:paraId="6E482B06" w14:textId="61A779D7" w:rsidR="007E220E" w:rsidRDefault="007E220E" w:rsidP="007E220E"/>
    <w:p w14:paraId="70FA2643" w14:textId="5FDED4F2" w:rsidR="007E220E" w:rsidRDefault="007E220E" w:rsidP="007E220E">
      <w:r>
        <w:t>Не са провеждани проучвания за установяване на влиянието на Крестор върху способността за шофиране и работа с машини. Въз основа на фармакодинамичните свойства, не се очаква Крестор да повлияе неблагоприятно тези способности. При шофиране или работа с машини трябва да се има предвид, че приемането на лекарството може да предизвика световъртеж.</w:t>
      </w:r>
    </w:p>
    <w:p w14:paraId="029C2414" w14:textId="77777777" w:rsidR="007E220E" w:rsidRPr="007E220E" w:rsidRDefault="007E220E" w:rsidP="007E220E"/>
    <w:p w14:paraId="37A3FD9F" w14:textId="39986A76" w:rsidR="00CF77F7" w:rsidRDefault="002C50EE" w:rsidP="004A448E">
      <w:pPr>
        <w:pStyle w:val="Heading2"/>
      </w:pPr>
      <w:r>
        <w:t>4.8. Нежелани лекарствени реакции</w:t>
      </w:r>
    </w:p>
    <w:p w14:paraId="27390A09" w14:textId="5242B497" w:rsidR="007E220E" w:rsidRDefault="007E220E" w:rsidP="007E220E"/>
    <w:p w14:paraId="3E3BD2BC" w14:textId="77777777"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lang w:eastAsia="bg-BG"/>
        </w:rPr>
        <w:t>Нежеланите лекарствени реакции, наблюдавани при употребата на Крестор, обикновено са леки и преходни. При контролираните клинични изпитвания под 4 % от пациентите, лекувани с Крестор, са прекъснали лечението поради нежелани реакции.</w:t>
      </w:r>
    </w:p>
    <w:p w14:paraId="338BFB8C" w14:textId="77777777" w:rsidR="007E220E" w:rsidRPr="007E220E" w:rsidRDefault="007E220E" w:rsidP="007E220E">
      <w:pPr>
        <w:spacing w:line="240" w:lineRule="auto"/>
        <w:rPr>
          <w:rFonts w:eastAsia="Times New Roman" w:cs="Arial"/>
          <w:bCs/>
          <w:color w:val="000000"/>
          <w:szCs w:val="20"/>
          <w:u w:val="single"/>
          <w:lang w:eastAsia="bg-BG"/>
        </w:rPr>
      </w:pPr>
    </w:p>
    <w:p w14:paraId="18104114" w14:textId="107D5754"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u w:val="single"/>
          <w:lang w:eastAsia="bg-BG"/>
        </w:rPr>
        <w:t>Табличен списък на нежеланите реакции</w:t>
      </w:r>
    </w:p>
    <w:p w14:paraId="50240269" w14:textId="77777777" w:rsidR="007E220E" w:rsidRPr="007E220E" w:rsidRDefault="007E220E" w:rsidP="007E220E">
      <w:pPr>
        <w:spacing w:line="240" w:lineRule="auto"/>
        <w:rPr>
          <w:rFonts w:eastAsia="Times New Roman" w:cs="Arial"/>
          <w:bCs/>
          <w:color w:val="000000"/>
          <w:szCs w:val="20"/>
          <w:lang w:eastAsia="bg-BG"/>
        </w:rPr>
      </w:pPr>
    </w:p>
    <w:p w14:paraId="429D5A62" w14:textId="3A6BAEF7"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lang w:eastAsia="bg-BG"/>
        </w:rPr>
        <w:t>Базирана на данни от клинични проучвания и обширен постмаркетингов опит, следната таблица представя профилът на розувастатин по отношение на нежелани лекарствени реакции. Нежеланите реакции, изброени по-долу са класифицирани по честота и системо-органен клас (СОК).</w:t>
      </w:r>
    </w:p>
    <w:p w14:paraId="1935A79B" w14:textId="77777777" w:rsidR="007E220E" w:rsidRPr="007E220E" w:rsidRDefault="007E220E" w:rsidP="007E220E">
      <w:pPr>
        <w:spacing w:line="240" w:lineRule="auto"/>
        <w:rPr>
          <w:rFonts w:eastAsia="Times New Roman" w:cs="Arial"/>
          <w:bCs/>
          <w:color w:val="000000"/>
          <w:szCs w:val="20"/>
          <w:lang w:eastAsia="bg-BG"/>
        </w:rPr>
      </w:pPr>
    </w:p>
    <w:p w14:paraId="29A12B55" w14:textId="296B6CB2"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lang w:eastAsia="bg-BG"/>
        </w:rPr>
        <w:t>Честотата на нежеланите реакции е съобразена със следната конвенция: чести (≥ 1/100 до 1/10); нечести (≥1/1 000 до 1/100); редки (≥1/10 000 до 1/1 000); много редки (&lt; 1/10 000), неизвестна честота (не може да бъде оценена от наличните данни).</w:t>
      </w:r>
    </w:p>
    <w:p w14:paraId="21CF5137" w14:textId="77777777" w:rsidR="007E220E" w:rsidRPr="007E220E" w:rsidRDefault="007E220E" w:rsidP="007E220E">
      <w:pPr>
        <w:spacing w:line="240" w:lineRule="auto"/>
        <w:rPr>
          <w:rFonts w:eastAsia="Times New Roman" w:cs="Arial"/>
          <w:bCs/>
          <w:color w:val="000000"/>
          <w:szCs w:val="20"/>
          <w:lang w:eastAsia="bg-BG"/>
        </w:rPr>
      </w:pPr>
    </w:p>
    <w:p w14:paraId="27082B88" w14:textId="7F7AB71A" w:rsidR="007E220E" w:rsidRPr="007E220E" w:rsidRDefault="007E220E" w:rsidP="007E220E">
      <w:pPr>
        <w:spacing w:line="240" w:lineRule="auto"/>
        <w:rPr>
          <w:rFonts w:eastAsia="Times New Roman" w:cs="Arial"/>
          <w:sz w:val="28"/>
          <w:szCs w:val="24"/>
        </w:rPr>
      </w:pPr>
      <w:r w:rsidRPr="007E220E">
        <w:rPr>
          <w:rFonts w:eastAsia="Times New Roman" w:cs="Arial"/>
          <w:bCs/>
          <w:color w:val="000000"/>
          <w:szCs w:val="20"/>
          <w:lang w:eastAsia="bg-BG"/>
        </w:rPr>
        <w:t>Таблица 2. Нежелани лекарствени реакции базирани на данни от клинични проучвания и постмаркетингов опит</w:t>
      </w:r>
    </w:p>
    <w:tbl>
      <w:tblPr>
        <w:tblStyle w:val="TableGrid"/>
        <w:tblW w:w="0" w:type="auto"/>
        <w:tblLook w:val="04A0" w:firstRow="1" w:lastRow="0" w:firstColumn="1" w:lastColumn="0" w:noHBand="0" w:noVBand="1"/>
      </w:tblPr>
      <w:tblGrid>
        <w:gridCol w:w="1916"/>
        <w:gridCol w:w="1255"/>
        <w:gridCol w:w="1165"/>
        <w:gridCol w:w="1649"/>
        <w:gridCol w:w="1745"/>
        <w:gridCol w:w="1620"/>
      </w:tblGrid>
      <w:tr w:rsidR="007E220E" w14:paraId="36945A8E" w14:textId="77777777" w:rsidTr="007E220E">
        <w:tc>
          <w:tcPr>
            <w:tcW w:w="1964" w:type="dxa"/>
          </w:tcPr>
          <w:p w14:paraId="6420A5C6" w14:textId="61B77C52" w:rsidR="007E220E" w:rsidRPr="007E220E" w:rsidRDefault="007E220E" w:rsidP="007E220E">
            <w:pPr>
              <w:rPr>
                <w:rFonts w:cs="Arial"/>
              </w:rPr>
            </w:pPr>
            <w:r w:rsidRPr="007E220E">
              <w:rPr>
                <w:rFonts w:cs="Arial"/>
                <w:bCs/>
                <w:szCs w:val="20"/>
              </w:rPr>
              <w:t>Ситемо-органен клас</w:t>
            </w:r>
          </w:p>
        </w:tc>
        <w:tc>
          <w:tcPr>
            <w:tcW w:w="1284" w:type="dxa"/>
          </w:tcPr>
          <w:p w14:paraId="5384890D" w14:textId="5729426F" w:rsidR="007E220E" w:rsidRPr="007E220E" w:rsidRDefault="007E220E" w:rsidP="007E220E">
            <w:pPr>
              <w:rPr>
                <w:rFonts w:cs="Arial"/>
              </w:rPr>
            </w:pPr>
            <w:r w:rsidRPr="007E220E">
              <w:rPr>
                <w:rFonts w:cs="Arial"/>
                <w:bCs/>
                <w:szCs w:val="20"/>
              </w:rPr>
              <w:t>Чести</w:t>
            </w:r>
          </w:p>
        </w:tc>
        <w:tc>
          <w:tcPr>
            <w:tcW w:w="1192" w:type="dxa"/>
          </w:tcPr>
          <w:p w14:paraId="1E8A95AF" w14:textId="64E684B3" w:rsidR="007E220E" w:rsidRPr="007E220E" w:rsidRDefault="007E220E" w:rsidP="007E220E">
            <w:pPr>
              <w:rPr>
                <w:rFonts w:cs="Arial"/>
              </w:rPr>
            </w:pPr>
            <w:r w:rsidRPr="007E220E">
              <w:rPr>
                <w:rFonts w:cs="Arial"/>
                <w:bCs/>
                <w:szCs w:val="20"/>
              </w:rPr>
              <w:t>Нечести</w:t>
            </w:r>
          </w:p>
        </w:tc>
        <w:tc>
          <w:tcPr>
            <w:tcW w:w="1689" w:type="dxa"/>
          </w:tcPr>
          <w:p w14:paraId="459D2BDF" w14:textId="7A7DA1D6" w:rsidR="007E220E" w:rsidRPr="007E220E" w:rsidRDefault="007E220E" w:rsidP="007E220E">
            <w:pPr>
              <w:rPr>
                <w:rFonts w:cs="Arial"/>
              </w:rPr>
            </w:pPr>
            <w:r w:rsidRPr="007E220E">
              <w:rPr>
                <w:rFonts w:cs="Arial"/>
                <w:bCs/>
                <w:szCs w:val="20"/>
              </w:rPr>
              <w:t>Редки</w:t>
            </w:r>
          </w:p>
        </w:tc>
        <w:tc>
          <w:tcPr>
            <w:tcW w:w="1788" w:type="dxa"/>
          </w:tcPr>
          <w:p w14:paraId="39A8E6EC" w14:textId="40B694A4" w:rsidR="007E220E" w:rsidRPr="007E220E" w:rsidRDefault="007E220E" w:rsidP="007E220E">
            <w:pPr>
              <w:rPr>
                <w:rFonts w:cs="Arial"/>
              </w:rPr>
            </w:pPr>
            <w:r w:rsidRPr="007E220E">
              <w:rPr>
                <w:rFonts w:cs="Arial"/>
                <w:bCs/>
                <w:szCs w:val="20"/>
              </w:rPr>
              <w:t>Много редки</w:t>
            </w:r>
          </w:p>
        </w:tc>
        <w:tc>
          <w:tcPr>
            <w:tcW w:w="1659" w:type="dxa"/>
          </w:tcPr>
          <w:p w14:paraId="1FAFCE91" w14:textId="377121D5" w:rsidR="007E220E" w:rsidRPr="007E220E" w:rsidRDefault="007E220E" w:rsidP="007E220E">
            <w:pPr>
              <w:rPr>
                <w:rFonts w:cs="Arial"/>
              </w:rPr>
            </w:pPr>
            <w:r w:rsidRPr="007E220E">
              <w:rPr>
                <w:rFonts w:cs="Arial"/>
                <w:bCs/>
                <w:szCs w:val="20"/>
              </w:rPr>
              <w:t>Неизвестна честота</w:t>
            </w:r>
          </w:p>
        </w:tc>
      </w:tr>
      <w:tr w:rsidR="007E220E" w14:paraId="12F0C59E" w14:textId="77777777" w:rsidTr="007E220E">
        <w:tc>
          <w:tcPr>
            <w:tcW w:w="1964" w:type="dxa"/>
          </w:tcPr>
          <w:p w14:paraId="7462D72B" w14:textId="0A2BC272" w:rsidR="007E220E" w:rsidRPr="007E220E" w:rsidRDefault="007E220E" w:rsidP="007E220E">
            <w:pPr>
              <w:rPr>
                <w:rFonts w:cs="Arial"/>
              </w:rPr>
            </w:pPr>
            <w:r w:rsidRPr="007E220E">
              <w:rPr>
                <w:rFonts w:cs="Arial"/>
                <w:bCs/>
                <w:i/>
                <w:iCs/>
                <w:szCs w:val="20"/>
              </w:rPr>
              <w:t>Нарушения на кръвта и лимфната система</w:t>
            </w:r>
          </w:p>
        </w:tc>
        <w:tc>
          <w:tcPr>
            <w:tcW w:w="1284" w:type="dxa"/>
          </w:tcPr>
          <w:p w14:paraId="0EE587CE" w14:textId="77777777" w:rsidR="007E220E" w:rsidRPr="007E220E" w:rsidRDefault="007E220E" w:rsidP="007E220E">
            <w:pPr>
              <w:rPr>
                <w:rFonts w:cs="Arial"/>
              </w:rPr>
            </w:pPr>
          </w:p>
        </w:tc>
        <w:tc>
          <w:tcPr>
            <w:tcW w:w="1192" w:type="dxa"/>
          </w:tcPr>
          <w:p w14:paraId="1697B4FE" w14:textId="77777777" w:rsidR="007E220E" w:rsidRPr="007E220E" w:rsidRDefault="007E220E" w:rsidP="007E220E">
            <w:pPr>
              <w:rPr>
                <w:rFonts w:cs="Arial"/>
              </w:rPr>
            </w:pPr>
          </w:p>
        </w:tc>
        <w:tc>
          <w:tcPr>
            <w:tcW w:w="1689" w:type="dxa"/>
          </w:tcPr>
          <w:p w14:paraId="55072EDE" w14:textId="4BCF4FA1" w:rsidR="007E220E" w:rsidRPr="007E220E" w:rsidRDefault="007E220E" w:rsidP="007E220E">
            <w:pPr>
              <w:rPr>
                <w:rFonts w:cs="Arial"/>
              </w:rPr>
            </w:pPr>
            <w:r w:rsidRPr="007E220E">
              <w:rPr>
                <w:rFonts w:cs="Arial"/>
                <w:bCs/>
                <w:szCs w:val="20"/>
              </w:rPr>
              <w:t>Тромбоцитопен ия</w:t>
            </w:r>
          </w:p>
        </w:tc>
        <w:tc>
          <w:tcPr>
            <w:tcW w:w="1788" w:type="dxa"/>
          </w:tcPr>
          <w:p w14:paraId="0F9DD624" w14:textId="77777777" w:rsidR="007E220E" w:rsidRPr="007E220E" w:rsidRDefault="007E220E" w:rsidP="007E220E">
            <w:pPr>
              <w:rPr>
                <w:rFonts w:cs="Arial"/>
              </w:rPr>
            </w:pPr>
          </w:p>
        </w:tc>
        <w:tc>
          <w:tcPr>
            <w:tcW w:w="1659" w:type="dxa"/>
          </w:tcPr>
          <w:p w14:paraId="352CCE3D" w14:textId="77777777" w:rsidR="007E220E" w:rsidRPr="007E220E" w:rsidRDefault="007E220E" w:rsidP="007E220E">
            <w:pPr>
              <w:rPr>
                <w:rFonts w:cs="Arial"/>
              </w:rPr>
            </w:pPr>
          </w:p>
        </w:tc>
      </w:tr>
      <w:tr w:rsidR="007E220E" w14:paraId="6D5BE02B" w14:textId="77777777" w:rsidTr="007E220E">
        <w:tc>
          <w:tcPr>
            <w:tcW w:w="1964" w:type="dxa"/>
          </w:tcPr>
          <w:p w14:paraId="39D9EE81" w14:textId="6B2EA083" w:rsidR="007E220E" w:rsidRPr="007E220E" w:rsidRDefault="007E220E" w:rsidP="007E220E">
            <w:pPr>
              <w:rPr>
                <w:rFonts w:cs="Arial"/>
              </w:rPr>
            </w:pPr>
            <w:r w:rsidRPr="007E220E">
              <w:rPr>
                <w:rFonts w:cs="Arial"/>
                <w:bCs/>
                <w:i/>
                <w:iCs/>
                <w:szCs w:val="20"/>
              </w:rPr>
              <w:t>Нарушения на имунната система</w:t>
            </w:r>
          </w:p>
        </w:tc>
        <w:tc>
          <w:tcPr>
            <w:tcW w:w="1284" w:type="dxa"/>
          </w:tcPr>
          <w:p w14:paraId="789F95DD" w14:textId="77777777" w:rsidR="007E220E" w:rsidRPr="007E220E" w:rsidRDefault="007E220E" w:rsidP="007E220E">
            <w:pPr>
              <w:rPr>
                <w:rFonts w:cs="Arial"/>
              </w:rPr>
            </w:pPr>
          </w:p>
        </w:tc>
        <w:tc>
          <w:tcPr>
            <w:tcW w:w="1192" w:type="dxa"/>
          </w:tcPr>
          <w:p w14:paraId="1D4538AC" w14:textId="77777777" w:rsidR="007E220E" w:rsidRPr="007E220E" w:rsidRDefault="007E220E" w:rsidP="007E220E">
            <w:pPr>
              <w:rPr>
                <w:rFonts w:cs="Arial"/>
              </w:rPr>
            </w:pPr>
          </w:p>
        </w:tc>
        <w:tc>
          <w:tcPr>
            <w:tcW w:w="1689" w:type="dxa"/>
          </w:tcPr>
          <w:p w14:paraId="039BDBDB" w14:textId="76D0B74D" w:rsidR="007E220E" w:rsidRPr="007E220E" w:rsidRDefault="007E220E" w:rsidP="007E220E">
            <w:pPr>
              <w:rPr>
                <w:rFonts w:cs="Arial"/>
              </w:rPr>
            </w:pPr>
            <w:r w:rsidRPr="007E220E">
              <w:rPr>
                <w:rFonts w:cs="Arial"/>
                <w:bCs/>
                <w:szCs w:val="20"/>
              </w:rPr>
              <w:t>Реакции на свръхчувствите лност, включително ангиоедем</w:t>
            </w:r>
          </w:p>
        </w:tc>
        <w:tc>
          <w:tcPr>
            <w:tcW w:w="1788" w:type="dxa"/>
          </w:tcPr>
          <w:p w14:paraId="0D4E0AF9" w14:textId="77777777" w:rsidR="007E220E" w:rsidRPr="007E220E" w:rsidRDefault="007E220E" w:rsidP="007E220E">
            <w:pPr>
              <w:rPr>
                <w:rFonts w:cs="Arial"/>
              </w:rPr>
            </w:pPr>
          </w:p>
        </w:tc>
        <w:tc>
          <w:tcPr>
            <w:tcW w:w="1659" w:type="dxa"/>
          </w:tcPr>
          <w:p w14:paraId="06079E98" w14:textId="77777777" w:rsidR="007E220E" w:rsidRPr="007E220E" w:rsidRDefault="007E220E" w:rsidP="007E220E">
            <w:pPr>
              <w:rPr>
                <w:rFonts w:cs="Arial"/>
              </w:rPr>
            </w:pPr>
          </w:p>
        </w:tc>
      </w:tr>
      <w:tr w:rsidR="007E220E" w14:paraId="4969E9D2" w14:textId="77777777" w:rsidTr="007E220E">
        <w:tc>
          <w:tcPr>
            <w:tcW w:w="1964" w:type="dxa"/>
          </w:tcPr>
          <w:p w14:paraId="78B3BF3D" w14:textId="4014EC99" w:rsidR="007E220E" w:rsidRPr="007E220E" w:rsidRDefault="007E220E" w:rsidP="007E220E">
            <w:pPr>
              <w:rPr>
                <w:rFonts w:cs="Arial"/>
              </w:rPr>
            </w:pPr>
            <w:r w:rsidRPr="007E220E">
              <w:rPr>
                <w:rFonts w:cs="Arial"/>
                <w:bCs/>
                <w:i/>
                <w:iCs/>
                <w:szCs w:val="20"/>
              </w:rPr>
              <w:t>Нарушения на ендокринната система</w:t>
            </w:r>
          </w:p>
        </w:tc>
        <w:tc>
          <w:tcPr>
            <w:tcW w:w="1284" w:type="dxa"/>
          </w:tcPr>
          <w:p w14:paraId="22BC7D79" w14:textId="7DC58B83" w:rsidR="007E220E" w:rsidRPr="007E220E" w:rsidRDefault="007E220E" w:rsidP="007E220E">
            <w:pPr>
              <w:rPr>
                <w:rFonts w:cs="Arial"/>
              </w:rPr>
            </w:pPr>
            <w:r w:rsidRPr="007E220E">
              <w:rPr>
                <w:rFonts w:cs="Arial"/>
                <w:bCs/>
                <w:szCs w:val="20"/>
              </w:rPr>
              <w:t>Захарен диабет</w:t>
            </w:r>
            <w:r w:rsidRPr="007E220E">
              <w:rPr>
                <w:rFonts w:cs="Arial"/>
                <w:bCs/>
                <w:szCs w:val="20"/>
                <w:vertAlign w:val="superscript"/>
              </w:rPr>
              <w:t>1</w:t>
            </w:r>
          </w:p>
        </w:tc>
        <w:tc>
          <w:tcPr>
            <w:tcW w:w="1192" w:type="dxa"/>
          </w:tcPr>
          <w:p w14:paraId="34265D9B" w14:textId="77777777" w:rsidR="007E220E" w:rsidRPr="007E220E" w:rsidRDefault="007E220E" w:rsidP="007E220E">
            <w:pPr>
              <w:rPr>
                <w:rFonts w:cs="Arial"/>
              </w:rPr>
            </w:pPr>
          </w:p>
        </w:tc>
        <w:tc>
          <w:tcPr>
            <w:tcW w:w="1689" w:type="dxa"/>
          </w:tcPr>
          <w:p w14:paraId="3EE1C432" w14:textId="77777777" w:rsidR="007E220E" w:rsidRPr="007E220E" w:rsidRDefault="007E220E" w:rsidP="007E220E">
            <w:pPr>
              <w:rPr>
                <w:rFonts w:cs="Arial"/>
              </w:rPr>
            </w:pPr>
          </w:p>
        </w:tc>
        <w:tc>
          <w:tcPr>
            <w:tcW w:w="1788" w:type="dxa"/>
          </w:tcPr>
          <w:p w14:paraId="7630978A" w14:textId="77777777" w:rsidR="007E220E" w:rsidRPr="007E220E" w:rsidRDefault="007E220E" w:rsidP="007E220E">
            <w:pPr>
              <w:rPr>
                <w:rFonts w:cs="Arial"/>
              </w:rPr>
            </w:pPr>
          </w:p>
        </w:tc>
        <w:tc>
          <w:tcPr>
            <w:tcW w:w="1659" w:type="dxa"/>
          </w:tcPr>
          <w:p w14:paraId="4132801F" w14:textId="77777777" w:rsidR="007E220E" w:rsidRPr="007E220E" w:rsidRDefault="007E220E" w:rsidP="007E220E">
            <w:pPr>
              <w:rPr>
                <w:rFonts w:cs="Arial"/>
              </w:rPr>
            </w:pPr>
          </w:p>
        </w:tc>
      </w:tr>
      <w:tr w:rsidR="007E220E" w14:paraId="0D9821C0" w14:textId="77777777" w:rsidTr="007E220E">
        <w:tc>
          <w:tcPr>
            <w:tcW w:w="1964" w:type="dxa"/>
          </w:tcPr>
          <w:p w14:paraId="7F3BFED8" w14:textId="1E8609F1" w:rsidR="007E220E" w:rsidRPr="007E220E" w:rsidRDefault="007E220E" w:rsidP="007E220E">
            <w:pPr>
              <w:rPr>
                <w:rFonts w:cs="Arial"/>
              </w:rPr>
            </w:pPr>
            <w:r w:rsidRPr="007E220E">
              <w:rPr>
                <w:rFonts w:cs="Arial"/>
                <w:bCs/>
                <w:i/>
                <w:iCs/>
                <w:szCs w:val="20"/>
              </w:rPr>
              <w:t>Психични нарушения</w:t>
            </w:r>
          </w:p>
        </w:tc>
        <w:tc>
          <w:tcPr>
            <w:tcW w:w="1284" w:type="dxa"/>
          </w:tcPr>
          <w:p w14:paraId="3BAC9157" w14:textId="77777777" w:rsidR="007E220E" w:rsidRPr="007E220E" w:rsidRDefault="007E220E" w:rsidP="007E220E">
            <w:pPr>
              <w:rPr>
                <w:rFonts w:cs="Arial"/>
              </w:rPr>
            </w:pPr>
          </w:p>
        </w:tc>
        <w:tc>
          <w:tcPr>
            <w:tcW w:w="1192" w:type="dxa"/>
          </w:tcPr>
          <w:p w14:paraId="66508D98" w14:textId="77777777" w:rsidR="007E220E" w:rsidRPr="007E220E" w:rsidRDefault="007E220E" w:rsidP="007E220E">
            <w:pPr>
              <w:rPr>
                <w:rFonts w:cs="Arial"/>
              </w:rPr>
            </w:pPr>
          </w:p>
        </w:tc>
        <w:tc>
          <w:tcPr>
            <w:tcW w:w="1689" w:type="dxa"/>
          </w:tcPr>
          <w:p w14:paraId="3B54FC00" w14:textId="77777777" w:rsidR="007E220E" w:rsidRPr="007E220E" w:rsidRDefault="007E220E" w:rsidP="007E220E">
            <w:pPr>
              <w:rPr>
                <w:rFonts w:cs="Arial"/>
              </w:rPr>
            </w:pPr>
          </w:p>
        </w:tc>
        <w:tc>
          <w:tcPr>
            <w:tcW w:w="1788" w:type="dxa"/>
          </w:tcPr>
          <w:p w14:paraId="46546889" w14:textId="77777777" w:rsidR="007E220E" w:rsidRPr="007E220E" w:rsidRDefault="007E220E" w:rsidP="007E220E">
            <w:pPr>
              <w:rPr>
                <w:rFonts w:cs="Arial"/>
              </w:rPr>
            </w:pPr>
          </w:p>
        </w:tc>
        <w:tc>
          <w:tcPr>
            <w:tcW w:w="1659" w:type="dxa"/>
          </w:tcPr>
          <w:p w14:paraId="2F3B361F" w14:textId="77777777" w:rsidR="007E220E" w:rsidRPr="007E220E" w:rsidRDefault="007E220E" w:rsidP="007E220E">
            <w:pPr>
              <w:rPr>
                <w:rFonts w:cs="Arial"/>
              </w:rPr>
            </w:pPr>
          </w:p>
        </w:tc>
      </w:tr>
      <w:tr w:rsidR="007E220E" w14:paraId="3B77E1AA" w14:textId="77777777" w:rsidTr="007E220E">
        <w:tc>
          <w:tcPr>
            <w:tcW w:w="1964" w:type="dxa"/>
          </w:tcPr>
          <w:p w14:paraId="2053781A" w14:textId="17382504" w:rsidR="007E220E" w:rsidRPr="007E220E" w:rsidRDefault="007E220E" w:rsidP="007E220E">
            <w:pPr>
              <w:rPr>
                <w:rFonts w:cs="Arial"/>
              </w:rPr>
            </w:pPr>
            <w:r w:rsidRPr="007E220E">
              <w:rPr>
                <w:rFonts w:cs="Arial"/>
                <w:bCs/>
                <w:i/>
                <w:iCs/>
                <w:szCs w:val="20"/>
              </w:rPr>
              <w:t>Нарушения на нервната система</w:t>
            </w:r>
          </w:p>
        </w:tc>
        <w:tc>
          <w:tcPr>
            <w:tcW w:w="1284" w:type="dxa"/>
          </w:tcPr>
          <w:p w14:paraId="3D333D82" w14:textId="5FF0C259" w:rsidR="007E220E" w:rsidRPr="007E220E" w:rsidRDefault="007E220E" w:rsidP="007E220E">
            <w:pPr>
              <w:rPr>
                <w:rFonts w:cs="Arial"/>
              </w:rPr>
            </w:pPr>
            <w:r w:rsidRPr="007E220E">
              <w:rPr>
                <w:rFonts w:cs="Arial"/>
                <w:bCs/>
                <w:szCs w:val="20"/>
              </w:rPr>
              <w:t>Главоболи е Замайване</w:t>
            </w:r>
          </w:p>
        </w:tc>
        <w:tc>
          <w:tcPr>
            <w:tcW w:w="1192" w:type="dxa"/>
          </w:tcPr>
          <w:p w14:paraId="71CB89AD" w14:textId="77777777" w:rsidR="007E220E" w:rsidRPr="007E220E" w:rsidRDefault="007E220E" w:rsidP="007E220E">
            <w:pPr>
              <w:rPr>
                <w:rFonts w:cs="Arial"/>
              </w:rPr>
            </w:pPr>
          </w:p>
        </w:tc>
        <w:tc>
          <w:tcPr>
            <w:tcW w:w="1689" w:type="dxa"/>
          </w:tcPr>
          <w:p w14:paraId="286DAFCE" w14:textId="77777777" w:rsidR="007E220E" w:rsidRPr="007E220E" w:rsidRDefault="007E220E" w:rsidP="007E220E">
            <w:pPr>
              <w:rPr>
                <w:rFonts w:cs="Arial"/>
              </w:rPr>
            </w:pPr>
          </w:p>
        </w:tc>
        <w:tc>
          <w:tcPr>
            <w:tcW w:w="1788" w:type="dxa"/>
          </w:tcPr>
          <w:p w14:paraId="325CBD81" w14:textId="77777777" w:rsidR="007E220E" w:rsidRPr="007E220E" w:rsidRDefault="007E220E" w:rsidP="007E220E">
            <w:pPr>
              <w:rPr>
                <w:rFonts w:cs="Arial"/>
              </w:rPr>
            </w:pPr>
            <w:r w:rsidRPr="007E220E">
              <w:rPr>
                <w:rFonts w:cs="Arial"/>
                <w:bCs/>
                <w:szCs w:val="20"/>
              </w:rPr>
              <w:t>Полиневропатия</w:t>
            </w:r>
          </w:p>
          <w:p w14:paraId="12FE325A" w14:textId="2ADECA4B" w:rsidR="007E220E" w:rsidRPr="007E220E" w:rsidRDefault="007E220E" w:rsidP="007E220E">
            <w:pPr>
              <w:rPr>
                <w:rFonts w:cs="Arial"/>
              </w:rPr>
            </w:pPr>
            <w:r w:rsidRPr="007E220E">
              <w:rPr>
                <w:rFonts w:cs="Arial"/>
                <w:bCs/>
                <w:szCs w:val="20"/>
              </w:rPr>
              <w:t>Загуба на памет</w:t>
            </w:r>
          </w:p>
        </w:tc>
        <w:tc>
          <w:tcPr>
            <w:tcW w:w="1659" w:type="dxa"/>
          </w:tcPr>
          <w:p w14:paraId="40035D36" w14:textId="77777777" w:rsidR="007E220E" w:rsidRPr="007E220E" w:rsidRDefault="007E220E" w:rsidP="007E220E">
            <w:pPr>
              <w:rPr>
                <w:rFonts w:cs="Arial"/>
              </w:rPr>
            </w:pPr>
            <w:r w:rsidRPr="007E220E">
              <w:rPr>
                <w:rFonts w:cs="Arial"/>
                <w:bCs/>
                <w:szCs w:val="20"/>
              </w:rPr>
              <w:t>Периферна</w:t>
            </w:r>
          </w:p>
          <w:p w14:paraId="5C1BC2C6" w14:textId="77777777" w:rsidR="007E220E" w:rsidRPr="007E220E" w:rsidRDefault="007E220E" w:rsidP="007E220E">
            <w:pPr>
              <w:rPr>
                <w:rFonts w:cs="Arial"/>
              </w:rPr>
            </w:pPr>
            <w:r w:rsidRPr="007E220E">
              <w:rPr>
                <w:rFonts w:cs="Arial"/>
                <w:bCs/>
                <w:szCs w:val="20"/>
              </w:rPr>
              <w:t>невропатия</w:t>
            </w:r>
          </w:p>
          <w:p w14:paraId="4EC26391" w14:textId="77777777" w:rsidR="007E220E" w:rsidRPr="007E220E" w:rsidRDefault="007E220E" w:rsidP="007E220E">
            <w:pPr>
              <w:rPr>
                <w:rFonts w:cs="Arial"/>
                <w:bCs/>
                <w:szCs w:val="20"/>
              </w:rPr>
            </w:pPr>
            <w:r w:rsidRPr="007E220E">
              <w:rPr>
                <w:rFonts w:cs="Arial"/>
                <w:bCs/>
                <w:szCs w:val="20"/>
              </w:rPr>
              <w:t>Нарушения на съня</w:t>
            </w:r>
          </w:p>
          <w:p w14:paraId="3CDE693B" w14:textId="56CFCE16" w:rsidR="007E220E" w:rsidRPr="007E220E" w:rsidRDefault="007E220E" w:rsidP="007E220E">
            <w:pPr>
              <w:spacing w:line="240" w:lineRule="auto"/>
              <w:rPr>
                <w:rFonts w:eastAsia="Times New Roman" w:cs="Arial"/>
                <w:szCs w:val="24"/>
              </w:rPr>
            </w:pPr>
            <w:r w:rsidRPr="007E220E">
              <w:rPr>
                <w:rFonts w:eastAsia="Times New Roman" w:cs="Arial"/>
                <w:bCs/>
                <w:color w:val="000000"/>
                <w:szCs w:val="20"/>
                <w:lang w:eastAsia="bg-BG"/>
              </w:rPr>
              <w:t>(включително инсомния и кошмари)</w:t>
            </w:r>
          </w:p>
        </w:tc>
      </w:tr>
      <w:tr w:rsidR="007E220E" w14:paraId="18CEF67C" w14:textId="77777777" w:rsidTr="007E220E">
        <w:tc>
          <w:tcPr>
            <w:tcW w:w="1964" w:type="dxa"/>
          </w:tcPr>
          <w:p w14:paraId="0118F973" w14:textId="59ACF582" w:rsidR="007E220E" w:rsidRPr="007E220E" w:rsidRDefault="007E220E" w:rsidP="007E220E">
            <w:r w:rsidRPr="007E220E">
              <w:rPr>
                <w:bCs/>
                <w:i/>
                <w:iCs/>
                <w:szCs w:val="20"/>
              </w:rPr>
              <w:t>Респираторни, гръдни и медиастинални нарушения</w:t>
            </w:r>
          </w:p>
        </w:tc>
        <w:tc>
          <w:tcPr>
            <w:tcW w:w="1284" w:type="dxa"/>
          </w:tcPr>
          <w:p w14:paraId="36265737" w14:textId="77777777" w:rsidR="007E220E" w:rsidRPr="007E220E" w:rsidRDefault="007E220E" w:rsidP="007E220E"/>
        </w:tc>
        <w:tc>
          <w:tcPr>
            <w:tcW w:w="1192" w:type="dxa"/>
          </w:tcPr>
          <w:p w14:paraId="77ECB9C9" w14:textId="77777777" w:rsidR="007E220E" w:rsidRPr="007E220E" w:rsidRDefault="007E220E" w:rsidP="007E220E"/>
        </w:tc>
        <w:tc>
          <w:tcPr>
            <w:tcW w:w="1689" w:type="dxa"/>
          </w:tcPr>
          <w:p w14:paraId="4FA05366" w14:textId="77777777" w:rsidR="007E220E" w:rsidRPr="007E220E" w:rsidRDefault="007E220E" w:rsidP="007E220E"/>
        </w:tc>
        <w:tc>
          <w:tcPr>
            <w:tcW w:w="1788" w:type="dxa"/>
          </w:tcPr>
          <w:p w14:paraId="54AC41CD" w14:textId="77777777" w:rsidR="007E220E" w:rsidRPr="007E220E" w:rsidRDefault="007E220E" w:rsidP="007E220E"/>
        </w:tc>
        <w:tc>
          <w:tcPr>
            <w:tcW w:w="1659" w:type="dxa"/>
          </w:tcPr>
          <w:p w14:paraId="5B53595C" w14:textId="77777777" w:rsidR="007E220E" w:rsidRPr="007E220E" w:rsidRDefault="007E220E" w:rsidP="007E220E">
            <w:r w:rsidRPr="007E220E">
              <w:rPr>
                <w:bCs/>
                <w:szCs w:val="20"/>
              </w:rPr>
              <w:t>Кашлица</w:t>
            </w:r>
          </w:p>
          <w:p w14:paraId="6F6535D4" w14:textId="27981629" w:rsidR="007E220E" w:rsidRPr="007E220E" w:rsidRDefault="007E220E" w:rsidP="007E220E">
            <w:r w:rsidRPr="007E220E">
              <w:rPr>
                <w:bCs/>
                <w:szCs w:val="20"/>
              </w:rPr>
              <w:t>Диспнея</w:t>
            </w:r>
          </w:p>
        </w:tc>
      </w:tr>
      <w:tr w:rsidR="007E220E" w14:paraId="455C2E94" w14:textId="77777777" w:rsidTr="007E220E">
        <w:tc>
          <w:tcPr>
            <w:tcW w:w="1964" w:type="dxa"/>
          </w:tcPr>
          <w:p w14:paraId="56D2BF3F" w14:textId="1096E06A" w:rsidR="007E220E" w:rsidRPr="007E220E" w:rsidRDefault="007E220E" w:rsidP="007E220E">
            <w:r w:rsidRPr="007E220E">
              <w:rPr>
                <w:bCs/>
                <w:i/>
                <w:iCs/>
                <w:szCs w:val="20"/>
              </w:rPr>
              <w:lastRenderedPageBreak/>
              <w:t>Стомашно-чревни нарушения</w:t>
            </w:r>
          </w:p>
        </w:tc>
        <w:tc>
          <w:tcPr>
            <w:tcW w:w="1284" w:type="dxa"/>
          </w:tcPr>
          <w:p w14:paraId="6DFFC9AC" w14:textId="072BFADC" w:rsidR="007E220E" w:rsidRPr="007E220E" w:rsidRDefault="007E220E" w:rsidP="007E220E">
            <w:r w:rsidRPr="007E220E">
              <w:rPr>
                <w:bCs/>
                <w:szCs w:val="20"/>
              </w:rPr>
              <w:t>Констипац ия Гадене Абдоминал на болка</w:t>
            </w:r>
          </w:p>
        </w:tc>
        <w:tc>
          <w:tcPr>
            <w:tcW w:w="1192" w:type="dxa"/>
          </w:tcPr>
          <w:p w14:paraId="08E8BA02" w14:textId="77777777" w:rsidR="007E220E" w:rsidRPr="007E220E" w:rsidRDefault="007E220E" w:rsidP="007E220E"/>
        </w:tc>
        <w:tc>
          <w:tcPr>
            <w:tcW w:w="1689" w:type="dxa"/>
          </w:tcPr>
          <w:p w14:paraId="63348F34" w14:textId="3D436DD0" w:rsidR="007E220E" w:rsidRPr="007E220E" w:rsidRDefault="007E220E" w:rsidP="007E220E">
            <w:r w:rsidRPr="007E220E">
              <w:rPr>
                <w:bCs/>
                <w:szCs w:val="20"/>
              </w:rPr>
              <w:t>Панкреатит</w:t>
            </w:r>
          </w:p>
        </w:tc>
        <w:tc>
          <w:tcPr>
            <w:tcW w:w="1788" w:type="dxa"/>
          </w:tcPr>
          <w:p w14:paraId="7266ABBC" w14:textId="77777777" w:rsidR="007E220E" w:rsidRPr="007E220E" w:rsidRDefault="007E220E" w:rsidP="007E220E"/>
        </w:tc>
        <w:tc>
          <w:tcPr>
            <w:tcW w:w="1659" w:type="dxa"/>
          </w:tcPr>
          <w:p w14:paraId="67D73013" w14:textId="5ED89EA0" w:rsidR="007E220E" w:rsidRPr="007E220E" w:rsidRDefault="007E220E" w:rsidP="007E220E">
            <w:r w:rsidRPr="007E220E">
              <w:rPr>
                <w:bCs/>
                <w:szCs w:val="20"/>
              </w:rPr>
              <w:t>Диария</w:t>
            </w:r>
          </w:p>
        </w:tc>
      </w:tr>
      <w:tr w:rsidR="007E220E" w14:paraId="5EF636A5" w14:textId="77777777" w:rsidTr="007E220E">
        <w:tc>
          <w:tcPr>
            <w:tcW w:w="1964" w:type="dxa"/>
          </w:tcPr>
          <w:p w14:paraId="7C73D042" w14:textId="374A46B4" w:rsidR="007E220E" w:rsidRPr="007E220E" w:rsidRDefault="007E220E" w:rsidP="007E220E">
            <w:r w:rsidRPr="007E220E">
              <w:rPr>
                <w:bCs/>
                <w:i/>
                <w:iCs/>
                <w:szCs w:val="20"/>
              </w:rPr>
              <w:t>Хепатобилиарни нарушения</w:t>
            </w:r>
          </w:p>
        </w:tc>
        <w:tc>
          <w:tcPr>
            <w:tcW w:w="1284" w:type="dxa"/>
          </w:tcPr>
          <w:p w14:paraId="020974C8" w14:textId="77777777" w:rsidR="007E220E" w:rsidRPr="007E220E" w:rsidRDefault="007E220E" w:rsidP="007E220E"/>
        </w:tc>
        <w:tc>
          <w:tcPr>
            <w:tcW w:w="1192" w:type="dxa"/>
          </w:tcPr>
          <w:p w14:paraId="3FD1D96C" w14:textId="77777777" w:rsidR="007E220E" w:rsidRPr="007E220E" w:rsidRDefault="007E220E" w:rsidP="007E220E"/>
        </w:tc>
        <w:tc>
          <w:tcPr>
            <w:tcW w:w="1689" w:type="dxa"/>
          </w:tcPr>
          <w:p w14:paraId="708EE9FD" w14:textId="3787346B" w:rsidR="007E220E" w:rsidRPr="007E220E" w:rsidRDefault="007E220E" w:rsidP="007E220E">
            <w:r w:rsidRPr="007E220E">
              <w:rPr>
                <w:bCs/>
                <w:szCs w:val="20"/>
              </w:rPr>
              <w:t>Повишени чернодробни трансаминази</w:t>
            </w:r>
          </w:p>
        </w:tc>
        <w:tc>
          <w:tcPr>
            <w:tcW w:w="1788" w:type="dxa"/>
          </w:tcPr>
          <w:p w14:paraId="35B37304" w14:textId="58F2BC38" w:rsidR="007E220E" w:rsidRPr="007E220E" w:rsidRDefault="007E220E" w:rsidP="007E220E">
            <w:r w:rsidRPr="007E220E">
              <w:rPr>
                <w:bCs/>
                <w:szCs w:val="20"/>
              </w:rPr>
              <w:t>Жълтеница Хепатит</w:t>
            </w:r>
          </w:p>
        </w:tc>
        <w:tc>
          <w:tcPr>
            <w:tcW w:w="1659" w:type="dxa"/>
          </w:tcPr>
          <w:p w14:paraId="40502DB4" w14:textId="77777777" w:rsidR="007E220E" w:rsidRPr="007E220E" w:rsidRDefault="007E220E" w:rsidP="007E220E"/>
        </w:tc>
      </w:tr>
      <w:tr w:rsidR="007E220E" w14:paraId="6DCDC76D" w14:textId="77777777" w:rsidTr="007E220E">
        <w:tc>
          <w:tcPr>
            <w:tcW w:w="1964" w:type="dxa"/>
          </w:tcPr>
          <w:p w14:paraId="269B3322" w14:textId="732B97E4" w:rsidR="007E220E" w:rsidRPr="007E220E" w:rsidRDefault="007E220E" w:rsidP="007E220E">
            <w:r w:rsidRPr="007E220E">
              <w:rPr>
                <w:bCs/>
                <w:i/>
                <w:iCs/>
                <w:szCs w:val="20"/>
              </w:rPr>
              <w:t>Нарушения на кожата и подкожната тъкан</w:t>
            </w:r>
          </w:p>
        </w:tc>
        <w:tc>
          <w:tcPr>
            <w:tcW w:w="1284" w:type="dxa"/>
          </w:tcPr>
          <w:p w14:paraId="2B055500" w14:textId="77777777" w:rsidR="007E220E" w:rsidRPr="007E220E" w:rsidRDefault="007E220E" w:rsidP="007E220E"/>
        </w:tc>
        <w:tc>
          <w:tcPr>
            <w:tcW w:w="1192" w:type="dxa"/>
          </w:tcPr>
          <w:p w14:paraId="069ABCF1" w14:textId="6A6F0714" w:rsidR="007E220E" w:rsidRPr="007E220E" w:rsidRDefault="007E220E" w:rsidP="007E220E">
            <w:r w:rsidRPr="007E220E">
              <w:rPr>
                <w:bCs/>
                <w:szCs w:val="20"/>
              </w:rPr>
              <w:t>Пруритус Обрив Уртикария</w:t>
            </w:r>
          </w:p>
        </w:tc>
        <w:tc>
          <w:tcPr>
            <w:tcW w:w="1689" w:type="dxa"/>
          </w:tcPr>
          <w:p w14:paraId="794F1827" w14:textId="77777777" w:rsidR="007E220E" w:rsidRPr="007E220E" w:rsidRDefault="007E220E" w:rsidP="007E220E"/>
        </w:tc>
        <w:tc>
          <w:tcPr>
            <w:tcW w:w="1788" w:type="dxa"/>
          </w:tcPr>
          <w:p w14:paraId="6A5E8F9E" w14:textId="77777777" w:rsidR="007E220E" w:rsidRPr="007E220E" w:rsidRDefault="007E220E" w:rsidP="007E220E"/>
        </w:tc>
        <w:tc>
          <w:tcPr>
            <w:tcW w:w="1659" w:type="dxa"/>
          </w:tcPr>
          <w:p w14:paraId="406F70D8" w14:textId="77777777" w:rsidR="007E220E" w:rsidRPr="007E220E" w:rsidRDefault="007E220E" w:rsidP="007E220E">
            <w:r w:rsidRPr="007E220E">
              <w:rPr>
                <w:bCs/>
                <w:szCs w:val="20"/>
              </w:rPr>
              <w:t xml:space="preserve">Синдром на </w:t>
            </w:r>
            <w:r w:rsidRPr="007E220E">
              <w:rPr>
                <w:bCs/>
                <w:szCs w:val="20"/>
                <w:lang w:val="en-US"/>
              </w:rPr>
              <w:t>Stevens</w:t>
            </w:r>
            <w:r w:rsidRPr="007E220E">
              <w:rPr>
                <w:bCs/>
                <w:szCs w:val="20"/>
                <w:lang w:val="ru-RU"/>
              </w:rPr>
              <w:t>-</w:t>
            </w:r>
            <w:r w:rsidRPr="007E220E">
              <w:rPr>
                <w:bCs/>
                <w:szCs w:val="20"/>
                <w:lang w:val="en-US"/>
              </w:rPr>
              <w:t>Johnson</w:t>
            </w:r>
          </w:p>
          <w:p w14:paraId="0E48DB80" w14:textId="77777777" w:rsidR="007E220E" w:rsidRPr="007E220E" w:rsidRDefault="007E220E" w:rsidP="007E220E">
            <w:r w:rsidRPr="007E220E">
              <w:rPr>
                <w:bCs/>
                <w:szCs w:val="20"/>
              </w:rPr>
              <w:t>лекарствена реакция с еозинофилия и системни</w:t>
            </w:r>
          </w:p>
          <w:p w14:paraId="1C19667D" w14:textId="77777777" w:rsidR="007E220E" w:rsidRPr="007E220E" w:rsidRDefault="007E220E" w:rsidP="007E220E">
            <w:r w:rsidRPr="007E220E">
              <w:rPr>
                <w:bCs/>
                <w:szCs w:val="20"/>
              </w:rPr>
              <w:t>симптоми</w:t>
            </w:r>
          </w:p>
          <w:p w14:paraId="48B89F8D" w14:textId="157D8A9A" w:rsidR="007E220E" w:rsidRPr="007E220E" w:rsidRDefault="007E220E" w:rsidP="007E220E">
            <w:r w:rsidRPr="007E220E">
              <w:rPr>
                <w:bCs/>
                <w:szCs w:val="20"/>
                <w:lang w:val="en-US"/>
              </w:rPr>
              <w:t>(DRESS)</w:t>
            </w:r>
          </w:p>
        </w:tc>
      </w:tr>
      <w:tr w:rsidR="007E220E" w14:paraId="6085727A" w14:textId="77777777" w:rsidTr="007E220E">
        <w:tc>
          <w:tcPr>
            <w:tcW w:w="1964" w:type="dxa"/>
          </w:tcPr>
          <w:p w14:paraId="0A688D52" w14:textId="54C58126" w:rsidR="007E220E" w:rsidRPr="007E220E" w:rsidRDefault="007E220E" w:rsidP="007E220E">
            <w:r w:rsidRPr="007E220E">
              <w:rPr>
                <w:bCs/>
                <w:i/>
                <w:iCs/>
                <w:szCs w:val="20"/>
              </w:rPr>
              <w:t>Нарушения на мускулно- скелетната система и съединителната тъкан</w:t>
            </w:r>
          </w:p>
        </w:tc>
        <w:tc>
          <w:tcPr>
            <w:tcW w:w="1284" w:type="dxa"/>
          </w:tcPr>
          <w:p w14:paraId="68024BD8" w14:textId="37F87ED3" w:rsidR="007E220E" w:rsidRPr="007E220E" w:rsidRDefault="007E220E" w:rsidP="007E220E">
            <w:r w:rsidRPr="007E220E">
              <w:rPr>
                <w:bCs/>
                <w:szCs w:val="20"/>
              </w:rPr>
              <w:t>Миалгия</w:t>
            </w:r>
          </w:p>
        </w:tc>
        <w:tc>
          <w:tcPr>
            <w:tcW w:w="1192" w:type="dxa"/>
          </w:tcPr>
          <w:p w14:paraId="3B247B21" w14:textId="77777777" w:rsidR="007E220E" w:rsidRPr="007E220E" w:rsidRDefault="007E220E" w:rsidP="007E220E"/>
        </w:tc>
        <w:tc>
          <w:tcPr>
            <w:tcW w:w="1689" w:type="dxa"/>
          </w:tcPr>
          <w:p w14:paraId="01947CC8" w14:textId="53262D55" w:rsidR="007E220E" w:rsidRPr="007E220E" w:rsidRDefault="007E220E" w:rsidP="007E220E">
            <w:r w:rsidRPr="007E220E">
              <w:rPr>
                <w:bCs/>
                <w:szCs w:val="20"/>
              </w:rPr>
              <w:t>Миопатия (включително миозит) Рабдомиолиза Лупус-подобен синдром Руптурана мускул</w:t>
            </w:r>
          </w:p>
        </w:tc>
        <w:tc>
          <w:tcPr>
            <w:tcW w:w="1788" w:type="dxa"/>
          </w:tcPr>
          <w:p w14:paraId="3883A553" w14:textId="7AA5F70F" w:rsidR="007E220E" w:rsidRPr="007E220E" w:rsidRDefault="007E220E" w:rsidP="007E220E">
            <w:r w:rsidRPr="007E220E">
              <w:rPr>
                <w:bCs/>
                <w:szCs w:val="20"/>
              </w:rPr>
              <w:t>Артралгия</w:t>
            </w:r>
          </w:p>
        </w:tc>
        <w:tc>
          <w:tcPr>
            <w:tcW w:w="1659" w:type="dxa"/>
          </w:tcPr>
          <w:p w14:paraId="2D6A427D" w14:textId="4C03EAD7" w:rsidR="007E220E" w:rsidRPr="007E220E" w:rsidRDefault="007E220E" w:rsidP="007E220E">
            <w:r w:rsidRPr="007E220E">
              <w:rPr>
                <w:bCs/>
                <w:szCs w:val="20"/>
              </w:rPr>
              <w:t>Нарушения на сухожилията, понякога усложнени от руптура Имуномедиира на некротизираща миопатия</w:t>
            </w:r>
          </w:p>
        </w:tc>
      </w:tr>
      <w:tr w:rsidR="007E220E" w14:paraId="4E8372C1" w14:textId="77777777" w:rsidTr="007E220E">
        <w:tc>
          <w:tcPr>
            <w:tcW w:w="1964" w:type="dxa"/>
          </w:tcPr>
          <w:p w14:paraId="7A858D94" w14:textId="4D5525A1" w:rsidR="007E220E" w:rsidRPr="007E220E" w:rsidRDefault="007E220E" w:rsidP="007E220E">
            <w:r w:rsidRPr="007E220E">
              <w:rPr>
                <w:bCs/>
                <w:i/>
                <w:iCs/>
                <w:szCs w:val="20"/>
              </w:rPr>
              <w:t>Нарушения на бъбреците и пикочните пътище</w:t>
            </w:r>
          </w:p>
        </w:tc>
        <w:tc>
          <w:tcPr>
            <w:tcW w:w="1284" w:type="dxa"/>
          </w:tcPr>
          <w:p w14:paraId="7095701B" w14:textId="77777777" w:rsidR="007E220E" w:rsidRPr="007E220E" w:rsidRDefault="007E220E" w:rsidP="007E220E"/>
        </w:tc>
        <w:tc>
          <w:tcPr>
            <w:tcW w:w="1192" w:type="dxa"/>
          </w:tcPr>
          <w:p w14:paraId="2FFABA10" w14:textId="77777777" w:rsidR="007E220E" w:rsidRPr="007E220E" w:rsidRDefault="007E220E" w:rsidP="007E220E"/>
        </w:tc>
        <w:tc>
          <w:tcPr>
            <w:tcW w:w="1689" w:type="dxa"/>
          </w:tcPr>
          <w:p w14:paraId="40C0D433" w14:textId="77777777" w:rsidR="007E220E" w:rsidRPr="007E220E" w:rsidRDefault="007E220E" w:rsidP="007E220E"/>
        </w:tc>
        <w:tc>
          <w:tcPr>
            <w:tcW w:w="1788" w:type="dxa"/>
          </w:tcPr>
          <w:p w14:paraId="409980F1" w14:textId="56915E10" w:rsidR="007E220E" w:rsidRPr="007E220E" w:rsidRDefault="007E220E" w:rsidP="007E220E">
            <w:r w:rsidRPr="007E220E">
              <w:rPr>
                <w:bCs/>
                <w:szCs w:val="20"/>
              </w:rPr>
              <w:t>Хематурия</w:t>
            </w:r>
          </w:p>
        </w:tc>
        <w:tc>
          <w:tcPr>
            <w:tcW w:w="1659" w:type="dxa"/>
          </w:tcPr>
          <w:p w14:paraId="5BF48447" w14:textId="77777777" w:rsidR="007E220E" w:rsidRPr="007E220E" w:rsidRDefault="007E220E" w:rsidP="007E220E"/>
        </w:tc>
      </w:tr>
      <w:tr w:rsidR="007E220E" w14:paraId="08BA2BE5" w14:textId="77777777" w:rsidTr="007E220E">
        <w:tc>
          <w:tcPr>
            <w:tcW w:w="1964" w:type="dxa"/>
          </w:tcPr>
          <w:p w14:paraId="23D64396" w14:textId="21D27E15" w:rsidR="007E220E" w:rsidRPr="007E220E" w:rsidRDefault="007E220E" w:rsidP="007E220E">
            <w:r w:rsidRPr="007E220E">
              <w:rPr>
                <w:bCs/>
                <w:i/>
                <w:iCs/>
                <w:szCs w:val="20"/>
              </w:rPr>
              <w:t>Нарушения на репродуктивната система и гърдата</w:t>
            </w:r>
          </w:p>
        </w:tc>
        <w:tc>
          <w:tcPr>
            <w:tcW w:w="1284" w:type="dxa"/>
          </w:tcPr>
          <w:p w14:paraId="6DEB936D" w14:textId="77777777" w:rsidR="007E220E" w:rsidRPr="007E220E" w:rsidRDefault="007E220E" w:rsidP="007E220E"/>
        </w:tc>
        <w:tc>
          <w:tcPr>
            <w:tcW w:w="1192" w:type="dxa"/>
          </w:tcPr>
          <w:p w14:paraId="0183B6CF" w14:textId="77777777" w:rsidR="007E220E" w:rsidRPr="007E220E" w:rsidRDefault="007E220E" w:rsidP="007E220E"/>
        </w:tc>
        <w:tc>
          <w:tcPr>
            <w:tcW w:w="1689" w:type="dxa"/>
          </w:tcPr>
          <w:p w14:paraId="3508E091" w14:textId="77777777" w:rsidR="007E220E" w:rsidRPr="007E220E" w:rsidRDefault="007E220E" w:rsidP="007E220E"/>
        </w:tc>
        <w:tc>
          <w:tcPr>
            <w:tcW w:w="1788" w:type="dxa"/>
          </w:tcPr>
          <w:p w14:paraId="309BEB73" w14:textId="233B9F2F" w:rsidR="007E220E" w:rsidRPr="007E220E" w:rsidRDefault="007E220E" w:rsidP="007E220E">
            <w:r w:rsidRPr="007E220E">
              <w:rPr>
                <w:bCs/>
                <w:szCs w:val="20"/>
              </w:rPr>
              <w:t>Гинекомастия</w:t>
            </w:r>
          </w:p>
        </w:tc>
        <w:tc>
          <w:tcPr>
            <w:tcW w:w="1659" w:type="dxa"/>
          </w:tcPr>
          <w:p w14:paraId="68A478C6" w14:textId="77777777" w:rsidR="007E220E" w:rsidRPr="007E220E" w:rsidRDefault="007E220E" w:rsidP="007E220E"/>
        </w:tc>
      </w:tr>
      <w:tr w:rsidR="007E220E" w14:paraId="3764DD7F" w14:textId="77777777" w:rsidTr="007E220E">
        <w:tc>
          <w:tcPr>
            <w:tcW w:w="1964" w:type="dxa"/>
          </w:tcPr>
          <w:p w14:paraId="6932B7D2" w14:textId="4156805A" w:rsidR="007E220E" w:rsidRPr="007E220E" w:rsidRDefault="007E220E" w:rsidP="007E220E">
            <w:r w:rsidRPr="007E220E">
              <w:rPr>
                <w:bCs/>
                <w:i/>
                <w:iCs/>
                <w:szCs w:val="20"/>
              </w:rPr>
              <w:t>Общи нарушения и ефекти на мястото на приложение</w:t>
            </w:r>
          </w:p>
        </w:tc>
        <w:tc>
          <w:tcPr>
            <w:tcW w:w="1284" w:type="dxa"/>
          </w:tcPr>
          <w:p w14:paraId="59C2E601" w14:textId="2E86D1F7" w:rsidR="007E220E" w:rsidRPr="007E220E" w:rsidRDefault="007E220E" w:rsidP="007E220E">
            <w:r w:rsidRPr="007E220E">
              <w:rPr>
                <w:bCs/>
                <w:szCs w:val="20"/>
              </w:rPr>
              <w:t>Астения</w:t>
            </w:r>
          </w:p>
        </w:tc>
        <w:tc>
          <w:tcPr>
            <w:tcW w:w="1192" w:type="dxa"/>
          </w:tcPr>
          <w:p w14:paraId="24FE91BA" w14:textId="77777777" w:rsidR="007E220E" w:rsidRPr="007E220E" w:rsidRDefault="007E220E" w:rsidP="007E220E"/>
        </w:tc>
        <w:tc>
          <w:tcPr>
            <w:tcW w:w="1689" w:type="dxa"/>
          </w:tcPr>
          <w:p w14:paraId="55294C7C" w14:textId="77777777" w:rsidR="007E220E" w:rsidRPr="007E220E" w:rsidRDefault="007E220E" w:rsidP="007E220E"/>
        </w:tc>
        <w:tc>
          <w:tcPr>
            <w:tcW w:w="1788" w:type="dxa"/>
          </w:tcPr>
          <w:p w14:paraId="2C680891" w14:textId="77777777" w:rsidR="007E220E" w:rsidRPr="007E220E" w:rsidRDefault="007E220E" w:rsidP="007E220E"/>
        </w:tc>
        <w:tc>
          <w:tcPr>
            <w:tcW w:w="1659" w:type="dxa"/>
          </w:tcPr>
          <w:p w14:paraId="2E1D5C26" w14:textId="0531BF56" w:rsidR="007E220E" w:rsidRPr="007E220E" w:rsidRDefault="007E220E" w:rsidP="007E220E">
            <w:r w:rsidRPr="007E220E">
              <w:rPr>
                <w:bCs/>
                <w:szCs w:val="20"/>
              </w:rPr>
              <w:t>Едем</w:t>
            </w:r>
          </w:p>
        </w:tc>
      </w:tr>
      <w:tr w:rsidR="007E220E" w14:paraId="78C5AAC6" w14:textId="77777777" w:rsidTr="00064F7C">
        <w:tc>
          <w:tcPr>
            <w:tcW w:w="9576" w:type="dxa"/>
            <w:gridSpan w:val="6"/>
          </w:tcPr>
          <w:p w14:paraId="77545173" w14:textId="6395FCB3" w:rsidR="007E220E" w:rsidRPr="00676E82" w:rsidRDefault="007E220E" w:rsidP="00676E82">
            <w:pPr>
              <w:spacing w:line="240" w:lineRule="auto"/>
              <w:rPr>
                <w:rFonts w:eastAsia="Times New Roman" w:cs="Arial"/>
                <w:sz w:val="28"/>
                <w:szCs w:val="24"/>
              </w:rPr>
            </w:pPr>
            <w:r w:rsidRPr="007E220E">
              <w:rPr>
                <w:rFonts w:eastAsia="Times New Roman" w:cs="Arial"/>
                <w:bCs/>
                <w:color w:val="000000"/>
                <w:szCs w:val="20"/>
                <w:vertAlign w:val="superscript"/>
                <w:lang w:eastAsia="bg-BG"/>
              </w:rPr>
              <w:t>1</w:t>
            </w:r>
            <w:r w:rsidRPr="007E220E">
              <w:rPr>
                <w:rFonts w:eastAsia="Times New Roman" w:cs="Arial"/>
                <w:bCs/>
                <w:color w:val="000000"/>
                <w:szCs w:val="20"/>
                <w:lang w:eastAsia="bg-BG"/>
              </w:rPr>
              <w:t>Честотата ще зависи от наличието или отсъствието на рискови фактори (глюкоза на гладно</w:t>
            </w:r>
            <w:r w:rsidR="00676E82">
              <w:rPr>
                <w:rFonts w:eastAsia="Times New Roman" w:cs="Arial"/>
                <w:sz w:val="28"/>
                <w:szCs w:val="24"/>
              </w:rPr>
              <w:t xml:space="preserve"> </w:t>
            </w:r>
            <w:r w:rsidRPr="00676E82">
              <w:rPr>
                <w:rFonts w:eastAsia="Times New Roman" w:cs="Arial"/>
                <w:bCs/>
                <w:color w:val="000000"/>
                <w:szCs w:val="20"/>
                <w:lang w:eastAsia="bg-BG"/>
              </w:rPr>
              <w:t xml:space="preserve">≥5,6 </w:t>
            </w:r>
            <w:proofErr w:type="spellStart"/>
            <w:r w:rsidRPr="00676E82">
              <w:rPr>
                <w:rFonts w:eastAsia="Times New Roman" w:cs="Arial"/>
                <w:bCs/>
                <w:color w:val="000000"/>
                <w:szCs w:val="20"/>
                <w:lang w:val="en-US"/>
              </w:rPr>
              <w:t>mmol</w:t>
            </w:r>
            <w:proofErr w:type="spellEnd"/>
            <w:r w:rsidRPr="00676E82">
              <w:rPr>
                <w:rFonts w:eastAsia="Times New Roman" w:cs="Arial"/>
                <w:bCs/>
                <w:color w:val="000000"/>
                <w:szCs w:val="20"/>
                <w:lang w:val="ru-RU"/>
              </w:rPr>
              <w:t xml:space="preserve">/1, </w:t>
            </w:r>
            <w:r w:rsidRPr="00676E82">
              <w:rPr>
                <w:rFonts w:eastAsia="Times New Roman" w:cs="Arial"/>
                <w:bCs/>
                <w:color w:val="000000"/>
                <w:szCs w:val="20"/>
                <w:lang w:eastAsia="bg-BG"/>
              </w:rPr>
              <w:t xml:space="preserve">индекс на телесна маса &gt; 30 </w:t>
            </w:r>
            <w:r w:rsidRPr="00676E82">
              <w:rPr>
                <w:rFonts w:eastAsia="Times New Roman" w:cs="Arial"/>
                <w:bCs/>
                <w:color w:val="000000"/>
                <w:szCs w:val="20"/>
                <w:lang w:val="en-US"/>
              </w:rPr>
              <w:t>kg</w:t>
            </w:r>
            <w:r w:rsidRPr="00676E82">
              <w:rPr>
                <w:rFonts w:eastAsia="Times New Roman" w:cs="Arial"/>
                <w:bCs/>
                <w:color w:val="000000"/>
                <w:szCs w:val="20"/>
                <w:lang w:val="ru-RU"/>
              </w:rPr>
              <w:t>/</w:t>
            </w:r>
            <w:r w:rsidRPr="00676E82">
              <w:rPr>
                <w:rFonts w:eastAsia="Times New Roman" w:cs="Arial"/>
                <w:bCs/>
                <w:color w:val="000000"/>
                <w:szCs w:val="20"/>
                <w:lang w:val="en-US"/>
              </w:rPr>
              <w:t>m</w:t>
            </w:r>
            <w:r w:rsidRPr="00676E82">
              <w:rPr>
                <w:rFonts w:eastAsia="Times New Roman" w:cs="Arial"/>
                <w:bCs/>
                <w:color w:val="000000"/>
                <w:szCs w:val="20"/>
                <w:vertAlign w:val="superscript"/>
                <w:lang w:val="ru-RU"/>
              </w:rPr>
              <w:t>2</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повишени стойности на триглицеридите, анамнеза за хипертония).</w:t>
            </w:r>
          </w:p>
        </w:tc>
      </w:tr>
    </w:tbl>
    <w:p w14:paraId="554E2989" w14:textId="77777777" w:rsidR="00676E82" w:rsidRDefault="00676E82" w:rsidP="00676E82">
      <w:pPr>
        <w:spacing w:line="240" w:lineRule="auto"/>
        <w:rPr>
          <w:rFonts w:ascii="Times New Roman" w:eastAsia="Times New Roman" w:hAnsi="Times New Roman" w:cs="Times New Roman"/>
          <w:b/>
          <w:bCs/>
          <w:color w:val="000000"/>
          <w:sz w:val="20"/>
          <w:szCs w:val="20"/>
          <w:lang w:eastAsia="bg-BG"/>
        </w:rPr>
      </w:pPr>
    </w:p>
    <w:p w14:paraId="36C4CB8E" w14:textId="365E28C0"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Както при други инхибитори на </w:t>
      </w:r>
      <w:r w:rsidRPr="00676E82">
        <w:rPr>
          <w:rFonts w:eastAsia="Times New Roman" w:cs="Arial"/>
          <w:bCs/>
          <w:color w:val="000000"/>
          <w:lang w:val="en-US"/>
        </w:rPr>
        <w:t>HMG</w:t>
      </w:r>
      <w:r w:rsidRPr="00676E82">
        <w:rPr>
          <w:rFonts w:eastAsia="Times New Roman" w:cs="Arial"/>
          <w:bCs/>
          <w:color w:val="000000"/>
          <w:lang w:val="ru-RU"/>
        </w:rPr>
        <w:t>-</w:t>
      </w:r>
      <w:r w:rsidRPr="00676E82">
        <w:rPr>
          <w:rFonts w:eastAsia="Times New Roman" w:cs="Arial"/>
          <w:bCs/>
          <w:color w:val="000000"/>
          <w:lang w:val="en-US"/>
        </w:rPr>
        <w:t>CoA</w:t>
      </w:r>
      <w:r w:rsidRPr="00676E82">
        <w:rPr>
          <w:rFonts w:eastAsia="Times New Roman" w:cs="Arial"/>
          <w:bCs/>
          <w:color w:val="000000"/>
          <w:lang w:val="ru-RU"/>
        </w:rPr>
        <w:t xml:space="preserve"> </w:t>
      </w:r>
      <w:r w:rsidRPr="00676E82">
        <w:rPr>
          <w:rFonts w:eastAsia="Times New Roman" w:cs="Arial"/>
          <w:bCs/>
          <w:color w:val="000000"/>
          <w:lang w:eastAsia="bg-BG"/>
        </w:rPr>
        <w:t>редуктазата, честотата на нежеланите лекарствени реакции зависи от дозата на лекарството.</w:t>
      </w:r>
    </w:p>
    <w:p w14:paraId="46D6B803" w14:textId="77777777" w:rsidR="00676E82" w:rsidRPr="00676E82" w:rsidRDefault="00676E82" w:rsidP="00676E82">
      <w:pPr>
        <w:spacing w:line="240" w:lineRule="auto"/>
        <w:rPr>
          <w:rFonts w:eastAsia="Times New Roman" w:cs="Arial"/>
          <w:bCs/>
          <w:color w:val="000000"/>
          <w:u w:val="single"/>
          <w:lang w:eastAsia="bg-BG"/>
        </w:rPr>
      </w:pPr>
    </w:p>
    <w:p w14:paraId="36C1DEDA" w14:textId="2FE03179" w:rsidR="00676E82" w:rsidRPr="00676E82" w:rsidRDefault="00676E82" w:rsidP="00676E82">
      <w:pPr>
        <w:spacing w:line="240" w:lineRule="auto"/>
        <w:rPr>
          <w:rFonts w:eastAsia="Times New Roman" w:cs="Arial"/>
        </w:rPr>
      </w:pPr>
      <w:r w:rsidRPr="00676E82">
        <w:rPr>
          <w:rFonts w:eastAsia="Times New Roman" w:cs="Arial"/>
          <w:bCs/>
          <w:color w:val="000000"/>
          <w:u w:val="single"/>
          <w:lang w:eastAsia="bg-BG"/>
        </w:rPr>
        <w:t>Ефекти върху бъбреците</w:t>
      </w:r>
    </w:p>
    <w:p w14:paraId="468F29FC" w14:textId="77777777"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При пациенти, лекувани с Крестор, е наблюдавана протеинурия, установена при изследване с тест-лентички и която е </w:t>
      </w:r>
      <w:r w:rsidRPr="00676E82">
        <w:rPr>
          <w:rFonts w:eastAsia="Times New Roman" w:cs="Arial"/>
          <w:bCs/>
          <w:i/>
          <w:iCs/>
          <w:color w:val="000000"/>
          <w:lang w:eastAsia="bg-BG"/>
        </w:rPr>
        <w:t>с</w:t>
      </w:r>
      <w:r w:rsidRPr="00676E82">
        <w:rPr>
          <w:rFonts w:eastAsia="Times New Roman" w:cs="Arial"/>
          <w:bCs/>
          <w:color w:val="000000"/>
          <w:lang w:eastAsia="bg-BG"/>
        </w:rPr>
        <w:t xml:space="preserve"> предимно тубулен произход.</w:t>
      </w:r>
    </w:p>
    <w:p w14:paraId="333BDE97" w14:textId="77777777" w:rsidR="00676E82" w:rsidRPr="00676E82" w:rsidRDefault="00676E82" w:rsidP="00676E82">
      <w:pPr>
        <w:rPr>
          <w:rFonts w:eastAsia="Times New Roman" w:cs="Arial"/>
          <w:bCs/>
          <w:color w:val="000000"/>
          <w:lang w:eastAsia="bg-BG"/>
        </w:rPr>
      </w:pPr>
    </w:p>
    <w:p w14:paraId="2108F591" w14:textId="77777777" w:rsidR="00676E82" w:rsidRPr="00676E82" w:rsidRDefault="00676E82" w:rsidP="00676E82">
      <w:pPr>
        <w:rPr>
          <w:rFonts w:eastAsia="Times New Roman" w:cs="Arial"/>
        </w:rPr>
      </w:pPr>
      <w:r w:rsidRPr="00676E82">
        <w:rPr>
          <w:rFonts w:eastAsia="Times New Roman" w:cs="Arial"/>
          <w:bCs/>
          <w:color w:val="000000"/>
          <w:lang w:eastAsia="bg-BG"/>
        </w:rPr>
        <w:t xml:space="preserve">В определени моменти от лечението при &lt; 1 % от пациентите на 10 </w:t>
      </w:r>
      <w:r w:rsidRPr="00676E82">
        <w:rPr>
          <w:rFonts w:eastAsia="Times New Roman" w:cs="Arial"/>
          <w:bCs/>
          <w:color w:val="000000"/>
          <w:lang w:val="en-US"/>
        </w:rPr>
        <w:t>mg</w:t>
      </w:r>
      <w:r w:rsidRPr="00676E82">
        <w:rPr>
          <w:rFonts w:eastAsia="Times New Roman" w:cs="Arial"/>
          <w:bCs/>
          <w:color w:val="000000"/>
          <w:lang w:eastAsia="bg-BG"/>
        </w:rPr>
        <w:t xml:space="preserve"> и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и при приблизително 3 % от пациентите, лекувани с 40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са наблюдавани промени в изследванията за протеин в урината от отрицателен резултат или следи до ++. Незначително отклонение, в посока от отрицателен резултат или следи към +, е наблюдавано при доза 20</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В повечето случаи протеинурията намалява или изчезва спонтанно в процеса на лечението, и не е доказано да предшества остро и прогресивно бъбречно заболяване. От прегледа на данните при клиничните опити и постмаркетинговите проучвания, до сега не е установена причинна връзка между протеинурията и остро или прогресивно бъбречно заболяване.</w:t>
      </w:r>
    </w:p>
    <w:p w14:paraId="712D20C2" w14:textId="77777777" w:rsidR="00676E82" w:rsidRPr="00676E82" w:rsidRDefault="00676E82" w:rsidP="00676E82">
      <w:pPr>
        <w:spacing w:line="240" w:lineRule="auto"/>
        <w:rPr>
          <w:rFonts w:eastAsia="Times New Roman" w:cs="Arial"/>
          <w:bCs/>
          <w:color w:val="000000"/>
          <w:lang w:eastAsia="bg-BG"/>
        </w:rPr>
      </w:pPr>
    </w:p>
    <w:p w14:paraId="6FC17AD6" w14:textId="0200BBB1"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При пациенти, лекувани с Крестор, е наблюдавана хематурия, но клиничните данни сочат, че честотата й е ниска.</w:t>
      </w:r>
    </w:p>
    <w:p w14:paraId="416F50D2" w14:textId="77777777" w:rsidR="00676E82" w:rsidRPr="00676E82" w:rsidRDefault="00676E82" w:rsidP="00676E82">
      <w:pPr>
        <w:spacing w:line="240" w:lineRule="auto"/>
        <w:rPr>
          <w:rFonts w:eastAsia="Times New Roman" w:cs="Arial"/>
          <w:bCs/>
          <w:color w:val="000000"/>
          <w:u w:val="single"/>
          <w:lang w:eastAsia="bg-BG"/>
        </w:rPr>
      </w:pPr>
    </w:p>
    <w:p w14:paraId="6C9268AA" w14:textId="6B4E99CD" w:rsidR="00676E82" w:rsidRPr="00676E82" w:rsidRDefault="00676E82" w:rsidP="00676E82">
      <w:pPr>
        <w:spacing w:line="240" w:lineRule="auto"/>
        <w:rPr>
          <w:rFonts w:eastAsia="Times New Roman" w:cs="Arial"/>
        </w:rPr>
      </w:pPr>
      <w:r w:rsidRPr="00676E82">
        <w:rPr>
          <w:rFonts w:eastAsia="Times New Roman" w:cs="Arial"/>
          <w:bCs/>
          <w:color w:val="000000"/>
          <w:u w:val="single"/>
          <w:lang w:eastAsia="bg-BG"/>
        </w:rPr>
        <w:t>Ефекти върху скелетната мускулатура</w:t>
      </w:r>
    </w:p>
    <w:p w14:paraId="47C62497" w14:textId="77777777"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Както при други инхибитори на </w:t>
      </w:r>
      <w:r w:rsidRPr="00676E82">
        <w:rPr>
          <w:rFonts w:eastAsia="Times New Roman" w:cs="Arial"/>
          <w:bCs/>
          <w:color w:val="000000"/>
          <w:lang w:val="en-US"/>
        </w:rPr>
        <w:t>HMG</w:t>
      </w:r>
      <w:r w:rsidRPr="00676E82">
        <w:rPr>
          <w:rFonts w:eastAsia="Times New Roman" w:cs="Arial"/>
          <w:bCs/>
          <w:color w:val="000000"/>
          <w:lang w:val="ru-RU"/>
        </w:rPr>
        <w:t>-</w:t>
      </w:r>
      <w:r w:rsidRPr="00676E82">
        <w:rPr>
          <w:rFonts w:eastAsia="Times New Roman" w:cs="Arial"/>
          <w:bCs/>
          <w:color w:val="000000"/>
          <w:lang w:val="en-US"/>
        </w:rPr>
        <w:t>CoA</w:t>
      </w:r>
      <w:r w:rsidRPr="00676E82">
        <w:rPr>
          <w:rFonts w:eastAsia="Times New Roman" w:cs="Arial"/>
          <w:bCs/>
          <w:color w:val="000000"/>
          <w:lang w:val="ru-RU"/>
        </w:rPr>
        <w:t xml:space="preserve"> </w:t>
      </w:r>
      <w:r w:rsidRPr="00676E82">
        <w:rPr>
          <w:rFonts w:eastAsia="Times New Roman" w:cs="Arial"/>
          <w:bCs/>
          <w:color w:val="000000"/>
          <w:lang w:eastAsia="bg-BG"/>
        </w:rPr>
        <w:t xml:space="preserve">редуктазата, въздействия върху скелетната мускулатура като неусложнена миалгия, миопатия (включително миозит) и рабдомиолиза, са установени при пациенти лекувани с Крестор - във всички терапевтични дози, особено в дози над 20 </w:t>
      </w:r>
      <w:r w:rsidRPr="00676E82">
        <w:rPr>
          <w:rFonts w:eastAsia="Times New Roman" w:cs="Arial"/>
          <w:bCs/>
          <w:color w:val="000000"/>
          <w:lang w:val="en-US"/>
        </w:rPr>
        <w:t>mg</w:t>
      </w:r>
      <w:r w:rsidRPr="00676E82">
        <w:rPr>
          <w:rFonts w:eastAsia="Times New Roman" w:cs="Arial"/>
          <w:bCs/>
          <w:color w:val="000000"/>
          <w:lang w:val="ru-RU"/>
        </w:rPr>
        <w:t>.</w:t>
      </w:r>
    </w:p>
    <w:p w14:paraId="4F3481FC" w14:textId="77777777" w:rsidR="00676E82" w:rsidRPr="00676E82" w:rsidRDefault="00676E82" w:rsidP="00676E82">
      <w:pPr>
        <w:spacing w:line="240" w:lineRule="auto"/>
        <w:rPr>
          <w:rFonts w:eastAsia="Times New Roman" w:cs="Arial"/>
          <w:bCs/>
          <w:color w:val="000000"/>
          <w:lang w:eastAsia="bg-BG"/>
        </w:rPr>
      </w:pPr>
    </w:p>
    <w:p w14:paraId="17767ED0" w14:textId="667C7229"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Увеличение на нивото на СК, вследствие на увеличение на дозата, е наблюдавано при малък брой пациенти на розувастатин; множеството от случаите са леки, преходни и асимптомагични. Ако нивото на СК се повиши (&gt; 5 пъти горната граница на нормата), лечението трябва временно да се преустанови (вж. точка 4.4).</w:t>
      </w:r>
    </w:p>
    <w:p w14:paraId="3242F9A3" w14:textId="77777777" w:rsidR="00676E82" w:rsidRPr="00676E82" w:rsidRDefault="00676E82" w:rsidP="00676E82">
      <w:pPr>
        <w:spacing w:line="240" w:lineRule="auto"/>
        <w:rPr>
          <w:rFonts w:eastAsia="Times New Roman" w:cs="Arial"/>
          <w:bCs/>
          <w:color w:val="000000"/>
          <w:u w:val="single"/>
          <w:lang w:eastAsia="bg-BG"/>
        </w:rPr>
      </w:pPr>
    </w:p>
    <w:p w14:paraId="37EBAFC1" w14:textId="2C6B7A63" w:rsidR="00676E82" w:rsidRPr="00676E82" w:rsidRDefault="00676E82" w:rsidP="00676E82">
      <w:pPr>
        <w:spacing w:line="240" w:lineRule="auto"/>
        <w:rPr>
          <w:rFonts w:eastAsia="Times New Roman" w:cs="Arial"/>
        </w:rPr>
      </w:pPr>
      <w:r w:rsidRPr="00676E82">
        <w:rPr>
          <w:rFonts w:eastAsia="Times New Roman" w:cs="Arial"/>
          <w:bCs/>
          <w:color w:val="000000"/>
          <w:u w:val="single"/>
          <w:lang w:eastAsia="bg-BG"/>
        </w:rPr>
        <w:t>Ефекти върху черния дроб</w:t>
      </w:r>
    </w:p>
    <w:p w14:paraId="67C24FCF" w14:textId="77777777"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Както при други инхибитори на </w:t>
      </w:r>
      <w:r w:rsidRPr="00676E82">
        <w:rPr>
          <w:rFonts w:eastAsia="Times New Roman" w:cs="Arial"/>
          <w:bCs/>
          <w:color w:val="000000"/>
          <w:lang w:val="en-US"/>
        </w:rPr>
        <w:t>HMG</w:t>
      </w:r>
      <w:r w:rsidRPr="00676E82">
        <w:rPr>
          <w:rFonts w:eastAsia="Times New Roman" w:cs="Arial"/>
          <w:bCs/>
          <w:color w:val="000000"/>
          <w:lang w:val="ru-RU"/>
        </w:rPr>
        <w:t>-</w:t>
      </w:r>
      <w:r w:rsidRPr="00676E82">
        <w:rPr>
          <w:rFonts w:eastAsia="Times New Roman" w:cs="Arial"/>
          <w:bCs/>
          <w:color w:val="000000"/>
          <w:lang w:val="en-US"/>
        </w:rPr>
        <w:t>CoA</w:t>
      </w:r>
      <w:r w:rsidRPr="00676E82">
        <w:rPr>
          <w:rFonts w:eastAsia="Times New Roman" w:cs="Arial"/>
          <w:bCs/>
          <w:color w:val="000000"/>
          <w:lang w:val="ru-RU"/>
        </w:rPr>
        <w:t xml:space="preserve"> </w:t>
      </w:r>
      <w:r w:rsidRPr="00676E82">
        <w:rPr>
          <w:rFonts w:eastAsia="Times New Roman" w:cs="Arial"/>
          <w:bCs/>
          <w:color w:val="000000"/>
          <w:lang w:eastAsia="bg-BG"/>
        </w:rPr>
        <w:t>редуктазата, увеличение на трансаминазите, свързано с дозировката, е наблюдавано при малък брой пациенти на розувастатин; по-голяма част от случаите са леки, асимптоматични и преходни.</w:t>
      </w:r>
    </w:p>
    <w:p w14:paraId="2F7CF789" w14:textId="77777777" w:rsidR="00676E82" w:rsidRPr="00676E82" w:rsidRDefault="00676E82" w:rsidP="00676E82">
      <w:pPr>
        <w:spacing w:line="240" w:lineRule="auto"/>
        <w:rPr>
          <w:rFonts w:eastAsia="Times New Roman" w:cs="Arial"/>
          <w:bCs/>
          <w:color w:val="000000"/>
          <w:lang w:eastAsia="bg-BG"/>
        </w:rPr>
      </w:pPr>
    </w:p>
    <w:p w14:paraId="247CAA18" w14:textId="4E6FBB9B"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Крестор</w:t>
      </w:r>
    </w:p>
    <w:p w14:paraId="5D9611CA" w14:textId="77777777"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Следните нежелани реакции са докладвани при някои статини:</w:t>
      </w:r>
    </w:p>
    <w:p w14:paraId="509ED723" w14:textId="77777777" w:rsidR="00676E82" w:rsidRPr="00676E82" w:rsidRDefault="00676E82" w:rsidP="00676E82">
      <w:pPr>
        <w:pStyle w:val="ListParagraph"/>
        <w:numPr>
          <w:ilvl w:val="0"/>
          <w:numId w:val="39"/>
        </w:numPr>
        <w:spacing w:line="240" w:lineRule="auto"/>
        <w:rPr>
          <w:rFonts w:eastAsia="Times New Roman" w:cs="Arial"/>
          <w:bCs/>
          <w:color w:val="000000"/>
          <w:lang w:eastAsia="bg-BG"/>
        </w:rPr>
      </w:pPr>
      <w:r w:rsidRPr="00676E82">
        <w:rPr>
          <w:rFonts w:eastAsia="Times New Roman" w:cs="Arial"/>
          <w:bCs/>
          <w:color w:val="000000"/>
          <w:lang w:eastAsia="bg-BG"/>
        </w:rPr>
        <w:t>Сексуална дисфункция.</w:t>
      </w:r>
    </w:p>
    <w:p w14:paraId="57A276E2" w14:textId="222A6CDB" w:rsidR="00676E82" w:rsidRPr="00676E82" w:rsidRDefault="00676E82" w:rsidP="00676E82">
      <w:pPr>
        <w:pStyle w:val="ListParagraph"/>
        <w:numPr>
          <w:ilvl w:val="0"/>
          <w:numId w:val="39"/>
        </w:numPr>
        <w:spacing w:line="240" w:lineRule="auto"/>
        <w:rPr>
          <w:rFonts w:eastAsia="Times New Roman" w:cs="Arial"/>
          <w:bCs/>
          <w:color w:val="000000"/>
          <w:lang w:eastAsia="bg-BG"/>
        </w:rPr>
      </w:pPr>
      <w:r w:rsidRPr="00676E82">
        <w:rPr>
          <w:rFonts w:eastAsia="Times New Roman" w:cs="Arial"/>
          <w:bCs/>
          <w:color w:val="000000"/>
          <w:lang w:eastAsia="bg-BG"/>
        </w:rPr>
        <w:t>Изолирани случаи на интерстициална белодробна болест, особено при продължителна терапия (вж. точка 4.4).</w:t>
      </w:r>
    </w:p>
    <w:p w14:paraId="1CD8C7B0" w14:textId="77777777" w:rsidR="00676E82" w:rsidRPr="00676E82" w:rsidRDefault="00676E82" w:rsidP="00676E82">
      <w:pPr>
        <w:spacing w:line="240" w:lineRule="auto"/>
        <w:rPr>
          <w:rFonts w:eastAsia="Times New Roman" w:cs="Arial"/>
          <w:bCs/>
          <w:color w:val="000000"/>
          <w:lang w:eastAsia="bg-BG"/>
        </w:rPr>
      </w:pPr>
    </w:p>
    <w:p w14:paraId="0EB79C50" w14:textId="78B041C9"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Докладваната честота на рабдомиолиза, сериозни чернодробни увреди (основно - увеличени чернодробни трансаминази), е по-висока при дозировка от 40 </w:t>
      </w:r>
      <w:r w:rsidRPr="00676E82">
        <w:rPr>
          <w:rFonts w:eastAsia="Times New Roman" w:cs="Arial"/>
          <w:bCs/>
          <w:color w:val="000000"/>
          <w:lang w:val="en-US"/>
        </w:rPr>
        <w:t>mg</w:t>
      </w:r>
      <w:r w:rsidRPr="00676E82">
        <w:rPr>
          <w:rFonts w:eastAsia="Times New Roman" w:cs="Arial"/>
          <w:bCs/>
          <w:color w:val="000000"/>
          <w:lang w:val="ru-RU"/>
        </w:rPr>
        <w:t>.</w:t>
      </w:r>
    </w:p>
    <w:p w14:paraId="7292B3E5" w14:textId="77777777" w:rsidR="00676E82" w:rsidRPr="00676E82" w:rsidRDefault="00676E82" w:rsidP="00676E82">
      <w:pPr>
        <w:spacing w:line="240" w:lineRule="auto"/>
        <w:rPr>
          <w:rFonts w:eastAsia="Times New Roman" w:cs="Arial"/>
          <w:bCs/>
          <w:color w:val="000000"/>
          <w:u w:val="single"/>
          <w:lang w:eastAsia="bg-BG"/>
        </w:rPr>
      </w:pPr>
    </w:p>
    <w:p w14:paraId="34F4653B" w14:textId="43717498" w:rsidR="00676E82" w:rsidRPr="00676E82" w:rsidRDefault="00676E82" w:rsidP="00676E82">
      <w:pPr>
        <w:spacing w:line="240" w:lineRule="auto"/>
        <w:rPr>
          <w:rFonts w:eastAsia="Times New Roman" w:cs="Arial"/>
        </w:rPr>
      </w:pPr>
      <w:r w:rsidRPr="00676E82">
        <w:rPr>
          <w:rFonts w:eastAsia="Times New Roman" w:cs="Arial"/>
          <w:bCs/>
          <w:color w:val="000000"/>
          <w:u w:val="single"/>
          <w:lang w:eastAsia="bg-BG"/>
        </w:rPr>
        <w:t>Педиатрична популация</w:t>
      </w:r>
    </w:p>
    <w:p w14:paraId="1EDC5CCE" w14:textId="77777777"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Повишаване на креатинкиназата &gt; 10</w:t>
      </w:r>
      <w:proofErr w:type="spellStart"/>
      <w:r w:rsidRPr="00676E82">
        <w:rPr>
          <w:rFonts w:eastAsia="Times New Roman" w:cs="Arial"/>
          <w:bCs/>
          <w:color w:val="000000"/>
          <w:lang w:val="en-US"/>
        </w:rPr>
        <w:t>xULN</w:t>
      </w:r>
      <w:proofErr w:type="spellEnd"/>
      <w:r w:rsidRPr="00676E82">
        <w:rPr>
          <w:rFonts w:eastAsia="Times New Roman" w:cs="Arial"/>
          <w:bCs/>
          <w:color w:val="000000"/>
          <w:lang w:val="ru-RU"/>
        </w:rPr>
        <w:t xml:space="preserve"> </w:t>
      </w:r>
      <w:r w:rsidRPr="00676E82">
        <w:rPr>
          <w:rFonts w:eastAsia="Times New Roman" w:cs="Arial"/>
          <w:bCs/>
          <w:color w:val="000000"/>
          <w:lang w:eastAsia="bg-BG"/>
        </w:rPr>
        <w:t>и мускулни симптоми след упражнения или повишена физическа активност, са наблюдавани по-често в едно 52-седмично клинично проучване на деца и юноши, в сравнение с възрастните (вж. точка 4.4). В друг аспект, профилът на безопасност на розувастатин е сходен при деца и юноши, в сравнение с възрастните.</w:t>
      </w:r>
    </w:p>
    <w:p w14:paraId="52C19FC3" w14:textId="77777777" w:rsidR="00676E82" w:rsidRPr="00676E82" w:rsidRDefault="00676E82" w:rsidP="00676E82">
      <w:pPr>
        <w:spacing w:line="240" w:lineRule="auto"/>
        <w:rPr>
          <w:rFonts w:eastAsia="Times New Roman" w:cs="Arial"/>
          <w:bCs/>
          <w:color w:val="000000"/>
          <w:u w:val="single"/>
          <w:lang w:eastAsia="bg-BG"/>
        </w:rPr>
      </w:pPr>
    </w:p>
    <w:p w14:paraId="06E1128C" w14:textId="010C5FBE" w:rsidR="00676E82" w:rsidRPr="00676E82" w:rsidRDefault="00676E82" w:rsidP="00676E82">
      <w:pPr>
        <w:spacing w:line="240" w:lineRule="auto"/>
        <w:rPr>
          <w:rFonts w:eastAsia="Times New Roman" w:cs="Arial"/>
        </w:rPr>
      </w:pPr>
      <w:r w:rsidRPr="00676E82">
        <w:rPr>
          <w:rFonts w:eastAsia="Times New Roman" w:cs="Arial"/>
          <w:bCs/>
          <w:color w:val="000000"/>
          <w:u w:val="single"/>
          <w:lang w:eastAsia="bg-BG"/>
        </w:rPr>
        <w:lastRenderedPageBreak/>
        <w:t>Съобщаване на подозирани нежелани реакции</w:t>
      </w:r>
    </w:p>
    <w:p w14:paraId="039131D2" w14:textId="77777777"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до:</w:t>
      </w:r>
    </w:p>
    <w:p w14:paraId="493606CC" w14:textId="77777777" w:rsidR="00676E82" w:rsidRPr="00676E82" w:rsidRDefault="00676E82" w:rsidP="00676E82">
      <w:pPr>
        <w:spacing w:line="240" w:lineRule="auto"/>
        <w:rPr>
          <w:rFonts w:eastAsia="Times New Roman" w:cs="Arial"/>
          <w:bCs/>
          <w:color w:val="000000"/>
          <w:lang w:eastAsia="bg-BG"/>
        </w:rPr>
      </w:pPr>
    </w:p>
    <w:p w14:paraId="7430F82A" w14:textId="691AEE54"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България</w:t>
      </w:r>
    </w:p>
    <w:p w14:paraId="15AD49EA" w14:textId="77777777"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Изпълнителна агенция по лекарствата ул., Дамян Груев” № 8</w:t>
      </w:r>
    </w:p>
    <w:p w14:paraId="33F943CA" w14:textId="77777777"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1303 София</w:t>
      </w:r>
    </w:p>
    <w:p w14:paraId="7CAA758B" w14:textId="77777777"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Тел.: +359 2 8903417</w:t>
      </w:r>
    </w:p>
    <w:p w14:paraId="326C5B8B" w14:textId="77777777"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уебсайт: </w:t>
      </w:r>
      <w:r w:rsidRPr="00676E82">
        <w:rPr>
          <w:rFonts w:eastAsia="Times New Roman" w:cs="Arial"/>
        </w:rPr>
        <w:fldChar w:fldCharType="begin"/>
      </w:r>
      <w:r w:rsidRPr="00676E82">
        <w:rPr>
          <w:rFonts w:eastAsia="Times New Roman" w:cs="Arial"/>
        </w:rPr>
        <w:instrText xml:space="preserve"> HYPERLINK "http://www.bda.bg" </w:instrText>
      </w:r>
      <w:r w:rsidRPr="00676E82">
        <w:rPr>
          <w:rFonts w:eastAsia="Times New Roman" w:cs="Arial"/>
        </w:rPr>
      </w:r>
      <w:r w:rsidRPr="00676E82">
        <w:rPr>
          <w:rFonts w:eastAsia="Times New Roman" w:cs="Arial"/>
        </w:rPr>
        <w:fldChar w:fldCharType="separate"/>
      </w:r>
      <w:r w:rsidRPr="00676E82">
        <w:rPr>
          <w:rFonts w:eastAsia="Times New Roman" w:cs="Arial"/>
          <w:bCs/>
          <w:color w:val="000000"/>
          <w:u w:val="single"/>
          <w:lang w:val="en-US"/>
        </w:rPr>
        <w:t>www</w:t>
      </w:r>
      <w:r w:rsidRPr="00676E82">
        <w:rPr>
          <w:rFonts w:eastAsia="Times New Roman" w:cs="Arial"/>
          <w:bCs/>
          <w:color w:val="000000"/>
          <w:u w:val="single"/>
          <w:lang w:val="ru-RU"/>
        </w:rPr>
        <w:t>.</w:t>
      </w:r>
      <w:proofErr w:type="spellStart"/>
      <w:r w:rsidRPr="00676E82">
        <w:rPr>
          <w:rFonts w:eastAsia="Times New Roman" w:cs="Arial"/>
          <w:bCs/>
          <w:color w:val="000000"/>
          <w:u w:val="single"/>
          <w:lang w:val="en-US"/>
        </w:rPr>
        <w:t>bda</w:t>
      </w:r>
      <w:proofErr w:type="spellEnd"/>
      <w:r w:rsidRPr="00676E82">
        <w:rPr>
          <w:rFonts w:eastAsia="Times New Roman" w:cs="Arial"/>
          <w:bCs/>
          <w:color w:val="000000"/>
          <w:u w:val="single"/>
          <w:lang w:val="ru-RU"/>
        </w:rPr>
        <w:t>.</w:t>
      </w:r>
      <w:proofErr w:type="spellStart"/>
      <w:r w:rsidRPr="00676E82">
        <w:rPr>
          <w:rFonts w:eastAsia="Times New Roman" w:cs="Arial"/>
          <w:bCs/>
          <w:color w:val="000000"/>
          <w:u w:val="single"/>
          <w:lang w:val="en-US"/>
        </w:rPr>
        <w:t>bg</w:t>
      </w:r>
      <w:proofErr w:type="spellEnd"/>
      <w:r w:rsidRPr="00676E82">
        <w:rPr>
          <w:rFonts w:eastAsia="Times New Roman" w:cs="Arial"/>
        </w:rPr>
        <w:fldChar w:fldCharType="end"/>
      </w:r>
    </w:p>
    <w:p w14:paraId="49C64192" w14:textId="11A895CC" w:rsidR="00676E82" w:rsidRPr="00676E82" w:rsidRDefault="00676E82" w:rsidP="00676E82">
      <w:pPr>
        <w:rPr>
          <w:rFonts w:ascii="Times New Roman" w:eastAsia="Times New Roman" w:hAnsi="Times New Roman" w:cs="Times New Roman"/>
          <w:b/>
          <w:bCs/>
          <w:color w:val="000000"/>
          <w:sz w:val="20"/>
          <w:szCs w:val="20"/>
          <w:lang w:eastAsia="bg-BG"/>
        </w:rPr>
      </w:pPr>
    </w:p>
    <w:p w14:paraId="0A023CE0" w14:textId="5B3E35BD" w:rsidR="00CF77F7" w:rsidRDefault="002C50EE" w:rsidP="004A448E">
      <w:pPr>
        <w:pStyle w:val="Heading2"/>
      </w:pPr>
      <w:r>
        <w:t>4.9. Предозиране</w:t>
      </w:r>
    </w:p>
    <w:p w14:paraId="7CA07A02" w14:textId="3375A393" w:rsidR="00676E82" w:rsidRDefault="00676E82" w:rsidP="00676E82"/>
    <w:p w14:paraId="42B277EE" w14:textId="77777777" w:rsidR="00676E82" w:rsidRPr="00676E82" w:rsidRDefault="00676E82" w:rsidP="00676E82">
      <w:pPr>
        <w:rPr>
          <w:sz w:val="24"/>
          <w:szCs w:val="24"/>
        </w:rPr>
      </w:pPr>
      <w:r w:rsidRPr="00676E82">
        <w:rPr>
          <w:lang w:eastAsia="bg-BG"/>
        </w:rPr>
        <w:t>Няма специфично лечение в случай на предозиране. При предозиране, пациентът трябва да се лекува симптоматично и да се започнат поддържащи мерки според нуждата. Чернодробната функция и нивата на СК трябва да се следят. Малко е вероятно хемодиализата да бъде от полза.</w:t>
      </w:r>
    </w:p>
    <w:p w14:paraId="43111A31" w14:textId="77777777" w:rsidR="00676E82" w:rsidRPr="00676E82" w:rsidRDefault="00676E82" w:rsidP="00676E82"/>
    <w:p w14:paraId="02081B24" w14:textId="1F46E296" w:rsidR="00395555" w:rsidRPr="00395555" w:rsidRDefault="002C50EE" w:rsidP="008A6AF2">
      <w:pPr>
        <w:pStyle w:val="Heading1"/>
      </w:pPr>
      <w:r>
        <w:t>5. ФАРМАКОЛОГИЧНИ СВОЙСТВА</w:t>
      </w:r>
    </w:p>
    <w:p w14:paraId="32B6DE66" w14:textId="53AFC658" w:rsidR="00CF77F7" w:rsidRDefault="002C50EE" w:rsidP="004A448E">
      <w:pPr>
        <w:pStyle w:val="Heading2"/>
      </w:pPr>
      <w:r>
        <w:t>5.1. Фармакодинамични свойства</w:t>
      </w:r>
    </w:p>
    <w:p w14:paraId="1958F27E" w14:textId="045B7B0F" w:rsidR="00676E82" w:rsidRDefault="00676E82" w:rsidP="00676E82"/>
    <w:p w14:paraId="487E47B2" w14:textId="77777777"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lang w:eastAsia="bg-BG"/>
        </w:rPr>
        <w:t xml:space="preserve">Фармякотерапевтична група: инхибитори на </w:t>
      </w:r>
      <w:r w:rsidRPr="00676E82">
        <w:rPr>
          <w:rFonts w:eastAsia="Times New Roman" w:cs="Arial"/>
          <w:bCs/>
          <w:color w:val="000000"/>
          <w:szCs w:val="20"/>
          <w:lang w:val="en-US"/>
        </w:rPr>
        <w:t>HMG</w:t>
      </w:r>
      <w:r w:rsidRPr="00676E82">
        <w:rPr>
          <w:rFonts w:eastAsia="Times New Roman" w:cs="Arial"/>
          <w:bCs/>
          <w:color w:val="000000"/>
          <w:szCs w:val="20"/>
          <w:lang w:val="ru-RU"/>
        </w:rPr>
        <w:t>-</w:t>
      </w:r>
      <w:r w:rsidRPr="00676E82">
        <w:rPr>
          <w:rFonts w:eastAsia="Times New Roman" w:cs="Arial"/>
          <w:bCs/>
          <w:color w:val="000000"/>
          <w:szCs w:val="20"/>
          <w:lang w:val="en-US"/>
        </w:rPr>
        <w:t>CoA</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редуктазата, АТС код: С10АА07</w:t>
      </w:r>
    </w:p>
    <w:p w14:paraId="3CB8212F" w14:textId="77777777" w:rsidR="00676E82" w:rsidRPr="00676E82" w:rsidRDefault="00676E82" w:rsidP="00676E82">
      <w:pPr>
        <w:spacing w:line="240" w:lineRule="auto"/>
        <w:rPr>
          <w:rFonts w:eastAsia="Times New Roman" w:cs="Arial"/>
          <w:bCs/>
          <w:color w:val="000000"/>
          <w:szCs w:val="20"/>
          <w:u w:val="single"/>
          <w:lang w:eastAsia="bg-BG"/>
        </w:rPr>
      </w:pPr>
    </w:p>
    <w:p w14:paraId="2F915A1F" w14:textId="51942E11"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u w:val="single"/>
          <w:lang w:eastAsia="bg-BG"/>
        </w:rPr>
        <w:t>Механизъм на действие</w:t>
      </w:r>
    </w:p>
    <w:p w14:paraId="763B24A9" w14:textId="77777777"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lang w:eastAsia="bg-BG"/>
        </w:rPr>
        <w:t xml:space="preserve">Розувастатин е селективен и конкурентен инхибитор на </w:t>
      </w:r>
      <w:r w:rsidRPr="00676E82">
        <w:rPr>
          <w:rFonts w:eastAsia="Times New Roman" w:cs="Arial"/>
          <w:bCs/>
          <w:color w:val="000000"/>
          <w:szCs w:val="20"/>
          <w:lang w:val="en-US"/>
        </w:rPr>
        <w:t>HMG</w:t>
      </w:r>
      <w:r w:rsidRPr="00676E82">
        <w:rPr>
          <w:rFonts w:eastAsia="Times New Roman" w:cs="Arial"/>
          <w:bCs/>
          <w:color w:val="000000"/>
          <w:szCs w:val="20"/>
          <w:lang w:val="ru-RU"/>
        </w:rPr>
        <w:t>-</w:t>
      </w:r>
      <w:r w:rsidRPr="00676E82">
        <w:rPr>
          <w:rFonts w:eastAsia="Times New Roman" w:cs="Arial"/>
          <w:bCs/>
          <w:color w:val="000000"/>
          <w:szCs w:val="20"/>
          <w:lang w:val="en-US"/>
        </w:rPr>
        <w:t>CoA</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редуктазата, скоростограничаващият ензим, който превръща З-хидрокси-З-метилглутарил коензим А в мевалонат, прекурсор на холестерола. Основно въздействие розувастатин оказва върху черния дроб, органът, в който се извършва намаляване нивото на холестерол.</w:t>
      </w:r>
    </w:p>
    <w:p w14:paraId="23080A79" w14:textId="77777777" w:rsidR="00676E82" w:rsidRPr="00676E82" w:rsidRDefault="00676E82" w:rsidP="00676E82">
      <w:pPr>
        <w:spacing w:line="240" w:lineRule="auto"/>
        <w:rPr>
          <w:rFonts w:eastAsia="Times New Roman" w:cs="Arial"/>
          <w:bCs/>
          <w:color w:val="000000"/>
          <w:szCs w:val="20"/>
          <w:lang w:eastAsia="bg-BG"/>
        </w:rPr>
      </w:pPr>
    </w:p>
    <w:p w14:paraId="55FA5996" w14:textId="7EDDEE33"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lang w:eastAsia="bg-BG"/>
        </w:rPr>
        <w:t xml:space="preserve">Розувастатин увеличава броя на чернодробните </w:t>
      </w:r>
      <w:r w:rsidRPr="00676E82">
        <w:rPr>
          <w:rFonts w:eastAsia="Times New Roman" w:cs="Arial"/>
          <w:bCs/>
          <w:color w:val="000000"/>
          <w:szCs w:val="20"/>
          <w:lang w:val="en-US"/>
        </w:rPr>
        <w:t>LDL</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рецептори върху клетъчната повърхност, като засилва поемането и катаболизма на </w:t>
      </w:r>
      <w:r w:rsidRPr="00676E82">
        <w:rPr>
          <w:rFonts w:eastAsia="Times New Roman" w:cs="Arial"/>
          <w:bCs/>
          <w:color w:val="000000"/>
          <w:szCs w:val="20"/>
          <w:lang w:val="en-US"/>
        </w:rPr>
        <w:t>LDL</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и инхибира чернодробната синтеза на </w:t>
      </w:r>
      <w:r w:rsidRPr="00676E82">
        <w:rPr>
          <w:rFonts w:eastAsia="Times New Roman" w:cs="Arial"/>
          <w:bCs/>
          <w:color w:val="000000"/>
          <w:szCs w:val="20"/>
          <w:lang w:val="en-US"/>
        </w:rPr>
        <w:t>VLDL</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По този начин, розувастатин намалява общия брой на </w:t>
      </w:r>
      <w:r w:rsidRPr="00676E82">
        <w:rPr>
          <w:rFonts w:eastAsia="Times New Roman" w:cs="Arial"/>
          <w:bCs/>
          <w:color w:val="000000"/>
          <w:szCs w:val="20"/>
          <w:lang w:val="en-US"/>
        </w:rPr>
        <w:t>VLDL</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и </w:t>
      </w:r>
      <w:r w:rsidRPr="00676E82">
        <w:rPr>
          <w:rFonts w:eastAsia="Times New Roman" w:cs="Arial"/>
          <w:bCs/>
          <w:color w:val="000000"/>
          <w:szCs w:val="20"/>
          <w:lang w:val="en-US"/>
        </w:rPr>
        <w:t>LDL</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частици.</w:t>
      </w:r>
    </w:p>
    <w:p w14:paraId="71C8962A" w14:textId="77777777" w:rsidR="00676E82" w:rsidRPr="00676E82" w:rsidRDefault="00676E82" w:rsidP="00676E82">
      <w:pPr>
        <w:spacing w:line="240" w:lineRule="auto"/>
        <w:rPr>
          <w:rFonts w:eastAsia="Times New Roman" w:cs="Arial"/>
          <w:bCs/>
          <w:color w:val="000000"/>
          <w:szCs w:val="20"/>
          <w:u w:val="single"/>
          <w:lang w:eastAsia="bg-BG"/>
        </w:rPr>
      </w:pPr>
    </w:p>
    <w:p w14:paraId="004BA271" w14:textId="068685D3"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u w:val="single"/>
          <w:lang w:eastAsia="bg-BG"/>
        </w:rPr>
        <w:t>Фармакодинамични ефекти</w:t>
      </w:r>
    </w:p>
    <w:p w14:paraId="70A37F72" w14:textId="77777777"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lang w:eastAsia="bg-BG"/>
        </w:rPr>
        <w:t xml:space="preserve">Крестор намалява повишения </w:t>
      </w:r>
      <w:r w:rsidRPr="00676E82">
        <w:rPr>
          <w:rFonts w:eastAsia="Times New Roman" w:cs="Arial"/>
          <w:bCs/>
          <w:color w:val="000000"/>
          <w:szCs w:val="20"/>
          <w:lang w:val="en-US"/>
        </w:rPr>
        <w:t>LDL</w:t>
      </w:r>
      <w:r w:rsidRPr="00676E82">
        <w:rPr>
          <w:rFonts w:eastAsia="Times New Roman" w:cs="Arial"/>
          <w:bCs/>
          <w:color w:val="000000"/>
          <w:szCs w:val="20"/>
          <w:lang w:eastAsia="bg-BG"/>
        </w:rPr>
        <w:t xml:space="preserve">-холестерол, общия холестерол и триглицеридите, и повишава </w:t>
      </w:r>
      <w:r w:rsidRPr="00676E82">
        <w:rPr>
          <w:rFonts w:eastAsia="Times New Roman" w:cs="Arial"/>
          <w:bCs/>
          <w:color w:val="000000"/>
          <w:szCs w:val="20"/>
          <w:lang w:val="en-US"/>
        </w:rPr>
        <w:t>HDL</w:t>
      </w:r>
      <w:r w:rsidRPr="00676E82">
        <w:rPr>
          <w:rFonts w:eastAsia="Times New Roman" w:cs="Arial"/>
          <w:bCs/>
          <w:color w:val="000000"/>
          <w:szCs w:val="20"/>
          <w:lang w:eastAsia="bg-BG"/>
        </w:rPr>
        <w:t>-холестерола. Той също понижава АроВ, не</w:t>
      </w:r>
      <w:r w:rsidRPr="00676E82">
        <w:rPr>
          <w:rFonts w:eastAsia="Times New Roman" w:cs="Arial"/>
          <w:bCs/>
          <w:color w:val="000000"/>
          <w:szCs w:val="20"/>
          <w:lang w:val="en-US"/>
        </w:rPr>
        <w:t>HDL</w:t>
      </w:r>
      <w:r w:rsidRPr="00676E82">
        <w:rPr>
          <w:rFonts w:eastAsia="Times New Roman" w:cs="Arial"/>
          <w:bCs/>
          <w:color w:val="000000"/>
          <w:szCs w:val="20"/>
          <w:lang w:val="ru-RU"/>
        </w:rPr>
        <w:t>-</w:t>
      </w:r>
      <w:r w:rsidRPr="00676E82">
        <w:rPr>
          <w:rFonts w:eastAsia="Times New Roman" w:cs="Arial"/>
          <w:bCs/>
          <w:color w:val="000000"/>
          <w:szCs w:val="20"/>
          <w:lang w:val="en-US"/>
        </w:rPr>
        <w:t>C</w:t>
      </w:r>
      <w:r w:rsidRPr="00676E82">
        <w:rPr>
          <w:rFonts w:eastAsia="Times New Roman" w:cs="Arial"/>
          <w:bCs/>
          <w:color w:val="000000"/>
          <w:szCs w:val="20"/>
          <w:lang w:val="ru-RU"/>
        </w:rPr>
        <w:t xml:space="preserve">, </w:t>
      </w:r>
      <w:r w:rsidRPr="00676E82">
        <w:rPr>
          <w:rFonts w:eastAsia="Times New Roman" w:cs="Arial"/>
          <w:bCs/>
          <w:color w:val="000000"/>
          <w:szCs w:val="20"/>
          <w:lang w:val="en-US"/>
        </w:rPr>
        <w:t>VLDL</w:t>
      </w:r>
      <w:r w:rsidRPr="00676E82">
        <w:rPr>
          <w:rFonts w:eastAsia="Times New Roman" w:cs="Arial"/>
          <w:bCs/>
          <w:color w:val="000000"/>
          <w:szCs w:val="20"/>
          <w:lang w:val="ru-RU"/>
        </w:rPr>
        <w:t>-</w:t>
      </w:r>
      <w:r w:rsidRPr="00676E82">
        <w:rPr>
          <w:rFonts w:eastAsia="Times New Roman" w:cs="Arial"/>
          <w:bCs/>
          <w:color w:val="000000"/>
          <w:szCs w:val="20"/>
          <w:lang w:val="en-US"/>
        </w:rPr>
        <w:t>C</w:t>
      </w:r>
      <w:r w:rsidRPr="00676E82">
        <w:rPr>
          <w:rFonts w:eastAsia="Times New Roman" w:cs="Arial"/>
          <w:bCs/>
          <w:color w:val="000000"/>
          <w:szCs w:val="20"/>
          <w:lang w:val="ru-RU"/>
        </w:rPr>
        <w:t xml:space="preserve">, </w:t>
      </w:r>
      <w:r w:rsidRPr="00676E82">
        <w:rPr>
          <w:rFonts w:eastAsia="Times New Roman" w:cs="Arial"/>
          <w:bCs/>
          <w:color w:val="000000"/>
          <w:szCs w:val="20"/>
          <w:lang w:val="en-US"/>
        </w:rPr>
        <w:t>VLDL</w:t>
      </w:r>
      <w:r w:rsidRPr="00676E82">
        <w:rPr>
          <w:rFonts w:eastAsia="Times New Roman" w:cs="Arial"/>
          <w:bCs/>
          <w:color w:val="000000"/>
          <w:szCs w:val="20"/>
          <w:lang w:val="ru-RU"/>
        </w:rPr>
        <w:t>-</w:t>
      </w:r>
      <w:r w:rsidRPr="00676E82">
        <w:rPr>
          <w:rFonts w:eastAsia="Times New Roman" w:cs="Arial"/>
          <w:bCs/>
          <w:color w:val="000000"/>
          <w:szCs w:val="20"/>
          <w:lang w:val="en-US"/>
        </w:rPr>
        <w:t>TG</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и увеличава АроА</w:t>
      </w:r>
      <w:r w:rsidRPr="00676E82">
        <w:rPr>
          <w:rFonts w:eastAsia="Times New Roman" w:cs="Arial"/>
          <w:bCs/>
          <w:color w:val="000000"/>
          <w:szCs w:val="20"/>
          <w:lang w:val="ru-RU"/>
        </w:rPr>
        <w:t>-</w:t>
      </w:r>
      <w:r w:rsidRPr="00676E82">
        <w:rPr>
          <w:rFonts w:eastAsia="Times New Roman" w:cs="Arial"/>
          <w:bCs/>
          <w:color w:val="000000"/>
          <w:szCs w:val="20"/>
          <w:lang w:val="en-US"/>
        </w:rPr>
        <w:t>I</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(вж. таблица 2). Крестор понижава и съотношенията </w:t>
      </w:r>
      <w:r w:rsidRPr="00676E82">
        <w:rPr>
          <w:rFonts w:eastAsia="Times New Roman" w:cs="Arial"/>
          <w:bCs/>
          <w:color w:val="000000"/>
          <w:szCs w:val="20"/>
          <w:lang w:val="en-US"/>
        </w:rPr>
        <w:t>LDL</w:t>
      </w:r>
      <w:r w:rsidRPr="00676E82">
        <w:rPr>
          <w:rFonts w:eastAsia="Times New Roman" w:cs="Arial"/>
          <w:bCs/>
          <w:color w:val="000000"/>
          <w:szCs w:val="20"/>
          <w:lang w:val="ru-RU"/>
        </w:rPr>
        <w:t>-</w:t>
      </w:r>
      <w:r w:rsidRPr="00676E82">
        <w:rPr>
          <w:rFonts w:eastAsia="Times New Roman" w:cs="Arial"/>
          <w:bCs/>
          <w:color w:val="000000"/>
          <w:szCs w:val="20"/>
          <w:lang w:val="en-US"/>
        </w:rPr>
        <w:t>C</w:t>
      </w:r>
      <w:r w:rsidRPr="00676E82">
        <w:rPr>
          <w:rFonts w:eastAsia="Times New Roman" w:cs="Arial"/>
          <w:bCs/>
          <w:color w:val="000000"/>
          <w:szCs w:val="20"/>
          <w:lang w:val="ru-RU"/>
        </w:rPr>
        <w:t>/</w:t>
      </w:r>
      <w:r w:rsidRPr="00676E82">
        <w:rPr>
          <w:rFonts w:eastAsia="Times New Roman" w:cs="Arial"/>
          <w:bCs/>
          <w:color w:val="000000"/>
          <w:szCs w:val="20"/>
          <w:lang w:val="en-US"/>
        </w:rPr>
        <w:t>HDL</w:t>
      </w:r>
      <w:r w:rsidRPr="00676E82">
        <w:rPr>
          <w:rFonts w:eastAsia="Times New Roman" w:cs="Arial"/>
          <w:bCs/>
          <w:color w:val="000000"/>
          <w:szCs w:val="20"/>
          <w:lang w:val="ru-RU"/>
        </w:rPr>
        <w:t>-</w:t>
      </w:r>
      <w:r w:rsidRPr="00676E82">
        <w:rPr>
          <w:rFonts w:eastAsia="Times New Roman" w:cs="Arial"/>
          <w:bCs/>
          <w:color w:val="000000"/>
          <w:szCs w:val="20"/>
          <w:lang w:val="en-US"/>
        </w:rPr>
        <w:t>C</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общ </w:t>
      </w:r>
      <w:r w:rsidRPr="00676E82">
        <w:rPr>
          <w:rFonts w:eastAsia="Times New Roman" w:cs="Arial"/>
          <w:bCs/>
          <w:color w:val="000000"/>
          <w:szCs w:val="20"/>
          <w:lang w:val="en-US"/>
        </w:rPr>
        <w:t>C</w:t>
      </w:r>
      <w:r w:rsidRPr="00676E82">
        <w:rPr>
          <w:rFonts w:eastAsia="Times New Roman" w:cs="Arial"/>
          <w:bCs/>
          <w:color w:val="000000"/>
          <w:szCs w:val="20"/>
          <w:lang w:val="ru-RU"/>
        </w:rPr>
        <w:t>/</w:t>
      </w:r>
      <w:r w:rsidRPr="00676E82">
        <w:rPr>
          <w:rFonts w:eastAsia="Times New Roman" w:cs="Arial"/>
          <w:bCs/>
          <w:color w:val="000000"/>
          <w:szCs w:val="20"/>
          <w:lang w:val="en-US"/>
        </w:rPr>
        <w:t>HDL</w:t>
      </w:r>
      <w:r w:rsidRPr="00676E82">
        <w:rPr>
          <w:rFonts w:eastAsia="Times New Roman" w:cs="Arial"/>
          <w:bCs/>
          <w:color w:val="000000"/>
          <w:szCs w:val="20"/>
          <w:lang w:val="ru-RU"/>
        </w:rPr>
        <w:t>-</w:t>
      </w:r>
      <w:r w:rsidRPr="00676E82">
        <w:rPr>
          <w:rFonts w:eastAsia="Times New Roman" w:cs="Arial"/>
          <w:bCs/>
          <w:color w:val="000000"/>
          <w:szCs w:val="20"/>
          <w:lang w:val="en-US"/>
        </w:rPr>
        <w:t>C</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н</w:t>
      </w:r>
      <w:proofErr w:type="spellStart"/>
      <w:r w:rsidRPr="00676E82">
        <w:rPr>
          <w:rFonts w:eastAsia="Times New Roman" w:cs="Arial"/>
          <w:bCs/>
          <w:color w:val="000000"/>
          <w:szCs w:val="20"/>
          <w:lang w:val="en-US"/>
        </w:rPr>
        <w:t>eHDL</w:t>
      </w:r>
      <w:proofErr w:type="spellEnd"/>
      <w:r w:rsidRPr="00676E82">
        <w:rPr>
          <w:rFonts w:eastAsia="Times New Roman" w:cs="Arial"/>
          <w:bCs/>
          <w:color w:val="000000"/>
          <w:szCs w:val="20"/>
          <w:lang w:val="ru-RU"/>
        </w:rPr>
        <w:t>-</w:t>
      </w:r>
      <w:r w:rsidRPr="00676E82">
        <w:rPr>
          <w:rFonts w:eastAsia="Times New Roman" w:cs="Arial"/>
          <w:bCs/>
          <w:color w:val="000000"/>
          <w:szCs w:val="20"/>
          <w:lang w:val="en-US"/>
        </w:rPr>
        <w:t>C</w:t>
      </w:r>
      <w:r w:rsidRPr="00676E82">
        <w:rPr>
          <w:rFonts w:eastAsia="Times New Roman" w:cs="Arial"/>
          <w:bCs/>
          <w:color w:val="000000"/>
          <w:szCs w:val="20"/>
          <w:lang w:val="ru-RU"/>
        </w:rPr>
        <w:t>/</w:t>
      </w:r>
      <w:r w:rsidRPr="00676E82">
        <w:rPr>
          <w:rFonts w:eastAsia="Times New Roman" w:cs="Arial"/>
          <w:bCs/>
          <w:color w:val="000000"/>
          <w:szCs w:val="20"/>
          <w:lang w:val="en-US"/>
        </w:rPr>
        <w:t>HDL</w:t>
      </w:r>
      <w:r w:rsidRPr="00676E82">
        <w:rPr>
          <w:rFonts w:eastAsia="Times New Roman" w:cs="Arial"/>
          <w:bCs/>
          <w:color w:val="000000"/>
          <w:szCs w:val="20"/>
          <w:lang w:val="ru-RU"/>
        </w:rPr>
        <w:t>-</w:t>
      </w:r>
      <w:r w:rsidRPr="00676E82">
        <w:rPr>
          <w:rFonts w:eastAsia="Times New Roman" w:cs="Arial"/>
          <w:bCs/>
          <w:color w:val="000000"/>
          <w:szCs w:val="20"/>
          <w:lang w:val="en-US"/>
        </w:rPr>
        <w:t>C</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и АроВ/АроА</w:t>
      </w:r>
      <w:r w:rsidRPr="00676E82">
        <w:rPr>
          <w:rFonts w:eastAsia="Times New Roman" w:cs="Arial"/>
          <w:bCs/>
          <w:color w:val="000000"/>
          <w:szCs w:val="20"/>
          <w:lang w:val="ru-RU"/>
        </w:rPr>
        <w:t>-</w:t>
      </w:r>
      <w:r w:rsidRPr="00676E82">
        <w:rPr>
          <w:rFonts w:eastAsia="Times New Roman" w:cs="Arial"/>
          <w:bCs/>
          <w:color w:val="000000"/>
          <w:szCs w:val="20"/>
          <w:lang w:val="en-US"/>
        </w:rPr>
        <w:t>I</w:t>
      </w:r>
      <w:r w:rsidRPr="00676E82">
        <w:rPr>
          <w:rFonts w:eastAsia="Times New Roman" w:cs="Arial"/>
          <w:bCs/>
          <w:color w:val="000000"/>
          <w:szCs w:val="20"/>
          <w:lang w:val="ru-RU"/>
        </w:rPr>
        <w:t>.</w:t>
      </w:r>
    </w:p>
    <w:p w14:paraId="21D56FC7" w14:textId="77777777" w:rsidR="00676E82" w:rsidRPr="00676E82" w:rsidRDefault="00676E82" w:rsidP="00676E82">
      <w:pPr>
        <w:rPr>
          <w:rFonts w:eastAsia="Times New Roman" w:cs="Arial"/>
          <w:bCs/>
          <w:color w:val="000000"/>
          <w:szCs w:val="20"/>
          <w:lang w:eastAsia="bg-BG"/>
        </w:rPr>
      </w:pPr>
    </w:p>
    <w:p w14:paraId="448C932A" w14:textId="28EDAF80" w:rsidR="00676E82" w:rsidRDefault="00676E82" w:rsidP="00676E82">
      <w:pPr>
        <w:rPr>
          <w:rFonts w:eastAsia="Times New Roman" w:cs="Arial"/>
          <w:bCs/>
          <w:color w:val="000000"/>
          <w:szCs w:val="20"/>
          <w:lang w:eastAsia="bg-BG"/>
        </w:rPr>
      </w:pPr>
      <w:r w:rsidRPr="00676E82">
        <w:rPr>
          <w:rFonts w:eastAsia="Times New Roman" w:cs="Arial"/>
          <w:bCs/>
          <w:color w:val="000000"/>
          <w:szCs w:val="20"/>
          <w:lang w:eastAsia="bg-BG"/>
        </w:rPr>
        <w:t xml:space="preserve">Таблица 3. Отговор на дозата при пациенти с първична </w:t>
      </w:r>
      <w:r>
        <w:rPr>
          <w:rFonts w:eastAsia="Times New Roman" w:cs="Arial"/>
          <w:bCs/>
          <w:color w:val="000000"/>
          <w:szCs w:val="20"/>
          <w:lang w:eastAsia="bg-BG"/>
        </w:rPr>
        <w:t xml:space="preserve">хиперхолестеролемия (тип </w:t>
      </w:r>
      <w:proofErr w:type="spellStart"/>
      <w:r>
        <w:rPr>
          <w:rFonts w:eastAsia="Times New Roman" w:cs="Arial"/>
          <w:bCs/>
          <w:color w:val="000000"/>
          <w:szCs w:val="20"/>
          <w:lang w:val="en-US" w:eastAsia="bg-BG"/>
        </w:rPr>
        <w:t>IIa</w:t>
      </w:r>
      <w:proofErr w:type="spellEnd"/>
      <w:r>
        <w:rPr>
          <w:rFonts w:eastAsia="Times New Roman" w:cs="Arial"/>
          <w:bCs/>
          <w:color w:val="000000"/>
          <w:szCs w:val="20"/>
          <w:lang w:eastAsia="bg-BG"/>
        </w:rPr>
        <w:t xml:space="preserve"> и </w:t>
      </w:r>
      <w:proofErr w:type="spellStart"/>
      <w:r>
        <w:rPr>
          <w:rFonts w:eastAsia="Times New Roman" w:cs="Arial"/>
          <w:bCs/>
          <w:color w:val="000000"/>
          <w:szCs w:val="20"/>
          <w:lang w:val="en-US" w:eastAsia="bg-BG"/>
        </w:rPr>
        <w:t>IIb</w:t>
      </w:r>
      <w:proofErr w:type="spellEnd"/>
      <w:r w:rsidRPr="00676E82">
        <w:rPr>
          <w:rFonts w:eastAsia="Times New Roman" w:cs="Arial"/>
          <w:bCs/>
          <w:color w:val="000000"/>
          <w:szCs w:val="20"/>
          <w:lang w:eastAsia="bg-BG"/>
        </w:rPr>
        <w:t>) (коригиран среден процент на промяна от изходното ниво)</w:t>
      </w:r>
    </w:p>
    <w:tbl>
      <w:tblPr>
        <w:tblStyle w:val="TableGrid"/>
        <w:tblW w:w="0" w:type="auto"/>
        <w:tblLook w:val="04A0" w:firstRow="1" w:lastRow="0" w:firstColumn="1" w:lastColumn="0" w:noHBand="0" w:noVBand="1"/>
      </w:tblPr>
      <w:tblGrid>
        <w:gridCol w:w="1122"/>
        <w:gridCol w:w="1001"/>
        <w:gridCol w:w="1026"/>
        <w:gridCol w:w="1034"/>
        <w:gridCol w:w="1030"/>
        <w:gridCol w:w="1009"/>
        <w:gridCol w:w="1055"/>
        <w:gridCol w:w="1033"/>
        <w:gridCol w:w="1040"/>
      </w:tblGrid>
      <w:tr w:rsidR="00676E82" w14:paraId="119C75D6" w14:textId="77777777" w:rsidTr="00676E82">
        <w:tc>
          <w:tcPr>
            <w:tcW w:w="1122" w:type="dxa"/>
          </w:tcPr>
          <w:p w14:paraId="6C4C4A25" w14:textId="751DED71" w:rsidR="00676E82" w:rsidRPr="00676E82" w:rsidRDefault="00676E82" w:rsidP="00676E82">
            <w:pPr>
              <w:rPr>
                <w:rFonts w:cs="Arial"/>
              </w:rPr>
            </w:pPr>
            <w:r w:rsidRPr="00676E82">
              <w:rPr>
                <w:bCs/>
                <w:szCs w:val="20"/>
              </w:rPr>
              <w:t>Доза</w:t>
            </w:r>
          </w:p>
        </w:tc>
        <w:tc>
          <w:tcPr>
            <w:tcW w:w="1051" w:type="dxa"/>
          </w:tcPr>
          <w:p w14:paraId="45C56C4C" w14:textId="182AF812" w:rsidR="00676E82" w:rsidRPr="00676E82" w:rsidRDefault="00676E82" w:rsidP="00676E82">
            <w:pPr>
              <w:rPr>
                <w:rFonts w:cs="Arial"/>
              </w:rPr>
            </w:pPr>
            <w:r w:rsidRPr="00676E82">
              <w:rPr>
                <w:bCs/>
                <w:szCs w:val="20"/>
                <w:lang w:val="en-US"/>
              </w:rPr>
              <w:t>N</w:t>
            </w:r>
          </w:p>
        </w:tc>
        <w:tc>
          <w:tcPr>
            <w:tcW w:w="1056" w:type="dxa"/>
          </w:tcPr>
          <w:p w14:paraId="41D86704" w14:textId="437B934B" w:rsidR="00676E82" w:rsidRPr="00676E82" w:rsidRDefault="00676E82" w:rsidP="00676E82">
            <w:pPr>
              <w:rPr>
                <w:rFonts w:cs="Arial"/>
              </w:rPr>
            </w:pPr>
            <w:r w:rsidRPr="00676E82">
              <w:rPr>
                <w:bCs/>
                <w:szCs w:val="20"/>
                <w:lang w:val="en-US"/>
              </w:rPr>
              <w:t>LDL-C</w:t>
            </w:r>
          </w:p>
        </w:tc>
        <w:tc>
          <w:tcPr>
            <w:tcW w:w="1058" w:type="dxa"/>
          </w:tcPr>
          <w:p w14:paraId="25F4E244" w14:textId="76CE8C65" w:rsidR="00676E82" w:rsidRPr="00676E82" w:rsidRDefault="00676E82" w:rsidP="00676E82">
            <w:pPr>
              <w:rPr>
                <w:rFonts w:cs="Arial"/>
              </w:rPr>
            </w:pPr>
            <w:r w:rsidRPr="00676E82">
              <w:rPr>
                <w:bCs/>
                <w:szCs w:val="20"/>
              </w:rPr>
              <w:t>Общ-С</w:t>
            </w:r>
          </w:p>
        </w:tc>
        <w:tc>
          <w:tcPr>
            <w:tcW w:w="1057" w:type="dxa"/>
          </w:tcPr>
          <w:p w14:paraId="3E990E10" w14:textId="6CECEAF6" w:rsidR="00676E82" w:rsidRPr="00676E82" w:rsidRDefault="00676E82" w:rsidP="00676E82">
            <w:pPr>
              <w:rPr>
                <w:rFonts w:cs="Arial"/>
              </w:rPr>
            </w:pPr>
            <w:r w:rsidRPr="00676E82">
              <w:rPr>
                <w:bCs/>
                <w:szCs w:val="20"/>
                <w:lang w:val="en-US"/>
              </w:rPr>
              <w:t>HDL-C</w:t>
            </w:r>
          </w:p>
        </w:tc>
        <w:tc>
          <w:tcPr>
            <w:tcW w:w="1053" w:type="dxa"/>
          </w:tcPr>
          <w:p w14:paraId="10BD60F8" w14:textId="57FECB56" w:rsidR="00676E82" w:rsidRPr="00676E82" w:rsidRDefault="00676E82" w:rsidP="00676E82">
            <w:pPr>
              <w:rPr>
                <w:rFonts w:cs="Arial"/>
              </w:rPr>
            </w:pPr>
            <w:r w:rsidRPr="00676E82">
              <w:rPr>
                <w:bCs/>
                <w:szCs w:val="20"/>
                <w:lang w:val="en-US"/>
              </w:rPr>
              <w:t>TG</w:t>
            </w:r>
          </w:p>
        </w:tc>
        <w:tc>
          <w:tcPr>
            <w:tcW w:w="1062" w:type="dxa"/>
          </w:tcPr>
          <w:p w14:paraId="4C3DC5D0" w14:textId="64CB98B4" w:rsidR="00676E82" w:rsidRPr="00676E82" w:rsidRDefault="00676E82" w:rsidP="00676E82">
            <w:pPr>
              <w:rPr>
                <w:rFonts w:cs="Arial"/>
              </w:rPr>
            </w:pPr>
            <w:r w:rsidRPr="00676E82">
              <w:rPr>
                <w:bCs/>
                <w:szCs w:val="20"/>
              </w:rPr>
              <w:t>н</w:t>
            </w:r>
            <w:proofErr w:type="spellStart"/>
            <w:r w:rsidRPr="00676E82">
              <w:rPr>
                <w:bCs/>
                <w:szCs w:val="20"/>
                <w:lang w:val="en-US"/>
              </w:rPr>
              <w:t>eHDL</w:t>
            </w:r>
            <w:proofErr w:type="spellEnd"/>
            <w:r w:rsidRPr="00676E82">
              <w:rPr>
                <w:bCs/>
                <w:szCs w:val="20"/>
                <w:lang w:val="en-US"/>
              </w:rPr>
              <w:t>-C</w:t>
            </w:r>
          </w:p>
        </w:tc>
        <w:tc>
          <w:tcPr>
            <w:tcW w:w="1058" w:type="dxa"/>
          </w:tcPr>
          <w:p w14:paraId="78DA8D7B" w14:textId="71AE11E5" w:rsidR="00676E82" w:rsidRPr="00676E82" w:rsidRDefault="00676E82" w:rsidP="00676E82">
            <w:pPr>
              <w:rPr>
                <w:rFonts w:cs="Arial"/>
              </w:rPr>
            </w:pPr>
            <w:r w:rsidRPr="00676E82">
              <w:rPr>
                <w:bCs/>
                <w:szCs w:val="20"/>
              </w:rPr>
              <w:t>АроВ</w:t>
            </w:r>
          </w:p>
        </w:tc>
        <w:tc>
          <w:tcPr>
            <w:tcW w:w="1059" w:type="dxa"/>
          </w:tcPr>
          <w:p w14:paraId="7372AE7A" w14:textId="3DF17C99" w:rsidR="00676E82" w:rsidRPr="00676E82" w:rsidRDefault="00676E82" w:rsidP="00676E82">
            <w:pPr>
              <w:rPr>
                <w:rFonts w:cs="Arial"/>
              </w:rPr>
            </w:pPr>
            <w:r w:rsidRPr="00676E82">
              <w:rPr>
                <w:bCs/>
                <w:szCs w:val="20"/>
              </w:rPr>
              <w:t>АроА-</w:t>
            </w:r>
            <w:r w:rsidRPr="00676E82">
              <w:rPr>
                <w:bCs/>
                <w:szCs w:val="20"/>
                <w:lang w:val="en-US"/>
              </w:rPr>
              <w:t>I</w:t>
            </w:r>
          </w:p>
        </w:tc>
      </w:tr>
      <w:tr w:rsidR="00676E82" w14:paraId="6C13D98F" w14:textId="77777777" w:rsidTr="00676E82">
        <w:tc>
          <w:tcPr>
            <w:tcW w:w="1122" w:type="dxa"/>
          </w:tcPr>
          <w:p w14:paraId="3A613B6E" w14:textId="7445BD8A" w:rsidR="00676E82" w:rsidRPr="00676E82" w:rsidRDefault="00676E82" w:rsidP="00676E82">
            <w:pPr>
              <w:rPr>
                <w:rFonts w:cs="Arial"/>
              </w:rPr>
            </w:pPr>
            <w:r w:rsidRPr="00676E82">
              <w:rPr>
                <w:bCs/>
                <w:szCs w:val="20"/>
              </w:rPr>
              <w:t>Плацебо</w:t>
            </w:r>
          </w:p>
        </w:tc>
        <w:tc>
          <w:tcPr>
            <w:tcW w:w="1051" w:type="dxa"/>
          </w:tcPr>
          <w:p w14:paraId="3F31B6A4" w14:textId="32854DAC" w:rsidR="00676E82" w:rsidRPr="00676E82" w:rsidRDefault="00676E82" w:rsidP="00676E82">
            <w:pPr>
              <w:rPr>
                <w:rFonts w:cs="Arial"/>
              </w:rPr>
            </w:pPr>
            <w:r w:rsidRPr="00676E82">
              <w:rPr>
                <w:bCs/>
                <w:szCs w:val="20"/>
              </w:rPr>
              <w:t>13</w:t>
            </w:r>
          </w:p>
        </w:tc>
        <w:tc>
          <w:tcPr>
            <w:tcW w:w="1056" w:type="dxa"/>
          </w:tcPr>
          <w:p w14:paraId="71387696" w14:textId="3F0180BF" w:rsidR="00676E82" w:rsidRPr="00676E82" w:rsidRDefault="00676E82" w:rsidP="00676E82">
            <w:pPr>
              <w:rPr>
                <w:rFonts w:cs="Arial"/>
              </w:rPr>
            </w:pPr>
            <w:r w:rsidRPr="00676E82">
              <w:rPr>
                <w:bCs/>
                <w:szCs w:val="20"/>
              </w:rPr>
              <w:t>-7</w:t>
            </w:r>
          </w:p>
        </w:tc>
        <w:tc>
          <w:tcPr>
            <w:tcW w:w="1058" w:type="dxa"/>
          </w:tcPr>
          <w:p w14:paraId="1E2A3D7F" w14:textId="37B5013E" w:rsidR="00676E82" w:rsidRPr="00676E82" w:rsidRDefault="00676E82" w:rsidP="00676E82">
            <w:pPr>
              <w:rPr>
                <w:rFonts w:cs="Arial"/>
              </w:rPr>
            </w:pPr>
            <w:r w:rsidRPr="00676E82">
              <w:rPr>
                <w:bCs/>
                <w:szCs w:val="20"/>
              </w:rPr>
              <w:t>-5</w:t>
            </w:r>
          </w:p>
        </w:tc>
        <w:tc>
          <w:tcPr>
            <w:tcW w:w="1057" w:type="dxa"/>
          </w:tcPr>
          <w:p w14:paraId="55860548" w14:textId="35FD89E8" w:rsidR="00676E82" w:rsidRPr="00676E82" w:rsidRDefault="00676E82" w:rsidP="00676E82">
            <w:pPr>
              <w:rPr>
                <w:rFonts w:cs="Arial"/>
              </w:rPr>
            </w:pPr>
            <w:r w:rsidRPr="00676E82">
              <w:rPr>
                <w:bCs/>
                <w:szCs w:val="20"/>
              </w:rPr>
              <w:t>3</w:t>
            </w:r>
          </w:p>
        </w:tc>
        <w:tc>
          <w:tcPr>
            <w:tcW w:w="1053" w:type="dxa"/>
          </w:tcPr>
          <w:p w14:paraId="11857453" w14:textId="5AA04FB6" w:rsidR="00676E82" w:rsidRPr="00676E82" w:rsidRDefault="00676E82" w:rsidP="00676E82">
            <w:pPr>
              <w:rPr>
                <w:rFonts w:cs="Arial"/>
              </w:rPr>
            </w:pPr>
            <w:r w:rsidRPr="00676E82">
              <w:rPr>
                <w:bCs/>
                <w:szCs w:val="20"/>
              </w:rPr>
              <w:t>-3</w:t>
            </w:r>
          </w:p>
        </w:tc>
        <w:tc>
          <w:tcPr>
            <w:tcW w:w="1062" w:type="dxa"/>
          </w:tcPr>
          <w:p w14:paraId="47CC4D79" w14:textId="531EEF6E" w:rsidR="00676E82" w:rsidRPr="00676E82" w:rsidRDefault="00676E82" w:rsidP="00676E82">
            <w:pPr>
              <w:rPr>
                <w:rFonts w:cs="Arial"/>
              </w:rPr>
            </w:pPr>
            <w:r w:rsidRPr="00676E82">
              <w:rPr>
                <w:bCs/>
                <w:szCs w:val="20"/>
              </w:rPr>
              <w:t>-7</w:t>
            </w:r>
          </w:p>
        </w:tc>
        <w:tc>
          <w:tcPr>
            <w:tcW w:w="1058" w:type="dxa"/>
          </w:tcPr>
          <w:p w14:paraId="03C4F314" w14:textId="64D42188" w:rsidR="00676E82" w:rsidRPr="00676E82" w:rsidRDefault="00676E82" w:rsidP="00676E82">
            <w:pPr>
              <w:rPr>
                <w:rFonts w:cs="Arial"/>
              </w:rPr>
            </w:pPr>
            <w:r w:rsidRPr="00676E82">
              <w:rPr>
                <w:bCs/>
                <w:szCs w:val="20"/>
              </w:rPr>
              <w:t>-3</w:t>
            </w:r>
          </w:p>
        </w:tc>
        <w:tc>
          <w:tcPr>
            <w:tcW w:w="1059" w:type="dxa"/>
          </w:tcPr>
          <w:p w14:paraId="35ADEAC2" w14:textId="39173EB1" w:rsidR="00676E82" w:rsidRPr="00676E82" w:rsidRDefault="00676E82" w:rsidP="00676E82">
            <w:pPr>
              <w:rPr>
                <w:rFonts w:cs="Arial"/>
              </w:rPr>
            </w:pPr>
            <w:r w:rsidRPr="00676E82">
              <w:rPr>
                <w:bCs/>
                <w:szCs w:val="20"/>
              </w:rPr>
              <w:t>0</w:t>
            </w:r>
          </w:p>
        </w:tc>
      </w:tr>
      <w:tr w:rsidR="00676E82" w14:paraId="30EC844F" w14:textId="77777777" w:rsidTr="00676E82">
        <w:tc>
          <w:tcPr>
            <w:tcW w:w="1122" w:type="dxa"/>
          </w:tcPr>
          <w:p w14:paraId="508E2EEC" w14:textId="4BCCCF70" w:rsidR="00676E82" w:rsidRPr="00676E82" w:rsidRDefault="00676E82" w:rsidP="00676E82">
            <w:pPr>
              <w:rPr>
                <w:rFonts w:cs="Arial"/>
              </w:rPr>
            </w:pPr>
            <w:r w:rsidRPr="00676E82">
              <w:rPr>
                <w:bCs/>
                <w:szCs w:val="20"/>
              </w:rPr>
              <w:t>5</w:t>
            </w:r>
          </w:p>
        </w:tc>
        <w:tc>
          <w:tcPr>
            <w:tcW w:w="1051" w:type="dxa"/>
          </w:tcPr>
          <w:p w14:paraId="79AAE3D4" w14:textId="0B3ECBF0" w:rsidR="00676E82" w:rsidRPr="00676E82" w:rsidRDefault="00676E82" w:rsidP="00676E82">
            <w:pPr>
              <w:rPr>
                <w:rFonts w:cs="Arial"/>
              </w:rPr>
            </w:pPr>
            <w:r w:rsidRPr="00676E82">
              <w:rPr>
                <w:bCs/>
                <w:szCs w:val="20"/>
              </w:rPr>
              <w:t>17</w:t>
            </w:r>
          </w:p>
        </w:tc>
        <w:tc>
          <w:tcPr>
            <w:tcW w:w="1056" w:type="dxa"/>
          </w:tcPr>
          <w:p w14:paraId="2BF342E3" w14:textId="03227E46" w:rsidR="00676E82" w:rsidRPr="00676E82" w:rsidRDefault="00676E82" w:rsidP="00676E82">
            <w:pPr>
              <w:rPr>
                <w:rFonts w:cs="Arial"/>
              </w:rPr>
            </w:pPr>
            <w:r w:rsidRPr="00676E82">
              <w:rPr>
                <w:bCs/>
                <w:szCs w:val="20"/>
              </w:rPr>
              <w:t>-45</w:t>
            </w:r>
          </w:p>
        </w:tc>
        <w:tc>
          <w:tcPr>
            <w:tcW w:w="1058" w:type="dxa"/>
          </w:tcPr>
          <w:p w14:paraId="2E59D682" w14:textId="5D52ECDD" w:rsidR="00676E82" w:rsidRPr="00676E82" w:rsidRDefault="00676E82" w:rsidP="00676E82">
            <w:pPr>
              <w:rPr>
                <w:rFonts w:cs="Arial"/>
              </w:rPr>
            </w:pPr>
            <w:r w:rsidRPr="00676E82">
              <w:rPr>
                <w:bCs/>
                <w:szCs w:val="20"/>
              </w:rPr>
              <w:t>-33</w:t>
            </w:r>
          </w:p>
        </w:tc>
        <w:tc>
          <w:tcPr>
            <w:tcW w:w="1057" w:type="dxa"/>
          </w:tcPr>
          <w:p w14:paraId="4786FD1D" w14:textId="5155C549" w:rsidR="00676E82" w:rsidRPr="00676E82" w:rsidRDefault="00676E82" w:rsidP="00676E82">
            <w:pPr>
              <w:rPr>
                <w:rFonts w:cs="Arial"/>
              </w:rPr>
            </w:pPr>
            <w:r w:rsidRPr="00676E82">
              <w:rPr>
                <w:bCs/>
                <w:szCs w:val="20"/>
              </w:rPr>
              <w:t>13</w:t>
            </w:r>
          </w:p>
        </w:tc>
        <w:tc>
          <w:tcPr>
            <w:tcW w:w="1053" w:type="dxa"/>
          </w:tcPr>
          <w:p w14:paraId="20A90ABE" w14:textId="627E5AAF" w:rsidR="00676E82" w:rsidRPr="00676E82" w:rsidRDefault="00676E82" w:rsidP="00676E82">
            <w:pPr>
              <w:rPr>
                <w:rFonts w:cs="Arial"/>
              </w:rPr>
            </w:pPr>
            <w:r w:rsidRPr="00676E82">
              <w:rPr>
                <w:bCs/>
                <w:szCs w:val="20"/>
              </w:rPr>
              <w:t>-35</w:t>
            </w:r>
          </w:p>
        </w:tc>
        <w:tc>
          <w:tcPr>
            <w:tcW w:w="1062" w:type="dxa"/>
          </w:tcPr>
          <w:p w14:paraId="100DE043" w14:textId="2469CB42" w:rsidR="00676E82" w:rsidRPr="00676E82" w:rsidRDefault="00676E82" w:rsidP="00676E82">
            <w:pPr>
              <w:rPr>
                <w:rFonts w:cs="Arial"/>
              </w:rPr>
            </w:pPr>
            <w:r w:rsidRPr="00676E82">
              <w:rPr>
                <w:bCs/>
                <w:szCs w:val="20"/>
              </w:rPr>
              <w:t>-44</w:t>
            </w:r>
          </w:p>
        </w:tc>
        <w:tc>
          <w:tcPr>
            <w:tcW w:w="1058" w:type="dxa"/>
          </w:tcPr>
          <w:p w14:paraId="7F611785" w14:textId="09A77B19" w:rsidR="00676E82" w:rsidRPr="00676E82" w:rsidRDefault="00676E82" w:rsidP="00676E82">
            <w:pPr>
              <w:rPr>
                <w:rFonts w:cs="Arial"/>
              </w:rPr>
            </w:pPr>
            <w:r w:rsidRPr="00676E82">
              <w:rPr>
                <w:bCs/>
                <w:szCs w:val="20"/>
              </w:rPr>
              <w:t>-38</w:t>
            </w:r>
          </w:p>
        </w:tc>
        <w:tc>
          <w:tcPr>
            <w:tcW w:w="1059" w:type="dxa"/>
          </w:tcPr>
          <w:p w14:paraId="4AD03776" w14:textId="792A1292" w:rsidR="00676E82" w:rsidRPr="00676E82" w:rsidRDefault="00676E82" w:rsidP="00676E82">
            <w:pPr>
              <w:rPr>
                <w:rFonts w:cs="Arial"/>
              </w:rPr>
            </w:pPr>
            <w:r w:rsidRPr="00676E82">
              <w:rPr>
                <w:bCs/>
                <w:szCs w:val="20"/>
              </w:rPr>
              <w:t>4</w:t>
            </w:r>
          </w:p>
        </w:tc>
      </w:tr>
      <w:tr w:rsidR="00676E82" w14:paraId="09CC940E" w14:textId="77777777" w:rsidTr="00676E82">
        <w:tc>
          <w:tcPr>
            <w:tcW w:w="1122" w:type="dxa"/>
          </w:tcPr>
          <w:p w14:paraId="7C9C8763" w14:textId="5E17567C" w:rsidR="00676E82" w:rsidRPr="00676E82" w:rsidRDefault="00676E82" w:rsidP="00676E82">
            <w:pPr>
              <w:rPr>
                <w:rFonts w:cs="Arial"/>
              </w:rPr>
            </w:pPr>
            <w:r w:rsidRPr="00676E82">
              <w:rPr>
                <w:bCs/>
                <w:szCs w:val="20"/>
              </w:rPr>
              <w:lastRenderedPageBreak/>
              <w:t>10</w:t>
            </w:r>
          </w:p>
        </w:tc>
        <w:tc>
          <w:tcPr>
            <w:tcW w:w="1051" w:type="dxa"/>
          </w:tcPr>
          <w:p w14:paraId="1C02E61D" w14:textId="405DBF2B" w:rsidR="00676E82" w:rsidRPr="00676E82" w:rsidRDefault="00676E82" w:rsidP="00676E82">
            <w:pPr>
              <w:rPr>
                <w:rFonts w:cs="Arial"/>
              </w:rPr>
            </w:pPr>
            <w:r w:rsidRPr="00676E82">
              <w:rPr>
                <w:bCs/>
                <w:szCs w:val="20"/>
              </w:rPr>
              <w:t>17</w:t>
            </w:r>
          </w:p>
        </w:tc>
        <w:tc>
          <w:tcPr>
            <w:tcW w:w="1056" w:type="dxa"/>
          </w:tcPr>
          <w:p w14:paraId="3642B7D5" w14:textId="677BB294" w:rsidR="00676E82" w:rsidRPr="00676E82" w:rsidRDefault="00676E82" w:rsidP="00676E82">
            <w:pPr>
              <w:rPr>
                <w:rFonts w:cs="Arial"/>
              </w:rPr>
            </w:pPr>
            <w:r w:rsidRPr="00676E82">
              <w:rPr>
                <w:bCs/>
                <w:szCs w:val="20"/>
              </w:rPr>
              <w:t>-52</w:t>
            </w:r>
          </w:p>
        </w:tc>
        <w:tc>
          <w:tcPr>
            <w:tcW w:w="1058" w:type="dxa"/>
          </w:tcPr>
          <w:p w14:paraId="3893434A" w14:textId="0F7ECF6E" w:rsidR="00676E82" w:rsidRPr="00676E82" w:rsidRDefault="00676E82" w:rsidP="00676E82">
            <w:pPr>
              <w:rPr>
                <w:rFonts w:cs="Arial"/>
              </w:rPr>
            </w:pPr>
            <w:r w:rsidRPr="00676E82">
              <w:rPr>
                <w:bCs/>
                <w:szCs w:val="20"/>
              </w:rPr>
              <w:t>-36</w:t>
            </w:r>
          </w:p>
        </w:tc>
        <w:tc>
          <w:tcPr>
            <w:tcW w:w="1057" w:type="dxa"/>
          </w:tcPr>
          <w:p w14:paraId="048950B8" w14:textId="0EE86583" w:rsidR="00676E82" w:rsidRPr="00676E82" w:rsidRDefault="00676E82" w:rsidP="00676E82">
            <w:pPr>
              <w:rPr>
                <w:rFonts w:cs="Arial"/>
              </w:rPr>
            </w:pPr>
            <w:r w:rsidRPr="00676E82">
              <w:rPr>
                <w:bCs/>
                <w:szCs w:val="20"/>
              </w:rPr>
              <w:t>14</w:t>
            </w:r>
          </w:p>
        </w:tc>
        <w:tc>
          <w:tcPr>
            <w:tcW w:w="1053" w:type="dxa"/>
          </w:tcPr>
          <w:p w14:paraId="22EA465D" w14:textId="048B0F10" w:rsidR="00676E82" w:rsidRPr="00676E82" w:rsidRDefault="00676E82" w:rsidP="00676E82">
            <w:pPr>
              <w:rPr>
                <w:rFonts w:cs="Arial"/>
              </w:rPr>
            </w:pPr>
            <w:r w:rsidRPr="00676E82">
              <w:rPr>
                <w:bCs/>
                <w:szCs w:val="20"/>
              </w:rPr>
              <w:t>-10</w:t>
            </w:r>
          </w:p>
        </w:tc>
        <w:tc>
          <w:tcPr>
            <w:tcW w:w="1062" w:type="dxa"/>
          </w:tcPr>
          <w:p w14:paraId="109A1503" w14:textId="65CD7C54" w:rsidR="00676E82" w:rsidRPr="00676E82" w:rsidRDefault="00676E82" w:rsidP="00676E82">
            <w:pPr>
              <w:rPr>
                <w:rFonts w:cs="Arial"/>
              </w:rPr>
            </w:pPr>
            <w:r w:rsidRPr="00676E82">
              <w:rPr>
                <w:bCs/>
                <w:szCs w:val="20"/>
              </w:rPr>
              <w:t>-48</w:t>
            </w:r>
          </w:p>
        </w:tc>
        <w:tc>
          <w:tcPr>
            <w:tcW w:w="1058" w:type="dxa"/>
          </w:tcPr>
          <w:p w14:paraId="0224C28D" w14:textId="1727801B" w:rsidR="00676E82" w:rsidRPr="00676E82" w:rsidRDefault="00676E82" w:rsidP="00676E82">
            <w:pPr>
              <w:rPr>
                <w:rFonts w:cs="Arial"/>
              </w:rPr>
            </w:pPr>
            <w:r w:rsidRPr="00676E82">
              <w:rPr>
                <w:bCs/>
                <w:szCs w:val="20"/>
              </w:rPr>
              <w:t>-42</w:t>
            </w:r>
          </w:p>
        </w:tc>
        <w:tc>
          <w:tcPr>
            <w:tcW w:w="1059" w:type="dxa"/>
          </w:tcPr>
          <w:p w14:paraId="57484003" w14:textId="616A3A43" w:rsidR="00676E82" w:rsidRPr="00676E82" w:rsidRDefault="00676E82" w:rsidP="00676E82">
            <w:pPr>
              <w:rPr>
                <w:rFonts w:cs="Arial"/>
              </w:rPr>
            </w:pPr>
            <w:r w:rsidRPr="00676E82">
              <w:rPr>
                <w:bCs/>
                <w:szCs w:val="20"/>
              </w:rPr>
              <w:t>4</w:t>
            </w:r>
          </w:p>
        </w:tc>
      </w:tr>
      <w:tr w:rsidR="00676E82" w14:paraId="67433FFC" w14:textId="77777777" w:rsidTr="00676E82">
        <w:tc>
          <w:tcPr>
            <w:tcW w:w="1122" w:type="dxa"/>
          </w:tcPr>
          <w:p w14:paraId="085882DB" w14:textId="434A0DDB" w:rsidR="00676E82" w:rsidRPr="00676E82" w:rsidRDefault="00676E82" w:rsidP="00676E82">
            <w:pPr>
              <w:rPr>
                <w:rFonts w:cs="Arial"/>
              </w:rPr>
            </w:pPr>
            <w:r w:rsidRPr="00676E82">
              <w:rPr>
                <w:bCs/>
                <w:szCs w:val="20"/>
              </w:rPr>
              <w:t>20</w:t>
            </w:r>
          </w:p>
        </w:tc>
        <w:tc>
          <w:tcPr>
            <w:tcW w:w="1051" w:type="dxa"/>
          </w:tcPr>
          <w:p w14:paraId="46A0ADA7" w14:textId="0B026B85" w:rsidR="00676E82" w:rsidRPr="00676E82" w:rsidRDefault="00676E82" w:rsidP="00676E82">
            <w:pPr>
              <w:rPr>
                <w:rFonts w:cs="Arial"/>
              </w:rPr>
            </w:pPr>
            <w:r w:rsidRPr="00676E82">
              <w:rPr>
                <w:bCs/>
                <w:szCs w:val="20"/>
              </w:rPr>
              <w:t>17</w:t>
            </w:r>
          </w:p>
        </w:tc>
        <w:tc>
          <w:tcPr>
            <w:tcW w:w="1056" w:type="dxa"/>
          </w:tcPr>
          <w:p w14:paraId="1D32ABF3" w14:textId="76E38270" w:rsidR="00676E82" w:rsidRPr="00676E82" w:rsidRDefault="00676E82" w:rsidP="00676E82">
            <w:pPr>
              <w:rPr>
                <w:rFonts w:cs="Arial"/>
              </w:rPr>
            </w:pPr>
            <w:r w:rsidRPr="00676E82">
              <w:rPr>
                <w:bCs/>
                <w:szCs w:val="20"/>
              </w:rPr>
              <w:t>-55</w:t>
            </w:r>
          </w:p>
        </w:tc>
        <w:tc>
          <w:tcPr>
            <w:tcW w:w="1058" w:type="dxa"/>
          </w:tcPr>
          <w:p w14:paraId="3BFB394F" w14:textId="110FFA93" w:rsidR="00676E82" w:rsidRPr="00676E82" w:rsidRDefault="00676E82" w:rsidP="00676E82">
            <w:pPr>
              <w:rPr>
                <w:rFonts w:cs="Arial"/>
              </w:rPr>
            </w:pPr>
            <w:r w:rsidRPr="00676E82">
              <w:rPr>
                <w:bCs/>
                <w:szCs w:val="20"/>
              </w:rPr>
              <w:t>-40</w:t>
            </w:r>
          </w:p>
        </w:tc>
        <w:tc>
          <w:tcPr>
            <w:tcW w:w="1057" w:type="dxa"/>
          </w:tcPr>
          <w:p w14:paraId="2FD24FBC" w14:textId="2D0CA4DB" w:rsidR="00676E82" w:rsidRPr="00676E82" w:rsidRDefault="00676E82" w:rsidP="00676E82">
            <w:pPr>
              <w:rPr>
                <w:rFonts w:cs="Arial"/>
              </w:rPr>
            </w:pPr>
            <w:r w:rsidRPr="00676E82">
              <w:rPr>
                <w:bCs/>
                <w:szCs w:val="20"/>
              </w:rPr>
              <w:t>8</w:t>
            </w:r>
          </w:p>
        </w:tc>
        <w:tc>
          <w:tcPr>
            <w:tcW w:w="1053" w:type="dxa"/>
          </w:tcPr>
          <w:p w14:paraId="3249B671" w14:textId="591D3C06" w:rsidR="00676E82" w:rsidRPr="00676E82" w:rsidRDefault="00676E82" w:rsidP="00676E82">
            <w:pPr>
              <w:rPr>
                <w:rFonts w:cs="Arial"/>
              </w:rPr>
            </w:pPr>
            <w:r w:rsidRPr="00676E82">
              <w:rPr>
                <w:bCs/>
                <w:szCs w:val="20"/>
              </w:rPr>
              <w:t>-23</w:t>
            </w:r>
          </w:p>
        </w:tc>
        <w:tc>
          <w:tcPr>
            <w:tcW w:w="1062" w:type="dxa"/>
          </w:tcPr>
          <w:p w14:paraId="50E8CA0B" w14:textId="5194A38C" w:rsidR="00676E82" w:rsidRPr="00676E82" w:rsidRDefault="00676E82" w:rsidP="00676E82">
            <w:pPr>
              <w:rPr>
                <w:rFonts w:cs="Arial"/>
              </w:rPr>
            </w:pPr>
            <w:r w:rsidRPr="00676E82">
              <w:rPr>
                <w:bCs/>
                <w:szCs w:val="20"/>
              </w:rPr>
              <w:t>-51</w:t>
            </w:r>
          </w:p>
        </w:tc>
        <w:tc>
          <w:tcPr>
            <w:tcW w:w="1058" w:type="dxa"/>
          </w:tcPr>
          <w:p w14:paraId="0D9BDC4B" w14:textId="4E5304E1" w:rsidR="00676E82" w:rsidRPr="00676E82" w:rsidRDefault="00676E82" w:rsidP="00676E82">
            <w:pPr>
              <w:rPr>
                <w:rFonts w:cs="Arial"/>
              </w:rPr>
            </w:pPr>
            <w:r w:rsidRPr="00676E82">
              <w:rPr>
                <w:bCs/>
                <w:szCs w:val="20"/>
              </w:rPr>
              <w:t>-46</w:t>
            </w:r>
          </w:p>
        </w:tc>
        <w:tc>
          <w:tcPr>
            <w:tcW w:w="1059" w:type="dxa"/>
          </w:tcPr>
          <w:p w14:paraId="2F5EE9FC" w14:textId="61EF0F77" w:rsidR="00676E82" w:rsidRPr="00676E82" w:rsidRDefault="00676E82" w:rsidP="00676E82">
            <w:pPr>
              <w:rPr>
                <w:rFonts w:cs="Arial"/>
              </w:rPr>
            </w:pPr>
            <w:r w:rsidRPr="00676E82">
              <w:rPr>
                <w:bCs/>
                <w:szCs w:val="20"/>
              </w:rPr>
              <w:t>5</w:t>
            </w:r>
          </w:p>
        </w:tc>
      </w:tr>
      <w:tr w:rsidR="00676E82" w14:paraId="65DC0CFC" w14:textId="77777777" w:rsidTr="00676E82">
        <w:tc>
          <w:tcPr>
            <w:tcW w:w="1122" w:type="dxa"/>
          </w:tcPr>
          <w:p w14:paraId="19FAA5C7" w14:textId="3FA5FF4B" w:rsidR="00676E82" w:rsidRDefault="00676E82" w:rsidP="00676E82">
            <w:pPr>
              <w:rPr>
                <w:rFonts w:cs="Arial"/>
                <w:sz w:val="24"/>
              </w:rPr>
            </w:pPr>
            <w:r>
              <w:t>40</w:t>
            </w:r>
          </w:p>
        </w:tc>
        <w:tc>
          <w:tcPr>
            <w:tcW w:w="1051" w:type="dxa"/>
          </w:tcPr>
          <w:p w14:paraId="3FB6871A" w14:textId="5E3FABFF" w:rsidR="00676E82" w:rsidRDefault="00676E82" w:rsidP="00676E82">
            <w:pPr>
              <w:rPr>
                <w:rFonts w:cs="Arial"/>
                <w:sz w:val="24"/>
              </w:rPr>
            </w:pPr>
            <w:r>
              <w:t>18</w:t>
            </w:r>
          </w:p>
        </w:tc>
        <w:tc>
          <w:tcPr>
            <w:tcW w:w="1056" w:type="dxa"/>
          </w:tcPr>
          <w:p w14:paraId="5869D90B" w14:textId="4BB647FA" w:rsidR="00676E82" w:rsidRDefault="00676E82" w:rsidP="00676E82">
            <w:pPr>
              <w:rPr>
                <w:rFonts w:cs="Arial"/>
                <w:sz w:val="24"/>
              </w:rPr>
            </w:pPr>
            <w:r>
              <w:t>-63</w:t>
            </w:r>
          </w:p>
        </w:tc>
        <w:tc>
          <w:tcPr>
            <w:tcW w:w="1058" w:type="dxa"/>
          </w:tcPr>
          <w:p w14:paraId="6FB86AB6" w14:textId="2AF422B4" w:rsidR="00676E82" w:rsidRDefault="00676E82" w:rsidP="00676E82">
            <w:pPr>
              <w:rPr>
                <w:rFonts w:cs="Arial"/>
                <w:sz w:val="24"/>
              </w:rPr>
            </w:pPr>
            <w:r>
              <w:t>-46</w:t>
            </w:r>
          </w:p>
        </w:tc>
        <w:tc>
          <w:tcPr>
            <w:tcW w:w="1057" w:type="dxa"/>
          </w:tcPr>
          <w:p w14:paraId="10E2C1A7" w14:textId="72E427E8" w:rsidR="00676E82" w:rsidRDefault="00676E82" w:rsidP="00676E82">
            <w:pPr>
              <w:rPr>
                <w:rFonts w:cs="Arial"/>
                <w:sz w:val="24"/>
              </w:rPr>
            </w:pPr>
            <w:r>
              <w:t>10</w:t>
            </w:r>
          </w:p>
        </w:tc>
        <w:tc>
          <w:tcPr>
            <w:tcW w:w="1053" w:type="dxa"/>
          </w:tcPr>
          <w:p w14:paraId="662BEF1E" w14:textId="35DBEB4A" w:rsidR="00676E82" w:rsidRDefault="00676E82" w:rsidP="00676E82">
            <w:pPr>
              <w:rPr>
                <w:rFonts w:cs="Arial"/>
                <w:sz w:val="24"/>
              </w:rPr>
            </w:pPr>
            <w:r>
              <w:t>-28</w:t>
            </w:r>
          </w:p>
        </w:tc>
        <w:tc>
          <w:tcPr>
            <w:tcW w:w="1062" w:type="dxa"/>
          </w:tcPr>
          <w:p w14:paraId="3E814EBB" w14:textId="50DE4109" w:rsidR="00676E82" w:rsidRDefault="00676E82" w:rsidP="00676E82">
            <w:pPr>
              <w:rPr>
                <w:rFonts w:cs="Arial"/>
                <w:sz w:val="24"/>
              </w:rPr>
            </w:pPr>
            <w:r>
              <w:t>-60</w:t>
            </w:r>
          </w:p>
        </w:tc>
        <w:tc>
          <w:tcPr>
            <w:tcW w:w="1058" w:type="dxa"/>
          </w:tcPr>
          <w:p w14:paraId="01B626F1" w14:textId="7971D739" w:rsidR="00676E82" w:rsidRDefault="00676E82" w:rsidP="00676E82">
            <w:pPr>
              <w:rPr>
                <w:rFonts w:cs="Arial"/>
                <w:sz w:val="24"/>
              </w:rPr>
            </w:pPr>
            <w:r>
              <w:t>-54</w:t>
            </w:r>
          </w:p>
        </w:tc>
        <w:tc>
          <w:tcPr>
            <w:tcW w:w="1059" w:type="dxa"/>
          </w:tcPr>
          <w:p w14:paraId="44009835" w14:textId="1F5AA78F" w:rsidR="00676E82" w:rsidRDefault="00676E82" w:rsidP="00676E82">
            <w:pPr>
              <w:rPr>
                <w:rFonts w:cs="Arial"/>
                <w:sz w:val="24"/>
              </w:rPr>
            </w:pPr>
            <w:r>
              <w:t>0</w:t>
            </w:r>
          </w:p>
        </w:tc>
      </w:tr>
    </w:tbl>
    <w:p w14:paraId="0D051765" w14:textId="77777777" w:rsidR="00676E82" w:rsidRDefault="00676E82" w:rsidP="00676E82">
      <w:pPr>
        <w:spacing w:line="240" w:lineRule="auto"/>
        <w:rPr>
          <w:rFonts w:ascii="Times New Roman" w:eastAsia="Times New Roman" w:hAnsi="Times New Roman" w:cs="Times New Roman"/>
          <w:b/>
          <w:bCs/>
          <w:color w:val="000000"/>
          <w:sz w:val="20"/>
          <w:szCs w:val="20"/>
          <w:lang w:eastAsia="bg-BG"/>
        </w:rPr>
      </w:pPr>
    </w:p>
    <w:p w14:paraId="22A72D70" w14:textId="0286EB7F" w:rsidR="00676E82" w:rsidRPr="00676E82" w:rsidRDefault="00676E82" w:rsidP="00676E82">
      <w:pPr>
        <w:spacing w:line="240" w:lineRule="auto"/>
        <w:rPr>
          <w:rFonts w:eastAsia="Times New Roman" w:cs="Arial"/>
          <w:bCs/>
          <w:color w:val="000000"/>
          <w:lang w:eastAsia="bg-BG"/>
        </w:rPr>
      </w:pPr>
      <w:r w:rsidRPr="00676E82">
        <w:rPr>
          <w:rFonts w:eastAsia="Times New Roman" w:cs="Arial"/>
          <w:bCs/>
          <w:color w:val="000000"/>
          <w:lang w:eastAsia="bg-BG"/>
        </w:rPr>
        <w:t xml:space="preserve">Терапевтичният отговор към лечението с Крестор се забелязва до 1 седмица от началото на терапията </w:t>
      </w:r>
    </w:p>
    <w:p w14:paraId="44BDB9DD" w14:textId="29224469"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и 90 % от максималния отговор се постига до 2 седмици. Максималният отговор обикновено се постига към 4-та седмица и се поддържа след това.</w:t>
      </w:r>
    </w:p>
    <w:p w14:paraId="39CBA8D7" w14:textId="77777777" w:rsidR="00676E82" w:rsidRPr="00676E82" w:rsidRDefault="00676E82" w:rsidP="00676E82">
      <w:pPr>
        <w:spacing w:line="240" w:lineRule="auto"/>
        <w:rPr>
          <w:rFonts w:eastAsia="Times New Roman" w:cs="Arial"/>
          <w:bCs/>
          <w:color w:val="000000"/>
          <w:u w:val="single"/>
          <w:lang w:eastAsia="bg-BG"/>
        </w:rPr>
      </w:pPr>
    </w:p>
    <w:p w14:paraId="3D902BB3" w14:textId="175F3046" w:rsidR="00676E82" w:rsidRPr="00676E82" w:rsidRDefault="00676E82" w:rsidP="00676E82">
      <w:pPr>
        <w:spacing w:line="240" w:lineRule="auto"/>
        <w:rPr>
          <w:rFonts w:eastAsia="Times New Roman" w:cs="Arial"/>
        </w:rPr>
      </w:pPr>
      <w:r w:rsidRPr="00676E82">
        <w:rPr>
          <w:rFonts w:eastAsia="Times New Roman" w:cs="Arial"/>
          <w:bCs/>
          <w:color w:val="000000"/>
          <w:u w:val="single"/>
          <w:lang w:eastAsia="bg-BG"/>
        </w:rPr>
        <w:t>Клинична ефикасност и безопасност</w:t>
      </w:r>
    </w:p>
    <w:p w14:paraId="5EE958C1" w14:textId="77777777"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Крестор е ефективен при възрастни хора, страдащи от хиперхолестеролемия, със или без хипертриглицеридемия, независимо от расова принадлежност, пол или възраст, и при специални групи като диабетици или пациенти с фамилна хиперхолестеролемия.</w:t>
      </w:r>
    </w:p>
    <w:p w14:paraId="3CF8923A" w14:textId="77777777" w:rsidR="00676E82" w:rsidRPr="00676E82" w:rsidRDefault="00676E82" w:rsidP="00676E82">
      <w:pPr>
        <w:spacing w:line="240" w:lineRule="auto"/>
        <w:rPr>
          <w:rFonts w:eastAsia="Times New Roman" w:cs="Arial"/>
          <w:bCs/>
          <w:color w:val="000000"/>
          <w:lang w:eastAsia="bg-BG"/>
        </w:rPr>
      </w:pPr>
    </w:p>
    <w:p w14:paraId="38FEBF14" w14:textId="55190C45"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Обобщените данни от фаза </w:t>
      </w:r>
      <w:r w:rsidRPr="00676E82">
        <w:rPr>
          <w:rFonts w:eastAsia="Times New Roman" w:cs="Arial"/>
          <w:bCs/>
          <w:color w:val="000000"/>
          <w:lang w:val="en-US"/>
        </w:rPr>
        <w:t>III</w:t>
      </w:r>
      <w:r w:rsidRPr="00676E82">
        <w:rPr>
          <w:rFonts w:eastAsia="Times New Roman" w:cs="Arial"/>
          <w:bCs/>
          <w:color w:val="000000"/>
          <w:lang w:val="ru-RU"/>
        </w:rPr>
        <w:t xml:space="preserve"> </w:t>
      </w:r>
      <w:r w:rsidRPr="00676E82">
        <w:rPr>
          <w:rFonts w:eastAsia="Times New Roman" w:cs="Arial"/>
          <w:bCs/>
          <w:color w:val="000000"/>
          <w:lang w:eastAsia="bg-BG"/>
        </w:rPr>
        <w:t xml:space="preserve">на клиничните проучвания показват, че Крестор е ефективен при лечение на голяма част от пациентите с тип </w:t>
      </w:r>
      <w:r w:rsidRPr="00676E82">
        <w:rPr>
          <w:rFonts w:eastAsia="Times New Roman" w:cs="Arial"/>
          <w:bCs/>
          <w:color w:val="000000"/>
          <w:lang w:val="en-US"/>
        </w:rPr>
        <w:t>II</w:t>
      </w:r>
      <w:r w:rsidRPr="00676E82">
        <w:rPr>
          <w:rFonts w:eastAsia="Times New Roman" w:cs="Arial"/>
          <w:bCs/>
          <w:color w:val="000000"/>
          <w:lang w:eastAsia="bg-BG"/>
        </w:rPr>
        <w:t xml:space="preserve">а и </w:t>
      </w:r>
      <w:proofErr w:type="spellStart"/>
      <w:r w:rsidRPr="00676E82">
        <w:rPr>
          <w:rFonts w:eastAsia="Times New Roman" w:cs="Arial"/>
          <w:bCs/>
          <w:color w:val="000000"/>
          <w:lang w:val="en-US"/>
        </w:rPr>
        <w:t>IIb</w:t>
      </w:r>
      <w:proofErr w:type="spellEnd"/>
      <w:r w:rsidRPr="00676E82">
        <w:rPr>
          <w:rFonts w:eastAsia="Times New Roman" w:cs="Arial"/>
          <w:bCs/>
          <w:color w:val="000000"/>
          <w:lang w:eastAsia="bg-BG"/>
        </w:rPr>
        <w:t xml:space="preserve"> хиперхолестеролемия (средна изходна стойност на </w:t>
      </w:r>
      <w:r w:rsidRPr="00676E82">
        <w:rPr>
          <w:rFonts w:eastAsia="Times New Roman" w:cs="Arial"/>
          <w:bCs/>
          <w:color w:val="000000"/>
          <w:lang w:val="en-US"/>
        </w:rPr>
        <w:t>LDL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 xml:space="preserve">около 4,8 </w:t>
      </w:r>
      <w:proofErr w:type="spellStart"/>
      <w:r w:rsidRPr="00676E82">
        <w:rPr>
          <w:rFonts w:eastAsia="Times New Roman" w:cs="Arial"/>
          <w:bCs/>
          <w:color w:val="000000"/>
          <w:lang w:val="en-US"/>
        </w:rPr>
        <w:t>mmol</w:t>
      </w:r>
      <w:proofErr w:type="spellEnd"/>
      <w:r w:rsidRPr="00676E82">
        <w:rPr>
          <w:rFonts w:eastAsia="Times New Roman" w:cs="Arial"/>
          <w:bCs/>
          <w:color w:val="000000"/>
          <w:lang w:val="ru-RU"/>
        </w:rPr>
        <w:t xml:space="preserve">/1), </w:t>
      </w:r>
      <w:r w:rsidRPr="00676E82">
        <w:rPr>
          <w:rFonts w:eastAsia="Times New Roman" w:cs="Arial"/>
          <w:bCs/>
          <w:color w:val="000000"/>
          <w:lang w:eastAsia="bg-BG"/>
        </w:rPr>
        <w:t xml:space="preserve">според определените от Европейската общност по атеросклероза прицелни стойности </w:t>
      </w:r>
      <w:r w:rsidRPr="00676E82">
        <w:rPr>
          <w:rFonts w:eastAsia="Times New Roman" w:cs="Arial"/>
          <w:bCs/>
          <w:color w:val="000000"/>
          <w:lang w:val="ru-RU"/>
        </w:rPr>
        <w:t>(</w:t>
      </w:r>
      <w:r w:rsidRPr="00676E82">
        <w:rPr>
          <w:rFonts w:eastAsia="Times New Roman" w:cs="Arial"/>
          <w:bCs/>
          <w:color w:val="000000"/>
          <w:lang w:val="en-US"/>
        </w:rPr>
        <w:t>EAS</w:t>
      </w:r>
      <w:r w:rsidRPr="00676E82">
        <w:rPr>
          <w:rFonts w:eastAsia="Times New Roman" w:cs="Arial"/>
          <w:bCs/>
          <w:color w:val="000000"/>
          <w:lang w:val="ru-RU"/>
        </w:rPr>
        <w:t xml:space="preserve">; </w:t>
      </w:r>
      <w:r w:rsidRPr="00676E82">
        <w:rPr>
          <w:rFonts w:eastAsia="Times New Roman" w:cs="Arial"/>
          <w:bCs/>
          <w:color w:val="000000"/>
          <w:lang w:eastAsia="bg-BG"/>
        </w:rPr>
        <w:t xml:space="preserve">1998). Около 80% от пациентите на 10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са достигнали желаните стойности на </w:t>
      </w:r>
      <w:r w:rsidRPr="00676E82">
        <w:rPr>
          <w:rFonts w:eastAsia="Times New Roman" w:cs="Arial"/>
          <w:bCs/>
          <w:color w:val="000000"/>
          <w:lang w:val="en-US"/>
        </w:rPr>
        <w:t>LDL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 xml:space="preserve">(&lt; 3 </w:t>
      </w:r>
      <w:proofErr w:type="spellStart"/>
      <w:r w:rsidRPr="00676E82">
        <w:rPr>
          <w:rFonts w:eastAsia="Times New Roman" w:cs="Arial"/>
          <w:bCs/>
          <w:color w:val="000000"/>
          <w:lang w:val="en-US"/>
        </w:rPr>
        <w:t>mmol</w:t>
      </w:r>
      <w:proofErr w:type="spellEnd"/>
      <w:r w:rsidRPr="00676E82">
        <w:rPr>
          <w:rFonts w:eastAsia="Times New Roman" w:cs="Arial"/>
          <w:bCs/>
          <w:color w:val="000000"/>
          <w:lang w:val="ru-RU"/>
        </w:rPr>
        <w:t xml:space="preserve">/1) </w:t>
      </w:r>
      <w:r w:rsidRPr="00676E82">
        <w:rPr>
          <w:rFonts w:eastAsia="Times New Roman" w:cs="Arial"/>
          <w:bCs/>
          <w:color w:val="000000"/>
          <w:lang w:eastAsia="bg-BG"/>
        </w:rPr>
        <w:t xml:space="preserve">според </w:t>
      </w:r>
      <w:r w:rsidRPr="00676E82">
        <w:rPr>
          <w:rFonts w:eastAsia="Times New Roman" w:cs="Arial"/>
          <w:bCs/>
          <w:color w:val="000000"/>
          <w:lang w:val="en-US"/>
        </w:rPr>
        <w:t>EAS</w:t>
      </w:r>
      <w:r w:rsidRPr="00676E82">
        <w:rPr>
          <w:rFonts w:eastAsia="Times New Roman" w:cs="Arial"/>
          <w:bCs/>
          <w:color w:val="000000"/>
          <w:lang w:val="ru-RU"/>
        </w:rPr>
        <w:t>.</w:t>
      </w:r>
    </w:p>
    <w:p w14:paraId="0F8C6B62" w14:textId="77777777" w:rsidR="00676E82" w:rsidRPr="00676E82" w:rsidRDefault="00676E82" w:rsidP="00676E82">
      <w:pPr>
        <w:spacing w:line="240" w:lineRule="auto"/>
        <w:rPr>
          <w:rFonts w:eastAsia="Times New Roman" w:cs="Arial"/>
          <w:bCs/>
          <w:color w:val="000000"/>
          <w:lang w:eastAsia="bg-BG"/>
        </w:rPr>
      </w:pPr>
    </w:p>
    <w:p w14:paraId="1FF52960" w14:textId="227F7A88"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В едно мащабно проучване с форсирано титриране на дозата, 435 пациенти с хетерозиготна фамилна хиперхолестеролемия са лекувани с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до 80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Всички дозировки показват положителен резултат върху липидните показатели. След достигане на дневна доза от 40</w:t>
      </w:r>
      <w:r w:rsidRPr="00676E82">
        <w:rPr>
          <w:rFonts w:eastAsia="Times New Roman" w:cs="Arial"/>
          <w:bCs/>
          <w:color w:val="000000"/>
          <w:lang w:val="en-US"/>
        </w:rPr>
        <w:t>mg</w:t>
      </w:r>
      <w:r w:rsidRPr="00676E82">
        <w:rPr>
          <w:rFonts w:eastAsia="Times New Roman" w:cs="Arial"/>
          <w:bCs/>
          <w:color w:val="000000"/>
          <w:lang w:eastAsia="bg-BG"/>
        </w:rPr>
        <w:t xml:space="preserve"> (12-седмично лечение), </w:t>
      </w:r>
      <w:r w:rsidRPr="00676E82">
        <w:rPr>
          <w:rFonts w:eastAsia="Times New Roman" w:cs="Arial"/>
          <w:bCs/>
          <w:color w:val="000000"/>
          <w:lang w:val="en-US"/>
        </w:rPr>
        <w:t>LDL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 xml:space="preserve">намалява с 53 %. 33 % от пациентите достигат стойностите на </w:t>
      </w:r>
      <w:r w:rsidRPr="00676E82">
        <w:rPr>
          <w:rFonts w:eastAsia="Times New Roman" w:cs="Arial"/>
          <w:bCs/>
          <w:color w:val="000000"/>
          <w:lang w:val="en-US"/>
        </w:rPr>
        <w:t>LDL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 xml:space="preserve">според </w:t>
      </w:r>
      <w:r w:rsidRPr="00676E82">
        <w:rPr>
          <w:rFonts w:eastAsia="Times New Roman" w:cs="Arial"/>
          <w:bCs/>
          <w:color w:val="000000"/>
          <w:lang w:val="en-US"/>
        </w:rPr>
        <w:t>EAS</w:t>
      </w:r>
      <w:r w:rsidRPr="00676E82">
        <w:rPr>
          <w:rFonts w:eastAsia="Times New Roman" w:cs="Arial"/>
          <w:bCs/>
          <w:color w:val="000000"/>
          <w:lang w:val="ru-RU"/>
        </w:rPr>
        <w:t xml:space="preserve"> </w:t>
      </w:r>
      <w:r w:rsidRPr="00676E82">
        <w:rPr>
          <w:rFonts w:eastAsia="Times New Roman" w:cs="Arial"/>
          <w:bCs/>
          <w:color w:val="000000"/>
          <w:lang w:eastAsia="bg-BG"/>
        </w:rPr>
        <w:t xml:space="preserve">(&lt; 3 </w:t>
      </w:r>
      <w:proofErr w:type="spellStart"/>
      <w:r w:rsidRPr="00676E82">
        <w:rPr>
          <w:rFonts w:eastAsia="Times New Roman" w:cs="Arial"/>
          <w:bCs/>
          <w:color w:val="000000"/>
          <w:lang w:val="en-US"/>
        </w:rPr>
        <w:t>mmol</w:t>
      </w:r>
      <w:proofErr w:type="spellEnd"/>
      <w:r w:rsidRPr="00676E82">
        <w:rPr>
          <w:rFonts w:eastAsia="Times New Roman" w:cs="Arial"/>
          <w:bCs/>
          <w:color w:val="000000"/>
          <w:lang w:val="ru-RU"/>
        </w:rPr>
        <w:t>/1).</w:t>
      </w:r>
    </w:p>
    <w:p w14:paraId="73A1D544" w14:textId="77777777" w:rsidR="00676E82" w:rsidRPr="00676E82" w:rsidRDefault="00676E82" w:rsidP="00676E82">
      <w:pPr>
        <w:spacing w:line="240" w:lineRule="auto"/>
        <w:rPr>
          <w:rFonts w:eastAsia="Times New Roman" w:cs="Arial"/>
          <w:bCs/>
          <w:color w:val="000000"/>
          <w:lang w:eastAsia="bg-BG"/>
        </w:rPr>
      </w:pPr>
    </w:p>
    <w:p w14:paraId="72509DA6" w14:textId="77777777" w:rsidR="00676E82" w:rsidRPr="00676E82" w:rsidRDefault="00676E82" w:rsidP="00676E82">
      <w:pPr>
        <w:rPr>
          <w:rFonts w:eastAsia="Times New Roman" w:cs="Arial"/>
        </w:rPr>
      </w:pPr>
      <w:r w:rsidRPr="00676E82">
        <w:rPr>
          <w:rFonts w:eastAsia="Times New Roman" w:cs="Arial"/>
          <w:bCs/>
          <w:color w:val="000000"/>
          <w:lang w:eastAsia="bg-BG"/>
        </w:rPr>
        <w:t>В едно отворено проучване, с форсирано титриране на дозата при 42 пациенти (включително 8 педиатрични пациенти) с хомозиготна фамилна хиперхолестеролемия, са отчетени</w:t>
      </w:r>
      <w:r w:rsidRPr="00676E82">
        <w:rPr>
          <w:rFonts w:eastAsia="Times New Roman" w:cs="Arial"/>
          <w:lang w:val="ru-RU"/>
        </w:rPr>
        <w:t xml:space="preserve"> </w:t>
      </w:r>
      <w:r w:rsidRPr="00676E82">
        <w:rPr>
          <w:rFonts w:eastAsia="Times New Roman" w:cs="Arial"/>
          <w:bCs/>
          <w:color w:val="000000"/>
          <w:lang w:eastAsia="bg-BG"/>
        </w:rPr>
        <w:t xml:space="preserve">резултатите от приемане на 20-40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Крестор. В общата популация средното понижение на </w:t>
      </w:r>
      <w:r w:rsidRPr="00676E82">
        <w:rPr>
          <w:rFonts w:eastAsia="Times New Roman" w:cs="Arial"/>
          <w:bCs/>
          <w:color w:val="000000"/>
          <w:lang w:val="en-US"/>
        </w:rPr>
        <w:t>LDL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eastAsia="bg-BG"/>
        </w:rPr>
        <w:t xml:space="preserve"> е </w:t>
      </w:r>
      <w:r w:rsidRPr="00676E82">
        <w:rPr>
          <w:rFonts w:eastAsia="Times New Roman" w:cs="Arial"/>
          <w:bCs/>
          <w:color w:val="000000"/>
          <w:lang w:val="ru-RU"/>
        </w:rPr>
        <w:t>22%.</w:t>
      </w:r>
    </w:p>
    <w:p w14:paraId="6A8D1EAA" w14:textId="77777777" w:rsidR="00676E82" w:rsidRPr="00676E82" w:rsidRDefault="00676E82" w:rsidP="00676E82">
      <w:pPr>
        <w:spacing w:line="240" w:lineRule="auto"/>
        <w:rPr>
          <w:rFonts w:eastAsia="Times New Roman" w:cs="Arial"/>
          <w:bCs/>
          <w:color w:val="000000"/>
          <w:lang w:eastAsia="bg-BG"/>
        </w:rPr>
      </w:pPr>
    </w:p>
    <w:p w14:paraId="3C09E77C" w14:textId="63024E92" w:rsidR="00676E82" w:rsidRPr="00676E82" w:rsidRDefault="00676E82" w:rsidP="00676E82">
      <w:pPr>
        <w:spacing w:line="240" w:lineRule="auto"/>
        <w:rPr>
          <w:rFonts w:eastAsia="Times New Roman" w:cs="Arial"/>
          <w:bCs/>
          <w:color w:val="000000"/>
          <w:lang w:eastAsia="bg-BG"/>
        </w:rPr>
      </w:pPr>
      <w:r w:rsidRPr="00676E82">
        <w:rPr>
          <w:rFonts w:eastAsia="Times New Roman" w:cs="Arial"/>
          <w:bCs/>
          <w:color w:val="000000"/>
          <w:lang w:eastAsia="bg-BG"/>
        </w:rPr>
        <w:t xml:space="preserve">При клинични изпитвания с ограничен брой пациенти, Крестор показва адитивна ефективност при </w:t>
      </w:r>
    </w:p>
    <w:p w14:paraId="19BCD6DA" w14:textId="3F18F8B4"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намаляване на триглицеридите, когато е приеман в комбинация с фенофибрат и увеличение на нивото на </w:t>
      </w:r>
      <w:r w:rsidRPr="00676E82">
        <w:rPr>
          <w:rFonts w:eastAsia="Times New Roman" w:cs="Arial"/>
          <w:bCs/>
          <w:color w:val="000000"/>
          <w:lang w:val="en-US"/>
        </w:rPr>
        <w:t>HDL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в комбинация с ниацин (вж. точка 4.4).</w:t>
      </w:r>
    </w:p>
    <w:p w14:paraId="6388066A" w14:textId="77777777" w:rsidR="00676E82" w:rsidRPr="00676E82" w:rsidRDefault="00676E82" w:rsidP="00676E82">
      <w:pPr>
        <w:spacing w:line="240" w:lineRule="auto"/>
        <w:rPr>
          <w:rFonts w:eastAsia="Times New Roman" w:cs="Arial"/>
          <w:bCs/>
          <w:color w:val="000000"/>
          <w:lang w:eastAsia="bg-BG"/>
        </w:rPr>
      </w:pPr>
    </w:p>
    <w:p w14:paraId="7C8B323F" w14:textId="42DE419D"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В едно мултицентрово, двойно сляпо, плацебо-контролирано клинично проучване </w:t>
      </w:r>
      <w:r w:rsidRPr="00676E82">
        <w:rPr>
          <w:rFonts w:eastAsia="Times New Roman" w:cs="Arial"/>
          <w:bCs/>
          <w:color w:val="000000"/>
          <w:lang w:val="ru-RU"/>
        </w:rPr>
        <w:t>(</w:t>
      </w:r>
      <w:r w:rsidRPr="00676E82">
        <w:rPr>
          <w:rFonts w:eastAsia="Times New Roman" w:cs="Arial"/>
          <w:bCs/>
          <w:color w:val="000000"/>
          <w:lang w:val="en-US"/>
        </w:rPr>
        <w:t>METEOR</w:t>
      </w:r>
      <w:r w:rsidRPr="00676E82">
        <w:rPr>
          <w:rFonts w:eastAsia="Times New Roman" w:cs="Arial"/>
          <w:bCs/>
          <w:color w:val="000000"/>
          <w:lang w:val="ru-RU"/>
        </w:rPr>
        <w:t xml:space="preserve">), </w:t>
      </w:r>
      <w:r w:rsidRPr="00676E82">
        <w:rPr>
          <w:rFonts w:eastAsia="Times New Roman" w:cs="Arial"/>
          <w:bCs/>
          <w:color w:val="000000"/>
          <w:lang w:eastAsia="bg-BG"/>
        </w:rPr>
        <w:t xml:space="preserve">984 пациенти между 45 и 70 години с нисък риск за исхемична болест на сърцето (дефинирано като </w:t>
      </w:r>
      <w:r w:rsidRPr="00676E82">
        <w:rPr>
          <w:rFonts w:eastAsia="Times New Roman" w:cs="Arial"/>
          <w:bCs/>
          <w:color w:val="000000"/>
          <w:lang w:val="en-US"/>
        </w:rPr>
        <w:t>Framingham</w:t>
      </w:r>
      <w:r w:rsidRPr="00676E82">
        <w:rPr>
          <w:rFonts w:eastAsia="Times New Roman" w:cs="Arial"/>
          <w:bCs/>
          <w:color w:val="000000"/>
          <w:lang w:val="ru-RU"/>
        </w:rPr>
        <w:t xml:space="preserve"> </w:t>
      </w:r>
      <w:r w:rsidRPr="00676E82">
        <w:rPr>
          <w:rFonts w:eastAsia="Times New Roman" w:cs="Arial"/>
          <w:bCs/>
          <w:color w:val="000000"/>
          <w:lang w:eastAsia="bg-BG"/>
        </w:rPr>
        <w:t xml:space="preserve">риск &lt; 10 % за 10 г.) и със среден </w:t>
      </w:r>
      <w:r w:rsidRPr="00676E82">
        <w:rPr>
          <w:rFonts w:eastAsia="Times New Roman" w:cs="Arial"/>
          <w:bCs/>
          <w:color w:val="000000"/>
          <w:lang w:val="en-US"/>
        </w:rPr>
        <w:t>LDL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 xml:space="preserve">4,0 </w:t>
      </w:r>
      <w:proofErr w:type="spellStart"/>
      <w:r w:rsidRPr="00676E82">
        <w:rPr>
          <w:rFonts w:eastAsia="Times New Roman" w:cs="Arial"/>
          <w:bCs/>
          <w:color w:val="000000"/>
          <w:lang w:val="en-US"/>
        </w:rPr>
        <w:t>mmol</w:t>
      </w:r>
      <w:proofErr w:type="spellEnd"/>
      <w:r w:rsidRPr="00676E82">
        <w:rPr>
          <w:rFonts w:eastAsia="Times New Roman" w:cs="Arial"/>
          <w:bCs/>
          <w:color w:val="000000"/>
          <w:lang w:val="ru-RU"/>
        </w:rPr>
        <w:t xml:space="preserve">/1 </w:t>
      </w:r>
      <w:r w:rsidRPr="00676E82">
        <w:rPr>
          <w:rFonts w:eastAsia="Times New Roman" w:cs="Arial"/>
          <w:bCs/>
          <w:color w:val="000000"/>
          <w:lang w:eastAsia="bg-BG"/>
        </w:rPr>
        <w:t xml:space="preserve">(154,5 </w:t>
      </w:r>
      <w:r w:rsidRPr="00676E82">
        <w:rPr>
          <w:rFonts w:eastAsia="Times New Roman" w:cs="Arial"/>
          <w:bCs/>
          <w:color w:val="000000"/>
          <w:lang w:val="en-US"/>
        </w:rPr>
        <w:t>mg</w:t>
      </w:r>
      <w:r w:rsidRPr="00676E82">
        <w:rPr>
          <w:rFonts w:eastAsia="Times New Roman" w:cs="Arial"/>
          <w:bCs/>
          <w:color w:val="000000"/>
          <w:lang w:val="ru-RU"/>
        </w:rPr>
        <w:t>/</w:t>
      </w:r>
      <w:r w:rsidRPr="00676E82">
        <w:rPr>
          <w:rFonts w:eastAsia="Times New Roman" w:cs="Arial"/>
          <w:bCs/>
          <w:color w:val="000000"/>
          <w:lang w:val="en-US"/>
        </w:rPr>
        <w:t>dl</w:t>
      </w:r>
      <w:r w:rsidRPr="00676E82">
        <w:rPr>
          <w:rFonts w:eastAsia="Times New Roman" w:cs="Arial"/>
          <w:bCs/>
          <w:color w:val="000000"/>
          <w:lang w:val="ru-RU"/>
        </w:rPr>
        <w:t xml:space="preserve">), </w:t>
      </w:r>
      <w:r w:rsidRPr="00676E82">
        <w:rPr>
          <w:rFonts w:eastAsia="Times New Roman" w:cs="Arial"/>
          <w:bCs/>
          <w:color w:val="000000"/>
          <w:lang w:eastAsia="bg-BG"/>
        </w:rPr>
        <w:t xml:space="preserve">но със субклинична атеросклероза, установена чрез измерване на дебелината на кародидната интима медия </w:t>
      </w:r>
      <w:r w:rsidRPr="00676E82">
        <w:rPr>
          <w:rFonts w:eastAsia="Times New Roman" w:cs="Arial"/>
          <w:bCs/>
          <w:color w:val="000000"/>
          <w:lang w:val="ru-RU"/>
        </w:rPr>
        <w:t>(</w:t>
      </w:r>
      <w:r w:rsidRPr="00676E82">
        <w:rPr>
          <w:rFonts w:eastAsia="Times New Roman" w:cs="Arial"/>
          <w:bCs/>
          <w:color w:val="000000"/>
          <w:lang w:val="en-US"/>
        </w:rPr>
        <w:t>Carotid</w:t>
      </w:r>
      <w:r w:rsidRPr="00676E82">
        <w:rPr>
          <w:rFonts w:eastAsia="Times New Roman" w:cs="Arial"/>
          <w:bCs/>
          <w:color w:val="000000"/>
          <w:lang w:val="ru-RU"/>
        </w:rPr>
        <w:t xml:space="preserve"> </w:t>
      </w:r>
      <w:r w:rsidRPr="00676E82">
        <w:rPr>
          <w:rFonts w:eastAsia="Times New Roman" w:cs="Arial"/>
          <w:bCs/>
          <w:color w:val="000000"/>
          <w:lang w:val="en-US"/>
        </w:rPr>
        <w:t>Intima</w:t>
      </w:r>
      <w:r w:rsidRPr="00676E82">
        <w:rPr>
          <w:rFonts w:eastAsia="Times New Roman" w:cs="Arial"/>
          <w:bCs/>
          <w:color w:val="000000"/>
          <w:lang w:val="ru-RU"/>
        </w:rPr>
        <w:t xml:space="preserve"> </w:t>
      </w:r>
      <w:r w:rsidRPr="00676E82">
        <w:rPr>
          <w:rFonts w:eastAsia="Times New Roman" w:cs="Arial"/>
          <w:bCs/>
          <w:color w:val="000000"/>
          <w:lang w:val="en-US"/>
        </w:rPr>
        <w:t>Media</w:t>
      </w:r>
      <w:r w:rsidRPr="00676E82">
        <w:rPr>
          <w:rFonts w:eastAsia="Times New Roman" w:cs="Arial"/>
          <w:bCs/>
          <w:color w:val="000000"/>
          <w:lang w:val="ru-RU"/>
        </w:rPr>
        <w:t xml:space="preserve"> </w:t>
      </w:r>
      <w:r w:rsidRPr="00676E82">
        <w:rPr>
          <w:rFonts w:eastAsia="Times New Roman" w:cs="Arial"/>
          <w:bCs/>
          <w:color w:val="000000"/>
          <w:lang w:val="en-US"/>
        </w:rPr>
        <w:t>Thickness</w:t>
      </w:r>
      <w:r w:rsidRPr="00676E82">
        <w:rPr>
          <w:rFonts w:eastAsia="Times New Roman" w:cs="Arial"/>
          <w:bCs/>
          <w:color w:val="000000"/>
          <w:lang w:val="ru-RU"/>
        </w:rPr>
        <w:t xml:space="preserve">, </w:t>
      </w:r>
      <w:r w:rsidRPr="00676E82">
        <w:rPr>
          <w:rFonts w:eastAsia="Times New Roman" w:cs="Arial"/>
          <w:bCs/>
          <w:color w:val="000000"/>
          <w:lang w:val="en-US"/>
        </w:rPr>
        <w:t>CIMT</w:t>
      </w:r>
      <w:r w:rsidRPr="00676E82">
        <w:rPr>
          <w:rFonts w:eastAsia="Times New Roman" w:cs="Arial"/>
          <w:bCs/>
          <w:color w:val="000000"/>
          <w:lang w:val="ru-RU"/>
        </w:rPr>
        <w:t xml:space="preserve">), </w:t>
      </w:r>
      <w:r w:rsidRPr="00676E82">
        <w:rPr>
          <w:rFonts w:eastAsia="Times New Roman" w:cs="Arial"/>
          <w:bCs/>
          <w:color w:val="000000"/>
          <w:lang w:eastAsia="bg-BG"/>
        </w:rPr>
        <w:t xml:space="preserve">са рандомизирани на 40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розувастатин веднъж дневно или плацебо за 2 години. Розувастатин значително забавя прогресията на максималното </w:t>
      </w:r>
      <w:r w:rsidRPr="00676E82">
        <w:rPr>
          <w:rFonts w:eastAsia="Times New Roman" w:cs="Arial"/>
          <w:bCs/>
          <w:color w:val="000000"/>
          <w:lang w:val="en-US"/>
        </w:rPr>
        <w:t>CIMT</w:t>
      </w:r>
      <w:r w:rsidRPr="00676E82">
        <w:rPr>
          <w:rFonts w:eastAsia="Times New Roman" w:cs="Arial"/>
          <w:bCs/>
          <w:color w:val="000000"/>
          <w:lang w:val="ru-RU"/>
        </w:rPr>
        <w:t xml:space="preserve"> </w:t>
      </w:r>
      <w:r w:rsidRPr="00676E82">
        <w:rPr>
          <w:rFonts w:eastAsia="Times New Roman" w:cs="Arial"/>
          <w:bCs/>
          <w:color w:val="000000"/>
          <w:lang w:eastAsia="bg-BG"/>
        </w:rPr>
        <w:t xml:space="preserve">на всички 12 места на каротидните артерии в сравнение с плацебо -0,0145 </w:t>
      </w:r>
      <w:r w:rsidRPr="00676E82">
        <w:rPr>
          <w:rFonts w:eastAsia="Times New Roman" w:cs="Arial"/>
          <w:bCs/>
          <w:color w:val="000000"/>
          <w:lang w:val="en-US"/>
        </w:rPr>
        <w:t>mm</w:t>
      </w:r>
      <w:r w:rsidRPr="00676E82">
        <w:rPr>
          <w:rFonts w:eastAsia="Times New Roman" w:cs="Arial"/>
          <w:bCs/>
          <w:color w:val="000000"/>
          <w:lang w:eastAsia="bg-BG"/>
        </w:rPr>
        <w:t xml:space="preserve">/година (95% </w:t>
      </w:r>
      <w:r w:rsidRPr="00676E82">
        <w:rPr>
          <w:rFonts w:eastAsia="Times New Roman" w:cs="Arial"/>
          <w:bCs/>
          <w:color w:val="000000"/>
          <w:lang w:val="en-US"/>
        </w:rPr>
        <w:t>CI</w:t>
      </w:r>
      <w:r w:rsidRPr="00676E82">
        <w:rPr>
          <w:rFonts w:eastAsia="Times New Roman" w:cs="Arial"/>
          <w:bCs/>
          <w:color w:val="000000"/>
          <w:lang w:val="ru-RU"/>
        </w:rPr>
        <w:t xml:space="preserve"> </w:t>
      </w:r>
      <w:r w:rsidRPr="00676E82">
        <w:rPr>
          <w:rFonts w:eastAsia="Times New Roman" w:cs="Arial"/>
          <w:bCs/>
          <w:color w:val="000000"/>
          <w:lang w:eastAsia="bg-BG"/>
        </w:rPr>
        <w:t xml:space="preserve">-0,0196, -0,0093; р&lt;0,0001). Промяната спрямо изходните стойности за групата на розувастатин е -0,0014 </w:t>
      </w:r>
      <w:r w:rsidRPr="00676E82">
        <w:rPr>
          <w:rFonts w:eastAsia="Times New Roman" w:cs="Arial"/>
          <w:bCs/>
          <w:color w:val="000000"/>
          <w:lang w:val="en-US"/>
        </w:rPr>
        <w:t>mm</w:t>
      </w:r>
      <w:r w:rsidRPr="00676E82">
        <w:rPr>
          <w:rFonts w:eastAsia="Times New Roman" w:cs="Arial"/>
          <w:bCs/>
          <w:color w:val="000000"/>
          <w:lang w:eastAsia="bg-BG"/>
        </w:rPr>
        <w:t xml:space="preserve">/година (-12%/година (несигнификантно)), в сравнение с плацебо групата с прогресия от +0,0131 </w:t>
      </w:r>
      <w:r w:rsidRPr="00676E82">
        <w:rPr>
          <w:rFonts w:eastAsia="Times New Roman" w:cs="Arial"/>
          <w:bCs/>
          <w:color w:val="000000"/>
          <w:lang w:val="en-US"/>
        </w:rPr>
        <w:t>mm</w:t>
      </w:r>
      <w:r w:rsidRPr="00676E82">
        <w:rPr>
          <w:rFonts w:eastAsia="Times New Roman" w:cs="Arial"/>
          <w:bCs/>
          <w:color w:val="000000"/>
          <w:lang w:eastAsia="bg-BG"/>
        </w:rPr>
        <w:t xml:space="preserve">/година (1,12/година (р&lt;0,0001)). Не е демонстрирана директна взаимовръзка между понижението на нивата на </w:t>
      </w:r>
      <w:r w:rsidRPr="00676E82">
        <w:rPr>
          <w:rFonts w:eastAsia="Times New Roman" w:cs="Arial"/>
          <w:bCs/>
          <w:color w:val="000000"/>
          <w:lang w:val="en-US"/>
        </w:rPr>
        <w:t>CIMT</w:t>
      </w:r>
      <w:r w:rsidRPr="00676E82">
        <w:rPr>
          <w:rFonts w:eastAsia="Times New Roman" w:cs="Arial"/>
          <w:bCs/>
          <w:color w:val="000000"/>
          <w:lang w:val="ru-RU"/>
        </w:rPr>
        <w:t xml:space="preserve"> </w:t>
      </w:r>
      <w:r w:rsidRPr="00676E82">
        <w:rPr>
          <w:rFonts w:eastAsia="Times New Roman" w:cs="Arial"/>
          <w:bCs/>
          <w:color w:val="000000"/>
          <w:lang w:eastAsia="bg-BG"/>
        </w:rPr>
        <w:t xml:space="preserve">и понижения риск от сърдечносъдови събития. Популацията в проучването </w:t>
      </w:r>
      <w:r w:rsidRPr="00676E82">
        <w:rPr>
          <w:rFonts w:eastAsia="Times New Roman" w:cs="Arial"/>
          <w:bCs/>
          <w:color w:val="000000"/>
          <w:lang w:val="en-US"/>
        </w:rPr>
        <w:t>METEOR</w:t>
      </w:r>
      <w:r w:rsidRPr="00676E82">
        <w:rPr>
          <w:rFonts w:eastAsia="Times New Roman" w:cs="Arial"/>
          <w:bCs/>
          <w:color w:val="000000"/>
          <w:lang w:val="ru-RU"/>
        </w:rPr>
        <w:t xml:space="preserve"> </w:t>
      </w:r>
      <w:r w:rsidRPr="00676E82">
        <w:rPr>
          <w:rFonts w:eastAsia="Times New Roman" w:cs="Arial"/>
          <w:bCs/>
          <w:color w:val="000000"/>
          <w:lang w:eastAsia="bg-BG"/>
        </w:rPr>
        <w:t xml:space="preserve">е с нисък риск от </w:t>
      </w:r>
      <w:r w:rsidRPr="00676E82">
        <w:rPr>
          <w:rFonts w:eastAsia="Times New Roman" w:cs="Arial"/>
          <w:bCs/>
          <w:color w:val="000000"/>
          <w:lang w:eastAsia="bg-BG"/>
        </w:rPr>
        <w:lastRenderedPageBreak/>
        <w:t xml:space="preserve">исхемична болест на сърцето и не е представителна за таргетната популация на Крестор 40 </w:t>
      </w:r>
      <w:r w:rsidRPr="00676E82">
        <w:rPr>
          <w:rFonts w:eastAsia="Times New Roman" w:cs="Arial"/>
          <w:bCs/>
          <w:color w:val="000000"/>
          <w:lang w:val="en-US"/>
        </w:rPr>
        <w:t>mg</w:t>
      </w:r>
      <w:r w:rsidRPr="00676E82">
        <w:rPr>
          <w:rFonts w:eastAsia="Times New Roman" w:cs="Arial"/>
          <w:bCs/>
          <w:color w:val="000000"/>
          <w:lang w:val="ru-RU"/>
        </w:rPr>
        <w:t>.</w:t>
      </w:r>
    </w:p>
    <w:p w14:paraId="03139EEA" w14:textId="77777777"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Дозировката от 40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трябва да се предписва само при пациенти с тежка хиперхолестеролемия, с висок сърдечносъдов риск (вж. точка 4.2).</w:t>
      </w:r>
    </w:p>
    <w:p w14:paraId="47846949" w14:textId="77777777" w:rsidR="00676E82" w:rsidRPr="00676E82" w:rsidRDefault="00676E82" w:rsidP="00676E82">
      <w:pPr>
        <w:spacing w:line="240" w:lineRule="auto"/>
        <w:rPr>
          <w:rFonts w:eastAsia="Times New Roman" w:cs="Arial"/>
          <w:bCs/>
          <w:color w:val="000000"/>
          <w:lang w:eastAsia="bg-BG"/>
        </w:rPr>
      </w:pPr>
    </w:p>
    <w:p w14:paraId="22C42C95" w14:textId="746AFD4D"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Проучването </w:t>
      </w:r>
      <w:r w:rsidRPr="00676E82">
        <w:rPr>
          <w:rFonts w:eastAsia="Times New Roman" w:cs="Arial"/>
          <w:bCs/>
          <w:color w:val="000000"/>
          <w:lang w:val="en-US"/>
        </w:rPr>
        <w:t>JUPITER</w:t>
      </w:r>
      <w:r w:rsidRPr="00676E82">
        <w:rPr>
          <w:rFonts w:eastAsia="Times New Roman" w:cs="Arial"/>
          <w:bCs/>
          <w:color w:val="000000"/>
        </w:rPr>
        <w:t xml:space="preserve"> (</w:t>
      </w:r>
      <w:r w:rsidRPr="00676E82">
        <w:rPr>
          <w:rFonts w:eastAsia="Times New Roman" w:cs="Arial"/>
          <w:bCs/>
          <w:color w:val="000000"/>
          <w:lang w:val="en-US"/>
        </w:rPr>
        <w:t>the</w:t>
      </w:r>
      <w:r w:rsidRPr="00676E82">
        <w:rPr>
          <w:rFonts w:eastAsia="Times New Roman" w:cs="Arial"/>
          <w:bCs/>
          <w:color w:val="000000"/>
        </w:rPr>
        <w:t xml:space="preserve"> </w:t>
      </w:r>
      <w:r w:rsidRPr="00676E82">
        <w:rPr>
          <w:rFonts w:eastAsia="Times New Roman" w:cs="Arial"/>
          <w:bCs/>
          <w:color w:val="000000"/>
          <w:lang w:val="en-US"/>
        </w:rPr>
        <w:t>Justification</w:t>
      </w:r>
      <w:r w:rsidRPr="00676E82">
        <w:rPr>
          <w:rFonts w:eastAsia="Times New Roman" w:cs="Arial"/>
          <w:bCs/>
          <w:color w:val="000000"/>
        </w:rPr>
        <w:t xml:space="preserve"> </w:t>
      </w:r>
      <w:r w:rsidRPr="00676E82">
        <w:rPr>
          <w:rFonts w:eastAsia="Times New Roman" w:cs="Arial"/>
          <w:bCs/>
          <w:color w:val="000000"/>
          <w:lang w:val="en-US"/>
        </w:rPr>
        <w:t>for</w:t>
      </w:r>
      <w:r w:rsidRPr="00676E82">
        <w:rPr>
          <w:rFonts w:eastAsia="Times New Roman" w:cs="Arial"/>
          <w:bCs/>
          <w:color w:val="000000"/>
        </w:rPr>
        <w:t xml:space="preserve"> </w:t>
      </w:r>
      <w:r w:rsidRPr="00676E82">
        <w:rPr>
          <w:rFonts w:eastAsia="Times New Roman" w:cs="Arial"/>
          <w:bCs/>
          <w:color w:val="000000"/>
          <w:lang w:val="en-US"/>
        </w:rPr>
        <w:t>the</w:t>
      </w:r>
      <w:r w:rsidRPr="00676E82">
        <w:rPr>
          <w:rFonts w:eastAsia="Times New Roman" w:cs="Arial"/>
          <w:bCs/>
          <w:color w:val="000000"/>
        </w:rPr>
        <w:t xml:space="preserve"> </w:t>
      </w:r>
      <w:r w:rsidRPr="00676E82">
        <w:rPr>
          <w:rFonts w:eastAsia="Times New Roman" w:cs="Arial"/>
          <w:bCs/>
          <w:color w:val="000000"/>
          <w:lang w:val="en-US"/>
        </w:rPr>
        <w:t>Use</w:t>
      </w:r>
      <w:r w:rsidRPr="00676E82">
        <w:rPr>
          <w:rFonts w:eastAsia="Times New Roman" w:cs="Arial"/>
          <w:bCs/>
          <w:color w:val="000000"/>
        </w:rPr>
        <w:t xml:space="preserve"> </w:t>
      </w:r>
      <w:r w:rsidRPr="00676E82">
        <w:rPr>
          <w:rFonts w:eastAsia="Times New Roman" w:cs="Arial"/>
          <w:bCs/>
          <w:color w:val="000000"/>
          <w:lang w:val="en-US"/>
        </w:rPr>
        <w:t>of</w:t>
      </w:r>
      <w:r w:rsidRPr="00676E82">
        <w:rPr>
          <w:rFonts w:eastAsia="Times New Roman" w:cs="Arial"/>
          <w:bCs/>
          <w:color w:val="000000"/>
        </w:rPr>
        <w:t xml:space="preserve"> </w:t>
      </w:r>
      <w:r w:rsidRPr="00676E82">
        <w:rPr>
          <w:rFonts w:eastAsia="Times New Roman" w:cs="Arial"/>
          <w:bCs/>
          <w:color w:val="000000"/>
          <w:lang w:val="en-US"/>
        </w:rPr>
        <w:t>Statins</w:t>
      </w:r>
      <w:r w:rsidRPr="00676E82">
        <w:rPr>
          <w:rFonts w:eastAsia="Times New Roman" w:cs="Arial"/>
          <w:bCs/>
          <w:color w:val="000000"/>
        </w:rPr>
        <w:t xml:space="preserve"> </w:t>
      </w:r>
      <w:r w:rsidRPr="00676E82">
        <w:rPr>
          <w:rFonts w:eastAsia="Times New Roman" w:cs="Arial"/>
          <w:bCs/>
          <w:color w:val="000000"/>
          <w:lang w:val="en-US"/>
        </w:rPr>
        <w:t>in</w:t>
      </w:r>
      <w:r w:rsidRPr="00676E82">
        <w:rPr>
          <w:rFonts w:eastAsia="Times New Roman" w:cs="Arial"/>
          <w:bCs/>
          <w:color w:val="000000"/>
        </w:rPr>
        <w:t xml:space="preserve"> </w:t>
      </w:r>
      <w:r w:rsidRPr="00676E82">
        <w:rPr>
          <w:rFonts w:eastAsia="Times New Roman" w:cs="Arial"/>
          <w:bCs/>
          <w:color w:val="000000"/>
          <w:lang w:val="en-US"/>
        </w:rPr>
        <w:t>Primary</w:t>
      </w:r>
      <w:r w:rsidRPr="00676E82">
        <w:rPr>
          <w:rFonts w:eastAsia="Times New Roman" w:cs="Arial"/>
          <w:bCs/>
          <w:color w:val="000000"/>
        </w:rPr>
        <w:t xml:space="preserve"> </w:t>
      </w:r>
      <w:r w:rsidRPr="00676E82">
        <w:rPr>
          <w:rFonts w:eastAsia="Times New Roman" w:cs="Arial"/>
          <w:bCs/>
          <w:color w:val="000000"/>
          <w:lang w:val="en-US"/>
        </w:rPr>
        <w:t>Prevention</w:t>
      </w:r>
      <w:r w:rsidRPr="00676E82">
        <w:rPr>
          <w:rFonts w:eastAsia="Times New Roman" w:cs="Arial"/>
          <w:bCs/>
          <w:color w:val="000000"/>
        </w:rPr>
        <w:t xml:space="preserve">: </w:t>
      </w:r>
      <w:r w:rsidRPr="00676E82">
        <w:rPr>
          <w:rFonts w:eastAsia="Times New Roman" w:cs="Arial"/>
          <w:bCs/>
          <w:color w:val="000000"/>
          <w:lang w:val="en-US"/>
        </w:rPr>
        <w:t>An</w:t>
      </w:r>
      <w:r w:rsidRPr="00676E82">
        <w:rPr>
          <w:rFonts w:eastAsia="Times New Roman" w:cs="Arial"/>
          <w:bCs/>
          <w:color w:val="000000"/>
        </w:rPr>
        <w:t xml:space="preserve"> </w:t>
      </w:r>
      <w:r w:rsidRPr="00676E82">
        <w:rPr>
          <w:rFonts w:eastAsia="Times New Roman" w:cs="Arial"/>
          <w:bCs/>
          <w:color w:val="000000"/>
          <w:lang w:val="en-US"/>
        </w:rPr>
        <w:t>Intervention</w:t>
      </w:r>
      <w:r w:rsidRPr="00676E82">
        <w:rPr>
          <w:rFonts w:eastAsia="Times New Roman" w:cs="Arial"/>
          <w:bCs/>
          <w:color w:val="000000"/>
        </w:rPr>
        <w:t xml:space="preserve"> </w:t>
      </w:r>
      <w:r w:rsidRPr="00676E82">
        <w:rPr>
          <w:rFonts w:eastAsia="Times New Roman" w:cs="Arial"/>
          <w:bCs/>
          <w:color w:val="000000"/>
          <w:lang w:val="en-US"/>
        </w:rPr>
        <w:t>Trial</w:t>
      </w:r>
      <w:r w:rsidRPr="00676E82">
        <w:rPr>
          <w:rFonts w:eastAsia="Times New Roman" w:cs="Arial"/>
          <w:bCs/>
          <w:color w:val="000000"/>
        </w:rPr>
        <w:t xml:space="preserve"> </w:t>
      </w:r>
      <w:r w:rsidRPr="00676E82">
        <w:rPr>
          <w:rFonts w:eastAsia="Times New Roman" w:cs="Arial"/>
          <w:bCs/>
          <w:color w:val="000000"/>
          <w:lang w:val="en-US"/>
        </w:rPr>
        <w:t>Evaluating</w:t>
      </w:r>
      <w:r w:rsidRPr="00676E82">
        <w:rPr>
          <w:rFonts w:eastAsia="Times New Roman" w:cs="Arial"/>
          <w:bCs/>
          <w:color w:val="000000"/>
        </w:rPr>
        <w:t xml:space="preserve"> </w:t>
      </w:r>
      <w:proofErr w:type="spellStart"/>
      <w:r w:rsidRPr="00676E82">
        <w:rPr>
          <w:rFonts w:eastAsia="Times New Roman" w:cs="Arial"/>
          <w:bCs/>
          <w:color w:val="000000"/>
          <w:lang w:val="en-US"/>
        </w:rPr>
        <w:t>Rosuvastatin</w:t>
      </w:r>
      <w:proofErr w:type="spellEnd"/>
      <w:r w:rsidRPr="00676E82">
        <w:rPr>
          <w:rFonts w:eastAsia="Times New Roman" w:cs="Arial"/>
          <w:bCs/>
          <w:color w:val="000000"/>
        </w:rPr>
        <w:t xml:space="preserve">) </w:t>
      </w:r>
      <w:r w:rsidRPr="00676E82">
        <w:rPr>
          <w:rFonts w:eastAsia="Times New Roman" w:cs="Arial"/>
          <w:bCs/>
          <w:color w:val="000000"/>
          <w:lang w:eastAsia="bg-BG"/>
        </w:rPr>
        <w:t>изследва ефекта на Крестор (розувастатин калций) върху появата на големи атеросклеротични сърдечно-съдови събития при 17 802 мъже (≥ 50 години) и жени (≥ 60 години).</w:t>
      </w:r>
    </w:p>
    <w:p w14:paraId="39227A82" w14:textId="77777777" w:rsidR="00676E82" w:rsidRPr="00676E82" w:rsidRDefault="00676E82" w:rsidP="00676E82">
      <w:pPr>
        <w:spacing w:line="240" w:lineRule="auto"/>
        <w:rPr>
          <w:rFonts w:eastAsia="Times New Roman" w:cs="Arial"/>
          <w:bCs/>
          <w:color w:val="000000"/>
          <w:lang w:eastAsia="bg-BG"/>
        </w:rPr>
      </w:pPr>
    </w:p>
    <w:p w14:paraId="5AEF2519" w14:textId="29D81967"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Участниците в проучването са рандомизирани на плацебо (</w:t>
      </w:r>
      <w:r w:rsidRPr="00676E82">
        <w:rPr>
          <w:rFonts w:eastAsia="Times New Roman" w:cs="Arial"/>
          <w:bCs/>
          <w:color w:val="000000"/>
          <w:lang w:val="en-US"/>
        </w:rPr>
        <w:t>n</w:t>
      </w:r>
      <w:r w:rsidRPr="00676E82">
        <w:rPr>
          <w:rFonts w:eastAsia="Times New Roman" w:cs="Arial"/>
          <w:bCs/>
          <w:color w:val="000000"/>
          <w:lang w:eastAsia="bg-BG"/>
        </w:rPr>
        <w:t xml:space="preserve">=8901) или розувастатин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веднъж дневно (n=8901) и са проследени за среден период от 2 години.</w:t>
      </w:r>
    </w:p>
    <w:p w14:paraId="1A4AB4EF" w14:textId="77777777" w:rsidR="00676E82" w:rsidRPr="00676E82" w:rsidRDefault="00676E82" w:rsidP="00676E82">
      <w:pPr>
        <w:spacing w:line="240" w:lineRule="auto"/>
        <w:rPr>
          <w:rFonts w:eastAsia="Times New Roman" w:cs="Arial"/>
          <w:bCs/>
          <w:color w:val="000000"/>
          <w:lang w:eastAsia="bg-BG"/>
        </w:rPr>
      </w:pPr>
    </w:p>
    <w:p w14:paraId="236F202D" w14:textId="7AC2B29A"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Конценрациите на </w:t>
      </w:r>
      <w:r w:rsidRPr="00676E82">
        <w:rPr>
          <w:rFonts w:eastAsia="Times New Roman" w:cs="Arial"/>
          <w:bCs/>
          <w:color w:val="000000"/>
          <w:lang w:val="en-US"/>
        </w:rPr>
        <w:t>LDL</w:t>
      </w:r>
      <w:r w:rsidRPr="00676E82">
        <w:rPr>
          <w:rFonts w:eastAsia="Times New Roman" w:cs="Arial"/>
          <w:bCs/>
          <w:color w:val="000000"/>
          <w:lang w:eastAsia="bg-BG"/>
        </w:rPr>
        <w:t>-холестрола са понижени с 45 % (р&lt;0,001) в групата на розувастатин в сравнение с плацебо групата.</w:t>
      </w:r>
    </w:p>
    <w:p w14:paraId="32E3C0B1" w14:textId="77777777" w:rsidR="00676E82" w:rsidRPr="00676E82" w:rsidRDefault="00676E82" w:rsidP="00676E82">
      <w:pPr>
        <w:spacing w:line="240" w:lineRule="auto"/>
        <w:rPr>
          <w:rFonts w:eastAsia="Times New Roman" w:cs="Arial"/>
          <w:bCs/>
          <w:color w:val="000000"/>
          <w:lang w:eastAsia="bg-BG"/>
        </w:rPr>
      </w:pPr>
    </w:p>
    <w:p w14:paraId="79322DFE" w14:textId="62535B55"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При </w:t>
      </w:r>
      <w:r w:rsidRPr="00676E82">
        <w:rPr>
          <w:rFonts w:eastAsia="Times New Roman" w:cs="Arial"/>
          <w:bCs/>
          <w:i/>
          <w:iCs/>
          <w:color w:val="000000"/>
          <w:lang w:val="en-US"/>
        </w:rPr>
        <w:t>post</w:t>
      </w:r>
      <w:r w:rsidRPr="00676E82">
        <w:rPr>
          <w:rFonts w:eastAsia="Times New Roman" w:cs="Arial"/>
          <w:bCs/>
          <w:i/>
          <w:iCs/>
          <w:color w:val="000000"/>
          <w:lang w:val="ru-RU"/>
        </w:rPr>
        <w:t>-</w:t>
      </w:r>
      <w:r w:rsidRPr="00676E82">
        <w:rPr>
          <w:rFonts w:eastAsia="Times New Roman" w:cs="Arial"/>
          <w:bCs/>
          <w:i/>
          <w:iCs/>
          <w:color w:val="000000"/>
          <w:lang w:val="en-US"/>
        </w:rPr>
        <w:t>hoc</w:t>
      </w:r>
      <w:r w:rsidRPr="00676E82">
        <w:rPr>
          <w:rFonts w:eastAsia="Times New Roman" w:cs="Arial"/>
          <w:bCs/>
          <w:color w:val="000000"/>
          <w:lang w:val="ru-RU"/>
        </w:rPr>
        <w:t xml:space="preserve"> </w:t>
      </w:r>
      <w:r w:rsidRPr="00676E82">
        <w:rPr>
          <w:rFonts w:eastAsia="Times New Roman" w:cs="Arial"/>
          <w:bCs/>
          <w:color w:val="000000"/>
          <w:lang w:eastAsia="bg-BG"/>
        </w:rPr>
        <w:t xml:space="preserve">анализ на високо-рискова група от лица с базичен риск по </w:t>
      </w:r>
      <w:r w:rsidRPr="00676E82">
        <w:rPr>
          <w:rFonts w:eastAsia="Times New Roman" w:cs="Arial"/>
          <w:bCs/>
          <w:i/>
          <w:iCs/>
          <w:color w:val="000000"/>
          <w:lang w:val="en-US"/>
        </w:rPr>
        <w:t>Framingham</w:t>
      </w:r>
      <w:r w:rsidRPr="00676E82">
        <w:rPr>
          <w:rFonts w:eastAsia="Times New Roman" w:cs="Arial"/>
          <w:bCs/>
          <w:i/>
          <w:iCs/>
          <w:color w:val="000000"/>
          <w:lang w:val="ru-RU"/>
        </w:rPr>
        <w:t xml:space="preserve"> </w:t>
      </w:r>
      <w:r w:rsidRPr="00676E82">
        <w:rPr>
          <w:rFonts w:eastAsia="Times New Roman" w:cs="Arial"/>
          <w:bCs/>
          <w:i/>
          <w:iCs/>
          <w:color w:val="000000"/>
          <w:lang w:eastAsia="bg-BG"/>
        </w:rPr>
        <w:t>&gt;</w:t>
      </w:r>
      <w:r w:rsidRPr="00676E82">
        <w:rPr>
          <w:rFonts w:eastAsia="Times New Roman" w:cs="Arial"/>
          <w:bCs/>
          <w:color w:val="000000"/>
          <w:lang w:eastAsia="bg-BG"/>
        </w:rPr>
        <w:t xml:space="preserve"> 20 % (1 558 лица), има значителна редукция в комбинираната крайна точка от сърдечно-съдова смърт, инсулт и миокарден инфаркт (р=0,028) при лечение с розувастатин, спрямо плацебо. Абсолютната редукция на риска в нивото на събитията за 1 000 пациентогодини е 8,8. Тоталната смъртност беше непроменена в тази високорискова група (р=0,193). При </w:t>
      </w:r>
      <w:r w:rsidRPr="00676E82">
        <w:rPr>
          <w:rFonts w:eastAsia="Times New Roman" w:cs="Arial"/>
          <w:bCs/>
          <w:i/>
          <w:iCs/>
          <w:color w:val="000000"/>
          <w:lang w:val="en-US"/>
        </w:rPr>
        <w:t>post</w:t>
      </w:r>
      <w:r w:rsidRPr="00676E82">
        <w:rPr>
          <w:rFonts w:eastAsia="Times New Roman" w:cs="Arial"/>
          <w:bCs/>
          <w:i/>
          <w:iCs/>
          <w:color w:val="000000"/>
          <w:lang w:val="ru-RU"/>
        </w:rPr>
        <w:t>-</w:t>
      </w:r>
      <w:r w:rsidRPr="00676E82">
        <w:rPr>
          <w:rFonts w:eastAsia="Times New Roman" w:cs="Arial"/>
          <w:bCs/>
          <w:i/>
          <w:iCs/>
          <w:color w:val="000000"/>
          <w:lang w:val="en-US"/>
        </w:rPr>
        <w:t>hoc</w:t>
      </w:r>
      <w:r w:rsidRPr="00676E82">
        <w:rPr>
          <w:rFonts w:eastAsia="Times New Roman" w:cs="Arial"/>
          <w:bCs/>
          <w:i/>
          <w:iCs/>
          <w:color w:val="000000"/>
          <w:lang w:val="ru-RU"/>
        </w:rPr>
        <w:t xml:space="preserve"> </w:t>
      </w:r>
      <w:r w:rsidRPr="00676E82">
        <w:rPr>
          <w:rFonts w:eastAsia="Times New Roman" w:cs="Arial"/>
          <w:bCs/>
          <w:color w:val="000000"/>
          <w:lang w:eastAsia="bg-BG"/>
        </w:rPr>
        <w:t>анализ на високорискова подгрупа от лица (9 302 лица общо), с изходна оценка на риска ≥ 5 % (екстраполиран да включи лица над 65 години), има значителна редукция в комбинираната крайна точка от сърдечно-съдова смърт, инсулт и миокарден инфаркт (р=0,0003) при лечението с розувастатин спрямо плацебо. Абсолютната редукция на риска в нивото на събитията е 5,1 за 1 000 пациентогодини. Тоталната смъртност е непроменена в тази високо-рискова група (р=0,076).</w:t>
      </w:r>
    </w:p>
    <w:p w14:paraId="2B376AFC" w14:textId="77777777" w:rsidR="00676E82" w:rsidRPr="00676E82" w:rsidRDefault="00676E82" w:rsidP="00676E82">
      <w:pPr>
        <w:spacing w:line="240" w:lineRule="auto"/>
        <w:rPr>
          <w:rFonts w:eastAsia="Times New Roman" w:cs="Arial"/>
          <w:bCs/>
          <w:color w:val="000000"/>
          <w:lang w:eastAsia="bg-BG"/>
        </w:rPr>
      </w:pPr>
    </w:p>
    <w:p w14:paraId="151B6CB3" w14:textId="666426F5"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В проучването </w:t>
      </w:r>
      <w:r w:rsidRPr="00676E82">
        <w:rPr>
          <w:rFonts w:eastAsia="Times New Roman" w:cs="Arial"/>
          <w:bCs/>
          <w:color w:val="000000"/>
          <w:lang w:val="en-US"/>
        </w:rPr>
        <w:t>JUPITER</w:t>
      </w:r>
      <w:r w:rsidRPr="00676E82">
        <w:rPr>
          <w:rFonts w:eastAsia="Times New Roman" w:cs="Arial"/>
          <w:bCs/>
          <w:color w:val="000000"/>
          <w:lang w:val="ru-RU"/>
        </w:rPr>
        <w:t xml:space="preserve">, </w:t>
      </w:r>
      <w:r w:rsidRPr="00676E82">
        <w:rPr>
          <w:rFonts w:eastAsia="Times New Roman" w:cs="Arial"/>
          <w:bCs/>
          <w:color w:val="000000"/>
          <w:lang w:eastAsia="bg-BG"/>
        </w:rPr>
        <w:t>6,6 % от лицата с розувастатин и 6,2 % от лицата с плацебо прекратили приема на изследваното лекарство поради нежелано събитие. Най-честите нежелани събития, които са довели до прекратяване на лечението са: миалгия (0,3 % розувастатин, 0,2 % плацебо), коремна болка (0,03 % розувастатин, 0,02 % плацебо) и обрив (0,02 % розувастатин, 0,03 % плацебо). Най-честите нежелани събития с ниво по-голямо и равно на плацебо са инфекции на пикочните пътища (8,7 % розувастатин, 8,6% плацебо), назофарингит (7,6 % розувастатин, 7,2 % плацебо), болка в гърба (7,6 % розивастатин, 6,9% плацебо) и миалгия (7,6 % розувастатин, 6,6 % плацебо).</w:t>
      </w:r>
    </w:p>
    <w:p w14:paraId="690A7EC1" w14:textId="77777777" w:rsidR="00676E82" w:rsidRPr="00676E82" w:rsidRDefault="00676E82" w:rsidP="00676E82">
      <w:pPr>
        <w:spacing w:line="240" w:lineRule="auto"/>
        <w:rPr>
          <w:rFonts w:eastAsia="Times New Roman" w:cs="Arial"/>
          <w:bCs/>
          <w:color w:val="000000"/>
          <w:u w:val="single"/>
          <w:lang w:eastAsia="bg-BG"/>
        </w:rPr>
      </w:pPr>
    </w:p>
    <w:p w14:paraId="5825D994" w14:textId="08100132" w:rsidR="00676E82" w:rsidRPr="00676E82" w:rsidRDefault="00676E82" w:rsidP="00676E82">
      <w:pPr>
        <w:spacing w:line="240" w:lineRule="auto"/>
        <w:rPr>
          <w:rFonts w:eastAsia="Times New Roman" w:cs="Arial"/>
        </w:rPr>
      </w:pPr>
      <w:r w:rsidRPr="00676E82">
        <w:rPr>
          <w:rFonts w:eastAsia="Times New Roman" w:cs="Arial"/>
          <w:bCs/>
          <w:color w:val="000000"/>
          <w:u w:val="single"/>
          <w:lang w:eastAsia="bg-BG"/>
        </w:rPr>
        <w:t>Педиатрична популация</w:t>
      </w:r>
    </w:p>
    <w:p w14:paraId="5F950863" w14:textId="77777777"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В едно двойносляпо, рандомизирано, мултицентрово, плацебо-контролирано, 12-седмично проучване (</w:t>
      </w:r>
      <w:r w:rsidRPr="00676E82">
        <w:rPr>
          <w:rFonts w:eastAsia="Times New Roman" w:cs="Arial"/>
          <w:bCs/>
          <w:color w:val="000000"/>
          <w:lang w:val="en-US"/>
        </w:rPr>
        <w:t>n</w:t>
      </w:r>
      <w:r w:rsidRPr="00676E82">
        <w:rPr>
          <w:rFonts w:eastAsia="Times New Roman" w:cs="Arial"/>
          <w:bCs/>
          <w:color w:val="000000"/>
          <w:lang w:eastAsia="bg-BG"/>
        </w:rPr>
        <w:t>=176,97 от мъжки пол и 79 от женски пол), последвано от 40-седмична, открита фаза с титриране на дозата на розувастатин (</w:t>
      </w:r>
      <w:r w:rsidRPr="00676E82">
        <w:rPr>
          <w:rFonts w:eastAsia="Times New Roman" w:cs="Arial"/>
          <w:bCs/>
          <w:color w:val="000000"/>
          <w:lang w:val="en-US"/>
        </w:rPr>
        <w:t>n</w:t>
      </w:r>
      <w:r w:rsidRPr="00676E82">
        <w:rPr>
          <w:rFonts w:eastAsia="Times New Roman" w:cs="Arial"/>
          <w:bCs/>
          <w:color w:val="000000"/>
          <w:lang w:eastAsia="bg-BG"/>
        </w:rPr>
        <w:t>=173,96 от мъжки пол и 77 от женски пол), пациенти на възраст 10 до 17 години (стадий П</w:t>
      </w:r>
      <w:r w:rsidRPr="00676E82">
        <w:rPr>
          <w:rFonts w:eastAsia="Times New Roman" w:cs="Arial"/>
          <w:bCs/>
          <w:color w:val="000000"/>
          <w:lang w:val="ru-RU"/>
        </w:rPr>
        <w:t>-</w:t>
      </w:r>
      <w:r w:rsidRPr="00676E82">
        <w:rPr>
          <w:rFonts w:eastAsia="Times New Roman" w:cs="Arial"/>
          <w:bCs/>
          <w:color w:val="000000"/>
          <w:lang w:val="en-US"/>
        </w:rPr>
        <w:t>V</w:t>
      </w:r>
      <w:r w:rsidRPr="00676E82">
        <w:rPr>
          <w:rFonts w:eastAsia="Times New Roman" w:cs="Arial"/>
          <w:bCs/>
          <w:color w:val="000000"/>
          <w:lang w:val="ru-RU"/>
        </w:rPr>
        <w:t xml:space="preserve"> </w:t>
      </w:r>
      <w:r w:rsidRPr="00676E82">
        <w:rPr>
          <w:rFonts w:eastAsia="Times New Roman" w:cs="Arial"/>
          <w:bCs/>
          <w:color w:val="000000"/>
          <w:lang w:eastAsia="bg-BG"/>
        </w:rPr>
        <w:t xml:space="preserve">по Танер, момичета поне 1 година след началото на менструацията) с хетерозиготна фамилна хиперхолестеролемия, получават розувастатин 5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10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или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или плацебо дневно за 12 седмици, а след това всички получават розувастатин дневно за 40 седмици. В началото на проучването приблизително 30 % от пациентите са 10 до 13 годишни и приблизително 17 %, 18 %, 40 % и 25 % са съответно в стадий П, Ш, IV и V по Танер.</w:t>
      </w:r>
    </w:p>
    <w:p w14:paraId="2B0ABFD5" w14:textId="77777777" w:rsidR="00676E82" w:rsidRPr="00676E82" w:rsidRDefault="00676E82" w:rsidP="00676E82">
      <w:pPr>
        <w:spacing w:line="240" w:lineRule="auto"/>
        <w:rPr>
          <w:rFonts w:eastAsia="Times New Roman" w:cs="Arial"/>
          <w:bCs/>
          <w:color w:val="000000"/>
          <w:lang w:val="en-US"/>
        </w:rPr>
      </w:pPr>
    </w:p>
    <w:p w14:paraId="736FA24A" w14:textId="55D016E2" w:rsidR="00676E82" w:rsidRPr="00676E82" w:rsidRDefault="00676E82" w:rsidP="00676E82">
      <w:pPr>
        <w:spacing w:line="240" w:lineRule="auto"/>
        <w:rPr>
          <w:rFonts w:eastAsia="Times New Roman" w:cs="Arial"/>
        </w:rPr>
      </w:pPr>
      <w:r w:rsidRPr="00676E82">
        <w:rPr>
          <w:rFonts w:eastAsia="Times New Roman" w:cs="Arial"/>
          <w:bCs/>
          <w:color w:val="000000"/>
          <w:lang w:val="en-US"/>
        </w:rPr>
        <w:t>LDL</w:t>
      </w:r>
      <w:r w:rsidRPr="00676E82">
        <w:rPr>
          <w:rFonts w:eastAsia="Times New Roman" w:cs="Arial"/>
          <w:bCs/>
          <w:color w:val="000000"/>
          <w:lang w:eastAsia="bg-BG"/>
        </w:rPr>
        <w:t xml:space="preserve">-холестеролът се понижава 38,3 %, 44,6 % и 50,0 % от розувастатин 5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10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и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съответно, в сравнение с 0,7 % за плацебо.</w:t>
      </w:r>
    </w:p>
    <w:p w14:paraId="59ADEDAA" w14:textId="77777777" w:rsidR="00676E82" w:rsidRPr="00676E82" w:rsidRDefault="00676E82" w:rsidP="00676E82">
      <w:pPr>
        <w:spacing w:line="240" w:lineRule="auto"/>
        <w:rPr>
          <w:rFonts w:eastAsia="Times New Roman" w:cs="Arial"/>
          <w:bCs/>
          <w:color w:val="000000"/>
          <w:lang w:eastAsia="bg-BG"/>
        </w:rPr>
      </w:pPr>
    </w:p>
    <w:p w14:paraId="1CB1F968" w14:textId="566E1F27"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lastRenderedPageBreak/>
        <w:t xml:space="preserve">В края на 40-седмичната открита фаза с титриране до прицелна стойност, с дозиране до максимум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веднъж дневно, 70 от 173 пациенти (40,5%) са постигнали прицелната стойност за </w:t>
      </w:r>
      <w:r w:rsidRPr="00676E82">
        <w:rPr>
          <w:rFonts w:eastAsia="Times New Roman" w:cs="Arial"/>
          <w:bCs/>
          <w:color w:val="000000"/>
          <w:lang w:val="en-US"/>
        </w:rPr>
        <w:t>LDL</w:t>
      </w:r>
      <w:r w:rsidRPr="00676E82">
        <w:rPr>
          <w:rFonts w:eastAsia="Times New Roman" w:cs="Arial"/>
          <w:bCs/>
          <w:color w:val="000000"/>
          <w:lang w:eastAsia="bg-BG"/>
        </w:rPr>
        <w:t xml:space="preserve">-холестерол от по-малко от 2,8 </w:t>
      </w:r>
      <w:proofErr w:type="spellStart"/>
      <w:r w:rsidRPr="00676E82">
        <w:rPr>
          <w:rFonts w:eastAsia="Times New Roman" w:cs="Arial"/>
          <w:bCs/>
          <w:color w:val="000000"/>
          <w:lang w:val="en-US"/>
        </w:rPr>
        <w:t>mmol</w:t>
      </w:r>
      <w:proofErr w:type="spellEnd"/>
      <w:r w:rsidRPr="00676E82">
        <w:rPr>
          <w:rFonts w:eastAsia="Times New Roman" w:cs="Arial"/>
          <w:bCs/>
          <w:color w:val="000000"/>
          <w:lang w:val="ru-RU"/>
        </w:rPr>
        <w:t>/1.</w:t>
      </w:r>
    </w:p>
    <w:p w14:paraId="4CD5DC29" w14:textId="77777777" w:rsidR="00676E82" w:rsidRPr="00676E82" w:rsidRDefault="00676E82" w:rsidP="00676E82">
      <w:pPr>
        <w:spacing w:line="240" w:lineRule="auto"/>
        <w:rPr>
          <w:rFonts w:eastAsia="Times New Roman" w:cs="Arial"/>
          <w:bCs/>
          <w:color w:val="000000"/>
          <w:lang w:eastAsia="bg-BG"/>
        </w:rPr>
      </w:pPr>
    </w:p>
    <w:p w14:paraId="72B9BC75" w14:textId="00836C14"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След 52 седмици на изследваното лечение не е установен никакъв ефект върху растежа, теглото, </w:t>
      </w:r>
      <w:r w:rsidRPr="00676E82">
        <w:rPr>
          <w:rFonts w:eastAsia="Times New Roman" w:cs="Arial"/>
          <w:bCs/>
          <w:color w:val="000000"/>
          <w:lang w:val="en-US"/>
        </w:rPr>
        <w:t>BMI</w:t>
      </w:r>
      <w:r w:rsidRPr="00676E82">
        <w:rPr>
          <w:rFonts w:eastAsia="Times New Roman" w:cs="Arial"/>
          <w:bCs/>
          <w:color w:val="000000"/>
          <w:lang w:val="ru-RU"/>
        </w:rPr>
        <w:t xml:space="preserve"> </w:t>
      </w:r>
      <w:r w:rsidRPr="00676E82">
        <w:rPr>
          <w:rFonts w:eastAsia="Times New Roman" w:cs="Arial"/>
          <w:bCs/>
          <w:color w:val="000000"/>
          <w:lang w:eastAsia="bg-BG"/>
        </w:rPr>
        <w:t>или половото съзряване (вж. точка 4.4). Това проучване (</w:t>
      </w:r>
      <w:r w:rsidRPr="00676E82">
        <w:rPr>
          <w:rFonts w:eastAsia="Times New Roman" w:cs="Arial"/>
          <w:bCs/>
          <w:color w:val="000000"/>
          <w:lang w:val="en-US"/>
        </w:rPr>
        <w:t>n</w:t>
      </w:r>
      <w:r w:rsidRPr="00676E82">
        <w:rPr>
          <w:rFonts w:eastAsia="Times New Roman" w:cs="Arial"/>
          <w:bCs/>
          <w:color w:val="000000"/>
          <w:lang w:eastAsia="bg-BG"/>
        </w:rPr>
        <w:t>=176) не е предназначено за сравняване на редки нежелани лекарствени реакции.</w:t>
      </w:r>
    </w:p>
    <w:p w14:paraId="1C9ABCA3" w14:textId="77777777" w:rsidR="00676E82" w:rsidRPr="00676E82" w:rsidRDefault="00676E82" w:rsidP="00676E82">
      <w:pPr>
        <w:spacing w:line="240" w:lineRule="auto"/>
        <w:rPr>
          <w:rFonts w:eastAsia="Times New Roman" w:cs="Arial"/>
          <w:bCs/>
          <w:color w:val="000000"/>
          <w:lang w:eastAsia="bg-BG"/>
        </w:rPr>
      </w:pPr>
    </w:p>
    <w:p w14:paraId="5A7FBEC0" w14:textId="436BE0C5"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Розувастатин е проучван също в едно 2-годишно открито клинично проучване, с титриране на дозата до желаната доза, при 198 деца с хетерозиготна фамилна хиперхолестеролемия на възраст 6 до 17 години (88 момчета и 110 момичета, стадий по Танер &lt; П</w:t>
      </w:r>
      <w:r w:rsidRPr="00676E82">
        <w:rPr>
          <w:rFonts w:eastAsia="Times New Roman" w:cs="Arial"/>
          <w:bCs/>
          <w:color w:val="000000"/>
          <w:lang w:val="ru-RU"/>
        </w:rPr>
        <w:t>-</w:t>
      </w:r>
      <w:r w:rsidRPr="00676E82">
        <w:rPr>
          <w:rFonts w:eastAsia="Times New Roman" w:cs="Arial"/>
          <w:bCs/>
          <w:color w:val="000000"/>
          <w:lang w:val="en-US"/>
        </w:rPr>
        <w:t>V</w:t>
      </w:r>
      <w:r w:rsidRPr="00676E82">
        <w:rPr>
          <w:rFonts w:eastAsia="Times New Roman" w:cs="Arial"/>
          <w:bCs/>
          <w:color w:val="000000"/>
          <w:lang w:val="ru-RU"/>
        </w:rPr>
        <w:t xml:space="preserve">). </w:t>
      </w:r>
      <w:r w:rsidRPr="00676E82">
        <w:rPr>
          <w:rFonts w:eastAsia="Times New Roman" w:cs="Arial"/>
          <w:bCs/>
          <w:color w:val="000000"/>
          <w:lang w:eastAsia="bg-BG"/>
        </w:rPr>
        <w:t xml:space="preserve">Началната доза при всички пациенти е 5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розувастатин веднъж дневно. При пациентите на възраст 6 до 9 години (</w:t>
      </w:r>
      <w:r w:rsidRPr="00676E82">
        <w:rPr>
          <w:rFonts w:eastAsia="Times New Roman" w:cs="Arial"/>
          <w:bCs/>
          <w:color w:val="000000"/>
          <w:lang w:val="en-US"/>
        </w:rPr>
        <w:t>n</w:t>
      </w:r>
      <w:r w:rsidRPr="00676E82">
        <w:rPr>
          <w:rFonts w:eastAsia="Times New Roman" w:cs="Arial"/>
          <w:bCs/>
          <w:color w:val="000000"/>
          <w:lang w:eastAsia="bg-BG"/>
        </w:rPr>
        <w:t xml:space="preserve">=64) дозата може да се титрира до максимална доза 10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веднъж дневно, а при пациенти на възраст 10 до 17 години (</w:t>
      </w:r>
      <w:r w:rsidRPr="00676E82">
        <w:rPr>
          <w:rFonts w:eastAsia="Times New Roman" w:cs="Arial"/>
          <w:bCs/>
          <w:color w:val="000000"/>
          <w:lang w:val="en-US"/>
        </w:rPr>
        <w:t>n</w:t>
      </w:r>
      <w:r w:rsidRPr="00676E82">
        <w:rPr>
          <w:rFonts w:eastAsia="Times New Roman" w:cs="Arial"/>
          <w:bCs/>
          <w:color w:val="000000"/>
          <w:lang w:eastAsia="bg-BG"/>
        </w:rPr>
        <w:t xml:space="preserve">=134) до максимална доза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веднъж дневно.</w:t>
      </w:r>
    </w:p>
    <w:p w14:paraId="710F4F93" w14:textId="77777777" w:rsidR="00676E82" w:rsidRPr="00676E82" w:rsidRDefault="00676E82" w:rsidP="00676E82">
      <w:pPr>
        <w:spacing w:line="240" w:lineRule="auto"/>
        <w:rPr>
          <w:rFonts w:eastAsia="Times New Roman" w:cs="Arial"/>
          <w:bCs/>
          <w:color w:val="000000"/>
          <w:lang w:eastAsia="bg-BG"/>
        </w:rPr>
      </w:pPr>
    </w:p>
    <w:p w14:paraId="71C5BB77" w14:textId="77436F3C"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След 24 месеца на лечение с розувастатин, </w:t>
      </w:r>
      <w:r w:rsidRPr="00676E82">
        <w:rPr>
          <w:rFonts w:eastAsia="Times New Roman" w:cs="Arial"/>
          <w:bCs/>
          <w:color w:val="000000"/>
          <w:lang w:val="en-US"/>
        </w:rPr>
        <w:t>LS</w:t>
      </w:r>
      <w:r w:rsidRPr="00676E82">
        <w:rPr>
          <w:rFonts w:eastAsia="Times New Roman" w:cs="Arial"/>
          <w:bCs/>
          <w:color w:val="000000"/>
          <w:lang w:val="ru-RU"/>
        </w:rPr>
        <w:t xml:space="preserve"> </w:t>
      </w:r>
      <w:r w:rsidRPr="00676E82">
        <w:rPr>
          <w:rFonts w:eastAsia="Times New Roman" w:cs="Arial"/>
          <w:bCs/>
          <w:color w:val="000000"/>
          <w:lang w:eastAsia="bg-BG"/>
        </w:rPr>
        <w:t xml:space="preserve">на средния процент на намаление на </w:t>
      </w:r>
      <w:r w:rsidRPr="00676E82">
        <w:rPr>
          <w:rFonts w:eastAsia="Times New Roman" w:cs="Arial"/>
          <w:bCs/>
          <w:color w:val="000000"/>
          <w:lang w:val="en-US"/>
        </w:rPr>
        <w:t>LDL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 xml:space="preserve">спрямо изходната стойност е -43 % (изходно ниво: 236 </w:t>
      </w:r>
      <w:r w:rsidRPr="00676E82">
        <w:rPr>
          <w:rFonts w:eastAsia="Times New Roman" w:cs="Arial"/>
          <w:bCs/>
          <w:color w:val="000000"/>
          <w:lang w:val="en-US"/>
        </w:rPr>
        <w:t>mg</w:t>
      </w:r>
      <w:r w:rsidRPr="00676E82">
        <w:rPr>
          <w:rFonts w:eastAsia="Times New Roman" w:cs="Arial"/>
          <w:bCs/>
          <w:color w:val="000000"/>
          <w:lang w:val="ru-RU"/>
        </w:rPr>
        <w:t>/</w:t>
      </w:r>
      <w:r w:rsidRPr="00676E82">
        <w:rPr>
          <w:rFonts w:eastAsia="Times New Roman" w:cs="Arial"/>
          <w:bCs/>
          <w:color w:val="000000"/>
          <w:lang w:val="en-US"/>
        </w:rPr>
        <w:t>dl</w:t>
      </w:r>
      <w:r w:rsidRPr="00676E82">
        <w:rPr>
          <w:rFonts w:eastAsia="Times New Roman" w:cs="Arial"/>
          <w:bCs/>
          <w:color w:val="000000"/>
          <w:lang w:val="ru-RU"/>
        </w:rPr>
        <w:t xml:space="preserve">, </w:t>
      </w:r>
      <w:r w:rsidRPr="00676E82">
        <w:rPr>
          <w:rFonts w:eastAsia="Times New Roman" w:cs="Arial"/>
          <w:bCs/>
          <w:color w:val="000000"/>
          <w:lang w:eastAsia="bg-BG"/>
        </w:rPr>
        <w:t xml:space="preserve">месец 24: 133 </w:t>
      </w:r>
      <w:r w:rsidRPr="00676E82">
        <w:rPr>
          <w:rFonts w:eastAsia="Times New Roman" w:cs="Arial"/>
          <w:bCs/>
          <w:color w:val="000000"/>
          <w:lang w:val="en-US"/>
        </w:rPr>
        <w:t>mg</w:t>
      </w:r>
      <w:r w:rsidRPr="00676E82">
        <w:rPr>
          <w:rFonts w:eastAsia="Times New Roman" w:cs="Arial"/>
          <w:bCs/>
          <w:color w:val="000000"/>
          <w:lang w:val="ru-RU"/>
        </w:rPr>
        <w:t>/</w:t>
      </w:r>
      <w:r w:rsidRPr="00676E82">
        <w:rPr>
          <w:rFonts w:eastAsia="Times New Roman" w:cs="Arial"/>
          <w:bCs/>
          <w:color w:val="000000"/>
          <w:lang w:val="en-US"/>
        </w:rPr>
        <w:t>dl</w:t>
      </w:r>
      <w:r w:rsidRPr="00676E82">
        <w:rPr>
          <w:rFonts w:eastAsia="Times New Roman" w:cs="Arial"/>
          <w:bCs/>
          <w:color w:val="000000"/>
          <w:lang w:val="ru-RU"/>
        </w:rPr>
        <w:t xml:space="preserve">). </w:t>
      </w:r>
      <w:r w:rsidRPr="00676E82">
        <w:rPr>
          <w:rFonts w:eastAsia="Times New Roman" w:cs="Arial"/>
          <w:bCs/>
          <w:color w:val="000000"/>
          <w:lang w:eastAsia="bg-BG"/>
        </w:rPr>
        <w:t xml:space="preserve">За всяка възрастова група, </w:t>
      </w:r>
      <w:r w:rsidRPr="00676E82">
        <w:rPr>
          <w:rFonts w:eastAsia="Times New Roman" w:cs="Arial"/>
          <w:bCs/>
          <w:color w:val="000000"/>
          <w:lang w:val="en-US"/>
        </w:rPr>
        <w:t>LS</w:t>
      </w:r>
      <w:r w:rsidRPr="00676E82">
        <w:rPr>
          <w:rFonts w:eastAsia="Times New Roman" w:cs="Arial"/>
          <w:bCs/>
          <w:color w:val="000000"/>
          <w:lang w:val="ru-RU"/>
        </w:rPr>
        <w:t xml:space="preserve"> </w:t>
      </w:r>
      <w:r w:rsidRPr="00676E82">
        <w:rPr>
          <w:rFonts w:eastAsia="Times New Roman" w:cs="Arial"/>
          <w:bCs/>
          <w:color w:val="000000"/>
          <w:lang w:eastAsia="bg-BG"/>
        </w:rPr>
        <w:t xml:space="preserve">на средния процент на намаление на </w:t>
      </w:r>
      <w:r w:rsidRPr="00676E82">
        <w:rPr>
          <w:rFonts w:eastAsia="Times New Roman" w:cs="Arial"/>
          <w:bCs/>
          <w:color w:val="000000"/>
          <w:lang w:val="en-US"/>
        </w:rPr>
        <w:t>LDL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 xml:space="preserve">спрямо изходната стойност е - 43 % (изходно ниво: 234 </w:t>
      </w:r>
      <w:r w:rsidRPr="00676E82">
        <w:rPr>
          <w:rFonts w:eastAsia="Times New Roman" w:cs="Arial"/>
          <w:bCs/>
          <w:color w:val="000000"/>
          <w:lang w:val="en-US"/>
        </w:rPr>
        <w:t>mg</w:t>
      </w:r>
      <w:r w:rsidRPr="00676E82">
        <w:rPr>
          <w:rFonts w:eastAsia="Times New Roman" w:cs="Arial"/>
          <w:bCs/>
          <w:color w:val="000000"/>
          <w:lang w:val="ru-RU"/>
        </w:rPr>
        <w:t>/</w:t>
      </w:r>
      <w:r w:rsidRPr="00676E82">
        <w:rPr>
          <w:rFonts w:eastAsia="Times New Roman" w:cs="Arial"/>
          <w:bCs/>
          <w:color w:val="000000"/>
          <w:lang w:val="en-US"/>
        </w:rPr>
        <w:t>dl</w:t>
      </w:r>
      <w:r w:rsidRPr="00676E82">
        <w:rPr>
          <w:rFonts w:eastAsia="Times New Roman" w:cs="Arial"/>
          <w:bCs/>
          <w:color w:val="000000"/>
          <w:lang w:val="ru-RU"/>
        </w:rPr>
        <w:t xml:space="preserve">, </w:t>
      </w:r>
      <w:r w:rsidRPr="00676E82">
        <w:rPr>
          <w:rFonts w:eastAsia="Times New Roman" w:cs="Arial"/>
          <w:bCs/>
          <w:color w:val="000000"/>
          <w:lang w:eastAsia="bg-BG"/>
        </w:rPr>
        <w:t xml:space="preserve">месец 24: 124 </w:t>
      </w:r>
      <w:r w:rsidRPr="00676E82">
        <w:rPr>
          <w:rFonts w:eastAsia="Times New Roman" w:cs="Arial"/>
          <w:bCs/>
          <w:color w:val="000000"/>
          <w:lang w:val="en-US"/>
        </w:rPr>
        <w:t>mg</w:t>
      </w:r>
      <w:r w:rsidRPr="00676E82">
        <w:rPr>
          <w:rFonts w:eastAsia="Times New Roman" w:cs="Arial"/>
          <w:bCs/>
          <w:color w:val="000000"/>
          <w:lang w:val="ru-RU"/>
        </w:rPr>
        <w:t>/</w:t>
      </w:r>
      <w:r w:rsidRPr="00676E82">
        <w:rPr>
          <w:rFonts w:eastAsia="Times New Roman" w:cs="Arial"/>
          <w:bCs/>
          <w:color w:val="000000"/>
          <w:lang w:val="en-US"/>
        </w:rPr>
        <w:t>dl</w:t>
      </w:r>
      <w:r w:rsidRPr="00676E82">
        <w:rPr>
          <w:rFonts w:eastAsia="Times New Roman" w:cs="Arial"/>
          <w:bCs/>
          <w:color w:val="000000"/>
          <w:lang w:val="ru-RU"/>
        </w:rPr>
        <w:t xml:space="preserve">), </w:t>
      </w:r>
      <w:r w:rsidRPr="00676E82">
        <w:rPr>
          <w:rFonts w:eastAsia="Times New Roman" w:cs="Arial"/>
          <w:bCs/>
          <w:color w:val="000000"/>
          <w:lang w:eastAsia="bg-BG"/>
        </w:rPr>
        <w:t xml:space="preserve">-45 % (изходно ниво: 234 </w:t>
      </w:r>
      <w:r w:rsidRPr="00676E82">
        <w:rPr>
          <w:rFonts w:eastAsia="Times New Roman" w:cs="Arial"/>
          <w:bCs/>
          <w:color w:val="000000"/>
          <w:lang w:val="en-US"/>
        </w:rPr>
        <w:t>mg</w:t>
      </w:r>
      <w:r w:rsidRPr="00676E82">
        <w:rPr>
          <w:rFonts w:eastAsia="Times New Roman" w:cs="Arial"/>
          <w:bCs/>
          <w:color w:val="000000"/>
          <w:lang w:val="ru-RU"/>
        </w:rPr>
        <w:t>/</w:t>
      </w:r>
      <w:r w:rsidRPr="00676E82">
        <w:rPr>
          <w:rFonts w:eastAsia="Times New Roman" w:cs="Arial"/>
          <w:bCs/>
          <w:color w:val="000000"/>
          <w:lang w:val="en-US"/>
        </w:rPr>
        <w:t>dl</w:t>
      </w:r>
      <w:r w:rsidRPr="00676E82">
        <w:rPr>
          <w:rFonts w:eastAsia="Times New Roman" w:cs="Arial"/>
          <w:bCs/>
          <w:color w:val="000000"/>
          <w:lang w:val="ru-RU"/>
        </w:rPr>
        <w:t xml:space="preserve">, </w:t>
      </w:r>
      <w:r w:rsidRPr="00676E82">
        <w:rPr>
          <w:rFonts w:eastAsia="Times New Roman" w:cs="Arial"/>
          <w:bCs/>
          <w:color w:val="000000"/>
          <w:lang w:eastAsia="bg-BG"/>
        </w:rPr>
        <w:t xml:space="preserve">на месец 24: 124 </w:t>
      </w:r>
      <w:r w:rsidRPr="00676E82">
        <w:rPr>
          <w:rFonts w:eastAsia="Times New Roman" w:cs="Arial"/>
          <w:bCs/>
          <w:color w:val="000000"/>
          <w:lang w:val="en-US"/>
        </w:rPr>
        <w:t>mg</w:t>
      </w:r>
      <w:r w:rsidRPr="00676E82">
        <w:rPr>
          <w:rFonts w:eastAsia="Times New Roman" w:cs="Arial"/>
          <w:bCs/>
          <w:color w:val="000000"/>
          <w:lang w:val="ru-RU"/>
        </w:rPr>
        <w:t>/</w:t>
      </w:r>
      <w:r w:rsidRPr="00676E82">
        <w:rPr>
          <w:rFonts w:eastAsia="Times New Roman" w:cs="Arial"/>
          <w:bCs/>
          <w:color w:val="000000"/>
          <w:lang w:val="en-US"/>
        </w:rPr>
        <w:t>dl</w:t>
      </w:r>
      <w:r w:rsidRPr="00676E82">
        <w:rPr>
          <w:rFonts w:eastAsia="Times New Roman" w:cs="Arial"/>
          <w:bCs/>
          <w:color w:val="000000"/>
          <w:lang w:val="ru-RU"/>
        </w:rPr>
        <w:t xml:space="preserve">), </w:t>
      </w:r>
      <w:r w:rsidRPr="00676E82">
        <w:rPr>
          <w:rFonts w:eastAsia="Times New Roman" w:cs="Arial"/>
          <w:bCs/>
          <w:color w:val="000000"/>
          <w:lang w:eastAsia="bg-BG"/>
        </w:rPr>
        <w:t xml:space="preserve">и -35 % (изходно ниво: 241 </w:t>
      </w:r>
      <w:r w:rsidRPr="00676E82">
        <w:rPr>
          <w:rFonts w:eastAsia="Times New Roman" w:cs="Arial"/>
          <w:bCs/>
          <w:color w:val="000000"/>
          <w:lang w:val="en-US"/>
        </w:rPr>
        <w:t>mg</w:t>
      </w:r>
      <w:r w:rsidRPr="00676E82">
        <w:rPr>
          <w:rFonts w:eastAsia="Times New Roman" w:cs="Arial"/>
          <w:bCs/>
          <w:color w:val="000000"/>
          <w:lang w:val="ru-RU"/>
        </w:rPr>
        <w:t>/</w:t>
      </w:r>
      <w:r w:rsidRPr="00676E82">
        <w:rPr>
          <w:rFonts w:eastAsia="Times New Roman" w:cs="Arial"/>
          <w:bCs/>
          <w:color w:val="000000"/>
          <w:lang w:val="en-US"/>
        </w:rPr>
        <w:t>dl</w:t>
      </w:r>
      <w:r w:rsidRPr="00676E82">
        <w:rPr>
          <w:rFonts w:eastAsia="Times New Roman" w:cs="Arial"/>
          <w:bCs/>
          <w:color w:val="000000"/>
          <w:lang w:val="ru-RU"/>
        </w:rPr>
        <w:t xml:space="preserve">, </w:t>
      </w:r>
      <w:r w:rsidRPr="00676E82">
        <w:rPr>
          <w:rFonts w:eastAsia="Times New Roman" w:cs="Arial"/>
          <w:bCs/>
          <w:color w:val="000000"/>
          <w:lang w:eastAsia="bg-BG"/>
        </w:rPr>
        <w:t xml:space="preserve">месец 24:153 </w:t>
      </w:r>
      <w:r w:rsidRPr="00676E82">
        <w:rPr>
          <w:rFonts w:eastAsia="Times New Roman" w:cs="Arial"/>
          <w:bCs/>
          <w:color w:val="000000"/>
          <w:lang w:val="en-US"/>
        </w:rPr>
        <w:t>mg</w:t>
      </w:r>
      <w:r w:rsidRPr="00676E82">
        <w:rPr>
          <w:rFonts w:eastAsia="Times New Roman" w:cs="Arial"/>
          <w:bCs/>
          <w:color w:val="000000"/>
          <w:lang w:val="ru-RU"/>
        </w:rPr>
        <w:t>/</w:t>
      </w:r>
      <w:r w:rsidRPr="00676E82">
        <w:rPr>
          <w:rFonts w:eastAsia="Times New Roman" w:cs="Arial"/>
          <w:bCs/>
          <w:color w:val="000000"/>
          <w:lang w:val="en-US"/>
        </w:rPr>
        <w:t>dl</w:t>
      </w:r>
      <w:r w:rsidRPr="00676E82">
        <w:rPr>
          <w:rFonts w:eastAsia="Times New Roman" w:cs="Arial"/>
          <w:bCs/>
          <w:color w:val="000000"/>
          <w:lang w:val="ru-RU"/>
        </w:rPr>
        <w:t xml:space="preserve">) </w:t>
      </w:r>
      <w:r w:rsidRPr="00676E82">
        <w:rPr>
          <w:rFonts w:eastAsia="Times New Roman" w:cs="Arial"/>
          <w:bCs/>
          <w:color w:val="000000"/>
          <w:lang w:eastAsia="bg-BG"/>
        </w:rPr>
        <w:t>във възрастовите групи 6 до &lt; 10,10 до &lt; 14 и 14 до &lt; 18, съответно.</w:t>
      </w:r>
    </w:p>
    <w:p w14:paraId="296E4A07" w14:textId="77777777" w:rsidR="00676E82" w:rsidRPr="00676E82" w:rsidRDefault="00676E82" w:rsidP="00676E82">
      <w:pPr>
        <w:spacing w:line="240" w:lineRule="auto"/>
        <w:rPr>
          <w:rFonts w:eastAsia="Times New Roman" w:cs="Arial"/>
          <w:bCs/>
          <w:color w:val="000000"/>
          <w:lang w:eastAsia="bg-BG"/>
        </w:rPr>
      </w:pPr>
    </w:p>
    <w:p w14:paraId="49B5BDC4" w14:textId="736CA120"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Розувастатин 5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10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и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достигат също статистически значими средни промени спрямо изходно ниво за следните вторични показатели на липидите и липопротеините: </w:t>
      </w:r>
      <w:r w:rsidRPr="00676E82">
        <w:rPr>
          <w:rFonts w:eastAsia="Times New Roman" w:cs="Arial"/>
          <w:bCs/>
          <w:color w:val="000000"/>
          <w:lang w:val="en-US"/>
        </w:rPr>
        <w:t>HDL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ТС, н</w:t>
      </w:r>
      <w:r w:rsidRPr="00676E82">
        <w:rPr>
          <w:rFonts w:eastAsia="Times New Roman" w:cs="Arial"/>
          <w:bCs/>
          <w:color w:val="000000"/>
          <w:lang w:val="en-US"/>
        </w:rPr>
        <w:t>e</w:t>
      </w:r>
      <w:r w:rsidRPr="00676E82">
        <w:rPr>
          <w:rFonts w:eastAsia="Times New Roman" w:cs="Arial"/>
          <w:bCs/>
          <w:color w:val="000000"/>
          <w:lang w:val="ru-RU"/>
        </w:rPr>
        <w:t>-</w:t>
      </w:r>
      <w:r w:rsidRPr="00676E82">
        <w:rPr>
          <w:rFonts w:eastAsia="Times New Roman" w:cs="Arial"/>
          <w:bCs/>
          <w:color w:val="000000"/>
          <w:lang w:val="en-US"/>
        </w:rPr>
        <w:t>HDL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w:t>
      </w:r>
      <w:r w:rsidRPr="00676E82">
        <w:rPr>
          <w:rFonts w:eastAsia="Times New Roman" w:cs="Arial"/>
          <w:bCs/>
          <w:color w:val="000000"/>
          <w:lang w:val="en-US"/>
        </w:rPr>
        <w:t>LDL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w:t>
      </w:r>
      <w:r w:rsidRPr="00676E82">
        <w:rPr>
          <w:rFonts w:eastAsia="Times New Roman" w:cs="Arial"/>
          <w:bCs/>
          <w:color w:val="000000"/>
          <w:lang w:val="en-US"/>
        </w:rPr>
        <w:t>HDL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val="en-US"/>
        </w:rPr>
        <w:t>TC</w:t>
      </w:r>
      <w:r w:rsidRPr="00676E82">
        <w:rPr>
          <w:rFonts w:eastAsia="Times New Roman" w:cs="Arial"/>
          <w:bCs/>
          <w:color w:val="000000"/>
          <w:lang w:val="ru-RU"/>
        </w:rPr>
        <w:t>/</w:t>
      </w:r>
      <w:r w:rsidRPr="00676E82">
        <w:rPr>
          <w:rFonts w:eastAsia="Times New Roman" w:cs="Arial"/>
          <w:bCs/>
          <w:color w:val="000000"/>
          <w:lang w:val="en-US"/>
        </w:rPr>
        <w:t>HDL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val="en-US"/>
        </w:rPr>
        <w:t>TG</w:t>
      </w:r>
      <w:r w:rsidRPr="00676E82">
        <w:rPr>
          <w:rFonts w:eastAsia="Times New Roman" w:cs="Arial"/>
          <w:bCs/>
          <w:color w:val="000000"/>
          <w:lang w:val="ru-RU"/>
        </w:rPr>
        <w:t>/</w:t>
      </w:r>
      <w:r w:rsidRPr="00676E82">
        <w:rPr>
          <w:rFonts w:eastAsia="Times New Roman" w:cs="Arial"/>
          <w:bCs/>
          <w:color w:val="000000"/>
          <w:lang w:val="en-US"/>
        </w:rPr>
        <w:t>HDL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 xml:space="preserve">не </w:t>
      </w:r>
      <w:r w:rsidRPr="00676E82">
        <w:rPr>
          <w:rFonts w:eastAsia="Times New Roman" w:cs="Arial"/>
          <w:bCs/>
          <w:color w:val="000000"/>
          <w:lang w:val="en-US"/>
        </w:rPr>
        <w:t>HDL</w:t>
      </w:r>
      <w:r w:rsidRPr="00676E82">
        <w:rPr>
          <w:rFonts w:eastAsia="Times New Roman" w:cs="Arial"/>
          <w:bCs/>
          <w:color w:val="000000"/>
          <w:lang w:val="ru-RU"/>
        </w:rPr>
        <w:t xml:space="preserve"> </w:t>
      </w:r>
      <w:r w:rsidRPr="00676E82">
        <w:rPr>
          <w:rFonts w:eastAsia="Times New Roman" w:cs="Arial"/>
          <w:bCs/>
          <w:color w:val="000000"/>
          <w:lang w:val="en-US"/>
        </w:rPr>
        <w:t>C</w:t>
      </w:r>
      <w:r w:rsidRPr="00676E82">
        <w:rPr>
          <w:rFonts w:eastAsia="Times New Roman" w:cs="Arial"/>
          <w:bCs/>
          <w:color w:val="000000"/>
          <w:lang w:val="ru-RU"/>
        </w:rPr>
        <w:t>/</w:t>
      </w:r>
      <w:r w:rsidRPr="00676E82">
        <w:rPr>
          <w:rFonts w:eastAsia="Times New Roman" w:cs="Arial"/>
          <w:bCs/>
          <w:color w:val="000000"/>
          <w:lang w:val="en-US"/>
        </w:rPr>
        <w:t>HDL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АроВ, АроВ/АроА-1. Всяка от тези промени е в посока на подобрен липиден отговор и се поддържа в продължение на 2 години.</w:t>
      </w:r>
    </w:p>
    <w:p w14:paraId="27C5BD73" w14:textId="77777777" w:rsidR="00676E82" w:rsidRPr="00676E82" w:rsidRDefault="00676E82" w:rsidP="00676E82">
      <w:pPr>
        <w:spacing w:line="240" w:lineRule="auto"/>
        <w:rPr>
          <w:rFonts w:eastAsia="Times New Roman" w:cs="Arial"/>
          <w:bCs/>
          <w:color w:val="000000"/>
          <w:lang w:eastAsia="bg-BG"/>
        </w:rPr>
      </w:pPr>
    </w:p>
    <w:p w14:paraId="5C3DD3A8" w14:textId="071ABCB2"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Не се установява ефект </w:t>
      </w:r>
      <w:r w:rsidRPr="00676E82">
        <w:rPr>
          <w:rFonts w:eastAsia="Times New Roman" w:cs="Arial"/>
          <w:bCs/>
          <w:i/>
          <w:iCs/>
          <w:color w:val="000000"/>
          <w:lang w:eastAsia="bg-BG"/>
        </w:rPr>
        <w:t>върху растежа,</w:t>
      </w:r>
      <w:r w:rsidRPr="00676E82">
        <w:rPr>
          <w:rFonts w:eastAsia="Times New Roman" w:cs="Arial"/>
          <w:bCs/>
          <w:color w:val="000000"/>
          <w:lang w:eastAsia="bg-BG"/>
        </w:rPr>
        <w:t xml:space="preserve"> теглото, ИТМ или половото съзряване след 24 месеца на лечение (вж. точка 4.4).</w:t>
      </w:r>
    </w:p>
    <w:p w14:paraId="2484D5E2" w14:textId="77777777" w:rsidR="00676E82" w:rsidRPr="00676E82" w:rsidRDefault="00676E82" w:rsidP="00676E82">
      <w:pPr>
        <w:spacing w:line="240" w:lineRule="auto"/>
        <w:rPr>
          <w:rFonts w:eastAsia="Times New Roman" w:cs="Arial"/>
          <w:bCs/>
          <w:color w:val="000000"/>
          <w:lang w:eastAsia="bg-BG"/>
        </w:rPr>
      </w:pPr>
    </w:p>
    <w:p w14:paraId="4AEDAA80" w14:textId="6801B4E0"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Розувастатин е проучен в рандомизирано, двойносляпо, плацебо-контролирано, многоцентрово, кръстосано проучване с доза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веднъж дневно, спрямо плацебо при 14 деца и юноши (на възраст 6 до 17 години) с хомозиготна фамилна хиперхолестеролемия. Проучването включва активна 4-седмична встъпителна фаза на диета, по време на която пациентите са лекувани с розувастатин 10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една кръстосана фаза, която включва период от 6-седмично лечение с розувастатин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предшествана или последвана от 6-седмично лечение с плацебо и  поддържащата 12-седмична фаза, през която всички пациенти са лекувани с розувастатин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Пациентите, които постъпват в проучването на терапия с езетимиб или афереза, продължават лечението си през целия период на проучването.</w:t>
      </w:r>
    </w:p>
    <w:p w14:paraId="129AAA54" w14:textId="77777777" w:rsidR="00676E82" w:rsidRPr="00676E82" w:rsidRDefault="00676E82" w:rsidP="00676E82">
      <w:pPr>
        <w:spacing w:line="240" w:lineRule="auto"/>
        <w:rPr>
          <w:rFonts w:eastAsia="Times New Roman" w:cs="Arial"/>
          <w:bCs/>
          <w:color w:val="000000"/>
          <w:lang w:eastAsia="bg-BG"/>
        </w:rPr>
      </w:pPr>
    </w:p>
    <w:p w14:paraId="1AB2BB81" w14:textId="528521B8" w:rsidR="00676E82" w:rsidRPr="00676E82" w:rsidRDefault="00676E82" w:rsidP="00676E82">
      <w:pPr>
        <w:spacing w:line="240" w:lineRule="auto"/>
        <w:rPr>
          <w:rFonts w:eastAsia="Times New Roman" w:cs="Arial"/>
          <w:bCs/>
          <w:color w:val="000000"/>
          <w:lang w:eastAsia="bg-BG"/>
        </w:rPr>
      </w:pPr>
      <w:r w:rsidRPr="00676E82">
        <w:rPr>
          <w:rFonts w:eastAsia="Times New Roman" w:cs="Arial"/>
          <w:bCs/>
          <w:color w:val="000000"/>
          <w:lang w:eastAsia="bg-BG"/>
        </w:rPr>
        <w:t xml:space="preserve">Статистически сигнификантно (р=0.005) и клинично значимо намалени на </w:t>
      </w:r>
      <w:r w:rsidRPr="00676E82">
        <w:rPr>
          <w:rFonts w:eastAsia="Times New Roman" w:cs="Arial"/>
          <w:bCs/>
          <w:color w:val="000000"/>
          <w:lang w:val="en-US"/>
        </w:rPr>
        <w:t>LDL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(22,3%</w:t>
      </w:r>
      <w:r w:rsidRPr="00676E82">
        <w:rPr>
          <w:rFonts w:eastAsia="Times New Roman" w:cs="Arial"/>
          <w:bCs/>
          <w:color w:val="000000"/>
          <w:lang w:eastAsia="bg-BG"/>
        </w:rPr>
        <w:t xml:space="preserve"> 85,4 </w:t>
      </w:r>
      <w:r w:rsidRPr="00676E82">
        <w:rPr>
          <w:rFonts w:eastAsia="Times New Roman" w:cs="Arial"/>
          <w:bCs/>
          <w:color w:val="000000"/>
          <w:lang w:val="en-US"/>
        </w:rPr>
        <w:t>mg</w:t>
      </w:r>
      <w:r w:rsidRPr="00676E82">
        <w:rPr>
          <w:rFonts w:eastAsia="Times New Roman" w:cs="Arial"/>
          <w:bCs/>
          <w:color w:val="000000"/>
          <w:lang w:val="ru-RU"/>
        </w:rPr>
        <w:t>/</w:t>
      </w:r>
      <w:proofErr w:type="spellStart"/>
      <w:r w:rsidRPr="00676E82">
        <w:rPr>
          <w:rFonts w:eastAsia="Times New Roman" w:cs="Arial"/>
          <w:bCs/>
          <w:color w:val="000000"/>
          <w:lang w:val="en-US"/>
        </w:rPr>
        <w:t>dL</w:t>
      </w:r>
      <w:proofErr w:type="spellEnd"/>
      <w:r w:rsidRPr="00676E82">
        <w:rPr>
          <w:rFonts w:eastAsia="Times New Roman" w:cs="Arial"/>
          <w:bCs/>
          <w:color w:val="000000"/>
          <w:lang w:val="ru-RU"/>
        </w:rPr>
        <w:t xml:space="preserve"> </w:t>
      </w:r>
      <w:r w:rsidRPr="00676E82">
        <w:rPr>
          <w:rFonts w:eastAsia="Times New Roman" w:cs="Arial"/>
          <w:bCs/>
          <w:color w:val="000000"/>
          <w:lang w:eastAsia="bg-BG"/>
        </w:rPr>
        <w:t xml:space="preserve">или 2,2 </w:t>
      </w:r>
      <w:proofErr w:type="spellStart"/>
      <w:r w:rsidRPr="00676E82">
        <w:rPr>
          <w:rFonts w:eastAsia="Times New Roman" w:cs="Arial"/>
          <w:bCs/>
          <w:color w:val="000000"/>
          <w:lang w:val="en-US"/>
        </w:rPr>
        <w:t>mmol</w:t>
      </w:r>
      <w:proofErr w:type="spellEnd"/>
      <w:r w:rsidRPr="00676E82">
        <w:rPr>
          <w:rFonts w:eastAsia="Times New Roman" w:cs="Arial"/>
          <w:bCs/>
          <w:color w:val="000000"/>
          <w:lang w:val="ru-RU"/>
        </w:rPr>
        <w:t>/</w:t>
      </w:r>
      <w:r w:rsidRPr="00676E82">
        <w:rPr>
          <w:rFonts w:eastAsia="Times New Roman" w:cs="Arial"/>
          <w:bCs/>
          <w:color w:val="000000"/>
          <w:lang w:val="en-US"/>
        </w:rPr>
        <w:t>L</w:t>
      </w:r>
      <w:r w:rsidRPr="00676E82">
        <w:rPr>
          <w:rFonts w:eastAsia="Times New Roman" w:cs="Arial"/>
          <w:bCs/>
          <w:color w:val="000000"/>
          <w:lang w:val="ru-RU"/>
        </w:rPr>
        <w:t xml:space="preserve">) </w:t>
      </w:r>
      <w:r w:rsidRPr="00676E82">
        <w:rPr>
          <w:rFonts w:eastAsia="Times New Roman" w:cs="Arial"/>
          <w:bCs/>
          <w:color w:val="000000"/>
          <w:lang w:eastAsia="bg-BG"/>
        </w:rPr>
        <w:t xml:space="preserve">се наблюдава след 6 седмици на лечение с розувастатин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в сравнение с плацебо при деца и юноши с хомозиготна фамилна хиперхолестеролемия.</w:t>
      </w:r>
    </w:p>
    <w:p w14:paraId="586B7B71" w14:textId="2E6B7199" w:rsidR="00676E82" w:rsidRPr="00676E82" w:rsidRDefault="00676E82" w:rsidP="00676E82">
      <w:pPr>
        <w:spacing w:line="240" w:lineRule="auto"/>
        <w:rPr>
          <w:rFonts w:eastAsia="Times New Roman" w:cs="Arial"/>
          <w:bCs/>
          <w:color w:val="000000"/>
          <w:lang w:eastAsia="bg-BG"/>
        </w:rPr>
      </w:pPr>
    </w:p>
    <w:p w14:paraId="2CAE8D36" w14:textId="77777777"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Статистически значими намаления в общия холестерол (20,1 %, р=0.003), н</w:t>
      </w:r>
      <w:proofErr w:type="spellStart"/>
      <w:r w:rsidRPr="00676E82">
        <w:rPr>
          <w:rFonts w:eastAsia="Times New Roman" w:cs="Arial"/>
          <w:bCs/>
          <w:color w:val="000000"/>
          <w:lang w:val="en-US"/>
        </w:rPr>
        <w:t>eHDL</w:t>
      </w:r>
      <w:proofErr w:type="spellEnd"/>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 xml:space="preserve">(22.9 %, р=0,003) и АроВ (17,1 %, р=0,024), са наблюдавани след 6 седмици на лечение с розувастатин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в сравнение с плацебо при деца и юноши с хомозиготна фамилна </w:t>
      </w:r>
      <w:r w:rsidRPr="00676E82">
        <w:rPr>
          <w:rFonts w:eastAsia="Times New Roman" w:cs="Arial"/>
          <w:bCs/>
          <w:color w:val="000000"/>
          <w:lang w:eastAsia="bg-BG"/>
        </w:rPr>
        <w:lastRenderedPageBreak/>
        <w:t xml:space="preserve">хиперхолестеролемия. Понижаване също се наблюдава на триглицеридите, съотношенията </w:t>
      </w:r>
      <w:r w:rsidRPr="00676E82">
        <w:rPr>
          <w:rFonts w:eastAsia="Times New Roman" w:cs="Arial"/>
          <w:bCs/>
          <w:color w:val="000000"/>
          <w:lang w:val="en-US"/>
        </w:rPr>
        <w:t>LDL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w:t>
      </w:r>
      <w:r w:rsidRPr="00676E82">
        <w:rPr>
          <w:rFonts w:eastAsia="Times New Roman" w:cs="Arial"/>
          <w:bCs/>
          <w:color w:val="000000"/>
          <w:lang w:val="en-US"/>
        </w:rPr>
        <w:t>HDL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 xml:space="preserve">общ </w:t>
      </w:r>
      <w:r w:rsidRPr="00676E82">
        <w:rPr>
          <w:rFonts w:eastAsia="Times New Roman" w:cs="Arial"/>
          <w:bCs/>
          <w:color w:val="000000"/>
          <w:lang w:val="en-US"/>
        </w:rPr>
        <w:t>C</w:t>
      </w:r>
      <w:r w:rsidRPr="00676E82">
        <w:rPr>
          <w:rFonts w:eastAsia="Times New Roman" w:cs="Arial"/>
          <w:bCs/>
          <w:color w:val="000000"/>
          <w:lang w:val="ru-RU"/>
        </w:rPr>
        <w:t>/</w:t>
      </w:r>
      <w:r w:rsidRPr="00676E82">
        <w:rPr>
          <w:rFonts w:eastAsia="Times New Roman" w:cs="Arial"/>
          <w:bCs/>
          <w:color w:val="000000"/>
          <w:lang w:val="en-US"/>
        </w:rPr>
        <w:t>HDL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н</w:t>
      </w:r>
      <w:proofErr w:type="spellStart"/>
      <w:r w:rsidRPr="00676E82">
        <w:rPr>
          <w:rFonts w:eastAsia="Times New Roman" w:cs="Arial"/>
          <w:bCs/>
          <w:color w:val="000000"/>
          <w:lang w:val="en-US"/>
        </w:rPr>
        <w:t>eHDL</w:t>
      </w:r>
      <w:proofErr w:type="spellEnd"/>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w:t>
      </w:r>
      <w:r w:rsidRPr="00676E82">
        <w:rPr>
          <w:rFonts w:eastAsia="Times New Roman" w:cs="Arial"/>
          <w:bCs/>
          <w:color w:val="000000"/>
          <w:lang w:val="en-US"/>
        </w:rPr>
        <w:t>HDL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 xml:space="preserve">и АроВ/АроА-1 след 6 седмици на лечение с розувастатин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в сравнение с плацебо, при деца и юноши. Намалението на </w:t>
      </w:r>
      <w:r w:rsidRPr="00676E82">
        <w:rPr>
          <w:rFonts w:eastAsia="Times New Roman" w:cs="Arial"/>
          <w:bCs/>
          <w:color w:val="000000"/>
          <w:lang w:val="en-US"/>
        </w:rPr>
        <w:t>LDL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 xml:space="preserve">след 6 седмици на лечение с розувастатин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последвано от 6 седмици на лечение с плацебо, се запазва в рамките на 12-седмично непрекъснато лечение при деца и юноши с хомозиготна фамилна хиперхолестеролемия. Един пациент е имал по-нататъшно понижаване на </w:t>
      </w:r>
      <w:r w:rsidRPr="00676E82">
        <w:rPr>
          <w:rFonts w:eastAsia="Times New Roman" w:cs="Arial"/>
          <w:bCs/>
          <w:color w:val="000000"/>
          <w:lang w:val="en-US"/>
        </w:rPr>
        <w:t>LDL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(8,0%), Общ- С (6,7%) и не</w:t>
      </w:r>
      <w:r w:rsidRPr="00676E82">
        <w:rPr>
          <w:rFonts w:eastAsia="Times New Roman" w:cs="Arial"/>
          <w:bCs/>
          <w:color w:val="000000"/>
          <w:lang w:val="ru-RU"/>
        </w:rPr>
        <w:t>-</w:t>
      </w:r>
      <w:r w:rsidRPr="00676E82">
        <w:rPr>
          <w:rFonts w:eastAsia="Times New Roman" w:cs="Arial"/>
          <w:bCs/>
          <w:color w:val="000000"/>
          <w:lang w:val="en-US"/>
        </w:rPr>
        <w:t>HDL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 xml:space="preserve">(7,4%) след 6 седмично лечение с 40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след повишаване на дозата.</w:t>
      </w:r>
    </w:p>
    <w:p w14:paraId="2F1AE916" w14:textId="77777777" w:rsidR="00676E82" w:rsidRPr="00676E82" w:rsidRDefault="00676E82" w:rsidP="00676E82">
      <w:pPr>
        <w:spacing w:line="240" w:lineRule="auto"/>
        <w:rPr>
          <w:rFonts w:eastAsia="Times New Roman" w:cs="Arial"/>
          <w:bCs/>
          <w:color w:val="000000"/>
          <w:lang w:eastAsia="bg-BG"/>
        </w:rPr>
      </w:pPr>
    </w:p>
    <w:p w14:paraId="3F6C0B5D" w14:textId="362E73BD"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По време на разширено отворено проучване, при 9 от тези пациенти на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 xml:space="preserve">розувастатин за не повече от 90 седмици, намаляването на </w:t>
      </w:r>
      <w:r w:rsidRPr="00676E82">
        <w:rPr>
          <w:rFonts w:eastAsia="Times New Roman" w:cs="Arial"/>
          <w:bCs/>
          <w:color w:val="000000"/>
          <w:lang w:val="en-US"/>
        </w:rPr>
        <w:t>LDL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се запазва в рамките на -12,1% до -21,3%.</w:t>
      </w:r>
    </w:p>
    <w:p w14:paraId="0407BD93" w14:textId="77777777" w:rsidR="00676E82" w:rsidRPr="00676E82" w:rsidRDefault="00676E82" w:rsidP="00676E82">
      <w:pPr>
        <w:spacing w:line="240" w:lineRule="auto"/>
        <w:rPr>
          <w:rFonts w:eastAsia="Times New Roman" w:cs="Arial"/>
          <w:bCs/>
          <w:color w:val="000000"/>
          <w:lang w:eastAsia="bg-BG"/>
        </w:rPr>
      </w:pPr>
    </w:p>
    <w:p w14:paraId="2EFCB1D9" w14:textId="366CB926"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 xml:space="preserve">При 7-те оценявани деца и юноши (на възраст 8 до 17 години) с хомозиготна фамилна хиперхолестеролемия от отвореното проучване с форсирано титриране (вж. по-горе), процентното понижение на </w:t>
      </w:r>
      <w:r w:rsidRPr="00676E82">
        <w:rPr>
          <w:rFonts w:eastAsia="Times New Roman" w:cs="Arial"/>
          <w:bCs/>
          <w:color w:val="000000"/>
          <w:lang w:val="en-US"/>
        </w:rPr>
        <w:t>LDL</w:t>
      </w:r>
      <w:r w:rsidRPr="00676E82">
        <w:rPr>
          <w:rFonts w:eastAsia="Times New Roman" w:cs="Arial"/>
          <w:bCs/>
          <w:color w:val="000000"/>
          <w:lang w:val="ru-RU"/>
        </w:rPr>
        <w:t>-</w:t>
      </w:r>
      <w:r w:rsidRPr="00676E82">
        <w:rPr>
          <w:rFonts w:eastAsia="Times New Roman" w:cs="Arial"/>
          <w:bCs/>
          <w:color w:val="000000"/>
          <w:lang w:val="en-US"/>
        </w:rPr>
        <w:t>C</w:t>
      </w:r>
      <w:r w:rsidRPr="00676E82">
        <w:rPr>
          <w:rFonts w:eastAsia="Times New Roman" w:cs="Arial"/>
          <w:bCs/>
          <w:color w:val="000000"/>
          <w:lang w:val="ru-RU"/>
        </w:rPr>
        <w:t xml:space="preserve"> </w:t>
      </w:r>
      <w:r w:rsidRPr="00676E82">
        <w:rPr>
          <w:rFonts w:eastAsia="Times New Roman" w:cs="Arial"/>
          <w:bCs/>
          <w:color w:val="000000"/>
          <w:lang w:eastAsia="bg-BG"/>
        </w:rPr>
        <w:t>(21,0 %), общ С (19,2 %) и не</w:t>
      </w:r>
      <w:r w:rsidRPr="00676E82">
        <w:rPr>
          <w:rFonts w:eastAsia="Times New Roman" w:cs="Arial"/>
          <w:bCs/>
          <w:color w:val="000000"/>
          <w:lang w:val="en-US"/>
        </w:rPr>
        <w:t>HDL</w:t>
      </w:r>
      <w:r w:rsidRPr="00676E82">
        <w:rPr>
          <w:rFonts w:eastAsia="Times New Roman" w:cs="Arial"/>
          <w:bCs/>
          <w:color w:val="000000"/>
          <w:lang w:eastAsia="bg-BG"/>
        </w:rPr>
        <w:t xml:space="preserve">-С (21,0 %) от изходното ниво, след 6 седмици на лечение с розувастатин 20 </w:t>
      </w:r>
      <w:r w:rsidRPr="00676E82">
        <w:rPr>
          <w:rFonts w:eastAsia="Times New Roman" w:cs="Arial"/>
          <w:bCs/>
          <w:color w:val="000000"/>
          <w:lang w:val="en-US"/>
        </w:rPr>
        <w:t>mg</w:t>
      </w:r>
      <w:r w:rsidRPr="00676E82">
        <w:rPr>
          <w:rFonts w:eastAsia="Times New Roman" w:cs="Arial"/>
          <w:bCs/>
          <w:color w:val="000000"/>
          <w:lang w:val="ru-RU"/>
        </w:rPr>
        <w:t xml:space="preserve">, </w:t>
      </w:r>
      <w:r w:rsidRPr="00676E82">
        <w:rPr>
          <w:rFonts w:eastAsia="Times New Roman" w:cs="Arial"/>
          <w:bCs/>
          <w:color w:val="000000"/>
          <w:lang w:eastAsia="bg-BG"/>
        </w:rPr>
        <w:t>е в съответствие с тези, наблюдавани в посоченото по-горе проучване при деца и юноши с хомозиготна фамилна хиперхолестеролемия.</w:t>
      </w:r>
    </w:p>
    <w:p w14:paraId="03F8A9E9" w14:textId="77777777" w:rsidR="00676E82" w:rsidRPr="00676E82" w:rsidRDefault="00676E82" w:rsidP="00676E82">
      <w:pPr>
        <w:spacing w:line="240" w:lineRule="auto"/>
        <w:rPr>
          <w:rFonts w:eastAsia="Times New Roman" w:cs="Arial"/>
          <w:bCs/>
          <w:color w:val="000000"/>
          <w:lang w:eastAsia="bg-BG"/>
        </w:rPr>
      </w:pPr>
    </w:p>
    <w:p w14:paraId="2F3F9B1D" w14:textId="380070EB" w:rsidR="00676E82" w:rsidRPr="00676E82" w:rsidRDefault="00676E82" w:rsidP="00676E82">
      <w:pPr>
        <w:spacing w:line="240" w:lineRule="auto"/>
        <w:rPr>
          <w:rFonts w:eastAsia="Times New Roman" w:cs="Arial"/>
        </w:rPr>
      </w:pPr>
      <w:r w:rsidRPr="00676E82">
        <w:rPr>
          <w:rFonts w:eastAsia="Times New Roman" w:cs="Arial"/>
          <w:bCs/>
          <w:color w:val="000000"/>
          <w:lang w:eastAsia="bg-BG"/>
        </w:rPr>
        <w:t>Европейската агенция по лекарствата освобождава от задължението за предоставяне на резултатите от проучванията с розувастатин при всички подгрупи от педиатричната популация за лечение на хомозиготна фамилна хиперхолестеролемия, първично комбинирана (смесена) дислипидемия и за профилактика на сърдечно-съдовите събития (вж. точка 4.2 за информация относно употреба в педиатрията).</w:t>
      </w:r>
    </w:p>
    <w:p w14:paraId="00A3A950" w14:textId="299007E0" w:rsidR="00676E82" w:rsidRPr="00676E82" w:rsidRDefault="00676E82" w:rsidP="00676E82">
      <w:pPr>
        <w:spacing w:line="240" w:lineRule="auto"/>
        <w:rPr>
          <w:rFonts w:ascii="Times New Roman" w:eastAsia="Times New Roman" w:hAnsi="Times New Roman" w:cs="Times New Roman"/>
          <w:sz w:val="24"/>
          <w:szCs w:val="24"/>
        </w:rPr>
      </w:pPr>
    </w:p>
    <w:p w14:paraId="35F84B81" w14:textId="158AF6E4" w:rsidR="00CF77F7" w:rsidRDefault="002C50EE" w:rsidP="004A448E">
      <w:pPr>
        <w:pStyle w:val="Heading2"/>
      </w:pPr>
      <w:r>
        <w:t>5.2. Фармакокинетични свойства</w:t>
      </w:r>
    </w:p>
    <w:p w14:paraId="0F2E4C7E" w14:textId="7E393212" w:rsidR="00676E82" w:rsidRDefault="00676E82" w:rsidP="00676E82"/>
    <w:p w14:paraId="641B4EBF" w14:textId="77777777" w:rsidR="00676E82" w:rsidRPr="00676E82" w:rsidRDefault="00676E82" w:rsidP="00676E82">
      <w:pPr>
        <w:pStyle w:val="Heading3"/>
        <w:rPr>
          <w:rFonts w:eastAsia="Times New Roman"/>
          <w:sz w:val="28"/>
          <w:u w:val="single"/>
        </w:rPr>
      </w:pPr>
      <w:r w:rsidRPr="00676E82">
        <w:rPr>
          <w:rFonts w:eastAsia="Times New Roman"/>
          <w:u w:val="single"/>
          <w:lang w:eastAsia="bg-BG"/>
        </w:rPr>
        <w:t>Абсорбция</w:t>
      </w:r>
    </w:p>
    <w:p w14:paraId="06A8ED5A" w14:textId="77777777"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lang w:eastAsia="bg-BG"/>
        </w:rPr>
        <w:t>Максимални плазмени нива се достигат 5 часа след перорално приемане. Абсолютната бионаличност е приблизително 20 %.</w:t>
      </w:r>
    </w:p>
    <w:p w14:paraId="6018E2A0" w14:textId="77777777" w:rsidR="00676E82" w:rsidRPr="00676E82" w:rsidRDefault="00676E82" w:rsidP="00676E82">
      <w:pPr>
        <w:spacing w:line="240" w:lineRule="auto"/>
        <w:rPr>
          <w:rFonts w:eastAsia="Times New Roman" w:cs="Arial"/>
          <w:bCs/>
          <w:color w:val="000000"/>
          <w:szCs w:val="20"/>
          <w:u w:val="single"/>
          <w:lang w:eastAsia="bg-BG"/>
        </w:rPr>
      </w:pPr>
    </w:p>
    <w:p w14:paraId="19A641C1" w14:textId="43599E40" w:rsidR="00676E82" w:rsidRPr="00676E82" w:rsidRDefault="00676E82" w:rsidP="00676E82">
      <w:pPr>
        <w:pStyle w:val="Heading3"/>
        <w:rPr>
          <w:rFonts w:eastAsia="Times New Roman"/>
          <w:sz w:val="28"/>
          <w:u w:val="single"/>
        </w:rPr>
      </w:pPr>
      <w:r w:rsidRPr="00676E82">
        <w:rPr>
          <w:rFonts w:eastAsia="Times New Roman"/>
          <w:u w:val="single"/>
          <w:lang w:eastAsia="bg-BG"/>
        </w:rPr>
        <w:t>Разпределение</w:t>
      </w:r>
    </w:p>
    <w:p w14:paraId="1A355B76" w14:textId="77777777"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lang w:eastAsia="bg-BG"/>
        </w:rPr>
        <w:t xml:space="preserve">Розувастатин се поема основно от черния дроб, който е основното място на синтезиране на холестерола и отделяне на </w:t>
      </w:r>
      <w:r w:rsidRPr="00676E82">
        <w:rPr>
          <w:rFonts w:eastAsia="Times New Roman" w:cs="Arial"/>
          <w:bCs/>
          <w:color w:val="000000"/>
          <w:szCs w:val="20"/>
          <w:lang w:val="en-US"/>
        </w:rPr>
        <w:t>LDL</w:t>
      </w:r>
      <w:r w:rsidRPr="00676E82">
        <w:rPr>
          <w:rFonts w:eastAsia="Times New Roman" w:cs="Arial"/>
          <w:bCs/>
          <w:color w:val="000000"/>
          <w:szCs w:val="20"/>
          <w:lang w:val="ru-RU"/>
        </w:rPr>
        <w:t>-</w:t>
      </w:r>
      <w:r w:rsidRPr="00676E82">
        <w:rPr>
          <w:rFonts w:eastAsia="Times New Roman" w:cs="Arial"/>
          <w:bCs/>
          <w:color w:val="000000"/>
          <w:szCs w:val="20"/>
          <w:lang w:val="en-US"/>
        </w:rPr>
        <w:t>C</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Обемът на разпределение на розувастатин е приблизително 134 1. Розувастатин е свързан с плазмените протеини, предимно албумина, приблизително в 90%.</w:t>
      </w:r>
    </w:p>
    <w:p w14:paraId="63A61C18" w14:textId="77777777" w:rsidR="00676E82" w:rsidRPr="00676E82" w:rsidRDefault="00676E82" w:rsidP="00676E82">
      <w:pPr>
        <w:spacing w:line="240" w:lineRule="auto"/>
        <w:rPr>
          <w:rFonts w:eastAsia="Times New Roman" w:cs="Arial"/>
          <w:bCs/>
          <w:color w:val="000000"/>
          <w:szCs w:val="20"/>
          <w:u w:val="single"/>
          <w:lang w:eastAsia="bg-BG"/>
        </w:rPr>
      </w:pPr>
    </w:p>
    <w:p w14:paraId="0C028940" w14:textId="35BB0B1D" w:rsidR="00676E82" w:rsidRPr="00676E82" w:rsidRDefault="00676E82" w:rsidP="00676E82">
      <w:pPr>
        <w:pStyle w:val="Heading3"/>
        <w:rPr>
          <w:rFonts w:eastAsia="Times New Roman"/>
          <w:sz w:val="28"/>
          <w:u w:val="single"/>
        </w:rPr>
      </w:pPr>
      <w:r w:rsidRPr="00676E82">
        <w:rPr>
          <w:rFonts w:eastAsia="Times New Roman"/>
          <w:u w:val="single"/>
          <w:lang w:eastAsia="bg-BG"/>
        </w:rPr>
        <w:t>Биотрансформация</w:t>
      </w:r>
    </w:p>
    <w:p w14:paraId="58580562" w14:textId="77777777"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lang w:eastAsia="bg-BG"/>
        </w:rPr>
        <w:t xml:space="preserve">Метаболизмът на розувастатин е ограничен (около 10 %). </w:t>
      </w:r>
      <w:r w:rsidRPr="00676E82">
        <w:rPr>
          <w:rFonts w:eastAsia="Times New Roman" w:cs="Arial"/>
          <w:bCs/>
          <w:i/>
          <w:iCs/>
          <w:color w:val="000000"/>
          <w:szCs w:val="20"/>
          <w:lang w:val="en-US"/>
        </w:rPr>
        <w:t>In</w:t>
      </w:r>
      <w:r w:rsidRPr="00676E82">
        <w:rPr>
          <w:rFonts w:eastAsia="Times New Roman" w:cs="Arial"/>
          <w:bCs/>
          <w:i/>
          <w:iCs/>
          <w:color w:val="000000"/>
          <w:szCs w:val="20"/>
          <w:lang w:val="ru-RU"/>
        </w:rPr>
        <w:t xml:space="preserve"> </w:t>
      </w:r>
      <w:r w:rsidRPr="00676E82">
        <w:rPr>
          <w:rFonts w:eastAsia="Times New Roman" w:cs="Arial"/>
          <w:bCs/>
          <w:i/>
          <w:iCs/>
          <w:color w:val="000000"/>
          <w:szCs w:val="20"/>
          <w:lang w:val="en-US"/>
        </w:rPr>
        <w:t>vitro</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проучвания на метаболизма с използване на човешки хепатоцити показват, че розувастатин е слаб субстрат за цитохром Р450 обусловения метаболизъм. </w:t>
      </w:r>
      <w:r w:rsidRPr="00676E82">
        <w:rPr>
          <w:rFonts w:eastAsia="Times New Roman" w:cs="Arial"/>
          <w:bCs/>
          <w:color w:val="000000"/>
          <w:szCs w:val="20"/>
          <w:lang w:val="en-US"/>
        </w:rPr>
        <w:t>CYP</w:t>
      </w:r>
      <w:r w:rsidRPr="00676E82">
        <w:rPr>
          <w:rFonts w:eastAsia="Times New Roman" w:cs="Arial"/>
          <w:bCs/>
          <w:color w:val="000000"/>
          <w:szCs w:val="20"/>
          <w:lang w:val="ru-RU"/>
        </w:rPr>
        <w:t>2</w:t>
      </w:r>
      <w:r w:rsidRPr="00676E82">
        <w:rPr>
          <w:rFonts w:eastAsia="Times New Roman" w:cs="Arial"/>
          <w:bCs/>
          <w:color w:val="000000"/>
          <w:szCs w:val="20"/>
          <w:lang w:val="en-US"/>
        </w:rPr>
        <w:t>C</w:t>
      </w:r>
      <w:r w:rsidRPr="00676E82">
        <w:rPr>
          <w:rFonts w:eastAsia="Times New Roman" w:cs="Arial"/>
          <w:bCs/>
          <w:color w:val="000000"/>
          <w:szCs w:val="20"/>
          <w:lang w:val="ru-RU"/>
        </w:rPr>
        <w:t xml:space="preserve">9 </w:t>
      </w:r>
      <w:r w:rsidRPr="00676E82">
        <w:rPr>
          <w:rFonts w:eastAsia="Times New Roman" w:cs="Arial"/>
          <w:bCs/>
          <w:color w:val="000000"/>
          <w:szCs w:val="20"/>
          <w:lang w:eastAsia="bg-BG"/>
        </w:rPr>
        <w:t xml:space="preserve">е основният изоензим, който участва в метаболизма на розувастатин, </w:t>
      </w:r>
      <w:r w:rsidRPr="00676E82">
        <w:rPr>
          <w:rFonts w:eastAsia="Times New Roman" w:cs="Arial"/>
          <w:bCs/>
          <w:color w:val="000000"/>
          <w:szCs w:val="20"/>
          <w:lang w:val="en-US"/>
        </w:rPr>
        <w:t>a</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2С19, ЗА4 и </w:t>
      </w:r>
      <w:r w:rsidRPr="00676E82">
        <w:rPr>
          <w:rFonts w:eastAsia="Times New Roman" w:cs="Arial"/>
          <w:bCs/>
          <w:color w:val="000000"/>
          <w:szCs w:val="20"/>
          <w:lang w:val="ru-RU"/>
        </w:rPr>
        <w:t>2</w:t>
      </w:r>
      <w:r w:rsidRPr="00676E82">
        <w:rPr>
          <w:rFonts w:eastAsia="Times New Roman" w:cs="Arial"/>
          <w:bCs/>
          <w:color w:val="000000"/>
          <w:szCs w:val="20"/>
          <w:lang w:val="en-US"/>
        </w:rPr>
        <w:t>D</w:t>
      </w:r>
      <w:r w:rsidRPr="00676E82">
        <w:rPr>
          <w:rFonts w:eastAsia="Times New Roman" w:cs="Arial"/>
          <w:bCs/>
          <w:color w:val="000000"/>
          <w:szCs w:val="20"/>
          <w:lang w:val="ru-RU"/>
        </w:rPr>
        <w:t xml:space="preserve">6 </w:t>
      </w:r>
      <w:r w:rsidRPr="00676E82">
        <w:rPr>
          <w:rFonts w:eastAsia="Times New Roman" w:cs="Arial"/>
          <w:bCs/>
          <w:color w:val="000000"/>
          <w:szCs w:val="20"/>
          <w:lang w:eastAsia="bg-BG"/>
        </w:rPr>
        <w:t xml:space="preserve">участват в по-малка степен. Основните метаболити са </w:t>
      </w:r>
      <w:r w:rsidRPr="00676E82">
        <w:rPr>
          <w:rFonts w:eastAsia="Times New Roman" w:cs="Arial"/>
          <w:bCs/>
          <w:color w:val="000000"/>
          <w:szCs w:val="20"/>
          <w:lang w:val="en-US"/>
        </w:rPr>
        <w:t>N</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десметил и лактон. </w:t>
      </w:r>
      <w:r w:rsidRPr="00676E82">
        <w:rPr>
          <w:rFonts w:eastAsia="Times New Roman" w:cs="Arial"/>
          <w:bCs/>
          <w:color w:val="000000"/>
          <w:szCs w:val="20"/>
          <w:lang w:val="en-US"/>
        </w:rPr>
        <w:t>N</w:t>
      </w:r>
      <w:r w:rsidRPr="00676E82">
        <w:rPr>
          <w:rFonts w:eastAsia="Times New Roman" w:cs="Arial"/>
          <w:bCs/>
          <w:color w:val="000000"/>
          <w:szCs w:val="20"/>
          <w:lang w:eastAsia="bg-BG"/>
        </w:rPr>
        <w:t xml:space="preserve">-десметил е около 50 % по-малко активен в сравнение с розувастатин, докато лактон се счита за клинично неактивен. Розувастатин определя повече от 90 % от активността на циркулиращия </w:t>
      </w:r>
      <w:r w:rsidRPr="00676E82">
        <w:rPr>
          <w:rFonts w:eastAsia="Times New Roman" w:cs="Arial"/>
          <w:bCs/>
          <w:color w:val="000000"/>
          <w:szCs w:val="20"/>
          <w:lang w:val="en-US"/>
        </w:rPr>
        <w:t>HMG</w:t>
      </w:r>
      <w:r w:rsidRPr="00676E82">
        <w:rPr>
          <w:rFonts w:eastAsia="Times New Roman" w:cs="Arial"/>
          <w:bCs/>
          <w:color w:val="000000"/>
          <w:szCs w:val="20"/>
          <w:lang w:val="ru-RU"/>
        </w:rPr>
        <w:t>-</w:t>
      </w:r>
      <w:r w:rsidRPr="00676E82">
        <w:rPr>
          <w:rFonts w:eastAsia="Times New Roman" w:cs="Arial"/>
          <w:bCs/>
          <w:color w:val="000000"/>
          <w:szCs w:val="20"/>
          <w:lang w:val="en-US"/>
        </w:rPr>
        <w:t>CoA</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инхибитор на редуктазата.</w:t>
      </w:r>
    </w:p>
    <w:p w14:paraId="2647B84D" w14:textId="77777777" w:rsidR="00676E82" w:rsidRPr="00676E82" w:rsidRDefault="00676E82" w:rsidP="00676E82">
      <w:pPr>
        <w:spacing w:line="240" w:lineRule="auto"/>
        <w:rPr>
          <w:rFonts w:eastAsia="Times New Roman" w:cs="Arial"/>
          <w:bCs/>
          <w:color w:val="000000"/>
          <w:szCs w:val="20"/>
          <w:u w:val="single"/>
          <w:lang w:eastAsia="bg-BG"/>
        </w:rPr>
      </w:pPr>
    </w:p>
    <w:p w14:paraId="43D37617" w14:textId="7690A646" w:rsidR="00676E82" w:rsidRPr="00676E82" w:rsidRDefault="00676E82" w:rsidP="00676E82">
      <w:pPr>
        <w:pStyle w:val="Heading3"/>
        <w:rPr>
          <w:rFonts w:eastAsia="Times New Roman"/>
          <w:sz w:val="28"/>
          <w:u w:val="single"/>
        </w:rPr>
      </w:pPr>
      <w:r w:rsidRPr="00676E82">
        <w:rPr>
          <w:rFonts w:eastAsia="Times New Roman"/>
          <w:u w:val="single"/>
          <w:lang w:eastAsia="bg-BG"/>
        </w:rPr>
        <w:lastRenderedPageBreak/>
        <w:t>Елиминиране</w:t>
      </w:r>
    </w:p>
    <w:p w14:paraId="22662301" w14:textId="77777777"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lang w:eastAsia="bg-BG"/>
        </w:rPr>
        <w:t>Приблизително 90 % от розувастатин се елиминира като непроменено лекарство с фекалиите (абсорбирано и неабсорбирано лекарствено вещество), като останалата част се екскретира с урината. Около 5 % се екскретира непроменен в урината. Плазменият полуживот е около 19 часа. Плазменият полуживот не се увеличава с увеличаване на дозата. Средният плазмен клирънс е приблизително 50 литра на час (коефициент на вариабилост 1,7%). Както при други инхибитори на редуктазата чернодробното поемане на розувастатин включва мембранния преносител ОАТР-С. Този преносител е важен за чернодробното елиминиране на розувастатин.</w:t>
      </w:r>
    </w:p>
    <w:p w14:paraId="7342D47F" w14:textId="287638F7" w:rsidR="00676E82" w:rsidRPr="00676E82" w:rsidRDefault="00676E82" w:rsidP="00676E82">
      <w:pPr>
        <w:rPr>
          <w:rFonts w:cs="Arial"/>
          <w:sz w:val="24"/>
        </w:rPr>
      </w:pPr>
    </w:p>
    <w:p w14:paraId="05374ABE" w14:textId="77777777" w:rsidR="00676E82" w:rsidRPr="00676E82" w:rsidRDefault="00676E82" w:rsidP="00676E82">
      <w:pPr>
        <w:pStyle w:val="Heading3"/>
        <w:rPr>
          <w:rFonts w:eastAsia="Times New Roman"/>
          <w:sz w:val="28"/>
          <w:u w:val="single"/>
        </w:rPr>
      </w:pPr>
      <w:r w:rsidRPr="00676E82">
        <w:rPr>
          <w:rFonts w:eastAsia="Times New Roman"/>
          <w:u w:val="single"/>
          <w:lang w:eastAsia="bg-BG"/>
        </w:rPr>
        <w:t>Линейност/нелинейност</w:t>
      </w:r>
    </w:p>
    <w:p w14:paraId="353B0D4D" w14:textId="77777777"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lang w:eastAsia="bg-BG"/>
        </w:rPr>
        <w:t>Системната експозиция на розувастатин се увеличава пропорционално на приеманата доза. Няма промяна във фармакокинетичните параметри при многократно дозиране.</w:t>
      </w:r>
    </w:p>
    <w:p w14:paraId="778A8368" w14:textId="77777777" w:rsidR="00676E82" w:rsidRPr="00676E82" w:rsidRDefault="00676E82" w:rsidP="00676E82">
      <w:pPr>
        <w:spacing w:line="240" w:lineRule="auto"/>
        <w:rPr>
          <w:rFonts w:eastAsia="Times New Roman" w:cs="Arial"/>
          <w:bCs/>
          <w:i/>
          <w:iCs/>
          <w:color w:val="000000"/>
          <w:szCs w:val="20"/>
          <w:lang w:eastAsia="bg-BG"/>
        </w:rPr>
      </w:pPr>
    </w:p>
    <w:p w14:paraId="357A183E" w14:textId="378EACDE" w:rsidR="00676E82" w:rsidRPr="00676E82" w:rsidRDefault="00676E82" w:rsidP="00676E82">
      <w:pPr>
        <w:spacing w:line="240" w:lineRule="auto"/>
        <w:rPr>
          <w:rFonts w:eastAsia="Times New Roman" w:cs="Arial"/>
          <w:sz w:val="28"/>
          <w:szCs w:val="24"/>
        </w:rPr>
      </w:pPr>
      <w:r w:rsidRPr="00676E82">
        <w:rPr>
          <w:rFonts w:eastAsia="Times New Roman" w:cs="Arial"/>
          <w:bCs/>
          <w:i/>
          <w:iCs/>
          <w:color w:val="000000"/>
          <w:szCs w:val="20"/>
          <w:lang w:eastAsia="bg-BG"/>
        </w:rPr>
        <w:t>Специфични популации</w:t>
      </w:r>
    </w:p>
    <w:p w14:paraId="7DA4D50F" w14:textId="77777777" w:rsidR="00676E82" w:rsidRPr="00676E82" w:rsidRDefault="00676E82" w:rsidP="00676E82">
      <w:pPr>
        <w:spacing w:line="240" w:lineRule="auto"/>
        <w:rPr>
          <w:rFonts w:eastAsia="Times New Roman" w:cs="Arial"/>
          <w:bCs/>
          <w:color w:val="000000"/>
          <w:szCs w:val="20"/>
          <w:u w:val="single"/>
          <w:lang w:eastAsia="bg-BG"/>
        </w:rPr>
      </w:pPr>
    </w:p>
    <w:p w14:paraId="2800D120" w14:textId="33FCA077"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u w:val="single"/>
          <w:lang w:eastAsia="bg-BG"/>
        </w:rPr>
        <w:t>Възраст и пол</w:t>
      </w:r>
    </w:p>
    <w:p w14:paraId="426380DB" w14:textId="77777777"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lang w:eastAsia="bg-BG"/>
        </w:rPr>
        <w:t>Възрастта или полът нямат клинично значим ефект върху фармакокинетиката на розувастатин при възрастни. Експозицията при деца и юноши с хетерозиготна фамилна хиперхолестеролемия изглежда сравнима или по-ниска от тази при възрастни пациенти с дислипидемия (вж. „Педиатрична популация” по-долу).</w:t>
      </w:r>
    </w:p>
    <w:p w14:paraId="0D41BBD9" w14:textId="77777777" w:rsidR="00676E82" w:rsidRPr="00676E82" w:rsidRDefault="00676E82" w:rsidP="00676E82">
      <w:pPr>
        <w:spacing w:line="240" w:lineRule="auto"/>
        <w:rPr>
          <w:rFonts w:eastAsia="Times New Roman" w:cs="Arial"/>
          <w:bCs/>
          <w:color w:val="000000"/>
          <w:szCs w:val="20"/>
          <w:u w:val="single"/>
          <w:lang w:eastAsia="bg-BG"/>
        </w:rPr>
      </w:pPr>
    </w:p>
    <w:p w14:paraId="7E532F4A" w14:textId="17E026EB"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u w:val="single"/>
          <w:lang w:eastAsia="bg-BG"/>
        </w:rPr>
        <w:t>Раса</w:t>
      </w:r>
    </w:p>
    <w:p w14:paraId="584A3300" w14:textId="77777777"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lang w:eastAsia="bg-BG"/>
        </w:rPr>
        <w:t xml:space="preserve">Фармакокинетичните проучвания показват, че при индивиди от азиатската раса (японци, китайци, филипинци, виетнамци и корейци) се наблюдава двукратно повишаване в средната </w:t>
      </w:r>
      <w:r w:rsidRPr="00676E82">
        <w:rPr>
          <w:rFonts w:eastAsia="Times New Roman" w:cs="Arial"/>
          <w:bCs/>
          <w:color w:val="000000"/>
          <w:szCs w:val="20"/>
          <w:lang w:val="en-US"/>
        </w:rPr>
        <w:t>AUC</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и С</w:t>
      </w:r>
      <w:r w:rsidRPr="00676E82">
        <w:rPr>
          <w:rFonts w:eastAsia="Times New Roman" w:cs="Arial"/>
          <w:bCs/>
          <w:color w:val="000000"/>
          <w:szCs w:val="20"/>
          <w:vertAlign w:val="subscript"/>
          <w:lang w:val="en-US"/>
        </w:rPr>
        <w:t>max</w:t>
      </w:r>
      <w:r w:rsidRPr="00676E82">
        <w:rPr>
          <w:rFonts w:eastAsia="Times New Roman" w:cs="Arial"/>
          <w:bCs/>
          <w:color w:val="000000"/>
          <w:szCs w:val="20"/>
          <w:lang w:eastAsia="bg-BG"/>
        </w:rPr>
        <w:t xml:space="preserve">, отколкото при индивиди от кавказката раса. При индийци е налице повишаване на </w:t>
      </w:r>
      <w:r w:rsidRPr="00676E82">
        <w:rPr>
          <w:rFonts w:eastAsia="Times New Roman" w:cs="Arial"/>
          <w:bCs/>
          <w:color w:val="000000"/>
          <w:szCs w:val="20"/>
          <w:lang w:val="en-US"/>
        </w:rPr>
        <w:t>AUC</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и С</w:t>
      </w:r>
      <w:r w:rsidRPr="00676E82">
        <w:rPr>
          <w:rFonts w:eastAsia="Times New Roman" w:cs="Arial"/>
          <w:bCs/>
          <w:color w:val="000000"/>
          <w:szCs w:val="20"/>
          <w:vertAlign w:val="subscript"/>
          <w:lang w:val="en-US"/>
        </w:rPr>
        <w:t>max</w:t>
      </w:r>
      <w:r w:rsidRPr="00676E82">
        <w:rPr>
          <w:rFonts w:eastAsia="Times New Roman" w:cs="Arial"/>
          <w:bCs/>
          <w:color w:val="000000"/>
          <w:szCs w:val="20"/>
          <w:lang w:eastAsia="bg-BG"/>
        </w:rPr>
        <w:t xml:space="preserve"> 1,3 пъти. Не е известно какво е значението на факторите на околната среда и на генетичните фактори за появата на тези разлики. Един популационен фармакокинетичен анализ показва, че между индивидите от кавказката и от черната раса няма клинично значими различия.</w:t>
      </w:r>
    </w:p>
    <w:p w14:paraId="25CE6FE2" w14:textId="77777777" w:rsidR="00676E82" w:rsidRPr="00676E82" w:rsidRDefault="00676E82" w:rsidP="00676E82">
      <w:pPr>
        <w:spacing w:line="240" w:lineRule="auto"/>
        <w:rPr>
          <w:rFonts w:eastAsia="Times New Roman" w:cs="Arial"/>
          <w:bCs/>
          <w:color w:val="000000"/>
          <w:szCs w:val="20"/>
          <w:u w:val="single"/>
          <w:lang w:eastAsia="bg-BG"/>
        </w:rPr>
      </w:pPr>
    </w:p>
    <w:p w14:paraId="3193706D" w14:textId="2DD02955"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u w:val="single"/>
          <w:lang w:eastAsia="bg-BG"/>
        </w:rPr>
        <w:t>Бъбречна недостатъчност</w:t>
      </w:r>
    </w:p>
    <w:p w14:paraId="004CCEE2" w14:textId="77777777"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lang w:eastAsia="bg-BG"/>
        </w:rPr>
        <w:t xml:space="preserve">В едно проучване на лица с различна степен на бъбречно увреждане, лекото до умерено бъбречно заболяване не е повлияло плазмените концентрации на розувастатин или на неговия </w:t>
      </w:r>
      <w:r w:rsidRPr="00676E82">
        <w:rPr>
          <w:rFonts w:eastAsia="Times New Roman" w:cs="Arial"/>
          <w:bCs/>
          <w:color w:val="000000"/>
          <w:szCs w:val="20"/>
          <w:lang w:val="en-US"/>
        </w:rPr>
        <w:t>N</w:t>
      </w:r>
      <w:r w:rsidRPr="00676E82">
        <w:rPr>
          <w:rFonts w:eastAsia="Times New Roman" w:cs="Arial"/>
          <w:bCs/>
          <w:color w:val="000000"/>
          <w:szCs w:val="20"/>
          <w:lang w:eastAsia="bg-BG"/>
        </w:rPr>
        <w:t xml:space="preserve">-десметил метаболит. Лица с тежко увреждане, обаче (креатининов клирънс &lt; 30 </w:t>
      </w:r>
      <w:r w:rsidRPr="00676E82">
        <w:rPr>
          <w:rFonts w:eastAsia="Times New Roman" w:cs="Arial"/>
          <w:bCs/>
          <w:color w:val="000000"/>
          <w:szCs w:val="20"/>
          <w:lang w:val="en-US"/>
        </w:rPr>
        <w:t>ml</w:t>
      </w:r>
      <w:r w:rsidRPr="00676E82">
        <w:rPr>
          <w:rFonts w:eastAsia="Times New Roman" w:cs="Arial"/>
          <w:bCs/>
          <w:color w:val="000000"/>
          <w:szCs w:val="20"/>
          <w:lang w:val="ru-RU"/>
        </w:rPr>
        <w:t>/</w:t>
      </w:r>
      <w:r w:rsidRPr="00676E82">
        <w:rPr>
          <w:rFonts w:eastAsia="Times New Roman" w:cs="Arial"/>
          <w:bCs/>
          <w:color w:val="000000"/>
          <w:szCs w:val="20"/>
          <w:lang w:val="en-US"/>
        </w:rPr>
        <w:t>min</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са имали трикратно увеличение на плазмената концентрация, в сравнение със здрави доброволци и девет пъти по-висока концентрация на </w:t>
      </w:r>
      <w:r w:rsidRPr="00676E82">
        <w:rPr>
          <w:rFonts w:eastAsia="Times New Roman" w:cs="Arial"/>
          <w:bCs/>
          <w:color w:val="000000"/>
          <w:szCs w:val="20"/>
          <w:lang w:val="en-US"/>
        </w:rPr>
        <w:t>N</w:t>
      </w:r>
      <w:r w:rsidRPr="00676E82">
        <w:rPr>
          <w:rFonts w:eastAsia="Times New Roman" w:cs="Arial"/>
          <w:bCs/>
          <w:color w:val="000000"/>
          <w:szCs w:val="20"/>
          <w:lang w:eastAsia="bg-BG"/>
        </w:rPr>
        <w:t>-десметил метаболита. Равновесните плазмени концентрации на розувастатин при пациенти на хемодиализа са приблизително 50 % по-високи в сравнение със здрави доброволци.</w:t>
      </w:r>
    </w:p>
    <w:p w14:paraId="4D1D2D9E" w14:textId="77777777" w:rsidR="00676E82" w:rsidRPr="00676E82" w:rsidRDefault="00676E82" w:rsidP="00676E82">
      <w:pPr>
        <w:spacing w:line="240" w:lineRule="auto"/>
        <w:rPr>
          <w:rFonts w:eastAsia="Times New Roman" w:cs="Arial"/>
          <w:bCs/>
          <w:color w:val="000000"/>
          <w:szCs w:val="20"/>
          <w:u w:val="single"/>
          <w:lang w:eastAsia="bg-BG"/>
        </w:rPr>
      </w:pPr>
    </w:p>
    <w:p w14:paraId="1DA959F1" w14:textId="7BA6E7F2"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u w:val="single"/>
          <w:lang w:eastAsia="bg-BG"/>
        </w:rPr>
        <w:t>Чернодробна недостатъчност</w:t>
      </w:r>
    </w:p>
    <w:p w14:paraId="04EC41FB" w14:textId="77777777"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lang w:eastAsia="bg-BG"/>
        </w:rPr>
        <w:t xml:space="preserve">В едно проучване на лица с различна степен на чернодробно увреждане не са получени данни за повишена експозиция на розувастатин при пациенти с резултат по </w:t>
      </w:r>
      <w:r w:rsidRPr="00676E82">
        <w:rPr>
          <w:rFonts w:eastAsia="Times New Roman" w:cs="Arial"/>
          <w:bCs/>
          <w:color w:val="000000"/>
          <w:szCs w:val="20"/>
          <w:lang w:val="en-US"/>
        </w:rPr>
        <w:t>Child</w:t>
      </w:r>
      <w:r w:rsidRPr="00676E82">
        <w:rPr>
          <w:rFonts w:eastAsia="Times New Roman" w:cs="Arial"/>
          <w:bCs/>
          <w:color w:val="000000"/>
          <w:szCs w:val="20"/>
          <w:lang w:val="ru-RU"/>
        </w:rPr>
        <w:t>-</w:t>
      </w:r>
      <w:r w:rsidRPr="00676E82">
        <w:rPr>
          <w:rFonts w:eastAsia="Times New Roman" w:cs="Arial"/>
          <w:bCs/>
          <w:color w:val="000000"/>
          <w:szCs w:val="20"/>
          <w:lang w:val="en-US"/>
        </w:rPr>
        <w:t>Pugh</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7 или по- нисък. При двама пациенти с тежко чернодробно увреждане (резултат по </w:t>
      </w:r>
      <w:r w:rsidRPr="00676E82">
        <w:rPr>
          <w:rFonts w:eastAsia="Times New Roman" w:cs="Arial"/>
          <w:bCs/>
          <w:color w:val="000000"/>
          <w:szCs w:val="20"/>
          <w:lang w:val="en-US"/>
        </w:rPr>
        <w:t>Child</w:t>
      </w:r>
      <w:r w:rsidRPr="00676E82">
        <w:rPr>
          <w:rFonts w:eastAsia="Times New Roman" w:cs="Arial"/>
          <w:bCs/>
          <w:color w:val="000000"/>
          <w:szCs w:val="20"/>
          <w:lang w:val="ru-RU"/>
        </w:rPr>
        <w:t>-</w:t>
      </w:r>
      <w:r w:rsidRPr="00676E82">
        <w:rPr>
          <w:rFonts w:eastAsia="Times New Roman" w:cs="Arial"/>
          <w:bCs/>
          <w:color w:val="000000"/>
          <w:szCs w:val="20"/>
          <w:lang w:val="en-US"/>
        </w:rPr>
        <w:t>Pugh</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8 и 9) системната експозиция е била увеличена най-малко два пъти в сравнение с лица с по-нисък резултат по </w:t>
      </w:r>
      <w:r w:rsidRPr="00676E82">
        <w:rPr>
          <w:rFonts w:eastAsia="Times New Roman" w:cs="Arial"/>
          <w:bCs/>
          <w:color w:val="000000"/>
          <w:szCs w:val="20"/>
          <w:lang w:val="en-US"/>
        </w:rPr>
        <w:t>Child</w:t>
      </w:r>
      <w:r w:rsidRPr="00676E82">
        <w:rPr>
          <w:rFonts w:eastAsia="Times New Roman" w:cs="Arial"/>
          <w:bCs/>
          <w:color w:val="000000"/>
          <w:szCs w:val="20"/>
          <w:lang w:val="ru-RU"/>
        </w:rPr>
        <w:t>-</w:t>
      </w:r>
      <w:r w:rsidRPr="00676E82">
        <w:rPr>
          <w:rFonts w:eastAsia="Times New Roman" w:cs="Arial"/>
          <w:bCs/>
          <w:color w:val="000000"/>
          <w:szCs w:val="20"/>
          <w:lang w:val="en-US"/>
        </w:rPr>
        <w:t>Pugh</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Няма данни за пациенти с резултат по </w:t>
      </w:r>
      <w:r w:rsidRPr="00676E82">
        <w:rPr>
          <w:rFonts w:eastAsia="Times New Roman" w:cs="Arial"/>
          <w:bCs/>
          <w:color w:val="000000"/>
          <w:szCs w:val="20"/>
          <w:lang w:val="en-US"/>
        </w:rPr>
        <w:t>Child</w:t>
      </w:r>
      <w:r w:rsidRPr="00676E82">
        <w:rPr>
          <w:rFonts w:eastAsia="Times New Roman" w:cs="Arial"/>
          <w:bCs/>
          <w:color w:val="000000"/>
          <w:szCs w:val="20"/>
          <w:lang w:val="ru-RU"/>
        </w:rPr>
        <w:t>-</w:t>
      </w:r>
      <w:r w:rsidRPr="00676E82">
        <w:rPr>
          <w:rFonts w:eastAsia="Times New Roman" w:cs="Arial"/>
          <w:bCs/>
          <w:color w:val="000000"/>
          <w:szCs w:val="20"/>
          <w:lang w:val="en-US"/>
        </w:rPr>
        <w:t>Pugh</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над 9.</w:t>
      </w:r>
    </w:p>
    <w:p w14:paraId="0D6C4B7D" w14:textId="77777777" w:rsidR="00676E82" w:rsidRPr="00676E82" w:rsidRDefault="00676E82" w:rsidP="00676E82">
      <w:pPr>
        <w:spacing w:line="240" w:lineRule="auto"/>
        <w:rPr>
          <w:rFonts w:eastAsia="Times New Roman" w:cs="Arial"/>
          <w:bCs/>
          <w:color w:val="000000"/>
          <w:szCs w:val="20"/>
          <w:u w:val="single"/>
          <w:lang w:eastAsia="bg-BG"/>
        </w:rPr>
      </w:pPr>
    </w:p>
    <w:p w14:paraId="76ABEA5C" w14:textId="736BE63B"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u w:val="single"/>
          <w:lang w:eastAsia="bg-BG"/>
        </w:rPr>
        <w:t>Генетичен полиморфизъм</w:t>
      </w:r>
    </w:p>
    <w:p w14:paraId="3C4AC3C2" w14:textId="77777777"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lang w:eastAsia="bg-BG"/>
        </w:rPr>
        <w:lastRenderedPageBreak/>
        <w:t xml:space="preserve">Диспозицията на </w:t>
      </w:r>
      <w:r w:rsidRPr="00676E82">
        <w:rPr>
          <w:rFonts w:eastAsia="Times New Roman" w:cs="Arial"/>
          <w:bCs/>
          <w:color w:val="000000"/>
          <w:szCs w:val="20"/>
          <w:lang w:val="en-US"/>
        </w:rPr>
        <w:t>HMG</w:t>
      </w:r>
      <w:r w:rsidRPr="00676E82">
        <w:rPr>
          <w:rFonts w:eastAsia="Times New Roman" w:cs="Arial"/>
          <w:bCs/>
          <w:color w:val="000000"/>
          <w:szCs w:val="20"/>
          <w:lang w:val="ru-RU"/>
        </w:rPr>
        <w:t>-</w:t>
      </w:r>
      <w:r w:rsidRPr="00676E82">
        <w:rPr>
          <w:rFonts w:eastAsia="Times New Roman" w:cs="Arial"/>
          <w:bCs/>
          <w:color w:val="000000"/>
          <w:szCs w:val="20"/>
          <w:lang w:val="en-US"/>
        </w:rPr>
        <w:t>CoA</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редуктазните инхибитори, включително розувастатин, е свързана с транспортерните протеини ОАТР1В1 и </w:t>
      </w:r>
      <w:r w:rsidRPr="00676E82">
        <w:rPr>
          <w:rFonts w:eastAsia="Times New Roman" w:cs="Arial"/>
          <w:bCs/>
          <w:color w:val="000000"/>
          <w:szCs w:val="20"/>
          <w:lang w:val="en-US"/>
        </w:rPr>
        <w:t>BCRP</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При пациенти с генетичен полиморфизъм на </w:t>
      </w:r>
      <w:r w:rsidRPr="00676E82">
        <w:rPr>
          <w:rFonts w:eastAsia="Times New Roman" w:cs="Arial"/>
          <w:bCs/>
          <w:color w:val="000000"/>
          <w:szCs w:val="20"/>
          <w:lang w:val="en-US"/>
        </w:rPr>
        <w:t>SLCO</w:t>
      </w:r>
      <w:r w:rsidRPr="00676E82">
        <w:rPr>
          <w:rFonts w:eastAsia="Times New Roman" w:cs="Arial"/>
          <w:bCs/>
          <w:color w:val="000000"/>
          <w:szCs w:val="20"/>
          <w:lang w:val="ru-RU"/>
        </w:rPr>
        <w:t>1</w:t>
      </w:r>
      <w:r w:rsidRPr="00676E82">
        <w:rPr>
          <w:rFonts w:eastAsia="Times New Roman" w:cs="Arial"/>
          <w:bCs/>
          <w:color w:val="000000"/>
          <w:szCs w:val="20"/>
          <w:lang w:val="en-US"/>
        </w:rPr>
        <w:t>B</w:t>
      </w:r>
      <w:r w:rsidRPr="00676E82">
        <w:rPr>
          <w:rFonts w:eastAsia="Times New Roman" w:cs="Arial"/>
          <w:bCs/>
          <w:color w:val="000000"/>
          <w:szCs w:val="20"/>
          <w:lang w:val="ru-RU"/>
        </w:rPr>
        <w:t xml:space="preserve">1 </w:t>
      </w:r>
      <w:r w:rsidRPr="00676E82">
        <w:rPr>
          <w:rFonts w:eastAsia="Times New Roman" w:cs="Arial"/>
          <w:bCs/>
          <w:color w:val="000000"/>
          <w:szCs w:val="20"/>
          <w:lang w:eastAsia="bg-BG"/>
        </w:rPr>
        <w:t xml:space="preserve">(ОАТР1В1) и/или </w:t>
      </w:r>
      <w:r w:rsidRPr="00676E82">
        <w:rPr>
          <w:rFonts w:eastAsia="Times New Roman" w:cs="Arial"/>
          <w:bCs/>
          <w:color w:val="000000"/>
          <w:szCs w:val="20"/>
          <w:lang w:val="en-US"/>
        </w:rPr>
        <w:t>ABCG</w:t>
      </w:r>
      <w:r w:rsidRPr="00676E82">
        <w:rPr>
          <w:rFonts w:eastAsia="Times New Roman" w:cs="Arial"/>
          <w:bCs/>
          <w:color w:val="000000"/>
          <w:szCs w:val="20"/>
          <w:lang w:val="ru-RU"/>
        </w:rPr>
        <w:t>2 (</w:t>
      </w:r>
      <w:r w:rsidRPr="00676E82">
        <w:rPr>
          <w:rFonts w:eastAsia="Times New Roman" w:cs="Arial"/>
          <w:bCs/>
          <w:color w:val="000000"/>
          <w:szCs w:val="20"/>
          <w:lang w:val="en-US"/>
        </w:rPr>
        <w:t>BCRP</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има риск от повишаване на експозицията на розувастатин. Индивидуален полиморфизъм на </w:t>
      </w:r>
      <w:r w:rsidRPr="00676E82">
        <w:rPr>
          <w:rFonts w:eastAsia="Times New Roman" w:cs="Arial"/>
          <w:bCs/>
          <w:color w:val="000000"/>
          <w:szCs w:val="20"/>
          <w:lang w:val="en-US"/>
        </w:rPr>
        <w:t>SLCO</w:t>
      </w:r>
      <w:r w:rsidRPr="00676E82">
        <w:rPr>
          <w:rFonts w:eastAsia="Times New Roman" w:cs="Arial"/>
          <w:bCs/>
          <w:color w:val="000000"/>
          <w:szCs w:val="20"/>
          <w:lang w:val="ru-RU"/>
        </w:rPr>
        <w:t>1</w:t>
      </w:r>
      <w:r w:rsidRPr="00676E82">
        <w:rPr>
          <w:rFonts w:eastAsia="Times New Roman" w:cs="Arial"/>
          <w:bCs/>
          <w:color w:val="000000"/>
          <w:szCs w:val="20"/>
          <w:lang w:val="en-US"/>
        </w:rPr>
        <w:t>B</w:t>
      </w:r>
      <w:r w:rsidRPr="00676E82">
        <w:rPr>
          <w:rFonts w:eastAsia="Times New Roman" w:cs="Arial"/>
          <w:bCs/>
          <w:color w:val="000000"/>
          <w:szCs w:val="20"/>
          <w:lang w:val="ru-RU"/>
        </w:rPr>
        <w:t xml:space="preserve">1 </w:t>
      </w:r>
      <w:r w:rsidRPr="00676E82">
        <w:rPr>
          <w:rFonts w:eastAsia="Times New Roman" w:cs="Arial"/>
          <w:bCs/>
          <w:color w:val="000000"/>
          <w:szCs w:val="20"/>
          <w:lang w:eastAsia="bg-BG"/>
        </w:rPr>
        <w:t xml:space="preserve">С.521СС и </w:t>
      </w:r>
      <w:r w:rsidRPr="00676E82">
        <w:rPr>
          <w:rFonts w:eastAsia="Times New Roman" w:cs="Arial"/>
          <w:bCs/>
          <w:color w:val="000000"/>
          <w:szCs w:val="20"/>
          <w:lang w:val="en-US"/>
        </w:rPr>
        <w:t>ABCG</w:t>
      </w:r>
      <w:r w:rsidRPr="00676E82">
        <w:rPr>
          <w:rFonts w:eastAsia="Times New Roman" w:cs="Arial"/>
          <w:bCs/>
          <w:color w:val="000000"/>
          <w:szCs w:val="20"/>
          <w:lang w:val="ru-RU"/>
        </w:rPr>
        <w:t xml:space="preserve">2 </w:t>
      </w:r>
      <w:r w:rsidRPr="00676E82">
        <w:rPr>
          <w:rFonts w:eastAsia="Times New Roman" w:cs="Arial"/>
          <w:bCs/>
          <w:color w:val="000000"/>
          <w:szCs w:val="20"/>
          <w:lang w:eastAsia="bg-BG"/>
        </w:rPr>
        <w:t xml:space="preserve">с.421АА е свързан с приблизително 1,7 пъти по-висока експозиция </w:t>
      </w:r>
      <w:r w:rsidRPr="00676E82">
        <w:rPr>
          <w:rFonts w:eastAsia="Times New Roman" w:cs="Arial"/>
          <w:bCs/>
          <w:color w:val="000000"/>
          <w:szCs w:val="20"/>
          <w:lang w:val="ru-RU"/>
        </w:rPr>
        <w:t>(</w:t>
      </w:r>
      <w:r w:rsidRPr="00676E82">
        <w:rPr>
          <w:rFonts w:eastAsia="Times New Roman" w:cs="Arial"/>
          <w:bCs/>
          <w:color w:val="000000"/>
          <w:szCs w:val="20"/>
          <w:lang w:val="en-US"/>
        </w:rPr>
        <w:t>AUC</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на розувастатин или 2,4 пъти по-висока експозиция, съответно, в сравнение с генотиповете </w:t>
      </w:r>
      <w:r w:rsidRPr="00676E82">
        <w:rPr>
          <w:rFonts w:eastAsia="Times New Roman" w:cs="Arial"/>
          <w:bCs/>
          <w:color w:val="000000"/>
          <w:szCs w:val="20"/>
          <w:lang w:val="en-US"/>
        </w:rPr>
        <w:t>SLCO</w:t>
      </w:r>
      <w:r w:rsidRPr="00676E82">
        <w:rPr>
          <w:rFonts w:eastAsia="Times New Roman" w:cs="Arial"/>
          <w:bCs/>
          <w:color w:val="000000"/>
          <w:szCs w:val="20"/>
          <w:lang w:val="ru-RU"/>
        </w:rPr>
        <w:t>1</w:t>
      </w:r>
      <w:r w:rsidRPr="00676E82">
        <w:rPr>
          <w:rFonts w:eastAsia="Times New Roman" w:cs="Arial"/>
          <w:bCs/>
          <w:color w:val="000000"/>
          <w:szCs w:val="20"/>
          <w:lang w:val="en-US"/>
        </w:rPr>
        <w:t>B</w:t>
      </w:r>
      <w:r w:rsidRPr="00676E82">
        <w:rPr>
          <w:rFonts w:eastAsia="Times New Roman" w:cs="Arial"/>
          <w:bCs/>
          <w:color w:val="000000"/>
          <w:szCs w:val="20"/>
          <w:lang w:val="ru-RU"/>
        </w:rPr>
        <w:t xml:space="preserve">1 </w:t>
      </w:r>
      <w:r w:rsidRPr="00676E82">
        <w:rPr>
          <w:rFonts w:eastAsia="Times New Roman" w:cs="Arial"/>
          <w:bCs/>
          <w:color w:val="000000"/>
          <w:szCs w:val="20"/>
          <w:lang w:eastAsia="bg-BG"/>
        </w:rPr>
        <w:t>с</w:t>
      </w:r>
      <w:r w:rsidRPr="00676E82">
        <w:rPr>
          <w:rFonts w:eastAsia="Times New Roman" w:cs="Arial"/>
          <w:bCs/>
          <w:color w:val="000000"/>
          <w:szCs w:val="20"/>
          <w:lang w:val="ru-RU"/>
        </w:rPr>
        <w:t>.521</w:t>
      </w:r>
      <w:r w:rsidRPr="00676E82">
        <w:rPr>
          <w:rFonts w:eastAsia="Times New Roman" w:cs="Arial"/>
          <w:bCs/>
          <w:color w:val="000000"/>
          <w:szCs w:val="20"/>
          <w:lang w:val="en-US"/>
        </w:rPr>
        <w:t>TT</w:t>
      </w:r>
      <w:r w:rsidRPr="00676E82">
        <w:rPr>
          <w:rFonts w:eastAsia="Times New Roman" w:cs="Arial"/>
          <w:bCs/>
          <w:color w:val="000000"/>
          <w:szCs w:val="20"/>
          <w:lang w:val="ru-RU"/>
        </w:rPr>
        <w:t xml:space="preserve"> </w:t>
      </w:r>
      <w:r w:rsidRPr="00676E82">
        <w:rPr>
          <w:rFonts w:eastAsia="Times New Roman" w:cs="Arial"/>
          <w:bCs/>
          <w:color w:val="000000"/>
          <w:szCs w:val="20"/>
          <w:lang w:eastAsia="bg-BG"/>
        </w:rPr>
        <w:t xml:space="preserve">или </w:t>
      </w:r>
      <w:r w:rsidRPr="00676E82">
        <w:rPr>
          <w:rFonts w:eastAsia="Times New Roman" w:cs="Arial"/>
          <w:bCs/>
          <w:color w:val="000000"/>
          <w:szCs w:val="20"/>
          <w:lang w:val="en-US"/>
        </w:rPr>
        <w:t>ABCG</w:t>
      </w:r>
      <w:r w:rsidRPr="00676E82">
        <w:rPr>
          <w:rFonts w:eastAsia="Times New Roman" w:cs="Arial"/>
          <w:bCs/>
          <w:color w:val="000000"/>
          <w:szCs w:val="20"/>
          <w:lang w:val="ru-RU"/>
        </w:rPr>
        <w:t xml:space="preserve">2 </w:t>
      </w:r>
      <w:r w:rsidRPr="00676E82">
        <w:rPr>
          <w:rFonts w:eastAsia="Times New Roman" w:cs="Arial"/>
          <w:bCs/>
          <w:color w:val="000000"/>
          <w:szCs w:val="20"/>
          <w:lang w:eastAsia="bg-BG"/>
        </w:rPr>
        <w:t>с.421СС.</w:t>
      </w:r>
    </w:p>
    <w:p w14:paraId="149E14C2" w14:textId="77777777" w:rsidR="00676E82" w:rsidRPr="00676E82" w:rsidRDefault="00676E82" w:rsidP="00676E82">
      <w:pPr>
        <w:spacing w:line="240" w:lineRule="auto"/>
        <w:rPr>
          <w:rFonts w:eastAsia="Times New Roman" w:cs="Arial"/>
          <w:bCs/>
          <w:color w:val="000000"/>
          <w:szCs w:val="20"/>
          <w:u w:val="single"/>
          <w:lang w:eastAsia="bg-BG"/>
        </w:rPr>
      </w:pPr>
    </w:p>
    <w:p w14:paraId="1B44B887" w14:textId="0E98BD2D" w:rsidR="00676E82" w:rsidRPr="00676E82" w:rsidRDefault="00676E82" w:rsidP="00676E82">
      <w:pPr>
        <w:spacing w:line="240" w:lineRule="auto"/>
        <w:rPr>
          <w:rFonts w:eastAsia="Times New Roman" w:cs="Arial"/>
          <w:sz w:val="28"/>
          <w:szCs w:val="24"/>
        </w:rPr>
      </w:pPr>
      <w:r w:rsidRPr="00676E82">
        <w:rPr>
          <w:rFonts w:eastAsia="Times New Roman" w:cs="Arial"/>
          <w:bCs/>
          <w:color w:val="000000"/>
          <w:szCs w:val="20"/>
          <w:u w:val="single"/>
          <w:lang w:eastAsia="bg-BG"/>
        </w:rPr>
        <w:t>Педиатрична популапия</w:t>
      </w:r>
    </w:p>
    <w:p w14:paraId="0E52FEF6" w14:textId="757F72CA" w:rsidR="00676E82" w:rsidRDefault="00676E82" w:rsidP="00676E82">
      <w:pPr>
        <w:rPr>
          <w:rFonts w:eastAsia="Times New Roman" w:cs="Arial"/>
          <w:bCs/>
          <w:color w:val="000000"/>
          <w:szCs w:val="20"/>
          <w:lang w:eastAsia="bg-BG"/>
        </w:rPr>
      </w:pPr>
      <w:r w:rsidRPr="00676E82">
        <w:rPr>
          <w:rFonts w:eastAsia="Times New Roman" w:cs="Arial"/>
          <w:bCs/>
          <w:color w:val="000000"/>
          <w:szCs w:val="20"/>
          <w:lang w:eastAsia="bg-BG"/>
        </w:rPr>
        <w:t>Две фармакокинетични проучвания с розувастатин (прилаган под формата на таблетки) при педиатрични пациенти с хетерозиготна фамилна хиперхолестеролемия на възраст 10 до 17 или 6 до 17 години (общо 214 пациенти) показват, че експозицията при педиатричните пациенти изглежда сравнима или по-ниска от тази при възрастните пациенти. Експозицията на розувастатин е била предвидима по отношение на дозата и времето в продължение на 2- годишен период.</w:t>
      </w:r>
    </w:p>
    <w:p w14:paraId="3563B43B" w14:textId="77777777" w:rsidR="00676E82" w:rsidRPr="00676E82" w:rsidRDefault="00676E82" w:rsidP="00676E82">
      <w:pPr>
        <w:rPr>
          <w:rFonts w:cs="Arial"/>
          <w:sz w:val="24"/>
        </w:rPr>
      </w:pPr>
    </w:p>
    <w:p w14:paraId="648E39DA" w14:textId="4D061738" w:rsidR="00CF77F7" w:rsidRDefault="002C50EE" w:rsidP="004A448E">
      <w:pPr>
        <w:pStyle w:val="Heading2"/>
      </w:pPr>
      <w:r>
        <w:t>5.3. Предклинични данни за безопасност</w:t>
      </w:r>
    </w:p>
    <w:p w14:paraId="7DB5ACBC" w14:textId="3DB0AFFE" w:rsidR="00676E82" w:rsidRDefault="00676E82" w:rsidP="00676E82"/>
    <w:p w14:paraId="3E5C7B51" w14:textId="037D1DDD" w:rsidR="00676E82" w:rsidRPr="00676E82" w:rsidRDefault="00676E82" w:rsidP="00676E82">
      <w:r>
        <w:t xml:space="preserve">Предклиничните данни не са показали специален риск при хора, въз основа на стандартните проучвания за безопасност върху основните системи, генотоксичност, канцерогенен потенциал. Не са провеждани специфични изследвания, оценяващи ефектите върху </w:t>
      </w:r>
      <w:proofErr w:type="spellStart"/>
      <w:r>
        <w:rPr>
          <w:lang w:val="en-US"/>
        </w:rPr>
        <w:t>hERG</w:t>
      </w:r>
      <w:proofErr w:type="spellEnd"/>
      <w:r w:rsidRPr="00676E82">
        <w:rPr>
          <w:lang w:val="ru-RU"/>
        </w:rPr>
        <w:t xml:space="preserve">. </w:t>
      </w:r>
      <w:r>
        <w:t>Нежеланите реакции, които не са наблюдавани в клинични проучвания, но са наблюдавани при животни, при нива на експозиция близки до клиничните са следните: в изпитвания за токсичност след многократно приложение се наблюдават хистопатологични чернодробни изменения, вследствие на фармакологичното действие на розувастатин при мишки, плъхове и в по-ниска степен в жлъчния мехур при кучета, но не и при маймуни. В допълнение, се наблюдава токсичност по отношение на тестисите при маймуни и кучета при по-високи дози. Репродуктивна токсичност при плъхове, за която се съди по намалените големина, тегло и преживяемост на малките, се наблюдава при матернотоксични дози на системна експозиция, няколко пъти над нивото на терапевтична експозиция.</w:t>
      </w:r>
    </w:p>
    <w:p w14:paraId="6A7820AB" w14:textId="71EF6B78" w:rsidR="008A6AF2" w:rsidRDefault="002C50EE" w:rsidP="00395555">
      <w:pPr>
        <w:pStyle w:val="Heading1"/>
      </w:pPr>
      <w:r>
        <w:t>7. ПРИТЕЖАТЕЛ НА РАЗРЕШЕНИЕТО ЗА УПОТРЕБА</w:t>
      </w:r>
    </w:p>
    <w:p w14:paraId="08FABFAD" w14:textId="169804AD" w:rsidR="00676E82" w:rsidRDefault="00676E82" w:rsidP="00676E82"/>
    <w:p w14:paraId="5B235888" w14:textId="77777777" w:rsidR="00676E82" w:rsidRPr="00676E82" w:rsidRDefault="00676E82" w:rsidP="00676E82">
      <w:pPr>
        <w:rPr>
          <w:sz w:val="24"/>
          <w:szCs w:val="24"/>
          <w:lang w:val="ru-RU"/>
        </w:rPr>
      </w:pPr>
      <w:r w:rsidRPr="00676E82">
        <w:rPr>
          <w:lang w:val="en-US"/>
        </w:rPr>
        <w:t>AstraZeneca</w:t>
      </w:r>
      <w:r w:rsidRPr="00676E82">
        <w:rPr>
          <w:lang w:val="ru-RU"/>
        </w:rPr>
        <w:t xml:space="preserve"> </w:t>
      </w:r>
      <w:r w:rsidRPr="00676E82">
        <w:rPr>
          <w:lang w:val="en-US"/>
        </w:rPr>
        <w:t>AB</w:t>
      </w:r>
    </w:p>
    <w:p w14:paraId="760839FC" w14:textId="77777777" w:rsidR="00676E82" w:rsidRPr="00676E82" w:rsidRDefault="00676E82" w:rsidP="00676E82">
      <w:pPr>
        <w:rPr>
          <w:sz w:val="24"/>
          <w:szCs w:val="24"/>
          <w:lang w:val="ru-RU"/>
        </w:rPr>
      </w:pPr>
      <w:r w:rsidRPr="00676E82">
        <w:rPr>
          <w:lang w:val="en-US"/>
        </w:rPr>
        <w:t>SE</w:t>
      </w:r>
      <w:r w:rsidRPr="00676E82">
        <w:rPr>
          <w:lang w:val="ru-RU"/>
        </w:rPr>
        <w:t xml:space="preserve">-151 85 </w:t>
      </w:r>
      <w:r w:rsidRPr="00676E82">
        <w:rPr>
          <w:lang w:val="en-US"/>
        </w:rPr>
        <w:t>Sodertalje</w:t>
      </w:r>
    </w:p>
    <w:p w14:paraId="60F8167F" w14:textId="34A57DEC" w:rsidR="00676E82" w:rsidRPr="00676E82" w:rsidRDefault="00676E82" w:rsidP="00676E82">
      <w:r w:rsidRPr="00676E82">
        <w:rPr>
          <w:lang w:eastAsia="bg-BG"/>
        </w:rPr>
        <w:t>Швеция</w:t>
      </w:r>
    </w:p>
    <w:p w14:paraId="7BA1BA64" w14:textId="4BDC867F" w:rsidR="00CF77F7" w:rsidRDefault="002C50EE" w:rsidP="004A448E">
      <w:pPr>
        <w:pStyle w:val="Heading1"/>
      </w:pPr>
      <w:r>
        <w:t>8. НОМЕР НА РАЗРЕШЕНИЕТО ЗА УПОТРЕБА</w:t>
      </w:r>
    </w:p>
    <w:p w14:paraId="6620A614" w14:textId="0D903558" w:rsidR="00676E82" w:rsidRDefault="00676E82" w:rsidP="00676E82"/>
    <w:p w14:paraId="705B2FE8" w14:textId="2663A597" w:rsidR="00676E82" w:rsidRPr="00676E82" w:rsidRDefault="00676E82" w:rsidP="00676E82">
      <w:pPr>
        <w:rPr>
          <w:sz w:val="24"/>
          <w:szCs w:val="24"/>
          <w:lang w:val="ru-RU"/>
        </w:rPr>
      </w:pPr>
      <w:r w:rsidRPr="00676E82">
        <w:rPr>
          <w:lang w:val="ru-RU"/>
        </w:rPr>
        <w:t>20040104</w:t>
      </w:r>
    </w:p>
    <w:p w14:paraId="2CCB5832" w14:textId="57D447BA" w:rsidR="007C605B" w:rsidRDefault="002C50EE" w:rsidP="007C605B">
      <w:pPr>
        <w:pStyle w:val="Heading1"/>
      </w:pPr>
      <w:r>
        <w:t>9. ДАТА НА ПЪРВО РАЗРЕШАВАНЕ/ПОДНОВЯВАНЕ НА РАЗРЕШЕНИЕТО ЗА УПОТРЕБА</w:t>
      </w:r>
    </w:p>
    <w:p w14:paraId="05D09B6B" w14:textId="2EE6FA1D" w:rsidR="00676E82" w:rsidRDefault="00676E82" w:rsidP="00676E82"/>
    <w:p w14:paraId="0A35AABE" w14:textId="77777777" w:rsidR="00676E82" w:rsidRPr="00676E82" w:rsidRDefault="00676E82" w:rsidP="00676E82">
      <w:pPr>
        <w:rPr>
          <w:sz w:val="24"/>
          <w:szCs w:val="24"/>
        </w:rPr>
      </w:pPr>
      <w:bookmarkStart w:id="1" w:name="_GoBack"/>
      <w:r w:rsidRPr="00676E82">
        <w:rPr>
          <w:lang w:eastAsia="bg-BG"/>
        </w:rPr>
        <w:t>Дата на първо разрешаване: 08 март 2004 г.</w:t>
      </w:r>
    </w:p>
    <w:p w14:paraId="6E1604BF" w14:textId="47E3EF40" w:rsidR="00676E82" w:rsidRPr="00676E82" w:rsidRDefault="00676E82" w:rsidP="00676E82">
      <w:r w:rsidRPr="00676E82">
        <w:rPr>
          <w:lang w:eastAsia="bg-BG"/>
        </w:rPr>
        <w:lastRenderedPageBreak/>
        <w:t>Дата на последно подновяване: 07 април 2009 г.</w:t>
      </w:r>
    </w:p>
    <w:bookmarkEnd w:id="1"/>
    <w:p w14:paraId="0E9D0119" w14:textId="0245C6D7" w:rsidR="002C50EE" w:rsidRDefault="002C50EE" w:rsidP="002C50EE">
      <w:pPr>
        <w:pStyle w:val="Heading1"/>
      </w:pPr>
      <w:r>
        <w:t>10. ДАТА НА АКТУАЛИЗИРАНЕ НА ТЕКСТА</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958D7"/>
    <w:multiLevelType w:val="hybridMultilevel"/>
    <w:tmpl w:val="F430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155F0"/>
    <w:multiLevelType w:val="hybridMultilevel"/>
    <w:tmpl w:val="5C36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13DF6"/>
    <w:multiLevelType w:val="hybridMultilevel"/>
    <w:tmpl w:val="B0C6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03D06"/>
    <w:multiLevelType w:val="hybridMultilevel"/>
    <w:tmpl w:val="9E60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10CD8"/>
    <w:multiLevelType w:val="hybridMultilevel"/>
    <w:tmpl w:val="D17A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2"/>
  </w:num>
  <w:num w:numId="12">
    <w:abstractNumId w:val="14"/>
  </w:num>
  <w:num w:numId="13">
    <w:abstractNumId w:val="20"/>
  </w:num>
  <w:num w:numId="14">
    <w:abstractNumId w:val="12"/>
  </w:num>
  <w:num w:numId="15">
    <w:abstractNumId w:val="31"/>
  </w:num>
  <w:num w:numId="16">
    <w:abstractNumId w:val="10"/>
  </w:num>
  <w:num w:numId="17">
    <w:abstractNumId w:val="25"/>
  </w:num>
  <w:num w:numId="18">
    <w:abstractNumId w:val="8"/>
  </w:num>
  <w:num w:numId="19">
    <w:abstractNumId w:val="28"/>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4"/>
  </w:num>
  <w:num w:numId="28">
    <w:abstractNumId w:val="7"/>
  </w:num>
  <w:num w:numId="29">
    <w:abstractNumId w:val="21"/>
  </w:num>
  <w:num w:numId="30">
    <w:abstractNumId w:val="38"/>
  </w:num>
  <w:num w:numId="31">
    <w:abstractNumId w:val="5"/>
  </w:num>
  <w:num w:numId="32">
    <w:abstractNumId w:val="36"/>
  </w:num>
  <w:num w:numId="33">
    <w:abstractNumId w:val="30"/>
  </w:num>
  <w:num w:numId="34">
    <w:abstractNumId w:val="35"/>
  </w:num>
  <w:num w:numId="35">
    <w:abstractNumId w:val="37"/>
  </w:num>
  <w:num w:numId="36">
    <w:abstractNumId w:val="15"/>
  </w:num>
  <w:num w:numId="37">
    <w:abstractNumId w:val="6"/>
  </w:num>
  <w:num w:numId="38">
    <w:abstractNumId w:val="2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0322F"/>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76E82"/>
    <w:rsid w:val="00681D4A"/>
    <w:rsid w:val="00685882"/>
    <w:rsid w:val="0075649D"/>
    <w:rsid w:val="007C605B"/>
    <w:rsid w:val="007E220E"/>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8374</Words>
  <Characters>47735</Characters>
  <Application>Microsoft Office Word</Application>
  <DocSecurity>0</DocSecurity>
  <Lines>397</Lines>
  <Paragraphs>111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2022-03-09T17:37:00Z</dcterms:created>
  <dcterms:modified xsi:type="dcterms:W3CDTF">2022-03-09T17:37:00Z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