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293DEEE3" w:rsidR="002C50EE" w:rsidRDefault="002C50EE" w:rsidP="002C50EE">
      <w:pPr>
        <w:pStyle w:val="Heading1"/>
        <w:jc w:val="center"/>
      </w:pPr>
      <w:bookmarkStart w:id="0" w:name="_Hlk63124480"/>
      <w:r>
        <w:t>КРАТКА ХАРАКТЕРИСТИКА НА ПРОДУКТА</w:t>
      </w:r>
    </w:p>
    <w:p w14:paraId="48024E16" w14:textId="1B7A70BF" w:rsidR="00A87BD0" w:rsidRDefault="00A87BD0" w:rsidP="00A87BD0"/>
    <w:p w14:paraId="677C6E12" w14:textId="77777777" w:rsidR="00A87BD0" w:rsidRPr="00A87BD0" w:rsidRDefault="00A87BD0" w:rsidP="00A87BD0">
      <w:pPr>
        <w:rPr>
          <w:sz w:val="24"/>
          <w:szCs w:val="24"/>
        </w:rPr>
      </w:pPr>
      <w:r w:rsidRPr="00A87BD0">
        <w:rPr>
          <w:lang w:eastAsia="bg-BG"/>
        </w:rPr>
        <w:t>▼ Този лекарствен продукт подлежи на допълнително наблюдение. Това ще позволи бързото установяване на нова информация относно безопасността. От медицинските специалисти се изисква да съобщават всяка подозирана нежелана реакция. За начина на съобщаване на нежелани реакции вижте точка 4.8.</w:t>
      </w:r>
    </w:p>
    <w:p w14:paraId="4343FF31" w14:textId="77777777" w:rsidR="00A87BD0" w:rsidRPr="00A87BD0" w:rsidRDefault="00A87BD0" w:rsidP="00A87BD0"/>
    <w:p w14:paraId="2BE34EF6" w14:textId="18DA00A2" w:rsidR="007122AD" w:rsidRDefault="00DD466D" w:rsidP="00936AD0">
      <w:pPr>
        <w:pStyle w:val="Heading1"/>
      </w:pPr>
      <w:r>
        <w:t>1.ИМЕ НА ЛЕКАРСТВЕНИЯ ПРОДУКТ</w:t>
      </w:r>
    </w:p>
    <w:p w14:paraId="6E0500FC" w14:textId="2B9787B3" w:rsidR="00A87BD0" w:rsidRDefault="00A87BD0" w:rsidP="00A87BD0"/>
    <w:p w14:paraId="749D1606" w14:textId="77777777" w:rsidR="00A87BD0" w:rsidRPr="00A87BD0" w:rsidRDefault="00A87BD0" w:rsidP="00A87BD0">
      <w:pPr>
        <w:rPr>
          <w:sz w:val="24"/>
          <w:szCs w:val="24"/>
        </w:rPr>
      </w:pPr>
      <w:r w:rsidRPr="00A87BD0">
        <w:rPr>
          <w:lang w:eastAsia="bg-BG"/>
        </w:rPr>
        <w:t xml:space="preserve">Кутакуиг 165 </w:t>
      </w:r>
      <w:r w:rsidRPr="00A87BD0">
        <w:rPr>
          <w:lang w:val="en-US"/>
        </w:rPr>
        <w:t>mg</w:t>
      </w:r>
      <w:r w:rsidRPr="00A87BD0">
        <w:t>/</w:t>
      </w:r>
      <w:r w:rsidRPr="00A87BD0">
        <w:rPr>
          <w:lang w:val="en-US"/>
        </w:rPr>
        <w:t>ml</w:t>
      </w:r>
      <w:r w:rsidRPr="00A87BD0">
        <w:t xml:space="preserve"> </w:t>
      </w:r>
      <w:r w:rsidRPr="00A87BD0">
        <w:rPr>
          <w:lang w:eastAsia="bg-BG"/>
        </w:rPr>
        <w:t>инжекционен разтвор</w:t>
      </w:r>
    </w:p>
    <w:p w14:paraId="4962EA3A" w14:textId="77777777" w:rsidR="00A87BD0" w:rsidRPr="00A87BD0" w:rsidRDefault="00A87BD0" w:rsidP="00A87BD0">
      <w:pPr>
        <w:rPr>
          <w:sz w:val="24"/>
          <w:szCs w:val="24"/>
        </w:rPr>
      </w:pPr>
      <w:proofErr w:type="spellStart"/>
      <w:r w:rsidRPr="00A87BD0">
        <w:rPr>
          <w:lang w:val="en-US"/>
        </w:rPr>
        <w:t>Cutaquig</w:t>
      </w:r>
      <w:proofErr w:type="spellEnd"/>
      <w:r w:rsidRPr="00A87BD0">
        <w:t xml:space="preserve"> 165</w:t>
      </w:r>
      <w:r w:rsidRPr="00A87BD0">
        <w:rPr>
          <w:lang w:eastAsia="bg-BG"/>
        </w:rPr>
        <w:t xml:space="preserve"> </w:t>
      </w:r>
      <w:r w:rsidRPr="00A87BD0">
        <w:rPr>
          <w:lang w:val="en-US"/>
        </w:rPr>
        <w:t>mg</w:t>
      </w:r>
      <w:r w:rsidRPr="00A87BD0">
        <w:t>/</w:t>
      </w:r>
      <w:r w:rsidRPr="00A87BD0">
        <w:rPr>
          <w:lang w:val="en-US"/>
        </w:rPr>
        <w:t>ml</w:t>
      </w:r>
      <w:r w:rsidRPr="00A87BD0">
        <w:t xml:space="preserve"> </w:t>
      </w:r>
      <w:r w:rsidRPr="00A87BD0">
        <w:rPr>
          <w:lang w:val="en-US"/>
        </w:rPr>
        <w:t>solution</w:t>
      </w:r>
      <w:r w:rsidRPr="00A87BD0">
        <w:t xml:space="preserve"> </w:t>
      </w:r>
      <w:r w:rsidRPr="00A87BD0">
        <w:rPr>
          <w:lang w:val="en-US"/>
        </w:rPr>
        <w:t>for</w:t>
      </w:r>
      <w:r w:rsidRPr="00A87BD0">
        <w:t xml:space="preserve"> </w:t>
      </w:r>
      <w:r w:rsidRPr="00A87BD0">
        <w:rPr>
          <w:lang w:val="en-US"/>
        </w:rPr>
        <w:t>injection</w:t>
      </w:r>
    </w:p>
    <w:p w14:paraId="6F3DABBA" w14:textId="77777777" w:rsidR="00A87BD0" w:rsidRPr="00A87BD0" w:rsidRDefault="00A87BD0" w:rsidP="00A87BD0"/>
    <w:p w14:paraId="6920A680" w14:textId="72C08B42" w:rsidR="00C40420" w:rsidRDefault="00DD466D" w:rsidP="004A448E">
      <w:pPr>
        <w:pStyle w:val="Heading1"/>
      </w:pPr>
      <w:r>
        <w:t>2. КАЧЕСТВЕН И КОЛИЧЕСТВЕН СЪСТАВ</w:t>
      </w:r>
    </w:p>
    <w:p w14:paraId="5FAB5B29" w14:textId="4BD51B38" w:rsidR="00A87BD0" w:rsidRDefault="00A87BD0" w:rsidP="00A87BD0"/>
    <w:p w14:paraId="4C422FAF"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Човешки нормален имуноглобулин </w:t>
      </w:r>
      <w:r w:rsidRPr="00A87BD0">
        <w:rPr>
          <w:rFonts w:eastAsia="Times New Roman" w:cs="Arial"/>
          <w:color w:val="000000"/>
          <w:lang w:val="ru-RU"/>
        </w:rPr>
        <w:t>(</w:t>
      </w:r>
      <w:proofErr w:type="spellStart"/>
      <w:r w:rsidRPr="00A87BD0">
        <w:rPr>
          <w:rFonts w:eastAsia="Times New Roman" w:cs="Arial"/>
          <w:color w:val="000000"/>
          <w:lang w:val="en-US"/>
        </w:rPr>
        <w:t>SCIg</w:t>
      </w:r>
      <w:proofErr w:type="spellEnd"/>
      <w:r w:rsidRPr="00A87BD0">
        <w:rPr>
          <w:rFonts w:eastAsia="Times New Roman" w:cs="Arial"/>
          <w:color w:val="000000"/>
          <w:lang w:val="ru-RU"/>
        </w:rPr>
        <w:t>)</w:t>
      </w:r>
    </w:p>
    <w:p w14:paraId="7D6D1452" w14:textId="77777777" w:rsidR="00A87BD0" w:rsidRPr="00A87BD0" w:rsidRDefault="00A87BD0" w:rsidP="00A87BD0">
      <w:pPr>
        <w:spacing w:line="240" w:lineRule="auto"/>
        <w:rPr>
          <w:rFonts w:eastAsia="Times New Roman" w:cs="Arial"/>
          <w:color w:val="000000"/>
          <w:lang w:eastAsia="bg-BG"/>
        </w:rPr>
      </w:pPr>
    </w:p>
    <w:p w14:paraId="222C28BD" w14:textId="5EC20FE5"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1 </w:t>
      </w:r>
      <w:r w:rsidRPr="00A87BD0">
        <w:rPr>
          <w:rFonts w:eastAsia="Times New Roman" w:cs="Arial"/>
          <w:color w:val="000000"/>
          <w:lang w:val="en-US"/>
        </w:rPr>
        <w:t>ml</w:t>
      </w:r>
      <w:r w:rsidRPr="00A87BD0">
        <w:rPr>
          <w:rFonts w:eastAsia="Times New Roman" w:cs="Arial"/>
          <w:color w:val="000000"/>
          <w:lang w:val="ru-RU"/>
        </w:rPr>
        <w:t xml:space="preserve"> </w:t>
      </w:r>
      <w:r w:rsidRPr="00A87BD0">
        <w:rPr>
          <w:rFonts w:eastAsia="Times New Roman" w:cs="Arial"/>
          <w:color w:val="000000"/>
          <w:lang w:eastAsia="bg-BG"/>
        </w:rPr>
        <w:t>съдържа:</w:t>
      </w:r>
      <w:r>
        <w:rPr>
          <w:rFonts w:eastAsia="Times New Roman" w:cs="Arial"/>
          <w:color w:val="000000"/>
          <w:lang w:eastAsia="bg-BG"/>
        </w:rPr>
        <w:t xml:space="preserve"> Човешки нормален имуноглобулин 165</w:t>
      </w:r>
      <w:r w:rsidRPr="00A87BD0">
        <w:rPr>
          <w:rFonts w:eastAsia="Times New Roman" w:cs="Arial"/>
          <w:color w:val="000000"/>
          <w:lang w:val="en-US"/>
        </w:rPr>
        <w:t>mg</w:t>
      </w:r>
    </w:p>
    <w:p w14:paraId="13239E2C"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(чистота не по-малко от 95% </w:t>
      </w:r>
      <w:r w:rsidRPr="00A87BD0">
        <w:rPr>
          <w:rFonts w:eastAsia="Times New Roman" w:cs="Arial"/>
          <w:color w:val="000000"/>
          <w:lang w:val="en-US"/>
        </w:rPr>
        <w:t>IgG</w:t>
      </w:r>
      <w:r w:rsidRPr="00A87BD0">
        <w:rPr>
          <w:rFonts w:eastAsia="Times New Roman" w:cs="Arial"/>
          <w:color w:val="000000"/>
          <w:lang w:val="ru-RU"/>
        </w:rPr>
        <w:t>)</w:t>
      </w:r>
    </w:p>
    <w:p w14:paraId="2236BFE2" w14:textId="77777777" w:rsidR="00A87BD0" w:rsidRPr="00A87BD0" w:rsidRDefault="00A87BD0" w:rsidP="00A87BD0">
      <w:pPr>
        <w:spacing w:line="240" w:lineRule="auto"/>
        <w:rPr>
          <w:rFonts w:eastAsia="Times New Roman" w:cs="Arial"/>
          <w:color w:val="000000"/>
          <w:lang w:eastAsia="bg-BG"/>
        </w:rPr>
      </w:pPr>
    </w:p>
    <w:p w14:paraId="5877CAB6" w14:textId="5CB18B38"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Всеки флакон от 6 </w:t>
      </w:r>
      <w:r w:rsidRPr="00A87BD0">
        <w:rPr>
          <w:rFonts w:eastAsia="Times New Roman" w:cs="Arial"/>
          <w:color w:val="000000"/>
          <w:lang w:val="en-US"/>
        </w:rPr>
        <w:t>ml</w:t>
      </w:r>
      <w:r w:rsidRPr="00A87BD0">
        <w:rPr>
          <w:rFonts w:eastAsia="Times New Roman" w:cs="Arial"/>
          <w:color w:val="000000"/>
          <w:lang w:val="ru-RU"/>
        </w:rPr>
        <w:t xml:space="preserve"> </w:t>
      </w:r>
      <w:r w:rsidRPr="00A87BD0">
        <w:rPr>
          <w:rFonts w:eastAsia="Times New Roman" w:cs="Arial"/>
          <w:color w:val="000000"/>
          <w:lang w:eastAsia="bg-BG"/>
        </w:rPr>
        <w:t xml:space="preserve">съдържа: 1 </w:t>
      </w:r>
      <w:r w:rsidRPr="00A87BD0">
        <w:rPr>
          <w:rFonts w:eastAsia="Times New Roman" w:cs="Arial"/>
          <w:color w:val="000000"/>
          <w:lang w:val="en-US"/>
        </w:rPr>
        <w:t>g</w:t>
      </w:r>
      <w:r w:rsidRPr="00A87BD0">
        <w:rPr>
          <w:rFonts w:eastAsia="Times New Roman" w:cs="Arial"/>
          <w:color w:val="000000"/>
          <w:lang w:val="ru-RU"/>
        </w:rPr>
        <w:t xml:space="preserve"> </w:t>
      </w:r>
      <w:r w:rsidRPr="00A87BD0">
        <w:rPr>
          <w:rFonts w:eastAsia="Times New Roman" w:cs="Arial"/>
          <w:color w:val="000000"/>
          <w:lang w:eastAsia="bg-BG"/>
        </w:rPr>
        <w:t xml:space="preserve">човешки нормален имуноглобулин, Всеки флакон от 10 </w:t>
      </w:r>
      <w:r w:rsidRPr="00A87BD0">
        <w:rPr>
          <w:rFonts w:eastAsia="Times New Roman" w:cs="Arial"/>
          <w:color w:val="000000"/>
          <w:lang w:val="en-US"/>
        </w:rPr>
        <w:t>ml</w:t>
      </w:r>
      <w:r w:rsidRPr="00A87BD0">
        <w:rPr>
          <w:rFonts w:eastAsia="Times New Roman" w:cs="Arial"/>
          <w:color w:val="000000"/>
          <w:lang w:val="ru-RU"/>
        </w:rPr>
        <w:t xml:space="preserve"> </w:t>
      </w:r>
      <w:r w:rsidRPr="00A87BD0">
        <w:rPr>
          <w:rFonts w:eastAsia="Times New Roman" w:cs="Arial"/>
          <w:color w:val="000000"/>
          <w:lang w:eastAsia="bg-BG"/>
        </w:rPr>
        <w:t xml:space="preserve">съдържа: 1,65 </w:t>
      </w:r>
      <w:r w:rsidRPr="00A87BD0">
        <w:rPr>
          <w:rFonts w:eastAsia="Times New Roman" w:cs="Arial"/>
          <w:color w:val="000000"/>
          <w:lang w:val="en-US"/>
        </w:rPr>
        <w:t>g</w:t>
      </w:r>
      <w:r w:rsidRPr="00A87BD0">
        <w:rPr>
          <w:rFonts w:eastAsia="Times New Roman" w:cs="Arial"/>
          <w:color w:val="000000"/>
          <w:lang w:val="ru-RU"/>
        </w:rPr>
        <w:t xml:space="preserve"> </w:t>
      </w:r>
      <w:r w:rsidRPr="00A87BD0">
        <w:rPr>
          <w:rFonts w:eastAsia="Times New Roman" w:cs="Arial"/>
          <w:color w:val="000000"/>
          <w:lang w:eastAsia="bg-BG"/>
        </w:rPr>
        <w:t>човешки нормален имуноглобулин.</w:t>
      </w:r>
    </w:p>
    <w:p w14:paraId="06A881F6"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Всеки флакон от 12 </w:t>
      </w:r>
      <w:r w:rsidRPr="00A87BD0">
        <w:rPr>
          <w:rFonts w:eastAsia="Times New Roman" w:cs="Arial"/>
          <w:color w:val="000000"/>
          <w:lang w:val="en-US"/>
        </w:rPr>
        <w:t>ml</w:t>
      </w:r>
      <w:r w:rsidRPr="00A87BD0">
        <w:rPr>
          <w:rFonts w:eastAsia="Times New Roman" w:cs="Arial"/>
          <w:color w:val="000000"/>
          <w:lang w:val="ru-RU"/>
        </w:rPr>
        <w:t xml:space="preserve"> </w:t>
      </w:r>
      <w:r w:rsidRPr="00A87BD0">
        <w:rPr>
          <w:rFonts w:eastAsia="Times New Roman" w:cs="Arial"/>
          <w:color w:val="000000"/>
          <w:lang w:eastAsia="bg-BG"/>
        </w:rPr>
        <w:t xml:space="preserve">съдържа: 2 </w:t>
      </w:r>
      <w:r w:rsidRPr="00A87BD0">
        <w:rPr>
          <w:rFonts w:eastAsia="Times New Roman" w:cs="Arial"/>
          <w:color w:val="000000"/>
          <w:lang w:val="en-US"/>
        </w:rPr>
        <w:t>g</w:t>
      </w:r>
      <w:r w:rsidRPr="00A87BD0">
        <w:rPr>
          <w:rFonts w:eastAsia="Times New Roman" w:cs="Arial"/>
          <w:color w:val="000000"/>
          <w:lang w:val="ru-RU"/>
        </w:rPr>
        <w:t xml:space="preserve"> </w:t>
      </w:r>
      <w:r w:rsidRPr="00A87BD0">
        <w:rPr>
          <w:rFonts w:eastAsia="Times New Roman" w:cs="Arial"/>
          <w:color w:val="000000"/>
          <w:lang w:eastAsia="bg-BG"/>
        </w:rPr>
        <w:t>човешки нормален имуноглобулин.</w:t>
      </w:r>
    </w:p>
    <w:p w14:paraId="098E65AE"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Всеки флакон от 20 </w:t>
      </w:r>
      <w:r w:rsidRPr="00A87BD0">
        <w:rPr>
          <w:rFonts w:eastAsia="Times New Roman" w:cs="Arial"/>
          <w:color w:val="000000"/>
          <w:lang w:val="en-US"/>
        </w:rPr>
        <w:t>ml</w:t>
      </w:r>
      <w:r w:rsidRPr="00A87BD0">
        <w:rPr>
          <w:rFonts w:eastAsia="Times New Roman" w:cs="Arial"/>
          <w:color w:val="000000"/>
          <w:lang w:val="ru-RU"/>
        </w:rPr>
        <w:t xml:space="preserve"> </w:t>
      </w:r>
      <w:r w:rsidRPr="00A87BD0">
        <w:rPr>
          <w:rFonts w:eastAsia="Times New Roman" w:cs="Arial"/>
          <w:color w:val="000000"/>
          <w:lang w:eastAsia="bg-BG"/>
        </w:rPr>
        <w:t xml:space="preserve">съдържа: 3,3 </w:t>
      </w:r>
      <w:r w:rsidRPr="00A87BD0">
        <w:rPr>
          <w:rFonts w:eastAsia="Times New Roman" w:cs="Arial"/>
          <w:color w:val="000000"/>
          <w:lang w:val="en-US"/>
        </w:rPr>
        <w:t>g</w:t>
      </w:r>
      <w:r w:rsidRPr="00A87BD0">
        <w:rPr>
          <w:rFonts w:eastAsia="Times New Roman" w:cs="Arial"/>
          <w:color w:val="000000"/>
          <w:lang w:val="ru-RU"/>
        </w:rPr>
        <w:t xml:space="preserve"> </w:t>
      </w:r>
      <w:r w:rsidRPr="00A87BD0">
        <w:rPr>
          <w:rFonts w:eastAsia="Times New Roman" w:cs="Arial"/>
          <w:color w:val="000000"/>
          <w:lang w:eastAsia="bg-BG"/>
        </w:rPr>
        <w:t>човешки нормален имуноглобулин.</w:t>
      </w:r>
    </w:p>
    <w:p w14:paraId="36DF773D"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Всеки флакон от 24 </w:t>
      </w:r>
      <w:r w:rsidRPr="00A87BD0">
        <w:rPr>
          <w:rFonts w:eastAsia="Times New Roman" w:cs="Arial"/>
          <w:color w:val="000000"/>
          <w:lang w:val="en-US"/>
        </w:rPr>
        <w:t>ml</w:t>
      </w:r>
      <w:r w:rsidRPr="00A87BD0">
        <w:rPr>
          <w:rFonts w:eastAsia="Times New Roman" w:cs="Arial"/>
          <w:color w:val="000000"/>
          <w:lang w:val="ru-RU"/>
        </w:rPr>
        <w:t xml:space="preserve"> </w:t>
      </w:r>
      <w:r w:rsidRPr="00A87BD0">
        <w:rPr>
          <w:rFonts w:eastAsia="Times New Roman" w:cs="Arial"/>
          <w:color w:val="000000"/>
          <w:lang w:eastAsia="bg-BG"/>
        </w:rPr>
        <w:t xml:space="preserve">съдържа: 4 </w:t>
      </w:r>
      <w:r w:rsidRPr="00A87BD0">
        <w:rPr>
          <w:rFonts w:eastAsia="Times New Roman" w:cs="Arial"/>
          <w:color w:val="000000"/>
          <w:lang w:val="en-US"/>
        </w:rPr>
        <w:t>g</w:t>
      </w:r>
      <w:r w:rsidRPr="00A87BD0">
        <w:rPr>
          <w:rFonts w:eastAsia="Times New Roman" w:cs="Arial"/>
          <w:color w:val="000000"/>
          <w:lang w:val="ru-RU"/>
        </w:rPr>
        <w:t xml:space="preserve"> </w:t>
      </w:r>
      <w:r w:rsidRPr="00A87BD0">
        <w:rPr>
          <w:rFonts w:eastAsia="Times New Roman" w:cs="Arial"/>
          <w:color w:val="000000"/>
          <w:lang w:eastAsia="bg-BG"/>
        </w:rPr>
        <w:t>човешки нормален имуноглобулин.</w:t>
      </w:r>
    </w:p>
    <w:p w14:paraId="35EE2D63"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Всеки флакон от 48 </w:t>
      </w:r>
      <w:r w:rsidRPr="00A87BD0">
        <w:rPr>
          <w:rFonts w:eastAsia="Times New Roman" w:cs="Arial"/>
          <w:color w:val="000000"/>
          <w:lang w:val="en-US"/>
        </w:rPr>
        <w:t>ml</w:t>
      </w:r>
      <w:r w:rsidRPr="00A87BD0">
        <w:rPr>
          <w:rFonts w:eastAsia="Times New Roman" w:cs="Arial"/>
          <w:color w:val="000000"/>
          <w:lang w:val="ru-RU"/>
        </w:rPr>
        <w:t xml:space="preserve"> </w:t>
      </w:r>
      <w:r w:rsidRPr="00A87BD0">
        <w:rPr>
          <w:rFonts w:eastAsia="Times New Roman" w:cs="Arial"/>
          <w:color w:val="000000"/>
          <w:lang w:eastAsia="bg-BG"/>
        </w:rPr>
        <w:t xml:space="preserve">съдържа: 8 </w:t>
      </w:r>
      <w:r w:rsidRPr="00A87BD0">
        <w:rPr>
          <w:rFonts w:eastAsia="Times New Roman" w:cs="Arial"/>
          <w:color w:val="000000"/>
          <w:lang w:val="en-US"/>
        </w:rPr>
        <w:t>g</w:t>
      </w:r>
      <w:r w:rsidRPr="00A87BD0">
        <w:rPr>
          <w:rFonts w:eastAsia="Times New Roman" w:cs="Arial"/>
          <w:color w:val="000000"/>
          <w:lang w:val="ru-RU"/>
        </w:rPr>
        <w:t xml:space="preserve"> </w:t>
      </w:r>
      <w:r w:rsidRPr="00A87BD0">
        <w:rPr>
          <w:rFonts w:eastAsia="Times New Roman" w:cs="Arial"/>
          <w:color w:val="000000"/>
          <w:lang w:eastAsia="bg-BG"/>
        </w:rPr>
        <w:t>човешки нормален имуноглобулин.</w:t>
      </w:r>
    </w:p>
    <w:p w14:paraId="2F72ADD7" w14:textId="77777777" w:rsidR="00A87BD0" w:rsidRPr="00A87BD0" w:rsidRDefault="00A87BD0" w:rsidP="00A87BD0">
      <w:pPr>
        <w:spacing w:line="240" w:lineRule="auto"/>
        <w:rPr>
          <w:rFonts w:eastAsia="Times New Roman" w:cs="Arial"/>
          <w:color w:val="000000"/>
          <w:lang w:eastAsia="bg-BG"/>
        </w:rPr>
      </w:pPr>
    </w:p>
    <w:p w14:paraId="0D4FFAB9" w14:textId="296C0118"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Разпределение на </w:t>
      </w:r>
      <w:r w:rsidRPr="00A87BD0">
        <w:rPr>
          <w:rFonts w:eastAsia="Times New Roman" w:cs="Arial"/>
          <w:color w:val="000000"/>
          <w:lang w:val="en-US"/>
        </w:rPr>
        <w:t>IgG</w:t>
      </w:r>
      <w:r w:rsidRPr="00A87BD0">
        <w:rPr>
          <w:rFonts w:eastAsia="Times New Roman" w:cs="Arial"/>
          <w:color w:val="000000"/>
          <w:lang w:val="ru-RU"/>
        </w:rPr>
        <w:t xml:space="preserve"> </w:t>
      </w:r>
      <w:r w:rsidRPr="00A87BD0">
        <w:rPr>
          <w:rFonts w:eastAsia="Times New Roman" w:cs="Arial"/>
          <w:color w:val="000000"/>
          <w:lang w:eastAsia="bg-BG"/>
        </w:rPr>
        <w:t>по подвидове (прибл. стойности):</w:t>
      </w:r>
    </w:p>
    <w:p w14:paraId="05819794" w14:textId="77777777" w:rsidR="00A87BD0" w:rsidRPr="00A87BD0" w:rsidRDefault="00A87BD0" w:rsidP="00A87BD0">
      <w:pPr>
        <w:spacing w:line="240" w:lineRule="auto"/>
        <w:rPr>
          <w:rFonts w:eastAsia="Times New Roman" w:cs="Arial"/>
          <w:color w:val="000000"/>
          <w:lang w:val="en-US"/>
        </w:rPr>
      </w:pPr>
    </w:p>
    <w:p w14:paraId="505230D2" w14:textId="39838492"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val="en-US"/>
        </w:rPr>
        <w:t>IgG</w:t>
      </w:r>
      <w:r w:rsidRPr="00A87BD0">
        <w:rPr>
          <w:rFonts w:eastAsia="Times New Roman" w:cs="Arial"/>
          <w:color w:val="000000"/>
          <w:vertAlign w:val="subscript"/>
          <w:lang w:val="ru-RU"/>
        </w:rPr>
        <w:t>1</w:t>
      </w:r>
      <w:r w:rsidRPr="00A87BD0">
        <w:rPr>
          <w:rFonts w:eastAsia="Times New Roman" w:cs="Arial"/>
          <w:color w:val="000000"/>
          <w:lang w:eastAsia="bg-BG"/>
        </w:rPr>
        <w:tab/>
        <w:t xml:space="preserve"> 71%</w:t>
      </w:r>
    </w:p>
    <w:p w14:paraId="7C27C92B"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val="en-US"/>
        </w:rPr>
        <w:t>IgG</w:t>
      </w:r>
      <w:r w:rsidRPr="00A87BD0">
        <w:rPr>
          <w:rFonts w:eastAsia="Times New Roman" w:cs="Arial"/>
          <w:color w:val="000000"/>
          <w:vertAlign w:val="subscript"/>
          <w:lang w:val="ru-RU"/>
        </w:rPr>
        <w:t>2</w:t>
      </w:r>
      <w:r w:rsidRPr="00A87BD0">
        <w:rPr>
          <w:rFonts w:eastAsia="Times New Roman" w:cs="Arial"/>
          <w:color w:val="000000"/>
          <w:lang w:eastAsia="bg-BG"/>
        </w:rPr>
        <w:tab/>
        <w:t xml:space="preserve"> 25%</w:t>
      </w:r>
    </w:p>
    <w:p w14:paraId="1D5D7182"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val="en-US"/>
        </w:rPr>
        <w:t>IgG</w:t>
      </w:r>
      <w:r w:rsidRPr="00A87BD0">
        <w:rPr>
          <w:rFonts w:eastAsia="Times New Roman" w:cs="Arial"/>
          <w:color w:val="000000"/>
          <w:vertAlign w:val="subscript"/>
          <w:lang w:val="ru-RU"/>
        </w:rPr>
        <w:t>3</w:t>
      </w:r>
      <w:r w:rsidRPr="00A87BD0">
        <w:rPr>
          <w:rFonts w:eastAsia="Times New Roman" w:cs="Arial"/>
          <w:color w:val="000000"/>
          <w:lang w:eastAsia="bg-BG"/>
        </w:rPr>
        <w:tab/>
        <w:t xml:space="preserve"> 3%</w:t>
      </w:r>
    </w:p>
    <w:p w14:paraId="24D83782"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val="en-US"/>
        </w:rPr>
        <w:t>IgG</w:t>
      </w:r>
      <w:r w:rsidRPr="00A87BD0">
        <w:rPr>
          <w:rFonts w:eastAsia="Times New Roman" w:cs="Arial"/>
          <w:color w:val="000000"/>
          <w:vertAlign w:val="subscript"/>
          <w:lang w:val="ru-RU"/>
        </w:rPr>
        <w:t>4</w:t>
      </w:r>
      <w:r w:rsidRPr="00A87BD0">
        <w:rPr>
          <w:rFonts w:eastAsia="Times New Roman" w:cs="Arial"/>
          <w:color w:val="000000"/>
          <w:lang w:val="ru-RU"/>
        </w:rPr>
        <w:tab/>
        <w:t>2%</w:t>
      </w:r>
    </w:p>
    <w:p w14:paraId="4E17548A" w14:textId="77777777" w:rsidR="00A87BD0" w:rsidRPr="00A87BD0" w:rsidRDefault="00A87BD0" w:rsidP="00A87BD0">
      <w:pPr>
        <w:spacing w:line="240" w:lineRule="auto"/>
        <w:rPr>
          <w:rFonts w:eastAsia="Times New Roman" w:cs="Arial"/>
          <w:color w:val="000000"/>
          <w:lang w:eastAsia="bg-BG"/>
        </w:rPr>
      </w:pPr>
    </w:p>
    <w:p w14:paraId="15D6414F" w14:textId="57A0C7A1"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Максимално съдържание на </w:t>
      </w:r>
      <w:r w:rsidRPr="00A87BD0">
        <w:rPr>
          <w:rFonts w:eastAsia="Times New Roman" w:cs="Arial"/>
          <w:color w:val="000000"/>
          <w:lang w:val="en-US"/>
        </w:rPr>
        <w:t>IgA</w:t>
      </w:r>
      <w:r w:rsidRPr="00A87BD0">
        <w:rPr>
          <w:rFonts w:eastAsia="Times New Roman" w:cs="Arial"/>
          <w:color w:val="000000"/>
          <w:lang w:val="ru-RU"/>
        </w:rPr>
        <w:t xml:space="preserve"> </w:t>
      </w:r>
      <w:r w:rsidRPr="00A87BD0">
        <w:rPr>
          <w:rFonts w:eastAsia="Times New Roman" w:cs="Arial"/>
          <w:color w:val="000000"/>
          <w:lang w:eastAsia="bg-BG"/>
        </w:rPr>
        <w:t>е 600 микрограма</w:t>
      </w:r>
      <w:r w:rsidRPr="00A87BD0">
        <w:rPr>
          <w:rFonts w:eastAsia="Times New Roman" w:cs="Arial"/>
          <w:color w:val="000000"/>
          <w:lang w:val="ru-RU"/>
        </w:rPr>
        <w:t>/</w:t>
      </w:r>
      <w:r w:rsidRPr="00A87BD0">
        <w:rPr>
          <w:rFonts w:eastAsia="Times New Roman" w:cs="Arial"/>
          <w:color w:val="000000"/>
          <w:lang w:val="en-US"/>
        </w:rPr>
        <w:t>ml</w:t>
      </w:r>
    </w:p>
    <w:p w14:paraId="23CAF7A2" w14:textId="77777777" w:rsidR="00A87BD0" w:rsidRPr="00A87BD0" w:rsidRDefault="00A87BD0" w:rsidP="00A87BD0">
      <w:pPr>
        <w:spacing w:line="240" w:lineRule="auto"/>
        <w:rPr>
          <w:rFonts w:eastAsia="Times New Roman" w:cs="Arial"/>
          <w:color w:val="000000"/>
          <w:lang w:eastAsia="bg-BG"/>
        </w:rPr>
      </w:pPr>
    </w:p>
    <w:p w14:paraId="57942753" w14:textId="7012FEEF"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Получен от човешка донорска плазма.</w:t>
      </w:r>
    </w:p>
    <w:p w14:paraId="34437C2F" w14:textId="77777777" w:rsidR="00A87BD0" w:rsidRPr="00A87BD0" w:rsidRDefault="00A87BD0" w:rsidP="00A87BD0">
      <w:pPr>
        <w:spacing w:line="240" w:lineRule="auto"/>
        <w:rPr>
          <w:rFonts w:eastAsia="Times New Roman" w:cs="Arial"/>
          <w:color w:val="000000"/>
          <w:u w:val="single"/>
          <w:lang w:eastAsia="bg-BG"/>
        </w:rPr>
      </w:pPr>
    </w:p>
    <w:p w14:paraId="69B57AC2" w14:textId="3C8ACF67" w:rsidR="00A87BD0" w:rsidRPr="00A87BD0" w:rsidRDefault="00A87BD0" w:rsidP="00A87BD0">
      <w:pPr>
        <w:spacing w:line="240" w:lineRule="auto"/>
        <w:rPr>
          <w:rFonts w:eastAsia="Times New Roman" w:cs="Arial"/>
          <w:sz w:val="24"/>
          <w:szCs w:val="24"/>
        </w:rPr>
      </w:pPr>
      <w:r w:rsidRPr="00A87BD0">
        <w:rPr>
          <w:rFonts w:eastAsia="Times New Roman" w:cs="Arial"/>
          <w:color w:val="000000"/>
          <w:u w:val="single"/>
          <w:lang w:eastAsia="bg-BG"/>
        </w:rPr>
        <w:t>Помощно(и) вещество(а) с известно действие</w:t>
      </w:r>
    </w:p>
    <w:p w14:paraId="72335BFC"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Този лекарствен продукт съдържа 33,1 </w:t>
      </w:r>
      <w:r w:rsidRPr="00A87BD0">
        <w:rPr>
          <w:rFonts w:eastAsia="Times New Roman" w:cs="Arial"/>
          <w:color w:val="000000"/>
          <w:lang w:val="en-US"/>
        </w:rPr>
        <w:t>mg</w:t>
      </w:r>
      <w:r w:rsidRPr="00A87BD0">
        <w:rPr>
          <w:rFonts w:eastAsia="Times New Roman" w:cs="Arial"/>
          <w:color w:val="000000"/>
          <w:lang w:val="ru-RU"/>
        </w:rPr>
        <w:t xml:space="preserve"> </w:t>
      </w:r>
      <w:r w:rsidRPr="00A87BD0">
        <w:rPr>
          <w:rFonts w:eastAsia="Times New Roman" w:cs="Arial"/>
          <w:color w:val="000000"/>
          <w:lang w:eastAsia="bg-BG"/>
        </w:rPr>
        <w:t xml:space="preserve">натрий във флакон от 48 </w:t>
      </w:r>
      <w:r w:rsidRPr="00A87BD0">
        <w:rPr>
          <w:rFonts w:eastAsia="Times New Roman" w:cs="Arial"/>
          <w:color w:val="000000"/>
          <w:lang w:val="en-US"/>
        </w:rPr>
        <w:t>ml</w:t>
      </w:r>
      <w:r w:rsidRPr="00A87BD0">
        <w:rPr>
          <w:rFonts w:eastAsia="Times New Roman" w:cs="Arial"/>
          <w:color w:val="000000"/>
          <w:lang w:val="ru-RU"/>
        </w:rPr>
        <w:t xml:space="preserve"> </w:t>
      </w:r>
      <w:r w:rsidRPr="00A87BD0">
        <w:rPr>
          <w:rFonts w:eastAsia="Times New Roman" w:cs="Arial"/>
          <w:color w:val="000000"/>
          <w:lang w:eastAsia="bg-BG"/>
        </w:rPr>
        <w:t xml:space="preserve">и 13,8 </w:t>
      </w:r>
      <w:r w:rsidRPr="00A87BD0">
        <w:rPr>
          <w:rFonts w:eastAsia="Times New Roman" w:cs="Arial"/>
          <w:color w:val="000000"/>
          <w:lang w:val="en-US"/>
        </w:rPr>
        <w:t>mg</w:t>
      </w:r>
      <w:r w:rsidRPr="00A87BD0">
        <w:rPr>
          <w:rFonts w:eastAsia="Times New Roman" w:cs="Arial"/>
          <w:color w:val="000000"/>
          <w:lang w:val="ru-RU"/>
        </w:rPr>
        <w:t xml:space="preserve"> </w:t>
      </w:r>
      <w:r w:rsidRPr="00A87BD0">
        <w:rPr>
          <w:rFonts w:eastAsia="Times New Roman" w:cs="Arial"/>
          <w:color w:val="000000"/>
          <w:lang w:eastAsia="bg-BG"/>
        </w:rPr>
        <w:t xml:space="preserve">във флакон от 20 </w:t>
      </w:r>
      <w:r w:rsidRPr="00A87BD0">
        <w:rPr>
          <w:rFonts w:eastAsia="Times New Roman" w:cs="Arial"/>
          <w:color w:val="000000"/>
          <w:lang w:val="en-US"/>
        </w:rPr>
        <w:t>ml</w:t>
      </w:r>
      <w:r w:rsidRPr="00A87BD0">
        <w:rPr>
          <w:rFonts w:eastAsia="Times New Roman" w:cs="Arial"/>
          <w:color w:val="000000"/>
          <w:lang w:val="ru-RU"/>
        </w:rPr>
        <w:t xml:space="preserve">, </w:t>
      </w:r>
      <w:r w:rsidRPr="00A87BD0">
        <w:rPr>
          <w:rFonts w:eastAsia="Times New Roman" w:cs="Arial"/>
          <w:color w:val="000000"/>
          <w:lang w:eastAsia="bg-BG"/>
        </w:rPr>
        <w:t>вижте точка 4.4.</w:t>
      </w:r>
    </w:p>
    <w:p w14:paraId="49821FB1" w14:textId="77777777" w:rsidR="00A87BD0" w:rsidRPr="00A87BD0" w:rsidRDefault="00A87BD0" w:rsidP="00A87BD0"/>
    <w:p w14:paraId="614984C4" w14:textId="55E8B422" w:rsidR="008A6AF2" w:rsidRDefault="00DD466D" w:rsidP="002C50EE">
      <w:pPr>
        <w:pStyle w:val="Heading1"/>
      </w:pPr>
      <w:r>
        <w:t>3. ЛЕКАРСТВЕНА ФОРМА</w:t>
      </w:r>
    </w:p>
    <w:p w14:paraId="5B53646D" w14:textId="29408EE7" w:rsidR="00A87BD0" w:rsidRDefault="00A87BD0" w:rsidP="00A87BD0"/>
    <w:p w14:paraId="0FB48500"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Инжекционен разтвор.</w:t>
      </w:r>
    </w:p>
    <w:p w14:paraId="1B5F14E3"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lastRenderedPageBreak/>
        <w:t>Приготвеният разтвор е бистър и безцветен.</w:t>
      </w:r>
    </w:p>
    <w:p w14:paraId="29B111AC"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При съхранение разтворът може да се промени до леко опалесцентен и бледо жълт Осмолалитетьт на разтвора е 310 до 380 </w:t>
      </w:r>
      <w:proofErr w:type="spellStart"/>
      <w:r w:rsidRPr="00A87BD0">
        <w:rPr>
          <w:rFonts w:eastAsia="Times New Roman" w:cs="Arial"/>
          <w:color w:val="000000"/>
          <w:lang w:val="en-US"/>
        </w:rPr>
        <w:t>mosmol</w:t>
      </w:r>
      <w:proofErr w:type="spellEnd"/>
      <w:r w:rsidRPr="00A87BD0">
        <w:rPr>
          <w:rFonts w:eastAsia="Times New Roman" w:cs="Arial"/>
          <w:color w:val="000000"/>
          <w:lang w:val="ru-RU"/>
        </w:rPr>
        <w:t>/</w:t>
      </w:r>
      <w:r w:rsidRPr="00A87BD0">
        <w:rPr>
          <w:rFonts w:eastAsia="Times New Roman" w:cs="Arial"/>
          <w:color w:val="000000"/>
          <w:lang w:val="en-US"/>
        </w:rPr>
        <w:t>kg</w:t>
      </w:r>
      <w:r w:rsidRPr="00A87BD0">
        <w:rPr>
          <w:rFonts w:eastAsia="Times New Roman" w:cs="Arial"/>
          <w:color w:val="000000"/>
          <w:lang w:val="ru-RU"/>
        </w:rPr>
        <w:t>.</w:t>
      </w:r>
    </w:p>
    <w:p w14:paraId="2CB6FD93" w14:textId="08FFB8B9" w:rsidR="00A87BD0" w:rsidRPr="00A87BD0" w:rsidRDefault="00A87BD0" w:rsidP="00A87BD0">
      <w:proofErr w:type="gramStart"/>
      <w:r w:rsidRPr="00A87BD0">
        <w:rPr>
          <w:rFonts w:eastAsia="Times New Roman" w:cs="Arial"/>
          <w:color w:val="000000"/>
          <w:lang w:val="en-US"/>
        </w:rPr>
        <w:t>pH</w:t>
      </w:r>
      <w:proofErr w:type="gramEnd"/>
      <w:r w:rsidRPr="00A87BD0">
        <w:rPr>
          <w:rFonts w:eastAsia="Times New Roman" w:cs="Arial"/>
          <w:color w:val="000000"/>
          <w:lang w:val="ru-RU"/>
        </w:rPr>
        <w:t xml:space="preserve"> </w:t>
      </w:r>
      <w:r w:rsidRPr="00A87BD0">
        <w:rPr>
          <w:rFonts w:eastAsia="Times New Roman" w:cs="Arial"/>
          <w:color w:val="000000"/>
          <w:lang w:eastAsia="bg-BG"/>
        </w:rPr>
        <w:t>на разтвора е 5-5,5.</w:t>
      </w:r>
    </w:p>
    <w:p w14:paraId="490FC2C4" w14:textId="0F4A4A75" w:rsidR="002C50EE" w:rsidRDefault="002C50EE" w:rsidP="002C50EE">
      <w:pPr>
        <w:pStyle w:val="Heading1"/>
      </w:pPr>
      <w:r>
        <w:t>4. КЛИНИЧНИ ДАННИ</w:t>
      </w:r>
    </w:p>
    <w:p w14:paraId="74330405" w14:textId="7003EE75" w:rsidR="007122AD" w:rsidRDefault="002C50EE" w:rsidP="00936AD0">
      <w:pPr>
        <w:pStyle w:val="Heading2"/>
      </w:pPr>
      <w:r>
        <w:t>4.1. Терапевтични показания</w:t>
      </w:r>
    </w:p>
    <w:p w14:paraId="61DFF9FC" w14:textId="68861F92" w:rsidR="00A87BD0" w:rsidRDefault="00A87BD0" w:rsidP="00A87BD0"/>
    <w:p w14:paraId="409F940A" w14:textId="37089DC7" w:rsidR="00A87BD0" w:rsidRPr="00A87BD0" w:rsidRDefault="00A87BD0" w:rsidP="00A87BD0">
      <w:pPr>
        <w:spacing w:line="240" w:lineRule="auto"/>
        <w:rPr>
          <w:rFonts w:eastAsia="Times New Roman" w:cs="Arial"/>
          <w:sz w:val="24"/>
          <w:szCs w:val="24"/>
        </w:rPr>
      </w:pPr>
      <w:r w:rsidRPr="00A87BD0">
        <w:rPr>
          <w:rFonts w:eastAsia="Times New Roman" w:cs="Arial"/>
          <w:i/>
          <w:iCs/>
          <w:color w:val="000000"/>
          <w:u w:val="single"/>
          <w:lang w:eastAsia="bg-BG"/>
        </w:rPr>
        <w:t>Заместваща терапия при възрастни, дена и юноши (0-18 години) при</w:t>
      </w:r>
    </w:p>
    <w:p w14:paraId="2F78FB4A" w14:textId="77777777" w:rsidR="00A87BD0" w:rsidRPr="00A87BD0" w:rsidRDefault="00A87BD0" w:rsidP="00A87BD0">
      <w:pPr>
        <w:pStyle w:val="ListParagraph"/>
        <w:numPr>
          <w:ilvl w:val="0"/>
          <w:numId w:val="37"/>
        </w:numPr>
        <w:spacing w:line="240" w:lineRule="auto"/>
        <w:rPr>
          <w:rFonts w:eastAsia="Times New Roman" w:cs="Arial"/>
          <w:color w:val="000000"/>
          <w:lang w:eastAsia="bg-BG"/>
        </w:rPr>
      </w:pPr>
      <w:r w:rsidRPr="00A87BD0">
        <w:rPr>
          <w:rFonts w:eastAsia="Times New Roman" w:cs="Arial"/>
          <w:color w:val="000000"/>
          <w:lang w:eastAsia="bg-BG"/>
        </w:rPr>
        <w:t xml:space="preserve">Синдроми на първичен имунен дефицит </w:t>
      </w:r>
      <w:r w:rsidRPr="00A87BD0">
        <w:rPr>
          <w:rFonts w:eastAsia="Times New Roman" w:cs="Arial"/>
          <w:color w:val="000000"/>
          <w:lang w:val="ru-RU"/>
        </w:rPr>
        <w:t>(</w:t>
      </w:r>
      <w:r w:rsidRPr="00A87BD0">
        <w:rPr>
          <w:rFonts w:eastAsia="Times New Roman" w:cs="Arial"/>
          <w:color w:val="000000"/>
          <w:lang w:val="en-US"/>
        </w:rPr>
        <w:t>PID</w:t>
      </w:r>
      <w:r w:rsidRPr="00A87BD0">
        <w:rPr>
          <w:rFonts w:eastAsia="Times New Roman" w:cs="Arial"/>
          <w:color w:val="000000"/>
          <w:lang w:val="ru-RU"/>
        </w:rPr>
        <w:t xml:space="preserve">) </w:t>
      </w:r>
      <w:r w:rsidRPr="00A87BD0">
        <w:rPr>
          <w:rFonts w:eastAsia="Times New Roman" w:cs="Arial"/>
          <w:color w:val="000000"/>
          <w:lang w:eastAsia="bg-BG"/>
        </w:rPr>
        <w:t>с увредена продукция на антитела (вж. точка 4.4).</w:t>
      </w:r>
    </w:p>
    <w:p w14:paraId="0A065D8A" w14:textId="67DD4A51" w:rsidR="00A87BD0" w:rsidRPr="00A87BD0" w:rsidRDefault="00A87BD0" w:rsidP="00A87BD0">
      <w:pPr>
        <w:pStyle w:val="ListParagraph"/>
        <w:numPr>
          <w:ilvl w:val="0"/>
          <w:numId w:val="37"/>
        </w:numPr>
        <w:spacing w:line="240" w:lineRule="auto"/>
        <w:rPr>
          <w:rFonts w:eastAsia="Times New Roman" w:cs="Arial"/>
          <w:color w:val="000000"/>
          <w:lang w:eastAsia="bg-BG"/>
        </w:rPr>
      </w:pPr>
      <w:r w:rsidRPr="00A87BD0">
        <w:rPr>
          <w:rFonts w:eastAsia="Times New Roman" w:cs="Arial"/>
          <w:color w:val="000000"/>
          <w:lang w:eastAsia="bg-BG"/>
        </w:rPr>
        <w:t xml:space="preserve">Вторични имунодефицити </w:t>
      </w:r>
      <w:r w:rsidRPr="00A87BD0">
        <w:rPr>
          <w:rFonts w:eastAsia="Times New Roman" w:cs="Arial"/>
          <w:color w:val="000000"/>
          <w:lang w:val="ru-RU"/>
        </w:rPr>
        <w:t>(</w:t>
      </w:r>
      <w:r w:rsidRPr="00A87BD0">
        <w:rPr>
          <w:rFonts w:eastAsia="Times New Roman" w:cs="Arial"/>
          <w:color w:val="000000"/>
          <w:lang w:val="en-US"/>
        </w:rPr>
        <w:t>SID</w:t>
      </w:r>
      <w:r w:rsidRPr="00A87BD0">
        <w:rPr>
          <w:rFonts w:eastAsia="Times New Roman" w:cs="Arial"/>
          <w:color w:val="000000"/>
          <w:lang w:val="ru-RU"/>
        </w:rPr>
        <w:t xml:space="preserve">) </w:t>
      </w:r>
      <w:r w:rsidRPr="00A87BD0">
        <w:rPr>
          <w:rFonts w:eastAsia="Times New Roman" w:cs="Arial"/>
          <w:color w:val="000000"/>
          <w:lang w:eastAsia="bg-BG"/>
        </w:rPr>
        <w:t xml:space="preserve">при пациенти, които страдат от тежки или повтарящи се инфекции, неефективно антимикробно лечение и доказана недостатъчност на специфични антитела </w:t>
      </w:r>
      <w:r w:rsidRPr="00A87BD0">
        <w:rPr>
          <w:rFonts w:eastAsia="Times New Roman" w:cs="Arial"/>
          <w:color w:val="000000"/>
          <w:lang w:val="ru-RU"/>
        </w:rPr>
        <w:t>(</w:t>
      </w:r>
      <w:r w:rsidRPr="00A87BD0">
        <w:rPr>
          <w:rFonts w:eastAsia="Times New Roman" w:cs="Arial"/>
          <w:color w:val="000000"/>
          <w:lang w:val="en-US"/>
        </w:rPr>
        <w:t>PSAF</w:t>
      </w:r>
      <w:r w:rsidRPr="00A87BD0">
        <w:rPr>
          <w:rFonts w:eastAsia="Times New Roman" w:cs="Arial"/>
          <w:color w:val="000000"/>
          <w:lang w:val="ru-RU"/>
        </w:rPr>
        <w:t xml:space="preserve">)* </w:t>
      </w:r>
      <w:r w:rsidRPr="00A87BD0">
        <w:rPr>
          <w:rFonts w:eastAsia="Times New Roman" w:cs="Arial"/>
          <w:color w:val="000000"/>
          <w:lang w:eastAsia="bg-BG"/>
        </w:rPr>
        <w:t xml:space="preserve">или серумно ниво на </w:t>
      </w:r>
      <w:r w:rsidRPr="00A87BD0">
        <w:rPr>
          <w:rFonts w:eastAsia="Times New Roman" w:cs="Arial"/>
          <w:color w:val="000000"/>
          <w:lang w:val="en-US"/>
        </w:rPr>
        <w:t>IgG</w:t>
      </w:r>
      <w:r w:rsidRPr="00A87BD0">
        <w:rPr>
          <w:rFonts w:eastAsia="Times New Roman" w:cs="Arial"/>
          <w:color w:val="000000"/>
          <w:lang w:val="ru-RU"/>
        </w:rPr>
        <w:t xml:space="preserve"> &lt;4</w:t>
      </w:r>
      <w:r w:rsidRPr="00A87BD0">
        <w:rPr>
          <w:rFonts w:eastAsia="Times New Roman" w:cs="Arial"/>
          <w:color w:val="000000"/>
          <w:lang w:val="en-US"/>
        </w:rPr>
        <w:t>g</w:t>
      </w:r>
      <w:r w:rsidRPr="00A87BD0">
        <w:rPr>
          <w:rFonts w:eastAsia="Times New Roman" w:cs="Arial"/>
          <w:color w:val="000000"/>
          <w:lang w:val="ru-RU"/>
        </w:rPr>
        <w:t>/</w:t>
      </w:r>
      <w:r w:rsidRPr="00A87BD0">
        <w:rPr>
          <w:rFonts w:eastAsia="Times New Roman" w:cs="Arial"/>
          <w:color w:val="000000"/>
          <w:lang w:val="en-US"/>
        </w:rPr>
        <w:t>l</w:t>
      </w:r>
      <w:r w:rsidRPr="00A87BD0">
        <w:rPr>
          <w:rFonts w:eastAsia="Times New Roman" w:cs="Arial"/>
          <w:color w:val="000000"/>
          <w:lang w:val="ru-RU"/>
        </w:rPr>
        <w:t>.</w:t>
      </w:r>
    </w:p>
    <w:p w14:paraId="313F20A5" w14:textId="32BC89B0" w:rsidR="00A87BD0" w:rsidRPr="00A87BD0" w:rsidRDefault="00A87BD0" w:rsidP="00A87BD0">
      <w:pPr>
        <w:pStyle w:val="ListParagraph"/>
        <w:spacing w:line="240" w:lineRule="auto"/>
        <w:rPr>
          <w:rFonts w:eastAsia="Times New Roman" w:cs="Arial"/>
          <w:color w:val="000000"/>
          <w:lang w:val="ru-RU"/>
        </w:rPr>
      </w:pPr>
      <w:r w:rsidRPr="00A87BD0">
        <w:rPr>
          <w:rFonts w:eastAsia="Times New Roman" w:cs="Arial"/>
          <w:color w:val="000000"/>
          <w:lang w:val="ru-RU"/>
        </w:rPr>
        <w:t>*</w:t>
      </w:r>
      <w:r w:rsidRPr="00A87BD0">
        <w:rPr>
          <w:rFonts w:eastAsia="Times New Roman" w:cs="Arial"/>
          <w:color w:val="000000"/>
          <w:lang w:val="en-US"/>
        </w:rPr>
        <w:t>PSAF</w:t>
      </w:r>
      <w:r w:rsidRPr="00A87BD0">
        <w:rPr>
          <w:rFonts w:eastAsia="Times New Roman" w:cs="Arial"/>
          <w:color w:val="000000"/>
          <w:lang w:val="ru-RU"/>
        </w:rPr>
        <w:t xml:space="preserve"> </w:t>
      </w:r>
      <w:r w:rsidRPr="00A87BD0">
        <w:rPr>
          <w:rFonts w:eastAsia="Times New Roman" w:cs="Arial"/>
          <w:color w:val="000000"/>
          <w:lang w:eastAsia="bg-BG"/>
        </w:rPr>
        <w:t xml:space="preserve">= неуспех да се установи поне 2-кратно повишаване на титьра на </w:t>
      </w:r>
      <w:r w:rsidRPr="00A87BD0">
        <w:rPr>
          <w:rFonts w:eastAsia="Times New Roman" w:cs="Arial"/>
          <w:color w:val="000000"/>
          <w:lang w:val="en-US"/>
        </w:rPr>
        <w:t>IgG</w:t>
      </w:r>
      <w:r w:rsidRPr="00A87BD0">
        <w:rPr>
          <w:rFonts w:eastAsia="Times New Roman" w:cs="Arial"/>
          <w:color w:val="000000"/>
          <w:lang w:val="ru-RU"/>
        </w:rPr>
        <w:t xml:space="preserve"> </w:t>
      </w:r>
      <w:r w:rsidRPr="00A87BD0">
        <w:rPr>
          <w:rFonts w:eastAsia="Times New Roman" w:cs="Arial"/>
          <w:color w:val="000000"/>
          <w:lang w:eastAsia="bg-BG"/>
        </w:rPr>
        <w:t>антитела към пневмококови полизахаридни и полипептидни антигенни ваксини</w:t>
      </w:r>
    </w:p>
    <w:p w14:paraId="7C761ADF" w14:textId="77777777" w:rsidR="00A87BD0" w:rsidRPr="00A87BD0" w:rsidRDefault="00A87BD0" w:rsidP="00A87BD0">
      <w:pPr>
        <w:rPr>
          <w:lang w:val="ru-RU"/>
        </w:rPr>
      </w:pPr>
    </w:p>
    <w:p w14:paraId="53F5B866" w14:textId="28FAD8C5" w:rsidR="007122AD" w:rsidRDefault="002C50EE" w:rsidP="00936AD0">
      <w:pPr>
        <w:pStyle w:val="Heading2"/>
      </w:pPr>
      <w:r>
        <w:t>4.2. Дозировка и начин на приложение</w:t>
      </w:r>
    </w:p>
    <w:p w14:paraId="3A5AD60F" w14:textId="49D2DBC9" w:rsidR="00A87BD0" w:rsidRDefault="00A87BD0" w:rsidP="00A87BD0"/>
    <w:p w14:paraId="093A53AF"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Заместващата терапия трябва да бъде започната и мониторирана под наблюдението на лекар с опит при лечение на имунен дефицит.</w:t>
      </w:r>
    </w:p>
    <w:p w14:paraId="375A91BC" w14:textId="77777777" w:rsidR="00A87BD0" w:rsidRPr="00A87BD0" w:rsidRDefault="00A87BD0" w:rsidP="00A87BD0">
      <w:pPr>
        <w:spacing w:line="240" w:lineRule="auto"/>
        <w:rPr>
          <w:rFonts w:eastAsia="Times New Roman" w:cs="Arial"/>
          <w:color w:val="000000"/>
          <w:u w:val="single"/>
          <w:lang w:eastAsia="bg-BG"/>
        </w:rPr>
      </w:pPr>
    </w:p>
    <w:p w14:paraId="1DA90777" w14:textId="052D5676" w:rsidR="00A87BD0" w:rsidRPr="00A87BD0" w:rsidRDefault="00A87BD0" w:rsidP="00A87BD0">
      <w:pPr>
        <w:pStyle w:val="Heading3"/>
        <w:rPr>
          <w:rFonts w:eastAsia="Times New Roman"/>
          <w:u w:val="single"/>
        </w:rPr>
      </w:pPr>
      <w:r w:rsidRPr="00A87BD0">
        <w:rPr>
          <w:rFonts w:eastAsia="Times New Roman"/>
          <w:u w:val="single"/>
          <w:lang w:eastAsia="bg-BG"/>
        </w:rPr>
        <w:t>Дозировка</w:t>
      </w:r>
    </w:p>
    <w:p w14:paraId="78901E1E"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Дозата и схемата на дозиране зависят от показанието.</w:t>
      </w:r>
    </w:p>
    <w:p w14:paraId="0E62C14B" w14:textId="77777777" w:rsidR="00A87BD0" w:rsidRPr="00A87BD0" w:rsidRDefault="00A87BD0" w:rsidP="00A87BD0">
      <w:pPr>
        <w:spacing w:line="240" w:lineRule="auto"/>
        <w:rPr>
          <w:rFonts w:eastAsia="Times New Roman" w:cs="Arial"/>
          <w:i/>
          <w:iCs/>
          <w:color w:val="000000"/>
          <w:lang w:eastAsia="bg-BG"/>
        </w:rPr>
      </w:pPr>
    </w:p>
    <w:p w14:paraId="4BE06673" w14:textId="28959ADC" w:rsidR="00A87BD0" w:rsidRPr="00A87BD0" w:rsidRDefault="00A87BD0" w:rsidP="00A87BD0">
      <w:pPr>
        <w:spacing w:line="240" w:lineRule="auto"/>
        <w:rPr>
          <w:rFonts w:eastAsia="Times New Roman" w:cs="Arial"/>
          <w:sz w:val="24"/>
          <w:szCs w:val="24"/>
        </w:rPr>
      </w:pPr>
      <w:r w:rsidRPr="00A87BD0">
        <w:rPr>
          <w:rFonts w:eastAsia="Times New Roman" w:cs="Arial"/>
          <w:i/>
          <w:iCs/>
          <w:color w:val="000000"/>
          <w:lang w:eastAsia="bg-BG"/>
        </w:rPr>
        <w:t>Заместващо лечение</w:t>
      </w:r>
    </w:p>
    <w:p w14:paraId="7AC725DC"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Лекарственият продукт трябва да се прилага подкожно.</w:t>
      </w:r>
    </w:p>
    <w:p w14:paraId="32509197" w14:textId="77777777" w:rsidR="00A87BD0" w:rsidRPr="00A87BD0" w:rsidRDefault="00A87BD0" w:rsidP="00A87BD0">
      <w:pPr>
        <w:spacing w:line="240" w:lineRule="auto"/>
        <w:rPr>
          <w:rFonts w:eastAsia="Times New Roman" w:cs="Arial"/>
          <w:color w:val="000000"/>
          <w:lang w:eastAsia="bg-BG"/>
        </w:rPr>
      </w:pPr>
    </w:p>
    <w:p w14:paraId="45047231" w14:textId="7D9E05C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При заместващо лечение, дозата следва да бъде индивидуализирана за всеки пациент в зависимост от фармакокинетичния и клиничен отговор.</w:t>
      </w:r>
    </w:p>
    <w:p w14:paraId="569D92A6"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Кутакуиг може да се прилага на редовни интервали от всеки ден до всяка втора седмица. Като насока е дадена следната схема на дозиране.</w:t>
      </w:r>
    </w:p>
    <w:p w14:paraId="62DDD2B8" w14:textId="77777777" w:rsidR="00A87BD0" w:rsidRPr="00A87BD0" w:rsidRDefault="00A87BD0" w:rsidP="00A87BD0">
      <w:pPr>
        <w:spacing w:line="240" w:lineRule="auto"/>
        <w:rPr>
          <w:rFonts w:eastAsia="Times New Roman" w:cs="Arial"/>
          <w:i/>
          <w:iCs/>
          <w:color w:val="000000"/>
          <w:lang w:eastAsia="bg-BG"/>
        </w:rPr>
      </w:pPr>
    </w:p>
    <w:p w14:paraId="760FC3C4" w14:textId="57EE0FB7" w:rsidR="00A87BD0" w:rsidRPr="00A87BD0" w:rsidRDefault="00A87BD0" w:rsidP="00A87BD0">
      <w:pPr>
        <w:spacing w:line="240" w:lineRule="auto"/>
        <w:rPr>
          <w:rFonts w:eastAsia="Times New Roman" w:cs="Arial"/>
          <w:sz w:val="24"/>
          <w:szCs w:val="24"/>
        </w:rPr>
      </w:pPr>
      <w:r w:rsidRPr="00A87BD0">
        <w:rPr>
          <w:rFonts w:eastAsia="Times New Roman" w:cs="Arial"/>
          <w:i/>
          <w:iCs/>
          <w:color w:val="000000"/>
          <w:lang w:eastAsia="bg-BG"/>
        </w:rPr>
        <w:t xml:space="preserve">Заместителна терапия при синдроми на първичен имунодефицит (както е дефинирано в 4,1) </w:t>
      </w:r>
      <w:r w:rsidRPr="00A87BD0">
        <w:rPr>
          <w:rFonts w:eastAsia="Times New Roman" w:cs="Arial"/>
          <w:color w:val="000000"/>
          <w:lang w:eastAsia="bg-BG"/>
        </w:rPr>
        <w:t xml:space="preserve">Със схемата на дозиране трябва да се постига ниво на </w:t>
      </w:r>
      <w:r w:rsidRPr="00A87BD0">
        <w:rPr>
          <w:rFonts w:eastAsia="Times New Roman" w:cs="Arial"/>
          <w:color w:val="000000"/>
          <w:lang w:val="en-US"/>
        </w:rPr>
        <w:t>IgG</w:t>
      </w:r>
      <w:r w:rsidRPr="00A87BD0">
        <w:rPr>
          <w:rFonts w:eastAsia="Times New Roman" w:cs="Arial"/>
          <w:color w:val="000000"/>
          <w:lang w:val="ru-RU"/>
        </w:rPr>
        <w:t xml:space="preserve"> </w:t>
      </w:r>
      <w:r w:rsidRPr="00A87BD0">
        <w:rPr>
          <w:rFonts w:eastAsia="Times New Roman" w:cs="Arial"/>
          <w:color w:val="000000"/>
          <w:lang w:eastAsia="bg-BG"/>
        </w:rPr>
        <w:t xml:space="preserve">(измерено преди следващата инфузия) не по-малко от 5 до 6 </w:t>
      </w:r>
      <w:r w:rsidRPr="00A87BD0">
        <w:rPr>
          <w:rFonts w:eastAsia="Times New Roman" w:cs="Arial"/>
          <w:color w:val="000000"/>
          <w:lang w:val="en-US"/>
        </w:rPr>
        <w:t>g</w:t>
      </w:r>
      <w:r w:rsidRPr="00A87BD0">
        <w:rPr>
          <w:rFonts w:eastAsia="Times New Roman" w:cs="Arial"/>
          <w:color w:val="000000"/>
          <w:lang w:val="ru-RU"/>
        </w:rPr>
        <w:t>/</w:t>
      </w:r>
      <w:r w:rsidRPr="00A87BD0">
        <w:rPr>
          <w:rFonts w:eastAsia="Times New Roman" w:cs="Arial"/>
          <w:color w:val="000000"/>
          <w:lang w:val="en-US"/>
        </w:rPr>
        <w:t>l</w:t>
      </w:r>
      <w:r w:rsidRPr="00A87BD0">
        <w:rPr>
          <w:rFonts w:eastAsia="Times New Roman" w:cs="Arial"/>
          <w:color w:val="000000"/>
          <w:lang w:val="ru-RU"/>
        </w:rPr>
        <w:t xml:space="preserve">, </w:t>
      </w:r>
      <w:r w:rsidRPr="00A87BD0">
        <w:rPr>
          <w:rFonts w:eastAsia="Times New Roman" w:cs="Arial"/>
          <w:color w:val="000000"/>
          <w:lang w:eastAsia="bg-BG"/>
        </w:rPr>
        <w:t xml:space="preserve">като целта е в референтните граници за серумен </w:t>
      </w:r>
      <w:r w:rsidRPr="00A87BD0">
        <w:rPr>
          <w:rFonts w:eastAsia="Times New Roman" w:cs="Arial"/>
          <w:color w:val="000000"/>
          <w:lang w:val="en-US"/>
        </w:rPr>
        <w:t>IgG</w:t>
      </w:r>
      <w:r w:rsidRPr="00A87BD0">
        <w:rPr>
          <w:rFonts w:eastAsia="Times New Roman" w:cs="Arial"/>
          <w:color w:val="000000"/>
          <w:lang w:val="ru-RU"/>
        </w:rPr>
        <w:t xml:space="preserve"> </w:t>
      </w:r>
      <w:r w:rsidRPr="00A87BD0">
        <w:rPr>
          <w:rFonts w:eastAsia="Times New Roman" w:cs="Arial"/>
          <w:color w:val="000000"/>
          <w:lang w:eastAsia="bg-BG"/>
        </w:rPr>
        <w:t xml:space="preserve">в зависимост от възрастта. Може да се наложи натоварваща доза от 0,2 до 0,5 </w:t>
      </w:r>
      <w:r w:rsidRPr="00A87BD0">
        <w:rPr>
          <w:rFonts w:eastAsia="Times New Roman" w:cs="Arial"/>
          <w:color w:val="000000"/>
          <w:lang w:val="en-US"/>
        </w:rPr>
        <w:t>g</w:t>
      </w:r>
      <w:r w:rsidRPr="00A87BD0">
        <w:rPr>
          <w:rFonts w:eastAsia="Times New Roman" w:cs="Arial"/>
          <w:color w:val="000000"/>
          <w:lang w:val="ru-RU"/>
        </w:rPr>
        <w:t>/</w:t>
      </w:r>
      <w:r w:rsidRPr="00A87BD0">
        <w:rPr>
          <w:rFonts w:eastAsia="Times New Roman" w:cs="Arial"/>
          <w:color w:val="000000"/>
          <w:lang w:val="en-US"/>
        </w:rPr>
        <w:t>kg</w:t>
      </w:r>
      <w:r w:rsidRPr="00A87BD0">
        <w:rPr>
          <w:rFonts w:eastAsia="Times New Roman" w:cs="Arial"/>
          <w:color w:val="000000"/>
          <w:lang w:val="ru-RU"/>
        </w:rPr>
        <w:t xml:space="preserve"> </w:t>
      </w:r>
      <w:r w:rsidRPr="00A87BD0">
        <w:rPr>
          <w:rFonts w:eastAsia="Times New Roman" w:cs="Arial"/>
          <w:color w:val="000000"/>
          <w:lang w:eastAsia="bg-BG"/>
        </w:rPr>
        <w:t xml:space="preserve">(1,2 до 3,0 </w:t>
      </w:r>
      <w:r w:rsidRPr="00A87BD0">
        <w:rPr>
          <w:rFonts w:eastAsia="Times New Roman" w:cs="Arial"/>
          <w:color w:val="000000"/>
          <w:lang w:val="en-US"/>
        </w:rPr>
        <w:t>ml</w:t>
      </w:r>
      <w:r w:rsidRPr="00A87BD0">
        <w:rPr>
          <w:rFonts w:eastAsia="Times New Roman" w:cs="Arial"/>
          <w:color w:val="000000"/>
          <w:lang w:val="ru-RU"/>
        </w:rPr>
        <w:t>/</w:t>
      </w:r>
      <w:r w:rsidRPr="00A87BD0">
        <w:rPr>
          <w:rFonts w:eastAsia="Times New Roman" w:cs="Arial"/>
          <w:color w:val="000000"/>
          <w:lang w:val="en-US"/>
        </w:rPr>
        <w:t>kg</w:t>
      </w:r>
      <w:r w:rsidRPr="00A87BD0">
        <w:rPr>
          <w:rFonts w:eastAsia="Times New Roman" w:cs="Arial"/>
          <w:color w:val="000000"/>
          <w:lang w:val="ru-RU"/>
        </w:rPr>
        <w:t xml:space="preserve">) </w:t>
      </w:r>
      <w:r w:rsidRPr="00A87BD0">
        <w:rPr>
          <w:rFonts w:eastAsia="Times New Roman" w:cs="Arial"/>
          <w:color w:val="000000"/>
          <w:lang w:eastAsia="bg-BG"/>
        </w:rPr>
        <w:t xml:space="preserve">телесно тегло. Тя може да бъде разпределена в няколко дни, при максимална дневна доза от 0,1 до 0,15 </w:t>
      </w:r>
      <w:r w:rsidRPr="00A87BD0">
        <w:rPr>
          <w:rFonts w:eastAsia="Times New Roman" w:cs="Arial"/>
          <w:color w:val="000000"/>
          <w:lang w:val="en-US"/>
        </w:rPr>
        <w:t>g</w:t>
      </w:r>
      <w:r w:rsidRPr="00A87BD0">
        <w:rPr>
          <w:rFonts w:eastAsia="Times New Roman" w:cs="Arial"/>
          <w:color w:val="000000"/>
          <w:lang w:val="ru-RU"/>
        </w:rPr>
        <w:t>/</w:t>
      </w:r>
      <w:r w:rsidRPr="00A87BD0">
        <w:rPr>
          <w:rFonts w:eastAsia="Times New Roman" w:cs="Arial"/>
          <w:color w:val="000000"/>
          <w:lang w:val="en-US"/>
        </w:rPr>
        <w:t>kg</w:t>
      </w:r>
      <w:r w:rsidRPr="00A87BD0">
        <w:rPr>
          <w:rFonts w:eastAsia="Times New Roman" w:cs="Arial"/>
          <w:color w:val="000000"/>
          <w:lang w:val="ru-RU"/>
        </w:rPr>
        <w:t>.</w:t>
      </w:r>
    </w:p>
    <w:p w14:paraId="0D28D132" w14:textId="77777777" w:rsidR="00A87BD0" w:rsidRPr="00A87BD0" w:rsidRDefault="00A87BD0" w:rsidP="00A87BD0">
      <w:pPr>
        <w:spacing w:line="240" w:lineRule="auto"/>
        <w:rPr>
          <w:rFonts w:eastAsia="Times New Roman" w:cs="Arial"/>
          <w:color w:val="000000"/>
          <w:lang w:eastAsia="bg-BG"/>
        </w:rPr>
      </w:pPr>
    </w:p>
    <w:p w14:paraId="55D631C2" w14:textId="72E9C49E"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След постигане на равновесие, нивата на </w:t>
      </w:r>
      <w:r w:rsidRPr="00A87BD0">
        <w:rPr>
          <w:rFonts w:eastAsia="Times New Roman" w:cs="Arial"/>
          <w:color w:val="000000"/>
          <w:lang w:val="en-US"/>
        </w:rPr>
        <w:t>IgG</w:t>
      </w:r>
      <w:r w:rsidRPr="00A87BD0">
        <w:rPr>
          <w:rFonts w:eastAsia="Times New Roman" w:cs="Arial"/>
          <w:color w:val="000000"/>
          <w:lang w:val="ru-RU"/>
        </w:rPr>
        <w:t xml:space="preserve"> </w:t>
      </w:r>
      <w:r w:rsidRPr="00A87BD0">
        <w:rPr>
          <w:rFonts w:eastAsia="Times New Roman" w:cs="Arial"/>
          <w:color w:val="000000"/>
          <w:lang w:eastAsia="bg-BG"/>
        </w:rPr>
        <w:t xml:space="preserve">трябва да се задържат, поддържащата доза се прилага през равни интервали за достигане на кумулативна месечна доза от 0,4-0,8 </w:t>
      </w:r>
      <w:r w:rsidRPr="00A87BD0">
        <w:rPr>
          <w:rFonts w:eastAsia="Times New Roman" w:cs="Arial"/>
          <w:color w:val="000000"/>
          <w:lang w:val="en-US"/>
        </w:rPr>
        <w:t>g</w:t>
      </w:r>
      <w:r w:rsidRPr="00A87BD0">
        <w:rPr>
          <w:rFonts w:eastAsia="Times New Roman" w:cs="Arial"/>
          <w:color w:val="000000"/>
          <w:lang w:val="ru-RU"/>
        </w:rPr>
        <w:t>/</w:t>
      </w:r>
      <w:r w:rsidRPr="00A87BD0">
        <w:rPr>
          <w:rFonts w:eastAsia="Times New Roman" w:cs="Arial"/>
          <w:color w:val="000000"/>
          <w:lang w:val="en-US"/>
        </w:rPr>
        <w:t>kg</w:t>
      </w:r>
      <w:r w:rsidRPr="00A87BD0">
        <w:rPr>
          <w:rFonts w:eastAsia="Times New Roman" w:cs="Arial"/>
          <w:color w:val="000000"/>
          <w:lang w:val="ru-RU"/>
        </w:rPr>
        <w:t xml:space="preserve"> </w:t>
      </w:r>
      <w:r w:rsidRPr="00A87BD0">
        <w:rPr>
          <w:rFonts w:eastAsia="Times New Roman" w:cs="Arial"/>
          <w:color w:val="000000"/>
          <w:lang w:eastAsia="bg-BG"/>
        </w:rPr>
        <w:t xml:space="preserve">(2,4 до 4,8 </w:t>
      </w:r>
      <w:r w:rsidRPr="00A87BD0">
        <w:rPr>
          <w:rFonts w:eastAsia="Times New Roman" w:cs="Arial"/>
          <w:color w:val="000000"/>
          <w:lang w:val="en-US"/>
        </w:rPr>
        <w:t>ml</w:t>
      </w:r>
      <w:r w:rsidRPr="00A87BD0">
        <w:rPr>
          <w:rFonts w:eastAsia="Times New Roman" w:cs="Arial"/>
          <w:color w:val="000000"/>
          <w:lang w:val="ru-RU"/>
        </w:rPr>
        <w:t>/</w:t>
      </w:r>
      <w:r w:rsidRPr="00A87BD0">
        <w:rPr>
          <w:rFonts w:eastAsia="Times New Roman" w:cs="Arial"/>
          <w:color w:val="000000"/>
          <w:lang w:val="en-US"/>
        </w:rPr>
        <w:t>kg</w:t>
      </w:r>
      <w:r w:rsidRPr="00A87BD0">
        <w:rPr>
          <w:rFonts w:eastAsia="Times New Roman" w:cs="Arial"/>
          <w:color w:val="000000"/>
          <w:lang w:val="ru-RU"/>
        </w:rPr>
        <w:t xml:space="preserve">). </w:t>
      </w:r>
      <w:r w:rsidRPr="00A87BD0">
        <w:rPr>
          <w:rFonts w:eastAsia="Times New Roman" w:cs="Arial"/>
          <w:color w:val="000000"/>
          <w:lang w:eastAsia="bg-BG"/>
        </w:rPr>
        <w:t>Може да се наложи всяка отделна доза да се инжектира в различно анатомично място.</w:t>
      </w:r>
    </w:p>
    <w:p w14:paraId="5725CABB" w14:textId="77777777" w:rsidR="00A87BD0" w:rsidRPr="00A87BD0" w:rsidRDefault="00A87BD0" w:rsidP="00A87BD0">
      <w:pPr>
        <w:spacing w:line="240" w:lineRule="auto"/>
        <w:rPr>
          <w:rFonts w:eastAsia="Times New Roman" w:cs="Arial"/>
          <w:color w:val="000000"/>
          <w:lang w:eastAsia="bg-BG"/>
        </w:rPr>
      </w:pPr>
    </w:p>
    <w:p w14:paraId="153FCD8D" w14:textId="71EE1EF0"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Трябва да се определят междинните нива и да се оценяват в зависимост от честотата на инфекцията. За да се намали честотата на инфекцията, може да се наложи да се повиши дозата, като целта е да се постигнат по-високи междинни нива.</w:t>
      </w:r>
    </w:p>
    <w:p w14:paraId="1626F55C" w14:textId="77777777" w:rsidR="00A87BD0" w:rsidRPr="00A87BD0" w:rsidRDefault="00A87BD0" w:rsidP="00A87BD0">
      <w:pPr>
        <w:spacing w:line="240" w:lineRule="auto"/>
        <w:rPr>
          <w:rFonts w:eastAsia="Times New Roman" w:cs="Arial"/>
          <w:i/>
          <w:iCs/>
          <w:color w:val="000000"/>
          <w:lang w:eastAsia="bg-BG"/>
        </w:rPr>
      </w:pPr>
    </w:p>
    <w:p w14:paraId="4BBD472E" w14:textId="5FDF575A" w:rsidR="00A87BD0" w:rsidRPr="00A87BD0" w:rsidRDefault="00A87BD0" w:rsidP="00A87BD0">
      <w:pPr>
        <w:spacing w:line="240" w:lineRule="auto"/>
        <w:rPr>
          <w:rFonts w:eastAsia="Times New Roman" w:cs="Arial"/>
          <w:sz w:val="24"/>
          <w:szCs w:val="24"/>
        </w:rPr>
      </w:pPr>
      <w:r w:rsidRPr="00A87BD0">
        <w:rPr>
          <w:rFonts w:eastAsia="Times New Roman" w:cs="Arial"/>
          <w:i/>
          <w:iCs/>
          <w:color w:val="000000"/>
          <w:lang w:eastAsia="bg-BG"/>
        </w:rPr>
        <w:lastRenderedPageBreak/>
        <w:t xml:space="preserve">Заместителна терапия при вторични имунодефицити (както е дефинирано в 4.1.) </w:t>
      </w:r>
      <w:r w:rsidRPr="00A87BD0">
        <w:rPr>
          <w:rFonts w:eastAsia="Times New Roman" w:cs="Arial"/>
          <w:color w:val="000000"/>
          <w:lang w:eastAsia="bg-BG"/>
        </w:rPr>
        <w:t xml:space="preserve">Препоръчителната доза, прилагана на повтарящи се интервали (приблизително веднъж седмично), е да се достигне кумулативна месечна доза от порядъка на 0,2-0,4 </w:t>
      </w:r>
      <w:r w:rsidRPr="00A87BD0">
        <w:rPr>
          <w:rFonts w:eastAsia="Times New Roman" w:cs="Arial"/>
          <w:color w:val="000000"/>
          <w:lang w:val="en-US"/>
        </w:rPr>
        <w:t>g</w:t>
      </w:r>
      <w:r w:rsidRPr="00A87BD0">
        <w:rPr>
          <w:rFonts w:eastAsia="Times New Roman" w:cs="Arial"/>
          <w:color w:val="000000"/>
          <w:lang w:val="ru-RU"/>
        </w:rPr>
        <w:t>/</w:t>
      </w:r>
      <w:r w:rsidRPr="00A87BD0">
        <w:rPr>
          <w:rFonts w:eastAsia="Times New Roman" w:cs="Arial"/>
          <w:color w:val="000000"/>
          <w:lang w:val="en-US"/>
        </w:rPr>
        <w:t>kg</w:t>
      </w:r>
      <w:r w:rsidRPr="00A87BD0">
        <w:rPr>
          <w:rFonts w:eastAsia="Times New Roman" w:cs="Arial"/>
          <w:color w:val="000000"/>
          <w:lang w:val="ru-RU"/>
        </w:rPr>
        <w:t xml:space="preserve"> </w:t>
      </w:r>
      <w:r w:rsidRPr="00A87BD0">
        <w:rPr>
          <w:rFonts w:eastAsia="Times New Roman" w:cs="Arial"/>
          <w:color w:val="000000"/>
          <w:lang w:eastAsia="bg-BG"/>
        </w:rPr>
        <w:t xml:space="preserve">(1,2 - 2,4 </w:t>
      </w:r>
      <w:r w:rsidRPr="00A87BD0">
        <w:rPr>
          <w:rFonts w:eastAsia="Times New Roman" w:cs="Arial"/>
          <w:color w:val="000000"/>
          <w:lang w:val="en-US"/>
        </w:rPr>
        <w:t>ml</w:t>
      </w:r>
      <w:r w:rsidRPr="00A87BD0">
        <w:rPr>
          <w:rFonts w:eastAsia="Times New Roman" w:cs="Arial"/>
          <w:color w:val="000000"/>
          <w:lang w:val="ru-RU"/>
        </w:rPr>
        <w:t>/</w:t>
      </w:r>
      <w:r w:rsidRPr="00A87BD0">
        <w:rPr>
          <w:rFonts w:eastAsia="Times New Roman" w:cs="Arial"/>
          <w:color w:val="000000"/>
          <w:lang w:val="en-US"/>
        </w:rPr>
        <w:t>kg</w:t>
      </w:r>
      <w:r w:rsidRPr="00A87BD0">
        <w:rPr>
          <w:rFonts w:eastAsia="Times New Roman" w:cs="Arial"/>
          <w:color w:val="000000"/>
          <w:lang w:val="ru-RU"/>
        </w:rPr>
        <w:t xml:space="preserve">). </w:t>
      </w:r>
      <w:r w:rsidRPr="00A87BD0">
        <w:rPr>
          <w:rFonts w:eastAsia="Times New Roman" w:cs="Arial"/>
          <w:color w:val="000000"/>
          <w:lang w:eastAsia="bg-BG"/>
        </w:rPr>
        <w:t>Всяка единична доза може да се наложи да се инжектира на различни анатомични</w:t>
      </w:r>
    </w:p>
    <w:p w14:paraId="376088F4"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места.</w:t>
      </w:r>
    </w:p>
    <w:p w14:paraId="54F86EDD" w14:textId="77777777" w:rsidR="00A87BD0" w:rsidRPr="00A87BD0" w:rsidRDefault="00A87BD0" w:rsidP="00A87BD0">
      <w:pPr>
        <w:spacing w:line="240" w:lineRule="auto"/>
        <w:rPr>
          <w:rFonts w:eastAsia="Times New Roman" w:cs="Arial"/>
          <w:color w:val="000000"/>
          <w:lang w:eastAsia="bg-BG"/>
        </w:rPr>
      </w:pPr>
    </w:p>
    <w:p w14:paraId="4245B6D6" w14:textId="77777777" w:rsidR="00A87BD0" w:rsidRPr="00A87BD0" w:rsidRDefault="00A87BD0" w:rsidP="00A87BD0">
      <w:pPr>
        <w:rPr>
          <w:rFonts w:eastAsia="Times New Roman" w:cs="Arial"/>
          <w:sz w:val="24"/>
          <w:szCs w:val="24"/>
        </w:rPr>
      </w:pPr>
      <w:r w:rsidRPr="00A87BD0">
        <w:rPr>
          <w:rFonts w:eastAsia="Times New Roman" w:cs="Arial"/>
          <w:color w:val="000000"/>
          <w:lang w:eastAsia="bg-BG"/>
        </w:rPr>
        <w:t xml:space="preserve">Най-ниските нива на </w:t>
      </w:r>
      <w:r w:rsidRPr="00A87BD0">
        <w:rPr>
          <w:rFonts w:eastAsia="Times New Roman" w:cs="Arial"/>
          <w:color w:val="000000"/>
          <w:lang w:val="en-US"/>
        </w:rPr>
        <w:t>IgG</w:t>
      </w:r>
      <w:r w:rsidRPr="00A87BD0">
        <w:rPr>
          <w:rFonts w:eastAsia="Times New Roman" w:cs="Arial"/>
          <w:color w:val="000000"/>
          <w:lang w:val="ru-RU"/>
        </w:rPr>
        <w:t xml:space="preserve"> </w:t>
      </w:r>
      <w:r w:rsidRPr="00A87BD0">
        <w:rPr>
          <w:rFonts w:eastAsia="Times New Roman" w:cs="Arial"/>
          <w:color w:val="000000"/>
          <w:lang w:eastAsia="bg-BG"/>
        </w:rPr>
        <w:t>трябва да се измерват и оценяват във връзка с честотата на</w:t>
      </w:r>
      <w:r w:rsidRPr="00A87BD0">
        <w:rPr>
          <w:rFonts w:eastAsia="Times New Roman" w:cs="Arial"/>
          <w:smallCaps/>
          <w:color w:val="000000"/>
          <w:sz w:val="16"/>
          <w:szCs w:val="16"/>
          <w:u w:val="single"/>
          <w:lang w:eastAsia="bg-BG"/>
        </w:rPr>
        <w:t xml:space="preserve"> </w:t>
      </w:r>
      <w:r w:rsidRPr="00A87BD0">
        <w:rPr>
          <w:rFonts w:eastAsia="Times New Roman" w:cs="Arial"/>
          <w:color w:val="000000"/>
          <w:lang w:eastAsia="bg-BG"/>
        </w:rPr>
        <w:t>инфекцията. Дозата трябва да се коригира, ако е необходимо, за да се постигне оптималната защита срещу инфекции, може да е необходимо увеличение при пациенти с персистираща инфекция; може да е необходимо намаляване на дозата, когато пациентът остане свободен от инфекция.</w:t>
      </w:r>
    </w:p>
    <w:p w14:paraId="0B6AFD66" w14:textId="77777777" w:rsidR="00A87BD0" w:rsidRPr="00A87BD0" w:rsidRDefault="00A87BD0" w:rsidP="00A87BD0">
      <w:pPr>
        <w:spacing w:line="240" w:lineRule="auto"/>
        <w:rPr>
          <w:rFonts w:eastAsia="Times New Roman" w:cs="Arial"/>
          <w:i/>
          <w:iCs/>
          <w:color w:val="000000"/>
          <w:lang w:eastAsia="bg-BG"/>
        </w:rPr>
      </w:pPr>
    </w:p>
    <w:p w14:paraId="0783F727" w14:textId="3626D94C" w:rsidR="00A87BD0" w:rsidRPr="00A87BD0" w:rsidRDefault="00A87BD0" w:rsidP="00A87BD0">
      <w:pPr>
        <w:spacing w:line="240" w:lineRule="auto"/>
        <w:rPr>
          <w:rFonts w:eastAsia="Times New Roman" w:cs="Arial"/>
          <w:sz w:val="24"/>
          <w:szCs w:val="24"/>
        </w:rPr>
      </w:pPr>
      <w:r w:rsidRPr="00A87BD0">
        <w:rPr>
          <w:rFonts w:eastAsia="Times New Roman" w:cs="Arial"/>
          <w:i/>
          <w:iCs/>
          <w:color w:val="000000"/>
          <w:lang w:eastAsia="bg-BG"/>
        </w:rPr>
        <w:t>Педиатрична популация</w:t>
      </w:r>
    </w:p>
    <w:p w14:paraId="6CAD4A9D"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Дозировката при деца и юноши (0-18 години) не се различава от тази при възрастни, като дозировката за всяко показание се определя от телесното тегло и се коригира според клиничните резултати в показанията за заместващо лечение.</w:t>
      </w:r>
    </w:p>
    <w:p w14:paraId="4F1452C2"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Кутакуиг е оценен при 38 педиатрични участници (26 деца [на възраст между 2 и&lt;12 години] и 12 юноши [на възраст между 12 и &lt;16 години]) с първично имунодефицитно заболяване. Не се налагат педиатрично-специфични изисквания към дозата за постигане на желаните серумни нива на </w:t>
      </w:r>
      <w:r w:rsidRPr="00A87BD0">
        <w:rPr>
          <w:rFonts w:eastAsia="Times New Roman" w:cs="Arial"/>
          <w:color w:val="000000"/>
          <w:lang w:val="en-US"/>
        </w:rPr>
        <w:t>IgG</w:t>
      </w:r>
      <w:r w:rsidRPr="00A87BD0">
        <w:rPr>
          <w:rFonts w:eastAsia="Times New Roman" w:cs="Arial"/>
          <w:color w:val="000000"/>
          <w:lang w:val="ru-RU"/>
        </w:rPr>
        <w:t>.</w:t>
      </w:r>
    </w:p>
    <w:p w14:paraId="5107B4E4" w14:textId="77777777" w:rsidR="00A87BD0" w:rsidRPr="00A87BD0" w:rsidRDefault="00A87BD0" w:rsidP="00A87BD0">
      <w:pPr>
        <w:spacing w:line="240" w:lineRule="auto"/>
        <w:rPr>
          <w:rFonts w:eastAsia="Times New Roman" w:cs="Arial"/>
          <w:i/>
          <w:iCs/>
          <w:color w:val="000000"/>
          <w:lang w:eastAsia="bg-BG"/>
        </w:rPr>
      </w:pPr>
    </w:p>
    <w:p w14:paraId="59B7C1B4" w14:textId="2287DBCB" w:rsidR="00A87BD0" w:rsidRPr="00A87BD0" w:rsidRDefault="00A87BD0" w:rsidP="00A87BD0">
      <w:pPr>
        <w:spacing w:line="240" w:lineRule="auto"/>
        <w:rPr>
          <w:rFonts w:eastAsia="Times New Roman" w:cs="Arial"/>
          <w:sz w:val="24"/>
          <w:szCs w:val="24"/>
        </w:rPr>
      </w:pPr>
      <w:r w:rsidRPr="00A87BD0">
        <w:rPr>
          <w:rFonts w:eastAsia="Times New Roman" w:cs="Arial"/>
          <w:i/>
          <w:iCs/>
          <w:color w:val="000000"/>
          <w:lang w:eastAsia="bg-BG"/>
        </w:rPr>
        <w:t>Популация в напреднала възраст</w:t>
      </w:r>
    </w:p>
    <w:p w14:paraId="798EFF70"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Тъй като дозата е определяна от телесното тегло и коригирана според клиничните резултати при споменатите по-горе състояния, дозата при популацията в напреднала възраст не се счита за различна от тази за участници на възраст 18 до 65 години. В клинично изпитване Кутакуиг е оценяван при 3 пациенти на възраст над 65 години. Не се налагат специфични изисквания към дозата за постигане на желаните серумни нива на </w:t>
      </w:r>
      <w:r w:rsidRPr="00A87BD0">
        <w:rPr>
          <w:rFonts w:eastAsia="Times New Roman" w:cs="Arial"/>
          <w:color w:val="000000"/>
          <w:lang w:val="en-US"/>
        </w:rPr>
        <w:t>IgG</w:t>
      </w:r>
      <w:r w:rsidRPr="00A87BD0">
        <w:rPr>
          <w:rFonts w:eastAsia="Times New Roman" w:cs="Arial"/>
          <w:color w:val="000000"/>
          <w:lang w:val="ru-RU"/>
        </w:rPr>
        <w:t>.</w:t>
      </w:r>
    </w:p>
    <w:p w14:paraId="107E3CE6" w14:textId="77777777" w:rsidR="00A87BD0" w:rsidRPr="00A87BD0" w:rsidRDefault="00A87BD0" w:rsidP="00A87BD0">
      <w:pPr>
        <w:spacing w:line="240" w:lineRule="auto"/>
        <w:rPr>
          <w:rFonts w:eastAsia="Times New Roman" w:cs="Arial"/>
          <w:color w:val="000000"/>
          <w:u w:val="single"/>
          <w:lang w:eastAsia="bg-BG"/>
        </w:rPr>
      </w:pPr>
    </w:p>
    <w:p w14:paraId="7DEA5ED9" w14:textId="2FB366DF" w:rsidR="00A87BD0" w:rsidRPr="00A87BD0" w:rsidRDefault="00A87BD0" w:rsidP="00A87BD0">
      <w:pPr>
        <w:pStyle w:val="Heading3"/>
        <w:rPr>
          <w:rFonts w:eastAsia="Times New Roman"/>
          <w:u w:val="single"/>
        </w:rPr>
      </w:pPr>
      <w:r w:rsidRPr="00A87BD0">
        <w:rPr>
          <w:rFonts w:eastAsia="Times New Roman"/>
          <w:u w:val="single"/>
          <w:lang w:eastAsia="bg-BG"/>
        </w:rPr>
        <w:t>Начин на приложение</w:t>
      </w:r>
    </w:p>
    <w:p w14:paraId="2345B214"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Само за подкожно приложение.</w:t>
      </w:r>
    </w:p>
    <w:p w14:paraId="683D5A12" w14:textId="77777777" w:rsidR="00A87BD0" w:rsidRPr="00A87BD0" w:rsidRDefault="00A87BD0" w:rsidP="00A87BD0">
      <w:pPr>
        <w:spacing w:line="240" w:lineRule="auto"/>
        <w:rPr>
          <w:rFonts w:eastAsia="Times New Roman" w:cs="Arial"/>
          <w:color w:val="000000"/>
          <w:lang w:eastAsia="bg-BG"/>
        </w:rPr>
      </w:pPr>
    </w:p>
    <w:p w14:paraId="43CD7DDC" w14:textId="55F30CC2"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Подкожната инфузия при домашно лечение следва да се започне и наблюдава от лекар- специалист с опит в лечението на пациенти в домашни условия. Пациентът и/или лицето, което се грижи за него, трябва да бъде инструктиран за използването на устройството за инфузия, инфузионните техники, асептичната техника за работа, воденето на дневник за лечение, разпознаването и мерките, които трябва да се предприемат в случай на тежки нежелани реакции.</w:t>
      </w:r>
    </w:p>
    <w:p w14:paraId="4FFC5247" w14:textId="77777777" w:rsidR="00A87BD0" w:rsidRPr="00A87BD0" w:rsidRDefault="00A87BD0" w:rsidP="00A87BD0">
      <w:pPr>
        <w:spacing w:line="240" w:lineRule="auto"/>
        <w:rPr>
          <w:rFonts w:eastAsia="Times New Roman" w:cs="Arial"/>
          <w:color w:val="000000"/>
          <w:lang w:eastAsia="bg-BG"/>
        </w:rPr>
      </w:pPr>
    </w:p>
    <w:p w14:paraId="3D623D89" w14:textId="34482D3D"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Кутакуиг може да се инжектира в места като корем, бедро, горната част на ръката и странично бедро.</w:t>
      </w:r>
    </w:p>
    <w:p w14:paraId="0CF52990" w14:textId="77777777" w:rsidR="00A87BD0" w:rsidRPr="00A87BD0" w:rsidRDefault="00A87BD0" w:rsidP="00A87BD0">
      <w:pPr>
        <w:spacing w:line="240" w:lineRule="auto"/>
        <w:rPr>
          <w:rFonts w:eastAsia="Times New Roman" w:cs="Arial"/>
          <w:color w:val="000000"/>
          <w:u w:val="single"/>
          <w:lang w:eastAsia="bg-BG"/>
        </w:rPr>
      </w:pPr>
    </w:p>
    <w:p w14:paraId="7CDF77B9" w14:textId="14B55E73" w:rsidR="00A87BD0" w:rsidRPr="00A87BD0" w:rsidRDefault="00A87BD0" w:rsidP="00A87BD0">
      <w:pPr>
        <w:spacing w:line="240" w:lineRule="auto"/>
        <w:rPr>
          <w:rFonts w:eastAsia="Times New Roman" w:cs="Arial"/>
          <w:sz w:val="24"/>
          <w:szCs w:val="24"/>
        </w:rPr>
      </w:pPr>
      <w:r w:rsidRPr="00A87BD0">
        <w:rPr>
          <w:rFonts w:eastAsia="Times New Roman" w:cs="Arial"/>
          <w:color w:val="000000"/>
          <w:u w:val="single"/>
          <w:lang w:eastAsia="bg-BG"/>
        </w:rPr>
        <w:t>Скорост на инфузиране</w:t>
      </w:r>
    </w:p>
    <w:p w14:paraId="2400F4F0"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Коригирането на скоростта на инфузията и обема на инфузията според мястото на приложение се основават на поносимостта на пациента.</w:t>
      </w:r>
    </w:p>
    <w:p w14:paraId="53C1510F"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Препоръчва се да се използва начална скорост на приложение от 15 </w:t>
      </w:r>
      <w:r w:rsidRPr="00A87BD0">
        <w:rPr>
          <w:rFonts w:eastAsia="Times New Roman" w:cs="Arial"/>
          <w:color w:val="000000"/>
          <w:lang w:val="en-US"/>
        </w:rPr>
        <w:t>ml</w:t>
      </w:r>
      <w:r w:rsidRPr="00A87BD0">
        <w:rPr>
          <w:rFonts w:eastAsia="Times New Roman" w:cs="Arial"/>
          <w:color w:val="000000"/>
          <w:lang w:val="ru-RU"/>
        </w:rPr>
        <w:t>/</w:t>
      </w:r>
      <w:r w:rsidRPr="00A87BD0">
        <w:rPr>
          <w:rFonts w:eastAsia="Times New Roman" w:cs="Arial"/>
          <w:color w:val="000000"/>
          <w:lang w:val="en-US"/>
        </w:rPr>
        <w:t>h</w:t>
      </w:r>
      <w:r w:rsidRPr="00A87BD0">
        <w:rPr>
          <w:rFonts w:eastAsia="Times New Roman" w:cs="Arial"/>
          <w:color w:val="000000"/>
          <w:lang w:eastAsia="bg-BG"/>
        </w:rPr>
        <w:t xml:space="preserve">/място. При инфузия 7 и следващи, ако се понасят добре (вж. точка 4.4), скоростта на инфузия може постепенно да се увеличи до 25 </w:t>
      </w:r>
      <w:r w:rsidRPr="00A87BD0">
        <w:rPr>
          <w:rFonts w:eastAsia="Times New Roman" w:cs="Arial"/>
          <w:color w:val="000000"/>
          <w:lang w:val="en-US"/>
        </w:rPr>
        <w:t>ml</w:t>
      </w:r>
      <w:r w:rsidRPr="00A87BD0">
        <w:rPr>
          <w:rFonts w:eastAsia="Times New Roman" w:cs="Arial"/>
          <w:color w:val="000000"/>
          <w:lang w:val="ru-RU"/>
        </w:rPr>
        <w:t>/</w:t>
      </w:r>
      <w:r w:rsidRPr="00A87BD0">
        <w:rPr>
          <w:rFonts w:eastAsia="Times New Roman" w:cs="Arial"/>
          <w:color w:val="000000"/>
          <w:lang w:val="en-US"/>
        </w:rPr>
        <w:t>h</w:t>
      </w:r>
      <w:r w:rsidRPr="00A87BD0">
        <w:rPr>
          <w:rFonts w:eastAsia="Times New Roman" w:cs="Arial"/>
          <w:color w:val="000000"/>
          <w:lang w:eastAsia="bg-BG"/>
        </w:rPr>
        <w:t>/място.</w:t>
      </w:r>
    </w:p>
    <w:p w14:paraId="3A4F9D4B"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lastRenderedPageBreak/>
        <w:t xml:space="preserve">Препоръчителна скорост на инфузия на час за всички места, комбинирана: 30 </w:t>
      </w:r>
      <w:r w:rsidRPr="00A87BD0">
        <w:rPr>
          <w:rFonts w:eastAsia="Times New Roman" w:cs="Arial"/>
          <w:color w:val="000000"/>
          <w:lang w:val="en-US"/>
        </w:rPr>
        <w:t>ml</w:t>
      </w:r>
      <w:r w:rsidRPr="00A87BD0">
        <w:rPr>
          <w:rFonts w:eastAsia="Times New Roman" w:cs="Arial"/>
          <w:color w:val="000000"/>
          <w:lang w:val="ru-RU"/>
        </w:rPr>
        <w:t>/</w:t>
      </w:r>
      <w:r w:rsidRPr="00A87BD0">
        <w:rPr>
          <w:rFonts w:eastAsia="Times New Roman" w:cs="Arial"/>
          <w:color w:val="000000"/>
          <w:lang w:val="en-US"/>
        </w:rPr>
        <w:t>h</w:t>
      </w:r>
      <w:r w:rsidRPr="00A87BD0">
        <w:rPr>
          <w:rFonts w:eastAsia="Times New Roman" w:cs="Arial"/>
          <w:color w:val="000000"/>
          <w:lang w:val="ru-RU"/>
        </w:rPr>
        <w:t xml:space="preserve"> </w:t>
      </w:r>
      <w:r w:rsidRPr="00A87BD0">
        <w:rPr>
          <w:rFonts w:eastAsia="Times New Roman" w:cs="Arial"/>
          <w:color w:val="000000"/>
          <w:lang w:eastAsia="bg-BG"/>
        </w:rPr>
        <w:t xml:space="preserve">за първите 6 инфузии, след това постепенно повишаване до 50 </w:t>
      </w:r>
      <w:r w:rsidRPr="00A87BD0">
        <w:rPr>
          <w:rFonts w:eastAsia="Times New Roman" w:cs="Arial"/>
          <w:color w:val="000000"/>
          <w:lang w:val="en-US"/>
        </w:rPr>
        <w:t>ml</w:t>
      </w:r>
      <w:r w:rsidRPr="00A87BD0">
        <w:rPr>
          <w:rFonts w:eastAsia="Times New Roman" w:cs="Arial"/>
          <w:color w:val="000000"/>
          <w:lang w:val="ru-RU"/>
        </w:rPr>
        <w:t>/</w:t>
      </w:r>
      <w:r w:rsidRPr="00A87BD0">
        <w:rPr>
          <w:rFonts w:eastAsia="Times New Roman" w:cs="Arial"/>
          <w:color w:val="000000"/>
          <w:lang w:val="en-US"/>
        </w:rPr>
        <w:t>h</w:t>
      </w:r>
      <w:r w:rsidRPr="00A87BD0">
        <w:rPr>
          <w:rFonts w:eastAsia="Times New Roman" w:cs="Arial"/>
          <w:color w:val="000000"/>
          <w:lang w:val="ru-RU"/>
        </w:rPr>
        <w:t xml:space="preserve"> </w:t>
      </w:r>
      <w:r w:rsidRPr="00A87BD0">
        <w:rPr>
          <w:rFonts w:eastAsia="Times New Roman" w:cs="Arial"/>
          <w:color w:val="000000"/>
          <w:lang w:eastAsia="bg-BG"/>
        </w:rPr>
        <w:t xml:space="preserve">и ако се понася добре - до 80 </w:t>
      </w:r>
      <w:r w:rsidRPr="00A87BD0">
        <w:rPr>
          <w:rFonts w:eastAsia="Times New Roman" w:cs="Arial"/>
          <w:color w:val="000000"/>
          <w:lang w:val="en-US"/>
        </w:rPr>
        <w:t>ml</w:t>
      </w:r>
      <w:r w:rsidRPr="00A87BD0">
        <w:rPr>
          <w:rFonts w:eastAsia="Times New Roman" w:cs="Arial"/>
          <w:color w:val="000000"/>
          <w:lang w:val="ru-RU"/>
        </w:rPr>
        <w:t>/</w:t>
      </w:r>
      <w:r w:rsidRPr="00A87BD0">
        <w:rPr>
          <w:rFonts w:eastAsia="Times New Roman" w:cs="Arial"/>
          <w:color w:val="000000"/>
          <w:lang w:val="en-US"/>
        </w:rPr>
        <w:t>h</w:t>
      </w:r>
      <w:r w:rsidRPr="00A87BD0">
        <w:rPr>
          <w:rFonts w:eastAsia="Times New Roman" w:cs="Arial"/>
          <w:color w:val="000000"/>
          <w:lang w:val="ru-RU"/>
        </w:rPr>
        <w:t xml:space="preserve">. </w:t>
      </w:r>
      <w:r w:rsidRPr="00A87BD0">
        <w:rPr>
          <w:rFonts w:eastAsia="Times New Roman" w:cs="Arial"/>
          <w:color w:val="000000"/>
          <w:lang w:eastAsia="bg-BG"/>
        </w:rPr>
        <w:t>Едновременно може да се използват повече от едно устройство за инфузия.</w:t>
      </w:r>
    </w:p>
    <w:p w14:paraId="34DBCCC3" w14:textId="77777777" w:rsidR="00A87BD0" w:rsidRPr="00A87BD0" w:rsidRDefault="00A87BD0" w:rsidP="00A87BD0">
      <w:pPr>
        <w:spacing w:line="240" w:lineRule="auto"/>
        <w:rPr>
          <w:rFonts w:eastAsia="Times New Roman" w:cs="Arial"/>
          <w:color w:val="000000"/>
          <w:u w:val="single"/>
          <w:lang w:eastAsia="bg-BG"/>
        </w:rPr>
      </w:pPr>
    </w:p>
    <w:p w14:paraId="1B520EDB" w14:textId="1DED54D2" w:rsidR="00A87BD0" w:rsidRPr="00A87BD0" w:rsidRDefault="00A87BD0" w:rsidP="00A87BD0">
      <w:pPr>
        <w:spacing w:line="240" w:lineRule="auto"/>
        <w:rPr>
          <w:rFonts w:eastAsia="Times New Roman" w:cs="Arial"/>
          <w:sz w:val="24"/>
          <w:szCs w:val="24"/>
        </w:rPr>
      </w:pPr>
      <w:r w:rsidRPr="00A87BD0">
        <w:rPr>
          <w:rFonts w:eastAsia="Times New Roman" w:cs="Arial"/>
          <w:color w:val="000000"/>
          <w:u w:val="single"/>
          <w:lang w:eastAsia="bg-BG"/>
        </w:rPr>
        <w:t>Обем на инфузията според място на приложение</w:t>
      </w:r>
    </w:p>
    <w:p w14:paraId="36109B69" w14:textId="77777777" w:rsidR="00A87BD0" w:rsidRPr="00A87BD0" w:rsidRDefault="00A87BD0" w:rsidP="00A87BD0">
      <w:pPr>
        <w:spacing w:line="240" w:lineRule="auto"/>
        <w:rPr>
          <w:rFonts w:ascii="Times New Roman" w:eastAsia="Times New Roman" w:hAnsi="Times New Roman" w:cs="Times New Roman"/>
          <w:sz w:val="24"/>
          <w:szCs w:val="24"/>
        </w:rPr>
      </w:pPr>
      <w:r w:rsidRPr="00A87BD0">
        <w:rPr>
          <w:rFonts w:eastAsia="Times New Roman" w:cs="Arial"/>
          <w:color w:val="000000"/>
          <w:lang w:eastAsia="bg-BG"/>
        </w:rPr>
        <w:t xml:space="preserve">Обемът на продукта, инфузиран в определено място, е различен. При новородени и деца, мястото на инфузията може да се променя на всеки 5-15 </w:t>
      </w:r>
      <w:r w:rsidRPr="00A87BD0">
        <w:rPr>
          <w:rFonts w:eastAsia="Times New Roman" w:cs="Arial"/>
          <w:color w:val="000000"/>
          <w:lang w:val="en-US"/>
        </w:rPr>
        <w:t>ml</w:t>
      </w:r>
      <w:r w:rsidRPr="00A87BD0">
        <w:rPr>
          <w:rFonts w:eastAsia="Times New Roman" w:cs="Arial"/>
          <w:color w:val="000000"/>
          <w:lang w:val="ru-RU"/>
        </w:rPr>
        <w:t xml:space="preserve">. </w:t>
      </w:r>
      <w:r w:rsidRPr="00A87BD0">
        <w:rPr>
          <w:rFonts w:eastAsia="Times New Roman" w:cs="Arial"/>
          <w:color w:val="000000"/>
          <w:lang w:eastAsia="bg-BG"/>
        </w:rPr>
        <w:t xml:space="preserve">При възрастни дози над 30 </w:t>
      </w:r>
      <w:r w:rsidRPr="00A87BD0">
        <w:rPr>
          <w:rFonts w:eastAsia="Times New Roman" w:cs="Arial"/>
          <w:color w:val="000000"/>
          <w:lang w:val="en-US"/>
        </w:rPr>
        <w:t>ml</w:t>
      </w:r>
      <w:r w:rsidRPr="00A87BD0">
        <w:rPr>
          <w:rFonts w:eastAsia="Times New Roman" w:cs="Arial"/>
          <w:color w:val="000000"/>
          <w:lang w:val="ru-RU"/>
        </w:rPr>
        <w:t xml:space="preserve"> </w:t>
      </w:r>
      <w:r w:rsidRPr="00A87BD0">
        <w:rPr>
          <w:rFonts w:eastAsia="Times New Roman" w:cs="Arial"/>
          <w:color w:val="000000"/>
          <w:lang w:eastAsia="bg-BG"/>
        </w:rPr>
        <w:t xml:space="preserve">може да се разделят според предпочитанията на пациента. Няма ограничение по отношение на броя на местата за инфузия. Местата на инфузия трябва да бъдат на най-малко 5 </w:t>
      </w:r>
      <w:r w:rsidRPr="00A87BD0">
        <w:rPr>
          <w:rFonts w:eastAsia="Times New Roman" w:cs="Arial"/>
          <w:color w:val="000000"/>
          <w:lang w:val="en-US"/>
        </w:rPr>
        <w:t>cm</w:t>
      </w:r>
      <w:r w:rsidRPr="00A87BD0">
        <w:rPr>
          <w:rFonts w:eastAsia="Times New Roman" w:cs="Arial"/>
          <w:color w:val="000000"/>
          <w:lang w:val="ru-RU"/>
        </w:rPr>
        <w:t xml:space="preserve"> </w:t>
      </w:r>
      <w:r w:rsidRPr="00A87BD0">
        <w:rPr>
          <w:rFonts w:eastAsia="Times New Roman" w:cs="Arial"/>
          <w:color w:val="000000"/>
          <w:lang w:eastAsia="bg-BG"/>
        </w:rPr>
        <w:t>едно от друго.</w:t>
      </w:r>
    </w:p>
    <w:p w14:paraId="39467BCC" w14:textId="6F4B31D3" w:rsidR="00A87BD0" w:rsidRPr="00A87BD0" w:rsidRDefault="00A87BD0" w:rsidP="00A87BD0"/>
    <w:p w14:paraId="0F253247" w14:textId="6548EE3C" w:rsidR="007122AD" w:rsidRDefault="002C50EE" w:rsidP="00936AD0">
      <w:pPr>
        <w:pStyle w:val="Heading2"/>
      </w:pPr>
      <w:r>
        <w:t>4.3. Противопоказания</w:t>
      </w:r>
    </w:p>
    <w:p w14:paraId="39E85D99" w14:textId="225B7C58" w:rsidR="00A87BD0" w:rsidRDefault="00A87BD0" w:rsidP="00A87BD0"/>
    <w:p w14:paraId="4EA97581" w14:textId="77777777" w:rsidR="00A87BD0" w:rsidRPr="00A87BD0" w:rsidRDefault="00A87BD0" w:rsidP="00A87BD0">
      <w:pPr>
        <w:rPr>
          <w:sz w:val="24"/>
          <w:szCs w:val="24"/>
        </w:rPr>
      </w:pPr>
      <w:r w:rsidRPr="00A87BD0">
        <w:rPr>
          <w:lang w:eastAsia="bg-BG"/>
        </w:rPr>
        <w:t>Свръхчувствителност към активното вещество или към някое от помощните вещества, изброени в точка 6.1 (вж. точка 4.4).</w:t>
      </w:r>
    </w:p>
    <w:p w14:paraId="560DB15A" w14:textId="77777777" w:rsidR="00A87BD0" w:rsidRPr="00A87BD0" w:rsidRDefault="00A87BD0" w:rsidP="00A87BD0">
      <w:pPr>
        <w:rPr>
          <w:sz w:val="24"/>
          <w:szCs w:val="24"/>
        </w:rPr>
      </w:pPr>
      <w:r w:rsidRPr="00A87BD0">
        <w:rPr>
          <w:lang w:eastAsia="bg-BG"/>
        </w:rPr>
        <w:t>Кутакуиг не трябва да се прилага вътресъдово.</w:t>
      </w:r>
    </w:p>
    <w:p w14:paraId="3FA12E94" w14:textId="77777777" w:rsidR="00A87BD0" w:rsidRDefault="00A87BD0" w:rsidP="00A87BD0">
      <w:pPr>
        <w:rPr>
          <w:lang w:eastAsia="bg-BG"/>
        </w:rPr>
      </w:pPr>
    </w:p>
    <w:p w14:paraId="66599B37" w14:textId="16A47ECD" w:rsidR="00A87BD0" w:rsidRPr="00A87BD0" w:rsidRDefault="00A87BD0" w:rsidP="00A87BD0">
      <w:pPr>
        <w:rPr>
          <w:sz w:val="24"/>
          <w:szCs w:val="24"/>
        </w:rPr>
      </w:pPr>
      <w:r w:rsidRPr="00A87BD0">
        <w:rPr>
          <w:lang w:eastAsia="bg-BG"/>
        </w:rPr>
        <w:t>Освен това не трябва да се прилага и вътремускулно в случай на тежка тромбоцитопения и други нарушения на кръвосъсирването.</w:t>
      </w:r>
    </w:p>
    <w:p w14:paraId="2ABDF391" w14:textId="77777777" w:rsidR="00A87BD0" w:rsidRPr="00A87BD0" w:rsidRDefault="00A87BD0" w:rsidP="00A87BD0"/>
    <w:p w14:paraId="0E0BDCC7" w14:textId="2584AEC5" w:rsidR="007122AD" w:rsidRDefault="002C50EE" w:rsidP="00936AD0">
      <w:pPr>
        <w:pStyle w:val="Heading2"/>
      </w:pPr>
      <w:r>
        <w:t>4.4. Специални предупреждения и предпазни мерки при употреба</w:t>
      </w:r>
    </w:p>
    <w:p w14:paraId="6E318E96" w14:textId="7E37F438" w:rsidR="00A87BD0" w:rsidRDefault="00A87BD0" w:rsidP="00A87BD0"/>
    <w:p w14:paraId="7E083B95" w14:textId="77777777" w:rsidR="00A87BD0" w:rsidRPr="00A87BD0" w:rsidRDefault="00A87BD0" w:rsidP="00A87BD0">
      <w:pPr>
        <w:spacing w:line="240" w:lineRule="auto"/>
        <w:rPr>
          <w:rFonts w:eastAsia="Times New Roman" w:cs="Arial"/>
        </w:rPr>
      </w:pPr>
      <w:r w:rsidRPr="00A87BD0">
        <w:rPr>
          <w:rFonts w:eastAsia="Times New Roman" w:cs="Arial"/>
          <w:color w:val="000000"/>
          <w:lang w:eastAsia="bg-BG"/>
        </w:rPr>
        <w:t>Силно препоръчително е всеки път, когато Кутакуиг се прилага на пациент, да се записват името и партидния номер на продукта, за да се поддържа връзка между пациента и партидата на продукта.</w:t>
      </w:r>
    </w:p>
    <w:p w14:paraId="21C77E68" w14:textId="77777777" w:rsidR="00A87BD0" w:rsidRPr="00A87BD0" w:rsidRDefault="00A87BD0" w:rsidP="00A87BD0">
      <w:pPr>
        <w:spacing w:line="240" w:lineRule="auto"/>
        <w:rPr>
          <w:rFonts w:eastAsia="Times New Roman" w:cs="Arial"/>
          <w:color w:val="000000"/>
          <w:lang w:eastAsia="bg-BG"/>
        </w:rPr>
      </w:pPr>
    </w:p>
    <w:p w14:paraId="1CE2B8D8" w14:textId="05DD9C72" w:rsidR="00A87BD0" w:rsidRPr="00A87BD0" w:rsidRDefault="00A87BD0" w:rsidP="00A87BD0">
      <w:pPr>
        <w:spacing w:line="240" w:lineRule="auto"/>
        <w:rPr>
          <w:rFonts w:eastAsia="Times New Roman" w:cs="Arial"/>
        </w:rPr>
      </w:pPr>
      <w:r w:rsidRPr="00A87BD0">
        <w:rPr>
          <w:rFonts w:eastAsia="Times New Roman" w:cs="Arial"/>
          <w:color w:val="000000"/>
          <w:lang w:eastAsia="bg-BG"/>
        </w:rPr>
        <w:t xml:space="preserve">Този лекарствен продукт съдържа максимум 90 </w:t>
      </w:r>
      <w:r w:rsidRPr="00A87BD0">
        <w:rPr>
          <w:rFonts w:eastAsia="Times New Roman" w:cs="Arial"/>
          <w:color w:val="000000"/>
          <w:lang w:val="en-US"/>
        </w:rPr>
        <w:t>mg</w:t>
      </w:r>
      <w:r w:rsidRPr="00A87BD0">
        <w:rPr>
          <w:rFonts w:eastAsia="Times New Roman" w:cs="Arial"/>
          <w:color w:val="000000"/>
          <w:lang w:val="ru-RU"/>
        </w:rPr>
        <w:t xml:space="preserve"> </w:t>
      </w:r>
      <w:r w:rsidRPr="00A87BD0">
        <w:rPr>
          <w:rFonts w:eastAsia="Times New Roman" w:cs="Arial"/>
          <w:color w:val="000000"/>
          <w:lang w:eastAsia="bg-BG"/>
        </w:rPr>
        <w:t xml:space="preserve">малтоза на </w:t>
      </w:r>
      <w:r w:rsidRPr="00A87BD0">
        <w:rPr>
          <w:rFonts w:eastAsia="Times New Roman" w:cs="Arial"/>
          <w:color w:val="000000"/>
          <w:lang w:val="en-US"/>
        </w:rPr>
        <w:t>ml</w:t>
      </w:r>
      <w:r w:rsidRPr="00A87BD0">
        <w:rPr>
          <w:rFonts w:eastAsia="Times New Roman" w:cs="Arial"/>
          <w:color w:val="000000"/>
          <w:lang w:val="ru-RU"/>
        </w:rPr>
        <w:t xml:space="preserve"> </w:t>
      </w:r>
      <w:r w:rsidRPr="00A87BD0">
        <w:rPr>
          <w:rFonts w:eastAsia="Times New Roman" w:cs="Arial"/>
          <w:color w:val="000000"/>
          <w:lang w:eastAsia="bg-BG"/>
        </w:rPr>
        <w:t>като помощно вещество. Интерференцията на малтозата в анализите на кръвната захар може да доведе до фалшиво повишени стойности на глюкозата и следователно до неправилно прилагане на инсулин, което води до животозастрашаваща хипогликемия и смърт. Също така, случаи на истинска хипогликемия биха могли да не се лекуват, ако хипогликемичното състояние е маскирано от фалшиво повишени стойности на глюкозата (вж. точка 4.5). За остра бъбречна недостатъчност вижте по-долу.</w:t>
      </w:r>
    </w:p>
    <w:p w14:paraId="7BC63000" w14:textId="77777777" w:rsidR="00A87BD0" w:rsidRPr="00A87BD0" w:rsidRDefault="00A87BD0" w:rsidP="00A87BD0">
      <w:pPr>
        <w:spacing w:line="240" w:lineRule="auto"/>
        <w:rPr>
          <w:rFonts w:eastAsia="Times New Roman" w:cs="Arial"/>
          <w:color w:val="000000"/>
          <w:lang w:eastAsia="bg-BG"/>
        </w:rPr>
      </w:pPr>
    </w:p>
    <w:p w14:paraId="40D9F7BB" w14:textId="7D493012" w:rsidR="00A87BD0" w:rsidRPr="00A87BD0" w:rsidRDefault="00A87BD0" w:rsidP="00A87BD0">
      <w:pPr>
        <w:spacing w:line="240" w:lineRule="auto"/>
        <w:rPr>
          <w:rFonts w:eastAsia="Times New Roman" w:cs="Arial"/>
        </w:rPr>
      </w:pPr>
      <w:r w:rsidRPr="00A87BD0">
        <w:rPr>
          <w:rFonts w:eastAsia="Times New Roman" w:cs="Arial"/>
          <w:color w:val="000000"/>
          <w:lang w:eastAsia="bg-BG"/>
        </w:rPr>
        <w:t>Кутакуиг е само за подкожно приложение. Ако Кутакуиг случайно се приложи в кръвоносен съд, пациентите могат да развият шок</w:t>
      </w:r>
    </w:p>
    <w:p w14:paraId="2C7D50C7" w14:textId="77777777" w:rsidR="00A87BD0" w:rsidRPr="00A87BD0" w:rsidRDefault="00A87BD0" w:rsidP="00A87BD0">
      <w:pPr>
        <w:spacing w:line="240" w:lineRule="auto"/>
        <w:rPr>
          <w:rFonts w:eastAsia="Times New Roman" w:cs="Arial"/>
          <w:color w:val="000000"/>
          <w:lang w:eastAsia="bg-BG"/>
        </w:rPr>
      </w:pPr>
    </w:p>
    <w:p w14:paraId="0501A2CB" w14:textId="7D2C6DCD" w:rsidR="00A87BD0" w:rsidRPr="00A87BD0" w:rsidRDefault="00A87BD0" w:rsidP="00A87BD0">
      <w:pPr>
        <w:spacing w:line="240" w:lineRule="auto"/>
        <w:rPr>
          <w:rFonts w:eastAsia="Times New Roman" w:cs="Arial"/>
        </w:rPr>
      </w:pPr>
      <w:r w:rsidRPr="00A87BD0">
        <w:rPr>
          <w:rFonts w:eastAsia="Times New Roman" w:cs="Arial"/>
          <w:color w:val="000000"/>
          <w:lang w:eastAsia="bg-BG"/>
        </w:rPr>
        <w:t>Препоръчителната скорост на инфузия, посочена в точка 4.2, трябва стриктно да се съблюдава. Пациентите трябва да бъдат внимателно проследявани и внимателно наблюдавани за всякакви симптоми през целия период на инфузията.</w:t>
      </w:r>
    </w:p>
    <w:p w14:paraId="6F4F4FE3" w14:textId="77777777" w:rsidR="00A87BD0" w:rsidRPr="00A87BD0" w:rsidRDefault="00A87BD0" w:rsidP="00A87BD0">
      <w:pPr>
        <w:spacing w:line="240" w:lineRule="auto"/>
        <w:rPr>
          <w:rFonts w:eastAsia="Times New Roman" w:cs="Arial"/>
          <w:color w:val="000000"/>
          <w:lang w:eastAsia="bg-BG"/>
        </w:rPr>
      </w:pPr>
    </w:p>
    <w:p w14:paraId="2ACF01C4" w14:textId="5E90AD25" w:rsidR="00A87BD0" w:rsidRPr="00A87BD0" w:rsidRDefault="00A87BD0" w:rsidP="00A87BD0">
      <w:pPr>
        <w:spacing w:line="240" w:lineRule="auto"/>
        <w:rPr>
          <w:rFonts w:eastAsia="Times New Roman" w:cs="Arial"/>
        </w:rPr>
      </w:pPr>
      <w:r w:rsidRPr="00A87BD0">
        <w:rPr>
          <w:rFonts w:eastAsia="Times New Roman" w:cs="Arial"/>
          <w:color w:val="000000"/>
          <w:lang w:eastAsia="bg-BG"/>
        </w:rPr>
        <w:t>Някои нежелани реакции могат да се развият по-често при пациенти, които получават човешки нормален имуноглобулин за първи път, или в редки случаи, когато се сменя човешкият нормален имуноглобулинов продукт, или когато има продължителен интервал от предишната инфузия.</w:t>
      </w:r>
    </w:p>
    <w:p w14:paraId="5662CFC9" w14:textId="77777777" w:rsidR="00A87BD0" w:rsidRPr="00A87BD0" w:rsidRDefault="00A87BD0" w:rsidP="00A87BD0">
      <w:pPr>
        <w:spacing w:line="240" w:lineRule="auto"/>
        <w:rPr>
          <w:rFonts w:eastAsia="Times New Roman" w:cs="Arial"/>
          <w:color w:val="000000"/>
          <w:lang w:eastAsia="bg-BG"/>
        </w:rPr>
      </w:pPr>
    </w:p>
    <w:p w14:paraId="628382A2" w14:textId="50B8A370" w:rsidR="00A87BD0" w:rsidRPr="00A87BD0" w:rsidRDefault="00A87BD0" w:rsidP="00A87BD0">
      <w:pPr>
        <w:spacing w:line="240" w:lineRule="auto"/>
        <w:rPr>
          <w:rFonts w:eastAsia="Times New Roman" w:cs="Arial"/>
        </w:rPr>
      </w:pPr>
      <w:r w:rsidRPr="00A87BD0">
        <w:rPr>
          <w:rFonts w:eastAsia="Times New Roman" w:cs="Arial"/>
          <w:color w:val="000000"/>
          <w:lang w:eastAsia="bg-BG"/>
        </w:rPr>
        <w:t>Потенциалните усложнения често могат да се избегнат чрез:</w:t>
      </w:r>
    </w:p>
    <w:p w14:paraId="219C81E2" w14:textId="77777777" w:rsidR="00A87BD0" w:rsidRPr="00A87BD0" w:rsidRDefault="00A87BD0" w:rsidP="00A87BD0">
      <w:pPr>
        <w:pStyle w:val="ListParagraph"/>
        <w:numPr>
          <w:ilvl w:val="0"/>
          <w:numId w:val="38"/>
        </w:numPr>
        <w:spacing w:line="240" w:lineRule="auto"/>
        <w:rPr>
          <w:rFonts w:eastAsia="Times New Roman" w:cs="Arial"/>
        </w:rPr>
      </w:pPr>
      <w:r w:rsidRPr="00A87BD0">
        <w:rPr>
          <w:rFonts w:eastAsia="Times New Roman" w:cs="Arial"/>
          <w:color w:val="000000"/>
          <w:lang w:eastAsia="bg-BG"/>
        </w:rPr>
        <w:t>първоначално бавно инжектиране на продукта (вж. точка 4.2).</w:t>
      </w:r>
    </w:p>
    <w:p w14:paraId="6CE358D4" w14:textId="65D11842" w:rsidR="00A87BD0" w:rsidRPr="00A87BD0" w:rsidRDefault="00A87BD0" w:rsidP="00A87BD0">
      <w:pPr>
        <w:pStyle w:val="ListParagraph"/>
        <w:numPr>
          <w:ilvl w:val="0"/>
          <w:numId w:val="38"/>
        </w:numPr>
        <w:spacing w:line="240" w:lineRule="auto"/>
        <w:rPr>
          <w:rFonts w:eastAsia="Times New Roman" w:cs="Arial"/>
        </w:rPr>
      </w:pPr>
      <w:r w:rsidRPr="00A87BD0">
        <w:rPr>
          <w:rFonts w:eastAsia="Times New Roman" w:cs="Arial"/>
          <w:color w:val="000000"/>
          <w:lang w:eastAsia="bg-BG"/>
        </w:rPr>
        <w:lastRenderedPageBreak/>
        <w:t>осигуряване на внимателно наблюдение на пациентите за всякакви симптоми по време на инфузионния период. По-специално, пациентите, които не са лекувани с човешки нормален имуноглобулин, пациентите, които не преминават на лечение от алтернативен имуноглобулинов продукт или когато е имало продължителен интервал от предишната инфузия, трябва да се наблюдават по време на първата инфузия и през първия час след първата инфузия, за да се установи наличието на потенциални неблагоприятни признаци.</w:t>
      </w:r>
    </w:p>
    <w:p w14:paraId="68D39D4C" w14:textId="77777777" w:rsidR="00A87BD0" w:rsidRPr="00A87BD0" w:rsidRDefault="00A87BD0" w:rsidP="00A87BD0">
      <w:pPr>
        <w:spacing w:line="240" w:lineRule="auto"/>
        <w:rPr>
          <w:rFonts w:eastAsia="Times New Roman" w:cs="Arial"/>
        </w:rPr>
      </w:pPr>
      <w:r w:rsidRPr="00A87BD0">
        <w:rPr>
          <w:rFonts w:eastAsia="Times New Roman" w:cs="Arial"/>
          <w:color w:val="000000"/>
          <w:lang w:eastAsia="bg-BG"/>
        </w:rPr>
        <w:t>Всички останали пациенти трябва да се наблюдават най-малко 20 минути след приложението.</w:t>
      </w:r>
    </w:p>
    <w:p w14:paraId="12DFF35F" w14:textId="77777777" w:rsidR="00A87BD0" w:rsidRPr="00A87BD0" w:rsidRDefault="00A87BD0" w:rsidP="00A87BD0">
      <w:pPr>
        <w:spacing w:line="240" w:lineRule="auto"/>
        <w:rPr>
          <w:rFonts w:eastAsia="Times New Roman" w:cs="Arial"/>
          <w:color w:val="000000"/>
          <w:lang w:eastAsia="bg-BG"/>
        </w:rPr>
      </w:pPr>
    </w:p>
    <w:p w14:paraId="19465630" w14:textId="0C2F6FC8" w:rsidR="00A87BD0" w:rsidRPr="00A87BD0" w:rsidRDefault="00A87BD0" w:rsidP="00A87BD0">
      <w:pPr>
        <w:spacing w:line="240" w:lineRule="auto"/>
        <w:rPr>
          <w:rFonts w:eastAsia="Times New Roman" w:cs="Arial"/>
        </w:rPr>
      </w:pPr>
      <w:r w:rsidRPr="00A87BD0">
        <w:rPr>
          <w:rFonts w:eastAsia="Times New Roman" w:cs="Arial"/>
          <w:color w:val="000000"/>
          <w:lang w:eastAsia="bg-BG"/>
        </w:rPr>
        <w:t>В случай на нежелана реакция, трябва или да се намали скоростта на приложение, или инфузията да бъде преустановена. При подозрение за алергична или анафилактична реакция се налага незабавно прекратяване на инжекцията. Необходимото лечение зависи от характера и тежестта на нежеланата реакция.</w:t>
      </w:r>
    </w:p>
    <w:p w14:paraId="3A65204B" w14:textId="77777777" w:rsidR="00A87BD0" w:rsidRPr="00A87BD0" w:rsidRDefault="00A87BD0" w:rsidP="00A87BD0">
      <w:pPr>
        <w:spacing w:line="240" w:lineRule="auto"/>
        <w:rPr>
          <w:rFonts w:eastAsia="Times New Roman" w:cs="Arial"/>
        </w:rPr>
      </w:pPr>
      <w:r w:rsidRPr="00A87BD0">
        <w:rPr>
          <w:rFonts w:eastAsia="Times New Roman" w:cs="Arial"/>
          <w:color w:val="000000"/>
          <w:lang w:eastAsia="bg-BG"/>
        </w:rPr>
        <w:t>В случай на шок, трябва да се приложи стандартното медицинско лечение за шок.</w:t>
      </w:r>
    </w:p>
    <w:p w14:paraId="6A3F07BC" w14:textId="77777777" w:rsidR="00A87BD0" w:rsidRPr="00A87BD0" w:rsidRDefault="00A87BD0" w:rsidP="00A87BD0">
      <w:pPr>
        <w:spacing w:line="240" w:lineRule="auto"/>
        <w:rPr>
          <w:rFonts w:eastAsia="Times New Roman" w:cs="Arial"/>
          <w:color w:val="000000"/>
          <w:u w:val="single"/>
          <w:lang w:eastAsia="bg-BG"/>
        </w:rPr>
      </w:pPr>
    </w:p>
    <w:p w14:paraId="5494A135" w14:textId="34884154" w:rsidR="00A87BD0" w:rsidRPr="00A87BD0" w:rsidRDefault="00A87BD0" w:rsidP="00A87BD0">
      <w:pPr>
        <w:spacing w:line="240" w:lineRule="auto"/>
        <w:rPr>
          <w:rFonts w:eastAsia="Times New Roman" w:cs="Arial"/>
        </w:rPr>
      </w:pPr>
      <w:r w:rsidRPr="00A87BD0">
        <w:rPr>
          <w:rFonts w:eastAsia="Times New Roman" w:cs="Arial"/>
          <w:color w:val="000000"/>
          <w:u w:val="single"/>
          <w:lang w:eastAsia="bg-BG"/>
        </w:rPr>
        <w:t>Свръхчувствителност</w:t>
      </w:r>
    </w:p>
    <w:p w14:paraId="64F93E6D" w14:textId="77777777" w:rsidR="00A87BD0" w:rsidRPr="00A87BD0" w:rsidRDefault="00A87BD0" w:rsidP="00A87BD0">
      <w:pPr>
        <w:spacing w:line="240" w:lineRule="auto"/>
        <w:rPr>
          <w:rFonts w:eastAsia="Times New Roman" w:cs="Arial"/>
        </w:rPr>
      </w:pPr>
      <w:r w:rsidRPr="00A87BD0">
        <w:rPr>
          <w:rFonts w:eastAsia="Times New Roman" w:cs="Arial"/>
          <w:color w:val="000000"/>
          <w:lang w:eastAsia="bg-BG"/>
        </w:rPr>
        <w:t xml:space="preserve">Истинските алергични реакции са редки. Те могат да се появят най-вече при пациенти с анти- </w:t>
      </w:r>
      <w:r w:rsidRPr="00A87BD0">
        <w:rPr>
          <w:rFonts w:eastAsia="Times New Roman" w:cs="Arial"/>
          <w:color w:val="000000"/>
          <w:lang w:val="en-US"/>
        </w:rPr>
        <w:t>IgA</w:t>
      </w:r>
      <w:r w:rsidRPr="00A87BD0">
        <w:rPr>
          <w:rFonts w:eastAsia="Times New Roman" w:cs="Arial"/>
          <w:color w:val="000000"/>
          <w:lang w:val="ru-RU"/>
        </w:rPr>
        <w:t xml:space="preserve"> </w:t>
      </w:r>
      <w:r w:rsidRPr="00A87BD0">
        <w:rPr>
          <w:rFonts w:eastAsia="Times New Roman" w:cs="Arial"/>
          <w:color w:val="000000"/>
          <w:lang w:eastAsia="bg-BG"/>
        </w:rPr>
        <w:t>антитела, които трябва да бъдат лекувани с особено внимание. Пациенти с анти</w:t>
      </w:r>
      <w:r w:rsidRPr="00A87BD0">
        <w:rPr>
          <w:rFonts w:eastAsia="Times New Roman" w:cs="Arial"/>
          <w:color w:val="000000"/>
          <w:lang w:val="ru-RU"/>
        </w:rPr>
        <w:t>-</w:t>
      </w:r>
      <w:r w:rsidRPr="00A87BD0">
        <w:rPr>
          <w:rFonts w:eastAsia="Times New Roman" w:cs="Arial"/>
          <w:color w:val="000000"/>
          <w:lang w:val="en-US"/>
        </w:rPr>
        <w:t>IgA</w:t>
      </w:r>
      <w:r w:rsidRPr="00A87BD0">
        <w:rPr>
          <w:rFonts w:eastAsia="Times New Roman" w:cs="Arial"/>
          <w:color w:val="000000"/>
          <w:lang w:val="ru-RU"/>
        </w:rPr>
        <w:t xml:space="preserve"> </w:t>
      </w:r>
      <w:r w:rsidRPr="00A87BD0">
        <w:rPr>
          <w:rFonts w:eastAsia="Times New Roman" w:cs="Arial"/>
          <w:color w:val="000000"/>
          <w:lang w:eastAsia="bg-BG"/>
        </w:rPr>
        <w:t xml:space="preserve">антитела, при които лечението с подкожни </w:t>
      </w:r>
      <w:r w:rsidRPr="00A87BD0">
        <w:rPr>
          <w:rFonts w:eastAsia="Times New Roman" w:cs="Arial"/>
          <w:color w:val="000000"/>
          <w:lang w:val="en-US"/>
        </w:rPr>
        <w:t>IgG</w:t>
      </w:r>
      <w:r w:rsidRPr="00A87BD0">
        <w:rPr>
          <w:rFonts w:eastAsia="Times New Roman" w:cs="Arial"/>
          <w:color w:val="000000"/>
          <w:lang w:val="ru-RU"/>
        </w:rPr>
        <w:t xml:space="preserve"> </w:t>
      </w:r>
      <w:r w:rsidRPr="00A87BD0">
        <w:rPr>
          <w:rFonts w:eastAsia="Times New Roman" w:cs="Arial"/>
          <w:color w:val="000000"/>
          <w:lang w:eastAsia="bg-BG"/>
        </w:rPr>
        <w:t>продукти остава единствената възможност, трябва да се лекуват с Кутакуиг само под непрекъснато лекарско наблюдение.</w:t>
      </w:r>
    </w:p>
    <w:p w14:paraId="48DCC313" w14:textId="77777777" w:rsidR="00A87BD0" w:rsidRPr="00A87BD0" w:rsidRDefault="00A87BD0" w:rsidP="00A87BD0">
      <w:pPr>
        <w:spacing w:line="240" w:lineRule="auto"/>
        <w:rPr>
          <w:rFonts w:eastAsia="Times New Roman" w:cs="Arial"/>
        </w:rPr>
      </w:pPr>
      <w:r w:rsidRPr="00A87BD0">
        <w:rPr>
          <w:rFonts w:eastAsia="Times New Roman" w:cs="Arial"/>
          <w:color w:val="000000"/>
          <w:lang w:eastAsia="bg-BG"/>
        </w:rPr>
        <w:t>Рядко човешкият нормален имуноглобулин може да предизвика понижаване на кръвното</w:t>
      </w:r>
    </w:p>
    <w:p w14:paraId="583483D2" w14:textId="77777777" w:rsidR="00A87BD0" w:rsidRPr="00A87BD0" w:rsidRDefault="00A87BD0" w:rsidP="00A87BD0">
      <w:pPr>
        <w:spacing w:line="240" w:lineRule="auto"/>
        <w:rPr>
          <w:rFonts w:eastAsia="Times New Roman" w:cs="Arial"/>
        </w:rPr>
      </w:pPr>
      <w:r w:rsidRPr="00A87BD0">
        <w:rPr>
          <w:rFonts w:eastAsia="Times New Roman" w:cs="Arial"/>
          <w:color w:val="000000"/>
          <w:lang w:eastAsia="bg-BG"/>
        </w:rPr>
        <w:t>налягане с анафилактична реакция, дори при пациенти, които са понасяли предишно лечение с човешки нормален имуноглобулин.</w:t>
      </w:r>
    </w:p>
    <w:p w14:paraId="3D763286" w14:textId="77777777" w:rsidR="00A87BD0" w:rsidRPr="00A87BD0" w:rsidRDefault="00A87BD0" w:rsidP="00A87BD0">
      <w:pPr>
        <w:spacing w:line="240" w:lineRule="auto"/>
        <w:rPr>
          <w:rFonts w:eastAsia="Times New Roman" w:cs="Arial"/>
          <w:color w:val="000000"/>
          <w:u w:val="single"/>
          <w:lang w:eastAsia="bg-BG"/>
        </w:rPr>
      </w:pPr>
    </w:p>
    <w:p w14:paraId="71B1F9E9" w14:textId="0F18976F" w:rsidR="00A87BD0" w:rsidRPr="00A87BD0" w:rsidRDefault="00A87BD0" w:rsidP="00A87BD0">
      <w:pPr>
        <w:spacing w:line="240" w:lineRule="auto"/>
        <w:rPr>
          <w:rFonts w:eastAsia="Times New Roman" w:cs="Arial"/>
        </w:rPr>
      </w:pPr>
      <w:r w:rsidRPr="00A87BD0">
        <w:rPr>
          <w:rFonts w:eastAsia="Times New Roman" w:cs="Arial"/>
          <w:color w:val="000000"/>
          <w:u w:val="single"/>
          <w:lang w:eastAsia="bg-BG"/>
        </w:rPr>
        <w:t>Тромбоемболия</w:t>
      </w:r>
    </w:p>
    <w:p w14:paraId="7CB26039" w14:textId="77777777" w:rsidR="00A87BD0" w:rsidRPr="00A87BD0" w:rsidRDefault="00A87BD0" w:rsidP="00A87BD0">
      <w:pPr>
        <w:rPr>
          <w:rFonts w:eastAsia="Times New Roman" w:cs="Arial"/>
        </w:rPr>
      </w:pPr>
      <w:r w:rsidRPr="00A87BD0">
        <w:rPr>
          <w:rFonts w:eastAsia="Times New Roman" w:cs="Arial"/>
          <w:color w:val="000000"/>
          <w:lang w:eastAsia="bg-BG"/>
        </w:rPr>
        <w:t>Артериални и венозни тромбоемболични събития, включително инфаркт на миокарда инсулт,</w:t>
      </w:r>
      <w:r w:rsidRPr="00A87BD0">
        <w:rPr>
          <w:rFonts w:eastAsia="Times New Roman" w:cs="Arial"/>
          <w:b/>
          <w:bCs/>
          <w:color w:val="000000"/>
          <w:lang w:eastAsia="bg-BG"/>
        </w:rPr>
        <w:t xml:space="preserve"> </w:t>
      </w:r>
      <w:r w:rsidRPr="00A87BD0">
        <w:rPr>
          <w:rFonts w:eastAsia="Times New Roman" w:cs="Arial"/>
          <w:color w:val="000000"/>
          <w:lang w:eastAsia="bg-BG"/>
        </w:rPr>
        <w:t>дълбока венозна тромбоза и белодробна емболия, са били наблюдавани във връзка използването на имуноглобулини. Преди използването на имуноглобулини пациентите трябва да бъдат достатъчно хидратирани. Трябва да се подхожда с повишено внимание при пациенти с предшестващи рискови фактори за тромботични събития (като напреднала възраст, хипертония, захарен диабет и анамнеза за съдови заболявания или тромботични епизоди, пациенти с придобити или наследствени тромбофилни нарушения, пациенти с продължителни периоди на обездвижване, силно хиповолемични пациенти, пациенти със заболявания, които повишават вискозитета на кръвта).</w:t>
      </w:r>
    </w:p>
    <w:p w14:paraId="62225BFF" w14:textId="77777777" w:rsidR="00A87BD0" w:rsidRPr="00A87BD0" w:rsidRDefault="00A87BD0" w:rsidP="00A87BD0">
      <w:pPr>
        <w:spacing w:line="240" w:lineRule="auto"/>
        <w:rPr>
          <w:rFonts w:eastAsia="Times New Roman" w:cs="Arial"/>
        </w:rPr>
      </w:pPr>
      <w:r w:rsidRPr="00A87BD0">
        <w:rPr>
          <w:rFonts w:eastAsia="Times New Roman" w:cs="Arial"/>
          <w:color w:val="000000"/>
          <w:lang w:eastAsia="bg-BG"/>
        </w:rPr>
        <w:t>Пациентите трябва да бъдат информирани за първите симптоми на тромбоемболични събития, включително задух, болка и подуване на крайника, огнищни неврологични дефицити и болка в гърдите, и трябва да бъдат посъветвани да се свържат с лекаря си веднага след появата на симптомите.</w:t>
      </w:r>
    </w:p>
    <w:p w14:paraId="7EBB723F" w14:textId="77777777" w:rsidR="00A87BD0" w:rsidRPr="00A87BD0" w:rsidRDefault="00A87BD0" w:rsidP="00A87BD0">
      <w:pPr>
        <w:spacing w:line="240" w:lineRule="auto"/>
        <w:rPr>
          <w:rFonts w:eastAsia="Times New Roman" w:cs="Arial"/>
          <w:color w:val="000000"/>
          <w:u w:val="single"/>
          <w:lang w:eastAsia="bg-BG"/>
        </w:rPr>
      </w:pPr>
    </w:p>
    <w:p w14:paraId="5B30380D" w14:textId="558C3433" w:rsidR="00A87BD0" w:rsidRPr="00A87BD0" w:rsidRDefault="00A87BD0" w:rsidP="00A87BD0">
      <w:pPr>
        <w:spacing w:line="240" w:lineRule="auto"/>
        <w:rPr>
          <w:rFonts w:eastAsia="Times New Roman" w:cs="Arial"/>
        </w:rPr>
      </w:pPr>
      <w:r w:rsidRPr="00A87BD0">
        <w:rPr>
          <w:rFonts w:eastAsia="Times New Roman" w:cs="Arial"/>
          <w:color w:val="000000"/>
          <w:u w:val="single"/>
          <w:lang w:eastAsia="bg-BG"/>
        </w:rPr>
        <w:t xml:space="preserve">Синдром на асептичен менингит </w:t>
      </w:r>
      <w:r w:rsidRPr="00A87BD0">
        <w:rPr>
          <w:rFonts w:eastAsia="Times New Roman" w:cs="Arial"/>
          <w:color w:val="000000"/>
          <w:u w:val="single"/>
          <w:lang w:val="ru-RU"/>
        </w:rPr>
        <w:t>(</w:t>
      </w:r>
      <w:r w:rsidRPr="00A87BD0">
        <w:rPr>
          <w:rFonts w:eastAsia="Times New Roman" w:cs="Arial"/>
          <w:color w:val="000000"/>
          <w:u w:val="single"/>
          <w:lang w:val="en-US"/>
        </w:rPr>
        <w:t>AMS</w:t>
      </w:r>
      <w:r w:rsidRPr="00A87BD0">
        <w:rPr>
          <w:rFonts w:eastAsia="Times New Roman" w:cs="Arial"/>
          <w:color w:val="000000"/>
          <w:u w:val="single"/>
          <w:lang w:val="ru-RU"/>
        </w:rPr>
        <w:t>)</w:t>
      </w:r>
    </w:p>
    <w:p w14:paraId="63E33292" w14:textId="77777777" w:rsidR="00A87BD0" w:rsidRPr="00A87BD0" w:rsidRDefault="00A87BD0" w:rsidP="00A87BD0">
      <w:pPr>
        <w:spacing w:line="240" w:lineRule="auto"/>
        <w:rPr>
          <w:rFonts w:eastAsia="Times New Roman" w:cs="Arial"/>
        </w:rPr>
      </w:pPr>
      <w:r w:rsidRPr="00A87BD0">
        <w:rPr>
          <w:rFonts w:eastAsia="Times New Roman" w:cs="Arial"/>
          <w:color w:val="000000"/>
          <w:lang w:eastAsia="bg-BG"/>
        </w:rPr>
        <w:t xml:space="preserve">Има съобщения за поява на синдром на асептичен менингит във връзка с подкожно лечение с имуноглобулин; симптомите обикновено започват в рамките на няколко часа до 2 дни след лечението. Прекратяването на лечението с имуноглобулини може да доведе до преминаване на </w:t>
      </w:r>
      <w:r w:rsidRPr="00A87BD0">
        <w:rPr>
          <w:rFonts w:eastAsia="Times New Roman" w:cs="Arial"/>
          <w:color w:val="000000"/>
          <w:lang w:val="en-US"/>
        </w:rPr>
        <w:t>AMS</w:t>
      </w:r>
      <w:r w:rsidRPr="00A87BD0">
        <w:rPr>
          <w:rFonts w:eastAsia="Times New Roman" w:cs="Arial"/>
          <w:color w:val="000000"/>
          <w:lang w:val="ru-RU"/>
        </w:rPr>
        <w:t xml:space="preserve"> </w:t>
      </w:r>
      <w:r w:rsidRPr="00A87BD0">
        <w:rPr>
          <w:rFonts w:eastAsia="Times New Roman" w:cs="Arial"/>
          <w:color w:val="000000"/>
          <w:lang w:eastAsia="bg-BG"/>
        </w:rPr>
        <w:t>в рамките на няколко дни и без последствия.</w:t>
      </w:r>
    </w:p>
    <w:p w14:paraId="3B05DFA6" w14:textId="77777777" w:rsidR="00A87BD0" w:rsidRPr="00A87BD0" w:rsidRDefault="00A87BD0" w:rsidP="00A87BD0">
      <w:pPr>
        <w:spacing w:line="240" w:lineRule="auto"/>
        <w:rPr>
          <w:rFonts w:eastAsia="Times New Roman" w:cs="Arial"/>
          <w:color w:val="000000"/>
          <w:lang w:eastAsia="bg-BG"/>
        </w:rPr>
      </w:pPr>
    </w:p>
    <w:p w14:paraId="1E1801CE" w14:textId="781AE666" w:rsidR="00A87BD0" w:rsidRPr="00A87BD0" w:rsidRDefault="00A87BD0" w:rsidP="00A87BD0">
      <w:pPr>
        <w:spacing w:line="240" w:lineRule="auto"/>
        <w:rPr>
          <w:rFonts w:eastAsia="Times New Roman" w:cs="Arial"/>
        </w:rPr>
      </w:pPr>
      <w:r w:rsidRPr="00A87BD0">
        <w:rPr>
          <w:rFonts w:eastAsia="Times New Roman" w:cs="Arial"/>
          <w:color w:val="000000"/>
          <w:lang w:eastAsia="bg-BG"/>
        </w:rPr>
        <w:t>Пациентите трябва да бъдат информирани за първите симптоми, които включват силно главоболие, скованост на врата, сънливост, повишена температура, фотофобия, гадене и повръщане.</w:t>
      </w:r>
    </w:p>
    <w:p w14:paraId="20657D52" w14:textId="77777777" w:rsidR="00A87BD0" w:rsidRPr="00A87BD0" w:rsidRDefault="00A87BD0" w:rsidP="00A87BD0">
      <w:pPr>
        <w:spacing w:line="240" w:lineRule="auto"/>
        <w:rPr>
          <w:rFonts w:eastAsia="Times New Roman" w:cs="Arial"/>
          <w:color w:val="000000"/>
          <w:u w:val="single"/>
          <w:lang w:eastAsia="bg-BG"/>
        </w:rPr>
      </w:pPr>
    </w:p>
    <w:p w14:paraId="1A09EB7E" w14:textId="6B61C23D" w:rsidR="00A87BD0" w:rsidRPr="00A87BD0" w:rsidRDefault="00A87BD0" w:rsidP="00A87BD0">
      <w:pPr>
        <w:spacing w:line="240" w:lineRule="auto"/>
        <w:rPr>
          <w:rFonts w:eastAsia="Times New Roman" w:cs="Arial"/>
        </w:rPr>
      </w:pPr>
      <w:r w:rsidRPr="00A87BD0">
        <w:rPr>
          <w:rFonts w:eastAsia="Times New Roman" w:cs="Arial"/>
          <w:color w:val="000000"/>
          <w:u w:val="single"/>
          <w:lang w:eastAsia="bg-BG"/>
        </w:rPr>
        <w:t>Бъбречна дисфункция/недостатьчност</w:t>
      </w:r>
    </w:p>
    <w:p w14:paraId="099C0855" w14:textId="77777777" w:rsidR="00A87BD0" w:rsidRPr="00A87BD0" w:rsidRDefault="00A87BD0" w:rsidP="00A87BD0">
      <w:pPr>
        <w:spacing w:line="240" w:lineRule="auto"/>
        <w:rPr>
          <w:rFonts w:eastAsia="Times New Roman" w:cs="Arial"/>
        </w:rPr>
      </w:pPr>
      <w:r w:rsidRPr="00A87BD0">
        <w:rPr>
          <w:rFonts w:eastAsia="Times New Roman" w:cs="Arial"/>
          <w:color w:val="000000"/>
          <w:lang w:eastAsia="bg-BG"/>
        </w:rPr>
        <w:t>Съобщава се за тежки бъбречни нежелани реакции при пациенти, лекувани с имуноглобулин, особено с тези, съдържащи захароза (Кутакуиг не съдържа захароза). Те включват остра бъбречна недостатъчност, остра тубуларна некроза, проксимална тубуларна нефропатия и осмотична нефроза. Факторите, които повишават риска от бъбречни усложнения, включват, но не се ограничават до, съществуваща бъбречна недостатъчност, захарен диабет, хиповолемия, съпътстващи нефротоксични лекарствени продукти, възраст над 65 години, сепсис, хипервискозитет и парапротеинемия.</w:t>
      </w:r>
    </w:p>
    <w:p w14:paraId="4CA4E2DA" w14:textId="77777777" w:rsidR="00A87BD0" w:rsidRPr="00A87BD0" w:rsidRDefault="00A87BD0" w:rsidP="00A87BD0">
      <w:pPr>
        <w:spacing w:line="240" w:lineRule="auto"/>
        <w:rPr>
          <w:rFonts w:eastAsia="Times New Roman" w:cs="Arial"/>
          <w:color w:val="000000"/>
          <w:u w:val="single"/>
          <w:lang w:eastAsia="bg-BG"/>
        </w:rPr>
      </w:pPr>
    </w:p>
    <w:p w14:paraId="41F86A43" w14:textId="708580A3" w:rsidR="00A87BD0" w:rsidRPr="00A87BD0" w:rsidRDefault="00A87BD0" w:rsidP="00A87BD0">
      <w:pPr>
        <w:spacing w:line="240" w:lineRule="auto"/>
        <w:rPr>
          <w:rFonts w:eastAsia="Times New Roman" w:cs="Arial"/>
        </w:rPr>
      </w:pPr>
      <w:r w:rsidRPr="00A87BD0">
        <w:rPr>
          <w:rFonts w:eastAsia="Times New Roman" w:cs="Arial"/>
          <w:color w:val="000000"/>
          <w:u w:val="single"/>
          <w:lang w:eastAsia="bg-BG"/>
        </w:rPr>
        <w:t>Хемолиза</w:t>
      </w:r>
    </w:p>
    <w:p w14:paraId="72116DD2" w14:textId="77777777" w:rsidR="00A87BD0" w:rsidRPr="00A87BD0" w:rsidRDefault="00A87BD0" w:rsidP="00A87BD0">
      <w:pPr>
        <w:spacing w:line="240" w:lineRule="auto"/>
        <w:rPr>
          <w:rFonts w:eastAsia="Times New Roman" w:cs="Arial"/>
        </w:rPr>
      </w:pPr>
      <w:r w:rsidRPr="00A87BD0">
        <w:rPr>
          <w:rFonts w:eastAsia="Times New Roman" w:cs="Arial"/>
          <w:color w:val="000000"/>
          <w:lang w:val="en-US"/>
        </w:rPr>
        <w:t>IgG</w:t>
      </w:r>
      <w:r w:rsidRPr="00A87BD0">
        <w:rPr>
          <w:rFonts w:eastAsia="Times New Roman" w:cs="Arial"/>
          <w:color w:val="000000"/>
          <w:lang w:val="ru-RU"/>
        </w:rPr>
        <w:t xml:space="preserve"> </w:t>
      </w:r>
      <w:r w:rsidRPr="00A87BD0">
        <w:rPr>
          <w:rFonts w:eastAsia="Times New Roman" w:cs="Arial"/>
          <w:color w:val="000000"/>
          <w:lang w:eastAsia="bg-BG"/>
        </w:rPr>
        <w:t xml:space="preserve">продуктите могат да съдържат антитела от кръвна група, които могат да действат като хемолизини и да индуцират </w:t>
      </w:r>
      <w:r w:rsidRPr="00A87BD0">
        <w:rPr>
          <w:rFonts w:eastAsia="Times New Roman" w:cs="Arial"/>
          <w:color w:val="000000"/>
          <w:lang w:val="en-US"/>
        </w:rPr>
        <w:t>in</w:t>
      </w:r>
      <w:r w:rsidRPr="00A87BD0">
        <w:rPr>
          <w:rFonts w:eastAsia="Times New Roman" w:cs="Arial"/>
          <w:color w:val="000000"/>
          <w:lang w:val="ru-RU"/>
        </w:rPr>
        <w:t xml:space="preserve"> </w:t>
      </w:r>
      <w:r w:rsidRPr="00A87BD0">
        <w:rPr>
          <w:rFonts w:eastAsia="Times New Roman" w:cs="Arial"/>
          <w:color w:val="000000"/>
          <w:lang w:val="en-US"/>
        </w:rPr>
        <w:t>vivo</w:t>
      </w:r>
      <w:r w:rsidRPr="00A87BD0">
        <w:rPr>
          <w:rFonts w:eastAsia="Times New Roman" w:cs="Arial"/>
          <w:color w:val="000000"/>
          <w:lang w:val="ru-RU"/>
        </w:rPr>
        <w:t xml:space="preserve"> </w:t>
      </w:r>
      <w:r w:rsidRPr="00A87BD0">
        <w:rPr>
          <w:rFonts w:eastAsia="Times New Roman" w:cs="Arial"/>
          <w:color w:val="000000"/>
          <w:lang w:eastAsia="bg-BG"/>
        </w:rPr>
        <w:t xml:space="preserve">покритие на червените кръвни клетки (еритроцити) с имуноглобулин, причинявайки положителен резултат при тестване от директен антиглобулин </w:t>
      </w:r>
      <w:r w:rsidRPr="00A87BD0">
        <w:rPr>
          <w:rFonts w:eastAsia="Times New Roman" w:cs="Arial"/>
          <w:color w:val="000000"/>
          <w:lang w:val="ru-RU"/>
        </w:rPr>
        <w:t>(</w:t>
      </w:r>
      <w:r w:rsidRPr="00A87BD0">
        <w:rPr>
          <w:rFonts w:eastAsia="Times New Roman" w:cs="Arial"/>
          <w:color w:val="000000"/>
          <w:lang w:val="en-US"/>
        </w:rPr>
        <w:t>Coombs</w:t>
      </w:r>
      <w:r w:rsidRPr="00A87BD0">
        <w:rPr>
          <w:rFonts w:eastAsia="Times New Roman" w:cs="Arial"/>
          <w:color w:val="000000"/>
          <w:lang w:val="ru-RU"/>
        </w:rPr>
        <w:t xml:space="preserve">) </w:t>
      </w:r>
      <w:r w:rsidRPr="00A87BD0">
        <w:rPr>
          <w:rFonts w:eastAsia="Times New Roman" w:cs="Arial"/>
          <w:color w:val="000000"/>
          <w:lang w:eastAsia="bg-BG"/>
        </w:rPr>
        <w:t>и рядко може да се предизвика хемолиза.</w:t>
      </w:r>
    </w:p>
    <w:p w14:paraId="21AEF732" w14:textId="77777777" w:rsidR="00A87BD0" w:rsidRPr="00A87BD0" w:rsidRDefault="00A87BD0" w:rsidP="00A87BD0">
      <w:pPr>
        <w:spacing w:line="240" w:lineRule="auto"/>
        <w:rPr>
          <w:rFonts w:eastAsia="Times New Roman" w:cs="Arial"/>
        </w:rPr>
      </w:pPr>
      <w:r w:rsidRPr="00A87BD0">
        <w:rPr>
          <w:rFonts w:eastAsia="Times New Roman" w:cs="Arial"/>
          <w:color w:val="000000"/>
          <w:lang w:eastAsia="bg-BG"/>
        </w:rPr>
        <w:t>Наблюдавайте получателите на имуноглобулинови продукти за клинични признаци и симптоми на хемолиза.</w:t>
      </w:r>
    </w:p>
    <w:p w14:paraId="43AD620B" w14:textId="77777777" w:rsidR="00A87BD0" w:rsidRPr="00A87BD0" w:rsidRDefault="00A87BD0" w:rsidP="00A87BD0">
      <w:pPr>
        <w:spacing w:line="240" w:lineRule="auto"/>
        <w:rPr>
          <w:rFonts w:eastAsia="Times New Roman" w:cs="Arial"/>
          <w:color w:val="000000"/>
          <w:u w:val="single"/>
          <w:lang w:eastAsia="bg-BG"/>
        </w:rPr>
      </w:pPr>
    </w:p>
    <w:p w14:paraId="504DEDD7" w14:textId="6C9FA5ED" w:rsidR="00A87BD0" w:rsidRPr="00A87BD0" w:rsidRDefault="00A87BD0" w:rsidP="00A87BD0">
      <w:pPr>
        <w:spacing w:line="240" w:lineRule="auto"/>
        <w:rPr>
          <w:rFonts w:eastAsia="Times New Roman" w:cs="Arial"/>
        </w:rPr>
      </w:pPr>
      <w:r w:rsidRPr="00A87BD0">
        <w:rPr>
          <w:rFonts w:eastAsia="Times New Roman" w:cs="Arial"/>
          <w:color w:val="000000"/>
          <w:u w:val="single"/>
          <w:lang w:eastAsia="bg-BG"/>
        </w:rPr>
        <w:t>Съдържание на натрий</w:t>
      </w:r>
    </w:p>
    <w:p w14:paraId="58AA1F2E" w14:textId="77777777" w:rsidR="00A87BD0" w:rsidRPr="00A87BD0" w:rsidRDefault="00A87BD0" w:rsidP="00A87BD0">
      <w:pPr>
        <w:spacing w:line="240" w:lineRule="auto"/>
        <w:rPr>
          <w:rFonts w:eastAsia="Times New Roman" w:cs="Arial"/>
        </w:rPr>
      </w:pPr>
      <w:r w:rsidRPr="00A87BD0">
        <w:rPr>
          <w:rFonts w:eastAsia="Times New Roman" w:cs="Arial"/>
          <w:color w:val="000000"/>
          <w:lang w:eastAsia="bg-BG"/>
        </w:rPr>
        <w:t xml:space="preserve">Този лекарствен продукт съдържа 33,1 </w:t>
      </w:r>
      <w:r w:rsidRPr="00A87BD0">
        <w:rPr>
          <w:rFonts w:eastAsia="Times New Roman" w:cs="Arial"/>
          <w:color w:val="000000"/>
          <w:lang w:val="en-US"/>
        </w:rPr>
        <w:t>mg</w:t>
      </w:r>
      <w:r w:rsidRPr="00A87BD0">
        <w:rPr>
          <w:rFonts w:eastAsia="Times New Roman" w:cs="Arial"/>
          <w:color w:val="000000"/>
          <w:lang w:val="ru-RU"/>
        </w:rPr>
        <w:t xml:space="preserve"> </w:t>
      </w:r>
      <w:r w:rsidRPr="00A87BD0">
        <w:rPr>
          <w:rFonts w:eastAsia="Times New Roman" w:cs="Arial"/>
          <w:color w:val="000000"/>
          <w:lang w:eastAsia="bg-BG"/>
        </w:rPr>
        <w:t xml:space="preserve">натрий във флакон от 48 </w:t>
      </w:r>
      <w:r w:rsidRPr="00A87BD0">
        <w:rPr>
          <w:rFonts w:eastAsia="Times New Roman" w:cs="Arial"/>
          <w:color w:val="000000"/>
          <w:lang w:val="en-US"/>
        </w:rPr>
        <w:t>ml</w:t>
      </w:r>
      <w:r w:rsidRPr="00A87BD0">
        <w:rPr>
          <w:rFonts w:eastAsia="Times New Roman" w:cs="Arial"/>
          <w:color w:val="000000"/>
          <w:lang w:val="ru-RU"/>
        </w:rPr>
        <w:t xml:space="preserve"> </w:t>
      </w:r>
      <w:r w:rsidRPr="00A87BD0">
        <w:rPr>
          <w:rFonts w:eastAsia="Times New Roman" w:cs="Arial"/>
          <w:color w:val="000000"/>
          <w:lang w:eastAsia="bg-BG"/>
        </w:rPr>
        <w:t xml:space="preserve">и 13,8 </w:t>
      </w:r>
      <w:r w:rsidRPr="00A87BD0">
        <w:rPr>
          <w:rFonts w:eastAsia="Times New Roman" w:cs="Arial"/>
          <w:color w:val="000000"/>
          <w:lang w:val="en-US"/>
        </w:rPr>
        <w:t>mg</w:t>
      </w:r>
      <w:r w:rsidRPr="00A87BD0">
        <w:rPr>
          <w:rFonts w:eastAsia="Times New Roman" w:cs="Arial"/>
          <w:color w:val="000000"/>
          <w:lang w:val="ru-RU"/>
        </w:rPr>
        <w:t xml:space="preserve"> </w:t>
      </w:r>
      <w:r w:rsidRPr="00A87BD0">
        <w:rPr>
          <w:rFonts w:eastAsia="Times New Roman" w:cs="Arial"/>
          <w:color w:val="000000"/>
          <w:lang w:eastAsia="bg-BG"/>
        </w:rPr>
        <w:t xml:space="preserve">във флакон от 20 </w:t>
      </w:r>
      <w:r w:rsidRPr="00A87BD0">
        <w:rPr>
          <w:rFonts w:eastAsia="Times New Roman" w:cs="Arial"/>
          <w:color w:val="000000"/>
          <w:lang w:val="en-US"/>
        </w:rPr>
        <w:t>ml</w:t>
      </w:r>
      <w:r w:rsidRPr="00A87BD0">
        <w:rPr>
          <w:rFonts w:eastAsia="Times New Roman" w:cs="Arial"/>
          <w:color w:val="000000"/>
          <w:lang w:val="ru-RU"/>
        </w:rPr>
        <w:t xml:space="preserve">, </w:t>
      </w:r>
      <w:r w:rsidRPr="00A87BD0">
        <w:rPr>
          <w:rFonts w:eastAsia="Times New Roman" w:cs="Arial"/>
          <w:color w:val="000000"/>
          <w:lang w:eastAsia="bg-BG"/>
        </w:rPr>
        <w:t xml:space="preserve">еквивалентни съответно на 1,7% и 0,7% от препоръчителния от СЗО максимален дневен прием от 2 </w:t>
      </w:r>
      <w:r w:rsidRPr="00A87BD0">
        <w:rPr>
          <w:rFonts w:eastAsia="Times New Roman" w:cs="Arial"/>
          <w:color w:val="000000"/>
          <w:lang w:val="en-US"/>
        </w:rPr>
        <w:t>g</w:t>
      </w:r>
      <w:r w:rsidRPr="00A87BD0">
        <w:rPr>
          <w:rFonts w:eastAsia="Times New Roman" w:cs="Arial"/>
          <w:color w:val="000000"/>
          <w:lang w:val="ru-RU"/>
        </w:rPr>
        <w:t xml:space="preserve"> </w:t>
      </w:r>
      <w:r w:rsidRPr="00A87BD0">
        <w:rPr>
          <w:rFonts w:eastAsia="Times New Roman" w:cs="Arial"/>
          <w:color w:val="000000"/>
          <w:lang w:eastAsia="bg-BG"/>
        </w:rPr>
        <w:t>натрий за възрастни.</w:t>
      </w:r>
    </w:p>
    <w:p w14:paraId="5967F12C" w14:textId="77777777" w:rsidR="00A87BD0" w:rsidRPr="00A87BD0" w:rsidRDefault="00A87BD0" w:rsidP="00A87BD0">
      <w:pPr>
        <w:spacing w:line="240" w:lineRule="auto"/>
        <w:rPr>
          <w:rFonts w:eastAsia="Times New Roman" w:cs="Arial"/>
          <w:color w:val="000000"/>
          <w:u w:val="single"/>
          <w:lang w:eastAsia="bg-BG"/>
        </w:rPr>
      </w:pPr>
    </w:p>
    <w:p w14:paraId="117B0BE5" w14:textId="6D971E07" w:rsidR="00A87BD0" w:rsidRPr="00A87BD0" w:rsidRDefault="00A87BD0" w:rsidP="00A87BD0">
      <w:pPr>
        <w:spacing w:line="240" w:lineRule="auto"/>
        <w:rPr>
          <w:rFonts w:eastAsia="Times New Roman" w:cs="Arial"/>
        </w:rPr>
      </w:pPr>
      <w:r w:rsidRPr="00A87BD0">
        <w:rPr>
          <w:rFonts w:eastAsia="Times New Roman" w:cs="Arial"/>
          <w:color w:val="000000"/>
          <w:u w:val="single"/>
          <w:lang w:eastAsia="bg-BG"/>
        </w:rPr>
        <w:t>Интерференция със серологични изследвания</w:t>
      </w:r>
    </w:p>
    <w:p w14:paraId="3883FE0C" w14:textId="77777777" w:rsidR="00A87BD0" w:rsidRPr="00A87BD0" w:rsidRDefault="00A87BD0" w:rsidP="00A87BD0">
      <w:pPr>
        <w:spacing w:line="240" w:lineRule="auto"/>
        <w:rPr>
          <w:rFonts w:eastAsia="Times New Roman" w:cs="Arial"/>
        </w:rPr>
      </w:pPr>
      <w:r w:rsidRPr="00A87BD0">
        <w:rPr>
          <w:rFonts w:eastAsia="Times New Roman" w:cs="Arial"/>
          <w:color w:val="000000"/>
          <w:lang w:eastAsia="bg-BG"/>
        </w:rPr>
        <w:t>След инжектиране на имуноглобулин, преходното повишаване на различните пасивно пренесени антитела в кръвта на пациента може да доведе до подвеждащи положителни резултати при серологично изследване.</w:t>
      </w:r>
    </w:p>
    <w:p w14:paraId="126937E1" w14:textId="77777777" w:rsidR="00A87BD0" w:rsidRPr="00A87BD0" w:rsidRDefault="00A87BD0" w:rsidP="00A87BD0">
      <w:pPr>
        <w:spacing w:line="240" w:lineRule="auto"/>
        <w:rPr>
          <w:rFonts w:eastAsia="Times New Roman" w:cs="Arial"/>
          <w:color w:val="000000"/>
          <w:lang w:eastAsia="bg-BG"/>
        </w:rPr>
      </w:pPr>
    </w:p>
    <w:p w14:paraId="3AB5F27E" w14:textId="039BFDEE" w:rsidR="00A87BD0" w:rsidRPr="00A87BD0" w:rsidRDefault="00A87BD0" w:rsidP="00A87BD0">
      <w:pPr>
        <w:spacing w:line="240" w:lineRule="auto"/>
        <w:rPr>
          <w:rFonts w:eastAsia="Times New Roman" w:cs="Arial"/>
        </w:rPr>
      </w:pPr>
      <w:r w:rsidRPr="00A87BD0">
        <w:rPr>
          <w:rFonts w:eastAsia="Times New Roman" w:cs="Arial"/>
          <w:color w:val="000000"/>
          <w:lang w:eastAsia="bg-BG"/>
        </w:rPr>
        <w:t xml:space="preserve">Пасивното преминаване на антитела срещу еритроцитни антигени, напр. А, В, </w:t>
      </w:r>
      <w:r w:rsidRPr="00A87BD0">
        <w:rPr>
          <w:rFonts w:eastAsia="Times New Roman" w:cs="Arial"/>
          <w:color w:val="000000"/>
          <w:lang w:val="en-US"/>
        </w:rPr>
        <w:t>D</w:t>
      </w:r>
      <w:r w:rsidRPr="00A87BD0">
        <w:rPr>
          <w:rFonts w:eastAsia="Times New Roman" w:cs="Arial"/>
          <w:color w:val="000000"/>
          <w:lang w:val="ru-RU"/>
        </w:rPr>
        <w:t xml:space="preserve"> </w:t>
      </w:r>
      <w:r w:rsidRPr="00A87BD0">
        <w:rPr>
          <w:rFonts w:eastAsia="Times New Roman" w:cs="Arial"/>
          <w:color w:val="000000"/>
          <w:lang w:eastAsia="bg-BG"/>
        </w:rPr>
        <w:t xml:space="preserve">може да повлияе върху резултатите на някои серологични изследвания за антитела срещу еритроците например на директния антиглобулинов тест </w:t>
      </w:r>
      <w:r w:rsidRPr="00A87BD0">
        <w:rPr>
          <w:rFonts w:eastAsia="Times New Roman" w:cs="Arial"/>
          <w:color w:val="000000"/>
          <w:lang w:val="ru-RU"/>
        </w:rPr>
        <w:t>(</w:t>
      </w:r>
      <w:r w:rsidRPr="00A87BD0">
        <w:rPr>
          <w:rFonts w:eastAsia="Times New Roman" w:cs="Arial"/>
          <w:color w:val="000000"/>
          <w:lang w:val="en-US"/>
        </w:rPr>
        <w:t>DAT</w:t>
      </w:r>
      <w:r w:rsidRPr="00A87BD0">
        <w:rPr>
          <w:rFonts w:eastAsia="Times New Roman" w:cs="Arial"/>
          <w:color w:val="000000"/>
          <w:lang w:val="ru-RU"/>
        </w:rPr>
        <w:t xml:space="preserve">, </w:t>
      </w:r>
      <w:r w:rsidRPr="00A87BD0">
        <w:rPr>
          <w:rFonts w:eastAsia="Times New Roman" w:cs="Arial"/>
          <w:color w:val="000000"/>
          <w:lang w:eastAsia="bg-BG"/>
        </w:rPr>
        <w:t xml:space="preserve">директен тест на </w:t>
      </w:r>
      <w:r w:rsidRPr="00A87BD0">
        <w:rPr>
          <w:rFonts w:eastAsia="Times New Roman" w:cs="Arial"/>
          <w:color w:val="000000"/>
          <w:lang w:val="en-US"/>
        </w:rPr>
        <w:t>Coombs</w:t>
      </w:r>
      <w:r w:rsidRPr="00A87BD0">
        <w:rPr>
          <w:rFonts w:eastAsia="Times New Roman" w:cs="Arial"/>
          <w:color w:val="000000"/>
          <w:lang w:val="ru-RU"/>
        </w:rPr>
        <w:t>).</w:t>
      </w:r>
    </w:p>
    <w:p w14:paraId="7124A755" w14:textId="77777777" w:rsidR="00A87BD0" w:rsidRPr="00A87BD0" w:rsidRDefault="00A87BD0" w:rsidP="00A87BD0">
      <w:pPr>
        <w:spacing w:line="240" w:lineRule="auto"/>
        <w:rPr>
          <w:rFonts w:eastAsia="Times New Roman" w:cs="Arial"/>
        </w:rPr>
      </w:pPr>
    </w:p>
    <w:p w14:paraId="263466BC" w14:textId="77777777" w:rsidR="00A87BD0" w:rsidRPr="00A87BD0" w:rsidRDefault="00A87BD0" w:rsidP="00A87BD0">
      <w:pPr>
        <w:spacing w:line="240" w:lineRule="auto"/>
        <w:rPr>
          <w:rFonts w:eastAsia="Times New Roman" w:cs="Arial"/>
        </w:rPr>
      </w:pPr>
      <w:r w:rsidRPr="00A87BD0">
        <w:rPr>
          <w:rFonts w:eastAsia="Times New Roman" w:cs="Arial"/>
          <w:color w:val="000000"/>
          <w:u w:val="single"/>
          <w:lang w:eastAsia="bg-BG"/>
        </w:rPr>
        <w:t>Трансмисивни причинители</w:t>
      </w:r>
    </w:p>
    <w:p w14:paraId="66C7A369" w14:textId="77777777" w:rsidR="00A87BD0" w:rsidRPr="00A87BD0" w:rsidRDefault="00A87BD0" w:rsidP="00A87BD0">
      <w:pPr>
        <w:rPr>
          <w:rFonts w:eastAsia="Times New Roman" w:cs="Arial"/>
        </w:rPr>
      </w:pPr>
      <w:r w:rsidRPr="00A87BD0">
        <w:rPr>
          <w:rFonts w:eastAsia="Times New Roman" w:cs="Arial"/>
          <w:color w:val="000000"/>
          <w:lang w:eastAsia="bg-BG"/>
        </w:rPr>
        <w:t xml:space="preserve">Стандартните мерки за предотвратяване на инфекции, произтичащи от употребата на лекарствени продукти, приготвени от човешка кръв или </w:t>
      </w:r>
      <w:r w:rsidRPr="00A87BD0">
        <w:rPr>
          <w:rFonts w:eastAsia="Times New Roman" w:cs="Arial"/>
          <w:i/>
          <w:iCs/>
          <w:color w:val="000000"/>
          <w:lang w:eastAsia="bg-BG"/>
        </w:rPr>
        <w:t>плазма,</w:t>
      </w:r>
      <w:r w:rsidRPr="00A87BD0">
        <w:rPr>
          <w:rFonts w:eastAsia="Times New Roman" w:cs="Arial"/>
          <w:color w:val="000000"/>
          <w:lang w:eastAsia="bg-BG"/>
        </w:rPr>
        <w:t xml:space="preserve"> включват селекция на донори скрининг на индивидуални донорства и плазмени пулове за специфични маркери на инфекция и включване на ефективни производствени етапи за инактивиране/отстраняване на вируси. Въпреки това, когато се прилагат лекарствени продукти, приготвени от човешка кръв или плазма, не може напълно да се изключи възможността за предаване на инфекциозни причинители. Това се отнася и за неизвестни или новопоявили се вируси и други патогени.</w:t>
      </w:r>
    </w:p>
    <w:p w14:paraId="4834F14E" w14:textId="77777777" w:rsidR="00A87BD0" w:rsidRPr="00A87BD0" w:rsidRDefault="00A87BD0" w:rsidP="00A87BD0">
      <w:pPr>
        <w:spacing w:line="240" w:lineRule="auto"/>
        <w:rPr>
          <w:rFonts w:eastAsia="Times New Roman" w:cs="Arial"/>
          <w:color w:val="000000"/>
          <w:lang w:eastAsia="bg-BG"/>
        </w:rPr>
      </w:pPr>
    </w:p>
    <w:p w14:paraId="13D4DEAB" w14:textId="0D74783A" w:rsidR="00A87BD0" w:rsidRPr="00A87BD0" w:rsidRDefault="00A87BD0" w:rsidP="00A87BD0">
      <w:pPr>
        <w:spacing w:line="240" w:lineRule="auto"/>
        <w:rPr>
          <w:rFonts w:eastAsia="Times New Roman" w:cs="Arial"/>
        </w:rPr>
      </w:pPr>
      <w:r w:rsidRPr="00A87BD0">
        <w:rPr>
          <w:rFonts w:eastAsia="Times New Roman" w:cs="Arial"/>
          <w:color w:val="000000"/>
          <w:lang w:eastAsia="bg-BG"/>
        </w:rPr>
        <w:t xml:space="preserve">Предприетите мерки се считат за ефективни за покрити вируси, като човешки имунодефицитен вирус </w:t>
      </w:r>
      <w:r w:rsidRPr="00A87BD0">
        <w:rPr>
          <w:rFonts w:eastAsia="Times New Roman" w:cs="Arial"/>
          <w:color w:val="000000"/>
          <w:lang w:val="ru-RU"/>
        </w:rPr>
        <w:t>(</w:t>
      </w:r>
      <w:r w:rsidRPr="00A87BD0">
        <w:rPr>
          <w:rFonts w:eastAsia="Times New Roman" w:cs="Arial"/>
          <w:color w:val="000000"/>
          <w:lang w:val="en-US"/>
        </w:rPr>
        <w:t>HIV</w:t>
      </w:r>
      <w:r w:rsidRPr="00A87BD0">
        <w:rPr>
          <w:rFonts w:eastAsia="Times New Roman" w:cs="Arial"/>
          <w:color w:val="000000"/>
          <w:lang w:val="ru-RU"/>
        </w:rPr>
        <w:t xml:space="preserve">), </w:t>
      </w:r>
      <w:r w:rsidRPr="00A87BD0">
        <w:rPr>
          <w:rFonts w:eastAsia="Times New Roman" w:cs="Arial"/>
          <w:color w:val="000000"/>
          <w:lang w:eastAsia="bg-BG"/>
        </w:rPr>
        <w:t xml:space="preserve">вирус на хепатит В </w:t>
      </w:r>
      <w:r w:rsidRPr="00A87BD0">
        <w:rPr>
          <w:rFonts w:eastAsia="Times New Roman" w:cs="Arial"/>
          <w:color w:val="000000"/>
          <w:lang w:val="ru-RU"/>
        </w:rPr>
        <w:t>(</w:t>
      </w:r>
      <w:r w:rsidRPr="00A87BD0">
        <w:rPr>
          <w:rFonts w:eastAsia="Times New Roman" w:cs="Arial"/>
          <w:color w:val="000000"/>
          <w:lang w:val="en-US"/>
        </w:rPr>
        <w:t>HBV</w:t>
      </w:r>
      <w:r w:rsidRPr="00A87BD0">
        <w:rPr>
          <w:rFonts w:eastAsia="Times New Roman" w:cs="Arial"/>
          <w:color w:val="000000"/>
          <w:lang w:val="ru-RU"/>
        </w:rPr>
        <w:t xml:space="preserve">) </w:t>
      </w:r>
      <w:r w:rsidRPr="00A87BD0">
        <w:rPr>
          <w:rFonts w:eastAsia="Times New Roman" w:cs="Arial"/>
          <w:color w:val="000000"/>
          <w:lang w:eastAsia="bg-BG"/>
        </w:rPr>
        <w:t xml:space="preserve">и вирус на хепатит С </w:t>
      </w:r>
      <w:r w:rsidRPr="00A87BD0">
        <w:rPr>
          <w:rFonts w:eastAsia="Times New Roman" w:cs="Arial"/>
          <w:color w:val="000000"/>
          <w:lang w:val="ru-RU"/>
        </w:rPr>
        <w:t>(</w:t>
      </w:r>
      <w:r w:rsidRPr="00A87BD0">
        <w:rPr>
          <w:rFonts w:eastAsia="Times New Roman" w:cs="Arial"/>
          <w:color w:val="000000"/>
          <w:lang w:val="en-US"/>
        </w:rPr>
        <w:t>HCV</w:t>
      </w:r>
      <w:r w:rsidRPr="00A87BD0">
        <w:rPr>
          <w:rFonts w:eastAsia="Times New Roman" w:cs="Arial"/>
          <w:color w:val="000000"/>
          <w:lang w:val="ru-RU"/>
        </w:rPr>
        <w:t>).</w:t>
      </w:r>
    </w:p>
    <w:p w14:paraId="31142733" w14:textId="77777777" w:rsidR="00A87BD0" w:rsidRPr="00A87BD0" w:rsidRDefault="00A87BD0" w:rsidP="00A87BD0">
      <w:pPr>
        <w:spacing w:line="240" w:lineRule="auto"/>
        <w:rPr>
          <w:rFonts w:eastAsia="Times New Roman" w:cs="Arial"/>
          <w:color w:val="000000"/>
          <w:lang w:eastAsia="bg-BG"/>
        </w:rPr>
      </w:pPr>
    </w:p>
    <w:p w14:paraId="686F12B2" w14:textId="321A2BEE" w:rsidR="00A87BD0" w:rsidRPr="00A87BD0" w:rsidRDefault="00A87BD0" w:rsidP="00A87BD0">
      <w:pPr>
        <w:spacing w:line="240" w:lineRule="auto"/>
        <w:rPr>
          <w:rFonts w:eastAsia="Times New Roman" w:cs="Arial"/>
        </w:rPr>
      </w:pPr>
      <w:r w:rsidRPr="00A87BD0">
        <w:rPr>
          <w:rFonts w:eastAsia="Times New Roman" w:cs="Arial"/>
          <w:color w:val="000000"/>
          <w:lang w:eastAsia="bg-BG"/>
        </w:rPr>
        <w:t xml:space="preserve">Предприетите мерки може да са с ограничена стойност срещу непокрити вируси като вируса на хепатит </w:t>
      </w:r>
      <w:r w:rsidRPr="00A87BD0">
        <w:rPr>
          <w:rFonts w:eastAsia="Times New Roman" w:cs="Arial"/>
          <w:color w:val="000000"/>
          <w:lang w:val="en-US"/>
        </w:rPr>
        <w:t>A</w:t>
      </w:r>
      <w:r w:rsidRPr="00A87BD0">
        <w:rPr>
          <w:rFonts w:eastAsia="Times New Roman" w:cs="Arial"/>
          <w:color w:val="000000"/>
          <w:lang w:val="ru-RU"/>
        </w:rPr>
        <w:t xml:space="preserve"> (</w:t>
      </w:r>
      <w:r w:rsidRPr="00A87BD0">
        <w:rPr>
          <w:rFonts w:eastAsia="Times New Roman" w:cs="Arial"/>
          <w:color w:val="000000"/>
          <w:lang w:val="en-US"/>
        </w:rPr>
        <w:t>HAV</w:t>
      </w:r>
      <w:r w:rsidRPr="00A87BD0">
        <w:rPr>
          <w:rFonts w:eastAsia="Times New Roman" w:cs="Arial"/>
          <w:color w:val="000000"/>
          <w:lang w:val="ru-RU"/>
        </w:rPr>
        <w:t xml:space="preserve">) </w:t>
      </w:r>
      <w:r w:rsidRPr="00A87BD0">
        <w:rPr>
          <w:rFonts w:eastAsia="Times New Roman" w:cs="Arial"/>
          <w:color w:val="000000"/>
          <w:lang w:eastAsia="bg-BG"/>
        </w:rPr>
        <w:t>и парвовирус В19.</w:t>
      </w:r>
    </w:p>
    <w:p w14:paraId="7A749FA4" w14:textId="77777777" w:rsidR="00A87BD0" w:rsidRPr="00A87BD0" w:rsidRDefault="00A87BD0" w:rsidP="00A87BD0">
      <w:pPr>
        <w:spacing w:line="240" w:lineRule="auto"/>
        <w:rPr>
          <w:rFonts w:eastAsia="Times New Roman" w:cs="Arial"/>
          <w:color w:val="000000"/>
          <w:lang w:eastAsia="bg-BG"/>
        </w:rPr>
      </w:pPr>
    </w:p>
    <w:p w14:paraId="082D28EF" w14:textId="6D308BEB" w:rsidR="00A87BD0" w:rsidRPr="00A87BD0" w:rsidRDefault="00A87BD0" w:rsidP="00A87BD0">
      <w:pPr>
        <w:spacing w:line="240" w:lineRule="auto"/>
        <w:rPr>
          <w:rFonts w:eastAsia="Times New Roman" w:cs="Arial"/>
        </w:rPr>
      </w:pPr>
      <w:r w:rsidRPr="00A87BD0">
        <w:rPr>
          <w:rFonts w:eastAsia="Times New Roman" w:cs="Arial"/>
          <w:color w:val="000000"/>
          <w:lang w:eastAsia="bg-BG"/>
        </w:rPr>
        <w:lastRenderedPageBreak/>
        <w:t>Съществува обнадеждаващ клиничен опит по отношение на непредаването на хепатит А или парвовирус В19 с имуноглобулини и се приема също, че съдържанието на антитялото има важен принос за вирусната безопасност.</w:t>
      </w:r>
    </w:p>
    <w:p w14:paraId="6CC7BAB1" w14:textId="77777777" w:rsidR="00A87BD0" w:rsidRPr="00A87BD0" w:rsidRDefault="00A87BD0" w:rsidP="00A87BD0">
      <w:pPr>
        <w:spacing w:line="240" w:lineRule="auto"/>
        <w:rPr>
          <w:rFonts w:eastAsia="Times New Roman" w:cs="Arial"/>
          <w:color w:val="000000"/>
          <w:u w:val="single"/>
          <w:lang w:eastAsia="bg-BG"/>
        </w:rPr>
      </w:pPr>
    </w:p>
    <w:p w14:paraId="47880C60" w14:textId="671D5EB9" w:rsidR="00A87BD0" w:rsidRPr="00A87BD0" w:rsidRDefault="00A87BD0" w:rsidP="00A87BD0">
      <w:pPr>
        <w:spacing w:line="240" w:lineRule="auto"/>
        <w:rPr>
          <w:rFonts w:eastAsia="Times New Roman" w:cs="Arial"/>
        </w:rPr>
      </w:pPr>
      <w:r w:rsidRPr="00A87BD0">
        <w:rPr>
          <w:rFonts w:eastAsia="Times New Roman" w:cs="Arial"/>
          <w:color w:val="000000"/>
          <w:u w:val="single"/>
          <w:lang w:eastAsia="bg-BG"/>
        </w:rPr>
        <w:t>Педиатрична популация</w:t>
      </w:r>
    </w:p>
    <w:p w14:paraId="494F9784" w14:textId="77777777" w:rsidR="00A87BD0" w:rsidRPr="00A87BD0" w:rsidRDefault="00A87BD0" w:rsidP="00A87BD0">
      <w:pPr>
        <w:spacing w:line="240" w:lineRule="auto"/>
        <w:rPr>
          <w:rFonts w:eastAsia="Times New Roman" w:cs="Arial"/>
        </w:rPr>
      </w:pPr>
      <w:r w:rsidRPr="00A87BD0">
        <w:rPr>
          <w:rFonts w:eastAsia="Times New Roman" w:cs="Arial"/>
          <w:color w:val="000000"/>
          <w:lang w:eastAsia="bg-BG"/>
        </w:rPr>
        <w:t>Изброените предупреждения и предпазни мерки са валидни както за възрастни, така и за деца.</w:t>
      </w:r>
    </w:p>
    <w:p w14:paraId="43A0FF8E" w14:textId="699170DA" w:rsidR="00A87BD0" w:rsidRPr="00A87BD0" w:rsidRDefault="00A87BD0" w:rsidP="00A87BD0"/>
    <w:p w14:paraId="0734264C" w14:textId="491E94CC"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3F3199" w14:textId="545E8C1A" w:rsidR="00A87BD0" w:rsidRDefault="00A87BD0" w:rsidP="00A87BD0"/>
    <w:p w14:paraId="06A5BD36"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u w:val="single"/>
          <w:lang w:eastAsia="bg-BG"/>
        </w:rPr>
        <w:t>Живи атенюирани противовирусни ваксини</w:t>
      </w:r>
    </w:p>
    <w:p w14:paraId="1F586A94"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Прилагането на имуноглобулин може да наруши за период от най-малко 6 седмици и до 3 месеца ефективността на живи атенюирани противовирусни ваксини като тези при морбили, рубеола, паротит и варицела. След приложение на този лекарствен продукт, преди ваксинирането с живи атенюирани противовирусни ваксини трябва да има период от най-малко 3 месеца. При морбили това нарушение може да продължи до 1 година.</w:t>
      </w:r>
    </w:p>
    <w:p w14:paraId="1DFD7ED1"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Затова пациентите, получаващи ваксина срещу морбили, трябва да бъдат проверени за статуса на антителата.</w:t>
      </w:r>
    </w:p>
    <w:p w14:paraId="7ACA87AB" w14:textId="77777777" w:rsidR="00A87BD0" w:rsidRPr="00A87BD0" w:rsidRDefault="00A87BD0" w:rsidP="00A87BD0">
      <w:pPr>
        <w:spacing w:line="240" w:lineRule="auto"/>
        <w:rPr>
          <w:rFonts w:eastAsia="Times New Roman" w:cs="Arial"/>
          <w:color w:val="000000"/>
          <w:u w:val="single"/>
          <w:lang w:eastAsia="bg-BG"/>
        </w:rPr>
      </w:pPr>
    </w:p>
    <w:p w14:paraId="20F6E39B" w14:textId="74E7C702" w:rsidR="00A87BD0" w:rsidRPr="00A87BD0" w:rsidRDefault="00A87BD0" w:rsidP="00A87BD0">
      <w:pPr>
        <w:spacing w:line="240" w:lineRule="auto"/>
        <w:rPr>
          <w:rFonts w:eastAsia="Times New Roman" w:cs="Arial"/>
          <w:sz w:val="24"/>
          <w:szCs w:val="24"/>
        </w:rPr>
      </w:pPr>
      <w:r w:rsidRPr="00A87BD0">
        <w:rPr>
          <w:rFonts w:eastAsia="Times New Roman" w:cs="Arial"/>
          <w:color w:val="000000"/>
          <w:u w:val="single"/>
          <w:lang w:eastAsia="bg-BG"/>
        </w:rPr>
        <w:t>Изследване на кръвната захар</w:t>
      </w:r>
    </w:p>
    <w:p w14:paraId="3A867651"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Кутакуиг съдържа малтоза, която може да бъде неправилно интерпретирана като глюкоза при определени видове системи за изследване на кръвната захар. Поради възможността за фалшиво повишени стойности на глюкозата, само тестови системи, които са специфични за глюкоза, трябва да се използват за изследване или проследяване на нивата на кръвната захар при диабетици.</w:t>
      </w:r>
    </w:p>
    <w:p w14:paraId="5F3E524A" w14:textId="77777777" w:rsidR="00A87BD0" w:rsidRPr="00A87BD0" w:rsidRDefault="00A87BD0" w:rsidP="00A87BD0">
      <w:pPr>
        <w:spacing w:line="240" w:lineRule="auto"/>
        <w:rPr>
          <w:rFonts w:eastAsia="Times New Roman" w:cs="Arial"/>
          <w:color w:val="000000"/>
          <w:u w:val="single"/>
          <w:lang w:eastAsia="bg-BG"/>
        </w:rPr>
      </w:pPr>
    </w:p>
    <w:p w14:paraId="5375E66E" w14:textId="7AF68AF8" w:rsidR="00A87BD0" w:rsidRPr="00A87BD0" w:rsidRDefault="00A87BD0" w:rsidP="00A87BD0">
      <w:pPr>
        <w:spacing w:line="240" w:lineRule="auto"/>
        <w:rPr>
          <w:rFonts w:eastAsia="Times New Roman" w:cs="Arial"/>
          <w:sz w:val="24"/>
          <w:szCs w:val="24"/>
        </w:rPr>
      </w:pPr>
      <w:r w:rsidRPr="00A87BD0">
        <w:rPr>
          <w:rFonts w:eastAsia="Times New Roman" w:cs="Arial"/>
          <w:color w:val="000000"/>
          <w:u w:val="single"/>
          <w:lang w:eastAsia="bg-BG"/>
        </w:rPr>
        <w:t>Педиатрична популация</w:t>
      </w:r>
    </w:p>
    <w:p w14:paraId="6D15DE1A"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Изброените взаимодействия важат както за възрастни, така и за деца.</w:t>
      </w:r>
    </w:p>
    <w:p w14:paraId="4A31B343" w14:textId="77777777" w:rsidR="00A87BD0" w:rsidRPr="00A87BD0" w:rsidRDefault="00A87BD0" w:rsidP="00A87BD0"/>
    <w:p w14:paraId="5D9F40EA" w14:textId="3620ACA9" w:rsidR="007122AD" w:rsidRDefault="002C50EE" w:rsidP="00936AD0">
      <w:pPr>
        <w:pStyle w:val="Heading2"/>
      </w:pPr>
      <w:r>
        <w:t>4.6. Фертилитет, бременност и кърмене</w:t>
      </w:r>
    </w:p>
    <w:p w14:paraId="1E8C9A1A" w14:textId="13008E98" w:rsidR="00A87BD0" w:rsidRDefault="00A87BD0" w:rsidP="00A87BD0"/>
    <w:p w14:paraId="5209979F" w14:textId="77777777" w:rsidR="00A87BD0" w:rsidRPr="00A87BD0" w:rsidRDefault="00A87BD0" w:rsidP="00A87BD0">
      <w:pPr>
        <w:pStyle w:val="Heading3"/>
        <w:rPr>
          <w:rFonts w:eastAsia="Times New Roman"/>
          <w:u w:val="single"/>
        </w:rPr>
      </w:pPr>
      <w:r w:rsidRPr="00A87BD0">
        <w:rPr>
          <w:rFonts w:eastAsia="Times New Roman"/>
          <w:u w:val="single"/>
          <w:lang w:eastAsia="bg-BG"/>
        </w:rPr>
        <w:t>Бременност</w:t>
      </w:r>
    </w:p>
    <w:p w14:paraId="550A9CFB" w14:textId="77777777" w:rsidR="00A87BD0" w:rsidRPr="00A87BD0" w:rsidRDefault="00A87BD0" w:rsidP="00A87BD0">
      <w:pPr>
        <w:rPr>
          <w:sz w:val="24"/>
          <w:szCs w:val="24"/>
        </w:rPr>
      </w:pPr>
      <w:r w:rsidRPr="00A87BD0">
        <w:rPr>
          <w:lang w:eastAsia="bg-BG"/>
        </w:rPr>
        <w:t xml:space="preserve">Безопасността на този лекарствен продукт за </w:t>
      </w:r>
      <w:r w:rsidRPr="00A87BD0">
        <w:rPr>
          <w:i/>
          <w:iCs/>
          <w:lang w:eastAsia="bg-BG"/>
        </w:rPr>
        <w:t>употреба при</w:t>
      </w:r>
      <w:r w:rsidRPr="00A87BD0">
        <w:rPr>
          <w:lang w:eastAsia="bg-BG"/>
        </w:rPr>
        <w:t xml:space="preserve"> бременни жени не е установена в контролирани клинични проучвания и затова трябва да се прилага с повишено внимание при бременни жени и кърмачки. Доказано е, че имуноглобулиновите продукти преминават през плацентата, което е по-изразено през третото тримесечие на бременността. Клиничният опит с имуноглобулини предполага, че не се очакват вредни ефекти върху хода на бременността или върху плода и новороденото.</w:t>
      </w:r>
    </w:p>
    <w:p w14:paraId="2B05B92F" w14:textId="77777777" w:rsidR="00A87BD0" w:rsidRDefault="00A87BD0" w:rsidP="00A87BD0">
      <w:pPr>
        <w:rPr>
          <w:lang w:eastAsia="bg-BG"/>
        </w:rPr>
      </w:pPr>
    </w:p>
    <w:p w14:paraId="13352A72" w14:textId="532AC649" w:rsidR="00A87BD0" w:rsidRPr="00A87BD0" w:rsidRDefault="00A87BD0" w:rsidP="00A87BD0">
      <w:pPr>
        <w:pStyle w:val="Heading3"/>
        <w:rPr>
          <w:rFonts w:eastAsia="Times New Roman"/>
          <w:u w:val="single"/>
        </w:rPr>
      </w:pPr>
      <w:r w:rsidRPr="00A87BD0">
        <w:rPr>
          <w:rFonts w:eastAsia="Times New Roman"/>
          <w:u w:val="single"/>
          <w:lang w:eastAsia="bg-BG"/>
        </w:rPr>
        <w:t>Кърмене</w:t>
      </w:r>
    </w:p>
    <w:p w14:paraId="79AA020C" w14:textId="77777777" w:rsidR="00A87BD0" w:rsidRPr="00A87BD0" w:rsidRDefault="00A87BD0" w:rsidP="00A87BD0">
      <w:pPr>
        <w:rPr>
          <w:sz w:val="24"/>
          <w:szCs w:val="24"/>
        </w:rPr>
      </w:pPr>
      <w:r w:rsidRPr="00A87BD0">
        <w:rPr>
          <w:lang w:eastAsia="bg-BG"/>
        </w:rPr>
        <w:t>Имуноглобулините се екскретират в кърмата и могат да допринесат за предпазване на новороденото от патогени, които проникват в организма през лигавицата.</w:t>
      </w:r>
    </w:p>
    <w:p w14:paraId="4B9CA31F" w14:textId="77777777" w:rsidR="00A87BD0" w:rsidRDefault="00A87BD0" w:rsidP="00A87BD0">
      <w:pPr>
        <w:rPr>
          <w:lang w:eastAsia="bg-BG"/>
        </w:rPr>
      </w:pPr>
    </w:p>
    <w:p w14:paraId="0A1D6DC4" w14:textId="7EE5A94B" w:rsidR="00A87BD0" w:rsidRPr="00A87BD0" w:rsidRDefault="00A87BD0" w:rsidP="00A87BD0">
      <w:pPr>
        <w:pStyle w:val="Heading3"/>
        <w:rPr>
          <w:rFonts w:eastAsia="Times New Roman"/>
          <w:u w:val="single"/>
        </w:rPr>
      </w:pPr>
      <w:r w:rsidRPr="00A87BD0">
        <w:rPr>
          <w:rFonts w:eastAsia="Times New Roman"/>
          <w:u w:val="single"/>
          <w:lang w:eastAsia="bg-BG"/>
        </w:rPr>
        <w:t>Фертилитет</w:t>
      </w:r>
    </w:p>
    <w:p w14:paraId="26089ECB" w14:textId="77777777" w:rsidR="00A87BD0" w:rsidRPr="00A87BD0" w:rsidRDefault="00A87BD0" w:rsidP="00A87BD0">
      <w:pPr>
        <w:rPr>
          <w:sz w:val="24"/>
          <w:szCs w:val="24"/>
        </w:rPr>
      </w:pPr>
      <w:r w:rsidRPr="00A87BD0">
        <w:rPr>
          <w:lang w:eastAsia="bg-BG"/>
        </w:rPr>
        <w:t>Клиничният опит с имуноглобулините предполага, че не се очакват вредни ефекти върху</w:t>
      </w:r>
    </w:p>
    <w:p w14:paraId="176B2B12" w14:textId="33C09A21" w:rsidR="00A87BD0" w:rsidRPr="00A87BD0" w:rsidRDefault="00A87BD0" w:rsidP="00A87BD0">
      <w:r w:rsidRPr="00A87BD0">
        <w:rPr>
          <w:lang w:eastAsia="bg-BG"/>
        </w:rPr>
        <w:t>фертилитета.</w:t>
      </w:r>
    </w:p>
    <w:p w14:paraId="5DD7A76D" w14:textId="159E11AD" w:rsidR="007122AD" w:rsidRDefault="002C50EE" w:rsidP="00936AD0">
      <w:pPr>
        <w:pStyle w:val="Heading2"/>
      </w:pPr>
      <w:r>
        <w:lastRenderedPageBreak/>
        <w:t>4.7. Ефекти върху способността за шофиране и работа с машини</w:t>
      </w:r>
    </w:p>
    <w:p w14:paraId="6C18C5E7" w14:textId="0D6D27A2" w:rsidR="00A87BD0" w:rsidRDefault="00A87BD0" w:rsidP="00A87BD0"/>
    <w:p w14:paraId="31FF4E3C" w14:textId="77777777" w:rsidR="00A87BD0" w:rsidRPr="00A87BD0" w:rsidRDefault="00A87BD0" w:rsidP="00A87BD0">
      <w:pPr>
        <w:rPr>
          <w:sz w:val="24"/>
          <w:szCs w:val="24"/>
        </w:rPr>
      </w:pPr>
      <w:r w:rsidRPr="00A87BD0">
        <w:rPr>
          <w:lang w:eastAsia="bg-BG"/>
        </w:rPr>
        <w:t>Кутакуиг може да повлияе, чрез нежелани реакции свързани с него, на способността за шофиране и работа с машини. Пациенти, които са получили нежелани реакции по време на лечението, трябва да изчакат отминаването им преди шофиране или работа с машини.</w:t>
      </w:r>
    </w:p>
    <w:p w14:paraId="2F9616F1" w14:textId="77777777" w:rsidR="00A87BD0" w:rsidRPr="00A87BD0" w:rsidRDefault="00A87BD0" w:rsidP="00A87BD0"/>
    <w:p w14:paraId="44CE30A3" w14:textId="2A692C37" w:rsidR="007122AD" w:rsidRDefault="002C50EE" w:rsidP="00936AD0">
      <w:pPr>
        <w:pStyle w:val="Heading2"/>
      </w:pPr>
      <w:r>
        <w:t>4.8. Нежелани лекарствени реакции</w:t>
      </w:r>
    </w:p>
    <w:p w14:paraId="1FD1FA59" w14:textId="557DDCEE" w:rsidR="00A87BD0" w:rsidRDefault="00A87BD0" w:rsidP="00A87BD0"/>
    <w:p w14:paraId="2231C79C"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u w:val="single"/>
          <w:lang w:eastAsia="bg-BG"/>
        </w:rPr>
        <w:t>Резюме на профила на безопасност</w:t>
      </w:r>
    </w:p>
    <w:p w14:paraId="6AC37CAB"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Понякога могат да възникнат нежелани реакции като втрисане, главоболие, замаяност, повишена температура, повръщане, алергични реакции, гадене, артралгия, ниско кръвно налягане и умерена болка в кръста.</w:t>
      </w:r>
    </w:p>
    <w:p w14:paraId="74F4EA9A" w14:textId="77777777" w:rsidR="00A87BD0" w:rsidRPr="00A87BD0" w:rsidRDefault="00A87BD0" w:rsidP="00A87BD0">
      <w:pPr>
        <w:spacing w:line="240" w:lineRule="auto"/>
        <w:rPr>
          <w:rFonts w:eastAsia="Times New Roman" w:cs="Arial"/>
          <w:color w:val="000000"/>
          <w:lang w:eastAsia="bg-BG"/>
        </w:rPr>
      </w:pPr>
    </w:p>
    <w:p w14:paraId="68929385" w14:textId="7B2FD46A"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Рядко човешките нормални имуноглобулини могат да причинят внезапно понижаване на кръвното налягане а в отделни случаи, анафилактичен шок, дори когато пациентът не е показал свръхчувствителност при предишно приложение.</w:t>
      </w:r>
    </w:p>
    <w:p w14:paraId="0E8C7209" w14:textId="77777777" w:rsidR="00A87BD0" w:rsidRPr="00A87BD0" w:rsidRDefault="00A87BD0" w:rsidP="00A87BD0">
      <w:pPr>
        <w:spacing w:line="240" w:lineRule="auto"/>
        <w:rPr>
          <w:rFonts w:eastAsia="Times New Roman" w:cs="Arial"/>
          <w:color w:val="000000"/>
          <w:lang w:eastAsia="bg-BG"/>
        </w:rPr>
      </w:pPr>
    </w:p>
    <w:p w14:paraId="5A3248A1" w14:textId="72D91F23"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Често могат да се появят локални реакции в местата на инфузията: подуване, болезненост, зачервяване, уплътняване, локална топлина, сърбеж, кръвонасядане и обрив. Честотата на тези реакции обикновено намалява при продължаване на лечението.</w:t>
      </w:r>
    </w:p>
    <w:p w14:paraId="31193C70" w14:textId="77777777" w:rsidR="00A87BD0" w:rsidRPr="00A87BD0" w:rsidRDefault="00A87BD0" w:rsidP="00A87BD0">
      <w:pPr>
        <w:spacing w:line="240" w:lineRule="auto"/>
        <w:rPr>
          <w:rFonts w:eastAsia="Times New Roman" w:cs="Arial"/>
          <w:color w:val="000000"/>
          <w:lang w:eastAsia="bg-BG"/>
        </w:rPr>
      </w:pPr>
    </w:p>
    <w:p w14:paraId="5619373B" w14:textId="3CFF8189"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За информация относно безопасността по отношение на трансмисивни причинители, вижте точка 4.4.</w:t>
      </w:r>
    </w:p>
    <w:p w14:paraId="4A49E287" w14:textId="77777777" w:rsidR="00A87BD0" w:rsidRPr="00A87BD0" w:rsidRDefault="00A87BD0" w:rsidP="00A87BD0">
      <w:pPr>
        <w:spacing w:line="240" w:lineRule="auto"/>
        <w:rPr>
          <w:rFonts w:eastAsia="Times New Roman" w:cs="Arial"/>
          <w:color w:val="000000"/>
          <w:u w:val="single"/>
          <w:lang w:eastAsia="bg-BG"/>
        </w:rPr>
      </w:pPr>
    </w:p>
    <w:p w14:paraId="2068BE1C" w14:textId="30305C18" w:rsidR="00A87BD0" w:rsidRPr="00A87BD0" w:rsidRDefault="00A87BD0" w:rsidP="00A87BD0">
      <w:pPr>
        <w:spacing w:line="240" w:lineRule="auto"/>
        <w:rPr>
          <w:rFonts w:eastAsia="Times New Roman" w:cs="Arial"/>
          <w:sz w:val="24"/>
          <w:szCs w:val="24"/>
        </w:rPr>
      </w:pPr>
      <w:r w:rsidRPr="00A87BD0">
        <w:rPr>
          <w:rFonts w:eastAsia="Times New Roman" w:cs="Arial"/>
          <w:color w:val="000000"/>
          <w:u w:val="single"/>
          <w:lang w:eastAsia="bg-BG"/>
        </w:rPr>
        <w:t>Табличен списък на нежеланите лекарствени реакции</w:t>
      </w:r>
    </w:p>
    <w:p w14:paraId="6D51EC52"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Данните за клиничната безопасност се основават на пилотното фаза </w:t>
      </w:r>
      <w:r w:rsidRPr="00A87BD0">
        <w:rPr>
          <w:rFonts w:eastAsia="Times New Roman" w:cs="Arial"/>
          <w:color w:val="000000"/>
          <w:lang w:val="en-US"/>
        </w:rPr>
        <w:t>III</w:t>
      </w:r>
      <w:r w:rsidRPr="00A87BD0">
        <w:rPr>
          <w:rFonts w:eastAsia="Times New Roman" w:cs="Arial"/>
          <w:color w:val="000000"/>
          <w:lang w:val="ru-RU"/>
        </w:rPr>
        <w:t xml:space="preserve"> </w:t>
      </w:r>
      <w:r w:rsidRPr="00A87BD0">
        <w:rPr>
          <w:rFonts w:eastAsia="Times New Roman" w:cs="Arial"/>
          <w:color w:val="000000"/>
          <w:lang w:eastAsia="bg-BG"/>
        </w:rPr>
        <w:t xml:space="preserve">открито, проспективно, мултицентрово проучване на Кутакуиг при пациенти с </w:t>
      </w:r>
      <w:r w:rsidRPr="00A87BD0">
        <w:rPr>
          <w:rFonts w:eastAsia="Times New Roman" w:cs="Arial"/>
          <w:color w:val="000000"/>
          <w:lang w:val="en-US"/>
        </w:rPr>
        <w:t>PID</w:t>
      </w:r>
      <w:r w:rsidRPr="00A87BD0">
        <w:rPr>
          <w:rFonts w:eastAsia="Times New Roman" w:cs="Arial"/>
          <w:color w:val="000000"/>
          <w:lang w:val="ru-RU"/>
        </w:rPr>
        <w:t xml:space="preserve">, </w:t>
      </w:r>
      <w:r w:rsidRPr="00A87BD0">
        <w:rPr>
          <w:rFonts w:eastAsia="Times New Roman" w:cs="Arial"/>
          <w:color w:val="000000"/>
          <w:lang w:eastAsia="bg-BG"/>
        </w:rPr>
        <w:t xml:space="preserve">лекувани преди това с интравенозен </w:t>
      </w:r>
      <w:r w:rsidRPr="00A87BD0">
        <w:rPr>
          <w:rFonts w:eastAsia="Times New Roman" w:cs="Arial"/>
          <w:color w:val="000000"/>
          <w:lang w:val="en-US"/>
        </w:rPr>
        <w:t>IG</w:t>
      </w:r>
      <w:r w:rsidRPr="00A87BD0">
        <w:rPr>
          <w:rFonts w:eastAsia="Times New Roman" w:cs="Arial"/>
          <w:color w:val="000000"/>
          <w:lang w:val="ru-RU"/>
        </w:rPr>
        <w:t xml:space="preserve"> </w:t>
      </w:r>
      <w:r w:rsidRPr="00A87BD0">
        <w:rPr>
          <w:rFonts w:eastAsia="Times New Roman" w:cs="Arial"/>
          <w:color w:val="000000"/>
          <w:lang w:eastAsia="bg-BG"/>
        </w:rPr>
        <w:t>в продължение на най-малко 6 месеца. Това проучване е проведено в Европа и Северна Америка.</w:t>
      </w:r>
    </w:p>
    <w:p w14:paraId="7AE3EFCF"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В това проучване безопасността на Кутакуиг е оценена при 75 участници. Направени са общо 4462 инфузии с Кутакуиг.</w:t>
      </w:r>
    </w:p>
    <w:p w14:paraId="5F68CA5B" w14:textId="77777777" w:rsidR="00A87BD0" w:rsidRPr="00A87BD0" w:rsidRDefault="00A87BD0" w:rsidP="00A87BD0">
      <w:pPr>
        <w:spacing w:line="240" w:lineRule="auto"/>
        <w:rPr>
          <w:rFonts w:eastAsia="Times New Roman" w:cs="Arial"/>
          <w:color w:val="000000"/>
          <w:lang w:eastAsia="bg-BG"/>
        </w:rPr>
      </w:pPr>
    </w:p>
    <w:p w14:paraId="1573D94E" w14:textId="0F843EC5"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Таблицата, представена по-долу, е съгласно класификацията на системите на </w:t>
      </w:r>
      <w:proofErr w:type="spellStart"/>
      <w:r w:rsidRPr="00A87BD0">
        <w:rPr>
          <w:rFonts w:eastAsia="Times New Roman" w:cs="Arial"/>
          <w:color w:val="000000"/>
          <w:lang w:val="en-US"/>
        </w:rPr>
        <w:t>MedDRA</w:t>
      </w:r>
      <w:proofErr w:type="spellEnd"/>
      <w:r w:rsidRPr="00A87BD0">
        <w:rPr>
          <w:rFonts w:eastAsia="Times New Roman" w:cs="Arial"/>
          <w:color w:val="000000"/>
          <w:lang w:val="ru-RU"/>
        </w:rPr>
        <w:t xml:space="preserve"> </w:t>
      </w:r>
      <w:r w:rsidRPr="00A87BD0">
        <w:rPr>
          <w:rFonts w:eastAsia="Times New Roman" w:cs="Arial"/>
          <w:i/>
          <w:iCs/>
          <w:color w:val="000000"/>
          <w:lang w:val="ru-RU"/>
        </w:rPr>
        <w:t>(</w:t>
      </w:r>
      <w:r w:rsidRPr="00A87BD0">
        <w:rPr>
          <w:rFonts w:eastAsia="Times New Roman" w:cs="Arial"/>
          <w:i/>
          <w:iCs/>
          <w:color w:val="000000"/>
          <w:lang w:val="en-US"/>
        </w:rPr>
        <w:t>SOC</w:t>
      </w:r>
      <w:r w:rsidRPr="00A87BD0">
        <w:rPr>
          <w:rFonts w:eastAsia="Times New Roman" w:cs="Arial"/>
          <w:color w:val="000000"/>
          <w:lang w:val="ru-RU"/>
        </w:rPr>
        <w:t xml:space="preserve"> </w:t>
      </w:r>
      <w:r w:rsidRPr="00A87BD0">
        <w:rPr>
          <w:rFonts w:eastAsia="Times New Roman" w:cs="Arial"/>
          <w:color w:val="000000"/>
          <w:lang w:eastAsia="bg-BG"/>
        </w:rPr>
        <w:t>и Предпочитан термин за даденото ниво).</w:t>
      </w:r>
    </w:p>
    <w:p w14:paraId="5FDB2100" w14:textId="77777777" w:rsidR="00A87BD0" w:rsidRPr="00A87BD0" w:rsidRDefault="00A87BD0" w:rsidP="00A87BD0">
      <w:pPr>
        <w:spacing w:line="240" w:lineRule="auto"/>
        <w:rPr>
          <w:rFonts w:eastAsia="Times New Roman" w:cs="Arial"/>
          <w:color w:val="000000"/>
          <w:lang w:eastAsia="bg-BG"/>
        </w:rPr>
      </w:pPr>
    </w:p>
    <w:p w14:paraId="1864379E" w14:textId="5227E724"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Честотата на проявление при отделния пациент се определя на базата на следните условия: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57B6574D" w14:textId="51AD0AB5"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Във всяка честотна група нежеланите лекарствени реакции са представени в порядък с намаляване на тяхната сериозност.</w:t>
      </w:r>
    </w:p>
    <w:p w14:paraId="3640B763" w14:textId="77777777" w:rsidR="00A87BD0" w:rsidRPr="00A87BD0" w:rsidRDefault="00A87BD0" w:rsidP="00A87BD0">
      <w:pPr>
        <w:spacing w:line="240" w:lineRule="auto"/>
        <w:rPr>
          <w:rFonts w:eastAsia="Times New Roman" w:cs="Arial"/>
          <w:color w:val="000000"/>
          <w:lang w:eastAsia="bg-BG"/>
        </w:rPr>
      </w:pPr>
    </w:p>
    <w:p w14:paraId="094019F0" w14:textId="766C5D35"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Честота на нежеланите лекарствени реакции (НЛР) за участник и за инфузия в клиничното проучване с Кутакуиг:</w:t>
      </w:r>
    </w:p>
    <w:p w14:paraId="589183EE" w14:textId="0306A5EB" w:rsidR="00A87BD0" w:rsidRDefault="00A87BD0" w:rsidP="00A87BD0"/>
    <w:tbl>
      <w:tblPr>
        <w:tblStyle w:val="TableGrid"/>
        <w:tblW w:w="0" w:type="auto"/>
        <w:tblLook w:val="04A0" w:firstRow="1" w:lastRow="0" w:firstColumn="1" w:lastColumn="0" w:noHBand="0" w:noVBand="1"/>
      </w:tblPr>
      <w:tblGrid>
        <w:gridCol w:w="2354"/>
        <w:gridCol w:w="2330"/>
        <w:gridCol w:w="2294"/>
        <w:gridCol w:w="2372"/>
      </w:tblGrid>
      <w:tr w:rsidR="00A87BD0" w14:paraId="675E6015" w14:textId="77777777" w:rsidTr="00A87BD0">
        <w:tc>
          <w:tcPr>
            <w:tcW w:w="2394" w:type="dxa"/>
          </w:tcPr>
          <w:p w14:paraId="39B3E387" w14:textId="73721CE6" w:rsidR="00A87BD0" w:rsidRDefault="00A87BD0" w:rsidP="00A87BD0">
            <w:r>
              <w:rPr>
                <w:b/>
                <w:bCs/>
              </w:rPr>
              <w:t xml:space="preserve">Системо-органен клас </w:t>
            </w:r>
            <w:r w:rsidRPr="00A87BD0">
              <w:rPr>
                <w:b/>
                <w:bCs/>
                <w:lang w:val="ru-RU"/>
              </w:rPr>
              <w:t>(</w:t>
            </w:r>
            <w:r>
              <w:rPr>
                <w:b/>
                <w:bCs/>
                <w:lang w:val="en-US"/>
              </w:rPr>
              <w:t>SOC</w:t>
            </w:r>
            <w:r w:rsidRPr="00A87BD0">
              <w:rPr>
                <w:b/>
                <w:bCs/>
                <w:lang w:val="ru-RU"/>
              </w:rPr>
              <w:t xml:space="preserve">) </w:t>
            </w:r>
            <w:r>
              <w:rPr>
                <w:b/>
                <w:bCs/>
              </w:rPr>
              <w:t xml:space="preserve">по </w:t>
            </w:r>
            <w:proofErr w:type="spellStart"/>
            <w:r>
              <w:rPr>
                <w:b/>
                <w:bCs/>
                <w:lang w:val="en-US"/>
              </w:rPr>
              <w:t>MedDRA</w:t>
            </w:r>
            <w:proofErr w:type="spellEnd"/>
          </w:p>
        </w:tc>
        <w:tc>
          <w:tcPr>
            <w:tcW w:w="2394" w:type="dxa"/>
          </w:tcPr>
          <w:p w14:paraId="452C7D7F" w14:textId="7BCBA195" w:rsidR="00A87BD0" w:rsidRDefault="00A87BD0" w:rsidP="00A87BD0">
            <w:r>
              <w:rPr>
                <w:b/>
                <w:bCs/>
              </w:rPr>
              <w:t>Нежелана лекарствена реакция</w:t>
            </w:r>
          </w:p>
        </w:tc>
        <w:tc>
          <w:tcPr>
            <w:tcW w:w="2394" w:type="dxa"/>
          </w:tcPr>
          <w:p w14:paraId="56D7479A" w14:textId="4E02BF0C" w:rsidR="00A87BD0" w:rsidRDefault="00A87BD0" w:rsidP="00A87BD0">
            <w:r>
              <w:rPr>
                <w:b/>
                <w:bCs/>
              </w:rPr>
              <w:t>Честота/ инфузия</w:t>
            </w:r>
          </w:p>
        </w:tc>
        <w:tc>
          <w:tcPr>
            <w:tcW w:w="2394" w:type="dxa"/>
          </w:tcPr>
          <w:p w14:paraId="1BE2D050" w14:textId="5A681B2E" w:rsidR="00A87BD0" w:rsidRDefault="00A87BD0" w:rsidP="00A87BD0">
            <w:r>
              <w:rPr>
                <w:b/>
                <w:bCs/>
              </w:rPr>
              <w:t>Честота/участник</w:t>
            </w:r>
          </w:p>
        </w:tc>
      </w:tr>
      <w:tr w:rsidR="00A87BD0" w14:paraId="3EFB1460" w14:textId="77777777" w:rsidTr="00A87BD0">
        <w:tc>
          <w:tcPr>
            <w:tcW w:w="2394" w:type="dxa"/>
          </w:tcPr>
          <w:p w14:paraId="2A98E95C" w14:textId="66E79C29" w:rsidR="00A87BD0" w:rsidRDefault="00A87BD0" w:rsidP="00A87BD0">
            <w:r>
              <w:lastRenderedPageBreak/>
              <w:t>Нарушения на нервната система</w:t>
            </w:r>
          </w:p>
        </w:tc>
        <w:tc>
          <w:tcPr>
            <w:tcW w:w="2394" w:type="dxa"/>
          </w:tcPr>
          <w:p w14:paraId="473D3F32" w14:textId="5E5EB2AD" w:rsidR="00A87BD0" w:rsidRDefault="00A87BD0" w:rsidP="00A87BD0">
            <w:r>
              <w:t>Главоболие</w:t>
            </w:r>
          </w:p>
        </w:tc>
        <w:tc>
          <w:tcPr>
            <w:tcW w:w="2394" w:type="dxa"/>
          </w:tcPr>
          <w:p w14:paraId="13AE33AA" w14:textId="71F97242" w:rsidR="00A87BD0" w:rsidRDefault="00A87BD0" w:rsidP="00A87BD0">
            <w:r>
              <w:t>Редки</w:t>
            </w:r>
          </w:p>
        </w:tc>
        <w:tc>
          <w:tcPr>
            <w:tcW w:w="2394" w:type="dxa"/>
          </w:tcPr>
          <w:p w14:paraId="1D00B3B6" w14:textId="09A13EE6" w:rsidR="00A87BD0" w:rsidRDefault="00A87BD0" w:rsidP="00A87BD0">
            <w:r>
              <w:t>Чести</w:t>
            </w:r>
          </w:p>
        </w:tc>
      </w:tr>
      <w:tr w:rsidR="00A87BD0" w14:paraId="28F02107" w14:textId="77777777" w:rsidTr="00A87BD0">
        <w:tc>
          <w:tcPr>
            <w:tcW w:w="2394" w:type="dxa"/>
          </w:tcPr>
          <w:p w14:paraId="414976C0" w14:textId="7A6BBE2F" w:rsidR="00A87BD0" w:rsidRDefault="00A87BD0" w:rsidP="00A87BD0">
            <w:r>
              <w:t>Стомашно-чревни нарушения</w:t>
            </w:r>
          </w:p>
        </w:tc>
        <w:tc>
          <w:tcPr>
            <w:tcW w:w="2394" w:type="dxa"/>
          </w:tcPr>
          <w:p w14:paraId="04534771" w14:textId="77777777" w:rsidR="00A87BD0" w:rsidRDefault="00A87BD0" w:rsidP="00A87BD0">
            <w:r>
              <w:t xml:space="preserve">Раздуване на корема </w:t>
            </w:r>
          </w:p>
          <w:p w14:paraId="3A5D6F5A" w14:textId="06C9BC8E" w:rsidR="00A87BD0" w:rsidRDefault="00A87BD0" w:rsidP="00A87BD0">
            <w:r>
              <w:t>Коремна болка Повръщане</w:t>
            </w:r>
          </w:p>
        </w:tc>
        <w:tc>
          <w:tcPr>
            <w:tcW w:w="2394" w:type="dxa"/>
          </w:tcPr>
          <w:p w14:paraId="567DE6F0" w14:textId="77777777" w:rsidR="00A87BD0" w:rsidRDefault="00A87BD0" w:rsidP="00A87BD0">
            <w:r>
              <w:t>Редки</w:t>
            </w:r>
          </w:p>
          <w:p w14:paraId="32FE39E4" w14:textId="77777777" w:rsidR="00A87BD0" w:rsidRDefault="00A87BD0" w:rsidP="00A87BD0"/>
          <w:p w14:paraId="37115835" w14:textId="09E861D7" w:rsidR="00A87BD0" w:rsidRDefault="00A87BD0" w:rsidP="00A87BD0">
            <w:r>
              <w:t>Редки</w:t>
            </w:r>
          </w:p>
          <w:p w14:paraId="2D85B41A" w14:textId="2F71CCFC" w:rsidR="00A87BD0" w:rsidRDefault="00A87BD0" w:rsidP="00A87BD0">
            <w:r>
              <w:t>Редки</w:t>
            </w:r>
          </w:p>
        </w:tc>
        <w:tc>
          <w:tcPr>
            <w:tcW w:w="2394" w:type="dxa"/>
          </w:tcPr>
          <w:p w14:paraId="6F3F4DCE" w14:textId="77777777" w:rsidR="00A87BD0" w:rsidRDefault="00A87BD0" w:rsidP="00A87BD0">
            <w:r>
              <w:t>Чести</w:t>
            </w:r>
          </w:p>
          <w:p w14:paraId="350CF79B" w14:textId="77777777" w:rsidR="00A87BD0" w:rsidRDefault="00A87BD0" w:rsidP="00A87BD0"/>
          <w:p w14:paraId="11558015" w14:textId="5DFFAFED" w:rsidR="00A87BD0" w:rsidRDefault="00A87BD0" w:rsidP="00A87BD0">
            <w:r>
              <w:t>Чести</w:t>
            </w:r>
          </w:p>
          <w:p w14:paraId="7D5B0C34" w14:textId="181F609A" w:rsidR="00A87BD0" w:rsidRDefault="00A87BD0" w:rsidP="00A87BD0">
            <w:r>
              <w:t>Чести</w:t>
            </w:r>
          </w:p>
        </w:tc>
      </w:tr>
      <w:tr w:rsidR="00A87BD0" w14:paraId="6F9C4989" w14:textId="77777777" w:rsidTr="00A87BD0">
        <w:tc>
          <w:tcPr>
            <w:tcW w:w="2394" w:type="dxa"/>
          </w:tcPr>
          <w:p w14:paraId="1F2FC005" w14:textId="26F223A3" w:rsidR="00A87BD0" w:rsidRDefault="00A87BD0" w:rsidP="00A87BD0">
            <w:r>
              <w:t xml:space="preserve">Нарушения на мускулно- </w:t>
            </w:r>
            <w:r>
              <w:t>скелетната система и съединителната тъкан</w:t>
            </w:r>
          </w:p>
        </w:tc>
        <w:tc>
          <w:tcPr>
            <w:tcW w:w="2394" w:type="dxa"/>
          </w:tcPr>
          <w:p w14:paraId="05E63552" w14:textId="7AACFDE6" w:rsidR="00A87BD0" w:rsidRDefault="00A87BD0" w:rsidP="00A87BD0">
            <w:r>
              <w:t>Миалгия</w:t>
            </w:r>
          </w:p>
        </w:tc>
        <w:tc>
          <w:tcPr>
            <w:tcW w:w="2394" w:type="dxa"/>
          </w:tcPr>
          <w:p w14:paraId="6B98326C" w14:textId="59956075" w:rsidR="00A87BD0" w:rsidRDefault="00A87BD0" w:rsidP="00A87BD0">
            <w:r>
              <w:t>Редки</w:t>
            </w:r>
          </w:p>
        </w:tc>
        <w:tc>
          <w:tcPr>
            <w:tcW w:w="2394" w:type="dxa"/>
          </w:tcPr>
          <w:p w14:paraId="48D35CCF" w14:textId="77777777" w:rsidR="00A87BD0" w:rsidRDefault="00A87BD0" w:rsidP="00A87BD0"/>
        </w:tc>
      </w:tr>
      <w:tr w:rsidR="00A87BD0" w14:paraId="6195EB47" w14:textId="77777777" w:rsidTr="00A87BD0">
        <w:tc>
          <w:tcPr>
            <w:tcW w:w="2394" w:type="dxa"/>
            <w:vMerge w:val="restart"/>
          </w:tcPr>
          <w:p w14:paraId="59BE12E4" w14:textId="1106C4F2" w:rsidR="00A87BD0" w:rsidRDefault="00A87BD0" w:rsidP="00A87BD0">
            <w:r>
              <w:t>Общи нарушения и ефекти на мястото на приложение</w:t>
            </w:r>
          </w:p>
        </w:tc>
        <w:tc>
          <w:tcPr>
            <w:tcW w:w="2394" w:type="dxa"/>
          </w:tcPr>
          <w:p w14:paraId="6BE7940F" w14:textId="4BBE2552" w:rsidR="00A87BD0" w:rsidRDefault="00A87BD0" w:rsidP="00A87BD0">
            <w:r>
              <w:t>Реакция в мястото на инжектиране</w:t>
            </w:r>
          </w:p>
        </w:tc>
        <w:tc>
          <w:tcPr>
            <w:tcW w:w="2394" w:type="dxa"/>
          </w:tcPr>
          <w:p w14:paraId="2E27FE7C" w14:textId="58AA9779" w:rsidR="00A87BD0" w:rsidRDefault="00A87BD0" w:rsidP="00A87BD0">
            <w:r>
              <w:t>Много чести</w:t>
            </w:r>
          </w:p>
        </w:tc>
        <w:tc>
          <w:tcPr>
            <w:tcW w:w="2394" w:type="dxa"/>
          </w:tcPr>
          <w:p w14:paraId="4F5A986A" w14:textId="2381F13F" w:rsidR="00A87BD0" w:rsidRDefault="00A87BD0" w:rsidP="00A87BD0">
            <w:r>
              <w:t>Много чести</w:t>
            </w:r>
          </w:p>
        </w:tc>
      </w:tr>
      <w:tr w:rsidR="00A87BD0" w14:paraId="49C8E7B8" w14:textId="77777777" w:rsidTr="00A87BD0">
        <w:tc>
          <w:tcPr>
            <w:tcW w:w="2394" w:type="dxa"/>
            <w:vMerge/>
          </w:tcPr>
          <w:p w14:paraId="4F6FFBA7" w14:textId="77777777" w:rsidR="00A87BD0" w:rsidRDefault="00A87BD0" w:rsidP="00A87BD0"/>
        </w:tc>
        <w:tc>
          <w:tcPr>
            <w:tcW w:w="2394" w:type="dxa"/>
          </w:tcPr>
          <w:p w14:paraId="16160EFC" w14:textId="4B10D421" w:rsidR="00A87BD0" w:rsidRDefault="00A87BD0" w:rsidP="00A87BD0">
            <w:r>
              <w:t>Пирексия</w:t>
            </w:r>
          </w:p>
        </w:tc>
        <w:tc>
          <w:tcPr>
            <w:tcW w:w="2394" w:type="dxa"/>
          </w:tcPr>
          <w:p w14:paraId="6749A0CD" w14:textId="5FA6D273" w:rsidR="00A87BD0" w:rsidRDefault="00A87BD0" w:rsidP="00A87BD0">
            <w:r>
              <w:t>Редки</w:t>
            </w:r>
          </w:p>
        </w:tc>
        <w:tc>
          <w:tcPr>
            <w:tcW w:w="2394" w:type="dxa"/>
          </w:tcPr>
          <w:p w14:paraId="0EAACEB6" w14:textId="1DE4652A" w:rsidR="00A87BD0" w:rsidRDefault="00A87BD0" w:rsidP="00A87BD0">
            <w:r>
              <w:t>Чести</w:t>
            </w:r>
          </w:p>
        </w:tc>
      </w:tr>
      <w:tr w:rsidR="00A87BD0" w14:paraId="66A7EC98" w14:textId="77777777" w:rsidTr="00A87BD0">
        <w:tc>
          <w:tcPr>
            <w:tcW w:w="2394" w:type="dxa"/>
            <w:vMerge w:val="restart"/>
          </w:tcPr>
          <w:p w14:paraId="3B6E6240" w14:textId="5E09B880" w:rsidR="00A87BD0" w:rsidRDefault="00A87BD0" w:rsidP="00A87BD0">
            <w:r>
              <w:t>Изследвания</w:t>
            </w:r>
          </w:p>
        </w:tc>
        <w:tc>
          <w:tcPr>
            <w:tcW w:w="2394" w:type="dxa"/>
          </w:tcPr>
          <w:p w14:paraId="14BBF404" w14:textId="35F7E1D7" w:rsidR="00A87BD0" w:rsidRDefault="00A87BD0" w:rsidP="00A87BD0">
            <w:r>
              <w:t xml:space="preserve">Положителен тест на </w:t>
            </w:r>
            <w:r>
              <w:rPr>
                <w:lang w:val="en-US"/>
              </w:rPr>
              <w:t>Coombs</w:t>
            </w:r>
          </w:p>
        </w:tc>
        <w:tc>
          <w:tcPr>
            <w:tcW w:w="2394" w:type="dxa"/>
          </w:tcPr>
          <w:p w14:paraId="098CEADD" w14:textId="019FB8B2" w:rsidR="00A87BD0" w:rsidRDefault="00A87BD0" w:rsidP="00A87BD0">
            <w:r>
              <w:t>Редки</w:t>
            </w:r>
          </w:p>
        </w:tc>
        <w:tc>
          <w:tcPr>
            <w:tcW w:w="2394" w:type="dxa"/>
          </w:tcPr>
          <w:p w14:paraId="7E1AD69B" w14:textId="677D31FE" w:rsidR="00A87BD0" w:rsidRDefault="00A87BD0" w:rsidP="00A87BD0">
            <w:r>
              <w:t>Чести</w:t>
            </w:r>
          </w:p>
        </w:tc>
      </w:tr>
      <w:tr w:rsidR="00A87BD0" w14:paraId="75E68C1A" w14:textId="77777777" w:rsidTr="00A87BD0">
        <w:tc>
          <w:tcPr>
            <w:tcW w:w="2394" w:type="dxa"/>
            <w:vMerge/>
          </w:tcPr>
          <w:p w14:paraId="532C7FD3" w14:textId="77777777" w:rsidR="00A87BD0" w:rsidRDefault="00A87BD0" w:rsidP="00A87BD0"/>
        </w:tc>
        <w:tc>
          <w:tcPr>
            <w:tcW w:w="2394" w:type="dxa"/>
          </w:tcPr>
          <w:p w14:paraId="6D309E1D" w14:textId="48F3D95B" w:rsidR="00A87BD0" w:rsidRDefault="00A87BD0" w:rsidP="00A87BD0">
            <w:r>
              <w:t>Наличие на свободен хемоглобин</w:t>
            </w:r>
          </w:p>
        </w:tc>
        <w:tc>
          <w:tcPr>
            <w:tcW w:w="2394" w:type="dxa"/>
          </w:tcPr>
          <w:p w14:paraId="7D2E9DEA" w14:textId="4DE65592" w:rsidR="00A87BD0" w:rsidRDefault="00A87BD0" w:rsidP="00A87BD0">
            <w:r>
              <w:t>Редки</w:t>
            </w:r>
          </w:p>
        </w:tc>
        <w:tc>
          <w:tcPr>
            <w:tcW w:w="2394" w:type="dxa"/>
          </w:tcPr>
          <w:p w14:paraId="006D230E" w14:textId="186D8FE4" w:rsidR="00A87BD0" w:rsidRDefault="00A87BD0" w:rsidP="00A87BD0">
            <w:r>
              <w:t>Чести</w:t>
            </w:r>
          </w:p>
        </w:tc>
      </w:tr>
      <w:tr w:rsidR="00A87BD0" w14:paraId="01B38BE2" w14:textId="77777777" w:rsidTr="00A87BD0">
        <w:tc>
          <w:tcPr>
            <w:tcW w:w="2394" w:type="dxa"/>
            <w:vMerge/>
          </w:tcPr>
          <w:p w14:paraId="2899AE3E" w14:textId="77777777" w:rsidR="00A87BD0" w:rsidRDefault="00A87BD0" w:rsidP="00A87BD0"/>
        </w:tc>
        <w:tc>
          <w:tcPr>
            <w:tcW w:w="2394" w:type="dxa"/>
          </w:tcPr>
          <w:p w14:paraId="2ABE5C03" w14:textId="3E35ED1A" w:rsidR="00A87BD0" w:rsidRDefault="00A87BD0" w:rsidP="00A87BD0">
            <w:r>
              <w:t>Понижен хаптоглобин</w:t>
            </w:r>
          </w:p>
        </w:tc>
        <w:tc>
          <w:tcPr>
            <w:tcW w:w="2394" w:type="dxa"/>
          </w:tcPr>
          <w:p w14:paraId="63DCB09C" w14:textId="35D5DF07" w:rsidR="00A87BD0" w:rsidRDefault="00A87BD0" w:rsidP="00A87BD0">
            <w:r>
              <w:t>Редки</w:t>
            </w:r>
          </w:p>
        </w:tc>
        <w:tc>
          <w:tcPr>
            <w:tcW w:w="2394" w:type="dxa"/>
          </w:tcPr>
          <w:p w14:paraId="2470427D" w14:textId="68D9EE8D" w:rsidR="00A87BD0" w:rsidRDefault="00A87BD0" w:rsidP="00A87BD0">
            <w:r>
              <w:t>Чести</w:t>
            </w:r>
          </w:p>
        </w:tc>
      </w:tr>
    </w:tbl>
    <w:p w14:paraId="3117CFA2" w14:textId="1F1FDE59" w:rsidR="00A87BD0" w:rsidRDefault="00A87BD0" w:rsidP="00A87BD0"/>
    <w:p w14:paraId="3E108951" w14:textId="77777777" w:rsidR="00A87BD0" w:rsidRPr="00A87BD0" w:rsidRDefault="00A87BD0" w:rsidP="00A87BD0">
      <w:pPr>
        <w:rPr>
          <w:sz w:val="24"/>
          <w:szCs w:val="24"/>
        </w:rPr>
      </w:pPr>
      <w:r w:rsidRPr="00A87BD0">
        <w:rPr>
          <w:lang w:eastAsia="bg-BG"/>
        </w:rPr>
        <w:t>Следните нежелани реакции са установени по време на употребата на Кутакуиг след одобрение. Тъй като тези нежелани реакции се съобщават доброволно от популация с несигурен размер, не винаги е възможно надеждно да се оцени тяхната честота или да се установи причинно-следствена връзка с експозицията на лекарството.</w:t>
      </w:r>
    </w:p>
    <w:p w14:paraId="24A1CFE1" w14:textId="1B70BE99" w:rsidR="00A87BD0" w:rsidRDefault="00A87BD0" w:rsidP="00A87BD0"/>
    <w:tbl>
      <w:tblPr>
        <w:tblStyle w:val="TableGrid"/>
        <w:tblW w:w="0" w:type="auto"/>
        <w:tblLook w:val="04A0" w:firstRow="1" w:lastRow="0" w:firstColumn="1" w:lastColumn="0" w:noHBand="0" w:noVBand="1"/>
      </w:tblPr>
      <w:tblGrid>
        <w:gridCol w:w="4696"/>
        <w:gridCol w:w="4654"/>
      </w:tblGrid>
      <w:tr w:rsidR="00A87BD0" w14:paraId="16A8917A" w14:textId="77777777" w:rsidTr="00A87BD0">
        <w:tc>
          <w:tcPr>
            <w:tcW w:w="4788" w:type="dxa"/>
          </w:tcPr>
          <w:p w14:paraId="403482CC" w14:textId="7F821DBB" w:rsidR="00A87BD0" w:rsidRDefault="00A87BD0" w:rsidP="00A87BD0">
            <w:proofErr w:type="spellStart"/>
            <w:r>
              <w:rPr>
                <w:b/>
                <w:bCs/>
                <w:lang w:val="en-US"/>
              </w:rPr>
              <w:t>MedDRA</w:t>
            </w:r>
            <w:proofErr w:type="spellEnd"/>
            <w:r w:rsidRPr="00A87BD0">
              <w:rPr>
                <w:b/>
                <w:bCs/>
                <w:lang w:val="ru-RU"/>
              </w:rPr>
              <w:t xml:space="preserve"> </w:t>
            </w:r>
            <w:r>
              <w:rPr>
                <w:b/>
                <w:bCs/>
              </w:rPr>
              <w:t xml:space="preserve">системо-органен клас </w:t>
            </w:r>
            <w:r w:rsidRPr="00A87BD0">
              <w:rPr>
                <w:b/>
                <w:bCs/>
                <w:lang w:val="ru-RU"/>
              </w:rPr>
              <w:t>(</w:t>
            </w:r>
            <w:r>
              <w:rPr>
                <w:b/>
                <w:bCs/>
                <w:lang w:val="en-US"/>
              </w:rPr>
              <w:t>SOC</w:t>
            </w:r>
            <w:r w:rsidRPr="00A87BD0">
              <w:rPr>
                <w:b/>
                <w:bCs/>
                <w:lang w:val="ru-RU"/>
              </w:rPr>
              <w:t xml:space="preserve">) </w:t>
            </w:r>
            <w:r>
              <w:rPr>
                <w:b/>
                <w:bCs/>
              </w:rPr>
              <w:t>според последователността:</w:t>
            </w:r>
          </w:p>
        </w:tc>
        <w:tc>
          <w:tcPr>
            <w:tcW w:w="4788" w:type="dxa"/>
          </w:tcPr>
          <w:p w14:paraId="398AA354" w14:textId="3DBB943B" w:rsidR="00A87BD0" w:rsidRDefault="00A87BD0" w:rsidP="00A87BD0">
            <w:r>
              <w:rPr>
                <w:b/>
                <w:bCs/>
              </w:rPr>
              <w:t>Нежелана реакция (РТ)</w:t>
            </w:r>
          </w:p>
        </w:tc>
      </w:tr>
      <w:tr w:rsidR="00A87BD0" w14:paraId="7B2D1D2B" w14:textId="77777777" w:rsidTr="00A87BD0">
        <w:tc>
          <w:tcPr>
            <w:tcW w:w="4788" w:type="dxa"/>
          </w:tcPr>
          <w:p w14:paraId="5BE1C57E" w14:textId="60327AAA" w:rsidR="00A87BD0" w:rsidRDefault="00A87BD0" w:rsidP="00A87BD0">
            <w:r>
              <w:t>Заболявания на нервната система</w:t>
            </w:r>
          </w:p>
        </w:tc>
        <w:tc>
          <w:tcPr>
            <w:tcW w:w="4788" w:type="dxa"/>
          </w:tcPr>
          <w:p w14:paraId="7F625A3F" w14:textId="0B98C6CB" w:rsidR="00A87BD0" w:rsidRDefault="00A87BD0" w:rsidP="00A87BD0">
            <w:r>
              <w:t>световъртеж</w:t>
            </w:r>
          </w:p>
        </w:tc>
      </w:tr>
      <w:tr w:rsidR="00A87BD0" w14:paraId="7CE402E6" w14:textId="77777777" w:rsidTr="00A87BD0">
        <w:tc>
          <w:tcPr>
            <w:tcW w:w="4788" w:type="dxa"/>
          </w:tcPr>
          <w:p w14:paraId="0CC4E53F" w14:textId="7F0F16F6" w:rsidR="00A87BD0" w:rsidRDefault="00A87BD0" w:rsidP="00A87BD0">
            <w:r>
              <w:t>Стомашно-чревни заболявания</w:t>
            </w:r>
          </w:p>
        </w:tc>
        <w:tc>
          <w:tcPr>
            <w:tcW w:w="4788" w:type="dxa"/>
          </w:tcPr>
          <w:p w14:paraId="789B67A4" w14:textId="00F0C492" w:rsidR="00A87BD0" w:rsidRDefault="00A87BD0" w:rsidP="00A87BD0">
            <w:r>
              <w:t>гадене</w:t>
            </w:r>
          </w:p>
        </w:tc>
      </w:tr>
      <w:tr w:rsidR="00A87BD0" w14:paraId="567A644F" w14:textId="77777777" w:rsidTr="00A87BD0">
        <w:tc>
          <w:tcPr>
            <w:tcW w:w="4788" w:type="dxa"/>
          </w:tcPr>
          <w:p w14:paraId="5250295D" w14:textId="2FB1C96A" w:rsidR="00A87BD0" w:rsidRDefault="00A87BD0" w:rsidP="00A87BD0">
            <w:r>
              <w:t>Заболявания на кожата и подкожната тъкан</w:t>
            </w:r>
          </w:p>
        </w:tc>
        <w:tc>
          <w:tcPr>
            <w:tcW w:w="4788" w:type="dxa"/>
          </w:tcPr>
          <w:p w14:paraId="684FBFB5" w14:textId="5288C013" w:rsidR="00A87BD0" w:rsidRDefault="00A87BD0" w:rsidP="00A87BD0">
            <w:r>
              <w:t>сърбеж</w:t>
            </w:r>
          </w:p>
        </w:tc>
      </w:tr>
      <w:tr w:rsidR="00A87BD0" w14:paraId="63E40F74" w14:textId="77777777" w:rsidTr="00A87BD0">
        <w:tc>
          <w:tcPr>
            <w:tcW w:w="4788" w:type="dxa"/>
          </w:tcPr>
          <w:p w14:paraId="30671792" w14:textId="633D72B4" w:rsidR="00A87BD0" w:rsidRDefault="00A87BD0" w:rsidP="00A87BD0">
            <w:r>
              <w:t>Общи заболявания и състояния на мястото на приложение::</w:t>
            </w:r>
          </w:p>
        </w:tc>
        <w:tc>
          <w:tcPr>
            <w:tcW w:w="4788" w:type="dxa"/>
          </w:tcPr>
          <w:p w14:paraId="7E0012F4" w14:textId="476644CC" w:rsidR="00A87BD0" w:rsidRDefault="00A87BD0" w:rsidP="00A87BD0">
            <w:r>
              <w:t>умора</w:t>
            </w:r>
          </w:p>
        </w:tc>
      </w:tr>
    </w:tbl>
    <w:p w14:paraId="66634D2E" w14:textId="77777777" w:rsidR="00A87BD0" w:rsidRDefault="00A87BD0" w:rsidP="00A87BD0">
      <w:pPr>
        <w:spacing w:line="240" w:lineRule="auto"/>
        <w:rPr>
          <w:rFonts w:ascii="Times New Roman" w:eastAsia="Times New Roman" w:hAnsi="Times New Roman" w:cs="Times New Roman"/>
          <w:color w:val="000000"/>
          <w:lang w:eastAsia="bg-BG"/>
        </w:rPr>
      </w:pPr>
    </w:p>
    <w:p w14:paraId="7C7E06DD" w14:textId="3D3CF3D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Следващите допълнителни нежелани реакции са съобщени при използване на подкожни имуноглобулинови продукти след одобряването им за употреба: оток на лицето, тремор, бледност, бронхоспазъм, диспнея, кашлица, диария, уртикария, обрив, зачервяване, усещане за горещина, усещане за студ, астения, грипоподобно заболяване, неразположение, болка на мястото на инжектиране, стягане в гърлото, асептичен менингит, високо кръвно налягане и тромбоемболични събития.</w:t>
      </w:r>
    </w:p>
    <w:p w14:paraId="0996E844" w14:textId="77777777" w:rsidR="00A87BD0" w:rsidRPr="00A87BD0" w:rsidRDefault="00A87BD0" w:rsidP="00A87BD0">
      <w:pPr>
        <w:spacing w:line="240" w:lineRule="auto"/>
        <w:rPr>
          <w:rFonts w:eastAsia="Times New Roman" w:cs="Arial"/>
          <w:color w:val="000000"/>
          <w:u w:val="single"/>
          <w:lang w:eastAsia="bg-BG"/>
        </w:rPr>
      </w:pPr>
    </w:p>
    <w:p w14:paraId="09DA497E" w14:textId="0A94CD5C" w:rsidR="00A87BD0" w:rsidRPr="00A87BD0" w:rsidRDefault="00A87BD0" w:rsidP="00A87BD0">
      <w:pPr>
        <w:spacing w:line="240" w:lineRule="auto"/>
        <w:rPr>
          <w:rFonts w:eastAsia="Times New Roman" w:cs="Arial"/>
          <w:sz w:val="24"/>
          <w:szCs w:val="24"/>
        </w:rPr>
      </w:pPr>
      <w:r w:rsidRPr="00A87BD0">
        <w:rPr>
          <w:rFonts w:eastAsia="Times New Roman" w:cs="Arial"/>
          <w:color w:val="000000"/>
          <w:u w:val="single"/>
          <w:lang w:eastAsia="bg-BG"/>
        </w:rPr>
        <w:t>Педиатрична популация</w:t>
      </w:r>
    </w:p>
    <w:p w14:paraId="16422E55"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Честотата, вида и тежестта на нежеланите лекарствени реакции при деца се очаква да бъзат същите като при възрастни.</w:t>
      </w:r>
    </w:p>
    <w:p w14:paraId="5F71245C" w14:textId="77777777" w:rsidR="00A87BD0" w:rsidRPr="00A87BD0" w:rsidRDefault="00A87BD0" w:rsidP="00A87BD0">
      <w:pPr>
        <w:spacing w:line="240" w:lineRule="auto"/>
        <w:rPr>
          <w:rFonts w:eastAsia="Times New Roman" w:cs="Arial"/>
          <w:color w:val="000000"/>
          <w:u w:val="single"/>
          <w:lang w:eastAsia="bg-BG"/>
        </w:rPr>
      </w:pPr>
    </w:p>
    <w:p w14:paraId="03F83844" w14:textId="7D5921C3" w:rsidR="00A87BD0" w:rsidRPr="00A87BD0" w:rsidRDefault="00A87BD0" w:rsidP="00A87BD0">
      <w:pPr>
        <w:spacing w:line="240" w:lineRule="auto"/>
        <w:rPr>
          <w:rFonts w:eastAsia="Times New Roman" w:cs="Arial"/>
          <w:sz w:val="24"/>
          <w:szCs w:val="24"/>
        </w:rPr>
      </w:pPr>
      <w:r w:rsidRPr="00A87BD0">
        <w:rPr>
          <w:rFonts w:eastAsia="Times New Roman" w:cs="Arial"/>
          <w:color w:val="000000"/>
          <w:u w:val="single"/>
          <w:lang w:eastAsia="bg-BG"/>
        </w:rPr>
        <w:t>Съобщаване на подозирани нежелани реакции</w:t>
      </w:r>
    </w:p>
    <w:p w14:paraId="649343D2"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lastRenderedPageBreak/>
        <w:t>Съобщаването на подозирани нежелани реакции след разрешаване за употреба на ле</w:t>
      </w:r>
      <w:r w:rsidRPr="00A87BD0">
        <w:rPr>
          <w:rFonts w:eastAsia="Times New Roman" w:cs="Arial"/>
          <w:color w:val="000000"/>
          <w:u w:val="single"/>
          <w:lang w:eastAsia="bg-BG"/>
        </w:rPr>
        <w:t>карстве</w:t>
      </w:r>
      <w:r w:rsidRPr="00A87BD0">
        <w:rPr>
          <w:rFonts w:eastAsia="Times New Roman" w:cs="Arial"/>
          <w:color w:val="000000"/>
          <w:lang w:eastAsia="bg-BG"/>
        </w:rPr>
        <w:t>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3AEC5C2F" w14:textId="77777777" w:rsidR="00A87BD0" w:rsidRPr="00A87BD0" w:rsidRDefault="00A87BD0" w:rsidP="00A87BD0">
      <w:pPr>
        <w:spacing w:line="240" w:lineRule="auto"/>
        <w:rPr>
          <w:rFonts w:eastAsia="Times New Roman" w:cs="Arial"/>
          <w:color w:val="000000"/>
          <w:lang w:eastAsia="bg-BG"/>
        </w:rPr>
      </w:pPr>
    </w:p>
    <w:p w14:paraId="4E659FCC" w14:textId="77777777" w:rsidR="00A87BD0" w:rsidRPr="00A87BD0" w:rsidRDefault="00A87BD0" w:rsidP="00A87BD0">
      <w:pPr>
        <w:spacing w:line="240" w:lineRule="auto"/>
        <w:rPr>
          <w:rFonts w:eastAsia="Times New Roman" w:cs="Arial"/>
          <w:color w:val="000000"/>
          <w:lang w:eastAsia="bg-BG"/>
        </w:rPr>
      </w:pPr>
      <w:r w:rsidRPr="00A87BD0">
        <w:rPr>
          <w:rFonts w:eastAsia="Times New Roman" w:cs="Arial"/>
          <w:color w:val="000000"/>
          <w:lang w:eastAsia="bg-BG"/>
        </w:rPr>
        <w:t xml:space="preserve">Изпълнителна агенция по лекарствата </w:t>
      </w:r>
    </w:p>
    <w:p w14:paraId="22C65DC7" w14:textId="77777777" w:rsidR="00A87BD0" w:rsidRPr="00A87BD0" w:rsidRDefault="00A87BD0" w:rsidP="00A87BD0">
      <w:pPr>
        <w:spacing w:line="240" w:lineRule="auto"/>
        <w:rPr>
          <w:rFonts w:eastAsia="Times New Roman" w:cs="Arial"/>
          <w:color w:val="000000"/>
          <w:lang w:eastAsia="bg-BG"/>
        </w:rPr>
      </w:pPr>
      <w:r w:rsidRPr="00A87BD0">
        <w:rPr>
          <w:rFonts w:eastAsia="Times New Roman" w:cs="Arial"/>
          <w:color w:val="000000"/>
          <w:lang w:eastAsia="bg-BG"/>
        </w:rPr>
        <w:t xml:space="preserve">ул. „Дамян Груев” № 8 </w:t>
      </w:r>
    </w:p>
    <w:p w14:paraId="009DB532" w14:textId="2BB03AA4"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1303 София</w:t>
      </w:r>
    </w:p>
    <w:p w14:paraId="56D8F501"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Тел.:4-359 2 8903417</w:t>
      </w:r>
    </w:p>
    <w:p w14:paraId="4F4CA2B6" w14:textId="05F86EB4" w:rsidR="00A87BD0" w:rsidRDefault="00A87BD0" w:rsidP="00A87BD0">
      <w:pPr>
        <w:rPr>
          <w:rFonts w:ascii="Times New Roman" w:eastAsia="Times New Roman" w:hAnsi="Times New Roman" w:cs="Times New Roman"/>
          <w:sz w:val="24"/>
          <w:szCs w:val="24"/>
        </w:rPr>
      </w:pPr>
      <w:r w:rsidRPr="00A87BD0">
        <w:rPr>
          <w:rFonts w:eastAsia="Times New Roman" w:cs="Arial"/>
          <w:color w:val="000000"/>
          <w:lang w:eastAsia="bg-BG"/>
        </w:rPr>
        <w:t>уебса</w:t>
      </w:r>
      <w:r w:rsidRPr="00A87BD0">
        <w:rPr>
          <w:lang w:eastAsia="bg-BG"/>
        </w:rPr>
        <w:t xml:space="preserve">йт: </w:t>
      </w:r>
      <w:hyperlink r:id="rId5" w:history="1">
        <w:r w:rsidRPr="00A87BD0">
          <w:rPr>
            <w:lang w:val="en-US"/>
          </w:rPr>
          <w:t>www.bda.bg</w:t>
        </w:r>
      </w:hyperlink>
    </w:p>
    <w:p w14:paraId="26BBA185" w14:textId="77777777" w:rsidR="00A87BD0" w:rsidRPr="00A87BD0" w:rsidRDefault="00A87BD0" w:rsidP="00A87BD0"/>
    <w:p w14:paraId="5A87DBA3" w14:textId="18B1364A" w:rsidR="007122AD" w:rsidRDefault="002C50EE" w:rsidP="00936AD0">
      <w:pPr>
        <w:pStyle w:val="Heading2"/>
      </w:pPr>
      <w:r>
        <w:t>4.9. Предозиране</w:t>
      </w:r>
    </w:p>
    <w:p w14:paraId="617C734C" w14:textId="7E601035" w:rsidR="00A87BD0" w:rsidRDefault="00A87BD0" w:rsidP="00A87BD0"/>
    <w:p w14:paraId="465ACD25" w14:textId="1F1E9E4A" w:rsidR="00A87BD0" w:rsidRPr="00A87BD0" w:rsidRDefault="00A87BD0" w:rsidP="00A87BD0">
      <w:r>
        <w:t>Последствията от предозиране не са известни.</w:t>
      </w:r>
    </w:p>
    <w:p w14:paraId="02081B24" w14:textId="1F46E296" w:rsidR="00395555" w:rsidRPr="00395555" w:rsidRDefault="002C50EE" w:rsidP="008A6AF2">
      <w:pPr>
        <w:pStyle w:val="Heading1"/>
      </w:pPr>
      <w:r>
        <w:t>5. ФАРМАКОЛОГИЧНИ СВОЙСТВА</w:t>
      </w:r>
    </w:p>
    <w:p w14:paraId="7DE36AC8" w14:textId="74AB408A" w:rsidR="00B6672E" w:rsidRDefault="002C50EE" w:rsidP="00936AD0">
      <w:pPr>
        <w:pStyle w:val="Heading2"/>
      </w:pPr>
      <w:r>
        <w:t>5.1. Фармакодинамични свойства</w:t>
      </w:r>
    </w:p>
    <w:p w14:paraId="68D7EF28" w14:textId="3EFEC9A4" w:rsidR="00A87BD0" w:rsidRDefault="00A87BD0" w:rsidP="00A87BD0"/>
    <w:p w14:paraId="65B9F54A"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Фармакотерапевтична група: имунни серуми и имуноглобулини: имуноглобулини, нормални човешки, за екстравазално приложение, АТС код: </w:t>
      </w:r>
      <w:r w:rsidRPr="00A87BD0">
        <w:rPr>
          <w:rFonts w:eastAsia="Times New Roman" w:cs="Arial"/>
          <w:color w:val="000000"/>
          <w:lang w:val="en-US"/>
        </w:rPr>
        <w:t>J</w:t>
      </w:r>
      <w:r w:rsidRPr="00A87BD0">
        <w:rPr>
          <w:rFonts w:eastAsia="Times New Roman" w:cs="Arial"/>
          <w:color w:val="000000"/>
          <w:lang w:val="ru-RU"/>
        </w:rPr>
        <w:t>06</w:t>
      </w:r>
      <w:r w:rsidRPr="00A87BD0">
        <w:rPr>
          <w:rFonts w:eastAsia="Times New Roman" w:cs="Arial"/>
          <w:color w:val="000000"/>
          <w:lang w:val="en-US"/>
        </w:rPr>
        <w:t>BA</w:t>
      </w:r>
      <w:r w:rsidRPr="00A87BD0">
        <w:rPr>
          <w:rFonts w:eastAsia="Times New Roman" w:cs="Arial"/>
          <w:color w:val="000000"/>
          <w:lang w:val="ru-RU"/>
        </w:rPr>
        <w:t>01</w:t>
      </w:r>
      <w:r w:rsidRPr="00A87BD0">
        <w:rPr>
          <w:rFonts w:eastAsia="Times New Roman" w:cs="Arial"/>
          <w:color w:val="000000"/>
          <w:lang w:eastAsia="bg-BG"/>
        </w:rPr>
        <w:t>.</w:t>
      </w:r>
    </w:p>
    <w:p w14:paraId="3209863E" w14:textId="77777777" w:rsidR="00A87BD0" w:rsidRPr="00A87BD0" w:rsidRDefault="00A87BD0" w:rsidP="00A87BD0">
      <w:pPr>
        <w:spacing w:line="240" w:lineRule="auto"/>
        <w:rPr>
          <w:rFonts w:eastAsia="Times New Roman" w:cs="Arial"/>
          <w:color w:val="000000"/>
          <w:lang w:eastAsia="bg-BG"/>
        </w:rPr>
      </w:pPr>
    </w:p>
    <w:p w14:paraId="2A041218" w14:textId="081BEAC0"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Човешкият нормален имуноглобулин съдържа главно имуноглобулин </w:t>
      </w:r>
      <w:r w:rsidRPr="00A87BD0">
        <w:rPr>
          <w:rFonts w:eastAsia="Times New Roman" w:cs="Arial"/>
          <w:color w:val="000000"/>
          <w:lang w:val="en-US"/>
        </w:rPr>
        <w:t>G</w:t>
      </w:r>
      <w:r w:rsidRPr="00A87BD0">
        <w:rPr>
          <w:rFonts w:eastAsia="Times New Roman" w:cs="Arial"/>
          <w:color w:val="000000"/>
          <w:lang w:val="ru-RU"/>
        </w:rPr>
        <w:t xml:space="preserve"> (</w:t>
      </w:r>
      <w:r w:rsidRPr="00A87BD0">
        <w:rPr>
          <w:rFonts w:eastAsia="Times New Roman" w:cs="Arial"/>
          <w:color w:val="000000"/>
          <w:lang w:val="en-US"/>
        </w:rPr>
        <w:t>IgG</w:t>
      </w:r>
      <w:r w:rsidRPr="00A87BD0">
        <w:rPr>
          <w:rFonts w:eastAsia="Times New Roman" w:cs="Arial"/>
          <w:color w:val="000000"/>
          <w:lang w:val="ru-RU"/>
        </w:rPr>
        <w:t xml:space="preserve">) </w:t>
      </w:r>
      <w:r w:rsidRPr="00A87BD0">
        <w:rPr>
          <w:rFonts w:eastAsia="Times New Roman" w:cs="Arial"/>
          <w:color w:val="000000"/>
          <w:lang w:eastAsia="bg-BG"/>
        </w:rPr>
        <w:t>с широк спектър от антитела срещу инфекциозни причинители.</w:t>
      </w:r>
    </w:p>
    <w:p w14:paraId="03F4ED58" w14:textId="77777777" w:rsidR="00A87BD0" w:rsidRPr="00A87BD0" w:rsidRDefault="00A87BD0" w:rsidP="00A87BD0">
      <w:pPr>
        <w:spacing w:line="240" w:lineRule="auto"/>
        <w:rPr>
          <w:rFonts w:eastAsia="Times New Roman" w:cs="Arial"/>
          <w:color w:val="000000"/>
          <w:lang w:eastAsia="bg-BG"/>
        </w:rPr>
      </w:pPr>
    </w:p>
    <w:p w14:paraId="7936E002" w14:textId="326FBEBB"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Човешкият нормален имуноглобулин съдържа </w:t>
      </w:r>
      <w:r w:rsidRPr="00A87BD0">
        <w:rPr>
          <w:rFonts w:eastAsia="Times New Roman" w:cs="Arial"/>
          <w:color w:val="000000"/>
          <w:lang w:val="en-US"/>
        </w:rPr>
        <w:t>IgG</w:t>
      </w:r>
      <w:r w:rsidRPr="00A87BD0">
        <w:rPr>
          <w:rFonts w:eastAsia="Times New Roman" w:cs="Arial"/>
          <w:color w:val="000000"/>
          <w:lang w:val="ru-RU"/>
        </w:rPr>
        <w:t xml:space="preserve"> </w:t>
      </w:r>
      <w:r w:rsidRPr="00A87BD0">
        <w:rPr>
          <w:rFonts w:eastAsia="Times New Roman" w:cs="Arial"/>
          <w:color w:val="000000"/>
          <w:lang w:eastAsia="bg-BG"/>
        </w:rPr>
        <w:t xml:space="preserve">антителата, присъстващи в нормалната популация. Обикновено се приготвя от пулова плазма от не по-малко от 1000 донора. Разпределението на подкласовете имуноглобулин </w:t>
      </w:r>
      <w:r w:rsidRPr="00A87BD0">
        <w:rPr>
          <w:rFonts w:eastAsia="Times New Roman" w:cs="Arial"/>
          <w:color w:val="000000"/>
          <w:lang w:val="en-US"/>
        </w:rPr>
        <w:t>G</w:t>
      </w:r>
      <w:r w:rsidRPr="00A87BD0">
        <w:rPr>
          <w:rFonts w:eastAsia="Times New Roman" w:cs="Arial"/>
          <w:color w:val="000000"/>
          <w:lang w:val="ru-RU"/>
        </w:rPr>
        <w:t xml:space="preserve"> </w:t>
      </w:r>
      <w:r w:rsidRPr="00A87BD0">
        <w:rPr>
          <w:rFonts w:eastAsia="Times New Roman" w:cs="Arial"/>
          <w:color w:val="000000"/>
          <w:lang w:eastAsia="bg-BG"/>
        </w:rPr>
        <w:t xml:space="preserve">е пропорционално на това в нативната човешка плазма. Подходящи дози от този лекарствен продукт могат да възстановят анормално ниските нива на имуноглобулин </w:t>
      </w:r>
      <w:r w:rsidRPr="00A87BD0">
        <w:rPr>
          <w:rFonts w:eastAsia="Times New Roman" w:cs="Arial"/>
          <w:color w:val="000000"/>
          <w:lang w:val="en-US"/>
        </w:rPr>
        <w:t>G</w:t>
      </w:r>
      <w:r w:rsidRPr="00A87BD0">
        <w:rPr>
          <w:rFonts w:eastAsia="Times New Roman" w:cs="Arial"/>
          <w:color w:val="000000"/>
          <w:lang w:val="ru-RU"/>
        </w:rPr>
        <w:t xml:space="preserve"> </w:t>
      </w:r>
      <w:r w:rsidRPr="00A87BD0">
        <w:rPr>
          <w:rFonts w:eastAsia="Times New Roman" w:cs="Arial"/>
          <w:color w:val="000000"/>
          <w:lang w:eastAsia="bg-BG"/>
        </w:rPr>
        <w:t>до нормалните граници.</w:t>
      </w:r>
    </w:p>
    <w:p w14:paraId="0D41EA4C" w14:textId="77777777" w:rsidR="00A87BD0" w:rsidRPr="00A87BD0" w:rsidRDefault="00A87BD0" w:rsidP="00A87BD0">
      <w:pPr>
        <w:spacing w:line="240" w:lineRule="auto"/>
        <w:rPr>
          <w:rFonts w:eastAsia="Times New Roman" w:cs="Arial"/>
          <w:color w:val="000000"/>
          <w:lang w:eastAsia="bg-BG"/>
        </w:rPr>
      </w:pPr>
    </w:p>
    <w:p w14:paraId="493C9CE5" w14:textId="6642018A"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В клинично изпитване общо 75 пациенти със синдроми на първичен имунен дефицит са лекувани с Кутакуиг до 64 седмици. Средната доза, прилагана всяка седмица на пациент, е 0,187 </w:t>
      </w:r>
      <w:r w:rsidRPr="00A87BD0">
        <w:rPr>
          <w:rFonts w:eastAsia="Times New Roman" w:cs="Arial"/>
          <w:color w:val="000000"/>
          <w:lang w:val="en-US"/>
        </w:rPr>
        <w:t>g</w:t>
      </w:r>
      <w:r w:rsidRPr="00A87BD0">
        <w:rPr>
          <w:rFonts w:eastAsia="Times New Roman" w:cs="Arial"/>
          <w:color w:val="000000"/>
          <w:lang w:val="ru-RU"/>
        </w:rPr>
        <w:t>/</w:t>
      </w:r>
      <w:r w:rsidRPr="00A87BD0">
        <w:rPr>
          <w:rFonts w:eastAsia="Times New Roman" w:cs="Arial"/>
          <w:color w:val="000000"/>
          <w:lang w:val="en-US"/>
        </w:rPr>
        <w:t>kg</w:t>
      </w:r>
      <w:r w:rsidRPr="00A87BD0">
        <w:rPr>
          <w:rFonts w:eastAsia="Times New Roman" w:cs="Arial"/>
          <w:color w:val="000000"/>
          <w:lang w:val="ru-RU"/>
        </w:rPr>
        <w:t xml:space="preserve"> </w:t>
      </w:r>
      <w:r w:rsidRPr="00A87BD0">
        <w:rPr>
          <w:rFonts w:eastAsia="Times New Roman" w:cs="Arial"/>
          <w:color w:val="000000"/>
          <w:lang w:eastAsia="bg-BG"/>
        </w:rPr>
        <w:t xml:space="preserve">при възрастни пациенти, 0,150 </w:t>
      </w:r>
      <w:r w:rsidRPr="00A87BD0">
        <w:rPr>
          <w:rFonts w:eastAsia="Times New Roman" w:cs="Arial"/>
          <w:color w:val="000000"/>
          <w:lang w:val="en-US"/>
        </w:rPr>
        <w:t>g</w:t>
      </w:r>
      <w:r w:rsidRPr="00A87BD0">
        <w:rPr>
          <w:rFonts w:eastAsia="Times New Roman" w:cs="Arial"/>
          <w:color w:val="000000"/>
          <w:lang w:val="ru-RU"/>
        </w:rPr>
        <w:t>/</w:t>
      </w:r>
      <w:r w:rsidRPr="00A87BD0">
        <w:rPr>
          <w:rFonts w:eastAsia="Times New Roman" w:cs="Arial"/>
          <w:color w:val="000000"/>
          <w:lang w:val="en-US"/>
        </w:rPr>
        <w:t>kg</w:t>
      </w:r>
      <w:r w:rsidRPr="00A87BD0">
        <w:rPr>
          <w:rFonts w:eastAsia="Times New Roman" w:cs="Arial"/>
          <w:color w:val="000000"/>
          <w:lang w:val="ru-RU"/>
        </w:rPr>
        <w:t xml:space="preserve"> </w:t>
      </w:r>
      <w:r w:rsidRPr="00A87BD0">
        <w:rPr>
          <w:rFonts w:eastAsia="Times New Roman" w:cs="Arial"/>
          <w:color w:val="000000"/>
          <w:lang w:eastAsia="bg-BG"/>
        </w:rPr>
        <w:t xml:space="preserve">при малки деца, 0,164 </w:t>
      </w:r>
      <w:r w:rsidRPr="00A87BD0">
        <w:rPr>
          <w:rFonts w:eastAsia="Times New Roman" w:cs="Arial"/>
          <w:color w:val="000000"/>
          <w:lang w:val="en-US"/>
        </w:rPr>
        <w:t>g</w:t>
      </w:r>
      <w:r w:rsidRPr="00A87BD0">
        <w:rPr>
          <w:rFonts w:eastAsia="Times New Roman" w:cs="Arial"/>
          <w:color w:val="000000"/>
          <w:lang w:val="ru-RU"/>
        </w:rPr>
        <w:t>/</w:t>
      </w:r>
      <w:r w:rsidRPr="00A87BD0">
        <w:rPr>
          <w:rFonts w:eastAsia="Times New Roman" w:cs="Arial"/>
          <w:color w:val="000000"/>
          <w:lang w:val="en-US"/>
        </w:rPr>
        <w:t>kg</w:t>
      </w:r>
      <w:r w:rsidRPr="00A87BD0">
        <w:rPr>
          <w:rFonts w:eastAsia="Times New Roman" w:cs="Arial"/>
          <w:color w:val="000000"/>
          <w:lang w:val="ru-RU"/>
        </w:rPr>
        <w:t xml:space="preserve"> </w:t>
      </w:r>
      <w:r w:rsidRPr="00A87BD0">
        <w:rPr>
          <w:rFonts w:eastAsia="Times New Roman" w:cs="Arial"/>
          <w:color w:val="000000"/>
          <w:lang w:eastAsia="bg-BG"/>
        </w:rPr>
        <w:t xml:space="preserve">при по-големи деца и 0,170 </w:t>
      </w:r>
      <w:r w:rsidRPr="00A87BD0">
        <w:rPr>
          <w:rFonts w:eastAsia="Times New Roman" w:cs="Arial"/>
          <w:color w:val="000000"/>
          <w:lang w:val="en-US"/>
        </w:rPr>
        <w:t>g</w:t>
      </w:r>
      <w:r w:rsidRPr="00A87BD0">
        <w:rPr>
          <w:rFonts w:eastAsia="Times New Roman" w:cs="Arial"/>
          <w:color w:val="000000"/>
          <w:lang w:val="ru-RU"/>
        </w:rPr>
        <w:t>/</w:t>
      </w:r>
      <w:r w:rsidRPr="00A87BD0">
        <w:rPr>
          <w:rFonts w:eastAsia="Times New Roman" w:cs="Arial"/>
          <w:color w:val="000000"/>
          <w:lang w:val="en-US"/>
        </w:rPr>
        <w:t>kg</w:t>
      </w:r>
      <w:r w:rsidRPr="00A87BD0">
        <w:rPr>
          <w:rFonts w:eastAsia="Times New Roman" w:cs="Arial"/>
          <w:color w:val="000000"/>
          <w:lang w:val="ru-RU"/>
        </w:rPr>
        <w:t xml:space="preserve"> </w:t>
      </w:r>
      <w:r w:rsidRPr="00A87BD0">
        <w:rPr>
          <w:rFonts w:eastAsia="Times New Roman" w:cs="Arial"/>
          <w:color w:val="000000"/>
          <w:lang w:eastAsia="bg-BG"/>
        </w:rPr>
        <w:t>при юноши. Участниците са получили общо 4462 седмични инфузии с Кутакуиг. Няма съобщения за сериозни бактериални инфекции нито по време на периода на отмиване, нито по време на периода на ефикасност при участници, получавали Кутакуиг в рамките на клиничното проучване.</w:t>
      </w:r>
    </w:p>
    <w:p w14:paraId="2CEB879E" w14:textId="77777777" w:rsidR="00A87BD0" w:rsidRPr="00A87BD0" w:rsidRDefault="00A87BD0" w:rsidP="00A87BD0">
      <w:pPr>
        <w:spacing w:line="240" w:lineRule="auto"/>
        <w:rPr>
          <w:rFonts w:eastAsia="Times New Roman" w:cs="Arial"/>
          <w:color w:val="000000"/>
          <w:u w:val="single"/>
          <w:lang w:eastAsia="bg-BG"/>
        </w:rPr>
      </w:pPr>
    </w:p>
    <w:p w14:paraId="355BD3E2" w14:textId="34C60CF3" w:rsidR="00A87BD0" w:rsidRPr="00A87BD0" w:rsidRDefault="00A87BD0" w:rsidP="00A87BD0">
      <w:pPr>
        <w:spacing w:line="240" w:lineRule="auto"/>
        <w:rPr>
          <w:rFonts w:eastAsia="Times New Roman" w:cs="Arial"/>
          <w:sz w:val="24"/>
          <w:szCs w:val="24"/>
        </w:rPr>
      </w:pPr>
      <w:r w:rsidRPr="00A87BD0">
        <w:rPr>
          <w:rFonts w:eastAsia="Times New Roman" w:cs="Arial"/>
          <w:color w:val="000000"/>
          <w:u w:val="single"/>
          <w:lang w:eastAsia="bg-BG"/>
        </w:rPr>
        <w:t>Педиатрична популация</w:t>
      </w:r>
    </w:p>
    <w:p w14:paraId="1EDC6503"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Не се наблюдават разлики във фармакодинамичните характеристики между възрастни и педиатрични пациенти.</w:t>
      </w:r>
    </w:p>
    <w:p w14:paraId="4F8A78EF" w14:textId="77777777" w:rsidR="00A87BD0" w:rsidRPr="00A87BD0" w:rsidRDefault="00A87BD0" w:rsidP="00A87BD0"/>
    <w:p w14:paraId="78DD93AA" w14:textId="761E59E1" w:rsidR="00B6672E" w:rsidRDefault="002C50EE" w:rsidP="00936AD0">
      <w:pPr>
        <w:pStyle w:val="Heading2"/>
      </w:pPr>
      <w:r>
        <w:t>5.2. Фармакокинетични свойства</w:t>
      </w:r>
    </w:p>
    <w:p w14:paraId="056AFF88" w14:textId="74D9C25E" w:rsidR="00A87BD0" w:rsidRDefault="00A87BD0" w:rsidP="00A87BD0"/>
    <w:p w14:paraId="3FA28EA0"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В клинично изпитване Фаза III е проведено фармакокинетично (РК) подизследване при 37 субекта с </w:t>
      </w:r>
      <w:r w:rsidRPr="00A87BD0">
        <w:rPr>
          <w:rFonts w:eastAsia="Times New Roman" w:cs="Arial"/>
          <w:color w:val="000000"/>
          <w:lang w:val="en-US"/>
        </w:rPr>
        <w:t>PID</w:t>
      </w:r>
      <w:r w:rsidRPr="00A87BD0">
        <w:rPr>
          <w:rFonts w:eastAsia="Times New Roman" w:cs="Arial"/>
          <w:color w:val="000000"/>
          <w:lang w:val="ru-RU"/>
        </w:rPr>
        <w:t xml:space="preserve">. </w:t>
      </w:r>
      <w:r w:rsidRPr="00A87BD0">
        <w:rPr>
          <w:rFonts w:eastAsia="Times New Roman" w:cs="Arial"/>
          <w:color w:val="000000"/>
          <w:lang w:eastAsia="bg-BG"/>
        </w:rPr>
        <w:t xml:space="preserve">Кръвни проби за РК изследване бяха събрани преди преминаване към Кутакуиг </w:t>
      </w:r>
      <w:r w:rsidRPr="00A87BD0">
        <w:rPr>
          <w:rFonts w:eastAsia="Times New Roman" w:cs="Arial"/>
          <w:color w:val="000000"/>
          <w:lang w:val="ru-RU"/>
        </w:rPr>
        <w:t>(</w:t>
      </w:r>
      <w:r w:rsidRPr="00A87BD0">
        <w:rPr>
          <w:rFonts w:eastAsia="Times New Roman" w:cs="Arial"/>
          <w:color w:val="000000"/>
          <w:lang w:val="en-US"/>
        </w:rPr>
        <w:t>IVIG</w:t>
      </w:r>
      <w:r w:rsidRPr="00A87BD0">
        <w:rPr>
          <w:rFonts w:eastAsia="Times New Roman" w:cs="Arial"/>
          <w:color w:val="000000"/>
          <w:lang w:val="ru-RU"/>
        </w:rPr>
        <w:t xml:space="preserve"> </w:t>
      </w:r>
      <w:r w:rsidRPr="00A87BD0">
        <w:rPr>
          <w:rFonts w:eastAsia="Times New Roman" w:cs="Arial"/>
          <w:color w:val="000000"/>
          <w:lang w:eastAsia="bg-BG"/>
        </w:rPr>
        <w:t xml:space="preserve">профил: </w:t>
      </w:r>
      <w:r w:rsidRPr="00A87BD0">
        <w:rPr>
          <w:rFonts w:eastAsia="Times New Roman" w:cs="Arial"/>
          <w:color w:val="000000"/>
          <w:lang w:val="en-US"/>
        </w:rPr>
        <w:t>PK</w:t>
      </w:r>
      <w:r w:rsidRPr="00A87BD0">
        <w:rPr>
          <w:rFonts w:eastAsia="Times New Roman" w:cs="Arial"/>
          <w:color w:val="000000"/>
          <w:vertAlign w:val="subscript"/>
          <w:lang w:val="en-US"/>
        </w:rPr>
        <w:t>IV</w:t>
      </w:r>
      <w:r w:rsidRPr="00A87BD0">
        <w:rPr>
          <w:rFonts w:eastAsia="Times New Roman" w:cs="Arial"/>
          <w:color w:val="000000"/>
          <w:lang w:val="ru-RU"/>
        </w:rPr>
        <w:t xml:space="preserve">), </w:t>
      </w:r>
      <w:r w:rsidRPr="00A87BD0">
        <w:rPr>
          <w:rFonts w:eastAsia="Times New Roman" w:cs="Arial"/>
          <w:color w:val="000000"/>
          <w:lang w:eastAsia="bg-BG"/>
        </w:rPr>
        <w:t xml:space="preserve">след 11-та инфузия на Кутакуиг (първи </w:t>
      </w:r>
      <w:r w:rsidRPr="00A87BD0">
        <w:rPr>
          <w:rFonts w:eastAsia="Times New Roman" w:cs="Arial"/>
          <w:color w:val="000000"/>
          <w:lang w:val="en-US"/>
        </w:rPr>
        <w:t>SC</w:t>
      </w:r>
      <w:r w:rsidRPr="00A87BD0">
        <w:rPr>
          <w:rFonts w:eastAsia="Times New Roman" w:cs="Arial"/>
          <w:color w:val="000000"/>
          <w:lang w:val="ru-RU"/>
        </w:rPr>
        <w:t xml:space="preserve"> </w:t>
      </w:r>
      <w:r w:rsidRPr="00A87BD0">
        <w:rPr>
          <w:rFonts w:eastAsia="Times New Roman" w:cs="Arial"/>
          <w:color w:val="000000"/>
          <w:lang w:eastAsia="bg-BG"/>
        </w:rPr>
        <w:t xml:space="preserve">профил: </w:t>
      </w:r>
      <w:proofErr w:type="spellStart"/>
      <w:r w:rsidRPr="00A87BD0">
        <w:rPr>
          <w:rFonts w:eastAsia="Times New Roman" w:cs="Arial"/>
          <w:color w:val="000000"/>
          <w:lang w:val="en-US"/>
        </w:rPr>
        <w:t>PK</w:t>
      </w:r>
      <w:r w:rsidRPr="00A87BD0">
        <w:rPr>
          <w:rFonts w:eastAsia="Times New Roman" w:cs="Arial"/>
          <w:color w:val="000000"/>
          <w:vertAlign w:val="subscript"/>
          <w:lang w:val="en-US"/>
        </w:rPr>
        <w:t>sc</w:t>
      </w:r>
      <w:proofErr w:type="spellEnd"/>
      <w:r w:rsidRPr="00A87BD0">
        <w:rPr>
          <w:rFonts w:eastAsia="Times New Roman" w:cs="Arial"/>
          <w:color w:val="000000"/>
          <w:vertAlign w:val="subscript"/>
          <w:lang w:val="ru-RU"/>
        </w:rPr>
        <w:t>1</w:t>
      </w:r>
      <w:r w:rsidRPr="00A87BD0">
        <w:rPr>
          <w:rFonts w:eastAsia="Times New Roman" w:cs="Arial"/>
          <w:color w:val="000000"/>
          <w:lang w:val="ru-RU"/>
        </w:rPr>
        <w:t xml:space="preserve">) </w:t>
      </w:r>
      <w:r w:rsidRPr="00A87BD0">
        <w:rPr>
          <w:rFonts w:eastAsia="Times New Roman" w:cs="Arial"/>
          <w:color w:val="000000"/>
          <w:lang w:eastAsia="bg-BG"/>
        </w:rPr>
        <w:t xml:space="preserve">и </w:t>
      </w:r>
      <w:r w:rsidRPr="00A87BD0">
        <w:rPr>
          <w:rFonts w:eastAsia="Times New Roman" w:cs="Arial"/>
          <w:color w:val="000000"/>
          <w:lang w:eastAsia="bg-BG"/>
        </w:rPr>
        <w:lastRenderedPageBreak/>
        <w:t xml:space="preserve">след 28-та инфузия на Кутакуиг (втори </w:t>
      </w:r>
      <w:r w:rsidRPr="00A87BD0">
        <w:rPr>
          <w:rFonts w:eastAsia="Times New Roman" w:cs="Arial"/>
          <w:color w:val="000000"/>
          <w:lang w:val="en-US"/>
        </w:rPr>
        <w:t>SC</w:t>
      </w:r>
      <w:r w:rsidRPr="00A87BD0">
        <w:rPr>
          <w:rFonts w:eastAsia="Times New Roman" w:cs="Arial"/>
          <w:color w:val="000000"/>
          <w:lang w:val="ru-RU"/>
        </w:rPr>
        <w:t xml:space="preserve"> </w:t>
      </w:r>
      <w:r w:rsidRPr="00A87BD0">
        <w:rPr>
          <w:rFonts w:eastAsia="Times New Roman" w:cs="Arial"/>
          <w:color w:val="000000"/>
          <w:lang w:eastAsia="bg-BG"/>
        </w:rPr>
        <w:t xml:space="preserve">профил: </w:t>
      </w:r>
      <w:proofErr w:type="spellStart"/>
      <w:r w:rsidRPr="00A87BD0">
        <w:rPr>
          <w:rFonts w:eastAsia="Times New Roman" w:cs="Arial"/>
          <w:color w:val="000000"/>
          <w:lang w:val="en-US"/>
        </w:rPr>
        <w:t>PK</w:t>
      </w:r>
      <w:r w:rsidRPr="00A87BD0">
        <w:rPr>
          <w:rFonts w:eastAsia="Times New Roman" w:cs="Arial"/>
          <w:color w:val="000000"/>
          <w:vertAlign w:val="subscript"/>
          <w:lang w:val="en-US"/>
        </w:rPr>
        <w:t>sc</w:t>
      </w:r>
      <w:proofErr w:type="spellEnd"/>
      <w:r w:rsidRPr="00A87BD0">
        <w:rPr>
          <w:rFonts w:eastAsia="Times New Roman" w:cs="Arial"/>
          <w:color w:val="000000"/>
          <w:vertAlign w:val="subscript"/>
          <w:lang w:val="ru-RU"/>
        </w:rPr>
        <w:t>2</w:t>
      </w:r>
      <w:r w:rsidRPr="00A87BD0">
        <w:rPr>
          <w:rFonts w:eastAsia="Times New Roman" w:cs="Arial"/>
          <w:color w:val="000000"/>
          <w:lang w:val="ru-RU"/>
        </w:rPr>
        <w:t xml:space="preserve">). </w:t>
      </w:r>
      <w:r w:rsidRPr="00A87BD0">
        <w:rPr>
          <w:rFonts w:eastAsia="Times New Roman" w:cs="Arial"/>
          <w:color w:val="000000"/>
          <w:lang w:eastAsia="bg-BG"/>
        </w:rPr>
        <w:t xml:space="preserve">Целта на подпроучването на фармакокинетика е да се сравнят </w:t>
      </w:r>
      <w:r w:rsidRPr="00A87BD0">
        <w:rPr>
          <w:rFonts w:eastAsia="Times New Roman" w:cs="Arial"/>
          <w:color w:val="000000"/>
          <w:lang w:val="en-US"/>
        </w:rPr>
        <w:t>AUC</w:t>
      </w:r>
      <w:r w:rsidRPr="00A87BD0">
        <w:rPr>
          <w:rFonts w:eastAsia="Times New Roman" w:cs="Arial"/>
          <w:color w:val="000000"/>
          <w:lang w:val="ru-RU"/>
        </w:rPr>
        <w:t xml:space="preserve"> </w:t>
      </w:r>
      <w:r w:rsidRPr="00A87BD0">
        <w:rPr>
          <w:rFonts w:eastAsia="Times New Roman" w:cs="Arial"/>
          <w:color w:val="000000"/>
          <w:lang w:eastAsia="bg-BG"/>
        </w:rPr>
        <w:t xml:space="preserve">след интравенозно и подкожно приложение, като се използва коефициент за корекция на дозата </w:t>
      </w:r>
      <w:r w:rsidRPr="00A87BD0">
        <w:rPr>
          <w:rFonts w:eastAsia="Times New Roman" w:cs="Arial"/>
          <w:color w:val="000000"/>
          <w:lang w:val="ru-RU"/>
        </w:rPr>
        <w:t>(</w:t>
      </w:r>
      <w:r w:rsidRPr="00A87BD0">
        <w:rPr>
          <w:rFonts w:eastAsia="Times New Roman" w:cs="Arial"/>
          <w:color w:val="000000"/>
          <w:lang w:val="en-US"/>
        </w:rPr>
        <w:t>DCF</w:t>
      </w:r>
      <w:r w:rsidRPr="00A87BD0">
        <w:rPr>
          <w:rFonts w:eastAsia="Times New Roman" w:cs="Arial"/>
          <w:color w:val="000000"/>
          <w:lang w:val="ru-RU"/>
        </w:rPr>
        <w:t xml:space="preserve">) </w:t>
      </w:r>
      <w:r w:rsidRPr="00A87BD0">
        <w:rPr>
          <w:rFonts w:eastAsia="Times New Roman" w:cs="Arial"/>
          <w:color w:val="000000"/>
          <w:lang w:eastAsia="bg-BG"/>
        </w:rPr>
        <w:t>от 1,5. С помощта на популационен РК модел бяха оценени РК параметъри и бяха извършени симулации.</w:t>
      </w:r>
    </w:p>
    <w:p w14:paraId="2B15D065" w14:textId="77777777" w:rsidR="00A87BD0" w:rsidRPr="00A87BD0" w:rsidRDefault="00A87BD0" w:rsidP="00A87BD0">
      <w:pPr>
        <w:spacing w:line="240" w:lineRule="auto"/>
        <w:rPr>
          <w:rFonts w:eastAsia="Times New Roman" w:cs="Arial"/>
          <w:color w:val="000000"/>
          <w:u w:val="single"/>
          <w:lang w:eastAsia="bg-BG"/>
        </w:rPr>
      </w:pPr>
    </w:p>
    <w:p w14:paraId="5A4661A5" w14:textId="18D47EEC" w:rsidR="00A87BD0" w:rsidRPr="00A87BD0" w:rsidRDefault="00A87BD0" w:rsidP="00A87BD0">
      <w:pPr>
        <w:pStyle w:val="Heading3"/>
        <w:rPr>
          <w:rFonts w:eastAsia="Times New Roman"/>
          <w:u w:val="single"/>
        </w:rPr>
      </w:pPr>
      <w:r w:rsidRPr="00A87BD0">
        <w:rPr>
          <w:rFonts w:eastAsia="Times New Roman"/>
          <w:u w:val="single"/>
          <w:lang w:eastAsia="bg-BG"/>
        </w:rPr>
        <w:t>Абсорбция и разпределение</w:t>
      </w:r>
    </w:p>
    <w:p w14:paraId="591CE8C2"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След подкожно приложение на Кутакуиг, пикови серумни нива се постигат след приблизително 2 дни.</w:t>
      </w:r>
    </w:p>
    <w:p w14:paraId="361FC039" w14:textId="77777777" w:rsidR="00A87BD0" w:rsidRPr="00A87BD0" w:rsidRDefault="00A87BD0" w:rsidP="00A87BD0">
      <w:pPr>
        <w:spacing w:line="240" w:lineRule="auto"/>
        <w:rPr>
          <w:rFonts w:eastAsia="Times New Roman" w:cs="Arial"/>
          <w:color w:val="000000"/>
          <w:lang w:eastAsia="bg-BG"/>
        </w:rPr>
      </w:pPr>
    </w:p>
    <w:p w14:paraId="087D9A4F" w14:textId="77777777" w:rsidR="00A87BD0" w:rsidRPr="00A87BD0" w:rsidRDefault="00A87BD0" w:rsidP="00A87BD0">
      <w:pPr>
        <w:rPr>
          <w:rFonts w:eastAsia="Times New Roman" w:cs="Arial"/>
          <w:sz w:val="24"/>
          <w:szCs w:val="24"/>
        </w:rPr>
      </w:pPr>
      <w:r w:rsidRPr="00A87BD0">
        <w:rPr>
          <w:rFonts w:eastAsia="Times New Roman" w:cs="Arial"/>
          <w:color w:val="000000"/>
          <w:lang w:eastAsia="bg-BG"/>
        </w:rPr>
        <w:t xml:space="preserve">Поради постепенното усвояване, приложението на </w:t>
      </w:r>
      <w:r w:rsidRPr="00A87BD0">
        <w:rPr>
          <w:rFonts w:eastAsia="Times New Roman" w:cs="Arial"/>
          <w:color w:val="000000"/>
          <w:lang w:val="en-US"/>
        </w:rPr>
        <w:t>SCIG</w:t>
      </w:r>
      <w:r w:rsidRPr="00A87BD0">
        <w:rPr>
          <w:rFonts w:eastAsia="Times New Roman" w:cs="Arial"/>
          <w:color w:val="000000"/>
          <w:lang w:val="ru-RU"/>
        </w:rPr>
        <w:t xml:space="preserve"> </w:t>
      </w:r>
      <w:r w:rsidRPr="00A87BD0">
        <w:rPr>
          <w:rFonts w:eastAsia="Times New Roman" w:cs="Arial"/>
          <w:color w:val="000000"/>
          <w:lang w:eastAsia="bg-BG"/>
        </w:rPr>
        <w:t>води до по-плоски</w:t>
      </w:r>
      <w:r w:rsidRPr="00A87BD0">
        <w:rPr>
          <w:rFonts w:eastAsia="Times New Roman" w:cs="Arial"/>
          <w:color w:val="000000"/>
          <w:lang w:val="ru-RU"/>
        </w:rPr>
        <w:t xml:space="preserve"> </w:t>
      </w:r>
      <w:r w:rsidRPr="00A87BD0">
        <w:rPr>
          <w:rFonts w:eastAsia="Times New Roman" w:cs="Arial"/>
          <w:color w:val="000000"/>
          <w:lang w:eastAsia="bg-BG"/>
        </w:rPr>
        <w:t xml:space="preserve">профили и по- ниски флуктуации в стационарно състояние в сравнение с лечението с </w:t>
      </w:r>
      <w:r w:rsidRPr="00A87BD0">
        <w:rPr>
          <w:rFonts w:eastAsia="Times New Roman" w:cs="Arial"/>
          <w:color w:val="000000"/>
          <w:lang w:val="en-US"/>
        </w:rPr>
        <w:t>IVIG</w:t>
      </w:r>
      <w:r w:rsidRPr="00A87BD0">
        <w:rPr>
          <w:rFonts w:eastAsia="Times New Roman" w:cs="Arial"/>
          <w:color w:val="000000"/>
          <w:lang w:val="ru-RU"/>
        </w:rPr>
        <w:t xml:space="preserve">: </w:t>
      </w:r>
      <w:r w:rsidRPr="00A87BD0">
        <w:rPr>
          <w:rFonts w:eastAsia="Times New Roman" w:cs="Arial"/>
          <w:color w:val="000000"/>
          <w:lang w:eastAsia="bg-BG"/>
        </w:rPr>
        <w:t xml:space="preserve">средната </w:t>
      </w:r>
      <w:proofErr w:type="spellStart"/>
      <w:r w:rsidRPr="00A87BD0">
        <w:rPr>
          <w:rFonts w:eastAsia="Times New Roman" w:cs="Arial"/>
          <w:color w:val="000000"/>
          <w:lang w:val="en-US"/>
        </w:rPr>
        <w:t>Cmax</w:t>
      </w:r>
      <w:proofErr w:type="spellEnd"/>
      <w:r w:rsidRPr="00A87BD0">
        <w:rPr>
          <w:rFonts w:eastAsia="Times New Roman" w:cs="Arial"/>
          <w:color w:val="000000"/>
          <w:lang w:val="ru-RU"/>
        </w:rPr>
        <w:t xml:space="preserve"> </w:t>
      </w:r>
      <w:r w:rsidRPr="00A87BD0">
        <w:rPr>
          <w:rFonts w:eastAsia="Times New Roman" w:cs="Arial"/>
          <w:color w:val="000000"/>
          <w:lang w:eastAsia="bg-BG"/>
        </w:rPr>
        <w:t>е</w:t>
      </w:r>
      <w:r w:rsidRPr="00A87BD0">
        <w:rPr>
          <w:rFonts w:eastAsia="Times New Roman" w:cs="Arial"/>
          <w:color w:val="000000"/>
          <w:vertAlign w:val="subscript"/>
          <w:lang w:eastAsia="bg-BG"/>
        </w:rPr>
        <w:t xml:space="preserve"> </w:t>
      </w:r>
      <w:r w:rsidRPr="00A87BD0">
        <w:rPr>
          <w:rFonts w:eastAsia="Times New Roman" w:cs="Arial"/>
          <w:color w:val="000000"/>
          <w:lang w:eastAsia="bg-BG"/>
        </w:rPr>
        <w:t xml:space="preserve">по-ниска след </w:t>
      </w:r>
      <w:r w:rsidRPr="00A87BD0">
        <w:rPr>
          <w:rFonts w:eastAsia="Times New Roman" w:cs="Arial"/>
          <w:color w:val="000000"/>
          <w:lang w:val="en-US"/>
        </w:rPr>
        <w:t>SCIG</w:t>
      </w:r>
      <w:r w:rsidRPr="00A87BD0">
        <w:rPr>
          <w:rFonts w:eastAsia="Times New Roman" w:cs="Arial"/>
          <w:color w:val="000000"/>
          <w:lang w:val="ru-RU"/>
        </w:rPr>
        <w:t xml:space="preserve"> </w:t>
      </w:r>
      <w:r w:rsidRPr="00A87BD0">
        <w:rPr>
          <w:rFonts w:eastAsia="Times New Roman" w:cs="Arial"/>
          <w:color w:val="000000"/>
          <w:lang w:eastAsia="bg-BG"/>
        </w:rPr>
        <w:t xml:space="preserve">(13,2±3,4 </w:t>
      </w:r>
      <w:r w:rsidRPr="00A87BD0">
        <w:rPr>
          <w:rFonts w:eastAsia="Times New Roman" w:cs="Arial"/>
          <w:color w:val="000000"/>
          <w:lang w:val="en-US"/>
        </w:rPr>
        <w:t>g</w:t>
      </w:r>
      <w:r w:rsidRPr="00A87BD0">
        <w:rPr>
          <w:rFonts w:eastAsia="Times New Roman" w:cs="Arial"/>
          <w:color w:val="000000"/>
          <w:lang w:val="ru-RU"/>
        </w:rPr>
        <w:t>/</w:t>
      </w:r>
      <w:r w:rsidRPr="00A87BD0">
        <w:rPr>
          <w:rFonts w:eastAsia="Times New Roman" w:cs="Arial"/>
          <w:color w:val="000000"/>
          <w:lang w:val="en-US"/>
        </w:rPr>
        <w:t>l</w:t>
      </w:r>
      <w:r w:rsidRPr="00A87BD0">
        <w:rPr>
          <w:rFonts w:eastAsia="Times New Roman" w:cs="Arial"/>
          <w:color w:val="000000"/>
          <w:lang w:val="ru-RU"/>
        </w:rPr>
        <w:t xml:space="preserve"> </w:t>
      </w:r>
      <w:r w:rsidRPr="00A87BD0">
        <w:rPr>
          <w:rFonts w:eastAsia="Times New Roman" w:cs="Arial"/>
          <w:color w:val="000000"/>
          <w:lang w:eastAsia="bg-BG"/>
        </w:rPr>
        <w:t xml:space="preserve">и 13,5±3,7 </w:t>
      </w:r>
      <w:r w:rsidRPr="00A87BD0">
        <w:rPr>
          <w:rFonts w:eastAsia="Times New Roman" w:cs="Arial"/>
          <w:color w:val="000000"/>
          <w:lang w:val="en-US"/>
        </w:rPr>
        <w:t>g</w:t>
      </w:r>
      <w:r w:rsidRPr="00A87BD0">
        <w:rPr>
          <w:rFonts w:eastAsia="Times New Roman" w:cs="Arial"/>
          <w:color w:val="000000"/>
          <w:lang w:val="ru-RU"/>
        </w:rPr>
        <w:t>/</w:t>
      </w:r>
      <w:r w:rsidRPr="00A87BD0">
        <w:rPr>
          <w:rFonts w:eastAsia="Times New Roman" w:cs="Arial"/>
          <w:color w:val="000000"/>
          <w:lang w:val="en-US"/>
        </w:rPr>
        <w:t>l</w:t>
      </w:r>
      <w:r w:rsidRPr="00A87BD0">
        <w:rPr>
          <w:rFonts w:eastAsia="Times New Roman" w:cs="Arial"/>
          <w:color w:val="000000"/>
          <w:lang w:val="ru-RU"/>
        </w:rPr>
        <w:t xml:space="preserve"> </w:t>
      </w:r>
      <w:r w:rsidRPr="00A87BD0">
        <w:rPr>
          <w:rFonts w:eastAsia="Times New Roman" w:cs="Arial"/>
          <w:color w:val="000000"/>
          <w:lang w:eastAsia="bg-BG"/>
        </w:rPr>
        <w:t xml:space="preserve">за </w:t>
      </w:r>
      <w:proofErr w:type="spellStart"/>
      <w:r w:rsidRPr="00A87BD0">
        <w:rPr>
          <w:rFonts w:eastAsia="Times New Roman" w:cs="Arial"/>
          <w:color w:val="000000"/>
          <w:lang w:val="en-US"/>
        </w:rPr>
        <w:t>PK</w:t>
      </w:r>
      <w:r w:rsidRPr="00A87BD0">
        <w:rPr>
          <w:rFonts w:eastAsia="Times New Roman" w:cs="Arial"/>
          <w:color w:val="000000"/>
          <w:vertAlign w:val="subscript"/>
          <w:lang w:val="en-US"/>
        </w:rPr>
        <w:t>sc</w:t>
      </w:r>
      <w:proofErr w:type="spellEnd"/>
      <w:r w:rsidRPr="00A87BD0">
        <w:rPr>
          <w:rFonts w:eastAsia="Times New Roman" w:cs="Arial"/>
          <w:color w:val="000000"/>
          <w:vertAlign w:val="subscript"/>
          <w:lang w:val="ru-RU"/>
        </w:rPr>
        <w:t>1</w:t>
      </w:r>
      <w:r w:rsidRPr="00A87BD0">
        <w:rPr>
          <w:rFonts w:eastAsia="Times New Roman" w:cs="Arial"/>
          <w:color w:val="000000"/>
          <w:lang w:val="ru-RU"/>
        </w:rPr>
        <w:t xml:space="preserve"> </w:t>
      </w:r>
      <w:r w:rsidRPr="00A87BD0">
        <w:rPr>
          <w:rFonts w:eastAsia="Times New Roman" w:cs="Arial"/>
          <w:color w:val="000000"/>
          <w:lang w:eastAsia="bg-BG"/>
        </w:rPr>
        <w:t xml:space="preserve">и </w:t>
      </w:r>
      <w:proofErr w:type="spellStart"/>
      <w:r w:rsidRPr="00A87BD0">
        <w:rPr>
          <w:rFonts w:eastAsia="Times New Roman" w:cs="Arial"/>
          <w:color w:val="000000"/>
          <w:lang w:val="en-US"/>
        </w:rPr>
        <w:t>PK</w:t>
      </w:r>
      <w:r w:rsidRPr="00A87BD0">
        <w:rPr>
          <w:rFonts w:eastAsia="Times New Roman" w:cs="Arial"/>
          <w:color w:val="000000"/>
          <w:vertAlign w:val="subscript"/>
          <w:lang w:val="en-US"/>
        </w:rPr>
        <w:t>sc</w:t>
      </w:r>
      <w:proofErr w:type="spellEnd"/>
      <w:r w:rsidRPr="00A87BD0">
        <w:rPr>
          <w:rFonts w:eastAsia="Times New Roman" w:cs="Arial"/>
          <w:color w:val="000000"/>
          <w:vertAlign w:val="subscript"/>
          <w:lang w:val="ru-RU"/>
        </w:rPr>
        <w:t>2</w:t>
      </w:r>
      <w:r w:rsidRPr="00A87BD0">
        <w:rPr>
          <w:rFonts w:eastAsia="Times New Roman" w:cs="Arial"/>
          <w:color w:val="000000"/>
          <w:lang w:val="ru-RU"/>
        </w:rPr>
        <w:t xml:space="preserve">, </w:t>
      </w:r>
      <w:r w:rsidRPr="00A87BD0">
        <w:rPr>
          <w:rFonts w:eastAsia="Times New Roman" w:cs="Arial"/>
          <w:color w:val="000000"/>
          <w:lang w:eastAsia="bg-BG"/>
        </w:rPr>
        <w:t xml:space="preserve">съответно) в сравнение с края на инфузионното ниво след лечение с </w:t>
      </w:r>
      <w:r w:rsidRPr="00A87BD0">
        <w:rPr>
          <w:rFonts w:eastAsia="Times New Roman" w:cs="Arial"/>
          <w:color w:val="000000"/>
          <w:lang w:val="en-US"/>
        </w:rPr>
        <w:t>IVIG</w:t>
      </w:r>
      <w:r w:rsidRPr="00A87BD0">
        <w:rPr>
          <w:rFonts w:eastAsia="Times New Roman" w:cs="Arial"/>
          <w:color w:val="000000"/>
          <w:lang w:val="ru-RU"/>
        </w:rPr>
        <w:t xml:space="preserve"> </w:t>
      </w:r>
      <w:r w:rsidRPr="00A87BD0">
        <w:rPr>
          <w:rFonts w:eastAsia="Times New Roman" w:cs="Arial"/>
          <w:color w:val="000000"/>
          <w:lang w:eastAsia="bg-BG"/>
        </w:rPr>
        <w:t xml:space="preserve">(18,0±4,5 </w:t>
      </w:r>
      <w:r w:rsidRPr="00A87BD0">
        <w:rPr>
          <w:rFonts w:eastAsia="Times New Roman" w:cs="Arial"/>
          <w:color w:val="000000"/>
          <w:lang w:val="en-US"/>
        </w:rPr>
        <w:t>g</w:t>
      </w:r>
      <w:r w:rsidRPr="00A87BD0">
        <w:rPr>
          <w:rFonts w:eastAsia="Times New Roman" w:cs="Arial"/>
          <w:color w:val="000000"/>
          <w:lang w:val="ru-RU"/>
        </w:rPr>
        <w:t>/</w:t>
      </w:r>
      <w:r w:rsidRPr="00A87BD0">
        <w:rPr>
          <w:rFonts w:eastAsia="Times New Roman" w:cs="Arial"/>
          <w:color w:val="000000"/>
          <w:lang w:val="en-US"/>
        </w:rPr>
        <w:t>l</w:t>
      </w:r>
      <w:r w:rsidRPr="00A87BD0">
        <w:rPr>
          <w:rFonts w:eastAsia="Times New Roman" w:cs="Arial"/>
          <w:color w:val="000000"/>
          <w:lang w:val="ru-RU"/>
        </w:rPr>
        <w:t xml:space="preserve">). </w:t>
      </w:r>
      <w:r w:rsidRPr="00A87BD0">
        <w:rPr>
          <w:rFonts w:eastAsia="Times New Roman" w:cs="Arial"/>
          <w:color w:val="000000"/>
          <w:lang w:eastAsia="bg-BG"/>
        </w:rPr>
        <w:t xml:space="preserve">Съответно, средните серумни минимални нива на </w:t>
      </w:r>
      <w:r w:rsidRPr="00A87BD0">
        <w:rPr>
          <w:rFonts w:eastAsia="Times New Roman" w:cs="Arial"/>
          <w:color w:val="000000"/>
          <w:lang w:val="en-US"/>
        </w:rPr>
        <w:t>IgG</w:t>
      </w:r>
      <w:r w:rsidRPr="00A87BD0">
        <w:rPr>
          <w:rFonts w:eastAsia="Times New Roman" w:cs="Arial"/>
          <w:color w:val="000000"/>
          <w:lang w:val="ru-RU"/>
        </w:rPr>
        <w:t xml:space="preserve"> </w:t>
      </w:r>
      <w:r w:rsidRPr="00A87BD0">
        <w:rPr>
          <w:rFonts w:eastAsia="Times New Roman" w:cs="Arial"/>
          <w:color w:val="000000"/>
          <w:lang w:eastAsia="bg-BG"/>
        </w:rPr>
        <w:t xml:space="preserve">и </w:t>
      </w:r>
      <w:r w:rsidRPr="00A87BD0">
        <w:rPr>
          <w:rFonts w:eastAsia="Times New Roman" w:cs="Arial"/>
          <w:color w:val="000000"/>
          <w:lang w:val="en-US"/>
        </w:rPr>
        <w:t>IgG</w:t>
      </w:r>
      <w:r w:rsidRPr="00A87BD0">
        <w:rPr>
          <w:rFonts w:eastAsia="Times New Roman" w:cs="Arial"/>
          <w:color w:val="000000"/>
          <w:lang w:val="ru-RU"/>
        </w:rPr>
        <w:t xml:space="preserve"> </w:t>
      </w:r>
      <w:r w:rsidRPr="00A87BD0">
        <w:rPr>
          <w:rFonts w:eastAsia="Times New Roman" w:cs="Arial"/>
          <w:color w:val="000000"/>
          <w:lang w:eastAsia="bg-BG"/>
        </w:rPr>
        <w:t xml:space="preserve">подклас са по-високи след </w:t>
      </w:r>
      <w:r w:rsidRPr="00A87BD0">
        <w:rPr>
          <w:rFonts w:eastAsia="Times New Roman" w:cs="Arial"/>
          <w:color w:val="000000"/>
          <w:lang w:val="en-US"/>
        </w:rPr>
        <w:t>SC</w:t>
      </w:r>
      <w:r w:rsidRPr="00A87BD0">
        <w:rPr>
          <w:rFonts w:eastAsia="Times New Roman" w:cs="Arial"/>
          <w:color w:val="000000"/>
          <w:lang w:val="ru-RU"/>
        </w:rPr>
        <w:t xml:space="preserve"> </w:t>
      </w:r>
      <w:r w:rsidRPr="00A87BD0">
        <w:rPr>
          <w:rFonts w:eastAsia="Times New Roman" w:cs="Arial"/>
          <w:color w:val="000000"/>
          <w:lang w:eastAsia="bg-BG"/>
        </w:rPr>
        <w:t xml:space="preserve">лечение (11,5 и 11,7 </w:t>
      </w:r>
      <w:r w:rsidRPr="00A87BD0">
        <w:rPr>
          <w:rFonts w:eastAsia="Times New Roman" w:cs="Arial"/>
          <w:color w:val="000000"/>
          <w:lang w:val="en-US"/>
        </w:rPr>
        <w:t>g</w:t>
      </w:r>
      <w:r w:rsidRPr="00A87BD0">
        <w:rPr>
          <w:rFonts w:eastAsia="Times New Roman" w:cs="Arial"/>
          <w:color w:val="000000"/>
          <w:lang w:val="ru-RU"/>
        </w:rPr>
        <w:t>/</w:t>
      </w:r>
      <w:r w:rsidRPr="00A87BD0">
        <w:rPr>
          <w:rFonts w:eastAsia="Times New Roman" w:cs="Arial"/>
          <w:color w:val="000000"/>
          <w:lang w:val="en-US"/>
        </w:rPr>
        <w:t>l</w:t>
      </w:r>
      <w:r w:rsidRPr="00A87BD0">
        <w:rPr>
          <w:rFonts w:eastAsia="Times New Roman" w:cs="Arial"/>
          <w:color w:val="000000"/>
          <w:lang w:val="ru-RU"/>
        </w:rPr>
        <w:t xml:space="preserve"> </w:t>
      </w:r>
      <w:r w:rsidRPr="00A87BD0">
        <w:rPr>
          <w:rFonts w:eastAsia="Times New Roman" w:cs="Arial"/>
          <w:color w:val="000000"/>
          <w:lang w:eastAsia="bg-BG"/>
        </w:rPr>
        <w:t xml:space="preserve">за </w:t>
      </w:r>
      <w:proofErr w:type="spellStart"/>
      <w:r w:rsidRPr="00A87BD0">
        <w:rPr>
          <w:rFonts w:eastAsia="Times New Roman" w:cs="Arial"/>
          <w:color w:val="000000"/>
          <w:lang w:val="en-US"/>
        </w:rPr>
        <w:t>PK</w:t>
      </w:r>
      <w:r w:rsidRPr="00A87BD0">
        <w:rPr>
          <w:rFonts w:eastAsia="Times New Roman" w:cs="Arial"/>
          <w:color w:val="000000"/>
          <w:vertAlign w:val="subscript"/>
          <w:lang w:val="en-US"/>
        </w:rPr>
        <w:t>sc</w:t>
      </w:r>
      <w:proofErr w:type="spellEnd"/>
      <w:r w:rsidRPr="00A87BD0">
        <w:rPr>
          <w:rFonts w:eastAsia="Times New Roman" w:cs="Arial"/>
          <w:color w:val="000000"/>
          <w:vertAlign w:val="subscript"/>
          <w:lang w:val="ru-RU"/>
        </w:rPr>
        <w:t>1</w:t>
      </w:r>
      <w:r w:rsidRPr="00A87BD0">
        <w:rPr>
          <w:rFonts w:eastAsia="Times New Roman" w:cs="Arial"/>
          <w:color w:val="000000"/>
          <w:lang w:val="ru-RU"/>
        </w:rPr>
        <w:t xml:space="preserve"> </w:t>
      </w:r>
      <w:r w:rsidRPr="00A87BD0">
        <w:rPr>
          <w:rFonts w:eastAsia="Times New Roman" w:cs="Arial"/>
          <w:color w:val="000000"/>
          <w:lang w:eastAsia="bg-BG"/>
        </w:rPr>
        <w:t xml:space="preserve">и </w:t>
      </w:r>
      <w:proofErr w:type="spellStart"/>
      <w:r w:rsidRPr="00A87BD0">
        <w:rPr>
          <w:rFonts w:eastAsia="Times New Roman" w:cs="Arial"/>
          <w:color w:val="000000"/>
          <w:lang w:val="en-US"/>
        </w:rPr>
        <w:t>PK</w:t>
      </w:r>
      <w:r w:rsidRPr="00A87BD0">
        <w:rPr>
          <w:rFonts w:eastAsia="Times New Roman" w:cs="Arial"/>
          <w:color w:val="000000"/>
          <w:vertAlign w:val="subscript"/>
          <w:lang w:val="en-US"/>
        </w:rPr>
        <w:t>sc</w:t>
      </w:r>
      <w:proofErr w:type="spellEnd"/>
      <w:r w:rsidRPr="00A87BD0">
        <w:rPr>
          <w:rFonts w:eastAsia="Times New Roman" w:cs="Arial"/>
          <w:color w:val="000000"/>
          <w:vertAlign w:val="subscript"/>
          <w:lang w:val="ru-RU"/>
        </w:rPr>
        <w:t>2</w:t>
      </w:r>
      <w:r w:rsidRPr="00A87BD0">
        <w:rPr>
          <w:rFonts w:eastAsia="Times New Roman" w:cs="Arial"/>
          <w:color w:val="000000"/>
          <w:lang w:val="ru-RU"/>
        </w:rPr>
        <w:t xml:space="preserve">, </w:t>
      </w:r>
      <w:r w:rsidRPr="00A87BD0">
        <w:rPr>
          <w:rFonts w:eastAsia="Times New Roman" w:cs="Arial"/>
          <w:color w:val="000000"/>
          <w:lang w:eastAsia="bg-BG"/>
        </w:rPr>
        <w:t xml:space="preserve">съответно; общият диапазон от 6,5 до 18,9 </w:t>
      </w:r>
      <w:r w:rsidRPr="00A87BD0">
        <w:rPr>
          <w:rFonts w:eastAsia="Times New Roman" w:cs="Arial"/>
          <w:color w:val="000000"/>
          <w:lang w:val="en-US"/>
        </w:rPr>
        <w:t>g</w:t>
      </w:r>
      <w:r w:rsidRPr="00A87BD0">
        <w:rPr>
          <w:rFonts w:eastAsia="Times New Roman" w:cs="Arial"/>
          <w:color w:val="000000"/>
          <w:lang w:val="ru-RU"/>
        </w:rPr>
        <w:t>/</w:t>
      </w:r>
      <w:r w:rsidRPr="00A87BD0">
        <w:rPr>
          <w:rFonts w:eastAsia="Times New Roman" w:cs="Arial"/>
          <w:color w:val="000000"/>
          <w:lang w:val="en-US"/>
        </w:rPr>
        <w:t>l</w:t>
      </w:r>
      <w:r w:rsidRPr="00A87BD0">
        <w:rPr>
          <w:rFonts w:eastAsia="Times New Roman" w:cs="Arial"/>
          <w:color w:val="000000"/>
          <w:lang w:val="ru-RU"/>
        </w:rPr>
        <w:t xml:space="preserve"> </w:t>
      </w:r>
      <w:r w:rsidRPr="00A87BD0">
        <w:rPr>
          <w:rFonts w:eastAsia="Times New Roman" w:cs="Arial"/>
          <w:color w:val="000000"/>
          <w:lang w:eastAsia="bg-BG"/>
        </w:rPr>
        <w:t xml:space="preserve">в сравнение с този в края на </w:t>
      </w:r>
      <w:r w:rsidRPr="00A87BD0">
        <w:rPr>
          <w:rFonts w:eastAsia="Times New Roman" w:cs="Arial"/>
          <w:color w:val="000000"/>
          <w:lang w:val="en-US"/>
        </w:rPr>
        <w:t>IVIG</w:t>
      </w:r>
      <w:r w:rsidRPr="00A87BD0">
        <w:rPr>
          <w:rFonts w:eastAsia="Times New Roman" w:cs="Arial"/>
          <w:color w:val="000000"/>
          <w:lang w:val="ru-RU"/>
        </w:rPr>
        <w:t xml:space="preserve"> </w:t>
      </w:r>
      <w:r w:rsidRPr="00A87BD0">
        <w:rPr>
          <w:rFonts w:eastAsia="Times New Roman" w:cs="Arial"/>
          <w:color w:val="000000"/>
          <w:lang w:eastAsia="bg-BG"/>
        </w:rPr>
        <w:t xml:space="preserve">периода (10,1 </w:t>
      </w:r>
      <w:r w:rsidRPr="00A87BD0">
        <w:rPr>
          <w:rFonts w:eastAsia="Times New Roman" w:cs="Arial"/>
          <w:color w:val="000000"/>
          <w:lang w:val="en-US"/>
        </w:rPr>
        <w:t>g</w:t>
      </w:r>
      <w:r w:rsidRPr="00A87BD0">
        <w:rPr>
          <w:rFonts w:eastAsia="Times New Roman" w:cs="Arial"/>
          <w:color w:val="000000"/>
          <w:lang w:val="ru-RU"/>
        </w:rPr>
        <w:t xml:space="preserve">/1; </w:t>
      </w:r>
      <w:r w:rsidRPr="00A87BD0">
        <w:rPr>
          <w:rFonts w:eastAsia="Times New Roman" w:cs="Arial"/>
          <w:color w:val="000000"/>
          <w:lang w:eastAsia="bg-BG"/>
        </w:rPr>
        <w:t xml:space="preserve">диапазон: 6,5 </w:t>
      </w:r>
      <w:r w:rsidRPr="00A87BD0">
        <w:rPr>
          <w:rFonts w:eastAsia="Times New Roman" w:cs="Arial"/>
          <w:color w:val="000000"/>
          <w:lang w:val="en-US"/>
        </w:rPr>
        <w:t>g</w:t>
      </w:r>
      <w:r w:rsidRPr="00A87BD0">
        <w:rPr>
          <w:rFonts w:eastAsia="Times New Roman" w:cs="Arial"/>
          <w:color w:val="000000"/>
          <w:lang w:val="ru-RU"/>
        </w:rPr>
        <w:t>/</w:t>
      </w:r>
      <w:r w:rsidRPr="00A87BD0">
        <w:rPr>
          <w:rFonts w:eastAsia="Times New Roman" w:cs="Arial"/>
          <w:color w:val="000000"/>
          <w:lang w:val="en-US"/>
        </w:rPr>
        <w:t>l</w:t>
      </w:r>
      <w:r w:rsidRPr="00A87BD0">
        <w:rPr>
          <w:rFonts w:eastAsia="Times New Roman" w:cs="Arial"/>
          <w:color w:val="000000"/>
          <w:lang w:val="ru-RU"/>
        </w:rPr>
        <w:t xml:space="preserve"> </w:t>
      </w:r>
      <w:r w:rsidRPr="00A87BD0">
        <w:rPr>
          <w:rFonts w:eastAsia="Times New Roman" w:cs="Arial"/>
          <w:color w:val="000000"/>
          <w:lang w:eastAsia="bg-BG"/>
        </w:rPr>
        <w:t xml:space="preserve">до 14,3 </w:t>
      </w:r>
      <w:r w:rsidRPr="00A87BD0">
        <w:rPr>
          <w:rFonts w:eastAsia="Times New Roman" w:cs="Arial"/>
          <w:color w:val="000000"/>
          <w:lang w:val="en-US"/>
        </w:rPr>
        <w:t>g</w:t>
      </w:r>
      <w:r w:rsidRPr="00A87BD0">
        <w:rPr>
          <w:rFonts w:eastAsia="Times New Roman" w:cs="Arial"/>
          <w:color w:val="000000"/>
          <w:lang w:val="ru-RU"/>
        </w:rPr>
        <w:t>/</w:t>
      </w:r>
      <w:r w:rsidRPr="00A87BD0">
        <w:rPr>
          <w:rFonts w:eastAsia="Times New Roman" w:cs="Arial"/>
          <w:color w:val="000000"/>
          <w:lang w:val="en-US"/>
        </w:rPr>
        <w:t>l</w:t>
      </w:r>
      <w:r w:rsidRPr="00A87BD0">
        <w:rPr>
          <w:rFonts w:eastAsia="Times New Roman" w:cs="Arial"/>
          <w:color w:val="000000"/>
          <w:lang w:val="ru-RU"/>
        </w:rPr>
        <w:t>).</w:t>
      </w:r>
    </w:p>
    <w:p w14:paraId="52CD6951" w14:textId="77777777" w:rsidR="00A87BD0" w:rsidRPr="00A87BD0" w:rsidRDefault="00A87BD0" w:rsidP="00A87BD0">
      <w:pPr>
        <w:spacing w:line="240" w:lineRule="auto"/>
        <w:rPr>
          <w:rFonts w:eastAsia="Times New Roman" w:cs="Arial"/>
          <w:color w:val="000000"/>
          <w:lang w:eastAsia="bg-BG"/>
        </w:rPr>
      </w:pPr>
    </w:p>
    <w:p w14:paraId="559574FB" w14:textId="218A5436"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Бионаличността на </w:t>
      </w:r>
      <w:r w:rsidRPr="00A87BD0">
        <w:rPr>
          <w:rFonts w:eastAsia="Times New Roman" w:cs="Arial"/>
          <w:color w:val="000000"/>
          <w:lang w:val="en-US"/>
        </w:rPr>
        <w:t>SC</w:t>
      </w:r>
      <w:r w:rsidRPr="00A87BD0">
        <w:rPr>
          <w:rFonts w:eastAsia="Times New Roman" w:cs="Arial"/>
          <w:color w:val="000000"/>
          <w:lang w:val="ru-RU"/>
        </w:rPr>
        <w:t xml:space="preserve"> </w:t>
      </w:r>
      <w:r w:rsidRPr="00A87BD0">
        <w:rPr>
          <w:rFonts w:eastAsia="Times New Roman" w:cs="Arial"/>
          <w:color w:val="000000"/>
          <w:lang w:eastAsia="bg-BG"/>
        </w:rPr>
        <w:t xml:space="preserve">е изчислена на 75%, съответстващо на коефициент на корекция на дозата от 1,3 за постигане на еднаква </w:t>
      </w:r>
      <w:r w:rsidRPr="00A87BD0">
        <w:rPr>
          <w:rFonts w:eastAsia="Times New Roman" w:cs="Arial"/>
          <w:color w:val="000000"/>
          <w:lang w:val="en-US"/>
        </w:rPr>
        <w:t>AUC</w:t>
      </w:r>
      <w:r w:rsidRPr="00A87BD0">
        <w:rPr>
          <w:rFonts w:eastAsia="Times New Roman" w:cs="Arial"/>
          <w:color w:val="000000"/>
          <w:lang w:val="ru-RU"/>
        </w:rPr>
        <w:t xml:space="preserve"> </w:t>
      </w:r>
      <w:r w:rsidRPr="00A87BD0">
        <w:rPr>
          <w:rFonts w:eastAsia="Times New Roman" w:cs="Arial"/>
          <w:color w:val="000000"/>
          <w:lang w:eastAsia="bg-BG"/>
        </w:rPr>
        <w:t>експозиция след лечение</w:t>
      </w:r>
      <w:r w:rsidRPr="00A87BD0">
        <w:rPr>
          <w:rFonts w:eastAsia="Times New Roman" w:cs="Arial"/>
          <w:color w:val="000000"/>
          <w:lang w:val="en-US"/>
        </w:rPr>
        <w:t>SCIG</w:t>
      </w:r>
      <w:r w:rsidRPr="00A87BD0">
        <w:rPr>
          <w:rFonts w:eastAsia="Times New Roman" w:cs="Arial"/>
          <w:color w:val="000000"/>
          <w:lang w:eastAsia="bg-BG"/>
        </w:rPr>
        <w:t xml:space="preserve"> на базата на телесно тегло в сравнение с </w:t>
      </w:r>
      <w:r w:rsidRPr="00A87BD0">
        <w:rPr>
          <w:rFonts w:eastAsia="Times New Roman" w:cs="Arial"/>
          <w:color w:val="000000"/>
          <w:lang w:val="en-US"/>
        </w:rPr>
        <w:t>IVIG</w:t>
      </w:r>
      <w:r w:rsidRPr="00A87BD0">
        <w:rPr>
          <w:rFonts w:eastAsia="Times New Roman" w:cs="Arial"/>
          <w:color w:val="000000"/>
          <w:lang w:val="ru-RU"/>
        </w:rPr>
        <w:t xml:space="preserve"> </w:t>
      </w:r>
      <w:r w:rsidRPr="00A87BD0">
        <w:rPr>
          <w:rFonts w:eastAsia="Times New Roman" w:cs="Arial"/>
          <w:color w:val="000000"/>
          <w:lang w:eastAsia="bg-BG"/>
        </w:rPr>
        <w:t>лечение.</w:t>
      </w:r>
    </w:p>
    <w:p w14:paraId="1B8A3E72" w14:textId="77777777" w:rsidR="00A87BD0" w:rsidRPr="00A87BD0" w:rsidRDefault="00A87BD0" w:rsidP="00A87BD0">
      <w:pPr>
        <w:spacing w:line="240" w:lineRule="auto"/>
        <w:rPr>
          <w:rFonts w:eastAsia="Times New Roman" w:cs="Arial"/>
          <w:color w:val="000000"/>
          <w:lang w:eastAsia="bg-BG"/>
        </w:rPr>
      </w:pPr>
    </w:p>
    <w:p w14:paraId="61B5A86F" w14:textId="4AB1A16A"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Моделирането и симулацията, базирани на РК, извършени върху данните от клиничното проучване със седмично дозиране на Кутакуиг, показват, че коригираното съгласно на телесно тегло дозиране без </w:t>
      </w:r>
      <w:r w:rsidRPr="00A87BD0">
        <w:rPr>
          <w:rFonts w:eastAsia="Times New Roman" w:cs="Arial"/>
          <w:color w:val="000000"/>
          <w:lang w:val="en-US"/>
        </w:rPr>
        <w:t>DCF</w:t>
      </w:r>
      <w:r w:rsidRPr="00A87BD0">
        <w:rPr>
          <w:rFonts w:eastAsia="Times New Roman" w:cs="Arial"/>
          <w:color w:val="000000"/>
          <w:lang w:val="ru-RU"/>
        </w:rPr>
        <w:t xml:space="preserve"> </w:t>
      </w:r>
      <w:r w:rsidRPr="00A87BD0">
        <w:rPr>
          <w:rFonts w:eastAsia="Times New Roman" w:cs="Arial"/>
          <w:color w:val="000000"/>
          <w:lang w:eastAsia="bg-BG"/>
        </w:rPr>
        <w:t xml:space="preserve">за по-ниската бионаличност на </w:t>
      </w:r>
      <w:r w:rsidRPr="00A87BD0">
        <w:rPr>
          <w:rFonts w:eastAsia="Times New Roman" w:cs="Arial"/>
          <w:color w:val="000000"/>
          <w:lang w:val="en-US"/>
        </w:rPr>
        <w:t>SC</w:t>
      </w:r>
      <w:r w:rsidRPr="00A87BD0">
        <w:rPr>
          <w:rFonts w:eastAsia="Times New Roman" w:cs="Arial"/>
          <w:color w:val="000000"/>
          <w:lang w:val="ru-RU"/>
        </w:rPr>
        <w:t xml:space="preserve"> </w:t>
      </w:r>
      <w:r w:rsidRPr="00A87BD0">
        <w:rPr>
          <w:rFonts w:eastAsia="Times New Roman" w:cs="Arial"/>
          <w:color w:val="000000"/>
          <w:lang w:eastAsia="bg-BG"/>
        </w:rPr>
        <w:t xml:space="preserve">би било достатъчно за поддържане на системна експозиция на </w:t>
      </w:r>
      <w:r w:rsidRPr="00A87BD0">
        <w:rPr>
          <w:rFonts w:eastAsia="Times New Roman" w:cs="Arial"/>
          <w:color w:val="000000"/>
          <w:lang w:val="en-US"/>
        </w:rPr>
        <w:t>IgG</w:t>
      </w:r>
      <w:r w:rsidRPr="00A87BD0">
        <w:rPr>
          <w:rFonts w:eastAsia="Times New Roman" w:cs="Arial"/>
          <w:color w:val="000000"/>
          <w:lang w:val="ru-RU"/>
        </w:rPr>
        <w:t xml:space="preserve"> </w:t>
      </w:r>
      <w:r w:rsidRPr="00A87BD0">
        <w:rPr>
          <w:rFonts w:eastAsia="Times New Roman" w:cs="Arial"/>
          <w:color w:val="000000"/>
          <w:lang w:eastAsia="bg-BG"/>
        </w:rPr>
        <w:t>в терапевтичния диапазон, за интервали на дозиране до 1 седмица, включително приемане по-често от веднъж седмично (напр, ежедневно).</w:t>
      </w:r>
    </w:p>
    <w:p w14:paraId="2B992474" w14:textId="77777777" w:rsidR="00A87BD0" w:rsidRPr="00A87BD0" w:rsidRDefault="00A87BD0" w:rsidP="00A87BD0">
      <w:pPr>
        <w:spacing w:line="240" w:lineRule="auto"/>
        <w:rPr>
          <w:rFonts w:eastAsia="Times New Roman" w:cs="Arial"/>
          <w:color w:val="000000"/>
          <w:lang w:eastAsia="bg-BG"/>
        </w:rPr>
      </w:pPr>
    </w:p>
    <w:p w14:paraId="110B8FB5" w14:textId="2D4E3021"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По-дългите интервали на дозиране (особено при по-ниски изходни нива на </w:t>
      </w:r>
      <w:r w:rsidRPr="00A87BD0">
        <w:rPr>
          <w:rFonts w:eastAsia="Times New Roman" w:cs="Arial"/>
          <w:color w:val="000000"/>
          <w:lang w:val="en-US"/>
        </w:rPr>
        <w:t>IgG</w:t>
      </w:r>
      <w:r w:rsidRPr="00A87BD0">
        <w:rPr>
          <w:rFonts w:eastAsia="Times New Roman" w:cs="Arial"/>
          <w:color w:val="000000"/>
          <w:lang w:val="ru-RU"/>
        </w:rPr>
        <w:t xml:space="preserve">) </w:t>
      </w:r>
      <w:r w:rsidRPr="00A87BD0">
        <w:rPr>
          <w:rFonts w:eastAsia="Times New Roman" w:cs="Arial"/>
          <w:color w:val="000000"/>
          <w:lang w:eastAsia="bg-BG"/>
        </w:rPr>
        <w:t xml:space="preserve">увеличават риска от падане под минимални нива на </w:t>
      </w:r>
      <w:r w:rsidRPr="00A87BD0">
        <w:rPr>
          <w:rFonts w:eastAsia="Times New Roman" w:cs="Arial"/>
          <w:color w:val="000000"/>
          <w:lang w:val="en-US"/>
        </w:rPr>
        <w:t>IgG</w:t>
      </w:r>
      <w:r w:rsidRPr="00A87BD0">
        <w:rPr>
          <w:rFonts w:eastAsia="Times New Roman" w:cs="Arial"/>
          <w:color w:val="000000"/>
          <w:lang w:val="ru-RU"/>
        </w:rPr>
        <w:t xml:space="preserve"> </w:t>
      </w:r>
      <w:r w:rsidRPr="00A87BD0">
        <w:rPr>
          <w:rFonts w:eastAsia="Times New Roman" w:cs="Arial"/>
          <w:color w:val="000000"/>
          <w:lang w:eastAsia="bg-BG"/>
        </w:rPr>
        <w:t xml:space="preserve">от 5 </w:t>
      </w:r>
      <w:r w:rsidRPr="00A87BD0">
        <w:rPr>
          <w:rFonts w:eastAsia="Times New Roman" w:cs="Arial"/>
          <w:color w:val="000000"/>
          <w:lang w:val="en-US"/>
        </w:rPr>
        <w:t>g</w:t>
      </w:r>
      <w:r w:rsidRPr="00A87BD0">
        <w:rPr>
          <w:rFonts w:eastAsia="Times New Roman" w:cs="Arial"/>
          <w:color w:val="000000"/>
          <w:lang w:val="ru-RU"/>
        </w:rPr>
        <w:t>/</w:t>
      </w:r>
      <w:r w:rsidRPr="00A87BD0">
        <w:rPr>
          <w:rFonts w:eastAsia="Times New Roman" w:cs="Arial"/>
          <w:color w:val="000000"/>
          <w:lang w:val="en-US"/>
        </w:rPr>
        <w:t>l</w:t>
      </w:r>
      <w:r w:rsidRPr="00A87BD0">
        <w:rPr>
          <w:rFonts w:eastAsia="Times New Roman" w:cs="Arial"/>
          <w:color w:val="000000"/>
          <w:lang w:val="ru-RU"/>
        </w:rPr>
        <w:t>.</w:t>
      </w:r>
    </w:p>
    <w:p w14:paraId="13AAFC71" w14:textId="77777777" w:rsidR="00A87BD0" w:rsidRPr="00A87BD0" w:rsidRDefault="00A87BD0" w:rsidP="00A87BD0">
      <w:pPr>
        <w:spacing w:line="240" w:lineRule="auto"/>
        <w:rPr>
          <w:rFonts w:eastAsia="Times New Roman" w:cs="Arial"/>
          <w:i/>
          <w:iCs/>
          <w:color w:val="000000"/>
          <w:lang w:eastAsia="bg-BG"/>
        </w:rPr>
      </w:pPr>
    </w:p>
    <w:p w14:paraId="0394BD04" w14:textId="2D182E0A" w:rsidR="00A87BD0" w:rsidRPr="00A87BD0" w:rsidRDefault="00A87BD0" w:rsidP="00A87BD0">
      <w:pPr>
        <w:spacing w:line="240" w:lineRule="auto"/>
        <w:rPr>
          <w:rFonts w:eastAsia="Times New Roman" w:cs="Arial"/>
          <w:sz w:val="24"/>
          <w:szCs w:val="24"/>
        </w:rPr>
      </w:pPr>
      <w:r w:rsidRPr="00A87BD0">
        <w:rPr>
          <w:rFonts w:eastAsia="Times New Roman" w:cs="Arial"/>
          <w:i/>
          <w:iCs/>
          <w:color w:val="000000"/>
          <w:lang w:eastAsia="bg-BG"/>
        </w:rPr>
        <w:t xml:space="preserve">Пример: Ако приемем изходно ниво на </w:t>
      </w:r>
      <w:r w:rsidRPr="00A87BD0">
        <w:rPr>
          <w:rFonts w:eastAsia="Times New Roman" w:cs="Arial"/>
          <w:i/>
          <w:iCs/>
          <w:color w:val="000000"/>
          <w:lang w:val="en-US"/>
        </w:rPr>
        <w:t>IgG</w:t>
      </w:r>
      <w:r w:rsidRPr="00A87BD0">
        <w:rPr>
          <w:rFonts w:eastAsia="Times New Roman" w:cs="Arial"/>
          <w:i/>
          <w:iCs/>
          <w:color w:val="000000"/>
          <w:lang w:val="ru-RU"/>
        </w:rPr>
        <w:t xml:space="preserve"> </w:t>
      </w:r>
      <w:r w:rsidRPr="00A87BD0">
        <w:rPr>
          <w:rFonts w:eastAsia="Times New Roman" w:cs="Arial"/>
          <w:i/>
          <w:iCs/>
          <w:color w:val="000000"/>
          <w:lang w:eastAsia="bg-BG"/>
        </w:rPr>
        <w:t xml:space="preserve">от 4,0 </w:t>
      </w:r>
      <w:r w:rsidRPr="00A87BD0">
        <w:rPr>
          <w:rFonts w:eastAsia="Times New Roman" w:cs="Arial"/>
          <w:i/>
          <w:iCs/>
          <w:color w:val="000000"/>
          <w:lang w:val="en-US"/>
        </w:rPr>
        <w:t>g</w:t>
      </w:r>
      <w:r w:rsidRPr="00A87BD0">
        <w:rPr>
          <w:rFonts w:eastAsia="Times New Roman" w:cs="Arial"/>
          <w:i/>
          <w:iCs/>
          <w:color w:val="000000"/>
          <w:lang w:val="ru-RU"/>
        </w:rPr>
        <w:t>/</w:t>
      </w:r>
      <w:r w:rsidRPr="00A87BD0">
        <w:rPr>
          <w:rFonts w:eastAsia="Times New Roman" w:cs="Arial"/>
          <w:i/>
          <w:iCs/>
          <w:color w:val="000000"/>
          <w:lang w:val="en-US"/>
        </w:rPr>
        <w:t>l</w:t>
      </w:r>
      <w:r w:rsidRPr="00A87BD0">
        <w:rPr>
          <w:rFonts w:eastAsia="Times New Roman" w:cs="Arial"/>
          <w:i/>
          <w:iCs/>
          <w:color w:val="000000"/>
          <w:lang w:val="ru-RU"/>
        </w:rPr>
        <w:t xml:space="preserve"> </w:t>
      </w:r>
      <w:r w:rsidRPr="00A87BD0">
        <w:rPr>
          <w:rFonts w:eastAsia="Times New Roman" w:cs="Arial"/>
          <w:i/>
          <w:iCs/>
          <w:color w:val="000000"/>
          <w:lang w:eastAsia="bg-BG"/>
        </w:rPr>
        <w:t xml:space="preserve">и коефициент на преобразуване на дозата от 1,0 от лечение с </w:t>
      </w:r>
      <w:r w:rsidRPr="00A87BD0">
        <w:rPr>
          <w:rFonts w:eastAsia="Times New Roman" w:cs="Arial"/>
          <w:i/>
          <w:iCs/>
          <w:color w:val="000000"/>
          <w:lang w:val="en-US"/>
        </w:rPr>
        <w:t>IVIG</w:t>
      </w:r>
      <w:r w:rsidRPr="00A87BD0">
        <w:rPr>
          <w:rFonts w:eastAsia="Times New Roman" w:cs="Arial"/>
          <w:i/>
          <w:iCs/>
          <w:color w:val="000000"/>
          <w:lang w:val="ru-RU"/>
        </w:rPr>
        <w:t xml:space="preserve"> </w:t>
      </w:r>
      <w:r w:rsidRPr="00A87BD0">
        <w:rPr>
          <w:rFonts w:eastAsia="Times New Roman" w:cs="Arial"/>
          <w:i/>
          <w:iCs/>
          <w:color w:val="000000"/>
          <w:lang w:eastAsia="bg-BG"/>
        </w:rPr>
        <w:t xml:space="preserve">към </w:t>
      </w:r>
      <w:r w:rsidRPr="00A87BD0">
        <w:rPr>
          <w:rFonts w:eastAsia="Times New Roman" w:cs="Arial"/>
          <w:i/>
          <w:iCs/>
          <w:color w:val="000000"/>
          <w:lang w:val="en-US"/>
        </w:rPr>
        <w:t>SCIG</w:t>
      </w:r>
      <w:r w:rsidRPr="00A87BD0">
        <w:rPr>
          <w:rFonts w:eastAsia="Times New Roman" w:cs="Arial"/>
          <w:i/>
          <w:iCs/>
          <w:color w:val="000000"/>
          <w:lang w:val="ru-RU"/>
        </w:rPr>
        <w:t xml:space="preserve">, </w:t>
      </w:r>
      <w:r w:rsidRPr="00A87BD0">
        <w:rPr>
          <w:rFonts w:eastAsia="Times New Roman" w:cs="Arial"/>
          <w:i/>
          <w:iCs/>
          <w:color w:val="000000"/>
          <w:lang w:eastAsia="bg-BG"/>
        </w:rPr>
        <w:t xml:space="preserve">се прогнозира, че частта на пациентите, падащи под най- ниското ниво на </w:t>
      </w:r>
      <w:r w:rsidRPr="00A87BD0">
        <w:rPr>
          <w:rFonts w:eastAsia="Times New Roman" w:cs="Arial"/>
          <w:i/>
          <w:iCs/>
          <w:color w:val="000000"/>
          <w:lang w:val="en-US"/>
        </w:rPr>
        <w:t>IgG</w:t>
      </w:r>
      <w:r w:rsidRPr="00A87BD0">
        <w:rPr>
          <w:rFonts w:eastAsia="Times New Roman" w:cs="Arial"/>
          <w:i/>
          <w:iCs/>
          <w:color w:val="000000"/>
          <w:lang w:val="ru-RU"/>
        </w:rPr>
        <w:t xml:space="preserve"> </w:t>
      </w:r>
      <w:r w:rsidRPr="00A87BD0">
        <w:rPr>
          <w:rFonts w:eastAsia="Times New Roman" w:cs="Arial"/>
          <w:i/>
          <w:iCs/>
          <w:color w:val="000000"/>
          <w:lang w:eastAsia="bg-BG"/>
        </w:rPr>
        <w:t xml:space="preserve">от 5 </w:t>
      </w:r>
      <w:r w:rsidRPr="00A87BD0">
        <w:rPr>
          <w:rFonts w:eastAsia="Times New Roman" w:cs="Arial"/>
          <w:i/>
          <w:iCs/>
          <w:color w:val="000000"/>
          <w:lang w:val="en-US"/>
        </w:rPr>
        <w:t>g</w:t>
      </w:r>
      <w:r w:rsidRPr="00A87BD0">
        <w:rPr>
          <w:rFonts w:eastAsia="Times New Roman" w:cs="Arial"/>
          <w:i/>
          <w:iCs/>
          <w:color w:val="000000"/>
          <w:lang w:val="ru-RU"/>
        </w:rPr>
        <w:t>/</w:t>
      </w:r>
      <w:r w:rsidRPr="00A87BD0">
        <w:rPr>
          <w:rFonts w:eastAsia="Times New Roman" w:cs="Arial"/>
          <w:i/>
          <w:iCs/>
          <w:color w:val="000000"/>
          <w:lang w:val="en-US"/>
        </w:rPr>
        <w:t>l</w:t>
      </w:r>
      <w:r w:rsidRPr="00A87BD0">
        <w:rPr>
          <w:rFonts w:eastAsia="Times New Roman" w:cs="Arial"/>
          <w:i/>
          <w:iCs/>
          <w:color w:val="000000"/>
          <w:lang w:val="ru-RU"/>
        </w:rPr>
        <w:t xml:space="preserve">, </w:t>
      </w:r>
      <w:r w:rsidRPr="00A87BD0">
        <w:rPr>
          <w:rFonts w:eastAsia="Times New Roman" w:cs="Arial"/>
          <w:i/>
          <w:iCs/>
          <w:color w:val="000000"/>
          <w:lang w:eastAsia="bg-BG"/>
        </w:rPr>
        <w:t xml:space="preserve">ще се увеличи до 4 % при интервал на дозата от 2 седмици в сравнение с 1,4% при дозови интервали ≤ </w:t>
      </w:r>
      <w:r w:rsidRPr="00A87BD0">
        <w:rPr>
          <w:rFonts w:eastAsia="Times New Roman" w:cs="Arial"/>
          <w:i/>
          <w:iCs/>
          <w:color w:val="000000"/>
          <w:lang w:val="en-US"/>
        </w:rPr>
        <w:t>QIW</w:t>
      </w:r>
      <w:r w:rsidRPr="00A87BD0">
        <w:rPr>
          <w:rFonts w:eastAsia="Times New Roman" w:cs="Arial"/>
          <w:i/>
          <w:iCs/>
          <w:color w:val="000000"/>
          <w:lang w:val="ru-RU"/>
        </w:rPr>
        <w:t>.</w:t>
      </w:r>
    </w:p>
    <w:p w14:paraId="0FF9F7A7" w14:textId="77777777" w:rsidR="00A87BD0" w:rsidRPr="00A87BD0" w:rsidRDefault="00A87BD0" w:rsidP="00A87BD0">
      <w:pPr>
        <w:spacing w:line="240" w:lineRule="auto"/>
        <w:rPr>
          <w:rFonts w:eastAsia="Times New Roman" w:cs="Arial"/>
          <w:color w:val="000000"/>
          <w:u w:val="single"/>
          <w:lang w:eastAsia="bg-BG"/>
        </w:rPr>
      </w:pPr>
    </w:p>
    <w:p w14:paraId="7C240702" w14:textId="21A3477B" w:rsidR="00A87BD0" w:rsidRPr="00A87BD0" w:rsidRDefault="00A87BD0" w:rsidP="00A87BD0">
      <w:pPr>
        <w:pStyle w:val="Heading3"/>
        <w:rPr>
          <w:rFonts w:eastAsia="Times New Roman"/>
          <w:u w:val="single"/>
        </w:rPr>
      </w:pPr>
      <w:r w:rsidRPr="00A87BD0">
        <w:rPr>
          <w:rFonts w:eastAsia="Times New Roman"/>
          <w:u w:val="single"/>
          <w:lang w:eastAsia="bg-BG"/>
        </w:rPr>
        <w:t>Елиминиране</w:t>
      </w:r>
    </w:p>
    <w:p w14:paraId="0D2DDFA6"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val="en-US"/>
        </w:rPr>
        <w:t>IgG</w:t>
      </w:r>
      <w:r w:rsidRPr="00A87BD0">
        <w:rPr>
          <w:rFonts w:eastAsia="Times New Roman" w:cs="Arial"/>
          <w:color w:val="000000"/>
          <w:lang w:val="ru-RU"/>
        </w:rPr>
        <w:t xml:space="preserve"> </w:t>
      </w:r>
      <w:r w:rsidRPr="00A87BD0">
        <w:rPr>
          <w:rFonts w:eastAsia="Times New Roman" w:cs="Arial"/>
          <w:color w:val="000000"/>
          <w:lang w:eastAsia="bg-BG"/>
        </w:rPr>
        <w:t xml:space="preserve">и </w:t>
      </w:r>
      <w:r w:rsidRPr="00A87BD0">
        <w:rPr>
          <w:rFonts w:eastAsia="Times New Roman" w:cs="Arial"/>
          <w:color w:val="000000"/>
          <w:lang w:val="en-US"/>
        </w:rPr>
        <w:t>IgG</w:t>
      </w:r>
      <w:r w:rsidRPr="00A87BD0">
        <w:rPr>
          <w:rFonts w:eastAsia="Times New Roman" w:cs="Arial"/>
          <w:color w:val="000000"/>
          <w:lang w:eastAsia="bg-BG"/>
        </w:rPr>
        <w:t xml:space="preserve">-комплексите се разграждат в клетките на ретикулоендотелната система. Средният полуживот на </w:t>
      </w:r>
      <w:r w:rsidRPr="00A87BD0">
        <w:rPr>
          <w:rFonts w:eastAsia="Times New Roman" w:cs="Arial"/>
          <w:color w:val="000000"/>
          <w:lang w:val="en-US"/>
        </w:rPr>
        <w:t>IgG</w:t>
      </w:r>
      <w:r w:rsidRPr="00A87BD0">
        <w:rPr>
          <w:rFonts w:eastAsia="Times New Roman" w:cs="Arial"/>
          <w:color w:val="000000"/>
          <w:lang w:val="ru-RU"/>
        </w:rPr>
        <w:t xml:space="preserve"> </w:t>
      </w:r>
      <w:r w:rsidRPr="00A87BD0">
        <w:rPr>
          <w:rFonts w:eastAsia="Times New Roman" w:cs="Arial"/>
          <w:color w:val="000000"/>
          <w:lang w:eastAsia="bg-BG"/>
        </w:rPr>
        <w:t xml:space="preserve">след приложение на Кутакуиг при пациенти с </w:t>
      </w:r>
      <w:r w:rsidRPr="00A87BD0">
        <w:rPr>
          <w:rFonts w:eastAsia="Times New Roman" w:cs="Arial"/>
          <w:color w:val="000000"/>
          <w:lang w:val="en-US"/>
        </w:rPr>
        <w:t>PID</w:t>
      </w:r>
      <w:r w:rsidRPr="00A87BD0">
        <w:rPr>
          <w:rFonts w:eastAsia="Times New Roman" w:cs="Arial"/>
          <w:color w:val="000000"/>
          <w:lang w:val="ru-RU"/>
        </w:rPr>
        <w:t xml:space="preserve"> </w:t>
      </w:r>
      <w:r w:rsidRPr="00A87BD0">
        <w:rPr>
          <w:rFonts w:eastAsia="Times New Roman" w:cs="Arial"/>
          <w:color w:val="000000"/>
          <w:lang w:eastAsia="bg-BG"/>
        </w:rPr>
        <w:t xml:space="preserve">се оценява на ~16 [9,2- 36,3] дни, както е изчислено в популационен РК модел, като се приема нулево ендогенно производство на </w:t>
      </w:r>
      <w:r w:rsidRPr="00A87BD0">
        <w:rPr>
          <w:rFonts w:eastAsia="Times New Roman" w:cs="Arial"/>
          <w:color w:val="000000"/>
          <w:lang w:val="en-US"/>
        </w:rPr>
        <w:t>IgG</w:t>
      </w:r>
      <w:r w:rsidRPr="00A87BD0">
        <w:rPr>
          <w:rFonts w:eastAsia="Times New Roman" w:cs="Arial"/>
          <w:color w:val="000000"/>
          <w:lang w:val="ru-RU"/>
        </w:rPr>
        <w:t>.</w:t>
      </w:r>
    </w:p>
    <w:p w14:paraId="723FEFC1" w14:textId="77777777" w:rsidR="00A87BD0" w:rsidRPr="00A87BD0" w:rsidRDefault="00A87BD0" w:rsidP="00A87BD0">
      <w:pPr>
        <w:spacing w:line="240" w:lineRule="auto"/>
        <w:rPr>
          <w:rFonts w:eastAsia="Times New Roman" w:cs="Arial"/>
          <w:color w:val="000000"/>
          <w:u w:val="single"/>
          <w:lang w:eastAsia="bg-BG"/>
        </w:rPr>
      </w:pPr>
    </w:p>
    <w:p w14:paraId="33E9A9F7" w14:textId="039E7D77" w:rsidR="00A87BD0" w:rsidRPr="00A87BD0" w:rsidRDefault="00A87BD0" w:rsidP="00A87BD0">
      <w:pPr>
        <w:pStyle w:val="Heading3"/>
        <w:rPr>
          <w:rFonts w:eastAsia="Times New Roman"/>
          <w:u w:val="single"/>
        </w:rPr>
      </w:pPr>
      <w:r w:rsidRPr="00A87BD0">
        <w:rPr>
          <w:rFonts w:eastAsia="Times New Roman"/>
          <w:u w:val="single"/>
          <w:lang w:eastAsia="bg-BG"/>
        </w:rPr>
        <w:t>Педиатрична популация</w:t>
      </w:r>
    </w:p>
    <w:p w14:paraId="262A2739" w14:textId="77777777"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Не са наблюдавани клинично значими разлики във фармакокинетичните параметри между възрастни и педиатрични пациентина на </w:t>
      </w:r>
      <w:r w:rsidRPr="00A87BD0">
        <w:rPr>
          <w:rFonts w:eastAsia="Times New Roman" w:cs="Arial"/>
          <w:color w:val="000000"/>
          <w:lang w:val="en-US"/>
        </w:rPr>
        <w:t>PID</w:t>
      </w:r>
      <w:r w:rsidRPr="00A87BD0">
        <w:rPr>
          <w:rFonts w:eastAsia="Times New Roman" w:cs="Arial"/>
          <w:color w:val="000000"/>
          <w:lang w:val="ru-RU"/>
        </w:rPr>
        <w:t xml:space="preserve"> </w:t>
      </w:r>
      <w:r w:rsidRPr="00A87BD0">
        <w:rPr>
          <w:rFonts w:eastAsia="Times New Roman" w:cs="Arial"/>
          <w:color w:val="000000"/>
          <w:lang w:eastAsia="bg-BG"/>
        </w:rPr>
        <w:t>студията.</w:t>
      </w:r>
    </w:p>
    <w:p w14:paraId="6B6033D4" w14:textId="77777777" w:rsidR="00A87BD0" w:rsidRPr="00A87BD0" w:rsidRDefault="00A87BD0" w:rsidP="00A87BD0">
      <w:pPr>
        <w:spacing w:line="240" w:lineRule="auto"/>
        <w:rPr>
          <w:rFonts w:eastAsia="Times New Roman" w:cs="Arial"/>
          <w:color w:val="000000"/>
          <w:lang w:eastAsia="bg-BG"/>
        </w:rPr>
      </w:pPr>
    </w:p>
    <w:p w14:paraId="3A2F7BEA" w14:textId="19DDC1CA" w:rsidR="00A87BD0" w:rsidRPr="00A87BD0" w:rsidRDefault="00A87BD0" w:rsidP="00A87BD0">
      <w:pPr>
        <w:spacing w:line="240" w:lineRule="auto"/>
        <w:rPr>
          <w:rFonts w:eastAsia="Times New Roman" w:cs="Arial"/>
          <w:sz w:val="24"/>
          <w:szCs w:val="24"/>
        </w:rPr>
      </w:pPr>
      <w:r w:rsidRPr="00A87BD0">
        <w:rPr>
          <w:rFonts w:eastAsia="Times New Roman" w:cs="Arial"/>
          <w:color w:val="000000"/>
          <w:lang w:eastAsia="bg-BG"/>
        </w:rPr>
        <w:t xml:space="preserve">Моделирането и симулацията на базата на ФК, вършени върху данните от клиничното проучване с ежеседмично дозиране на Кутакуиг, показват, че коригираното според </w:t>
      </w:r>
      <w:r w:rsidRPr="00A87BD0">
        <w:rPr>
          <w:rFonts w:eastAsia="Times New Roman" w:cs="Arial"/>
          <w:color w:val="000000"/>
          <w:lang w:eastAsia="bg-BG"/>
        </w:rPr>
        <w:lastRenderedPageBreak/>
        <w:t xml:space="preserve">телесното тегло е достатъчно за поддържане на системната експозиция на </w:t>
      </w:r>
      <w:r w:rsidRPr="00A87BD0">
        <w:rPr>
          <w:rFonts w:eastAsia="Times New Roman" w:cs="Arial"/>
          <w:color w:val="000000"/>
          <w:lang w:val="en-US"/>
        </w:rPr>
        <w:t>IgG</w:t>
      </w:r>
      <w:r w:rsidRPr="00A87BD0">
        <w:rPr>
          <w:rFonts w:eastAsia="Times New Roman" w:cs="Arial"/>
          <w:color w:val="000000"/>
          <w:lang w:val="ru-RU"/>
        </w:rPr>
        <w:t xml:space="preserve"> </w:t>
      </w:r>
      <w:r w:rsidRPr="00A87BD0">
        <w:rPr>
          <w:rFonts w:eastAsia="Times New Roman" w:cs="Arial"/>
          <w:color w:val="000000"/>
          <w:lang w:eastAsia="bg-BG"/>
        </w:rPr>
        <w:t>в терапевтичната област, независимо от възрастта.</w:t>
      </w:r>
    </w:p>
    <w:p w14:paraId="610298AB" w14:textId="32C0267E" w:rsidR="00A87BD0" w:rsidRPr="00A87BD0" w:rsidRDefault="00A87BD0" w:rsidP="00A87BD0"/>
    <w:p w14:paraId="4FB791BE" w14:textId="10918EB6" w:rsidR="00B6672E" w:rsidRDefault="002C50EE" w:rsidP="00936AD0">
      <w:pPr>
        <w:pStyle w:val="Heading2"/>
      </w:pPr>
      <w:r>
        <w:t>5.3. Предклинични данни за безопасност</w:t>
      </w:r>
    </w:p>
    <w:p w14:paraId="3B1C94EA" w14:textId="5289A2B5" w:rsidR="00A87BD0" w:rsidRDefault="00A87BD0" w:rsidP="00A87BD0"/>
    <w:p w14:paraId="0533E175" w14:textId="7D62A69F" w:rsidR="00A87BD0" w:rsidRPr="00A87BD0" w:rsidRDefault="00A87BD0" w:rsidP="00A87BD0">
      <w:r>
        <w:t>Имуноглобулините са нормална съставка на човешката плазма. Неклиничните данни не показват особен риск за хората на базата на конвенционални неклинични проучвания за фармакологична безопасност и локална поносимост. Тъй като клиничният опит не дава данни за канцерогенен или мутагенен потенциал на имуноглобулини, не са провеждани експериментални проучвания с хетероложни видове</w:t>
      </w:r>
      <w:r>
        <w:t>.</w:t>
      </w:r>
    </w:p>
    <w:p w14:paraId="1BA6531D" w14:textId="4C9F17A0" w:rsidR="00B6672E" w:rsidRDefault="002C50EE" w:rsidP="00936AD0">
      <w:pPr>
        <w:pStyle w:val="Heading1"/>
      </w:pPr>
      <w:r>
        <w:t>7. ПРИТЕЖАТЕЛ НА РАЗРЕШЕНИЕТО ЗА УПОТРЕБА</w:t>
      </w:r>
    </w:p>
    <w:p w14:paraId="0E5A2454" w14:textId="33305DC5" w:rsidR="00A87BD0" w:rsidRDefault="00A87BD0" w:rsidP="00A87BD0"/>
    <w:p w14:paraId="1AD716A3" w14:textId="77777777" w:rsidR="00A87BD0" w:rsidRPr="00A87BD0" w:rsidRDefault="00A87BD0" w:rsidP="00A87BD0">
      <w:pPr>
        <w:rPr>
          <w:sz w:val="24"/>
          <w:szCs w:val="24"/>
          <w:lang w:val="en-US"/>
        </w:rPr>
      </w:pPr>
      <w:proofErr w:type="spellStart"/>
      <w:r w:rsidRPr="00A87BD0">
        <w:rPr>
          <w:lang w:val="en-US"/>
        </w:rPr>
        <w:t>Octapharma</w:t>
      </w:r>
      <w:proofErr w:type="spellEnd"/>
      <w:r w:rsidRPr="00A87BD0">
        <w:rPr>
          <w:lang w:val="en-US"/>
        </w:rPr>
        <w:t xml:space="preserve"> (IP) SPRL</w:t>
      </w:r>
    </w:p>
    <w:p w14:paraId="488C2296" w14:textId="77777777" w:rsidR="00A87BD0" w:rsidRPr="00A87BD0" w:rsidRDefault="00A87BD0" w:rsidP="00A87BD0">
      <w:pPr>
        <w:rPr>
          <w:sz w:val="24"/>
          <w:szCs w:val="24"/>
          <w:lang w:val="en-US"/>
        </w:rPr>
      </w:pPr>
      <w:proofErr w:type="spellStart"/>
      <w:r w:rsidRPr="00A87BD0">
        <w:rPr>
          <w:lang w:val="en-US"/>
        </w:rPr>
        <w:t>Allee</w:t>
      </w:r>
      <w:proofErr w:type="spellEnd"/>
      <w:r w:rsidRPr="00A87BD0">
        <w:rPr>
          <w:lang w:val="en-US"/>
        </w:rPr>
        <w:t xml:space="preserve"> de la </w:t>
      </w:r>
      <w:proofErr w:type="spellStart"/>
      <w:r w:rsidRPr="00A87BD0">
        <w:rPr>
          <w:lang w:val="en-US"/>
        </w:rPr>
        <w:t>Recherche</w:t>
      </w:r>
      <w:proofErr w:type="spellEnd"/>
      <w:r w:rsidRPr="00A87BD0">
        <w:rPr>
          <w:lang w:val="en-US"/>
        </w:rPr>
        <w:t xml:space="preserve"> 65</w:t>
      </w:r>
    </w:p>
    <w:p w14:paraId="4317B73F" w14:textId="77777777" w:rsidR="00A87BD0" w:rsidRPr="00A87BD0" w:rsidRDefault="00A87BD0" w:rsidP="00A87BD0">
      <w:pPr>
        <w:rPr>
          <w:sz w:val="24"/>
          <w:szCs w:val="24"/>
          <w:lang w:val="ru-RU"/>
        </w:rPr>
      </w:pPr>
      <w:r w:rsidRPr="00A87BD0">
        <w:rPr>
          <w:lang w:val="ru-RU"/>
        </w:rPr>
        <w:t xml:space="preserve">1070 </w:t>
      </w:r>
      <w:r w:rsidRPr="00A87BD0">
        <w:rPr>
          <w:lang w:val="en-US"/>
        </w:rPr>
        <w:t>Anderlecht</w:t>
      </w:r>
    </w:p>
    <w:p w14:paraId="618A0B55" w14:textId="7FDDD528" w:rsidR="00A87BD0" w:rsidRPr="00A87BD0" w:rsidRDefault="00A87BD0" w:rsidP="00A87BD0">
      <w:r w:rsidRPr="00A87BD0">
        <w:rPr>
          <w:lang w:eastAsia="bg-BG"/>
        </w:rPr>
        <w:t>Белгия</w:t>
      </w:r>
    </w:p>
    <w:p w14:paraId="508F3A54" w14:textId="7C476799" w:rsidR="00B6672E" w:rsidRDefault="00936AD0" w:rsidP="00936AD0">
      <w:pPr>
        <w:pStyle w:val="Heading1"/>
      </w:pPr>
      <w:r>
        <w:t>8.</w:t>
      </w:r>
      <w:r w:rsidR="002C50EE">
        <w:t>НОМЕР НА РАЗРЕШЕНИЕТО ЗА УПОТРЕБА</w:t>
      </w:r>
    </w:p>
    <w:p w14:paraId="5A5E5363" w14:textId="6FB1F213" w:rsidR="00A87BD0" w:rsidRDefault="00A87BD0" w:rsidP="00A87BD0"/>
    <w:p w14:paraId="18A0BF70" w14:textId="38ABB51F" w:rsidR="00A87BD0" w:rsidRDefault="00A87BD0" w:rsidP="00A87BD0">
      <w:pPr>
        <w:rPr>
          <w:lang w:eastAsia="bg-BG"/>
        </w:rPr>
      </w:pPr>
      <w:r w:rsidRPr="00A87BD0">
        <w:rPr>
          <w:lang w:eastAsia="bg-BG"/>
        </w:rPr>
        <w:t>Регистрационен № 20200026</w:t>
      </w:r>
    </w:p>
    <w:p w14:paraId="2E503324" w14:textId="77777777" w:rsidR="00A87BD0" w:rsidRPr="00A87BD0" w:rsidRDefault="00A87BD0" w:rsidP="00A87BD0">
      <w:pPr>
        <w:rPr>
          <w:sz w:val="24"/>
          <w:szCs w:val="24"/>
        </w:rPr>
      </w:pPr>
    </w:p>
    <w:p w14:paraId="2CCB5832" w14:textId="55C6AD7D" w:rsidR="007C605B" w:rsidRDefault="002C50EE" w:rsidP="007C605B">
      <w:pPr>
        <w:pStyle w:val="Heading1"/>
      </w:pPr>
      <w:r>
        <w:t>9. ДАТА НА ПЪРВО РАЗРЕШАВАНЕ/ПОДНОВЯВАНЕ НА РАЗРЕШЕНИЕТО ЗА УПОТРЕБА</w:t>
      </w:r>
    </w:p>
    <w:p w14:paraId="41FA8434" w14:textId="42AE9908" w:rsidR="00A87BD0" w:rsidRDefault="00A87BD0" w:rsidP="00A87BD0"/>
    <w:p w14:paraId="3F318F17" w14:textId="0FF0F9A9" w:rsidR="00A87BD0" w:rsidRDefault="00A87BD0" w:rsidP="00A87BD0">
      <w:pPr>
        <w:rPr>
          <w:lang w:eastAsia="bg-BG"/>
        </w:rPr>
      </w:pPr>
      <w:r w:rsidRPr="00A87BD0">
        <w:rPr>
          <w:lang w:eastAsia="bg-BG"/>
        </w:rPr>
        <w:t>Дата на първо разрешаване: 25.02.2020</w:t>
      </w:r>
    </w:p>
    <w:p w14:paraId="2AA678F3" w14:textId="77777777" w:rsidR="00A87BD0" w:rsidRPr="00A87BD0" w:rsidRDefault="00A87BD0" w:rsidP="00A87BD0">
      <w:pPr>
        <w:rPr>
          <w:sz w:val="24"/>
          <w:szCs w:val="24"/>
        </w:rPr>
      </w:pPr>
    </w:p>
    <w:p w14:paraId="0E9D0119" w14:textId="0245C6D7" w:rsidR="002C50EE" w:rsidRDefault="002C50EE" w:rsidP="002C50EE">
      <w:pPr>
        <w:pStyle w:val="Heading1"/>
      </w:pPr>
      <w:r>
        <w:t>10. ДАТА НА АКТУАЛИЗИРАНЕ НА ТЕКСТА</w:t>
      </w:r>
    </w:p>
    <w:bookmarkEnd w:id="0"/>
    <w:p w14:paraId="43FB38A2" w14:textId="05B97135" w:rsidR="007C605B" w:rsidRPr="003E3126" w:rsidRDefault="00A87BD0" w:rsidP="00B6672E">
      <w:r>
        <w:t>01/2022</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3F4B71"/>
    <w:multiLevelType w:val="hybridMultilevel"/>
    <w:tmpl w:val="05A2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32EB0"/>
    <w:multiLevelType w:val="hybridMultilevel"/>
    <w:tmpl w:val="BB40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3"/>
  </w:num>
  <w:num w:numId="12">
    <w:abstractNumId w:val="16"/>
  </w:num>
  <w:num w:numId="13">
    <w:abstractNumId w:val="21"/>
  </w:num>
  <w:num w:numId="14">
    <w:abstractNumId w:val="14"/>
  </w:num>
  <w:num w:numId="15">
    <w:abstractNumId w:val="32"/>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4"/>
  </w:num>
  <w:num w:numId="28">
    <w:abstractNumId w:val="6"/>
  </w:num>
  <w:num w:numId="29">
    <w:abstractNumId w:val="22"/>
  </w:num>
  <w:num w:numId="30">
    <w:abstractNumId w:val="37"/>
  </w:num>
  <w:num w:numId="31">
    <w:abstractNumId w:val="5"/>
  </w:num>
  <w:num w:numId="32">
    <w:abstractNumId w:val="36"/>
  </w:num>
  <w:num w:numId="33">
    <w:abstractNumId w:val="31"/>
  </w:num>
  <w:num w:numId="34">
    <w:abstractNumId w:val="35"/>
  </w:num>
  <w:num w:numId="35">
    <w:abstractNumId w:val="7"/>
  </w:num>
  <w:num w:numId="36">
    <w:abstractNumId w:val="10"/>
  </w:num>
  <w:num w:numId="37">
    <w:abstractNumId w:val="3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87BD0"/>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3970</Words>
  <Characters>22630</Characters>
  <Application>Microsoft Office Word</Application>
  <DocSecurity>0</DocSecurity>
  <Lines>188</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2022-07-06T13:54:00Z</dcterms:created>
  <dcterms:modified xsi:type="dcterms:W3CDTF">2022-07-06T13:54:00Z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