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52541815" w:rsidR="009F77A4" w:rsidRDefault="00DD466D" w:rsidP="00387A66">
      <w:pPr>
        <w:pStyle w:val="Heading1"/>
      </w:pPr>
      <w:r>
        <w:t>1.ИМЕ НА ЛЕКАРСТВЕНИЯ ПРОДУКТ</w:t>
      </w:r>
    </w:p>
    <w:p w14:paraId="7F2CC1E1" w14:textId="7316D649" w:rsidR="008D2F46" w:rsidRDefault="008D2F46" w:rsidP="008D2F46"/>
    <w:p w14:paraId="1E5B73E1" w14:textId="77777777" w:rsidR="008D2F46" w:rsidRDefault="008D2F46" w:rsidP="008D2F46">
      <w:pPr>
        <w:rPr>
          <w:lang w:eastAsia="bg-BG"/>
        </w:rPr>
      </w:pPr>
      <w:r w:rsidRPr="008D2F46">
        <w:rPr>
          <w:lang w:eastAsia="bg-BG"/>
        </w:rPr>
        <w:t xml:space="preserve">ДАКТАКОРТ 20 </w:t>
      </w:r>
      <w:r w:rsidRPr="008D2F46">
        <w:rPr>
          <w:lang w:val="en-US"/>
        </w:rPr>
        <w:t xml:space="preserve">mg/g </w:t>
      </w:r>
      <w:r w:rsidRPr="008D2F46">
        <w:rPr>
          <w:lang w:eastAsia="bg-BG"/>
        </w:rPr>
        <w:t xml:space="preserve">/10 </w:t>
      </w:r>
      <w:r w:rsidRPr="008D2F46">
        <w:rPr>
          <w:lang w:val="en-US"/>
        </w:rPr>
        <w:t xml:space="preserve">mg/g </w:t>
      </w:r>
      <w:r w:rsidRPr="008D2F46">
        <w:rPr>
          <w:lang w:eastAsia="bg-BG"/>
        </w:rPr>
        <w:t xml:space="preserve">крем </w:t>
      </w:r>
    </w:p>
    <w:p w14:paraId="39B89C33" w14:textId="46B81070" w:rsidR="008D2F46" w:rsidRPr="008D2F46" w:rsidRDefault="008D2F46" w:rsidP="008D2F46">
      <w:pPr>
        <w:rPr>
          <w:sz w:val="24"/>
          <w:szCs w:val="24"/>
          <w:lang w:val="en-US" w:eastAsia="bg-BG"/>
        </w:rPr>
      </w:pPr>
      <w:r w:rsidRPr="008D2F46">
        <w:rPr>
          <w:lang w:val="en-US"/>
        </w:rPr>
        <w:t xml:space="preserve">DAKTACORT </w:t>
      </w:r>
      <w:r w:rsidRPr="008D2F46">
        <w:rPr>
          <w:lang w:eastAsia="bg-BG"/>
        </w:rPr>
        <w:t xml:space="preserve">20 </w:t>
      </w:r>
      <w:r w:rsidRPr="008D2F46">
        <w:rPr>
          <w:lang w:val="en-US"/>
        </w:rPr>
        <w:t xml:space="preserve">mg/g </w:t>
      </w:r>
      <w:r w:rsidRPr="008D2F46">
        <w:rPr>
          <w:lang w:eastAsia="bg-BG"/>
        </w:rPr>
        <w:t xml:space="preserve">/10 </w:t>
      </w:r>
      <w:r w:rsidRPr="008D2F46">
        <w:rPr>
          <w:lang w:val="en-US"/>
        </w:rPr>
        <w:t>mg/g cream</w:t>
      </w:r>
    </w:p>
    <w:p w14:paraId="4E27B0F8" w14:textId="77777777" w:rsidR="008D2F46" w:rsidRPr="008D2F46" w:rsidRDefault="008D2F46" w:rsidP="008D2F46"/>
    <w:p w14:paraId="0DF202EC" w14:textId="25ED8AFA" w:rsidR="00F53FB7" w:rsidRDefault="00DD466D" w:rsidP="00A93499">
      <w:pPr>
        <w:pStyle w:val="Heading1"/>
      </w:pPr>
      <w:r>
        <w:t>2. КАЧЕСТВЕН И КОЛИЧЕСТВЕН СЪСТАВ</w:t>
      </w:r>
    </w:p>
    <w:p w14:paraId="24F95776" w14:textId="0C9D1E04" w:rsidR="008D2F46" w:rsidRDefault="008D2F46" w:rsidP="008D2F46"/>
    <w:p w14:paraId="41020993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В един грам крем се съдържат 20 </w:t>
      </w:r>
      <w:r w:rsidRPr="008D2F46">
        <w:rPr>
          <w:rFonts w:eastAsia="Times New Roman" w:cs="Arial"/>
          <w:color w:val="000000"/>
          <w:lang w:val="en-US"/>
        </w:rPr>
        <w:t xml:space="preserve">mg </w:t>
      </w:r>
      <w:r w:rsidRPr="008D2F46">
        <w:rPr>
          <w:rFonts w:eastAsia="Times New Roman" w:cs="Arial"/>
          <w:color w:val="000000"/>
          <w:lang w:eastAsia="bg-BG"/>
        </w:rPr>
        <w:t xml:space="preserve">миконазолов нитрат </w:t>
      </w:r>
      <w:r w:rsidRPr="008D2F46">
        <w:rPr>
          <w:rFonts w:eastAsia="Times New Roman" w:cs="Arial"/>
          <w:i/>
          <w:iCs/>
          <w:color w:val="000000"/>
          <w:lang w:val="en-US"/>
        </w:rPr>
        <w:t>(miconazole nitrate)</w:t>
      </w:r>
      <w:r w:rsidRPr="008D2F46">
        <w:rPr>
          <w:rFonts w:eastAsia="Times New Roman" w:cs="Arial"/>
          <w:color w:val="000000"/>
          <w:lang w:val="en-US"/>
        </w:rPr>
        <w:t xml:space="preserve"> </w:t>
      </w:r>
      <w:r w:rsidRPr="008D2F46">
        <w:rPr>
          <w:rFonts w:eastAsia="Times New Roman" w:cs="Arial"/>
          <w:color w:val="000000"/>
          <w:lang w:eastAsia="bg-BG"/>
        </w:rPr>
        <w:t xml:space="preserve">и 10 </w:t>
      </w:r>
      <w:r w:rsidRPr="008D2F46">
        <w:rPr>
          <w:rFonts w:eastAsia="Times New Roman" w:cs="Arial"/>
          <w:color w:val="000000"/>
          <w:lang w:val="en-US"/>
        </w:rPr>
        <w:t xml:space="preserve">mg </w:t>
      </w:r>
      <w:r w:rsidRPr="008D2F46">
        <w:rPr>
          <w:rFonts w:eastAsia="Times New Roman" w:cs="Arial"/>
          <w:color w:val="000000"/>
          <w:lang w:eastAsia="bg-BG"/>
        </w:rPr>
        <w:t xml:space="preserve">хидрокортизон </w:t>
      </w:r>
      <w:r w:rsidRPr="008D2F46">
        <w:rPr>
          <w:rFonts w:eastAsia="Times New Roman" w:cs="Arial"/>
          <w:i/>
          <w:iCs/>
          <w:color w:val="000000"/>
          <w:lang w:val="en-US"/>
        </w:rPr>
        <w:t>(hydrocortisone).</w:t>
      </w:r>
    </w:p>
    <w:p w14:paraId="038435CE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36281E" w14:textId="030C2215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</w:p>
    <w:p w14:paraId="66ADC6F6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Бензоената киселина (Е 210)</w:t>
      </w:r>
    </w:p>
    <w:p w14:paraId="33B6B0D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ДАКТАКОРТ крем съдържа 30 </w:t>
      </w:r>
      <w:r w:rsidRPr="008D2F46">
        <w:rPr>
          <w:rFonts w:eastAsia="Times New Roman" w:cs="Arial"/>
          <w:color w:val="000000"/>
          <w:lang w:val="en-US"/>
        </w:rPr>
        <w:t xml:space="preserve">mg </w:t>
      </w:r>
      <w:r w:rsidRPr="008D2F46">
        <w:rPr>
          <w:rFonts w:eastAsia="Times New Roman" w:cs="Arial"/>
          <w:color w:val="000000"/>
          <w:lang w:eastAsia="bg-BG"/>
        </w:rPr>
        <w:t xml:space="preserve">бензоена киселина във всяка туба от 15 </w:t>
      </w:r>
      <w:r w:rsidRPr="008D2F46">
        <w:rPr>
          <w:rFonts w:eastAsia="Times New Roman" w:cs="Arial"/>
          <w:color w:val="000000"/>
          <w:lang w:val="en-US"/>
        </w:rPr>
        <w:t xml:space="preserve">g </w:t>
      </w:r>
      <w:r w:rsidRPr="008D2F46">
        <w:rPr>
          <w:rFonts w:eastAsia="Times New Roman" w:cs="Arial"/>
          <w:color w:val="000000"/>
          <w:lang w:eastAsia="bg-BG"/>
        </w:rPr>
        <w:t xml:space="preserve">крем, които са еквивалентни на 2 </w:t>
      </w:r>
      <w:r w:rsidRPr="008D2F46">
        <w:rPr>
          <w:rFonts w:eastAsia="Times New Roman" w:cs="Arial"/>
          <w:color w:val="000000"/>
          <w:lang w:val="en-US"/>
        </w:rPr>
        <w:t xml:space="preserve">mg/g </w:t>
      </w:r>
      <w:r w:rsidRPr="008D2F46">
        <w:rPr>
          <w:rFonts w:eastAsia="Times New Roman" w:cs="Arial"/>
          <w:color w:val="000000"/>
          <w:lang w:eastAsia="bg-BG"/>
        </w:rPr>
        <w:t>крем.</w:t>
      </w:r>
    </w:p>
    <w:p w14:paraId="02AA3FE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Бутилхидроксианизол (Е 320)</w:t>
      </w:r>
    </w:p>
    <w:p w14:paraId="02953242" w14:textId="77777777" w:rsidR="008D2F46" w:rsidRPr="008D2F46" w:rsidRDefault="008D2F46" w:rsidP="008D2F46"/>
    <w:p w14:paraId="4CABB9ED" w14:textId="5BFF81E5" w:rsidR="00F53FB7" w:rsidRDefault="00DD466D" w:rsidP="00A93499">
      <w:pPr>
        <w:pStyle w:val="Heading1"/>
      </w:pPr>
      <w:r>
        <w:t>3. ЛЕКАРСТВЕНА ФОРМА</w:t>
      </w:r>
    </w:p>
    <w:p w14:paraId="742721A7" w14:textId="1C43005A" w:rsidR="008D2F46" w:rsidRDefault="008D2F46" w:rsidP="008D2F46"/>
    <w:p w14:paraId="517139C3" w14:textId="52910AC2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Крем за локално приложение върху кожата.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4B0BA2F6" w:rsidR="009F77A4" w:rsidRDefault="002C50EE" w:rsidP="00387A66">
      <w:pPr>
        <w:pStyle w:val="Heading2"/>
      </w:pPr>
      <w:r>
        <w:t>4.1. Терапевтични показания</w:t>
      </w:r>
    </w:p>
    <w:p w14:paraId="18778658" w14:textId="3C69A2AE" w:rsidR="008D2F46" w:rsidRDefault="008D2F46" w:rsidP="008D2F46"/>
    <w:p w14:paraId="5D1ECD62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 xml:space="preserve">Кожни инфекции, причинени от дерматофити или </w:t>
      </w:r>
      <w:r w:rsidRPr="008D2F46">
        <w:rPr>
          <w:i/>
          <w:iCs/>
          <w:lang w:val="en-US"/>
        </w:rPr>
        <w:t>Candida spp.,</w:t>
      </w:r>
      <w:r w:rsidRPr="008D2F46">
        <w:rPr>
          <w:lang w:val="en-US"/>
        </w:rPr>
        <w:t xml:space="preserve"> </w:t>
      </w:r>
      <w:r w:rsidRPr="008D2F46">
        <w:rPr>
          <w:lang w:eastAsia="bg-BG"/>
        </w:rPr>
        <w:t>при които симптомите на възпаление са силно изявени.</w:t>
      </w:r>
    </w:p>
    <w:p w14:paraId="01BA1687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Поради това ДАКТАКОРТ е показан предимно за началните стадии на лечение. След като симптомите на възпаление изчезнат лечението може да бъде продължено с антимикотик без съдържание на кортикостероид, ако се предпочита.</w:t>
      </w:r>
    </w:p>
    <w:p w14:paraId="3B92B657" w14:textId="5BE0227A" w:rsidR="008D2F46" w:rsidRDefault="008D2F46" w:rsidP="008D2F46">
      <w:pPr>
        <w:rPr>
          <w:lang w:eastAsia="bg-BG"/>
        </w:rPr>
      </w:pPr>
      <w:r w:rsidRPr="008D2F46">
        <w:rPr>
          <w:lang w:eastAsia="bg-BG"/>
        </w:rPr>
        <w:t>Предвид антибактериалното действие на ДАКТАКОРТ спрямо грам-положителни бактерии, лекарственият продукт може да бъде прилаган и при микози с бактериално суперинфектиране.</w:t>
      </w:r>
    </w:p>
    <w:p w14:paraId="40979A35" w14:textId="77777777" w:rsidR="008D2F46" w:rsidRPr="008D2F46" w:rsidRDefault="008D2F46" w:rsidP="008D2F46">
      <w:pPr>
        <w:rPr>
          <w:sz w:val="24"/>
          <w:szCs w:val="24"/>
          <w:lang w:eastAsia="bg-BG"/>
        </w:rPr>
      </w:pPr>
    </w:p>
    <w:p w14:paraId="31744E5A" w14:textId="693EEA95" w:rsidR="009F77A4" w:rsidRDefault="002C50EE" w:rsidP="00387A66">
      <w:pPr>
        <w:pStyle w:val="Heading2"/>
      </w:pPr>
      <w:r>
        <w:t>4.2. Дозировка и начин на приложение</w:t>
      </w:r>
    </w:p>
    <w:p w14:paraId="2DBA3716" w14:textId="1303AEB6" w:rsidR="008D2F46" w:rsidRDefault="008D2F46" w:rsidP="008D2F46"/>
    <w:p w14:paraId="5CC257F8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ДАКТАКОРТ се прилага локално върху поразения участък веднъж до два пъти дневно. Втрива се внимателно до пълното проникване в кожата. Лечението с ДАКТАКОРТ (или впоследствие с друг антимикотик) следва да бъде продължено без прекъсване до окончателно изчезване на поразения участък (обикновено след 2 до 5 седмици).</w:t>
      </w:r>
    </w:p>
    <w:p w14:paraId="31398749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6B5AAEC" w14:textId="47054BCB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226AF3CE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C17F807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lastRenderedPageBreak/>
        <w:t>При бебета и деца се препоръчва повишено внимание, когато ДАКТАКОРТ се прилага върху обширни участъци от кожата и под оклузивна превръзка, включително бебешки пелени. При бебета трябва да се избягва продължителна и непрекъсната локална терапия с кортикостероиди (вж. точка 4.4).</w:t>
      </w:r>
    </w:p>
    <w:p w14:paraId="4EB148B6" w14:textId="77777777" w:rsidR="008D2F46" w:rsidRPr="008D2F46" w:rsidRDefault="008D2F46" w:rsidP="008D2F4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932EB6" w14:textId="0707BB83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i/>
          <w:iCs/>
          <w:color w:val="000000"/>
          <w:lang w:eastAsia="bg-BG"/>
        </w:rPr>
        <w:t>Пациенти е старческа възраст</w:t>
      </w:r>
    </w:p>
    <w:p w14:paraId="0F522C39" w14:textId="023F49D5" w:rsidR="008D2F46" w:rsidRDefault="008D2F46" w:rsidP="008D2F46">
      <w:pPr>
        <w:rPr>
          <w:rFonts w:ascii="Times New Roman" w:eastAsia="Times New Roman" w:hAnsi="Times New Roman" w:cs="Times New Roman"/>
          <w:color w:val="000000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При възрастни хора се наблюдава естествено изтъняване на кожата, затова кортикостероидите трябва да се прилагат предпазливо и за кратки периоди от време.</w:t>
      </w:r>
    </w:p>
    <w:p w14:paraId="51003071" w14:textId="77777777" w:rsidR="008D2F46" w:rsidRPr="008D2F46" w:rsidRDefault="008D2F46" w:rsidP="008D2F46"/>
    <w:p w14:paraId="5D9E65DA" w14:textId="617E3D16" w:rsidR="009F77A4" w:rsidRDefault="002C50EE" w:rsidP="00387A66">
      <w:pPr>
        <w:pStyle w:val="Heading2"/>
      </w:pPr>
      <w:r>
        <w:t>4.3. Противопоказания</w:t>
      </w:r>
    </w:p>
    <w:p w14:paraId="42FA6E60" w14:textId="1C693C9B" w:rsidR="008D2F46" w:rsidRDefault="008D2F46" w:rsidP="008D2F46"/>
    <w:p w14:paraId="570B43D7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Свръхчувствителност към миконазол или други имидазолови производни, хидрокортизон, или към някое от помощните вещества, изброени в точка 6.1.</w:t>
      </w:r>
    </w:p>
    <w:p w14:paraId="663676F4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Туберкулозни кожни инфекции, херпес симплекс, ваксинна болест, всички форми на варицела.</w:t>
      </w:r>
    </w:p>
    <w:p w14:paraId="0C46D716" w14:textId="77777777" w:rsidR="008D2F46" w:rsidRPr="008D2F46" w:rsidRDefault="008D2F46" w:rsidP="008D2F46"/>
    <w:p w14:paraId="1C27CE53" w14:textId="32EDA5B9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1FB7B21" w14:textId="07AF986E" w:rsidR="008D2F46" w:rsidRDefault="008D2F46" w:rsidP="008D2F46"/>
    <w:p w14:paraId="59819861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Ако се развие реакция, която предполага свръхчувствителност или дразнене, лечението трябва да се преустанови.</w:t>
      </w:r>
    </w:p>
    <w:p w14:paraId="5BBF9C20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ДАКТАКОРТ не трябва да влиза в контакт с лигавицата на очите.</w:t>
      </w:r>
    </w:p>
    <w:p w14:paraId="0F9309DF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D55E20" w14:textId="0C8CC5F5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Следва да се спазват общи хигиенни мерки с оглед предпазване от инфектиране и реинфекция.</w:t>
      </w:r>
    </w:p>
    <w:p w14:paraId="507A3A74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88DE0B" w14:textId="16EE568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Както при всички локални кортикостероиди, се препоръчва повишено внимание при приложение при бебета и деца върху обширни участъци, както и под оклузивна превръзка, включително бебешки пелени. Също така трябва да се избягва прилагането върху лицето.</w:t>
      </w:r>
    </w:p>
    <w:p w14:paraId="2803A1F7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BB45D4" w14:textId="7C2163EE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При бебета трябва да се избягва продължителното непрекъснато приложение на локални кортикостероиди. Възможно е да настъпи потискане на функцията на надбъбречните жлези, дори без оклузия.</w:t>
      </w:r>
    </w:p>
    <w:p w14:paraId="17FB84C9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72BD57" w14:textId="2E6947FD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Поради съдържанието на кортикостероиди избягвайте продължителното лечение с ДАКТАКОРТ. След като симптомите на възпаление изчезнат, лечението може да продължи с антимикотик без съдържание на кортикостероид (вж. точка 4.1).</w:t>
      </w:r>
    </w:p>
    <w:p w14:paraId="59665E2A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D69EF3" w14:textId="2721DEA0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Зрителни нарушения се съобщават при системна и локална употреба на кортикостероиди. Ако пациент получи симптоми като замъглено зрение или други зрителни нарушения, трябва да се обмисли изпращане на пациента за консултация с офталмолог за оценка на евентуалните причини, които може да включват катаракта, глаукома или редки заболявания като централна серозна хориоретинопатия </w:t>
      </w:r>
      <w:r w:rsidRPr="008D2F46">
        <w:rPr>
          <w:rFonts w:eastAsia="Times New Roman" w:cs="Arial"/>
          <w:color w:val="000000"/>
          <w:lang w:val="en-US"/>
        </w:rPr>
        <w:t xml:space="preserve">(CSCR), </w:t>
      </w:r>
      <w:r w:rsidRPr="008D2F46">
        <w:rPr>
          <w:rFonts w:eastAsia="Times New Roman" w:cs="Arial"/>
          <w:color w:val="000000"/>
          <w:lang w:eastAsia="bg-BG"/>
        </w:rPr>
        <w:t>които се съобщават след системна и локална употреба на кортикостероиди.</w:t>
      </w:r>
    </w:p>
    <w:p w14:paraId="3193355F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9CC324" w14:textId="47375A62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ДАКТАКОРТ може да увреди някои синтетични материали. Ето защо се препоръчва носенето на памучно бельо, ако то е в контакт със засегнатите участъци.</w:t>
      </w:r>
    </w:p>
    <w:p w14:paraId="1F582475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F72773" w14:textId="77735A32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lastRenderedPageBreak/>
        <w:t>Тежки реакции на свръхчувствителност, включително анафилаксия и ангиоедем са докладвани по време на лечение с ДАКТАКОРТ и други локални лекарствени форми на миконазол (вж. точка 4.8). Ако се развие реакция, която предполага свръхчувствителност или дразнене, лечението трябва да се преустанови.</w:t>
      </w:r>
    </w:p>
    <w:p w14:paraId="04B14BC9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Трябва да се избягва контакт между латексови продукти като противозачатъчни диафрагми или презервативи и ДАКТАКОРТ, тъй като съставките на ДАКТАКОРТ може да повредят латекса.</w:t>
      </w:r>
    </w:p>
    <w:p w14:paraId="7C2E280F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B50BCE" w14:textId="137B4C63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Този лекарствен продукт съдържа бензоена киселина и бутилхидроксианизол.</w:t>
      </w:r>
    </w:p>
    <w:p w14:paraId="5C9290A3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Бензоената киселина (Е 210) може да причини локално дразнене.</w:t>
      </w:r>
    </w:p>
    <w:p w14:paraId="7DC39CE5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Бензоената киселина (Е 210) може да засили симптомите на жълтеница (пожълтяване на кожата и очите) при новородените (на възраст до 4 седмица).</w:t>
      </w:r>
    </w:p>
    <w:p w14:paraId="5466FBAB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Бутилхидроксианизол (Е 320) може да причини локални кожни реакции (например контактен дерматит) или дразнене на очите и лигавиците.</w:t>
      </w:r>
    </w:p>
    <w:p w14:paraId="7677559A" w14:textId="77777777" w:rsidR="008D2F46" w:rsidRPr="008D2F46" w:rsidRDefault="008D2F46" w:rsidP="008D2F46"/>
    <w:p w14:paraId="1DA47448" w14:textId="19C9D44C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EE23741" w14:textId="776EBC09" w:rsidR="008D2F46" w:rsidRDefault="008D2F46" w:rsidP="008D2F46"/>
    <w:p w14:paraId="09272967" w14:textId="77777777" w:rsidR="008D2F46" w:rsidRPr="008D2F46" w:rsidRDefault="008D2F46" w:rsidP="008D2F46">
      <w:pPr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Известно е, че прилаган системно, миконазол инхибира </w:t>
      </w:r>
      <w:r w:rsidRPr="008D2F46">
        <w:rPr>
          <w:rFonts w:eastAsia="Times New Roman" w:cs="Arial"/>
          <w:color w:val="000000"/>
          <w:lang w:val="en-US"/>
        </w:rPr>
        <w:t xml:space="preserve">CYP3A4/2C9. </w:t>
      </w:r>
      <w:r w:rsidRPr="008D2F46">
        <w:rPr>
          <w:rFonts w:eastAsia="Times New Roman" w:cs="Arial"/>
          <w:color w:val="000000"/>
          <w:lang w:eastAsia="bg-BG"/>
        </w:rPr>
        <w:t>Поради ограничената системна наличност след локално приложение (вж. точка 5.2 Фармакокинетични свойства), много рядко се появяват клинично значими взаимодействия. Особено внимание трябва да се</w:t>
      </w:r>
      <w:r w:rsidRPr="008D2F46">
        <w:rPr>
          <w:rFonts w:eastAsia="Times New Roman" w:cs="Arial"/>
          <w:color w:val="000000"/>
          <w:lang w:eastAsia="bg-BG"/>
        </w:rPr>
        <w:t xml:space="preserve"> </w:t>
      </w:r>
      <w:r w:rsidRPr="008D2F46">
        <w:rPr>
          <w:rFonts w:eastAsia="Times New Roman" w:cs="Arial"/>
          <w:color w:val="000000"/>
          <w:lang w:eastAsia="bg-BG"/>
        </w:rPr>
        <w:t>обръща на пациенти, приемащи перорални антикоагуланти, като варфарин, и трябва да се контролира ефектът от антикоагулантите. Ефектите и нежеланите реакции на някои други лекарства (напр. перорални антидиабетни лекарствени продукти и фенитоин), приложени едновременно с миконазол, може да се засилят и трябва да се обърне особено внимание.</w:t>
      </w:r>
    </w:p>
    <w:p w14:paraId="42404F43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6C0E1D" w14:textId="21367C03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Миконазол е инхибитор на </w:t>
      </w:r>
      <w:r w:rsidRPr="008D2F46">
        <w:rPr>
          <w:rFonts w:eastAsia="Times New Roman" w:cs="Arial"/>
          <w:color w:val="000000"/>
          <w:lang w:val="en-US"/>
        </w:rPr>
        <w:t xml:space="preserve">CYP3A4, </w:t>
      </w:r>
      <w:r w:rsidRPr="008D2F46">
        <w:rPr>
          <w:rFonts w:eastAsia="Times New Roman" w:cs="Arial"/>
          <w:color w:val="000000"/>
          <w:lang w:eastAsia="bg-BG"/>
        </w:rPr>
        <w:t>който може да забави метаболизма на хидрокортизон. Серумните концентрации на хидрокортизон може да са по-високи при употреба на ДАКТАКОРТ, в сравнение с лекарствени продукти, прилагани върху кожата, съдържащи само хидрокортизон.</w:t>
      </w:r>
    </w:p>
    <w:p w14:paraId="10FCB162" w14:textId="77777777" w:rsidR="008D2F46" w:rsidRPr="008D2F46" w:rsidRDefault="008D2F46" w:rsidP="008D2F46"/>
    <w:p w14:paraId="48846BBA" w14:textId="5327D6C5" w:rsidR="009F77A4" w:rsidRDefault="002C50EE" w:rsidP="00387A66">
      <w:pPr>
        <w:pStyle w:val="Heading2"/>
      </w:pPr>
      <w:r>
        <w:t>4.6. Фертилитет, бременност и кърмене</w:t>
      </w:r>
    </w:p>
    <w:p w14:paraId="3A671F34" w14:textId="2124ED5A" w:rsidR="008D2F46" w:rsidRDefault="008D2F46" w:rsidP="008D2F46"/>
    <w:p w14:paraId="0EB676B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Бременност</w:t>
      </w:r>
    </w:p>
    <w:p w14:paraId="08F43CCB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Необходимо е повишено внимание при прилагането на лекарствения продукт по време на бременност и кърмене. Третирането на обширни участъци, както и прилагането под оклузивна превръзка трябва да се избягва през този период.</w:t>
      </w:r>
    </w:p>
    <w:p w14:paraId="4114ED66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CCFF15" w14:textId="1921CF28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Миконазол не е показал тератогенен ефект върху животни, но е бил ембриотоксичен в дози, токсични за майката. Известно е, че при животни кортикостероидите преминават през плацентата и следователно може да окажат влияние върху плода (вж. точка 5.3).</w:t>
      </w:r>
    </w:p>
    <w:p w14:paraId="62254CA8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62791B" w14:textId="38885B5A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Кърмене</w:t>
      </w:r>
    </w:p>
    <w:p w14:paraId="7FCCEEA6" w14:textId="5AE440EA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Не са проведени достатъчно и добре контролирани проучвания при локалното приложение на ДАКТАКОРТ по време на кърмене. Не е известно дали локалното приложение на ДАКТАКОРТ върху кожата може да доведе до системна абсорбция, достатъчна за получаването на доловими количества хидрокортизон и миконазол в кърмата при хора. При употреба по време на кърмене се препоръчва повишено </w:t>
      </w:r>
      <w:r w:rsidRPr="008D2F46">
        <w:rPr>
          <w:rFonts w:eastAsia="Times New Roman" w:cs="Arial"/>
          <w:color w:val="000000"/>
          <w:lang w:eastAsia="bg-BG"/>
        </w:rPr>
        <w:lastRenderedPageBreak/>
        <w:t>внимание. Третирането на големи участъци от кожа и приложението под оклузивна превръзка трябва да се избягват през периода на кърмене.</w:t>
      </w:r>
    </w:p>
    <w:p w14:paraId="20B258E9" w14:textId="77777777" w:rsidR="008D2F46" w:rsidRPr="008D2F46" w:rsidRDefault="008D2F46" w:rsidP="008D2F46"/>
    <w:p w14:paraId="321AAB00" w14:textId="2B9972C5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38D4AA3C" w14:textId="5193A240" w:rsidR="008D2F46" w:rsidRDefault="008D2F46" w:rsidP="008D2F46"/>
    <w:p w14:paraId="27C46504" w14:textId="6D41B350" w:rsidR="008D2F46" w:rsidRDefault="008D2F46" w:rsidP="008D2F46">
      <w:pPr>
        <w:rPr>
          <w:lang w:eastAsia="bg-BG"/>
        </w:rPr>
      </w:pPr>
      <w:r w:rsidRPr="008D2F46">
        <w:rPr>
          <w:lang w:eastAsia="bg-BG"/>
        </w:rPr>
        <w:t>Неприложимо.</w:t>
      </w:r>
    </w:p>
    <w:p w14:paraId="0C88E519" w14:textId="77777777" w:rsidR="008D2F46" w:rsidRPr="008D2F46" w:rsidRDefault="008D2F46" w:rsidP="008D2F46">
      <w:pPr>
        <w:rPr>
          <w:sz w:val="24"/>
          <w:szCs w:val="24"/>
          <w:lang w:eastAsia="bg-BG"/>
        </w:rPr>
      </w:pPr>
    </w:p>
    <w:p w14:paraId="136C86B8" w14:textId="7AC9AC3F" w:rsidR="009F77A4" w:rsidRDefault="002C50EE" w:rsidP="00387A66">
      <w:pPr>
        <w:pStyle w:val="Heading2"/>
      </w:pPr>
      <w:r>
        <w:t>4.8. Нежелани лекарствени реакции</w:t>
      </w:r>
    </w:p>
    <w:p w14:paraId="25E1E79F" w14:textId="667F869E" w:rsidR="008D2F46" w:rsidRDefault="008D2F46" w:rsidP="008D2F46"/>
    <w:p w14:paraId="192F6B9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Безопасността на ДАКТАКОРТ крем е оценена при 480 пациенти, взели участие в 13 клинични проучвания (6 двойно слепи и 7 открити) с ДАКТАКОРТ крем. В тях са изследвани пациенти на възраст от 1 месец до 95 години с инфекции на кожата, причинени от дерматофити или </w:t>
      </w:r>
      <w:r w:rsidRPr="008D2F46">
        <w:rPr>
          <w:rFonts w:eastAsia="Times New Roman" w:cs="Arial"/>
          <w:i/>
          <w:iCs/>
          <w:color w:val="000000"/>
          <w:lang w:val="en-US"/>
        </w:rPr>
        <w:t>Candida</w:t>
      </w:r>
      <w:r w:rsidRPr="008D2F46">
        <w:rPr>
          <w:rFonts w:eastAsia="Times New Roman" w:cs="Arial"/>
          <w:color w:val="000000"/>
          <w:lang w:val="en-US"/>
        </w:rPr>
        <w:t xml:space="preserve"> </w:t>
      </w:r>
      <w:r w:rsidRPr="008D2F46">
        <w:rPr>
          <w:rFonts w:eastAsia="Times New Roman" w:cs="Arial"/>
          <w:color w:val="000000"/>
          <w:lang w:eastAsia="bg-BG"/>
        </w:rPr>
        <w:t>видове, с изявени симптоми на възпаление.</w:t>
      </w:r>
    </w:p>
    <w:p w14:paraId="0E4B696A" w14:textId="77777777" w:rsidR="008D2F46" w:rsidRPr="008D2F46" w:rsidRDefault="008D2F46" w:rsidP="008D2F4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B3E76A9" w14:textId="01DCCA59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i/>
          <w:iCs/>
          <w:color w:val="000000"/>
          <w:lang w:eastAsia="bg-BG"/>
        </w:rPr>
        <w:t>Всички пациенти</w:t>
      </w:r>
    </w:p>
    <w:p w14:paraId="365B1B3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Не се съобщава за нежелани лекарствени реакции (НЛР) при ≥1% от 480-те пациенти, лекувани с ДАКТАКОРТ крем </w:t>
      </w:r>
      <w:r w:rsidRPr="008D2F46">
        <w:rPr>
          <w:rFonts w:eastAsia="Times New Roman" w:cs="Arial"/>
          <w:color w:val="000000"/>
          <w:u w:val="single"/>
          <w:lang w:eastAsia="bg-BG"/>
        </w:rPr>
        <w:t>(възрастни пациенти и педиатрична популация взети заедно)</w:t>
      </w:r>
      <w:r w:rsidRPr="008D2F46">
        <w:rPr>
          <w:rFonts w:eastAsia="Times New Roman" w:cs="Arial"/>
          <w:color w:val="000000"/>
          <w:lang w:eastAsia="bg-BG"/>
        </w:rPr>
        <w:t>.</w:t>
      </w:r>
    </w:p>
    <w:p w14:paraId="6F47DFE6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2F12EC" w14:textId="7E17BA02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Категориите честоти се определят съгласно следната конвенция: много чести (≥ 1/10), чести (≥ 1/100 до &lt; 1/10), нечести (≥ 1/1000 до &lt; 1/100); редки (≥1/10 000 до &lt; 1/1000); много редки (&lt;1/10 000) и с неизвестна честота (от наличните данни не може да бъде направена оценка).</w:t>
      </w:r>
    </w:p>
    <w:p w14:paraId="57FDAC65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F5C5B3" w14:textId="33658074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От трите НЛР, наблюдавани в 13-те клинични проучвания с ДАКТАКОРТ крем, за кожно дразнене се съобщава в 1 клинично проучване, включващо пациенти от 17 до 84 години, за усещане за парене на кожата - в 2 клинични проучвания, включващи пациенти от 13 до 84 години и за раздразнителност - в 1 клинично проучване при новородени от 1 до 34 месеца.</w:t>
      </w:r>
    </w:p>
    <w:p w14:paraId="4DE46AB1" w14:textId="77777777" w:rsidR="008D2F46" w:rsidRPr="008D2F46" w:rsidRDefault="008D2F46" w:rsidP="008D2F4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7AE0EF6" w14:textId="39CB78C2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B80D047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Безопасността на ДАКТАКОРТ крем е оценена при 63 деца (на възраст от 1 месец до 14 години), лекувани с ДАКТАКОРТ крем в 3 от 13-те гореспоменати проучвания. И в трите</w:t>
      </w:r>
    </w:p>
    <w:p w14:paraId="68DF24F1" w14:textId="77777777" w:rsidR="008D2F46" w:rsidRPr="008D2F46" w:rsidRDefault="008D2F46" w:rsidP="008D2F46">
      <w:pPr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проучвания се съобщава за една НЛР (раздразнителност). Реакцията на раздразнителност при</w:t>
      </w:r>
      <w:r w:rsidRPr="008D2F46">
        <w:rPr>
          <w:rFonts w:eastAsia="Times New Roman" w:cs="Arial"/>
          <w:color w:val="000000"/>
          <w:lang w:eastAsia="bg-BG"/>
        </w:rPr>
        <w:t xml:space="preserve"> </w:t>
      </w:r>
      <w:r w:rsidRPr="008D2F46">
        <w:rPr>
          <w:rFonts w:eastAsia="Times New Roman" w:cs="Arial"/>
          <w:color w:val="000000"/>
          <w:lang w:eastAsia="bg-BG"/>
        </w:rPr>
        <w:t>децата, лекувани с ДАКТАКОРТ крем, попада в категорията честота „чести” (3,2%).</w:t>
      </w:r>
    </w:p>
    <w:p w14:paraId="5399179A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Всички случаи на раздразнителност се наблюдават в 1 клинично проучване при новородени (от 1 до 34 месеца) с дерматит, предизвикан от използване на пелени (памперси). Очаква се честотата, видът и тежестта на другите НЛР при деца да са сходни с тези при възрастните пациенти.</w:t>
      </w:r>
    </w:p>
    <w:p w14:paraId="3486554D" w14:textId="77777777" w:rsidR="008D2F46" w:rsidRPr="008D2F46" w:rsidRDefault="008D2F46" w:rsidP="008D2F4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332B57EC" w14:textId="014E5101" w:rsidR="008D2F46" w:rsidRPr="008D2F46" w:rsidRDefault="008D2F46" w:rsidP="008D2F46">
      <w:pPr>
        <w:spacing w:line="240" w:lineRule="auto"/>
        <w:jc w:val="center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b/>
          <w:bCs/>
          <w:color w:val="000000"/>
          <w:lang w:eastAsia="bg-BG"/>
        </w:rPr>
        <w:t>Нежелани лекарствени реакции при възрастни пациенти и деца, лекувани с ДАКТАКОРТ крем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21"/>
        <w:gridCol w:w="3134"/>
      </w:tblGrid>
      <w:tr w:rsidR="008D2F46" w14:paraId="724726A5" w14:textId="77777777" w:rsidTr="001A50E0">
        <w:tc>
          <w:tcPr>
            <w:tcW w:w="3166" w:type="dxa"/>
            <w:vMerge w:val="restart"/>
          </w:tcPr>
          <w:p w14:paraId="7744082F" w14:textId="650BBB18" w:rsidR="008D2F46" w:rsidRDefault="008D2F46" w:rsidP="008D2F46">
            <w:r>
              <w:rPr>
                <w:b/>
                <w:bCs/>
              </w:rPr>
              <w:t>Системо-органен клас</w:t>
            </w:r>
          </w:p>
        </w:tc>
        <w:tc>
          <w:tcPr>
            <w:tcW w:w="6334" w:type="dxa"/>
            <w:gridSpan w:val="2"/>
          </w:tcPr>
          <w:p w14:paraId="3E378070" w14:textId="6CC55FE0" w:rsidR="008D2F46" w:rsidRDefault="008D2F46" w:rsidP="008D2F46">
            <w:r>
              <w:rPr>
                <w:b/>
                <w:bCs/>
              </w:rPr>
              <w:t>Нежелани лекарствени реакции</w:t>
            </w:r>
          </w:p>
        </w:tc>
      </w:tr>
      <w:tr w:rsidR="008D2F46" w14:paraId="22807F1A" w14:textId="77777777" w:rsidTr="0027482D">
        <w:tc>
          <w:tcPr>
            <w:tcW w:w="3166" w:type="dxa"/>
            <w:vMerge/>
          </w:tcPr>
          <w:p w14:paraId="2EA27F9A" w14:textId="77777777" w:rsidR="008D2F46" w:rsidRDefault="008D2F46" w:rsidP="008D2F46"/>
        </w:tc>
        <w:tc>
          <w:tcPr>
            <w:tcW w:w="6334" w:type="dxa"/>
            <w:gridSpan w:val="2"/>
          </w:tcPr>
          <w:p w14:paraId="23377B43" w14:textId="6AFBF900" w:rsidR="008D2F46" w:rsidRDefault="008D2F46" w:rsidP="008D2F46">
            <w:r>
              <w:rPr>
                <w:b/>
                <w:bCs/>
              </w:rPr>
              <w:t>Категория честота</w:t>
            </w:r>
          </w:p>
        </w:tc>
      </w:tr>
      <w:tr w:rsidR="008D2F46" w14:paraId="62E2825C" w14:textId="77777777" w:rsidTr="008D2F46">
        <w:tc>
          <w:tcPr>
            <w:tcW w:w="3166" w:type="dxa"/>
            <w:vMerge/>
          </w:tcPr>
          <w:p w14:paraId="3698C00B" w14:textId="77777777" w:rsidR="008D2F46" w:rsidRDefault="008D2F46" w:rsidP="008D2F46"/>
        </w:tc>
        <w:tc>
          <w:tcPr>
            <w:tcW w:w="3167" w:type="dxa"/>
          </w:tcPr>
          <w:p w14:paraId="1D0C374C" w14:textId="27D95081" w:rsidR="008D2F46" w:rsidRDefault="008D2F46" w:rsidP="008D2F46">
            <w:r>
              <w:rPr>
                <w:b/>
                <w:bCs/>
              </w:rPr>
              <w:t>Нечести (</w:t>
            </w:r>
            <w:r>
              <w:t>≥1/1000 до &lt; 1/100)</w:t>
            </w:r>
          </w:p>
        </w:tc>
        <w:tc>
          <w:tcPr>
            <w:tcW w:w="3167" w:type="dxa"/>
          </w:tcPr>
          <w:p w14:paraId="78B21527" w14:textId="56F21B7C" w:rsidR="008D2F46" w:rsidRDefault="008D2F46" w:rsidP="008D2F46">
            <w:r>
              <w:rPr>
                <w:b/>
                <w:bCs/>
              </w:rPr>
              <w:t>С неизвестна честота</w:t>
            </w:r>
          </w:p>
        </w:tc>
      </w:tr>
      <w:tr w:rsidR="008D2F46" w14:paraId="5C1FE2BD" w14:textId="77777777" w:rsidTr="008D2F46">
        <w:tc>
          <w:tcPr>
            <w:tcW w:w="3166" w:type="dxa"/>
          </w:tcPr>
          <w:p w14:paraId="26AFF3BE" w14:textId="73FCFDD6" w:rsidR="008D2F46" w:rsidRDefault="008D2F46" w:rsidP="008D2F46">
            <w:r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67" w:type="dxa"/>
          </w:tcPr>
          <w:p w14:paraId="47267E37" w14:textId="77777777" w:rsidR="008D2F46" w:rsidRDefault="008D2F46" w:rsidP="008D2F46"/>
        </w:tc>
        <w:tc>
          <w:tcPr>
            <w:tcW w:w="3167" w:type="dxa"/>
          </w:tcPr>
          <w:p w14:paraId="2AC4D4AE" w14:textId="4BA2F21A" w:rsidR="008D2F46" w:rsidRDefault="008D2F46" w:rsidP="008D2F46">
            <w:r>
              <w:t>Анафилактична реакция, свръхчувствителност</w:t>
            </w:r>
          </w:p>
        </w:tc>
      </w:tr>
      <w:tr w:rsidR="008D2F46" w14:paraId="1E83A5D6" w14:textId="77777777" w:rsidTr="008D2F46">
        <w:tc>
          <w:tcPr>
            <w:tcW w:w="3166" w:type="dxa"/>
          </w:tcPr>
          <w:p w14:paraId="4E4A4A18" w14:textId="452EB6EC" w:rsidR="008D2F46" w:rsidRDefault="008D2F46" w:rsidP="008D2F46">
            <w:r>
              <w:rPr>
                <w:b/>
                <w:bCs/>
              </w:rPr>
              <w:lastRenderedPageBreak/>
              <w:t>Нарушения на очите</w:t>
            </w:r>
          </w:p>
        </w:tc>
        <w:tc>
          <w:tcPr>
            <w:tcW w:w="3167" w:type="dxa"/>
          </w:tcPr>
          <w:p w14:paraId="130967F8" w14:textId="77777777" w:rsidR="008D2F46" w:rsidRDefault="008D2F46" w:rsidP="008D2F46"/>
        </w:tc>
        <w:tc>
          <w:tcPr>
            <w:tcW w:w="3167" w:type="dxa"/>
          </w:tcPr>
          <w:p w14:paraId="6AE64220" w14:textId="2C2C4FA8" w:rsidR="008D2F46" w:rsidRDefault="008D2F46" w:rsidP="008D2F46">
            <w:r>
              <w:t>Замъглено зрение</w:t>
            </w:r>
          </w:p>
        </w:tc>
      </w:tr>
      <w:tr w:rsidR="008D2F46" w14:paraId="04B9E238" w14:textId="77777777" w:rsidTr="008D2F46">
        <w:tc>
          <w:tcPr>
            <w:tcW w:w="3166" w:type="dxa"/>
          </w:tcPr>
          <w:p w14:paraId="3B7DBEE9" w14:textId="3AF8A44B" w:rsidR="008D2F46" w:rsidRDefault="008D2F46" w:rsidP="008D2F46">
            <w:r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3167" w:type="dxa"/>
          </w:tcPr>
          <w:p w14:paraId="6211C503" w14:textId="6FC396ED" w:rsidR="008D2F46" w:rsidRDefault="008D2F46" w:rsidP="008D2F46">
            <w:r>
              <w:t>Кожно дразнене, усещане за парене на кожата, уртикария, сърбеж</w:t>
            </w:r>
          </w:p>
        </w:tc>
        <w:tc>
          <w:tcPr>
            <w:tcW w:w="3167" w:type="dxa"/>
          </w:tcPr>
          <w:p w14:paraId="5EBFF228" w14:textId="3D81FF74" w:rsidR="008D2F46" w:rsidRDefault="008D2F46" w:rsidP="008D2F46">
            <w:r>
              <w:t>Ангиоедем, обрив, контактен дерматит, еритем, кожно възпаление, кожна хипопигментация, реакция на мястото на приложение</w:t>
            </w:r>
          </w:p>
        </w:tc>
      </w:tr>
      <w:tr w:rsidR="008D2F46" w14:paraId="1D95C315" w14:textId="77777777" w:rsidTr="008D2F46">
        <w:tc>
          <w:tcPr>
            <w:tcW w:w="3166" w:type="dxa"/>
          </w:tcPr>
          <w:p w14:paraId="6A283138" w14:textId="3F31DAA2" w:rsidR="008D2F46" w:rsidRDefault="008D2F46" w:rsidP="008D2F46">
            <w:r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67" w:type="dxa"/>
          </w:tcPr>
          <w:p w14:paraId="22F517FF" w14:textId="769D5C5A" w:rsidR="008D2F46" w:rsidRDefault="008D2F46" w:rsidP="008D2F46">
            <w:r>
              <w:t>Раздразнителност</w:t>
            </w:r>
          </w:p>
        </w:tc>
        <w:tc>
          <w:tcPr>
            <w:tcW w:w="3167" w:type="dxa"/>
          </w:tcPr>
          <w:p w14:paraId="2FA665A2" w14:textId="77777777" w:rsidR="008D2F46" w:rsidRDefault="008D2F46" w:rsidP="008D2F46"/>
        </w:tc>
      </w:tr>
    </w:tbl>
    <w:p w14:paraId="455C3CA8" w14:textId="01355A84" w:rsidR="008D2F46" w:rsidRDefault="008D2F46" w:rsidP="008D2F46"/>
    <w:p w14:paraId="1904B87F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52697E2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 в:</w:t>
      </w:r>
    </w:p>
    <w:p w14:paraId="149D9857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CE9EFE8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ул. „Дамян Груев” № 8</w:t>
      </w:r>
    </w:p>
    <w:p w14:paraId="35A5A13A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1303 София</w:t>
      </w:r>
    </w:p>
    <w:p w14:paraId="2E26F0FC" w14:textId="77777777" w:rsidR="008D2F46" w:rsidRPr="008D2F46" w:rsidRDefault="008D2F46" w:rsidP="008D2F46">
      <w:pPr>
        <w:spacing w:line="240" w:lineRule="auto"/>
        <w:rPr>
          <w:rFonts w:eastAsia="Times New Roman" w:cs="Arial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Тел.: +359 2 8903417</w:t>
      </w:r>
    </w:p>
    <w:p w14:paraId="26F7AEE4" w14:textId="77777777" w:rsidR="008D2F46" w:rsidRPr="008D2F46" w:rsidRDefault="008D2F46" w:rsidP="008D2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8D2F46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76DE1B4B" w14:textId="77777777" w:rsidR="008D2F46" w:rsidRPr="008D2F46" w:rsidRDefault="008D2F46" w:rsidP="008D2F46"/>
    <w:p w14:paraId="378A0F20" w14:textId="68950392" w:rsidR="001D095A" w:rsidRDefault="002C50EE" w:rsidP="00340E8D">
      <w:pPr>
        <w:pStyle w:val="Heading2"/>
      </w:pPr>
      <w:r>
        <w:t>4.9. Предозиране</w:t>
      </w:r>
    </w:p>
    <w:p w14:paraId="37B6F0C0" w14:textId="003EC122" w:rsidR="008D2F46" w:rsidRDefault="008D2F46" w:rsidP="008D2F46"/>
    <w:p w14:paraId="4DC49793" w14:textId="77777777" w:rsidR="008D2F46" w:rsidRPr="008D2F46" w:rsidRDefault="008D2F46" w:rsidP="008D2F46">
      <w:pPr>
        <w:rPr>
          <w:i/>
          <w:iCs/>
          <w:sz w:val="24"/>
          <w:szCs w:val="24"/>
          <w:lang w:eastAsia="bg-BG"/>
        </w:rPr>
      </w:pPr>
      <w:r w:rsidRPr="008D2F46">
        <w:rPr>
          <w:i/>
          <w:iCs/>
          <w:lang w:eastAsia="bg-BG"/>
        </w:rPr>
        <w:t>Симптоми</w:t>
      </w:r>
    </w:p>
    <w:p w14:paraId="0283DE7E" w14:textId="08485770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Продължителната и прекомерна употреба може да предизвика кожно дразнене, което обикновено изчезва след прекратяване на лечението. Приложени локално, кортикостероидите може да се абсорбират в количества, достатъчни да предизвикат системни ефекти.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0816152" w:rsidR="00F62E44" w:rsidRDefault="002C50EE" w:rsidP="00387A66">
      <w:pPr>
        <w:pStyle w:val="Heading2"/>
      </w:pPr>
      <w:r>
        <w:t>5.1. Фармакодинамични свойства</w:t>
      </w:r>
    </w:p>
    <w:p w14:paraId="1E7F5CBC" w14:textId="171558E3" w:rsidR="008D2F46" w:rsidRDefault="008D2F46" w:rsidP="008D2F46"/>
    <w:p w14:paraId="0416780E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Фармакотерапевтична група: имидазолови и триазолови производни, комбинации АТС код: </w:t>
      </w:r>
      <w:r w:rsidRPr="008D2F46">
        <w:rPr>
          <w:rFonts w:eastAsia="Times New Roman" w:cs="Arial"/>
          <w:color w:val="000000"/>
          <w:lang w:val="en-US"/>
        </w:rPr>
        <w:t>D01AC20</w:t>
      </w:r>
    </w:p>
    <w:p w14:paraId="12960223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086B61" w14:textId="5D07E2D6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70C4E36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Миконазол инхибира биосинтезата на ергостерол в гъбичката и изменя състава на други</w:t>
      </w:r>
      <w:r w:rsidRPr="008D2F46">
        <w:rPr>
          <w:rFonts w:eastAsia="Times New Roman" w:cs="Arial"/>
          <w:i/>
          <w:iCs/>
          <w:color w:val="000000"/>
          <w:vertAlign w:val="superscript"/>
          <w:lang w:eastAsia="bg-BG"/>
        </w:rPr>
        <w:t xml:space="preserve"> </w:t>
      </w:r>
      <w:r w:rsidRPr="008D2F46">
        <w:rPr>
          <w:rFonts w:eastAsia="Times New Roman" w:cs="Arial"/>
          <w:color w:val="000000"/>
          <w:lang w:eastAsia="bg-BG"/>
        </w:rPr>
        <w:t>липидни компоненти в мембраната, като предизвиква некроза на гъбичните клетки.</w:t>
      </w:r>
    </w:p>
    <w:p w14:paraId="28FFC5F9" w14:textId="1FDCBCC1" w:rsidR="008D2F46" w:rsidRPr="008D2F46" w:rsidRDefault="008D2F46" w:rsidP="008D2F46">
      <w:pPr>
        <w:rPr>
          <w:rFonts w:cs="Arial"/>
        </w:rPr>
      </w:pPr>
    </w:p>
    <w:p w14:paraId="5E3D030D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Миконазол притежава доказана ефективност и при вторично инфектирани микози.</w:t>
      </w:r>
    </w:p>
    <w:p w14:paraId="2051F114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AAF385" w14:textId="35553152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Хидрокортизон е противовъзпалителен стероид. Неговото противовъзпалително действие се дължи на намаляването на съдовия компонент на възпалителния отговор, потискането на миграцията на полиморфонуклеарни левкоцити и нормализирането на повишената капилярна пропускливост. Вазоконстрикторното действие на хидрокортизон също може да допринесе за неговото противовъзпалително действие.</w:t>
      </w:r>
    </w:p>
    <w:p w14:paraId="7796D3A0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4D2170" w14:textId="029A6163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Миконазол в комбинация с хидрокортизон повлиява много бързо сърбежа, който често съпровожда инфекциите, причинени от дерматофити и дрожди. Това симптоматично подобрение се наблюдава още преди да се появят първите признаци на излекуване. Тъй като лечението с хидрокортизон е симптоматично, възможна е нова поява на лезиите след прекратяване на лечението.</w:t>
      </w:r>
    </w:p>
    <w:p w14:paraId="1F6FAC6F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08A3A6" w14:textId="704197F6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627AE89A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i/>
          <w:iCs/>
          <w:color w:val="000000"/>
          <w:lang w:eastAsia="bg-BG"/>
        </w:rPr>
        <w:t>Микробиология</w:t>
      </w:r>
    </w:p>
    <w:p w14:paraId="203A38DC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 xml:space="preserve">Клиничната ефикасност на миконазол е демонстрирана срещу дерматофити и </w:t>
      </w:r>
      <w:r w:rsidRPr="008D2F46">
        <w:rPr>
          <w:rFonts w:eastAsia="Times New Roman" w:cs="Arial"/>
          <w:i/>
          <w:iCs/>
          <w:color w:val="000000"/>
          <w:lang w:val="en-US"/>
        </w:rPr>
        <w:t>Candida</w:t>
      </w:r>
      <w:r w:rsidRPr="008D2F46">
        <w:rPr>
          <w:rFonts w:eastAsia="Times New Roman" w:cs="Arial"/>
          <w:color w:val="000000"/>
          <w:lang w:val="en-US"/>
        </w:rPr>
        <w:t xml:space="preserve"> spp. </w:t>
      </w:r>
      <w:r w:rsidRPr="008D2F46">
        <w:rPr>
          <w:rFonts w:eastAsia="Times New Roman" w:cs="Arial"/>
          <w:color w:val="000000"/>
          <w:lang w:eastAsia="bg-BG"/>
        </w:rPr>
        <w:t>Миконазол има и антибактериално действие срещу някои Грам-позитивни бацили и коки.</w:t>
      </w:r>
    </w:p>
    <w:p w14:paraId="7241E8E4" w14:textId="77777777" w:rsidR="008D2F46" w:rsidRPr="008D2F46" w:rsidRDefault="008D2F46" w:rsidP="008D2F46"/>
    <w:p w14:paraId="544FFDAF" w14:textId="607781E9" w:rsidR="00F62E44" w:rsidRDefault="002C50EE" w:rsidP="00387A66">
      <w:pPr>
        <w:pStyle w:val="Heading2"/>
      </w:pPr>
      <w:r>
        <w:t>5.2. Фармакокинетични свойства</w:t>
      </w:r>
    </w:p>
    <w:p w14:paraId="63BFAAEC" w14:textId="4B0D136C" w:rsidR="008D2F46" w:rsidRDefault="008D2F46" w:rsidP="008D2F46"/>
    <w:p w14:paraId="7DCA2F7C" w14:textId="77777777" w:rsidR="008D2F46" w:rsidRPr="008D2F46" w:rsidRDefault="008D2F46" w:rsidP="008D2F46">
      <w:pPr>
        <w:pStyle w:val="Heading3"/>
        <w:rPr>
          <w:rFonts w:eastAsia="Times New Roman"/>
          <w:u w:val="single"/>
          <w:lang w:eastAsia="bg-BG"/>
        </w:rPr>
      </w:pPr>
      <w:r w:rsidRPr="008D2F46">
        <w:rPr>
          <w:rFonts w:eastAsia="Times New Roman"/>
          <w:u w:val="single"/>
          <w:lang w:eastAsia="bg-BG"/>
        </w:rPr>
        <w:t>Абсорбция</w:t>
      </w:r>
    </w:p>
    <w:p w14:paraId="508CAAF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След локално приложение, миконазол се установява в кожата до 4 дни. Системната абсорбция на миконазол е ограничена, с бионаличност по-малка от 1% след локалното му приложение. Плазмени концентрации на миконазол и/или негови метаболити са измерими 24 и 48 часа след приложение. Системна абсорбция се наблюдава и след многократно приложение на миконазол при новородени с дерматит, предизвикан от използване на пелени (памперси). Плазмените нива на миконазол са неустановими или ниски.</w:t>
      </w:r>
    </w:p>
    <w:p w14:paraId="3F86EC57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Приблизително 3% от дозата хидрокортизон се абсорбира след приложение върху кожата.</w:t>
      </w:r>
    </w:p>
    <w:p w14:paraId="080E13FA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25AB0F" w14:textId="58E94522" w:rsidR="008D2F46" w:rsidRPr="008D2F46" w:rsidRDefault="008D2F46" w:rsidP="008D2F46">
      <w:pPr>
        <w:pStyle w:val="Heading3"/>
        <w:rPr>
          <w:rFonts w:eastAsia="Times New Roman"/>
          <w:u w:val="single"/>
          <w:lang w:eastAsia="bg-BG"/>
        </w:rPr>
      </w:pPr>
      <w:r w:rsidRPr="008D2F46">
        <w:rPr>
          <w:rFonts w:eastAsia="Times New Roman"/>
          <w:u w:val="single"/>
          <w:lang w:eastAsia="bg-BG"/>
        </w:rPr>
        <w:t>Разпределение</w:t>
      </w:r>
    </w:p>
    <w:p w14:paraId="5E20360A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Абсорбираният миконазол се свързва с плазмените протеини (88,2%) и червените кръвни клетки (10,6%). Повече от 90% от хидрокортизон се свързва с плазмените протеини.</w:t>
      </w:r>
    </w:p>
    <w:p w14:paraId="555BE2DB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C60470" w14:textId="1F212382" w:rsidR="008D2F46" w:rsidRPr="008D2F46" w:rsidRDefault="008D2F46" w:rsidP="008D2F46">
      <w:pPr>
        <w:pStyle w:val="Heading3"/>
        <w:rPr>
          <w:rFonts w:eastAsia="Times New Roman"/>
          <w:u w:val="single"/>
          <w:lang w:eastAsia="bg-BG"/>
        </w:rPr>
      </w:pPr>
      <w:r w:rsidRPr="008D2F46">
        <w:rPr>
          <w:rFonts w:eastAsia="Times New Roman"/>
          <w:u w:val="single"/>
          <w:lang w:eastAsia="bg-BG"/>
        </w:rPr>
        <w:t>Биотрансформация и елиминиране</w:t>
      </w:r>
    </w:p>
    <w:p w14:paraId="0BA4F842" w14:textId="77777777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Малкото количество абсорбиран миконазол се елиминира, предимно като непроменен лекарствен продукт и метаболити, с фекалиите за период от 4 дни след прилагане. По-малки количества непроменен лекарствен продукт и метаболити се откриват също в урината.</w:t>
      </w:r>
    </w:p>
    <w:p w14:paraId="3A6A135B" w14:textId="77777777" w:rsidR="008D2F46" w:rsidRPr="008D2F46" w:rsidRDefault="008D2F46" w:rsidP="008D2F4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D4BEF6" w14:textId="411AC0FA" w:rsidR="008D2F46" w:rsidRPr="008D2F46" w:rsidRDefault="008D2F46" w:rsidP="008D2F4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D2F46">
        <w:rPr>
          <w:rFonts w:eastAsia="Times New Roman" w:cs="Arial"/>
          <w:color w:val="000000"/>
          <w:lang w:eastAsia="bg-BG"/>
        </w:rPr>
        <w:t>Полуживотът на хидрокортизон е приблизително 100 минути. Метаболизмът се осъществява в черния дроб и тъканите и метаболитите се излъчват с урината, предимно като глюкурониди, заедно с много малка фракция непроменен хидрокортизон.</w:t>
      </w:r>
    </w:p>
    <w:p w14:paraId="6F23287B" w14:textId="77777777" w:rsidR="008D2F46" w:rsidRPr="008D2F46" w:rsidRDefault="008D2F46" w:rsidP="008D2F46"/>
    <w:p w14:paraId="6925FEB0" w14:textId="32D4DA6A" w:rsidR="00F62E44" w:rsidRDefault="002C50EE" w:rsidP="00387A66">
      <w:pPr>
        <w:pStyle w:val="Heading2"/>
      </w:pPr>
      <w:r>
        <w:t>5.3. Предклинични данни за безопасност</w:t>
      </w:r>
    </w:p>
    <w:p w14:paraId="2ACBE55B" w14:textId="6B2AAD85" w:rsidR="008D2F46" w:rsidRDefault="008D2F46" w:rsidP="008D2F46"/>
    <w:p w14:paraId="3B0E115A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 xml:space="preserve">Предклиничните данни за лекарствения продукт (миконазол нитрат + хидрокортизон) не показват необичаен риск за човека на базата на конвенционални проучвания за очно дразнене, кожна сензибилизация, перорална токсичност при еднократно приложение, първично кожно дразнене и кожна токсичност при 21-дневно многократно приложение. Допълнителните предклинични данни за отделните активни съставни в този лекарствен </w:t>
      </w:r>
      <w:r w:rsidRPr="008D2F46">
        <w:rPr>
          <w:lang w:eastAsia="bg-BG"/>
        </w:rPr>
        <w:lastRenderedPageBreak/>
        <w:t>продукт не разкриват особена опасност за човека на базата на конвенционални проучвания за местно дразнене,</w:t>
      </w:r>
    </w:p>
    <w:p w14:paraId="25BC8F3A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токсичност при еднократно и многократно приложение, генотоксичност и за миконаол репродуктивна токсичност. При различни животински модели се съобщава за репродуктивни ефекти и аномалии при развитието на плода.</w:t>
      </w:r>
    </w:p>
    <w:p w14:paraId="5F4FC2DF" w14:textId="77777777" w:rsidR="008D2F46" w:rsidRPr="008D2F46" w:rsidRDefault="008D2F46" w:rsidP="008D2F46"/>
    <w:p w14:paraId="357049A8" w14:textId="239CC303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FF2019C" w14:textId="1234AE5E" w:rsidR="008D2F46" w:rsidRDefault="008D2F46" w:rsidP="008D2F46"/>
    <w:p w14:paraId="6DC0C533" w14:textId="77777777" w:rsidR="008D2F46" w:rsidRPr="008D2F46" w:rsidRDefault="008D2F46" w:rsidP="008D2F46">
      <w:pPr>
        <w:rPr>
          <w:sz w:val="24"/>
          <w:szCs w:val="24"/>
          <w:lang w:val="en-US" w:eastAsia="bg-BG"/>
        </w:rPr>
      </w:pPr>
      <w:r w:rsidRPr="008D2F46">
        <w:rPr>
          <w:lang w:val="en-US"/>
        </w:rPr>
        <w:t xml:space="preserve">Johnson </w:t>
      </w:r>
      <w:r w:rsidRPr="008D2F46">
        <w:rPr>
          <w:lang w:eastAsia="bg-BG"/>
        </w:rPr>
        <w:t xml:space="preserve">&amp; </w:t>
      </w:r>
      <w:r w:rsidRPr="008D2F46">
        <w:rPr>
          <w:lang w:val="en-US"/>
        </w:rPr>
        <w:t>Johnson d.o.o.</w:t>
      </w:r>
    </w:p>
    <w:p w14:paraId="0569391E" w14:textId="77777777" w:rsidR="008D2F46" w:rsidRDefault="008D2F46" w:rsidP="008D2F46">
      <w:pPr>
        <w:rPr>
          <w:lang w:val="en-US"/>
        </w:rPr>
      </w:pPr>
      <w:proofErr w:type="spellStart"/>
      <w:r w:rsidRPr="008D2F46">
        <w:rPr>
          <w:lang w:val="en-US"/>
        </w:rPr>
        <w:t>Smartinska</w:t>
      </w:r>
      <w:proofErr w:type="spellEnd"/>
      <w:r w:rsidRPr="008D2F46">
        <w:rPr>
          <w:lang w:val="en-US"/>
        </w:rPr>
        <w:t xml:space="preserve"> cesta 53</w:t>
      </w:r>
    </w:p>
    <w:p w14:paraId="7AB12C28" w14:textId="77777777" w:rsidR="008D2F46" w:rsidRDefault="008D2F46" w:rsidP="008D2F46">
      <w:pPr>
        <w:rPr>
          <w:lang w:val="en-US"/>
        </w:rPr>
      </w:pPr>
      <w:r w:rsidRPr="008D2F46">
        <w:rPr>
          <w:lang w:val="en-US"/>
        </w:rPr>
        <w:t xml:space="preserve">1000 Ljubljana </w:t>
      </w:r>
    </w:p>
    <w:p w14:paraId="0A1206D2" w14:textId="7505CDB2" w:rsidR="008D2F46" w:rsidRPr="008D2F46" w:rsidRDefault="008D2F46" w:rsidP="008D2F46">
      <w:r w:rsidRPr="008D2F46">
        <w:rPr>
          <w:lang w:eastAsia="bg-BG"/>
        </w:rPr>
        <w:t>Словения</w:t>
      </w:r>
    </w:p>
    <w:p w14:paraId="0A53321D" w14:textId="5F45B0A9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0F972674" w14:textId="34AAE890" w:rsidR="008D2F46" w:rsidRDefault="008D2F46" w:rsidP="008D2F46"/>
    <w:p w14:paraId="1BA8AD8A" w14:textId="31CBE6B2" w:rsidR="008D2F46" w:rsidRPr="008D2F46" w:rsidRDefault="008D2F46" w:rsidP="008D2F46">
      <w:r>
        <w:t>20000855</w:t>
      </w:r>
    </w:p>
    <w:p w14:paraId="7C2688F5" w14:textId="6D610EDF" w:rsidR="00F62E44" w:rsidRDefault="00F62E44" w:rsidP="00F62E44"/>
    <w:p w14:paraId="00481C21" w14:textId="225E1693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0E94D547" w14:textId="7EC6D064" w:rsidR="008D2F46" w:rsidRDefault="008D2F46" w:rsidP="008D2F46"/>
    <w:p w14:paraId="2F542652" w14:textId="77777777" w:rsidR="008D2F46" w:rsidRPr="008D2F46" w:rsidRDefault="008D2F46" w:rsidP="008D2F46">
      <w:pPr>
        <w:rPr>
          <w:sz w:val="24"/>
          <w:szCs w:val="24"/>
          <w:lang w:eastAsia="bg-BG"/>
        </w:rPr>
      </w:pPr>
      <w:r w:rsidRPr="008D2F46">
        <w:rPr>
          <w:lang w:eastAsia="bg-BG"/>
        </w:rPr>
        <w:t>Дата на първо разрешаване: 28 декември 2000 г.</w:t>
      </w:r>
    </w:p>
    <w:p w14:paraId="2C359719" w14:textId="4A4ED59B" w:rsidR="008D2F46" w:rsidRPr="008D2F46" w:rsidRDefault="008D2F46" w:rsidP="008D2F46">
      <w:r w:rsidRPr="008D2F46">
        <w:rPr>
          <w:lang w:eastAsia="bg-BG"/>
        </w:rPr>
        <w:t>Дата на последно подновяване: 1 юни 2011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292F6BEF" w:rsidR="00BB22B4" w:rsidRPr="00BB22B4" w:rsidRDefault="008D2F46" w:rsidP="008D2F46">
      <w:r>
        <w:t>05/2020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D2F46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2023-03-03T23:07:00Z</dcterms:created>
  <dcterms:modified xsi:type="dcterms:W3CDTF">2023-03-03T23:07:00Z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