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3B239815" w14:textId="4604DDF8" w:rsidR="00AA23EC" w:rsidRDefault="00DD466D" w:rsidP="00DD466D">
      <w:pPr>
        <w:pStyle w:val="Heading1"/>
      </w:pPr>
      <w:r>
        <w:t>1.ИМЕ НА ЛЕКАРСТВЕНИЯ ПРОДУКТ</w:t>
      </w:r>
    </w:p>
    <w:p w14:paraId="14D743F3" w14:textId="77777777" w:rsidR="00B85F1F" w:rsidRPr="00B85F1F" w:rsidRDefault="00B85F1F" w:rsidP="00B85F1F">
      <w:pPr>
        <w:rPr>
          <w:sz w:val="24"/>
          <w:szCs w:val="24"/>
        </w:rPr>
      </w:pPr>
      <w:proofErr w:type="spellStart"/>
      <w:r w:rsidRPr="00B85F1F">
        <w:rPr>
          <w:lang w:eastAsia="bg-BG"/>
        </w:rPr>
        <w:t>Дактарин</w:t>
      </w:r>
      <w:proofErr w:type="spellEnd"/>
      <w:r w:rsidRPr="00B85F1F">
        <w:rPr>
          <w:lang w:eastAsia="bg-BG"/>
        </w:rPr>
        <w:t xml:space="preserve"> 20 </w:t>
      </w:r>
      <w:r w:rsidRPr="00B85F1F">
        <w:rPr>
          <w:lang w:val="en-US"/>
        </w:rPr>
        <w:t xml:space="preserve">mg/g </w:t>
      </w:r>
      <w:r w:rsidRPr="00B85F1F">
        <w:rPr>
          <w:lang w:eastAsia="bg-BG"/>
        </w:rPr>
        <w:t>перорален гел</w:t>
      </w:r>
    </w:p>
    <w:p w14:paraId="270F21C5" w14:textId="3E7E81B1" w:rsidR="00B85F1F" w:rsidRPr="00B85F1F" w:rsidRDefault="00B85F1F" w:rsidP="00B85F1F">
      <w:pPr>
        <w:rPr>
          <w:sz w:val="24"/>
          <w:szCs w:val="24"/>
        </w:rPr>
      </w:pPr>
      <w:r w:rsidRPr="00B85F1F">
        <w:rPr>
          <w:lang w:val="en-US"/>
        </w:rPr>
        <w:t xml:space="preserve">Daktarin </w:t>
      </w:r>
      <w:r w:rsidRPr="00B85F1F">
        <w:rPr>
          <w:lang w:eastAsia="bg-BG"/>
        </w:rPr>
        <w:t xml:space="preserve">20 </w:t>
      </w:r>
      <w:r w:rsidRPr="00B85F1F">
        <w:rPr>
          <w:lang w:val="en-US"/>
        </w:rPr>
        <w:t>mg/g oral gel</w:t>
      </w:r>
    </w:p>
    <w:p w14:paraId="4D88B710" w14:textId="16424802" w:rsidR="00D86297" w:rsidRDefault="00DD466D" w:rsidP="00AA23EC">
      <w:pPr>
        <w:pStyle w:val="Heading1"/>
      </w:pPr>
      <w:r>
        <w:t>2. КАЧЕСТВЕН И КОЛИЧЕСТВЕН СЪСТАВ</w:t>
      </w:r>
    </w:p>
    <w:p w14:paraId="2972AA62" w14:textId="77777777" w:rsidR="00B85F1F" w:rsidRPr="00B85F1F" w:rsidRDefault="00B85F1F" w:rsidP="00B85F1F">
      <w:pPr>
        <w:rPr>
          <w:sz w:val="24"/>
          <w:szCs w:val="24"/>
        </w:rPr>
      </w:pPr>
      <w:r w:rsidRPr="00B85F1F">
        <w:rPr>
          <w:lang w:eastAsia="bg-BG"/>
        </w:rPr>
        <w:t xml:space="preserve">Един грам </w:t>
      </w:r>
      <w:proofErr w:type="spellStart"/>
      <w:r w:rsidRPr="00B85F1F">
        <w:rPr>
          <w:lang w:eastAsia="bg-BG"/>
        </w:rPr>
        <w:t>Дактарин</w:t>
      </w:r>
      <w:proofErr w:type="spellEnd"/>
      <w:r w:rsidRPr="00B85F1F">
        <w:rPr>
          <w:lang w:eastAsia="bg-BG"/>
        </w:rPr>
        <w:t xml:space="preserve"> перорален гел съдържа 20 </w:t>
      </w:r>
      <w:r w:rsidRPr="00B85F1F">
        <w:rPr>
          <w:lang w:val="en-US"/>
        </w:rPr>
        <w:t xml:space="preserve">mg </w:t>
      </w:r>
      <w:proofErr w:type="spellStart"/>
      <w:r w:rsidRPr="00B85F1F">
        <w:rPr>
          <w:lang w:eastAsia="bg-BG"/>
        </w:rPr>
        <w:t>миконазол</w:t>
      </w:r>
      <w:proofErr w:type="spellEnd"/>
      <w:r w:rsidRPr="00B85F1F">
        <w:rPr>
          <w:lang w:eastAsia="bg-BG"/>
        </w:rPr>
        <w:t xml:space="preserve"> </w:t>
      </w:r>
      <w:r w:rsidRPr="00B85F1F">
        <w:rPr>
          <w:i/>
          <w:iCs/>
          <w:lang w:val="en-US"/>
        </w:rPr>
        <w:t>(miconazole).</w:t>
      </w:r>
    </w:p>
    <w:p w14:paraId="07D12D00" w14:textId="2EFF3C15" w:rsidR="00B85F1F" w:rsidRPr="00B85F1F" w:rsidRDefault="00B85F1F" w:rsidP="00B85F1F">
      <w:r w:rsidRPr="00B85F1F">
        <w:rPr>
          <w:lang w:eastAsia="bg-BG"/>
        </w:rPr>
        <w:t>За пълния списък на помощните вещества вижте точка 6.1.</w:t>
      </w:r>
    </w:p>
    <w:p w14:paraId="5E332777" w14:textId="10B0BA3D" w:rsidR="005A66D9" w:rsidRDefault="00DD466D" w:rsidP="00CA1B57">
      <w:pPr>
        <w:pStyle w:val="Heading1"/>
      </w:pPr>
      <w:r>
        <w:t>3. ЛЕКАРСТВЕНА ФОРМА</w:t>
      </w:r>
    </w:p>
    <w:p w14:paraId="074E2D2F" w14:textId="77777777" w:rsidR="00B85F1F" w:rsidRDefault="00B85F1F" w:rsidP="00B85F1F">
      <w:pPr>
        <w:rPr>
          <w:lang w:eastAsia="bg-BG"/>
        </w:rPr>
      </w:pPr>
    </w:p>
    <w:p w14:paraId="66E56A02" w14:textId="76D29294" w:rsidR="00B85F1F" w:rsidRPr="00B85F1F" w:rsidRDefault="00B85F1F" w:rsidP="00B85F1F">
      <w:pPr>
        <w:rPr>
          <w:sz w:val="24"/>
          <w:szCs w:val="24"/>
        </w:rPr>
      </w:pPr>
      <w:r w:rsidRPr="00B85F1F">
        <w:rPr>
          <w:lang w:eastAsia="bg-BG"/>
        </w:rPr>
        <w:t>Бял, хомогенен гел за перорална употреба.</w:t>
      </w:r>
    </w:p>
    <w:p w14:paraId="490FC2C4" w14:textId="77777777" w:rsidR="002C50EE" w:rsidRDefault="002C50EE" w:rsidP="002C50EE">
      <w:pPr>
        <w:pStyle w:val="Heading1"/>
      </w:pPr>
      <w:r>
        <w:t>4. КЛИНИЧНИ ДАННИ</w:t>
      </w:r>
    </w:p>
    <w:p w14:paraId="1512A286" w14:textId="3C656E44" w:rsidR="00FD69E8" w:rsidRDefault="002C50EE" w:rsidP="00AA23EC">
      <w:pPr>
        <w:pStyle w:val="Heading2"/>
      </w:pPr>
      <w:r>
        <w:t>4.1. Терапевтични показания</w:t>
      </w:r>
    </w:p>
    <w:p w14:paraId="1A43E964" w14:textId="77777777" w:rsidR="00B85F1F" w:rsidRPr="00B85F1F" w:rsidRDefault="00B85F1F" w:rsidP="00B85F1F"/>
    <w:p w14:paraId="18FCA2A2" w14:textId="7E879F23" w:rsidR="00B85F1F" w:rsidRDefault="00B85F1F" w:rsidP="00B85F1F">
      <w:r>
        <w:t xml:space="preserve">За лечение и профилактика на </w:t>
      </w:r>
      <w:proofErr w:type="spellStart"/>
      <w:r>
        <w:t>кандидоза</w:t>
      </w:r>
      <w:proofErr w:type="spellEnd"/>
      <w:r>
        <w:t xml:space="preserve"> на </w:t>
      </w:r>
      <w:proofErr w:type="spellStart"/>
      <w:r>
        <w:t>орофарингеалната</w:t>
      </w:r>
      <w:proofErr w:type="spellEnd"/>
      <w:r>
        <w:t xml:space="preserve"> кухина</w:t>
      </w:r>
    </w:p>
    <w:p w14:paraId="33F0EA9E" w14:textId="77777777" w:rsidR="00B85F1F" w:rsidRPr="00B85F1F" w:rsidRDefault="00B85F1F" w:rsidP="00B85F1F"/>
    <w:p w14:paraId="127F2AC9" w14:textId="2BB81E17" w:rsidR="00FD69E8" w:rsidRDefault="002C50EE" w:rsidP="00AA23EC">
      <w:pPr>
        <w:pStyle w:val="Heading2"/>
      </w:pPr>
      <w:r>
        <w:t>4.2. Дозировка и начин на приложение</w:t>
      </w:r>
    </w:p>
    <w:p w14:paraId="77B783BC" w14:textId="77777777" w:rsidR="00B85F1F" w:rsidRDefault="00B85F1F" w:rsidP="00B85F1F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bg-BG"/>
        </w:rPr>
      </w:pPr>
    </w:p>
    <w:p w14:paraId="55980A7B" w14:textId="77777777" w:rsidR="00B85F1F" w:rsidRDefault="00B85F1F" w:rsidP="00B85F1F">
      <w:pPr>
        <w:rPr>
          <w:sz w:val="24"/>
          <w:szCs w:val="24"/>
        </w:rPr>
      </w:pPr>
      <w:r w:rsidRPr="00B85F1F">
        <w:rPr>
          <w:lang w:eastAsia="bg-BG"/>
        </w:rPr>
        <w:t>Да се прилага след хранене.</w:t>
      </w:r>
    </w:p>
    <w:p w14:paraId="4F19F8CF" w14:textId="3009F765" w:rsidR="00B85F1F" w:rsidRPr="00B85F1F" w:rsidRDefault="00B85F1F" w:rsidP="00B85F1F">
      <w:pPr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r w:rsidRPr="00B85F1F">
        <w:rPr>
          <w:lang w:val="en-US"/>
        </w:rPr>
        <w:t xml:space="preserve">ml </w:t>
      </w:r>
      <w:r w:rsidRPr="00B85F1F">
        <w:rPr>
          <w:lang w:eastAsia="bg-BG"/>
        </w:rPr>
        <w:t xml:space="preserve">гел в мерителната лъжичка са еквивалентни на 124 </w:t>
      </w:r>
      <w:r w:rsidRPr="00B85F1F">
        <w:rPr>
          <w:lang w:val="en-US"/>
        </w:rPr>
        <w:t>mg.</w:t>
      </w:r>
    </w:p>
    <w:p w14:paraId="7F7CDB9A" w14:textId="77777777" w:rsidR="00B85F1F" w:rsidRDefault="00B85F1F" w:rsidP="00B85F1F">
      <w:pPr>
        <w:rPr>
          <w:u w:val="single"/>
          <w:lang w:eastAsia="bg-BG"/>
        </w:rPr>
      </w:pPr>
    </w:p>
    <w:p w14:paraId="326AFE28" w14:textId="4D98F1B0" w:rsidR="00B85F1F" w:rsidRPr="00B85F1F" w:rsidRDefault="00B85F1F" w:rsidP="00B85F1F">
      <w:pPr>
        <w:rPr>
          <w:sz w:val="24"/>
          <w:szCs w:val="24"/>
        </w:rPr>
      </w:pPr>
      <w:proofErr w:type="spellStart"/>
      <w:r w:rsidRPr="00B85F1F">
        <w:rPr>
          <w:u w:val="single"/>
          <w:lang w:eastAsia="bg-BG"/>
        </w:rPr>
        <w:t>Орофарингеална</w:t>
      </w:r>
      <w:proofErr w:type="spellEnd"/>
      <w:r w:rsidRPr="00B85F1F">
        <w:rPr>
          <w:u w:val="single"/>
          <w:lang w:eastAsia="bg-BG"/>
        </w:rPr>
        <w:t xml:space="preserve"> </w:t>
      </w:r>
      <w:proofErr w:type="spellStart"/>
      <w:r w:rsidRPr="00B85F1F">
        <w:rPr>
          <w:u w:val="single"/>
          <w:lang w:eastAsia="bg-BG"/>
        </w:rPr>
        <w:t>кандидоза</w:t>
      </w:r>
      <w:proofErr w:type="spellEnd"/>
    </w:p>
    <w:p w14:paraId="49C960F2" w14:textId="77777777" w:rsidR="00B85F1F" w:rsidRDefault="00B85F1F" w:rsidP="00B85F1F">
      <w:pPr>
        <w:rPr>
          <w:i/>
          <w:iCs/>
          <w:lang w:eastAsia="bg-BG"/>
        </w:rPr>
      </w:pPr>
    </w:p>
    <w:p w14:paraId="4DA52005" w14:textId="5645AB4C" w:rsidR="00B85F1F" w:rsidRPr="00B85F1F" w:rsidRDefault="00B85F1F" w:rsidP="00B85F1F">
      <w:pPr>
        <w:rPr>
          <w:sz w:val="24"/>
          <w:szCs w:val="24"/>
        </w:rPr>
      </w:pPr>
      <w:r w:rsidRPr="00B85F1F">
        <w:rPr>
          <w:i/>
          <w:iCs/>
          <w:lang w:eastAsia="bg-BG"/>
        </w:rPr>
        <w:t>Възрастни и деца на 12 години и по-големи</w:t>
      </w:r>
      <w:r w:rsidRPr="00B85F1F">
        <w:rPr>
          <w:lang w:eastAsia="bg-BG"/>
        </w:rPr>
        <w:t xml:space="preserve"> - 2,5 </w:t>
      </w:r>
      <w:r w:rsidRPr="00B85F1F">
        <w:rPr>
          <w:lang w:val="en-US"/>
        </w:rPr>
        <w:t xml:space="preserve">ml </w:t>
      </w:r>
      <w:r w:rsidRPr="00B85F1F">
        <w:rPr>
          <w:lang w:eastAsia="bg-BG"/>
        </w:rPr>
        <w:t xml:space="preserve">(1/2 мерителна лъжичка, еквивалентна на приблизително 50 </w:t>
      </w:r>
      <w:r w:rsidRPr="00B85F1F">
        <w:rPr>
          <w:lang w:val="en-US"/>
        </w:rPr>
        <w:t xml:space="preserve">mg) </w:t>
      </w:r>
      <w:r w:rsidRPr="00B85F1F">
        <w:rPr>
          <w:lang w:eastAsia="bg-BG"/>
        </w:rPr>
        <w:t>от гела се прилага четири пъти дневно след хранене. Гелът не трябва да се преглъща незабавно, а да се задържа в устата колкото е възможно по-дълго.</w:t>
      </w:r>
    </w:p>
    <w:p w14:paraId="766EDEC2" w14:textId="77777777" w:rsidR="00B85F1F" w:rsidRDefault="00B85F1F" w:rsidP="00B85F1F">
      <w:pPr>
        <w:rPr>
          <w:lang w:eastAsia="bg-BG"/>
        </w:rPr>
      </w:pPr>
    </w:p>
    <w:p w14:paraId="52CA3156" w14:textId="0964ADDE" w:rsidR="00B85F1F" w:rsidRPr="00B85F1F" w:rsidRDefault="00B85F1F" w:rsidP="00B85F1F">
      <w:pPr>
        <w:rPr>
          <w:sz w:val="24"/>
          <w:szCs w:val="24"/>
        </w:rPr>
      </w:pPr>
      <w:r w:rsidRPr="00B85F1F">
        <w:rPr>
          <w:lang w:eastAsia="bg-BG"/>
        </w:rPr>
        <w:t>Лечението трябва да продължи минимум една седмица след отзвучаване на симптомите.</w:t>
      </w:r>
    </w:p>
    <w:p w14:paraId="302AA71A" w14:textId="77777777" w:rsidR="00B85F1F" w:rsidRDefault="00B85F1F" w:rsidP="00B85F1F">
      <w:pPr>
        <w:rPr>
          <w:lang w:eastAsia="bg-BG"/>
        </w:rPr>
      </w:pPr>
    </w:p>
    <w:p w14:paraId="31D3A20F" w14:textId="1664B2C3" w:rsidR="00B85F1F" w:rsidRPr="00B85F1F" w:rsidRDefault="00B85F1F" w:rsidP="00B85F1F">
      <w:pPr>
        <w:rPr>
          <w:sz w:val="24"/>
          <w:szCs w:val="24"/>
        </w:rPr>
      </w:pPr>
      <w:r w:rsidRPr="00B85F1F">
        <w:rPr>
          <w:lang w:eastAsia="bg-BG"/>
        </w:rPr>
        <w:t xml:space="preserve">При </w:t>
      </w:r>
      <w:proofErr w:type="spellStart"/>
      <w:r w:rsidRPr="00B85F1F">
        <w:rPr>
          <w:lang w:eastAsia="bg-BG"/>
        </w:rPr>
        <w:t>кандидоза</w:t>
      </w:r>
      <w:proofErr w:type="spellEnd"/>
      <w:r w:rsidRPr="00B85F1F">
        <w:rPr>
          <w:lang w:eastAsia="bg-BG"/>
        </w:rPr>
        <w:t xml:space="preserve"> на устната кухина зъбните протези трябва да се свалят през нощта и да се почистват с гела.</w:t>
      </w:r>
    </w:p>
    <w:p w14:paraId="51672F1F" w14:textId="77777777" w:rsidR="00B85F1F" w:rsidRPr="00B85F1F" w:rsidRDefault="00B85F1F" w:rsidP="00B85F1F"/>
    <w:p w14:paraId="0E366821" w14:textId="6F595620" w:rsidR="00FD69E8" w:rsidRDefault="002C50EE" w:rsidP="00AA23EC">
      <w:pPr>
        <w:pStyle w:val="Heading2"/>
      </w:pPr>
      <w:r>
        <w:t>4.3. Противопоказания</w:t>
      </w:r>
    </w:p>
    <w:p w14:paraId="6C32E01B" w14:textId="77777777" w:rsidR="00B85F1F" w:rsidRDefault="00B85F1F" w:rsidP="00B85F1F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bg-BG"/>
        </w:rPr>
      </w:pPr>
    </w:p>
    <w:p w14:paraId="450ED19A" w14:textId="1C75BF26" w:rsidR="00B85F1F" w:rsidRPr="00B85F1F" w:rsidRDefault="00B85F1F" w:rsidP="00B85F1F">
      <w:pPr>
        <w:rPr>
          <w:sz w:val="24"/>
          <w:szCs w:val="24"/>
        </w:rPr>
      </w:pPr>
      <w:proofErr w:type="spellStart"/>
      <w:r w:rsidRPr="00B85F1F">
        <w:rPr>
          <w:lang w:eastAsia="bg-BG"/>
        </w:rPr>
        <w:t>Дактарин</w:t>
      </w:r>
      <w:proofErr w:type="spellEnd"/>
      <w:r w:rsidRPr="00B85F1F">
        <w:rPr>
          <w:lang w:eastAsia="bg-BG"/>
        </w:rPr>
        <w:t xml:space="preserve"> перорален гел е противопоказан при следните случаи:</w:t>
      </w:r>
    </w:p>
    <w:p w14:paraId="648BD34A" w14:textId="77777777" w:rsidR="00B85F1F" w:rsidRPr="00B85F1F" w:rsidRDefault="00B85F1F" w:rsidP="00B85F1F">
      <w:pPr>
        <w:pStyle w:val="ListParagraph"/>
        <w:numPr>
          <w:ilvl w:val="0"/>
          <w:numId w:val="24"/>
        </w:numPr>
        <w:rPr>
          <w:lang w:eastAsia="bg-BG"/>
        </w:rPr>
      </w:pPr>
      <w:r w:rsidRPr="00B85F1F">
        <w:rPr>
          <w:lang w:eastAsia="bg-BG"/>
        </w:rPr>
        <w:t xml:space="preserve">При пациенти със свръхчувствителност към активното вещество, други </w:t>
      </w:r>
      <w:proofErr w:type="spellStart"/>
      <w:r w:rsidRPr="00B85F1F">
        <w:rPr>
          <w:lang w:eastAsia="bg-BG"/>
        </w:rPr>
        <w:t>имидазолови</w:t>
      </w:r>
      <w:proofErr w:type="spellEnd"/>
      <w:r w:rsidRPr="00B85F1F">
        <w:rPr>
          <w:lang w:eastAsia="bg-BG"/>
        </w:rPr>
        <w:t xml:space="preserve"> производни или към някое от помощните вещества, изброени в точка 6.1;</w:t>
      </w:r>
    </w:p>
    <w:p w14:paraId="6335AF9F" w14:textId="77777777" w:rsidR="00B85F1F" w:rsidRPr="00B85F1F" w:rsidRDefault="00B85F1F" w:rsidP="00B85F1F">
      <w:pPr>
        <w:pStyle w:val="ListParagraph"/>
        <w:numPr>
          <w:ilvl w:val="0"/>
          <w:numId w:val="24"/>
        </w:numPr>
        <w:rPr>
          <w:lang w:eastAsia="bg-BG"/>
        </w:rPr>
      </w:pPr>
      <w:r w:rsidRPr="00B85F1F">
        <w:rPr>
          <w:lang w:eastAsia="bg-BG"/>
        </w:rPr>
        <w:t>При пациенти с нарушена чернодробна функция;</w:t>
      </w:r>
    </w:p>
    <w:p w14:paraId="1D9F5CA0" w14:textId="77777777" w:rsidR="00B85F1F" w:rsidRPr="00B85F1F" w:rsidRDefault="00B85F1F" w:rsidP="00B85F1F">
      <w:pPr>
        <w:pStyle w:val="ListParagraph"/>
        <w:numPr>
          <w:ilvl w:val="0"/>
          <w:numId w:val="24"/>
        </w:numPr>
        <w:rPr>
          <w:lang w:eastAsia="bg-BG"/>
        </w:rPr>
      </w:pPr>
      <w:r w:rsidRPr="00B85F1F">
        <w:rPr>
          <w:lang w:eastAsia="bg-BG"/>
        </w:rPr>
        <w:lastRenderedPageBreak/>
        <w:t xml:space="preserve">При съпътстващо приложение на следните лекарства, които се </w:t>
      </w:r>
      <w:proofErr w:type="spellStart"/>
      <w:r w:rsidRPr="00B85F1F">
        <w:rPr>
          <w:lang w:eastAsia="bg-BG"/>
        </w:rPr>
        <w:t>метаболизират</w:t>
      </w:r>
      <w:proofErr w:type="spellEnd"/>
      <w:r w:rsidRPr="00B85F1F">
        <w:rPr>
          <w:lang w:eastAsia="bg-BG"/>
        </w:rPr>
        <w:t xml:space="preserve"> от </w:t>
      </w:r>
      <w:r w:rsidRPr="00B85F1F">
        <w:rPr>
          <w:lang w:val="en-US"/>
        </w:rPr>
        <w:t xml:space="preserve">CYP3A4 </w:t>
      </w:r>
      <w:r w:rsidRPr="00B85F1F">
        <w:rPr>
          <w:lang w:eastAsia="bg-BG"/>
        </w:rPr>
        <w:t>(вижте точка 4.5):</w:t>
      </w:r>
    </w:p>
    <w:p w14:paraId="05B13541" w14:textId="29F3C565" w:rsidR="00B85F1F" w:rsidRPr="00B85F1F" w:rsidRDefault="00B85F1F" w:rsidP="00B85F1F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B85F1F">
        <w:rPr>
          <w:lang w:eastAsia="bg-BG"/>
        </w:rPr>
        <w:t xml:space="preserve">субстрати, които удължават </w:t>
      </w:r>
      <w:r w:rsidRPr="00B85F1F">
        <w:rPr>
          <w:lang w:val="en-US"/>
        </w:rPr>
        <w:t>QT</w:t>
      </w:r>
      <w:r w:rsidRPr="00B85F1F">
        <w:rPr>
          <w:lang w:eastAsia="bg-BG"/>
        </w:rPr>
        <w:t xml:space="preserve">-интервала, каквито са например </w:t>
      </w:r>
      <w:proofErr w:type="spellStart"/>
      <w:r w:rsidRPr="00B85F1F">
        <w:rPr>
          <w:lang w:eastAsia="bg-BG"/>
        </w:rPr>
        <w:t>астемизол</w:t>
      </w:r>
      <w:proofErr w:type="spellEnd"/>
      <w:r w:rsidRPr="00B85F1F">
        <w:rPr>
          <w:lang w:eastAsia="bg-BG"/>
        </w:rPr>
        <w:t xml:space="preserve">, </w:t>
      </w:r>
      <w:proofErr w:type="spellStart"/>
      <w:r w:rsidRPr="00B85F1F">
        <w:rPr>
          <w:lang w:eastAsia="bg-BG"/>
        </w:rPr>
        <w:t>бепридил</w:t>
      </w:r>
      <w:proofErr w:type="spellEnd"/>
      <w:r w:rsidRPr="00B85F1F">
        <w:rPr>
          <w:lang w:eastAsia="bg-BG"/>
        </w:rPr>
        <w:t xml:space="preserve">, </w:t>
      </w:r>
      <w:proofErr w:type="spellStart"/>
      <w:r w:rsidRPr="00B85F1F">
        <w:rPr>
          <w:lang w:eastAsia="bg-BG"/>
        </w:rPr>
        <w:t>цизаприд</w:t>
      </w:r>
      <w:proofErr w:type="spellEnd"/>
      <w:r w:rsidRPr="00B85F1F">
        <w:rPr>
          <w:lang w:eastAsia="bg-BG"/>
        </w:rPr>
        <w:t xml:space="preserve">, </w:t>
      </w:r>
      <w:proofErr w:type="spellStart"/>
      <w:r w:rsidRPr="00B85F1F">
        <w:rPr>
          <w:lang w:eastAsia="bg-BG"/>
        </w:rPr>
        <w:t>дофетилид</w:t>
      </w:r>
      <w:proofErr w:type="spellEnd"/>
      <w:r w:rsidRPr="00B85F1F">
        <w:rPr>
          <w:lang w:eastAsia="bg-BG"/>
        </w:rPr>
        <w:t xml:space="preserve">, </w:t>
      </w:r>
      <w:proofErr w:type="spellStart"/>
      <w:r w:rsidRPr="00B85F1F">
        <w:rPr>
          <w:lang w:eastAsia="bg-BG"/>
        </w:rPr>
        <w:t>халофантрин</w:t>
      </w:r>
      <w:proofErr w:type="spellEnd"/>
      <w:r w:rsidRPr="00B85F1F">
        <w:rPr>
          <w:lang w:eastAsia="bg-BG"/>
        </w:rPr>
        <w:t xml:space="preserve">, </w:t>
      </w:r>
      <w:proofErr w:type="spellStart"/>
      <w:r w:rsidRPr="00B85F1F">
        <w:rPr>
          <w:lang w:eastAsia="bg-BG"/>
        </w:rPr>
        <w:t>мизоластик</w:t>
      </w:r>
      <w:proofErr w:type="spellEnd"/>
      <w:r w:rsidRPr="00B85F1F">
        <w:rPr>
          <w:lang w:eastAsia="bg-BG"/>
        </w:rPr>
        <w:t xml:space="preserve">, </w:t>
      </w:r>
      <w:proofErr w:type="spellStart"/>
      <w:r w:rsidRPr="00B85F1F">
        <w:rPr>
          <w:lang w:eastAsia="bg-BG"/>
        </w:rPr>
        <w:t>пимозид</w:t>
      </w:r>
      <w:proofErr w:type="spellEnd"/>
      <w:r w:rsidRPr="00B85F1F">
        <w:rPr>
          <w:lang w:eastAsia="bg-BG"/>
        </w:rPr>
        <w:t xml:space="preserve">, </w:t>
      </w:r>
      <w:proofErr w:type="spellStart"/>
      <w:r w:rsidRPr="00B85F1F">
        <w:rPr>
          <w:lang w:eastAsia="bg-BG"/>
        </w:rPr>
        <w:t>хинидин</w:t>
      </w:r>
      <w:proofErr w:type="spellEnd"/>
      <w:r w:rsidRPr="00B85F1F">
        <w:rPr>
          <w:lang w:eastAsia="bg-BG"/>
        </w:rPr>
        <w:t xml:space="preserve">, </w:t>
      </w:r>
      <w:proofErr w:type="spellStart"/>
      <w:r w:rsidRPr="00B85F1F">
        <w:rPr>
          <w:lang w:eastAsia="bg-BG"/>
        </w:rPr>
        <w:t>сертиндол</w:t>
      </w:r>
      <w:proofErr w:type="spellEnd"/>
      <w:r w:rsidRPr="00B85F1F">
        <w:rPr>
          <w:lang w:eastAsia="bg-BG"/>
        </w:rPr>
        <w:t xml:space="preserve"> и </w:t>
      </w:r>
      <w:proofErr w:type="spellStart"/>
      <w:r w:rsidRPr="00B85F1F">
        <w:rPr>
          <w:lang w:eastAsia="bg-BG"/>
        </w:rPr>
        <w:t>терфенадин</w:t>
      </w:r>
      <w:proofErr w:type="spellEnd"/>
      <w:r w:rsidRPr="00B85F1F">
        <w:rPr>
          <w:lang w:eastAsia="bg-BG"/>
        </w:rPr>
        <w:t>;</w:t>
      </w:r>
    </w:p>
    <w:p w14:paraId="7A54AAE5" w14:textId="77777777" w:rsidR="00B85F1F" w:rsidRPr="00B85F1F" w:rsidRDefault="00B85F1F" w:rsidP="00B85F1F">
      <w:pPr>
        <w:pStyle w:val="ListParagraph"/>
        <w:numPr>
          <w:ilvl w:val="0"/>
          <w:numId w:val="25"/>
        </w:numPr>
        <w:rPr>
          <w:sz w:val="24"/>
          <w:szCs w:val="24"/>
        </w:rPr>
      </w:pPr>
      <w:proofErr w:type="spellStart"/>
      <w:r w:rsidRPr="00B85F1F">
        <w:rPr>
          <w:lang w:eastAsia="bg-BG"/>
        </w:rPr>
        <w:t>ергоалкалоиди</w:t>
      </w:r>
      <w:proofErr w:type="spellEnd"/>
      <w:r w:rsidRPr="00B85F1F">
        <w:rPr>
          <w:lang w:eastAsia="bg-BG"/>
        </w:rPr>
        <w:t>;</w:t>
      </w:r>
    </w:p>
    <w:p w14:paraId="1D2CFA72" w14:textId="77777777" w:rsidR="00B85F1F" w:rsidRPr="00B85F1F" w:rsidRDefault="00B85F1F" w:rsidP="00B85F1F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B85F1F">
        <w:rPr>
          <w:lang w:val="en-US"/>
        </w:rPr>
        <w:t xml:space="preserve">HMG-CoA </w:t>
      </w:r>
      <w:proofErr w:type="spellStart"/>
      <w:r w:rsidRPr="00B85F1F">
        <w:rPr>
          <w:lang w:eastAsia="bg-BG"/>
        </w:rPr>
        <w:t>редуктазни</w:t>
      </w:r>
      <w:proofErr w:type="spellEnd"/>
      <w:r w:rsidRPr="00B85F1F">
        <w:rPr>
          <w:lang w:eastAsia="bg-BG"/>
        </w:rPr>
        <w:t xml:space="preserve"> инхибитори, каквито са </w:t>
      </w:r>
      <w:proofErr w:type="spellStart"/>
      <w:r w:rsidRPr="00B85F1F">
        <w:rPr>
          <w:lang w:eastAsia="bg-BG"/>
        </w:rPr>
        <w:t>симвастатин</w:t>
      </w:r>
      <w:proofErr w:type="spellEnd"/>
      <w:r w:rsidRPr="00B85F1F">
        <w:rPr>
          <w:lang w:eastAsia="bg-BG"/>
        </w:rPr>
        <w:t xml:space="preserve"> и </w:t>
      </w:r>
      <w:proofErr w:type="spellStart"/>
      <w:proofErr w:type="gramStart"/>
      <w:r w:rsidRPr="00B85F1F">
        <w:rPr>
          <w:lang w:eastAsia="bg-BG"/>
        </w:rPr>
        <w:t>ловастатин</w:t>
      </w:r>
      <w:proofErr w:type="spellEnd"/>
      <w:r w:rsidRPr="00B85F1F">
        <w:rPr>
          <w:lang w:eastAsia="bg-BG"/>
        </w:rPr>
        <w:t>;</w:t>
      </w:r>
      <w:proofErr w:type="gramEnd"/>
    </w:p>
    <w:p w14:paraId="6190A694" w14:textId="77777777" w:rsidR="00B85F1F" w:rsidRPr="00B85F1F" w:rsidRDefault="00B85F1F" w:rsidP="00B85F1F">
      <w:pPr>
        <w:pStyle w:val="ListParagraph"/>
        <w:numPr>
          <w:ilvl w:val="0"/>
          <w:numId w:val="25"/>
        </w:numPr>
        <w:rPr>
          <w:sz w:val="24"/>
          <w:szCs w:val="24"/>
        </w:rPr>
      </w:pPr>
      <w:proofErr w:type="spellStart"/>
      <w:r w:rsidRPr="00B85F1F">
        <w:rPr>
          <w:lang w:eastAsia="bg-BG"/>
        </w:rPr>
        <w:t>триазолам</w:t>
      </w:r>
      <w:proofErr w:type="spellEnd"/>
      <w:r w:rsidRPr="00B85F1F">
        <w:rPr>
          <w:lang w:eastAsia="bg-BG"/>
        </w:rPr>
        <w:t xml:space="preserve"> и перорален мидазолам.</w:t>
      </w:r>
    </w:p>
    <w:p w14:paraId="69BD04D5" w14:textId="78519899" w:rsidR="00B85F1F" w:rsidRPr="00B85F1F" w:rsidRDefault="00B85F1F" w:rsidP="00B85F1F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B85F1F">
        <w:rPr>
          <w:lang w:eastAsia="bg-BG"/>
        </w:rPr>
        <w:t xml:space="preserve">Прилагането на </w:t>
      </w:r>
      <w:proofErr w:type="spellStart"/>
      <w:r w:rsidRPr="00B85F1F">
        <w:rPr>
          <w:lang w:eastAsia="bg-BG"/>
        </w:rPr>
        <w:t>миконазол</w:t>
      </w:r>
      <w:proofErr w:type="spellEnd"/>
      <w:r w:rsidRPr="00B85F1F">
        <w:rPr>
          <w:lang w:eastAsia="bg-BG"/>
        </w:rPr>
        <w:t xml:space="preserve"> перорален гел в комбинация със следното лекарство, което се </w:t>
      </w:r>
      <w:r w:rsidRPr="00B85F1F">
        <w:rPr>
          <w:vertAlign w:val="subscript"/>
          <w:lang w:eastAsia="bg-BG"/>
        </w:rPr>
        <w:t xml:space="preserve"> </w:t>
      </w:r>
      <w:proofErr w:type="spellStart"/>
      <w:r w:rsidRPr="00B85F1F">
        <w:rPr>
          <w:lang w:eastAsia="bg-BG"/>
        </w:rPr>
        <w:t>метаболизира</w:t>
      </w:r>
      <w:proofErr w:type="spellEnd"/>
      <w:r w:rsidRPr="00B85F1F">
        <w:rPr>
          <w:lang w:eastAsia="bg-BG"/>
        </w:rPr>
        <w:t xml:space="preserve"> чрез </w:t>
      </w:r>
      <w:r w:rsidRPr="00B85F1F">
        <w:rPr>
          <w:lang w:val="en-US"/>
        </w:rPr>
        <w:t xml:space="preserve">CYP2C9 </w:t>
      </w:r>
      <w:r w:rsidRPr="00B85F1F">
        <w:rPr>
          <w:lang w:eastAsia="bg-BG"/>
        </w:rPr>
        <w:t>(вижте точка 4.5 Взаимодействие с други лекарствени продукти</w:t>
      </w:r>
      <w:r>
        <w:rPr>
          <w:lang w:eastAsia="bg-BG"/>
        </w:rPr>
        <w:t xml:space="preserve"> </w:t>
      </w:r>
      <w:r w:rsidRPr="00B85F1F">
        <w:rPr>
          <w:lang w:eastAsia="bg-BG"/>
        </w:rPr>
        <w:t>и други форми на взаимодействие):</w:t>
      </w:r>
    </w:p>
    <w:p w14:paraId="514A06FB" w14:textId="41C0A1BC" w:rsidR="00B85F1F" w:rsidRDefault="00B85F1F" w:rsidP="00B85F1F">
      <w:pPr>
        <w:pStyle w:val="ListParagraph"/>
        <w:numPr>
          <w:ilvl w:val="0"/>
          <w:numId w:val="25"/>
        </w:numPr>
      </w:pPr>
      <w:proofErr w:type="spellStart"/>
      <w:r w:rsidRPr="00B85F1F">
        <w:rPr>
          <w:lang w:eastAsia="bg-BG"/>
        </w:rPr>
        <w:t>В</w:t>
      </w:r>
      <w:r w:rsidRPr="00B85F1F">
        <w:rPr>
          <w:lang w:eastAsia="bg-BG"/>
        </w:rPr>
        <w:t>арфарин</w:t>
      </w:r>
      <w:proofErr w:type="spellEnd"/>
    </w:p>
    <w:p w14:paraId="78A8921A" w14:textId="77777777" w:rsidR="00B85F1F" w:rsidRPr="00B85F1F" w:rsidRDefault="00B85F1F" w:rsidP="00B85F1F"/>
    <w:p w14:paraId="6DDF89B4" w14:textId="75F9E2E8" w:rsidR="00C809A7" w:rsidRDefault="002C50EE" w:rsidP="00AA23EC">
      <w:pPr>
        <w:pStyle w:val="Heading2"/>
      </w:pPr>
      <w:r>
        <w:t>4.4. Специални предупреждения и предпазни мерки при употреба</w:t>
      </w:r>
    </w:p>
    <w:p w14:paraId="27E6A611" w14:textId="77777777" w:rsidR="00B85F1F" w:rsidRDefault="00B85F1F" w:rsidP="00B85F1F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bg-BG"/>
        </w:rPr>
      </w:pPr>
    </w:p>
    <w:p w14:paraId="5832C518" w14:textId="087C6977" w:rsidR="00B85F1F" w:rsidRPr="00B85F1F" w:rsidRDefault="00B85F1F" w:rsidP="00B85F1F">
      <w:pPr>
        <w:rPr>
          <w:sz w:val="24"/>
          <w:szCs w:val="24"/>
        </w:rPr>
      </w:pPr>
      <w:proofErr w:type="spellStart"/>
      <w:r w:rsidRPr="00B85F1F">
        <w:rPr>
          <w:lang w:eastAsia="bg-BG"/>
        </w:rPr>
        <w:t>Миконазол</w:t>
      </w:r>
      <w:proofErr w:type="spellEnd"/>
      <w:r w:rsidRPr="00B85F1F">
        <w:rPr>
          <w:lang w:eastAsia="bg-BG"/>
        </w:rPr>
        <w:t xml:space="preserve"> се абсорбира системно и е известно, че инхибира </w:t>
      </w:r>
      <w:r w:rsidRPr="00B85F1F">
        <w:rPr>
          <w:lang w:val="en-US"/>
        </w:rPr>
        <w:t xml:space="preserve">CYP2C9 </w:t>
      </w:r>
      <w:r w:rsidRPr="00B85F1F">
        <w:rPr>
          <w:lang w:eastAsia="bg-BG"/>
        </w:rPr>
        <w:t xml:space="preserve">и </w:t>
      </w:r>
      <w:r w:rsidRPr="00B85F1F">
        <w:rPr>
          <w:lang w:val="en-US"/>
        </w:rPr>
        <w:t xml:space="preserve">CYP3A4 </w:t>
      </w:r>
      <w:r w:rsidRPr="00B85F1F">
        <w:rPr>
          <w:lang w:eastAsia="bg-BG"/>
        </w:rPr>
        <w:t xml:space="preserve">(вижте точка 5.2 </w:t>
      </w:r>
      <w:proofErr w:type="spellStart"/>
      <w:r w:rsidRPr="00B85F1F">
        <w:rPr>
          <w:lang w:eastAsia="bg-BG"/>
        </w:rPr>
        <w:t>Фармакокинетични</w:t>
      </w:r>
      <w:proofErr w:type="spellEnd"/>
      <w:r w:rsidRPr="00B85F1F">
        <w:rPr>
          <w:lang w:eastAsia="bg-BG"/>
        </w:rPr>
        <w:t xml:space="preserve"> свойства), което може да доведе до траен ефект на </w:t>
      </w:r>
      <w:proofErr w:type="spellStart"/>
      <w:r w:rsidRPr="00B85F1F">
        <w:rPr>
          <w:lang w:eastAsia="bg-BG"/>
        </w:rPr>
        <w:t>варфарин</w:t>
      </w:r>
      <w:proofErr w:type="spellEnd"/>
      <w:r w:rsidRPr="00B85F1F">
        <w:rPr>
          <w:lang w:eastAsia="bg-BG"/>
        </w:rPr>
        <w:t xml:space="preserve">. Случаите на кървене, някои от които с фатален изход, са били докладвани при едновременната употреба на </w:t>
      </w:r>
      <w:proofErr w:type="spellStart"/>
      <w:r w:rsidRPr="00B85F1F">
        <w:rPr>
          <w:lang w:eastAsia="bg-BG"/>
        </w:rPr>
        <w:t>миконазол</w:t>
      </w:r>
      <w:proofErr w:type="spellEnd"/>
      <w:r w:rsidRPr="00B85F1F">
        <w:rPr>
          <w:lang w:eastAsia="bg-BG"/>
        </w:rPr>
        <w:t xml:space="preserve"> перорален гел и </w:t>
      </w:r>
      <w:proofErr w:type="spellStart"/>
      <w:r w:rsidRPr="00B85F1F">
        <w:rPr>
          <w:lang w:eastAsia="bg-BG"/>
        </w:rPr>
        <w:t>варфарин</w:t>
      </w:r>
      <w:proofErr w:type="spellEnd"/>
      <w:r w:rsidRPr="00B85F1F">
        <w:rPr>
          <w:lang w:eastAsia="bg-BG"/>
        </w:rPr>
        <w:t xml:space="preserve"> (вижте точка 4.5 Взаимодействие с други лекарствени продукти и други форми на взаимодействие). Ако се планира едновременна употреба на </w:t>
      </w:r>
      <w:proofErr w:type="spellStart"/>
      <w:r w:rsidRPr="00B85F1F">
        <w:rPr>
          <w:lang w:eastAsia="bg-BG"/>
        </w:rPr>
        <w:t>Дактарин</w:t>
      </w:r>
      <w:proofErr w:type="spellEnd"/>
      <w:r w:rsidRPr="00B85F1F">
        <w:rPr>
          <w:lang w:eastAsia="bg-BG"/>
        </w:rPr>
        <w:t xml:space="preserve"> и </w:t>
      </w:r>
      <w:proofErr w:type="spellStart"/>
      <w:r w:rsidRPr="00B85F1F">
        <w:rPr>
          <w:lang w:eastAsia="bg-BG"/>
        </w:rPr>
        <w:t>кумаринови</w:t>
      </w:r>
      <w:proofErr w:type="spellEnd"/>
      <w:r w:rsidRPr="00B85F1F">
        <w:rPr>
          <w:lang w:eastAsia="bg-BG"/>
        </w:rPr>
        <w:t xml:space="preserve"> антикоагуланти, какъвто е </w:t>
      </w:r>
      <w:proofErr w:type="spellStart"/>
      <w:r w:rsidRPr="00B85F1F">
        <w:rPr>
          <w:lang w:eastAsia="bg-BG"/>
        </w:rPr>
        <w:t>варфарин</w:t>
      </w:r>
      <w:proofErr w:type="spellEnd"/>
      <w:r w:rsidRPr="00B85F1F">
        <w:rPr>
          <w:lang w:eastAsia="bg-BG"/>
        </w:rPr>
        <w:t xml:space="preserve">, ефектът на антикоагулантите трябва да бъде внимателно </w:t>
      </w:r>
      <w:proofErr w:type="spellStart"/>
      <w:r w:rsidRPr="00B85F1F">
        <w:rPr>
          <w:lang w:eastAsia="bg-BG"/>
        </w:rPr>
        <w:t>мониториран</w:t>
      </w:r>
      <w:proofErr w:type="spellEnd"/>
      <w:r w:rsidRPr="00B85F1F">
        <w:rPr>
          <w:lang w:eastAsia="bg-BG"/>
        </w:rPr>
        <w:t xml:space="preserve"> и дозата </w:t>
      </w:r>
      <w:proofErr w:type="spellStart"/>
      <w:r w:rsidRPr="00B85F1F">
        <w:rPr>
          <w:lang w:eastAsia="bg-BG"/>
        </w:rPr>
        <w:t>титрирана</w:t>
      </w:r>
      <w:proofErr w:type="spellEnd"/>
      <w:r w:rsidRPr="00B85F1F">
        <w:rPr>
          <w:lang w:eastAsia="bg-BG"/>
        </w:rPr>
        <w:t>.</w:t>
      </w:r>
    </w:p>
    <w:p w14:paraId="4CC56F6C" w14:textId="77777777" w:rsidR="00B85F1F" w:rsidRDefault="00B85F1F" w:rsidP="00B85F1F">
      <w:pPr>
        <w:rPr>
          <w:lang w:eastAsia="bg-BG"/>
        </w:rPr>
      </w:pPr>
    </w:p>
    <w:p w14:paraId="2EC00F53" w14:textId="6405C78E" w:rsidR="00B85F1F" w:rsidRPr="00B85F1F" w:rsidRDefault="00B85F1F" w:rsidP="00B85F1F">
      <w:pPr>
        <w:rPr>
          <w:sz w:val="24"/>
          <w:szCs w:val="24"/>
        </w:rPr>
      </w:pPr>
      <w:r w:rsidRPr="00B85F1F">
        <w:rPr>
          <w:lang w:eastAsia="bg-BG"/>
        </w:rPr>
        <w:t xml:space="preserve">Препоръчва се мониториране на кръвните нива на </w:t>
      </w:r>
      <w:proofErr w:type="spellStart"/>
      <w:r w:rsidRPr="00B85F1F">
        <w:rPr>
          <w:lang w:eastAsia="bg-BG"/>
        </w:rPr>
        <w:t>миконазол</w:t>
      </w:r>
      <w:proofErr w:type="spellEnd"/>
      <w:r w:rsidRPr="00B85F1F">
        <w:rPr>
          <w:lang w:eastAsia="bg-BG"/>
        </w:rPr>
        <w:t xml:space="preserve"> и </w:t>
      </w:r>
      <w:proofErr w:type="spellStart"/>
      <w:r w:rsidRPr="00B85F1F">
        <w:rPr>
          <w:lang w:eastAsia="bg-BG"/>
        </w:rPr>
        <w:t>фенитоин</w:t>
      </w:r>
      <w:proofErr w:type="spellEnd"/>
      <w:r w:rsidRPr="00B85F1F">
        <w:rPr>
          <w:lang w:eastAsia="bg-BG"/>
        </w:rPr>
        <w:t>, когато тези две лекарства се прилагат едновременно.</w:t>
      </w:r>
    </w:p>
    <w:p w14:paraId="75B2B63A" w14:textId="77777777" w:rsidR="00B85F1F" w:rsidRDefault="00B85F1F" w:rsidP="00B85F1F">
      <w:pPr>
        <w:rPr>
          <w:lang w:eastAsia="bg-BG"/>
        </w:rPr>
      </w:pPr>
    </w:p>
    <w:p w14:paraId="1918A252" w14:textId="62DDE54D" w:rsidR="00B85F1F" w:rsidRPr="00B85F1F" w:rsidRDefault="00B85F1F" w:rsidP="00B85F1F">
      <w:pPr>
        <w:rPr>
          <w:sz w:val="24"/>
          <w:szCs w:val="24"/>
        </w:rPr>
      </w:pPr>
      <w:r w:rsidRPr="00B85F1F">
        <w:rPr>
          <w:lang w:eastAsia="bg-BG"/>
        </w:rPr>
        <w:t xml:space="preserve">При пациенти, които използват някои перорални хипогликемични лекарства, каквито са </w:t>
      </w:r>
      <w:proofErr w:type="spellStart"/>
      <w:r w:rsidRPr="00B85F1F">
        <w:rPr>
          <w:lang w:eastAsia="bg-BG"/>
        </w:rPr>
        <w:t>сулфонилуреите</w:t>
      </w:r>
      <w:proofErr w:type="spellEnd"/>
      <w:r w:rsidRPr="00B85F1F">
        <w:rPr>
          <w:lang w:eastAsia="bg-BG"/>
        </w:rPr>
        <w:t xml:space="preserve">, по време на съпътстващо лечение с </w:t>
      </w:r>
      <w:proofErr w:type="spellStart"/>
      <w:r w:rsidRPr="00B85F1F">
        <w:rPr>
          <w:lang w:eastAsia="bg-BG"/>
        </w:rPr>
        <w:t>миконазол</w:t>
      </w:r>
      <w:proofErr w:type="spellEnd"/>
      <w:r w:rsidRPr="00B85F1F">
        <w:rPr>
          <w:lang w:eastAsia="bg-BG"/>
        </w:rPr>
        <w:t>, трябва да се вземат подходящи мерки (вижте точка 4.5 Взаимодействие с други лекарствени продукти и други форми на взаимодействие), тъй като може да се наблюдава повишаване на терапевтичния ефект, водещ до хипогликемия.</w:t>
      </w:r>
    </w:p>
    <w:p w14:paraId="42982C07" w14:textId="77777777" w:rsidR="00B85F1F" w:rsidRDefault="00B85F1F" w:rsidP="00B85F1F">
      <w:pPr>
        <w:rPr>
          <w:lang w:eastAsia="bg-BG"/>
        </w:rPr>
      </w:pPr>
    </w:p>
    <w:p w14:paraId="6117DBFC" w14:textId="3EB86219" w:rsidR="00B85F1F" w:rsidRPr="00B85F1F" w:rsidRDefault="00B85F1F" w:rsidP="00B85F1F">
      <w:pPr>
        <w:rPr>
          <w:sz w:val="24"/>
          <w:szCs w:val="24"/>
        </w:rPr>
      </w:pPr>
      <w:r w:rsidRPr="00B85F1F">
        <w:rPr>
          <w:lang w:eastAsia="bg-BG"/>
        </w:rPr>
        <w:t xml:space="preserve">Тежки реакции на свръхчувствителност, включително анафилаксия и ангиоедем са докладвани по време на лечение с лекарствени форми на </w:t>
      </w:r>
      <w:proofErr w:type="spellStart"/>
      <w:r w:rsidRPr="00B85F1F">
        <w:rPr>
          <w:lang w:eastAsia="bg-BG"/>
        </w:rPr>
        <w:t>миконазол</w:t>
      </w:r>
      <w:proofErr w:type="spellEnd"/>
      <w:r w:rsidRPr="00B85F1F">
        <w:rPr>
          <w:lang w:eastAsia="bg-BG"/>
        </w:rPr>
        <w:t xml:space="preserve"> (вижте точка 4.8 Нежелани лекарствени реакции). Ако се развие реакция, която предполага свръхчувствителност или дразнене, лечението трябва да се преустанови.</w:t>
      </w:r>
    </w:p>
    <w:p w14:paraId="6F417F2A" w14:textId="77777777" w:rsidR="00B85F1F" w:rsidRDefault="00B85F1F" w:rsidP="00B85F1F">
      <w:pPr>
        <w:rPr>
          <w:lang w:eastAsia="bg-BG"/>
        </w:rPr>
      </w:pPr>
    </w:p>
    <w:p w14:paraId="6B5F353A" w14:textId="62C3091D" w:rsidR="00B85F1F" w:rsidRPr="00B85F1F" w:rsidRDefault="00B85F1F" w:rsidP="00B85F1F">
      <w:pPr>
        <w:rPr>
          <w:sz w:val="24"/>
          <w:szCs w:val="24"/>
        </w:rPr>
      </w:pPr>
      <w:r w:rsidRPr="00B85F1F">
        <w:rPr>
          <w:lang w:eastAsia="bg-BG"/>
        </w:rPr>
        <w:t xml:space="preserve">Сериозни кожни реакции (например токсична епидермална </w:t>
      </w:r>
      <w:proofErr w:type="spellStart"/>
      <w:r w:rsidRPr="00B85F1F">
        <w:rPr>
          <w:lang w:eastAsia="bg-BG"/>
        </w:rPr>
        <w:t>некролиза</w:t>
      </w:r>
      <w:proofErr w:type="spellEnd"/>
      <w:r w:rsidRPr="00B85F1F">
        <w:rPr>
          <w:lang w:eastAsia="bg-BG"/>
        </w:rPr>
        <w:t xml:space="preserve"> и синдром на </w:t>
      </w:r>
      <w:r w:rsidRPr="00B85F1F">
        <w:rPr>
          <w:lang w:val="en-US"/>
        </w:rPr>
        <w:t xml:space="preserve">Stevens- Johnson) </w:t>
      </w:r>
      <w:r w:rsidRPr="00B85F1F">
        <w:rPr>
          <w:lang w:eastAsia="bg-BG"/>
        </w:rPr>
        <w:t xml:space="preserve">са били докладвани при пациенти, приемащи </w:t>
      </w:r>
      <w:proofErr w:type="spellStart"/>
      <w:r w:rsidRPr="00B85F1F">
        <w:rPr>
          <w:lang w:eastAsia="bg-BG"/>
        </w:rPr>
        <w:t>Дактарин</w:t>
      </w:r>
      <w:proofErr w:type="spellEnd"/>
      <w:r w:rsidRPr="00B85F1F">
        <w:rPr>
          <w:lang w:eastAsia="bg-BG"/>
        </w:rPr>
        <w:t xml:space="preserve"> перорален гел (вижте точка 4.8 Нежелани лекарствени реакции). Препоръчва се пациентите да бъдат информирани за признаците на сериозни кожни реакции, както и че приложението на </w:t>
      </w:r>
      <w:proofErr w:type="spellStart"/>
      <w:r w:rsidRPr="00B85F1F">
        <w:rPr>
          <w:lang w:eastAsia="bg-BG"/>
        </w:rPr>
        <w:t>Дактарин</w:t>
      </w:r>
      <w:proofErr w:type="spellEnd"/>
      <w:r w:rsidRPr="00B85F1F">
        <w:rPr>
          <w:lang w:eastAsia="bg-BG"/>
        </w:rPr>
        <w:t xml:space="preserve"> перорален гел трябва да бъде спряно при първа поява на кожен обрив.</w:t>
      </w:r>
    </w:p>
    <w:p w14:paraId="689622D4" w14:textId="77777777" w:rsidR="00B85F1F" w:rsidRDefault="00B85F1F" w:rsidP="00B85F1F">
      <w:pPr>
        <w:rPr>
          <w:lang w:eastAsia="bg-BG"/>
        </w:rPr>
      </w:pPr>
    </w:p>
    <w:p w14:paraId="3E89D460" w14:textId="2D2B1374" w:rsidR="00B85F1F" w:rsidRPr="00B85F1F" w:rsidRDefault="00B85F1F" w:rsidP="00B85F1F">
      <w:pPr>
        <w:rPr>
          <w:sz w:val="24"/>
          <w:szCs w:val="24"/>
        </w:rPr>
      </w:pPr>
      <w:r w:rsidRPr="00B85F1F">
        <w:rPr>
          <w:lang w:eastAsia="bg-BG"/>
        </w:rPr>
        <w:t xml:space="preserve">Това лекарство съдържа 7,73 </w:t>
      </w:r>
      <w:r w:rsidRPr="00B85F1F">
        <w:rPr>
          <w:lang w:val="en-US"/>
        </w:rPr>
        <w:t xml:space="preserve">mg </w:t>
      </w:r>
      <w:r w:rsidRPr="00B85F1F">
        <w:rPr>
          <w:lang w:eastAsia="bg-BG"/>
        </w:rPr>
        <w:t xml:space="preserve">алкохол (етанол) на 1000 </w:t>
      </w:r>
      <w:r w:rsidRPr="00B85F1F">
        <w:rPr>
          <w:lang w:val="en-US"/>
        </w:rPr>
        <w:t xml:space="preserve">mg, </w:t>
      </w:r>
      <w:r w:rsidRPr="00B85F1F">
        <w:rPr>
          <w:lang w:eastAsia="bg-BG"/>
        </w:rPr>
        <w:t xml:space="preserve">което е равно на 0,00773 </w:t>
      </w:r>
      <w:r w:rsidRPr="00B85F1F">
        <w:rPr>
          <w:lang w:val="en-US"/>
        </w:rPr>
        <w:t xml:space="preserve">mg/mg </w:t>
      </w:r>
      <w:r w:rsidRPr="00B85F1F">
        <w:rPr>
          <w:lang w:eastAsia="bg-BG"/>
        </w:rPr>
        <w:t xml:space="preserve">(0,773 % </w:t>
      </w:r>
      <w:r w:rsidRPr="00B85F1F">
        <w:rPr>
          <w:lang w:val="en-US"/>
        </w:rPr>
        <w:t xml:space="preserve">w/w). </w:t>
      </w:r>
      <w:r w:rsidRPr="00B85F1F">
        <w:rPr>
          <w:lang w:eastAsia="bg-BG"/>
        </w:rPr>
        <w:t xml:space="preserve">Количеството в 1000 </w:t>
      </w:r>
      <w:r w:rsidRPr="00B85F1F">
        <w:rPr>
          <w:lang w:val="en-US"/>
        </w:rPr>
        <w:t xml:space="preserve">mg </w:t>
      </w:r>
      <w:r w:rsidRPr="00B85F1F">
        <w:rPr>
          <w:lang w:eastAsia="bg-BG"/>
        </w:rPr>
        <w:t xml:space="preserve">е еквивалентно на по-малко от 1 </w:t>
      </w:r>
      <w:r w:rsidRPr="00B85F1F">
        <w:rPr>
          <w:lang w:val="en-US"/>
        </w:rPr>
        <w:t xml:space="preserve">ml </w:t>
      </w:r>
      <w:r w:rsidRPr="00B85F1F">
        <w:rPr>
          <w:lang w:eastAsia="bg-BG"/>
        </w:rPr>
        <w:t xml:space="preserve">бира </w:t>
      </w:r>
      <w:r w:rsidRPr="00B85F1F">
        <w:rPr>
          <w:lang w:eastAsia="bg-BG"/>
        </w:rPr>
        <w:lastRenderedPageBreak/>
        <w:t xml:space="preserve">или 1 </w:t>
      </w:r>
      <w:r w:rsidRPr="00B85F1F">
        <w:rPr>
          <w:lang w:val="en-US"/>
        </w:rPr>
        <w:t xml:space="preserve">ml </w:t>
      </w:r>
      <w:r w:rsidRPr="00B85F1F">
        <w:rPr>
          <w:lang w:eastAsia="bg-BG"/>
        </w:rPr>
        <w:t>вино. Малкото количество алкохол в това лекарство няма да има забележими ефекти.</w:t>
      </w:r>
    </w:p>
    <w:p w14:paraId="2B2E6024" w14:textId="77777777" w:rsidR="00B85F1F" w:rsidRDefault="00B85F1F" w:rsidP="00B85F1F">
      <w:pPr>
        <w:rPr>
          <w:lang w:eastAsia="bg-BG"/>
        </w:rPr>
      </w:pPr>
    </w:p>
    <w:p w14:paraId="0E82DB0A" w14:textId="4D505E19" w:rsidR="00B85F1F" w:rsidRDefault="00B85F1F" w:rsidP="00B85F1F">
      <w:pPr>
        <w:rPr>
          <w:lang w:eastAsia="bg-BG"/>
        </w:rPr>
      </w:pPr>
      <w:r w:rsidRPr="00B85F1F">
        <w:rPr>
          <w:lang w:eastAsia="bg-BG"/>
        </w:rPr>
        <w:t xml:space="preserve">Това лекарство съдържа по-малко от 1 </w:t>
      </w:r>
      <w:r w:rsidRPr="00B85F1F">
        <w:rPr>
          <w:lang w:val="en-US"/>
        </w:rPr>
        <w:t xml:space="preserve">mmol </w:t>
      </w:r>
      <w:r w:rsidRPr="00B85F1F">
        <w:rPr>
          <w:lang w:eastAsia="bg-BG"/>
        </w:rPr>
        <w:t xml:space="preserve">(23 </w:t>
      </w:r>
      <w:r w:rsidRPr="00B85F1F">
        <w:rPr>
          <w:lang w:val="en-US"/>
        </w:rPr>
        <w:t xml:space="preserve">mg) </w:t>
      </w:r>
      <w:r w:rsidRPr="00B85F1F">
        <w:rPr>
          <w:lang w:eastAsia="bg-BG"/>
        </w:rPr>
        <w:t xml:space="preserve">натрий на грам </w:t>
      </w:r>
      <w:r w:rsidRPr="00B85F1F">
        <w:rPr>
          <w:lang w:val="en-US"/>
        </w:rPr>
        <w:t xml:space="preserve">(g), </w:t>
      </w:r>
      <w:r w:rsidRPr="00B85F1F">
        <w:rPr>
          <w:lang w:eastAsia="bg-BG"/>
        </w:rPr>
        <w:t>т.е. по същество е „без натрий“.</w:t>
      </w:r>
    </w:p>
    <w:p w14:paraId="1F36B316" w14:textId="77777777" w:rsidR="00B85F1F" w:rsidRPr="00B85F1F" w:rsidRDefault="00B85F1F" w:rsidP="00B85F1F"/>
    <w:p w14:paraId="5D37E947" w14:textId="108109D8" w:rsidR="00C809A7" w:rsidRDefault="002C50EE" w:rsidP="00AA23EC">
      <w:pPr>
        <w:pStyle w:val="Heading2"/>
      </w:pPr>
      <w:r>
        <w:t>4.5. Взаимодействие с други лекарствени продукти и други форми на взаимодействие</w:t>
      </w:r>
    </w:p>
    <w:p w14:paraId="0832239C" w14:textId="77777777" w:rsidR="00B85F1F" w:rsidRPr="00B85F1F" w:rsidRDefault="00B85F1F" w:rsidP="00B85F1F">
      <w:pPr>
        <w:rPr>
          <w:sz w:val="24"/>
          <w:szCs w:val="24"/>
        </w:rPr>
      </w:pPr>
      <w:r w:rsidRPr="00B85F1F">
        <w:rPr>
          <w:lang w:eastAsia="bg-BG"/>
        </w:rPr>
        <w:t xml:space="preserve">Когато се употребява каквото и да е съпътстващо лекарство, трябва да се направи консултация с неговата КХП за пътя на неговия метаболизъм. </w:t>
      </w:r>
      <w:proofErr w:type="spellStart"/>
      <w:r w:rsidRPr="00B85F1F">
        <w:rPr>
          <w:lang w:eastAsia="bg-BG"/>
        </w:rPr>
        <w:t>Миконазол</w:t>
      </w:r>
      <w:proofErr w:type="spellEnd"/>
      <w:r w:rsidRPr="00B85F1F">
        <w:rPr>
          <w:lang w:eastAsia="bg-BG"/>
        </w:rPr>
        <w:t xml:space="preserve"> може да инхибира метаболизма на лекарства, които се </w:t>
      </w:r>
      <w:proofErr w:type="spellStart"/>
      <w:r w:rsidRPr="00B85F1F">
        <w:rPr>
          <w:lang w:eastAsia="bg-BG"/>
        </w:rPr>
        <w:t>метаболизират</w:t>
      </w:r>
      <w:proofErr w:type="spellEnd"/>
      <w:r w:rsidRPr="00B85F1F">
        <w:rPr>
          <w:lang w:eastAsia="bg-BG"/>
        </w:rPr>
        <w:t xml:space="preserve"> от </w:t>
      </w:r>
      <w:r w:rsidRPr="00B85F1F">
        <w:rPr>
          <w:lang w:val="en-US"/>
        </w:rPr>
        <w:t xml:space="preserve">CYP3A4 </w:t>
      </w:r>
      <w:r w:rsidRPr="00B85F1F">
        <w:rPr>
          <w:lang w:eastAsia="bg-BG"/>
        </w:rPr>
        <w:t xml:space="preserve">и </w:t>
      </w:r>
      <w:r w:rsidRPr="00B85F1F">
        <w:rPr>
          <w:lang w:val="en-US"/>
        </w:rPr>
        <w:t xml:space="preserve">CYP2C9 </w:t>
      </w:r>
      <w:r w:rsidRPr="00B85F1F">
        <w:rPr>
          <w:lang w:eastAsia="bg-BG"/>
        </w:rPr>
        <w:t>ензимна система. Това може да доведе до засилен и/или удължен ефект на тези лекарства, включително нежелани реакции.</w:t>
      </w:r>
    </w:p>
    <w:p w14:paraId="64A03667" w14:textId="77777777" w:rsidR="00B85F1F" w:rsidRDefault="00B85F1F" w:rsidP="00B85F1F">
      <w:pPr>
        <w:rPr>
          <w:lang w:eastAsia="bg-BG"/>
        </w:rPr>
      </w:pPr>
    </w:p>
    <w:p w14:paraId="068CCAED" w14:textId="715F006C" w:rsidR="00B85F1F" w:rsidRPr="00B85F1F" w:rsidRDefault="00B85F1F" w:rsidP="00B85F1F">
      <w:pPr>
        <w:rPr>
          <w:sz w:val="24"/>
          <w:szCs w:val="24"/>
        </w:rPr>
      </w:pPr>
      <w:r w:rsidRPr="00B85F1F">
        <w:rPr>
          <w:lang w:eastAsia="bg-BG"/>
        </w:rPr>
        <w:t xml:space="preserve">Пероралният </w:t>
      </w:r>
      <w:proofErr w:type="spellStart"/>
      <w:r w:rsidRPr="00B85F1F">
        <w:rPr>
          <w:lang w:eastAsia="bg-BG"/>
        </w:rPr>
        <w:t>миконазол</w:t>
      </w:r>
      <w:proofErr w:type="spellEnd"/>
      <w:r w:rsidRPr="00B85F1F">
        <w:rPr>
          <w:lang w:eastAsia="bg-BG"/>
        </w:rPr>
        <w:t xml:space="preserve"> е противопоказан за съвместна употреба със следните лекарства, които се </w:t>
      </w:r>
      <w:proofErr w:type="spellStart"/>
      <w:r w:rsidRPr="00B85F1F">
        <w:rPr>
          <w:lang w:eastAsia="bg-BG"/>
        </w:rPr>
        <w:t>метаболизират</w:t>
      </w:r>
      <w:proofErr w:type="spellEnd"/>
      <w:r w:rsidRPr="00B85F1F">
        <w:rPr>
          <w:lang w:eastAsia="bg-BG"/>
        </w:rPr>
        <w:t xml:space="preserve"> от </w:t>
      </w:r>
      <w:r w:rsidRPr="00B85F1F">
        <w:rPr>
          <w:lang w:val="en-US"/>
        </w:rPr>
        <w:t xml:space="preserve">CYP3A4 </w:t>
      </w:r>
      <w:r w:rsidRPr="00B85F1F">
        <w:rPr>
          <w:lang w:eastAsia="bg-BG"/>
        </w:rPr>
        <w:t>(вижте точка 4.3 Противопоказания):</w:t>
      </w:r>
    </w:p>
    <w:p w14:paraId="6251A2DD" w14:textId="77777777" w:rsidR="00B85F1F" w:rsidRPr="00B85F1F" w:rsidRDefault="00B85F1F" w:rsidP="00B85F1F">
      <w:pPr>
        <w:rPr>
          <w:lang w:eastAsia="bg-BG"/>
        </w:rPr>
      </w:pPr>
      <w:r w:rsidRPr="00B85F1F">
        <w:rPr>
          <w:lang w:eastAsia="bg-BG"/>
        </w:rPr>
        <w:t xml:space="preserve">субстрати, известни с удължаване на </w:t>
      </w:r>
      <w:r w:rsidRPr="00B85F1F">
        <w:rPr>
          <w:lang w:val="en-US"/>
        </w:rPr>
        <w:t>QT</w:t>
      </w:r>
      <w:r w:rsidRPr="00B85F1F">
        <w:rPr>
          <w:lang w:eastAsia="bg-BG"/>
        </w:rPr>
        <w:t xml:space="preserve">-интервала, каквито са например </w:t>
      </w:r>
      <w:proofErr w:type="spellStart"/>
      <w:r w:rsidRPr="00B85F1F">
        <w:rPr>
          <w:lang w:eastAsia="bg-BG"/>
        </w:rPr>
        <w:t>астемизол</w:t>
      </w:r>
      <w:proofErr w:type="spellEnd"/>
      <w:r w:rsidRPr="00B85F1F">
        <w:rPr>
          <w:lang w:eastAsia="bg-BG"/>
        </w:rPr>
        <w:t xml:space="preserve">, </w:t>
      </w:r>
      <w:proofErr w:type="spellStart"/>
      <w:r w:rsidRPr="00B85F1F">
        <w:rPr>
          <w:lang w:eastAsia="bg-BG"/>
        </w:rPr>
        <w:t>бепридил</w:t>
      </w:r>
      <w:proofErr w:type="spellEnd"/>
      <w:r w:rsidRPr="00B85F1F">
        <w:rPr>
          <w:lang w:eastAsia="bg-BG"/>
        </w:rPr>
        <w:t xml:space="preserve">, </w:t>
      </w:r>
      <w:proofErr w:type="spellStart"/>
      <w:r w:rsidRPr="00B85F1F">
        <w:rPr>
          <w:lang w:eastAsia="bg-BG"/>
        </w:rPr>
        <w:t>цизаприд</w:t>
      </w:r>
      <w:proofErr w:type="spellEnd"/>
      <w:r w:rsidRPr="00B85F1F">
        <w:rPr>
          <w:lang w:eastAsia="bg-BG"/>
        </w:rPr>
        <w:t xml:space="preserve">, </w:t>
      </w:r>
      <w:proofErr w:type="spellStart"/>
      <w:r w:rsidRPr="00B85F1F">
        <w:rPr>
          <w:lang w:eastAsia="bg-BG"/>
        </w:rPr>
        <w:t>дофетилид</w:t>
      </w:r>
      <w:proofErr w:type="spellEnd"/>
      <w:r w:rsidRPr="00B85F1F">
        <w:rPr>
          <w:lang w:eastAsia="bg-BG"/>
        </w:rPr>
        <w:t xml:space="preserve">, </w:t>
      </w:r>
      <w:proofErr w:type="spellStart"/>
      <w:r w:rsidRPr="00B85F1F">
        <w:rPr>
          <w:lang w:eastAsia="bg-BG"/>
        </w:rPr>
        <w:t>халофантрин</w:t>
      </w:r>
      <w:proofErr w:type="spellEnd"/>
      <w:r w:rsidRPr="00B85F1F">
        <w:rPr>
          <w:lang w:eastAsia="bg-BG"/>
        </w:rPr>
        <w:t xml:space="preserve">, </w:t>
      </w:r>
      <w:proofErr w:type="spellStart"/>
      <w:r w:rsidRPr="00B85F1F">
        <w:rPr>
          <w:lang w:eastAsia="bg-BG"/>
        </w:rPr>
        <w:t>мизоластин</w:t>
      </w:r>
      <w:proofErr w:type="spellEnd"/>
      <w:r w:rsidRPr="00B85F1F">
        <w:rPr>
          <w:lang w:eastAsia="bg-BG"/>
        </w:rPr>
        <w:t xml:space="preserve">, </w:t>
      </w:r>
      <w:proofErr w:type="spellStart"/>
      <w:r w:rsidRPr="00B85F1F">
        <w:rPr>
          <w:lang w:eastAsia="bg-BG"/>
        </w:rPr>
        <w:t>пимозид</w:t>
      </w:r>
      <w:proofErr w:type="spellEnd"/>
      <w:r w:rsidRPr="00B85F1F">
        <w:rPr>
          <w:lang w:eastAsia="bg-BG"/>
        </w:rPr>
        <w:t xml:space="preserve">, </w:t>
      </w:r>
      <w:proofErr w:type="spellStart"/>
      <w:r w:rsidRPr="00B85F1F">
        <w:rPr>
          <w:lang w:eastAsia="bg-BG"/>
        </w:rPr>
        <w:t>хинидин</w:t>
      </w:r>
      <w:proofErr w:type="spellEnd"/>
      <w:r w:rsidRPr="00B85F1F">
        <w:rPr>
          <w:lang w:eastAsia="bg-BG"/>
        </w:rPr>
        <w:t xml:space="preserve">, </w:t>
      </w:r>
      <w:proofErr w:type="spellStart"/>
      <w:r w:rsidRPr="00B85F1F">
        <w:rPr>
          <w:lang w:eastAsia="bg-BG"/>
        </w:rPr>
        <w:t>сертиндол</w:t>
      </w:r>
      <w:proofErr w:type="spellEnd"/>
      <w:r w:rsidRPr="00B85F1F">
        <w:rPr>
          <w:lang w:eastAsia="bg-BG"/>
        </w:rPr>
        <w:t xml:space="preserve"> и </w:t>
      </w:r>
      <w:proofErr w:type="spellStart"/>
      <w:r w:rsidRPr="00B85F1F">
        <w:rPr>
          <w:lang w:eastAsia="bg-BG"/>
        </w:rPr>
        <w:t>терфенадин</w:t>
      </w:r>
      <w:proofErr w:type="spellEnd"/>
      <w:r w:rsidRPr="00B85F1F">
        <w:rPr>
          <w:lang w:eastAsia="bg-BG"/>
        </w:rPr>
        <w:t>;</w:t>
      </w:r>
    </w:p>
    <w:p w14:paraId="70E1DE09" w14:textId="09A7F8C7" w:rsidR="00B85F1F" w:rsidRPr="00B85F1F" w:rsidRDefault="00B85F1F" w:rsidP="00B85F1F">
      <w:pPr>
        <w:pStyle w:val="ListParagraph"/>
        <w:numPr>
          <w:ilvl w:val="0"/>
          <w:numId w:val="25"/>
        </w:numPr>
        <w:rPr>
          <w:sz w:val="24"/>
          <w:szCs w:val="24"/>
        </w:rPr>
      </w:pPr>
      <w:proofErr w:type="spellStart"/>
      <w:r w:rsidRPr="00B85F1F">
        <w:rPr>
          <w:lang w:eastAsia="bg-BG"/>
        </w:rPr>
        <w:t>ергоалкалоиди</w:t>
      </w:r>
      <w:proofErr w:type="spellEnd"/>
      <w:r w:rsidRPr="00B85F1F">
        <w:rPr>
          <w:lang w:eastAsia="bg-BG"/>
        </w:rPr>
        <w:t>;</w:t>
      </w:r>
    </w:p>
    <w:p w14:paraId="240FF2BC" w14:textId="764B9022" w:rsidR="00B85F1F" w:rsidRPr="00B85F1F" w:rsidRDefault="00B85F1F" w:rsidP="00B85F1F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B85F1F">
        <w:rPr>
          <w:lang w:val="en-US"/>
        </w:rPr>
        <w:t xml:space="preserve">HMG-CoA </w:t>
      </w:r>
      <w:proofErr w:type="spellStart"/>
      <w:r w:rsidRPr="00B85F1F">
        <w:rPr>
          <w:lang w:eastAsia="bg-BG"/>
        </w:rPr>
        <w:t>редуктазни</w:t>
      </w:r>
      <w:proofErr w:type="spellEnd"/>
      <w:r w:rsidRPr="00B85F1F">
        <w:rPr>
          <w:lang w:eastAsia="bg-BG"/>
        </w:rPr>
        <w:t xml:space="preserve"> инхибитори, каквито са </w:t>
      </w:r>
      <w:proofErr w:type="spellStart"/>
      <w:r w:rsidRPr="00B85F1F">
        <w:rPr>
          <w:lang w:eastAsia="bg-BG"/>
        </w:rPr>
        <w:t>симвастатин</w:t>
      </w:r>
      <w:proofErr w:type="spellEnd"/>
      <w:r w:rsidRPr="00B85F1F">
        <w:rPr>
          <w:lang w:eastAsia="bg-BG"/>
        </w:rPr>
        <w:t xml:space="preserve"> и </w:t>
      </w:r>
      <w:proofErr w:type="spellStart"/>
      <w:proofErr w:type="gramStart"/>
      <w:r w:rsidRPr="00B85F1F">
        <w:rPr>
          <w:lang w:eastAsia="bg-BG"/>
        </w:rPr>
        <w:t>ловастатин</w:t>
      </w:r>
      <w:proofErr w:type="spellEnd"/>
      <w:r w:rsidRPr="00B85F1F">
        <w:rPr>
          <w:lang w:eastAsia="bg-BG"/>
        </w:rPr>
        <w:t>;</w:t>
      </w:r>
      <w:proofErr w:type="gramEnd"/>
    </w:p>
    <w:p w14:paraId="12DFECB1" w14:textId="09E34BB1" w:rsidR="00B85F1F" w:rsidRPr="00B85F1F" w:rsidRDefault="00B85F1F" w:rsidP="00B85F1F">
      <w:pPr>
        <w:pStyle w:val="ListParagraph"/>
        <w:numPr>
          <w:ilvl w:val="0"/>
          <w:numId w:val="25"/>
        </w:numPr>
        <w:rPr>
          <w:sz w:val="24"/>
          <w:szCs w:val="24"/>
        </w:rPr>
      </w:pPr>
      <w:proofErr w:type="spellStart"/>
      <w:r w:rsidRPr="00B85F1F">
        <w:rPr>
          <w:lang w:eastAsia="bg-BG"/>
        </w:rPr>
        <w:t>триазолам</w:t>
      </w:r>
      <w:proofErr w:type="spellEnd"/>
      <w:r w:rsidRPr="00B85F1F">
        <w:rPr>
          <w:lang w:eastAsia="bg-BG"/>
        </w:rPr>
        <w:t xml:space="preserve"> и перорален мидазолам</w:t>
      </w:r>
    </w:p>
    <w:p w14:paraId="0A08559D" w14:textId="77777777" w:rsidR="00B85F1F" w:rsidRPr="00B85F1F" w:rsidRDefault="00B85F1F" w:rsidP="00B85F1F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B85F1F">
        <w:rPr>
          <w:lang w:eastAsia="bg-BG"/>
        </w:rPr>
        <w:t xml:space="preserve">Прилагането на </w:t>
      </w:r>
      <w:proofErr w:type="spellStart"/>
      <w:r w:rsidRPr="00B85F1F">
        <w:rPr>
          <w:lang w:eastAsia="bg-BG"/>
        </w:rPr>
        <w:t>миконазол</w:t>
      </w:r>
      <w:proofErr w:type="spellEnd"/>
      <w:r w:rsidRPr="00B85F1F">
        <w:rPr>
          <w:lang w:eastAsia="bg-BG"/>
        </w:rPr>
        <w:t xml:space="preserve"> перорален гел в комбинация със следното лекарство, което се </w:t>
      </w:r>
      <w:proofErr w:type="spellStart"/>
      <w:r w:rsidRPr="00B85F1F">
        <w:rPr>
          <w:lang w:eastAsia="bg-BG"/>
        </w:rPr>
        <w:t>метаболизира</w:t>
      </w:r>
      <w:proofErr w:type="spellEnd"/>
      <w:r w:rsidRPr="00B85F1F">
        <w:rPr>
          <w:lang w:eastAsia="bg-BG"/>
        </w:rPr>
        <w:t xml:space="preserve"> чрез </w:t>
      </w:r>
      <w:r w:rsidRPr="00B85F1F">
        <w:rPr>
          <w:lang w:val="en-US"/>
        </w:rPr>
        <w:t xml:space="preserve">CYP2C9 </w:t>
      </w:r>
      <w:r w:rsidRPr="00B85F1F">
        <w:rPr>
          <w:lang w:eastAsia="bg-BG"/>
        </w:rPr>
        <w:t>(вижте т. 4.3 Противопоказания):</w:t>
      </w:r>
    </w:p>
    <w:p w14:paraId="41635572" w14:textId="7CC927F2" w:rsidR="00B85F1F" w:rsidRPr="00B85F1F" w:rsidRDefault="00B85F1F" w:rsidP="00B85F1F">
      <w:pPr>
        <w:pStyle w:val="ListParagraph"/>
        <w:rPr>
          <w:sz w:val="24"/>
          <w:szCs w:val="24"/>
        </w:rPr>
      </w:pPr>
      <w:proofErr w:type="spellStart"/>
      <w:r w:rsidRPr="00B85F1F">
        <w:rPr>
          <w:lang w:eastAsia="bg-BG"/>
        </w:rPr>
        <w:t>В</w:t>
      </w:r>
      <w:r w:rsidRPr="00B85F1F">
        <w:rPr>
          <w:lang w:eastAsia="bg-BG"/>
        </w:rPr>
        <w:t>арфарин</w:t>
      </w:r>
      <w:proofErr w:type="spellEnd"/>
    </w:p>
    <w:p w14:paraId="3EC3F3A5" w14:textId="005141ED" w:rsidR="00B85F1F" w:rsidRDefault="00B85F1F" w:rsidP="00B85F1F">
      <w:pPr>
        <w:rPr>
          <w:lang w:eastAsia="bg-BG"/>
        </w:rPr>
      </w:pPr>
    </w:p>
    <w:p w14:paraId="31426CCC" w14:textId="77777777" w:rsidR="00B85F1F" w:rsidRPr="00B85F1F" w:rsidRDefault="00B85F1F" w:rsidP="00B85F1F">
      <w:pPr>
        <w:rPr>
          <w:sz w:val="24"/>
          <w:szCs w:val="24"/>
        </w:rPr>
      </w:pPr>
      <w:r w:rsidRPr="00B85F1F">
        <w:rPr>
          <w:lang w:eastAsia="bg-BG"/>
        </w:rPr>
        <w:t xml:space="preserve">Следните лекарства, приемани едновременно с перорален </w:t>
      </w:r>
      <w:proofErr w:type="spellStart"/>
      <w:r w:rsidRPr="00B85F1F">
        <w:rPr>
          <w:lang w:eastAsia="bg-BG"/>
        </w:rPr>
        <w:t>миконазол</w:t>
      </w:r>
      <w:proofErr w:type="spellEnd"/>
      <w:r w:rsidRPr="00B85F1F">
        <w:rPr>
          <w:lang w:eastAsia="bg-BG"/>
        </w:rPr>
        <w:t xml:space="preserve">, трябва да се прилагат с внимание поради възможно усилване или удължаване на терапевтичния им ефект и/или нежеланите ефекти. При необходимост дозировката им трябва да бъде намалена и когато е възможно, да се </w:t>
      </w:r>
      <w:proofErr w:type="spellStart"/>
      <w:r w:rsidRPr="00B85F1F">
        <w:rPr>
          <w:lang w:eastAsia="bg-BG"/>
        </w:rPr>
        <w:t>мониторират</w:t>
      </w:r>
      <w:proofErr w:type="spellEnd"/>
      <w:r w:rsidRPr="00B85F1F">
        <w:rPr>
          <w:lang w:eastAsia="bg-BG"/>
        </w:rPr>
        <w:t xml:space="preserve"> техните плазмени нива:</w:t>
      </w:r>
    </w:p>
    <w:p w14:paraId="2889FF32" w14:textId="77777777" w:rsidR="00B85F1F" w:rsidRDefault="00B85F1F" w:rsidP="00B85F1F">
      <w:pPr>
        <w:rPr>
          <w:lang w:eastAsia="bg-BG"/>
        </w:rPr>
      </w:pPr>
    </w:p>
    <w:p w14:paraId="487792A8" w14:textId="77777777" w:rsidR="00B85F1F" w:rsidRDefault="00B85F1F" w:rsidP="00B85F1F">
      <w:pPr>
        <w:pStyle w:val="ListParagraph"/>
        <w:numPr>
          <w:ilvl w:val="0"/>
          <w:numId w:val="26"/>
        </w:numPr>
        <w:rPr>
          <w:lang w:eastAsia="bg-BG"/>
        </w:rPr>
      </w:pPr>
      <w:r w:rsidRPr="00B85F1F">
        <w:rPr>
          <w:lang w:eastAsia="bg-BG"/>
        </w:rPr>
        <w:t xml:space="preserve">Лекарства, които се </w:t>
      </w:r>
      <w:proofErr w:type="spellStart"/>
      <w:r w:rsidRPr="00B85F1F">
        <w:rPr>
          <w:lang w:eastAsia="bg-BG"/>
        </w:rPr>
        <w:t>метаболизират</w:t>
      </w:r>
      <w:proofErr w:type="spellEnd"/>
      <w:r w:rsidRPr="00B85F1F">
        <w:rPr>
          <w:lang w:eastAsia="bg-BG"/>
        </w:rPr>
        <w:t xml:space="preserve"> от </w:t>
      </w:r>
      <w:r w:rsidRPr="00B85F1F">
        <w:rPr>
          <w:lang w:val="en-US"/>
        </w:rPr>
        <w:t xml:space="preserve">CYP3 </w:t>
      </w:r>
      <w:r w:rsidRPr="00B85F1F">
        <w:rPr>
          <w:lang w:eastAsia="bg-BG"/>
        </w:rPr>
        <w:t xml:space="preserve">С9 (вижте точка 4.4): </w:t>
      </w:r>
    </w:p>
    <w:p w14:paraId="5C549417" w14:textId="6FBDDB86" w:rsidR="00B85F1F" w:rsidRPr="00B85F1F" w:rsidRDefault="00B85F1F" w:rsidP="00B85F1F">
      <w:pPr>
        <w:pStyle w:val="ListParagraph"/>
        <w:numPr>
          <w:ilvl w:val="0"/>
          <w:numId w:val="25"/>
        </w:numPr>
        <w:rPr>
          <w:lang w:eastAsia="bg-BG"/>
        </w:rPr>
      </w:pPr>
      <w:r w:rsidRPr="00B85F1F">
        <w:rPr>
          <w:lang w:eastAsia="bg-BG"/>
        </w:rPr>
        <w:t xml:space="preserve">перорални антикоагуланти, какъвто е </w:t>
      </w:r>
      <w:proofErr w:type="spellStart"/>
      <w:r w:rsidRPr="00B85F1F">
        <w:rPr>
          <w:lang w:eastAsia="bg-BG"/>
        </w:rPr>
        <w:t>варфарин</w:t>
      </w:r>
      <w:proofErr w:type="spellEnd"/>
      <w:r w:rsidRPr="00B85F1F">
        <w:rPr>
          <w:lang w:eastAsia="bg-BG"/>
        </w:rPr>
        <w:t>;</w:t>
      </w:r>
    </w:p>
    <w:p w14:paraId="33C22939" w14:textId="6BF690CC" w:rsidR="00B85F1F" w:rsidRPr="00B85F1F" w:rsidRDefault="00B85F1F" w:rsidP="00B85F1F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B85F1F">
        <w:rPr>
          <w:lang w:eastAsia="bg-BG"/>
        </w:rPr>
        <w:t xml:space="preserve">перорални лекарства, понижаващи нивото на кръвната захар, каквито са </w:t>
      </w:r>
      <w:proofErr w:type="spellStart"/>
      <w:r w:rsidRPr="00B85F1F">
        <w:rPr>
          <w:lang w:eastAsia="bg-BG"/>
        </w:rPr>
        <w:t>сулфонилурейните</w:t>
      </w:r>
      <w:proofErr w:type="spellEnd"/>
      <w:r w:rsidRPr="00B85F1F">
        <w:rPr>
          <w:lang w:eastAsia="bg-BG"/>
        </w:rPr>
        <w:t xml:space="preserve"> препарати;</w:t>
      </w:r>
    </w:p>
    <w:p w14:paraId="3AB434A4" w14:textId="767FDE51" w:rsidR="00B85F1F" w:rsidRPr="00B85F1F" w:rsidRDefault="00B85F1F" w:rsidP="00B85F1F">
      <w:pPr>
        <w:pStyle w:val="ListParagraph"/>
        <w:numPr>
          <w:ilvl w:val="0"/>
          <w:numId w:val="25"/>
        </w:numPr>
        <w:rPr>
          <w:sz w:val="24"/>
          <w:szCs w:val="24"/>
        </w:rPr>
      </w:pPr>
      <w:proofErr w:type="spellStart"/>
      <w:r w:rsidRPr="00B85F1F">
        <w:rPr>
          <w:lang w:eastAsia="bg-BG"/>
        </w:rPr>
        <w:t>фенитоин</w:t>
      </w:r>
      <w:proofErr w:type="spellEnd"/>
      <w:r w:rsidRPr="00B85F1F">
        <w:rPr>
          <w:lang w:eastAsia="bg-BG"/>
        </w:rPr>
        <w:t>.</w:t>
      </w:r>
    </w:p>
    <w:p w14:paraId="66427B4A" w14:textId="77777777" w:rsidR="00B85F1F" w:rsidRDefault="00B85F1F" w:rsidP="00B85F1F">
      <w:pPr>
        <w:rPr>
          <w:lang w:eastAsia="bg-BG"/>
        </w:rPr>
      </w:pPr>
    </w:p>
    <w:p w14:paraId="2E54559D" w14:textId="04C720D0" w:rsidR="00B85F1F" w:rsidRPr="00B85F1F" w:rsidRDefault="00B85F1F" w:rsidP="00B85F1F">
      <w:pPr>
        <w:pStyle w:val="ListParagraph"/>
        <w:numPr>
          <w:ilvl w:val="0"/>
          <w:numId w:val="26"/>
        </w:numPr>
        <w:rPr>
          <w:lang w:eastAsia="bg-BG"/>
        </w:rPr>
      </w:pPr>
      <w:r w:rsidRPr="00B85F1F">
        <w:rPr>
          <w:lang w:eastAsia="bg-BG"/>
        </w:rPr>
        <w:t xml:space="preserve">Други лекарства, които се </w:t>
      </w:r>
      <w:proofErr w:type="spellStart"/>
      <w:r w:rsidRPr="00B85F1F">
        <w:rPr>
          <w:lang w:eastAsia="bg-BG"/>
        </w:rPr>
        <w:t>метаболизират</w:t>
      </w:r>
      <w:proofErr w:type="spellEnd"/>
      <w:r w:rsidRPr="00B85F1F">
        <w:rPr>
          <w:lang w:eastAsia="bg-BG"/>
        </w:rPr>
        <w:t xml:space="preserve"> от </w:t>
      </w:r>
      <w:r w:rsidRPr="00B85F1F">
        <w:rPr>
          <w:lang w:val="en-US"/>
        </w:rPr>
        <w:t>CYP3A4;</w:t>
      </w:r>
    </w:p>
    <w:p w14:paraId="7465404C" w14:textId="42E017DF" w:rsidR="00B85F1F" w:rsidRPr="00B85F1F" w:rsidRDefault="00B85F1F" w:rsidP="00B85F1F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B85F1F">
        <w:rPr>
          <w:lang w:val="en-US"/>
        </w:rPr>
        <w:t xml:space="preserve">HIV </w:t>
      </w:r>
      <w:proofErr w:type="spellStart"/>
      <w:r w:rsidRPr="00B85F1F">
        <w:rPr>
          <w:lang w:eastAsia="bg-BG"/>
        </w:rPr>
        <w:t>протсазнн</w:t>
      </w:r>
      <w:proofErr w:type="spellEnd"/>
      <w:r w:rsidRPr="00B85F1F">
        <w:rPr>
          <w:lang w:eastAsia="bg-BG"/>
        </w:rPr>
        <w:t xml:space="preserve"> инхибитори като </w:t>
      </w:r>
      <w:proofErr w:type="spellStart"/>
      <w:proofErr w:type="gramStart"/>
      <w:r w:rsidRPr="00B85F1F">
        <w:rPr>
          <w:lang w:eastAsia="bg-BG"/>
        </w:rPr>
        <w:t>саквинавир</w:t>
      </w:r>
      <w:proofErr w:type="spellEnd"/>
      <w:r w:rsidRPr="00B85F1F">
        <w:rPr>
          <w:lang w:eastAsia="bg-BG"/>
        </w:rPr>
        <w:t>;</w:t>
      </w:r>
      <w:proofErr w:type="gramEnd"/>
    </w:p>
    <w:p w14:paraId="6B60A2C3" w14:textId="0F0A7175" w:rsidR="00B85F1F" w:rsidRPr="00B85F1F" w:rsidRDefault="00B85F1F" w:rsidP="00B85F1F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B85F1F">
        <w:rPr>
          <w:lang w:eastAsia="bg-BG"/>
        </w:rPr>
        <w:t xml:space="preserve">Някои </w:t>
      </w:r>
      <w:proofErr w:type="spellStart"/>
      <w:r w:rsidRPr="00B85F1F">
        <w:rPr>
          <w:lang w:eastAsia="bg-BG"/>
        </w:rPr>
        <w:t>антинеопластични</w:t>
      </w:r>
      <w:proofErr w:type="spellEnd"/>
      <w:r w:rsidRPr="00B85F1F">
        <w:rPr>
          <w:lang w:eastAsia="bg-BG"/>
        </w:rPr>
        <w:t xml:space="preserve"> агенти като </w:t>
      </w:r>
      <w:proofErr w:type="spellStart"/>
      <w:r w:rsidRPr="00B85F1F">
        <w:rPr>
          <w:lang w:eastAsia="bg-BG"/>
        </w:rPr>
        <w:t>винка</w:t>
      </w:r>
      <w:proofErr w:type="spellEnd"/>
      <w:r w:rsidRPr="00B85F1F">
        <w:rPr>
          <w:lang w:eastAsia="bg-BG"/>
        </w:rPr>
        <w:t xml:space="preserve"> алкалоиди, </w:t>
      </w:r>
      <w:proofErr w:type="spellStart"/>
      <w:r w:rsidRPr="00B85F1F">
        <w:rPr>
          <w:lang w:eastAsia="bg-BG"/>
        </w:rPr>
        <w:t>бусулфан</w:t>
      </w:r>
      <w:proofErr w:type="spellEnd"/>
      <w:r w:rsidRPr="00B85F1F">
        <w:rPr>
          <w:lang w:eastAsia="bg-BG"/>
        </w:rPr>
        <w:t xml:space="preserve"> и </w:t>
      </w:r>
      <w:proofErr w:type="spellStart"/>
      <w:r w:rsidRPr="00B85F1F">
        <w:rPr>
          <w:lang w:eastAsia="bg-BG"/>
        </w:rPr>
        <w:t>доцетаксел</w:t>
      </w:r>
      <w:proofErr w:type="spellEnd"/>
      <w:r w:rsidRPr="00B85F1F">
        <w:rPr>
          <w:lang w:eastAsia="bg-BG"/>
        </w:rPr>
        <w:t>;</w:t>
      </w:r>
    </w:p>
    <w:p w14:paraId="7550F61E" w14:textId="7CA3648D" w:rsidR="00B85F1F" w:rsidRPr="00B85F1F" w:rsidRDefault="00B85F1F" w:rsidP="00B85F1F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B85F1F">
        <w:rPr>
          <w:lang w:eastAsia="bg-BG"/>
        </w:rPr>
        <w:t xml:space="preserve">Някои </w:t>
      </w:r>
      <w:proofErr w:type="spellStart"/>
      <w:r w:rsidRPr="00B85F1F">
        <w:rPr>
          <w:lang w:eastAsia="bg-BG"/>
        </w:rPr>
        <w:t>блокери</w:t>
      </w:r>
      <w:proofErr w:type="spellEnd"/>
      <w:r w:rsidRPr="00B85F1F">
        <w:rPr>
          <w:lang w:eastAsia="bg-BG"/>
        </w:rPr>
        <w:t xml:space="preserve"> на калциевите канали като </w:t>
      </w:r>
      <w:proofErr w:type="spellStart"/>
      <w:r w:rsidRPr="00B85F1F">
        <w:rPr>
          <w:lang w:eastAsia="bg-BG"/>
        </w:rPr>
        <w:t>дихидропиридини</w:t>
      </w:r>
      <w:proofErr w:type="spellEnd"/>
      <w:r w:rsidRPr="00B85F1F">
        <w:rPr>
          <w:lang w:eastAsia="bg-BG"/>
        </w:rPr>
        <w:t xml:space="preserve"> и </w:t>
      </w:r>
      <w:proofErr w:type="spellStart"/>
      <w:r w:rsidRPr="00B85F1F">
        <w:rPr>
          <w:lang w:eastAsia="bg-BG"/>
        </w:rPr>
        <w:t>верапамил</w:t>
      </w:r>
      <w:proofErr w:type="spellEnd"/>
      <w:r w:rsidRPr="00B85F1F">
        <w:rPr>
          <w:lang w:eastAsia="bg-BG"/>
        </w:rPr>
        <w:t>;</w:t>
      </w:r>
    </w:p>
    <w:p w14:paraId="3DFED0AA" w14:textId="7AAE85B9" w:rsidR="00B85F1F" w:rsidRPr="00B85F1F" w:rsidRDefault="00B85F1F" w:rsidP="00B85F1F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B85F1F">
        <w:rPr>
          <w:lang w:eastAsia="bg-BG"/>
        </w:rPr>
        <w:t xml:space="preserve">Някои </w:t>
      </w:r>
      <w:proofErr w:type="spellStart"/>
      <w:r w:rsidRPr="00B85F1F">
        <w:rPr>
          <w:lang w:eastAsia="bg-BG"/>
        </w:rPr>
        <w:t>имуносупресори</w:t>
      </w:r>
      <w:proofErr w:type="spellEnd"/>
      <w:r w:rsidRPr="00B85F1F">
        <w:rPr>
          <w:lang w:eastAsia="bg-BG"/>
        </w:rPr>
        <w:t xml:space="preserve"> като циклоспорин, </w:t>
      </w:r>
      <w:proofErr w:type="spellStart"/>
      <w:r w:rsidRPr="00B85F1F">
        <w:rPr>
          <w:lang w:eastAsia="bg-BG"/>
        </w:rPr>
        <w:t>такролимус</w:t>
      </w:r>
      <w:proofErr w:type="spellEnd"/>
      <w:r w:rsidRPr="00B85F1F">
        <w:rPr>
          <w:lang w:eastAsia="bg-BG"/>
        </w:rPr>
        <w:t xml:space="preserve">, </w:t>
      </w:r>
      <w:proofErr w:type="spellStart"/>
      <w:r w:rsidRPr="00B85F1F">
        <w:rPr>
          <w:lang w:eastAsia="bg-BG"/>
        </w:rPr>
        <w:t>сиролимус</w:t>
      </w:r>
      <w:proofErr w:type="spellEnd"/>
      <w:r w:rsidRPr="00B85F1F">
        <w:rPr>
          <w:lang w:eastAsia="bg-BG"/>
        </w:rPr>
        <w:t xml:space="preserve"> (</w:t>
      </w:r>
      <w:proofErr w:type="spellStart"/>
      <w:r w:rsidRPr="00B85F1F">
        <w:rPr>
          <w:lang w:eastAsia="bg-BG"/>
        </w:rPr>
        <w:t>рапамицин</w:t>
      </w:r>
      <w:proofErr w:type="spellEnd"/>
      <w:r w:rsidRPr="00B85F1F">
        <w:rPr>
          <w:lang w:eastAsia="bg-BG"/>
        </w:rPr>
        <w:t>);</w:t>
      </w:r>
    </w:p>
    <w:p w14:paraId="7397D5A8" w14:textId="229B4DC6" w:rsidR="00B85F1F" w:rsidRPr="00B85F1F" w:rsidRDefault="00B85F1F" w:rsidP="00B85F1F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B85F1F">
        <w:rPr>
          <w:lang w:eastAsia="bg-BG"/>
        </w:rPr>
        <w:t xml:space="preserve">Други: </w:t>
      </w:r>
      <w:proofErr w:type="spellStart"/>
      <w:r w:rsidRPr="00B85F1F">
        <w:rPr>
          <w:lang w:eastAsia="bg-BG"/>
        </w:rPr>
        <w:t>алфентанил</w:t>
      </w:r>
      <w:proofErr w:type="spellEnd"/>
      <w:r w:rsidRPr="00B85F1F">
        <w:rPr>
          <w:lang w:eastAsia="bg-BG"/>
        </w:rPr>
        <w:t xml:space="preserve">, </w:t>
      </w:r>
      <w:proofErr w:type="spellStart"/>
      <w:r w:rsidRPr="00B85F1F">
        <w:rPr>
          <w:lang w:eastAsia="bg-BG"/>
        </w:rPr>
        <w:t>алпразолам</w:t>
      </w:r>
      <w:proofErr w:type="spellEnd"/>
      <w:r w:rsidRPr="00B85F1F">
        <w:rPr>
          <w:lang w:eastAsia="bg-BG"/>
        </w:rPr>
        <w:t xml:space="preserve">, </w:t>
      </w:r>
      <w:proofErr w:type="spellStart"/>
      <w:r w:rsidRPr="00B85F1F">
        <w:rPr>
          <w:lang w:eastAsia="bg-BG"/>
        </w:rPr>
        <w:t>бротизолам</w:t>
      </w:r>
      <w:proofErr w:type="spellEnd"/>
      <w:r w:rsidRPr="00B85F1F">
        <w:rPr>
          <w:lang w:eastAsia="bg-BG"/>
        </w:rPr>
        <w:t xml:space="preserve">, </w:t>
      </w:r>
      <w:proofErr w:type="spellStart"/>
      <w:r w:rsidRPr="00B85F1F">
        <w:rPr>
          <w:lang w:eastAsia="bg-BG"/>
        </w:rPr>
        <w:t>буспирон</w:t>
      </w:r>
      <w:proofErr w:type="spellEnd"/>
      <w:r w:rsidRPr="00B85F1F">
        <w:rPr>
          <w:lang w:eastAsia="bg-BG"/>
        </w:rPr>
        <w:t xml:space="preserve">, </w:t>
      </w:r>
      <w:proofErr w:type="spellStart"/>
      <w:r w:rsidRPr="00B85F1F">
        <w:rPr>
          <w:lang w:eastAsia="bg-BG"/>
        </w:rPr>
        <w:t>карбамазепин</w:t>
      </w:r>
      <w:proofErr w:type="spellEnd"/>
      <w:r w:rsidRPr="00B85F1F">
        <w:rPr>
          <w:lang w:eastAsia="bg-BG"/>
        </w:rPr>
        <w:t xml:space="preserve">, </w:t>
      </w:r>
      <w:proofErr w:type="spellStart"/>
      <w:r w:rsidRPr="00B85F1F">
        <w:rPr>
          <w:lang w:eastAsia="bg-BG"/>
        </w:rPr>
        <w:t>цилостасол</w:t>
      </w:r>
      <w:proofErr w:type="spellEnd"/>
      <w:r w:rsidRPr="00B85F1F">
        <w:rPr>
          <w:lang w:eastAsia="bg-BG"/>
        </w:rPr>
        <w:t xml:space="preserve">, </w:t>
      </w:r>
      <w:proofErr w:type="spellStart"/>
      <w:r w:rsidRPr="00B85F1F">
        <w:rPr>
          <w:lang w:eastAsia="bg-BG"/>
        </w:rPr>
        <w:t>дисопирамид</w:t>
      </w:r>
      <w:proofErr w:type="spellEnd"/>
      <w:r w:rsidRPr="00B85F1F">
        <w:rPr>
          <w:lang w:eastAsia="bg-BG"/>
        </w:rPr>
        <w:t xml:space="preserve">, </w:t>
      </w:r>
      <w:proofErr w:type="spellStart"/>
      <w:r w:rsidRPr="00B85F1F">
        <w:rPr>
          <w:lang w:eastAsia="bg-BG"/>
        </w:rPr>
        <w:t>ебастин</w:t>
      </w:r>
      <w:proofErr w:type="spellEnd"/>
      <w:r w:rsidRPr="00B85F1F">
        <w:rPr>
          <w:lang w:eastAsia="bg-BG"/>
        </w:rPr>
        <w:t xml:space="preserve">, </w:t>
      </w:r>
      <w:proofErr w:type="spellStart"/>
      <w:r w:rsidRPr="00B85F1F">
        <w:rPr>
          <w:lang w:eastAsia="bg-BG"/>
        </w:rPr>
        <w:t>метилпреднизолон</w:t>
      </w:r>
      <w:proofErr w:type="spellEnd"/>
      <w:r w:rsidRPr="00B85F1F">
        <w:rPr>
          <w:lang w:eastAsia="bg-BG"/>
        </w:rPr>
        <w:t xml:space="preserve">, мидазолам </w:t>
      </w:r>
      <w:proofErr w:type="spellStart"/>
      <w:r w:rsidRPr="00B85F1F">
        <w:rPr>
          <w:lang w:val="en-US"/>
        </w:rPr>
        <w:t>i.v.</w:t>
      </w:r>
      <w:proofErr w:type="spellEnd"/>
      <w:r w:rsidRPr="00B85F1F">
        <w:rPr>
          <w:lang w:val="en-US"/>
        </w:rPr>
        <w:t xml:space="preserve">, </w:t>
      </w:r>
      <w:proofErr w:type="spellStart"/>
      <w:r w:rsidRPr="00B85F1F">
        <w:rPr>
          <w:lang w:eastAsia="bg-BG"/>
        </w:rPr>
        <w:t>ребоксетин</w:t>
      </w:r>
      <w:proofErr w:type="spellEnd"/>
      <w:r w:rsidRPr="00B85F1F">
        <w:rPr>
          <w:lang w:eastAsia="bg-BG"/>
        </w:rPr>
        <w:t xml:space="preserve">, </w:t>
      </w:r>
      <w:proofErr w:type="spellStart"/>
      <w:r w:rsidRPr="00B85F1F">
        <w:rPr>
          <w:lang w:eastAsia="bg-BG"/>
        </w:rPr>
        <w:t>рифабутин</w:t>
      </w:r>
      <w:proofErr w:type="spellEnd"/>
      <w:r w:rsidRPr="00B85F1F">
        <w:rPr>
          <w:lang w:eastAsia="bg-BG"/>
        </w:rPr>
        <w:t xml:space="preserve">, </w:t>
      </w:r>
      <w:proofErr w:type="spellStart"/>
      <w:r w:rsidRPr="00B85F1F">
        <w:rPr>
          <w:lang w:eastAsia="bg-BG"/>
        </w:rPr>
        <w:t>силденафил</w:t>
      </w:r>
      <w:proofErr w:type="spellEnd"/>
      <w:r w:rsidRPr="00B85F1F">
        <w:rPr>
          <w:lang w:eastAsia="bg-BG"/>
        </w:rPr>
        <w:t xml:space="preserve"> и </w:t>
      </w:r>
      <w:proofErr w:type="spellStart"/>
      <w:r w:rsidRPr="00B85F1F">
        <w:rPr>
          <w:lang w:eastAsia="bg-BG"/>
        </w:rPr>
        <w:t>триметрексат</w:t>
      </w:r>
      <w:proofErr w:type="spellEnd"/>
      <w:r w:rsidRPr="00B85F1F">
        <w:rPr>
          <w:lang w:eastAsia="bg-BG"/>
        </w:rPr>
        <w:t>.</w:t>
      </w:r>
    </w:p>
    <w:p w14:paraId="485AD8B2" w14:textId="77777777" w:rsidR="00B85F1F" w:rsidRPr="00B85F1F" w:rsidRDefault="00B85F1F" w:rsidP="00B85F1F"/>
    <w:p w14:paraId="2A6346D7" w14:textId="7488F288" w:rsidR="00C809A7" w:rsidRDefault="002C50EE" w:rsidP="00AA23EC">
      <w:pPr>
        <w:pStyle w:val="Heading2"/>
      </w:pPr>
      <w:r>
        <w:lastRenderedPageBreak/>
        <w:t xml:space="preserve">4.6. </w:t>
      </w:r>
      <w:proofErr w:type="spellStart"/>
      <w:r>
        <w:t>Фертилитет</w:t>
      </w:r>
      <w:proofErr w:type="spellEnd"/>
      <w:r>
        <w:t>, бременност и кърмене</w:t>
      </w:r>
    </w:p>
    <w:p w14:paraId="20A8ED1C" w14:textId="77777777" w:rsidR="00B85F1F" w:rsidRDefault="00B85F1F" w:rsidP="00B85F1F">
      <w:pPr>
        <w:rPr>
          <w:lang w:eastAsia="bg-BG"/>
        </w:rPr>
      </w:pPr>
    </w:p>
    <w:p w14:paraId="5DF6B54B" w14:textId="5C00AAE5" w:rsidR="00B85F1F" w:rsidRPr="00B85F1F" w:rsidRDefault="00B85F1F" w:rsidP="00B85F1F">
      <w:pPr>
        <w:pStyle w:val="Heading3"/>
        <w:rPr>
          <w:rFonts w:eastAsia="Times New Roman"/>
          <w:u w:val="single"/>
        </w:rPr>
      </w:pPr>
      <w:r w:rsidRPr="00B85F1F">
        <w:rPr>
          <w:rFonts w:eastAsia="Times New Roman"/>
          <w:u w:val="single"/>
          <w:lang w:eastAsia="bg-BG"/>
        </w:rPr>
        <w:t>Бременност</w:t>
      </w:r>
    </w:p>
    <w:p w14:paraId="5C95D769" w14:textId="77777777" w:rsidR="00B85F1F" w:rsidRPr="00B85F1F" w:rsidRDefault="00B85F1F" w:rsidP="00B85F1F">
      <w:pPr>
        <w:rPr>
          <w:sz w:val="24"/>
          <w:szCs w:val="24"/>
        </w:rPr>
      </w:pPr>
      <w:r w:rsidRPr="00B85F1F">
        <w:rPr>
          <w:lang w:eastAsia="bg-BG"/>
        </w:rPr>
        <w:t>Не са проведени достатъчно и добре контролирани проучвания при бременни жени.</w:t>
      </w:r>
    </w:p>
    <w:p w14:paraId="7B75B6D3" w14:textId="77777777" w:rsidR="00B85F1F" w:rsidRPr="00B85F1F" w:rsidRDefault="00B85F1F" w:rsidP="00B85F1F">
      <w:pPr>
        <w:rPr>
          <w:sz w:val="24"/>
          <w:szCs w:val="24"/>
        </w:rPr>
      </w:pPr>
      <w:r w:rsidRPr="00B85F1F">
        <w:rPr>
          <w:lang w:eastAsia="bg-BG"/>
        </w:rPr>
        <w:t xml:space="preserve">Проучванията при животни, изложени на клинично значими експозиции, не показват преки или непреки вредни ефекти, свързани с репродуктивна токсичност. Като предпазна мярка е за предпочитане да се избягва употребата на </w:t>
      </w:r>
      <w:proofErr w:type="spellStart"/>
      <w:r w:rsidRPr="00B85F1F">
        <w:rPr>
          <w:lang w:eastAsia="bg-BG"/>
        </w:rPr>
        <w:t>Дактарин</w:t>
      </w:r>
      <w:proofErr w:type="spellEnd"/>
      <w:r w:rsidRPr="00B85F1F">
        <w:rPr>
          <w:lang w:eastAsia="bg-BG"/>
        </w:rPr>
        <w:t xml:space="preserve"> по време на бременност, освен ако ползата от терапията за пациентката не се счита за по-голяма от рисковете за плода.</w:t>
      </w:r>
    </w:p>
    <w:p w14:paraId="0823AF17" w14:textId="77777777" w:rsidR="00B85F1F" w:rsidRDefault="00B85F1F" w:rsidP="00B85F1F">
      <w:pPr>
        <w:rPr>
          <w:lang w:eastAsia="bg-BG"/>
        </w:rPr>
      </w:pPr>
    </w:p>
    <w:p w14:paraId="6DF3BB21" w14:textId="62B30069" w:rsidR="00B85F1F" w:rsidRPr="00B85F1F" w:rsidRDefault="00B85F1F" w:rsidP="00B85F1F">
      <w:pPr>
        <w:pStyle w:val="Heading3"/>
        <w:rPr>
          <w:rFonts w:eastAsia="Times New Roman"/>
          <w:u w:val="single"/>
        </w:rPr>
      </w:pPr>
      <w:r w:rsidRPr="00B85F1F">
        <w:rPr>
          <w:rFonts w:eastAsia="Times New Roman"/>
          <w:u w:val="single"/>
          <w:lang w:eastAsia="bg-BG"/>
        </w:rPr>
        <w:t>Кърмене</w:t>
      </w:r>
    </w:p>
    <w:p w14:paraId="44CD3009" w14:textId="0B9CFD74" w:rsidR="00B85F1F" w:rsidRDefault="00B85F1F" w:rsidP="00B85F1F">
      <w:pPr>
        <w:rPr>
          <w:lang w:eastAsia="bg-BG"/>
        </w:rPr>
      </w:pPr>
      <w:r w:rsidRPr="00B85F1F">
        <w:rPr>
          <w:lang w:eastAsia="bg-BG"/>
        </w:rPr>
        <w:t xml:space="preserve">Не е известно дали </w:t>
      </w:r>
      <w:proofErr w:type="spellStart"/>
      <w:r w:rsidRPr="00B85F1F">
        <w:rPr>
          <w:lang w:eastAsia="bg-BG"/>
        </w:rPr>
        <w:t>миконазол</w:t>
      </w:r>
      <w:proofErr w:type="spellEnd"/>
      <w:r w:rsidRPr="00B85F1F">
        <w:rPr>
          <w:lang w:eastAsia="bg-BG"/>
        </w:rPr>
        <w:t xml:space="preserve"> или неговите метаболити се </w:t>
      </w:r>
      <w:proofErr w:type="spellStart"/>
      <w:r w:rsidRPr="00B85F1F">
        <w:rPr>
          <w:lang w:eastAsia="bg-BG"/>
        </w:rPr>
        <w:t>екскретират</w:t>
      </w:r>
      <w:proofErr w:type="spellEnd"/>
      <w:r w:rsidRPr="00B85F1F">
        <w:rPr>
          <w:lang w:eastAsia="bg-BG"/>
        </w:rPr>
        <w:t xml:space="preserve"> в кърмата (вижте точка 4.4 Специални предупреждения и предпазни мерки при употреба).</w:t>
      </w:r>
    </w:p>
    <w:p w14:paraId="20B3FA0C" w14:textId="77777777" w:rsidR="00B85F1F" w:rsidRPr="00B85F1F" w:rsidRDefault="00B85F1F" w:rsidP="00B85F1F"/>
    <w:p w14:paraId="71DE6E9A" w14:textId="338C6CF6" w:rsidR="00C809A7" w:rsidRDefault="002C50EE" w:rsidP="00AA23EC">
      <w:pPr>
        <w:pStyle w:val="Heading2"/>
      </w:pPr>
      <w:r>
        <w:t>4.7. Ефекти върху способността за шофиране и работа с машини</w:t>
      </w:r>
    </w:p>
    <w:p w14:paraId="5F76879A" w14:textId="77777777" w:rsidR="00B85F1F" w:rsidRDefault="00B85F1F" w:rsidP="00B85F1F"/>
    <w:p w14:paraId="2D3CE199" w14:textId="613D0299" w:rsidR="00B85F1F" w:rsidRDefault="00B85F1F" w:rsidP="00B85F1F">
      <w:proofErr w:type="spellStart"/>
      <w:r>
        <w:t>Дактарин</w:t>
      </w:r>
      <w:proofErr w:type="spellEnd"/>
      <w:r>
        <w:t xml:space="preserve"> не повлиява вниманието и способностите за шофиране.</w:t>
      </w:r>
    </w:p>
    <w:p w14:paraId="7C9997BF" w14:textId="77777777" w:rsidR="00B85F1F" w:rsidRPr="00B85F1F" w:rsidRDefault="00B85F1F" w:rsidP="00B85F1F"/>
    <w:p w14:paraId="6698E6B8" w14:textId="2B5F775E" w:rsidR="00C809A7" w:rsidRDefault="002C50EE" w:rsidP="00AA23EC">
      <w:pPr>
        <w:pStyle w:val="Heading2"/>
      </w:pPr>
      <w:r>
        <w:t>4.8. Нежелани лекарствени реакции</w:t>
      </w:r>
    </w:p>
    <w:p w14:paraId="526714A8" w14:textId="77777777" w:rsidR="00B85F1F" w:rsidRPr="00B85F1F" w:rsidRDefault="00B85F1F" w:rsidP="00B85F1F">
      <w:pPr>
        <w:rPr>
          <w:sz w:val="24"/>
          <w:szCs w:val="24"/>
        </w:rPr>
      </w:pPr>
      <w:r w:rsidRPr="00B85F1F">
        <w:rPr>
          <w:lang w:eastAsia="bg-BG"/>
        </w:rPr>
        <w:t xml:space="preserve">Настоящият раздел представя нежеланите реакции. Нежеланите реакции представляват нежелани събития, за които се смята с достатъчно основание, че са свързани с използването на </w:t>
      </w:r>
      <w:proofErr w:type="spellStart"/>
      <w:r w:rsidRPr="00B85F1F">
        <w:rPr>
          <w:lang w:eastAsia="bg-BG"/>
        </w:rPr>
        <w:t>миконазол</w:t>
      </w:r>
      <w:proofErr w:type="spellEnd"/>
      <w:r w:rsidRPr="00B85F1F">
        <w:rPr>
          <w:lang w:eastAsia="bg-BG"/>
        </w:rPr>
        <w:t xml:space="preserve"> въз основа на подробна оценка на наличната информация за нежеланото събитие. В отделните случаи не може надеждно да се установи причинно-следствената връзка с </w:t>
      </w:r>
      <w:proofErr w:type="spellStart"/>
      <w:r w:rsidRPr="00B85F1F">
        <w:rPr>
          <w:lang w:eastAsia="bg-BG"/>
        </w:rPr>
        <w:t>миконазол</w:t>
      </w:r>
      <w:proofErr w:type="spellEnd"/>
      <w:r w:rsidRPr="00B85F1F">
        <w:rPr>
          <w:lang w:eastAsia="bg-BG"/>
        </w:rPr>
        <w:t>. Освен това, тъй като клиничните проучвания са провеждани при условия, които варират в голям диапазон, честотата на настъпване на нежелани реакции, наблюдавани в клиничните проучвания на даден лекарствен продукт, не е пряко съпоставима с честотата в клиничните проучвания на друг лекарствен продукт и може да не отразява честотата, наблюдавана в клиничната практика.</w:t>
      </w:r>
    </w:p>
    <w:p w14:paraId="5687A03E" w14:textId="77777777" w:rsidR="00B85F1F" w:rsidRDefault="00B85F1F" w:rsidP="00B85F1F">
      <w:pPr>
        <w:rPr>
          <w:lang w:eastAsia="bg-BG"/>
        </w:rPr>
      </w:pPr>
    </w:p>
    <w:p w14:paraId="57904D31" w14:textId="2F4DCB93" w:rsidR="00B85F1F" w:rsidRPr="00B85F1F" w:rsidRDefault="00B85F1F" w:rsidP="00B85F1F">
      <w:pPr>
        <w:rPr>
          <w:sz w:val="24"/>
          <w:szCs w:val="24"/>
        </w:rPr>
      </w:pPr>
      <w:r w:rsidRPr="00B85F1F">
        <w:rPr>
          <w:lang w:eastAsia="bg-BG"/>
        </w:rPr>
        <w:t xml:space="preserve">Безопасността на </w:t>
      </w:r>
      <w:proofErr w:type="spellStart"/>
      <w:r w:rsidRPr="00B85F1F">
        <w:rPr>
          <w:lang w:eastAsia="bg-BG"/>
        </w:rPr>
        <w:t>Дактарин</w:t>
      </w:r>
      <w:proofErr w:type="spellEnd"/>
      <w:r w:rsidRPr="00B85F1F">
        <w:rPr>
          <w:lang w:eastAsia="bg-BG"/>
        </w:rPr>
        <w:t xml:space="preserve"> перорален гел е оценявана при 88 възрастни пациенти с </w:t>
      </w:r>
      <w:proofErr w:type="spellStart"/>
      <w:r w:rsidRPr="00B85F1F">
        <w:rPr>
          <w:lang w:eastAsia="bg-BG"/>
        </w:rPr>
        <w:t>кандидоза</w:t>
      </w:r>
      <w:proofErr w:type="spellEnd"/>
      <w:r w:rsidRPr="00B85F1F">
        <w:rPr>
          <w:lang w:eastAsia="bg-BG"/>
        </w:rPr>
        <w:t xml:space="preserve"> или микоза на устната кухина, участвали в едно рандомизирано, активно-контролирано, двойно-сляпо клинично проучване и три открити клинични проучвания. Тези пациенти са</w:t>
      </w:r>
    </w:p>
    <w:p w14:paraId="55EE3AAC" w14:textId="2BE1238E" w:rsidR="00B85F1F" w:rsidRDefault="00B85F1F" w:rsidP="00B85F1F">
      <w:pPr>
        <w:rPr>
          <w:lang w:eastAsia="bg-BG"/>
        </w:rPr>
      </w:pPr>
      <w:r w:rsidRPr="00B85F1F">
        <w:rPr>
          <w:lang w:eastAsia="bg-BG"/>
        </w:rPr>
        <w:t xml:space="preserve">приели най-малко една доза </w:t>
      </w:r>
      <w:proofErr w:type="spellStart"/>
      <w:r w:rsidRPr="00B85F1F">
        <w:rPr>
          <w:lang w:eastAsia="bg-BG"/>
        </w:rPr>
        <w:t>Дактарин</w:t>
      </w:r>
      <w:proofErr w:type="spellEnd"/>
      <w:r w:rsidRPr="00B85F1F">
        <w:rPr>
          <w:lang w:eastAsia="bg-BG"/>
        </w:rPr>
        <w:t xml:space="preserve"> перорален гел и са предоставили данни за безопасността</w:t>
      </w:r>
      <w:r>
        <w:rPr>
          <w:lang w:eastAsia="bg-BG"/>
        </w:rPr>
        <w:t>.</w:t>
      </w:r>
    </w:p>
    <w:p w14:paraId="771DCCCF" w14:textId="4D471351" w:rsidR="00B85F1F" w:rsidRDefault="00B85F1F" w:rsidP="00B85F1F">
      <w:pPr>
        <w:rPr>
          <w:lang w:eastAsia="bg-BG"/>
        </w:rPr>
      </w:pPr>
    </w:p>
    <w:p w14:paraId="55BEBB7F" w14:textId="77777777" w:rsidR="00B85F1F" w:rsidRPr="00B85F1F" w:rsidRDefault="00B85F1F" w:rsidP="00B85F1F">
      <w:pPr>
        <w:rPr>
          <w:sz w:val="24"/>
          <w:szCs w:val="24"/>
        </w:rPr>
      </w:pPr>
      <w:r w:rsidRPr="00B85F1F">
        <w:rPr>
          <w:lang w:eastAsia="bg-BG"/>
        </w:rPr>
        <w:t xml:space="preserve">Нежеланите реакции, съобщени от лекуваните с </w:t>
      </w:r>
      <w:proofErr w:type="spellStart"/>
      <w:r w:rsidRPr="00B85F1F">
        <w:rPr>
          <w:lang w:eastAsia="bg-BG"/>
        </w:rPr>
        <w:t>Дактарин</w:t>
      </w:r>
      <w:proofErr w:type="spellEnd"/>
      <w:r w:rsidRPr="00B85F1F">
        <w:rPr>
          <w:lang w:eastAsia="bg-BG"/>
        </w:rPr>
        <w:t xml:space="preserve"> перорален гел възрастни пациенти и в четирите клинични изпитвания, са показани в Таблица 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85F1F" w14:paraId="711E423C" w14:textId="77777777" w:rsidTr="00D54649">
        <w:tc>
          <w:tcPr>
            <w:tcW w:w="9576" w:type="dxa"/>
            <w:gridSpan w:val="2"/>
          </w:tcPr>
          <w:p w14:paraId="5134C960" w14:textId="718117CE" w:rsidR="00B85F1F" w:rsidRPr="00B85F1F" w:rsidRDefault="00B85F1F" w:rsidP="00B85F1F">
            <w:pPr>
              <w:jc w:val="center"/>
              <w:rPr>
                <w:b/>
                <w:bCs/>
                <w:sz w:val="24"/>
                <w:szCs w:val="24"/>
              </w:rPr>
            </w:pPr>
            <w:r w:rsidRPr="00B85F1F">
              <w:rPr>
                <w:b/>
                <w:bCs/>
                <w:lang w:eastAsia="bg-BG"/>
              </w:rPr>
              <w:t xml:space="preserve">Таблица 1: Нежелани реакции, съобщени от възрастни пациенти в четири клинични проучвания на </w:t>
            </w:r>
            <w:proofErr w:type="spellStart"/>
            <w:r w:rsidRPr="00B85F1F">
              <w:rPr>
                <w:b/>
                <w:bCs/>
                <w:lang w:eastAsia="bg-BG"/>
              </w:rPr>
              <w:t>Дактарин</w:t>
            </w:r>
            <w:proofErr w:type="spellEnd"/>
            <w:r w:rsidRPr="00B85F1F">
              <w:rPr>
                <w:b/>
                <w:bCs/>
                <w:lang w:eastAsia="bg-BG"/>
              </w:rPr>
              <w:t xml:space="preserve"> перорален гел</w:t>
            </w:r>
          </w:p>
        </w:tc>
      </w:tr>
      <w:tr w:rsidR="00B85F1F" w14:paraId="04098D78" w14:textId="77777777" w:rsidTr="00B85F1F">
        <w:tc>
          <w:tcPr>
            <w:tcW w:w="4788" w:type="dxa"/>
          </w:tcPr>
          <w:p w14:paraId="73DACD6F" w14:textId="77777777" w:rsidR="00B85F1F" w:rsidRPr="00B85F1F" w:rsidRDefault="00B85F1F" w:rsidP="00B85F1F">
            <w:pPr>
              <w:rPr>
                <w:b/>
                <w:bCs/>
              </w:rPr>
            </w:pPr>
            <w:proofErr w:type="spellStart"/>
            <w:r w:rsidRPr="00B85F1F">
              <w:rPr>
                <w:b/>
                <w:bCs/>
              </w:rPr>
              <w:t>Системо</w:t>
            </w:r>
            <w:proofErr w:type="spellEnd"/>
            <w:r w:rsidRPr="00B85F1F">
              <w:rPr>
                <w:b/>
                <w:bCs/>
              </w:rPr>
              <w:t>-органен клас</w:t>
            </w:r>
          </w:p>
          <w:p w14:paraId="30DFFA40" w14:textId="2C081BFA" w:rsidR="00B85F1F" w:rsidRPr="00B85F1F" w:rsidRDefault="00B85F1F" w:rsidP="00B85F1F">
            <w:pPr>
              <w:rPr>
                <w:b/>
                <w:bCs/>
              </w:rPr>
            </w:pPr>
            <w:r w:rsidRPr="00B85F1F">
              <w:rPr>
                <w:b/>
                <w:bCs/>
              </w:rPr>
              <w:t>Предпочитан термин</w:t>
            </w:r>
          </w:p>
        </w:tc>
        <w:tc>
          <w:tcPr>
            <w:tcW w:w="4788" w:type="dxa"/>
          </w:tcPr>
          <w:p w14:paraId="1B9025DF" w14:textId="4E261B03" w:rsidR="00B85F1F" w:rsidRPr="00B85F1F" w:rsidRDefault="00B85F1F" w:rsidP="00B85F1F">
            <w:pPr>
              <w:rPr>
                <w:b/>
                <w:bCs/>
              </w:rPr>
            </w:pPr>
            <w:proofErr w:type="spellStart"/>
            <w:r w:rsidRPr="00B85F1F">
              <w:rPr>
                <w:b/>
                <w:bCs/>
              </w:rPr>
              <w:t>Дактарин</w:t>
            </w:r>
            <w:proofErr w:type="spellEnd"/>
            <w:r w:rsidRPr="00B85F1F">
              <w:rPr>
                <w:b/>
                <w:bCs/>
              </w:rPr>
              <w:t xml:space="preserve"> перорален гел % </w:t>
            </w:r>
            <w:r w:rsidRPr="00B85F1F">
              <w:rPr>
                <w:b/>
                <w:bCs/>
                <w:lang w:val="en-US"/>
              </w:rPr>
              <w:t>(N=88)</w:t>
            </w:r>
          </w:p>
        </w:tc>
      </w:tr>
      <w:tr w:rsidR="00B85F1F" w14:paraId="29713BB8" w14:textId="77777777" w:rsidTr="00327544">
        <w:tc>
          <w:tcPr>
            <w:tcW w:w="9576" w:type="dxa"/>
            <w:gridSpan w:val="2"/>
          </w:tcPr>
          <w:p w14:paraId="6E1B53F8" w14:textId="06136579" w:rsidR="00B85F1F" w:rsidRPr="00B85F1F" w:rsidRDefault="00B85F1F" w:rsidP="00B85F1F">
            <w:pPr>
              <w:rPr>
                <w:b/>
                <w:bCs/>
              </w:rPr>
            </w:pPr>
            <w:r w:rsidRPr="00B85F1F">
              <w:rPr>
                <w:b/>
                <w:bCs/>
              </w:rPr>
              <w:t>Нарушения на нервната система</w:t>
            </w:r>
          </w:p>
        </w:tc>
      </w:tr>
      <w:tr w:rsidR="00B85F1F" w14:paraId="76F761BA" w14:textId="77777777" w:rsidTr="00B85F1F">
        <w:tc>
          <w:tcPr>
            <w:tcW w:w="4788" w:type="dxa"/>
          </w:tcPr>
          <w:p w14:paraId="780CC799" w14:textId="55679B66" w:rsidR="00B85F1F" w:rsidRDefault="00B85F1F" w:rsidP="00B85F1F">
            <w:r>
              <w:t>Промяна на вкуса</w:t>
            </w:r>
          </w:p>
        </w:tc>
        <w:tc>
          <w:tcPr>
            <w:tcW w:w="4788" w:type="dxa"/>
          </w:tcPr>
          <w:p w14:paraId="1D523CE8" w14:textId="02C16981" w:rsidR="00B85F1F" w:rsidRDefault="00B85F1F" w:rsidP="00B85F1F">
            <w:r>
              <w:t>1,1</w:t>
            </w:r>
          </w:p>
        </w:tc>
      </w:tr>
      <w:tr w:rsidR="00B85F1F" w14:paraId="6E1A2F3C" w14:textId="77777777" w:rsidTr="008D1C28">
        <w:tc>
          <w:tcPr>
            <w:tcW w:w="9576" w:type="dxa"/>
            <w:gridSpan w:val="2"/>
          </w:tcPr>
          <w:p w14:paraId="70C26E9B" w14:textId="71B8658E" w:rsidR="00B85F1F" w:rsidRPr="00B85F1F" w:rsidRDefault="00B85F1F" w:rsidP="00B85F1F">
            <w:pPr>
              <w:rPr>
                <w:b/>
                <w:bCs/>
              </w:rPr>
            </w:pPr>
            <w:r w:rsidRPr="00B85F1F">
              <w:rPr>
                <w:b/>
                <w:bCs/>
              </w:rPr>
              <w:t>Стомашно-чревни нарушения</w:t>
            </w:r>
          </w:p>
        </w:tc>
      </w:tr>
      <w:tr w:rsidR="00B85F1F" w14:paraId="370DE671" w14:textId="77777777" w:rsidTr="00B85F1F">
        <w:tc>
          <w:tcPr>
            <w:tcW w:w="4788" w:type="dxa"/>
          </w:tcPr>
          <w:p w14:paraId="7D93059B" w14:textId="04D9B6ED" w:rsidR="00B85F1F" w:rsidRDefault="00B85F1F" w:rsidP="00B85F1F">
            <w:r>
              <w:t>Сухота в устата</w:t>
            </w:r>
          </w:p>
        </w:tc>
        <w:tc>
          <w:tcPr>
            <w:tcW w:w="4788" w:type="dxa"/>
          </w:tcPr>
          <w:p w14:paraId="0C4B1268" w14:textId="2F4B5D5E" w:rsidR="00B85F1F" w:rsidRDefault="00B85F1F" w:rsidP="00B85F1F">
            <w:r>
              <w:t>2,3</w:t>
            </w:r>
          </w:p>
        </w:tc>
      </w:tr>
      <w:tr w:rsidR="00B85F1F" w14:paraId="3A341FCC" w14:textId="77777777" w:rsidTr="00B85F1F">
        <w:tc>
          <w:tcPr>
            <w:tcW w:w="4788" w:type="dxa"/>
          </w:tcPr>
          <w:p w14:paraId="2B4E3B8B" w14:textId="7949AC9F" w:rsidR="00B85F1F" w:rsidRDefault="00B85F1F" w:rsidP="00B85F1F">
            <w:r>
              <w:t>Гадене</w:t>
            </w:r>
          </w:p>
        </w:tc>
        <w:tc>
          <w:tcPr>
            <w:tcW w:w="4788" w:type="dxa"/>
          </w:tcPr>
          <w:p w14:paraId="734F09B3" w14:textId="1A7048EC" w:rsidR="00B85F1F" w:rsidRDefault="00B85F1F" w:rsidP="00B85F1F">
            <w:r>
              <w:t>4,5</w:t>
            </w:r>
          </w:p>
        </w:tc>
      </w:tr>
      <w:tr w:rsidR="00B85F1F" w14:paraId="35DC7162" w14:textId="77777777" w:rsidTr="00B85F1F">
        <w:tc>
          <w:tcPr>
            <w:tcW w:w="4788" w:type="dxa"/>
          </w:tcPr>
          <w:p w14:paraId="7CB4B40A" w14:textId="60AA54A2" w:rsidR="00B85F1F" w:rsidRDefault="00B85F1F" w:rsidP="00B85F1F">
            <w:r>
              <w:lastRenderedPageBreak/>
              <w:t>Орален дискомфорт</w:t>
            </w:r>
          </w:p>
        </w:tc>
        <w:tc>
          <w:tcPr>
            <w:tcW w:w="4788" w:type="dxa"/>
          </w:tcPr>
          <w:p w14:paraId="3B6BE928" w14:textId="017DAEF6" w:rsidR="00B85F1F" w:rsidRDefault="00B85F1F" w:rsidP="00B85F1F">
            <w:r>
              <w:t>3,4</w:t>
            </w:r>
          </w:p>
        </w:tc>
      </w:tr>
      <w:tr w:rsidR="00B85F1F" w14:paraId="5F08C603" w14:textId="77777777" w:rsidTr="00B85F1F">
        <w:tc>
          <w:tcPr>
            <w:tcW w:w="4788" w:type="dxa"/>
          </w:tcPr>
          <w:p w14:paraId="64F68BE0" w14:textId="4DADBA41" w:rsidR="00B85F1F" w:rsidRDefault="00B85F1F" w:rsidP="00B85F1F">
            <w:r>
              <w:t>Повръщане</w:t>
            </w:r>
          </w:p>
        </w:tc>
        <w:tc>
          <w:tcPr>
            <w:tcW w:w="4788" w:type="dxa"/>
          </w:tcPr>
          <w:p w14:paraId="6160F0F5" w14:textId="1CCF33DF" w:rsidR="00B85F1F" w:rsidRDefault="00B85F1F" w:rsidP="00B85F1F">
            <w:r>
              <w:t>1,1</w:t>
            </w:r>
          </w:p>
        </w:tc>
      </w:tr>
      <w:tr w:rsidR="00B85F1F" w14:paraId="7D9B5DF5" w14:textId="77777777" w:rsidTr="006143A2">
        <w:tc>
          <w:tcPr>
            <w:tcW w:w="9576" w:type="dxa"/>
            <w:gridSpan w:val="2"/>
          </w:tcPr>
          <w:p w14:paraId="3C35F8ED" w14:textId="6370D582" w:rsidR="00B85F1F" w:rsidRDefault="00B85F1F" w:rsidP="00B85F1F">
            <w:r w:rsidRPr="00B85F1F">
              <w:rPr>
                <w:b/>
                <w:bCs/>
              </w:rPr>
              <w:t>Общи нарушения и ефекти на</w:t>
            </w:r>
            <w:r>
              <w:t xml:space="preserve"> </w:t>
            </w:r>
            <w:r w:rsidRPr="00B85F1F">
              <w:rPr>
                <w:b/>
                <w:bCs/>
              </w:rPr>
              <w:t>мястото на приложение</w:t>
            </w:r>
          </w:p>
        </w:tc>
      </w:tr>
      <w:tr w:rsidR="00B85F1F" w14:paraId="13CB8826" w14:textId="77777777" w:rsidTr="00B85F1F">
        <w:tc>
          <w:tcPr>
            <w:tcW w:w="4788" w:type="dxa"/>
          </w:tcPr>
          <w:p w14:paraId="4C70733E" w14:textId="799607F7" w:rsidR="00B85F1F" w:rsidRDefault="00B85F1F" w:rsidP="00B85F1F">
            <w:r>
              <w:t>Необичаен вкус на продукта</w:t>
            </w:r>
          </w:p>
        </w:tc>
        <w:tc>
          <w:tcPr>
            <w:tcW w:w="4788" w:type="dxa"/>
          </w:tcPr>
          <w:p w14:paraId="1101F974" w14:textId="0BBC8053" w:rsidR="00B85F1F" w:rsidRDefault="00B85F1F" w:rsidP="00B85F1F">
            <w:r>
              <w:t>4,5</w:t>
            </w:r>
          </w:p>
        </w:tc>
      </w:tr>
    </w:tbl>
    <w:p w14:paraId="380F2C52" w14:textId="77777777" w:rsidR="00B85F1F" w:rsidRDefault="00B85F1F" w:rsidP="00B85F1F">
      <w:pPr>
        <w:rPr>
          <w:lang w:eastAsia="bg-BG"/>
        </w:rPr>
      </w:pPr>
    </w:p>
    <w:p w14:paraId="70851A70" w14:textId="62B79655" w:rsidR="00B85F1F" w:rsidRPr="00B85F1F" w:rsidRDefault="00B85F1F" w:rsidP="00B85F1F">
      <w:pPr>
        <w:rPr>
          <w:sz w:val="24"/>
          <w:szCs w:val="24"/>
        </w:rPr>
      </w:pPr>
      <w:r w:rsidRPr="00B85F1F">
        <w:rPr>
          <w:lang w:eastAsia="bg-BG"/>
        </w:rPr>
        <w:t xml:space="preserve">Безопасността на </w:t>
      </w:r>
      <w:proofErr w:type="spellStart"/>
      <w:r w:rsidRPr="00B85F1F">
        <w:rPr>
          <w:lang w:eastAsia="bg-BG"/>
        </w:rPr>
        <w:t>Дактарин</w:t>
      </w:r>
      <w:proofErr w:type="spellEnd"/>
      <w:r w:rsidRPr="00B85F1F">
        <w:rPr>
          <w:lang w:eastAsia="bg-BG"/>
        </w:rPr>
        <w:t xml:space="preserve"> перорален гел е оценявана при 23 педиатрични пациенти с </w:t>
      </w:r>
      <w:proofErr w:type="spellStart"/>
      <w:r w:rsidRPr="00B85F1F">
        <w:rPr>
          <w:lang w:eastAsia="bg-BG"/>
        </w:rPr>
        <w:t>кандидоза</w:t>
      </w:r>
      <w:proofErr w:type="spellEnd"/>
      <w:r w:rsidRPr="00B85F1F">
        <w:rPr>
          <w:lang w:eastAsia="bg-BG"/>
        </w:rPr>
        <w:t xml:space="preserve"> на устната кухина, участвали в едно рандомизирано, активно-контролирано, открито клинично проучване с педиатрични пациенти на възраст </w:t>
      </w:r>
      <w:r w:rsidRPr="00B85F1F">
        <w:rPr>
          <w:lang w:val="en-US"/>
        </w:rPr>
        <w:t>≤</w:t>
      </w:r>
      <w:r w:rsidRPr="00B85F1F">
        <w:rPr>
          <w:lang w:eastAsia="bg-BG"/>
        </w:rPr>
        <w:t xml:space="preserve"> 1 месец до 10,7 години. Тези пациенти са приели най-малко една доза </w:t>
      </w:r>
      <w:proofErr w:type="spellStart"/>
      <w:r w:rsidRPr="00B85F1F">
        <w:rPr>
          <w:lang w:eastAsia="bg-BG"/>
        </w:rPr>
        <w:t>Дактарин</w:t>
      </w:r>
      <w:proofErr w:type="spellEnd"/>
      <w:r w:rsidRPr="00B85F1F">
        <w:rPr>
          <w:lang w:eastAsia="bg-BG"/>
        </w:rPr>
        <w:t xml:space="preserve"> перорален гел и са предоставили данни за безопасността.</w:t>
      </w:r>
    </w:p>
    <w:p w14:paraId="3D543665" w14:textId="77777777" w:rsidR="00B85F1F" w:rsidRPr="00B85F1F" w:rsidRDefault="00B85F1F" w:rsidP="00B85F1F">
      <w:pPr>
        <w:rPr>
          <w:sz w:val="24"/>
          <w:szCs w:val="24"/>
        </w:rPr>
      </w:pPr>
      <w:r w:rsidRPr="00B85F1F">
        <w:rPr>
          <w:lang w:eastAsia="bg-BG"/>
        </w:rPr>
        <w:t xml:space="preserve">Нежеланите реакции, съобщени от лекуваните с </w:t>
      </w:r>
      <w:proofErr w:type="spellStart"/>
      <w:r w:rsidRPr="00B85F1F">
        <w:rPr>
          <w:lang w:eastAsia="bg-BG"/>
        </w:rPr>
        <w:t>Дактарин</w:t>
      </w:r>
      <w:proofErr w:type="spellEnd"/>
      <w:r w:rsidRPr="00B85F1F">
        <w:rPr>
          <w:lang w:eastAsia="bg-BG"/>
        </w:rPr>
        <w:t xml:space="preserve"> перорален гел педиатрични пациенти в единственото клинично проучване, са представени в Таблица 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650E2" w14:paraId="6EF83699" w14:textId="77777777" w:rsidTr="002D41F4">
        <w:tc>
          <w:tcPr>
            <w:tcW w:w="9576" w:type="dxa"/>
            <w:gridSpan w:val="2"/>
          </w:tcPr>
          <w:p w14:paraId="4B1B3CCC" w14:textId="02311286" w:rsidR="003650E2" w:rsidRPr="003650E2" w:rsidRDefault="003650E2" w:rsidP="003650E2">
            <w:pPr>
              <w:jc w:val="center"/>
              <w:rPr>
                <w:b/>
                <w:bCs/>
              </w:rPr>
            </w:pPr>
            <w:r w:rsidRPr="003650E2">
              <w:rPr>
                <w:b/>
                <w:bCs/>
              </w:rPr>
              <w:t xml:space="preserve">Таблица 2: Нежелани реакции, съобщени от педиатрични пациенти в рандомизирано, активно-контролирано, отворено клинично проучване на </w:t>
            </w:r>
            <w:proofErr w:type="spellStart"/>
            <w:r w:rsidRPr="003650E2">
              <w:rPr>
                <w:b/>
                <w:bCs/>
              </w:rPr>
              <w:t>Дактарин</w:t>
            </w:r>
            <w:proofErr w:type="spellEnd"/>
            <w:r w:rsidRPr="003650E2">
              <w:rPr>
                <w:b/>
                <w:bCs/>
              </w:rPr>
              <w:t xml:space="preserve"> перорален гел</w:t>
            </w:r>
          </w:p>
        </w:tc>
      </w:tr>
      <w:tr w:rsidR="003650E2" w14:paraId="32A787B3" w14:textId="77777777" w:rsidTr="003650E2">
        <w:tc>
          <w:tcPr>
            <w:tcW w:w="4788" w:type="dxa"/>
          </w:tcPr>
          <w:p w14:paraId="0050A143" w14:textId="77777777" w:rsidR="003650E2" w:rsidRPr="003650E2" w:rsidRDefault="003650E2" w:rsidP="003650E2">
            <w:pPr>
              <w:rPr>
                <w:b/>
                <w:bCs/>
              </w:rPr>
            </w:pPr>
            <w:proofErr w:type="spellStart"/>
            <w:r w:rsidRPr="003650E2">
              <w:rPr>
                <w:b/>
                <w:bCs/>
              </w:rPr>
              <w:t>Системо</w:t>
            </w:r>
            <w:proofErr w:type="spellEnd"/>
            <w:r w:rsidRPr="003650E2">
              <w:rPr>
                <w:b/>
                <w:bCs/>
              </w:rPr>
              <w:t>-органен клас</w:t>
            </w:r>
          </w:p>
          <w:p w14:paraId="43537947" w14:textId="30472C0E" w:rsidR="003650E2" w:rsidRPr="003650E2" w:rsidRDefault="003650E2" w:rsidP="003650E2">
            <w:pPr>
              <w:rPr>
                <w:b/>
                <w:bCs/>
              </w:rPr>
            </w:pPr>
            <w:r w:rsidRPr="003650E2">
              <w:rPr>
                <w:b/>
                <w:bCs/>
              </w:rPr>
              <w:t>Предпочитан термин</w:t>
            </w:r>
          </w:p>
        </w:tc>
        <w:tc>
          <w:tcPr>
            <w:tcW w:w="4788" w:type="dxa"/>
          </w:tcPr>
          <w:p w14:paraId="74606FA2" w14:textId="3571EF14" w:rsidR="003650E2" w:rsidRPr="003650E2" w:rsidRDefault="003650E2" w:rsidP="003650E2">
            <w:pPr>
              <w:rPr>
                <w:b/>
                <w:bCs/>
              </w:rPr>
            </w:pPr>
            <w:proofErr w:type="spellStart"/>
            <w:r w:rsidRPr="003650E2">
              <w:rPr>
                <w:b/>
                <w:bCs/>
              </w:rPr>
              <w:t>Дактарин</w:t>
            </w:r>
            <w:proofErr w:type="spellEnd"/>
            <w:r w:rsidRPr="003650E2">
              <w:rPr>
                <w:b/>
                <w:bCs/>
              </w:rPr>
              <w:t xml:space="preserve"> перорален гел % </w:t>
            </w:r>
            <w:r w:rsidRPr="003650E2">
              <w:rPr>
                <w:b/>
                <w:bCs/>
                <w:lang w:val="en-US"/>
              </w:rPr>
              <w:t>(N=23)</w:t>
            </w:r>
          </w:p>
        </w:tc>
      </w:tr>
      <w:tr w:rsidR="003650E2" w14:paraId="19DC3FFB" w14:textId="77777777" w:rsidTr="003650E2">
        <w:tc>
          <w:tcPr>
            <w:tcW w:w="4788" w:type="dxa"/>
          </w:tcPr>
          <w:p w14:paraId="600D9C97" w14:textId="6EED99E5" w:rsidR="003650E2" w:rsidRPr="003650E2" w:rsidRDefault="003650E2" w:rsidP="003650E2">
            <w:pPr>
              <w:rPr>
                <w:b/>
                <w:bCs/>
              </w:rPr>
            </w:pPr>
            <w:r w:rsidRPr="003650E2">
              <w:rPr>
                <w:b/>
                <w:bCs/>
              </w:rPr>
              <w:t>Стомашно-чревни нарушения</w:t>
            </w:r>
          </w:p>
        </w:tc>
        <w:tc>
          <w:tcPr>
            <w:tcW w:w="4788" w:type="dxa"/>
          </w:tcPr>
          <w:p w14:paraId="053D4066" w14:textId="77777777" w:rsidR="003650E2" w:rsidRDefault="003650E2" w:rsidP="003650E2"/>
        </w:tc>
      </w:tr>
      <w:tr w:rsidR="003650E2" w14:paraId="42931395" w14:textId="77777777" w:rsidTr="003650E2">
        <w:tc>
          <w:tcPr>
            <w:tcW w:w="4788" w:type="dxa"/>
          </w:tcPr>
          <w:p w14:paraId="318F3921" w14:textId="2C35D8E8" w:rsidR="003650E2" w:rsidRDefault="003650E2" w:rsidP="003650E2">
            <w:r>
              <w:t>Гадене</w:t>
            </w:r>
          </w:p>
        </w:tc>
        <w:tc>
          <w:tcPr>
            <w:tcW w:w="4788" w:type="dxa"/>
          </w:tcPr>
          <w:p w14:paraId="5E8F82A0" w14:textId="28CF19B8" w:rsidR="003650E2" w:rsidRDefault="003650E2" w:rsidP="003650E2">
            <w:r>
              <w:t>13,0</w:t>
            </w:r>
          </w:p>
        </w:tc>
      </w:tr>
      <w:tr w:rsidR="003650E2" w14:paraId="13E5F8A3" w14:textId="77777777" w:rsidTr="003650E2">
        <w:tc>
          <w:tcPr>
            <w:tcW w:w="4788" w:type="dxa"/>
          </w:tcPr>
          <w:p w14:paraId="1F6324B5" w14:textId="2C1A6EBA" w:rsidR="003650E2" w:rsidRDefault="003650E2" w:rsidP="003650E2">
            <w:proofErr w:type="spellStart"/>
            <w:r>
              <w:t>Регургигация</w:t>
            </w:r>
            <w:proofErr w:type="spellEnd"/>
          </w:p>
        </w:tc>
        <w:tc>
          <w:tcPr>
            <w:tcW w:w="4788" w:type="dxa"/>
          </w:tcPr>
          <w:p w14:paraId="3983E49C" w14:textId="0D16A8F8" w:rsidR="003650E2" w:rsidRDefault="003650E2" w:rsidP="003650E2">
            <w:r>
              <w:t>8,7</w:t>
            </w:r>
          </w:p>
        </w:tc>
      </w:tr>
      <w:tr w:rsidR="003650E2" w14:paraId="4BEF6107" w14:textId="77777777" w:rsidTr="003650E2">
        <w:tc>
          <w:tcPr>
            <w:tcW w:w="4788" w:type="dxa"/>
          </w:tcPr>
          <w:p w14:paraId="78802F06" w14:textId="395CEBF0" w:rsidR="003650E2" w:rsidRDefault="003650E2" w:rsidP="003650E2">
            <w:r>
              <w:t>Повръщане</w:t>
            </w:r>
          </w:p>
        </w:tc>
        <w:tc>
          <w:tcPr>
            <w:tcW w:w="4788" w:type="dxa"/>
          </w:tcPr>
          <w:p w14:paraId="6898E0A7" w14:textId="3CD438B8" w:rsidR="003650E2" w:rsidRDefault="003650E2" w:rsidP="003650E2">
            <w:r>
              <w:t>13,0</w:t>
            </w:r>
          </w:p>
        </w:tc>
      </w:tr>
    </w:tbl>
    <w:p w14:paraId="6DDF4C33" w14:textId="77777777" w:rsidR="003650E2" w:rsidRPr="003650E2" w:rsidRDefault="003650E2" w:rsidP="003650E2">
      <w:pPr>
        <w:rPr>
          <w:sz w:val="24"/>
          <w:szCs w:val="24"/>
        </w:rPr>
      </w:pPr>
      <w:proofErr w:type="spellStart"/>
      <w:r w:rsidRPr="003650E2">
        <w:rPr>
          <w:lang w:eastAsia="bg-BG"/>
        </w:rPr>
        <w:t>Постмаркетингови</w:t>
      </w:r>
      <w:proofErr w:type="spellEnd"/>
      <w:r w:rsidRPr="003650E2">
        <w:rPr>
          <w:lang w:eastAsia="bg-BG"/>
        </w:rPr>
        <w:t xml:space="preserve"> данни</w:t>
      </w:r>
    </w:p>
    <w:p w14:paraId="08732A18" w14:textId="52167E38" w:rsidR="00B85F1F" w:rsidRDefault="003650E2" w:rsidP="003650E2">
      <w:pPr>
        <w:rPr>
          <w:lang w:eastAsia="bg-BG"/>
        </w:rPr>
      </w:pPr>
      <w:r w:rsidRPr="003650E2">
        <w:rPr>
          <w:lang w:eastAsia="bg-BG"/>
        </w:rPr>
        <w:t xml:space="preserve">В допълнение на нежеланите реакции, съобщени по време на клиничните проучвания и изброени по-горе, са съобщени и следните нежелани реакции по време на </w:t>
      </w:r>
      <w:proofErr w:type="spellStart"/>
      <w:r w:rsidRPr="003650E2">
        <w:rPr>
          <w:lang w:eastAsia="bg-BG"/>
        </w:rPr>
        <w:t>постмаркетинговия</w:t>
      </w:r>
      <w:proofErr w:type="spellEnd"/>
      <w:r w:rsidRPr="003650E2">
        <w:rPr>
          <w:lang w:eastAsia="bg-BG"/>
        </w:rPr>
        <w:t xml:space="preserve"> опит (Таблица 3). В таблицата честотата е посочена според следния установен ред:</w:t>
      </w:r>
    </w:p>
    <w:p w14:paraId="2CCFA7D9" w14:textId="4579950D" w:rsidR="003650E2" w:rsidRPr="003650E2" w:rsidRDefault="003650E2" w:rsidP="003650E2">
      <w:pPr>
        <w:rPr>
          <w:sz w:val="24"/>
          <w:szCs w:val="24"/>
        </w:rPr>
      </w:pPr>
      <w:r w:rsidRPr="003650E2">
        <w:rPr>
          <w:lang w:eastAsia="bg-BG"/>
        </w:rPr>
        <w:t>Много чести</w:t>
      </w:r>
      <w:r>
        <w:rPr>
          <w:lang w:eastAsia="bg-BG"/>
        </w:rPr>
        <w:t xml:space="preserve"> </w:t>
      </w:r>
      <w:r w:rsidRPr="003650E2">
        <w:rPr>
          <w:lang w:val="en-US"/>
        </w:rPr>
        <w:t>≥</w:t>
      </w:r>
      <w:r w:rsidRPr="003650E2">
        <w:rPr>
          <w:lang w:eastAsia="bg-BG"/>
        </w:rPr>
        <w:t>1/10</w:t>
      </w:r>
    </w:p>
    <w:p w14:paraId="3566F00C" w14:textId="1E9A43F5" w:rsidR="003650E2" w:rsidRPr="003650E2" w:rsidRDefault="003650E2" w:rsidP="003650E2">
      <w:pPr>
        <w:rPr>
          <w:sz w:val="24"/>
          <w:szCs w:val="24"/>
        </w:rPr>
      </w:pPr>
      <w:r w:rsidRPr="003650E2">
        <w:rPr>
          <w:lang w:eastAsia="bg-BG"/>
        </w:rPr>
        <w:t>Чести</w:t>
      </w:r>
      <w:r>
        <w:rPr>
          <w:lang w:eastAsia="bg-BG"/>
        </w:rPr>
        <w:t xml:space="preserve"> </w:t>
      </w:r>
      <w:r w:rsidRPr="003650E2">
        <w:rPr>
          <w:lang w:val="en-US"/>
        </w:rPr>
        <w:t>≥</w:t>
      </w:r>
      <w:r w:rsidRPr="003650E2">
        <w:rPr>
          <w:lang w:eastAsia="bg-BG"/>
        </w:rPr>
        <w:t>1/100 и &lt; 1/10</w:t>
      </w:r>
    </w:p>
    <w:p w14:paraId="4913C963" w14:textId="6F108DC5" w:rsidR="003650E2" w:rsidRPr="003650E2" w:rsidRDefault="003650E2" w:rsidP="003650E2">
      <w:pPr>
        <w:rPr>
          <w:sz w:val="24"/>
          <w:szCs w:val="24"/>
        </w:rPr>
      </w:pPr>
      <w:r w:rsidRPr="003650E2">
        <w:rPr>
          <w:lang w:eastAsia="bg-BG"/>
        </w:rPr>
        <w:t>Нечести</w:t>
      </w:r>
      <w:r>
        <w:rPr>
          <w:lang w:eastAsia="bg-BG"/>
        </w:rPr>
        <w:t xml:space="preserve"> </w:t>
      </w:r>
      <w:r w:rsidRPr="003650E2">
        <w:rPr>
          <w:lang w:val="en-US"/>
        </w:rPr>
        <w:t>≥</w:t>
      </w:r>
      <w:r w:rsidRPr="003650E2">
        <w:rPr>
          <w:lang w:eastAsia="bg-BG"/>
        </w:rPr>
        <w:t>1/1000 и &lt; 1/100</w:t>
      </w:r>
    </w:p>
    <w:p w14:paraId="1721AA51" w14:textId="691BAC2F" w:rsidR="003650E2" w:rsidRPr="003650E2" w:rsidRDefault="003650E2" w:rsidP="003650E2">
      <w:pPr>
        <w:rPr>
          <w:sz w:val="24"/>
          <w:szCs w:val="24"/>
        </w:rPr>
      </w:pPr>
      <w:r w:rsidRPr="003650E2">
        <w:rPr>
          <w:lang w:eastAsia="bg-BG"/>
        </w:rPr>
        <w:t>Редки</w:t>
      </w:r>
      <w:r w:rsidRPr="003650E2">
        <w:rPr>
          <w:lang w:eastAsia="bg-BG"/>
        </w:rPr>
        <w:tab/>
      </w:r>
      <w:r w:rsidRPr="003650E2">
        <w:rPr>
          <w:lang w:val="en-US"/>
        </w:rPr>
        <w:t>≥</w:t>
      </w:r>
      <w:r w:rsidRPr="003650E2">
        <w:rPr>
          <w:lang w:eastAsia="bg-BG"/>
        </w:rPr>
        <w:t>1/10000 и &lt; 1/1000</w:t>
      </w:r>
    </w:p>
    <w:p w14:paraId="43F50B27" w14:textId="1F2DD616" w:rsidR="003650E2" w:rsidRDefault="003650E2" w:rsidP="003650E2">
      <w:pPr>
        <w:rPr>
          <w:lang w:eastAsia="bg-BG"/>
        </w:rPr>
      </w:pPr>
      <w:r w:rsidRPr="003650E2">
        <w:rPr>
          <w:lang w:eastAsia="bg-BG"/>
        </w:rPr>
        <w:t>Много редки &lt;1/10000, вкл. изолирани случаи.</w:t>
      </w:r>
    </w:p>
    <w:p w14:paraId="3C7AD9CB" w14:textId="50020561" w:rsidR="003650E2" w:rsidRDefault="003650E2" w:rsidP="003650E2">
      <w:pPr>
        <w:rPr>
          <w:lang w:eastAsia="bg-BG"/>
        </w:rPr>
      </w:pPr>
    </w:p>
    <w:p w14:paraId="46A27229" w14:textId="77777777" w:rsidR="003650E2" w:rsidRPr="003650E2" w:rsidRDefault="003650E2" w:rsidP="003650E2">
      <w:pPr>
        <w:rPr>
          <w:sz w:val="24"/>
          <w:szCs w:val="24"/>
        </w:rPr>
      </w:pPr>
      <w:r w:rsidRPr="003650E2">
        <w:rPr>
          <w:lang w:eastAsia="bg-BG"/>
        </w:rPr>
        <w:t>В Таблица 3 нежеланите реакции са представени по категория на честотата въз основа на срещането им при клинични или епидемиологични изследвания, когато са известни.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650E2" w14:paraId="467D3280" w14:textId="77777777" w:rsidTr="00BC25B7">
        <w:tc>
          <w:tcPr>
            <w:tcW w:w="9576" w:type="dxa"/>
            <w:gridSpan w:val="2"/>
          </w:tcPr>
          <w:p w14:paraId="4AD773AB" w14:textId="7651E5AD" w:rsidR="003650E2" w:rsidRDefault="003650E2" w:rsidP="003650E2">
            <w:pPr>
              <w:jc w:val="center"/>
            </w:pPr>
            <w:r>
              <w:t xml:space="preserve">Таблица 3: Нежелани реакции, установени по време на </w:t>
            </w:r>
            <w:proofErr w:type="spellStart"/>
            <w:r>
              <w:t>постмаркетннговня</w:t>
            </w:r>
            <w:proofErr w:type="spellEnd"/>
            <w:r>
              <w:t xml:space="preserve"> опит с </w:t>
            </w:r>
            <w:proofErr w:type="spellStart"/>
            <w:r>
              <w:t>Дактарин</w:t>
            </w:r>
            <w:proofErr w:type="spellEnd"/>
            <w:r>
              <w:t xml:space="preserve"> перорален гел, по категория на честотата в клинични изпитвания или епидемиологични проучвания</w:t>
            </w:r>
          </w:p>
        </w:tc>
      </w:tr>
      <w:tr w:rsidR="003650E2" w14:paraId="27993946" w14:textId="77777777" w:rsidTr="00BF6D7C">
        <w:tc>
          <w:tcPr>
            <w:tcW w:w="9576" w:type="dxa"/>
            <w:gridSpan w:val="2"/>
          </w:tcPr>
          <w:p w14:paraId="49965720" w14:textId="1EE34A7E" w:rsidR="003650E2" w:rsidRPr="003650E2" w:rsidRDefault="003650E2" w:rsidP="003650E2">
            <w:pPr>
              <w:rPr>
                <w:b/>
                <w:bCs/>
              </w:rPr>
            </w:pPr>
            <w:r w:rsidRPr="003650E2">
              <w:rPr>
                <w:b/>
                <w:bCs/>
              </w:rPr>
              <w:t>Нарушения на имунната система</w:t>
            </w:r>
          </w:p>
        </w:tc>
      </w:tr>
      <w:tr w:rsidR="003650E2" w14:paraId="4FFF6275" w14:textId="77777777" w:rsidTr="0070258A">
        <w:tc>
          <w:tcPr>
            <w:tcW w:w="4788" w:type="dxa"/>
          </w:tcPr>
          <w:p w14:paraId="3C36F351" w14:textId="5E301514" w:rsidR="003650E2" w:rsidRDefault="003650E2" w:rsidP="003650E2">
            <w:r>
              <w:rPr>
                <w:i/>
                <w:iCs/>
              </w:rPr>
              <w:t>С неизвестна честота</w:t>
            </w:r>
          </w:p>
        </w:tc>
        <w:tc>
          <w:tcPr>
            <w:tcW w:w="4788" w:type="dxa"/>
            <w:vAlign w:val="bottom"/>
          </w:tcPr>
          <w:p w14:paraId="23214FCE" w14:textId="75A578D4" w:rsidR="003650E2" w:rsidRDefault="003650E2" w:rsidP="003650E2">
            <w:proofErr w:type="spellStart"/>
            <w:r>
              <w:t>Анафилактична</w:t>
            </w:r>
            <w:proofErr w:type="spellEnd"/>
            <w:r>
              <w:t xml:space="preserve"> реакция, свръхчувствителност</w:t>
            </w:r>
          </w:p>
        </w:tc>
      </w:tr>
      <w:tr w:rsidR="003650E2" w14:paraId="3835F50A" w14:textId="77777777" w:rsidTr="00510C13">
        <w:tc>
          <w:tcPr>
            <w:tcW w:w="9576" w:type="dxa"/>
            <w:gridSpan w:val="2"/>
          </w:tcPr>
          <w:p w14:paraId="731CF027" w14:textId="450125D5" w:rsidR="003650E2" w:rsidRPr="003650E2" w:rsidRDefault="003650E2" w:rsidP="003650E2">
            <w:pPr>
              <w:rPr>
                <w:b/>
                <w:bCs/>
                <w:sz w:val="24"/>
                <w:szCs w:val="24"/>
              </w:rPr>
            </w:pPr>
            <w:r w:rsidRPr="003650E2">
              <w:rPr>
                <w:b/>
                <w:bCs/>
                <w:lang w:eastAsia="bg-BG"/>
              </w:rPr>
              <w:t xml:space="preserve">Респираторни, гръдни и </w:t>
            </w:r>
            <w:proofErr w:type="spellStart"/>
            <w:r w:rsidRPr="003650E2">
              <w:rPr>
                <w:b/>
                <w:bCs/>
                <w:lang w:eastAsia="bg-BG"/>
              </w:rPr>
              <w:t>медиастинални</w:t>
            </w:r>
            <w:proofErr w:type="spellEnd"/>
            <w:r w:rsidRPr="003650E2">
              <w:rPr>
                <w:b/>
                <w:bCs/>
                <w:lang w:eastAsia="bg-BG"/>
              </w:rPr>
              <w:t xml:space="preserve"> нарушения</w:t>
            </w:r>
          </w:p>
        </w:tc>
      </w:tr>
      <w:tr w:rsidR="003650E2" w14:paraId="1B703309" w14:textId="77777777" w:rsidTr="00FD363C">
        <w:tc>
          <w:tcPr>
            <w:tcW w:w="4788" w:type="dxa"/>
          </w:tcPr>
          <w:p w14:paraId="090657A1" w14:textId="6C8C558C" w:rsidR="003650E2" w:rsidRDefault="003650E2" w:rsidP="003650E2">
            <w:r>
              <w:rPr>
                <w:i/>
                <w:iCs/>
              </w:rPr>
              <w:t>С неизвестна честота</w:t>
            </w:r>
          </w:p>
        </w:tc>
        <w:tc>
          <w:tcPr>
            <w:tcW w:w="4788" w:type="dxa"/>
            <w:vAlign w:val="bottom"/>
          </w:tcPr>
          <w:p w14:paraId="535C6A8B" w14:textId="5EBAC74E" w:rsidR="003650E2" w:rsidRDefault="003650E2" w:rsidP="003650E2">
            <w:r>
              <w:t>Задавяне (вж. Противопоказания)</w:t>
            </w:r>
          </w:p>
        </w:tc>
      </w:tr>
      <w:tr w:rsidR="003650E2" w14:paraId="5ABEA494" w14:textId="77777777" w:rsidTr="0010505E">
        <w:tc>
          <w:tcPr>
            <w:tcW w:w="9576" w:type="dxa"/>
            <w:gridSpan w:val="2"/>
          </w:tcPr>
          <w:p w14:paraId="74AAE275" w14:textId="4C619D56" w:rsidR="003650E2" w:rsidRPr="003650E2" w:rsidRDefault="003650E2" w:rsidP="003650E2">
            <w:pPr>
              <w:rPr>
                <w:b/>
                <w:bCs/>
              </w:rPr>
            </w:pPr>
            <w:r w:rsidRPr="003650E2">
              <w:rPr>
                <w:b/>
                <w:bCs/>
              </w:rPr>
              <w:t>Стомашно-чревни нарушения</w:t>
            </w:r>
          </w:p>
        </w:tc>
      </w:tr>
      <w:tr w:rsidR="003650E2" w14:paraId="74A6A634" w14:textId="77777777" w:rsidTr="00F27867">
        <w:tc>
          <w:tcPr>
            <w:tcW w:w="4788" w:type="dxa"/>
          </w:tcPr>
          <w:p w14:paraId="5EBCA831" w14:textId="5FF26A5B" w:rsidR="003650E2" w:rsidRDefault="003650E2" w:rsidP="003650E2">
            <w:r>
              <w:rPr>
                <w:i/>
                <w:iCs/>
              </w:rPr>
              <w:t>С неизвестна честота</w:t>
            </w:r>
          </w:p>
        </w:tc>
        <w:tc>
          <w:tcPr>
            <w:tcW w:w="4788" w:type="dxa"/>
            <w:vAlign w:val="bottom"/>
          </w:tcPr>
          <w:p w14:paraId="068D4542" w14:textId="71E71A05" w:rsidR="003650E2" w:rsidRDefault="003650E2" w:rsidP="003650E2">
            <w:r>
              <w:t>Диария, стоматит, обезцветяване на езика</w:t>
            </w:r>
          </w:p>
        </w:tc>
      </w:tr>
      <w:tr w:rsidR="003650E2" w14:paraId="35B3BFC9" w14:textId="77777777" w:rsidTr="00941EC8">
        <w:tc>
          <w:tcPr>
            <w:tcW w:w="9576" w:type="dxa"/>
            <w:gridSpan w:val="2"/>
          </w:tcPr>
          <w:p w14:paraId="7D580B3B" w14:textId="0D63531F" w:rsidR="003650E2" w:rsidRPr="003650E2" w:rsidRDefault="003650E2" w:rsidP="003650E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650E2">
              <w:rPr>
                <w:b/>
                <w:bCs/>
                <w:lang w:eastAsia="bg-BG"/>
              </w:rPr>
              <w:t>Хепатобилиарнн</w:t>
            </w:r>
            <w:proofErr w:type="spellEnd"/>
            <w:r w:rsidRPr="003650E2">
              <w:rPr>
                <w:b/>
                <w:bCs/>
                <w:lang w:eastAsia="bg-BG"/>
              </w:rPr>
              <w:t xml:space="preserve"> нарушения</w:t>
            </w:r>
          </w:p>
        </w:tc>
      </w:tr>
      <w:tr w:rsidR="003650E2" w14:paraId="5D5A0AB8" w14:textId="77777777" w:rsidTr="00C918D0">
        <w:tc>
          <w:tcPr>
            <w:tcW w:w="4788" w:type="dxa"/>
            <w:vAlign w:val="bottom"/>
          </w:tcPr>
          <w:p w14:paraId="4BD1447B" w14:textId="0D75B489" w:rsidR="003650E2" w:rsidRDefault="003650E2" w:rsidP="003650E2">
            <w:r>
              <w:rPr>
                <w:i/>
                <w:iCs/>
              </w:rPr>
              <w:t>С неизвестна честота</w:t>
            </w:r>
          </w:p>
        </w:tc>
        <w:tc>
          <w:tcPr>
            <w:tcW w:w="4788" w:type="dxa"/>
            <w:vAlign w:val="center"/>
          </w:tcPr>
          <w:p w14:paraId="363D00F2" w14:textId="779B9D12" w:rsidR="003650E2" w:rsidRDefault="003650E2" w:rsidP="003650E2">
            <w:r>
              <w:t>Хепатит</w:t>
            </w:r>
          </w:p>
        </w:tc>
      </w:tr>
      <w:tr w:rsidR="003650E2" w14:paraId="5C8A04DE" w14:textId="77777777" w:rsidTr="00BC3465">
        <w:tc>
          <w:tcPr>
            <w:tcW w:w="9576" w:type="dxa"/>
            <w:gridSpan w:val="2"/>
          </w:tcPr>
          <w:p w14:paraId="37AF562E" w14:textId="1DCDCC06" w:rsidR="003650E2" w:rsidRPr="003650E2" w:rsidRDefault="003650E2" w:rsidP="003650E2">
            <w:pPr>
              <w:rPr>
                <w:b/>
                <w:bCs/>
              </w:rPr>
            </w:pPr>
            <w:r w:rsidRPr="003650E2">
              <w:rPr>
                <w:b/>
                <w:bCs/>
              </w:rPr>
              <w:t>Нарушения на кожата и подкожната тъкан</w:t>
            </w:r>
          </w:p>
        </w:tc>
      </w:tr>
      <w:tr w:rsidR="003650E2" w14:paraId="247B18DD" w14:textId="77777777" w:rsidTr="004E21E0">
        <w:tc>
          <w:tcPr>
            <w:tcW w:w="4788" w:type="dxa"/>
            <w:vAlign w:val="center"/>
          </w:tcPr>
          <w:p w14:paraId="35E9908A" w14:textId="37634E02" w:rsidR="003650E2" w:rsidRDefault="003650E2" w:rsidP="003650E2">
            <w:r>
              <w:rPr>
                <w:i/>
                <w:iCs/>
              </w:rPr>
              <w:lastRenderedPageBreak/>
              <w:t>С неизвестна честота</w:t>
            </w:r>
          </w:p>
        </w:tc>
        <w:tc>
          <w:tcPr>
            <w:tcW w:w="4788" w:type="dxa"/>
          </w:tcPr>
          <w:p w14:paraId="5C5ADA71" w14:textId="77B46137" w:rsidR="003650E2" w:rsidRDefault="003650E2" w:rsidP="003650E2">
            <w:r>
              <w:t xml:space="preserve">Ангиоедем, токсична епидермална </w:t>
            </w:r>
            <w:proofErr w:type="spellStart"/>
            <w:r>
              <w:t>некролиза</w:t>
            </w:r>
            <w:proofErr w:type="spellEnd"/>
            <w:r>
              <w:t xml:space="preserve">, синдром на </w:t>
            </w:r>
            <w:r>
              <w:rPr>
                <w:lang w:val="en-US"/>
              </w:rPr>
              <w:t xml:space="preserve">Stevens-Johnson, </w:t>
            </w:r>
            <w:r>
              <w:t xml:space="preserve">уртикария, обрив, остра генерализирана </w:t>
            </w:r>
            <w:proofErr w:type="spellStart"/>
            <w:r>
              <w:t>екзантематозна</w:t>
            </w:r>
            <w:proofErr w:type="spellEnd"/>
            <w:r>
              <w:t xml:space="preserve"> </w:t>
            </w:r>
            <w:proofErr w:type="spellStart"/>
            <w:r>
              <w:t>пустулоза</w:t>
            </w:r>
            <w:proofErr w:type="spellEnd"/>
            <w:r>
              <w:t xml:space="preserve">, лекарствена реакция с </w:t>
            </w:r>
            <w:proofErr w:type="spellStart"/>
            <w:r>
              <w:t>еозинофилия</w:t>
            </w:r>
            <w:proofErr w:type="spellEnd"/>
            <w:r>
              <w:t xml:space="preserve"> и системни симптоми</w:t>
            </w:r>
          </w:p>
        </w:tc>
      </w:tr>
    </w:tbl>
    <w:p w14:paraId="0C97B9AF" w14:textId="77777777" w:rsidR="003650E2" w:rsidRPr="003650E2" w:rsidRDefault="003650E2" w:rsidP="003650E2">
      <w:pPr>
        <w:rPr>
          <w:sz w:val="24"/>
          <w:szCs w:val="24"/>
          <w:u w:val="single"/>
        </w:rPr>
      </w:pPr>
      <w:r w:rsidRPr="003650E2">
        <w:rPr>
          <w:u w:val="single"/>
          <w:lang w:eastAsia="bg-BG"/>
        </w:rPr>
        <w:t>Съобщаване на подозирани нежелани реакции</w:t>
      </w:r>
    </w:p>
    <w:p w14:paraId="33BB2799" w14:textId="77777777" w:rsidR="003650E2" w:rsidRPr="003650E2" w:rsidRDefault="003650E2" w:rsidP="003650E2">
      <w:pPr>
        <w:rPr>
          <w:sz w:val="24"/>
          <w:szCs w:val="24"/>
        </w:rPr>
      </w:pPr>
      <w:r w:rsidRPr="003650E2">
        <w:rPr>
          <w:lang w:eastAsia="bg-BG"/>
        </w:rPr>
        <w:t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националната система за съобщаване:</w:t>
      </w:r>
    </w:p>
    <w:p w14:paraId="2DEAD4D3" w14:textId="77777777" w:rsidR="003650E2" w:rsidRPr="003650E2" w:rsidRDefault="003650E2" w:rsidP="003650E2">
      <w:pPr>
        <w:rPr>
          <w:sz w:val="24"/>
          <w:szCs w:val="24"/>
        </w:rPr>
      </w:pPr>
      <w:r w:rsidRPr="003650E2">
        <w:rPr>
          <w:lang w:eastAsia="bg-BG"/>
        </w:rPr>
        <w:t>Изпълнителна агенция по лекарствата</w:t>
      </w:r>
    </w:p>
    <w:p w14:paraId="24F37DFE" w14:textId="77777777" w:rsidR="003650E2" w:rsidRPr="003650E2" w:rsidRDefault="003650E2" w:rsidP="003650E2">
      <w:pPr>
        <w:rPr>
          <w:sz w:val="24"/>
          <w:szCs w:val="24"/>
        </w:rPr>
      </w:pPr>
      <w:proofErr w:type="spellStart"/>
      <w:r w:rsidRPr="003650E2">
        <w:rPr>
          <w:lang w:eastAsia="bg-BG"/>
        </w:rPr>
        <w:t>ул</w:t>
      </w:r>
      <w:proofErr w:type="spellEnd"/>
      <w:r w:rsidRPr="003650E2">
        <w:rPr>
          <w:lang w:eastAsia="bg-BG"/>
        </w:rPr>
        <w:t>.,Дамян Груев” № 8</w:t>
      </w:r>
    </w:p>
    <w:p w14:paraId="2C353CDC" w14:textId="77777777" w:rsidR="003650E2" w:rsidRPr="003650E2" w:rsidRDefault="003650E2" w:rsidP="003650E2">
      <w:pPr>
        <w:rPr>
          <w:sz w:val="24"/>
          <w:szCs w:val="24"/>
        </w:rPr>
      </w:pPr>
      <w:r w:rsidRPr="003650E2">
        <w:rPr>
          <w:lang w:eastAsia="bg-BG"/>
        </w:rPr>
        <w:t>1303 София</w:t>
      </w:r>
    </w:p>
    <w:p w14:paraId="116C979F" w14:textId="77777777" w:rsidR="003650E2" w:rsidRPr="003650E2" w:rsidRDefault="003650E2" w:rsidP="003650E2">
      <w:pPr>
        <w:rPr>
          <w:sz w:val="24"/>
          <w:szCs w:val="24"/>
        </w:rPr>
      </w:pPr>
      <w:r w:rsidRPr="003650E2">
        <w:rPr>
          <w:lang w:eastAsia="bg-BG"/>
        </w:rPr>
        <w:t>Тел.:+359 2 8903417</w:t>
      </w:r>
    </w:p>
    <w:p w14:paraId="789542C3" w14:textId="658476F1" w:rsidR="003650E2" w:rsidRDefault="003650E2" w:rsidP="003650E2">
      <w:pPr>
        <w:rPr>
          <w:sz w:val="24"/>
          <w:szCs w:val="24"/>
        </w:rPr>
      </w:pPr>
      <w:r w:rsidRPr="003650E2">
        <w:rPr>
          <w:lang w:eastAsia="bg-BG"/>
        </w:rPr>
        <w:t xml:space="preserve">уебсайт: </w:t>
      </w:r>
      <w:hyperlink r:id="rId5" w:history="1">
        <w:r w:rsidRPr="003650E2">
          <w:rPr>
            <w:lang w:val="en-US"/>
          </w:rPr>
          <w:t>www.bda.bg</w:t>
        </w:r>
      </w:hyperlink>
    </w:p>
    <w:p w14:paraId="25D3F7C9" w14:textId="77777777" w:rsidR="003650E2" w:rsidRPr="00B85F1F" w:rsidRDefault="003650E2" w:rsidP="003650E2"/>
    <w:p w14:paraId="4239D218" w14:textId="4FD593A4" w:rsidR="00C809A7" w:rsidRDefault="002C50EE" w:rsidP="00AA23EC">
      <w:pPr>
        <w:pStyle w:val="Heading2"/>
      </w:pPr>
      <w:r>
        <w:t>4.9. Предозиране</w:t>
      </w:r>
    </w:p>
    <w:p w14:paraId="75BA13FF" w14:textId="77777777" w:rsidR="003650E2" w:rsidRDefault="003650E2" w:rsidP="003650E2">
      <w:pPr>
        <w:rPr>
          <w:lang w:eastAsia="bg-BG"/>
        </w:rPr>
      </w:pPr>
    </w:p>
    <w:p w14:paraId="66F4B9DE" w14:textId="701877D5" w:rsidR="003650E2" w:rsidRPr="003650E2" w:rsidRDefault="003650E2" w:rsidP="003650E2">
      <w:pPr>
        <w:pStyle w:val="Heading3"/>
        <w:rPr>
          <w:rFonts w:eastAsia="Times New Roman"/>
          <w:u w:val="single"/>
        </w:rPr>
      </w:pPr>
      <w:r w:rsidRPr="003650E2">
        <w:rPr>
          <w:rFonts w:eastAsia="Times New Roman"/>
          <w:u w:val="single"/>
          <w:lang w:eastAsia="bg-BG"/>
        </w:rPr>
        <w:t>Симптоми</w:t>
      </w:r>
    </w:p>
    <w:p w14:paraId="558B7953" w14:textId="329097B3" w:rsidR="003650E2" w:rsidRPr="003650E2" w:rsidRDefault="003650E2" w:rsidP="003650E2">
      <w:pPr>
        <w:rPr>
          <w:lang w:eastAsia="bg-BG"/>
        </w:rPr>
      </w:pPr>
      <w:r w:rsidRPr="003650E2">
        <w:rPr>
          <w:lang w:eastAsia="bg-BG"/>
        </w:rPr>
        <w:t>В случай на неволно предозиране е възможна появата на повръщане и диария.</w:t>
      </w:r>
    </w:p>
    <w:p w14:paraId="7F139C16" w14:textId="77777777" w:rsidR="003650E2" w:rsidRDefault="003650E2" w:rsidP="003650E2">
      <w:pPr>
        <w:rPr>
          <w:lang w:eastAsia="bg-BG"/>
        </w:rPr>
      </w:pPr>
    </w:p>
    <w:p w14:paraId="62BA52C5" w14:textId="08B0BB71" w:rsidR="003650E2" w:rsidRPr="003650E2" w:rsidRDefault="003650E2" w:rsidP="003650E2">
      <w:pPr>
        <w:pStyle w:val="Heading3"/>
        <w:rPr>
          <w:rFonts w:eastAsia="Times New Roman"/>
          <w:u w:val="single"/>
        </w:rPr>
      </w:pPr>
      <w:r w:rsidRPr="003650E2">
        <w:rPr>
          <w:rFonts w:eastAsia="Times New Roman"/>
          <w:u w:val="single"/>
          <w:lang w:eastAsia="bg-BG"/>
        </w:rPr>
        <w:t>Лечение</w:t>
      </w:r>
    </w:p>
    <w:p w14:paraId="4F8DC834" w14:textId="210645CE" w:rsidR="003650E2" w:rsidRPr="003650E2" w:rsidRDefault="003650E2" w:rsidP="003650E2">
      <w:r w:rsidRPr="003650E2">
        <w:rPr>
          <w:lang w:eastAsia="bg-BG"/>
        </w:rPr>
        <w:t>Лечението е симптоматично и поддържащо. Не съществува специфичен антидот.</w:t>
      </w:r>
    </w:p>
    <w:p w14:paraId="18EF4AFE" w14:textId="77777777" w:rsidR="002C50EE" w:rsidRDefault="002C50EE" w:rsidP="002C50EE">
      <w:pPr>
        <w:pStyle w:val="Heading1"/>
      </w:pPr>
      <w:r>
        <w:t>5. ФАРМАКОЛОГИЧНИ СВОЙСТВА</w:t>
      </w:r>
    </w:p>
    <w:p w14:paraId="6CDB2723" w14:textId="7E9E13F2" w:rsidR="00C809A7" w:rsidRDefault="002C50EE" w:rsidP="00AA23EC">
      <w:pPr>
        <w:pStyle w:val="Heading2"/>
      </w:pPr>
      <w:r>
        <w:t xml:space="preserve">5.1. </w:t>
      </w:r>
      <w:proofErr w:type="spellStart"/>
      <w:r>
        <w:t>Фармакодинамични</w:t>
      </w:r>
      <w:proofErr w:type="spellEnd"/>
      <w:r>
        <w:t xml:space="preserve"> свойства</w:t>
      </w:r>
    </w:p>
    <w:p w14:paraId="52C72A66" w14:textId="77777777" w:rsidR="003650E2" w:rsidRDefault="003650E2" w:rsidP="003650E2">
      <w:pPr>
        <w:rPr>
          <w:lang w:eastAsia="bg-BG"/>
        </w:rPr>
      </w:pPr>
    </w:p>
    <w:p w14:paraId="3E7F65C9" w14:textId="387099C0" w:rsidR="003650E2" w:rsidRPr="003650E2" w:rsidRDefault="003650E2" w:rsidP="003650E2">
      <w:pPr>
        <w:rPr>
          <w:sz w:val="24"/>
          <w:szCs w:val="24"/>
        </w:rPr>
      </w:pPr>
      <w:proofErr w:type="spellStart"/>
      <w:r w:rsidRPr="003650E2">
        <w:rPr>
          <w:lang w:eastAsia="bg-BG"/>
        </w:rPr>
        <w:t>Фармакотерапевтична</w:t>
      </w:r>
      <w:proofErr w:type="spellEnd"/>
      <w:r w:rsidRPr="003650E2">
        <w:rPr>
          <w:lang w:eastAsia="bg-BG"/>
        </w:rPr>
        <w:t xml:space="preserve"> група: Антиинфекциозни и антисептици за локално перорално лечение АТС код: А01АВ09</w:t>
      </w:r>
    </w:p>
    <w:p w14:paraId="117023ED" w14:textId="3DB2681E" w:rsidR="003650E2" w:rsidRDefault="003650E2" w:rsidP="003650E2"/>
    <w:p w14:paraId="20576F8D" w14:textId="77777777" w:rsidR="003650E2" w:rsidRPr="003650E2" w:rsidRDefault="003650E2" w:rsidP="003650E2">
      <w:pPr>
        <w:rPr>
          <w:sz w:val="24"/>
          <w:szCs w:val="24"/>
          <w:u w:val="single"/>
        </w:rPr>
      </w:pPr>
      <w:r w:rsidRPr="003650E2">
        <w:rPr>
          <w:u w:val="single"/>
          <w:lang w:eastAsia="bg-BG"/>
        </w:rPr>
        <w:t>Механизъм на действие</w:t>
      </w:r>
    </w:p>
    <w:p w14:paraId="555F2DEB" w14:textId="77777777" w:rsidR="003650E2" w:rsidRPr="003650E2" w:rsidRDefault="003650E2" w:rsidP="003650E2">
      <w:pPr>
        <w:rPr>
          <w:sz w:val="24"/>
          <w:szCs w:val="24"/>
        </w:rPr>
      </w:pPr>
      <w:proofErr w:type="spellStart"/>
      <w:r w:rsidRPr="003650E2">
        <w:rPr>
          <w:lang w:eastAsia="bg-BG"/>
        </w:rPr>
        <w:t>Миконазол</w:t>
      </w:r>
      <w:proofErr w:type="spellEnd"/>
      <w:r w:rsidRPr="003650E2">
        <w:rPr>
          <w:lang w:eastAsia="bg-BG"/>
        </w:rPr>
        <w:t xml:space="preserve"> притежава антимикотично действие срещу разпространените </w:t>
      </w:r>
      <w:proofErr w:type="spellStart"/>
      <w:r w:rsidRPr="003650E2">
        <w:rPr>
          <w:lang w:eastAsia="bg-BG"/>
        </w:rPr>
        <w:t>дерматофити</w:t>
      </w:r>
      <w:proofErr w:type="spellEnd"/>
      <w:r w:rsidRPr="003650E2">
        <w:rPr>
          <w:lang w:eastAsia="bg-BG"/>
        </w:rPr>
        <w:t xml:space="preserve"> и дрожди, както и антибактериално действие срещу някои Грам-позитивни бацили и коки.</w:t>
      </w:r>
    </w:p>
    <w:p w14:paraId="0653DAEE" w14:textId="77777777" w:rsidR="003650E2" w:rsidRDefault="003650E2" w:rsidP="003650E2">
      <w:pPr>
        <w:rPr>
          <w:lang w:eastAsia="bg-BG"/>
        </w:rPr>
      </w:pPr>
    </w:p>
    <w:p w14:paraId="0051114E" w14:textId="6C5F0F6F" w:rsidR="003650E2" w:rsidRDefault="003650E2" w:rsidP="003650E2">
      <w:pPr>
        <w:rPr>
          <w:lang w:eastAsia="bg-BG"/>
        </w:rPr>
      </w:pPr>
      <w:proofErr w:type="spellStart"/>
      <w:r w:rsidRPr="003650E2">
        <w:rPr>
          <w:lang w:eastAsia="bg-BG"/>
        </w:rPr>
        <w:t>Миконазол</w:t>
      </w:r>
      <w:proofErr w:type="spellEnd"/>
      <w:r w:rsidRPr="003650E2">
        <w:rPr>
          <w:lang w:eastAsia="bg-BG"/>
        </w:rPr>
        <w:t xml:space="preserve"> инхибира биосинтезата на </w:t>
      </w:r>
      <w:proofErr w:type="spellStart"/>
      <w:r w:rsidRPr="003650E2">
        <w:rPr>
          <w:lang w:eastAsia="bg-BG"/>
        </w:rPr>
        <w:t>ергостерол</w:t>
      </w:r>
      <w:proofErr w:type="spellEnd"/>
      <w:r w:rsidRPr="003650E2">
        <w:rPr>
          <w:lang w:eastAsia="bg-BG"/>
        </w:rPr>
        <w:t xml:space="preserve"> в гъбичките и променя състава на други липидни компоненти в мембраната, като това води до некроза на </w:t>
      </w:r>
      <w:proofErr w:type="spellStart"/>
      <w:r w:rsidRPr="003650E2">
        <w:rPr>
          <w:lang w:eastAsia="bg-BG"/>
        </w:rPr>
        <w:t>гъбичковата</w:t>
      </w:r>
      <w:proofErr w:type="spellEnd"/>
      <w:r w:rsidRPr="003650E2">
        <w:rPr>
          <w:lang w:eastAsia="bg-BG"/>
        </w:rPr>
        <w:t xml:space="preserve"> клетка.</w:t>
      </w:r>
    </w:p>
    <w:p w14:paraId="15E00CEA" w14:textId="77777777" w:rsidR="003650E2" w:rsidRPr="003650E2" w:rsidRDefault="003650E2" w:rsidP="003650E2"/>
    <w:p w14:paraId="0A962168" w14:textId="5A029089" w:rsidR="00C809A7" w:rsidRDefault="002C50EE" w:rsidP="00AA23EC">
      <w:pPr>
        <w:pStyle w:val="Heading2"/>
      </w:pPr>
      <w:r>
        <w:t xml:space="preserve">5.2. </w:t>
      </w:r>
      <w:proofErr w:type="spellStart"/>
      <w:r>
        <w:t>Фармакокинетични</w:t>
      </w:r>
      <w:proofErr w:type="spellEnd"/>
      <w:r>
        <w:t xml:space="preserve"> свойства</w:t>
      </w:r>
    </w:p>
    <w:p w14:paraId="7EF31A63" w14:textId="77777777" w:rsidR="003650E2" w:rsidRDefault="003650E2" w:rsidP="003650E2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bg-BG"/>
        </w:rPr>
      </w:pPr>
    </w:p>
    <w:p w14:paraId="62F2098F" w14:textId="0106DA58" w:rsidR="003650E2" w:rsidRPr="003650E2" w:rsidRDefault="003650E2" w:rsidP="003650E2">
      <w:pPr>
        <w:pStyle w:val="Heading3"/>
        <w:rPr>
          <w:rFonts w:eastAsia="Times New Roman"/>
          <w:u w:val="single"/>
        </w:rPr>
      </w:pPr>
      <w:r w:rsidRPr="003650E2">
        <w:rPr>
          <w:rFonts w:eastAsia="Times New Roman"/>
          <w:u w:val="single"/>
          <w:lang w:eastAsia="bg-BG"/>
        </w:rPr>
        <w:t>Абсорбция</w:t>
      </w:r>
    </w:p>
    <w:p w14:paraId="7A65A4FD" w14:textId="77777777" w:rsidR="003650E2" w:rsidRPr="003650E2" w:rsidRDefault="003650E2" w:rsidP="003650E2">
      <w:pPr>
        <w:rPr>
          <w:sz w:val="24"/>
          <w:szCs w:val="24"/>
        </w:rPr>
      </w:pPr>
      <w:proofErr w:type="spellStart"/>
      <w:r w:rsidRPr="003650E2">
        <w:rPr>
          <w:lang w:eastAsia="bg-BG"/>
        </w:rPr>
        <w:t>Миконазол</w:t>
      </w:r>
      <w:proofErr w:type="spellEnd"/>
      <w:r w:rsidRPr="003650E2">
        <w:rPr>
          <w:lang w:eastAsia="bg-BG"/>
        </w:rPr>
        <w:t xml:space="preserve"> се резорбира в системното кръвообращение след приложението му като перорален гел. Прилагането на доза от 60 </w:t>
      </w:r>
      <w:r w:rsidRPr="003650E2">
        <w:rPr>
          <w:lang w:val="en-US"/>
        </w:rPr>
        <w:t xml:space="preserve">mg </w:t>
      </w:r>
      <w:proofErr w:type="spellStart"/>
      <w:r w:rsidRPr="003650E2">
        <w:rPr>
          <w:lang w:eastAsia="bg-BG"/>
        </w:rPr>
        <w:t>миконазол</w:t>
      </w:r>
      <w:proofErr w:type="spellEnd"/>
      <w:r w:rsidRPr="003650E2">
        <w:rPr>
          <w:lang w:eastAsia="bg-BG"/>
        </w:rPr>
        <w:t xml:space="preserve"> като перорален гел води до пик на плазмените концентрации от 31 — 49 </w:t>
      </w:r>
      <w:r w:rsidRPr="003650E2">
        <w:rPr>
          <w:lang w:val="en-US"/>
        </w:rPr>
        <w:t xml:space="preserve">ng/ml, </w:t>
      </w:r>
      <w:r w:rsidRPr="003650E2">
        <w:rPr>
          <w:lang w:eastAsia="bg-BG"/>
        </w:rPr>
        <w:t>откриващи се приблизително 2 часа след приложението.</w:t>
      </w:r>
    </w:p>
    <w:p w14:paraId="21BAE5B5" w14:textId="77777777" w:rsidR="003650E2" w:rsidRDefault="003650E2" w:rsidP="003650E2">
      <w:pPr>
        <w:rPr>
          <w:lang w:eastAsia="bg-BG"/>
        </w:rPr>
      </w:pPr>
    </w:p>
    <w:p w14:paraId="28776949" w14:textId="4F483F8D" w:rsidR="003650E2" w:rsidRPr="003650E2" w:rsidRDefault="003650E2" w:rsidP="003650E2">
      <w:pPr>
        <w:pStyle w:val="Heading3"/>
        <w:rPr>
          <w:rFonts w:eastAsia="Times New Roman"/>
          <w:u w:val="single"/>
        </w:rPr>
      </w:pPr>
      <w:r w:rsidRPr="003650E2">
        <w:rPr>
          <w:rFonts w:eastAsia="Times New Roman"/>
          <w:u w:val="single"/>
          <w:lang w:eastAsia="bg-BG"/>
        </w:rPr>
        <w:t>Разпределение</w:t>
      </w:r>
    </w:p>
    <w:p w14:paraId="080ED43D" w14:textId="77777777" w:rsidR="003650E2" w:rsidRPr="003650E2" w:rsidRDefault="003650E2" w:rsidP="003650E2">
      <w:pPr>
        <w:rPr>
          <w:sz w:val="24"/>
          <w:szCs w:val="24"/>
        </w:rPr>
      </w:pPr>
      <w:r w:rsidRPr="003650E2">
        <w:rPr>
          <w:lang w:eastAsia="bg-BG"/>
        </w:rPr>
        <w:t xml:space="preserve">Резорбираният </w:t>
      </w:r>
      <w:proofErr w:type="spellStart"/>
      <w:r w:rsidRPr="003650E2">
        <w:rPr>
          <w:lang w:eastAsia="bg-BG"/>
        </w:rPr>
        <w:t>миконазол</w:t>
      </w:r>
      <w:proofErr w:type="spellEnd"/>
      <w:r w:rsidRPr="003650E2">
        <w:rPr>
          <w:lang w:eastAsia="bg-BG"/>
        </w:rPr>
        <w:t xml:space="preserve"> се свързва с плазмените протеини (88,2%), основно със серумния албумин и червените кръвни клетки (10,6%).</w:t>
      </w:r>
    </w:p>
    <w:p w14:paraId="357CE849" w14:textId="77777777" w:rsidR="003650E2" w:rsidRDefault="003650E2" w:rsidP="003650E2">
      <w:pPr>
        <w:rPr>
          <w:lang w:eastAsia="bg-BG"/>
        </w:rPr>
      </w:pPr>
    </w:p>
    <w:p w14:paraId="3BF0DCE9" w14:textId="1A0B104C" w:rsidR="003650E2" w:rsidRPr="003650E2" w:rsidRDefault="003650E2" w:rsidP="003650E2">
      <w:pPr>
        <w:pStyle w:val="Heading3"/>
        <w:rPr>
          <w:rFonts w:eastAsia="Times New Roman"/>
          <w:u w:val="single"/>
        </w:rPr>
      </w:pPr>
      <w:r w:rsidRPr="003650E2">
        <w:rPr>
          <w:rFonts w:eastAsia="Times New Roman"/>
          <w:u w:val="single"/>
          <w:lang w:eastAsia="bg-BG"/>
        </w:rPr>
        <w:t>Биотрансформация</w:t>
      </w:r>
    </w:p>
    <w:p w14:paraId="2257ABB1" w14:textId="77777777" w:rsidR="003650E2" w:rsidRPr="003650E2" w:rsidRDefault="003650E2" w:rsidP="003650E2">
      <w:pPr>
        <w:rPr>
          <w:sz w:val="24"/>
          <w:szCs w:val="24"/>
        </w:rPr>
      </w:pPr>
      <w:r w:rsidRPr="003650E2">
        <w:rPr>
          <w:lang w:eastAsia="bg-BG"/>
        </w:rPr>
        <w:t xml:space="preserve">Резорбираната част </w:t>
      </w:r>
      <w:proofErr w:type="spellStart"/>
      <w:r w:rsidRPr="003650E2">
        <w:rPr>
          <w:lang w:eastAsia="bg-BG"/>
        </w:rPr>
        <w:t>миконазол</w:t>
      </w:r>
      <w:proofErr w:type="spellEnd"/>
      <w:r w:rsidRPr="003650E2">
        <w:rPr>
          <w:lang w:eastAsia="bg-BG"/>
        </w:rPr>
        <w:t xml:space="preserve"> се </w:t>
      </w:r>
      <w:proofErr w:type="spellStart"/>
      <w:r w:rsidRPr="003650E2">
        <w:rPr>
          <w:lang w:eastAsia="bg-BG"/>
        </w:rPr>
        <w:t>метаболизира</w:t>
      </w:r>
      <w:proofErr w:type="spellEnd"/>
      <w:r w:rsidRPr="003650E2">
        <w:rPr>
          <w:lang w:eastAsia="bg-BG"/>
        </w:rPr>
        <w:t xml:space="preserve"> почти изцяло. По-малко от 1% от приетата доза се открива непроменена в урината.</w:t>
      </w:r>
    </w:p>
    <w:p w14:paraId="4751D966" w14:textId="77777777" w:rsidR="003650E2" w:rsidRDefault="003650E2" w:rsidP="003650E2">
      <w:pPr>
        <w:rPr>
          <w:lang w:eastAsia="bg-BG"/>
        </w:rPr>
      </w:pPr>
    </w:p>
    <w:p w14:paraId="18625F00" w14:textId="13E80699" w:rsidR="003650E2" w:rsidRPr="003650E2" w:rsidRDefault="003650E2" w:rsidP="003650E2">
      <w:pPr>
        <w:pStyle w:val="Heading3"/>
        <w:rPr>
          <w:rFonts w:eastAsia="Times New Roman"/>
          <w:u w:val="single"/>
        </w:rPr>
      </w:pPr>
      <w:r w:rsidRPr="003650E2">
        <w:rPr>
          <w:rFonts w:eastAsia="Times New Roman"/>
          <w:u w:val="single"/>
          <w:lang w:eastAsia="bg-BG"/>
        </w:rPr>
        <w:t>Елиминиране</w:t>
      </w:r>
    </w:p>
    <w:p w14:paraId="10E3313C" w14:textId="77777777" w:rsidR="003650E2" w:rsidRPr="003650E2" w:rsidRDefault="003650E2" w:rsidP="003650E2">
      <w:pPr>
        <w:rPr>
          <w:sz w:val="24"/>
          <w:szCs w:val="24"/>
        </w:rPr>
      </w:pPr>
      <w:r w:rsidRPr="003650E2">
        <w:rPr>
          <w:lang w:eastAsia="bg-BG"/>
        </w:rPr>
        <w:t xml:space="preserve">Времето на полуживот на </w:t>
      </w:r>
      <w:proofErr w:type="spellStart"/>
      <w:r w:rsidRPr="003650E2">
        <w:rPr>
          <w:lang w:eastAsia="bg-BG"/>
        </w:rPr>
        <w:t>миконазол</w:t>
      </w:r>
      <w:proofErr w:type="spellEnd"/>
      <w:r w:rsidRPr="003650E2">
        <w:rPr>
          <w:lang w:eastAsia="bg-BG"/>
        </w:rPr>
        <w:t xml:space="preserve"> в плазмата при повечето пациенти е около 20 до 25 часа.</w:t>
      </w:r>
    </w:p>
    <w:p w14:paraId="7414478F" w14:textId="77777777" w:rsidR="003650E2" w:rsidRDefault="003650E2" w:rsidP="003650E2">
      <w:pPr>
        <w:rPr>
          <w:lang w:eastAsia="bg-BG"/>
        </w:rPr>
      </w:pPr>
    </w:p>
    <w:p w14:paraId="76E4810B" w14:textId="2A0DF247" w:rsidR="003650E2" w:rsidRPr="003650E2" w:rsidRDefault="003650E2" w:rsidP="003650E2">
      <w:pPr>
        <w:pStyle w:val="Heading3"/>
        <w:rPr>
          <w:rFonts w:eastAsia="Times New Roman"/>
          <w:u w:val="single"/>
        </w:rPr>
      </w:pPr>
      <w:r w:rsidRPr="003650E2">
        <w:rPr>
          <w:rFonts w:eastAsia="Times New Roman"/>
          <w:u w:val="single"/>
          <w:lang w:eastAsia="bg-BG"/>
        </w:rPr>
        <w:t>Специални популации</w:t>
      </w:r>
    </w:p>
    <w:p w14:paraId="37377051" w14:textId="77777777" w:rsidR="003650E2" w:rsidRPr="003650E2" w:rsidRDefault="003650E2" w:rsidP="003650E2">
      <w:pPr>
        <w:rPr>
          <w:sz w:val="24"/>
          <w:szCs w:val="24"/>
        </w:rPr>
      </w:pPr>
      <w:r w:rsidRPr="003650E2">
        <w:rPr>
          <w:i/>
          <w:iCs/>
          <w:lang w:eastAsia="bg-BG"/>
        </w:rPr>
        <w:t>Бъбречно увреждане</w:t>
      </w:r>
    </w:p>
    <w:p w14:paraId="64DCADDD" w14:textId="77777777" w:rsidR="003650E2" w:rsidRPr="003650E2" w:rsidRDefault="003650E2" w:rsidP="003650E2">
      <w:pPr>
        <w:rPr>
          <w:sz w:val="24"/>
          <w:szCs w:val="24"/>
        </w:rPr>
      </w:pPr>
      <w:r w:rsidRPr="003650E2">
        <w:rPr>
          <w:lang w:eastAsia="bg-BG"/>
        </w:rPr>
        <w:t xml:space="preserve">Времето на полуживот на </w:t>
      </w:r>
      <w:proofErr w:type="spellStart"/>
      <w:r w:rsidRPr="003650E2">
        <w:rPr>
          <w:lang w:eastAsia="bg-BG"/>
        </w:rPr>
        <w:t>миконазол</w:t>
      </w:r>
      <w:proofErr w:type="spellEnd"/>
      <w:r w:rsidRPr="003650E2">
        <w:rPr>
          <w:lang w:eastAsia="bg-BG"/>
        </w:rPr>
        <w:t xml:space="preserve"> при пациенти с увредени бъбреци не е променено. Плазмените концентрации на </w:t>
      </w:r>
      <w:proofErr w:type="spellStart"/>
      <w:r w:rsidRPr="003650E2">
        <w:rPr>
          <w:lang w:eastAsia="bg-BG"/>
        </w:rPr>
        <w:t>миконазол</w:t>
      </w:r>
      <w:proofErr w:type="spellEnd"/>
      <w:r w:rsidRPr="003650E2">
        <w:rPr>
          <w:lang w:eastAsia="bg-BG"/>
        </w:rPr>
        <w:t xml:space="preserve"> по време на хемодиализа са умерено редуцирани (приблизително 50%).</w:t>
      </w:r>
    </w:p>
    <w:p w14:paraId="2F6FBAD3" w14:textId="77777777" w:rsidR="003650E2" w:rsidRPr="003650E2" w:rsidRDefault="003650E2" w:rsidP="003650E2"/>
    <w:p w14:paraId="674BE4E2" w14:textId="490A3AE0" w:rsidR="009B171C" w:rsidRDefault="002C50EE" w:rsidP="00CA1B57">
      <w:pPr>
        <w:pStyle w:val="Heading2"/>
      </w:pPr>
      <w:r>
        <w:t>5.3. Предклинични данни за безопасност</w:t>
      </w:r>
    </w:p>
    <w:p w14:paraId="7049F333" w14:textId="77777777" w:rsidR="003650E2" w:rsidRDefault="003650E2" w:rsidP="003650E2"/>
    <w:p w14:paraId="28817C04" w14:textId="33341658" w:rsidR="003650E2" w:rsidRPr="003650E2" w:rsidRDefault="003650E2" w:rsidP="003650E2">
      <w:proofErr w:type="spellStart"/>
      <w:r>
        <w:t>Предклиничниге</w:t>
      </w:r>
      <w:proofErr w:type="spellEnd"/>
      <w:r>
        <w:t xml:space="preserve"> данни, основаващи се на конвенционални изследвания за локално възпаление, единично и многократно приложена токсична доза, генна и репродуктивна токсичност показват, че няма специфичен риск за хора.</w:t>
      </w:r>
    </w:p>
    <w:p w14:paraId="6940F72E" w14:textId="6003E56F" w:rsidR="009B171C" w:rsidRDefault="002C50EE" w:rsidP="00CA1B57">
      <w:pPr>
        <w:pStyle w:val="Heading1"/>
      </w:pPr>
      <w:r>
        <w:t>7. ПРИТЕЖАТЕЛ НА РАЗРЕШЕНИЕТО ЗА УПОТРЕБА</w:t>
      </w:r>
    </w:p>
    <w:p w14:paraId="0FA62FF6" w14:textId="77777777" w:rsidR="003650E2" w:rsidRPr="003650E2" w:rsidRDefault="003650E2" w:rsidP="003650E2">
      <w:pPr>
        <w:rPr>
          <w:sz w:val="24"/>
          <w:szCs w:val="24"/>
          <w:lang w:val="en-US"/>
        </w:rPr>
      </w:pPr>
      <w:r w:rsidRPr="003650E2">
        <w:rPr>
          <w:lang w:val="en-US"/>
        </w:rPr>
        <w:t>McNeil Healthcare (Ireland) Ltd.</w:t>
      </w:r>
    </w:p>
    <w:p w14:paraId="758AB1A0" w14:textId="77777777" w:rsidR="003650E2" w:rsidRPr="003650E2" w:rsidRDefault="003650E2" w:rsidP="003650E2">
      <w:pPr>
        <w:rPr>
          <w:sz w:val="24"/>
          <w:szCs w:val="24"/>
          <w:lang w:val="en-US"/>
        </w:rPr>
      </w:pPr>
      <w:r w:rsidRPr="003650E2">
        <w:rPr>
          <w:lang w:val="en-US"/>
        </w:rPr>
        <w:t xml:space="preserve">Airton Road, </w:t>
      </w:r>
      <w:proofErr w:type="spellStart"/>
      <w:r w:rsidRPr="003650E2">
        <w:rPr>
          <w:lang w:val="en-US"/>
        </w:rPr>
        <w:t>Tallaght</w:t>
      </w:r>
      <w:proofErr w:type="spellEnd"/>
    </w:p>
    <w:p w14:paraId="64CD4F58" w14:textId="77777777" w:rsidR="003650E2" w:rsidRPr="003650E2" w:rsidRDefault="003650E2" w:rsidP="003650E2">
      <w:pPr>
        <w:rPr>
          <w:sz w:val="24"/>
          <w:szCs w:val="24"/>
          <w:lang w:val="en-US"/>
        </w:rPr>
      </w:pPr>
      <w:r w:rsidRPr="003650E2">
        <w:rPr>
          <w:lang w:val="en-US"/>
        </w:rPr>
        <w:t>Dublin 24</w:t>
      </w:r>
    </w:p>
    <w:p w14:paraId="1085C18C" w14:textId="3D367FAE" w:rsidR="003650E2" w:rsidRPr="003650E2" w:rsidRDefault="003650E2" w:rsidP="003650E2">
      <w:pPr>
        <w:rPr>
          <w:sz w:val="24"/>
          <w:szCs w:val="24"/>
          <w:lang w:val="en-US"/>
        </w:rPr>
      </w:pPr>
      <w:r w:rsidRPr="003650E2">
        <w:rPr>
          <w:lang w:eastAsia="bg-BG"/>
        </w:rPr>
        <w:t>Ирландия</w:t>
      </w:r>
    </w:p>
    <w:p w14:paraId="04840D59" w14:textId="6ECD0A94" w:rsidR="002C50EE" w:rsidRDefault="002C50EE" w:rsidP="002C50EE">
      <w:pPr>
        <w:pStyle w:val="Heading1"/>
      </w:pPr>
      <w:r>
        <w:t>8. НОМЕР НА РАЗРЕШЕНИЕТО ЗА УПОТРЕБА</w:t>
      </w:r>
    </w:p>
    <w:p w14:paraId="4B1BBDD6" w14:textId="5C371E23" w:rsidR="003650E2" w:rsidRPr="003650E2" w:rsidRDefault="003650E2" w:rsidP="003650E2">
      <w:r>
        <w:t>20011071</w:t>
      </w:r>
    </w:p>
    <w:p w14:paraId="5900CBF3" w14:textId="498BFA5C" w:rsidR="002C50EE" w:rsidRDefault="002C50EE" w:rsidP="002C50EE">
      <w:pPr>
        <w:pStyle w:val="Heading1"/>
      </w:pPr>
      <w:r>
        <w:t>9. ДАТА НА ПЪРВО РАЗРЕШАВАНЕ/ПОДНОВЯВАНЕ НА РАЗРЕШЕНИЕТО ЗА УПОТРЕБА</w:t>
      </w:r>
    </w:p>
    <w:p w14:paraId="65AEBF5F" w14:textId="77777777" w:rsidR="003650E2" w:rsidRPr="003650E2" w:rsidRDefault="003650E2" w:rsidP="003650E2">
      <w:pPr>
        <w:rPr>
          <w:sz w:val="24"/>
          <w:szCs w:val="24"/>
        </w:rPr>
      </w:pPr>
      <w:r w:rsidRPr="003650E2">
        <w:rPr>
          <w:lang w:eastAsia="bg-BG"/>
        </w:rPr>
        <w:t>Дата на първо разрешаване: 02 ноември 2001</w:t>
      </w:r>
    </w:p>
    <w:p w14:paraId="1A106681" w14:textId="7BF09D63" w:rsidR="003650E2" w:rsidRPr="003650E2" w:rsidRDefault="003650E2" w:rsidP="003650E2">
      <w:r w:rsidRPr="003650E2">
        <w:rPr>
          <w:lang w:eastAsia="bg-BG"/>
        </w:rPr>
        <w:t>Дата на последно подновяване: 15 декември 2011</w:t>
      </w:r>
    </w:p>
    <w:p w14:paraId="0E9D0119" w14:textId="0245C6D7" w:rsidR="002C50EE" w:rsidRDefault="002C50EE" w:rsidP="002C50EE">
      <w:pPr>
        <w:pStyle w:val="Heading1"/>
      </w:pPr>
      <w:r>
        <w:t>10. ДАТА НА АКТУАЛИЗИРАНЕ НА ТЕКСТА</w:t>
      </w:r>
    </w:p>
    <w:bookmarkEnd w:id="0"/>
    <w:p w14:paraId="423F4C2A" w14:textId="7CF4A44A" w:rsidR="00C87E90" w:rsidRPr="003E3126" w:rsidRDefault="003650E2" w:rsidP="003650E2">
      <w:r>
        <w:t>09/2020</w:t>
      </w:r>
    </w:p>
    <w:sectPr w:rsidR="00C87E90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7E87B36"/>
    <w:multiLevelType w:val="hybridMultilevel"/>
    <w:tmpl w:val="CDDAD90A"/>
    <w:lvl w:ilvl="0" w:tplc="C678A07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 w15:restartNumberingAfterBreak="0">
    <w:nsid w:val="252A022F"/>
    <w:multiLevelType w:val="hybridMultilevel"/>
    <w:tmpl w:val="F538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D54D35"/>
    <w:multiLevelType w:val="hybridMultilevel"/>
    <w:tmpl w:val="DFCAD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1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13"/>
  </w:num>
  <w:num w:numId="9">
    <w:abstractNumId w:val="2"/>
  </w:num>
  <w:num w:numId="10">
    <w:abstractNumId w:val="4"/>
  </w:num>
  <w:num w:numId="11">
    <w:abstractNumId w:val="25"/>
  </w:num>
  <w:num w:numId="12">
    <w:abstractNumId w:val="12"/>
  </w:num>
  <w:num w:numId="13">
    <w:abstractNumId w:val="17"/>
  </w:num>
  <w:num w:numId="14">
    <w:abstractNumId w:val="10"/>
  </w:num>
  <w:num w:numId="15">
    <w:abstractNumId w:val="24"/>
  </w:num>
  <w:num w:numId="16">
    <w:abstractNumId w:val="7"/>
  </w:num>
  <w:num w:numId="17">
    <w:abstractNumId w:val="19"/>
  </w:num>
  <w:num w:numId="18">
    <w:abstractNumId w:val="6"/>
  </w:num>
  <w:num w:numId="19">
    <w:abstractNumId w:val="21"/>
  </w:num>
  <w:num w:numId="20">
    <w:abstractNumId w:val="18"/>
  </w:num>
  <w:num w:numId="21">
    <w:abstractNumId w:val="15"/>
  </w:num>
  <w:num w:numId="22">
    <w:abstractNumId w:val="20"/>
  </w:num>
  <w:num w:numId="23">
    <w:abstractNumId w:val="16"/>
  </w:num>
  <w:num w:numId="24">
    <w:abstractNumId w:val="23"/>
  </w:num>
  <w:num w:numId="25">
    <w:abstractNumId w:val="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A00"/>
    <w:rsid w:val="00185A46"/>
    <w:rsid w:val="001915B6"/>
    <w:rsid w:val="001D1B23"/>
    <w:rsid w:val="002B4DBB"/>
    <w:rsid w:val="002C50EE"/>
    <w:rsid w:val="00340A0A"/>
    <w:rsid w:val="003650E2"/>
    <w:rsid w:val="003E3126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5649D"/>
    <w:rsid w:val="00814073"/>
    <w:rsid w:val="00826F0D"/>
    <w:rsid w:val="00893B92"/>
    <w:rsid w:val="008C70A2"/>
    <w:rsid w:val="009773E4"/>
    <w:rsid w:val="009B171C"/>
    <w:rsid w:val="00A20351"/>
    <w:rsid w:val="00AA23EC"/>
    <w:rsid w:val="00AC63CE"/>
    <w:rsid w:val="00AE2107"/>
    <w:rsid w:val="00B275A8"/>
    <w:rsid w:val="00B85F1F"/>
    <w:rsid w:val="00BF2600"/>
    <w:rsid w:val="00C07B84"/>
    <w:rsid w:val="00C33464"/>
    <w:rsid w:val="00C809A7"/>
    <w:rsid w:val="00C83063"/>
    <w:rsid w:val="00C87E90"/>
    <w:rsid w:val="00CA1B57"/>
    <w:rsid w:val="00D86297"/>
    <w:rsid w:val="00DD466D"/>
    <w:rsid w:val="00EB6364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2021-08-16T16:37:00Z</dcterms:created>
  <dcterms:modified xsi:type="dcterms:W3CDTF">2021-08-16T16:37:00Z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