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0CF2B37E" w:rsidR="00AA23EC" w:rsidRDefault="00DD466D" w:rsidP="00DD466D">
      <w:pPr>
        <w:pStyle w:val="Heading1"/>
      </w:pPr>
      <w:r>
        <w:t>1.ИМЕ НА ЛЕКАРСТВЕНИЯ ПРОДУКТ</w:t>
      </w:r>
    </w:p>
    <w:p w14:paraId="0A9E570D" w14:textId="77777777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eastAsia="bg-BG"/>
        </w:rPr>
        <w:t>Далацин</w:t>
      </w:r>
      <w:proofErr w:type="spellEnd"/>
      <w:r w:rsidRPr="00B67617">
        <w:rPr>
          <w:lang w:eastAsia="bg-BG"/>
        </w:rPr>
        <w:t xml:space="preserve"> С 150 </w:t>
      </w:r>
      <w:r w:rsidRPr="00B67617">
        <w:rPr>
          <w:lang w:val="en-US"/>
        </w:rPr>
        <w:t xml:space="preserve">mg </w:t>
      </w:r>
      <w:r w:rsidRPr="00B67617">
        <w:rPr>
          <w:lang w:eastAsia="bg-BG"/>
        </w:rPr>
        <w:t>твърди капсули</w:t>
      </w:r>
    </w:p>
    <w:p w14:paraId="777E47A4" w14:textId="77777777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val="en-US"/>
        </w:rPr>
        <w:t>Dalacin</w:t>
      </w:r>
      <w:proofErr w:type="spellEnd"/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С 150 </w:t>
      </w:r>
      <w:r w:rsidRPr="00B67617">
        <w:rPr>
          <w:lang w:val="en-US"/>
        </w:rPr>
        <w:t>mg hard capsules</w:t>
      </w:r>
    </w:p>
    <w:p w14:paraId="48986382" w14:textId="77777777" w:rsidR="00B67617" w:rsidRDefault="00B67617" w:rsidP="00B67617">
      <w:pPr>
        <w:rPr>
          <w:lang w:eastAsia="bg-BG"/>
        </w:rPr>
      </w:pPr>
    </w:p>
    <w:p w14:paraId="428F4814" w14:textId="4B243F2C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eastAsia="bg-BG"/>
        </w:rPr>
        <w:t>Далацин</w:t>
      </w:r>
      <w:proofErr w:type="spellEnd"/>
      <w:r w:rsidRPr="00B67617">
        <w:rPr>
          <w:lang w:eastAsia="bg-BG"/>
        </w:rPr>
        <w:t xml:space="preserve"> С 300 </w:t>
      </w:r>
      <w:r w:rsidRPr="00B67617">
        <w:rPr>
          <w:lang w:val="en-US"/>
        </w:rPr>
        <w:t xml:space="preserve">mg </w:t>
      </w:r>
      <w:r w:rsidRPr="00B67617">
        <w:rPr>
          <w:lang w:eastAsia="bg-BG"/>
        </w:rPr>
        <w:t>твърди капсули</w:t>
      </w:r>
    </w:p>
    <w:p w14:paraId="55DCB307" w14:textId="0DCCF784" w:rsidR="00B67617" w:rsidRPr="00B67617" w:rsidRDefault="00B67617" w:rsidP="00B67617">
      <w:proofErr w:type="spellStart"/>
      <w:r w:rsidRPr="00B67617">
        <w:rPr>
          <w:lang w:val="en-US"/>
        </w:rPr>
        <w:t>Dalacin</w:t>
      </w:r>
      <w:proofErr w:type="spellEnd"/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С 300 </w:t>
      </w:r>
      <w:r w:rsidRPr="00B67617">
        <w:rPr>
          <w:lang w:val="en-US"/>
        </w:rPr>
        <w:t>mg hard capsules</w:t>
      </w:r>
    </w:p>
    <w:p w14:paraId="4D88B710" w14:textId="192E5AFB" w:rsidR="00D86297" w:rsidRDefault="00DD466D" w:rsidP="00AA23EC">
      <w:pPr>
        <w:pStyle w:val="Heading1"/>
      </w:pPr>
      <w:r>
        <w:t>2. КАЧЕСТВЕН И КОЛИЧЕСТВЕН СЪСТАВ</w:t>
      </w:r>
    </w:p>
    <w:p w14:paraId="06B20B36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u w:val="single"/>
          <w:lang w:val="en-US"/>
        </w:rPr>
        <w:t>Dalacin</w:t>
      </w:r>
      <w:proofErr w:type="spellEnd"/>
      <w:r w:rsidRPr="00B67617">
        <w:rPr>
          <w:rFonts w:eastAsia="Times New Roman" w:cs="Arial"/>
          <w:color w:val="000000"/>
          <w:u w:val="single"/>
          <w:lang w:val="en-US"/>
        </w:rPr>
        <w:t xml:space="preserve"> </w:t>
      </w:r>
      <w:r w:rsidRPr="00B67617">
        <w:rPr>
          <w:rFonts w:eastAsia="Times New Roman" w:cs="Arial"/>
          <w:color w:val="000000"/>
          <w:u w:val="single"/>
          <w:lang w:eastAsia="bg-BG"/>
        </w:rPr>
        <w:t xml:space="preserve">С 150 </w:t>
      </w:r>
      <w:r w:rsidRPr="00B67617">
        <w:rPr>
          <w:rFonts w:eastAsia="Times New Roman" w:cs="Arial"/>
          <w:color w:val="000000"/>
          <w:u w:val="single"/>
          <w:lang w:val="en-US"/>
        </w:rPr>
        <w:t xml:space="preserve">mg </w:t>
      </w:r>
      <w:r w:rsidRPr="00B67617">
        <w:rPr>
          <w:rFonts w:eastAsia="Times New Roman" w:cs="Arial"/>
          <w:color w:val="000000"/>
          <w:u w:val="single"/>
          <w:lang w:eastAsia="bg-BG"/>
        </w:rPr>
        <w:t>твърди капсули</w:t>
      </w:r>
      <w:r w:rsidRPr="00B67617">
        <w:rPr>
          <w:rFonts w:eastAsia="Times New Roman" w:cs="Arial"/>
          <w:color w:val="000000"/>
          <w:lang w:eastAsia="bg-BG"/>
        </w:rPr>
        <w:t>:</w:t>
      </w:r>
    </w:p>
    <w:p w14:paraId="7764D661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Всяка капсула съдържа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хидрохлорид </w:t>
      </w:r>
      <w:r w:rsidRPr="00B67617">
        <w:rPr>
          <w:rFonts w:eastAsia="Times New Roman" w:cs="Arial"/>
          <w:color w:val="000000"/>
          <w:lang w:val="en-US"/>
        </w:rPr>
        <w:t xml:space="preserve">(clindamycin hydrochloride), </w:t>
      </w:r>
      <w:r w:rsidRPr="00B67617">
        <w:rPr>
          <w:rFonts w:eastAsia="Times New Roman" w:cs="Arial"/>
          <w:color w:val="000000"/>
          <w:lang w:eastAsia="bg-BG"/>
        </w:rPr>
        <w:t xml:space="preserve">еквивалентен на 150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.</w:t>
      </w:r>
    </w:p>
    <w:p w14:paraId="3FBD7435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val="en-US"/>
        </w:rPr>
      </w:pPr>
    </w:p>
    <w:p w14:paraId="7281372E" w14:textId="755E5A5C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u w:val="single"/>
          <w:lang w:val="en-US"/>
        </w:rPr>
        <w:t>Dalacin</w:t>
      </w:r>
      <w:proofErr w:type="spellEnd"/>
      <w:r w:rsidRPr="00B67617">
        <w:rPr>
          <w:rFonts w:eastAsia="Times New Roman" w:cs="Arial"/>
          <w:color w:val="000000"/>
          <w:u w:val="single"/>
          <w:lang w:val="en-US"/>
        </w:rPr>
        <w:t xml:space="preserve"> </w:t>
      </w:r>
      <w:r w:rsidRPr="00B67617">
        <w:rPr>
          <w:rFonts w:eastAsia="Times New Roman" w:cs="Arial"/>
          <w:color w:val="000000"/>
          <w:u w:val="single"/>
          <w:lang w:eastAsia="bg-BG"/>
        </w:rPr>
        <w:t xml:space="preserve">С 300 </w:t>
      </w:r>
      <w:r w:rsidRPr="00B67617">
        <w:rPr>
          <w:rFonts w:eastAsia="Times New Roman" w:cs="Arial"/>
          <w:color w:val="000000"/>
          <w:u w:val="single"/>
          <w:lang w:val="en-US"/>
        </w:rPr>
        <w:t xml:space="preserve">mg </w:t>
      </w:r>
      <w:r w:rsidRPr="00B67617">
        <w:rPr>
          <w:rFonts w:eastAsia="Times New Roman" w:cs="Arial"/>
          <w:color w:val="000000"/>
          <w:u w:val="single"/>
          <w:lang w:eastAsia="bg-BG"/>
        </w:rPr>
        <w:t>твърди капсули</w:t>
      </w:r>
      <w:r w:rsidRPr="00B67617">
        <w:rPr>
          <w:rFonts w:eastAsia="Times New Roman" w:cs="Arial"/>
          <w:color w:val="000000"/>
          <w:lang w:eastAsia="bg-BG"/>
        </w:rPr>
        <w:t>:</w:t>
      </w:r>
    </w:p>
    <w:p w14:paraId="622EC7EF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Всяка капсула съдържа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хидрохлорид </w:t>
      </w:r>
      <w:r w:rsidRPr="00B67617">
        <w:rPr>
          <w:rFonts w:eastAsia="Times New Roman" w:cs="Arial"/>
          <w:color w:val="000000"/>
          <w:lang w:val="en-US"/>
        </w:rPr>
        <w:t xml:space="preserve">(clindamycin hydrochloride), </w:t>
      </w:r>
      <w:r w:rsidRPr="00B67617">
        <w:rPr>
          <w:rFonts w:eastAsia="Times New Roman" w:cs="Arial"/>
          <w:color w:val="000000"/>
          <w:lang w:eastAsia="bg-BG"/>
        </w:rPr>
        <w:t xml:space="preserve">еквивалентен на 300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.</w:t>
      </w:r>
    </w:p>
    <w:p w14:paraId="135D1795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B90F24" w14:textId="510A4DF2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е полусинтетичен антибиотик, който се получава чрез 7(8)-</w:t>
      </w:r>
      <w:proofErr w:type="spellStart"/>
      <w:r w:rsidRPr="00B67617">
        <w:rPr>
          <w:rFonts w:eastAsia="Times New Roman" w:cs="Arial"/>
          <w:color w:val="000000"/>
          <w:lang w:eastAsia="bg-BG"/>
        </w:rPr>
        <w:t>хлоро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-заместване на 7(К)-хидроксилната група на изходното съединение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линкомицин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.</w:t>
      </w:r>
    </w:p>
    <w:p w14:paraId="412F5CDC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86A075" w14:textId="34C6942D" w:rsidR="00B67617" w:rsidRPr="00B67617" w:rsidRDefault="00B67617" w:rsidP="00B676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>Помощно вещество с известно действие</w:t>
      </w:r>
      <w:r w:rsidRPr="00B67617">
        <w:rPr>
          <w:rFonts w:eastAsia="Times New Roman" w:cs="Arial"/>
          <w:color w:val="000000"/>
          <w:lang w:eastAsia="bg-BG"/>
        </w:rPr>
        <w:t xml:space="preserve">: капсулите съдържат лактоза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B67617"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  <w:t>.</w:t>
      </w:r>
    </w:p>
    <w:p w14:paraId="2265001D" w14:textId="77777777" w:rsidR="00B67617" w:rsidRPr="00B67617" w:rsidRDefault="00B67617" w:rsidP="00B67617"/>
    <w:p w14:paraId="5E332777" w14:textId="6150E1B7" w:rsidR="005A66D9" w:rsidRDefault="00DD466D" w:rsidP="00CA1B57">
      <w:pPr>
        <w:pStyle w:val="Heading1"/>
      </w:pPr>
      <w:r>
        <w:t>3. ЛЕКАРСТВЕНА ФОРМА</w:t>
      </w:r>
    </w:p>
    <w:p w14:paraId="19EAF45D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>Твърда капсула.</w:t>
      </w:r>
    </w:p>
    <w:p w14:paraId="6BA2C4B1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5AD4AA1" w14:textId="569D4D13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 С 150 </w:t>
      </w:r>
      <w:r w:rsidRPr="00B67617">
        <w:rPr>
          <w:rFonts w:eastAsia="Times New Roman" w:cs="Arial"/>
          <w:color w:val="000000"/>
          <w:u w:val="single"/>
          <w:lang w:val="en-US"/>
        </w:rPr>
        <w:t>mg</w:t>
      </w:r>
      <w:r w:rsidRPr="00B67617">
        <w:rPr>
          <w:rFonts w:eastAsia="Times New Roman" w:cs="Arial"/>
          <w:color w:val="000000"/>
          <w:lang w:val="en-US"/>
        </w:rPr>
        <w:t xml:space="preserve">: </w:t>
      </w:r>
      <w:r w:rsidRPr="00B67617">
        <w:rPr>
          <w:rFonts w:eastAsia="Times New Roman" w:cs="Arial"/>
          <w:color w:val="000000"/>
          <w:lang w:eastAsia="bg-BG"/>
        </w:rPr>
        <w:t xml:space="preserve">бяла капсула, маркирана с </w:t>
      </w:r>
      <w:r w:rsidRPr="00B67617">
        <w:rPr>
          <w:rFonts w:eastAsia="Times New Roman" w:cs="Arial"/>
          <w:color w:val="000000"/>
          <w:lang w:val="en-US"/>
        </w:rPr>
        <w:t xml:space="preserve">“Pfizer” </w:t>
      </w:r>
      <w:r w:rsidRPr="00B67617">
        <w:rPr>
          <w:rFonts w:eastAsia="Times New Roman" w:cs="Arial"/>
          <w:color w:val="000000"/>
          <w:lang w:eastAsia="bg-BG"/>
        </w:rPr>
        <w:t xml:space="preserve">и </w:t>
      </w:r>
      <w:r w:rsidRPr="00B67617">
        <w:rPr>
          <w:rFonts w:eastAsia="Times New Roman" w:cs="Arial"/>
          <w:color w:val="000000"/>
          <w:lang w:val="en-US"/>
        </w:rPr>
        <w:t xml:space="preserve">“CLIN </w:t>
      </w:r>
      <w:r w:rsidRPr="00B67617">
        <w:rPr>
          <w:rFonts w:eastAsia="Times New Roman" w:cs="Arial"/>
          <w:color w:val="000000"/>
          <w:lang w:eastAsia="bg-BG"/>
        </w:rPr>
        <w:t>150”.</w:t>
      </w:r>
    </w:p>
    <w:p w14:paraId="26DF1109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4150131" w14:textId="74DB948E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 С 300 </w:t>
      </w:r>
      <w:r w:rsidRPr="00B67617">
        <w:rPr>
          <w:rFonts w:eastAsia="Times New Roman" w:cs="Arial"/>
          <w:color w:val="000000"/>
          <w:u w:val="single"/>
          <w:lang w:val="en-US"/>
        </w:rPr>
        <w:t>mg</w:t>
      </w:r>
      <w:r w:rsidRPr="00B67617">
        <w:rPr>
          <w:rFonts w:eastAsia="Times New Roman" w:cs="Arial"/>
          <w:color w:val="000000"/>
          <w:lang w:val="en-US"/>
        </w:rPr>
        <w:t xml:space="preserve">: </w:t>
      </w:r>
      <w:r w:rsidRPr="00B67617">
        <w:rPr>
          <w:rFonts w:eastAsia="Times New Roman" w:cs="Arial"/>
          <w:color w:val="000000"/>
          <w:lang w:eastAsia="bg-BG"/>
        </w:rPr>
        <w:t xml:space="preserve">бяла капсула, маркирана с </w:t>
      </w:r>
      <w:r w:rsidRPr="00B67617">
        <w:rPr>
          <w:rFonts w:eastAsia="Times New Roman" w:cs="Arial"/>
          <w:color w:val="000000"/>
          <w:lang w:val="en-US"/>
        </w:rPr>
        <w:t xml:space="preserve">“Pfizer” </w:t>
      </w:r>
      <w:r w:rsidRPr="00B67617">
        <w:rPr>
          <w:rFonts w:eastAsia="Times New Roman" w:cs="Arial"/>
          <w:color w:val="000000"/>
          <w:lang w:eastAsia="bg-BG"/>
        </w:rPr>
        <w:t xml:space="preserve">и </w:t>
      </w:r>
      <w:r w:rsidRPr="00B67617">
        <w:rPr>
          <w:rFonts w:eastAsia="Times New Roman" w:cs="Arial"/>
          <w:color w:val="000000"/>
          <w:lang w:val="en-US"/>
        </w:rPr>
        <w:t>“CLIN300”.</w:t>
      </w:r>
    </w:p>
    <w:p w14:paraId="76F013E0" w14:textId="77777777" w:rsidR="00B67617" w:rsidRPr="00B67617" w:rsidRDefault="00B67617" w:rsidP="00B67617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042EB2F1" w:rsidR="00FD69E8" w:rsidRDefault="002C50EE" w:rsidP="00AA23EC">
      <w:pPr>
        <w:pStyle w:val="Heading2"/>
      </w:pPr>
      <w:r>
        <w:t>4.1. Терапевтични показания</w:t>
      </w:r>
    </w:p>
    <w:p w14:paraId="65201349" w14:textId="77777777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eastAsia="bg-BG"/>
        </w:rPr>
        <w:t>Далацин</w:t>
      </w:r>
      <w:proofErr w:type="spellEnd"/>
      <w:r w:rsidRPr="00B67617">
        <w:rPr>
          <w:lang w:eastAsia="bg-BG"/>
        </w:rPr>
        <w:t xml:space="preserve"> С е показан за лечение на следните инфекции, когато са причинени от чувствителни анаеробни бактерии, чувствителни щамове на аеробни Грам-положителни бактерии, като стрептококи, </w:t>
      </w:r>
      <w:proofErr w:type="spellStart"/>
      <w:r w:rsidRPr="00B67617">
        <w:rPr>
          <w:lang w:eastAsia="bg-BG"/>
        </w:rPr>
        <w:t>стафилококи</w:t>
      </w:r>
      <w:proofErr w:type="spellEnd"/>
      <w:r w:rsidRPr="00B67617">
        <w:rPr>
          <w:lang w:eastAsia="bg-BG"/>
        </w:rPr>
        <w:t xml:space="preserve"> и </w:t>
      </w:r>
      <w:proofErr w:type="spellStart"/>
      <w:r w:rsidRPr="00B67617">
        <w:rPr>
          <w:lang w:eastAsia="bg-BG"/>
        </w:rPr>
        <w:t>пневмококи</w:t>
      </w:r>
      <w:proofErr w:type="spellEnd"/>
      <w:r w:rsidRPr="00B67617">
        <w:rPr>
          <w:lang w:eastAsia="bg-BG"/>
        </w:rPr>
        <w:t xml:space="preserve">, както и чувствителни щамове на </w:t>
      </w:r>
      <w:r w:rsidRPr="00B67617">
        <w:rPr>
          <w:i/>
          <w:iCs/>
          <w:lang w:val="en-US"/>
        </w:rPr>
        <w:t>Chlamydia trachomatis.</w:t>
      </w:r>
    </w:p>
    <w:p w14:paraId="650FD7F9" w14:textId="77777777" w:rsidR="00B67617" w:rsidRDefault="00B67617" w:rsidP="00B67617">
      <w:pPr>
        <w:rPr>
          <w:lang w:eastAsia="bg-BG"/>
        </w:rPr>
      </w:pPr>
    </w:p>
    <w:p w14:paraId="1A90B508" w14:textId="311404DF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А) </w:t>
      </w:r>
      <w:r w:rsidRPr="00B67617">
        <w:rPr>
          <w:lang w:eastAsia="bg-BG"/>
        </w:rPr>
        <w:t xml:space="preserve">Инфекции на горните дихателни пътища, включващи </w:t>
      </w:r>
      <w:proofErr w:type="spellStart"/>
      <w:r w:rsidRPr="00B67617">
        <w:rPr>
          <w:lang w:eastAsia="bg-BG"/>
        </w:rPr>
        <w:t>тонзилит</w:t>
      </w:r>
      <w:proofErr w:type="spellEnd"/>
      <w:r w:rsidRPr="00B67617">
        <w:rPr>
          <w:lang w:eastAsia="bg-BG"/>
        </w:rPr>
        <w:t>, фарингит, синузит, възпаление на средното ухо и скарлатина.</w:t>
      </w:r>
    </w:p>
    <w:p w14:paraId="43BC57C5" w14:textId="77777777" w:rsidR="00B67617" w:rsidRDefault="00B67617" w:rsidP="00B67617">
      <w:pPr>
        <w:rPr>
          <w:lang w:eastAsia="bg-BG"/>
        </w:rPr>
      </w:pPr>
    </w:p>
    <w:p w14:paraId="3C7DC1C2" w14:textId="287DD4C5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Б) </w:t>
      </w:r>
      <w:r w:rsidRPr="00B67617">
        <w:rPr>
          <w:lang w:eastAsia="bg-BG"/>
        </w:rPr>
        <w:t xml:space="preserve">Инфекции на долните дихателни пътища, включващи бронхит, пневмония, </w:t>
      </w:r>
      <w:proofErr w:type="spellStart"/>
      <w:r w:rsidRPr="00B67617">
        <w:rPr>
          <w:lang w:eastAsia="bg-BG"/>
        </w:rPr>
        <w:t>емпием</w:t>
      </w:r>
      <w:proofErr w:type="spellEnd"/>
      <w:r w:rsidRPr="00B67617">
        <w:rPr>
          <w:lang w:eastAsia="bg-BG"/>
        </w:rPr>
        <w:t xml:space="preserve"> и белодробен абсцес.</w:t>
      </w:r>
    </w:p>
    <w:p w14:paraId="085C3FD5" w14:textId="77777777" w:rsidR="00B67617" w:rsidRDefault="00B67617" w:rsidP="00B67617">
      <w:pPr>
        <w:rPr>
          <w:lang w:eastAsia="bg-BG"/>
        </w:rPr>
      </w:pPr>
    </w:p>
    <w:p w14:paraId="0E9379FB" w14:textId="0C7181CE" w:rsidR="00B67617" w:rsidRDefault="00B67617" w:rsidP="00B67617">
      <w:pPr>
        <w:rPr>
          <w:lang w:eastAsia="bg-BG"/>
        </w:rPr>
      </w:pPr>
      <w:r>
        <w:rPr>
          <w:lang w:eastAsia="bg-BG"/>
        </w:rPr>
        <w:lastRenderedPageBreak/>
        <w:t xml:space="preserve">В) </w:t>
      </w:r>
      <w:r w:rsidRPr="00B67617">
        <w:rPr>
          <w:lang w:eastAsia="bg-BG"/>
        </w:rPr>
        <w:t xml:space="preserve">Кожни и </w:t>
      </w:r>
      <w:proofErr w:type="spellStart"/>
      <w:r w:rsidRPr="00B67617">
        <w:rPr>
          <w:lang w:eastAsia="bg-BG"/>
        </w:rPr>
        <w:t>мекотъканни</w:t>
      </w:r>
      <w:proofErr w:type="spellEnd"/>
      <w:r w:rsidRPr="00B67617">
        <w:rPr>
          <w:lang w:eastAsia="bg-BG"/>
        </w:rPr>
        <w:t xml:space="preserve"> инфекции, включващи акне, </w:t>
      </w:r>
      <w:proofErr w:type="spellStart"/>
      <w:r w:rsidRPr="00B67617">
        <w:rPr>
          <w:lang w:eastAsia="bg-BG"/>
        </w:rPr>
        <w:t>фурункули</w:t>
      </w:r>
      <w:proofErr w:type="spellEnd"/>
      <w:r w:rsidRPr="00B67617">
        <w:rPr>
          <w:lang w:eastAsia="bg-BG"/>
        </w:rPr>
        <w:t>, целулит,</w:t>
      </w:r>
      <w:r w:rsidRPr="00B67617">
        <w:rPr>
          <w:lang w:val="en-US"/>
        </w:rPr>
        <w:t xml:space="preserve"> </w:t>
      </w:r>
      <w:proofErr w:type="spellStart"/>
      <w:r w:rsidRPr="00B67617">
        <w:rPr>
          <w:lang w:eastAsia="bg-BG"/>
        </w:rPr>
        <w:t>импетиго</w:t>
      </w:r>
      <w:proofErr w:type="spellEnd"/>
      <w:r w:rsidRPr="00B67617">
        <w:rPr>
          <w:lang w:eastAsia="bg-BG"/>
        </w:rPr>
        <w:t>, абсцеси,</w:t>
      </w:r>
      <w:r>
        <w:rPr>
          <w:lang w:eastAsia="bg-BG"/>
        </w:rPr>
        <w:t xml:space="preserve"> </w:t>
      </w:r>
      <w:r w:rsidRPr="00B67617">
        <w:rPr>
          <w:lang w:eastAsia="bg-BG"/>
        </w:rPr>
        <w:t xml:space="preserve">инфектирани рани. При специфични инфекции на кожата и меките тъкани, като </w:t>
      </w:r>
      <w:proofErr w:type="spellStart"/>
      <w:r w:rsidRPr="00B67617">
        <w:rPr>
          <w:lang w:eastAsia="bg-BG"/>
        </w:rPr>
        <w:t>еризипел</w:t>
      </w:r>
      <w:proofErr w:type="spellEnd"/>
      <w:r w:rsidRPr="00B67617">
        <w:rPr>
          <w:lang w:eastAsia="bg-BG"/>
        </w:rPr>
        <w:t xml:space="preserve"> или </w:t>
      </w:r>
      <w:proofErr w:type="spellStart"/>
      <w:r w:rsidRPr="00B67617">
        <w:rPr>
          <w:lang w:eastAsia="bg-BG"/>
        </w:rPr>
        <w:t>панарициум</w:t>
      </w:r>
      <w:proofErr w:type="spellEnd"/>
      <w:r w:rsidRPr="00B67617">
        <w:rPr>
          <w:lang w:eastAsia="bg-BG"/>
        </w:rPr>
        <w:t xml:space="preserve">, се предполага, че тези състояния ще се повлияят много добре от терапията с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>.</w:t>
      </w:r>
    </w:p>
    <w:p w14:paraId="798D6245" w14:textId="3FFFF83D" w:rsidR="00B67617" w:rsidRDefault="00B67617" w:rsidP="00B67617">
      <w:pPr>
        <w:rPr>
          <w:lang w:eastAsia="bg-BG"/>
        </w:rPr>
      </w:pPr>
    </w:p>
    <w:p w14:paraId="31C5698D" w14:textId="41D04C1B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Г) </w:t>
      </w:r>
      <w:r w:rsidRPr="00B67617">
        <w:rPr>
          <w:lang w:eastAsia="bg-BG"/>
        </w:rPr>
        <w:t xml:space="preserve">Инфекции на костите и ставите, включващи </w:t>
      </w:r>
      <w:proofErr w:type="spellStart"/>
      <w:r w:rsidRPr="00B67617">
        <w:rPr>
          <w:lang w:eastAsia="bg-BG"/>
        </w:rPr>
        <w:t>остеомиелит</w:t>
      </w:r>
      <w:proofErr w:type="spellEnd"/>
      <w:r w:rsidRPr="00B67617">
        <w:rPr>
          <w:lang w:eastAsia="bg-BG"/>
        </w:rPr>
        <w:t xml:space="preserve"> и септичен артрит.</w:t>
      </w:r>
    </w:p>
    <w:p w14:paraId="0FFDBF9C" w14:textId="77777777" w:rsidR="00B67617" w:rsidRDefault="00B67617" w:rsidP="00B67617">
      <w:pPr>
        <w:rPr>
          <w:lang w:eastAsia="bg-BG"/>
        </w:rPr>
      </w:pPr>
    </w:p>
    <w:p w14:paraId="7D6F169E" w14:textId="1ADC9CB7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Д) </w:t>
      </w:r>
      <w:r w:rsidRPr="00B67617">
        <w:rPr>
          <w:lang w:eastAsia="bg-BG"/>
        </w:rPr>
        <w:t xml:space="preserve">Гинекологични инфекции, включващи </w:t>
      </w:r>
      <w:proofErr w:type="spellStart"/>
      <w:r w:rsidRPr="00B67617">
        <w:rPr>
          <w:lang w:eastAsia="bg-BG"/>
        </w:rPr>
        <w:t>ендометрит</w:t>
      </w:r>
      <w:proofErr w:type="spellEnd"/>
      <w:r w:rsidRPr="00B67617">
        <w:rPr>
          <w:lang w:eastAsia="bg-BG"/>
        </w:rPr>
        <w:t xml:space="preserve">, целулит, </w:t>
      </w:r>
      <w:proofErr w:type="spellStart"/>
      <w:r w:rsidRPr="00B67617">
        <w:rPr>
          <w:lang w:eastAsia="bg-BG"/>
        </w:rPr>
        <w:t>колпит</w:t>
      </w:r>
      <w:proofErr w:type="spellEnd"/>
      <w:r w:rsidRPr="00B67617">
        <w:rPr>
          <w:lang w:eastAsia="bg-BG"/>
        </w:rPr>
        <w:t xml:space="preserve">, </w:t>
      </w:r>
      <w:proofErr w:type="spellStart"/>
      <w:r w:rsidRPr="00B67617">
        <w:rPr>
          <w:lang w:eastAsia="bg-BG"/>
        </w:rPr>
        <w:t>тубоовариален</w:t>
      </w:r>
      <w:proofErr w:type="spellEnd"/>
      <w:r w:rsidRPr="00B67617">
        <w:rPr>
          <w:lang w:eastAsia="bg-BG"/>
        </w:rPr>
        <w:t xml:space="preserve"> абсцес, </w:t>
      </w:r>
      <w:proofErr w:type="spellStart"/>
      <w:r w:rsidRPr="00B67617">
        <w:rPr>
          <w:lang w:eastAsia="bg-BG"/>
        </w:rPr>
        <w:t>салпингит</w:t>
      </w:r>
      <w:proofErr w:type="spellEnd"/>
      <w:r w:rsidRPr="00B67617">
        <w:rPr>
          <w:lang w:eastAsia="bg-BG"/>
        </w:rPr>
        <w:t xml:space="preserve"> и възпалителни заболявания на органите на таза, когато се прилага в комбинация с подходящ антибиотик, активен по отношение на Грам-отрицателни </w:t>
      </w:r>
      <w:proofErr w:type="spellStart"/>
      <w:r w:rsidRPr="00B67617">
        <w:rPr>
          <w:lang w:eastAsia="bg-BG"/>
        </w:rPr>
        <w:t>аероби</w:t>
      </w:r>
      <w:proofErr w:type="spellEnd"/>
      <w:r w:rsidRPr="00B67617">
        <w:rPr>
          <w:lang w:eastAsia="bg-BG"/>
        </w:rPr>
        <w:t xml:space="preserve">. При </w:t>
      </w:r>
      <w:proofErr w:type="spellStart"/>
      <w:r w:rsidRPr="00B67617">
        <w:rPr>
          <w:lang w:eastAsia="bg-BG"/>
        </w:rPr>
        <w:t>цервицити</w:t>
      </w:r>
      <w:proofErr w:type="spellEnd"/>
      <w:r w:rsidRPr="00B67617">
        <w:rPr>
          <w:lang w:eastAsia="bg-BG"/>
        </w:rPr>
        <w:t xml:space="preserve">, причинени от </w:t>
      </w:r>
      <w:r w:rsidRPr="00B67617">
        <w:rPr>
          <w:i/>
          <w:iCs/>
          <w:lang w:val="en-US"/>
        </w:rPr>
        <w:t>Chlamydia trachomatis,</w:t>
      </w:r>
      <w:r w:rsidRPr="00B67617">
        <w:rPr>
          <w:lang w:val="en-US"/>
        </w:rPr>
        <w:t xml:space="preserve"> </w:t>
      </w:r>
      <w:proofErr w:type="spellStart"/>
      <w:r w:rsidRPr="00B67617">
        <w:rPr>
          <w:lang w:eastAsia="bg-BG"/>
        </w:rPr>
        <w:t>монотерапията</w:t>
      </w:r>
      <w:proofErr w:type="spellEnd"/>
      <w:r w:rsidRPr="00B67617">
        <w:rPr>
          <w:lang w:eastAsia="bg-BG"/>
        </w:rPr>
        <w:t xml:space="preserve"> с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показва ефективност при унищожаването на микроорганизма.</w:t>
      </w:r>
    </w:p>
    <w:p w14:paraId="5B0F6D86" w14:textId="77777777" w:rsidR="00B67617" w:rsidRDefault="00B67617" w:rsidP="00B67617">
      <w:pPr>
        <w:rPr>
          <w:lang w:eastAsia="bg-BG"/>
        </w:rPr>
      </w:pPr>
    </w:p>
    <w:p w14:paraId="29C3A7C8" w14:textId="3F3BEE91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Е) </w:t>
      </w:r>
      <w:proofErr w:type="spellStart"/>
      <w:r w:rsidRPr="00B67617">
        <w:rPr>
          <w:lang w:eastAsia="bg-BG"/>
        </w:rPr>
        <w:t>Интраабдоминални</w:t>
      </w:r>
      <w:proofErr w:type="spellEnd"/>
      <w:r w:rsidRPr="00B67617">
        <w:rPr>
          <w:lang w:eastAsia="bg-BG"/>
        </w:rPr>
        <w:t xml:space="preserve"> инфекции, включващи перитонит и абсцеси на коремната кухина, когато се прилага в комбинация с подходящ антибиотик, активен по отношение на Грам- отрицателни </w:t>
      </w:r>
      <w:proofErr w:type="spellStart"/>
      <w:r w:rsidRPr="00B67617">
        <w:rPr>
          <w:lang w:eastAsia="bg-BG"/>
        </w:rPr>
        <w:t>аероби</w:t>
      </w:r>
      <w:proofErr w:type="spellEnd"/>
      <w:r w:rsidRPr="00B67617">
        <w:rPr>
          <w:lang w:eastAsia="bg-BG"/>
        </w:rPr>
        <w:t>.</w:t>
      </w:r>
    </w:p>
    <w:p w14:paraId="7F0F0A60" w14:textId="77777777" w:rsidR="00B67617" w:rsidRDefault="00B67617" w:rsidP="00B67617">
      <w:pPr>
        <w:rPr>
          <w:lang w:eastAsia="bg-BG"/>
        </w:rPr>
      </w:pPr>
    </w:p>
    <w:p w14:paraId="52086B36" w14:textId="003F1D88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Ж) </w:t>
      </w:r>
      <w:proofErr w:type="spellStart"/>
      <w:r w:rsidRPr="00B67617">
        <w:rPr>
          <w:lang w:eastAsia="bg-BG"/>
        </w:rPr>
        <w:t>Септицемия</w:t>
      </w:r>
      <w:proofErr w:type="spellEnd"/>
      <w:r w:rsidRPr="00B67617">
        <w:rPr>
          <w:lang w:eastAsia="bg-BG"/>
        </w:rPr>
        <w:t xml:space="preserve"> и </w:t>
      </w:r>
      <w:proofErr w:type="spellStart"/>
      <w:r w:rsidRPr="00B67617">
        <w:rPr>
          <w:lang w:eastAsia="bg-BG"/>
        </w:rPr>
        <w:t>ендокардит</w:t>
      </w:r>
      <w:proofErr w:type="spellEnd"/>
      <w:r w:rsidRPr="00B67617">
        <w:rPr>
          <w:lang w:eastAsia="bg-BG"/>
        </w:rPr>
        <w:t xml:space="preserve"> - документирана е ефективността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в лечението на определени случаи на </w:t>
      </w:r>
      <w:proofErr w:type="spellStart"/>
      <w:r w:rsidRPr="00B67617">
        <w:rPr>
          <w:lang w:eastAsia="bg-BG"/>
        </w:rPr>
        <w:t>ендокардит</w:t>
      </w:r>
      <w:proofErr w:type="spellEnd"/>
      <w:r w:rsidRPr="00B67617">
        <w:rPr>
          <w:lang w:eastAsia="bg-BG"/>
        </w:rPr>
        <w:t xml:space="preserve">, където предварително е установено, че лекарството оказва бактерицидно действие спрямо причинителите на инфекцията чрез </w:t>
      </w:r>
      <w:r w:rsidRPr="00B67617">
        <w:rPr>
          <w:i/>
          <w:iCs/>
          <w:lang w:val="en-US"/>
        </w:rPr>
        <w:t xml:space="preserve">in vitro </w:t>
      </w:r>
      <w:r w:rsidRPr="00B67617">
        <w:rPr>
          <w:lang w:eastAsia="bg-BG"/>
        </w:rPr>
        <w:t>изследване при подходящи концентрации на продукта, които се достигат в серума.</w:t>
      </w:r>
    </w:p>
    <w:p w14:paraId="210DFE96" w14:textId="77777777" w:rsidR="00B67617" w:rsidRDefault="00B67617" w:rsidP="00B67617">
      <w:pPr>
        <w:rPr>
          <w:lang w:eastAsia="bg-BG"/>
        </w:rPr>
      </w:pPr>
    </w:p>
    <w:p w14:paraId="2805E25E" w14:textId="024151F7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З) </w:t>
      </w:r>
      <w:proofErr w:type="spellStart"/>
      <w:r w:rsidRPr="00B67617">
        <w:rPr>
          <w:lang w:eastAsia="bg-BG"/>
        </w:rPr>
        <w:t>Одонтогенни</w:t>
      </w:r>
      <w:proofErr w:type="spellEnd"/>
      <w:r w:rsidRPr="00B67617">
        <w:rPr>
          <w:lang w:eastAsia="bg-BG"/>
        </w:rPr>
        <w:t xml:space="preserve"> инфекции, като </w:t>
      </w:r>
      <w:proofErr w:type="spellStart"/>
      <w:r w:rsidRPr="00B67617">
        <w:rPr>
          <w:lang w:eastAsia="bg-BG"/>
        </w:rPr>
        <w:t>периодонтален</w:t>
      </w:r>
      <w:proofErr w:type="spellEnd"/>
      <w:r w:rsidRPr="00B67617">
        <w:rPr>
          <w:lang w:eastAsia="bg-BG"/>
        </w:rPr>
        <w:t xml:space="preserve"> абсцес и </w:t>
      </w:r>
      <w:proofErr w:type="spellStart"/>
      <w:r w:rsidRPr="00B67617">
        <w:rPr>
          <w:lang w:eastAsia="bg-BG"/>
        </w:rPr>
        <w:t>периодонтит</w:t>
      </w:r>
      <w:proofErr w:type="spellEnd"/>
      <w:r w:rsidRPr="00B67617">
        <w:rPr>
          <w:lang w:eastAsia="bg-BG"/>
        </w:rPr>
        <w:t>.</w:t>
      </w:r>
    </w:p>
    <w:p w14:paraId="102F2E83" w14:textId="77777777" w:rsidR="00B67617" w:rsidRDefault="00B67617" w:rsidP="00B67617">
      <w:pPr>
        <w:rPr>
          <w:lang w:eastAsia="bg-BG"/>
        </w:rPr>
      </w:pPr>
    </w:p>
    <w:p w14:paraId="04C9EB45" w14:textId="2406256D" w:rsidR="00B67617" w:rsidRPr="00B67617" w:rsidRDefault="00B67617" w:rsidP="00B67617">
      <w:pPr>
        <w:rPr>
          <w:lang w:eastAsia="bg-BG"/>
        </w:rPr>
      </w:pPr>
      <w:r>
        <w:rPr>
          <w:lang w:eastAsia="bg-BG"/>
        </w:rPr>
        <w:t xml:space="preserve">И) </w:t>
      </w:r>
      <w:proofErr w:type="spellStart"/>
      <w:r w:rsidRPr="00B67617">
        <w:rPr>
          <w:lang w:eastAsia="bg-BG"/>
        </w:rPr>
        <w:t>Токсоплазмозен</w:t>
      </w:r>
      <w:proofErr w:type="spellEnd"/>
      <w:r w:rsidRPr="00B67617">
        <w:rPr>
          <w:lang w:eastAsia="bg-BG"/>
        </w:rPr>
        <w:t xml:space="preserve"> енцефалит при пациенти със СПИН. При пациенти, които не толерират конвенционалното лечение, ефективна се оказва комбинацията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и </w:t>
      </w:r>
      <w:proofErr w:type="spellStart"/>
      <w:r w:rsidRPr="00B67617">
        <w:rPr>
          <w:lang w:eastAsia="bg-BG"/>
        </w:rPr>
        <w:t>пириметамин</w:t>
      </w:r>
      <w:proofErr w:type="spellEnd"/>
      <w:r w:rsidRPr="00B67617">
        <w:rPr>
          <w:lang w:eastAsia="bg-BG"/>
        </w:rPr>
        <w:t>.</w:t>
      </w:r>
    </w:p>
    <w:p w14:paraId="694D3403" w14:textId="77777777" w:rsidR="00B67617" w:rsidRDefault="00B67617" w:rsidP="00B67617">
      <w:pPr>
        <w:rPr>
          <w:lang w:eastAsia="bg-BG"/>
        </w:rPr>
      </w:pPr>
    </w:p>
    <w:p w14:paraId="5153759B" w14:textId="6F9DB678" w:rsidR="00B67617" w:rsidRPr="00B67617" w:rsidRDefault="00B67617" w:rsidP="00B67617">
      <w:pPr>
        <w:rPr>
          <w:sz w:val="24"/>
          <w:szCs w:val="24"/>
        </w:rPr>
      </w:pPr>
      <w:r>
        <w:rPr>
          <w:lang w:eastAsia="bg-BG"/>
        </w:rPr>
        <w:t xml:space="preserve">Й) </w:t>
      </w:r>
      <w:r w:rsidRPr="00B67617">
        <w:rPr>
          <w:lang w:eastAsia="bg-BG"/>
        </w:rPr>
        <w:t xml:space="preserve">Пневмония, причинена от </w:t>
      </w:r>
      <w:r w:rsidRPr="00B67617">
        <w:rPr>
          <w:i/>
          <w:iCs/>
          <w:lang w:val="en-US"/>
        </w:rPr>
        <w:t xml:space="preserve">Pneumocystis </w:t>
      </w:r>
      <w:proofErr w:type="spellStart"/>
      <w:r w:rsidRPr="00B67617">
        <w:rPr>
          <w:i/>
          <w:iCs/>
          <w:lang w:val="en-US"/>
        </w:rPr>
        <w:t>jiroveci</w:t>
      </w:r>
      <w:proofErr w:type="spellEnd"/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(известен като </w:t>
      </w:r>
      <w:r w:rsidRPr="00B67617">
        <w:rPr>
          <w:i/>
          <w:iCs/>
          <w:lang w:val="en-US"/>
        </w:rPr>
        <w:t>Pneumocystis carinii,</w:t>
      </w:r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според по-старата класификация) при пациенти със СПИН. При пациенти, които не толерират или не се повлияват адекватно от конвенционалната терапия,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може да бъде използван в комбинация с </w:t>
      </w:r>
      <w:proofErr w:type="spellStart"/>
      <w:r w:rsidRPr="00B67617">
        <w:rPr>
          <w:lang w:eastAsia="bg-BG"/>
        </w:rPr>
        <w:t>примаквин</w:t>
      </w:r>
      <w:proofErr w:type="spellEnd"/>
      <w:r w:rsidRPr="00B67617">
        <w:rPr>
          <w:lang w:eastAsia="bg-BG"/>
        </w:rPr>
        <w:t>.</w:t>
      </w:r>
    </w:p>
    <w:p w14:paraId="0991B23D" w14:textId="77777777" w:rsidR="00B67617" w:rsidRDefault="00B67617" w:rsidP="00B67617">
      <w:pPr>
        <w:rPr>
          <w:i/>
          <w:iCs/>
          <w:lang w:val="en-US"/>
        </w:rPr>
      </w:pPr>
    </w:p>
    <w:p w14:paraId="09D3965A" w14:textId="71D1680D" w:rsidR="00B67617" w:rsidRPr="00B67617" w:rsidRDefault="00B67617" w:rsidP="00B67617">
      <w:pPr>
        <w:rPr>
          <w:sz w:val="24"/>
          <w:szCs w:val="24"/>
        </w:rPr>
      </w:pPr>
      <w:r w:rsidRPr="00B67617">
        <w:rPr>
          <w:i/>
          <w:iCs/>
          <w:lang w:val="en-US"/>
        </w:rPr>
        <w:t>In vitro</w:t>
      </w:r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чувствителността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е доказана при следните микроорганизми: </w:t>
      </w:r>
      <w:r w:rsidRPr="00B67617">
        <w:rPr>
          <w:i/>
          <w:iCs/>
          <w:lang w:eastAsia="bg-BG"/>
        </w:rPr>
        <w:t xml:space="preserve">В. </w:t>
      </w:r>
      <w:proofErr w:type="spellStart"/>
      <w:r w:rsidRPr="00B67617">
        <w:rPr>
          <w:i/>
          <w:iCs/>
          <w:lang w:val="en-US"/>
        </w:rPr>
        <w:t>melaninogenicus</w:t>
      </w:r>
      <w:proofErr w:type="spellEnd"/>
      <w:r w:rsidRPr="00B67617">
        <w:rPr>
          <w:i/>
          <w:iCs/>
          <w:lang w:val="en-US"/>
        </w:rPr>
        <w:t xml:space="preserve">, </w:t>
      </w:r>
      <w:r w:rsidRPr="00B67617">
        <w:rPr>
          <w:i/>
          <w:iCs/>
          <w:lang w:eastAsia="bg-BG"/>
        </w:rPr>
        <w:t xml:space="preserve">В. </w:t>
      </w:r>
      <w:proofErr w:type="spellStart"/>
      <w:r w:rsidRPr="00B67617">
        <w:rPr>
          <w:i/>
          <w:iCs/>
          <w:lang w:val="en-US"/>
        </w:rPr>
        <w:t>disiens</w:t>
      </w:r>
      <w:proofErr w:type="spellEnd"/>
      <w:r w:rsidRPr="00B67617">
        <w:rPr>
          <w:i/>
          <w:iCs/>
          <w:lang w:val="en-US"/>
        </w:rPr>
        <w:t xml:space="preserve">, </w:t>
      </w:r>
      <w:proofErr w:type="spellStart"/>
      <w:r w:rsidRPr="00B67617">
        <w:rPr>
          <w:i/>
          <w:iCs/>
          <w:lang w:val="en-US"/>
        </w:rPr>
        <w:t>B</w:t>
      </w:r>
      <w:r w:rsidRPr="00B67617">
        <w:rPr>
          <w:i/>
          <w:iCs/>
          <w:vertAlign w:val="subscript"/>
          <w:lang w:val="en-US"/>
        </w:rPr>
        <w:t>t</w:t>
      </w:r>
      <w:proofErr w:type="spellEnd"/>
      <w:r w:rsidRPr="00B67617">
        <w:rPr>
          <w:i/>
          <w:iCs/>
          <w:lang w:val="en-US"/>
        </w:rPr>
        <w:t xml:space="preserve"> </w:t>
      </w:r>
      <w:proofErr w:type="spellStart"/>
      <w:r w:rsidRPr="00B67617">
        <w:rPr>
          <w:i/>
          <w:iCs/>
          <w:lang w:val="en-US"/>
        </w:rPr>
        <w:t>bivius</w:t>
      </w:r>
      <w:proofErr w:type="spellEnd"/>
      <w:r w:rsidRPr="00B67617">
        <w:rPr>
          <w:i/>
          <w:iCs/>
          <w:lang w:val="en-US"/>
        </w:rPr>
        <w:t xml:space="preserve">, </w:t>
      </w:r>
      <w:proofErr w:type="spellStart"/>
      <w:r w:rsidRPr="00B67617">
        <w:rPr>
          <w:i/>
          <w:iCs/>
          <w:lang w:val="en-US"/>
        </w:rPr>
        <w:t>Peptostreptococcus</w:t>
      </w:r>
      <w:proofErr w:type="spellEnd"/>
      <w:r w:rsidRPr="00B67617">
        <w:rPr>
          <w:i/>
          <w:iCs/>
          <w:lang w:val="en-US"/>
        </w:rPr>
        <w:t xml:space="preserve"> spp.</w:t>
      </w:r>
      <w:r w:rsidRPr="00B67617">
        <w:rPr>
          <w:i/>
          <w:iCs/>
          <w:lang w:eastAsia="bg-BG"/>
        </w:rPr>
        <w:t xml:space="preserve">, </w:t>
      </w:r>
      <w:r w:rsidRPr="00B67617">
        <w:rPr>
          <w:i/>
          <w:iCs/>
          <w:lang w:val="en-US"/>
        </w:rPr>
        <w:t xml:space="preserve">G. vaginalis, M. </w:t>
      </w:r>
      <w:proofErr w:type="spellStart"/>
      <w:r w:rsidRPr="00B67617">
        <w:rPr>
          <w:i/>
          <w:iCs/>
          <w:lang w:val="en-US"/>
        </w:rPr>
        <w:t>mulieris</w:t>
      </w:r>
      <w:proofErr w:type="spellEnd"/>
      <w:r w:rsidRPr="00B67617">
        <w:rPr>
          <w:i/>
          <w:iCs/>
          <w:lang w:val="en-US"/>
        </w:rPr>
        <w:t xml:space="preserve">, M. </w:t>
      </w:r>
      <w:proofErr w:type="spellStart"/>
      <w:r w:rsidRPr="00B67617">
        <w:rPr>
          <w:i/>
          <w:iCs/>
          <w:lang w:val="en-US"/>
        </w:rPr>
        <w:t>curtisii</w:t>
      </w:r>
      <w:proofErr w:type="spellEnd"/>
      <w:r w:rsidRPr="00B67617">
        <w:rPr>
          <w:lang w:val="en-US"/>
        </w:rPr>
        <w:t xml:space="preserve"> </w:t>
      </w:r>
      <w:r w:rsidRPr="00B67617">
        <w:rPr>
          <w:lang w:eastAsia="bg-BG"/>
        </w:rPr>
        <w:t xml:space="preserve">и </w:t>
      </w:r>
      <w:r w:rsidRPr="00B67617">
        <w:rPr>
          <w:i/>
          <w:iCs/>
          <w:lang w:val="en-US"/>
        </w:rPr>
        <w:t>Mycoplasma hominis.</w:t>
      </w:r>
    </w:p>
    <w:p w14:paraId="59E309B6" w14:textId="77777777" w:rsidR="00B67617" w:rsidRPr="00B67617" w:rsidRDefault="00B67617" w:rsidP="00B67617">
      <w:pPr>
        <w:rPr>
          <w:lang w:eastAsia="bg-BG"/>
        </w:rPr>
      </w:pPr>
    </w:p>
    <w:p w14:paraId="127F2AC9" w14:textId="106DFD40" w:rsidR="00FD69E8" w:rsidRDefault="002C50EE" w:rsidP="00AA23EC">
      <w:pPr>
        <w:pStyle w:val="Heading2"/>
      </w:pPr>
      <w:r>
        <w:t>4.2. Дозировка и начин на приложение</w:t>
      </w:r>
    </w:p>
    <w:p w14:paraId="3A602520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CE7F1D" w14:textId="4CAA3FD8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трябва да се приема с пълна чаша вода, за да се избегне възможно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езофагеално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дразнене.</w:t>
      </w:r>
    </w:p>
    <w:p w14:paraId="4DE45C00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7EF34B5" w14:textId="6066414F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Дозировка при възрастни</w:t>
      </w:r>
    </w:p>
    <w:p w14:paraId="6EC5CDEE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600-1800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дневно, разпределени в 2,3 или 4 еднакви дози.</w:t>
      </w:r>
    </w:p>
    <w:p w14:paraId="60D4D7C3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57A1CEC" w14:textId="14CEE932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Дозировка при деца (на възраст над 1 месец)</w:t>
      </w:r>
    </w:p>
    <w:p w14:paraId="426416E3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B44E25" w14:textId="1AC63ECE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lastRenderedPageBreak/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трябва да се използва само при деца, които могат да поглъщат капсули.</w:t>
      </w:r>
    </w:p>
    <w:p w14:paraId="238AB173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26B510" w14:textId="2838BBD5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Дози от 8 до 25 </w:t>
      </w:r>
      <w:r w:rsidRPr="00B67617">
        <w:rPr>
          <w:rFonts w:eastAsia="Times New Roman" w:cs="Arial"/>
          <w:color w:val="000000"/>
          <w:lang w:val="en-US"/>
        </w:rPr>
        <w:t xml:space="preserve">mg/kg </w:t>
      </w:r>
      <w:r w:rsidRPr="00B67617">
        <w:rPr>
          <w:rFonts w:eastAsia="Times New Roman" w:cs="Arial"/>
          <w:color w:val="000000"/>
          <w:lang w:eastAsia="bg-BG"/>
        </w:rPr>
        <w:t>дневно, разделени на 3 или 4 еднакви приема.</w:t>
      </w:r>
    </w:p>
    <w:p w14:paraId="5B21514C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FCF58F" w14:textId="7C15606E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Възможно е употребата на капсули да не е в състояние да предостави точните дози в </w:t>
      </w:r>
      <w:r w:rsidRPr="00B67617">
        <w:rPr>
          <w:rFonts w:eastAsia="Times New Roman" w:cs="Arial"/>
          <w:color w:val="000000"/>
          <w:lang w:val="en-US"/>
        </w:rPr>
        <w:t xml:space="preserve">mg/kg, </w:t>
      </w:r>
      <w:r w:rsidRPr="00B67617">
        <w:rPr>
          <w:rFonts w:eastAsia="Times New Roman" w:cs="Arial"/>
          <w:color w:val="000000"/>
          <w:lang w:eastAsia="bg-BG"/>
        </w:rPr>
        <w:t>които се изискват за лечението на деца.</w:t>
      </w:r>
    </w:p>
    <w:p w14:paraId="5B0C25DC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6656B7B" w14:textId="71155934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Старческа възраст</w:t>
      </w:r>
    </w:p>
    <w:p w14:paraId="0BD92355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проучвания с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не са установени клинично значими разлики между младите и по-възрастните участници с нормална чернодробна функция и</w:t>
      </w:r>
    </w:p>
    <w:p w14:paraId="66994A34" w14:textId="26684ECE" w:rsidR="00B67617" w:rsidRDefault="00B67617" w:rsidP="00B67617">
      <w:pPr>
        <w:rPr>
          <w:rFonts w:eastAsia="Times New Roman" w:cs="Arial"/>
          <w:color w:val="000000"/>
          <w:lang w:eastAsia="bg-BG"/>
        </w:rPr>
      </w:pPr>
      <w:r w:rsidRPr="00B67617">
        <w:rPr>
          <w:rFonts w:eastAsia="Times New Roman" w:cs="Arial"/>
          <w:color w:val="000000"/>
          <w:lang w:eastAsia="bg-BG"/>
        </w:rPr>
        <w:t>нормална (коригирана спрямо възрастта) бъбречна функция след перорално или интравенозно приложение. По тази причина не е необходима корекция на дозата при пациенти в старческа</w:t>
      </w:r>
      <w:r w:rsidRPr="00B67617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>възраст с нормална чернодробна функция и нормална (коригирана спрямо възрастта) бъбречна функция (вж. точка 5.2).</w:t>
      </w:r>
    </w:p>
    <w:p w14:paraId="302D321A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4E112FD" w14:textId="6EC5AA8F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59A26653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Не е необходима корекция на дозата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пациенти с бъбречна недостатъчност.</w:t>
      </w:r>
    </w:p>
    <w:p w14:paraId="24C68414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63C6601" w14:textId="23984CC9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162204C4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Не е необходима корекция на дозата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пациенти с чернодробна недостатъчност.</w:t>
      </w:r>
    </w:p>
    <w:p w14:paraId="408AB040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21D82DC" w14:textId="40456043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>Дозировка при специфични показания</w:t>
      </w:r>
    </w:p>
    <w:p w14:paraId="03571ECD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131F97B" w14:textId="2C16D78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>Лечение на бета-</w:t>
      </w: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хемолитични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 стрептококови инфекции</w:t>
      </w:r>
    </w:p>
    <w:p w14:paraId="653CA911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>Вижте дозировката в общите случаи по-горе. Лечението трябва да продължи най-малко 10 дни.</w:t>
      </w:r>
    </w:p>
    <w:p w14:paraId="7A97C96A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32ED2A8" w14:textId="3B5658C1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>Стационарно лечение на възпалителни заболявания на органите на таза</w:t>
      </w:r>
    </w:p>
    <w:p w14:paraId="16545CF0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Доза от 900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инжекционен разтвор (интравенозно приложение) на всеки 8 часа, в комбинация с подходящ антибиотик, активен по отношение на Грам-отрицателни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аероби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прилаган интравенозно, напр. гентамицин 2,0 </w:t>
      </w:r>
      <w:r w:rsidRPr="00B67617">
        <w:rPr>
          <w:rFonts w:eastAsia="Times New Roman" w:cs="Arial"/>
          <w:color w:val="000000"/>
          <w:lang w:val="en-US"/>
        </w:rPr>
        <w:t xml:space="preserve">mg/kg, </w:t>
      </w:r>
      <w:r w:rsidRPr="00B67617">
        <w:rPr>
          <w:rFonts w:eastAsia="Times New Roman" w:cs="Arial"/>
          <w:color w:val="000000"/>
          <w:lang w:eastAsia="bg-BG"/>
        </w:rPr>
        <w:t xml:space="preserve">последван от 1,5 </w:t>
      </w:r>
      <w:r w:rsidRPr="00B67617">
        <w:rPr>
          <w:rFonts w:eastAsia="Times New Roman" w:cs="Arial"/>
          <w:color w:val="000000"/>
          <w:lang w:val="en-US"/>
        </w:rPr>
        <w:t xml:space="preserve">mg/kg </w:t>
      </w:r>
      <w:r w:rsidRPr="00B67617">
        <w:rPr>
          <w:rFonts w:eastAsia="Times New Roman" w:cs="Arial"/>
          <w:color w:val="000000"/>
          <w:lang w:eastAsia="bg-BG"/>
        </w:rPr>
        <w:t xml:space="preserve">на всеки 8 часа при пациенти с нормална бъбречна функция. Продължителността на интравенозното комбинирано лечение да бъде минимум 4 дни и най-малко 48 часа след подобрение на пациента. След това да се продължи с перорален прием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по 450-600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на всеки 6 часа, като целият курс на терапия е 10-14 дни.</w:t>
      </w:r>
    </w:p>
    <w:p w14:paraId="78FB89E6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7E17DD" w14:textId="31D950BF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 xml:space="preserve">Лечение на </w:t>
      </w: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цервицити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, причинени от </w:t>
      </w:r>
      <w:r w:rsidRPr="00B67617">
        <w:rPr>
          <w:rFonts w:eastAsia="Times New Roman" w:cs="Arial"/>
          <w:i/>
          <w:iCs/>
          <w:color w:val="000000"/>
          <w:u w:val="single"/>
          <w:lang w:val="en-US"/>
        </w:rPr>
        <w:t>Chlamydia trachomatis:</w:t>
      </w:r>
    </w:p>
    <w:p w14:paraId="2966475D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450-600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4 пъти дневно перорално в продължение на 10-14 дни.</w:t>
      </w:r>
    </w:p>
    <w:p w14:paraId="4391222F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CC789A" w14:textId="403EC826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 xml:space="preserve">Лечение на </w:t>
      </w: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токсоплазмозен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 xml:space="preserve"> енцефалит при пациенти със СПИН</w:t>
      </w:r>
    </w:p>
    <w:p w14:paraId="663B802A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Прилага се интравенозно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инжекционен разтвор или перорално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в доза 600-1200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 xml:space="preserve">на всеки 6 часа в продължение на две седмици, след което се продължава с 300-600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перорално на всеки 6 часа. Обикновено терапевтичният курс е 8-10 седмици.</w:t>
      </w:r>
    </w:p>
    <w:p w14:paraId="13B0AB65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Дозата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пириметамин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е 25 до 75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 xml:space="preserve">перорално всеки ден в продължение на 8 до 10 седмици. При приложение на по-високи дози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пириметамин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трябва да се назначи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фолинова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киселина в доза 10-20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дневно.</w:t>
      </w:r>
    </w:p>
    <w:p w14:paraId="3BA190DA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414E33" w14:textId="3BA17210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 xml:space="preserve">Лечение на пневмония, причинена от </w:t>
      </w:r>
      <w:r w:rsidRPr="00B67617">
        <w:rPr>
          <w:rFonts w:eastAsia="Times New Roman" w:cs="Arial"/>
          <w:i/>
          <w:iCs/>
          <w:color w:val="000000"/>
          <w:u w:val="single"/>
          <w:lang w:val="en-US"/>
        </w:rPr>
        <w:t xml:space="preserve">Pneumocystis </w:t>
      </w:r>
      <w:proofErr w:type="spellStart"/>
      <w:r w:rsidRPr="00B67617">
        <w:rPr>
          <w:rFonts w:eastAsia="Times New Roman" w:cs="Arial"/>
          <w:i/>
          <w:iCs/>
          <w:color w:val="000000"/>
          <w:u w:val="single"/>
          <w:lang w:val="en-US"/>
        </w:rPr>
        <w:t>jiroveci</w:t>
      </w:r>
      <w:proofErr w:type="spellEnd"/>
      <w:r w:rsidRPr="00B67617">
        <w:rPr>
          <w:rFonts w:eastAsia="Times New Roman" w:cs="Arial"/>
          <w:color w:val="000000"/>
          <w:u w:val="single"/>
          <w:lang w:val="en-US"/>
        </w:rPr>
        <w:t xml:space="preserve"> </w:t>
      </w:r>
      <w:r w:rsidRPr="00B67617">
        <w:rPr>
          <w:rFonts w:eastAsia="Times New Roman" w:cs="Arial"/>
          <w:color w:val="000000"/>
          <w:u w:val="single"/>
          <w:lang w:eastAsia="bg-BG"/>
        </w:rPr>
        <w:t xml:space="preserve">при пациенти със СПИН </w:t>
      </w:r>
      <w:r w:rsidRPr="00B67617">
        <w:rPr>
          <w:rFonts w:eastAsia="Times New Roman" w:cs="Arial"/>
          <w:color w:val="000000"/>
          <w:lang w:eastAsia="bg-BG"/>
        </w:rPr>
        <w:t xml:space="preserve">Прилага се интравенозно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инжекционен разтвор в доза 600-900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 xml:space="preserve">на всеки 6 часа или 900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 xml:space="preserve">на всеки 8 часа или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300-450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перорално на всеки 6 часа в продължение на 21 дни</w:t>
      </w:r>
      <w:r w:rsidRPr="00B67617">
        <w:rPr>
          <w:rFonts w:eastAsia="Times New Roman" w:cs="Arial"/>
        </w:rPr>
        <w:t xml:space="preserve"> </w:t>
      </w:r>
      <w:r w:rsidRPr="00B67617">
        <w:rPr>
          <w:rFonts w:eastAsia="Times New Roman" w:cs="Arial"/>
          <w:i/>
          <w:iCs/>
          <w:color w:val="000000"/>
          <w:lang w:eastAsia="bg-BG"/>
        </w:rPr>
        <w:t>и</w:t>
      </w:r>
      <w:r w:rsidRPr="00B67617">
        <w:rPr>
          <w:rFonts w:eastAsia="Times New Roman" w:cs="Arial"/>
        </w:rPr>
        <w:t xml:space="preserve">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примаквин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15-30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един път дневно перорално в продължение на 21 дни.</w:t>
      </w:r>
    </w:p>
    <w:p w14:paraId="2FA8E43D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61B1F9" w14:textId="364FD4F1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 xml:space="preserve">Лечение на остър стрептококов </w:t>
      </w:r>
      <w:proofErr w:type="spellStart"/>
      <w:r w:rsidRPr="00B67617">
        <w:rPr>
          <w:rFonts w:eastAsia="Times New Roman" w:cs="Arial"/>
          <w:color w:val="000000"/>
          <w:u w:val="single"/>
          <w:lang w:eastAsia="bg-BG"/>
        </w:rPr>
        <w:t>тонзилит</w:t>
      </w:r>
      <w:proofErr w:type="spellEnd"/>
      <w:r w:rsidRPr="00B67617">
        <w:rPr>
          <w:rFonts w:eastAsia="Times New Roman" w:cs="Arial"/>
          <w:color w:val="000000"/>
          <w:u w:val="single"/>
          <w:lang w:eastAsia="bg-BG"/>
        </w:rPr>
        <w:t>/фарингит</w:t>
      </w:r>
    </w:p>
    <w:p w14:paraId="0AA40A1C" w14:textId="1BB1A973" w:rsidR="00B67617" w:rsidRDefault="00B67617" w:rsidP="00B67617">
      <w:pPr>
        <w:rPr>
          <w:rFonts w:eastAsia="Times New Roman" w:cs="Arial"/>
          <w:color w:val="000000"/>
          <w:lang w:eastAsia="bg-BG"/>
        </w:rPr>
      </w:pPr>
      <w:r w:rsidRPr="00B67617">
        <w:rPr>
          <w:rFonts w:eastAsia="Times New Roman" w:cs="Arial"/>
          <w:color w:val="000000"/>
          <w:lang w:eastAsia="bg-BG"/>
        </w:rPr>
        <w:t xml:space="preserve">Перорално лечение с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300 </w:t>
      </w:r>
      <w:r w:rsidRPr="00B67617">
        <w:rPr>
          <w:rFonts w:eastAsia="Times New Roman" w:cs="Arial"/>
          <w:color w:val="000000"/>
          <w:lang w:val="en-US"/>
        </w:rPr>
        <w:t xml:space="preserve">mg </w:t>
      </w:r>
      <w:r w:rsidRPr="00B67617">
        <w:rPr>
          <w:rFonts w:eastAsia="Times New Roman" w:cs="Arial"/>
          <w:color w:val="000000"/>
          <w:lang w:eastAsia="bg-BG"/>
        </w:rPr>
        <w:t>два пъти дневно в продължение на 10 дни.</w:t>
      </w:r>
    </w:p>
    <w:p w14:paraId="09BE53F5" w14:textId="77777777" w:rsidR="00B67617" w:rsidRPr="00B67617" w:rsidRDefault="00B67617" w:rsidP="00B67617">
      <w:pPr>
        <w:rPr>
          <w:rFonts w:cs="Arial"/>
        </w:rPr>
      </w:pPr>
    </w:p>
    <w:p w14:paraId="0E366821" w14:textId="65A793CD" w:rsidR="00FD69E8" w:rsidRDefault="002C50EE" w:rsidP="00AA23EC">
      <w:pPr>
        <w:pStyle w:val="Heading2"/>
      </w:pPr>
      <w:r>
        <w:t>4.3. Противопоказания</w:t>
      </w:r>
    </w:p>
    <w:p w14:paraId="04C6F089" w14:textId="77777777" w:rsidR="00B67617" w:rsidRDefault="00B67617" w:rsidP="00B67617"/>
    <w:p w14:paraId="68DE0958" w14:textId="5F066254" w:rsidR="00B67617" w:rsidRDefault="00B67617" w:rsidP="00B67617">
      <w:r>
        <w:t xml:space="preserve">Свръхчувствителност към </w:t>
      </w:r>
      <w:proofErr w:type="spellStart"/>
      <w:r>
        <w:t>клиндамицин</w:t>
      </w:r>
      <w:proofErr w:type="spellEnd"/>
      <w:r>
        <w:t xml:space="preserve">, </w:t>
      </w:r>
      <w:proofErr w:type="spellStart"/>
      <w:r>
        <w:t>линкомицин</w:t>
      </w:r>
      <w:proofErr w:type="spellEnd"/>
      <w:r>
        <w:t xml:space="preserve"> или към някое от помощните вещества, изброени в точка 6.1.</w:t>
      </w:r>
    </w:p>
    <w:p w14:paraId="12F710F4" w14:textId="77777777" w:rsidR="00B67617" w:rsidRPr="00B67617" w:rsidRDefault="00B67617" w:rsidP="00B67617"/>
    <w:p w14:paraId="6DDF89B4" w14:textId="2B520B5A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721B1846" w14:textId="77777777" w:rsidR="00B67617" w:rsidRDefault="00B67617" w:rsidP="00B67617">
      <w:pPr>
        <w:rPr>
          <w:lang w:eastAsia="bg-BG"/>
        </w:rPr>
      </w:pPr>
    </w:p>
    <w:p w14:paraId="7A5100BD" w14:textId="109653D7" w:rsidR="00B67617" w:rsidRPr="00B67617" w:rsidRDefault="00B67617" w:rsidP="00B67617">
      <w:pPr>
        <w:rPr>
          <w:sz w:val="24"/>
          <w:szCs w:val="24"/>
        </w:rPr>
      </w:pPr>
      <w:r w:rsidRPr="00B67617">
        <w:rPr>
          <w:lang w:eastAsia="bg-BG"/>
        </w:rPr>
        <w:t xml:space="preserve">Съобщавани са тежки реакции на свръхчувствителност при пациенти, подложени на лечение с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, включително тежки кожни реакции като лекарствен обрив с </w:t>
      </w:r>
      <w:proofErr w:type="spellStart"/>
      <w:r w:rsidRPr="00B67617">
        <w:rPr>
          <w:lang w:val="en-US"/>
        </w:rPr>
        <w:t>еозинофилия</w:t>
      </w:r>
      <w:proofErr w:type="spellEnd"/>
      <w:r w:rsidRPr="00B67617">
        <w:rPr>
          <w:lang w:eastAsia="bg-BG"/>
        </w:rPr>
        <w:t xml:space="preserve"> и системни симптоми </w:t>
      </w:r>
      <w:r w:rsidRPr="00B67617">
        <w:rPr>
          <w:lang w:val="en-US"/>
        </w:rPr>
        <w:t xml:space="preserve">(DRESS), </w:t>
      </w:r>
      <w:r w:rsidRPr="00B67617">
        <w:rPr>
          <w:lang w:eastAsia="bg-BG"/>
        </w:rPr>
        <w:t xml:space="preserve">синдром на Стивънс-Джонсън, токсична епидермална </w:t>
      </w:r>
      <w:proofErr w:type="spellStart"/>
      <w:r w:rsidRPr="00B67617">
        <w:rPr>
          <w:lang w:eastAsia="bg-BG"/>
        </w:rPr>
        <w:t>некролиза</w:t>
      </w:r>
      <w:proofErr w:type="spellEnd"/>
      <w:r w:rsidRPr="00B67617">
        <w:rPr>
          <w:lang w:eastAsia="bg-BG"/>
        </w:rPr>
        <w:t xml:space="preserve"> и остра генерализирана </w:t>
      </w:r>
      <w:proofErr w:type="spellStart"/>
      <w:r w:rsidRPr="00B67617">
        <w:rPr>
          <w:lang w:eastAsia="bg-BG"/>
        </w:rPr>
        <w:t>екзантематозна</w:t>
      </w:r>
      <w:proofErr w:type="spellEnd"/>
      <w:r w:rsidRPr="00B67617">
        <w:rPr>
          <w:lang w:eastAsia="bg-BG"/>
        </w:rPr>
        <w:t xml:space="preserve"> </w:t>
      </w:r>
      <w:proofErr w:type="spellStart"/>
      <w:r w:rsidRPr="00B67617">
        <w:rPr>
          <w:lang w:eastAsia="bg-BG"/>
        </w:rPr>
        <w:t>пустулоза</w:t>
      </w:r>
      <w:proofErr w:type="spellEnd"/>
      <w:r w:rsidRPr="00B67617">
        <w:rPr>
          <w:lang w:eastAsia="bg-BG"/>
        </w:rPr>
        <w:t xml:space="preserve">. При поява на свръхчувствителност или на тежка кожна реакция приложението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трябва да се преустанови и да се назначи съответна терапия (вж. точки 4.3 и 4.8).</w:t>
      </w:r>
    </w:p>
    <w:p w14:paraId="058A43B5" w14:textId="147F25FA" w:rsidR="00B67617" w:rsidRDefault="00B67617" w:rsidP="00B67617"/>
    <w:p w14:paraId="7D9FFEA4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Псевдомембранозен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колит е наблюдаван при почти всички антибактериални агенти, включително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. Той може да варира от лек до животозастрашаващ. Затова е важно да се има предвид тази диагноза при пациенти с диария, появила се след приложение на антибактериални агенти.</w:t>
      </w:r>
    </w:p>
    <w:p w14:paraId="36227C7C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28E24C" w14:textId="501AFB2B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67617">
        <w:rPr>
          <w:rFonts w:eastAsia="Times New Roman" w:cs="Arial"/>
          <w:color w:val="000000"/>
          <w:lang w:eastAsia="bg-BG"/>
        </w:rPr>
        <w:t xml:space="preserve">Лечението с антибактериални агенти променя нормалната флора на дебелото черво и може да позволи свръхрастеж на </w:t>
      </w:r>
      <w:r w:rsidRPr="00B67617">
        <w:rPr>
          <w:rFonts w:eastAsia="Times New Roman" w:cs="Arial"/>
          <w:i/>
          <w:iCs/>
          <w:color w:val="000000"/>
          <w:lang w:val="en-US"/>
        </w:rPr>
        <w:t>clostridia.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Проучванията показват, че токсин, произвеждан от </w:t>
      </w:r>
      <w:r w:rsidRPr="00B67617">
        <w:rPr>
          <w:rFonts w:eastAsia="Times New Roman" w:cs="Arial"/>
          <w:i/>
          <w:iCs/>
          <w:color w:val="000000"/>
          <w:lang w:val="en-US"/>
        </w:rPr>
        <w:t>Clostridium difficile,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е основният причинител на свързания с прием на антибиотици колит. Трябва да бъдат предприети съответните терапевтични мерки след поставяне на диагнозата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псевдомембранозен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колит. Леките форми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псевдомембранозен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колит обикновено се повлияват само от спирането на лекарството. При умерени до тежки състояния трябва да се има предвид лечение с добавка на течности и електролити, протеини, и лечение с антибактериално лекарство, което е клинично ефективно спрямо колит, причинен от </w:t>
      </w:r>
    </w:p>
    <w:p w14:paraId="7DF8D3C8" w14:textId="5B7E39B3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val="en-US"/>
        </w:rPr>
        <w:t>Clostridium difficile.</w:t>
      </w:r>
    </w:p>
    <w:p w14:paraId="2E676859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E1A9C0" w14:textId="6D31E692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не трябва да се назначава при лечение на менингит, тъй като прониква слабо в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цереброспиналната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течност.</w:t>
      </w:r>
    </w:p>
    <w:p w14:paraId="73783646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39FB98" w14:textId="65EDEBB4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67617">
        <w:rPr>
          <w:rFonts w:eastAsia="Times New Roman" w:cs="Arial"/>
          <w:color w:val="000000"/>
          <w:lang w:eastAsia="bg-BG"/>
        </w:rPr>
        <w:t>При продължително лечение е необходимо да бъдат направени чернодробни и бъбречни функционални тестове.</w:t>
      </w:r>
    </w:p>
    <w:p w14:paraId="11106A98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75F60B" w14:textId="3A6A0A0D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Съобщава се за </w:t>
      </w:r>
      <w:r w:rsidRPr="00B67617">
        <w:rPr>
          <w:rFonts w:eastAsia="Times New Roman" w:cs="Arial"/>
          <w:i/>
          <w:iCs/>
          <w:color w:val="000000"/>
          <w:lang w:val="en-US"/>
        </w:rPr>
        <w:t>Clostridium difficile</w:t>
      </w:r>
      <w:r w:rsidRPr="00B67617">
        <w:rPr>
          <w:rFonts w:eastAsia="Times New Roman" w:cs="Arial"/>
          <w:i/>
          <w:iCs/>
          <w:color w:val="000000"/>
          <w:lang w:eastAsia="bg-BG"/>
        </w:rPr>
        <w:t>-свързана</w:t>
      </w:r>
      <w:r w:rsidRPr="00B67617">
        <w:rPr>
          <w:rFonts w:eastAsia="Times New Roman" w:cs="Arial"/>
          <w:color w:val="000000"/>
          <w:lang w:eastAsia="bg-BG"/>
        </w:rPr>
        <w:t xml:space="preserve"> диария </w:t>
      </w:r>
      <w:r w:rsidRPr="00B67617">
        <w:rPr>
          <w:rFonts w:eastAsia="Times New Roman" w:cs="Arial"/>
          <w:color w:val="000000"/>
          <w:lang w:val="en-US"/>
        </w:rPr>
        <w:t xml:space="preserve">(CDAD) </w:t>
      </w:r>
      <w:r w:rsidRPr="00B67617">
        <w:rPr>
          <w:rFonts w:eastAsia="Times New Roman" w:cs="Arial"/>
          <w:color w:val="000000"/>
          <w:lang w:eastAsia="bg-BG"/>
        </w:rPr>
        <w:t xml:space="preserve">при употреба на почти всички антибактериални средства, включително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която може да варира по тежест </w:t>
      </w:r>
      <w:r w:rsidRPr="00B67617">
        <w:rPr>
          <w:rFonts w:eastAsia="Times New Roman" w:cs="Arial"/>
          <w:color w:val="000000"/>
          <w:lang w:eastAsia="bg-BG"/>
        </w:rPr>
        <w:lastRenderedPageBreak/>
        <w:t xml:space="preserve">от лека диария до фатален колит. Лечението с антибактериални средства изменя нормалната флора на дебелото черво, което води до свръхрастеж на </w:t>
      </w:r>
      <w:r w:rsidRPr="00B67617">
        <w:rPr>
          <w:rFonts w:eastAsia="Times New Roman" w:cs="Arial"/>
          <w:i/>
          <w:iCs/>
          <w:color w:val="000000"/>
          <w:lang w:eastAsia="bg-BG"/>
        </w:rPr>
        <w:t xml:space="preserve">С, </w:t>
      </w:r>
      <w:r w:rsidRPr="00B67617">
        <w:rPr>
          <w:rFonts w:eastAsia="Times New Roman" w:cs="Arial"/>
          <w:i/>
          <w:iCs/>
          <w:color w:val="000000"/>
          <w:lang w:val="en-US"/>
        </w:rPr>
        <w:t>difficile.</w:t>
      </w:r>
    </w:p>
    <w:p w14:paraId="097075F6" w14:textId="77777777" w:rsidR="00B67617" w:rsidRPr="00B67617" w:rsidRDefault="00B67617" w:rsidP="00B67617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46CFF8D" w14:textId="7CF62182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eastAsia="bg-BG"/>
        </w:rPr>
        <w:t xml:space="preserve">С. </w:t>
      </w:r>
      <w:r w:rsidRPr="00B67617">
        <w:rPr>
          <w:rFonts w:eastAsia="Times New Roman" w:cs="Arial"/>
          <w:i/>
          <w:iCs/>
          <w:color w:val="000000"/>
          <w:lang w:val="en-US"/>
        </w:rPr>
        <w:t>difficile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произвежда токсини А и В, които допринасят за развитието на </w:t>
      </w:r>
      <w:r w:rsidRPr="00B67617">
        <w:rPr>
          <w:rFonts w:eastAsia="Times New Roman" w:cs="Arial"/>
          <w:color w:val="000000"/>
          <w:lang w:val="en-US"/>
        </w:rPr>
        <w:t xml:space="preserve">CDAD. </w:t>
      </w:r>
      <w:r w:rsidRPr="00B67617">
        <w:rPr>
          <w:rFonts w:eastAsia="Times New Roman" w:cs="Arial"/>
          <w:color w:val="000000"/>
          <w:lang w:eastAsia="bg-BG"/>
        </w:rPr>
        <w:t xml:space="preserve">Произвеждащите хипертоксин щамове на </w:t>
      </w:r>
      <w:r w:rsidRPr="00B67617">
        <w:rPr>
          <w:rFonts w:eastAsia="Times New Roman" w:cs="Arial"/>
          <w:i/>
          <w:iCs/>
          <w:color w:val="000000"/>
          <w:lang w:eastAsia="bg-BG"/>
        </w:rPr>
        <w:t xml:space="preserve">С. </w:t>
      </w:r>
      <w:r w:rsidRPr="00B67617">
        <w:rPr>
          <w:rFonts w:eastAsia="Times New Roman" w:cs="Arial"/>
          <w:i/>
          <w:iCs/>
          <w:color w:val="000000"/>
          <w:lang w:val="en-US"/>
        </w:rPr>
        <w:t>difficile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предизвикват повишена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морбидност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 смъртност, тъй като тези инфекции могат да бъдат устойчиви на антимикробна терапия и могат да изискват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колектомия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. </w:t>
      </w:r>
      <w:r w:rsidRPr="00B67617">
        <w:rPr>
          <w:rFonts w:eastAsia="Times New Roman" w:cs="Arial"/>
          <w:color w:val="000000"/>
          <w:lang w:val="en-US"/>
        </w:rPr>
        <w:t xml:space="preserve">CDAD </w:t>
      </w:r>
      <w:r w:rsidRPr="00B67617">
        <w:rPr>
          <w:rFonts w:eastAsia="Times New Roman" w:cs="Arial"/>
          <w:color w:val="000000"/>
          <w:lang w:eastAsia="bg-BG"/>
        </w:rPr>
        <w:t xml:space="preserve">трябва да се вземе предвид при всички пациенти, които страдат от диария след употреба на антибиотици. Необходима е щателна медицинска анамнеза, тъй като се съобщава, че </w:t>
      </w:r>
      <w:r w:rsidRPr="00B67617">
        <w:rPr>
          <w:rFonts w:eastAsia="Times New Roman" w:cs="Arial"/>
          <w:color w:val="000000"/>
          <w:lang w:val="en-US"/>
        </w:rPr>
        <w:t xml:space="preserve">CDAD </w:t>
      </w:r>
      <w:r w:rsidRPr="00B67617">
        <w:rPr>
          <w:rFonts w:eastAsia="Times New Roman" w:cs="Arial"/>
          <w:color w:val="000000"/>
          <w:lang w:eastAsia="bg-BG"/>
        </w:rPr>
        <w:t>може да се прояви повече от два месеца след приложението на антибактериалните средства.</w:t>
      </w:r>
    </w:p>
    <w:p w14:paraId="49C09A8E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94B24A" w14:textId="60E4EF63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Ако има съмнение или бъдат потвърдени диария или колит, свързани с употребата на антибиотик, лечението с антибактериални средства, включително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, трябва да се преустанови и незабавно да се назначат съответни терапевтични мерки. Употребата на лекарства, инхибиращи перисталтиката, е противопоказана в тази ситуация.</w:t>
      </w:r>
    </w:p>
    <w:p w14:paraId="3A3D68A9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88BA92" w14:textId="236A25EB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Далацин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С капсули съдържа лактоза. Пациенти с редки наследствени проблеми като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непоносимост, </w:t>
      </w:r>
      <w:r w:rsidRPr="00B67617">
        <w:rPr>
          <w:rFonts w:eastAsia="Times New Roman" w:cs="Arial"/>
          <w:color w:val="000000"/>
          <w:lang w:val="en-US"/>
        </w:rPr>
        <w:t>Lapp</w:t>
      </w:r>
      <w:r w:rsidRPr="00B67617">
        <w:rPr>
          <w:rFonts w:eastAsia="Times New Roman" w:cs="Arial"/>
          <w:color w:val="000000"/>
          <w:lang w:eastAsia="bg-BG"/>
        </w:rPr>
        <w:t>-</w:t>
      </w:r>
      <w:proofErr w:type="spellStart"/>
      <w:r w:rsidRPr="00B67617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малабсорбция не трябва да приемат това лекарство.</w:t>
      </w:r>
    </w:p>
    <w:p w14:paraId="6CE094B3" w14:textId="77777777" w:rsidR="00B67617" w:rsidRPr="00B67617" w:rsidRDefault="00B67617" w:rsidP="00B67617"/>
    <w:p w14:paraId="5D37E947" w14:textId="288DD07F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308F1C6A" w14:textId="77777777" w:rsidR="00B67617" w:rsidRDefault="00B67617" w:rsidP="00B67617">
      <w:pPr>
        <w:rPr>
          <w:lang w:eastAsia="bg-BG"/>
        </w:rPr>
      </w:pPr>
    </w:p>
    <w:p w14:paraId="27976B86" w14:textId="13E41891" w:rsidR="00B67617" w:rsidRPr="00B67617" w:rsidRDefault="00B67617" w:rsidP="00B67617">
      <w:pPr>
        <w:rPr>
          <w:sz w:val="24"/>
          <w:szCs w:val="24"/>
        </w:rPr>
      </w:pP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показва наличие на </w:t>
      </w:r>
      <w:proofErr w:type="spellStart"/>
      <w:r w:rsidRPr="00B67617">
        <w:rPr>
          <w:lang w:eastAsia="bg-BG"/>
        </w:rPr>
        <w:t>невромускулни</w:t>
      </w:r>
      <w:proofErr w:type="spellEnd"/>
      <w:r w:rsidRPr="00B67617">
        <w:rPr>
          <w:lang w:eastAsia="bg-BG"/>
        </w:rPr>
        <w:t xml:space="preserve"> блокиращи свойства и може да засили действието на други </w:t>
      </w:r>
      <w:proofErr w:type="spellStart"/>
      <w:r w:rsidRPr="00B67617">
        <w:rPr>
          <w:lang w:eastAsia="bg-BG"/>
        </w:rPr>
        <w:t>невромускулни</w:t>
      </w:r>
      <w:proofErr w:type="spellEnd"/>
      <w:r w:rsidRPr="00B67617">
        <w:rPr>
          <w:lang w:eastAsia="bg-BG"/>
        </w:rPr>
        <w:t xml:space="preserve"> блокиращи агенти. Поради това следва да се използва внимателно при пациенти, получаващи такива средства.</w:t>
      </w:r>
    </w:p>
    <w:p w14:paraId="304CF873" w14:textId="77777777" w:rsidR="00B67617" w:rsidRDefault="00B67617" w:rsidP="00B67617">
      <w:pPr>
        <w:rPr>
          <w:lang w:eastAsia="bg-BG"/>
        </w:rPr>
      </w:pPr>
    </w:p>
    <w:p w14:paraId="63845A99" w14:textId="7D41C8A6" w:rsidR="00B67617" w:rsidRDefault="00B67617" w:rsidP="00B67617">
      <w:pPr>
        <w:rPr>
          <w:lang w:eastAsia="bg-BG"/>
        </w:rPr>
      </w:pP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 се </w:t>
      </w:r>
      <w:proofErr w:type="spellStart"/>
      <w:r w:rsidRPr="00B67617">
        <w:rPr>
          <w:lang w:eastAsia="bg-BG"/>
        </w:rPr>
        <w:t>метаболизира</w:t>
      </w:r>
      <w:proofErr w:type="spellEnd"/>
      <w:r w:rsidRPr="00B67617">
        <w:rPr>
          <w:lang w:eastAsia="bg-BG"/>
        </w:rPr>
        <w:t xml:space="preserve"> предимно от </w:t>
      </w:r>
      <w:r w:rsidRPr="00B67617">
        <w:rPr>
          <w:lang w:val="en-US"/>
        </w:rPr>
        <w:t xml:space="preserve">CYP3A4 </w:t>
      </w:r>
      <w:r w:rsidRPr="00B67617">
        <w:rPr>
          <w:lang w:eastAsia="bg-BG"/>
        </w:rPr>
        <w:t xml:space="preserve">и в по-малка степен от </w:t>
      </w:r>
      <w:r w:rsidRPr="00B67617">
        <w:rPr>
          <w:lang w:val="en-US"/>
        </w:rPr>
        <w:t xml:space="preserve">CYP3A5 </w:t>
      </w:r>
      <w:r w:rsidRPr="00B67617">
        <w:rPr>
          <w:lang w:eastAsia="bg-BG"/>
        </w:rPr>
        <w:t xml:space="preserve">до основния метаболит </w:t>
      </w:r>
      <w:proofErr w:type="spellStart"/>
      <w:r w:rsidRPr="00B67617">
        <w:rPr>
          <w:lang w:eastAsia="bg-BG"/>
        </w:rPr>
        <w:t>клиндамицинов</w:t>
      </w:r>
      <w:proofErr w:type="spellEnd"/>
      <w:r w:rsidRPr="00B67617">
        <w:rPr>
          <w:lang w:eastAsia="bg-BG"/>
        </w:rPr>
        <w:t xml:space="preserve"> </w:t>
      </w:r>
      <w:proofErr w:type="spellStart"/>
      <w:r w:rsidRPr="00B67617">
        <w:rPr>
          <w:lang w:eastAsia="bg-BG"/>
        </w:rPr>
        <w:t>сулфоксид</w:t>
      </w:r>
      <w:proofErr w:type="spellEnd"/>
      <w:r w:rsidRPr="00B67617">
        <w:rPr>
          <w:lang w:eastAsia="bg-BG"/>
        </w:rPr>
        <w:t xml:space="preserve"> и второстепенния метаболит </w:t>
      </w:r>
      <w:r w:rsidRPr="00B67617">
        <w:rPr>
          <w:lang w:val="en-US"/>
        </w:rPr>
        <w:t>N</w:t>
      </w:r>
      <w:r w:rsidRPr="00B67617">
        <w:rPr>
          <w:lang w:eastAsia="bg-BG"/>
        </w:rPr>
        <w:t>-</w:t>
      </w:r>
      <w:proofErr w:type="spellStart"/>
      <w:r w:rsidRPr="00B67617">
        <w:rPr>
          <w:lang w:eastAsia="bg-BG"/>
        </w:rPr>
        <w:t>дезметилклиндамицин</w:t>
      </w:r>
      <w:proofErr w:type="spellEnd"/>
      <w:r w:rsidRPr="00B67617">
        <w:rPr>
          <w:lang w:eastAsia="bg-BG"/>
        </w:rPr>
        <w:t xml:space="preserve">. По тази причина инхибиторите на </w:t>
      </w:r>
      <w:r w:rsidRPr="00B67617">
        <w:rPr>
          <w:lang w:val="en-US"/>
        </w:rPr>
        <w:t xml:space="preserve">CYP3A4 </w:t>
      </w:r>
      <w:r w:rsidRPr="00B67617">
        <w:rPr>
          <w:lang w:eastAsia="bg-BG"/>
        </w:rPr>
        <w:t xml:space="preserve">и </w:t>
      </w:r>
      <w:r w:rsidRPr="00B67617">
        <w:rPr>
          <w:lang w:val="en-US"/>
        </w:rPr>
        <w:t>CYP3A5</w:t>
      </w:r>
      <w:r w:rsidRPr="00B67617">
        <w:rPr>
          <w:lang w:eastAsia="bg-BG"/>
        </w:rPr>
        <w:t xml:space="preserve"> могат да понижат </w:t>
      </w:r>
      <w:proofErr w:type="spellStart"/>
      <w:r w:rsidRPr="00B67617">
        <w:rPr>
          <w:lang w:eastAsia="bg-BG"/>
        </w:rPr>
        <w:t>клирънса</w:t>
      </w:r>
      <w:proofErr w:type="spellEnd"/>
      <w:r w:rsidRPr="00B67617">
        <w:rPr>
          <w:lang w:eastAsia="bg-BG"/>
        </w:rPr>
        <w:t xml:space="preserve">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, а индукторите на тези </w:t>
      </w:r>
      <w:proofErr w:type="spellStart"/>
      <w:r w:rsidRPr="00B67617">
        <w:rPr>
          <w:lang w:eastAsia="bg-BG"/>
        </w:rPr>
        <w:t>изоензими</w:t>
      </w:r>
      <w:proofErr w:type="spellEnd"/>
      <w:r w:rsidRPr="00B67617">
        <w:rPr>
          <w:lang w:eastAsia="bg-BG"/>
        </w:rPr>
        <w:t xml:space="preserve"> могат да повишат </w:t>
      </w:r>
      <w:proofErr w:type="spellStart"/>
      <w:r w:rsidRPr="00B67617">
        <w:rPr>
          <w:lang w:eastAsia="bg-BG"/>
        </w:rPr>
        <w:t>клирънса</w:t>
      </w:r>
      <w:proofErr w:type="spellEnd"/>
      <w:r w:rsidRPr="00B67617">
        <w:rPr>
          <w:lang w:eastAsia="bg-BG"/>
        </w:rPr>
        <w:t xml:space="preserve"> на </w:t>
      </w:r>
      <w:proofErr w:type="spellStart"/>
      <w:r w:rsidRPr="00B67617">
        <w:rPr>
          <w:lang w:eastAsia="bg-BG"/>
        </w:rPr>
        <w:t>клиндамицин</w:t>
      </w:r>
      <w:proofErr w:type="spellEnd"/>
      <w:r w:rsidRPr="00B67617">
        <w:rPr>
          <w:lang w:eastAsia="bg-BG"/>
        </w:rPr>
        <w:t xml:space="preserve">. Да се проследява за липса на ефективност в присъствието на </w:t>
      </w:r>
      <w:proofErr w:type="spellStart"/>
      <w:r w:rsidRPr="00B67617">
        <w:rPr>
          <w:lang w:eastAsia="bg-BG"/>
        </w:rPr>
        <w:t>мошни</w:t>
      </w:r>
      <w:proofErr w:type="spellEnd"/>
      <w:r w:rsidRPr="00B67617">
        <w:rPr>
          <w:lang w:eastAsia="bg-BG"/>
        </w:rPr>
        <w:t xml:space="preserve"> индуктори на </w:t>
      </w:r>
      <w:r w:rsidRPr="00B67617">
        <w:rPr>
          <w:lang w:val="en-US"/>
        </w:rPr>
        <w:t xml:space="preserve">CYP3A4, </w:t>
      </w:r>
      <w:r w:rsidRPr="00B67617">
        <w:rPr>
          <w:lang w:eastAsia="bg-BG"/>
        </w:rPr>
        <w:t xml:space="preserve">като </w:t>
      </w:r>
      <w:proofErr w:type="spellStart"/>
      <w:r w:rsidRPr="00B67617">
        <w:rPr>
          <w:lang w:eastAsia="bg-BG"/>
        </w:rPr>
        <w:t>рифампицин</w:t>
      </w:r>
      <w:proofErr w:type="spellEnd"/>
      <w:r w:rsidRPr="00B67617">
        <w:rPr>
          <w:lang w:eastAsia="bg-BG"/>
        </w:rPr>
        <w:t>.</w:t>
      </w:r>
    </w:p>
    <w:p w14:paraId="5FBB86B5" w14:textId="382BB814" w:rsidR="00B67617" w:rsidRDefault="00B67617" w:rsidP="00B67617">
      <w:pPr>
        <w:rPr>
          <w:lang w:eastAsia="bg-BG"/>
        </w:rPr>
      </w:pPr>
    </w:p>
    <w:p w14:paraId="2606319B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i/>
          <w:iCs/>
          <w:color w:val="000000"/>
          <w:lang w:val="en-US"/>
        </w:rPr>
        <w:t>In vitro</w:t>
      </w:r>
      <w:r w:rsidRPr="00B67617">
        <w:rPr>
          <w:rFonts w:eastAsia="Times New Roman" w:cs="Arial"/>
          <w:color w:val="000000"/>
          <w:lang w:val="en-US"/>
        </w:rPr>
        <w:t xml:space="preserve"> </w:t>
      </w:r>
      <w:r w:rsidRPr="00B67617">
        <w:rPr>
          <w:rFonts w:eastAsia="Times New Roman" w:cs="Arial"/>
          <w:color w:val="000000"/>
          <w:lang w:eastAsia="bg-BG"/>
        </w:rPr>
        <w:t xml:space="preserve">проучванията показват, че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не инхибира </w:t>
      </w:r>
      <w:r w:rsidRPr="00B67617">
        <w:rPr>
          <w:rFonts w:eastAsia="Times New Roman" w:cs="Arial"/>
          <w:color w:val="000000"/>
          <w:lang w:val="en-US"/>
        </w:rPr>
        <w:t xml:space="preserve">CYP1A2, CYP2C9, CYP2C19, CYP2E1 </w:t>
      </w:r>
      <w:r w:rsidRPr="00B67617">
        <w:rPr>
          <w:rFonts w:eastAsia="Times New Roman" w:cs="Arial"/>
          <w:color w:val="000000"/>
          <w:lang w:eastAsia="bg-BG"/>
        </w:rPr>
        <w:t xml:space="preserve">или </w:t>
      </w:r>
      <w:r w:rsidRPr="00B67617">
        <w:rPr>
          <w:rFonts w:eastAsia="Times New Roman" w:cs="Arial"/>
          <w:color w:val="000000"/>
          <w:lang w:val="en-US"/>
        </w:rPr>
        <w:t xml:space="preserve">CYP2D6 </w:t>
      </w:r>
      <w:r w:rsidRPr="00B67617">
        <w:rPr>
          <w:rFonts w:eastAsia="Times New Roman" w:cs="Arial"/>
          <w:color w:val="000000"/>
          <w:lang w:eastAsia="bg-BG"/>
        </w:rPr>
        <w:t xml:space="preserve">и само умерено инхибира </w:t>
      </w:r>
      <w:r w:rsidRPr="00B67617">
        <w:rPr>
          <w:rFonts w:eastAsia="Times New Roman" w:cs="Arial"/>
          <w:color w:val="000000"/>
          <w:lang w:val="en-US"/>
        </w:rPr>
        <w:t xml:space="preserve">CYP3A4. </w:t>
      </w:r>
      <w:r w:rsidRPr="00B67617">
        <w:rPr>
          <w:rFonts w:eastAsia="Times New Roman" w:cs="Arial"/>
          <w:color w:val="000000"/>
          <w:lang w:eastAsia="bg-BG"/>
        </w:rPr>
        <w:t xml:space="preserve">Поради това са малко вероятни клинично значими взаимодействия между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 едновременно приложени лекарства, които се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метаболизират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от тези </w:t>
      </w:r>
      <w:r w:rsidRPr="00B67617">
        <w:rPr>
          <w:rFonts w:eastAsia="Times New Roman" w:cs="Arial"/>
          <w:color w:val="000000"/>
          <w:lang w:val="en-US"/>
        </w:rPr>
        <w:t xml:space="preserve">CYP </w:t>
      </w:r>
      <w:r w:rsidRPr="00B67617">
        <w:rPr>
          <w:rFonts w:eastAsia="Times New Roman" w:cs="Arial"/>
          <w:color w:val="000000"/>
          <w:lang w:eastAsia="bg-BG"/>
        </w:rPr>
        <w:t>ензими.</w:t>
      </w:r>
    </w:p>
    <w:p w14:paraId="787168BB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A9C067" w14:textId="47969F7D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u w:val="single"/>
          <w:lang w:eastAsia="bg-BG"/>
        </w:rPr>
        <w:t>Антагонисти на витамин К</w:t>
      </w:r>
    </w:p>
    <w:p w14:paraId="494718FE" w14:textId="77777777" w:rsidR="00B67617" w:rsidRPr="00B67617" w:rsidRDefault="00B67617" w:rsidP="00B676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17">
        <w:rPr>
          <w:rFonts w:eastAsia="Times New Roman" w:cs="Arial"/>
          <w:color w:val="000000"/>
          <w:lang w:eastAsia="bg-BG"/>
        </w:rPr>
        <w:t xml:space="preserve">Съобщава се за повишени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коагулационни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тестове </w:t>
      </w:r>
      <w:r w:rsidRPr="00B67617">
        <w:rPr>
          <w:rFonts w:eastAsia="Times New Roman" w:cs="Arial"/>
          <w:color w:val="000000"/>
          <w:lang w:val="en-US"/>
        </w:rPr>
        <w:t xml:space="preserve">(PT/INR) </w:t>
      </w:r>
      <w:r w:rsidRPr="00B67617">
        <w:rPr>
          <w:rFonts w:eastAsia="Times New Roman" w:cs="Arial"/>
          <w:color w:val="000000"/>
          <w:lang w:eastAsia="bg-BG"/>
        </w:rPr>
        <w:t xml:space="preserve">и/или кървене при пациенти, лекувани с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в комбинация с антагонист на витамин К (напр.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аценокумарол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флуиндион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). По тази причина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коагулационните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тестове трябва да бъдат проследявани по-често при пациенти на лечение с антагонисти на витамин К.</w:t>
      </w:r>
    </w:p>
    <w:p w14:paraId="0041A771" w14:textId="77777777" w:rsidR="00B67617" w:rsidRPr="00B67617" w:rsidRDefault="00B67617" w:rsidP="00B67617"/>
    <w:p w14:paraId="2A6346D7" w14:textId="7C6C042C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E7F8C08" w14:textId="77777777" w:rsidR="00B67617" w:rsidRDefault="00B67617" w:rsidP="00B67617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bg-BG"/>
        </w:rPr>
      </w:pPr>
    </w:p>
    <w:p w14:paraId="400A399A" w14:textId="038DB5AE" w:rsidR="00B67617" w:rsidRPr="00B67617" w:rsidRDefault="00B67617" w:rsidP="00B67617">
      <w:pPr>
        <w:pStyle w:val="Heading3"/>
        <w:rPr>
          <w:rFonts w:eastAsia="Times New Roman"/>
          <w:u w:val="single"/>
        </w:rPr>
      </w:pPr>
      <w:r w:rsidRPr="00B67617">
        <w:rPr>
          <w:rFonts w:eastAsia="Times New Roman"/>
          <w:u w:val="single"/>
          <w:lang w:eastAsia="bg-BG"/>
        </w:rPr>
        <w:lastRenderedPageBreak/>
        <w:t>Бременност</w:t>
      </w:r>
    </w:p>
    <w:p w14:paraId="6350B165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Проучванията за репродуктивна токсичност при перорално и подкожно приложение при плъхове и зайци не разкриват данни за нарушен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Фертилитет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или увреждане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дължащи се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>, освен в дози, причиняващи майчина токсичност. Проучванията върху репродукцията при животни не винаги предвиждат точно реакцията при хората.</w:t>
      </w:r>
    </w:p>
    <w:p w14:paraId="616A37A3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B25179" w14:textId="4E926645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преминава през плацентата при хора. След многократно приложение концентрацията в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амниотичната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течност е приблизително 30% от плазмените нива на майката.</w:t>
      </w:r>
    </w:p>
    <w:p w14:paraId="711B19A2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EC6A5F" w14:textId="42E5487F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При клинични изпитвания с бременни жени, системното приложение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през втория и третия триместър на бременността не се свързва с увеличена честота на вродени увреждания. Няма достатъчно и добре контролирани проучвания при бременни жени през първия триместър на бременността.</w:t>
      </w:r>
    </w:p>
    <w:p w14:paraId="756F6762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B98910" w14:textId="37B35277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трябва да се използва при бременност, само ако е абсолютно необходимо.</w:t>
      </w:r>
    </w:p>
    <w:p w14:paraId="5C4147F5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CC20C0" w14:textId="4DDE17BB" w:rsidR="00B67617" w:rsidRPr="00B67617" w:rsidRDefault="00B67617" w:rsidP="00B67617">
      <w:pPr>
        <w:pStyle w:val="Heading3"/>
        <w:rPr>
          <w:rFonts w:eastAsia="Times New Roman"/>
          <w:u w:val="single"/>
        </w:rPr>
      </w:pPr>
      <w:r w:rsidRPr="00B67617">
        <w:rPr>
          <w:rFonts w:eastAsia="Times New Roman"/>
          <w:u w:val="single"/>
          <w:lang w:eastAsia="bg-BG"/>
        </w:rPr>
        <w:t>Кърмене</w:t>
      </w:r>
    </w:p>
    <w:p w14:paraId="5A113BD7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Съобщаваното ниво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в кърмата при хора е в границите от &lt;0,5 до 3,8 микрограма</w:t>
      </w:r>
      <w:r w:rsidRPr="00B67617">
        <w:rPr>
          <w:rFonts w:eastAsia="Times New Roman" w:cs="Arial"/>
          <w:color w:val="000000"/>
          <w:lang w:val="en-US"/>
        </w:rPr>
        <w:t>/ml.</w:t>
      </w:r>
    </w:p>
    <w:p w14:paraId="7592AD17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319BFE" w14:textId="4F7278D7" w:rsidR="00B67617" w:rsidRPr="00B67617" w:rsidRDefault="00B67617" w:rsidP="00B67617">
      <w:pPr>
        <w:spacing w:line="240" w:lineRule="auto"/>
        <w:rPr>
          <w:rFonts w:eastAsia="Times New Roman" w:cs="Arial"/>
        </w:rPr>
      </w:pP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има потенциала да предизвика нежелани ефекти върху стомашно-чревната флора при кърмачето, като диария или кръв в изпражненията, или обрив. Ако е необходимо перорално или интравенозно прилагане на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кърмеща майка, това не е причина за спиране на кърменето, но може да се предпочете алтернативно лекарство. Трябва да се обмислят ползите от кърменето за развитието и здравето на кърмачето, както и клиничната нужда от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майката, спрямо всички потенциални нежелани ефекти върху кърмачето от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или от подлежащото заболяване на майката.</w:t>
      </w:r>
    </w:p>
    <w:p w14:paraId="0A8F054B" w14:textId="77777777" w:rsidR="00B67617" w:rsidRPr="00B67617" w:rsidRDefault="00B67617" w:rsidP="00B67617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3A46E7" w14:textId="17073528" w:rsidR="00B67617" w:rsidRPr="00B67617" w:rsidRDefault="00B67617" w:rsidP="00B67617">
      <w:pPr>
        <w:pStyle w:val="Heading3"/>
        <w:rPr>
          <w:rFonts w:eastAsia="Times New Roman"/>
          <w:u w:val="single"/>
        </w:rPr>
      </w:pPr>
      <w:proofErr w:type="spellStart"/>
      <w:r w:rsidRPr="00B67617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6ABEC769" w14:textId="77777777" w:rsidR="00B67617" w:rsidRPr="00B67617" w:rsidRDefault="00B67617" w:rsidP="00B67617">
      <w:pPr>
        <w:spacing w:line="240" w:lineRule="auto"/>
        <w:rPr>
          <w:rFonts w:eastAsia="Times New Roman" w:cs="Arial"/>
        </w:rPr>
      </w:pPr>
      <w:r w:rsidRPr="00B67617">
        <w:rPr>
          <w:rFonts w:eastAsia="Times New Roman" w:cs="Arial"/>
          <w:color w:val="000000"/>
          <w:lang w:eastAsia="bg-BG"/>
        </w:rPr>
        <w:t xml:space="preserve">Проучвания върху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при плъхове, лекувани перорално с </w:t>
      </w:r>
      <w:proofErr w:type="spellStart"/>
      <w:r w:rsidRPr="00B67617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, не показват въздействие върху </w:t>
      </w:r>
      <w:proofErr w:type="spellStart"/>
      <w:r w:rsidRPr="00B67617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B67617">
        <w:rPr>
          <w:rFonts w:eastAsia="Times New Roman" w:cs="Arial"/>
          <w:color w:val="000000"/>
          <w:lang w:eastAsia="bg-BG"/>
        </w:rPr>
        <w:t xml:space="preserve"> или способността за чифтосване.</w:t>
      </w:r>
    </w:p>
    <w:p w14:paraId="56E90657" w14:textId="77777777" w:rsidR="00B67617" w:rsidRPr="00B67617" w:rsidRDefault="00B67617" w:rsidP="00B67617"/>
    <w:p w14:paraId="71DE6E9A" w14:textId="21DCFB98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52140AE7" w14:textId="77777777" w:rsidR="00057479" w:rsidRDefault="00057479" w:rsidP="00057479"/>
    <w:p w14:paraId="35ACB157" w14:textId="318D77F9" w:rsidR="00057479" w:rsidRDefault="00057479" w:rsidP="00057479">
      <w:proofErr w:type="spellStart"/>
      <w:r>
        <w:t>Клиндамицин</w:t>
      </w:r>
      <w:proofErr w:type="spellEnd"/>
      <w:r>
        <w:t xml:space="preserve"> няма или има пренебрежимо малко въздействие върху способността за шофиране и работа с машини.</w:t>
      </w:r>
    </w:p>
    <w:p w14:paraId="1B405BDC" w14:textId="77777777" w:rsidR="00057479" w:rsidRPr="00057479" w:rsidRDefault="00057479" w:rsidP="00057479"/>
    <w:p w14:paraId="6698E6B8" w14:textId="65F33135" w:rsidR="00C809A7" w:rsidRDefault="002C50EE" w:rsidP="00AA23EC">
      <w:pPr>
        <w:pStyle w:val="Heading2"/>
      </w:pPr>
      <w:r>
        <w:t>4.8. Нежелани лекарствени реакции</w:t>
      </w:r>
    </w:p>
    <w:p w14:paraId="542247F4" w14:textId="77777777" w:rsidR="00057479" w:rsidRDefault="00057479" w:rsidP="00057479">
      <w:pPr>
        <w:rPr>
          <w:lang w:eastAsia="bg-BG"/>
        </w:rPr>
      </w:pPr>
    </w:p>
    <w:p w14:paraId="7AC92DF0" w14:textId="422F33D5" w:rsidR="00057479" w:rsidRDefault="00057479" w:rsidP="00057479">
      <w:pPr>
        <w:rPr>
          <w:lang w:eastAsia="bg-BG"/>
        </w:rPr>
      </w:pPr>
      <w:r w:rsidRPr="00057479">
        <w:rPr>
          <w:lang w:eastAsia="bg-BG"/>
        </w:rPr>
        <w:t xml:space="preserve">В таблицата по-долу са изброени нежеланите лекарствени реакции, установени при клинични изпитвания и при </w:t>
      </w:r>
      <w:proofErr w:type="spellStart"/>
      <w:r w:rsidRPr="00057479">
        <w:rPr>
          <w:lang w:eastAsia="bg-BG"/>
        </w:rPr>
        <w:t>постмаркетинговото</w:t>
      </w:r>
      <w:proofErr w:type="spellEnd"/>
      <w:r w:rsidRPr="00057479">
        <w:rPr>
          <w:lang w:eastAsia="bg-BG"/>
        </w:rPr>
        <w:t xml:space="preserve"> наблюдение, по </w:t>
      </w:r>
      <w:r w:rsidRPr="00057479">
        <w:rPr>
          <w:lang w:val="en-US"/>
        </w:rPr>
        <w:t xml:space="preserve">MedDRA </w:t>
      </w:r>
      <w:proofErr w:type="spellStart"/>
      <w:r w:rsidRPr="00057479">
        <w:rPr>
          <w:lang w:eastAsia="bg-BG"/>
        </w:rPr>
        <w:t>системо</w:t>
      </w:r>
      <w:proofErr w:type="spellEnd"/>
      <w:r w:rsidRPr="00057479">
        <w:rPr>
          <w:lang w:eastAsia="bg-BG"/>
        </w:rPr>
        <w:t>-органен клас и честота. Групите по честота са представени, както следва: много чести (</w:t>
      </w:r>
      <w:r w:rsidRPr="00057479">
        <w:rPr>
          <w:lang w:val="en-US"/>
        </w:rPr>
        <w:t>≥</w:t>
      </w:r>
      <w:r w:rsidRPr="00057479">
        <w:rPr>
          <w:lang w:eastAsia="bg-BG"/>
        </w:rPr>
        <w:t>1/10), чести (</w:t>
      </w:r>
      <w:r w:rsidRPr="00057479">
        <w:rPr>
          <w:lang w:val="en-US"/>
        </w:rPr>
        <w:t>≥</w:t>
      </w:r>
      <w:r w:rsidRPr="00057479">
        <w:rPr>
          <w:lang w:eastAsia="bg-BG"/>
        </w:rPr>
        <w:t>1/100 до &lt;1/10), нечести (</w:t>
      </w:r>
      <w:r w:rsidRPr="00057479">
        <w:rPr>
          <w:lang w:val="en-US"/>
        </w:rPr>
        <w:t>≥</w:t>
      </w:r>
      <w:r w:rsidRPr="00057479">
        <w:rPr>
          <w:lang w:eastAsia="bg-BG"/>
        </w:rPr>
        <w:t>1/1 000 до &lt;1/100), редки (</w:t>
      </w:r>
      <w:r w:rsidRPr="00057479">
        <w:rPr>
          <w:lang w:val="en-US"/>
        </w:rPr>
        <w:t>≥</w:t>
      </w:r>
      <w:r w:rsidRPr="00057479">
        <w:rPr>
          <w:lang w:eastAsia="bg-BG"/>
        </w:rPr>
        <w:t>1/10 000 до &lt;1/1 000), много редки (&lt;1/10 000) и с</w:t>
      </w:r>
      <w:r>
        <w:rPr>
          <w:lang w:val="en-US" w:eastAsia="bg-BG"/>
        </w:rPr>
        <w:t xml:space="preserve"> </w:t>
      </w:r>
      <w:r w:rsidRPr="00057479">
        <w:rPr>
          <w:lang w:eastAsia="bg-BG"/>
        </w:rPr>
        <w:t xml:space="preserve">неизвестна честота (от наличните данни не може да бъде направена оценка). При всяко групиране в зависимост от честотата нежеланите </w:t>
      </w:r>
      <w:r w:rsidRPr="00057479">
        <w:rPr>
          <w:lang w:eastAsia="bg-BG"/>
        </w:rPr>
        <w:lastRenderedPageBreak/>
        <w:t>лекарствени реакции се изброяват в низходящ ред по отношение на тяхната медицинска сериозност.</w:t>
      </w:r>
    </w:p>
    <w:p w14:paraId="27E44434" w14:textId="7B193FDA" w:rsidR="00057479" w:rsidRDefault="00057479" w:rsidP="00057479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870"/>
        <w:gridCol w:w="2045"/>
        <w:gridCol w:w="1256"/>
        <w:gridCol w:w="2546"/>
      </w:tblGrid>
      <w:tr w:rsidR="00057479" w14:paraId="08EFA1E5" w14:textId="77777777" w:rsidTr="00057479">
        <w:tc>
          <w:tcPr>
            <w:tcW w:w="1859" w:type="dxa"/>
          </w:tcPr>
          <w:p w14:paraId="0A77BBD7" w14:textId="74DDA84B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57479">
              <w:rPr>
                <w:b/>
                <w:bCs/>
              </w:rPr>
              <w:t>Системо</w:t>
            </w:r>
            <w:proofErr w:type="spellEnd"/>
            <w:r w:rsidRPr="00057479">
              <w:rPr>
                <w:b/>
                <w:bCs/>
              </w:rPr>
              <w:t>- органен клас</w:t>
            </w:r>
          </w:p>
        </w:tc>
        <w:tc>
          <w:tcPr>
            <w:tcW w:w="1870" w:type="dxa"/>
          </w:tcPr>
          <w:p w14:paraId="768E4B24" w14:textId="77777777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>Чести</w:t>
            </w:r>
          </w:p>
          <w:p w14:paraId="2E6DEB24" w14:textId="4BE594B2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  <w:lang w:val="en-US"/>
              </w:rPr>
              <w:t>≥</w:t>
            </w:r>
            <w:r w:rsidRPr="00057479">
              <w:rPr>
                <w:b/>
                <w:bCs/>
              </w:rPr>
              <w:t>1/100 до &lt;1/10</w:t>
            </w:r>
          </w:p>
        </w:tc>
        <w:tc>
          <w:tcPr>
            <w:tcW w:w="2045" w:type="dxa"/>
          </w:tcPr>
          <w:p w14:paraId="41864ACE" w14:textId="77777777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>Нечести</w:t>
            </w:r>
          </w:p>
          <w:p w14:paraId="49E29B38" w14:textId="57F08804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  <w:lang w:val="en-US"/>
              </w:rPr>
              <w:t>≥</w:t>
            </w:r>
            <w:r w:rsidRPr="00057479">
              <w:rPr>
                <w:b/>
                <w:bCs/>
              </w:rPr>
              <w:t>1/1 000 до &lt;1/100</w:t>
            </w:r>
          </w:p>
        </w:tc>
        <w:tc>
          <w:tcPr>
            <w:tcW w:w="1256" w:type="dxa"/>
          </w:tcPr>
          <w:p w14:paraId="419EF0B9" w14:textId="77777777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>Редки</w:t>
            </w:r>
          </w:p>
          <w:p w14:paraId="156996B4" w14:textId="0985B8EF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  <w:lang w:val="en-US"/>
              </w:rPr>
              <w:t>≥</w:t>
            </w:r>
            <w:r w:rsidRPr="00057479">
              <w:rPr>
                <w:b/>
                <w:bCs/>
              </w:rPr>
              <w:t>1/10 000 до &lt;1/1 000</w:t>
            </w:r>
          </w:p>
        </w:tc>
        <w:tc>
          <w:tcPr>
            <w:tcW w:w="2546" w:type="dxa"/>
            <w:vAlign w:val="bottom"/>
          </w:tcPr>
          <w:p w14:paraId="0EC72553" w14:textId="6A14667D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С неизвестна честота (от наличните данни не може да бъде направена оценка)</w:t>
            </w:r>
          </w:p>
        </w:tc>
      </w:tr>
      <w:tr w:rsidR="00057479" w14:paraId="5B03F3FF" w14:textId="77777777" w:rsidTr="00057479">
        <w:tc>
          <w:tcPr>
            <w:tcW w:w="1859" w:type="dxa"/>
          </w:tcPr>
          <w:p w14:paraId="6C227F44" w14:textId="2BACB60F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 xml:space="preserve">Инфекции и </w:t>
            </w:r>
            <w:proofErr w:type="spellStart"/>
            <w:r w:rsidRPr="00057479">
              <w:rPr>
                <w:b/>
                <w:bCs/>
              </w:rPr>
              <w:t>инфестацни</w:t>
            </w:r>
            <w:proofErr w:type="spellEnd"/>
          </w:p>
        </w:tc>
        <w:tc>
          <w:tcPr>
            <w:tcW w:w="1870" w:type="dxa"/>
            <w:vAlign w:val="bottom"/>
          </w:tcPr>
          <w:p w14:paraId="027952EF" w14:textId="1BD11F77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Псевдомембра</w:t>
            </w:r>
            <w:proofErr w:type="spellEnd"/>
            <w:r>
              <w:t xml:space="preserve">- </w:t>
            </w:r>
            <w:proofErr w:type="spellStart"/>
            <w:r>
              <w:t>нозен</w:t>
            </w:r>
            <w:proofErr w:type="spellEnd"/>
            <w:r>
              <w:t xml:space="preserve"> колит* (вж. точка 4.4)</w:t>
            </w:r>
          </w:p>
        </w:tc>
        <w:tc>
          <w:tcPr>
            <w:tcW w:w="2045" w:type="dxa"/>
          </w:tcPr>
          <w:p w14:paraId="036F5ECA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2941532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65FDF745" w14:textId="40B0CCAE" w:rsidR="00057479" w:rsidRDefault="00057479" w:rsidP="00057479">
            <w:pPr>
              <w:rPr>
                <w:sz w:val="24"/>
                <w:szCs w:val="24"/>
              </w:rPr>
            </w:pPr>
            <w:r>
              <w:t xml:space="preserve">Колит, причинен от </w:t>
            </w:r>
            <w:r>
              <w:rPr>
                <w:i/>
                <w:iCs/>
                <w:lang w:val="en-US"/>
              </w:rPr>
              <w:t xml:space="preserve">Clostridium difficile*, </w:t>
            </w:r>
            <w:r>
              <w:t>Вагинална инфекция*</w:t>
            </w:r>
          </w:p>
        </w:tc>
      </w:tr>
      <w:tr w:rsidR="00057479" w14:paraId="1B2AA2BC" w14:textId="77777777" w:rsidTr="00057479">
        <w:tc>
          <w:tcPr>
            <w:tcW w:w="1859" w:type="dxa"/>
          </w:tcPr>
          <w:p w14:paraId="41B466FC" w14:textId="59A90EBE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Нарушения на кръвта и лимфната система</w:t>
            </w:r>
          </w:p>
        </w:tc>
        <w:tc>
          <w:tcPr>
            <w:tcW w:w="1870" w:type="dxa"/>
          </w:tcPr>
          <w:p w14:paraId="40DFBA39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61F7ED07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F4D1AF4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4C0FF4AE" w14:textId="45A77F91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Агранулоцитоза</w:t>
            </w:r>
            <w:proofErr w:type="spellEnd"/>
            <w:r>
              <w:t xml:space="preserve">*, </w:t>
            </w:r>
            <w:proofErr w:type="spellStart"/>
            <w:r>
              <w:t>Левкопения</w:t>
            </w:r>
            <w:proofErr w:type="spellEnd"/>
            <w:r>
              <w:t xml:space="preserve">*, </w:t>
            </w:r>
            <w:proofErr w:type="spellStart"/>
            <w:r>
              <w:t>Неутропения</w:t>
            </w:r>
            <w:proofErr w:type="spellEnd"/>
            <w:r>
              <w:t xml:space="preserve">*, </w:t>
            </w:r>
            <w:proofErr w:type="spellStart"/>
            <w:r>
              <w:t>Тромбоцитопения</w:t>
            </w:r>
            <w:proofErr w:type="spellEnd"/>
            <w:r>
              <w:t xml:space="preserve">*, </w:t>
            </w:r>
            <w:proofErr w:type="spellStart"/>
            <w:r>
              <w:t>Еозинофилия</w:t>
            </w:r>
            <w:proofErr w:type="spellEnd"/>
          </w:p>
        </w:tc>
      </w:tr>
      <w:tr w:rsidR="00057479" w14:paraId="17B7E71F" w14:textId="77777777" w:rsidTr="00057479">
        <w:tc>
          <w:tcPr>
            <w:tcW w:w="1859" w:type="dxa"/>
          </w:tcPr>
          <w:p w14:paraId="4DB1D2E0" w14:textId="45D5B0C5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Нарушения на имунната система</w:t>
            </w:r>
          </w:p>
        </w:tc>
        <w:tc>
          <w:tcPr>
            <w:tcW w:w="1870" w:type="dxa"/>
          </w:tcPr>
          <w:p w14:paraId="39F3A747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536528B5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AD78064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686577F5" w14:textId="31EB6044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Анафилактичен</w:t>
            </w:r>
            <w:proofErr w:type="spellEnd"/>
            <w:r>
              <w:t xml:space="preserve"> шок*, </w:t>
            </w:r>
            <w:proofErr w:type="spellStart"/>
            <w:r>
              <w:t>Анафилактоидна</w:t>
            </w:r>
            <w:proofErr w:type="spellEnd"/>
            <w:r>
              <w:t xml:space="preserve"> реакция*, </w:t>
            </w:r>
            <w:proofErr w:type="spellStart"/>
            <w:r>
              <w:t>Анафилактична</w:t>
            </w:r>
            <w:proofErr w:type="spellEnd"/>
            <w:r>
              <w:t xml:space="preserve"> реакция*, Свръхчувствителност*</w:t>
            </w:r>
          </w:p>
        </w:tc>
      </w:tr>
      <w:tr w:rsidR="00057479" w14:paraId="5B1EA88F" w14:textId="77777777" w:rsidTr="00057479">
        <w:tc>
          <w:tcPr>
            <w:tcW w:w="1859" w:type="dxa"/>
            <w:vAlign w:val="bottom"/>
          </w:tcPr>
          <w:p w14:paraId="052A4012" w14:textId="116C71CC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1870" w:type="dxa"/>
          </w:tcPr>
          <w:p w14:paraId="40E8A1AB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378F00A0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417DC5C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26D6DEC" w14:textId="085647CD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Дисгеузия</w:t>
            </w:r>
            <w:proofErr w:type="spellEnd"/>
          </w:p>
        </w:tc>
      </w:tr>
      <w:tr w:rsidR="00057479" w14:paraId="5E63041F" w14:textId="77777777" w:rsidTr="00057479">
        <w:tc>
          <w:tcPr>
            <w:tcW w:w="1859" w:type="dxa"/>
            <w:vAlign w:val="bottom"/>
          </w:tcPr>
          <w:p w14:paraId="42356E22" w14:textId="710D28C9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Стомашно- чревни нарушения</w:t>
            </w:r>
          </w:p>
        </w:tc>
        <w:tc>
          <w:tcPr>
            <w:tcW w:w="1870" w:type="dxa"/>
            <w:vAlign w:val="bottom"/>
          </w:tcPr>
          <w:p w14:paraId="16CEF5AE" w14:textId="20E29265" w:rsidR="00057479" w:rsidRDefault="00057479" w:rsidP="00057479">
            <w:pPr>
              <w:rPr>
                <w:sz w:val="24"/>
                <w:szCs w:val="24"/>
              </w:rPr>
            </w:pPr>
            <w:r>
              <w:t>Абдоминална болка, Диария</w:t>
            </w:r>
          </w:p>
        </w:tc>
        <w:tc>
          <w:tcPr>
            <w:tcW w:w="2045" w:type="dxa"/>
          </w:tcPr>
          <w:p w14:paraId="1CB3DA32" w14:textId="2F16EB68" w:rsidR="00057479" w:rsidRDefault="00057479" w:rsidP="00057479">
            <w:pPr>
              <w:rPr>
                <w:sz w:val="24"/>
                <w:szCs w:val="24"/>
              </w:rPr>
            </w:pPr>
            <w:r>
              <w:t>Гадене, Повръщане</w:t>
            </w:r>
          </w:p>
        </w:tc>
        <w:tc>
          <w:tcPr>
            <w:tcW w:w="1256" w:type="dxa"/>
          </w:tcPr>
          <w:p w14:paraId="3AC67CAB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6BA9710E" w14:textId="1D51CFE6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Езофагеална</w:t>
            </w:r>
            <w:proofErr w:type="spellEnd"/>
            <w:r>
              <w:t xml:space="preserve"> язва*, </w:t>
            </w:r>
            <w:proofErr w:type="spellStart"/>
            <w:r>
              <w:t>Езофагит</w:t>
            </w:r>
            <w:proofErr w:type="spellEnd"/>
            <w:r>
              <w:t>*</w:t>
            </w:r>
          </w:p>
        </w:tc>
      </w:tr>
      <w:tr w:rsidR="00057479" w14:paraId="5A7FE1F2" w14:textId="77777777" w:rsidTr="00057479">
        <w:tc>
          <w:tcPr>
            <w:tcW w:w="1859" w:type="dxa"/>
            <w:vAlign w:val="bottom"/>
          </w:tcPr>
          <w:p w14:paraId="17A1F19B" w14:textId="66A1593C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57479">
              <w:rPr>
                <w:b/>
                <w:bCs/>
              </w:rPr>
              <w:t>Хепатобилиар</w:t>
            </w:r>
            <w:proofErr w:type="spellEnd"/>
            <w:r w:rsidRPr="00057479">
              <w:rPr>
                <w:b/>
                <w:bCs/>
              </w:rPr>
              <w:t>- ни нарушения</w:t>
            </w:r>
          </w:p>
        </w:tc>
        <w:tc>
          <w:tcPr>
            <w:tcW w:w="1870" w:type="dxa"/>
          </w:tcPr>
          <w:p w14:paraId="3ABE80B4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395C587A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26BB070E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00A698B" w14:textId="56E932DB" w:rsidR="00057479" w:rsidRDefault="00057479" w:rsidP="00057479">
            <w:pPr>
              <w:rPr>
                <w:sz w:val="24"/>
                <w:szCs w:val="24"/>
              </w:rPr>
            </w:pPr>
            <w:r>
              <w:t>Жълтеница*</w:t>
            </w:r>
          </w:p>
        </w:tc>
      </w:tr>
      <w:tr w:rsidR="00057479" w14:paraId="09E60FFC" w14:textId="77777777" w:rsidTr="00057479">
        <w:tc>
          <w:tcPr>
            <w:tcW w:w="1859" w:type="dxa"/>
          </w:tcPr>
          <w:p w14:paraId="770BE2D8" w14:textId="4B50D027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1870" w:type="dxa"/>
          </w:tcPr>
          <w:p w14:paraId="1E0A61D2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0F5777C1" w14:textId="764E44C7" w:rsidR="00057479" w:rsidRDefault="00057479" w:rsidP="00057479">
            <w:pPr>
              <w:rPr>
                <w:sz w:val="24"/>
                <w:szCs w:val="24"/>
              </w:rPr>
            </w:pPr>
            <w:proofErr w:type="spellStart"/>
            <w:r>
              <w:t>Макулопапулозен</w:t>
            </w:r>
            <w:proofErr w:type="spellEnd"/>
            <w:r>
              <w:t xml:space="preserve"> обрив, Уртикария</w:t>
            </w:r>
          </w:p>
        </w:tc>
        <w:tc>
          <w:tcPr>
            <w:tcW w:w="1256" w:type="dxa"/>
          </w:tcPr>
          <w:p w14:paraId="2999DF03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0F0D3CE7" w14:textId="33B1739D" w:rsidR="00057479" w:rsidRDefault="00057479" w:rsidP="00057479">
            <w:pPr>
              <w:rPr>
                <w:sz w:val="24"/>
                <w:szCs w:val="24"/>
              </w:rPr>
            </w:pPr>
            <w:r>
              <w:t xml:space="preserve">Токсична епидермална </w:t>
            </w:r>
            <w:proofErr w:type="spellStart"/>
            <w:r>
              <w:t>некролиза</w:t>
            </w:r>
            <w:proofErr w:type="spellEnd"/>
            <w:r>
              <w:t xml:space="preserve">*, Синдром на Стивънс- Джонсън*, Лекарствен обрив с </w:t>
            </w:r>
            <w:proofErr w:type="spellStart"/>
            <w:r>
              <w:t>еозинофилия</w:t>
            </w:r>
            <w:proofErr w:type="spellEnd"/>
            <w:r>
              <w:t xml:space="preserve"> и системни симптоми </w:t>
            </w:r>
            <w:r>
              <w:rPr>
                <w:lang w:val="en-US"/>
              </w:rPr>
              <w:t xml:space="preserve">(DRESS)*, </w:t>
            </w:r>
            <w:r>
              <w:t xml:space="preserve">Остра генерализирана </w:t>
            </w:r>
            <w:proofErr w:type="spellStart"/>
            <w:r>
              <w:t>екзантемозна</w:t>
            </w:r>
            <w:proofErr w:type="spellEnd"/>
            <w:r>
              <w:t xml:space="preserve"> </w:t>
            </w:r>
            <w:proofErr w:type="spellStart"/>
            <w:r>
              <w:t>пустулоза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(AGEP)*, </w:t>
            </w:r>
            <w:r>
              <w:t xml:space="preserve">Ангиоедем*, Мултиформен еритем, </w:t>
            </w:r>
            <w:proofErr w:type="spellStart"/>
            <w:r>
              <w:t>Ексфолиативен</w:t>
            </w:r>
            <w:proofErr w:type="spellEnd"/>
            <w:r>
              <w:t xml:space="preserve"> дерматит*, </w:t>
            </w:r>
            <w:proofErr w:type="spellStart"/>
            <w:r>
              <w:t>Булозен</w:t>
            </w:r>
            <w:proofErr w:type="spellEnd"/>
            <w:r>
              <w:t xml:space="preserve"> дерматит*, </w:t>
            </w:r>
            <w:proofErr w:type="spellStart"/>
            <w:r>
              <w:lastRenderedPageBreak/>
              <w:t>Морбилиформен</w:t>
            </w:r>
            <w:proofErr w:type="spellEnd"/>
            <w:r>
              <w:t xml:space="preserve"> обрив*, </w:t>
            </w:r>
            <w:proofErr w:type="spellStart"/>
            <w:r>
              <w:t>Пруритус</w:t>
            </w:r>
            <w:proofErr w:type="spellEnd"/>
          </w:p>
        </w:tc>
      </w:tr>
      <w:tr w:rsidR="00057479" w14:paraId="4D249B89" w14:textId="77777777" w:rsidTr="00057479">
        <w:tc>
          <w:tcPr>
            <w:tcW w:w="1859" w:type="dxa"/>
          </w:tcPr>
          <w:p w14:paraId="59FFF483" w14:textId="39AD2879" w:rsidR="00057479" w:rsidRPr="00057479" w:rsidRDefault="00057479" w:rsidP="00057479">
            <w:pPr>
              <w:rPr>
                <w:b/>
                <w:bCs/>
                <w:sz w:val="24"/>
                <w:szCs w:val="24"/>
              </w:rPr>
            </w:pPr>
            <w:r w:rsidRPr="00057479">
              <w:rPr>
                <w:b/>
                <w:bCs/>
              </w:rPr>
              <w:t>Изследвания</w:t>
            </w:r>
          </w:p>
        </w:tc>
        <w:tc>
          <w:tcPr>
            <w:tcW w:w="1870" w:type="dxa"/>
            <w:vAlign w:val="bottom"/>
          </w:tcPr>
          <w:p w14:paraId="4B5427BF" w14:textId="42F68D03" w:rsidR="00057479" w:rsidRDefault="00057479" w:rsidP="00057479">
            <w:pPr>
              <w:rPr>
                <w:sz w:val="24"/>
                <w:szCs w:val="24"/>
              </w:rPr>
            </w:pPr>
            <w:r>
              <w:t>Отклонение в чернодробен функционален тест</w:t>
            </w:r>
          </w:p>
        </w:tc>
        <w:tc>
          <w:tcPr>
            <w:tcW w:w="2045" w:type="dxa"/>
          </w:tcPr>
          <w:p w14:paraId="7685A246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FAF5A1A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bottom"/>
          </w:tcPr>
          <w:p w14:paraId="05208F42" w14:textId="77777777" w:rsidR="00057479" w:rsidRDefault="00057479" w:rsidP="00057479">
            <w:pPr>
              <w:rPr>
                <w:sz w:val="24"/>
                <w:szCs w:val="24"/>
              </w:rPr>
            </w:pPr>
          </w:p>
        </w:tc>
      </w:tr>
      <w:tr w:rsidR="00057479" w14:paraId="61A1F0CA" w14:textId="77777777" w:rsidTr="00C32964">
        <w:tc>
          <w:tcPr>
            <w:tcW w:w="9576" w:type="dxa"/>
            <w:gridSpan w:val="5"/>
          </w:tcPr>
          <w:p w14:paraId="27C8E911" w14:textId="22C23469" w:rsidR="00057479" w:rsidRDefault="00057479" w:rsidP="00057479">
            <w:pPr>
              <w:rPr>
                <w:sz w:val="24"/>
                <w:szCs w:val="24"/>
              </w:rPr>
            </w:pPr>
            <w:r>
              <w:t xml:space="preserve">*Нежелани лекарствени реакции, установени при </w:t>
            </w:r>
            <w:proofErr w:type="spellStart"/>
            <w:r>
              <w:t>постмаркетинговата</w:t>
            </w:r>
            <w:proofErr w:type="spellEnd"/>
            <w:r>
              <w:t xml:space="preserve"> употреба</w:t>
            </w:r>
          </w:p>
        </w:tc>
      </w:tr>
    </w:tbl>
    <w:p w14:paraId="1D1A07C0" w14:textId="77777777" w:rsidR="00057479" w:rsidRDefault="00057479" w:rsidP="00057479">
      <w:pPr>
        <w:rPr>
          <w:u w:val="single"/>
          <w:lang w:eastAsia="bg-BG"/>
        </w:rPr>
      </w:pPr>
    </w:p>
    <w:p w14:paraId="0E0221BB" w14:textId="5CC217DB" w:rsidR="00057479" w:rsidRPr="00057479" w:rsidRDefault="00057479" w:rsidP="00057479">
      <w:pPr>
        <w:rPr>
          <w:sz w:val="24"/>
          <w:szCs w:val="24"/>
          <w:u w:val="single"/>
        </w:rPr>
      </w:pPr>
      <w:r w:rsidRPr="00057479">
        <w:rPr>
          <w:u w:val="single"/>
          <w:lang w:eastAsia="bg-BG"/>
        </w:rPr>
        <w:t>Съобщаване на подозирани нежелани реакции</w:t>
      </w:r>
    </w:p>
    <w:p w14:paraId="3DB3B0AB" w14:textId="5FC72013" w:rsid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 +359 2 8903 417, уебсайт: </w:t>
      </w:r>
      <w:hyperlink r:id="rId5" w:history="1">
        <w:r w:rsidRPr="00057479">
          <w:rPr>
            <w:lang w:val="en-US"/>
          </w:rPr>
          <w:t>www.bda.bg</w:t>
        </w:r>
      </w:hyperlink>
      <w:r w:rsidRPr="00057479">
        <w:rPr>
          <w:lang w:val="en-US"/>
        </w:rPr>
        <w:t>.</w:t>
      </w:r>
    </w:p>
    <w:p w14:paraId="75266373" w14:textId="77777777" w:rsidR="00057479" w:rsidRPr="00057479" w:rsidRDefault="00057479" w:rsidP="00057479">
      <w:pPr>
        <w:rPr>
          <w:sz w:val="24"/>
          <w:szCs w:val="24"/>
        </w:rPr>
      </w:pPr>
    </w:p>
    <w:p w14:paraId="4239D218" w14:textId="0AA80667" w:rsidR="00C809A7" w:rsidRDefault="002C50EE" w:rsidP="00AA23EC">
      <w:pPr>
        <w:pStyle w:val="Heading2"/>
      </w:pPr>
      <w:r>
        <w:t>4.9. Предозиране</w:t>
      </w:r>
    </w:p>
    <w:p w14:paraId="05EFF447" w14:textId="77777777" w:rsidR="00057479" w:rsidRDefault="00057479" w:rsidP="00057479">
      <w:pPr>
        <w:rPr>
          <w:lang w:eastAsia="bg-BG"/>
        </w:rPr>
      </w:pPr>
    </w:p>
    <w:p w14:paraId="6B0A52FD" w14:textId="617B072E" w:rsidR="00057479" w:rsidRPr="00057479" w:rsidRDefault="00057479" w:rsidP="00057479">
      <w:pPr>
        <w:rPr>
          <w:lang w:eastAsia="bg-BG"/>
        </w:rPr>
      </w:pPr>
      <w:r w:rsidRPr="00057479">
        <w:rPr>
          <w:lang w:eastAsia="bg-BG"/>
        </w:rPr>
        <w:t xml:space="preserve">Хемодиализата и перитонеалната диализа не са ефективни методи за отстраняване </w:t>
      </w:r>
      <w:proofErr w:type="spellStart"/>
      <w:r w:rsidRPr="00057479">
        <w:rPr>
          <w:lang w:eastAsia="bg-BG"/>
        </w:rPr>
        <w:t>иа</w:t>
      </w:r>
      <w:proofErr w:type="spellEnd"/>
      <w:r w:rsidRPr="00057479">
        <w:rPr>
          <w:lang w:eastAsia="bg-BG"/>
        </w:rPr>
        <w:t xml:space="preserve">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от серума.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47CF632D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601541D6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Фармакотерапевтична</w:t>
      </w:r>
      <w:proofErr w:type="spellEnd"/>
      <w:r w:rsidRPr="00057479">
        <w:rPr>
          <w:lang w:eastAsia="bg-BG"/>
        </w:rPr>
        <w:t xml:space="preserve"> група: </w:t>
      </w:r>
      <w:proofErr w:type="spellStart"/>
      <w:r w:rsidRPr="00057479">
        <w:rPr>
          <w:lang w:eastAsia="bg-BG"/>
        </w:rPr>
        <w:t>линкозамиди</w:t>
      </w:r>
      <w:proofErr w:type="spellEnd"/>
      <w:r w:rsidRPr="00057479">
        <w:rPr>
          <w:lang w:eastAsia="bg-BG"/>
        </w:rPr>
        <w:t xml:space="preserve">, АТС код: </w:t>
      </w:r>
      <w:r w:rsidRPr="00057479">
        <w:rPr>
          <w:lang w:val="en-US"/>
        </w:rPr>
        <w:t xml:space="preserve">J01FF </w:t>
      </w:r>
      <w:r w:rsidRPr="00057479">
        <w:rPr>
          <w:lang w:eastAsia="bg-BG"/>
        </w:rPr>
        <w:t>01</w:t>
      </w:r>
    </w:p>
    <w:p w14:paraId="02754635" w14:textId="77777777" w:rsidR="00057479" w:rsidRDefault="00057479" w:rsidP="00057479">
      <w:pPr>
        <w:rPr>
          <w:u w:val="single"/>
          <w:lang w:eastAsia="bg-BG"/>
        </w:rPr>
      </w:pPr>
    </w:p>
    <w:p w14:paraId="2A8B8B94" w14:textId="527C37CB" w:rsidR="00057479" w:rsidRPr="00057479" w:rsidRDefault="00057479" w:rsidP="00057479">
      <w:pPr>
        <w:rPr>
          <w:sz w:val="24"/>
          <w:szCs w:val="24"/>
        </w:rPr>
      </w:pPr>
      <w:r w:rsidRPr="00057479">
        <w:rPr>
          <w:u w:val="single"/>
          <w:lang w:eastAsia="bg-BG"/>
        </w:rPr>
        <w:t>Механизъм на действие</w:t>
      </w:r>
    </w:p>
    <w:p w14:paraId="467688A1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е </w:t>
      </w:r>
      <w:proofErr w:type="spellStart"/>
      <w:r w:rsidRPr="00057479">
        <w:rPr>
          <w:lang w:eastAsia="bg-BG"/>
        </w:rPr>
        <w:t>линкозамиден</w:t>
      </w:r>
      <w:proofErr w:type="spellEnd"/>
      <w:r w:rsidRPr="00057479">
        <w:rPr>
          <w:lang w:eastAsia="bg-BG"/>
        </w:rPr>
        <w:t xml:space="preserve"> антибиотик, който инхибира синтеза на протеини на бактериите. Той се свързва с </w:t>
      </w:r>
      <w:r w:rsidRPr="00057479">
        <w:rPr>
          <w:lang w:val="en-US"/>
        </w:rPr>
        <w:t xml:space="preserve">50S </w:t>
      </w:r>
      <w:proofErr w:type="spellStart"/>
      <w:r w:rsidRPr="00057479">
        <w:rPr>
          <w:lang w:eastAsia="bg-BG"/>
        </w:rPr>
        <w:t>рибозомната</w:t>
      </w:r>
      <w:proofErr w:type="spellEnd"/>
      <w:r w:rsidRPr="00057479">
        <w:rPr>
          <w:lang w:eastAsia="bg-BG"/>
        </w:rPr>
        <w:t xml:space="preserve"> субединица и повлиява както формирането на </w:t>
      </w:r>
      <w:proofErr w:type="spellStart"/>
      <w:r w:rsidRPr="00057479">
        <w:rPr>
          <w:lang w:eastAsia="bg-BG"/>
        </w:rPr>
        <w:t>рибозомите</w:t>
      </w:r>
      <w:proofErr w:type="spellEnd"/>
      <w:r w:rsidRPr="00057479">
        <w:rPr>
          <w:lang w:eastAsia="bg-BG"/>
        </w:rPr>
        <w:t xml:space="preserve">, така и процеса на транслация. Въпреки че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фосфат е неактивен </w:t>
      </w:r>
      <w:r w:rsidRPr="00057479">
        <w:rPr>
          <w:i/>
          <w:iCs/>
          <w:lang w:val="en-US"/>
        </w:rPr>
        <w:t>in vitro</w:t>
      </w:r>
      <w:r w:rsidRPr="00057479">
        <w:rPr>
          <w:i/>
          <w:iCs/>
          <w:lang w:eastAsia="bg-BG"/>
        </w:rPr>
        <w:t>,</w:t>
      </w:r>
      <w:r w:rsidRPr="00057479">
        <w:rPr>
          <w:lang w:eastAsia="bg-BG"/>
        </w:rPr>
        <w:t xml:space="preserve"> при бърза хидролиза </w:t>
      </w:r>
      <w:r w:rsidRPr="00057479">
        <w:rPr>
          <w:i/>
          <w:iCs/>
          <w:lang w:val="en-US"/>
        </w:rPr>
        <w:t>in vivo</w:t>
      </w:r>
      <w:r w:rsidRPr="00057479">
        <w:rPr>
          <w:lang w:val="en-US"/>
        </w:rPr>
        <w:t xml:space="preserve"> </w:t>
      </w:r>
      <w:r w:rsidRPr="00057479">
        <w:rPr>
          <w:lang w:eastAsia="bg-BG"/>
        </w:rPr>
        <w:t xml:space="preserve">той се преобразува в антибактериално активен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. При обичайни дози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проявява бактериостатична активност </w:t>
      </w:r>
      <w:r w:rsidRPr="00057479">
        <w:rPr>
          <w:i/>
          <w:iCs/>
          <w:lang w:val="en-US"/>
        </w:rPr>
        <w:t>in vitro.</w:t>
      </w:r>
    </w:p>
    <w:p w14:paraId="2749BA49" w14:textId="77777777" w:rsidR="00057479" w:rsidRDefault="00057479" w:rsidP="00057479">
      <w:pPr>
        <w:rPr>
          <w:u w:val="single"/>
          <w:lang w:eastAsia="bg-BG"/>
        </w:rPr>
      </w:pPr>
    </w:p>
    <w:p w14:paraId="4C64567D" w14:textId="6F1F854C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u w:val="single"/>
          <w:lang w:eastAsia="bg-BG"/>
        </w:rPr>
        <w:t>Фармакодинамични</w:t>
      </w:r>
      <w:proofErr w:type="spellEnd"/>
      <w:r w:rsidRPr="00057479">
        <w:rPr>
          <w:u w:val="single"/>
          <w:lang w:eastAsia="bg-BG"/>
        </w:rPr>
        <w:t xml:space="preserve"> ефекти</w:t>
      </w:r>
    </w:p>
    <w:p w14:paraId="4056D69F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Ефикасността е свързана с времевия период, през който нивото на препарата е над минималната </w:t>
      </w:r>
      <w:proofErr w:type="spellStart"/>
      <w:r w:rsidRPr="00057479">
        <w:rPr>
          <w:lang w:eastAsia="bg-BG"/>
        </w:rPr>
        <w:t>инхибиторна</w:t>
      </w:r>
      <w:proofErr w:type="spellEnd"/>
      <w:r w:rsidRPr="00057479">
        <w:rPr>
          <w:lang w:eastAsia="bg-BG"/>
        </w:rPr>
        <w:t xml:space="preserve"> концентрация (МИК) на патогена (%Т/М</w:t>
      </w:r>
      <w:r w:rsidRPr="00057479">
        <w:rPr>
          <w:lang w:val="en-US"/>
        </w:rPr>
        <w:t>I</w:t>
      </w:r>
      <w:r w:rsidRPr="00057479">
        <w:rPr>
          <w:lang w:eastAsia="bg-BG"/>
        </w:rPr>
        <w:t>С).</w:t>
      </w:r>
    </w:p>
    <w:p w14:paraId="086A3FD5" w14:textId="77777777" w:rsidR="00057479" w:rsidRDefault="00057479" w:rsidP="00057479">
      <w:pPr>
        <w:rPr>
          <w:u w:val="single"/>
          <w:lang w:eastAsia="bg-BG"/>
        </w:rPr>
      </w:pPr>
    </w:p>
    <w:p w14:paraId="5E746A1A" w14:textId="402FE4D3" w:rsidR="00057479" w:rsidRPr="00057479" w:rsidRDefault="00057479" w:rsidP="00057479">
      <w:pPr>
        <w:rPr>
          <w:sz w:val="24"/>
          <w:szCs w:val="24"/>
        </w:rPr>
      </w:pPr>
      <w:r w:rsidRPr="00057479">
        <w:rPr>
          <w:u w:val="single"/>
          <w:lang w:eastAsia="bg-BG"/>
        </w:rPr>
        <w:t>Резистентност</w:t>
      </w:r>
    </w:p>
    <w:p w14:paraId="33174734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 към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най-често се дължи на мутации на мястото на свързване на антибиотика към </w:t>
      </w:r>
      <w:proofErr w:type="spellStart"/>
      <w:r w:rsidRPr="00057479">
        <w:rPr>
          <w:lang w:eastAsia="bg-BG"/>
        </w:rPr>
        <w:t>рРНК</w:t>
      </w:r>
      <w:proofErr w:type="spellEnd"/>
      <w:r w:rsidRPr="00057479">
        <w:rPr>
          <w:lang w:eastAsia="bg-BG"/>
        </w:rPr>
        <w:t xml:space="preserve"> или на </w:t>
      </w:r>
      <w:proofErr w:type="spellStart"/>
      <w:r w:rsidRPr="00057479">
        <w:rPr>
          <w:lang w:eastAsia="bg-BG"/>
        </w:rPr>
        <w:t>метилирането</w:t>
      </w:r>
      <w:proofErr w:type="spellEnd"/>
      <w:r w:rsidRPr="00057479">
        <w:rPr>
          <w:lang w:eastAsia="bg-BG"/>
        </w:rPr>
        <w:t xml:space="preserve"> на специфичните </w:t>
      </w:r>
      <w:proofErr w:type="spellStart"/>
      <w:r w:rsidRPr="00057479">
        <w:rPr>
          <w:lang w:eastAsia="bg-BG"/>
        </w:rPr>
        <w:t>нуклеотиди</w:t>
      </w:r>
      <w:proofErr w:type="spellEnd"/>
      <w:r w:rsidRPr="00057479">
        <w:rPr>
          <w:lang w:eastAsia="bg-BG"/>
        </w:rPr>
        <w:t xml:space="preserve"> в 23</w:t>
      </w:r>
      <w:r w:rsidRPr="00057479">
        <w:rPr>
          <w:lang w:val="en-US"/>
        </w:rPr>
        <w:t xml:space="preserve">S </w:t>
      </w:r>
      <w:r w:rsidRPr="00057479">
        <w:rPr>
          <w:lang w:eastAsia="bg-BG"/>
        </w:rPr>
        <w:t xml:space="preserve">РНК на </w:t>
      </w:r>
      <w:r w:rsidRPr="00057479">
        <w:rPr>
          <w:lang w:val="en-US"/>
        </w:rPr>
        <w:t xml:space="preserve">50S </w:t>
      </w:r>
      <w:proofErr w:type="spellStart"/>
      <w:r w:rsidRPr="00057479">
        <w:rPr>
          <w:lang w:eastAsia="bg-BG"/>
        </w:rPr>
        <w:t>рибозомната</w:t>
      </w:r>
      <w:proofErr w:type="spellEnd"/>
      <w:r w:rsidRPr="00057479">
        <w:rPr>
          <w:lang w:eastAsia="bg-BG"/>
        </w:rPr>
        <w:t xml:space="preserve"> субединица. Тези промени могат да определят </w:t>
      </w:r>
      <w:r w:rsidRPr="00057479">
        <w:rPr>
          <w:i/>
          <w:iCs/>
          <w:lang w:val="en-US"/>
        </w:rPr>
        <w:t>in vitro</w:t>
      </w:r>
      <w:r w:rsidRPr="00057479">
        <w:rPr>
          <w:lang w:val="en-US"/>
        </w:rPr>
        <w:t xml:space="preserve"> </w:t>
      </w:r>
      <w:r w:rsidRPr="00057479">
        <w:rPr>
          <w:lang w:eastAsia="bg-BG"/>
        </w:rPr>
        <w:t xml:space="preserve">кръстосана резистентност към </w:t>
      </w:r>
      <w:proofErr w:type="spellStart"/>
      <w:r w:rsidRPr="00057479">
        <w:rPr>
          <w:lang w:eastAsia="bg-BG"/>
        </w:rPr>
        <w:t>макролиди</w:t>
      </w:r>
      <w:proofErr w:type="spellEnd"/>
      <w:r w:rsidRPr="00057479">
        <w:rPr>
          <w:lang w:eastAsia="bg-BG"/>
        </w:rPr>
        <w:t xml:space="preserve"> и </w:t>
      </w:r>
      <w:proofErr w:type="spellStart"/>
      <w:r w:rsidRPr="00057479">
        <w:rPr>
          <w:lang w:eastAsia="bg-BG"/>
        </w:rPr>
        <w:t>стрептограмини</w:t>
      </w:r>
      <w:proofErr w:type="spellEnd"/>
      <w:r w:rsidRPr="00057479">
        <w:rPr>
          <w:lang w:eastAsia="bg-BG"/>
        </w:rPr>
        <w:t xml:space="preserve"> В (</w:t>
      </w:r>
      <w:proofErr w:type="spellStart"/>
      <w:r w:rsidRPr="00057479">
        <w:rPr>
          <w:lang w:eastAsia="bg-BG"/>
        </w:rPr>
        <w:t>фенотип</w:t>
      </w:r>
      <w:proofErr w:type="spellEnd"/>
      <w:r w:rsidRPr="00057479">
        <w:rPr>
          <w:lang w:eastAsia="bg-BG"/>
        </w:rPr>
        <w:t xml:space="preserve"> </w:t>
      </w:r>
      <w:proofErr w:type="spellStart"/>
      <w:r w:rsidRPr="00057479">
        <w:rPr>
          <w:smallCaps/>
          <w:lang w:val="en-US"/>
        </w:rPr>
        <w:t>MLS</w:t>
      </w:r>
      <w:r w:rsidRPr="00057479">
        <w:rPr>
          <w:smallCaps/>
          <w:vertAlign w:val="subscript"/>
          <w:lang w:val="en-US"/>
        </w:rPr>
        <w:t>b</w:t>
      </w:r>
      <w:proofErr w:type="spellEnd"/>
      <w:r w:rsidRPr="00057479">
        <w:rPr>
          <w:smallCaps/>
          <w:lang w:val="en-US"/>
        </w:rPr>
        <w:t>).</w:t>
      </w:r>
      <w:r w:rsidRPr="00057479">
        <w:rPr>
          <w:lang w:val="en-US"/>
        </w:rPr>
        <w:t xml:space="preserve"> </w:t>
      </w: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 понякога се дължи на промени в </w:t>
      </w:r>
      <w:proofErr w:type="spellStart"/>
      <w:r w:rsidRPr="00057479">
        <w:rPr>
          <w:lang w:eastAsia="bg-BG"/>
        </w:rPr>
        <w:t>рибозомните</w:t>
      </w:r>
      <w:proofErr w:type="spellEnd"/>
      <w:r w:rsidRPr="00057479">
        <w:rPr>
          <w:lang w:eastAsia="bg-BG"/>
        </w:rPr>
        <w:t xml:space="preserve"> протеини. </w:t>
      </w: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 към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може да бъде индуцирана от </w:t>
      </w:r>
      <w:proofErr w:type="spellStart"/>
      <w:r w:rsidRPr="00057479">
        <w:rPr>
          <w:lang w:eastAsia="bg-BG"/>
        </w:rPr>
        <w:t>макролиди</w:t>
      </w:r>
      <w:proofErr w:type="spellEnd"/>
      <w:r w:rsidRPr="00057479">
        <w:rPr>
          <w:lang w:eastAsia="bg-BG"/>
        </w:rPr>
        <w:t xml:space="preserve"> в резистентни към </w:t>
      </w:r>
      <w:proofErr w:type="spellStart"/>
      <w:r w:rsidRPr="00057479">
        <w:rPr>
          <w:lang w:eastAsia="bg-BG"/>
        </w:rPr>
        <w:t>макролиди</w:t>
      </w:r>
      <w:proofErr w:type="spellEnd"/>
      <w:r w:rsidRPr="00057479">
        <w:rPr>
          <w:lang w:eastAsia="bg-BG"/>
        </w:rPr>
        <w:t xml:space="preserve"> бактериални изолати.</w:t>
      </w:r>
    </w:p>
    <w:p w14:paraId="1F1374FA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lastRenderedPageBreak/>
        <w:t>Индуцируемата</w:t>
      </w:r>
      <w:proofErr w:type="spellEnd"/>
      <w:r w:rsidRPr="00057479">
        <w:rPr>
          <w:lang w:eastAsia="bg-BG"/>
        </w:rPr>
        <w:t xml:space="preserve"> резистентност може да бъде демонстрирана чрез тест с диск </w:t>
      </w:r>
      <w:r w:rsidRPr="00057479">
        <w:rPr>
          <w:lang w:val="en-US"/>
        </w:rPr>
        <w:t>(D</w:t>
      </w:r>
      <w:r w:rsidRPr="00057479">
        <w:rPr>
          <w:lang w:eastAsia="bg-BG"/>
        </w:rPr>
        <w:t>-</w:t>
      </w:r>
      <w:proofErr w:type="spellStart"/>
      <w:r w:rsidRPr="00057479">
        <w:rPr>
          <w:lang w:eastAsia="bg-BG"/>
        </w:rPr>
        <w:t>зонов</w:t>
      </w:r>
      <w:proofErr w:type="spellEnd"/>
      <w:r w:rsidRPr="00057479">
        <w:rPr>
          <w:lang w:eastAsia="bg-BG"/>
        </w:rPr>
        <w:t xml:space="preserve"> тест) или в бульон. По-рядко срещаните механизми на резистентност включват модификация на антибиотика и активния </w:t>
      </w:r>
      <w:proofErr w:type="spellStart"/>
      <w:r w:rsidRPr="00057479">
        <w:rPr>
          <w:lang w:eastAsia="bg-BG"/>
        </w:rPr>
        <w:t>ефлукс</w:t>
      </w:r>
      <w:proofErr w:type="spellEnd"/>
      <w:r w:rsidRPr="00057479">
        <w:rPr>
          <w:lang w:eastAsia="bg-BG"/>
        </w:rPr>
        <w:t xml:space="preserve">. Съществува пълна кръстосана резистентност между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и </w:t>
      </w:r>
      <w:proofErr w:type="spellStart"/>
      <w:r w:rsidRPr="00057479">
        <w:rPr>
          <w:lang w:eastAsia="bg-BG"/>
        </w:rPr>
        <w:t>линкомицин</w:t>
      </w:r>
      <w:proofErr w:type="spellEnd"/>
      <w:r w:rsidRPr="00057479">
        <w:rPr>
          <w:lang w:eastAsia="bg-BG"/>
        </w:rPr>
        <w:t xml:space="preserve">. Както при много антибиотици, честотата на резистентност варира при бактериалните видове и географската област. Честотата на резистентност към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е по-висока при резистентните към </w:t>
      </w:r>
      <w:proofErr w:type="spellStart"/>
      <w:r w:rsidRPr="00057479">
        <w:rPr>
          <w:lang w:eastAsia="bg-BG"/>
        </w:rPr>
        <w:t>метицилин</w:t>
      </w:r>
      <w:proofErr w:type="spellEnd"/>
      <w:r w:rsidRPr="00057479">
        <w:rPr>
          <w:lang w:eastAsia="bg-BG"/>
        </w:rPr>
        <w:t xml:space="preserve"> </w:t>
      </w:r>
      <w:proofErr w:type="spellStart"/>
      <w:r w:rsidRPr="00057479">
        <w:rPr>
          <w:lang w:eastAsia="bg-BG"/>
        </w:rPr>
        <w:t>стафилококови</w:t>
      </w:r>
      <w:proofErr w:type="spellEnd"/>
      <w:r w:rsidRPr="00057479">
        <w:rPr>
          <w:lang w:eastAsia="bg-BG"/>
        </w:rPr>
        <w:t xml:space="preserve"> изолати и резистентните към пеницилин </w:t>
      </w:r>
      <w:proofErr w:type="spellStart"/>
      <w:r w:rsidRPr="00057479">
        <w:rPr>
          <w:lang w:eastAsia="bg-BG"/>
        </w:rPr>
        <w:t>пневмококови</w:t>
      </w:r>
      <w:proofErr w:type="spellEnd"/>
      <w:r w:rsidRPr="00057479">
        <w:rPr>
          <w:lang w:eastAsia="bg-BG"/>
        </w:rPr>
        <w:t xml:space="preserve"> изолати, отколкото при микроорганизмите, чувствителни към тези препарати.</w:t>
      </w:r>
    </w:p>
    <w:p w14:paraId="39D69773" w14:textId="77777777" w:rsidR="00057479" w:rsidRDefault="00057479" w:rsidP="00057479">
      <w:pPr>
        <w:rPr>
          <w:u w:val="single"/>
          <w:lang w:eastAsia="bg-BG"/>
        </w:rPr>
      </w:pPr>
    </w:p>
    <w:p w14:paraId="487B618D" w14:textId="3DEFF6A9" w:rsidR="00057479" w:rsidRPr="00057479" w:rsidRDefault="00057479" w:rsidP="00057479">
      <w:pPr>
        <w:rPr>
          <w:sz w:val="24"/>
          <w:szCs w:val="24"/>
        </w:rPr>
      </w:pPr>
      <w:r w:rsidRPr="00057479">
        <w:rPr>
          <w:u w:val="single"/>
          <w:lang w:eastAsia="bg-BG"/>
        </w:rPr>
        <w:t>Антимикробна активност</w:t>
      </w:r>
    </w:p>
    <w:p w14:paraId="405A4A0B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i/>
          <w:iCs/>
          <w:lang w:val="en-US"/>
        </w:rPr>
        <w:t>In vitro</w:t>
      </w:r>
      <w:r w:rsidRPr="00057479">
        <w:rPr>
          <w:lang w:val="en-US"/>
        </w:rPr>
        <w:t xml:space="preserve">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показва активност спрямо повечето изолати на следните микроорганизми:</w:t>
      </w:r>
    </w:p>
    <w:p w14:paraId="68AC9729" w14:textId="77777777" w:rsidR="00057479" w:rsidRDefault="00057479" w:rsidP="00057479">
      <w:pPr>
        <w:rPr>
          <w:lang w:eastAsia="bg-BG"/>
        </w:rPr>
      </w:pPr>
    </w:p>
    <w:p w14:paraId="62D77072" w14:textId="787CD963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Аеробни бактерии</w:t>
      </w:r>
    </w:p>
    <w:p w14:paraId="47F36A86" w14:textId="77777777" w:rsidR="00057479" w:rsidRDefault="00057479" w:rsidP="00057479">
      <w:pPr>
        <w:rPr>
          <w:lang w:eastAsia="bg-BG"/>
        </w:rPr>
      </w:pPr>
    </w:p>
    <w:p w14:paraId="7E01A731" w14:textId="09A632B1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Грам-положителни бактерии</w:t>
      </w:r>
    </w:p>
    <w:p w14:paraId="20780494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Staphylococcus aureus</w:t>
      </w:r>
      <w:r w:rsidRPr="00057479">
        <w:rPr>
          <w:lang w:val="en-US"/>
        </w:rPr>
        <w:t xml:space="preserve"> </w:t>
      </w:r>
      <w:r w:rsidRPr="00057479">
        <w:rPr>
          <w:lang w:eastAsia="bg-BG"/>
        </w:rPr>
        <w:t xml:space="preserve">(чувствителни към </w:t>
      </w:r>
      <w:proofErr w:type="spellStart"/>
      <w:r w:rsidRPr="00057479">
        <w:rPr>
          <w:lang w:eastAsia="bg-BG"/>
        </w:rPr>
        <w:t>метицилин</w:t>
      </w:r>
      <w:proofErr w:type="spellEnd"/>
      <w:r w:rsidRPr="00057479">
        <w:rPr>
          <w:lang w:eastAsia="bg-BG"/>
        </w:rPr>
        <w:t xml:space="preserve"> изолати) </w:t>
      </w:r>
    </w:p>
    <w:p w14:paraId="37546C52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lang w:eastAsia="bg-BG"/>
        </w:rPr>
      </w:pPr>
      <w:proofErr w:type="spellStart"/>
      <w:r w:rsidRPr="00057479">
        <w:rPr>
          <w:lang w:eastAsia="bg-BG"/>
        </w:rPr>
        <w:t>Коагулаза</w:t>
      </w:r>
      <w:proofErr w:type="spellEnd"/>
      <w:r w:rsidRPr="00057479">
        <w:rPr>
          <w:lang w:eastAsia="bg-BG"/>
        </w:rPr>
        <w:t xml:space="preserve">-отрицателни </w:t>
      </w:r>
      <w:proofErr w:type="spellStart"/>
      <w:r w:rsidRPr="00057479">
        <w:rPr>
          <w:lang w:eastAsia="bg-BG"/>
        </w:rPr>
        <w:t>стафилококи</w:t>
      </w:r>
      <w:proofErr w:type="spellEnd"/>
      <w:r w:rsidRPr="00057479">
        <w:rPr>
          <w:lang w:eastAsia="bg-BG"/>
        </w:rPr>
        <w:t xml:space="preserve"> (чувствителни към </w:t>
      </w:r>
      <w:proofErr w:type="spellStart"/>
      <w:r w:rsidRPr="00057479">
        <w:rPr>
          <w:lang w:eastAsia="bg-BG"/>
        </w:rPr>
        <w:t>метицилин</w:t>
      </w:r>
      <w:proofErr w:type="spellEnd"/>
      <w:r w:rsidRPr="00057479">
        <w:rPr>
          <w:lang w:eastAsia="bg-BG"/>
        </w:rPr>
        <w:t xml:space="preserve"> изолати)</w:t>
      </w:r>
    </w:p>
    <w:p w14:paraId="3CCC555D" w14:textId="604A6651" w:rsidR="00057479" w:rsidRPr="00057479" w:rsidRDefault="00057479" w:rsidP="00057479">
      <w:pPr>
        <w:pStyle w:val="ListParagraph"/>
        <w:numPr>
          <w:ilvl w:val="0"/>
          <w:numId w:val="24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Streptococcus pneumoniae</w:t>
      </w:r>
      <w:r w:rsidRPr="00057479">
        <w:rPr>
          <w:lang w:val="en-US"/>
        </w:rPr>
        <w:t xml:space="preserve"> </w:t>
      </w:r>
      <w:r w:rsidRPr="00057479">
        <w:rPr>
          <w:lang w:eastAsia="bg-BG"/>
        </w:rPr>
        <w:t>(чувствителни към пеницилин изолати)</w:t>
      </w:r>
    </w:p>
    <w:p w14:paraId="50F809F1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lang w:eastAsia="bg-BG"/>
        </w:rPr>
      </w:pPr>
      <w:r w:rsidRPr="00057479">
        <w:rPr>
          <w:lang w:eastAsia="bg-BG"/>
        </w:rPr>
        <w:t>Бета-</w:t>
      </w:r>
      <w:proofErr w:type="spellStart"/>
      <w:r w:rsidRPr="00057479">
        <w:rPr>
          <w:lang w:eastAsia="bg-BG"/>
        </w:rPr>
        <w:t>хемолитични</w:t>
      </w:r>
      <w:proofErr w:type="spellEnd"/>
      <w:r w:rsidRPr="00057479">
        <w:rPr>
          <w:lang w:eastAsia="bg-BG"/>
        </w:rPr>
        <w:t xml:space="preserve"> </w:t>
      </w:r>
      <w:proofErr w:type="spellStart"/>
      <w:r w:rsidRPr="00057479">
        <w:rPr>
          <w:lang w:eastAsia="bg-BG"/>
        </w:rPr>
        <w:t>стафилококи</w:t>
      </w:r>
      <w:proofErr w:type="spellEnd"/>
      <w:r w:rsidRPr="00057479">
        <w:rPr>
          <w:lang w:eastAsia="bg-BG"/>
        </w:rPr>
        <w:t xml:space="preserve"> групи А, В, С и </w:t>
      </w:r>
      <w:r w:rsidRPr="00057479">
        <w:rPr>
          <w:lang w:val="en-US"/>
        </w:rPr>
        <w:t>G</w:t>
      </w:r>
    </w:p>
    <w:p w14:paraId="56A234BF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lang w:eastAsia="bg-BG"/>
        </w:rPr>
      </w:pPr>
      <w:r w:rsidRPr="00057479">
        <w:rPr>
          <w:lang w:eastAsia="bg-BG"/>
        </w:rPr>
        <w:t xml:space="preserve">Стрептококи от група </w:t>
      </w:r>
      <w:proofErr w:type="spellStart"/>
      <w:r w:rsidRPr="00057479">
        <w:rPr>
          <w:lang w:eastAsia="bg-BG"/>
        </w:rPr>
        <w:t>вириданс</w:t>
      </w:r>
      <w:proofErr w:type="spellEnd"/>
    </w:p>
    <w:p w14:paraId="27CE6731" w14:textId="77777777" w:rsidR="00057479" w:rsidRPr="00057479" w:rsidRDefault="00057479" w:rsidP="00057479">
      <w:pPr>
        <w:pStyle w:val="ListParagraph"/>
        <w:numPr>
          <w:ilvl w:val="0"/>
          <w:numId w:val="24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Corynebacterium</w:t>
      </w:r>
      <w:r w:rsidRPr="00057479">
        <w:rPr>
          <w:lang w:val="en-US"/>
        </w:rPr>
        <w:t xml:space="preserve"> spp.</w:t>
      </w:r>
    </w:p>
    <w:p w14:paraId="3E9E68E3" w14:textId="77777777" w:rsidR="00057479" w:rsidRDefault="00057479" w:rsidP="00057479">
      <w:pPr>
        <w:rPr>
          <w:lang w:eastAsia="bg-BG"/>
        </w:rPr>
      </w:pPr>
    </w:p>
    <w:p w14:paraId="34599A8B" w14:textId="5CB8F511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Грам-отрицателни бактерии</w:t>
      </w:r>
    </w:p>
    <w:p w14:paraId="6C8A94DE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Chlamydia trachomatis</w:t>
      </w:r>
    </w:p>
    <w:p w14:paraId="11253D9A" w14:textId="77777777" w:rsidR="00057479" w:rsidRDefault="00057479" w:rsidP="00057479">
      <w:pPr>
        <w:rPr>
          <w:lang w:eastAsia="bg-BG"/>
        </w:rPr>
      </w:pPr>
    </w:p>
    <w:p w14:paraId="1B7E08B4" w14:textId="23FBE24C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Анаеробни бактерии</w:t>
      </w:r>
    </w:p>
    <w:p w14:paraId="5A3AFCAA" w14:textId="77777777" w:rsidR="00057479" w:rsidRDefault="00057479" w:rsidP="00057479">
      <w:pPr>
        <w:rPr>
          <w:lang w:eastAsia="bg-BG"/>
        </w:rPr>
      </w:pPr>
    </w:p>
    <w:p w14:paraId="4D20A533" w14:textId="7418106C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Грам-положителни бактерии</w:t>
      </w:r>
    </w:p>
    <w:p w14:paraId="786E7E20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Actinomyces</w:t>
      </w:r>
      <w:r w:rsidRPr="00057479">
        <w:rPr>
          <w:lang w:val="en-US"/>
        </w:rPr>
        <w:t xml:space="preserve"> spp.</w:t>
      </w:r>
    </w:p>
    <w:p w14:paraId="41E98158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Clostridium</w:t>
      </w:r>
      <w:r w:rsidRPr="00057479">
        <w:rPr>
          <w:lang w:val="en-US"/>
        </w:rPr>
        <w:t xml:space="preserve"> spp. (c </w:t>
      </w:r>
      <w:r w:rsidRPr="00057479">
        <w:rPr>
          <w:lang w:eastAsia="bg-BG"/>
        </w:rPr>
        <w:t xml:space="preserve">изключение на </w:t>
      </w:r>
      <w:r w:rsidRPr="00057479">
        <w:rPr>
          <w:i/>
          <w:iCs/>
          <w:lang w:val="en-US"/>
        </w:rPr>
        <w:t>Clostridium difficile)</w:t>
      </w:r>
    </w:p>
    <w:p w14:paraId="3613E037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proofErr w:type="spellStart"/>
      <w:r w:rsidRPr="00057479">
        <w:rPr>
          <w:i/>
          <w:iCs/>
          <w:lang w:val="en-US"/>
        </w:rPr>
        <w:t>Eggerthella</w:t>
      </w:r>
      <w:proofErr w:type="spellEnd"/>
      <w:r w:rsidRPr="00057479">
        <w:rPr>
          <w:i/>
          <w:iCs/>
          <w:lang w:val="en-US"/>
        </w:rPr>
        <w:t xml:space="preserve"> (Eubacterium)</w:t>
      </w:r>
      <w:r w:rsidRPr="00057479">
        <w:rPr>
          <w:lang w:val="en-US"/>
        </w:rPr>
        <w:t xml:space="preserve"> spp.</w:t>
      </w:r>
    </w:p>
    <w:p w14:paraId="338D7041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proofErr w:type="spellStart"/>
      <w:r w:rsidRPr="00057479">
        <w:rPr>
          <w:i/>
          <w:iCs/>
          <w:lang w:val="en-US"/>
        </w:rPr>
        <w:t>Peptococcus</w:t>
      </w:r>
      <w:proofErr w:type="spellEnd"/>
      <w:r w:rsidRPr="00057479">
        <w:rPr>
          <w:lang w:val="en-US"/>
        </w:rPr>
        <w:t xml:space="preserve"> spp.</w:t>
      </w:r>
    </w:p>
    <w:p w14:paraId="54183206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proofErr w:type="spellStart"/>
      <w:r w:rsidRPr="00057479">
        <w:rPr>
          <w:i/>
          <w:iCs/>
          <w:lang w:val="en-US"/>
        </w:rPr>
        <w:t>Peptostreptococcus</w:t>
      </w:r>
      <w:proofErr w:type="spellEnd"/>
      <w:r w:rsidRPr="00057479">
        <w:rPr>
          <w:lang w:val="en-US"/>
        </w:rPr>
        <w:t xml:space="preserve"> spp. </w:t>
      </w:r>
      <w:r w:rsidRPr="00057479">
        <w:rPr>
          <w:i/>
          <w:iCs/>
          <w:lang w:val="en-US"/>
        </w:rPr>
        <w:t>(</w:t>
      </w:r>
      <w:proofErr w:type="spellStart"/>
      <w:r w:rsidRPr="00057479">
        <w:rPr>
          <w:i/>
          <w:iCs/>
          <w:lang w:val="en-US"/>
        </w:rPr>
        <w:t>Finegoldia</w:t>
      </w:r>
      <w:proofErr w:type="spellEnd"/>
      <w:r w:rsidRPr="00057479">
        <w:rPr>
          <w:i/>
          <w:iCs/>
          <w:lang w:val="en-US"/>
        </w:rPr>
        <w:t xml:space="preserve"> magna, </w:t>
      </w:r>
      <w:proofErr w:type="spellStart"/>
      <w:r w:rsidRPr="00057479">
        <w:rPr>
          <w:i/>
          <w:iCs/>
          <w:lang w:val="en-US"/>
        </w:rPr>
        <w:t>Micromonas</w:t>
      </w:r>
      <w:proofErr w:type="spellEnd"/>
      <w:r w:rsidRPr="00057479">
        <w:rPr>
          <w:i/>
          <w:iCs/>
          <w:lang w:val="en-US"/>
        </w:rPr>
        <w:t xml:space="preserve"> micros)</w:t>
      </w:r>
    </w:p>
    <w:p w14:paraId="3F43E3CD" w14:textId="77777777" w:rsidR="00057479" w:rsidRPr="00057479" w:rsidRDefault="00057479" w:rsidP="00057479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Propionibacterium acnes</w:t>
      </w:r>
    </w:p>
    <w:p w14:paraId="657C7EC4" w14:textId="77777777" w:rsidR="00057479" w:rsidRDefault="00057479" w:rsidP="00057479">
      <w:pPr>
        <w:rPr>
          <w:lang w:eastAsia="bg-BG"/>
        </w:rPr>
      </w:pPr>
    </w:p>
    <w:p w14:paraId="2A86FE39" w14:textId="7A107C46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Г </w:t>
      </w:r>
      <w:proofErr w:type="spellStart"/>
      <w:r w:rsidRPr="00057479">
        <w:rPr>
          <w:lang w:eastAsia="bg-BG"/>
        </w:rPr>
        <w:t>рам</w:t>
      </w:r>
      <w:proofErr w:type="spellEnd"/>
      <w:r w:rsidRPr="00057479">
        <w:rPr>
          <w:lang w:eastAsia="bg-BG"/>
        </w:rPr>
        <w:t>-отрицателни бактерии</w:t>
      </w:r>
    </w:p>
    <w:p w14:paraId="17D3A6E1" w14:textId="77777777" w:rsidR="00057479" w:rsidRPr="00057479" w:rsidRDefault="00057479" w:rsidP="00057479">
      <w:pPr>
        <w:pStyle w:val="ListParagraph"/>
        <w:numPr>
          <w:ilvl w:val="0"/>
          <w:numId w:val="26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Bacteroides</w:t>
      </w:r>
      <w:r w:rsidRPr="00057479">
        <w:rPr>
          <w:lang w:val="en-US"/>
        </w:rPr>
        <w:t xml:space="preserve"> spp.</w:t>
      </w:r>
    </w:p>
    <w:p w14:paraId="2DB5B4DF" w14:textId="77777777" w:rsidR="00057479" w:rsidRPr="00057479" w:rsidRDefault="00057479" w:rsidP="00057479">
      <w:pPr>
        <w:pStyle w:val="ListParagraph"/>
        <w:numPr>
          <w:ilvl w:val="0"/>
          <w:numId w:val="26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Fusobacterium</w:t>
      </w:r>
      <w:r w:rsidRPr="00057479">
        <w:rPr>
          <w:lang w:val="en-US"/>
        </w:rPr>
        <w:t xml:space="preserve"> spp.</w:t>
      </w:r>
    </w:p>
    <w:p w14:paraId="2EE88C28" w14:textId="77777777" w:rsidR="00057479" w:rsidRPr="00057479" w:rsidRDefault="00057479" w:rsidP="00057479">
      <w:pPr>
        <w:pStyle w:val="ListParagraph"/>
        <w:numPr>
          <w:ilvl w:val="0"/>
          <w:numId w:val="26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Gardnerella vaginalis</w:t>
      </w:r>
    </w:p>
    <w:p w14:paraId="2A559667" w14:textId="77777777" w:rsidR="00057479" w:rsidRPr="00057479" w:rsidRDefault="00057479" w:rsidP="00057479">
      <w:pPr>
        <w:pStyle w:val="ListParagraph"/>
        <w:numPr>
          <w:ilvl w:val="0"/>
          <w:numId w:val="26"/>
        </w:numPr>
        <w:rPr>
          <w:i/>
          <w:iCs/>
          <w:lang w:val="en-US"/>
        </w:rPr>
      </w:pPr>
      <w:proofErr w:type="spellStart"/>
      <w:r w:rsidRPr="00057479">
        <w:rPr>
          <w:i/>
          <w:iCs/>
          <w:lang w:val="en-US"/>
        </w:rPr>
        <w:t>Prevotella</w:t>
      </w:r>
      <w:proofErr w:type="spellEnd"/>
      <w:r w:rsidRPr="00057479">
        <w:rPr>
          <w:lang w:val="en-US"/>
        </w:rPr>
        <w:t xml:space="preserve"> spp.</w:t>
      </w:r>
    </w:p>
    <w:p w14:paraId="343F4395" w14:textId="77777777" w:rsidR="00057479" w:rsidRDefault="00057479" w:rsidP="00057479">
      <w:pPr>
        <w:rPr>
          <w:lang w:eastAsia="bg-BG"/>
        </w:rPr>
      </w:pPr>
    </w:p>
    <w:p w14:paraId="3077A5EA" w14:textId="700CC06F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Гъбички</w:t>
      </w:r>
    </w:p>
    <w:p w14:paraId="7924DA32" w14:textId="77777777" w:rsidR="00057479" w:rsidRPr="00057479" w:rsidRDefault="00057479" w:rsidP="00057479">
      <w:pPr>
        <w:pStyle w:val="ListParagraph"/>
        <w:numPr>
          <w:ilvl w:val="0"/>
          <w:numId w:val="27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 xml:space="preserve">Pneumocystis </w:t>
      </w:r>
      <w:proofErr w:type="spellStart"/>
      <w:r w:rsidRPr="00057479">
        <w:rPr>
          <w:i/>
          <w:iCs/>
          <w:lang w:val="en-US"/>
        </w:rPr>
        <w:t>jirovecii</w:t>
      </w:r>
      <w:proofErr w:type="spellEnd"/>
    </w:p>
    <w:p w14:paraId="48A4A9A3" w14:textId="77777777" w:rsidR="00057479" w:rsidRDefault="00057479" w:rsidP="00057479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</w:pPr>
    </w:p>
    <w:p w14:paraId="15D3A85A" w14:textId="4C648DE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Протозойни</w:t>
      </w:r>
      <w:proofErr w:type="spellEnd"/>
    </w:p>
    <w:p w14:paraId="73EE45A8" w14:textId="77777777" w:rsidR="00057479" w:rsidRPr="00057479" w:rsidRDefault="00057479" w:rsidP="00057479">
      <w:pPr>
        <w:pStyle w:val="ListParagraph"/>
        <w:numPr>
          <w:ilvl w:val="0"/>
          <w:numId w:val="27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lastRenderedPageBreak/>
        <w:t>Toxoplasma gondii</w:t>
      </w:r>
    </w:p>
    <w:p w14:paraId="16F32A61" w14:textId="77777777" w:rsidR="00057479" w:rsidRPr="00057479" w:rsidRDefault="00057479" w:rsidP="00057479">
      <w:pPr>
        <w:pStyle w:val="ListParagraph"/>
        <w:numPr>
          <w:ilvl w:val="0"/>
          <w:numId w:val="27"/>
        </w:numPr>
        <w:rPr>
          <w:i/>
          <w:iCs/>
          <w:lang w:val="en-US"/>
        </w:rPr>
      </w:pPr>
      <w:r w:rsidRPr="00057479">
        <w:rPr>
          <w:i/>
          <w:iCs/>
          <w:lang w:val="en-US"/>
        </w:rPr>
        <w:t>Plasmodium falciparum</w:t>
      </w:r>
    </w:p>
    <w:p w14:paraId="4DBC5062" w14:textId="77777777" w:rsidR="00057479" w:rsidRDefault="00057479" w:rsidP="00057479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</w:pPr>
    </w:p>
    <w:p w14:paraId="09AD97E5" w14:textId="6AE42715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Гранични стойности</w:t>
      </w:r>
    </w:p>
    <w:p w14:paraId="3DFB4072" w14:textId="77777777" w:rsidR="00057479" w:rsidRDefault="00057479" w:rsidP="00057479">
      <w:pPr>
        <w:rPr>
          <w:lang w:eastAsia="bg-BG"/>
        </w:rPr>
      </w:pPr>
    </w:p>
    <w:p w14:paraId="63A8D8B2" w14:textId="2BF7015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Честотата на придобитата резистентност може да варира съгласно географския район и времето за избрани видове и е необходима локална информация относно </w:t>
      </w: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, особено при лечението на тежки инфекции. В зависимост от необходимостта, трябва да се потърси експертен съвет, когато локалната резистентност е такава, че употребата на препарата при поне няколко вида инфекции е ненадеждна. Особено при тежки инфекции или неуспешно лечение се препоръчва микробиологично диагностициране с потвърждение на патогена и неговата чувствителност към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>.</w:t>
      </w:r>
    </w:p>
    <w:p w14:paraId="048CE342" w14:textId="77777777" w:rsidR="00057479" w:rsidRDefault="00057479" w:rsidP="00057479">
      <w:pPr>
        <w:rPr>
          <w:lang w:eastAsia="bg-BG"/>
        </w:rPr>
      </w:pPr>
    </w:p>
    <w:p w14:paraId="5F8E20D2" w14:textId="130366D6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Резистентностга</w:t>
      </w:r>
      <w:proofErr w:type="spellEnd"/>
      <w:r w:rsidRPr="00057479">
        <w:rPr>
          <w:lang w:eastAsia="bg-BG"/>
        </w:rPr>
        <w:t xml:space="preserve"> обикновено се дефинира чрез интерпретативни критерии за чувствителност (гранични стойности), установени от Европейския комитет за изпитване на антимикробната чувствителност </w:t>
      </w:r>
      <w:r w:rsidRPr="00057479">
        <w:rPr>
          <w:lang w:val="en-US"/>
        </w:rPr>
        <w:t xml:space="preserve">(European Committee on Antimicrobial Susceptibility Testing, EUCAST) </w:t>
      </w:r>
      <w:r w:rsidRPr="00057479">
        <w:rPr>
          <w:lang w:eastAsia="bg-BG"/>
        </w:rPr>
        <w:t>за системно прилагани антибиотици.</w:t>
      </w:r>
    </w:p>
    <w:p w14:paraId="21442591" w14:textId="77777777" w:rsidR="00057479" w:rsidRPr="00057479" w:rsidRDefault="00057479" w:rsidP="00057479">
      <w:pPr>
        <w:rPr>
          <w:i/>
          <w:iCs/>
          <w:lang w:val="en-US"/>
        </w:rPr>
      </w:pPr>
    </w:p>
    <w:p w14:paraId="6E6459EB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Граничните стойности на Европейския комитет за изпитване на антимикробната чувствителност </w:t>
      </w:r>
      <w:r w:rsidRPr="00057479">
        <w:rPr>
          <w:rFonts w:eastAsia="Times New Roman" w:cs="Arial"/>
          <w:color w:val="000000"/>
          <w:lang w:val="en-US"/>
        </w:rPr>
        <w:t xml:space="preserve">(EUCAST) </w:t>
      </w:r>
      <w:r w:rsidRPr="00057479">
        <w:rPr>
          <w:rFonts w:eastAsia="Times New Roman" w:cs="Arial"/>
          <w:color w:val="000000"/>
          <w:lang w:eastAsia="bg-BG"/>
        </w:rPr>
        <w:t>са представени по-долу.</w:t>
      </w:r>
    </w:p>
    <w:p w14:paraId="1E76E477" w14:textId="77777777" w:rsidR="00057479" w:rsidRDefault="00057479" w:rsidP="00057479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1ADA8C93" w14:textId="227C87EA" w:rsidR="00057479" w:rsidRPr="00057479" w:rsidRDefault="00057479" w:rsidP="00057479">
      <w:pPr>
        <w:spacing w:line="240" w:lineRule="auto"/>
        <w:jc w:val="center"/>
        <w:rPr>
          <w:rFonts w:eastAsia="Times New Roman" w:cs="Arial"/>
        </w:rPr>
      </w:pP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 xml:space="preserve">Таблица 1, </w:t>
      </w:r>
      <w:proofErr w:type="spellStart"/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Интерпретатнвнн</w:t>
      </w:r>
      <w:proofErr w:type="spellEnd"/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 xml:space="preserve"> критерии за чувствителност на </w:t>
      </w:r>
      <w:r w:rsidRPr="00057479">
        <w:rPr>
          <w:rFonts w:eastAsia="Times New Roman" w:cs="Arial"/>
          <w:b/>
          <w:bCs/>
          <w:color w:val="000000"/>
          <w:u w:val="single"/>
          <w:lang w:val="en-US"/>
        </w:rPr>
        <w:t xml:space="preserve">EUCAST </w:t>
      </w: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за</w:t>
      </w:r>
    </w:p>
    <w:p w14:paraId="4D4FB526" w14:textId="3C448683" w:rsidR="00057479" w:rsidRDefault="00057479" w:rsidP="00057479">
      <w:pPr>
        <w:spacing w:line="240" w:lineRule="auto"/>
        <w:jc w:val="center"/>
        <w:rPr>
          <w:rFonts w:eastAsia="Times New Roman" w:cs="Arial"/>
          <w:b/>
          <w:bCs/>
          <w:color w:val="000000"/>
          <w:u w:val="single"/>
          <w:lang w:eastAsia="bg-BG"/>
        </w:rPr>
      </w:pPr>
      <w:proofErr w:type="spellStart"/>
      <w:r>
        <w:rPr>
          <w:rFonts w:eastAsia="Times New Roman" w:cs="Arial"/>
          <w:b/>
          <w:bCs/>
          <w:color w:val="000000"/>
          <w:u w:val="single"/>
          <w:lang w:eastAsia="bg-BG"/>
        </w:rPr>
        <w:t>к</w:t>
      </w: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линдаминнн</w:t>
      </w:r>
      <w:proofErr w:type="spellEnd"/>
    </w:p>
    <w:p w14:paraId="6D58FAC3" w14:textId="099905CD" w:rsidR="00057479" w:rsidRDefault="00057479" w:rsidP="00057479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598"/>
        <w:gridCol w:w="1916"/>
      </w:tblGrid>
      <w:tr w:rsidR="00057479" w14:paraId="2766D04B" w14:textId="77777777" w:rsidTr="00057479">
        <w:tc>
          <w:tcPr>
            <w:tcW w:w="2660" w:type="dxa"/>
          </w:tcPr>
          <w:p w14:paraId="48F39DE9" w14:textId="77777777" w:rsidR="00057479" w:rsidRPr="00057479" w:rsidRDefault="00057479" w:rsidP="00057479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578D220C" w14:textId="6AE6A72F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 xml:space="preserve">Гранични стойности на МИК </w:t>
            </w:r>
            <w:r w:rsidRPr="00057479">
              <w:rPr>
                <w:b/>
                <w:bCs/>
                <w:lang w:val="en-US"/>
              </w:rPr>
              <w:t>(mg/1)</w:t>
            </w:r>
          </w:p>
        </w:tc>
        <w:tc>
          <w:tcPr>
            <w:tcW w:w="3514" w:type="dxa"/>
            <w:gridSpan w:val="2"/>
          </w:tcPr>
          <w:p w14:paraId="69817B5F" w14:textId="2DA8B814" w:rsidR="00057479" w:rsidRPr="00057479" w:rsidRDefault="00057479" w:rsidP="00057479">
            <w:pPr>
              <w:rPr>
                <w:b/>
                <w:bCs/>
              </w:rPr>
            </w:pPr>
            <w:r w:rsidRPr="00057479">
              <w:rPr>
                <w:b/>
                <w:bCs/>
              </w:rPr>
              <w:t xml:space="preserve">Гранични стойности за диаметъра на зоната </w:t>
            </w:r>
            <w:r w:rsidRPr="00057479">
              <w:rPr>
                <w:b/>
                <w:bCs/>
                <w:lang w:val="en-US"/>
              </w:rPr>
              <w:t>(mm)</w:t>
            </w:r>
            <w:r w:rsidRPr="00057479">
              <w:rPr>
                <w:b/>
                <w:bCs/>
                <w:vertAlign w:val="superscript"/>
              </w:rPr>
              <w:t>а</w:t>
            </w:r>
          </w:p>
        </w:tc>
      </w:tr>
      <w:tr w:rsidR="00057479" w14:paraId="76CD0495" w14:textId="77777777" w:rsidTr="00057479">
        <w:tc>
          <w:tcPr>
            <w:tcW w:w="2660" w:type="dxa"/>
          </w:tcPr>
          <w:p w14:paraId="2E518C7D" w14:textId="2F9286D3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 w:rsidRPr="00057479">
              <w:rPr>
                <w:b/>
                <w:bCs/>
              </w:rPr>
              <w:t>Организъм</w:t>
            </w:r>
          </w:p>
        </w:tc>
        <w:tc>
          <w:tcPr>
            <w:tcW w:w="1559" w:type="dxa"/>
          </w:tcPr>
          <w:p w14:paraId="09875694" w14:textId="593372F6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 w:rsidRPr="00057479">
              <w:rPr>
                <w:b/>
                <w:bCs/>
              </w:rPr>
              <w:t>Ч</w:t>
            </w:r>
            <w:r w:rsidRPr="00057479">
              <w:rPr>
                <w:b/>
                <w:bCs/>
                <w:lang w:val="en-US"/>
              </w:rPr>
              <w:t>≤</w:t>
            </w:r>
          </w:p>
        </w:tc>
        <w:tc>
          <w:tcPr>
            <w:tcW w:w="1843" w:type="dxa"/>
          </w:tcPr>
          <w:p w14:paraId="281123F7" w14:textId="25CE3763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 w:rsidRPr="00057479">
              <w:rPr>
                <w:b/>
                <w:bCs/>
              </w:rPr>
              <w:t>Р&gt;</w:t>
            </w:r>
          </w:p>
        </w:tc>
        <w:tc>
          <w:tcPr>
            <w:tcW w:w="1598" w:type="dxa"/>
          </w:tcPr>
          <w:p w14:paraId="349D770C" w14:textId="45D96C8E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Ч</w:t>
            </w:r>
            <w:r w:rsidRPr="00057479">
              <w:rPr>
                <w:rFonts w:cs="Arial"/>
                <w:b/>
                <w:bCs/>
                <w:lang w:val="en-US"/>
              </w:rPr>
              <w:t>≥</w:t>
            </w:r>
          </w:p>
        </w:tc>
        <w:tc>
          <w:tcPr>
            <w:tcW w:w="1916" w:type="dxa"/>
          </w:tcPr>
          <w:p w14:paraId="17ECE9AB" w14:textId="163128A7" w:rsidR="00057479" w:rsidRPr="00057479" w:rsidRDefault="00057479" w:rsidP="00057479">
            <w:pPr>
              <w:rPr>
                <w:rFonts w:eastAsia="Times New Roman" w:cs="Arial"/>
                <w:b/>
                <w:bCs/>
              </w:rPr>
            </w:pPr>
            <w:r w:rsidRPr="00057479">
              <w:rPr>
                <w:rFonts w:cs="Arial"/>
                <w:b/>
                <w:bCs/>
              </w:rPr>
              <w:t>Р&lt;</w:t>
            </w:r>
          </w:p>
        </w:tc>
      </w:tr>
      <w:tr w:rsidR="00057479" w14:paraId="5D8D4682" w14:textId="77777777" w:rsidTr="00057479">
        <w:tc>
          <w:tcPr>
            <w:tcW w:w="2660" w:type="dxa"/>
          </w:tcPr>
          <w:p w14:paraId="3235C290" w14:textId="234B08F9" w:rsidR="00057479" w:rsidRDefault="00057479" w:rsidP="00057479">
            <w:pPr>
              <w:rPr>
                <w:rFonts w:eastAsia="Times New Roman" w:cs="Arial"/>
              </w:rPr>
            </w:pPr>
            <w:r>
              <w:rPr>
                <w:i/>
                <w:iCs/>
                <w:lang w:val="en-US"/>
              </w:rPr>
              <w:t>Staphylococcus</w:t>
            </w:r>
            <w:r>
              <w:rPr>
                <w:lang w:val="en-US"/>
              </w:rPr>
              <w:t xml:space="preserve"> spp.</w:t>
            </w:r>
          </w:p>
        </w:tc>
        <w:tc>
          <w:tcPr>
            <w:tcW w:w="1559" w:type="dxa"/>
          </w:tcPr>
          <w:p w14:paraId="5375E0A8" w14:textId="732F99A4" w:rsidR="00057479" w:rsidRDefault="00057479" w:rsidP="00057479">
            <w:pPr>
              <w:rPr>
                <w:rFonts w:eastAsia="Times New Roman" w:cs="Arial"/>
              </w:rPr>
            </w:pPr>
            <w:r>
              <w:t>0,25</w:t>
            </w:r>
          </w:p>
        </w:tc>
        <w:tc>
          <w:tcPr>
            <w:tcW w:w="1843" w:type="dxa"/>
          </w:tcPr>
          <w:p w14:paraId="6C387EC5" w14:textId="04263021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4E64416E" w14:textId="76F14776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22</w:t>
            </w:r>
          </w:p>
        </w:tc>
        <w:tc>
          <w:tcPr>
            <w:tcW w:w="1916" w:type="dxa"/>
          </w:tcPr>
          <w:p w14:paraId="772EE828" w14:textId="214F6DEF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</w:tr>
      <w:tr w:rsidR="00057479" w14:paraId="36857024" w14:textId="77777777" w:rsidTr="00057479">
        <w:tc>
          <w:tcPr>
            <w:tcW w:w="2660" w:type="dxa"/>
          </w:tcPr>
          <w:p w14:paraId="0FD6CC5C" w14:textId="10A3F467" w:rsidR="00057479" w:rsidRDefault="00057479" w:rsidP="00057479">
            <w:pPr>
              <w:rPr>
                <w:rFonts w:eastAsia="Times New Roman" w:cs="Arial"/>
              </w:rPr>
            </w:pPr>
            <w:r>
              <w:rPr>
                <w:i/>
                <w:iCs/>
                <w:lang w:val="en-US"/>
              </w:rPr>
              <w:t xml:space="preserve">Streptococcus </w:t>
            </w:r>
            <w:r>
              <w:t xml:space="preserve">групи А, В, С и </w:t>
            </w:r>
            <w:r>
              <w:rPr>
                <w:lang w:val="en-US"/>
              </w:rPr>
              <w:t>G</w:t>
            </w:r>
          </w:p>
        </w:tc>
        <w:tc>
          <w:tcPr>
            <w:tcW w:w="1559" w:type="dxa"/>
          </w:tcPr>
          <w:p w14:paraId="3E6AA4D0" w14:textId="481105BB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843" w:type="dxa"/>
          </w:tcPr>
          <w:p w14:paraId="1C418CAB" w14:textId="5015A30F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19BE2C14" w14:textId="7F392B3C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17</w:t>
            </w:r>
          </w:p>
        </w:tc>
        <w:tc>
          <w:tcPr>
            <w:tcW w:w="1916" w:type="dxa"/>
          </w:tcPr>
          <w:p w14:paraId="2FADB855" w14:textId="4F3C8C97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17</w:t>
            </w:r>
          </w:p>
        </w:tc>
      </w:tr>
      <w:tr w:rsidR="00057479" w14:paraId="30F29B26" w14:textId="77777777" w:rsidTr="00057479">
        <w:tc>
          <w:tcPr>
            <w:tcW w:w="2660" w:type="dxa"/>
          </w:tcPr>
          <w:p w14:paraId="382BF80F" w14:textId="7CE3D2E1" w:rsidR="00057479" w:rsidRDefault="00057479" w:rsidP="00057479">
            <w:pPr>
              <w:rPr>
                <w:rFonts w:eastAsia="Times New Roman" w:cs="Arial"/>
              </w:rPr>
            </w:pPr>
            <w:r>
              <w:rPr>
                <w:i/>
                <w:iCs/>
                <w:lang w:val="en-US"/>
              </w:rPr>
              <w:t>Streptococcus pneumoniae</w:t>
            </w:r>
          </w:p>
        </w:tc>
        <w:tc>
          <w:tcPr>
            <w:tcW w:w="1559" w:type="dxa"/>
          </w:tcPr>
          <w:p w14:paraId="09D82F45" w14:textId="691D6544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843" w:type="dxa"/>
          </w:tcPr>
          <w:p w14:paraId="459A190C" w14:textId="27C2D458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43BFB6ED" w14:textId="60EA56FE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  <w:tc>
          <w:tcPr>
            <w:tcW w:w="1916" w:type="dxa"/>
          </w:tcPr>
          <w:p w14:paraId="2CD98C92" w14:textId="19183BD2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</w:tr>
      <w:tr w:rsidR="00057479" w14:paraId="249E5D06" w14:textId="77777777" w:rsidTr="00057479">
        <w:tc>
          <w:tcPr>
            <w:tcW w:w="2660" w:type="dxa"/>
          </w:tcPr>
          <w:p w14:paraId="6636E009" w14:textId="4B1DFC2C" w:rsidR="00057479" w:rsidRDefault="00057479" w:rsidP="00057479">
            <w:pPr>
              <w:rPr>
                <w:rFonts w:eastAsia="Times New Roman" w:cs="Arial"/>
              </w:rPr>
            </w:pPr>
            <w:r>
              <w:t xml:space="preserve">Стрептококи от група </w:t>
            </w:r>
            <w:proofErr w:type="spellStart"/>
            <w:r>
              <w:t>вириданс</w:t>
            </w:r>
            <w:proofErr w:type="spellEnd"/>
          </w:p>
        </w:tc>
        <w:tc>
          <w:tcPr>
            <w:tcW w:w="1559" w:type="dxa"/>
          </w:tcPr>
          <w:p w14:paraId="623DB44D" w14:textId="78590A5C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843" w:type="dxa"/>
          </w:tcPr>
          <w:p w14:paraId="743AD18D" w14:textId="0AEF55D3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0F85F76D" w14:textId="51BBB032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  <w:tc>
          <w:tcPr>
            <w:tcW w:w="1916" w:type="dxa"/>
          </w:tcPr>
          <w:p w14:paraId="2171C4FA" w14:textId="28633DE4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19</w:t>
            </w:r>
          </w:p>
        </w:tc>
      </w:tr>
      <w:tr w:rsidR="00057479" w14:paraId="4D033B0B" w14:textId="77777777" w:rsidTr="00057479">
        <w:tc>
          <w:tcPr>
            <w:tcW w:w="2660" w:type="dxa"/>
          </w:tcPr>
          <w:p w14:paraId="6A637D7A" w14:textId="585FF654" w:rsidR="00057479" w:rsidRDefault="00057479" w:rsidP="00057479">
            <w:pPr>
              <w:rPr>
                <w:rFonts w:eastAsia="Times New Roman" w:cs="Arial"/>
              </w:rPr>
            </w:pPr>
            <w:r>
              <w:t xml:space="preserve">Грам-положителни </w:t>
            </w:r>
            <w:proofErr w:type="spellStart"/>
            <w:r>
              <w:t>анаероби</w:t>
            </w:r>
            <w:proofErr w:type="spellEnd"/>
          </w:p>
        </w:tc>
        <w:tc>
          <w:tcPr>
            <w:tcW w:w="1559" w:type="dxa"/>
          </w:tcPr>
          <w:p w14:paraId="05D1AA69" w14:textId="1ABC306F" w:rsidR="00057479" w:rsidRDefault="00057479" w:rsidP="00057479">
            <w:pPr>
              <w:rPr>
                <w:rFonts w:eastAsia="Times New Roman" w:cs="Arial"/>
              </w:rPr>
            </w:pPr>
            <w:r>
              <w:t>4</w:t>
            </w:r>
          </w:p>
        </w:tc>
        <w:tc>
          <w:tcPr>
            <w:tcW w:w="1843" w:type="dxa"/>
          </w:tcPr>
          <w:p w14:paraId="57831FA3" w14:textId="409ACF51" w:rsidR="00057479" w:rsidRDefault="00057479" w:rsidP="00057479">
            <w:pPr>
              <w:rPr>
                <w:rFonts w:eastAsia="Times New Roman" w:cs="Arial"/>
              </w:rPr>
            </w:pPr>
            <w:r>
              <w:t>4</w:t>
            </w:r>
          </w:p>
        </w:tc>
        <w:tc>
          <w:tcPr>
            <w:tcW w:w="1598" w:type="dxa"/>
          </w:tcPr>
          <w:p w14:paraId="5C619178" w14:textId="024A1180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  <w:lang w:val="en-US"/>
              </w:rPr>
              <w:t>NA</w:t>
            </w:r>
          </w:p>
        </w:tc>
        <w:tc>
          <w:tcPr>
            <w:tcW w:w="1916" w:type="dxa"/>
          </w:tcPr>
          <w:p w14:paraId="26169FF5" w14:textId="6E8DFB6B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  <w:lang w:val="en-US"/>
              </w:rPr>
              <w:t>NA</w:t>
            </w:r>
          </w:p>
        </w:tc>
      </w:tr>
      <w:tr w:rsidR="00057479" w14:paraId="5EEFAF1A" w14:textId="77777777" w:rsidTr="00057479">
        <w:tc>
          <w:tcPr>
            <w:tcW w:w="2660" w:type="dxa"/>
          </w:tcPr>
          <w:p w14:paraId="0FFCE1F3" w14:textId="7479E641" w:rsidR="00057479" w:rsidRDefault="00057479" w:rsidP="00057479">
            <w:pPr>
              <w:rPr>
                <w:rFonts w:eastAsia="Times New Roman" w:cs="Arial"/>
              </w:rPr>
            </w:pPr>
            <w:r>
              <w:t xml:space="preserve">Грам-отрицателни </w:t>
            </w:r>
            <w:proofErr w:type="spellStart"/>
            <w:r>
              <w:t>анаероби</w:t>
            </w:r>
            <w:proofErr w:type="spellEnd"/>
          </w:p>
        </w:tc>
        <w:tc>
          <w:tcPr>
            <w:tcW w:w="1559" w:type="dxa"/>
          </w:tcPr>
          <w:p w14:paraId="7374EFA8" w14:textId="0E102AB9" w:rsidR="00057479" w:rsidRDefault="00057479" w:rsidP="00057479">
            <w:pPr>
              <w:rPr>
                <w:rFonts w:eastAsia="Times New Roman" w:cs="Arial"/>
              </w:rPr>
            </w:pPr>
            <w:r>
              <w:t>4</w:t>
            </w:r>
          </w:p>
        </w:tc>
        <w:tc>
          <w:tcPr>
            <w:tcW w:w="1843" w:type="dxa"/>
          </w:tcPr>
          <w:p w14:paraId="681AEBB3" w14:textId="1D43BBF3" w:rsidR="00057479" w:rsidRDefault="00057479" w:rsidP="00057479">
            <w:pPr>
              <w:rPr>
                <w:rFonts w:eastAsia="Times New Roman" w:cs="Arial"/>
              </w:rPr>
            </w:pPr>
            <w:r>
              <w:t>4</w:t>
            </w:r>
          </w:p>
        </w:tc>
        <w:tc>
          <w:tcPr>
            <w:tcW w:w="1598" w:type="dxa"/>
          </w:tcPr>
          <w:p w14:paraId="6BD132FA" w14:textId="57F3203F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  <w:lang w:val="en-US"/>
              </w:rPr>
              <w:t>NA</w:t>
            </w:r>
          </w:p>
        </w:tc>
        <w:tc>
          <w:tcPr>
            <w:tcW w:w="1916" w:type="dxa"/>
          </w:tcPr>
          <w:p w14:paraId="539D91D0" w14:textId="252902B4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  <w:lang w:val="en-US"/>
              </w:rPr>
              <w:t>NA</w:t>
            </w:r>
          </w:p>
        </w:tc>
      </w:tr>
      <w:tr w:rsidR="00057479" w14:paraId="4FD8E9B8" w14:textId="77777777" w:rsidTr="00057479">
        <w:tc>
          <w:tcPr>
            <w:tcW w:w="2660" w:type="dxa"/>
          </w:tcPr>
          <w:p w14:paraId="2C1D70C8" w14:textId="0383417B" w:rsidR="00057479" w:rsidRDefault="00057479" w:rsidP="00057479">
            <w:pPr>
              <w:rPr>
                <w:rFonts w:eastAsia="Times New Roman" w:cs="Arial"/>
              </w:rPr>
            </w:pPr>
            <w:r>
              <w:rPr>
                <w:i/>
                <w:iCs/>
                <w:lang w:val="en-US"/>
              </w:rPr>
              <w:t>Corynebacterium</w:t>
            </w:r>
            <w:r>
              <w:rPr>
                <w:lang w:val="en-US"/>
              </w:rPr>
              <w:t xml:space="preserve"> spp.</w:t>
            </w:r>
          </w:p>
        </w:tc>
        <w:tc>
          <w:tcPr>
            <w:tcW w:w="1559" w:type="dxa"/>
          </w:tcPr>
          <w:p w14:paraId="007C778F" w14:textId="4A8E0A5B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843" w:type="dxa"/>
          </w:tcPr>
          <w:p w14:paraId="420366B1" w14:textId="46301DEC" w:rsidR="00057479" w:rsidRDefault="00057479" w:rsidP="00057479">
            <w:pPr>
              <w:rPr>
                <w:rFonts w:eastAsia="Times New Roman" w:cs="Arial"/>
              </w:rPr>
            </w:pPr>
            <w:r>
              <w:t>0,5</w:t>
            </w:r>
          </w:p>
        </w:tc>
        <w:tc>
          <w:tcPr>
            <w:tcW w:w="1598" w:type="dxa"/>
          </w:tcPr>
          <w:p w14:paraId="1787618E" w14:textId="315989DC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20</w:t>
            </w:r>
          </w:p>
        </w:tc>
        <w:tc>
          <w:tcPr>
            <w:tcW w:w="1916" w:type="dxa"/>
          </w:tcPr>
          <w:p w14:paraId="3FB64DF1" w14:textId="530A87ED" w:rsidR="00057479" w:rsidRPr="00057479" w:rsidRDefault="00057479" w:rsidP="00057479">
            <w:pPr>
              <w:rPr>
                <w:rFonts w:eastAsia="Times New Roman" w:cs="Arial"/>
              </w:rPr>
            </w:pPr>
            <w:r w:rsidRPr="00057479">
              <w:rPr>
                <w:rFonts w:cs="Arial"/>
              </w:rPr>
              <w:t>20</w:t>
            </w:r>
          </w:p>
        </w:tc>
      </w:tr>
    </w:tbl>
    <w:p w14:paraId="626A8117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proofErr w:type="spellStart"/>
      <w:r w:rsidRPr="00057479">
        <w:rPr>
          <w:rFonts w:eastAsia="Times New Roman" w:cs="Arial"/>
          <w:color w:val="000000"/>
          <w:vertAlign w:val="superscript"/>
          <w:lang w:eastAsia="bg-BG"/>
        </w:rPr>
        <w:t>а</w:t>
      </w:r>
      <w:r w:rsidRPr="00057479">
        <w:rPr>
          <w:rFonts w:eastAsia="Times New Roman" w:cs="Arial"/>
          <w:color w:val="000000"/>
          <w:lang w:eastAsia="bg-BG"/>
        </w:rPr>
        <w:t>Съдържание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на диска 2 </w:t>
      </w:r>
      <w:proofErr w:type="spellStart"/>
      <w:r w:rsidRPr="00057479">
        <w:rPr>
          <w:rFonts w:eastAsia="Times New Roman" w:cs="Arial"/>
          <w:color w:val="000000"/>
          <w:lang w:val="en-US"/>
        </w:rPr>
        <w:t>μg</w:t>
      </w:r>
      <w:proofErr w:type="spellEnd"/>
      <w:r w:rsidRPr="00057479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</w:p>
    <w:p w14:paraId="2AE73410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val="en-US"/>
        </w:rPr>
        <w:t xml:space="preserve">NA </w:t>
      </w:r>
      <w:r w:rsidRPr="00057479">
        <w:rPr>
          <w:rFonts w:eastAsia="Times New Roman" w:cs="Arial"/>
          <w:color w:val="000000"/>
          <w:lang w:eastAsia="bg-BG"/>
        </w:rPr>
        <w:t>= неприложимо; Ч = чувствителен; Р = резистентен</w:t>
      </w:r>
    </w:p>
    <w:p w14:paraId="02C50216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Диапазоните за КК на </w:t>
      </w:r>
      <w:r w:rsidRPr="00057479">
        <w:rPr>
          <w:rFonts w:eastAsia="Times New Roman" w:cs="Arial"/>
          <w:color w:val="000000"/>
          <w:lang w:val="en-US"/>
        </w:rPr>
        <w:t xml:space="preserve">EUCAST </w:t>
      </w:r>
      <w:r w:rsidRPr="00057479">
        <w:rPr>
          <w:rFonts w:eastAsia="Times New Roman" w:cs="Arial"/>
          <w:color w:val="000000"/>
          <w:lang w:eastAsia="bg-BG"/>
        </w:rPr>
        <w:t>за МИК и определенията на зоната на диска са представени в таблицата по-долу.</w:t>
      </w:r>
    </w:p>
    <w:p w14:paraId="58FA2206" w14:textId="77777777" w:rsidR="00057479" w:rsidRPr="00057479" w:rsidRDefault="00057479" w:rsidP="00057479">
      <w:pPr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7A1C8BA9" w14:textId="1183CC22" w:rsidR="00057479" w:rsidRDefault="00057479" w:rsidP="00057479">
      <w:pPr>
        <w:jc w:val="center"/>
        <w:rPr>
          <w:rFonts w:eastAsia="Times New Roman" w:cs="Arial"/>
          <w:b/>
          <w:bCs/>
          <w:color w:val="000000"/>
          <w:u w:val="single"/>
          <w:lang w:eastAsia="bg-BG"/>
        </w:rPr>
      </w:pP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 xml:space="preserve">Таблица 2. Приемливи диапазони за контрол на качеството (КК) на </w:t>
      </w:r>
      <w:r w:rsidRPr="00057479">
        <w:rPr>
          <w:rFonts w:eastAsia="Times New Roman" w:cs="Arial"/>
          <w:b/>
          <w:bCs/>
          <w:color w:val="000000"/>
          <w:u w:val="single"/>
          <w:lang w:val="en-US"/>
        </w:rPr>
        <w:t xml:space="preserve">EUCAST </w:t>
      </w:r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 xml:space="preserve">за </w:t>
      </w:r>
      <w:proofErr w:type="spellStart"/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клиндамицин</w:t>
      </w:r>
      <w:proofErr w:type="spellEnd"/>
      <w:r w:rsidRPr="00057479">
        <w:rPr>
          <w:rFonts w:eastAsia="Times New Roman" w:cs="Arial"/>
          <w:b/>
          <w:bCs/>
          <w:color w:val="000000"/>
          <w:u w:val="single"/>
          <w:lang w:eastAsia="bg-BG"/>
        </w:rPr>
        <w:t>, които да се използват при валидиране на резултатите от тест за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7479" w14:paraId="7EBA538F" w14:textId="77777777" w:rsidTr="00057479">
        <w:tc>
          <w:tcPr>
            <w:tcW w:w="3192" w:type="dxa"/>
          </w:tcPr>
          <w:p w14:paraId="08E1B985" w14:textId="45322F1C" w:rsidR="00057479" w:rsidRPr="00057479" w:rsidRDefault="00057479" w:rsidP="00057479">
            <w:pPr>
              <w:rPr>
                <w:rFonts w:cs="Arial"/>
                <w:b/>
                <w:bCs/>
              </w:rPr>
            </w:pPr>
            <w:r w:rsidRPr="00057479">
              <w:rPr>
                <w:b/>
                <w:bCs/>
              </w:rPr>
              <w:lastRenderedPageBreak/>
              <w:t>Щам за КК</w:t>
            </w:r>
          </w:p>
        </w:tc>
        <w:tc>
          <w:tcPr>
            <w:tcW w:w="3192" w:type="dxa"/>
          </w:tcPr>
          <w:p w14:paraId="5696DECF" w14:textId="31462F7F" w:rsidR="00057479" w:rsidRPr="00057479" w:rsidRDefault="00057479" w:rsidP="00057479">
            <w:pPr>
              <w:rPr>
                <w:rFonts w:cs="Arial"/>
                <w:b/>
                <w:bCs/>
              </w:rPr>
            </w:pPr>
            <w:r w:rsidRPr="00057479">
              <w:rPr>
                <w:b/>
                <w:bCs/>
              </w:rPr>
              <w:t xml:space="preserve">Диапазон на МИК </w:t>
            </w:r>
            <w:r w:rsidRPr="00057479">
              <w:rPr>
                <w:b/>
                <w:bCs/>
                <w:lang w:val="en-US"/>
              </w:rPr>
              <w:t>(mcg/ml)</w:t>
            </w:r>
          </w:p>
        </w:tc>
        <w:tc>
          <w:tcPr>
            <w:tcW w:w="3192" w:type="dxa"/>
          </w:tcPr>
          <w:p w14:paraId="74EE8D94" w14:textId="6C98EB4F" w:rsidR="00057479" w:rsidRPr="00057479" w:rsidRDefault="00057479" w:rsidP="00057479">
            <w:pPr>
              <w:rPr>
                <w:rFonts w:cs="Arial"/>
                <w:b/>
                <w:bCs/>
              </w:rPr>
            </w:pPr>
            <w:r w:rsidRPr="00057479">
              <w:rPr>
                <w:b/>
                <w:bCs/>
              </w:rPr>
              <w:t xml:space="preserve">Диапазон на дифузни на диска (диаметри на зоната в </w:t>
            </w:r>
            <w:r w:rsidRPr="00057479">
              <w:rPr>
                <w:b/>
                <w:bCs/>
                <w:lang w:val="en-US"/>
              </w:rPr>
              <w:t>mm)</w:t>
            </w:r>
          </w:p>
        </w:tc>
      </w:tr>
      <w:tr w:rsidR="00057479" w14:paraId="6A7CAC7C" w14:textId="77777777" w:rsidTr="00057479">
        <w:tc>
          <w:tcPr>
            <w:tcW w:w="3192" w:type="dxa"/>
          </w:tcPr>
          <w:p w14:paraId="4D248B43" w14:textId="41881D2D" w:rsidR="00057479" w:rsidRDefault="00057479" w:rsidP="00057479">
            <w:pPr>
              <w:rPr>
                <w:rFonts w:cs="Arial"/>
              </w:rPr>
            </w:pPr>
            <w:r>
              <w:rPr>
                <w:i/>
                <w:iCs/>
                <w:lang w:val="en-US"/>
              </w:rPr>
              <w:t>Staphylococcus aureus</w:t>
            </w:r>
          </w:p>
        </w:tc>
        <w:tc>
          <w:tcPr>
            <w:tcW w:w="3192" w:type="dxa"/>
          </w:tcPr>
          <w:p w14:paraId="0DFF5BFD" w14:textId="1DD41B58" w:rsidR="00057479" w:rsidRDefault="00057479" w:rsidP="00057479">
            <w:pPr>
              <w:rPr>
                <w:rFonts w:cs="Arial"/>
              </w:rPr>
            </w:pPr>
            <w:r>
              <w:t>0,06-0,25</w:t>
            </w:r>
          </w:p>
        </w:tc>
        <w:tc>
          <w:tcPr>
            <w:tcW w:w="3192" w:type="dxa"/>
          </w:tcPr>
          <w:p w14:paraId="1878B9CD" w14:textId="6D29CA32" w:rsidR="00057479" w:rsidRDefault="00057479" w:rsidP="00057479">
            <w:pPr>
              <w:rPr>
                <w:rFonts w:cs="Arial"/>
              </w:rPr>
            </w:pPr>
            <w:r>
              <w:t>23-29</w:t>
            </w:r>
          </w:p>
        </w:tc>
      </w:tr>
      <w:tr w:rsidR="00057479" w14:paraId="117708EA" w14:textId="77777777" w:rsidTr="00057479">
        <w:tc>
          <w:tcPr>
            <w:tcW w:w="3192" w:type="dxa"/>
          </w:tcPr>
          <w:p w14:paraId="4BF20808" w14:textId="773EC816" w:rsidR="00057479" w:rsidRDefault="00057479" w:rsidP="00057479">
            <w:pPr>
              <w:rPr>
                <w:rFonts w:cs="Arial"/>
              </w:rPr>
            </w:pPr>
            <w:r>
              <w:rPr>
                <w:i/>
                <w:iCs/>
                <w:lang w:val="en-US"/>
              </w:rPr>
              <w:t>Streptococcus pneumoniae</w:t>
            </w:r>
          </w:p>
        </w:tc>
        <w:tc>
          <w:tcPr>
            <w:tcW w:w="3192" w:type="dxa"/>
          </w:tcPr>
          <w:p w14:paraId="1F2B05D5" w14:textId="3E8EF1CC" w:rsidR="00057479" w:rsidRDefault="00057479" w:rsidP="00057479">
            <w:pPr>
              <w:rPr>
                <w:rFonts w:cs="Arial"/>
              </w:rPr>
            </w:pPr>
            <w:r>
              <w:t>0,03-0,125</w:t>
            </w:r>
          </w:p>
        </w:tc>
        <w:tc>
          <w:tcPr>
            <w:tcW w:w="3192" w:type="dxa"/>
          </w:tcPr>
          <w:p w14:paraId="508B7792" w14:textId="0CDEF80D" w:rsidR="00057479" w:rsidRDefault="00057479" w:rsidP="00057479">
            <w:pPr>
              <w:rPr>
                <w:rFonts w:cs="Arial"/>
              </w:rPr>
            </w:pPr>
            <w:r>
              <w:t>22-28</w:t>
            </w:r>
          </w:p>
        </w:tc>
      </w:tr>
    </w:tbl>
    <w:p w14:paraId="15C71088" w14:textId="77777777" w:rsidR="00057479" w:rsidRPr="00057479" w:rsidRDefault="00057479" w:rsidP="00057479">
      <w:pPr>
        <w:rPr>
          <w:rFonts w:cs="Arial"/>
        </w:rPr>
      </w:pPr>
    </w:p>
    <w:p w14:paraId="0A962168" w14:textId="23D31FC9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3DCA184" w14:textId="77777777" w:rsidR="00057479" w:rsidRDefault="00057479" w:rsidP="000574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74780C" w14:textId="64EA8426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>Абсорбция</w:t>
      </w:r>
    </w:p>
    <w:p w14:paraId="5F2E0ED8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Проучвания на серумните нива с перорална доза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хидрохлорид от 150 </w:t>
      </w:r>
      <w:r w:rsidRPr="00057479">
        <w:rPr>
          <w:rFonts w:eastAsia="Times New Roman" w:cs="Arial"/>
          <w:color w:val="000000"/>
          <w:lang w:val="en-US"/>
        </w:rPr>
        <w:t xml:space="preserve">mg </w:t>
      </w:r>
      <w:r w:rsidRPr="00057479">
        <w:rPr>
          <w:rFonts w:eastAsia="Times New Roman" w:cs="Arial"/>
          <w:color w:val="000000"/>
          <w:lang w:eastAsia="bg-BG"/>
        </w:rPr>
        <w:t xml:space="preserve">при 24 здрави възрастни доброволци са показали, че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се абсорбира бързо след перорално приложение. Средно пиково ниво в кръвния серум от 2,50 микрограма</w:t>
      </w:r>
      <w:r w:rsidRPr="00057479">
        <w:rPr>
          <w:rFonts w:eastAsia="Times New Roman" w:cs="Arial"/>
          <w:color w:val="000000"/>
          <w:lang w:val="en-US"/>
        </w:rPr>
        <w:t xml:space="preserve">/ml </w:t>
      </w:r>
      <w:r w:rsidRPr="00057479">
        <w:rPr>
          <w:rFonts w:eastAsia="Times New Roman" w:cs="Arial"/>
          <w:color w:val="000000"/>
          <w:lang w:eastAsia="bg-BG"/>
        </w:rPr>
        <w:t>се достига в рамките на 45 минути, а средната стойност за серумните нива е била 1,51 микрограма</w:t>
      </w:r>
      <w:r w:rsidRPr="00057479">
        <w:rPr>
          <w:rFonts w:eastAsia="Times New Roman" w:cs="Arial"/>
          <w:color w:val="000000"/>
          <w:lang w:val="en-US"/>
        </w:rPr>
        <w:t xml:space="preserve">/ml </w:t>
      </w:r>
      <w:r w:rsidRPr="00057479">
        <w:rPr>
          <w:rFonts w:eastAsia="Times New Roman" w:cs="Arial"/>
          <w:color w:val="000000"/>
          <w:lang w:eastAsia="bg-BG"/>
        </w:rPr>
        <w:t>след 3 часа и 0,70 микрограма</w:t>
      </w:r>
      <w:r w:rsidRPr="00057479">
        <w:rPr>
          <w:rFonts w:eastAsia="Times New Roman" w:cs="Arial"/>
          <w:color w:val="000000"/>
          <w:lang w:val="en-US"/>
        </w:rPr>
        <w:t xml:space="preserve">/ml </w:t>
      </w:r>
      <w:r w:rsidRPr="00057479">
        <w:rPr>
          <w:rFonts w:eastAsia="Times New Roman" w:cs="Arial"/>
          <w:color w:val="000000"/>
          <w:lang w:eastAsia="bg-BG"/>
        </w:rPr>
        <w:t>след 6 часа.</w:t>
      </w:r>
    </w:p>
    <w:p w14:paraId="04FC4DF0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>Абсорбцията на една перорална доза е почти пълна (90%), а едновременното приложение с храна не променя значимо серумните концентрации.</w:t>
      </w:r>
    </w:p>
    <w:p w14:paraId="5E469F04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>Серумните нива са били постоянни и предвидими от човек на човек и от доза на доза.</w:t>
      </w:r>
    </w:p>
    <w:p w14:paraId="63BA1D43" w14:textId="77777777" w:rsidR="00057479" w:rsidRPr="00057479" w:rsidRDefault="00057479" w:rsidP="000574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4F4A72" w14:textId="2325299C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>Разпределение</w:t>
      </w:r>
    </w:p>
    <w:p w14:paraId="3AE7EA21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Концентрациите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в кръвния серум нарастват линейно с нарастване на дозата. Серумните нива надвишават МИК (минимална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инхибиторна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концентрация) за повечето показани микроорганизми в рамките на най-малко 6 часа след приложение на обичайните препоръчвани дози.</w:t>
      </w:r>
    </w:p>
    <w:p w14:paraId="6E0DD159" w14:textId="76017A23" w:rsidR="00057479" w:rsidRPr="00057479" w:rsidRDefault="00057479" w:rsidP="00057479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се разпределя широко в телесните течности и тъкани (включително костите).</w:t>
      </w:r>
    </w:p>
    <w:p w14:paraId="06ADB0DF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Не са достигнати значими нива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в </w:t>
      </w:r>
      <w:proofErr w:type="spellStart"/>
      <w:r w:rsidRPr="00057479">
        <w:rPr>
          <w:rFonts w:eastAsia="Times New Roman" w:cs="Arial"/>
          <w:color w:val="000000"/>
          <w:lang w:eastAsia="bg-BG"/>
        </w:rPr>
        <w:t>цереброспиналната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течност, дори при наличие на възпалени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менинги</w:t>
      </w:r>
      <w:proofErr w:type="spellEnd"/>
      <w:r w:rsidRPr="00057479">
        <w:rPr>
          <w:rFonts w:eastAsia="Times New Roman" w:cs="Arial"/>
          <w:color w:val="000000"/>
          <w:lang w:eastAsia="bg-BG"/>
        </w:rPr>
        <w:t>.</w:t>
      </w:r>
    </w:p>
    <w:p w14:paraId="7F067BB8" w14:textId="77777777" w:rsidR="00057479" w:rsidRPr="00057479" w:rsidRDefault="00057479" w:rsidP="000574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670439" w14:textId="4072612B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>Биотрансформация</w:t>
      </w:r>
    </w:p>
    <w:p w14:paraId="1B19D4CD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i/>
          <w:iCs/>
          <w:color w:val="000000"/>
          <w:lang w:val="en-US"/>
        </w:rPr>
        <w:t>In vitro</w:t>
      </w:r>
      <w:r w:rsidRPr="00057479">
        <w:rPr>
          <w:rFonts w:eastAsia="Times New Roman" w:cs="Arial"/>
          <w:color w:val="000000"/>
          <w:lang w:val="en-US"/>
        </w:rPr>
        <w:t xml:space="preserve"> </w:t>
      </w:r>
      <w:r w:rsidRPr="00057479">
        <w:rPr>
          <w:rFonts w:eastAsia="Times New Roman" w:cs="Arial"/>
          <w:color w:val="000000"/>
          <w:lang w:eastAsia="bg-BG"/>
        </w:rPr>
        <w:t xml:space="preserve">проучванията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микрозомални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препарати от човешки черен дроб и тънки черва показват, че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се окислява основно чрез </w:t>
      </w:r>
      <w:r w:rsidRPr="00057479">
        <w:rPr>
          <w:rFonts w:eastAsia="Times New Roman" w:cs="Arial"/>
          <w:color w:val="000000"/>
          <w:lang w:val="en-US"/>
        </w:rPr>
        <w:t xml:space="preserve">CYP3A4, </w:t>
      </w:r>
      <w:r w:rsidRPr="00057479">
        <w:rPr>
          <w:rFonts w:eastAsia="Times New Roman" w:cs="Arial"/>
          <w:color w:val="000000"/>
          <w:lang w:eastAsia="bg-BG"/>
        </w:rPr>
        <w:t xml:space="preserve">с малък принос от </w:t>
      </w:r>
      <w:r w:rsidRPr="00057479">
        <w:rPr>
          <w:rFonts w:eastAsia="Times New Roman" w:cs="Arial"/>
          <w:color w:val="000000"/>
          <w:lang w:val="en-US"/>
        </w:rPr>
        <w:t xml:space="preserve">CYP3A5, </w:t>
      </w:r>
      <w:r w:rsidRPr="00057479">
        <w:rPr>
          <w:rFonts w:eastAsia="Times New Roman" w:cs="Arial"/>
          <w:color w:val="000000"/>
          <w:lang w:eastAsia="bg-BG"/>
        </w:rPr>
        <w:t xml:space="preserve">за да образува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клиндамицинов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57479">
        <w:rPr>
          <w:rFonts w:eastAsia="Times New Roman" w:cs="Arial"/>
          <w:color w:val="000000"/>
          <w:lang w:eastAsia="bg-BG"/>
        </w:rPr>
        <w:t>сулфоксид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и един второстепенен метаболит - </w:t>
      </w:r>
      <w:r w:rsidRPr="00057479">
        <w:rPr>
          <w:rFonts w:eastAsia="Times New Roman" w:cs="Arial"/>
          <w:color w:val="000000"/>
          <w:lang w:val="en-US"/>
        </w:rPr>
        <w:t>N</w:t>
      </w:r>
      <w:r w:rsidRPr="00057479">
        <w:rPr>
          <w:rFonts w:eastAsia="Times New Roman" w:cs="Arial"/>
          <w:color w:val="000000"/>
          <w:lang w:eastAsia="bg-BG"/>
        </w:rPr>
        <w:t>-</w:t>
      </w:r>
      <w:proofErr w:type="spellStart"/>
      <w:r w:rsidRPr="00057479">
        <w:rPr>
          <w:rFonts w:eastAsia="Times New Roman" w:cs="Arial"/>
          <w:color w:val="000000"/>
          <w:lang w:eastAsia="bg-BG"/>
        </w:rPr>
        <w:t>дезметилклиндамицин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>.</w:t>
      </w:r>
    </w:p>
    <w:p w14:paraId="49058AFF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Проучванията на серумните нива след многократно приложение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хидрохлорид с продължителност до 14 дни не показват данни за кумулиране или изменен метаболизъм на лекарственото вещество.</w:t>
      </w:r>
    </w:p>
    <w:p w14:paraId="74B24042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Дози до 2 грама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дневно за 14 дни са били добре понесени от здрави доброволци, с изключение на това, че честотата на гастроинтестиналните нежелани реакции е по-висока с повишаване на дозите.</w:t>
      </w:r>
    </w:p>
    <w:p w14:paraId="3BD39E72" w14:textId="77777777" w:rsidR="00057479" w:rsidRPr="00057479" w:rsidRDefault="00057479" w:rsidP="000574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582C31" w14:textId="53173185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>Елиминиране</w:t>
      </w:r>
    </w:p>
    <w:p w14:paraId="52A45CB2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Средният биологичен полуживот е 2,4 часа. Серумният полуживот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е леко повишен при пациенти с отслабена бъбречна функция.</w:t>
      </w:r>
    </w:p>
    <w:p w14:paraId="0684ED1D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proofErr w:type="spellStart"/>
      <w:r w:rsidRPr="00057479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проучвания при доброволци в старческа възраст (61-79 години) и при по- млади възрастни доброволци (18-39 години) показват, че възрастта, сама по себе си, не изменя фармакокинетиката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(клирънс, полуживот на елиминиране, обем на разпределение и площ под кривата на плазмената концентрация) след интравенозно приложение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фосфат. След перорално приложение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lastRenderedPageBreak/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хидрохлорид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полуживотьт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на елиминиране нараства до приблизително 4,0 часа (диапазон от 3,4-5,1 часа) в старческата възраст, в сравнение с 3,2 часа (диапазон от 2,1- 4,2 часа) за по- младата възраст. Количеството на абсорбцията, обаче, не се различава в двете възрастови групи и не е необходима корекция на дозата за пациенти в старческа възраст с нормална чернодробна функция и нормална (коригирана спрямо възрастта) бъбречна функция.</w:t>
      </w:r>
    </w:p>
    <w:p w14:paraId="348919D9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Хемодиализата и перитонеалната диализа не са ефективни за отделяне на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клиндамицин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от серума.</w:t>
      </w:r>
    </w:p>
    <w:p w14:paraId="0AB16909" w14:textId="77777777" w:rsidR="00057479" w:rsidRPr="00057479" w:rsidRDefault="00057479" w:rsidP="00057479">
      <w:pPr>
        <w:spacing w:line="240" w:lineRule="auto"/>
        <w:rPr>
          <w:rFonts w:eastAsia="Times New Roman" w:cs="Arial"/>
        </w:rPr>
      </w:pPr>
      <w:r w:rsidRPr="00057479">
        <w:rPr>
          <w:rFonts w:eastAsia="Times New Roman" w:cs="Arial"/>
          <w:color w:val="000000"/>
          <w:lang w:eastAsia="bg-BG"/>
        </w:rPr>
        <w:t xml:space="preserve">Приблизително 10% от биологично активния продукт се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в урината, а 3,6% във </w:t>
      </w:r>
      <w:proofErr w:type="spellStart"/>
      <w:r w:rsidRPr="00057479">
        <w:rPr>
          <w:rFonts w:eastAsia="Times New Roman" w:cs="Arial"/>
          <w:color w:val="000000"/>
          <w:lang w:eastAsia="bg-BG"/>
        </w:rPr>
        <w:t>фецеса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; остатъкът се </w:t>
      </w:r>
      <w:proofErr w:type="spellStart"/>
      <w:r w:rsidRPr="00057479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057479">
        <w:rPr>
          <w:rFonts w:eastAsia="Times New Roman" w:cs="Arial"/>
          <w:color w:val="000000"/>
          <w:lang w:eastAsia="bg-BG"/>
        </w:rPr>
        <w:t xml:space="preserve"> като бионеактивни метаболити.</w:t>
      </w:r>
    </w:p>
    <w:p w14:paraId="31B79903" w14:textId="77777777" w:rsidR="00057479" w:rsidRPr="00057479" w:rsidRDefault="00057479" w:rsidP="00057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72F45" w14:textId="77777777" w:rsidR="00057479" w:rsidRPr="00057479" w:rsidRDefault="00057479" w:rsidP="00057479"/>
    <w:p w14:paraId="674BE4E2" w14:textId="2F743938" w:rsidR="009B171C" w:rsidRDefault="002C50EE" w:rsidP="00CA1B57">
      <w:pPr>
        <w:pStyle w:val="Heading2"/>
      </w:pPr>
      <w:r>
        <w:t>5.3. Предклинични данни за безопасност</w:t>
      </w:r>
    </w:p>
    <w:p w14:paraId="18C3F642" w14:textId="77777777" w:rsidR="00057479" w:rsidRPr="00057479" w:rsidRDefault="00057479" w:rsidP="00057479"/>
    <w:p w14:paraId="6451BFAA" w14:textId="77777777" w:rsidR="00057479" w:rsidRPr="00057479" w:rsidRDefault="00057479" w:rsidP="00057479">
      <w:pPr>
        <w:pStyle w:val="Heading3"/>
        <w:rPr>
          <w:rFonts w:eastAsia="Times New Roman"/>
          <w:u w:val="single"/>
        </w:rPr>
      </w:pPr>
      <w:proofErr w:type="spellStart"/>
      <w:r w:rsidRPr="00057479">
        <w:rPr>
          <w:rFonts w:eastAsia="Times New Roman"/>
          <w:u w:val="single"/>
          <w:lang w:eastAsia="bg-BG"/>
        </w:rPr>
        <w:t>Карциногенност</w:t>
      </w:r>
      <w:proofErr w:type="spellEnd"/>
    </w:p>
    <w:p w14:paraId="2F32D6AB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Не са провеждани продължителни проучвания при животни с </w:t>
      </w:r>
      <w:proofErr w:type="spellStart"/>
      <w:r w:rsidRPr="00057479">
        <w:rPr>
          <w:lang w:eastAsia="bg-BG"/>
        </w:rPr>
        <w:t>клиндамицин</w:t>
      </w:r>
      <w:proofErr w:type="spellEnd"/>
      <w:r w:rsidRPr="00057479">
        <w:rPr>
          <w:lang w:eastAsia="bg-BG"/>
        </w:rPr>
        <w:t xml:space="preserve"> за определяне на карциногенния потенциал.</w:t>
      </w:r>
    </w:p>
    <w:p w14:paraId="261930DC" w14:textId="77777777" w:rsidR="00057479" w:rsidRDefault="00057479" w:rsidP="00057479">
      <w:pPr>
        <w:rPr>
          <w:lang w:eastAsia="bg-BG"/>
        </w:rPr>
      </w:pPr>
    </w:p>
    <w:p w14:paraId="4C6225E7" w14:textId="2481E41F" w:rsidR="00057479" w:rsidRPr="00057479" w:rsidRDefault="00057479" w:rsidP="00057479">
      <w:pPr>
        <w:pStyle w:val="Heading3"/>
        <w:rPr>
          <w:rFonts w:eastAsia="Times New Roman"/>
          <w:u w:val="single"/>
        </w:rPr>
      </w:pPr>
      <w:proofErr w:type="spellStart"/>
      <w:r w:rsidRPr="00057479">
        <w:rPr>
          <w:rFonts w:eastAsia="Times New Roman"/>
          <w:u w:val="single"/>
          <w:lang w:eastAsia="bg-BG"/>
        </w:rPr>
        <w:t>Мутагенност</w:t>
      </w:r>
      <w:proofErr w:type="spellEnd"/>
    </w:p>
    <w:p w14:paraId="6C54E934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Проведените тестове за </w:t>
      </w:r>
      <w:proofErr w:type="spellStart"/>
      <w:r w:rsidRPr="00057479">
        <w:rPr>
          <w:lang w:eastAsia="bg-BG"/>
        </w:rPr>
        <w:t>генотоксичност</w:t>
      </w:r>
      <w:proofErr w:type="spellEnd"/>
      <w:r w:rsidRPr="00057479">
        <w:rPr>
          <w:lang w:eastAsia="bg-BG"/>
        </w:rPr>
        <w:t xml:space="preserve"> включват микронуклеарен тест при плъхове и </w:t>
      </w:r>
      <w:r w:rsidRPr="00057479">
        <w:rPr>
          <w:lang w:val="en-US"/>
        </w:rPr>
        <w:t xml:space="preserve">Ames Salmonella reversion test. </w:t>
      </w:r>
      <w:r w:rsidRPr="00057479">
        <w:rPr>
          <w:lang w:eastAsia="bg-BG"/>
        </w:rPr>
        <w:t>И при двата теста са отчетени отрицателни резултати.</w:t>
      </w:r>
    </w:p>
    <w:p w14:paraId="2B277A0C" w14:textId="77777777" w:rsidR="00057479" w:rsidRDefault="00057479" w:rsidP="00057479">
      <w:pPr>
        <w:rPr>
          <w:lang w:eastAsia="bg-BG"/>
        </w:rPr>
      </w:pPr>
    </w:p>
    <w:p w14:paraId="10836B60" w14:textId="0C516F4C" w:rsidR="00057479" w:rsidRPr="00057479" w:rsidRDefault="00057479" w:rsidP="00057479">
      <w:pPr>
        <w:pStyle w:val="Heading3"/>
        <w:rPr>
          <w:rFonts w:eastAsia="Times New Roman"/>
          <w:u w:val="single"/>
        </w:rPr>
      </w:pPr>
      <w:r w:rsidRPr="00057479">
        <w:rPr>
          <w:rFonts w:eastAsia="Times New Roman"/>
          <w:u w:val="single"/>
          <w:lang w:eastAsia="bg-BG"/>
        </w:rPr>
        <w:t xml:space="preserve">Увреждане на </w:t>
      </w:r>
      <w:proofErr w:type="spellStart"/>
      <w:r w:rsidRPr="00057479">
        <w:rPr>
          <w:rFonts w:eastAsia="Times New Roman"/>
          <w:u w:val="single"/>
          <w:lang w:eastAsia="bg-BG"/>
        </w:rPr>
        <w:t>Фертилитета</w:t>
      </w:r>
      <w:proofErr w:type="spellEnd"/>
    </w:p>
    <w:p w14:paraId="1CBB028A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Проучванията за ефект върху </w:t>
      </w:r>
      <w:proofErr w:type="spellStart"/>
      <w:r w:rsidRPr="00057479">
        <w:rPr>
          <w:lang w:eastAsia="bg-BG"/>
        </w:rPr>
        <w:t>фертилитета</w:t>
      </w:r>
      <w:proofErr w:type="spellEnd"/>
      <w:r w:rsidRPr="00057479">
        <w:rPr>
          <w:lang w:eastAsia="bg-BG"/>
        </w:rPr>
        <w:t xml:space="preserve"> при плъхове, третирани с перорални дози до 300 </w:t>
      </w:r>
      <w:r w:rsidRPr="00057479">
        <w:rPr>
          <w:lang w:val="en-US"/>
        </w:rPr>
        <w:t xml:space="preserve">mg/kg </w:t>
      </w:r>
      <w:r w:rsidRPr="00057479">
        <w:rPr>
          <w:lang w:eastAsia="bg-BG"/>
        </w:rPr>
        <w:t xml:space="preserve">дневно (приблизително около 1,1 пъти най-високата препоръчителна доза за възрастни при хора, базирана на </w:t>
      </w:r>
      <w:r w:rsidRPr="00057479">
        <w:rPr>
          <w:lang w:val="en-US"/>
        </w:rPr>
        <w:t>mg/m</w:t>
      </w:r>
      <w:r w:rsidRPr="00057479">
        <w:rPr>
          <w:vertAlign w:val="superscript"/>
          <w:lang w:val="en-US"/>
        </w:rPr>
        <w:t>2</w:t>
      </w:r>
      <w:r w:rsidRPr="00057479">
        <w:rPr>
          <w:lang w:val="en-US"/>
        </w:rPr>
        <w:t xml:space="preserve">), </w:t>
      </w:r>
      <w:r w:rsidRPr="00057479">
        <w:rPr>
          <w:lang w:eastAsia="bg-BG"/>
        </w:rPr>
        <w:t xml:space="preserve">не са показали ефект върху </w:t>
      </w:r>
      <w:proofErr w:type="spellStart"/>
      <w:r w:rsidRPr="00057479">
        <w:rPr>
          <w:lang w:eastAsia="bg-BG"/>
        </w:rPr>
        <w:t>фертилитета</w:t>
      </w:r>
      <w:proofErr w:type="spellEnd"/>
      <w:r w:rsidRPr="00057479">
        <w:rPr>
          <w:lang w:eastAsia="bg-BG"/>
        </w:rPr>
        <w:t xml:space="preserve"> или способността за чифтосване.</w:t>
      </w:r>
    </w:p>
    <w:p w14:paraId="4D5D389B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 xml:space="preserve">При проучванията на </w:t>
      </w:r>
      <w:proofErr w:type="spellStart"/>
      <w:r w:rsidRPr="00057479">
        <w:rPr>
          <w:lang w:eastAsia="bg-BG"/>
        </w:rPr>
        <w:t>ембриофеталното</w:t>
      </w:r>
      <w:proofErr w:type="spellEnd"/>
      <w:r w:rsidRPr="00057479">
        <w:rPr>
          <w:lang w:eastAsia="bg-BG"/>
        </w:rPr>
        <w:t xml:space="preserve"> развитие при перорално приложение при плъхове и подкожно приложение при плъхове и зайци не се наблюдава токсичност за развитието освен при дози, водещи до майчина токсичност.</w:t>
      </w:r>
    </w:p>
    <w:p w14:paraId="619F8D01" w14:textId="77777777" w:rsidR="00057479" w:rsidRPr="00057479" w:rsidRDefault="00057479" w:rsidP="00057479"/>
    <w:p w14:paraId="6940F72E" w14:textId="30CAFE72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0185D8D6" w14:textId="77777777" w:rsidR="00057479" w:rsidRDefault="00057479" w:rsidP="00057479">
      <w:pPr>
        <w:rPr>
          <w:lang w:val="en-US"/>
        </w:rPr>
      </w:pPr>
      <w:r w:rsidRPr="00057479">
        <w:rPr>
          <w:lang w:val="en-US"/>
        </w:rPr>
        <w:t xml:space="preserve">Pfizer Europe </w:t>
      </w:r>
      <w:r w:rsidRPr="00057479">
        <w:rPr>
          <w:lang w:eastAsia="bg-BG"/>
        </w:rPr>
        <w:t xml:space="preserve">МА </w:t>
      </w:r>
      <w:r w:rsidRPr="00057479">
        <w:rPr>
          <w:lang w:val="en-US"/>
        </w:rPr>
        <w:t xml:space="preserve">EEIG </w:t>
      </w:r>
    </w:p>
    <w:p w14:paraId="3306194E" w14:textId="77777777" w:rsidR="00057479" w:rsidRDefault="00057479" w:rsidP="00057479">
      <w:pPr>
        <w:rPr>
          <w:lang w:val="en-US"/>
        </w:rPr>
      </w:pPr>
      <w:r w:rsidRPr="00057479">
        <w:rPr>
          <w:lang w:val="en-US"/>
        </w:rPr>
        <w:t xml:space="preserve">Boulevard de la Plaine 17 </w:t>
      </w:r>
    </w:p>
    <w:p w14:paraId="77314690" w14:textId="3AD25B52" w:rsidR="00057479" w:rsidRPr="00057479" w:rsidRDefault="00057479" w:rsidP="00057479">
      <w:pPr>
        <w:rPr>
          <w:lang w:val="en-US"/>
        </w:rPr>
      </w:pPr>
      <w:r w:rsidRPr="00057479">
        <w:rPr>
          <w:lang w:val="en-US"/>
        </w:rPr>
        <w:t xml:space="preserve">1050 </w:t>
      </w:r>
      <w:proofErr w:type="spellStart"/>
      <w:r w:rsidRPr="00057479">
        <w:rPr>
          <w:lang w:val="en-US"/>
        </w:rPr>
        <w:t>Bruxelles</w:t>
      </w:r>
      <w:proofErr w:type="spellEnd"/>
    </w:p>
    <w:p w14:paraId="7690254A" w14:textId="386CEF1C" w:rsidR="00057479" w:rsidRPr="00057479" w:rsidRDefault="00057479" w:rsidP="00057479">
      <w:r w:rsidRPr="00057479">
        <w:rPr>
          <w:lang w:eastAsia="bg-BG"/>
        </w:rPr>
        <w:t>Белгия</w:t>
      </w:r>
    </w:p>
    <w:p w14:paraId="04840D59" w14:textId="0C0587E0" w:rsidR="002C50EE" w:rsidRDefault="002C50EE" w:rsidP="002C50EE">
      <w:pPr>
        <w:pStyle w:val="Heading1"/>
      </w:pPr>
      <w:r>
        <w:t>8. НОМЕР НА РАЗРЕШЕНИЕТО ЗА УПОТРЕБА</w:t>
      </w:r>
    </w:p>
    <w:p w14:paraId="02D2EC1A" w14:textId="77777777" w:rsidR="00057479" w:rsidRPr="00057479" w:rsidRDefault="00057479" w:rsidP="00057479">
      <w:pPr>
        <w:rPr>
          <w:sz w:val="24"/>
          <w:szCs w:val="24"/>
        </w:rPr>
      </w:pPr>
      <w:proofErr w:type="spellStart"/>
      <w:r w:rsidRPr="00057479">
        <w:rPr>
          <w:lang w:eastAsia="bg-BG"/>
        </w:rPr>
        <w:t>Далапин</w:t>
      </w:r>
      <w:proofErr w:type="spellEnd"/>
      <w:r w:rsidRPr="00057479">
        <w:rPr>
          <w:lang w:eastAsia="bg-BG"/>
        </w:rPr>
        <w:t xml:space="preserve"> </w:t>
      </w:r>
      <w:r w:rsidRPr="00057479">
        <w:rPr>
          <w:lang w:val="en-US"/>
        </w:rPr>
        <w:t xml:space="preserve">C 150 mg </w:t>
      </w:r>
      <w:r w:rsidRPr="00057479">
        <w:rPr>
          <w:lang w:eastAsia="bg-BG"/>
        </w:rPr>
        <w:t xml:space="preserve">твърди капсули: </w:t>
      </w:r>
      <w:r w:rsidRPr="00057479">
        <w:rPr>
          <w:lang w:val="en-US"/>
        </w:rPr>
        <w:t>20030574</w:t>
      </w:r>
    </w:p>
    <w:p w14:paraId="4B3A5B3D" w14:textId="70B865A1" w:rsidR="00057479" w:rsidRPr="00057479" w:rsidRDefault="00057479" w:rsidP="00057479">
      <w:proofErr w:type="spellStart"/>
      <w:r w:rsidRPr="00057479">
        <w:rPr>
          <w:lang w:eastAsia="bg-BG"/>
        </w:rPr>
        <w:t>Далацин</w:t>
      </w:r>
      <w:proofErr w:type="spellEnd"/>
      <w:r w:rsidRPr="00057479">
        <w:rPr>
          <w:lang w:eastAsia="bg-BG"/>
        </w:rPr>
        <w:t xml:space="preserve"> </w:t>
      </w:r>
      <w:r w:rsidRPr="00057479">
        <w:rPr>
          <w:lang w:val="en-US"/>
        </w:rPr>
        <w:t xml:space="preserve">C 300 mg </w:t>
      </w:r>
      <w:r w:rsidRPr="00057479">
        <w:rPr>
          <w:lang w:eastAsia="bg-BG"/>
        </w:rPr>
        <w:t xml:space="preserve">твърди капсули: </w:t>
      </w:r>
      <w:r w:rsidRPr="00057479">
        <w:rPr>
          <w:lang w:val="en-US"/>
        </w:rPr>
        <w:t>20030575</w:t>
      </w:r>
    </w:p>
    <w:p w14:paraId="5900CBF3" w14:textId="6D1FB691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5E900BD1" w14:textId="77777777" w:rsidR="00057479" w:rsidRPr="00057479" w:rsidRDefault="00057479" w:rsidP="00057479">
      <w:pPr>
        <w:rPr>
          <w:sz w:val="24"/>
          <w:szCs w:val="24"/>
        </w:rPr>
      </w:pPr>
      <w:r w:rsidRPr="00057479">
        <w:rPr>
          <w:lang w:eastAsia="bg-BG"/>
        </w:rPr>
        <w:t>Дата на първо разрешаване: 05 август 2003 г.</w:t>
      </w:r>
    </w:p>
    <w:p w14:paraId="74ABCACA" w14:textId="572239F9" w:rsidR="00057479" w:rsidRPr="00057479" w:rsidRDefault="00057479" w:rsidP="00057479">
      <w:r w:rsidRPr="00057479">
        <w:rPr>
          <w:lang w:eastAsia="bg-BG"/>
        </w:rPr>
        <w:t>Дата на последно подновяване: 11 декември 2008 г.</w:t>
      </w:r>
    </w:p>
    <w:p w14:paraId="0E9D0119" w14:textId="0245C6D7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bookmarkEnd w:id="0"/>
    <w:p w14:paraId="423F4C2A" w14:textId="1CF79E3E" w:rsidR="00C87E90" w:rsidRPr="003E3126" w:rsidRDefault="00C87E90" w:rsidP="00C809A7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5792"/>
    <w:multiLevelType w:val="hybridMultilevel"/>
    <w:tmpl w:val="3D6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3594"/>
    <w:multiLevelType w:val="hybridMultilevel"/>
    <w:tmpl w:val="72BA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3416F"/>
    <w:multiLevelType w:val="hybridMultilevel"/>
    <w:tmpl w:val="D594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20EA"/>
    <w:multiLevelType w:val="hybridMultilevel"/>
    <w:tmpl w:val="DE2E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26"/>
  </w:num>
  <w:num w:numId="12">
    <w:abstractNumId w:val="13"/>
  </w:num>
  <w:num w:numId="13">
    <w:abstractNumId w:val="18"/>
  </w:num>
  <w:num w:numId="14">
    <w:abstractNumId w:val="10"/>
  </w:num>
  <w:num w:numId="15">
    <w:abstractNumId w:val="25"/>
  </w:num>
  <w:num w:numId="16">
    <w:abstractNumId w:val="8"/>
  </w:num>
  <w:num w:numId="17">
    <w:abstractNumId w:val="20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21"/>
  </w:num>
  <w:num w:numId="23">
    <w:abstractNumId w:val="17"/>
  </w:num>
  <w:num w:numId="24">
    <w:abstractNumId w:val="6"/>
  </w:num>
  <w:num w:numId="25">
    <w:abstractNumId w:val="12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57479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67617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2021-08-19T22:47:00Z</dcterms:created>
  <dcterms:modified xsi:type="dcterms:W3CDTF">2021-08-19T22:47:00Z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