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71C42BBE" w:rsidR="009F77A4" w:rsidRDefault="00DD466D" w:rsidP="00387A66">
      <w:pPr>
        <w:pStyle w:val="Heading1"/>
      </w:pPr>
      <w:r>
        <w:t>1.ИМЕ НА ЛЕКАРСТВЕНИЯ ПРОДУКТ</w:t>
      </w:r>
    </w:p>
    <w:p w14:paraId="0DCF1DC6" w14:textId="5DB5F13F" w:rsidR="00B125CE" w:rsidRDefault="00B125CE" w:rsidP="00B125CE"/>
    <w:p w14:paraId="743C8255" w14:textId="77777777" w:rsidR="00B125CE" w:rsidRPr="00B125CE" w:rsidRDefault="00B125CE" w:rsidP="00B125CE">
      <w:pPr>
        <w:rPr>
          <w:sz w:val="24"/>
          <w:szCs w:val="24"/>
          <w:lang w:val="en-US" w:eastAsia="bg-BG"/>
        </w:rPr>
      </w:pPr>
      <w:r w:rsidRPr="00B125CE">
        <w:rPr>
          <w:lang w:eastAsia="bg-BG"/>
        </w:rPr>
        <w:t xml:space="preserve">Далацин 10 </w:t>
      </w:r>
      <w:r w:rsidRPr="00B125CE">
        <w:rPr>
          <w:lang w:val="en-US"/>
        </w:rPr>
        <w:t xml:space="preserve">mg/ml </w:t>
      </w:r>
      <w:r w:rsidRPr="00B125CE">
        <w:rPr>
          <w:lang w:eastAsia="bg-BG"/>
        </w:rPr>
        <w:t>разтвор за кожа</w:t>
      </w:r>
    </w:p>
    <w:p w14:paraId="5060FC8D" w14:textId="77777777" w:rsidR="00B125CE" w:rsidRPr="00B125CE" w:rsidRDefault="00B125CE" w:rsidP="00B125CE">
      <w:pPr>
        <w:rPr>
          <w:sz w:val="24"/>
          <w:szCs w:val="24"/>
          <w:lang w:val="en-US" w:eastAsia="bg-BG"/>
        </w:rPr>
      </w:pPr>
      <w:proofErr w:type="spellStart"/>
      <w:r w:rsidRPr="00B125CE">
        <w:rPr>
          <w:lang w:val="en-US"/>
        </w:rPr>
        <w:t>Dalacin</w:t>
      </w:r>
      <w:proofErr w:type="spellEnd"/>
      <w:r w:rsidRPr="00B125CE">
        <w:rPr>
          <w:lang w:val="en-US"/>
        </w:rPr>
        <w:t xml:space="preserve"> 10</w:t>
      </w:r>
      <w:r w:rsidRPr="00B125CE">
        <w:rPr>
          <w:lang w:eastAsia="bg-BG"/>
        </w:rPr>
        <w:t xml:space="preserve"> </w:t>
      </w:r>
      <w:r w:rsidRPr="00B125CE">
        <w:rPr>
          <w:lang w:val="en-US"/>
        </w:rPr>
        <w:t>mg/ml cutaneous solution</w:t>
      </w:r>
    </w:p>
    <w:p w14:paraId="27F4E032" w14:textId="77777777" w:rsidR="00B125CE" w:rsidRPr="00B125CE" w:rsidRDefault="00B125CE" w:rsidP="00B125CE"/>
    <w:p w14:paraId="0DF202EC" w14:textId="424CE186" w:rsidR="00F53FB7" w:rsidRDefault="00DD466D" w:rsidP="00A93499">
      <w:pPr>
        <w:pStyle w:val="Heading1"/>
      </w:pPr>
      <w:r>
        <w:t>2. КАЧЕСТВЕН И КОЛИЧЕСТВЕН СЪСТАВ</w:t>
      </w:r>
    </w:p>
    <w:p w14:paraId="1A749EB5" w14:textId="06F9551B" w:rsidR="00B125CE" w:rsidRDefault="00B125CE" w:rsidP="00B125CE"/>
    <w:p w14:paraId="1D8B94C6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 xml:space="preserve">Всеки милилитьр разтвор за кожа съдържа клиндамицин фосфат </w:t>
      </w:r>
      <w:r w:rsidRPr="00B125CE">
        <w:rPr>
          <w:lang w:val="en-US"/>
        </w:rPr>
        <w:t xml:space="preserve">(clindamycin phosphate), </w:t>
      </w:r>
      <w:r w:rsidRPr="00B125CE">
        <w:rPr>
          <w:lang w:eastAsia="bg-BG"/>
        </w:rPr>
        <w:t xml:space="preserve">еквивалентен на Ю </w:t>
      </w:r>
      <w:r w:rsidRPr="00B125CE">
        <w:rPr>
          <w:lang w:val="en-US"/>
        </w:rPr>
        <w:t xml:space="preserve">mg </w:t>
      </w:r>
      <w:r w:rsidRPr="00B125CE">
        <w:rPr>
          <w:lang w:eastAsia="bg-BG"/>
        </w:rPr>
        <w:t>клиндамицин база.</w:t>
      </w:r>
    </w:p>
    <w:p w14:paraId="54A70D21" w14:textId="77777777" w:rsidR="00B125CE" w:rsidRDefault="00B125CE" w:rsidP="00B125CE">
      <w:pPr>
        <w:rPr>
          <w:lang w:eastAsia="bg-BG"/>
        </w:rPr>
      </w:pPr>
    </w:p>
    <w:p w14:paraId="0ED73B16" w14:textId="0BEB1591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Клиндамицин фосфат е водоразтворим естер на полусинтетичния антибиотик, който се получава чрез 7(</w:t>
      </w:r>
      <w:r w:rsidRPr="00B125CE">
        <w:rPr>
          <w:lang w:val="en-US"/>
        </w:rPr>
        <w:t>S</w:t>
      </w:r>
      <w:r w:rsidRPr="00B125CE">
        <w:rPr>
          <w:lang w:eastAsia="bg-BG"/>
        </w:rPr>
        <w:t>)-хлоро-заместване на 7(</w:t>
      </w:r>
      <w:r w:rsidRPr="00B125CE">
        <w:rPr>
          <w:lang w:val="en-US"/>
        </w:rPr>
        <w:t>R</w:t>
      </w:r>
      <w:r w:rsidRPr="00B125CE">
        <w:rPr>
          <w:lang w:eastAsia="bg-BG"/>
        </w:rPr>
        <w:t>)-хидроксилната група на изходното съединение линкомицин.</w:t>
      </w:r>
    </w:p>
    <w:p w14:paraId="2642AE00" w14:textId="77777777" w:rsidR="00B125CE" w:rsidRPr="00B125CE" w:rsidRDefault="00B125CE" w:rsidP="00B125CE"/>
    <w:p w14:paraId="4CABB9ED" w14:textId="052A7539" w:rsidR="00F53FB7" w:rsidRDefault="00DD466D" w:rsidP="00A93499">
      <w:pPr>
        <w:pStyle w:val="Heading1"/>
      </w:pPr>
      <w:r>
        <w:t>3. ЛЕКАРСТВЕНА ФОРМА</w:t>
      </w:r>
    </w:p>
    <w:p w14:paraId="48DFAC27" w14:textId="47DC2098" w:rsidR="00B125CE" w:rsidRDefault="00B125CE" w:rsidP="00B125CE"/>
    <w:p w14:paraId="62DB4B8C" w14:textId="3B1EDF9E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Разтвор за кожа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587A4DBF" w:rsidR="009F77A4" w:rsidRDefault="002C50EE" w:rsidP="00387A66">
      <w:pPr>
        <w:pStyle w:val="Heading2"/>
      </w:pPr>
      <w:r>
        <w:t>4.1. Терапевтични показания</w:t>
      </w:r>
    </w:p>
    <w:p w14:paraId="67058C99" w14:textId="5AEFBF38" w:rsidR="00B125CE" w:rsidRDefault="00B125CE" w:rsidP="00B125CE"/>
    <w:p w14:paraId="3A87A7ED" w14:textId="58427C3F" w:rsidR="00B125CE" w:rsidRDefault="00B125CE" w:rsidP="00B125CE">
      <w:pPr>
        <w:rPr>
          <w:lang w:val="en-US"/>
        </w:rPr>
      </w:pPr>
      <w:r>
        <w:t xml:space="preserve">Далацин Т разтвор за кожа е показан за лечение на </w:t>
      </w:r>
      <w:r>
        <w:rPr>
          <w:lang w:val="en-US"/>
        </w:rPr>
        <w:t>acne vulgaris.</w:t>
      </w:r>
    </w:p>
    <w:p w14:paraId="09A564D1" w14:textId="77777777" w:rsidR="00B125CE" w:rsidRPr="00B125CE" w:rsidRDefault="00B125CE" w:rsidP="00B125CE"/>
    <w:p w14:paraId="31744E5A" w14:textId="54AA4152" w:rsidR="009F77A4" w:rsidRDefault="002C50EE" w:rsidP="00387A66">
      <w:pPr>
        <w:pStyle w:val="Heading2"/>
      </w:pPr>
      <w:r>
        <w:t>4.2. Дозировка и начин на приложение</w:t>
      </w:r>
    </w:p>
    <w:p w14:paraId="2298BAC9" w14:textId="291956EE" w:rsidR="00B125CE" w:rsidRDefault="00B125CE" w:rsidP="00B125CE"/>
    <w:p w14:paraId="4C28BA5B" w14:textId="23274E81" w:rsidR="00B125CE" w:rsidRDefault="00B125CE" w:rsidP="00B125CE">
      <w:r>
        <w:t>Далацин Т разтвор за кожа се нанася на тънък слой върху засегната област два пъти дневно.</w:t>
      </w:r>
    </w:p>
    <w:p w14:paraId="35FB617D" w14:textId="77777777" w:rsidR="00B125CE" w:rsidRPr="00B125CE" w:rsidRDefault="00B125CE" w:rsidP="00B125CE"/>
    <w:p w14:paraId="5D9E65DA" w14:textId="2578E09D" w:rsidR="009F77A4" w:rsidRDefault="002C50EE" w:rsidP="00387A66">
      <w:pPr>
        <w:pStyle w:val="Heading2"/>
      </w:pPr>
      <w:r>
        <w:t>4.3. Противопоказания</w:t>
      </w:r>
    </w:p>
    <w:p w14:paraId="294DA7B3" w14:textId="07D7BBD9" w:rsidR="00B125CE" w:rsidRDefault="00B125CE" w:rsidP="00B125CE"/>
    <w:p w14:paraId="249775A4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Далацин Т разтвор за кожа е противопоказан при пациенти с анамнеза за свръхчувствителност към клиндамицин, линкомицин или към някое от помощните вещества, изброени в точка 6.1.</w:t>
      </w:r>
    </w:p>
    <w:p w14:paraId="678D2AFA" w14:textId="77777777" w:rsidR="00B125CE" w:rsidRDefault="00B125CE" w:rsidP="00B125CE">
      <w:pPr>
        <w:rPr>
          <w:lang w:eastAsia="bg-BG"/>
        </w:rPr>
      </w:pPr>
    </w:p>
    <w:p w14:paraId="6188EC9E" w14:textId="76C7BC3B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Далацин Т разтвор за кожа е противопоказан при пациенти с анамнеза за свързан с прием на антибиотици колит.</w:t>
      </w:r>
    </w:p>
    <w:p w14:paraId="7A4E3996" w14:textId="77777777" w:rsidR="00B125CE" w:rsidRPr="00B125CE" w:rsidRDefault="00B125CE" w:rsidP="00B125CE"/>
    <w:p w14:paraId="1C27CE53" w14:textId="57CAD4E9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1B56E14A" w14:textId="6F0D83E9" w:rsidR="00B125CE" w:rsidRDefault="00B125CE" w:rsidP="00B125CE"/>
    <w:p w14:paraId="4405C828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lastRenderedPageBreak/>
        <w:t>Пероралният и парентералният клиндамицин, също какго повечето други антибиотици, е свързан с тежка диария и псевдомембранозен колит (вж. точка 4.8). Използването на клиндамицин за кожа води до абсорбция на антибиотика от кожната повърхност (вж.</w:t>
      </w:r>
    </w:p>
    <w:p w14:paraId="2CDC883D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точка 5.2). Диария и колит са съобщавани нечесто при използване на клиндамицин за кожа. Ето защо лекарят трябва да следи за възможното развитие на диария или колит, свързани с приема на антибиотика. Ако се появи тежка или продължителна диария, лекарството трябва да се спре и да се осигурят съответни диагностични процедури и лечение.</w:t>
      </w:r>
    </w:p>
    <w:p w14:paraId="053A880B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63609B" w14:textId="0ED7BB56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Наблюдавано е започване на диария, колит и псевдомембранозен колит до няколко седмици след спиране на перорално и парентерално лечение с клиндамицин.</w:t>
      </w:r>
    </w:p>
    <w:p w14:paraId="5C4F34F4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7DE8FC" w14:textId="3181D182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Далацин Т разтвор за кожа съдържа алкохолна основа, която може да причини парене и дразнене на очите, лигавиците и разранена кожа.</w:t>
      </w:r>
    </w:p>
    <w:p w14:paraId="748A6C0A" w14:textId="77777777" w:rsidR="00B125CE" w:rsidRPr="00B125CE" w:rsidRDefault="00B125CE" w:rsidP="00B125CE"/>
    <w:p w14:paraId="1DA47448" w14:textId="65AF4E7A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162965C" w14:textId="0E2EFA74" w:rsidR="00B125CE" w:rsidRDefault="00B125CE" w:rsidP="00B125CE"/>
    <w:p w14:paraId="61BFDA74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Системният клиндамицин показва наличие на невромускулен блокиращ потенциал, който може да засили действието на други невромускулни блокиращи средства. Поради това трябва да се използва внимателно при пациенти, получаващи такива средства.</w:t>
      </w:r>
    </w:p>
    <w:p w14:paraId="3B4ADC01" w14:textId="77777777" w:rsidR="00B125CE" w:rsidRPr="00B125CE" w:rsidRDefault="00B125CE" w:rsidP="00B125CE"/>
    <w:p w14:paraId="48846BBA" w14:textId="5838BB3A" w:rsidR="009F77A4" w:rsidRDefault="002C50EE" w:rsidP="00387A66">
      <w:pPr>
        <w:pStyle w:val="Heading2"/>
      </w:pPr>
      <w:r>
        <w:t>4.6. Фертилитет, бременност и кърмене</w:t>
      </w:r>
    </w:p>
    <w:p w14:paraId="137397A9" w14:textId="548DDDF9" w:rsidR="00B125CE" w:rsidRDefault="00B125CE" w:rsidP="00B125CE"/>
    <w:p w14:paraId="76CE23B0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Бременност</w:t>
      </w:r>
    </w:p>
    <w:p w14:paraId="5D3BFEDD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Проведените проучвания на репродуктивната токсичност с перорално и подкожно приложение при плъхове и зайци не показват данни за нарушение на фертилитета или увреждане на фетуса, дължащи се на клиндамицин, освен в дози, които предизвикват токсичност при майката. Репродуктивните проучвания при животни не винаги са показателни за ефектите при човека.</w:t>
      </w:r>
    </w:p>
    <w:p w14:paraId="21D2B169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AD3BBA" w14:textId="2D40964C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В клинични изпитвания при бременни жени системното приложение на клиндамицин по време на втория и третия триместър на бременността не се свързва с повишена честота на вродени аномалии.</w:t>
      </w:r>
    </w:p>
    <w:p w14:paraId="599F33D1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D9276F" w14:textId="2AECCDC8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Клиндамицин трябва да се използва през първия триместър на бременността само при доказана необходимост. Не са провеждани съответни и добре контролирани проучвания при бременни жени през първия триместър на бременността.</w:t>
      </w:r>
    </w:p>
    <w:p w14:paraId="7E79E123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ECAB780" w14:textId="4B93C1AD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Кърмене</w:t>
      </w:r>
    </w:p>
    <w:p w14:paraId="61EE6BBC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Не е установено дали клиндамицин се излъчва в кърмата при хора след приложение на клиндамицин за кожа. Съобщава се, че клиндамицин се излъчва в кърмата при хора в границите от &lt;0,5 до 3,8 μ</w:t>
      </w:r>
      <w:r w:rsidRPr="00B125CE">
        <w:rPr>
          <w:rFonts w:eastAsia="Times New Roman" w:cs="Arial"/>
          <w:color w:val="000000"/>
          <w:lang w:val="en-US"/>
        </w:rPr>
        <w:t xml:space="preserve">g/ml </w:t>
      </w:r>
      <w:r w:rsidRPr="00B125CE">
        <w:rPr>
          <w:rFonts w:eastAsia="Times New Roman" w:cs="Arial"/>
          <w:color w:val="000000"/>
          <w:lang w:eastAsia="bg-BG"/>
        </w:rPr>
        <w:t>след системна употреба.</w:t>
      </w:r>
    </w:p>
    <w:p w14:paraId="591666D7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A7FB05" w14:textId="025D8726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Клиндамицин има потенциала да предизвика нежелани ефекти върху стомашно-чревната флора при кърмачето, като диария или кръв в изпражненията, или обрив. Ако е необходимо перорално или интравенозно прилагане на клиндамицин при кърмеща майка, това не е причина за спиране на кърменето, но може да се предпочете алтернативно лекарство. Трябва да се обмислят ползите от кърменето за развитието и здравето на </w:t>
      </w:r>
      <w:r w:rsidRPr="00B125CE">
        <w:rPr>
          <w:rFonts w:eastAsia="Times New Roman" w:cs="Arial"/>
          <w:color w:val="000000"/>
          <w:lang w:eastAsia="bg-BG"/>
        </w:rPr>
        <w:lastRenderedPageBreak/>
        <w:t>кърмачето, както и клиничната нужда от клиндамицин при майката, спрямо всички потенциални нежелани ефекти върху кърмачето от клиндамицин или от подлежащото заболяване на майката.</w:t>
      </w:r>
    </w:p>
    <w:p w14:paraId="4B9731C7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559B9F" w14:textId="24BEED02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Фертилитет</w:t>
      </w:r>
    </w:p>
    <w:p w14:paraId="5C40146D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Проучвания на фертилитета при плъхове, лекувани перорално с аклиндамицин, не показват въздействие върху фертилитета или способността за чифтосване.</w:t>
      </w:r>
    </w:p>
    <w:p w14:paraId="61898068" w14:textId="77777777" w:rsidR="00B125CE" w:rsidRPr="00B125CE" w:rsidRDefault="00B125CE" w:rsidP="00B125CE"/>
    <w:p w14:paraId="321AAB00" w14:textId="4B741C20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4067D62F" w14:textId="6A90ABC1" w:rsidR="00B125CE" w:rsidRDefault="00B125CE" w:rsidP="00B125CE"/>
    <w:p w14:paraId="3B1FE33E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Клиндамицин няма или има пренебрежимо малко въздействие върху способността за шофиране и работа с машини.</w:t>
      </w:r>
    </w:p>
    <w:p w14:paraId="4B19ED6B" w14:textId="77777777" w:rsidR="00B125CE" w:rsidRPr="00B125CE" w:rsidRDefault="00B125CE" w:rsidP="00B125CE"/>
    <w:p w14:paraId="136C86B8" w14:textId="1916BC80" w:rsidR="009F77A4" w:rsidRDefault="002C50EE" w:rsidP="00387A66">
      <w:pPr>
        <w:pStyle w:val="Heading2"/>
      </w:pPr>
      <w:r>
        <w:t>4.8. Нежелани лекарствени реакции</w:t>
      </w:r>
    </w:p>
    <w:p w14:paraId="184A2F2E" w14:textId="7100AAEC" w:rsidR="00B125CE" w:rsidRDefault="00B125CE" w:rsidP="00B125CE"/>
    <w:p w14:paraId="41AA1290" w14:textId="26BC553C" w:rsidR="00B125CE" w:rsidRDefault="00B125CE" w:rsidP="00B125CE">
      <w:r w:rsidRPr="00B125CE">
        <w:t xml:space="preserve">В таблицата по-долу са изброени нежеланите лекарствени реакции, установени при клинични изпитвания и при постмаркетинговото наблюдение, по </w:t>
      </w:r>
      <w:r w:rsidRPr="00B125CE">
        <w:rPr>
          <w:lang w:val="en-US"/>
        </w:rPr>
        <w:t xml:space="preserve">MedDRA </w:t>
      </w:r>
      <w:r w:rsidRPr="00B125CE">
        <w:t>системо-органен клас и честота. Групите по честота са представени, както следва: много чести (≥1/10), чести (≥ 1/100 и &lt;1/10), нечести (≥1/1 000 и &lt;1/100), редки (≥1/10 000 и &lt;1/1 000), много редки (&lt;1/10 000) и с неизвестна честота (от наличните данни не може да бъде направена оценка). При всяко групиране в зависимост от честотата нежеланите лекарствени реакции се изброяват и низходящ ред по отношение на тяхната сериозност.</w:t>
      </w:r>
    </w:p>
    <w:p w14:paraId="221EB44B" w14:textId="0EF75E64" w:rsidR="00B125CE" w:rsidRDefault="00B125CE" w:rsidP="00B12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734"/>
        <w:gridCol w:w="1758"/>
        <w:gridCol w:w="1685"/>
        <w:gridCol w:w="2359"/>
      </w:tblGrid>
      <w:tr w:rsidR="00B125CE" w14:paraId="7386455A" w14:textId="3E9C7365" w:rsidTr="00B125CE">
        <w:tc>
          <w:tcPr>
            <w:tcW w:w="1848" w:type="dxa"/>
          </w:tcPr>
          <w:p w14:paraId="22CB1A45" w14:textId="0ADD0D24" w:rsidR="00B125CE" w:rsidRPr="00B125CE" w:rsidRDefault="00B125CE" w:rsidP="00B125CE">
            <w:r w:rsidRPr="00B125CE">
              <w:rPr>
                <w:b/>
                <w:bCs/>
              </w:rPr>
              <w:t>Системо- органен клас</w:t>
            </w:r>
          </w:p>
        </w:tc>
        <w:tc>
          <w:tcPr>
            <w:tcW w:w="1795" w:type="dxa"/>
          </w:tcPr>
          <w:p w14:paraId="5D4DDA18" w14:textId="77777777" w:rsidR="00B125CE" w:rsidRPr="00B125CE" w:rsidRDefault="00B125CE" w:rsidP="00B125CE">
            <w:r w:rsidRPr="00B125CE">
              <w:rPr>
                <w:b/>
                <w:bCs/>
              </w:rPr>
              <w:t>Много чести</w:t>
            </w:r>
          </w:p>
          <w:p w14:paraId="64BB9BDD" w14:textId="0EB4B785" w:rsidR="00B125CE" w:rsidRPr="00B125CE" w:rsidRDefault="00B125CE" w:rsidP="00B125CE">
            <w:r w:rsidRPr="00B125CE">
              <w:rPr>
                <w:b/>
                <w:bCs/>
              </w:rPr>
              <w:t>≥1/10</w:t>
            </w:r>
          </w:p>
        </w:tc>
        <w:tc>
          <w:tcPr>
            <w:tcW w:w="1811" w:type="dxa"/>
          </w:tcPr>
          <w:p w14:paraId="45F112E7" w14:textId="77777777" w:rsidR="00B125CE" w:rsidRPr="00B125CE" w:rsidRDefault="00B125CE" w:rsidP="00B125CE">
            <w:r w:rsidRPr="00B125CE">
              <w:rPr>
                <w:b/>
                <w:bCs/>
              </w:rPr>
              <w:t>Чести</w:t>
            </w:r>
          </w:p>
          <w:p w14:paraId="0C57479D" w14:textId="4C6EFA7D" w:rsidR="00B125CE" w:rsidRPr="00B125CE" w:rsidRDefault="00B125CE" w:rsidP="00B125CE">
            <w:r w:rsidRPr="00B125CE">
              <w:rPr>
                <w:b/>
                <w:bCs/>
              </w:rPr>
              <w:t>≥1/100 до &lt;1/10</w:t>
            </w:r>
          </w:p>
        </w:tc>
        <w:tc>
          <w:tcPr>
            <w:tcW w:w="1763" w:type="dxa"/>
          </w:tcPr>
          <w:p w14:paraId="588C6DB1" w14:textId="77777777" w:rsidR="00B125CE" w:rsidRPr="00B125CE" w:rsidRDefault="00B125CE" w:rsidP="00B125CE">
            <w:r w:rsidRPr="00B125CE">
              <w:rPr>
                <w:b/>
                <w:bCs/>
              </w:rPr>
              <w:t>Нечести</w:t>
            </w:r>
          </w:p>
          <w:p w14:paraId="0B63176C" w14:textId="1E5908CD" w:rsidR="00B125CE" w:rsidRPr="00B125CE" w:rsidRDefault="00B125CE" w:rsidP="00B125CE">
            <w:r w:rsidRPr="00B125CE">
              <w:rPr>
                <w:b/>
                <w:bCs/>
              </w:rPr>
              <w:t>≥1/1 000 до &lt;1/100</w:t>
            </w:r>
          </w:p>
        </w:tc>
        <w:tc>
          <w:tcPr>
            <w:tcW w:w="2359" w:type="dxa"/>
          </w:tcPr>
          <w:p w14:paraId="1303B1DA" w14:textId="58B370B8" w:rsidR="00B125CE" w:rsidRPr="00B125CE" w:rsidRDefault="00B125CE" w:rsidP="00B125CE">
            <w:r w:rsidRPr="00B125CE">
              <w:rPr>
                <w:b/>
                <w:bCs/>
              </w:rPr>
              <w:t>С неизвестна честота (от наличните данни не може да бъде направена оценка)</w:t>
            </w:r>
          </w:p>
        </w:tc>
      </w:tr>
      <w:tr w:rsidR="00B125CE" w14:paraId="6820A31A" w14:textId="0FCAA89A" w:rsidTr="00B125CE">
        <w:tc>
          <w:tcPr>
            <w:tcW w:w="1848" w:type="dxa"/>
          </w:tcPr>
          <w:p w14:paraId="011F739A" w14:textId="76F83149" w:rsidR="00B125CE" w:rsidRPr="00B125CE" w:rsidRDefault="00B125CE" w:rsidP="00B125CE">
            <w:r w:rsidRPr="00B125CE">
              <w:rPr>
                <w:b/>
                <w:bCs/>
              </w:rPr>
              <w:t>Инфекции и инфестации</w:t>
            </w:r>
          </w:p>
        </w:tc>
        <w:tc>
          <w:tcPr>
            <w:tcW w:w="1795" w:type="dxa"/>
          </w:tcPr>
          <w:p w14:paraId="2EA28F9F" w14:textId="77777777" w:rsidR="00B125CE" w:rsidRPr="00B125CE" w:rsidRDefault="00B125CE" w:rsidP="00B125CE"/>
        </w:tc>
        <w:tc>
          <w:tcPr>
            <w:tcW w:w="1811" w:type="dxa"/>
          </w:tcPr>
          <w:p w14:paraId="2D6C94D7" w14:textId="77777777" w:rsidR="00B125CE" w:rsidRPr="00B125CE" w:rsidRDefault="00B125CE" w:rsidP="00B125CE"/>
        </w:tc>
        <w:tc>
          <w:tcPr>
            <w:tcW w:w="1763" w:type="dxa"/>
          </w:tcPr>
          <w:p w14:paraId="3996C56C" w14:textId="77777777" w:rsidR="00B125CE" w:rsidRPr="00B125CE" w:rsidRDefault="00B125CE" w:rsidP="00B125CE"/>
        </w:tc>
        <w:tc>
          <w:tcPr>
            <w:tcW w:w="2359" w:type="dxa"/>
          </w:tcPr>
          <w:p w14:paraId="6CB2DC75" w14:textId="2A87B3AF" w:rsidR="00B125CE" w:rsidRPr="00B125CE" w:rsidRDefault="00B125CE" w:rsidP="00B125CE">
            <w:r w:rsidRPr="00B125CE">
              <w:t>Фоликулит*</w:t>
            </w:r>
          </w:p>
        </w:tc>
      </w:tr>
      <w:tr w:rsidR="00B125CE" w14:paraId="516C9F23" w14:textId="24C05D68" w:rsidTr="00B125CE">
        <w:tc>
          <w:tcPr>
            <w:tcW w:w="1848" w:type="dxa"/>
          </w:tcPr>
          <w:p w14:paraId="471DFCF4" w14:textId="33050549" w:rsidR="00B125CE" w:rsidRPr="00B125CE" w:rsidRDefault="00B125CE" w:rsidP="00B125CE">
            <w:r w:rsidRPr="00B125CE">
              <w:rPr>
                <w:b/>
                <w:bCs/>
              </w:rPr>
              <w:t>Нарушения на очите</w:t>
            </w:r>
          </w:p>
        </w:tc>
        <w:tc>
          <w:tcPr>
            <w:tcW w:w="1795" w:type="dxa"/>
          </w:tcPr>
          <w:p w14:paraId="647DF4AE" w14:textId="77777777" w:rsidR="00B125CE" w:rsidRPr="00B125CE" w:rsidRDefault="00B125CE" w:rsidP="00B125CE"/>
        </w:tc>
        <w:tc>
          <w:tcPr>
            <w:tcW w:w="1811" w:type="dxa"/>
          </w:tcPr>
          <w:p w14:paraId="4F20A175" w14:textId="77777777" w:rsidR="00B125CE" w:rsidRPr="00B125CE" w:rsidRDefault="00B125CE" w:rsidP="00B125CE"/>
        </w:tc>
        <w:tc>
          <w:tcPr>
            <w:tcW w:w="1763" w:type="dxa"/>
          </w:tcPr>
          <w:p w14:paraId="31DEF513" w14:textId="77777777" w:rsidR="00B125CE" w:rsidRPr="00B125CE" w:rsidRDefault="00B125CE" w:rsidP="00B125CE"/>
        </w:tc>
        <w:tc>
          <w:tcPr>
            <w:tcW w:w="2359" w:type="dxa"/>
          </w:tcPr>
          <w:p w14:paraId="02CC1DA6" w14:textId="62A88AA6" w:rsidR="00B125CE" w:rsidRPr="00B125CE" w:rsidRDefault="00B125CE" w:rsidP="00B125CE">
            <w:r w:rsidRPr="00B125CE">
              <w:t>Болка в окото*</w:t>
            </w:r>
          </w:p>
        </w:tc>
      </w:tr>
      <w:tr w:rsidR="00B125CE" w14:paraId="364804A2" w14:textId="6B9A2BFD" w:rsidTr="00B125CE">
        <w:tc>
          <w:tcPr>
            <w:tcW w:w="1848" w:type="dxa"/>
          </w:tcPr>
          <w:p w14:paraId="4F21D542" w14:textId="76DBE6EE" w:rsidR="00B125CE" w:rsidRPr="00B125CE" w:rsidRDefault="00B125CE" w:rsidP="00B125CE">
            <w:r w:rsidRPr="00B125CE">
              <w:rPr>
                <w:b/>
                <w:bCs/>
              </w:rPr>
              <w:t>Стомашно- чревни нарушения</w:t>
            </w:r>
          </w:p>
        </w:tc>
        <w:tc>
          <w:tcPr>
            <w:tcW w:w="1795" w:type="dxa"/>
          </w:tcPr>
          <w:p w14:paraId="5FFF331F" w14:textId="77777777" w:rsidR="00B125CE" w:rsidRPr="00B125CE" w:rsidRDefault="00B125CE" w:rsidP="00B125CE"/>
        </w:tc>
        <w:tc>
          <w:tcPr>
            <w:tcW w:w="1811" w:type="dxa"/>
          </w:tcPr>
          <w:p w14:paraId="5C59068D" w14:textId="6D37367D" w:rsidR="00B125CE" w:rsidRPr="00B125CE" w:rsidRDefault="00B125CE" w:rsidP="00B125CE">
            <w:r w:rsidRPr="00B125CE">
              <w:t>Стомашно- чревно нарушение</w:t>
            </w:r>
          </w:p>
        </w:tc>
        <w:tc>
          <w:tcPr>
            <w:tcW w:w="1763" w:type="dxa"/>
          </w:tcPr>
          <w:p w14:paraId="5E5D2457" w14:textId="77777777" w:rsidR="00B125CE" w:rsidRPr="00B125CE" w:rsidRDefault="00B125CE" w:rsidP="00B125CE"/>
        </w:tc>
        <w:tc>
          <w:tcPr>
            <w:tcW w:w="2359" w:type="dxa"/>
          </w:tcPr>
          <w:p w14:paraId="7A324754" w14:textId="77777777" w:rsidR="00B125CE" w:rsidRPr="00B125CE" w:rsidRDefault="00B125CE" w:rsidP="00B125CE">
            <w:r w:rsidRPr="00B125CE">
              <w:t>Абдоминална болка*, Псевдомембранозен колит* (вж.</w:t>
            </w:r>
          </w:p>
          <w:p w14:paraId="14967C15" w14:textId="75E74D56" w:rsidR="00B125CE" w:rsidRPr="00B125CE" w:rsidRDefault="00B125CE" w:rsidP="00B125CE">
            <w:r w:rsidRPr="00B125CE">
              <w:t>точка 4.4)</w:t>
            </w:r>
          </w:p>
        </w:tc>
      </w:tr>
      <w:tr w:rsidR="00B125CE" w14:paraId="5F7DC113" w14:textId="6C22DCB6" w:rsidTr="00B125CE">
        <w:tc>
          <w:tcPr>
            <w:tcW w:w="1848" w:type="dxa"/>
          </w:tcPr>
          <w:p w14:paraId="03E68B54" w14:textId="458EC4C4" w:rsidR="00B125CE" w:rsidRPr="00B125CE" w:rsidRDefault="00B125CE" w:rsidP="00B125CE">
            <w:r w:rsidRPr="00B125CE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1795" w:type="dxa"/>
          </w:tcPr>
          <w:p w14:paraId="3E7BCC24" w14:textId="111F7C08" w:rsidR="00B125CE" w:rsidRPr="00B125CE" w:rsidRDefault="00B125CE" w:rsidP="00B125CE">
            <w:r w:rsidRPr="00B125CE">
              <w:t>Суха кожа, Дразнене на кожата, Уртикария</w:t>
            </w:r>
          </w:p>
        </w:tc>
        <w:tc>
          <w:tcPr>
            <w:tcW w:w="1811" w:type="dxa"/>
          </w:tcPr>
          <w:p w14:paraId="2E534484" w14:textId="7FE5F6CD" w:rsidR="00B125CE" w:rsidRPr="00B125CE" w:rsidRDefault="00B125CE" w:rsidP="00B125CE">
            <w:r w:rsidRPr="00B125CE">
              <w:t>Себорея</w:t>
            </w:r>
          </w:p>
        </w:tc>
        <w:tc>
          <w:tcPr>
            <w:tcW w:w="1763" w:type="dxa"/>
          </w:tcPr>
          <w:p w14:paraId="4B7841B6" w14:textId="77777777" w:rsidR="00B125CE" w:rsidRPr="00B125CE" w:rsidRDefault="00B125CE" w:rsidP="00B125CE"/>
        </w:tc>
        <w:tc>
          <w:tcPr>
            <w:tcW w:w="2359" w:type="dxa"/>
          </w:tcPr>
          <w:p w14:paraId="107A1CF8" w14:textId="343A03A5" w:rsidR="00B125CE" w:rsidRPr="00B125CE" w:rsidRDefault="00B125CE" w:rsidP="00B125CE">
            <w:r w:rsidRPr="00B125CE">
              <w:t>Контактен дерматит*</w:t>
            </w:r>
          </w:p>
        </w:tc>
      </w:tr>
      <w:tr w:rsidR="00B125CE" w14:paraId="4D062FAD" w14:textId="37B60A78" w:rsidTr="00A167EC">
        <w:trPr>
          <w:trHeight w:val="550"/>
        </w:trPr>
        <w:tc>
          <w:tcPr>
            <w:tcW w:w="9576" w:type="dxa"/>
            <w:gridSpan w:val="5"/>
          </w:tcPr>
          <w:p w14:paraId="5DBC7628" w14:textId="20DA007B" w:rsidR="00B125CE" w:rsidRDefault="00B125CE" w:rsidP="00B125CE">
            <w:r>
              <w:t>*Нежелани реакции, идентифицирани при пост-маркетинговата употреба</w:t>
            </w:r>
          </w:p>
        </w:tc>
      </w:tr>
    </w:tbl>
    <w:p w14:paraId="42ECDE32" w14:textId="312E1169" w:rsidR="00B125CE" w:rsidRDefault="00B125CE" w:rsidP="00B125CE"/>
    <w:p w14:paraId="6FBF8118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20C85D7F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</w:t>
      </w:r>
      <w:r w:rsidRPr="00B125CE">
        <w:rPr>
          <w:rFonts w:eastAsia="Times New Roman" w:cs="Arial"/>
          <w:color w:val="000000"/>
          <w:lang w:eastAsia="bg-BG"/>
        </w:rPr>
        <w:lastRenderedPageBreak/>
        <w:t xml:space="preserve">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ул.,Дамян Груев” № 8, 1303 София, тел. +359 2 8903 417, уебсайт: </w:t>
      </w:r>
      <w:r w:rsidRPr="00B125CE">
        <w:rPr>
          <w:rFonts w:eastAsia="Times New Roman" w:cs="Arial"/>
          <w:lang w:eastAsia="bg-BG"/>
        </w:rPr>
        <w:fldChar w:fldCharType="begin"/>
      </w:r>
      <w:r w:rsidRPr="00B125CE">
        <w:rPr>
          <w:rFonts w:eastAsia="Times New Roman" w:cs="Arial"/>
          <w:lang w:eastAsia="bg-BG"/>
        </w:rPr>
        <w:instrText xml:space="preserve"> HYPERLINK "http://www.bda.bg" </w:instrText>
      </w:r>
      <w:r w:rsidRPr="00B125CE">
        <w:rPr>
          <w:rFonts w:eastAsia="Times New Roman" w:cs="Arial"/>
          <w:lang w:eastAsia="bg-BG"/>
        </w:rPr>
      </w:r>
      <w:r w:rsidRPr="00B125CE">
        <w:rPr>
          <w:rFonts w:eastAsia="Times New Roman" w:cs="Arial"/>
          <w:lang w:eastAsia="bg-BG"/>
        </w:rPr>
        <w:fldChar w:fldCharType="separate"/>
      </w:r>
      <w:r w:rsidRPr="00B125CE">
        <w:rPr>
          <w:rFonts w:eastAsia="Times New Roman" w:cs="Arial"/>
          <w:color w:val="000000"/>
          <w:lang w:val="en-US"/>
        </w:rPr>
        <w:t>www.bda.bg</w:t>
      </w:r>
      <w:r w:rsidRPr="00B125CE">
        <w:rPr>
          <w:rFonts w:eastAsia="Times New Roman" w:cs="Arial"/>
          <w:lang w:eastAsia="bg-BG"/>
        </w:rPr>
        <w:fldChar w:fldCharType="end"/>
      </w:r>
      <w:r w:rsidRPr="00B125CE">
        <w:rPr>
          <w:rFonts w:eastAsia="Times New Roman" w:cs="Arial"/>
          <w:color w:val="000000"/>
          <w:lang w:val="en-US"/>
        </w:rPr>
        <w:t>.</w:t>
      </w:r>
    </w:p>
    <w:p w14:paraId="5B39312D" w14:textId="77777777" w:rsidR="00B125CE" w:rsidRPr="00B125CE" w:rsidRDefault="00B125CE" w:rsidP="00B125CE"/>
    <w:p w14:paraId="378A0F20" w14:textId="43590490" w:rsidR="001D095A" w:rsidRDefault="002C50EE" w:rsidP="00340E8D">
      <w:pPr>
        <w:pStyle w:val="Heading2"/>
      </w:pPr>
      <w:r>
        <w:t>4.9. Предозиране</w:t>
      </w:r>
    </w:p>
    <w:p w14:paraId="4910DC4F" w14:textId="26E08DEE" w:rsidR="00B125CE" w:rsidRDefault="00B125CE" w:rsidP="00B125CE"/>
    <w:p w14:paraId="38A2C2B9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Приложеният върху кожата клиндамицин може да се абсорбира в достатъчни количества, за да предизвика системни ефекти.</w:t>
      </w:r>
    </w:p>
    <w:p w14:paraId="73044013" w14:textId="77777777" w:rsidR="00B125CE" w:rsidRDefault="00B125CE" w:rsidP="00B125CE">
      <w:pPr>
        <w:rPr>
          <w:lang w:eastAsia="bg-BG"/>
        </w:rPr>
      </w:pPr>
    </w:p>
    <w:p w14:paraId="571509E6" w14:textId="5A6F184E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t>В случай на предозиране се препоръчват общи симптоматични и поддържащи мерки.</w:t>
      </w:r>
    </w:p>
    <w:p w14:paraId="63C91F10" w14:textId="77777777" w:rsidR="00B125CE" w:rsidRPr="00B125CE" w:rsidRDefault="00B125CE" w:rsidP="00B125CE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415AEF0" w:rsidR="00F62E44" w:rsidRDefault="002C50EE" w:rsidP="00387A66">
      <w:pPr>
        <w:pStyle w:val="Heading2"/>
      </w:pPr>
      <w:r>
        <w:t>5.1. Фармакодинамични свойства</w:t>
      </w:r>
    </w:p>
    <w:p w14:paraId="0EE517BD" w14:textId="05CC6C61" w:rsidR="00B125CE" w:rsidRDefault="00B125CE" w:rsidP="00B125CE"/>
    <w:p w14:paraId="45536499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Фармакотерапевтична група: Анти-инфекциозни средства за лечение на акне, АТС код: </w:t>
      </w:r>
      <w:r w:rsidRPr="00B125CE">
        <w:rPr>
          <w:rFonts w:eastAsia="Times New Roman" w:cs="Arial"/>
          <w:color w:val="000000"/>
          <w:lang w:val="en-US"/>
        </w:rPr>
        <w:t xml:space="preserve">D10AF </w:t>
      </w:r>
      <w:r w:rsidRPr="00B125CE">
        <w:rPr>
          <w:rFonts w:eastAsia="Times New Roman" w:cs="Arial"/>
          <w:color w:val="000000"/>
          <w:lang w:eastAsia="bg-BG"/>
        </w:rPr>
        <w:t>01</w:t>
      </w:r>
    </w:p>
    <w:p w14:paraId="0431C1A4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471B7F" w14:textId="2C59983A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3F692AE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F6AFC6" w14:textId="03DE5885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Клиндамицин е линкозамиден антибиотик, който инхибира бактериалния протеинов синтез. Той се свързва с </w:t>
      </w:r>
      <w:r w:rsidRPr="00B125CE">
        <w:rPr>
          <w:rFonts w:eastAsia="Times New Roman" w:cs="Arial"/>
          <w:color w:val="000000"/>
          <w:lang w:val="en-US"/>
        </w:rPr>
        <w:t xml:space="preserve">50S </w:t>
      </w:r>
      <w:r w:rsidRPr="00B125CE">
        <w:rPr>
          <w:rFonts w:eastAsia="Times New Roman" w:cs="Arial"/>
          <w:color w:val="000000"/>
          <w:lang w:eastAsia="bg-BG"/>
        </w:rPr>
        <w:t xml:space="preserve">рибозомната субединица и повлиява формирането на рибозомата и процеса на транслация. Въпреки че клиндамицин фосфат е неактивен </w:t>
      </w:r>
      <w:r w:rsidRPr="00B125CE">
        <w:rPr>
          <w:rFonts w:eastAsia="Times New Roman" w:cs="Arial"/>
          <w:i/>
          <w:iCs/>
          <w:color w:val="000000"/>
          <w:lang w:val="en-US"/>
        </w:rPr>
        <w:t>in vitro,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бързата хидролиза </w:t>
      </w:r>
      <w:r w:rsidRPr="00B125CE">
        <w:rPr>
          <w:rFonts w:eastAsia="Times New Roman" w:cs="Arial"/>
          <w:i/>
          <w:iCs/>
          <w:color w:val="000000"/>
          <w:lang w:val="en-US"/>
        </w:rPr>
        <w:t>in vivo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>конвертира това съединение до антибактериално активния клиндамицин.</w:t>
      </w:r>
    </w:p>
    <w:p w14:paraId="4B51E0A6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C23A90" w14:textId="2565BEB5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Доказано е, че клиндамицин има </w:t>
      </w:r>
      <w:r w:rsidRPr="00B125CE">
        <w:rPr>
          <w:rFonts w:eastAsia="Times New Roman" w:cs="Arial"/>
          <w:i/>
          <w:iCs/>
          <w:color w:val="000000"/>
          <w:lang w:val="en-US"/>
        </w:rPr>
        <w:t>in vitro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>активност срещу изолати на следните организми</w:t>
      </w:r>
    </w:p>
    <w:p w14:paraId="45B89E60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4D74E9" w14:textId="1F24114E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Анаеробни грам положителни неспорообразуващи </w:t>
      </w:r>
      <w:r w:rsidRPr="00B125CE">
        <w:rPr>
          <w:rFonts w:eastAsia="Times New Roman" w:cs="Arial"/>
          <w:i/>
          <w:iCs/>
          <w:color w:val="000000"/>
          <w:lang w:eastAsia="bg-BG"/>
        </w:rPr>
        <w:t>бацили,</w:t>
      </w:r>
      <w:r w:rsidRPr="00B125CE">
        <w:rPr>
          <w:rFonts w:eastAsia="Times New Roman" w:cs="Arial"/>
          <w:color w:val="000000"/>
          <w:lang w:eastAsia="bg-BG"/>
        </w:rPr>
        <w:t xml:space="preserve"> включващи:</w:t>
      </w:r>
    </w:p>
    <w:p w14:paraId="69A0AE65" w14:textId="77777777" w:rsidR="00B125CE" w:rsidRPr="00B125CE" w:rsidRDefault="00B125CE" w:rsidP="00B125CE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5B8AFD3D" w14:textId="544F445D" w:rsidR="00B125CE" w:rsidRPr="00B125CE" w:rsidRDefault="00B125CE" w:rsidP="00B125CE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  <w:r w:rsidRPr="00B125CE">
        <w:rPr>
          <w:rFonts w:eastAsia="Times New Roman" w:cs="Arial"/>
          <w:i/>
          <w:iCs/>
          <w:color w:val="000000"/>
          <w:lang w:val="en-US"/>
        </w:rPr>
        <w:t>Propionibacterium acnes.</w:t>
      </w:r>
    </w:p>
    <w:p w14:paraId="7FFE7E4C" w14:textId="614013A2" w:rsidR="00B125CE" w:rsidRPr="00B125CE" w:rsidRDefault="00B125CE" w:rsidP="00B125CE">
      <w:pPr>
        <w:spacing w:line="240" w:lineRule="auto"/>
        <w:rPr>
          <w:rFonts w:eastAsia="Times New Roman" w:cs="Arial"/>
          <w:i/>
          <w:iCs/>
          <w:color w:val="000000"/>
          <w:lang w:val="en-US"/>
        </w:rPr>
      </w:pPr>
    </w:p>
    <w:p w14:paraId="4957ECE0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Фармакодинамичнн ефекти</w:t>
      </w:r>
    </w:p>
    <w:p w14:paraId="4D272EEE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Ефикасността е свързана с времевия период, през който нивото на агента е над минималната инхибираща концентрация </w:t>
      </w:r>
      <w:r w:rsidRPr="00B125CE">
        <w:rPr>
          <w:rFonts w:eastAsia="Times New Roman" w:cs="Arial"/>
          <w:color w:val="000000"/>
          <w:lang w:val="en-US"/>
        </w:rPr>
        <w:t xml:space="preserve">(MIC) </w:t>
      </w:r>
      <w:r w:rsidRPr="00B125CE">
        <w:rPr>
          <w:rFonts w:eastAsia="Times New Roman" w:cs="Arial"/>
          <w:color w:val="000000"/>
          <w:lang w:eastAsia="bg-BG"/>
        </w:rPr>
        <w:t>на патогена (%Т/М1С).</w:t>
      </w:r>
    </w:p>
    <w:p w14:paraId="7211414A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404D54" w14:textId="369AF762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Резистентност</w:t>
      </w:r>
    </w:p>
    <w:p w14:paraId="52AC5730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335073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Резистентностга към клиндамицин при </w:t>
      </w:r>
      <w:r w:rsidRPr="00B125CE">
        <w:rPr>
          <w:rFonts w:eastAsia="Times New Roman" w:cs="Arial"/>
          <w:i/>
          <w:iCs/>
          <w:color w:val="000000"/>
          <w:lang w:val="en-US"/>
        </w:rPr>
        <w:t>Propionibacterium acnes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може да е предизвикана от мутации на рРНК мястото за свързване на антибиотика или чрез метилация на специфични нуклеотиди в участък </w:t>
      </w:r>
      <w:r w:rsidRPr="00B125CE">
        <w:rPr>
          <w:rFonts w:eastAsia="Times New Roman" w:cs="Arial"/>
          <w:color w:val="000000"/>
          <w:lang w:val="en-US"/>
        </w:rPr>
        <w:t xml:space="preserve">23S </w:t>
      </w:r>
      <w:r w:rsidRPr="00B125CE">
        <w:rPr>
          <w:rFonts w:eastAsia="Times New Roman" w:cs="Arial"/>
          <w:color w:val="000000"/>
          <w:lang w:eastAsia="bg-BG"/>
        </w:rPr>
        <w:t xml:space="preserve">РНК на </w:t>
      </w:r>
      <w:r w:rsidRPr="00B125CE">
        <w:rPr>
          <w:rFonts w:eastAsia="Times New Roman" w:cs="Arial"/>
          <w:color w:val="000000"/>
          <w:lang w:val="en-US"/>
        </w:rPr>
        <w:t xml:space="preserve">50S </w:t>
      </w:r>
      <w:r w:rsidRPr="00B125CE">
        <w:rPr>
          <w:rFonts w:eastAsia="Times New Roman" w:cs="Arial"/>
          <w:color w:val="000000"/>
          <w:lang w:eastAsia="bg-BG"/>
        </w:rPr>
        <w:t xml:space="preserve">рибозомната субединица. Тези промени може да определят кръстосана резистентност към макролиди и стрептограмини В </w:t>
      </w:r>
      <w:r w:rsidRPr="00B125CE">
        <w:rPr>
          <w:rFonts w:eastAsia="Times New Roman" w:cs="Arial"/>
          <w:smallCaps/>
          <w:color w:val="000000"/>
          <w:lang w:val="en-US"/>
        </w:rPr>
        <w:t>(</w:t>
      </w:r>
      <w:proofErr w:type="spellStart"/>
      <w:r w:rsidRPr="00B125CE">
        <w:rPr>
          <w:rFonts w:eastAsia="Times New Roman" w:cs="Arial"/>
          <w:smallCaps/>
          <w:color w:val="000000"/>
          <w:lang w:val="en-US"/>
        </w:rPr>
        <w:t>MLS</w:t>
      </w:r>
      <w:r w:rsidRPr="00B125CE">
        <w:rPr>
          <w:rFonts w:eastAsia="Times New Roman" w:cs="Arial"/>
          <w:smallCaps/>
          <w:color w:val="000000"/>
          <w:vertAlign w:val="subscript"/>
          <w:lang w:val="en-US"/>
        </w:rPr>
        <w:t>b</w:t>
      </w:r>
      <w:proofErr w:type="spellEnd"/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фенотип). </w:t>
      </w:r>
    </w:p>
    <w:p w14:paraId="406C00CB" w14:textId="77777777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E38CCD" w14:textId="7AA2538B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Резистентните към макролиди изолати трябва да бъдат изследвани за индуцируема резистентност към клиндамицин с използване на </w:t>
      </w:r>
      <w:r w:rsidRPr="00B125CE">
        <w:rPr>
          <w:rFonts w:eastAsia="Times New Roman" w:cs="Arial"/>
          <w:color w:val="000000"/>
          <w:lang w:val="en-US"/>
        </w:rPr>
        <w:t>D</w:t>
      </w:r>
      <w:r w:rsidRPr="00B125CE">
        <w:rPr>
          <w:rFonts w:eastAsia="Times New Roman" w:cs="Arial"/>
          <w:color w:val="000000"/>
          <w:lang w:eastAsia="bg-BG"/>
        </w:rPr>
        <w:t>-зоналния тест. Доказана е кръстосана резистентност между клиндамицин и линкомицин.</w:t>
      </w:r>
    </w:p>
    <w:p w14:paraId="289D3C90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lastRenderedPageBreak/>
        <w:t>Разпределението на придобитата резистентност за определени видове може да варира в зависимост от географското положение и с времето и по тази причина е желателно наличието на местна информация за резистентностга, особено при лечение на тежки инфекции. При необходимост трябва да бъде потърсено експертно мнение, когато местното разпределение на резистентностга е такова, че ползата от лекарственото средство е поставена под въпрос при поне някои видове инфекции. Особено при тежки инфекции или неуспешно лечение се препоръчва микробиологична диагноза с потвърждаване на патогена и неговата чувствителност към клиндамицин.</w:t>
      </w:r>
    </w:p>
    <w:p w14:paraId="5BC85789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291A9C" w14:textId="45D723D8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Резистентност</w:t>
      </w:r>
      <w:r>
        <w:rPr>
          <w:rFonts w:eastAsia="Times New Roman" w:cs="Arial"/>
          <w:color w:val="000000"/>
          <w:lang w:eastAsia="bg-BG"/>
        </w:rPr>
        <w:t>т</w:t>
      </w:r>
      <w:r w:rsidRPr="00B125CE">
        <w:rPr>
          <w:rFonts w:eastAsia="Times New Roman" w:cs="Arial"/>
          <w:color w:val="000000"/>
          <w:lang w:eastAsia="bg-BG"/>
        </w:rPr>
        <w:t xml:space="preserve">а обикновено се дефинира чрез интерпретативни критерии за чувствителност (гранични стойности), установени от </w:t>
      </w:r>
      <w:r w:rsidRPr="00B125CE">
        <w:rPr>
          <w:rFonts w:eastAsia="Times New Roman" w:cs="Arial"/>
          <w:color w:val="000000"/>
          <w:lang w:val="en-US"/>
        </w:rPr>
        <w:t xml:space="preserve">EUCAST </w:t>
      </w:r>
      <w:r w:rsidRPr="00B125CE">
        <w:rPr>
          <w:rFonts w:eastAsia="Times New Roman" w:cs="Arial"/>
          <w:color w:val="000000"/>
          <w:lang w:eastAsia="bg-BG"/>
        </w:rPr>
        <w:t xml:space="preserve">за системно приложени антибиотици. Тези гранични стойности може да са по-малко значими за локално приложен клиндамицин. Независимо че клиндамицин не е изрично цитиран, </w:t>
      </w:r>
      <w:r w:rsidRPr="00B125CE">
        <w:rPr>
          <w:rFonts w:eastAsia="Times New Roman" w:cs="Arial"/>
          <w:color w:val="000000"/>
          <w:lang w:val="en-US"/>
        </w:rPr>
        <w:t xml:space="preserve">EUCAST </w:t>
      </w:r>
      <w:r w:rsidRPr="00B125CE">
        <w:rPr>
          <w:rFonts w:eastAsia="Times New Roman" w:cs="Arial"/>
          <w:color w:val="000000"/>
          <w:lang w:eastAsia="bg-BG"/>
        </w:rPr>
        <w:t xml:space="preserve">предполага, че при локално приложените антимикробни средства резистентностга може да бъде по-добре дефинирана чрез епидемиологични гранични стойности </w:t>
      </w:r>
      <w:r w:rsidRPr="00B125CE">
        <w:rPr>
          <w:rFonts w:eastAsia="Times New Roman" w:cs="Arial"/>
          <w:color w:val="000000"/>
          <w:lang w:val="en-US"/>
        </w:rPr>
        <w:t xml:space="preserve">(ECOFFS), </w:t>
      </w:r>
      <w:r w:rsidRPr="00B125CE">
        <w:rPr>
          <w:rFonts w:eastAsia="Times New Roman" w:cs="Arial"/>
          <w:color w:val="000000"/>
          <w:lang w:eastAsia="bg-BG"/>
        </w:rPr>
        <w:t xml:space="preserve">отколкото клиничните гранични стойности, определени за системно приложение. </w:t>
      </w:r>
      <w:r w:rsidRPr="00B125CE">
        <w:rPr>
          <w:rFonts w:eastAsia="Times New Roman" w:cs="Arial"/>
          <w:color w:val="000000"/>
          <w:lang w:val="en-US"/>
        </w:rPr>
        <w:t xml:space="preserve">MIC </w:t>
      </w:r>
      <w:r w:rsidRPr="00B125CE">
        <w:rPr>
          <w:rFonts w:eastAsia="Times New Roman" w:cs="Arial"/>
          <w:color w:val="000000"/>
          <w:lang w:eastAsia="bg-BG"/>
        </w:rPr>
        <w:t xml:space="preserve">разпределенията и </w:t>
      </w:r>
      <w:r w:rsidRPr="00B125CE">
        <w:rPr>
          <w:rFonts w:eastAsia="Times New Roman" w:cs="Arial"/>
          <w:color w:val="000000"/>
          <w:lang w:val="en-US"/>
        </w:rPr>
        <w:t xml:space="preserve">ECOFFS </w:t>
      </w:r>
      <w:r w:rsidRPr="00B125CE">
        <w:rPr>
          <w:rFonts w:eastAsia="Times New Roman" w:cs="Arial"/>
          <w:color w:val="000000"/>
          <w:lang w:eastAsia="bg-BG"/>
        </w:rPr>
        <w:t xml:space="preserve">обаче не са публикувани от </w:t>
      </w:r>
      <w:r w:rsidRPr="00B125CE">
        <w:rPr>
          <w:rFonts w:eastAsia="Times New Roman" w:cs="Arial"/>
          <w:color w:val="000000"/>
          <w:lang w:val="en-US"/>
        </w:rPr>
        <w:t xml:space="preserve">EUCAST </w:t>
      </w:r>
      <w:r w:rsidRPr="00B125CE">
        <w:rPr>
          <w:rFonts w:eastAsia="Times New Roman" w:cs="Arial"/>
          <w:color w:val="000000"/>
          <w:lang w:eastAsia="bg-BG"/>
        </w:rPr>
        <w:t xml:space="preserve">за </w:t>
      </w:r>
      <w:r w:rsidRPr="00B125CE">
        <w:rPr>
          <w:rFonts w:eastAsia="Times New Roman" w:cs="Arial"/>
          <w:i/>
          <w:iCs/>
          <w:color w:val="000000"/>
          <w:lang w:eastAsia="bg-BG"/>
        </w:rPr>
        <w:t xml:space="preserve">Р. </w:t>
      </w:r>
      <w:r w:rsidRPr="00B125CE">
        <w:rPr>
          <w:rFonts w:eastAsia="Times New Roman" w:cs="Arial"/>
          <w:i/>
          <w:iCs/>
          <w:color w:val="000000"/>
          <w:lang w:val="en-US"/>
        </w:rPr>
        <w:t>acnes.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Въз основа на корелации между клиничните резултати при пациенти с акне и </w:t>
      </w:r>
      <w:r w:rsidRPr="00B125CE">
        <w:rPr>
          <w:rFonts w:eastAsia="Times New Roman" w:cs="Arial"/>
          <w:color w:val="000000"/>
          <w:lang w:val="en-US"/>
        </w:rPr>
        <w:t xml:space="preserve">MIC </w:t>
      </w:r>
      <w:r w:rsidRPr="00B125CE">
        <w:rPr>
          <w:rFonts w:eastAsia="Times New Roman" w:cs="Arial"/>
          <w:color w:val="000000"/>
          <w:lang w:eastAsia="bg-BG"/>
        </w:rPr>
        <w:t xml:space="preserve">на клиндамицин за техните изолати на </w:t>
      </w:r>
      <w:r w:rsidRPr="00B125CE">
        <w:rPr>
          <w:rFonts w:eastAsia="Times New Roman" w:cs="Arial"/>
          <w:i/>
          <w:iCs/>
          <w:color w:val="000000"/>
          <w:lang w:eastAsia="bg-BG"/>
        </w:rPr>
        <w:t xml:space="preserve">Р. </w:t>
      </w:r>
      <w:r w:rsidRPr="00B125CE">
        <w:rPr>
          <w:rFonts w:eastAsia="Times New Roman" w:cs="Arial"/>
          <w:i/>
          <w:iCs/>
          <w:color w:val="000000"/>
          <w:lang w:val="en-US"/>
        </w:rPr>
        <w:t>acnes,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стойности в рамките на 256 </w:t>
      </w:r>
      <w:r w:rsidRPr="00B125CE">
        <w:rPr>
          <w:rFonts w:eastAsia="Times New Roman" w:cs="Arial"/>
          <w:color w:val="000000"/>
          <w:lang w:val="en-US"/>
        </w:rPr>
        <w:t xml:space="preserve">mg/1 </w:t>
      </w:r>
      <w:r w:rsidRPr="00B125CE">
        <w:rPr>
          <w:rFonts w:eastAsia="Times New Roman" w:cs="Arial"/>
          <w:color w:val="000000"/>
          <w:lang w:eastAsia="bg-BG"/>
        </w:rPr>
        <w:t>се считат чувствителни за локално приложен клиндамицин.</w:t>
      </w:r>
    </w:p>
    <w:p w14:paraId="301AC42C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EE9249" w14:textId="0E961E72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Наскоро проведено наблюдателно проучване в Белгия (2011-2012) на анаеробни бактерии включва 22 изолата на </w:t>
      </w:r>
      <w:r w:rsidRPr="00B125CE">
        <w:rPr>
          <w:rFonts w:eastAsia="Times New Roman" w:cs="Arial"/>
          <w:i/>
          <w:iCs/>
          <w:color w:val="000000"/>
          <w:lang w:eastAsia="bg-BG"/>
        </w:rPr>
        <w:t xml:space="preserve">Р. </w:t>
      </w:r>
      <w:r w:rsidRPr="00B125CE">
        <w:rPr>
          <w:rFonts w:eastAsia="Times New Roman" w:cs="Arial"/>
          <w:i/>
          <w:iCs/>
          <w:color w:val="000000"/>
          <w:lang w:val="en-US"/>
        </w:rPr>
        <w:t>acnes: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95,5% са чувствителни към клиндамицин. При по-ранно европейско наблюдателно проучване, включващо 304 изолата на </w:t>
      </w:r>
      <w:r w:rsidRPr="00B125CE">
        <w:rPr>
          <w:rFonts w:eastAsia="Times New Roman" w:cs="Arial"/>
          <w:i/>
          <w:iCs/>
          <w:color w:val="000000"/>
          <w:lang w:eastAsia="bg-BG"/>
        </w:rPr>
        <w:t xml:space="preserve">Р. </w:t>
      </w:r>
      <w:r w:rsidRPr="00B125CE">
        <w:rPr>
          <w:rFonts w:eastAsia="Times New Roman" w:cs="Arial"/>
          <w:i/>
          <w:iCs/>
          <w:color w:val="000000"/>
          <w:lang w:val="en-US"/>
        </w:rPr>
        <w:t>acnes,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се съобщава за честота на резистентност към клиндамицин от 15%. В това проучване обаче се използва гранична стойност от 0,12 </w:t>
      </w:r>
      <w:r w:rsidRPr="00B125CE">
        <w:rPr>
          <w:rFonts w:eastAsia="Times New Roman" w:cs="Arial"/>
          <w:color w:val="000000"/>
          <w:lang w:val="en-US"/>
        </w:rPr>
        <w:t xml:space="preserve">mg/l; </w:t>
      </w:r>
      <w:r w:rsidRPr="00B125CE">
        <w:rPr>
          <w:rFonts w:eastAsia="Times New Roman" w:cs="Arial"/>
          <w:color w:val="000000"/>
          <w:lang w:eastAsia="bg-BG"/>
        </w:rPr>
        <w:t xml:space="preserve">при използване на текущата гранична стойност от 4 </w:t>
      </w:r>
      <w:r w:rsidRPr="00B125CE">
        <w:rPr>
          <w:rFonts w:eastAsia="Times New Roman" w:cs="Arial"/>
          <w:color w:val="000000"/>
          <w:lang w:val="en-US"/>
        </w:rPr>
        <w:t xml:space="preserve">mg/l </w:t>
      </w:r>
      <w:r w:rsidRPr="00B125CE">
        <w:rPr>
          <w:rFonts w:eastAsia="Times New Roman" w:cs="Arial"/>
          <w:color w:val="000000"/>
          <w:lang w:eastAsia="bg-BG"/>
        </w:rPr>
        <w:t>няма резистентни изолати.</w:t>
      </w:r>
    </w:p>
    <w:p w14:paraId="7B6EBAA6" w14:textId="77777777" w:rsidR="00B125CE" w:rsidRDefault="00B125CE" w:rsidP="00B125CE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3D6EDC87" w14:textId="69870243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i/>
          <w:iCs/>
          <w:color w:val="000000"/>
          <w:u w:val="single"/>
          <w:lang w:eastAsia="bg-BG"/>
        </w:rPr>
        <w:t>Гранични стойности</w:t>
      </w:r>
    </w:p>
    <w:p w14:paraId="47547841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0EF0FF" w14:textId="18210F4B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Граничните стойности на </w:t>
      </w:r>
      <w:r w:rsidRPr="00B125CE">
        <w:rPr>
          <w:rFonts w:eastAsia="Times New Roman" w:cs="Arial"/>
          <w:color w:val="000000"/>
          <w:lang w:val="en-US"/>
        </w:rPr>
        <w:t xml:space="preserve">EUCAST </w:t>
      </w:r>
      <w:r w:rsidRPr="00B125CE">
        <w:rPr>
          <w:rFonts w:eastAsia="Times New Roman" w:cs="Arial"/>
          <w:color w:val="000000"/>
          <w:lang w:eastAsia="bg-BG"/>
        </w:rPr>
        <w:t>за грам положителни анаероби са изброени по-долу. Тези гранични стойности са базирани на употреба при системни инфекции.</w:t>
      </w:r>
    </w:p>
    <w:p w14:paraId="054DE399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404B32" w14:textId="61FB6B3D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Гранични стойности на </w:t>
      </w:r>
      <w:r w:rsidRPr="00B125CE">
        <w:rPr>
          <w:rFonts w:eastAsia="Times New Roman" w:cs="Arial"/>
          <w:color w:val="000000"/>
          <w:lang w:val="en-US"/>
        </w:rPr>
        <w:t xml:space="preserve">EUCAST </w:t>
      </w:r>
      <w:r w:rsidRPr="00B125CE">
        <w:rPr>
          <w:rFonts w:eastAsia="Times New Roman" w:cs="Arial"/>
          <w:color w:val="000000"/>
          <w:lang w:eastAsia="bg-BG"/>
        </w:rPr>
        <w:t>за системно приложен клиндамицин</w:t>
      </w:r>
    </w:p>
    <w:p w14:paraId="723E0896" w14:textId="77777777" w:rsidR="00B125CE" w:rsidRPr="00B125CE" w:rsidRDefault="00B125CE" w:rsidP="00B12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B125CE" w14:paraId="5305CADD" w14:textId="77777777" w:rsidTr="00B125CE">
        <w:tc>
          <w:tcPr>
            <w:tcW w:w="3166" w:type="dxa"/>
          </w:tcPr>
          <w:p w14:paraId="6C75E641" w14:textId="68B7805E" w:rsidR="00B125CE" w:rsidRPr="00B125CE" w:rsidRDefault="00B125CE" w:rsidP="00B125CE">
            <w:r w:rsidRPr="00B125CE">
              <w:t>Патоген</w:t>
            </w:r>
          </w:p>
        </w:tc>
        <w:tc>
          <w:tcPr>
            <w:tcW w:w="3167" w:type="dxa"/>
          </w:tcPr>
          <w:p w14:paraId="020F4BE5" w14:textId="62C4808B" w:rsidR="00B125CE" w:rsidRPr="00B125CE" w:rsidRDefault="00B125CE" w:rsidP="00B125CE">
            <w:r w:rsidRPr="00B125CE">
              <w:t>Чувствителен</w:t>
            </w:r>
          </w:p>
        </w:tc>
        <w:tc>
          <w:tcPr>
            <w:tcW w:w="3167" w:type="dxa"/>
          </w:tcPr>
          <w:p w14:paraId="1FDF4278" w14:textId="27845201" w:rsidR="00B125CE" w:rsidRPr="00B125CE" w:rsidRDefault="00B125CE" w:rsidP="00B125CE">
            <w:r w:rsidRPr="00B125CE">
              <w:t>Резистентен</w:t>
            </w:r>
          </w:p>
        </w:tc>
      </w:tr>
      <w:tr w:rsidR="00B125CE" w14:paraId="2C192E36" w14:textId="77777777" w:rsidTr="00B125CE">
        <w:tc>
          <w:tcPr>
            <w:tcW w:w="3166" w:type="dxa"/>
          </w:tcPr>
          <w:p w14:paraId="204465E4" w14:textId="1A4AAD5C" w:rsidR="00B125CE" w:rsidRPr="00B125CE" w:rsidRDefault="00B125CE" w:rsidP="00B125CE">
            <w:r w:rsidRPr="00B125CE">
              <w:t xml:space="preserve">Грам положителни анаероби (с изключение на </w:t>
            </w:r>
            <w:r w:rsidRPr="00B125CE">
              <w:rPr>
                <w:i/>
                <w:iCs/>
                <w:lang w:val="en-US"/>
              </w:rPr>
              <w:t>Clostridium difficile)</w:t>
            </w:r>
          </w:p>
        </w:tc>
        <w:tc>
          <w:tcPr>
            <w:tcW w:w="3167" w:type="dxa"/>
          </w:tcPr>
          <w:p w14:paraId="7B059AFD" w14:textId="3DE9505A" w:rsidR="00B125CE" w:rsidRPr="00B125CE" w:rsidRDefault="00B125CE" w:rsidP="00B125CE">
            <w:r w:rsidRPr="00B125CE">
              <w:t xml:space="preserve">≤4 </w:t>
            </w:r>
            <w:r w:rsidRPr="00B125CE">
              <w:rPr>
                <w:lang w:val="en-US"/>
              </w:rPr>
              <w:t>mg/1</w:t>
            </w:r>
          </w:p>
        </w:tc>
        <w:tc>
          <w:tcPr>
            <w:tcW w:w="3167" w:type="dxa"/>
          </w:tcPr>
          <w:p w14:paraId="2117E0D6" w14:textId="3ABC73CC" w:rsidR="00B125CE" w:rsidRPr="00B125CE" w:rsidRDefault="00B125CE" w:rsidP="00B125CE">
            <w:r w:rsidRPr="00B125CE">
              <w:t xml:space="preserve">&gt;4 </w:t>
            </w:r>
            <w:r w:rsidRPr="00B125CE">
              <w:rPr>
                <w:lang w:val="en-US"/>
              </w:rPr>
              <w:t>mg/l</w:t>
            </w:r>
          </w:p>
        </w:tc>
      </w:tr>
    </w:tbl>
    <w:p w14:paraId="0E6679FE" w14:textId="77777777" w:rsidR="00B125CE" w:rsidRPr="00B125CE" w:rsidRDefault="00B125CE" w:rsidP="00B125CE"/>
    <w:p w14:paraId="544FFDAF" w14:textId="62C2DF41" w:rsidR="00F62E44" w:rsidRDefault="002C50EE" w:rsidP="00387A66">
      <w:pPr>
        <w:pStyle w:val="Heading2"/>
      </w:pPr>
      <w:r>
        <w:t>5.2. Фармакокинетични свойства</w:t>
      </w:r>
    </w:p>
    <w:p w14:paraId="68FBA371" w14:textId="18BA164C" w:rsidR="00B125CE" w:rsidRDefault="00B125CE" w:rsidP="00B125CE"/>
    <w:p w14:paraId="424C81C1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След многократно приложение върху кожа на клиндамицин фосфат при концентрация, еквивалентна на 10 </w:t>
      </w:r>
      <w:r w:rsidRPr="00B125CE">
        <w:rPr>
          <w:rFonts w:eastAsia="Times New Roman" w:cs="Arial"/>
          <w:color w:val="000000"/>
          <w:lang w:val="en-US"/>
        </w:rPr>
        <w:t xml:space="preserve">mg </w:t>
      </w:r>
      <w:r w:rsidRPr="00B125CE">
        <w:rPr>
          <w:rFonts w:eastAsia="Times New Roman" w:cs="Arial"/>
          <w:color w:val="000000"/>
          <w:lang w:eastAsia="bg-BG"/>
        </w:rPr>
        <w:t xml:space="preserve">клиндамицин на </w:t>
      </w:r>
      <w:r w:rsidRPr="00B125CE">
        <w:rPr>
          <w:rFonts w:eastAsia="Times New Roman" w:cs="Arial"/>
          <w:color w:val="000000"/>
          <w:lang w:val="en-US"/>
        </w:rPr>
        <w:t xml:space="preserve">ml </w:t>
      </w:r>
      <w:r w:rsidRPr="00B125CE">
        <w:rPr>
          <w:rFonts w:eastAsia="Times New Roman" w:cs="Arial"/>
          <w:color w:val="000000"/>
          <w:lang w:eastAsia="bg-BG"/>
        </w:rPr>
        <w:t xml:space="preserve">в разтвор на изопропилов алкохол и вода, много малки количества присъстват в серума (0-3 </w:t>
      </w:r>
      <w:r w:rsidRPr="00B125CE">
        <w:rPr>
          <w:rFonts w:eastAsia="Times New Roman" w:cs="Arial"/>
          <w:color w:val="000000"/>
          <w:lang w:val="en-US"/>
        </w:rPr>
        <w:t xml:space="preserve">ng/ml) </w:t>
      </w:r>
      <w:r w:rsidRPr="00B125CE">
        <w:rPr>
          <w:rFonts w:eastAsia="Times New Roman" w:cs="Arial"/>
          <w:color w:val="000000"/>
          <w:lang w:eastAsia="bg-BG"/>
        </w:rPr>
        <w:t>и по-малко от 0,2% от дозата се откриват в урината като клиндамицин.</w:t>
      </w:r>
    </w:p>
    <w:p w14:paraId="1C6EAA1B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1A970B" w14:textId="398AC9DB" w:rsidR="00B125CE" w:rsidRP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Активността на клиндамицин е доказана в комедони на пациенти с акне. Средната концентрация за антибиотична активност в екстрахираните комедони след приложение на разтвор за кожа на клиндамицин в продължение на 4 седмици е 597 микрограма</w:t>
      </w:r>
      <w:r w:rsidRPr="00B125CE">
        <w:rPr>
          <w:rFonts w:eastAsia="Times New Roman" w:cs="Arial"/>
          <w:color w:val="000000"/>
          <w:lang w:val="en-US"/>
        </w:rPr>
        <w:t xml:space="preserve">/g </w:t>
      </w:r>
      <w:r w:rsidRPr="00B125CE">
        <w:rPr>
          <w:rFonts w:eastAsia="Times New Roman" w:cs="Arial"/>
          <w:color w:val="000000"/>
          <w:lang w:eastAsia="bg-BG"/>
        </w:rPr>
        <w:lastRenderedPageBreak/>
        <w:t xml:space="preserve">материал от комедон (в границите 0-1490). Клиндамицин </w:t>
      </w:r>
      <w:r w:rsidRPr="00B125CE">
        <w:rPr>
          <w:rFonts w:eastAsia="Times New Roman" w:cs="Arial"/>
          <w:i/>
          <w:iCs/>
          <w:color w:val="000000"/>
          <w:lang w:val="en-US"/>
        </w:rPr>
        <w:t>in vitro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инхибира всички изследвани култури на </w:t>
      </w:r>
      <w:r w:rsidRPr="00B125CE">
        <w:rPr>
          <w:rFonts w:eastAsia="Times New Roman" w:cs="Arial"/>
          <w:i/>
          <w:iCs/>
          <w:color w:val="000000"/>
          <w:lang w:val="en-US"/>
        </w:rPr>
        <w:t>Propionibacterium acnes</w:t>
      </w:r>
      <w:r w:rsidRPr="00B125CE">
        <w:rPr>
          <w:rFonts w:eastAsia="Times New Roman" w:cs="Arial"/>
          <w:color w:val="000000"/>
          <w:lang w:val="en-US"/>
        </w:rPr>
        <w:t xml:space="preserve"> </w:t>
      </w:r>
      <w:r w:rsidRPr="00B125CE">
        <w:rPr>
          <w:rFonts w:eastAsia="Times New Roman" w:cs="Arial"/>
          <w:color w:val="000000"/>
          <w:lang w:eastAsia="bg-BG"/>
        </w:rPr>
        <w:t xml:space="preserve">(МИК-ции 0,4 </w:t>
      </w:r>
      <w:r w:rsidRPr="00B125CE">
        <w:rPr>
          <w:rFonts w:eastAsia="Times New Roman" w:cs="Arial"/>
          <w:color w:val="000000"/>
          <w:lang w:val="en-US"/>
        </w:rPr>
        <w:t xml:space="preserve">mcg/ml). </w:t>
      </w:r>
      <w:r w:rsidRPr="00B125CE">
        <w:rPr>
          <w:rFonts w:eastAsia="Times New Roman" w:cs="Arial"/>
          <w:color w:val="000000"/>
          <w:lang w:eastAsia="bg-BG"/>
        </w:rPr>
        <w:t>Свободните мастни киселини по повърхността на кожата намаляват от приблизително 14% до 2% след приложение на клиндамицин.</w:t>
      </w:r>
    </w:p>
    <w:p w14:paraId="4BF79C25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2130DF" w14:textId="5C80959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Гериатрична употреба</w:t>
      </w:r>
    </w:p>
    <w:p w14:paraId="35F618D5" w14:textId="752E0C8F" w:rsidR="00B125CE" w:rsidRDefault="00B125CE" w:rsidP="00B125CE">
      <w:pPr>
        <w:rPr>
          <w:rFonts w:eastAsia="Times New Roman" w:cs="Arial"/>
          <w:color w:val="000000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Клиничните проучвания за приложен върху кожата клиндамицин не включват достатъчен брой участници на възраст 65 години и по-възрастни, за да може да се определи дали те отговарят по различен начин в сравнение с по-младите участници.</w:t>
      </w:r>
    </w:p>
    <w:p w14:paraId="02A4B0FB" w14:textId="77777777" w:rsidR="00B125CE" w:rsidRPr="00B125CE" w:rsidRDefault="00B125CE" w:rsidP="00B125CE">
      <w:pPr>
        <w:rPr>
          <w:rFonts w:cs="Arial"/>
        </w:rPr>
      </w:pPr>
    </w:p>
    <w:p w14:paraId="6925FEB0" w14:textId="0326375F" w:rsidR="00F62E44" w:rsidRDefault="002C50EE" w:rsidP="00387A66">
      <w:pPr>
        <w:pStyle w:val="Heading2"/>
      </w:pPr>
      <w:r>
        <w:t>5.3. Предклинични данни за безопасност</w:t>
      </w:r>
    </w:p>
    <w:p w14:paraId="6C26F51A" w14:textId="2D95E31F" w:rsidR="00B125CE" w:rsidRDefault="00B125CE" w:rsidP="00B125CE"/>
    <w:p w14:paraId="3D75CE77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Карциногенност</w:t>
      </w:r>
    </w:p>
    <w:p w14:paraId="6B7E7089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Не са провеждани продължителни проучвания при животни с клиндамицин за определяне на карциногенния потенциал.</w:t>
      </w:r>
    </w:p>
    <w:p w14:paraId="0DDC4948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B038A5" w14:textId="692364BB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Мутагенност</w:t>
      </w:r>
    </w:p>
    <w:p w14:paraId="3F79FBF7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Проведените тестове за генотоксичност включват микронуклеарен тест при плъхове и </w:t>
      </w:r>
      <w:r w:rsidRPr="00B125CE">
        <w:rPr>
          <w:rFonts w:eastAsia="Times New Roman" w:cs="Arial"/>
          <w:color w:val="000000"/>
          <w:lang w:val="en-US"/>
        </w:rPr>
        <w:t xml:space="preserve">Ames Salmonella reversion </w:t>
      </w:r>
      <w:r w:rsidRPr="00B125CE">
        <w:rPr>
          <w:rFonts w:eastAsia="Times New Roman" w:cs="Arial"/>
          <w:color w:val="000000"/>
          <w:lang w:eastAsia="bg-BG"/>
        </w:rPr>
        <w:t>тест. И при двата теста са отчетени отрицателни резултати.</w:t>
      </w:r>
    </w:p>
    <w:p w14:paraId="14BE71E0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5C40D78" w14:textId="713837B8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u w:val="single"/>
          <w:lang w:eastAsia="bg-BG"/>
        </w:rPr>
        <w:t>Увреждане на фертилитета</w:t>
      </w:r>
    </w:p>
    <w:p w14:paraId="0D458D2A" w14:textId="77777777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 xml:space="preserve">Проучванията за ефект върху фертилитета при плъхове, третирани с перорални дози до 300 </w:t>
      </w:r>
      <w:r w:rsidRPr="00B125CE">
        <w:rPr>
          <w:rFonts w:eastAsia="Times New Roman" w:cs="Arial"/>
          <w:color w:val="000000"/>
          <w:lang w:val="en-US"/>
        </w:rPr>
        <w:t xml:space="preserve">mg/kg </w:t>
      </w:r>
      <w:r w:rsidRPr="00B125CE">
        <w:rPr>
          <w:rFonts w:eastAsia="Times New Roman" w:cs="Arial"/>
          <w:color w:val="000000"/>
          <w:lang w:eastAsia="bg-BG"/>
        </w:rPr>
        <w:t xml:space="preserve">дневно (приблизително 1,1 пъти най-високата препоръчвана доза за възрастни при хора, базирана на </w:t>
      </w:r>
      <w:r w:rsidRPr="00B125CE">
        <w:rPr>
          <w:rFonts w:eastAsia="Times New Roman" w:cs="Arial"/>
          <w:color w:val="000000"/>
          <w:lang w:val="en-US"/>
        </w:rPr>
        <w:t>mg/m</w:t>
      </w:r>
      <w:r w:rsidRPr="00B125CE">
        <w:rPr>
          <w:rFonts w:eastAsia="Times New Roman" w:cs="Arial"/>
          <w:color w:val="000000"/>
          <w:vertAlign w:val="superscript"/>
          <w:lang w:val="en-US"/>
        </w:rPr>
        <w:t>2</w:t>
      </w:r>
      <w:r w:rsidRPr="00B125CE">
        <w:rPr>
          <w:rFonts w:eastAsia="Times New Roman" w:cs="Arial"/>
          <w:color w:val="000000"/>
          <w:lang w:val="en-US"/>
        </w:rPr>
        <w:t xml:space="preserve">), </w:t>
      </w:r>
      <w:r w:rsidRPr="00B125CE">
        <w:rPr>
          <w:rFonts w:eastAsia="Times New Roman" w:cs="Arial"/>
          <w:color w:val="000000"/>
          <w:lang w:eastAsia="bg-BG"/>
        </w:rPr>
        <w:t>не са показали ефект върху фертилитета или способността за чифтосване.</w:t>
      </w:r>
    </w:p>
    <w:p w14:paraId="699D17F4" w14:textId="77777777" w:rsidR="00B125CE" w:rsidRDefault="00B125CE" w:rsidP="00B125C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0452C32" w14:textId="56F3FF7C" w:rsidR="00B125CE" w:rsidRPr="00B125CE" w:rsidRDefault="00B125CE" w:rsidP="00B125CE">
      <w:pPr>
        <w:spacing w:line="240" w:lineRule="auto"/>
        <w:rPr>
          <w:rFonts w:eastAsia="Times New Roman" w:cs="Arial"/>
          <w:lang w:eastAsia="bg-BG"/>
        </w:rPr>
      </w:pPr>
      <w:r w:rsidRPr="00B125CE">
        <w:rPr>
          <w:rFonts w:eastAsia="Times New Roman" w:cs="Arial"/>
          <w:color w:val="000000"/>
          <w:lang w:eastAsia="bg-BG"/>
        </w:rPr>
        <w:t>Проведените проучвания на ембрио-феталното развитие с перорално приложение при плъхове и проучванията на ембрио-феталното развитие с подкожно приложение при плъхове и зайци не показват данни за токсичност на развитието, освен в дози, които предизвикват токсичност при майката.</w:t>
      </w:r>
    </w:p>
    <w:p w14:paraId="6A36F832" w14:textId="77777777" w:rsidR="00B125CE" w:rsidRPr="00B125CE" w:rsidRDefault="00B125CE" w:rsidP="00B125CE"/>
    <w:p w14:paraId="357049A8" w14:textId="4AACD8A9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6400B03F" w14:textId="09764D76" w:rsidR="00B125CE" w:rsidRDefault="00B125CE" w:rsidP="00B125CE"/>
    <w:p w14:paraId="20883BD4" w14:textId="77777777" w:rsidR="00B125CE" w:rsidRPr="00B125CE" w:rsidRDefault="00B125CE" w:rsidP="00B125CE">
      <w:pPr>
        <w:rPr>
          <w:sz w:val="24"/>
          <w:szCs w:val="24"/>
          <w:lang w:val="en-US" w:eastAsia="bg-BG"/>
        </w:rPr>
      </w:pPr>
      <w:r w:rsidRPr="00B125CE">
        <w:rPr>
          <w:lang w:val="en-US"/>
        </w:rPr>
        <w:t xml:space="preserve">Pfizer Europe </w:t>
      </w:r>
      <w:r w:rsidRPr="00B125CE">
        <w:rPr>
          <w:lang w:eastAsia="bg-BG"/>
        </w:rPr>
        <w:t xml:space="preserve">МА </w:t>
      </w:r>
      <w:r w:rsidRPr="00B125CE">
        <w:rPr>
          <w:lang w:val="en-US"/>
        </w:rPr>
        <w:t>EEIG</w:t>
      </w:r>
    </w:p>
    <w:p w14:paraId="256BFAAD" w14:textId="77777777" w:rsidR="00B125CE" w:rsidRPr="00B125CE" w:rsidRDefault="00B125CE" w:rsidP="00B125CE">
      <w:pPr>
        <w:rPr>
          <w:sz w:val="24"/>
          <w:szCs w:val="24"/>
          <w:lang w:val="en-US" w:eastAsia="bg-BG"/>
        </w:rPr>
      </w:pPr>
      <w:r w:rsidRPr="00B125CE">
        <w:rPr>
          <w:lang w:val="en-US"/>
        </w:rPr>
        <w:t>Boulevard de la Plaine 17</w:t>
      </w:r>
    </w:p>
    <w:p w14:paraId="3A7C7D57" w14:textId="77777777" w:rsidR="00B125CE" w:rsidRPr="00B125CE" w:rsidRDefault="00B125CE" w:rsidP="00B125CE">
      <w:pPr>
        <w:rPr>
          <w:sz w:val="24"/>
          <w:szCs w:val="24"/>
          <w:lang w:val="en-US" w:eastAsia="bg-BG"/>
        </w:rPr>
      </w:pPr>
      <w:r w:rsidRPr="00B125CE">
        <w:rPr>
          <w:lang w:val="en-US"/>
        </w:rPr>
        <w:t xml:space="preserve">1050 </w:t>
      </w:r>
      <w:proofErr w:type="spellStart"/>
      <w:r w:rsidRPr="00B125CE">
        <w:rPr>
          <w:lang w:val="en-US"/>
        </w:rPr>
        <w:t>Bruxelles</w:t>
      </w:r>
      <w:proofErr w:type="spellEnd"/>
    </w:p>
    <w:p w14:paraId="1A8662EA" w14:textId="54E138D0" w:rsidR="00B125CE" w:rsidRPr="00B125CE" w:rsidRDefault="00B125CE" w:rsidP="00B125CE">
      <w:r w:rsidRPr="00B125CE">
        <w:rPr>
          <w:lang w:eastAsia="bg-BG"/>
        </w:rPr>
        <w:t>Белгия</w:t>
      </w:r>
    </w:p>
    <w:p w14:paraId="0A53321D" w14:textId="26EDAA39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06A81CA9" w14:textId="7A602B99" w:rsidR="00B125CE" w:rsidRDefault="00B125CE" w:rsidP="00B125CE"/>
    <w:p w14:paraId="5675933A" w14:textId="795F642E" w:rsidR="00B125CE" w:rsidRPr="00B125CE" w:rsidRDefault="00B125CE" w:rsidP="00B125CE">
      <w:pPr>
        <w:rPr>
          <w:sz w:val="24"/>
          <w:szCs w:val="24"/>
          <w:lang w:val="en-US" w:eastAsia="bg-BG"/>
        </w:rPr>
      </w:pPr>
      <w:r w:rsidRPr="00B125CE">
        <w:rPr>
          <w:lang w:val="en-US"/>
        </w:rPr>
        <w:t>20040152</w:t>
      </w:r>
    </w:p>
    <w:p w14:paraId="7C2688F5" w14:textId="6D610EDF" w:rsidR="00F62E44" w:rsidRDefault="00F62E44" w:rsidP="00F62E44"/>
    <w:p w14:paraId="00481C21" w14:textId="371A7457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0CEDF970" w14:textId="2086EA46" w:rsidR="00B125CE" w:rsidRDefault="00B125CE" w:rsidP="00B125CE"/>
    <w:p w14:paraId="5FAD1DE4" w14:textId="77777777" w:rsidR="00B125CE" w:rsidRPr="00B125CE" w:rsidRDefault="00B125CE" w:rsidP="00B125CE">
      <w:pPr>
        <w:rPr>
          <w:sz w:val="24"/>
          <w:szCs w:val="24"/>
          <w:lang w:eastAsia="bg-BG"/>
        </w:rPr>
      </w:pPr>
      <w:r w:rsidRPr="00B125CE">
        <w:rPr>
          <w:lang w:eastAsia="bg-BG"/>
        </w:rPr>
        <w:lastRenderedPageBreak/>
        <w:t>Дата на първо разрешаване: 20 септември 1994 г.</w:t>
      </w:r>
    </w:p>
    <w:p w14:paraId="72D635D3" w14:textId="0F609025" w:rsidR="00B125CE" w:rsidRPr="00B125CE" w:rsidRDefault="00B125CE" w:rsidP="00B125CE">
      <w:r w:rsidRPr="00B125CE">
        <w:rPr>
          <w:lang w:eastAsia="bg-BG"/>
        </w:rPr>
        <w:t>Дата на последно подновяване: 04 август 2010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125CE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2023-03-03T22:45:00Z</dcterms:created>
  <dcterms:modified xsi:type="dcterms:W3CDTF">2023-03-03T22:45:00Z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