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8FD21D5" w:rsidR="007122AD" w:rsidRDefault="00DD466D" w:rsidP="00936AD0">
      <w:pPr>
        <w:pStyle w:val="Heading1"/>
      </w:pPr>
      <w:r>
        <w:t>1.ИМЕ НА ЛЕКАРСТВЕНИЯ ПРОДУКТ</w:t>
      </w:r>
    </w:p>
    <w:p w14:paraId="0207DEEB" w14:textId="02FF9E7D" w:rsidR="00C74717" w:rsidRDefault="00C74717" w:rsidP="00C74717"/>
    <w:p w14:paraId="5601FA07" w14:textId="77777777" w:rsidR="00C74717" w:rsidRPr="00C74717" w:rsidRDefault="00C74717" w:rsidP="00C74717">
      <w:pPr>
        <w:rPr>
          <w:sz w:val="24"/>
          <w:szCs w:val="24"/>
        </w:rPr>
      </w:pPr>
      <w:r w:rsidRPr="00C74717">
        <w:rPr>
          <w:lang w:eastAsia="bg-BG"/>
        </w:rPr>
        <w:t xml:space="preserve">ДАЛМЕВИН 50 </w:t>
      </w:r>
      <w:r w:rsidRPr="00C74717">
        <w:rPr>
          <w:lang w:val="en-US"/>
        </w:rPr>
        <w:t>mg</w:t>
      </w:r>
      <w:r w:rsidRPr="00C74717">
        <w:t xml:space="preserve"> </w:t>
      </w:r>
      <w:r w:rsidRPr="00C74717">
        <w:rPr>
          <w:lang w:eastAsia="bg-BG"/>
        </w:rPr>
        <w:t>таблетки</w:t>
      </w:r>
    </w:p>
    <w:p w14:paraId="236FCEF9" w14:textId="24E1B5C3" w:rsidR="00C74717" w:rsidRPr="00C74717" w:rsidRDefault="00C74717" w:rsidP="00C74717">
      <w:r w:rsidRPr="00C74717">
        <w:rPr>
          <w:lang w:val="en-US"/>
        </w:rPr>
        <w:t>DALMEVIN</w:t>
      </w:r>
      <w:r w:rsidRPr="00C74717">
        <w:t xml:space="preserve"> </w:t>
      </w:r>
      <w:r w:rsidRPr="00C74717">
        <w:rPr>
          <w:lang w:eastAsia="bg-BG"/>
        </w:rPr>
        <w:t xml:space="preserve">50 </w:t>
      </w:r>
      <w:r w:rsidRPr="00C74717">
        <w:rPr>
          <w:lang w:val="en-US"/>
        </w:rPr>
        <w:t>mg</w:t>
      </w:r>
      <w:r w:rsidRPr="00C74717">
        <w:t xml:space="preserve"> </w:t>
      </w:r>
      <w:r w:rsidRPr="00C74717">
        <w:rPr>
          <w:lang w:val="en-US"/>
        </w:rPr>
        <w:t>tablets</w:t>
      </w:r>
    </w:p>
    <w:p w14:paraId="6920A680" w14:textId="0206BDCE" w:rsidR="00C40420" w:rsidRDefault="00DD466D" w:rsidP="004A448E">
      <w:pPr>
        <w:pStyle w:val="Heading1"/>
      </w:pPr>
      <w:r>
        <w:t>2. КАЧЕСТВЕН И КОЛИЧЕСТВЕН СЪСТАВ</w:t>
      </w:r>
    </w:p>
    <w:p w14:paraId="57AC31A5" w14:textId="03F96E6C" w:rsidR="00C74717" w:rsidRDefault="00C74717" w:rsidP="00C74717"/>
    <w:p w14:paraId="6F5BB88E"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Всяка таблетка съдържа 50 </w:t>
      </w:r>
      <w:r w:rsidRPr="00C74717">
        <w:rPr>
          <w:rFonts w:eastAsia="Times New Roman" w:cs="Arial"/>
          <w:color w:val="000000"/>
          <w:szCs w:val="20"/>
          <w:lang w:val="en-US"/>
        </w:rPr>
        <w:t>mg</w:t>
      </w:r>
      <w:r w:rsidRPr="00C74717">
        <w:rPr>
          <w:rFonts w:eastAsia="Times New Roman" w:cs="Arial"/>
          <w:color w:val="000000"/>
          <w:szCs w:val="20"/>
        </w:rPr>
        <w:t xml:space="preserve"> </w:t>
      </w:r>
      <w:r w:rsidRPr="00C74717">
        <w:rPr>
          <w:rFonts w:eastAsia="Times New Roman" w:cs="Arial"/>
          <w:color w:val="000000"/>
          <w:szCs w:val="20"/>
          <w:lang w:eastAsia="bg-BG"/>
        </w:rPr>
        <w:t xml:space="preserve">вилдаглиптин </w:t>
      </w:r>
      <w:r w:rsidRPr="00C74717">
        <w:rPr>
          <w:rFonts w:eastAsia="Times New Roman" w:cs="Arial"/>
          <w:color w:val="000000"/>
          <w:szCs w:val="20"/>
        </w:rPr>
        <w:t>(</w:t>
      </w:r>
      <w:proofErr w:type="spellStart"/>
      <w:r w:rsidRPr="00C74717">
        <w:rPr>
          <w:rFonts w:eastAsia="Times New Roman" w:cs="Arial"/>
          <w:color w:val="000000"/>
          <w:szCs w:val="20"/>
          <w:lang w:val="en-US"/>
        </w:rPr>
        <w:t>vildagliptin</w:t>
      </w:r>
      <w:proofErr w:type="spellEnd"/>
      <w:r w:rsidRPr="00C74717">
        <w:rPr>
          <w:rFonts w:eastAsia="Times New Roman" w:cs="Arial"/>
          <w:color w:val="000000"/>
          <w:szCs w:val="20"/>
        </w:rPr>
        <w:t>).</w:t>
      </w:r>
    </w:p>
    <w:p w14:paraId="16BCCBD3" w14:textId="77777777" w:rsidR="00C74717" w:rsidRPr="00C74717" w:rsidRDefault="00C74717" w:rsidP="00C74717">
      <w:pPr>
        <w:rPr>
          <w:rFonts w:eastAsia="Times New Roman" w:cs="Arial"/>
          <w:color w:val="000000"/>
          <w:szCs w:val="20"/>
          <w:u w:val="single"/>
          <w:lang w:eastAsia="bg-BG"/>
        </w:rPr>
      </w:pPr>
    </w:p>
    <w:p w14:paraId="130DE9CC" w14:textId="79358F06" w:rsidR="00C74717" w:rsidRPr="00C74717" w:rsidRDefault="00C74717" w:rsidP="00C74717">
      <w:pPr>
        <w:rPr>
          <w:rFonts w:cs="Arial"/>
          <w:sz w:val="24"/>
        </w:rPr>
      </w:pPr>
      <w:r w:rsidRPr="00C74717">
        <w:rPr>
          <w:rFonts w:eastAsia="Times New Roman" w:cs="Arial"/>
          <w:color w:val="000000"/>
          <w:szCs w:val="20"/>
          <w:u w:val="single"/>
          <w:lang w:eastAsia="bg-BG"/>
        </w:rPr>
        <w:t>Помощно вещество с известно действие</w:t>
      </w:r>
      <w:r w:rsidRPr="00C74717">
        <w:rPr>
          <w:rFonts w:eastAsia="Times New Roman" w:cs="Arial"/>
          <w:color w:val="000000"/>
          <w:szCs w:val="20"/>
          <w:lang w:eastAsia="bg-BG"/>
        </w:rPr>
        <w:t xml:space="preserve">: всяка таблетка съдържа 48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лактоза.</w:t>
      </w:r>
    </w:p>
    <w:p w14:paraId="614984C4" w14:textId="1D102999" w:rsidR="008A6AF2" w:rsidRDefault="00DD466D" w:rsidP="002C50EE">
      <w:pPr>
        <w:pStyle w:val="Heading1"/>
      </w:pPr>
      <w:r>
        <w:t>3. ЛЕКАРСТВЕНА ФОРМА</w:t>
      </w:r>
    </w:p>
    <w:p w14:paraId="10189054" w14:textId="19658D68" w:rsidR="00C74717" w:rsidRDefault="00C74717" w:rsidP="00C74717"/>
    <w:p w14:paraId="6B94338B" w14:textId="77777777" w:rsidR="00C74717" w:rsidRPr="00C74717" w:rsidRDefault="00C74717" w:rsidP="00C74717">
      <w:pPr>
        <w:rPr>
          <w:sz w:val="24"/>
          <w:szCs w:val="24"/>
        </w:rPr>
      </w:pPr>
      <w:r w:rsidRPr="00C74717">
        <w:rPr>
          <w:lang w:eastAsia="bg-BG"/>
        </w:rPr>
        <w:t>Таблетка</w:t>
      </w:r>
    </w:p>
    <w:p w14:paraId="2F8A3F87" w14:textId="77777777" w:rsidR="00C74717" w:rsidRPr="00C74717" w:rsidRDefault="00C74717" w:rsidP="00C74717">
      <w:pPr>
        <w:rPr>
          <w:sz w:val="24"/>
          <w:szCs w:val="24"/>
        </w:rPr>
      </w:pPr>
      <w:r w:rsidRPr="00C74717">
        <w:rPr>
          <w:lang w:eastAsia="bg-BG"/>
        </w:rPr>
        <w:t xml:space="preserve">Бели до светло жълти, кръгли с плоски скосени ръбове нефилмирани таблетки, гладки от двете страни с диаметър 8 </w:t>
      </w:r>
      <w:r w:rsidRPr="00C74717">
        <w:rPr>
          <w:lang w:val="en-US"/>
        </w:rPr>
        <w:t>mm</w:t>
      </w:r>
      <w:r w:rsidRPr="00C74717">
        <w:rPr>
          <w:lang w:val="ru-RU"/>
        </w:rPr>
        <w:t>.</w:t>
      </w:r>
    </w:p>
    <w:p w14:paraId="67EE8CAB" w14:textId="77777777" w:rsidR="00C74717" w:rsidRPr="00C74717" w:rsidRDefault="00C74717" w:rsidP="00C74717"/>
    <w:p w14:paraId="490FC2C4" w14:textId="0F4A4A75" w:rsidR="002C50EE" w:rsidRDefault="002C50EE" w:rsidP="002C50EE">
      <w:pPr>
        <w:pStyle w:val="Heading1"/>
      </w:pPr>
      <w:r>
        <w:t>4. КЛИНИЧНИ ДАННИ</w:t>
      </w:r>
    </w:p>
    <w:p w14:paraId="74330405" w14:textId="65B3E466" w:rsidR="007122AD" w:rsidRDefault="002C50EE" w:rsidP="00936AD0">
      <w:pPr>
        <w:pStyle w:val="Heading2"/>
      </w:pPr>
      <w:r>
        <w:t>4.1. Терапевтични показания</w:t>
      </w:r>
    </w:p>
    <w:p w14:paraId="414E0C66" w14:textId="6A3E7BBF" w:rsidR="00C74717" w:rsidRDefault="00C74717" w:rsidP="00C74717"/>
    <w:p w14:paraId="18BB5F4F"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Вилдаглиптин е показан като допълнение към диетата и упражненията за подобрение на гликемичния контрол при възрастни със захарен диабет тип 2:</w:t>
      </w:r>
    </w:p>
    <w:p w14:paraId="0CDEA19C" w14:textId="77777777" w:rsidR="00C74717" w:rsidRPr="00C74717" w:rsidRDefault="00C74717" w:rsidP="00C74717">
      <w:pPr>
        <w:pStyle w:val="ListParagraph"/>
        <w:numPr>
          <w:ilvl w:val="0"/>
          <w:numId w:val="37"/>
        </w:numPr>
        <w:spacing w:line="240" w:lineRule="auto"/>
        <w:rPr>
          <w:rFonts w:eastAsia="Times New Roman" w:cs="Arial"/>
          <w:color w:val="000000"/>
          <w:szCs w:val="20"/>
          <w:lang w:eastAsia="bg-BG"/>
        </w:rPr>
      </w:pPr>
      <w:r w:rsidRPr="00C74717">
        <w:rPr>
          <w:rFonts w:eastAsia="Times New Roman" w:cs="Arial"/>
          <w:color w:val="000000"/>
          <w:szCs w:val="20"/>
          <w:lang w:eastAsia="bg-BG"/>
        </w:rPr>
        <w:t>като монотерапия при пациенти, за които метформин е неподходящ поради противопоказания или непоносимост.</w:t>
      </w:r>
    </w:p>
    <w:p w14:paraId="7A1E2E4B" w14:textId="1E39673A" w:rsidR="00C74717" w:rsidRPr="00C74717" w:rsidRDefault="00C74717" w:rsidP="00C74717">
      <w:pPr>
        <w:pStyle w:val="ListParagraph"/>
        <w:numPr>
          <w:ilvl w:val="0"/>
          <w:numId w:val="37"/>
        </w:numPr>
        <w:spacing w:line="240" w:lineRule="auto"/>
        <w:rPr>
          <w:rFonts w:eastAsia="Times New Roman" w:cs="Arial"/>
          <w:color w:val="000000"/>
          <w:szCs w:val="20"/>
          <w:lang w:eastAsia="bg-BG"/>
        </w:rPr>
      </w:pPr>
      <w:r w:rsidRPr="00C74717">
        <w:rPr>
          <w:rFonts w:eastAsia="Times New Roman" w:cs="Arial"/>
          <w:color w:val="000000"/>
          <w:szCs w:val="20"/>
          <w:lang w:eastAsia="bg-BG"/>
        </w:rPr>
        <w:t>в комбинация с други лекарствени продукта за лечение на диабет, включително инсулин, когато те не осигуряват адекватен гликемичен контрол (вж. точка 4.4,4.5 и 5.1 за налични данни относно различните комбинации)</w:t>
      </w:r>
    </w:p>
    <w:p w14:paraId="1B39D02F" w14:textId="77777777" w:rsidR="00C74717" w:rsidRPr="00C74717" w:rsidRDefault="00C74717" w:rsidP="00C74717">
      <w:pPr>
        <w:spacing w:line="240" w:lineRule="auto"/>
        <w:rPr>
          <w:rFonts w:ascii="Times New Roman" w:eastAsia="Times New Roman" w:hAnsi="Times New Roman" w:cs="Times New Roman"/>
          <w:color w:val="000000"/>
          <w:sz w:val="20"/>
          <w:szCs w:val="20"/>
          <w:lang w:eastAsia="bg-BG"/>
        </w:rPr>
      </w:pPr>
    </w:p>
    <w:p w14:paraId="53F5B866" w14:textId="16ED0730" w:rsidR="007122AD" w:rsidRDefault="002C50EE" w:rsidP="00936AD0">
      <w:pPr>
        <w:pStyle w:val="Heading2"/>
      </w:pPr>
      <w:r>
        <w:t>4.2. Дозировка и начин на приложение</w:t>
      </w:r>
    </w:p>
    <w:p w14:paraId="66C40803" w14:textId="0974499D" w:rsidR="00C74717" w:rsidRDefault="00C74717" w:rsidP="00C74717"/>
    <w:p w14:paraId="75F07B1B" w14:textId="77777777" w:rsidR="00C74717" w:rsidRPr="00C74717" w:rsidRDefault="00C74717" w:rsidP="00C74717">
      <w:pPr>
        <w:pStyle w:val="Heading3"/>
        <w:rPr>
          <w:rFonts w:eastAsia="Times New Roman"/>
          <w:sz w:val="28"/>
          <w:u w:val="single"/>
        </w:rPr>
      </w:pPr>
      <w:r w:rsidRPr="00C74717">
        <w:rPr>
          <w:rFonts w:eastAsia="Times New Roman"/>
          <w:u w:val="single"/>
          <w:lang w:eastAsia="bg-BG"/>
        </w:rPr>
        <w:t>Дозировка</w:t>
      </w:r>
    </w:p>
    <w:p w14:paraId="25AFA2E3" w14:textId="77777777" w:rsidR="00C74717" w:rsidRPr="00C74717" w:rsidRDefault="00C74717" w:rsidP="00C74717">
      <w:pPr>
        <w:spacing w:line="240" w:lineRule="auto"/>
        <w:rPr>
          <w:rFonts w:eastAsia="Times New Roman" w:cs="Arial"/>
          <w:sz w:val="28"/>
          <w:szCs w:val="24"/>
        </w:rPr>
      </w:pPr>
      <w:r w:rsidRPr="00C74717">
        <w:rPr>
          <w:rFonts w:eastAsia="Times New Roman" w:cs="Arial"/>
          <w:i/>
          <w:iCs/>
          <w:color w:val="000000"/>
          <w:szCs w:val="20"/>
          <w:lang w:eastAsia="bg-BG"/>
        </w:rPr>
        <w:t>Възрастни</w:t>
      </w:r>
    </w:p>
    <w:p w14:paraId="5E089D7A"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Когато се прилага като монотерапия, в комбинация с метформин, в комбинация с тиазолидиндион, в комбинация с метформин и сулфонилурея или в комбинация с инсулин (със или без метформин) препоръчителната дневна доза вилдаглиптин е 100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приемани като една доза от 50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сутрин и една доза от 50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вечер.</w:t>
      </w:r>
    </w:p>
    <w:p w14:paraId="167D6439" w14:textId="77777777" w:rsidR="00C74717" w:rsidRPr="00C74717" w:rsidRDefault="00C74717" w:rsidP="00C74717">
      <w:pPr>
        <w:spacing w:line="240" w:lineRule="auto"/>
        <w:rPr>
          <w:rFonts w:eastAsia="Times New Roman" w:cs="Arial"/>
          <w:color w:val="000000"/>
          <w:szCs w:val="20"/>
          <w:lang w:eastAsia="bg-BG"/>
        </w:rPr>
      </w:pPr>
    </w:p>
    <w:p w14:paraId="0B8E484F" w14:textId="26D00C8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Когато се прилага в двойна комбинация със сулфонилурея, препоръчителната доза вилдаглиптин е 50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веднъж дневно, приемани сутрин. В тази група пациенти вилдаглиптин 100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дневно не е бил по-ефективен от вилдаглиптин 50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веднъж дневно.</w:t>
      </w:r>
    </w:p>
    <w:p w14:paraId="780C9617" w14:textId="77777777" w:rsidR="00C74717" w:rsidRPr="00C74717" w:rsidRDefault="00C74717" w:rsidP="00C74717">
      <w:pPr>
        <w:spacing w:line="240" w:lineRule="auto"/>
        <w:rPr>
          <w:rFonts w:eastAsia="Times New Roman" w:cs="Arial"/>
          <w:color w:val="000000"/>
          <w:szCs w:val="20"/>
          <w:lang w:eastAsia="bg-BG"/>
        </w:rPr>
      </w:pPr>
    </w:p>
    <w:p w14:paraId="6C78C342" w14:textId="01035626"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lastRenderedPageBreak/>
        <w:t>Когато се прилага в комбинация със сулфонилурея, може да се обмисли по-ниска доза сулфонилурея, за да се намали рискът от хипогликемия.</w:t>
      </w:r>
    </w:p>
    <w:p w14:paraId="569C2730" w14:textId="77777777" w:rsidR="00C74717" w:rsidRPr="00C74717" w:rsidRDefault="00C74717" w:rsidP="00C74717">
      <w:pPr>
        <w:spacing w:line="240" w:lineRule="auto"/>
        <w:rPr>
          <w:rFonts w:eastAsia="Times New Roman" w:cs="Arial"/>
          <w:color w:val="000000"/>
          <w:szCs w:val="20"/>
          <w:lang w:eastAsia="bg-BG"/>
        </w:rPr>
      </w:pPr>
    </w:p>
    <w:p w14:paraId="6FE79C88" w14:textId="15E6E998"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Дози по-високи от 100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не се препоръчват.</w:t>
      </w:r>
    </w:p>
    <w:p w14:paraId="4D1F36B3" w14:textId="77777777" w:rsidR="00C74717" w:rsidRPr="00C74717" w:rsidRDefault="00C74717" w:rsidP="00C74717">
      <w:pPr>
        <w:rPr>
          <w:rFonts w:eastAsia="Times New Roman" w:cs="Arial"/>
          <w:color w:val="000000"/>
          <w:szCs w:val="20"/>
          <w:lang w:eastAsia="bg-BG"/>
        </w:rPr>
      </w:pPr>
    </w:p>
    <w:p w14:paraId="7D658602" w14:textId="41823E5B" w:rsidR="00C74717" w:rsidRPr="00C74717" w:rsidRDefault="00C74717" w:rsidP="00C74717">
      <w:pPr>
        <w:rPr>
          <w:rFonts w:eastAsia="Times New Roman" w:cs="Arial"/>
          <w:color w:val="000000"/>
          <w:szCs w:val="20"/>
          <w:lang w:eastAsia="bg-BG"/>
        </w:rPr>
      </w:pPr>
      <w:r w:rsidRPr="00C74717">
        <w:rPr>
          <w:rFonts w:eastAsia="Times New Roman" w:cs="Arial"/>
          <w:color w:val="000000"/>
          <w:szCs w:val="20"/>
          <w:lang w:eastAsia="bg-BG"/>
        </w:rPr>
        <w:t>Ако се пропусне приема на доза вилдаглиптин, той трябва да бъде приет веднага след като пациентът си спомни. Не трябва да се приема двойна доза в един ден.</w:t>
      </w:r>
    </w:p>
    <w:p w14:paraId="3C9EEDEB" w14:textId="381A2770" w:rsidR="00C74717" w:rsidRPr="00C74717" w:rsidRDefault="00C74717" w:rsidP="00C74717">
      <w:pPr>
        <w:rPr>
          <w:rFonts w:eastAsia="Times New Roman" w:cs="Arial"/>
          <w:color w:val="000000"/>
          <w:szCs w:val="20"/>
          <w:lang w:eastAsia="bg-BG"/>
        </w:rPr>
      </w:pPr>
    </w:p>
    <w:p w14:paraId="33EDDC29"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Безопасността и ефикасността на вилдаглиптин като тройна перорална терапия в комбинация с метформин и тиазолидиндион не е установена.</w:t>
      </w:r>
    </w:p>
    <w:p w14:paraId="6D073EA4" w14:textId="77777777" w:rsidR="00C74717" w:rsidRPr="00C74717" w:rsidRDefault="00C74717" w:rsidP="00C74717">
      <w:pPr>
        <w:spacing w:line="240" w:lineRule="auto"/>
        <w:rPr>
          <w:rFonts w:eastAsia="Times New Roman" w:cs="Arial"/>
          <w:color w:val="000000"/>
          <w:szCs w:val="20"/>
          <w:u w:val="single"/>
          <w:lang w:eastAsia="bg-BG"/>
        </w:rPr>
      </w:pPr>
    </w:p>
    <w:p w14:paraId="4723EB7C" w14:textId="090702E8"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t>Допълнителна информация при специални популации</w:t>
      </w:r>
    </w:p>
    <w:p w14:paraId="480DBEAD" w14:textId="77777777" w:rsidR="00C74717" w:rsidRPr="00C74717" w:rsidRDefault="00C74717" w:rsidP="00C74717">
      <w:pPr>
        <w:spacing w:line="240" w:lineRule="auto"/>
        <w:rPr>
          <w:rFonts w:eastAsia="Times New Roman" w:cs="Arial"/>
          <w:sz w:val="28"/>
          <w:szCs w:val="24"/>
        </w:rPr>
      </w:pPr>
      <w:r w:rsidRPr="00C74717">
        <w:rPr>
          <w:rFonts w:eastAsia="Times New Roman" w:cs="Arial"/>
          <w:i/>
          <w:iCs/>
          <w:color w:val="000000"/>
          <w:szCs w:val="20"/>
          <w:lang w:eastAsia="bg-BG"/>
        </w:rPr>
        <w:t>Пациенти в старческа възраст (≥ 65 години)</w:t>
      </w:r>
    </w:p>
    <w:p w14:paraId="5258C964"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Не е необходимо адаптиране на дозата при пациенти в старческа възраст (вижте точки 5.1 и 5.2).</w:t>
      </w:r>
    </w:p>
    <w:p w14:paraId="4143FD8A" w14:textId="77777777" w:rsidR="00C74717" w:rsidRPr="00C74717" w:rsidRDefault="00C74717" w:rsidP="00C74717">
      <w:pPr>
        <w:spacing w:line="240" w:lineRule="auto"/>
        <w:rPr>
          <w:rFonts w:eastAsia="Times New Roman" w:cs="Arial"/>
          <w:i/>
          <w:iCs/>
          <w:color w:val="000000"/>
          <w:szCs w:val="20"/>
          <w:lang w:eastAsia="bg-BG"/>
        </w:rPr>
      </w:pPr>
    </w:p>
    <w:p w14:paraId="3332D34D" w14:textId="49FB1AE7" w:rsidR="00C74717" w:rsidRPr="00C74717" w:rsidRDefault="00C74717" w:rsidP="00C74717">
      <w:pPr>
        <w:spacing w:line="240" w:lineRule="auto"/>
        <w:rPr>
          <w:rFonts w:eastAsia="Times New Roman" w:cs="Arial"/>
          <w:sz w:val="28"/>
          <w:szCs w:val="24"/>
        </w:rPr>
      </w:pPr>
      <w:r w:rsidRPr="00C74717">
        <w:rPr>
          <w:rFonts w:eastAsia="Times New Roman" w:cs="Arial"/>
          <w:i/>
          <w:iCs/>
          <w:color w:val="000000"/>
          <w:szCs w:val="20"/>
          <w:lang w:eastAsia="bg-BG"/>
        </w:rPr>
        <w:t>Бъбречно увреждане</w:t>
      </w:r>
    </w:p>
    <w:p w14:paraId="3FE0FFDF"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Не е необходимо адаптиране на дозата при пациенти с леко бъбречно увреждане (креатининов клирънс ≥50 </w:t>
      </w:r>
      <w:r w:rsidRPr="00C74717">
        <w:rPr>
          <w:rFonts w:eastAsia="Times New Roman" w:cs="Arial"/>
          <w:color w:val="000000"/>
          <w:szCs w:val="20"/>
          <w:lang w:val="en-US"/>
        </w:rPr>
        <w:t>ml</w:t>
      </w:r>
      <w:r w:rsidRPr="00C74717">
        <w:rPr>
          <w:rFonts w:eastAsia="Times New Roman" w:cs="Arial"/>
          <w:color w:val="000000"/>
          <w:szCs w:val="20"/>
          <w:lang w:val="ru-RU"/>
        </w:rPr>
        <w:t>/</w:t>
      </w:r>
      <w:r w:rsidRPr="00C74717">
        <w:rPr>
          <w:rFonts w:eastAsia="Times New Roman" w:cs="Arial"/>
          <w:color w:val="000000"/>
          <w:szCs w:val="20"/>
          <w:lang w:val="en-US"/>
        </w:rPr>
        <w:t>min</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При пациенти с умерено или тежко бъбречно увреждане, или с терминална бъбречна недостатъчност </w:t>
      </w:r>
      <w:r w:rsidRPr="00C74717">
        <w:rPr>
          <w:rFonts w:eastAsia="Times New Roman" w:cs="Arial"/>
          <w:color w:val="000000"/>
          <w:szCs w:val="20"/>
          <w:lang w:val="ru-RU"/>
        </w:rPr>
        <w:t>(</w:t>
      </w:r>
      <w:r w:rsidRPr="00C74717">
        <w:rPr>
          <w:rFonts w:eastAsia="Times New Roman" w:cs="Arial"/>
          <w:color w:val="000000"/>
          <w:szCs w:val="20"/>
          <w:lang w:val="en-US"/>
        </w:rPr>
        <w:t>ESRD</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препоръчителната доза вилдаглиптин е 50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веднъж дневно (вижте също точки 4.4,5.1 и 5.2).</w:t>
      </w:r>
    </w:p>
    <w:p w14:paraId="22168355" w14:textId="77777777" w:rsidR="00C74717" w:rsidRPr="00C74717" w:rsidRDefault="00C74717" w:rsidP="00C74717">
      <w:pPr>
        <w:spacing w:line="240" w:lineRule="auto"/>
        <w:rPr>
          <w:rFonts w:eastAsia="Times New Roman" w:cs="Arial"/>
          <w:i/>
          <w:iCs/>
          <w:color w:val="000000"/>
          <w:szCs w:val="20"/>
          <w:lang w:eastAsia="bg-BG"/>
        </w:rPr>
      </w:pPr>
    </w:p>
    <w:p w14:paraId="35C4F21E" w14:textId="68626701" w:rsidR="00C74717" w:rsidRPr="00C74717" w:rsidRDefault="00C74717" w:rsidP="00C74717">
      <w:pPr>
        <w:spacing w:line="240" w:lineRule="auto"/>
        <w:rPr>
          <w:rFonts w:eastAsia="Times New Roman" w:cs="Arial"/>
          <w:sz w:val="28"/>
          <w:szCs w:val="24"/>
        </w:rPr>
      </w:pPr>
      <w:r w:rsidRPr="00C74717">
        <w:rPr>
          <w:rFonts w:eastAsia="Times New Roman" w:cs="Arial"/>
          <w:i/>
          <w:iCs/>
          <w:color w:val="000000"/>
          <w:szCs w:val="20"/>
          <w:lang w:eastAsia="bg-BG"/>
        </w:rPr>
        <w:t>Чернодробно увреждане</w:t>
      </w:r>
    </w:p>
    <w:p w14:paraId="5F893626"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ДАЛМЕВИН не трябва да бъде прилаган при пациенти с чернодробно увреждане, включително при пациенти със стойности на аланин аминотрансфераза </w:t>
      </w:r>
      <w:r w:rsidRPr="00C74717">
        <w:rPr>
          <w:rFonts w:eastAsia="Times New Roman" w:cs="Arial"/>
          <w:color w:val="000000"/>
          <w:szCs w:val="20"/>
          <w:lang w:val="ru-RU"/>
        </w:rPr>
        <w:t>(</w:t>
      </w:r>
      <w:r w:rsidRPr="00C74717">
        <w:rPr>
          <w:rFonts w:eastAsia="Times New Roman" w:cs="Arial"/>
          <w:color w:val="000000"/>
          <w:szCs w:val="20"/>
          <w:lang w:val="en-US"/>
        </w:rPr>
        <w:t>ALT</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и аспартат аминотрансфераза </w:t>
      </w:r>
      <w:r w:rsidRPr="00C74717">
        <w:rPr>
          <w:rFonts w:eastAsia="Times New Roman" w:cs="Arial"/>
          <w:color w:val="000000"/>
          <w:szCs w:val="20"/>
          <w:lang w:val="ru-RU"/>
        </w:rPr>
        <w:t>(</w:t>
      </w:r>
      <w:r w:rsidRPr="00C74717">
        <w:rPr>
          <w:rFonts w:eastAsia="Times New Roman" w:cs="Arial"/>
          <w:color w:val="000000"/>
          <w:szCs w:val="20"/>
          <w:lang w:val="en-US"/>
        </w:rPr>
        <w:t>AST</w:t>
      </w:r>
      <w:r w:rsidRPr="00C74717">
        <w:rPr>
          <w:rFonts w:eastAsia="Times New Roman" w:cs="Arial"/>
          <w:color w:val="000000"/>
          <w:szCs w:val="20"/>
          <w:lang w:val="ru-RU"/>
        </w:rPr>
        <w:t xml:space="preserve">) </w:t>
      </w:r>
      <w:r w:rsidRPr="00C74717">
        <w:rPr>
          <w:rFonts w:eastAsia="Times New Roman" w:cs="Arial"/>
          <w:color w:val="000000"/>
          <w:szCs w:val="20"/>
          <w:lang w:eastAsia="bg-BG"/>
        </w:rPr>
        <w:t>преди лечение &gt;3 пъти горната граница на нормата (ГГН) (вижте също точки 4.4 и 5.2).</w:t>
      </w:r>
    </w:p>
    <w:p w14:paraId="5AF14D7F" w14:textId="77777777" w:rsidR="00C74717" w:rsidRPr="00C74717" w:rsidRDefault="00C74717" w:rsidP="00C74717">
      <w:pPr>
        <w:spacing w:line="240" w:lineRule="auto"/>
        <w:rPr>
          <w:rFonts w:eastAsia="Times New Roman" w:cs="Arial"/>
          <w:i/>
          <w:iCs/>
          <w:color w:val="000000"/>
          <w:szCs w:val="20"/>
          <w:lang w:eastAsia="bg-BG"/>
        </w:rPr>
      </w:pPr>
    </w:p>
    <w:p w14:paraId="2DEF340F" w14:textId="54B911EB" w:rsidR="00C74717" w:rsidRPr="00C74717" w:rsidRDefault="00C74717" w:rsidP="00C74717">
      <w:pPr>
        <w:spacing w:line="240" w:lineRule="auto"/>
        <w:rPr>
          <w:rFonts w:eastAsia="Times New Roman" w:cs="Arial"/>
          <w:sz w:val="28"/>
          <w:szCs w:val="24"/>
        </w:rPr>
      </w:pPr>
      <w:r w:rsidRPr="00C74717">
        <w:rPr>
          <w:rFonts w:eastAsia="Times New Roman" w:cs="Arial"/>
          <w:i/>
          <w:iCs/>
          <w:color w:val="000000"/>
          <w:szCs w:val="20"/>
          <w:lang w:eastAsia="bg-BG"/>
        </w:rPr>
        <w:t>Педиатрична популация</w:t>
      </w:r>
    </w:p>
    <w:p w14:paraId="4CACFEA3"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ДАЛМЕВИН не се препоръчва за употреба при деца и юноши (&lt;18 години). Безопасността и ефикасността на вилдаглиптин при деца и юноши (&lt;18 години) не са установени. Няма налични данни (вижте също точка 5.1).</w:t>
      </w:r>
    </w:p>
    <w:p w14:paraId="3092A4F8" w14:textId="77777777" w:rsidR="00C74717" w:rsidRPr="00C74717" w:rsidRDefault="00C74717" w:rsidP="00C74717">
      <w:pPr>
        <w:spacing w:line="240" w:lineRule="auto"/>
        <w:rPr>
          <w:rFonts w:eastAsia="Times New Roman" w:cs="Arial"/>
          <w:color w:val="000000"/>
          <w:szCs w:val="20"/>
          <w:u w:val="single"/>
          <w:lang w:eastAsia="bg-BG"/>
        </w:rPr>
      </w:pPr>
    </w:p>
    <w:p w14:paraId="23B18F3B" w14:textId="7636D4E7" w:rsidR="00C74717" w:rsidRPr="00C74717" w:rsidRDefault="00C74717" w:rsidP="00C74717">
      <w:pPr>
        <w:pStyle w:val="Heading3"/>
        <w:rPr>
          <w:rFonts w:eastAsia="Times New Roman"/>
          <w:sz w:val="28"/>
          <w:u w:val="single"/>
        </w:rPr>
      </w:pPr>
      <w:r w:rsidRPr="00C74717">
        <w:rPr>
          <w:rFonts w:eastAsia="Times New Roman"/>
          <w:u w:val="single"/>
          <w:lang w:eastAsia="bg-BG"/>
        </w:rPr>
        <w:t>Начин на приложение</w:t>
      </w:r>
    </w:p>
    <w:p w14:paraId="6DD08001"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Перорално приложение.</w:t>
      </w:r>
    </w:p>
    <w:p w14:paraId="72CBA1B1"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ДАЛМЕВИН може да се прилага със или без храна (вижте също точка 5.2).</w:t>
      </w:r>
    </w:p>
    <w:p w14:paraId="5E67D013" w14:textId="77777777" w:rsidR="00C74717" w:rsidRPr="00C74717" w:rsidRDefault="00C74717" w:rsidP="00C74717"/>
    <w:p w14:paraId="0F253247" w14:textId="5A0B9584" w:rsidR="007122AD" w:rsidRDefault="002C50EE" w:rsidP="00936AD0">
      <w:pPr>
        <w:pStyle w:val="Heading2"/>
      </w:pPr>
      <w:r>
        <w:t>4.3. Противопоказания</w:t>
      </w:r>
    </w:p>
    <w:p w14:paraId="0973D60E" w14:textId="3BE78D2F" w:rsidR="00C74717" w:rsidRDefault="00C74717" w:rsidP="00C74717"/>
    <w:p w14:paraId="3D202375" w14:textId="60C863A7" w:rsidR="00C74717" w:rsidRDefault="00C74717" w:rsidP="00C74717">
      <w:r>
        <w:t>Свръхчувствителност към активното вещество или към някое от помощните вещества, изброени в точка 6.</w:t>
      </w:r>
    </w:p>
    <w:p w14:paraId="02A3E932" w14:textId="77777777" w:rsidR="00C74717" w:rsidRPr="00C74717" w:rsidRDefault="00C74717" w:rsidP="00C74717"/>
    <w:p w14:paraId="0E0BDCC7" w14:textId="489BCE6C" w:rsidR="007122AD" w:rsidRDefault="002C50EE" w:rsidP="00936AD0">
      <w:pPr>
        <w:pStyle w:val="Heading2"/>
      </w:pPr>
      <w:r>
        <w:t>4.4. Специални предупреждения и предпазни мерки при употреба</w:t>
      </w:r>
    </w:p>
    <w:p w14:paraId="1C4ACF0B" w14:textId="7CF5893F" w:rsidR="00C74717" w:rsidRDefault="00C74717" w:rsidP="00C74717"/>
    <w:p w14:paraId="29C72D9B"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t>Общи</w:t>
      </w:r>
    </w:p>
    <w:p w14:paraId="592D5D43"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Вилдаглиптин не е заместител на инсулин при инсулин-зависими пациенти. ДАЛМЕВИН не трябва да се прилага при пациенти с диабет тип 1 или за лечение на диабетна кетоацидоза.</w:t>
      </w:r>
    </w:p>
    <w:p w14:paraId="1388FFF8" w14:textId="77777777" w:rsidR="00C74717" w:rsidRPr="00C74717" w:rsidRDefault="00C74717" w:rsidP="00C74717">
      <w:pPr>
        <w:spacing w:line="240" w:lineRule="auto"/>
        <w:rPr>
          <w:rFonts w:eastAsia="Times New Roman" w:cs="Arial"/>
          <w:color w:val="000000"/>
          <w:szCs w:val="20"/>
          <w:u w:val="single"/>
          <w:lang w:eastAsia="bg-BG"/>
        </w:rPr>
      </w:pPr>
    </w:p>
    <w:p w14:paraId="3C5FB7E5" w14:textId="2F636791"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lastRenderedPageBreak/>
        <w:t>Бъбречно увреждане</w:t>
      </w:r>
    </w:p>
    <w:p w14:paraId="3F1E9CE4"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Опитът при пациенти с </w:t>
      </w:r>
      <w:r w:rsidRPr="00C74717">
        <w:rPr>
          <w:rFonts w:eastAsia="Times New Roman" w:cs="Arial"/>
          <w:color w:val="000000"/>
          <w:szCs w:val="20"/>
          <w:lang w:val="en-US"/>
        </w:rPr>
        <w:t>ESRD</w:t>
      </w:r>
      <w:r w:rsidRPr="00C74717">
        <w:rPr>
          <w:rFonts w:eastAsia="Times New Roman" w:cs="Arial"/>
          <w:color w:val="000000"/>
          <w:szCs w:val="20"/>
          <w:lang w:val="ru-RU"/>
        </w:rPr>
        <w:t xml:space="preserve"> </w:t>
      </w:r>
      <w:r w:rsidRPr="00C74717">
        <w:rPr>
          <w:rFonts w:eastAsia="Times New Roman" w:cs="Arial"/>
          <w:color w:val="000000"/>
          <w:szCs w:val="20"/>
          <w:lang w:eastAsia="bg-BG"/>
        </w:rPr>
        <w:t>на хемодиализа е ограничен. Поради това, ДАЛМЕВИН трябва да се прилага с внимание при тези пациенти (вижте също точки 4.2, 5.1 и 5.2).</w:t>
      </w:r>
    </w:p>
    <w:p w14:paraId="1E2C1ADC" w14:textId="77777777" w:rsidR="00C74717" w:rsidRPr="00C74717" w:rsidRDefault="00C74717" w:rsidP="00C74717">
      <w:pPr>
        <w:spacing w:line="240" w:lineRule="auto"/>
        <w:rPr>
          <w:rFonts w:eastAsia="Times New Roman" w:cs="Arial"/>
          <w:color w:val="000000"/>
          <w:szCs w:val="20"/>
          <w:u w:val="single"/>
          <w:lang w:eastAsia="bg-BG"/>
        </w:rPr>
      </w:pPr>
    </w:p>
    <w:p w14:paraId="1475A25C" w14:textId="09D07BDA"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t>Чернодробно увреждане</w:t>
      </w:r>
    </w:p>
    <w:p w14:paraId="7FE25A7E"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ДАЛМЕВИН не трябва да се прилага при пациенти с чернодробно увреждане, включително пациенти със стойности преди лечение на </w:t>
      </w:r>
      <w:r w:rsidRPr="00C74717">
        <w:rPr>
          <w:rFonts w:eastAsia="Times New Roman" w:cs="Arial"/>
          <w:color w:val="000000"/>
          <w:szCs w:val="20"/>
          <w:lang w:val="en-US"/>
        </w:rPr>
        <w:t>ALT</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или </w:t>
      </w:r>
      <w:r w:rsidRPr="00C74717">
        <w:rPr>
          <w:rFonts w:eastAsia="Times New Roman" w:cs="Arial"/>
          <w:color w:val="000000"/>
          <w:szCs w:val="20"/>
          <w:lang w:val="en-US"/>
        </w:rPr>
        <w:t>AST</w:t>
      </w:r>
      <w:r w:rsidRPr="00C74717">
        <w:rPr>
          <w:rFonts w:eastAsia="Times New Roman" w:cs="Arial"/>
          <w:color w:val="000000"/>
          <w:szCs w:val="20"/>
          <w:lang w:val="ru-RU"/>
        </w:rPr>
        <w:t xml:space="preserve"> </w:t>
      </w:r>
      <w:r w:rsidRPr="00C74717">
        <w:rPr>
          <w:rFonts w:eastAsia="Times New Roman" w:cs="Arial"/>
          <w:color w:val="000000"/>
          <w:szCs w:val="20"/>
          <w:lang w:eastAsia="bg-BG"/>
        </w:rPr>
        <w:t>&gt; Зх ГГН (вижте също точки 4.2 и 5.2).</w:t>
      </w:r>
    </w:p>
    <w:p w14:paraId="6C4011AD" w14:textId="77777777" w:rsidR="00C74717" w:rsidRPr="00C74717" w:rsidRDefault="00C74717" w:rsidP="00C74717">
      <w:pPr>
        <w:spacing w:line="240" w:lineRule="auto"/>
        <w:rPr>
          <w:rFonts w:eastAsia="Times New Roman" w:cs="Arial"/>
          <w:color w:val="000000"/>
          <w:szCs w:val="20"/>
          <w:u w:val="single"/>
          <w:lang w:eastAsia="bg-BG"/>
        </w:rPr>
      </w:pPr>
    </w:p>
    <w:p w14:paraId="29B68105" w14:textId="1D0F3A66"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t>Мониторинг на чернодробните ензими</w:t>
      </w:r>
    </w:p>
    <w:p w14:paraId="10BFC3C3" w14:textId="77777777" w:rsidR="00C74717" w:rsidRPr="00C74717" w:rsidRDefault="00C74717" w:rsidP="00C74717">
      <w:pPr>
        <w:rPr>
          <w:rFonts w:eastAsia="Times New Roman" w:cs="Arial"/>
          <w:sz w:val="28"/>
          <w:szCs w:val="24"/>
        </w:rPr>
      </w:pPr>
      <w:r w:rsidRPr="00C74717">
        <w:rPr>
          <w:rFonts w:eastAsia="Times New Roman" w:cs="Arial"/>
          <w:color w:val="000000"/>
          <w:szCs w:val="20"/>
          <w:lang w:eastAsia="bg-BG"/>
        </w:rPr>
        <w:t xml:space="preserve">Съобщавани са редки случаи на чернодробна дисфункция (включително хепатит). В тези слиачи пациентите обичайно са били асимптоматични, без клинични последствия и стойностите на изследванията на чернодробната функция са се върнали към нормалните след преустановяване на лечението. Трябва да се извършват чернодробни изследвания преди започване на лечението с вилдаглиптин, за да се знае изходното ниво на пациента. Чернодробната функция трябва да бъде проследявана по време на лечението с вилдаглиптин на тримесечни интервали през първата година и периодично след това. Пациентите, при които се повишат стойностите на трансаминазите, трябва да бъдат контролирани с повторно изследване на чернодробната функция за потвърждаване на резултатите и след това да бъдат проследявани с често изследване на чернодробната функция до достигане на нормални стойности. Препоръчва се преустановяване на лечението с вилдаглиптин, ако повишаването на </w:t>
      </w:r>
      <w:r w:rsidRPr="00C74717">
        <w:rPr>
          <w:rFonts w:eastAsia="Times New Roman" w:cs="Arial"/>
          <w:color w:val="000000"/>
          <w:szCs w:val="20"/>
          <w:lang w:val="en-US"/>
        </w:rPr>
        <w:t>AST</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или </w:t>
      </w:r>
      <w:r w:rsidRPr="00C74717">
        <w:rPr>
          <w:rFonts w:eastAsia="Times New Roman" w:cs="Arial"/>
          <w:color w:val="000000"/>
          <w:szCs w:val="20"/>
          <w:lang w:val="en-US"/>
        </w:rPr>
        <w:t>ALT</w:t>
      </w:r>
      <w:r w:rsidRPr="00C74717">
        <w:rPr>
          <w:rFonts w:eastAsia="Times New Roman" w:cs="Arial"/>
          <w:color w:val="000000"/>
          <w:szCs w:val="20"/>
          <w:lang w:val="ru-RU"/>
        </w:rPr>
        <w:t xml:space="preserve"> </w:t>
      </w:r>
      <w:r w:rsidRPr="00C74717">
        <w:rPr>
          <w:rFonts w:eastAsia="Times New Roman" w:cs="Arial"/>
          <w:color w:val="000000"/>
          <w:szCs w:val="20"/>
          <w:lang w:eastAsia="bg-BG"/>
        </w:rPr>
        <w:t>три пъти над ГГН или повече персистира.</w:t>
      </w:r>
    </w:p>
    <w:p w14:paraId="08360EE1" w14:textId="77777777" w:rsidR="00C74717" w:rsidRPr="00C74717" w:rsidRDefault="00C74717" w:rsidP="00C74717">
      <w:pPr>
        <w:spacing w:line="240" w:lineRule="auto"/>
        <w:rPr>
          <w:rFonts w:eastAsia="Times New Roman" w:cs="Arial"/>
          <w:color w:val="000000"/>
          <w:szCs w:val="20"/>
          <w:lang w:eastAsia="bg-BG"/>
        </w:rPr>
      </w:pPr>
    </w:p>
    <w:p w14:paraId="27C5D719" w14:textId="364B778C"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Пациентите, които развият жълтеница или други признаци, предполагащи чернодробна дисфункция, трябва да преустановят лечението с вилдаглиптин.</w:t>
      </w:r>
    </w:p>
    <w:p w14:paraId="2A647A9F" w14:textId="77777777" w:rsidR="00C74717" w:rsidRPr="00C74717" w:rsidRDefault="00C74717" w:rsidP="00C74717">
      <w:pPr>
        <w:spacing w:line="240" w:lineRule="auto"/>
        <w:rPr>
          <w:rFonts w:eastAsia="Times New Roman" w:cs="Arial"/>
          <w:color w:val="000000"/>
          <w:szCs w:val="20"/>
          <w:lang w:eastAsia="bg-BG"/>
        </w:rPr>
      </w:pPr>
    </w:p>
    <w:p w14:paraId="6BD9A9F4" w14:textId="1CE57920"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След преустановяване на лечението с вилдаглиптин и нормализиране на тестовете за чернодробна фунция, лечението с вилдаглиптин не трябва да бъде започвано отново.</w:t>
      </w:r>
    </w:p>
    <w:p w14:paraId="63BEE3C6" w14:textId="77777777" w:rsidR="00C74717" w:rsidRPr="00C74717" w:rsidRDefault="00C74717" w:rsidP="00C74717">
      <w:pPr>
        <w:spacing w:line="240" w:lineRule="auto"/>
        <w:rPr>
          <w:rFonts w:eastAsia="Times New Roman" w:cs="Arial"/>
          <w:color w:val="000000"/>
          <w:szCs w:val="20"/>
          <w:u w:val="single"/>
          <w:lang w:eastAsia="bg-BG"/>
        </w:rPr>
      </w:pPr>
    </w:p>
    <w:p w14:paraId="1859E79C" w14:textId="6BC0EFDD"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t>Сърдечна недостатъчност</w:t>
      </w:r>
    </w:p>
    <w:p w14:paraId="4C1709C9"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Клинично изпитване на вилдаглиптин при пациенти с функционален клас </w:t>
      </w:r>
      <w:r w:rsidRPr="00C74717">
        <w:rPr>
          <w:rFonts w:eastAsia="Times New Roman" w:cs="Arial"/>
          <w:color w:val="000000"/>
          <w:szCs w:val="20"/>
          <w:lang w:val="en-US"/>
        </w:rPr>
        <w:t>I</w:t>
      </w:r>
      <w:r w:rsidRPr="00C74717">
        <w:rPr>
          <w:rFonts w:eastAsia="Times New Roman" w:cs="Arial"/>
          <w:color w:val="000000"/>
          <w:szCs w:val="20"/>
          <w:lang w:val="ru-RU"/>
        </w:rPr>
        <w:t>-</w:t>
      </w:r>
      <w:r w:rsidRPr="00C74717">
        <w:rPr>
          <w:rFonts w:eastAsia="Times New Roman" w:cs="Arial"/>
          <w:color w:val="000000"/>
          <w:szCs w:val="20"/>
          <w:lang w:val="en-US"/>
        </w:rPr>
        <w:t>III</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според Нюйоркската кардиологична асоциация </w:t>
      </w:r>
      <w:r w:rsidRPr="00C74717">
        <w:rPr>
          <w:rFonts w:eastAsia="Times New Roman" w:cs="Arial"/>
          <w:color w:val="000000"/>
          <w:szCs w:val="20"/>
          <w:lang w:val="ru-RU"/>
        </w:rPr>
        <w:t>(</w:t>
      </w:r>
      <w:r w:rsidRPr="00C74717">
        <w:rPr>
          <w:rFonts w:eastAsia="Times New Roman" w:cs="Arial"/>
          <w:color w:val="000000"/>
          <w:szCs w:val="20"/>
          <w:lang w:val="en-US"/>
        </w:rPr>
        <w:t>NYHA</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показва, че лечението с вилдаглиптин не е свързано с промяна във функцията на лявата камера или с влошаване на съществуваща застойна сърдечна недостатъчност (ЗСН) спрямо плацебо. Клиничният опит при пациенти с функционален клас </w:t>
      </w:r>
      <w:r w:rsidRPr="00C74717">
        <w:rPr>
          <w:rFonts w:eastAsia="Times New Roman" w:cs="Arial"/>
          <w:color w:val="000000"/>
          <w:szCs w:val="20"/>
          <w:lang w:val="en-US"/>
        </w:rPr>
        <w:t>III</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по </w:t>
      </w:r>
      <w:r w:rsidRPr="00C74717">
        <w:rPr>
          <w:rFonts w:eastAsia="Times New Roman" w:cs="Arial"/>
          <w:color w:val="000000"/>
          <w:szCs w:val="20"/>
          <w:lang w:val="en-US"/>
        </w:rPr>
        <w:t>NYHA</w:t>
      </w:r>
      <w:r w:rsidRPr="00C74717">
        <w:rPr>
          <w:rFonts w:eastAsia="Times New Roman" w:cs="Arial"/>
          <w:color w:val="000000"/>
          <w:szCs w:val="20"/>
          <w:lang w:val="ru-RU"/>
        </w:rPr>
        <w:t xml:space="preserve">, </w:t>
      </w:r>
      <w:r w:rsidRPr="00C74717">
        <w:rPr>
          <w:rFonts w:eastAsia="Times New Roman" w:cs="Arial"/>
          <w:color w:val="000000"/>
          <w:szCs w:val="20"/>
          <w:lang w:eastAsia="bg-BG"/>
        </w:rPr>
        <w:t>лекувани с вилдаглиптин все още е ограничен и от резултатите не могат да бъдат направени никакви изводи (вижте точка 5.1).</w:t>
      </w:r>
    </w:p>
    <w:p w14:paraId="67F6BF06" w14:textId="77777777" w:rsidR="00C74717" w:rsidRPr="00C74717" w:rsidRDefault="00C74717" w:rsidP="00C74717">
      <w:pPr>
        <w:spacing w:line="240" w:lineRule="auto"/>
        <w:rPr>
          <w:rFonts w:eastAsia="Times New Roman" w:cs="Arial"/>
          <w:color w:val="000000"/>
          <w:szCs w:val="20"/>
          <w:lang w:eastAsia="bg-BG"/>
        </w:rPr>
      </w:pPr>
    </w:p>
    <w:p w14:paraId="2ADF541D" w14:textId="2D3511C0"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Няма опит с приложението на вилдаглиптин при клинични изпитвания при пациенти с функционален клас IV по </w:t>
      </w:r>
      <w:r w:rsidRPr="00C74717">
        <w:rPr>
          <w:rFonts w:eastAsia="Times New Roman" w:cs="Arial"/>
          <w:color w:val="000000"/>
          <w:szCs w:val="20"/>
          <w:lang w:val="en-US"/>
        </w:rPr>
        <w:t>NYHA</w:t>
      </w:r>
      <w:r w:rsidRPr="00C74717">
        <w:rPr>
          <w:rFonts w:eastAsia="Times New Roman" w:cs="Arial"/>
          <w:color w:val="000000"/>
          <w:szCs w:val="20"/>
          <w:lang w:val="ru-RU"/>
        </w:rPr>
        <w:t xml:space="preserve"> </w:t>
      </w:r>
      <w:r w:rsidRPr="00C74717">
        <w:rPr>
          <w:rFonts w:eastAsia="Times New Roman" w:cs="Arial"/>
          <w:color w:val="000000"/>
          <w:szCs w:val="20"/>
          <w:lang w:eastAsia="bg-BG"/>
        </w:rPr>
        <w:t>и поради това приложението му не се препоръчва при тези пациенти.</w:t>
      </w:r>
    </w:p>
    <w:p w14:paraId="4B86CC39" w14:textId="77777777" w:rsidR="00C74717" w:rsidRPr="00C74717" w:rsidRDefault="00C74717" w:rsidP="00C74717">
      <w:pPr>
        <w:spacing w:line="240" w:lineRule="auto"/>
        <w:rPr>
          <w:rFonts w:eastAsia="Times New Roman" w:cs="Arial"/>
          <w:color w:val="000000"/>
          <w:szCs w:val="20"/>
          <w:u w:val="single"/>
          <w:lang w:eastAsia="bg-BG"/>
        </w:rPr>
      </w:pPr>
    </w:p>
    <w:p w14:paraId="54AAAC2F" w14:textId="000B45F1"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t>Нарушения на кожата</w:t>
      </w:r>
    </w:p>
    <w:p w14:paraId="329C6423"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При неклинични токсикологични проучвания са съобщавани нарушения на кожата по крайниците при маймуни, в това число мехури и разязвявания (вижте точка 53). Въпреки че при клиничните изпитвания не е наблюдавана повишена честота на кожни лезии, опитът при пациенти с кожни усложнения в резултат на диабет е ограничен. В допълнение, са налични постмаркетингови съобщения за булозни и ексфолиативни кожни </w:t>
      </w:r>
      <w:r w:rsidRPr="00C74717">
        <w:rPr>
          <w:rFonts w:eastAsia="Times New Roman" w:cs="Arial"/>
          <w:color w:val="000000"/>
          <w:szCs w:val="20"/>
          <w:lang w:eastAsia="bg-BG"/>
        </w:rPr>
        <w:lastRenderedPageBreak/>
        <w:t>лезии. Поради това, при спазване на рутинните здравни грижи за пациентите с диабет, се препоръчва мониторинг за нарушения на кожата като мехури и разязвявания.</w:t>
      </w:r>
    </w:p>
    <w:p w14:paraId="23C9DED3" w14:textId="77777777" w:rsidR="00C74717" w:rsidRPr="00C74717" w:rsidRDefault="00C74717" w:rsidP="00C74717">
      <w:pPr>
        <w:spacing w:line="240" w:lineRule="auto"/>
        <w:rPr>
          <w:rFonts w:eastAsia="Times New Roman" w:cs="Arial"/>
          <w:color w:val="000000"/>
          <w:szCs w:val="20"/>
          <w:u w:val="single"/>
          <w:lang w:eastAsia="bg-BG"/>
        </w:rPr>
      </w:pPr>
    </w:p>
    <w:p w14:paraId="34BA5D1F" w14:textId="0D557DDA"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t>Остър панкреатит</w:t>
      </w:r>
    </w:p>
    <w:p w14:paraId="6C932FE6"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Употребата на вилдаглиптин се свързва с риск от развиване на остър панкреатит. Пациентите трябва да бъдат информирани са характерните симптоми на остър панкреатит.</w:t>
      </w:r>
    </w:p>
    <w:p w14:paraId="57FE1F22" w14:textId="77777777" w:rsidR="00C74717" w:rsidRPr="00C74717" w:rsidRDefault="00C74717" w:rsidP="00C74717">
      <w:pPr>
        <w:spacing w:line="240" w:lineRule="auto"/>
        <w:rPr>
          <w:rFonts w:eastAsia="Times New Roman" w:cs="Arial"/>
          <w:color w:val="000000"/>
          <w:szCs w:val="20"/>
          <w:lang w:eastAsia="bg-BG"/>
        </w:rPr>
      </w:pPr>
    </w:p>
    <w:p w14:paraId="65A168E3" w14:textId="12761B33"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Ако се подозира панкреатит, вилдаглиптин трябва да бъде преустановен; ако се потвърди остър панкреатит, вилдаглиптин не трябва да бъде започван отново. Необходимо е повишено внимание при пациенти с анамнеза за остър панкреатит.</w:t>
      </w:r>
    </w:p>
    <w:p w14:paraId="730A7B23" w14:textId="77777777" w:rsidR="00C74717" w:rsidRPr="00C74717" w:rsidRDefault="00C74717" w:rsidP="00C74717">
      <w:pPr>
        <w:spacing w:line="240" w:lineRule="auto"/>
        <w:rPr>
          <w:rFonts w:eastAsia="Times New Roman" w:cs="Arial"/>
          <w:color w:val="000000"/>
          <w:szCs w:val="20"/>
          <w:u w:val="single"/>
          <w:lang w:eastAsia="bg-BG"/>
        </w:rPr>
      </w:pPr>
    </w:p>
    <w:p w14:paraId="7C41C0AD" w14:textId="4AFD509D"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t>Хипогликемия</w:t>
      </w:r>
    </w:p>
    <w:p w14:paraId="0189A27D"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Известно е, че сулфонилурейните продукти могат да причинят хипогликемия. Пациентите, които приемат вилдаглиптин в комбинация със сулфонилуреен продукт може да са изложени на риск от хипогликемия. Поради тази причина може да се обмисли по-ниска доза на сулфонилурейния продукт, за да се намали рискът от хипогликемия.</w:t>
      </w:r>
    </w:p>
    <w:p w14:paraId="792B37D7" w14:textId="77777777" w:rsidR="00C74717" w:rsidRPr="00C74717" w:rsidRDefault="00C74717" w:rsidP="00C74717">
      <w:pPr>
        <w:spacing w:line="240" w:lineRule="auto"/>
        <w:rPr>
          <w:rFonts w:eastAsia="Times New Roman" w:cs="Arial"/>
          <w:color w:val="000000"/>
          <w:szCs w:val="20"/>
          <w:u w:val="single"/>
          <w:lang w:eastAsia="bg-BG"/>
        </w:rPr>
      </w:pPr>
    </w:p>
    <w:p w14:paraId="182B4FC8" w14:textId="7422E154"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t>Помощни вещества</w:t>
      </w:r>
    </w:p>
    <w:p w14:paraId="5980705C" w14:textId="0A0A3BB4" w:rsidR="00C74717" w:rsidRPr="00C74717" w:rsidRDefault="00C74717" w:rsidP="00C74717">
      <w:pPr>
        <w:spacing w:line="240" w:lineRule="auto"/>
        <w:rPr>
          <w:rFonts w:eastAsia="Times New Roman" w:cs="Arial"/>
          <w:color w:val="000000"/>
          <w:szCs w:val="20"/>
          <w:lang w:eastAsia="bg-BG"/>
        </w:rPr>
      </w:pPr>
      <w:r w:rsidRPr="00C74717">
        <w:rPr>
          <w:rFonts w:eastAsia="Times New Roman" w:cs="Arial"/>
          <w:color w:val="000000"/>
          <w:szCs w:val="20"/>
          <w:lang w:eastAsia="bg-BG"/>
        </w:rPr>
        <w:t>ДАЛМЕВИН съдържа лактоза. Пациентите с редки наследствени проблеми на галактозна непоносимост, пълен лактазен дефицит или глюкозо-галактозна малабсорбция не трябва да приемат този лекарствен продукт.</w:t>
      </w:r>
    </w:p>
    <w:p w14:paraId="45A120F6" w14:textId="517A5C86" w:rsidR="00C74717" w:rsidRPr="00C74717" w:rsidRDefault="00C74717" w:rsidP="00C74717">
      <w:pPr>
        <w:spacing w:line="240" w:lineRule="auto"/>
        <w:rPr>
          <w:rFonts w:eastAsia="Times New Roman" w:cs="Arial"/>
          <w:color w:val="000000"/>
          <w:szCs w:val="20"/>
          <w:lang w:eastAsia="bg-BG"/>
        </w:rPr>
      </w:pPr>
    </w:p>
    <w:p w14:paraId="5B7B5A24" w14:textId="64607FE2" w:rsidR="00C74717" w:rsidRDefault="00C74717" w:rsidP="00C74717">
      <w:pPr>
        <w:spacing w:line="240" w:lineRule="auto"/>
        <w:rPr>
          <w:rFonts w:eastAsia="Times New Roman" w:cs="Arial"/>
          <w:sz w:val="28"/>
          <w:szCs w:val="24"/>
        </w:rPr>
      </w:pPr>
      <w:r w:rsidRPr="00C74717">
        <w:rPr>
          <w:rFonts w:cs="Arial"/>
          <w:szCs w:val="20"/>
        </w:rPr>
        <w:t xml:space="preserve">Това лекарство съдържа по-малко от 1 </w:t>
      </w:r>
      <w:proofErr w:type="spellStart"/>
      <w:r w:rsidRPr="00C74717">
        <w:rPr>
          <w:rFonts w:cs="Arial"/>
          <w:szCs w:val="20"/>
          <w:lang w:val="en-US"/>
        </w:rPr>
        <w:t>mmol</w:t>
      </w:r>
      <w:proofErr w:type="spellEnd"/>
      <w:r w:rsidRPr="00C74717">
        <w:rPr>
          <w:rFonts w:cs="Arial"/>
          <w:szCs w:val="20"/>
          <w:lang w:val="ru-RU"/>
        </w:rPr>
        <w:t xml:space="preserve"> </w:t>
      </w:r>
      <w:r w:rsidRPr="00C74717">
        <w:rPr>
          <w:rFonts w:cs="Arial"/>
          <w:szCs w:val="20"/>
        </w:rPr>
        <w:t xml:space="preserve">натрий </w:t>
      </w:r>
      <w:r w:rsidRPr="00C74717">
        <w:rPr>
          <w:rFonts w:cs="Arial"/>
          <w:i/>
          <w:iCs/>
          <w:szCs w:val="20"/>
        </w:rPr>
        <w:t xml:space="preserve">(23 </w:t>
      </w:r>
      <w:r w:rsidRPr="00C74717">
        <w:rPr>
          <w:rFonts w:cs="Arial"/>
          <w:i/>
          <w:iCs/>
          <w:szCs w:val="20"/>
          <w:lang w:val="en-US"/>
        </w:rPr>
        <w:t>mg</w:t>
      </w:r>
      <w:r w:rsidRPr="00C74717">
        <w:rPr>
          <w:rFonts w:cs="Arial"/>
          <w:i/>
          <w:iCs/>
          <w:szCs w:val="20"/>
          <w:lang w:val="ru-RU"/>
        </w:rPr>
        <w:t xml:space="preserve">) </w:t>
      </w:r>
      <w:r w:rsidRPr="00C74717">
        <w:rPr>
          <w:rFonts w:cs="Arial"/>
          <w:i/>
          <w:iCs/>
          <w:szCs w:val="20"/>
        </w:rPr>
        <w:t>на</w:t>
      </w:r>
      <w:r w:rsidRPr="00C74717">
        <w:rPr>
          <w:rFonts w:cs="Arial"/>
          <w:szCs w:val="20"/>
        </w:rPr>
        <w:t xml:space="preserve"> таблетка, т.е. се счита, че не съдържа натрий.</w:t>
      </w:r>
    </w:p>
    <w:p w14:paraId="32CDD8EE" w14:textId="1E07ED2B" w:rsidR="00C74717" w:rsidRPr="00C74717" w:rsidRDefault="00C74717" w:rsidP="00C74717">
      <w:pPr>
        <w:spacing w:line="240" w:lineRule="auto"/>
        <w:rPr>
          <w:rFonts w:eastAsia="Times New Roman" w:cs="Arial"/>
          <w:sz w:val="28"/>
          <w:szCs w:val="24"/>
        </w:rPr>
      </w:pPr>
    </w:p>
    <w:p w14:paraId="0734264C" w14:textId="1EB10826"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08925407" w14:textId="70AE4930" w:rsidR="00C74717" w:rsidRDefault="00C74717" w:rsidP="00C74717"/>
    <w:p w14:paraId="4B7377E5"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Вилдаглиптин има нисък потенциал за взаимодействие със съвместно приемани лекарствени продукти. Тъй като вилдаглиптин не е субстрат на цитохром Р </w:t>
      </w:r>
      <w:r w:rsidRPr="00C74717">
        <w:rPr>
          <w:rFonts w:eastAsia="Times New Roman" w:cs="Arial"/>
          <w:color w:val="000000"/>
          <w:szCs w:val="20"/>
          <w:lang w:val="ru-RU"/>
        </w:rPr>
        <w:t>(</w:t>
      </w:r>
      <w:r w:rsidRPr="00C74717">
        <w:rPr>
          <w:rFonts w:eastAsia="Times New Roman" w:cs="Arial"/>
          <w:color w:val="000000"/>
          <w:szCs w:val="20"/>
          <w:lang w:val="en-US"/>
        </w:rPr>
        <w:t>CYP</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450 ензима и не инхибира или индуцира </w:t>
      </w:r>
      <w:r w:rsidRPr="00C74717">
        <w:rPr>
          <w:rFonts w:eastAsia="Times New Roman" w:cs="Arial"/>
          <w:color w:val="000000"/>
          <w:szCs w:val="20"/>
          <w:lang w:val="en-US"/>
        </w:rPr>
        <w:t>CYP</w:t>
      </w:r>
      <w:r w:rsidRPr="00C74717">
        <w:rPr>
          <w:rFonts w:eastAsia="Times New Roman" w:cs="Arial"/>
          <w:color w:val="000000"/>
          <w:szCs w:val="20"/>
          <w:lang w:val="ru-RU"/>
        </w:rPr>
        <w:t xml:space="preserve"> </w:t>
      </w:r>
      <w:r w:rsidRPr="00C74717">
        <w:rPr>
          <w:rFonts w:eastAsia="Times New Roman" w:cs="Arial"/>
          <w:color w:val="000000"/>
          <w:szCs w:val="20"/>
          <w:lang w:eastAsia="bg-BG"/>
        </w:rPr>
        <w:t>450 ензимите, няма вероятност за взаимодействие с активните вещества, които са субстрати, инхибитори или индуктори на тези ензими.</w:t>
      </w:r>
    </w:p>
    <w:p w14:paraId="2A1117A0" w14:textId="77777777" w:rsidR="00C74717" w:rsidRPr="00C74717" w:rsidRDefault="00C74717" w:rsidP="00C74717">
      <w:pPr>
        <w:spacing w:line="240" w:lineRule="auto"/>
        <w:rPr>
          <w:rFonts w:eastAsia="Times New Roman" w:cs="Arial"/>
          <w:color w:val="000000"/>
          <w:szCs w:val="20"/>
          <w:u w:val="single"/>
          <w:lang w:eastAsia="bg-BG"/>
        </w:rPr>
      </w:pPr>
    </w:p>
    <w:p w14:paraId="27CB716C" w14:textId="5F3FB50A"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t>Комбинация с пиоглитазон. метформин и глибурид</w:t>
      </w:r>
    </w:p>
    <w:p w14:paraId="42CAFEEC"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Резултатите от проведени проучвания с тези перорални антидиабетици не показват клинично значими фармакокинетични взаимодействия.</w:t>
      </w:r>
    </w:p>
    <w:p w14:paraId="3CA0F308" w14:textId="77777777" w:rsidR="00C74717" w:rsidRPr="00C74717" w:rsidRDefault="00C74717" w:rsidP="00C74717">
      <w:pPr>
        <w:spacing w:line="240" w:lineRule="auto"/>
        <w:rPr>
          <w:rFonts w:eastAsia="Times New Roman" w:cs="Arial"/>
          <w:color w:val="000000"/>
          <w:szCs w:val="20"/>
          <w:u w:val="single"/>
          <w:lang w:eastAsia="bg-BG"/>
        </w:rPr>
      </w:pPr>
    </w:p>
    <w:p w14:paraId="00A2708A" w14:textId="6CC42A8A"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t>Дигоксин (субстрат на Р</w:t>
      </w:r>
      <w:proofErr w:type="spellStart"/>
      <w:r w:rsidRPr="00C74717">
        <w:rPr>
          <w:rFonts w:eastAsia="Times New Roman" w:cs="Arial"/>
          <w:color w:val="000000"/>
          <w:szCs w:val="20"/>
          <w:u w:val="single"/>
          <w:lang w:val="en-US"/>
        </w:rPr>
        <w:t>gp</w:t>
      </w:r>
      <w:proofErr w:type="spellEnd"/>
      <w:r w:rsidRPr="00C74717">
        <w:rPr>
          <w:rFonts w:eastAsia="Times New Roman" w:cs="Arial"/>
          <w:color w:val="000000"/>
          <w:szCs w:val="20"/>
          <w:u w:val="single"/>
          <w:lang w:eastAsia="bg-BG"/>
        </w:rPr>
        <w:t xml:space="preserve">), варфарин </w:t>
      </w:r>
      <w:r w:rsidRPr="00C74717">
        <w:rPr>
          <w:rFonts w:eastAsia="Times New Roman" w:cs="Arial"/>
          <w:color w:val="000000"/>
          <w:szCs w:val="20"/>
          <w:u w:val="single"/>
          <w:lang w:val="ru-RU"/>
        </w:rPr>
        <w:t>(</w:t>
      </w:r>
      <w:r w:rsidRPr="00C74717">
        <w:rPr>
          <w:rFonts w:eastAsia="Times New Roman" w:cs="Arial"/>
          <w:color w:val="000000"/>
          <w:szCs w:val="20"/>
          <w:u w:val="single"/>
          <w:lang w:val="en-US"/>
        </w:rPr>
        <w:t>CYP</w:t>
      </w:r>
      <w:r w:rsidRPr="00C74717">
        <w:rPr>
          <w:rFonts w:eastAsia="Times New Roman" w:cs="Arial"/>
          <w:color w:val="000000"/>
          <w:szCs w:val="20"/>
          <w:u w:val="single"/>
          <w:lang w:val="ru-RU"/>
        </w:rPr>
        <w:t>2</w:t>
      </w:r>
      <w:r w:rsidRPr="00C74717">
        <w:rPr>
          <w:rFonts w:eastAsia="Times New Roman" w:cs="Arial"/>
          <w:color w:val="000000"/>
          <w:szCs w:val="20"/>
          <w:u w:val="single"/>
          <w:lang w:val="en-US"/>
        </w:rPr>
        <w:t>C</w:t>
      </w:r>
      <w:r w:rsidRPr="00C74717">
        <w:rPr>
          <w:rFonts w:eastAsia="Times New Roman" w:cs="Arial"/>
          <w:color w:val="000000"/>
          <w:szCs w:val="20"/>
          <w:u w:val="single"/>
          <w:lang w:val="ru-RU"/>
        </w:rPr>
        <w:t xml:space="preserve">9 </w:t>
      </w:r>
      <w:r w:rsidRPr="00C74717">
        <w:rPr>
          <w:rFonts w:eastAsia="Times New Roman" w:cs="Arial"/>
          <w:color w:val="000000"/>
          <w:szCs w:val="20"/>
          <w:u w:val="single"/>
          <w:lang w:eastAsia="bg-BG"/>
        </w:rPr>
        <w:t>субстрат)</w:t>
      </w:r>
    </w:p>
    <w:p w14:paraId="72C41893"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Клиничните проучвания, проведени при здрави субекти не показват клинично значими фармакокинетични взаимодействия. Въпреки това, това не е установено в таргетната популация.</w:t>
      </w:r>
    </w:p>
    <w:p w14:paraId="41B48255" w14:textId="77777777" w:rsidR="00C74717" w:rsidRPr="00C74717" w:rsidRDefault="00C74717" w:rsidP="00C74717">
      <w:pPr>
        <w:spacing w:line="240" w:lineRule="auto"/>
        <w:rPr>
          <w:rFonts w:eastAsia="Times New Roman" w:cs="Arial"/>
          <w:color w:val="000000"/>
          <w:szCs w:val="20"/>
          <w:u w:val="single"/>
          <w:lang w:eastAsia="bg-BG"/>
        </w:rPr>
      </w:pPr>
    </w:p>
    <w:p w14:paraId="67EFB351" w14:textId="05986056"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t>Комбинация с амлодипин, рамиприл. валсартан или симвастатин</w:t>
      </w:r>
    </w:p>
    <w:p w14:paraId="71BF0FCD"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Проучвания за лекарствени взаимодействия при здрави субекти са проведени с амлодипин, рамиприл, валсартан и симвастатин. При тези проучвания не са наблюдавани клинично значими фармакокинетични взаимодействия след съвместно приложение с вилдаглиптин.</w:t>
      </w:r>
    </w:p>
    <w:p w14:paraId="1815B866" w14:textId="77777777" w:rsidR="00C74717" w:rsidRPr="00C74717" w:rsidRDefault="00C74717" w:rsidP="00C74717">
      <w:pPr>
        <w:spacing w:line="240" w:lineRule="auto"/>
        <w:rPr>
          <w:rFonts w:eastAsia="Times New Roman" w:cs="Arial"/>
          <w:color w:val="000000"/>
          <w:szCs w:val="20"/>
          <w:u w:val="single"/>
          <w:lang w:eastAsia="bg-BG"/>
        </w:rPr>
      </w:pPr>
    </w:p>
    <w:p w14:paraId="49CE2275" w14:textId="44F8CE78"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lastRenderedPageBreak/>
        <w:t>Комбинация с АСЕ инхибитори</w:t>
      </w:r>
    </w:p>
    <w:p w14:paraId="040CCD6E"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Може да съществува риск от ангиоедем при пациенти, които приемат съвместно АСЕ инхибитори (вижте точка 4.8).</w:t>
      </w:r>
    </w:p>
    <w:p w14:paraId="56CFA91C" w14:textId="77777777" w:rsidR="00C74717" w:rsidRPr="00C74717" w:rsidRDefault="00C74717" w:rsidP="00C74717">
      <w:pPr>
        <w:rPr>
          <w:rFonts w:eastAsia="Times New Roman" w:cs="Arial"/>
          <w:color w:val="000000"/>
          <w:szCs w:val="20"/>
          <w:lang w:eastAsia="bg-BG"/>
        </w:rPr>
      </w:pPr>
    </w:p>
    <w:p w14:paraId="693A9C90" w14:textId="77977FD8" w:rsidR="00C74717" w:rsidRPr="00C74717" w:rsidRDefault="00C74717" w:rsidP="00C74717">
      <w:pPr>
        <w:rPr>
          <w:rFonts w:eastAsia="Times New Roman" w:cs="Arial"/>
          <w:color w:val="000000"/>
          <w:szCs w:val="20"/>
          <w:lang w:eastAsia="bg-BG"/>
        </w:rPr>
      </w:pPr>
      <w:r w:rsidRPr="00C74717">
        <w:rPr>
          <w:rFonts w:eastAsia="Times New Roman" w:cs="Arial"/>
          <w:color w:val="000000"/>
          <w:szCs w:val="20"/>
          <w:lang w:eastAsia="bg-BG"/>
        </w:rPr>
        <w:t>Както и при останалите перорални антидиабетни лекарствени продукти хипогликемичният ефект на вилдаглиптин може да бъде намален от определени активни вещества, включително тиазиди, кортикостероиди, продукти за щитовидната жлеза и симпатикомиметици.</w:t>
      </w:r>
    </w:p>
    <w:p w14:paraId="6FDC1E6C" w14:textId="6A881B47" w:rsidR="00C74717" w:rsidRPr="00C74717" w:rsidRDefault="00C74717" w:rsidP="00C74717"/>
    <w:p w14:paraId="5D9F40EA" w14:textId="028B715A" w:rsidR="007122AD" w:rsidRDefault="002C50EE" w:rsidP="00936AD0">
      <w:pPr>
        <w:pStyle w:val="Heading2"/>
      </w:pPr>
      <w:r>
        <w:t>4.6. Фертилитет, бременност и кърмене</w:t>
      </w:r>
    </w:p>
    <w:p w14:paraId="3A883528" w14:textId="166C0080" w:rsidR="00C74717" w:rsidRDefault="00C74717" w:rsidP="00C74717"/>
    <w:p w14:paraId="66C196B2" w14:textId="77777777" w:rsidR="00C74717" w:rsidRPr="00C74717" w:rsidRDefault="00C74717" w:rsidP="00C74717">
      <w:pPr>
        <w:pStyle w:val="Heading3"/>
        <w:rPr>
          <w:rFonts w:eastAsia="Times New Roman"/>
          <w:sz w:val="28"/>
          <w:u w:val="single"/>
        </w:rPr>
      </w:pPr>
      <w:r w:rsidRPr="00C74717">
        <w:rPr>
          <w:rFonts w:eastAsia="Times New Roman"/>
          <w:u w:val="single"/>
          <w:lang w:eastAsia="bg-BG"/>
        </w:rPr>
        <w:t>Бременност</w:t>
      </w:r>
    </w:p>
    <w:p w14:paraId="2BBF2027"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Няма адекватни данни от употребата на вилдаглиптин при бременни жени. Проучв</w:t>
      </w:r>
      <w:r w:rsidRPr="00C74717">
        <w:rPr>
          <w:rFonts w:eastAsia="Times New Roman" w:cs="Arial"/>
          <w:color w:val="000000"/>
          <w:szCs w:val="20"/>
          <w:u w:val="single"/>
          <w:lang w:eastAsia="bg-BG"/>
        </w:rPr>
        <w:t>аният</w:t>
      </w:r>
      <w:r w:rsidRPr="00C74717">
        <w:rPr>
          <w:rFonts w:eastAsia="Times New Roman" w:cs="Arial"/>
          <w:color w:val="000000"/>
          <w:szCs w:val="20"/>
          <w:lang w:eastAsia="bg-BG"/>
        </w:rPr>
        <w:t>а при животни показват репродуктивна токсичност при високи дози (вижте точка 5.3). Потенциалният риск при хора не е известен. Поради липса на данни при хора, ДАЛМЕВИН не трябва да се използва по време на бременност.</w:t>
      </w:r>
    </w:p>
    <w:p w14:paraId="6AB9ACF3" w14:textId="77777777" w:rsidR="00C74717" w:rsidRPr="00C74717" w:rsidRDefault="00C74717" w:rsidP="00C74717">
      <w:pPr>
        <w:spacing w:line="240" w:lineRule="auto"/>
        <w:rPr>
          <w:rFonts w:eastAsia="Times New Roman" w:cs="Arial"/>
          <w:color w:val="000000"/>
          <w:szCs w:val="20"/>
          <w:u w:val="single"/>
          <w:lang w:eastAsia="bg-BG"/>
        </w:rPr>
      </w:pPr>
    </w:p>
    <w:p w14:paraId="5E414AD0" w14:textId="7E179B9C" w:rsidR="00C74717" w:rsidRPr="00C74717" w:rsidRDefault="00C74717" w:rsidP="00C74717">
      <w:pPr>
        <w:pStyle w:val="Heading3"/>
        <w:rPr>
          <w:rFonts w:eastAsia="Times New Roman"/>
          <w:sz w:val="28"/>
          <w:u w:val="single"/>
        </w:rPr>
      </w:pPr>
      <w:r w:rsidRPr="00C74717">
        <w:rPr>
          <w:rFonts w:eastAsia="Times New Roman"/>
          <w:u w:val="single"/>
          <w:lang w:eastAsia="bg-BG"/>
        </w:rPr>
        <w:t>Кърмене</w:t>
      </w:r>
    </w:p>
    <w:p w14:paraId="09DFF4D1"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Не е известно дали вилдаглиптин се екскретира в кърмата. Проучванията при животни показват екскреция на вилдаглиптин в кърмата. ДАЛМЕВИН не трябва да се използва при кърмене.</w:t>
      </w:r>
    </w:p>
    <w:p w14:paraId="311141D7" w14:textId="77777777" w:rsidR="00C74717" w:rsidRPr="00C74717" w:rsidRDefault="00C74717" w:rsidP="00C74717">
      <w:pPr>
        <w:spacing w:line="240" w:lineRule="auto"/>
        <w:rPr>
          <w:rFonts w:eastAsia="Times New Roman" w:cs="Arial"/>
          <w:color w:val="000000"/>
          <w:szCs w:val="20"/>
          <w:u w:val="single"/>
          <w:lang w:eastAsia="bg-BG"/>
        </w:rPr>
      </w:pPr>
    </w:p>
    <w:p w14:paraId="6FBFB4F0" w14:textId="50964CE8" w:rsidR="00C74717" w:rsidRPr="00C74717" w:rsidRDefault="00C74717" w:rsidP="00C74717">
      <w:pPr>
        <w:pStyle w:val="Heading3"/>
        <w:rPr>
          <w:rFonts w:eastAsia="Times New Roman"/>
          <w:sz w:val="28"/>
          <w:u w:val="single"/>
        </w:rPr>
      </w:pPr>
      <w:r w:rsidRPr="00C74717">
        <w:rPr>
          <w:rFonts w:eastAsia="Times New Roman"/>
          <w:u w:val="single"/>
          <w:lang w:eastAsia="bg-BG"/>
        </w:rPr>
        <w:t>Фертилитет</w:t>
      </w:r>
    </w:p>
    <w:p w14:paraId="288D522D"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Не са провеждани проучвания на ефектите на вилдаглиптин върху фертилитета при хора (вижте точка 5.3).</w:t>
      </w:r>
    </w:p>
    <w:p w14:paraId="485BE51F" w14:textId="77777777" w:rsidR="00C74717" w:rsidRPr="00C74717" w:rsidRDefault="00C74717" w:rsidP="00C74717"/>
    <w:p w14:paraId="5DD7A76D" w14:textId="47A4E9F6" w:rsidR="007122AD" w:rsidRDefault="002C50EE" w:rsidP="00936AD0">
      <w:pPr>
        <w:pStyle w:val="Heading2"/>
      </w:pPr>
      <w:r>
        <w:t>4.7. Ефекти върху способността за шофиране и работа с машини</w:t>
      </w:r>
    </w:p>
    <w:p w14:paraId="1CB04F3F" w14:textId="32DCE54D" w:rsidR="00C74717" w:rsidRDefault="00C74717" w:rsidP="00C74717"/>
    <w:p w14:paraId="5F558467" w14:textId="0FF6ECD7" w:rsidR="00C74717" w:rsidRDefault="00C74717" w:rsidP="00C74717">
      <w:r>
        <w:t>Не са провеждани проучвания на ефектите върху способността за шофиране и работа с машини Пациентите, които почувстват замаяност като нежелана лекарствена реакции, трябва да избягват да шофират или да използват машини.</w:t>
      </w:r>
    </w:p>
    <w:p w14:paraId="0EE8BD9D" w14:textId="77777777" w:rsidR="00C74717" w:rsidRPr="00C74717" w:rsidRDefault="00C74717" w:rsidP="00C74717"/>
    <w:p w14:paraId="44CE30A3" w14:textId="5404F228" w:rsidR="007122AD" w:rsidRDefault="002C50EE" w:rsidP="00936AD0">
      <w:pPr>
        <w:pStyle w:val="Heading2"/>
      </w:pPr>
      <w:r>
        <w:t>4.8. Нежелани лекарствени реакции</w:t>
      </w:r>
    </w:p>
    <w:p w14:paraId="5CCAC750" w14:textId="6A4D3FA5" w:rsidR="00C74717" w:rsidRDefault="00C74717" w:rsidP="00C74717"/>
    <w:p w14:paraId="34ED68F6"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t>Резюме на профила на безопасност</w:t>
      </w:r>
    </w:p>
    <w:p w14:paraId="12E06B34"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Данните за безопасност са получени от общо 3784 пациента, с експозиция на вилдаглиптин дневна доза 50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(веднъж дневно) или 100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(50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два пъти дневно или 100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веднъж дневно) в контролирани изпитвания с продължителност от поне 12 седмици. От тези пациенти 2264 пациенти са получавали вилдаглиптин като монотерапия и 1520 пациенти са получавали вилдаглиптин в комбинация с друг лекарствен продукт. 2682 пациента са лекувани с вилдаглиптин 100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дневно (или 50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два пъти дневно, или 100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веднъж дневно) и 1102 пациента са лекувани с вилдаглиптин 50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веднъж дневно.</w:t>
      </w:r>
    </w:p>
    <w:p w14:paraId="4204A92D" w14:textId="77777777" w:rsidR="00C74717" w:rsidRPr="00C74717" w:rsidRDefault="00C74717" w:rsidP="00C74717">
      <w:pPr>
        <w:spacing w:line="240" w:lineRule="auto"/>
        <w:rPr>
          <w:rFonts w:eastAsia="Times New Roman" w:cs="Arial"/>
          <w:color w:val="000000"/>
          <w:szCs w:val="20"/>
          <w:lang w:eastAsia="bg-BG"/>
        </w:rPr>
      </w:pPr>
    </w:p>
    <w:p w14:paraId="467D6875" w14:textId="7A58F6E5"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Повечето от нежеланите лекарствени реакции при тези изпитвания са били леки и преходни, без да изискват преустановяване на лечението. Не е установена връзка между </w:t>
      </w:r>
      <w:r w:rsidRPr="00C74717">
        <w:rPr>
          <w:rFonts w:eastAsia="Times New Roman" w:cs="Arial"/>
          <w:color w:val="000000"/>
          <w:szCs w:val="20"/>
          <w:lang w:eastAsia="bg-BG"/>
        </w:rPr>
        <w:lastRenderedPageBreak/>
        <w:t>нежеланите лекарствени реакции и възраст, ентическа принадлежност, продължителност на експозицията или дневна доза.</w:t>
      </w:r>
    </w:p>
    <w:p w14:paraId="35867F40" w14:textId="77777777" w:rsidR="00C74717" w:rsidRPr="00C74717" w:rsidRDefault="00C74717" w:rsidP="00C74717">
      <w:pPr>
        <w:spacing w:line="240" w:lineRule="auto"/>
        <w:rPr>
          <w:rFonts w:eastAsia="Times New Roman" w:cs="Arial"/>
          <w:color w:val="000000"/>
          <w:szCs w:val="20"/>
          <w:lang w:eastAsia="bg-BG"/>
        </w:rPr>
      </w:pPr>
    </w:p>
    <w:p w14:paraId="541D1DAE" w14:textId="47DAF219"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Съобщавани са редки случаи на чернодробна дисфункция (включително хепатит). При тези случаи пациентите обичайно са били асимптоматични, без клинични последствия и стойностите на изследванията на чернодробната функция са се върнали към нормалните след преустановяване на лечението. В данните от контролираните изпитвания при монотерапия и добавъчна терапия с продължителност до 24 седмици, честотата на повишения на </w:t>
      </w:r>
      <w:r w:rsidRPr="00C74717">
        <w:rPr>
          <w:rFonts w:eastAsia="Times New Roman" w:cs="Arial"/>
          <w:color w:val="000000"/>
          <w:szCs w:val="20"/>
          <w:lang w:val="en-US"/>
        </w:rPr>
        <w:t>ALT</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или </w:t>
      </w:r>
      <w:r w:rsidRPr="00C74717">
        <w:rPr>
          <w:rFonts w:eastAsia="Times New Roman" w:cs="Arial"/>
          <w:color w:val="000000"/>
          <w:szCs w:val="20"/>
          <w:lang w:val="en-US"/>
        </w:rPr>
        <w:t>AST</w:t>
      </w:r>
    </w:p>
    <w:p w14:paraId="7C08797E"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 xml:space="preserve">≥3 х ГГН (класифицирана като наличие на най-малко 2 последователни измервания или при финалната </w:t>
      </w:r>
      <w:r w:rsidRPr="00C74717">
        <w:rPr>
          <w:rFonts w:eastAsia="Times New Roman" w:cs="Arial"/>
          <w:color w:val="000000"/>
          <w:szCs w:val="20"/>
          <w:lang w:val="en-US"/>
        </w:rPr>
        <w:t>on</w:t>
      </w:r>
      <w:r w:rsidRPr="00C74717">
        <w:rPr>
          <w:rFonts w:eastAsia="Times New Roman" w:cs="Arial"/>
          <w:color w:val="000000"/>
          <w:szCs w:val="20"/>
          <w:lang w:val="ru-RU"/>
        </w:rPr>
        <w:t>-</w:t>
      </w:r>
      <w:r w:rsidRPr="00C74717">
        <w:rPr>
          <w:rFonts w:eastAsia="Times New Roman" w:cs="Arial"/>
          <w:color w:val="000000"/>
          <w:szCs w:val="20"/>
          <w:lang w:val="en-US"/>
        </w:rPr>
        <w:t>treatment</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визита) е била 0,2%, 0,3% и 0,2% респективно за вилдаглиптин 50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веднъж дневно, вилдаглиптин 50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два пъти дневно и при всички компаратори. Тези повишения в трансаминазите обичайно са били без симптоми, непрогресиращи като характер и несвързани с холестаза или жълтеница.</w:t>
      </w:r>
    </w:p>
    <w:p w14:paraId="59B34F87" w14:textId="77777777" w:rsidR="00C74717" w:rsidRPr="00C74717" w:rsidRDefault="00C74717" w:rsidP="00C74717">
      <w:pPr>
        <w:spacing w:line="240" w:lineRule="auto"/>
        <w:rPr>
          <w:rFonts w:eastAsia="Times New Roman" w:cs="Arial"/>
          <w:color w:val="000000"/>
          <w:szCs w:val="20"/>
          <w:lang w:eastAsia="bg-BG"/>
        </w:rPr>
      </w:pPr>
    </w:p>
    <w:p w14:paraId="6C29DC71" w14:textId="03CC8FBF"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Съобщавани са редки случаи на ангиоедем при вилдаглиптин със сходна честота с тази в групите със сравнителните лекарства. Повечето от тези случаи са съобщавани, когато вилдаглиптин е приеман в комбинация с инхибитор на ангиотензин конвертиращия ензим (АСЕ инхибитор). По- голямата част от събитията са били леки и са преминали в хода на лечение с вилдаглиптин.</w:t>
      </w:r>
    </w:p>
    <w:p w14:paraId="2088EC4B" w14:textId="77777777" w:rsidR="00C74717" w:rsidRPr="00C74717" w:rsidRDefault="00C74717" w:rsidP="00C74717">
      <w:pPr>
        <w:spacing w:line="240" w:lineRule="auto"/>
        <w:rPr>
          <w:rFonts w:eastAsia="Times New Roman" w:cs="Arial"/>
          <w:color w:val="000000"/>
          <w:szCs w:val="20"/>
          <w:u w:val="single"/>
          <w:lang w:eastAsia="bg-BG"/>
        </w:rPr>
      </w:pPr>
    </w:p>
    <w:p w14:paraId="1CFADD0E" w14:textId="4EFED046"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u w:val="single"/>
          <w:lang w:eastAsia="bg-BG"/>
        </w:rPr>
        <w:t>Табличен списък на нежеланите лекарствени реакции</w:t>
      </w:r>
    </w:p>
    <w:p w14:paraId="5EFF1B41" w14:textId="77777777" w:rsidR="00C74717" w:rsidRPr="00C74717" w:rsidRDefault="00C74717" w:rsidP="00C74717">
      <w:pPr>
        <w:spacing w:line="240" w:lineRule="auto"/>
        <w:rPr>
          <w:rFonts w:eastAsia="Times New Roman" w:cs="Arial"/>
          <w:sz w:val="28"/>
          <w:szCs w:val="24"/>
        </w:rPr>
      </w:pPr>
      <w:r w:rsidRPr="00C74717">
        <w:rPr>
          <w:rFonts w:eastAsia="Times New Roman" w:cs="Arial"/>
          <w:color w:val="000000"/>
          <w:szCs w:val="20"/>
          <w:lang w:eastAsia="bg-BG"/>
        </w:rPr>
        <w:t>Нежеланите лекарствени реакции, съобщавани при пациенти, които са приемали вилдаглиптин, в двойнослепи проучвания като монотерапия и като добавъчна терапия са посочени по-долу за всяка индикация съобразно класификацията система-орган-клас и по абсолютна честота. Категориите за честота са дефинирани като много чести (≥1/10), чести (≥1/100 до &lt;1/10), нечести (≥1/1 000 до &lt;1/100), редки (≥1/10 000 до &lt;1/1 000), много редки (&lt;1/10 000), с неизвестна честота (честотата не може да бъде установена от наличните данни). Във всяка от групите по честота нежеланите лекарствени реакции са посочени в низходящ ред по отношение на тяхната сериозност.</w:t>
      </w:r>
    </w:p>
    <w:p w14:paraId="35F8C9BA" w14:textId="77777777" w:rsidR="00C74717" w:rsidRPr="00C74717" w:rsidRDefault="00C74717" w:rsidP="00C74717">
      <w:pPr>
        <w:spacing w:line="240" w:lineRule="auto"/>
        <w:rPr>
          <w:rFonts w:eastAsia="Times New Roman" w:cs="Arial"/>
          <w:i/>
          <w:iCs/>
          <w:color w:val="000000"/>
          <w:szCs w:val="20"/>
          <w:lang w:eastAsia="bg-BG"/>
        </w:rPr>
      </w:pPr>
    </w:p>
    <w:p w14:paraId="7BC57D27" w14:textId="3FDDAB13" w:rsidR="00C74717" w:rsidRPr="00C74717" w:rsidRDefault="00C74717" w:rsidP="00C74717">
      <w:pPr>
        <w:spacing w:line="240" w:lineRule="auto"/>
        <w:rPr>
          <w:rFonts w:eastAsia="Times New Roman" w:cs="Arial"/>
          <w:sz w:val="28"/>
          <w:szCs w:val="24"/>
        </w:rPr>
      </w:pPr>
      <w:r w:rsidRPr="00C74717">
        <w:rPr>
          <w:rFonts w:eastAsia="Times New Roman" w:cs="Arial"/>
          <w:i/>
          <w:iCs/>
          <w:color w:val="000000"/>
          <w:szCs w:val="20"/>
          <w:lang w:eastAsia="bg-BG"/>
        </w:rPr>
        <w:t>Комбинация с метформин</w:t>
      </w:r>
    </w:p>
    <w:p w14:paraId="625F3AA0" w14:textId="2E9A3E9E" w:rsidR="00C74717" w:rsidRDefault="00C74717" w:rsidP="00C74717">
      <w:pPr>
        <w:spacing w:line="240" w:lineRule="auto"/>
        <w:rPr>
          <w:rFonts w:eastAsia="Times New Roman" w:cs="Arial"/>
          <w:color w:val="000000"/>
          <w:szCs w:val="20"/>
          <w:lang w:val="ru-RU"/>
        </w:rPr>
      </w:pPr>
      <w:r w:rsidRPr="00C74717">
        <w:rPr>
          <w:rFonts w:eastAsia="Times New Roman" w:cs="Arial"/>
          <w:color w:val="000000"/>
          <w:szCs w:val="20"/>
          <w:lang w:eastAsia="bg-BG"/>
        </w:rPr>
        <w:t xml:space="preserve">Таблица 1 - Нежелани реакции, съобщавани при пациенти, които са приемали вилдаглиптин 100 </w:t>
      </w:r>
      <w:r w:rsidRPr="00C74717">
        <w:rPr>
          <w:rFonts w:eastAsia="Times New Roman" w:cs="Arial"/>
          <w:color w:val="000000"/>
          <w:szCs w:val="20"/>
          <w:lang w:val="en-US"/>
        </w:rPr>
        <w:t>mg</w:t>
      </w:r>
      <w:r w:rsidRPr="00C74717">
        <w:rPr>
          <w:rFonts w:eastAsia="Times New Roman" w:cs="Arial"/>
          <w:color w:val="000000"/>
          <w:szCs w:val="20"/>
          <w:lang w:val="ru-RU"/>
        </w:rPr>
        <w:t xml:space="preserve"> </w:t>
      </w:r>
      <w:r w:rsidRPr="00C74717">
        <w:rPr>
          <w:rFonts w:eastAsia="Times New Roman" w:cs="Arial"/>
          <w:color w:val="000000"/>
          <w:szCs w:val="20"/>
          <w:lang w:eastAsia="bg-BG"/>
        </w:rPr>
        <w:t xml:space="preserve">дневно в комбинация с метформин в двойнослепи проучвания </w:t>
      </w:r>
      <w:r w:rsidRPr="00C74717">
        <w:rPr>
          <w:rFonts w:eastAsia="Times New Roman" w:cs="Arial"/>
          <w:color w:val="000000"/>
          <w:szCs w:val="20"/>
          <w:lang w:val="ru-RU"/>
        </w:rPr>
        <w:t>(</w:t>
      </w:r>
      <w:r w:rsidRPr="00C74717">
        <w:rPr>
          <w:rFonts w:eastAsia="Times New Roman" w:cs="Arial"/>
          <w:color w:val="000000"/>
          <w:szCs w:val="20"/>
          <w:lang w:val="en-US"/>
        </w:rPr>
        <w:t>N</w:t>
      </w:r>
      <w:r w:rsidRPr="00C74717">
        <w:rPr>
          <w:rFonts w:eastAsia="Times New Roman" w:cs="Arial"/>
          <w:color w:val="000000"/>
          <w:szCs w:val="20"/>
          <w:lang w:val="ru-RU"/>
        </w:rPr>
        <w:t>=208)</w:t>
      </w:r>
    </w:p>
    <w:tbl>
      <w:tblPr>
        <w:tblStyle w:val="TableGrid"/>
        <w:tblW w:w="0" w:type="auto"/>
        <w:tblLook w:val="04A0" w:firstRow="1" w:lastRow="0" w:firstColumn="1" w:lastColumn="0" w:noHBand="0" w:noVBand="1"/>
      </w:tblPr>
      <w:tblGrid>
        <w:gridCol w:w="3123"/>
        <w:gridCol w:w="3101"/>
        <w:gridCol w:w="3126"/>
      </w:tblGrid>
      <w:tr w:rsidR="00C74717" w14:paraId="4EA8A009" w14:textId="77777777" w:rsidTr="00E83374">
        <w:tc>
          <w:tcPr>
            <w:tcW w:w="3192" w:type="dxa"/>
            <w:vAlign w:val="bottom"/>
          </w:tcPr>
          <w:p w14:paraId="31F9A678" w14:textId="23A82E60" w:rsidR="00C74717" w:rsidRPr="00C74717" w:rsidRDefault="00C74717" w:rsidP="00C74717">
            <w:pPr>
              <w:spacing w:line="240" w:lineRule="auto"/>
              <w:rPr>
                <w:rFonts w:eastAsia="Times New Roman" w:cs="Arial"/>
              </w:rPr>
            </w:pPr>
            <w:r w:rsidRPr="00C74717">
              <w:rPr>
                <w:b/>
                <w:bCs/>
              </w:rPr>
              <w:t>Система орган клас</w:t>
            </w:r>
          </w:p>
        </w:tc>
        <w:tc>
          <w:tcPr>
            <w:tcW w:w="3192" w:type="dxa"/>
            <w:vAlign w:val="bottom"/>
          </w:tcPr>
          <w:p w14:paraId="517415B8" w14:textId="0607E874" w:rsidR="00C74717" w:rsidRPr="00C74717" w:rsidRDefault="00C74717" w:rsidP="00C74717">
            <w:pPr>
              <w:spacing w:line="240" w:lineRule="auto"/>
              <w:rPr>
                <w:rFonts w:eastAsia="Times New Roman" w:cs="Arial"/>
              </w:rPr>
            </w:pPr>
            <w:r w:rsidRPr="00C74717">
              <w:rPr>
                <w:b/>
                <w:bCs/>
              </w:rPr>
              <w:t>Честота</w:t>
            </w:r>
          </w:p>
        </w:tc>
        <w:tc>
          <w:tcPr>
            <w:tcW w:w="3192" w:type="dxa"/>
            <w:vAlign w:val="bottom"/>
          </w:tcPr>
          <w:p w14:paraId="6D7222A9" w14:textId="786D59DE" w:rsidR="00C74717" w:rsidRPr="00C74717" w:rsidRDefault="00C74717" w:rsidP="00C74717">
            <w:pPr>
              <w:spacing w:line="240" w:lineRule="auto"/>
              <w:rPr>
                <w:rFonts w:eastAsia="Times New Roman" w:cs="Arial"/>
              </w:rPr>
            </w:pPr>
            <w:r w:rsidRPr="00C74717">
              <w:rPr>
                <w:b/>
                <w:bCs/>
              </w:rPr>
              <w:t>Нежелани реакции</w:t>
            </w:r>
          </w:p>
        </w:tc>
      </w:tr>
      <w:tr w:rsidR="00C74717" w14:paraId="6462F239" w14:textId="77777777" w:rsidTr="00E83374">
        <w:tc>
          <w:tcPr>
            <w:tcW w:w="3192" w:type="dxa"/>
            <w:vAlign w:val="bottom"/>
          </w:tcPr>
          <w:p w14:paraId="36104FD0" w14:textId="161D8E8A" w:rsidR="00C74717" w:rsidRPr="00C74717" w:rsidRDefault="00C74717" w:rsidP="00C74717">
            <w:pPr>
              <w:spacing w:line="240" w:lineRule="auto"/>
              <w:rPr>
                <w:rFonts w:eastAsia="Times New Roman" w:cs="Arial"/>
              </w:rPr>
            </w:pPr>
            <w:r w:rsidRPr="00C74717">
              <w:t>Нарушения на метаболизма и храненето</w:t>
            </w:r>
          </w:p>
        </w:tc>
        <w:tc>
          <w:tcPr>
            <w:tcW w:w="3192" w:type="dxa"/>
          </w:tcPr>
          <w:p w14:paraId="2AD2B089" w14:textId="06F20566" w:rsidR="00C74717" w:rsidRPr="00C74717" w:rsidRDefault="00C74717" w:rsidP="00C74717">
            <w:pPr>
              <w:spacing w:line="240" w:lineRule="auto"/>
              <w:rPr>
                <w:rFonts w:eastAsia="Times New Roman" w:cs="Arial"/>
              </w:rPr>
            </w:pPr>
            <w:r w:rsidRPr="00C74717">
              <w:t>Чести</w:t>
            </w:r>
          </w:p>
        </w:tc>
        <w:tc>
          <w:tcPr>
            <w:tcW w:w="3192" w:type="dxa"/>
          </w:tcPr>
          <w:p w14:paraId="6FCB46AB" w14:textId="0DC5D58D" w:rsidR="00C74717" w:rsidRPr="00C74717" w:rsidRDefault="00C74717" w:rsidP="00C74717">
            <w:pPr>
              <w:spacing w:line="240" w:lineRule="auto"/>
              <w:rPr>
                <w:rFonts w:eastAsia="Times New Roman" w:cs="Arial"/>
              </w:rPr>
            </w:pPr>
            <w:r w:rsidRPr="00C74717">
              <w:t>Хипогликемия</w:t>
            </w:r>
          </w:p>
        </w:tc>
      </w:tr>
      <w:tr w:rsidR="00C74717" w14:paraId="763AEA15" w14:textId="77777777" w:rsidTr="00E83374">
        <w:tc>
          <w:tcPr>
            <w:tcW w:w="3192" w:type="dxa"/>
            <w:vMerge w:val="restart"/>
          </w:tcPr>
          <w:p w14:paraId="42F36852" w14:textId="799E3E3D" w:rsidR="00C74717" w:rsidRPr="00C74717" w:rsidRDefault="00C74717" w:rsidP="00C74717">
            <w:pPr>
              <w:spacing w:line="240" w:lineRule="auto"/>
              <w:rPr>
                <w:rFonts w:eastAsia="Times New Roman" w:cs="Arial"/>
              </w:rPr>
            </w:pPr>
            <w:r w:rsidRPr="00C74717">
              <w:t>Нарушения на нервната система</w:t>
            </w:r>
          </w:p>
        </w:tc>
        <w:tc>
          <w:tcPr>
            <w:tcW w:w="3192" w:type="dxa"/>
            <w:vAlign w:val="bottom"/>
          </w:tcPr>
          <w:p w14:paraId="0EF5F60C" w14:textId="46C696F5" w:rsidR="00C74717" w:rsidRPr="00C74717" w:rsidRDefault="00C74717" w:rsidP="00C74717">
            <w:pPr>
              <w:spacing w:line="240" w:lineRule="auto"/>
              <w:rPr>
                <w:rFonts w:eastAsia="Times New Roman" w:cs="Arial"/>
              </w:rPr>
            </w:pPr>
            <w:r w:rsidRPr="00C74717">
              <w:t>Чести</w:t>
            </w:r>
          </w:p>
        </w:tc>
        <w:tc>
          <w:tcPr>
            <w:tcW w:w="3192" w:type="dxa"/>
            <w:vAlign w:val="bottom"/>
          </w:tcPr>
          <w:p w14:paraId="0CECDF30" w14:textId="4B9A04F4" w:rsidR="00C74717" w:rsidRPr="00C74717" w:rsidRDefault="00C74717" w:rsidP="00C74717">
            <w:pPr>
              <w:spacing w:line="240" w:lineRule="auto"/>
              <w:rPr>
                <w:rFonts w:eastAsia="Times New Roman" w:cs="Arial"/>
              </w:rPr>
            </w:pPr>
            <w:r w:rsidRPr="00C74717">
              <w:t>Тремор</w:t>
            </w:r>
          </w:p>
        </w:tc>
      </w:tr>
      <w:tr w:rsidR="00C74717" w14:paraId="6A799A53" w14:textId="77777777" w:rsidTr="00E83374">
        <w:tc>
          <w:tcPr>
            <w:tcW w:w="3192" w:type="dxa"/>
            <w:vMerge/>
          </w:tcPr>
          <w:p w14:paraId="4D3329EE" w14:textId="77777777" w:rsidR="00C74717" w:rsidRPr="00C74717" w:rsidRDefault="00C74717" w:rsidP="00C74717">
            <w:pPr>
              <w:spacing w:line="240" w:lineRule="auto"/>
              <w:rPr>
                <w:rFonts w:eastAsia="Times New Roman" w:cs="Arial"/>
              </w:rPr>
            </w:pPr>
          </w:p>
        </w:tc>
        <w:tc>
          <w:tcPr>
            <w:tcW w:w="3192" w:type="dxa"/>
            <w:vAlign w:val="bottom"/>
          </w:tcPr>
          <w:p w14:paraId="3EDC6481" w14:textId="6EBCD736" w:rsidR="00C74717" w:rsidRPr="00C74717" w:rsidRDefault="00C74717" w:rsidP="00C74717">
            <w:pPr>
              <w:spacing w:line="240" w:lineRule="auto"/>
              <w:rPr>
                <w:rFonts w:eastAsia="Times New Roman" w:cs="Arial"/>
              </w:rPr>
            </w:pPr>
            <w:r w:rsidRPr="00C74717">
              <w:t>Чести</w:t>
            </w:r>
          </w:p>
        </w:tc>
        <w:tc>
          <w:tcPr>
            <w:tcW w:w="3192" w:type="dxa"/>
            <w:vAlign w:val="bottom"/>
          </w:tcPr>
          <w:p w14:paraId="280888EC" w14:textId="5D9912E6" w:rsidR="00C74717" w:rsidRPr="00C74717" w:rsidRDefault="00C74717" w:rsidP="00C74717">
            <w:pPr>
              <w:spacing w:line="240" w:lineRule="auto"/>
              <w:rPr>
                <w:rFonts w:eastAsia="Times New Roman" w:cs="Arial"/>
              </w:rPr>
            </w:pPr>
            <w:r w:rsidRPr="00C74717">
              <w:rPr>
                <w:u w:val="single"/>
              </w:rPr>
              <w:t>Главоболие</w:t>
            </w:r>
          </w:p>
        </w:tc>
      </w:tr>
      <w:tr w:rsidR="00C74717" w14:paraId="30B8D6E2" w14:textId="77777777" w:rsidTr="00E83374">
        <w:tc>
          <w:tcPr>
            <w:tcW w:w="3192" w:type="dxa"/>
            <w:vMerge/>
          </w:tcPr>
          <w:p w14:paraId="56226520" w14:textId="77777777" w:rsidR="00C74717" w:rsidRPr="00C74717" w:rsidRDefault="00C74717" w:rsidP="00C74717">
            <w:pPr>
              <w:spacing w:line="240" w:lineRule="auto"/>
              <w:rPr>
                <w:rFonts w:eastAsia="Times New Roman" w:cs="Arial"/>
              </w:rPr>
            </w:pPr>
          </w:p>
        </w:tc>
        <w:tc>
          <w:tcPr>
            <w:tcW w:w="3192" w:type="dxa"/>
            <w:vAlign w:val="bottom"/>
          </w:tcPr>
          <w:p w14:paraId="008E69F3" w14:textId="5476EB21" w:rsidR="00C74717" w:rsidRPr="00C74717" w:rsidRDefault="00C74717" w:rsidP="00C74717">
            <w:pPr>
              <w:spacing w:line="240" w:lineRule="auto"/>
              <w:rPr>
                <w:rFonts w:eastAsia="Times New Roman" w:cs="Arial"/>
              </w:rPr>
            </w:pPr>
            <w:r w:rsidRPr="00C74717">
              <w:t>Чести</w:t>
            </w:r>
          </w:p>
        </w:tc>
        <w:tc>
          <w:tcPr>
            <w:tcW w:w="3192" w:type="dxa"/>
          </w:tcPr>
          <w:p w14:paraId="72834346" w14:textId="71272834" w:rsidR="00C74717" w:rsidRPr="00C74717" w:rsidRDefault="00C74717" w:rsidP="00C74717">
            <w:pPr>
              <w:spacing w:line="240" w:lineRule="auto"/>
              <w:rPr>
                <w:rFonts w:eastAsia="Times New Roman" w:cs="Arial"/>
              </w:rPr>
            </w:pPr>
            <w:r w:rsidRPr="00C74717">
              <w:t>Замаяност</w:t>
            </w:r>
          </w:p>
        </w:tc>
      </w:tr>
      <w:tr w:rsidR="00C74717" w14:paraId="2014E175" w14:textId="77777777" w:rsidTr="00C74717">
        <w:tc>
          <w:tcPr>
            <w:tcW w:w="3192" w:type="dxa"/>
            <w:vMerge/>
          </w:tcPr>
          <w:p w14:paraId="3E186442" w14:textId="77777777" w:rsidR="00C74717" w:rsidRPr="00C74717" w:rsidRDefault="00C74717" w:rsidP="00C74717">
            <w:pPr>
              <w:spacing w:line="240" w:lineRule="auto"/>
              <w:rPr>
                <w:rFonts w:eastAsia="Times New Roman" w:cs="Arial"/>
              </w:rPr>
            </w:pPr>
          </w:p>
        </w:tc>
        <w:tc>
          <w:tcPr>
            <w:tcW w:w="3192" w:type="dxa"/>
          </w:tcPr>
          <w:p w14:paraId="48CB0EBE" w14:textId="063E3D38" w:rsidR="00C74717" w:rsidRPr="00C74717" w:rsidRDefault="00C74717" w:rsidP="00C74717">
            <w:pPr>
              <w:spacing w:line="240" w:lineRule="auto"/>
              <w:rPr>
                <w:rFonts w:eastAsia="Times New Roman" w:cs="Arial"/>
              </w:rPr>
            </w:pPr>
            <w:r w:rsidRPr="00C74717">
              <w:t>Нечести</w:t>
            </w:r>
          </w:p>
        </w:tc>
        <w:tc>
          <w:tcPr>
            <w:tcW w:w="3192" w:type="dxa"/>
          </w:tcPr>
          <w:p w14:paraId="310175E7" w14:textId="1CBF373B" w:rsidR="00C74717" w:rsidRPr="00C74717" w:rsidRDefault="00C74717" w:rsidP="00C74717">
            <w:pPr>
              <w:spacing w:line="240" w:lineRule="auto"/>
              <w:rPr>
                <w:rFonts w:eastAsia="Times New Roman" w:cs="Arial"/>
              </w:rPr>
            </w:pPr>
            <w:r w:rsidRPr="00C74717">
              <w:t>Умора</w:t>
            </w:r>
          </w:p>
        </w:tc>
      </w:tr>
      <w:tr w:rsidR="00C74717" w14:paraId="5D63CF65" w14:textId="77777777" w:rsidTr="00C74717">
        <w:tc>
          <w:tcPr>
            <w:tcW w:w="3192" w:type="dxa"/>
          </w:tcPr>
          <w:p w14:paraId="5C1A045E" w14:textId="5FC5F6F5" w:rsidR="00C74717" w:rsidRPr="00C74717" w:rsidRDefault="00C74717" w:rsidP="00C74717">
            <w:pPr>
              <w:spacing w:line="240" w:lineRule="auto"/>
              <w:rPr>
                <w:rFonts w:eastAsia="Times New Roman" w:cs="Arial"/>
                <w:szCs w:val="24"/>
              </w:rPr>
            </w:pPr>
            <w:r w:rsidRPr="00C74717">
              <w:rPr>
                <w:szCs w:val="20"/>
              </w:rPr>
              <w:t>Стомашно-чревни нарушения</w:t>
            </w:r>
          </w:p>
        </w:tc>
        <w:tc>
          <w:tcPr>
            <w:tcW w:w="3192" w:type="dxa"/>
          </w:tcPr>
          <w:p w14:paraId="6D267332" w14:textId="48A00732" w:rsidR="00C74717" w:rsidRPr="00C74717" w:rsidRDefault="00C74717" w:rsidP="00C74717">
            <w:pPr>
              <w:spacing w:line="240" w:lineRule="auto"/>
              <w:rPr>
                <w:rFonts w:eastAsia="Times New Roman" w:cs="Arial"/>
                <w:szCs w:val="24"/>
              </w:rPr>
            </w:pPr>
            <w:r w:rsidRPr="00C74717">
              <w:rPr>
                <w:szCs w:val="20"/>
              </w:rPr>
              <w:t>Чести</w:t>
            </w:r>
          </w:p>
        </w:tc>
        <w:tc>
          <w:tcPr>
            <w:tcW w:w="3192" w:type="dxa"/>
          </w:tcPr>
          <w:p w14:paraId="771E3853" w14:textId="3E40F31D" w:rsidR="00C74717" w:rsidRPr="00C74717" w:rsidRDefault="00C74717" w:rsidP="00C74717">
            <w:pPr>
              <w:spacing w:line="240" w:lineRule="auto"/>
              <w:rPr>
                <w:rFonts w:eastAsia="Times New Roman" w:cs="Arial"/>
                <w:szCs w:val="24"/>
              </w:rPr>
            </w:pPr>
            <w:r w:rsidRPr="00C74717">
              <w:rPr>
                <w:szCs w:val="20"/>
              </w:rPr>
              <w:t>Гадене</w:t>
            </w:r>
          </w:p>
        </w:tc>
      </w:tr>
    </w:tbl>
    <w:p w14:paraId="6441BDB7" w14:textId="128C648E" w:rsidR="00C74717" w:rsidRDefault="00C74717" w:rsidP="00C74717">
      <w:pPr>
        <w:rPr>
          <w:rFonts w:eastAsia="Times New Roman" w:cs="Arial"/>
          <w:sz w:val="28"/>
          <w:szCs w:val="24"/>
        </w:rPr>
      </w:pPr>
    </w:p>
    <w:p w14:paraId="7A2EA765" w14:textId="77777777" w:rsidR="00B41857" w:rsidRPr="00B41857" w:rsidRDefault="00B41857" w:rsidP="00B41857">
      <w:pPr>
        <w:spacing w:line="240" w:lineRule="auto"/>
        <w:rPr>
          <w:rFonts w:eastAsia="Times New Roman" w:cs="Arial"/>
          <w:sz w:val="28"/>
          <w:szCs w:val="24"/>
        </w:rPr>
      </w:pPr>
      <w:r w:rsidRPr="00B41857">
        <w:rPr>
          <w:rFonts w:eastAsia="Times New Roman" w:cs="Arial"/>
          <w:i/>
          <w:iCs/>
          <w:color w:val="000000"/>
          <w:szCs w:val="20"/>
          <w:lang w:eastAsia="bg-BG"/>
        </w:rPr>
        <w:t>Описание на избрани нежелани реакции</w:t>
      </w:r>
    </w:p>
    <w:p w14:paraId="6AD8B8B0" w14:textId="775EDF8C" w:rsidR="00B41857" w:rsidRPr="00B41857" w:rsidRDefault="00B41857" w:rsidP="00B41857">
      <w:pPr>
        <w:spacing w:line="240" w:lineRule="auto"/>
        <w:rPr>
          <w:rFonts w:eastAsia="Times New Roman" w:cs="Arial"/>
          <w:sz w:val="28"/>
          <w:szCs w:val="24"/>
        </w:rPr>
      </w:pPr>
      <w:r w:rsidRPr="00B41857">
        <w:rPr>
          <w:rFonts w:eastAsia="Times New Roman" w:cs="Arial"/>
          <w:color w:val="000000"/>
          <w:szCs w:val="20"/>
          <w:lang w:eastAsia="bg-BG"/>
        </w:rPr>
        <w:t xml:space="preserve">При контролираните клинични изпитвания на комбинация вилдаглиптин 100 </w:t>
      </w:r>
      <w:r w:rsidRPr="00B41857">
        <w:rPr>
          <w:rFonts w:eastAsia="Times New Roman" w:cs="Arial"/>
          <w:color w:val="000000"/>
          <w:szCs w:val="20"/>
          <w:lang w:val="en-US"/>
        </w:rPr>
        <w:t>mg</w:t>
      </w:r>
      <w:r w:rsidRPr="00B41857">
        <w:rPr>
          <w:rFonts w:eastAsia="Times New Roman" w:cs="Arial"/>
          <w:color w:val="000000"/>
          <w:szCs w:val="20"/>
          <w:lang w:val="ru-RU"/>
        </w:rPr>
        <w:t xml:space="preserve"> </w:t>
      </w:r>
      <w:r w:rsidRPr="00B41857">
        <w:rPr>
          <w:rFonts w:eastAsia="Times New Roman" w:cs="Arial"/>
          <w:color w:val="000000"/>
          <w:szCs w:val="20"/>
          <w:lang w:eastAsia="bg-BG"/>
        </w:rPr>
        <w:t xml:space="preserve">дневно + тиазолидиндион, не е съобщавано за преустановяване на лечението поради нежелани реакции нито в трупата на вилдаглиптин 100 </w:t>
      </w:r>
      <w:r w:rsidRPr="00B41857">
        <w:rPr>
          <w:rFonts w:eastAsia="Times New Roman" w:cs="Arial"/>
          <w:color w:val="000000"/>
          <w:szCs w:val="20"/>
          <w:lang w:val="en-US"/>
        </w:rPr>
        <w:t>mg</w:t>
      </w:r>
      <w:r w:rsidRPr="00B41857">
        <w:rPr>
          <w:rFonts w:eastAsia="Times New Roman" w:cs="Arial"/>
          <w:color w:val="000000"/>
          <w:szCs w:val="20"/>
          <w:lang w:val="ru-RU"/>
        </w:rPr>
        <w:t xml:space="preserve"> </w:t>
      </w:r>
      <w:r w:rsidRPr="00B41857">
        <w:rPr>
          <w:rFonts w:eastAsia="Times New Roman" w:cs="Arial"/>
          <w:color w:val="000000"/>
          <w:szCs w:val="20"/>
          <w:lang w:eastAsia="bg-BG"/>
        </w:rPr>
        <w:t>дневно + тиазолидиндион, нито в групата на плацебо + тиазолидиндион.</w:t>
      </w:r>
    </w:p>
    <w:p w14:paraId="26BDFE14" w14:textId="77777777" w:rsidR="00B41857" w:rsidRPr="00B41857" w:rsidRDefault="00B41857" w:rsidP="00B41857">
      <w:pPr>
        <w:spacing w:line="240" w:lineRule="auto"/>
        <w:rPr>
          <w:rFonts w:eastAsia="Times New Roman" w:cs="Arial"/>
          <w:color w:val="000000"/>
          <w:szCs w:val="20"/>
          <w:lang w:eastAsia="bg-BG"/>
        </w:rPr>
      </w:pPr>
    </w:p>
    <w:p w14:paraId="17322077" w14:textId="0DB2FDC4" w:rsidR="00B41857" w:rsidRPr="00B41857" w:rsidRDefault="00B41857" w:rsidP="00B41857">
      <w:pPr>
        <w:spacing w:line="240" w:lineRule="auto"/>
        <w:rPr>
          <w:rFonts w:eastAsia="Times New Roman" w:cs="Arial"/>
          <w:sz w:val="28"/>
          <w:szCs w:val="24"/>
        </w:rPr>
      </w:pPr>
      <w:r w:rsidRPr="00B41857">
        <w:rPr>
          <w:rFonts w:eastAsia="Times New Roman" w:cs="Arial"/>
          <w:color w:val="000000"/>
          <w:szCs w:val="20"/>
          <w:lang w:eastAsia="bg-BG"/>
        </w:rPr>
        <w:t>При клиничните проучвания честотата на хипогликемия е била нечеста при пациентите, получавали вилдаглиптин + пиоглитазон (0,6%), но честа при пациентите, получавали плацебо + пиоглитазон (1,9%). Не са съобщавани тежки хипогликемични събития в терапевтичните гупи с вилдаглиптин.</w:t>
      </w:r>
    </w:p>
    <w:p w14:paraId="796DDAFD" w14:textId="77777777" w:rsidR="00B41857" w:rsidRPr="00B41857" w:rsidRDefault="00B41857" w:rsidP="00B41857">
      <w:pPr>
        <w:spacing w:line="240" w:lineRule="auto"/>
        <w:rPr>
          <w:rFonts w:eastAsia="Times New Roman" w:cs="Arial"/>
          <w:color w:val="000000"/>
          <w:szCs w:val="20"/>
          <w:lang w:eastAsia="bg-BG"/>
        </w:rPr>
      </w:pPr>
    </w:p>
    <w:p w14:paraId="791437B0" w14:textId="61C90FBE" w:rsidR="00B41857" w:rsidRPr="00B41857" w:rsidRDefault="00B41857" w:rsidP="00B41857">
      <w:pPr>
        <w:spacing w:line="240" w:lineRule="auto"/>
        <w:rPr>
          <w:rFonts w:eastAsia="Times New Roman" w:cs="Arial"/>
          <w:sz w:val="28"/>
          <w:szCs w:val="24"/>
        </w:rPr>
      </w:pPr>
      <w:r w:rsidRPr="00B41857">
        <w:rPr>
          <w:rFonts w:eastAsia="Times New Roman" w:cs="Arial"/>
          <w:color w:val="000000"/>
          <w:szCs w:val="20"/>
          <w:lang w:eastAsia="bg-BG"/>
        </w:rPr>
        <w:t xml:space="preserve">При проучване с добавяне на пиоглитазон абсолютното повишение на теглото при плацебо и вилдаптин е било съответно 1,4 </w:t>
      </w:r>
      <w:r w:rsidRPr="00B41857">
        <w:rPr>
          <w:rFonts w:eastAsia="Times New Roman" w:cs="Arial"/>
          <w:color w:val="000000"/>
          <w:szCs w:val="20"/>
          <w:lang w:val="en-US"/>
        </w:rPr>
        <w:t>kg</w:t>
      </w:r>
      <w:r w:rsidRPr="00B41857">
        <w:rPr>
          <w:rFonts w:eastAsia="Times New Roman" w:cs="Arial"/>
          <w:color w:val="000000"/>
          <w:szCs w:val="20"/>
          <w:lang w:val="ru-RU"/>
        </w:rPr>
        <w:t xml:space="preserve"> </w:t>
      </w:r>
      <w:r w:rsidRPr="00B41857">
        <w:rPr>
          <w:rFonts w:eastAsia="Times New Roman" w:cs="Arial"/>
          <w:color w:val="000000"/>
          <w:szCs w:val="20"/>
          <w:lang w:eastAsia="bg-BG"/>
        </w:rPr>
        <w:t xml:space="preserve">и 2,7 </w:t>
      </w:r>
      <w:r w:rsidRPr="00B41857">
        <w:rPr>
          <w:rFonts w:eastAsia="Times New Roman" w:cs="Arial"/>
          <w:color w:val="000000"/>
          <w:szCs w:val="20"/>
          <w:lang w:val="en-US"/>
        </w:rPr>
        <w:t>kg</w:t>
      </w:r>
      <w:r w:rsidRPr="00B41857">
        <w:rPr>
          <w:rFonts w:eastAsia="Times New Roman" w:cs="Arial"/>
          <w:color w:val="000000"/>
          <w:szCs w:val="20"/>
          <w:lang w:val="ru-RU"/>
        </w:rPr>
        <w:t>.</w:t>
      </w:r>
    </w:p>
    <w:p w14:paraId="228CB590" w14:textId="77777777" w:rsidR="00B41857" w:rsidRPr="00B41857" w:rsidRDefault="00B41857" w:rsidP="00B41857">
      <w:pPr>
        <w:spacing w:line="240" w:lineRule="auto"/>
        <w:rPr>
          <w:rFonts w:eastAsia="Times New Roman" w:cs="Arial"/>
          <w:color w:val="000000"/>
          <w:szCs w:val="20"/>
          <w:lang w:eastAsia="bg-BG"/>
        </w:rPr>
      </w:pPr>
    </w:p>
    <w:p w14:paraId="17A95F90" w14:textId="06771C7E" w:rsidR="00B41857" w:rsidRPr="00B41857" w:rsidRDefault="00B41857" w:rsidP="00B41857">
      <w:pPr>
        <w:spacing w:line="240" w:lineRule="auto"/>
        <w:rPr>
          <w:rFonts w:eastAsia="Times New Roman" w:cs="Arial"/>
          <w:sz w:val="28"/>
          <w:szCs w:val="24"/>
        </w:rPr>
      </w:pPr>
      <w:r w:rsidRPr="00B41857">
        <w:rPr>
          <w:rFonts w:eastAsia="Times New Roman" w:cs="Arial"/>
          <w:color w:val="000000"/>
          <w:szCs w:val="20"/>
          <w:lang w:eastAsia="bg-BG"/>
        </w:rPr>
        <w:t xml:space="preserve">Честотата на периферен оток, когато вилдаглиптин 100 </w:t>
      </w:r>
      <w:r w:rsidRPr="00B41857">
        <w:rPr>
          <w:rFonts w:eastAsia="Times New Roman" w:cs="Arial"/>
          <w:color w:val="000000"/>
          <w:szCs w:val="20"/>
          <w:lang w:val="en-US"/>
        </w:rPr>
        <w:t>mg</w:t>
      </w:r>
      <w:r w:rsidRPr="00B41857">
        <w:rPr>
          <w:rFonts w:eastAsia="Times New Roman" w:cs="Arial"/>
          <w:color w:val="000000"/>
          <w:szCs w:val="20"/>
          <w:lang w:val="ru-RU"/>
        </w:rPr>
        <w:t xml:space="preserve"> </w:t>
      </w:r>
      <w:r w:rsidRPr="00B41857">
        <w:rPr>
          <w:rFonts w:eastAsia="Times New Roman" w:cs="Arial"/>
          <w:color w:val="000000"/>
          <w:szCs w:val="20"/>
          <w:lang w:eastAsia="bg-BG"/>
        </w:rPr>
        <w:t xml:space="preserve">дневно е добавен към максимална доза на фоново приеман пиоглитазон (45 </w:t>
      </w:r>
      <w:r w:rsidRPr="00B41857">
        <w:rPr>
          <w:rFonts w:eastAsia="Times New Roman" w:cs="Arial"/>
          <w:color w:val="000000"/>
          <w:szCs w:val="20"/>
          <w:lang w:val="en-US"/>
        </w:rPr>
        <w:t>mg</w:t>
      </w:r>
      <w:r w:rsidRPr="00B41857">
        <w:rPr>
          <w:rFonts w:eastAsia="Times New Roman" w:cs="Arial"/>
          <w:color w:val="000000"/>
          <w:szCs w:val="20"/>
          <w:lang w:val="ru-RU"/>
        </w:rPr>
        <w:t xml:space="preserve"> </w:t>
      </w:r>
      <w:r w:rsidRPr="00B41857">
        <w:rPr>
          <w:rFonts w:eastAsia="Times New Roman" w:cs="Arial"/>
          <w:color w:val="000000"/>
          <w:szCs w:val="20"/>
          <w:lang w:eastAsia="bg-BG"/>
        </w:rPr>
        <w:t>веднъж дневно) е била 7,0% в сравнение с 2,5% при самостоятелно приеман фонов пиоглитазон.</w:t>
      </w:r>
    </w:p>
    <w:p w14:paraId="1CDC012F" w14:textId="77777777" w:rsidR="00B41857" w:rsidRPr="00B41857" w:rsidRDefault="00B41857" w:rsidP="00B41857">
      <w:pPr>
        <w:spacing w:line="240" w:lineRule="auto"/>
        <w:rPr>
          <w:rFonts w:eastAsia="Times New Roman" w:cs="Arial"/>
          <w:i/>
          <w:iCs/>
          <w:color w:val="000000"/>
          <w:szCs w:val="20"/>
          <w:lang w:eastAsia="bg-BG"/>
        </w:rPr>
      </w:pPr>
    </w:p>
    <w:p w14:paraId="57C3DE45" w14:textId="0B1E1A1A" w:rsidR="00B41857" w:rsidRPr="00B41857" w:rsidRDefault="00B41857" w:rsidP="00B41857">
      <w:pPr>
        <w:spacing w:line="240" w:lineRule="auto"/>
        <w:rPr>
          <w:rFonts w:eastAsia="Times New Roman" w:cs="Arial"/>
          <w:sz w:val="28"/>
          <w:szCs w:val="24"/>
        </w:rPr>
      </w:pPr>
      <w:r w:rsidRPr="00B41857">
        <w:rPr>
          <w:rFonts w:eastAsia="Times New Roman" w:cs="Arial"/>
          <w:i/>
          <w:iCs/>
          <w:color w:val="000000"/>
          <w:szCs w:val="20"/>
          <w:lang w:eastAsia="bg-BG"/>
        </w:rPr>
        <w:t>Монотерапия</w:t>
      </w:r>
    </w:p>
    <w:p w14:paraId="1032D76F" w14:textId="77777777" w:rsidR="00B41857" w:rsidRPr="00B41857" w:rsidRDefault="00B41857" w:rsidP="00B41857">
      <w:pPr>
        <w:spacing w:line="240" w:lineRule="auto"/>
        <w:rPr>
          <w:rFonts w:eastAsia="Times New Roman" w:cs="Arial"/>
          <w:sz w:val="28"/>
          <w:szCs w:val="24"/>
        </w:rPr>
      </w:pPr>
      <w:r w:rsidRPr="00B41857">
        <w:rPr>
          <w:rFonts w:eastAsia="Times New Roman" w:cs="Arial"/>
          <w:color w:val="000000"/>
          <w:szCs w:val="20"/>
          <w:lang w:eastAsia="bg-BG"/>
        </w:rPr>
        <w:t xml:space="preserve">Таблица 4-Нежелани реакции, съобщавани при пациенти, които са приемали вилдаглиптин 100 </w:t>
      </w:r>
      <w:r w:rsidRPr="00B41857">
        <w:rPr>
          <w:rFonts w:eastAsia="Times New Roman" w:cs="Arial"/>
          <w:color w:val="000000"/>
          <w:szCs w:val="20"/>
          <w:lang w:val="en-US"/>
        </w:rPr>
        <w:t>mg</w:t>
      </w:r>
      <w:r w:rsidRPr="00B41857">
        <w:rPr>
          <w:rFonts w:eastAsia="Times New Roman" w:cs="Arial"/>
          <w:color w:val="000000"/>
          <w:szCs w:val="20"/>
          <w:lang w:val="ru-RU"/>
        </w:rPr>
        <w:t xml:space="preserve"> </w:t>
      </w:r>
      <w:r w:rsidRPr="00B41857">
        <w:rPr>
          <w:rFonts w:eastAsia="Times New Roman" w:cs="Arial"/>
          <w:color w:val="000000"/>
          <w:szCs w:val="20"/>
          <w:lang w:eastAsia="bg-BG"/>
        </w:rPr>
        <w:t xml:space="preserve">дневно като монотерапия при двойнослепи проучвания </w:t>
      </w:r>
      <w:r w:rsidRPr="00B41857">
        <w:rPr>
          <w:rFonts w:eastAsia="Times New Roman" w:cs="Arial"/>
          <w:color w:val="000000"/>
          <w:szCs w:val="20"/>
          <w:lang w:val="ru-RU"/>
        </w:rPr>
        <w:t>(</w:t>
      </w:r>
      <w:r w:rsidRPr="00B41857">
        <w:rPr>
          <w:rFonts w:eastAsia="Times New Roman" w:cs="Arial"/>
          <w:color w:val="000000"/>
          <w:szCs w:val="20"/>
          <w:lang w:val="en-US"/>
        </w:rPr>
        <w:t>N</w:t>
      </w:r>
      <w:r w:rsidRPr="00B41857">
        <w:rPr>
          <w:rFonts w:eastAsia="Times New Roman" w:cs="Arial"/>
          <w:color w:val="000000"/>
          <w:szCs w:val="20"/>
          <w:lang w:val="ru-RU"/>
        </w:rPr>
        <w:t>=1</w:t>
      </w:r>
      <w:r w:rsidRPr="00B41857">
        <w:rPr>
          <w:rFonts w:eastAsia="Times New Roman" w:cs="Arial"/>
          <w:color w:val="000000"/>
          <w:szCs w:val="20"/>
          <w:lang w:eastAsia="bg-BG"/>
        </w:rPr>
        <w:t>855)</w:t>
      </w:r>
    </w:p>
    <w:tbl>
      <w:tblPr>
        <w:tblStyle w:val="TableGrid"/>
        <w:tblW w:w="0" w:type="auto"/>
        <w:tblLook w:val="04A0" w:firstRow="1" w:lastRow="0" w:firstColumn="1" w:lastColumn="0" w:noHBand="0" w:noVBand="1"/>
      </w:tblPr>
      <w:tblGrid>
        <w:gridCol w:w="3132"/>
        <w:gridCol w:w="3095"/>
        <w:gridCol w:w="3123"/>
      </w:tblGrid>
      <w:tr w:rsidR="00B41857" w14:paraId="3908FA41" w14:textId="77777777" w:rsidTr="00B41857">
        <w:tc>
          <w:tcPr>
            <w:tcW w:w="3192" w:type="dxa"/>
          </w:tcPr>
          <w:p w14:paraId="3FF7D9BE" w14:textId="63BE15C9" w:rsidR="00B41857" w:rsidRPr="00B41857" w:rsidRDefault="00B41857" w:rsidP="00B41857">
            <w:r w:rsidRPr="00B41857">
              <w:rPr>
                <w:b/>
                <w:bCs/>
                <w:szCs w:val="20"/>
              </w:rPr>
              <w:t>Система орган клас</w:t>
            </w:r>
          </w:p>
        </w:tc>
        <w:tc>
          <w:tcPr>
            <w:tcW w:w="3192" w:type="dxa"/>
          </w:tcPr>
          <w:p w14:paraId="22692697" w14:textId="0E569A3D" w:rsidR="00B41857" w:rsidRPr="00B41857" w:rsidRDefault="00B41857" w:rsidP="00B41857">
            <w:r w:rsidRPr="00B41857">
              <w:rPr>
                <w:b/>
                <w:bCs/>
                <w:szCs w:val="20"/>
              </w:rPr>
              <w:t>Честота</w:t>
            </w:r>
          </w:p>
        </w:tc>
        <w:tc>
          <w:tcPr>
            <w:tcW w:w="3192" w:type="dxa"/>
          </w:tcPr>
          <w:p w14:paraId="36FA3D28" w14:textId="2B67BDF3" w:rsidR="00B41857" w:rsidRPr="00B41857" w:rsidRDefault="00B41857" w:rsidP="00B41857">
            <w:r w:rsidRPr="00B41857">
              <w:rPr>
                <w:b/>
                <w:bCs/>
                <w:szCs w:val="20"/>
              </w:rPr>
              <w:t>Нежелани реакции</w:t>
            </w:r>
          </w:p>
        </w:tc>
      </w:tr>
      <w:tr w:rsidR="00B41857" w14:paraId="1DEBBA34" w14:textId="77777777" w:rsidTr="00B41857">
        <w:tc>
          <w:tcPr>
            <w:tcW w:w="3192" w:type="dxa"/>
            <w:vMerge w:val="restart"/>
          </w:tcPr>
          <w:p w14:paraId="28755779" w14:textId="45EED810" w:rsidR="00B41857" w:rsidRPr="00B41857" w:rsidRDefault="00B41857" w:rsidP="00B41857">
            <w:r w:rsidRPr="00B41857">
              <w:rPr>
                <w:szCs w:val="20"/>
              </w:rPr>
              <w:t>Инфекции и инфестации</w:t>
            </w:r>
          </w:p>
        </w:tc>
        <w:tc>
          <w:tcPr>
            <w:tcW w:w="3192" w:type="dxa"/>
          </w:tcPr>
          <w:p w14:paraId="38A977DA" w14:textId="76E3ADE8" w:rsidR="00B41857" w:rsidRPr="00B41857" w:rsidRDefault="00B41857" w:rsidP="00B41857">
            <w:r w:rsidRPr="00B41857">
              <w:rPr>
                <w:szCs w:val="20"/>
              </w:rPr>
              <w:t>Много редки</w:t>
            </w:r>
          </w:p>
        </w:tc>
        <w:tc>
          <w:tcPr>
            <w:tcW w:w="3192" w:type="dxa"/>
          </w:tcPr>
          <w:p w14:paraId="5867B731" w14:textId="1793A428" w:rsidR="00B41857" w:rsidRPr="00B41857" w:rsidRDefault="00B41857" w:rsidP="00B41857">
            <w:r w:rsidRPr="00B41857">
              <w:rPr>
                <w:szCs w:val="20"/>
              </w:rPr>
              <w:t>Инфекция на горните дихателни пътища</w:t>
            </w:r>
          </w:p>
        </w:tc>
      </w:tr>
      <w:tr w:rsidR="00B41857" w14:paraId="5670421E" w14:textId="77777777" w:rsidTr="00B41857">
        <w:tc>
          <w:tcPr>
            <w:tcW w:w="3192" w:type="dxa"/>
            <w:vMerge/>
          </w:tcPr>
          <w:p w14:paraId="775329D7" w14:textId="77777777" w:rsidR="00B41857" w:rsidRPr="00B41857" w:rsidRDefault="00B41857" w:rsidP="00B41857"/>
        </w:tc>
        <w:tc>
          <w:tcPr>
            <w:tcW w:w="3192" w:type="dxa"/>
          </w:tcPr>
          <w:p w14:paraId="4C790BD9" w14:textId="160D4436" w:rsidR="00B41857" w:rsidRPr="00B41857" w:rsidRDefault="00B41857" w:rsidP="00B41857">
            <w:r w:rsidRPr="00B41857">
              <w:rPr>
                <w:szCs w:val="20"/>
              </w:rPr>
              <w:t>Много редки</w:t>
            </w:r>
          </w:p>
        </w:tc>
        <w:tc>
          <w:tcPr>
            <w:tcW w:w="3192" w:type="dxa"/>
          </w:tcPr>
          <w:p w14:paraId="5AC86FA7" w14:textId="15FE8F81" w:rsidR="00B41857" w:rsidRPr="00B41857" w:rsidRDefault="00B41857" w:rsidP="00B41857">
            <w:r w:rsidRPr="00B41857">
              <w:rPr>
                <w:szCs w:val="20"/>
              </w:rPr>
              <w:t>Назофарингит</w:t>
            </w:r>
          </w:p>
        </w:tc>
      </w:tr>
      <w:tr w:rsidR="00B41857" w14:paraId="446BB6C9" w14:textId="77777777" w:rsidTr="00B41857">
        <w:tc>
          <w:tcPr>
            <w:tcW w:w="3192" w:type="dxa"/>
          </w:tcPr>
          <w:p w14:paraId="2BA55AAE" w14:textId="61D41111" w:rsidR="00B41857" w:rsidRPr="00B41857" w:rsidRDefault="00B41857" w:rsidP="00B41857">
            <w:r w:rsidRPr="00B41857">
              <w:rPr>
                <w:szCs w:val="20"/>
              </w:rPr>
              <w:t>Нарушения на метаболизма и храненето</w:t>
            </w:r>
          </w:p>
        </w:tc>
        <w:tc>
          <w:tcPr>
            <w:tcW w:w="3192" w:type="dxa"/>
          </w:tcPr>
          <w:p w14:paraId="0194A0A1" w14:textId="1F9FA4C6" w:rsidR="00B41857" w:rsidRPr="00B41857" w:rsidRDefault="00B41857" w:rsidP="00B41857">
            <w:r w:rsidRPr="00B41857">
              <w:rPr>
                <w:szCs w:val="20"/>
              </w:rPr>
              <w:t>Нечести</w:t>
            </w:r>
          </w:p>
        </w:tc>
        <w:tc>
          <w:tcPr>
            <w:tcW w:w="3192" w:type="dxa"/>
          </w:tcPr>
          <w:p w14:paraId="3DE2E4AE" w14:textId="4A811379" w:rsidR="00B41857" w:rsidRPr="00B41857" w:rsidRDefault="00B41857" w:rsidP="00B41857">
            <w:r w:rsidRPr="00B41857">
              <w:rPr>
                <w:szCs w:val="20"/>
              </w:rPr>
              <w:t>Хипогликемия</w:t>
            </w:r>
          </w:p>
        </w:tc>
      </w:tr>
      <w:tr w:rsidR="00B41857" w14:paraId="23A4B2A8" w14:textId="77777777" w:rsidTr="00B41857">
        <w:tc>
          <w:tcPr>
            <w:tcW w:w="3192" w:type="dxa"/>
            <w:vMerge w:val="restart"/>
          </w:tcPr>
          <w:p w14:paraId="73501E93" w14:textId="54D4F71A" w:rsidR="00B41857" w:rsidRPr="00B41857" w:rsidRDefault="00B41857" w:rsidP="00B41857">
            <w:r w:rsidRPr="00B41857">
              <w:rPr>
                <w:szCs w:val="20"/>
              </w:rPr>
              <w:t>Нарушения на нервната система</w:t>
            </w:r>
          </w:p>
        </w:tc>
        <w:tc>
          <w:tcPr>
            <w:tcW w:w="3192" w:type="dxa"/>
          </w:tcPr>
          <w:p w14:paraId="63B1DA45" w14:textId="09187ABD" w:rsidR="00B41857" w:rsidRPr="00B41857" w:rsidRDefault="00B41857" w:rsidP="00B41857">
            <w:r w:rsidRPr="00B41857">
              <w:rPr>
                <w:szCs w:val="20"/>
              </w:rPr>
              <w:t>Чести</w:t>
            </w:r>
          </w:p>
        </w:tc>
        <w:tc>
          <w:tcPr>
            <w:tcW w:w="3192" w:type="dxa"/>
          </w:tcPr>
          <w:p w14:paraId="390F866C" w14:textId="0B29536B" w:rsidR="00B41857" w:rsidRPr="00B41857" w:rsidRDefault="00B41857" w:rsidP="00B41857">
            <w:r w:rsidRPr="00B41857">
              <w:rPr>
                <w:szCs w:val="20"/>
              </w:rPr>
              <w:t>Замаяност</w:t>
            </w:r>
          </w:p>
        </w:tc>
      </w:tr>
      <w:tr w:rsidR="00B41857" w14:paraId="2C44D5E7" w14:textId="77777777" w:rsidTr="00B41857">
        <w:tc>
          <w:tcPr>
            <w:tcW w:w="3192" w:type="dxa"/>
            <w:vMerge/>
          </w:tcPr>
          <w:p w14:paraId="00668D35" w14:textId="77777777" w:rsidR="00B41857" w:rsidRPr="00B41857" w:rsidRDefault="00B41857" w:rsidP="00B41857"/>
        </w:tc>
        <w:tc>
          <w:tcPr>
            <w:tcW w:w="3192" w:type="dxa"/>
          </w:tcPr>
          <w:p w14:paraId="7943EA3D" w14:textId="4B71F089" w:rsidR="00B41857" w:rsidRPr="00B41857" w:rsidRDefault="00B41857" w:rsidP="00B41857">
            <w:r w:rsidRPr="00B41857">
              <w:rPr>
                <w:szCs w:val="20"/>
              </w:rPr>
              <w:t>Нечести</w:t>
            </w:r>
          </w:p>
        </w:tc>
        <w:tc>
          <w:tcPr>
            <w:tcW w:w="3192" w:type="dxa"/>
          </w:tcPr>
          <w:p w14:paraId="3D7E2B03" w14:textId="6D25883D" w:rsidR="00B41857" w:rsidRPr="00B41857" w:rsidRDefault="00B41857" w:rsidP="00B41857">
            <w:r w:rsidRPr="00B41857">
              <w:rPr>
                <w:szCs w:val="20"/>
              </w:rPr>
              <w:t>Главоболие</w:t>
            </w:r>
          </w:p>
        </w:tc>
      </w:tr>
      <w:tr w:rsidR="00B41857" w14:paraId="278E5786" w14:textId="77777777" w:rsidTr="00B41857">
        <w:tc>
          <w:tcPr>
            <w:tcW w:w="3192" w:type="dxa"/>
          </w:tcPr>
          <w:p w14:paraId="67CEC127" w14:textId="53E88F82" w:rsidR="00B41857" w:rsidRPr="00B41857" w:rsidRDefault="00B41857" w:rsidP="00B41857">
            <w:r w:rsidRPr="00B41857">
              <w:rPr>
                <w:szCs w:val="20"/>
              </w:rPr>
              <w:t>Съдови нарушения</w:t>
            </w:r>
          </w:p>
        </w:tc>
        <w:tc>
          <w:tcPr>
            <w:tcW w:w="3192" w:type="dxa"/>
          </w:tcPr>
          <w:p w14:paraId="01D4E4E4" w14:textId="1BD6581A" w:rsidR="00B41857" w:rsidRPr="00B41857" w:rsidRDefault="00B41857" w:rsidP="00B41857">
            <w:r w:rsidRPr="00B41857">
              <w:rPr>
                <w:szCs w:val="20"/>
              </w:rPr>
              <w:t>Нечести</w:t>
            </w:r>
          </w:p>
        </w:tc>
        <w:tc>
          <w:tcPr>
            <w:tcW w:w="3192" w:type="dxa"/>
          </w:tcPr>
          <w:p w14:paraId="5F5DABA2" w14:textId="08FEAA2D" w:rsidR="00B41857" w:rsidRPr="00B41857" w:rsidRDefault="00B41857" w:rsidP="00B41857">
            <w:r w:rsidRPr="00B41857">
              <w:rPr>
                <w:szCs w:val="20"/>
              </w:rPr>
              <w:t>Периферен оток</w:t>
            </w:r>
          </w:p>
        </w:tc>
      </w:tr>
      <w:tr w:rsidR="00B41857" w14:paraId="3E063ACB" w14:textId="77777777" w:rsidTr="00B41857">
        <w:tc>
          <w:tcPr>
            <w:tcW w:w="3192" w:type="dxa"/>
          </w:tcPr>
          <w:p w14:paraId="1AC068DA" w14:textId="2CD333D3" w:rsidR="00B41857" w:rsidRPr="00B41857" w:rsidRDefault="00B41857" w:rsidP="00B41857">
            <w:r w:rsidRPr="00B41857">
              <w:rPr>
                <w:szCs w:val="20"/>
              </w:rPr>
              <w:t>Стомашно-чревни нарушения</w:t>
            </w:r>
          </w:p>
        </w:tc>
        <w:tc>
          <w:tcPr>
            <w:tcW w:w="3192" w:type="dxa"/>
          </w:tcPr>
          <w:p w14:paraId="62833D5F" w14:textId="3D77F753" w:rsidR="00B41857" w:rsidRPr="00B41857" w:rsidRDefault="00B41857" w:rsidP="00B41857">
            <w:r w:rsidRPr="00B41857">
              <w:rPr>
                <w:szCs w:val="20"/>
              </w:rPr>
              <w:t>Нечести</w:t>
            </w:r>
          </w:p>
        </w:tc>
        <w:tc>
          <w:tcPr>
            <w:tcW w:w="3192" w:type="dxa"/>
          </w:tcPr>
          <w:p w14:paraId="5FD65EF8" w14:textId="3E58048B" w:rsidR="00B41857" w:rsidRPr="00B41857" w:rsidRDefault="00B41857" w:rsidP="00B41857">
            <w:r w:rsidRPr="00B41857">
              <w:rPr>
                <w:szCs w:val="20"/>
              </w:rPr>
              <w:t>Констипация</w:t>
            </w:r>
          </w:p>
        </w:tc>
      </w:tr>
      <w:tr w:rsidR="00B41857" w14:paraId="2EF8FDEB" w14:textId="77777777" w:rsidTr="00B41857">
        <w:tc>
          <w:tcPr>
            <w:tcW w:w="3192" w:type="dxa"/>
          </w:tcPr>
          <w:p w14:paraId="100A4A67" w14:textId="51B316B8" w:rsidR="00B41857" w:rsidRPr="00B41857" w:rsidRDefault="00B41857" w:rsidP="00B41857">
            <w:r w:rsidRPr="00B41857">
              <w:rPr>
                <w:szCs w:val="20"/>
              </w:rPr>
              <w:t>Нарушения на мускулно- скелетната система и съединителната тъкан</w:t>
            </w:r>
          </w:p>
        </w:tc>
        <w:tc>
          <w:tcPr>
            <w:tcW w:w="3192" w:type="dxa"/>
          </w:tcPr>
          <w:p w14:paraId="75D4FDEC" w14:textId="5E7B82F5" w:rsidR="00B41857" w:rsidRPr="00B41857" w:rsidRDefault="00B41857" w:rsidP="00B41857">
            <w:r w:rsidRPr="00B41857">
              <w:rPr>
                <w:szCs w:val="20"/>
              </w:rPr>
              <w:t>Нечести</w:t>
            </w:r>
          </w:p>
        </w:tc>
        <w:tc>
          <w:tcPr>
            <w:tcW w:w="3192" w:type="dxa"/>
          </w:tcPr>
          <w:p w14:paraId="071E42E5" w14:textId="435BE358" w:rsidR="00B41857" w:rsidRPr="00B41857" w:rsidRDefault="00B41857" w:rsidP="00B41857">
            <w:r w:rsidRPr="00B41857">
              <w:rPr>
                <w:szCs w:val="20"/>
              </w:rPr>
              <w:t>Артралгия</w:t>
            </w:r>
          </w:p>
        </w:tc>
      </w:tr>
    </w:tbl>
    <w:p w14:paraId="2EFA55F5" w14:textId="372D87DA" w:rsidR="00B41857" w:rsidRDefault="00B41857" w:rsidP="00C74717"/>
    <w:p w14:paraId="04D6EBA2" w14:textId="77777777" w:rsidR="00B41857" w:rsidRPr="00B41857" w:rsidRDefault="00B41857" w:rsidP="00B41857">
      <w:pPr>
        <w:spacing w:line="240" w:lineRule="auto"/>
        <w:rPr>
          <w:rFonts w:eastAsia="Times New Roman" w:cs="Arial"/>
          <w:sz w:val="28"/>
          <w:szCs w:val="24"/>
        </w:rPr>
      </w:pPr>
      <w:r w:rsidRPr="00B41857">
        <w:rPr>
          <w:rFonts w:eastAsia="Times New Roman" w:cs="Arial"/>
          <w:i/>
          <w:iCs/>
          <w:color w:val="000000"/>
          <w:szCs w:val="20"/>
          <w:lang w:eastAsia="bg-BG"/>
        </w:rPr>
        <w:t>Описание на избрани нежелани реакции</w:t>
      </w:r>
    </w:p>
    <w:p w14:paraId="441A5D26" w14:textId="77777777" w:rsidR="00B41857" w:rsidRPr="00B41857" w:rsidRDefault="00B41857" w:rsidP="00B41857">
      <w:pPr>
        <w:spacing w:line="240" w:lineRule="auto"/>
        <w:rPr>
          <w:rFonts w:eastAsia="Times New Roman" w:cs="Arial"/>
          <w:sz w:val="28"/>
          <w:szCs w:val="24"/>
        </w:rPr>
      </w:pPr>
      <w:r w:rsidRPr="00B41857">
        <w:rPr>
          <w:rFonts w:eastAsia="Times New Roman" w:cs="Arial"/>
          <w:color w:val="000000"/>
          <w:szCs w:val="20"/>
          <w:lang w:eastAsia="bg-BG"/>
        </w:rPr>
        <w:t xml:space="preserve">В допълнение, при контролираните изпитвания на вилдаглиптин като монотерапия общата честота на преустановяване на лечението поради нежелани реакции не е била по-висока при пациенти, лекувани с вилдаглиптин в дози от 100 </w:t>
      </w:r>
      <w:r w:rsidRPr="00B41857">
        <w:rPr>
          <w:rFonts w:eastAsia="Times New Roman" w:cs="Arial"/>
          <w:color w:val="000000"/>
          <w:szCs w:val="20"/>
          <w:lang w:val="en-US"/>
        </w:rPr>
        <w:t>mg</w:t>
      </w:r>
      <w:r w:rsidRPr="00B41857">
        <w:rPr>
          <w:rFonts w:eastAsia="Times New Roman" w:cs="Arial"/>
          <w:color w:val="000000"/>
          <w:szCs w:val="20"/>
          <w:lang w:val="ru-RU"/>
        </w:rPr>
        <w:t xml:space="preserve"> </w:t>
      </w:r>
      <w:r w:rsidRPr="00B41857">
        <w:rPr>
          <w:rFonts w:eastAsia="Times New Roman" w:cs="Arial"/>
          <w:color w:val="000000"/>
          <w:szCs w:val="20"/>
          <w:lang w:eastAsia="bg-BG"/>
        </w:rPr>
        <w:t>дневно (0,3%), отколкото при плацебо (0,6%) и компараторите (0,5%).</w:t>
      </w:r>
    </w:p>
    <w:p w14:paraId="5A52F018" w14:textId="77777777" w:rsidR="00B41857" w:rsidRPr="00B41857" w:rsidRDefault="00B41857" w:rsidP="00B41857">
      <w:pPr>
        <w:spacing w:line="240" w:lineRule="auto"/>
        <w:rPr>
          <w:rFonts w:eastAsia="Times New Roman" w:cs="Arial"/>
          <w:color w:val="000000"/>
          <w:szCs w:val="20"/>
          <w:lang w:eastAsia="bg-BG"/>
        </w:rPr>
      </w:pPr>
    </w:p>
    <w:p w14:paraId="42745698" w14:textId="78EA9494" w:rsidR="00B41857" w:rsidRPr="00B41857" w:rsidRDefault="00B41857" w:rsidP="00B41857">
      <w:pPr>
        <w:spacing w:line="240" w:lineRule="auto"/>
        <w:rPr>
          <w:rFonts w:eastAsia="Times New Roman" w:cs="Arial"/>
          <w:sz w:val="28"/>
          <w:szCs w:val="24"/>
        </w:rPr>
      </w:pPr>
      <w:r w:rsidRPr="00B41857">
        <w:rPr>
          <w:rFonts w:eastAsia="Times New Roman" w:cs="Arial"/>
          <w:color w:val="000000"/>
          <w:szCs w:val="20"/>
          <w:lang w:eastAsia="bg-BG"/>
        </w:rPr>
        <w:t xml:space="preserve">При сравнителните проучвания на монотерапия хипогликемията е била нечеста, съобщавана при 0,4% (7 от 1 855) от пациентите, лекувани с вилдаглиптин 100 </w:t>
      </w:r>
      <w:r w:rsidRPr="00B41857">
        <w:rPr>
          <w:rFonts w:eastAsia="Times New Roman" w:cs="Arial"/>
          <w:color w:val="000000"/>
          <w:szCs w:val="20"/>
          <w:lang w:val="en-US"/>
        </w:rPr>
        <w:t>mg</w:t>
      </w:r>
      <w:r w:rsidRPr="00B41857">
        <w:rPr>
          <w:rFonts w:eastAsia="Times New Roman" w:cs="Arial"/>
          <w:color w:val="000000"/>
          <w:szCs w:val="20"/>
          <w:lang w:val="ru-RU"/>
        </w:rPr>
        <w:t xml:space="preserve"> </w:t>
      </w:r>
      <w:r w:rsidRPr="00B41857">
        <w:rPr>
          <w:rFonts w:eastAsia="Times New Roman" w:cs="Arial"/>
          <w:color w:val="000000"/>
          <w:szCs w:val="20"/>
          <w:lang w:eastAsia="bg-BG"/>
        </w:rPr>
        <w:t>дневно в сравнение с 0,2% (2 от 1 082) от пациентите в групите, лекувани с активен компаратор или плацебо без да са съобщавани сериозни или тежки събития.</w:t>
      </w:r>
    </w:p>
    <w:p w14:paraId="18C60912" w14:textId="77777777" w:rsidR="00B41857" w:rsidRPr="00B41857" w:rsidRDefault="00B41857" w:rsidP="00B41857">
      <w:pPr>
        <w:rPr>
          <w:rFonts w:eastAsia="Times New Roman" w:cs="Arial"/>
          <w:color w:val="000000"/>
          <w:szCs w:val="20"/>
          <w:lang w:eastAsia="bg-BG"/>
        </w:rPr>
      </w:pPr>
    </w:p>
    <w:p w14:paraId="68C18AB6" w14:textId="0056B429" w:rsidR="00B41857" w:rsidRPr="00B41857" w:rsidRDefault="00B41857" w:rsidP="00B41857">
      <w:pPr>
        <w:rPr>
          <w:rFonts w:eastAsia="Times New Roman" w:cs="Arial"/>
          <w:color w:val="000000"/>
          <w:szCs w:val="20"/>
          <w:lang w:eastAsia="bg-BG"/>
        </w:rPr>
      </w:pPr>
      <w:r w:rsidRPr="00B41857">
        <w:rPr>
          <w:rFonts w:eastAsia="Times New Roman" w:cs="Arial"/>
          <w:color w:val="000000"/>
          <w:szCs w:val="20"/>
          <w:lang w:eastAsia="bg-BG"/>
        </w:rPr>
        <w:t xml:space="preserve">При клиничните изпитвания теглото не се е променило спрямо изходните стойности, когато вилдаглиптин е прилаган като монотерапия (-0,3 </w:t>
      </w:r>
      <w:r w:rsidRPr="00B41857">
        <w:rPr>
          <w:rFonts w:eastAsia="Times New Roman" w:cs="Arial"/>
          <w:color w:val="000000"/>
          <w:szCs w:val="20"/>
          <w:lang w:val="en-US"/>
        </w:rPr>
        <w:t>kg</w:t>
      </w:r>
      <w:r w:rsidRPr="00B41857">
        <w:rPr>
          <w:rFonts w:eastAsia="Times New Roman" w:cs="Arial"/>
          <w:color w:val="000000"/>
          <w:szCs w:val="20"/>
          <w:lang w:val="ru-RU"/>
        </w:rPr>
        <w:t xml:space="preserve"> </w:t>
      </w:r>
      <w:r w:rsidRPr="00B41857">
        <w:rPr>
          <w:rFonts w:eastAsia="Times New Roman" w:cs="Arial"/>
          <w:color w:val="000000"/>
          <w:szCs w:val="20"/>
          <w:lang w:eastAsia="bg-BG"/>
        </w:rPr>
        <w:t xml:space="preserve">и -1,3 </w:t>
      </w:r>
      <w:r w:rsidRPr="00B41857">
        <w:rPr>
          <w:rFonts w:eastAsia="Times New Roman" w:cs="Arial"/>
          <w:color w:val="000000"/>
          <w:szCs w:val="20"/>
          <w:lang w:val="en-US"/>
        </w:rPr>
        <w:t>kg</w:t>
      </w:r>
      <w:r w:rsidRPr="00B41857">
        <w:rPr>
          <w:rFonts w:eastAsia="Times New Roman" w:cs="Arial"/>
          <w:color w:val="000000"/>
          <w:szCs w:val="20"/>
          <w:lang w:val="ru-RU"/>
        </w:rPr>
        <w:t xml:space="preserve"> </w:t>
      </w:r>
      <w:r w:rsidRPr="00B41857">
        <w:rPr>
          <w:rFonts w:eastAsia="Times New Roman" w:cs="Arial"/>
          <w:color w:val="000000"/>
          <w:szCs w:val="20"/>
          <w:lang w:eastAsia="bg-BG"/>
        </w:rPr>
        <w:t>съответно за вилдаглиптин и вилдаглиптин и плацебо).</w:t>
      </w:r>
    </w:p>
    <w:p w14:paraId="194A3A5A" w14:textId="4FAD3DAD" w:rsidR="00B41857" w:rsidRPr="00B41857" w:rsidRDefault="00B41857" w:rsidP="00B41857">
      <w:pPr>
        <w:rPr>
          <w:rFonts w:eastAsia="Times New Roman" w:cs="Arial"/>
          <w:color w:val="000000"/>
          <w:szCs w:val="20"/>
          <w:lang w:eastAsia="bg-BG"/>
        </w:rPr>
      </w:pPr>
    </w:p>
    <w:p w14:paraId="2A2337EC" w14:textId="77777777" w:rsidR="00B41857" w:rsidRPr="00B41857" w:rsidRDefault="00B41857" w:rsidP="00B41857">
      <w:pPr>
        <w:spacing w:line="240" w:lineRule="auto"/>
        <w:rPr>
          <w:rFonts w:eastAsia="Times New Roman" w:cs="Arial"/>
          <w:sz w:val="28"/>
          <w:szCs w:val="24"/>
        </w:rPr>
      </w:pPr>
      <w:r w:rsidRPr="00B41857">
        <w:rPr>
          <w:rFonts w:eastAsia="Times New Roman" w:cs="Arial"/>
          <w:color w:val="000000"/>
          <w:szCs w:val="20"/>
          <w:lang w:eastAsia="bg-BG"/>
        </w:rPr>
        <w:t>Клиничните изпитвания с продължителност над 2 години не показват допълнителни сигнали, свързани с безопасността, или непредвидени рискове при монотерапия с вилдаглиптин.</w:t>
      </w:r>
    </w:p>
    <w:p w14:paraId="153C6F3D" w14:textId="77777777" w:rsidR="00B41857" w:rsidRPr="00B41857" w:rsidRDefault="00B41857" w:rsidP="00B41857">
      <w:pPr>
        <w:spacing w:line="240" w:lineRule="auto"/>
        <w:rPr>
          <w:rFonts w:eastAsia="Times New Roman" w:cs="Arial"/>
          <w:i/>
          <w:iCs/>
          <w:color w:val="000000"/>
          <w:szCs w:val="20"/>
          <w:lang w:eastAsia="bg-BG"/>
        </w:rPr>
      </w:pPr>
    </w:p>
    <w:p w14:paraId="24252C35" w14:textId="2AABA096" w:rsidR="00B41857" w:rsidRPr="00B41857" w:rsidRDefault="00B41857" w:rsidP="00B41857">
      <w:pPr>
        <w:spacing w:line="240" w:lineRule="auto"/>
        <w:rPr>
          <w:rFonts w:eastAsia="Times New Roman" w:cs="Arial"/>
          <w:sz w:val="28"/>
          <w:szCs w:val="24"/>
        </w:rPr>
      </w:pPr>
      <w:r w:rsidRPr="00B41857">
        <w:rPr>
          <w:rFonts w:eastAsia="Times New Roman" w:cs="Arial"/>
          <w:i/>
          <w:iCs/>
          <w:color w:val="000000"/>
          <w:szCs w:val="20"/>
          <w:lang w:eastAsia="bg-BG"/>
        </w:rPr>
        <w:t>Комбинация с метформин и сулфонилуреен продукт</w:t>
      </w:r>
    </w:p>
    <w:p w14:paraId="411DAE11" w14:textId="77777777" w:rsidR="00B41857" w:rsidRPr="00B41857" w:rsidRDefault="00B41857" w:rsidP="00B41857">
      <w:pPr>
        <w:spacing w:line="240" w:lineRule="auto"/>
        <w:rPr>
          <w:rFonts w:eastAsia="Times New Roman" w:cs="Arial"/>
          <w:sz w:val="28"/>
          <w:szCs w:val="24"/>
        </w:rPr>
      </w:pPr>
      <w:r w:rsidRPr="00B41857">
        <w:rPr>
          <w:rFonts w:eastAsia="Times New Roman" w:cs="Arial"/>
          <w:color w:val="000000"/>
          <w:szCs w:val="20"/>
          <w:lang w:eastAsia="bg-BG"/>
        </w:rPr>
        <w:t xml:space="preserve">Таблица 5 - Нежелани реакции, съобщавани при пациенти, които приемат вилдаглиптин 50 </w:t>
      </w:r>
      <w:r w:rsidRPr="00B41857">
        <w:rPr>
          <w:rFonts w:eastAsia="Times New Roman" w:cs="Arial"/>
          <w:color w:val="000000"/>
          <w:szCs w:val="20"/>
          <w:lang w:val="en-US"/>
        </w:rPr>
        <w:t>mg</w:t>
      </w:r>
      <w:r w:rsidRPr="00B41857">
        <w:rPr>
          <w:rFonts w:eastAsia="Times New Roman" w:cs="Arial"/>
          <w:color w:val="000000"/>
          <w:szCs w:val="20"/>
          <w:lang w:val="ru-RU"/>
        </w:rPr>
        <w:t xml:space="preserve"> </w:t>
      </w:r>
      <w:r w:rsidRPr="00B41857">
        <w:rPr>
          <w:rFonts w:eastAsia="Times New Roman" w:cs="Arial"/>
          <w:color w:val="000000"/>
          <w:szCs w:val="20"/>
          <w:lang w:eastAsia="bg-BG"/>
        </w:rPr>
        <w:t xml:space="preserve">два пъти дневно в комбинация с метформин и сулфонилуреен продукт </w:t>
      </w:r>
      <w:r w:rsidRPr="00B41857">
        <w:rPr>
          <w:rFonts w:eastAsia="Times New Roman" w:cs="Arial"/>
          <w:color w:val="000000"/>
          <w:szCs w:val="20"/>
          <w:lang w:val="ru-RU"/>
        </w:rPr>
        <w:t>(</w:t>
      </w:r>
      <w:r w:rsidRPr="00B41857">
        <w:rPr>
          <w:rFonts w:eastAsia="Times New Roman" w:cs="Arial"/>
          <w:color w:val="000000"/>
          <w:szCs w:val="20"/>
          <w:lang w:val="en-US"/>
        </w:rPr>
        <w:t>N</w:t>
      </w:r>
      <w:r w:rsidRPr="00B41857">
        <w:rPr>
          <w:rFonts w:eastAsia="Times New Roman" w:cs="Arial"/>
          <w:color w:val="000000"/>
          <w:szCs w:val="20"/>
          <w:lang w:val="ru-RU"/>
        </w:rPr>
        <w:t>=157)</w:t>
      </w:r>
    </w:p>
    <w:tbl>
      <w:tblPr>
        <w:tblStyle w:val="TableGrid"/>
        <w:tblW w:w="0" w:type="auto"/>
        <w:tblLook w:val="04A0" w:firstRow="1" w:lastRow="0" w:firstColumn="1" w:lastColumn="0" w:noHBand="0" w:noVBand="1"/>
      </w:tblPr>
      <w:tblGrid>
        <w:gridCol w:w="3122"/>
        <w:gridCol w:w="3101"/>
        <w:gridCol w:w="3127"/>
      </w:tblGrid>
      <w:tr w:rsidR="00B41857" w14:paraId="560842F4" w14:textId="77777777" w:rsidTr="00B41857">
        <w:tc>
          <w:tcPr>
            <w:tcW w:w="3192" w:type="dxa"/>
          </w:tcPr>
          <w:p w14:paraId="4C5F5B75" w14:textId="5861A6E6" w:rsidR="00B41857" w:rsidRPr="00B41857" w:rsidRDefault="00B41857" w:rsidP="00B41857">
            <w:r w:rsidRPr="00B41857">
              <w:rPr>
                <w:b/>
                <w:bCs/>
                <w:szCs w:val="20"/>
              </w:rPr>
              <w:t>Система орган клас</w:t>
            </w:r>
          </w:p>
        </w:tc>
        <w:tc>
          <w:tcPr>
            <w:tcW w:w="3192" w:type="dxa"/>
          </w:tcPr>
          <w:p w14:paraId="01447578" w14:textId="354CB340" w:rsidR="00B41857" w:rsidRPr="00B41857" w:rsidRDefault="00B41857" w:rsidP="00B41857">
            <w:r w:rsidRPr="00B41857">
              <w:rPr>
                <w:b/>
                <w:bCs/>
                <w:szCs w:val="20"/>
              </w:rPr>
              <w:t>Честота</w:t>
            </w:r>
          </w:p>
        </w:tc>
        <w:tc>
          <w:tcPr>
            <w:tcW w:w="3192" w:type="dxa"/>
          </w:tcPr>
          <w:p w14:paraId="3A5B2787" w14:textId="5A857517" w:rsidR="00B41857" w:rsidRPr="00B41857" w:rsidRDefault="00B41857" w:rsidP="00B41857">
            <w:r w:rsidRPr="00B41857">
              <w:rPr>
                <w:b/>
                <w:bCs/>
                <w:szCs w:val="20"/>
              </w:rPr>
              <w:t>Нежелани реакции</w:t>
            </w:r>
          </w:p>
        </w:tc>
      </w:tr>
      <w:tr w:rsidR="00B41857" w14:paraId="5462D15B" w14:textId="77777777" w:rsidTr="00B41857">
        <w:tc>
          <w:tcPr>
            <w:tcW w:w="3192" w:type="dxa"/>
          </w:tcPr>
          <w:p w14:paraId="15FD78F0" w14:textId="4CE9E133" w:rsidR="00B41857" w:rsidRPr="00B41857" w:rsidRDefault="00B41857" w:rsidP="00B41857">
            <w:r w:rsidRPr="00B41857">
              <w:rPr>
                <w:szCs w:val="20"/>
              </w:rPr>
              <w:t>Нарушения на метаболизма и храненето</w:t>
            </w:r>
          </w:p>
        </w:tc>
        <w:tc>
          <w:tcPr>
            <w:tcW w:w="3192" w:type="dxa"/>
          </w:tcPr>
          <w:p w14:paraId="3815510D" w14:textId="4371464E" w:rsidR="00B41857" w:rsidRPr="00B41857" w:rsidRDefault="00B41857" w:rsidP="00B41857">
            <w:r w:rsidRPr="00B41857">
              <w:rPr>
                <w:szCs w:val="20"/>
              </w:rPr>
              <w:t>Чести</w:t>
            </w:r>
          </w:p>
        </w:tc>
        <w:tc>
          <w:tcPr>
            <w:tcW w:w="3192" w:type="dxa"/>
          </w:tcPr>
          <w:p w14:paraId="24D32C9A" w14:textId="6BA303F0" w:rsidR="00B41857" w:rsidRPr="00B41857" w:rsidRDefault="00B41857" w:rsidP="00B41857">
            <w:r w:rsidRPr="00B41857">
              <w:rPr>
                <w:szCs w:val="20"/>
              </w:rPr>
              <w:t>Хипогликемия</w:t>
            </w:r>
          </w:p>
        </w:tc>
      </w:tr>
      <w:tr w:rsidR="00B41857" w14:paraId="55F5A85F" w14:textId="77777777" w:rsidTr="00B41857">
        <w:tc>
          <w:tcPr>
            <w:tcW w:w="3192" w:type="dxa"/>
          </w:tcPr>
          <w:p w14:paraId="6E067FD9" w14:textId="67DAF3B7" w:rsidR="00B41857" w:rsidRPr="00B41857" w:rsidRDefault="00B41857" w:rsidP="00B41857">
            <w:r w:rsidRPr="00B41857">
              <w:rPr>
                <w:szCs w:val="20"/>
              </w:rPr>
              <w:t>Нарушения на нервната</w:t>
            </w:r>
          </w:p>
        </w:tc>
        <w:tc>
          <w:tcPr>
            <w:tcW w:w="3192" w:type="dxa"/>
          </w:tcPr>
          <w:p w14:paraId="0A63A856" w14:textId="55C4921D" w:rsidR="00B41857" w:rsidRPr="00B41857" w:rsidRDefault="00B41857" w:rsidP="00B41857">
            <w:r w:rsidRPr="00B41857">
              <w:rPr>
                <w:szCs w:val="20"/>
              </w:rPr>
              <w:t>Чести</w:t>
            </w:r>
          </w:p>
        </w:tc>
        <w:tc>
          <w:tcPr>
            <w:tcW w:w="3192" w:type="dxa"/>
          </w:tcPr>
          <w:p w14:paraId="2C3DB280" w14:textId="71264C2E" w:rsidR="00B41857" w:rsidRPr="00B41857" w:rsidRDefault="00B41857" w:rsidP="00B41857">
            <w:r w:rsidRPr="00B41857">
              <w:rPr>
                <w:szCs w:val="20"/>
              </w:rPr>
              <w:t>Замаяност</w:t>
            </w:r>
          </w:p>
        </w:tc>
      </w:tr>
      <w:tr w:rsidR="00B41857" w14:paraId="557C04A6" w14:textId="77777777" w:rsidTr="00B41857">
        <w:tc>
          <w:tcPr>
            <w:tcW w:w="3192" w:type="dxa"/>
          </w:tcPr>
          <w:p w14:paraId="4C49367A" w14:textId="65458542" w:rsidR="00B41857" w:rsidRPr="00B41857" w:rsidRDefault="00B41857" w:rsidP="00B41857">
            <w:r w:rsidRPr="00B41857">
              <w:rPr>
                <w:szCs w:val="20"/>
              </w:rPr>
              <w:t>система</w:t>
            </w:r>
          </w:p>
        </w:tc>
        <w:tc>
          <w:tcPr>
            <w:tcW w:w="3192" w:type="dxa"/>
          </w:tcPr>
          <w:p w14:paraId="2FBBCABA" w14:textId="37161B41" w:rsidR="00B41857" w:rsidRPr="00B41857" w:rsidRDefault="00B41857" w:rsidP="00B41857">
            <w:r w:rsidRPr="00B41857">
              <w:rPr>
                <w:szCs w:val="20"/>
              </w:rPr>
              <w:t>Чести</w:t>
            </w:r>
          </w:p>
        </w:tc>
        <w:tc>
          <w:tcPr>
            <w:tcW w:w="3192" w:type="dxa"/>
          </w:tcPr>
          <w:p w14:paraId="525D0455" w14:textId="66206421" w:rsidR="00B41857" w:rsidRPr="00B41857" w:rsidRDefault="00B41857" w:rsidP="00B41857">
            <w:r w:rsidRPr="00B41857">
              <w:rPr>
                <w:szCs w:val="20"/>
              </w:rPr>
              <w:t>Тремор</w:t>
            </w:r>
          </w:p>
        </w:tc>
      </w:tr>
      <w:tr w:rsidR="00B41857" w14:paraId="2D04F208" w14:textId="77777777" w:rsidTr="00B41857">
        <w:tc>
          <w:tcPr>
            <w:tcW w:w="3192" w:type="dxa"/>
          </w:tcPr>
          <w:p w14:paraId="11CB30FE" w14:textId="03AE25D3" w:rsidR="00B41857" w:rsidRPr="00B41857" w:rsidRDefault="00B41857" w:rsidP="00B41857">
            <w:r w:rsidRPr="00B41857">
              <w:rPr>
                <w:szCs w:val="20"/>
              </w:rPr>
              <w:t>Нарушения на кожата и подкожната тъкан</w:t>
            </w:r>
          </w:p>
        </w:tc>
        <w:tc>
          <w:tcPr>
            <w:tcW w:w="3192" w:type="dxa"/>
          </w:tcPr>
          <w:p w14:paraId="3B234E33" w14:textId="4AEDCF57" w:rsidR="00B41857" w:rsidRPr="00B41857" w:rsidRDefault="00B41857" w:rsidP="00B41857">
            <w:r w:rsidRPr="00B41857">
              <w:rPr>
                <w:szCs w:val="20"/>
              </w:rPr>
              <w:t>Чести</w:t>
            </w:r>
          </w:p>
        </w:tc>
        <w:tc>
          <w:tcPr>
            <w:tcW w:w="3192" w:type="dxa"/>
          </w:tcPr>
          <w:p w14:paraId="547BD0C5" w14:textId="20382595" w:rsidR="00B41857" w:rsidRPr="00B41857" w:rsidRDefault="00B41857" w:rsidP="00B41857">
            <w:r w:rsidRPr="00B41857">
              <w:rPr>
                <w:szCs w:val="20"/>
              </w:rPr>
              <w:t>Хиперхидроза</w:t>
            </w:r>
          </w:p>
        </w:tc>
      </w:tr>
      <w:tr w:rsidR="00B41857" w14:paraId="26AC0C85" w14:textId="77777777" w:rsidTr="00B41857">
        <w:tc>
          <w:tcPr>
            <w:tcW w:w="3192" w:type="dxa"/>
          </w:tcPr>
          <w:p w14:paraId="31C5D5EE" w14:textId="25068AF7" w:rsidR="00B41857" w:rsidRPr="00B41857" w:rsidRDefault="00B41857" w:rsidP="00B41857">
            <w:r w:rsidRPr="00B41857">
              <w:rPr>
                <w:szCs w:val="20"/>
              </w:rPr>
              <w:t>Общи нарушения и ефекти на мястото на приложение</w:t>
            </w:r>
          </w:p>
        </w:tc>
        <w:tc>
          <w:tcPr>
            <w:tcW w:w="3192" w:type="dxa"/>
          </w:tcPr>
          <w:p w14:paraId="0DACC7B5" w14:textId="070DE44D" w:rsidR="00B41857" w:rsidRPr="00B41857" w:rsidRDefault="00B41857" w:rsidP="00B41857">
            <w:r w:rsidRPr="00B41857">
              <w:rPr>
                <w:szCs w:val="20"/>
              </w:rPr>
              <w:t>Чести</w:t>
            </w:r>
          </w:p>
        </w:tc>
        <w:tc>
          <w:tcPr>
            <w:tcW w:w="3192" w:type="dxa"/>
          </w:tcPr>
          <w:p w14:paraId="38761FBB" w14:textId="3AFC04C9" w:rsidR="00B41857" w:rsidRPr="00B41857" w:rsidRDefault="00B41857" w:rsidP="00B41857">
            <w:r w:rsidRPr="00B41857">
              <w:rPr>
                <w:szCs w:val="20"/>
              </w:rPr>
              <w:t>Астения</w:t>
            </w:r>
          </w:p>
        </w:tc>
      </w:tr>
    </w:tbl>
    <w:p w14:paraId="2EC69003" w14:textId="77777777" w:rsidR="00B41857" w:rsidRDefault="00B41857" w:rsidP="00B41857">
      <w:pPr>
        <w:spacing w:line="240" w:lineRule="auto"/>
        <w:rPr>
          <w:rFonts w:ascii="Times New Roman" w:eastAsia="Times New Roman" w:hAnsi="Times New Roman" w:cs="Times New Roman"/>
          <w:i/>
          <w:iCs/>
          <w:color w:val="000000"/>
          <w:sz w:val="20"/>
          <w:szCs w:val="20"/>
          <w:lang w:eastAsia="bg-BG"/>
        </w:rPr>
      </w:pPr>
    </w:p>
    <w:p w14:paraId="18158EA5" w14:textId="668F9EA8" w:rsidR="00B41857" w:rsidRPr="00B41857" w:rsidRDefault="00B41857" w:rsidP="00B41857">
      <w:pPr>
        <w:spacing w:line="240" w:lineRule="auto"/>
        <w:rPr>
          <w:rFonts w:eastAsia="Times New Roman" w:cs="Arial"/>
          <w:sz w:val="28"/>
          <w:szCs w:val="24"/>
        </w:rPr>
      </w:pPr>
      <w:r w:rsidRPr="00B41857">
        <w:rPr>
          <w:rFonts w:eastAsia="Times New Roman" w:cs="Arial"/>
          <w:i/>
          <w:iCs/>
          <w:color w:val="000000"/>
          <w:szCs w:val="20"/>
          <w:lang w:eastAsia="bg-BG"/>
        </w:rPr>
        <w:t>Описание на избрани нежелани реакции</w:t>
      </w:r>
    </w:p>
    <w:p w14:paraId="0E0E048B" w14:textId="77777777" w:rsidR="00B41857" w:rsidRPr="00B41857" w:rsidRDefault="00B41857" w:rsidP="00B41857">
      <w:pPr>
        <w:spacing w:line="240" w:lineRule="auto"/>
        <w:rPr>
          <w:rFonts w:eastAsia="Times New Roman" w:cs="Arial"/>
          <w:sz w:val="28"/>
          <w:szCs w:val="24"/>
        </w:rPr>
      </w:pPr>
      <w:r w:rsidRPr="00B41857">
        <w:rPr>
          <w:rFonts w:eastAsia="Times New Roman" w:cs="Arial"/>
          <w:color w:val="000000"/>
          <w:szCs w:val="20"/>
          <w:lang w:eastAsia="bg-BG"/>
        </w:rPr>
        <w:t>Не е съобщавано за преустановяване на лечението поради нежелани реакции в групата на вилдаглиптин + метформин + глимепирид срещу 0,6% в групата наплацебо + метформин + глимепирид.</w:t>
      </w:r>
    </w:p>
    <w:p w14:paraId="2A61A9B0" w14:textId="77777777" w:rsidR="00B41857" w:rsidRPr="00B41857" w:rsidRDefault="00B41857" w:rsidP="00B41857">
      <w:pPr>
        <w:spacing w:line="240" w:lineRule="auto"/>
        <w:rPr>
          <w:rFonts w:eastAsia="Times New Roman" w:cs="Arial"/>
          <w:color w:val="000000"/>
          <w:szCs w:val="20"/>
          <w:lang w:eastAsia="bg-BG"/>
        </w:rPr>
      </w:pPr>
    </w:p>
    <w:p w14:paraId="4AD10F9A" w14:textId="128F9C08" w:rsidR="00B41857" w:rsidRPr="00B41857" w:rsidRDefault="00B41857" w:rsidP="00B41857">
      <w:pPr>
        <w:spacing w:line="240" w:lineRule="auto"/>
        <w:rPr>
          <w:rFonts w:eastAsia="Times New Roman" w:cs="Arial"/>
          <w:sz w:val="28"/>
          <w:szCs w:val="24"/>
        </w:rPr>
      </w:pPr>
      <w:r w:rsidRPr="00B41857">
        <w:rPr>
          <w:rFonts w:eastAsia="Times New Roman" w:cs="Arial"/>
          <w:color w:val="000000"/>
          <w:szCs w:val="20"/>
          <w:lang w:eastAsia="bg-BG"/>
        </w:rPr>
        <w:t>Честотата на хипогликемия е била честа в двете групи (5,1% за вилдаглиптин + метформин + глимепирид срещу 1,9% за плацебо + метформин + глимепирид). Едно сериозно хипогликемично събитие е съобщено в групата на вилдаглиптин.</w:t>
      </w:r>
    </w:p>
    <w:p w14:paraId="416963DA" w14:textId="77777777" w:rsidR="00B41857" w:rsidRPr="00B41857" w:rsidRDefault="00B41857" w:rsidP="00B41857">
      <w:pPr>
        <w:spacing w:line="240" w:lineRule="auto"/>
        <w:rPr>
          <w:rFonts w:eastAsia="Times New Roman" w:cs="Arial"/>
          <w:color w:val="000000"/>
          <w:szCs w:val="20"/>
          <w:lang w:eastAsia="bg-BG"/>
        </w:rPr>
      </w:pPr>
    </w:p>
    <w:p w14:paraId="51506F3F" w14:textId="1607B9A3" w:rsidR="00B41857" w:rsidRPr="00B41857" w:rsidRDefault="00B41857" w:rsidP="00B41857">
      <w:pPr>
        <w:spacing w:line="240" w:lineRule="auto"/>
        <w:rPr>
          <w:rFonts w:eastAsia="Times New Roman" w:cs="Arial"/>
          <w:color w:val="000000"/>
          <w:szCs w:val="20"/>
          <w:lang w:eastAsia="bg-BG"/>
        </w:rPr>
      </w:pPr>
      <w:r w:rsidRPr="00B41857">
        <w:rPr>
          <w:rFonts w:eastAsia="Times New Roman" w:cs="Arial"/>
          <w:color w:val="000000"/>
          <w:szCs w:val="20"/>
          <w:lang w:eastAsia="bg-BG"/>
        </w:rPr>
        <w:t xml:space="preserve">В края на проучването ефектът върху средното телесно тегло е бил неутрален (+0,6 </w:t>
      </w:r>
      <w:r w:rsidRPr="00B41857">
        <w:rPr>
          <w:rFonts w:eastAsia="Times New Roman" w:cs="Arial"/>
          <w:color w:val="000000"/>
          <w:szCs w:val="20"/>
          <w:lang w:val="en-US"/>
        </w:rPr>
        <w:t>kg</w:t>
      </w:r>
      <w:r w:rsidRPr="00B41857">
        <w:rPr>
          <w:rFonts w:eastAsia="Times New Roman" w:cs="Arial"/>
          <w:color w:val="000000"/>
          <w:szCs w:val="20"/>
          <w:lang w:val="ru-RU"/>
        </w:rPr>
        <w:t xml:space="preserve"> </w:t>
      </w:r>
      <w:r w:rsidRPr="00B41857">
        <w:rPr>
          <w:rFonts w:eastAsia="Times New Roman" w:cs="Arial"/>
          <w:color w:val="000000"/>
          <w:szCs w:val="20"/>
          <w:lang w:eastAsia="bg-BG"/>
        </w:rPr>
        <w:t xml:space="preserve">в групата на вилдаглиптин и -0,1 </w:t>
      </w:r>
      <w:r w:rsidRPr="00B41857">
        <w:rPr>
          <w:rFonts w:eastAsia="Times New Roman" w:cs="Arial"/>
          <w:color w:val="000000"/>
          <w:szCs w:val="20"/>
          <w:lang w:val="en-US"/>
        </w:rPr>
        <w:t>kg</w:t>
      </w:r>
      <w:r w:rsidRPr="00B41857">
        <w:rPr>
          <w:rFonts w:eastAsia="Times New Roman" w:cs="Arial"/>
          <w:color w:val="000000"/>
          <w:szCs w:val="20"/>
          <w:lang w:val="ru-RU"/>
        </w:rPr>
        <w:t xml:space="preserve"> </w:t>
      </w:r>
      <w:r w:rsidRPr="00B41857">
        <w:rPr>
          <w:rFonts w:eastAsia="Times New Roman" w:cs="Arial"/>
          <w:color w:val="000000"/>
          <w:szCs w:val="20"/>
          <w:lang w:eastAsia="bg-BG"/>
        </w:rPr>
        <w:t>в плацебо групата).</w:t>
      </w:r>
    </w:p>
    <w:p w14:paraId="43D7AF2F" w14:textId="77777777" w:rsidR="00B41857" w:rsidRPr="00B41857" w:rsidRDefault="00B41857" w:rsidP="00B41857">
      <w:pPr>
        <w:spacing w:line="240" w:lineRule="auto"/>
        <w:rPr>
          <w:rFonts w:eastAsia="Times New Roman" w:cs="Arial"/>
          <w:i/>
          <w:iCs/>
          <w:color w:val="000000"/>
          <w:szCs w:val="20"/>
          <w:lang w:eastAsia="bg-BG"/>
        </w:rPr>
      </w:pPr>
    </w:p>
    <w:p w14:paraId="15C897BC" w14:textId="03288089" w:rsidR="00B41857" w:rsidRPr="00B41857" w:rsidRDefault="00B41857" w:rsidP="00B41857">
      <w:pPr>
        <w:spacing w:line="240" w:lineRule="auto"/>
        <w:rPr>
          <w:rFonts w:eastAsia="Times New Roman" w:cs="Arial"/>
          <w:sz w:val="28"/>
          <w:szCs w:val="24"/>
        </w:rPr>
      </w:pPr>
      <w:r w:rsidRPr="00B41857">
        <w:rPr>
          <w:rFonts w:eastAsia="Times New Roman" w:cs="Arial"/>
          <w:i/>
          <w:iCs/>
          <w:color w:val="000000"/>
          <w:szCs w:val="20"/>
          <w:lang w:eastAsia="bg-BG"/>
        </w:rPr>
        <w:t>Комбинация с инсулин</w:t>
      </w:r>
    </w:p>
    <w:p w14:paraId="4423F9C9" w14:textId="6D0E237B" w:rsidR="00B41857" w:rsidRDefault="00B41857" w:rsidP="00B41857">
      <w:pPr>
        <w:rPr>
          <w:rFonts w:eastAsia="Times New Roman" w:cs="Arial"/>
          <w:color w:val="000000"/>
          <w:szCs w:val="20"/>
          <w:lang w:eastAsia="bg-BG"/>
        </w:rPr>
      </w:pPr>
      <w:r w:rsidRPr="00B41857">
        <w:rPr>
          <w:rFonts w:eastAsia="Times New Roman" w:cs="Arial"/>
          <w:color w:val="000000"/>
          <w:szCs w:val="20"/>
          <w:lang w:eastAsia="bg-BG"/>
        </w:rPr>
        <w:t xml:space="preserve">Таблица 6 - Нежелани реакции при пациенти, които са получавали вилдаглиптин 100 </w:t>
      </w:r>
      <w:r w:rsidRPr="00B41857">
        <w:rPr>
          <w:rFonts w:eastAsia="Times New Roman" w:cs="Arial"/>
          <w:color w:val="000000"/>
          <w:szCs w:val="20"/>
          <w:lang w:val="en-US"/>
        </w:rPr>
        <w:t>mg</w:t>
      </w:r>
      <w:r w:rsidRPr="00B41857">
        <w:rPr>
          <w:rFonts w:eastAsia="Times New Roman" w:cs="Arial"/>
          <w:color w:val="000000"/>
          <w:szCs w:val="20"/>
          <w:lang w:val="ru-RU"/>
        </w:rPr>
        <w:t xml:space="preserve"> </w:t>
      </w:r>
      <w:r w:rsidRPr="00B41857">
        <w:rPr>
          <w:rFonts w:eastAsia="Times New Roman" w:cs="Arial"/>
          <w:color w:val="000000"/>
          <w:szCs w:val="20"/>
          <w:lang w:eastAsia="bg-BG"/>
        </w:rPr>
        <w:t xml:space="preserve">дневно в комбинация с инсулин (със или без метформин) при двойнослепи проучвания </w:t>
      </w:r>
      <w:r w:rsidRPr="00B41857">
        <w:rPr>
          <w:rFonts w:eastAsia="Times New Roman" w:cs="Arial"/>
          <w:color w:val="000000"/>
          <w:szCs w:val="20"/>
          <w:lang w:val="ru-RU"/>
        </w:rPr>
        <w:t>(</w:t>
      </w:r>
      <w:r w:rsidRPr="00B41857">
        <w:rPr>
          <w:rFonts w:eastAsia="Times New Roman" w:cs="Arial"/>
          <w:color w:val="000000"/>
          <w:szCs w:val="20"/>
          <w:lang w:val="en-US"/>
        </w:rPr>
        <w:t>N</w:t>
      </w:r>
      <w:r w:rsidRPr="00B41857">
        <w:rPr>
          <w:rFonts w:eastAsia="Times New Roman" w:cs="Arial"/>
          <w:color w:val="000000"/>
          <w:szCs w:val="20"/>
          <w:lang w:val="ru-RU"/>
        </w:rPr>
        <w:t>=371</w:t>
      </w:r>
      <w:r w:rsidRPr="00B41857">
        <w:rPr>
          <w:rFonts w:eastAsia="Times New Roman" w:cs="Arial"/>
          <w:color w:val="000000"/>
          <w:szCs w:val="20"/>
          <w:lang w:eastAsia="bg-BG"/>
        </w:rPr>
        <w:t>)</w:t>
      </w:r>
    </w:p>
    <w:p w14:paraId="5274104E" w14:textId="49A26C75" w:rsidR="00B41857" w:rsidRDefault="00B41857" w:rsidP="00B41857">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3113"/>
        <w:gridCol w:w="3090"/>
        <w:gridCol w:w="3147"/>
      </w:tblGrid>
      <w:tr w:rsidR="00B41857" w14:paraId="54F196AC" w14:textId="77777777" w:rsidTr="00B41857">
        <w:tc>
          <w:tcPr>
            <w:tcW w:w="3192" w:type="dxa"/>
          </w:tcPr>
          <w:p w14:paraId="240D1E3E" w14:textId="493C8662" w:rsidR="00B41857" w:rsidRPr="00B41857" w:rsidRDefault="00B41857" w:rsidP="00B41857">
            <w:pPr>
              <w:rPr>
                <w:rFonts w:cs="Arial"/>
              </w:rPr>
            </w:pPr>
            <w:r w:rsidRPr="00B41857">
              <w:rPr>
                <w:b/>
                <w:bCs/>
                <w:szCs w:val="20"/>
              </w:rPr>
              <w:t>Система орган клас</w:t>
            </w:r>
          </w:p>
        </w:tc>
        <w:tc>
          <w:tcPr>
            <w:tcW w:w="3192" w:type="dxa"/>
          </w:tcPr>
          <w:p w14:paraId="264DE99F" w14:textId="31FC41C9" w:rsidR="00B41857" w:rsidRPr="00B41857" w:rsidRDefault="00B41857" w:rsidP="00B41857">
            <w:pPr>
              <w:rPr>
                <w:rFonts w:cs="Arial"/>
              </w:rPr>
            </w:pPr>
            <w:r w:rsidRPr="00B41857">
              <w:rPr>
                <w:b/>
                <w:bCs/>
                <w:szCs w:val="20"/>
              </w:rPr>
              <w:t>Честота</w:t>
            </w:r>
          </w:p>
        </w:tc>
        <w:tc>
          <w:tcPr>
            <w:tcW w:w="3192" w:type="dxa"/>
          </w:tcPr>
          <w:p w14:paraId="16083BFA" w14:textId="35747843" w:rsidR="00B41857" w:rsidRPr="00B41857" w:rsidRDefault="00B41857" w:rsidP="00B41857">
            <w:pPr>
              <w:rPr>
                <w:rFonts w:cs="Arial"/>
              </w:rPr>
            </w:pPr>
            <w:r w:rsidRPr="00B41857">
              <w:rPr>
                <w:b/>
                <w:bCs/>
                <w:szCs w:val="20"/>
              </w:rPr>
              <w:t>Нежелани реакции</w:t>
            </w:r>
          </w:p>
        </w:tc>
      </w:tr>
      <w:tr w:rsidR="00B41857" w14:paraId="35C297D5" w14:textId="77777777" w:rsidTr="00B41857">
        <w:tc>
          <w:tcPr>
            <w:tcW w:w="3192" w:type="dxa"/>
          </w:tcPr>
          <w:p w14:paraId="532E2ECF" w14:textId="50367DAD" w:rsidR="00B41857" w:rsidRPr="00B41857" w:rsidRDefault="00B41857" w:rsidP="00B41857">
            <w:pPr>
              <w:rPr>
                <w:rFonts w:cs="Arial"/>
              </w:rPr>
            </w:pPr>
            <w:r w:rsidRPr="00B41857">
              <w:rPr>
                <w:szCs w:val="20"/>
              </w:rPr>
              <w:t>Нарушения на метаболизма и храненето</w:t>
            </w:r>
          </w:p>
        </w:tc>
        <w:tc>
          <w:tcPr>
            <w:tcW w:w="3192" w:type="dxa"/>
          </w:tcPr>
          <w:p w14:paraId="2DC68B60" w14:textId="55803FCC" w:rsidR="00B41857" w:rsidRPr="00B41857" w:rsidRDefault="00B41857" w:rsidP="00B41857">
            <w:pPr>
              <w:rPr>
                <w:rFonts w:cs="Arial"/>
              </w:rPr>
            </w:pPr>
            <w:r w:rsidRPr="00B41857">
              <w:rPr>
                <w:szCs w:val="20"/>
              </w:rPr>
              <w:t>Чести</w:t>
            </w:r>
          </w:p>
        </w:tc>
        <w:tc>
          <w:tcPr>
            <w:tcW w:w="3192" w:type="dxa"/>
          </w:tcPr>
          <w:p w14:paraId="34DDA2FD" w14:textId="341C48CE" w:rsidR="00B41857" w:rsidRPr="00B41857" w:rsidRDefault="00B41857" w:rsidP="00B41857">
            <w:pPr>
              <w:rPr>
                <w:rFonts w:cs="Arial"/>
              </w:rPr>
            </w:pPr>
            <w:r w:rsidRPr="00B41857">
              <w:rPr>
                <w:szCs w:val="20"/>
              </w:rPr>
              <w:t>Понижени нива на глюкоза в кръвта</w:t>
            </w:r>
          </w:p>
        </w:tc>
      </w:tr>
      <w:tr w:rsidR="00B41857" w14:paraId="5E0CE24C" w14:textId="77777777" w:rsidTr="00B41857">
        <w:tc>
          <w:tcPr>
            <w:tcW w:w="3192" w:type="dxa"/>
            <w:vMerge w:val="restart"/>
          </w:tcPr>
          <w:p w14:paraId="05478AA4" w14:textId="3C21DC8E" w:rsidR="00B41857" w:rsidRPr="00B41857" w:rsidRDefault="00B41857" w:rsidP="00B41857">
            <w:pPr>
              <w:rPr>
                <w:rFonts w:cs="Arial"/>
              </w:rPr>
            </w:pPr>
            <w:r w:rsidRPr="00B41857">
              <w:rPr>
                <w:szCs w:val="20"/>
              </w:rPr>
              <w:t>Нарушения на нервната система</w:t>
            </w:r>
          </w:p>
        </w:tc>
        <w:tc>
          <w:tcPr>
            <w:tcW w:w="3192" w:type="dxa"/>
          </w:tcPr>
          <w:p w14:paraId="249E7B43" w14:textId="7A1705A1" w:rsidR="00B41857" w:rsidRPr="00B41857" w:rsidRDefault="00B41857" w:rsidP="00B41857">
            <w:pPr>
              <w:rPr>
                <w:rFonts w:cs="Arial"/>
              </w:rPr>
            </w:pPr>
            <w:r w:rsidRPr="00B41857">
              <w:rPr>
                <w:szCs w:val="20"/>
              </w:rPr>
              <w:t>Чести</w:t>
            </w:r>
          </w:p>
        </w:tc>
        <w:tc>
          <w:tcPr>
            <w:tcW w:w="3192" w:type="dxa"/>
          </w:tcPr>
          <w:p w14:paraId="6EEB9054" w14:textId="603FEDB8" w:rsidR="00B41857" w:rsidRPr="00B41857" w:rsidRDefault="00B41857" w:rsidP="00B41857">
            <w:pPr>
              <w:rPr>
                <w:rFonts w:cs="Arial"/>
              </w:rPr>
            </w:pPr>
            <w:r w:rsidRPr="00B41857">
              <w:rPr>
                <w:szCs w:val="20"/>
              </w:rPr>
              <w:t>Главоболие</w:t>
            </w:r>
          </w:p>
        </w:tc>
      </w:tr>
      <w:tr w:rsidR="00B41857" w14:paraId="059F1026" w14:textId="77777777" w:rsidTr="00B41857">
        <w:tc>
          <w:tcPr>
            <w:tcW w:w="3192" w:type="dxa"/>
            <w:vMerge/>
          </w:tcPr>
          <w:p w14:paraId="2F525A26" w14:textId="77777777" w:rsidR="00B41857" w:rsidRPr="00B41857" w:rsidRDefault="00B41857" w:rsidP="00B41857">
            <w:pPr>
              <w:rPr>
                <w:rFonts w:cs="Arial"/>
              </w:rPr>
            </w:pPr>
          </w:p>
        </w:tc>
        <w:tc>
          <w:tcPr>
            <w:tcW w:w="3192" w:type="dxa"/>
          </w:tcPr>
          <w:p w14:paraId="055923CC" w14:textId="0F8F8BFB" w:rsidR="00B41857" w:rsidRPr="00B41857" w:rsidRDefault="00B41857" w:rsidP="00B41857">
            <w:pPr>
              <w:rPr>
                <w:rFonts w:cs="Arial"/>
              </w:rPr>
            </w:pPr>
            <w:r w:rsidRPr="00B41857">
              <w:rPr>
                <w:szCs w:val="20"/>
              </w:rPr>
              <w:t>Чести</w:t>
            </w:r>
          </w:p>
        </w:tc>
        <w:tc>
          <w:tcPr>
            <w:tcW w:w="3192" w:type="dxa"/>
          </w:tcPr>
          <w:p w14:paraId="47BF013B" w14:textId="10F9D163" w:rsidR="00B41857" w:rsidRPr="00B41857" w:rsidRDefault="00B41857" w:rsidP="00B41857">
            <w:pPr>
              <w:rPr>
                <w:rFonts w:cs="Arial"/>
              </w:rPr>
            </w:pPr>
            <w:r w:rsidRPr="00B41857">
              <w:rPr>
                <w:szCs w:val="20"/>
              </w:rPr>
              <w:t>Треска</w:t>
            </w:r>
          </w:p>
        </w:tc>
      </w:tr>
      <w:tr w:rsidR="00B41857" w14:paraId="57622825" w14:textId="77777777" w:rsidTr="00B41857">
        <w:tc>
          <w:tcPr>
            <w:tcW w:w="3192" w:type="dxa"/>
            <w:vMerge w:val="restart"/>
          </w:tcPr>
          <w:p w14:paraId="423B41DE" w14:textId="5AE27517" w:rsidR="00B41857" w:rsidRPr="00B41857" w:rsidRDefault="00B41857" w:rsidP="00B41857">
            <w:pPr>
              <w:rPr>
                <w:rFonts w:cs="Arial"/>
              </w:rPr>
            </w:pPr>
            <w:r w:rsidRPr="00B41857">
              <w:rPr>
                <w:szCs w:val="20"/>
              </w:rPr>
              <w:t>Стомашно-чревни нарушения</w:t>
            </w:r>
          </w:p>
        </w:tc>
        <w:tc>
          <w:tcPr>
            <w:tcW w:w="3192" w:type="dxa"/>
          </w:tcPr>
          <w:p w14:paraId="765AC719" w14:textId="3CB2E10D" w:rsidR="00B41857" w:rsidRPr="00B41857" w:rsidRDefault="00B41857" w:rsidP="00B41857">
            <w:pPr>
              <w:rPr>
                <w:rFonts w:cs="Arial"/>
              </w:rPr>
            </w:pPr>
            <w:r w:rsidRPr="00B41857">
              <w:rPr>
                <w:szCs w:val="20"/>
              </w:rPr>
              <w:t>Чести</w:t>
            </w:r>
          </w:p>
        </w:tc>
        <w:tc>
          <w:tcPr>
            <w:tcW w:w="3192" w:type="dxa"/>
          </w:tcPr>
          <w:p w14:paraId="1395080A" w14:textId="35708691" w:rsidR="00B41857" w:rsidRPr="00B41857" w:rsidRDefault="00B41857" w:rsidP="00B41857">
            <w:pPr>
              <w:rPr>
                <w:rFonts w:cs="Arial"/>
              </w:rPr>
            </w:pPr>
            <w:r w:rsidRPr="00B41857">
              <w:rPr>
                <w:szCs w:val="20"/>
              </w:rPr>
              <w:t>Гадене</w:t>
            </w:r>
          </w:p>
        </w:tc>
      </w:tr>
      <w:tr w:rsidR="00B41857" w14:paraId="0329F6A3" w14:textId="77777777" w:rsidTr="00B41857">
        <w:tc>
          <w:tcPr>
            <w:tcW w:w="3192" w:type="dxa"/>
            <w:vMerge/>
          </w:tcPr>
          <w:p w14:paraId="6BAAFC57" w14:textId="77777777" w:rsidR="00B41857" w:rsidRPr="00B41857" w:rsidRDefault="00B41857" w:rsidP="00B41857">
            <w:pPr>
              <w:rPr>
                <w:rFonts w:cs="Arial"/>
              </w:rPr>
            </w:pPr>
          </w:p>
        </w:tc>
        <w:tc>
          <w:tcPr>
            <w:tcW w:w="3192" w:type="dxa"/>
          </w:tcPr>
          <w:p w14:paraId="199F7AD6" w14:textId="38E73028" w:rsidR="00B41857" w:rsidRPr="00B41857" w:rsidRDefault="00B41857" w:rsidP="00B41857">
            <w:pPr>
              <w:rPr>
                <w:rFonts w:cs="Arial"/>
              </w:rPr>
            </w:pPr>
            <w:r w:rsidRPr="00B41857">
              <w:rPr>
                <w:szCs w:val="20"/>
              </w:rPr>
              <w:t>Чести</w:t>
            </w:r>
          </w:p>
        </w:tc>
        <w:tc>
          <w:tcPr>
            <w:tcW w:w="3192" w:type="dxa"/>
          </w:tcPr>
          <w:p w14:paraId="16382682" w14:textId="182F5350" w:rsidR="00B41857" w:rsidRPr="00B41857" w:rsidRDefault="00B41857" w:rsidP="00B41857">
            <w:pPr>
              <w:rPr>
                <w:rFonts w:cs="Arial"/>
              </w:rPr>
            </w:pPr>
            <w:r w:rsidRPr="00B41857">
              <w:rPr>
                <w:szCs w:val="20"/>
              </w:rPr>
              <w:t>Гастроезофагеална рефлуксна болест</w:t>
            </w:r>
          </w:p>
        </w:tc>
      </w:tr>
      <w:tr w:rsidR="00B41857" w14:paraId="55593D01" w14:textId="77777777" w:rsidTr="00B41857">
        <w:tc>
          <w:tcPr>
            <w:tcW w:w="3192" w:type="dxa"/>
            <w:vMerge/>
          </w:tcPr>
          <w:p w14:paraId="7BE78189" w14:textId="77777777" w:rsidR="00B41857" w:rsidRPr="00B41857" w:rsidRDefault="00B41857" w:rsidP="00B41857">
            <w:pPr>
              <w:rPr>
                <w:rFonts w:cs="Arial"/>
              </w:rPr>
            </w:pPr>
          </w:p>
        </w:tc>
        <w:tc>
          <w:tcPr>
            <w:tcW w:w="3192" w:type="dxa"/>
          </w:tcPr>
          <w:p w14:paraId="7B61590F" w14:textId="6A9BE34D" w:rsidR="00B41857" w:rsidRPr="00B41857" w:rsidRDefault="00B41857" w:rsidP="00B41857">
            <w:pPr>
              <w:rPr>
                <w:rFonts w:cs="Arial"/>
              </w:rPr>
            </w:pPr>
            <w:r w:rsidRPr="00B41857">
              <w:rPr>
                <w:szCs w:val="20"/>
              </w:rPr>
              <w:t>Нечести</w:t>
            </w:r>
          </w:p>
        </w:tc>
        <w:tc>
          <w:tcPr>
            <w:tcW w:w="3192" w:type="dxa"/>
          </w:tcPr>
          <w:p w14:paraId="60A281C5" w14:textId="796BE67F" w:rsidR="00B41857" w:rsidRPr="00B41857" w:rsidRDefault="00B41857" w:rsidP="00B41857">
            <w:pPr>
              <w:rPr>
                <w:rFonts w:cs="Arial"/>
              </w:rPr>
            </w:pPr>
            <w:r w:rsidRPr="00B41857">
              <w:rPr>
                <w:szCs w:val="20"/>
              </w:rPr>
              <w:t>Диария</w:t>
            </w:r>
          </w:p>
        </w:tc>
      </w:tr>
      <w:tr w:rsidR="00B41857" w14:paraId="6B83328E" w14:textId="77777777" w:rsidTr="00B41857">
        <w:tc>
          <w:tcPr>
            <w:tcW w:w="3192" w:type="dxa"/>
            <w:vMerge/>
          </w:tcPr>
          <w:p w14:paraId="5B86326B" w14:textId="77777777" w:rsidR="00B41857" w:rsidRPr="00B41857" w:rsidRDefault="00B41857" w:rsidP="00B41857">
            <w:pPr>
              <w:rPr>
                <w:rFonts w:cs="Arial"/>
              </w:rPr>
            </w:pPr>
          </w:p>
        </w:tc>
        <w:tc>
          <w:tcPr>
            <w:tcW w:w="3192" w:type="dxa"/>
          </w:tcPr>
          <w:p w14:paraId="464911A8" w14:textId="3B769B0F" w:rsidR="00B41857" w:rsidRPr="00B41857" w:rsidRDefault="00B41857" w:rsidP="00B41857">
            <w:pPr>
              <w:rPr>
                <w:rFonts w:cs="Arial"/>
              </w:rPr>
            </w:pPr>
            <w:r w:rsidRPr="00B41857">
              <w:rPr>
                <w:szCs w:val="20"/>
              </w:rPr>
              <w:t>Нечести</w:t>
            </w:r>
          </w:p>
        </w:tc>
        <w:tc>
          <w:tcPr>
            <w:tcW w:w="3192" w:type="dxa"/>
          </w:tcPr>
          <w:p w14:paraId="7C372B40" w14:textId="50277147" w:rsidR="00B41857" w:rsidRPr="00B41857" w:rsidRDefault="00B41857" w:rsidP="00B41857">
            <w:pPr>
              <w:rPr>
                <w:rFonts w:cs="Arial"/>
              </w:rPr>
            </w:pPr>
            <w:r w:rsidRPr="00B41857">
              <w:rPr>
                <w:szCs w:val="20"/>
              </w:rPr>
              <w:t>Газове</w:t>
            </w:r>
          </w:p>
        </w:tc>
      </w:tr>
    </w:tbl>
    <w:p w14:paraId="3FDB85FF" w14:textId="77777777" w:rsidR="00B41857" w:rsidRDefault="00B41857" w:rsidP="00B41857">
      <w:pPr>
        <w:spacing w:line="240" w:lineRule="auto"/>
        <w:rPr>
          <w:rFonts w:ascii="Times New Roman" w:eastAsia="Times New Roman" w:hAnsi="Times New Roman" w:cs="Times New Roman"/>
          <w:i/>
          <w:iCs/>
          <w:color w:val="000000"/>
          <w:sz w:val="20"/>
          <w:szCs w:val="20"/>
          <w:lang w:eastAsia="bg-BG"/>
        </w:rPr>
      </w:pPr>
    </w:p>
    <w:p w14:paraId="76CF0A19" w14:textId="0D7796A9" w:rsidR="00B41857" w:rsidRPr="00B41857" w:rsidRDefault="00B41857" w:rsidP="00B41857">
      <w:pPr>
        <w:spacing w:line="240" w:lineRule="auto"/>
        <w:rPr>
          <w:rFonts w:eastAsia="Times New Roman" w:cs="Arial"/>
          <w:sz w:val="28"/>
          <w:szCs w:val="24"/>
        </w:rPr>
      </w:pPr>
      <w:r w:rsidRPr="00B41857">
        <w:rPr>
          <w:rFonts w:eastAsia="Times New Roman" w:cs="Arial"/>
          <w:i/>
          <w:iCs/>
          <w:color w:val="000000"/>
          <w:szCs w:val="20"/>
          <w:lang w:eastAsia="bg-BG"/>
        </w:rPr>
        <w:t>Описание на избрани нежелани реакции</w:t>
      </w:r>
    </w:p>
    <w:p w14:paraId="7FC363E7" w14:textId="77777777" w:rsidR="00B41857" w:rsidRPr="00B41857" w:rsidRDefault="00B41857" w:rsidP="00B41857">
      <w:pPr>
        <w:spacing w:line="240" w:lineRule="auto"/>
        <w:rPr>
          <w:rFonts w:eastAsia="Times New Roman" w:cs="Arial"/>
          <w:sz w:val="28"/>
          <w:szCs w:val="24"/>
        </w:rPr>
      </w:pPr>
      <w:r w:rsidRPr="00B41857">
        <w:rPr>
          <w:rFonts w:eastAsia="Times New Roman" w:cs="Arial"/>
          <w:color w:val="000000"/>
          <w:szCs w:val="20"/>
          <w:lang w:eastAsia="bg-BG"/>
        </w:rPr>
        <w:t xml:space="preserve">При контролираните клинични изпитвания, при които вилдаглиптин 50 </w:t>
      </w:r>
      <w:r w:rsidRPr="00B41857">
        <w:rPr>
          <w:rFonts w:eastAsia="Times New Roman" w:cs="Arial"/>
          <w:color w:val="000000"/>
          <w:szCs w:val="20"/>
          <w:lang w:val="en-US"/>
        </w:rPr>
        <w:t>mg</w:t>
      </w:r>
      <w:r w:rsidRPr="00B41857">
        <w:rPr>
          <w:rFonts w:eastAsia="Times New Roman" w:cs="Arial"/>
          <w:color w:val="000000"/>
          <w:szCs w:val="20"/>
          <w:lang w:val="ru-RU"/>
        </w:rPr>
        <w:t xml:space="preserve"> </w:t>
      </w:r>
      <w:r w:rsidRPr="00B41857">
        <w:rPr>
          <w:rFonts w:eastAsia="Times New Roman" w:cs="Arial"/>
          <w:color w:val="000000"/>
          <w:szCs w:val="20"/>
          <w:lang w:eastAsia="bg-BG"/>
        </w:rPr>
        <w:t>два пъти дневно е прилаган в комбинация с инсулин, със или без съпътстващ метформин, общата честота на преустановяване на лечението поради нежелани реакции е била 0,3% в групата на вилдаглиптин, а в групата на плацебо няма случаи на преустановяване на лечението.</w:t>
      </w:r>
    </w:p>
    <w:p w14:paraId="6428D4C6" w14:textId="77777777" w:rsidR="00B41857" w:rsidRPr="00B41857" w:rsidRDefault="00B41857" w:rsidP="00B41857">
      <w:pPr>
        <w:rPr>
          <w:rFonts w:eastAsia="Times New Roman" w:cs="Arial"/>
          <w:color w:val="000000"/>
          <w:szCs w:val="20"/>
          <w:lang w:eastAsia="bg-BG"/>
        </w:rPr>
      </w:pPr>
    </w:p>
    <w:p w14:paraId="7727A276" w14:textId="63B04EBE" w:rsidR="00B41857" w:rsidRPr="00B41857" w:rsidRDefault="00B41857" w:rsidP="00B41857">
      <w:pPr>
        <w:rPr>
          <w:rFonts w:eastAsia="Times New Roman" w:cs="Arial"/>
          <w:color w:val="000000"/>
          <w:szCs w:val="20"/>
          <w:lang w:eastAsia="bg-BG"/>
        </w:rPr>
      </w:pPr>
      <w:r w:rsidRPr="00B41857">
        <w:rPr>
          <w:rFonts w:eastAsia="Times New Roman" w:cs="Arial"/>
          <w:color w:val="000000"/>
          <w:szCs w:val="20"/>
          <w:lang w:eastAsia="bg-BG"/>
        </w:rPr>
        <w:lastRenderedPageBreak/>
        <w:t>Честотата на хипогликемия е била сходна в двете групи (14,0% в групата на вилдаглиптин срещу 16,4% в плацебо групата). Двама пациенти са съобщили сериозни хипогликемични събития в групата на вилдаглиптин и 6 пациенти в плацебо групата.</w:t>
      </w:r>
    </w:p>
    <w:p w14:paraId="7DC9B752" w14:textId="3E8ABEFF" w:rsidR="00B41857" w:rsidRPr="00B41857" w:rsidRDefault="00B41857" w:rsidP="00B41857">
      <w:pPr>
        <w:rPr>
          <w:rFonts w:eastAsia="Times New Roman" w:cs="Arial"/>
          <w:color w:val="000000"/>
          <w:szCs w:val="20"/>
          <w:lang w:eastAsia="bg-BG"/>
        </w:rPr>
      </w:pPr>
    </w:p>
    <w:p w14:paraId="6E545FA2" w14:textId="77777777" w:rsidR="00B41857" w:rsidRPr="00B41857" w:rsidRDefault="00B41857" w:rsidP="00B41857">
      <w:pPr>
        <w:spacing w:line="240" w:lineRule="auto"/>
        <w:rPr>
          <w:rFonts w:eastAsia="Times New Roman" w:cs="Arial"/>
          <w:sz w:val="28"/>
          <w:szCs w:val="24"/>
        </w:rPr>
      </w:pPr>
      <w:r w:rsidRPr="00B41857">
        <w:rPr>
          <w:rFonts w:eastAsia="Times New Roman" w:cs="Arial"/>
          <w:color w:val="000000"/>
          <w:szCs w:val="20"/>
          <w:lang w:eastAsia="bg-BG"/>
        </w:rPr>
        <w:t xml:space="preserve">В края на проучването ефектът върху средното телесно тегло е бил неутрален (+0,6 </w:t>
      </w:r>
      <w:r w:rsidRPr="00B41857">
        <w:rPr>
          <w:rFonts w:eastAsia="Times New Roman" w:cs="Arial"/>
          <w:color w:val="000000"/>
          <w:szCs w:val="20"/>
          <w:lang w:val="en-US"/>
        </w:rPr>
        <w:t>kg</w:t>
      </w:r>
      <w:r w:rsidRPr="00B41857">
        <w:rPr>
          <w:rFonts w:eastAsia="Times New Roman" w:cs="Arial"/>
          <w:color w:val="000000"/>
          <w:szCs w:val="20"/>
          <w:lang w:val="ru-RU"/>
        </w:rPr>
        <w:t xml:space="preserve"> </w:t>
      </w:r>
      <w:r w:rsidRPr="00B41857">
        <w:rPr>
          <w:rFonts w:eastAsia="Times New Roman" w:cs="Arial"/>
          <w:color w:val="000000"/>
          <w:szCs w:val="20"/>
          <w:lang w:eastAsia="bg-BG"/>
        </w:rPr>
        <w:t>промяна спрямо изходните стойности в групата на вилдаглиптин и без промяна в плацебо групата).</w:t>
      </w:r>
    </w:p>
    <w:p w14:paraId="40ED713F" w14:textId="77777777" w:rsidR="00B41857" w:rsidRPr="00B41857" w:rsidRDefault="00B41857" w:rsidP="00B41857">
      <w:pPr>
        <w:spacing w:line="240" w:lineRule="auto"/>
        <w:rPr>
          <w:rFonts w:eastAsia="Times New Roman" w:cs="Arial"/>
          <w:color w:val="000000"/>
          <w:szCs w:val="20"/>
          <w:u w:val="single"/>
          <w:lang w:eastAsia="bg-BG"/>
        </w:rPr>
      </w:pPr>
    </w:p>
    <w:p w14:paraId="35E5B3A7" w14:textId="07A0DA90" w:rsidR="00B41857" w:rsidRPr="00B41857" w:rsidRDefault="00B41857" w:rsidP="00B41857">
      <w:pPr>
        <w:spacing w:line="240" w:lineRule="auto"/>
        <w:rPr>
          <w:rFonts w:eastAsia="Times New Roman" w:cs="Arial"/>
          <w:sz w:val="28"/>
          <w:szCs w:val="24"/>
        </w:rPr>
      </w:pPr>
      <w:r w:rsidRPr="00B41857">
        <w:rPr>
          <w:rFonts w:eastAsia="Times New Roman" w:cs="Arial"/>
          <w:color w:val="000000"/>
          <w:szCs w:val="20"/>
          <w:u w:val="single"/>
          <w:lang w:eastAsia="bg-BG"/>
        </w:rPr>
        <w:t>Постмаркетингов опит</w:t>
      </w:r>
    </w:p>
    <w:p w14:paraId="4829D36D" w14:textId="77777777" w:rsidR="00B41857" w:rsidRPr="00B41857" w:rsidRDefault="00B41857" w:rsidP="00B41857">
      <w:pPr>
        <w:spacing w:line="240" w:lineRule="auto"/>
        <w:rPr>
          <w:rFonts w:eastAsia="Times New Roman" w:cs="Arial"/>
          <w:sz w:val="28"/>
          <w:szCs w:val="24"/>
        </w:rPr>
      </w:pPr>
      <w:r w:rsidRPr="00B41857">
        <w:rPr>
          <w:rFonts w:eastAsia="Times New Roman" w:cs="Arial"/>
          <w:color w:val="000000"/>
          <w:szCs w:val="20"/>
          <w:lang w:eastAsia="bg-BG"/>
        </w:rPr>
        <w:t>Таблица 7 - Нежелани реакции от постмаркетинговия опит</w:t>
      </w:r>
    </w:p>
    <w:tbl>
      <w:tblPr>
        <w:tblStyle w:val="TableGrid"/>
        <w:tblW w:w="0" w:type="auto"/>
        <w:tblLook w:val="04A0" w:firstRow="1" w:lastRow="0" w:firstColumn="1" w:lastColumn="0" w:noHBand="0" w:noVBand="1"/>
      </w:tblPr>
      <w:tblGrid>
        <w:gridCol w:w="3124"/>
        <w:gridCol w:w="3097"/>
        <w:gridCol w:w="3129"/>
      </w:tblGrid>
      <w:tr w:rsidR="00A55E67" w14:paraId="2C73F5E7" w14:textId="77777777" w:rsidTr="00A55E67">
        <w:tc>
          <w:tcPr>
            <w:tcW w:w="3192" w:type="dxa"/>
          </w:tcPr>
          <w:p w14:paraId="4DB698B0" w14:textId="224E880A" w:rsidR="00A55E67" w:rsidRPr="00A55E67" w:rsidRDefault="00A55E67" w:rsidP="00A55E67">
            <w:pPr>
              <w:rPr>
                <w:rFonts w:cs="Arial"/>
              </w:rPr>
            </w:pPr>
            <w:r w:rsidRPr="00A55E67">
              <w:rPr>
                <w:b/>
                <w:bCs/>
                <w:szCs w:val="20"/>
              </w:rPr>
              <w:t>Система орган клас</w:t>
            </w:r>
          </w:p>
        </w:tc>
        <w:tc>
          <w:tcPr>
            <w:tcW w:w="3192" w:type="dxa"/>
          </w:tcPr>
          <w:p w14:paraId="710C7825" w14:textId="39C5A034" w:rsidR="00A55E67" w:rsidRPr="00A55E67" w:rsidRDefault="00A55E67" w:rsidP="00A55E67">
            <w:pPr>
              <w:rPr>
                <w:rFonts w:cs="Arial"/>
              </w:rPr>
            </w:pPr>
            <w:r w:rsidRPr="00A55E67">
              <w:rPr>
                <w:b/>
                <w:bCs/>
                <w:szCs w:val="20"/>
              </w:rPr>
              <w:t>Честота</w:t>
            </w:r>
          </w:p>
        </w:tc>
        <w:tc>
          <w:tcPr>
            <w:tcW w:w="3192" w:type="dxa"/>
          </w:tcPr>
          <w:p w14:paraId="066A05FA" w14:textId="6D9FCA0C" w:rsidR="00A55E67" w:rsidRPr="00A55E67" w:rsidRDefault="00A55E67" w:rsidP="00A55E67">
            <w:pPr>
              <w:rPr>
                <w:rFonts w:cs="Arial"/>
              </w:rPr>
            </w:pPr>
            <w:r w:rsidRPr="00A55E67">
              <w:rPr>
                <w:b/>
                <w:bCs/>
                <w:szCs w:val="20"/>
              </w:rPr>
              <w:t>Нежелани реакция</w:t>
            </w:r>
          </w:p>
        </w:tc>
      </w:tr>
      <w:tr w:rsidR="00A55E67" w14:paraId="6766590C" w14:textId="77777777" w:rsidTr="00A55E67">
        <w:tc>
          <w:tcPr>
            <w:tcW w:w="3192" w:type="dxa"/>
          </w:tcPr>
          <w:p w14:paraId="77AD6D97" w14:textId="2617226D" w:rsidR="00A55E67" w:rsidRPr="00A55E67" w:rsidRDefault="00A55E67" w:rsidP="00A55E67">
            <w:pPr>
              <w:rPr>
                <w:rFonts w:cs="Arial"/>
              </w:rPr>
            </w:pPr>
            <w:r w:rsidRPr="00A55E67">
              <w:rPr>
                <w:szCs w:val="20"/>
              </w:rPr>
              <w:t>Стомашно-чревни нарушения</w:t>
            </w:r>
          </w:p>
        </w:tc>
        <w:tc>
          <w:tcPr>
            <w:tcW w:w="3192" w:type="dxa"/>
          </w:tcPr>
          <w:p w14:paraId="53522F6B" w14:textId="60907102" w:rsidR="00A55E67" w:rsidRPr="00A55E67" w:rsidRDefault="00A55E67" w:rsidP="00A55E67">
            <w:pPr>
              <w:rPr>
                <w:rFonts w:cs="Arial"/>
              </w:rPr>
            </w:pPr>
            <w:r w:rsidRPr="00A55E67">
              <w:rPr>
                <w:szCs w:val="20"/>
              </w:rPr>
              <w:t>С неизвестна честота</w:t>
            </w:r>
          </w:p>
        </w:tc>
        <w:tc>
          <w:tcPr>
            <w:tcW w:w="3192" w:type="dxa"/>
          </w:tcPr>
          <w:p w14:paraId="12F1F590" w14:textId="204C4986" w:rsidR="00A55E67" w:rsidRPr="00A55E67" w:rsidRDefault="00A55E67" w:rsidP="00A55E67">
            <w:pPr>
              <w:rPr>
                <w:rFonts w:cs="Arial"/>
              </w:rPr>
            </w:pPr>
            <w:r w:rsidRPr="00A55E67">
              <w:rPr>
                <w:szCs w:val="20"/>
              </w:rPr>
              <w:t>Панкреатит</w:t>
            </w:r>
          </w:p>
        </w:tc>
      </w:tr>
      <w:tr w:rsidR="00A55E67" w14:paraId="3EB590AF" w14:textId="77777777" w:rsidTr="00A55E67">
        <w:tc>
          <w:tcPr>
            <w:tcW w:w="3192" w:type="dxa"/>
            <w:vMerge w:val="restart"/>
          </w:tcPr>
          <w:p w14:paraId="5C7302FD" w14:textId="29AD4D75" w:rsidR="00A55E67" w:rsidRPr="00A55E67" w:rsidRDefault="00A55E67" w:rsidP="00A55E67">
            <w:pPr>
              <w:rPr>
                <w:rFonts w:cs="Arial"/>
              </w:rPr>
            </w:pPr>
            <w:r w:rsidRPr="00A55E67">
              <w:rPr>
                <w:szCs w:val="20"/>
              </w:rPr>
              <w:t>Чернодробни нарушения</w:t>
            </w:r>
          </w:p>
        </w:tc>
        <w:tc>
          <w:tcPr>
            <w:tcW w:w="3192" w:type="dxa"/>
          </w:tcPr>
          <w:p w14:paraId="434697C0" w14:textId="788148AF" w:rsidR="00A55E67" w:rsidRPr="00A55E67" w:rsidRDefault="00A55E67" w:rsidP="00A55E67">
            <w:pPr>
              <w:rPr>
                <w:rFonts w:cs="Arial"/>
              </w:rPr>
            </w:pPr>
            <w:r w:rsidRPr="00A55E67">
              <w:rPr>
                <w:szCs w:val="20"/>
              </w:rPr>
              <w:t>С неизвестна честота</w:t>
            </w:r>
          </w:p>
        </w:tc>
        <w:tc>
          <w:tcPr>
            <w:tcW w:w="3192" w:type="dxa"/>
          </w:tcPr>
          <w:p w14:paraId="0638738D" w14:textId="12CE50D9" w:rsidR="00A55E67" w:rsidRPr="00A55E67" w:rsidRDefault="00A55E67" w:rsidP="00A55E67">
            <w:pPr>
              <w:rPr>
                <w:rFonts w:cs="Arial"/>
              </w:rPr>
            </w:pPr>
            <w:r w:rsidRPr="00A55E67">
              <w:rPr>
                <w:szCs w:val="20"/>
              </w:rPr>
              <w:t>Хепатит (обратим при преустановяване на лекарствения продукт)</w:t>
            </w:r>
          </w:p>
        </w:tc>
      </w:tr>
      <w:tr w:rsidR="00A55E67" w14:paraId="2DC1C5AB" w14:textId="77777777" w:rsidTr="00A55E67">
        <w:tc>
          <w:tcPr>
            <w:tcW w:w="3192" w:type="dxa"/>
            <w:vMerge/>
          </w:tcPr>
          <w:p w14:paraId="567C66B6" w14:textId="77777777" w:rsidR="00A55E67" w:rsidRPr="00A55E67" w:rsidRDefault="00A55E67" w:rsidP="00A55E67">
            <w:pPr>
              <w:rPr>
                <w:rFonts w:cs="Arial"/>
              </w:rPr>
            </w:pPr>
          </w:p>
        </w:tc>
        <w:tc>
          <w:tcPr>
            <w:tcW w:w="3192" w:type="dxa"/>
          </w:tcPr>
          <w:p w14:paraId="7D7D257C" w14:textId="10003E45" w:rsidR="00A55E67" w:rsidRPr="00A55E67" w:rsidRDefault="00A55E67" w:rsidP="00A55E67">
            <w:pPr>
              <w:rPr>
                <w:rFonts w:cs="Arial"/>
              </w:rPr>
            </w:pPr>
            <w:r w:rsidRPr="00A55E67">
              <w:rPr>
                <w:szCs w:val="20"/>
              </w:rPr>
              <w:t>С неизвестна честота</w:t>
            </w:r>
          </w:p>
        </w:tc>
        <w:tc>
          <w:tcPr>
            <w:tcW w:w="3192" w:type="dxa"/>
          </w:tcPr>
          <w:p w14:paraId="4514104A" w14:textId="7461A1B3" w:rsidR="00A55E67" w:rsidRPr="00A55E67" w:rsidRDefault="00A55E67" w:rsidP="00A55E67">
            <w:pPr>
              <w:rPr>
                <w:rFonts w:cs="Arial"/>
              </w:rPr>
            </w:pPr>
            <w:r w:rsidRPr="00A55E67">
              <w:rPr>
                <w:szCs w:val="20"/>
              </w:rPr>
              <w:t>Отклонения от чернодробните функционални изследвания (обратими при преустановяване на лекарствения продукт)</w:t>
            </w:r>
          </w:p>
        </w:tc>
      </w:tr>
      <w:tr w:rsidR="00A55E67" w14:paraId="71277AF4" w14:textId="77777777" w:rsidTr="00A55E67">
        <w:tc>
          <w:tcPr>
            <w:tcW w:w="3192" w:type="dxa"/>
          </w:tcPr>
          <w:p w14:paraId="7DC90257" w14:textId="6085388D" w:rsidR="00A55E67" w:rsidRPr="00A55E67" w:rsidRDefault="00A55E67" w:rsidP="00A55E67">
            <w:pPr>
              <w:rPr>
                <w:rFonts w:cs="Arial"/>
              </w:rPr>
            </w:pPr>
            <w:r w:rsidRPr="00A55E67">
              <w:rPr>
                <w:szCs w:val="20"/>
              </w:rPr>
              <w:t>Нарушения на мускулно- скелетната система и съединителната тъкан</w:t>
            </w:r>
          </w:p>
        </w:tc>
        <w:tc>
          <w:tcPr>
            <w:tcW w:w="3192" w:type="dxa"/>
          </w:tcPr>
          <w:p w14:paraId="236BBFEA" w14:textId="71D7620B" w:rsidR="00A55E67" w:rsidRPr="00A55E67" w:rsidRDefault="00A55E67" w:rsidP="00A55E67">
            <w:pPr>
              <w:rPr>
                <w:rFonts w:cs="Arial"/>
              </w:rPr>
            </w:pPr>
            <w:r w:rsidRPr="00A55E67">
              <w:rPr>
                <w:szCs w:val="20"/>
              </w:rPr>
              <w:t>С неизвестна честота</w:t>
            </w:r>
          </w:p>
        </w:tc>
        <w:tc>
          <w:tcPr>
            <w:tcW w:w="3192" w:type="dxa"/>
          </w:tcPr>
          <w:p w14:paraId="77AE34AB" w14:textId="6ED9449E" w:rsidR="00A55E67" w:rsidRPr="00A55E67" w:rsidRDefault="00A55E67" w:rsidP="00A55E67">
            <w:pPr>
              <w:rPr>
                <w:rFonts w:cs="Arial"/>
              </w:rPr>
            </w:pPr>
            <w:r w:rsidRPr="00A55E67">
              <w:rPr>
                <w:szCs w:val="20"/>
              </w:rPr>
              <w:t>Миалгия</w:t>
            </w:r>
          </w:p>
        </w:tc>
      </w:tr>
      <w:tr w:rsidR="00A55E67" w14:paraId="1C0A9CA2" w14:textId="77777777" w:rsidTr="00A55E67">
        <w:tc>
          <w:tcPr>
            <w:tcW w:w="3192" w:type="dxa"/>
            <w:vMerge w:val="restart"/>
          </w:tcPr>
          <w:p w14:paraId="12A4E625" w14:textId="202A4EB9" w:rsidR="00A55E67" w:rsidRPr="00A55E67" w:rsidRDefault="00A55E67" w:rsidP="00A55E67">
            <w:pPr>
              <w:rPr>
                <w:rFonts w:cs="Arial"/>
              </w:rPr>
            </w:pPr>
            <w:r w:rsidRPr="00A55E67">
              <w:rPr>
                <w:szCs w:val="20"/>
              </w:rPr>
              <w:t>Нарушения на кожата и подкожната тъкан</w:t>
            </w:r>
          </w:p>
        </w:tc>
        <w:tc>
          <w:tcPr>
            <w:tcW w:w="3192" w:type="dxa"/>
          </w:tcPr>
          <w:p w14:paraId="5B1DC486" w14:textId="121AC349" w:rsidR="00A55E67" w:rsidRPr="00A55E67" w:rsidRDefault="00A55E67" w:rsidP="00A55E67">
            <w:pPr>
              <w:rPr>
                <w:rFonts w:cs="Arial"/>
              </w:rPr>
            </w:pPr>
            <w:r w:rsidRPr="00A55E67">
              <w:rPr>
                <w:szCs w:val="20"/>
              </w:rPr>
              <w:t>С неизвестна честота</w:t>
            </w:r>
          </w:p>
        </w:tc>
        <w:tc>
          <w:tcPr>
            <w:tcW w:w="3192" w:type="dxa"/>
          </w:tcPr>
          <w:p w14:paraId="20093388" w14:textId="27C28437" w:rsidR="00A55E67" w:rsidRPr="00A55E67" w:rsidRDefault="00A55E67" w:rsidP="00A55E67">
            <w:pPr>
              <w:rPr>
                <w:rFonts w:cs="Arial"/>
              </w:rPr>
            </w:pPr>
            <w:r w:rsidRPr="00A55E67">
              <w:rPr>
                <w:szCs w:val="20"/>
              </w:rPr>
              <w:t>Уртикария</w:t>
            </w:r>
          </w:p>
        </w:tc>
      </w:tr>
      <w:tr w:rsidR="00A55E67" w14:paraId="293DE9E6" w14:textId="77777777" w:rsidTr="00A55E67">
        <w:tc>
          <w:tcPr>
            <w:tcW w:w="3192" w:type="dxa"/>
            <w:vMerge/>
          </w:tcPr>
          <w:p w14:paraId="5E27BD7B" w14:textId="77777777" w:rsidR="00A55E67" w:rsidRPr="00A55E67" w:rsidRDefault="00A55E67" w:rsidP="00A55E67">
            <w:pPr>
              <w:rPr>
                <w:rFonts w:cs="Arial"/>
              </w:rPr>
            </w:pPr>
          </w:p>
        </w:tc>
        <w:tc>
          <w:tcPr>
            <w:tcW w:w="3192" w:type="dxa"/>
          </w:tcPr>
          <w:p w14:paraId="359CEE3A" w14:textId="6C56EA66" w:rsidR="00A55E67" w:rsidRPr="00A55E67" w:rsidRDefault="00A55E67" w:rsidP="00A55E67">
            <w:pPr>
              <w:rPr>
                <w:rFonts w:cs="Arial"/>
              </w:rPr>
            </w:pPr>
            <w:r w:rsidRPr="00A55E67">
              <w:rPr>
                <w:szCs w:val="20"/>
              </w:rPr>
              <w:t>С неизвестна честота</w:t>
            </w:r>
          </w:p>
        </w:tc>
        <w:tc>
          <w:tcPr>
            <w:tcW w:w="3192" w:type="dxa"/>
          </w:tcPr>
          <w:p w14:paraId="606BF90A" w14:textId="5D6B42A4" w:rsidR="00A55E67" w:rsidRPr="00A55E67" w:rsidRDefault="00A55E67" w:rsidP="00A55E67">
            <w:pPr>
              <w:rPr>
                <w:rFonts w:cs="Arial"/>
              </w:rPr>
            </w:pPr>
            <w:r w:rsidRPr="00A55E67">
              <w:rPr>
                <w:szCs w:val="20"/>
              </w:rPr>
              <w:t>Ексфолиативни и булозни кожни лезии, включително булозен пемфигоид</w:t>
            </w:r>
          </w:p>
        </w:tc>
      </w:tr>
    </w:tbl>
    <w:p w14:paraId="6BCE205D" w14:textId="76E86385" w:rsidR="00B41857" w:rsidRDefault="00B41857" w:rsidP="00B41857">
      <w:pPr>
        <w:rPr>
          <w:rFonts w:cs="Arial"/>
          <w:sz w:val="24"/>
        </w:rPr>
      </w:pPr>
    </w:p>
    <w:p w14:paraId="0D6822CC" w14:textId="77777777" w:rsidR="00A55E67" w:rsidRPr="00A55E67" w:rsidRDefault="00A55E67" w:rsidP="00A55E67">
      <w:pPr>
        <w:spacing w:line="240" w:lineRule="auto"/>
        <w:rPr>
          <w:rFonts w:eastAsia="Times New Roman" w:cs="Arial"/>
        </w:rPr>
      </w:pPr>
      <w:r w:rsidRPr="00A55E67">
        <w:rPr>
          <w:rFonts w:eastAsia="Times New Roman" w:cs="Arial"/>
          <w:color w:val="000000"/>
          <w:u w:val="single"/>
          <w:lang w:eastAsia="bg-BG"/>
        </w:rPr>
        <w:t>Съобщаване на подозирани нежелани реакции</w:t>
      </w:r>
    </w:p>
    <w:p w14:paraId="6F0BB3AA" w14:textId="77777777" w:rsidR="00A55E67" w:rsidRPr="00A55E67" w:rsidRDefault="00A55E67" w:rsidP="00A55E67">
      <w:pPr>
        <w:spacing w:line="240" w:lineRule="auto"/>
        <w:rPr>
          <w:rFonts w:eastAsia="Times New Roman" w:cs="Arial"/>
        </w:rPr>
      </w:pPr>
      <w:r w:rsidRPr="00A55E67">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2EF86C82" w14:textId="77777777" w:rsidR="00A55E67" w:rsidRPr="00A55E67" w:rsidRDefault="00A55E67" w:rsidP="00A55E67">
      <w:pPr>
        <w:spacing w:line="240" w:lineRule="auto"/>
        <w:rPr>
          <w:rFonts w:eastAsia="Times New Roman" w:cs="Arial"/>
        </w:rPr>
      </w:pPr>
      <w:r w:rsidRPr="00A55E67">
        <w:rPr>
          <w:rFonts w:eastAsia="Times New Roman" w:cs="Arial"/>
          <w:color w:val="000000"/>
          <w:lang w:eastAsia="bg-BG"/>
        </w:rPr>
        <w:t>Изпълнителна агенция по лекарствата</w:t>
      </w:r>
    </w:p>
    <w:p w14:paraId="0B677280" w14:textId="77777777" w:rsidR="00A55E67" w:rsidRPr="00A55E67" w:rsidRDefault="00A55E67" w:rsidP="00A55E67">
      <w:pPr>
        <w:spacing w:line="240" w:lineRule="auto"/>
        <w:rPr>
          <w:rFonts w:eastAsia="Times New Roman" w:cs="Arial"/>
        </w:rPr>
      </w:pPr>
      <w:r w:rsidRPr="00A55E67">
        <w:rPr>
          <w:rFonts w:eastAsia="Times New Roman" w:cs="Arial"/>
          <w:color w:val="000000"/>
          <w:lang w:eastAsia="bg-BG"/>
        </w:rPr>
        <w:t>ул.,Дамян Груев” № 8,</w:t>
      </w:r>
    </w:p>
    <w:p w14:paraId="1AA03F9D" w14:textId="77777777" w:rsidR="00A55E67" w:rsidRPr="00A55E67" w:rsidRDefault="00A55E67" w:rsidP="00A55E67">
      <w:pPr>
        <w:spacing w:line="240" w:lineRule="auto"/>
        <w:rPr>
          <w:rFonts w:eastAsia="Times New Roman" w:cs="Arial"/>
        </w:rPr>
      </w:pPr>
      <w:r w:rsidRPr="00A55E67">
        <w:rPr>
          <w:rFonts w:eastAsia="Times New Roman" w:cs="Arial"/>
          <w:color w:val="000000"/>
          <w:lang w:eastAsia="bg-BG"/>
        </w:rPr>
        <w:t>1303 София,</w:t>
      </w:r>
    </w:p>
    <w:p w14:paraId="10B53CD6" w14:textId="77777777" w:rsidR="00A55E67" w:rsidRPr="00A55E67" w:rsidRDefault="00A55E67" w:rsidP="00A55E67">
      <w:pPr>
        <w:spacing w:line="240" w:lineRule="auto"/>
        <w:rPr>
          <w:rFonts w:eastAsia="Times New Roman" w:cs="Arial"/>
        </w:rPr>
      </w:pPr>
      <w:r w:rsidRPr="00A55E67">
        <w:rPr>
          <w:rFonts w:eastAsia="Times New Roman" w:cs="Arial"/>
          <w:color w:val="000000"/>
          <w:lang w:eastAsia="bg-BG"/>
        </w:rPr>
        <w:t>Тел.: +359 2 8903417</w:t>
      </w:r>
    </w:p>
    <w:p w14:paraId="2B9B2683" w14:textId="0849F24C" w:rsidR="00A55E67" w:rsidRDefault="00A55E67" w:rsidP="00A55E67">
      <w:pPr>
        <w:spacing w:line="240" w:lineRule="auto"/>
        <w:rPr>
          <w:rFonts w:eastAsia="Times New Roman" w:cs="Arial"/>
        </w:rPr>
      </w:pPr>
      <w:r w:rsidRPr="00A55E67">
        <w:rPr>
          <w:rFonts w:eastAsia="Times New Roman" w:cs="Arial"/>
          <w:color w:val="000000"/>
          <w:lang w:eastAsia="bg-BG"/>
        </w:rPr>
        <w:t xml:space="preserve">уебсайт: </w:t>
      </w:r>
      <w:r w:rsidRPr="00A55E67">
        <w:rPr>
          <w:rFonts w:eastAsia="Times New Roman" w:cs="Arial"/>
        </w:rPr>
        <w:fldChar w:fldCharType="begin"/>
      </w:r>
      <w:r w:rsidRPr="00A55E67">
        <w:rPr>
          <w:rFonts w:eastAsia="Times New Roman" w:cs="Arial"/>
        </w:rPr>
        <w:instrText xml:space="preserve"> HYPERLINK "http://www.bda.bg" </w:instrText>
      </w:r>
      <w:r w:rsidRPr="00A55E67">
        <w:rPr>
          <w:rFonts w:eastAsia="Times New Roman" w:cs="Arial"/>
        </w:rPr>
      </w:r>
      <w:r w:rsidRPr="00A55E67">
        <w:rPr>
          <w:rFonts w:eastAsia="Times New Roman" w:cs="Arial"/>
        </w:rPr>
        <w:fldChar w:fldCharType="separate"/>
      </w:r>
      <w:r w:rsidRPr="00A55E67">
        <w:rPr>
          <w:rFonts w:eastAsia="Times New Roman" w:cs="Arial"/>
          <w:color w:val="000000"/>
          <w:u w:val="single"/>
          <w:lang w:val="en-US"/>
        </w:rPr>
        <w:t>www</w:t>
      </w:r>
      <w:r w:rsidRPr="00A55E67">
        <w:rPr>
          <w:rFonts w:eastAsia="Times New Roman" w:cs="Arial"/>
          <w:color w:val="000000"/>
          <w:u w:val="single"/>
          <w:lang w:val="ru-RU"/>
        </w:rPr>
        <w:t>.</w:t>
      </w:r>
      <w:proofErr w:type="spellStart"/>
      <w:r w:rsidRPr="00A55E67">
        <w:rPr>
          <w:rFonts w:eastAsia="Times New Roman" w:cs="Arial"/>
          <w:color w:val="000000"/>
          <w:u w:val="single"/>
          <w:lang w:val="en-US"/>
        </w:rPr>
        <w:t>bda</w:t>
      </w:r>
      <w:proofErr w:type="spellEnd"/>
      <w:r w:rsidRPr="00A55E67">
        <w:rPr>
          <w:rFonts w:eastAsia="Times New Roman" w:cs="Arial"/>
          <w:color w:val="000000"/>
          <w:u w:val="single"/>
          <w:lang w:val="ru-RU"/>
        </w:rPr>
        <w:t>.</w:t>
      </w:r>
      <w:proofErr w:type="spellStart"/>
      <w:r w:rsidRPr="00A55E67">
        <w:rPr>
          <w:rFonts w:eastAsia="Times New Roman" w:cs="Arial"/>
          <w:color w:val="000000"/>
          <w:u w:val="single"/>
          <w:lang w:val="en-US"/>
        </w:rPr>
        <w:t>bg</w:t>
      </w:r>
      <w:proofErr w:type="spellEnd"/>
      <w:r w:rsidRPr="00A55E67">
        <w:rPr>
          <w:rFonts w:eastAsia="Times New Roman" w:cs="Arial"/>
        </w:rPr>
        <w:fldChar w:fldCharType="end"/>
      </w:r>
    </w:p>
    <w:p w14:paraId="17E105E2" w14:textId="77777777" w:rsidR="00A55E67" w:rsidRPr="00A55E67" w:rsidRDefault="00A55E67" w:rsidP="00A55E67">
      <w:pPr>
        <w:spacing w:line="240" w:lineRule="auto"/>
        <w:rPr>
          <w:rFonts w:eastAsia="Times New Roman" w:cs="Arial"/>
        </w:rPr>
      </w:pPr>
    </w:p>
    <w:p w14:paraId="5A87DBA3" w14:textId="6A0397B8" w:rsidR="007122AD" w:rsidRDefault="002C50EE" w:rsidP="00936AD0">
      <w:pPr>
        <w:pStyle w:val="Heading2"/>
      </w:pPr>
      <w:r>
        <w:t>4.9. Предозиране</w:t>
      </w:r>
    </w:p>
    <w:p w14:paraId="26E05C84" w14:textId="77777777" w:rsidR="00A55E67" w:rsidRPr="00A55E67" w:rsidRDefault="00A55E67" w:rsidP="00A55E67"/>
    <w:p w14:paraId="7B232B1F" w14:textId="77777777"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Информацията по отношение на предозиране с вилдаглиптин е ограничена.</w:t>
      </w:r>
    </w:p>
    <w:p w14:paraId="66EB49A1" w14:textId="77777777" w:rsidR="00A55E67" w:rsidRPr="00A55E67" w:rsidRDefault="00A55E67" w:rsidP="00A55E67">
      <w:pPr>
        <w:spacing w:line="240" w:lineRule="auto"/>
        <w:rPr>
          <w:rFonts w:eastAsia="Times New Roman" w:cs="Arial"/>
          <w:color w:val="000000"/>
          <w:szCs w:val="20"/>
          <w:u w:val="single"/>
          <w:lang w:eastAsia="bg-BG"/>
        </w:rPr>
      </w:pPr>
    </w:p>
    <w:p w14:paraId="0F3A44B1" w14:textId="0D4D3B5E" w:rsidR="00A55E67" w:rsidRPr="00A55E67" w:rsidRDefault="00A55E67" w:rsidP="00A55E67">
      <w:pPr>
        <w:pStyle w:val="Heading3"/>
        <w:rPr>
          <w:rFonts w:eastAsia="Times New Roman"/>
          <w:sz w:val="28"/>
          <w:u w:val="single"/>
        </w:rPr>
      </w:pPr>
      <w:r w:rsidRPr="00A55E67">
        <w:rPr>
          <w:rFonts w:eastAsia="Times New Roman"/>
          <w:u w:val="single"/>
          <w:lang w:eastAsia="bg-BG"/>
        </w:rPr>
        <w:lastRenderedPageBreak/>
        <w:t>Симптоми</w:t>
      </w:r>
    </w:p>
    <w:p w14:paraId="4969FAAA" w14:textId="77777777"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 xml:space="preserve">Информация за вероятните симптоми при предозиране е получена от изпитване за поносимост на покачваща се доза при здрави субекти, на които е прилаган вилдаглиптин за 10 дни. При доза 400 </w:t>
      </w:r>
      <w:r w:rsidRPr="00A55E67">
        <w:rPr>
          <w:rFonts w:eastAsia="Times New Roman" w:cs="Arial"/>
          <w:color w:val="000000"/>
          <w:szCs w:val="20"/>
          <w:lang w:val="en-US"/>
        </w:rPr>
        <w:t>mg</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има три случая на болка в мускулите и индивидуални случаи на лека до преходна парестезия, треска, оток и преходно повишение в липазните нива. При 600 </w:t>
      </w:r>
      <w:r w:rsidRPr="00A55E67">
        <w:rPr>
          <w:rFonts w:eastAsia="Times New Roman" w:cs="Arial"/>
          <w:color w:val="000000"/>
          <w:szCs w:val="20"/>
          <w:lang w:val="en-US"/>
        </w:rPr>
        <w:t>mg</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един субект е получил оток на краката и ръцете и повишени нива на креатинин фосфокиназата (СРК), аспартат аминотрансферазата </w:t>
      </w:r>
      <w:r w:rsidRPr="00A55E67">
        <w:rPr>
          <w:rFonts w:eastAsia="Times New Roman" w:cs="Arial"/>
          <w:color w:val="000000"/>
          <w:szCs w:val="20"/>
          <w:lang w:val="ru-RU"/>
        </w:rPr>
        <w:t>(</w:t>
      </w:r>
      <w:r w:rsidRPr="00A55E67">
        <w:rPr>
          <w:rFonts w:eastAsia="Times New Roman" w:cs="Arial"/>
          <w:color w:val="000000"/>
          <w:szCs w:val="20"/>
          <w:lang w:val="en-US"/>
        </w:rPr>
        <w:t>AST</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С-реактивния протеин </w:t>
      </w:r>
      <w:r w:rsidRPr="00A55E67">
        <w:rPr>
          <w:rFonts w:eastAsia="Times New Roman" w:cs="Arial"/>
          <w:color w:val="000000"/>
          <w:szCs w:val="20"/>
          <w:lang w:val="ru-RU"/>
        </w:rPr>
        <w:t>(</w:t>
      </w:r>
      <w:r w:rsidRPr="00A55E67">
        <w:rPr>
          <w:rFonts w:eastAsia="Times New Roman" w:cs="Arial"/>
          <w:color w:val="000000"/>
          <w:szCs w:val="20"/>
          <w:lang w:val="en-US"/>
        </w:rPr>
        <w:t>CRP</w:t>
      </w:r>
      <w:r w:rsidRPr="00A55E67">
        <w:rPr>
          <w:rFonts w:eastAsia="Times New Roman" w:cs="Arial"/>
          <w:color w:val="000000"/>
          <w:szCs w:val="20"/>
          <w:lang w:val="ru-RU"/>
        </w:rPr>
        <w:t xml:space="preserve">) </w:t>
      </w:r>
      <w:r w:rsidRPr="00A55E67">
        <w:rPr>
          <w:rFonts w:eastAsia="Times New Roman" w:cs="Arial"/>
          <w:color w:val="000000"/>
          <w:szCs w:val="20"/>
          <w:lang w:eastAsia="bg-BG"/>
        </w:rPr>
        <w:t>и нивата на миоглобин. Трима други пациенти са имали оток на краката, с парестезия при два случая. Всички симптоми и отклонения в лабораторните изследвания са отзвучали без лечение след преустановяване на изпитвания лекарствен продукт.</w:t>
      </w:r>
    </w:p>
    <w:p w14:paraId="752207AD" w14:textId="77777777" w:rsidR="00A55E67" w:rsidRPr="00A55E67" w:rsidRDefault="00A55E67" w:rsidP="00A55E67">
      <w:pPr>
        <w:spacing w:line="240" w:lineRule="auto"/>
        <w:rPr>
          <w:rFonts w:eastAsia="Times New Roman" w:cs="Arial"/>
          <w:color w:val="000000"/>
          <w:szCs w:val="20"/>
          <w:u w:val="single"/>
          <w:lang w:eastAsia="bg-BG"/>
        </w:rPr>
      </w:pPr>
    </w:p>
    <w:p w14:paraId="01C226BA" w14:textId="6B74A670" w:rsidR="00A55E67" w:rsidRPr="00A55E67" w:rsidRDefault="00A55E67" w:rsidP="00A55E67">
      <w:pPr>
        <w:pStyle w:val="Heading3"/>
        <w:rPr>
          <w:rFonts w:eastAsia="Times New Roman"/>
          <w:sz w:val="28"/>
          <w:u w:val="single"/>
        </w:rPr>
      </w:pPr>
      <w:r w:rsidRPr="00A55E67">
        <w:rPr>
          <w:rFonts w:eastAsia="Times New Roman"/>
          <w:u w:val="single"/>
          <w:lang w:eastAsia="bg-BG"/>
        </w:rPr>
        <w:t>Овладяване</w:t>
      </w:r>
    </w:p>
    <w:p w14:paraId="02501E27" w14:textId="322514C3" w:rsidR="00A55E67" w:rsidRPr="00A55E67" w:rsidRDefault="00A55E67" w:rsidP="00A55E67">
      <w:pPr>
        <w:rPr>
          <w:rFonts w:cs="Arial"/>
          <w:sz w:val="24"/>
        </w:rPr>
      </w:pPr>
      <w:r w:rsidRPr="00A55E67">
        <w:rPr>
          <w:rFonts w:eastAsia="Times New Roman" w:cs="Arial"/>
          <w:color w:val="000000"/>
          <w:szCs w:val="20"/>
          <w:lang w:eastAsia="bg-BG"/>
        </w:rPr>
        <w:t>В случай на предозиране се препоръчва поддържащо лечение. Вилдаглиптин не може да бъде отстранен чрез хемодиализа. Въпреки това, главният му метаболит след хидролиза (</w:t>
      </w:r>
      <w:r w:rsidRPr="00A55E67">
        <w:rPr>
          <w:rFonts w:eastAsia="Times New Roman" w:cs="Arial"/>
          <w:color w:val="000000"/>
          <w:szCs w:val="20"/>
          <w:lang w:val="en-US"/>
        </w:rPr>
        <w:t>LAY</w:t>
      </w:r>
      <w:r w:rsidRPr="00A55E67">
        <w:rPr>
          <w:rFonts w:eastAsia="Times New Roman" w:cs="Arial"/>
          <w:color w:val="000000"/>
          <w:szCs w:val="20"/>
          <w:lang w:val="ru-RU"/>
        </w:rPr>
        <w:t xml:space="preserve"> 151)</w:t>
      </w:r>
      <w:r w:rsidRPr="00A55E67">
        <w:rPr>
          <w:rFonts w:eastAsia="Times New Roman" w:cs="Arial"/>
          <w:color w:val="000000"/>
          <w:szCs w:val="20"/>
          <w:lang w:eastAsia="bg-BG"/>
        </w:rPr>
        <w:t xml:space="preserve"> може да бъде отстранен чрез хемодиализа.</w:t>
      </w:r>
    </w:p>
    <w:p w14:paraId="02081B24" w14:textId="1F46E296" w:rsidR="00395555" w:rsidRPr="00395555" w:rsidRDefault="002C50EE" w:rsidP="008A6AF2">
      <w:pPr>
        <w:pStyle w:val="Heading1"/>
      </w:pPr>
      <w:r>
        <w:t>5. ФАРМАКОЛОГИЧНИ СВОЙСТВА</w:t>
      </w:r>
    </w:p>
    <w:p w14:paraId="7DE36AC8" w14:textId="5060FC86" w:rsidR="00B6672E" w:rsidRDefault="002C50EE" w:rsidP="00936AD0">
      <w:pPr>
        <w:pStyle w:val="Heading2"/>
      </w:pPr>
      <w:r>
        <w:t>5.1. Фармакодинамични свойства</w:t>
      </w:r>
    </w:p>
    <w:p w14:paraId="33C48DA0" w14:textId="167A1103" w:rsidR="00A55E67" w:rsidRDefault="00A55E67" w:rsidP="00A55E67"/>
    <w:p w14:paraId="34123C3A" w14:textId="77777777"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Фармакотерапевтична група: Лекарства за лечение на диабет, инхибитори на дипептидил пептидаза 4 </w:t>
      </w:r>
      <w:r w:rsidRPr="00A55E67">
        <w:rPr>
          <w:rFonts w:eastAsia="Times New Roman" w:cs="Arial"/>
          <w:color w:val="000000"/>
          <w:lang w:val="ru-RU"/>
        </w:rPr>
        <w:t>(</w:t>
      </w:r>
      <w:r w:rsidRPr="00A55E67">
        <w:rPr>
          <w:rFonts w:eastAsia="Times New Roman" w:cs="Arial"/>
          <w:color w:val="000000"/>
          <w:lang w:val="en-US"/>
        </w:rPr>
        <w:t>DPP</w:t>
      </w:r>
      <w:r w:rsidRPr="00A55E67">
        <w:rPr>
          <w:rFonts w:eastAsia="Times New Roman" w:cs="Arial"/>
          <w:color w:val="000000"/>
          <w:lang w:val="ru-RU"/>
        </w:rPr>
        <w:t xml:space="preserve">-4), </w:t>
      </w:r>
      <w:r w:rsidRPr="00A55E67">
        <w:rPr>
          <w:rFonts w:eastAsia="Times New Roman" w:cs="Arial"/>
          <w:color w:val="000000"/>
          <w:lang w:eastAsia="bg-BG"/>
        </w:rPr>
        <w:t>АТС код: А10ВН02.</w:t>
      </w:r>
    </w:p>
    <w:p w14:paraId="332AD4AB" w14:textId="77777777" w:rsidR="00A55E67" w:rsidRPr="00A55E67" w:rsidRDefault="00A55E67" w:rsidP="00A55E67">
      <w:pPr>
        <w:spacing w:line="240" w:lineRule="auto"/>
        <w:rPr>
          <w:rFonts w:eastAsia="Times New Roman" w:cs="Arial"/>
          <w:color w:val="000000"/>
          <w:lang w:eastAsia="bg-BG"/>
        </w:rPr>
      </w:pPr>
    </w:p>
    <w:p w14:paraId="3A9D5569" w14:textId="6A5AA9A3"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Вилдаглиптин, като представител на класа лекарствени продукти, стимулиращи лангерхансовите клетки в панкреаса, е мощен и селективен </w:t>
      </w:r>
      <w:r w:rsidRPr="00A55E67">
        <w:rPr>
          <w:rFonts w:eastAsia="Times New Roman" w:cs="Arial"/>
          <w:color w:val="000000"/>
          <w:lang w:val="en-US"/>
        </w:rPr>
        <w:t>DPP</w:t>
      </w:r>
      <w:r w:rsidRPr="00A55E67">
        <w:rPr>
          <w:rFonts w:eastAsia="Times New Roman" w:cs="Arial"/>
          <w:color w:val="000000"/>
          <w:lang w:val="ru-RU"/>
        </w:rPr>
        <w:t xml:space="preserve">-4 </w:t>
      </w:r>
      <w:r w:rsidRPr="00A55E67">
        <w:rPr>
          <w:rFonts w:eastAsia="Times New Roman" w:cs="Arial"/>
          <w:color w:val="000000"/>
          <w:lang w:eastAsia="bg-BG"/>
        </w:rPr>
        <w:t>инхибитор.</w:t>
      </w:r>
    </w:p>
    <w:p w14:paraId="20E22A9C" w14:textId="77777777" w:rsidR="00A55E67" w:rsidRPr="00A55E67" w:rsidRDefault="00A55E67" w:rsidP="00A55E67">
      <w:pPr>
        <w:spacing w:line="240" w:lineRule="auto"/>
        <w:rPr>
          <w:rFonts w:eastAsia="Times New Roman" w:cs="Arial"/>
          <w:color w:val="000000"/>
          <w:u w:val="single"/>
          <w:lang w:eastAsia="bg-BG"/>
        </w:rPr>
      </w:pPr>
    </w:p>
    <w:p w14:paraId="40E27CE7" w14:textId="0D2D60AB" w:rsidR="00A55E67" w:rsidRPr="00A55E67" w:rsidRDefault="00A55E67" w:rsidP="00A55E67">
      <w:pPr>
        <w:spacing w:line="240" w:lineRule="auto"/>
        <w:rPr>
          <w:rFonts w:eastAsia="Times New Roman" w:cs="Arial"/>
        </w:rPr>
      </w:pPr>
      <w:r w:rsidRPr="00A55E67">
        <w:rPr>
          <w:rFonts w:eastAsia="Times New Roman" w:cs="Arial"/>
          <w:color w:val="000000"/>
          <w:u w:val="single"/>
          <w:lang w:eastAsia="bg-BG"/>
        </w:rPr>
        <w:t>Механизъм на действие</w:t>
      </w:r>
    </w:p>
    <w:p w14:paraId="4BDE8900" w14:textId="77777777"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След приложение на вилдаглиптин се наблюдава бързо и пълно инхибиране на </w:t>
      </w:r>
      <w:r w:rsidRPr="00A55E67">
        <w:rPr>
          <w:rFonts w:eastAsia="Times New Roman" w:cs="Arial"/>
          <w:color w:val="000000"/>
          <w:lang w:val="en-US"/>
        </w:rPr>
        <w:t>DPP</w:t>
      </w:r>
      <w:r w:rsidRPr="00A55E67">
        <w:rPr>
          <w:rFonts w:eastAsia="Times New Roman" w:cs="Arial"/>
          <w:color w:val="000000"/>
        </w:rPr>
        <w:t xml:space="preserve">-4 </w:t>
      </w:r>
      <w:r w:rsidRPr="00A55E67">
        <w:rPr>
          <w:rFonts w:eastAsia="Times New Roman" w:cs="Arial"/>
          <w:color w:val="000000"/>
          <w:lang w:eastAsia="bg-BG"/>
        </w:rPr>
        <w:t xml:space="preserve">активността, което има за резултат повишаване на ендогенните нива на инкретиновите хормони </w:t>
      </w:r>
      <w:r w:rsidRPr="00A55E67">
        <w:rPr>
          <w:rFonts w:eastAsia="Times New Roman" w:cs="Arial"/>
          <w:color w:val="000000"/>
          <w:lang w:val="en-US"/>
        </w:rPr>
        <w:t>GLP</w:t>
      </w:r>
      <w:r w:rsidRPr="00A55E67">
        <w:rPr>
          <w:rFonts w:eastAsia="Times New Roman" w:cs="Arial"/>
          <w:color w:val="000000"/>
        </w:rPr>
        <w:t>-1 (</w:t>
      </w:r>
      <w:r w:rsidRPr="00A55E67">
        <w:rPr>
          <w:rFonts w:eastAsia="Times New Roman" w:cs="Arial"/>
          <w:color w:val="000000"/>
          <w:lang w:val="en-US"/>
        </w:rPr>
        <w:t>glucagon</w:t>
      </w:r>
      <w:r w:rsidRPr="00A55E67">
        <w:rPr>
          <w:rFonts w:eastAsia="Times New Roman" w:cs="Arial"/>
          <w:color w:val="000000"/>
        </w:rPr>
        <w:t>-</w:t>
      </w:r>
      <w:r w:rsidRPr="00A55E67">
        <w:rPr>
          <w:rFonts w:eastAsia="Times New Roman" w:cs="Arial"/>
          <w:color w:val="000000"/>
          <w:lang w:val="en-US"/>
        </w:rPr>
        <w:t>like</w:t>
      </w:r>
      <w:r w:rsidRPr="00A55E67">
        <w:rPr>
          <w:rFonts w:eastAsia="Times New Roman" w:cs="Arial"/>
          <w:color w:val="000000"/>
        </w:rPr>
        <w:t xml:space="preserve"> </w:t>
      </w:r>
      <w:r w:rsidRPr="00A55E67">
        <w:rPr>
          <w:rFonts w:eastAsia="Times New Roman" w:cs="Arial"/>
          <w:color w:val="000000"/>
          <w:lang w:val="en-US"/>
        </w:rPr>
        <w:t>peptide</w:t>
      </w:r>
      <w:r w:rsidRPr="00A55E67">
        <w:rPr>
          <w:rFonts w:eastAsia="Times New Roman" w:cs="Arial"/>
          <w:color w:val="000000"/>
        </w:rPr>
        <w:t xml:space="preserve"> </w:t>
      </w:r>
      <w:r w:rsidRPr="00A55E67">
        <w:rPr>
          <w:rFonts w:eastAsia="Times New Roman" w:cs="Arial"/>
          <w:color w:val="000000"/>
          <w:lang w:eastAsia="bg-BG"/>
        </w:rPr>
        <w:t xml:space="preserve">1) и </w:t>
      </w:r>
      <w:r w:rsidRPr="00A55E67">
        <w:rPr>
          <w:rFonts w:eastAsia="Times New Roman" w:cs="Arial"/>
          <w:color w:val="000000"/>
          <w:lang w:val="en-US"/>
        </w:rPr>
        <w:t>GIP</w:t>
      </w:r>
      <w:r w:rsidRPr="00A55E67">
        <w:rPr>
          <w:rFonts w:eastAsia="Times New Roman" w:cs="Arial"/>
          <w:color w:val="000000"/>
        </w:rPr>
        <w:t xml:space="preserve"> (</w:t>
      </w:r>
      <w:r w:rsidRPr="00A55E67">
        <w:rPr>
          <w:rFonts w:eastAsia="Times New Roman" w:cs="Arial"/>
          <w:color w:val="000000"/>
          <w:lang w:val="en-US"/>
        </w:rPr>
        <w:t>glucose</w:t>
      </w:r>
      <w:r w:rsidRPr="00A55E67">
        <w:rPr>
          <w:rFonts w:eastAsia="Times New Roman" w:cs="Arial"/>
          <w:color w:val="000000"/>
        </w:rPr>
        <w:t>-</w:t>
      </w:r>
      <w:r w:rsidRPr="00A55E67">
        <w:rPr>
          <w:rFonts w:eastAsia="Times New Roman" w:cs="Arial"/>
          <w:color w:val="000000"/>
          <w:lang w:val="en-US"/>
        </w:rPr>
        <w:t>dependent</w:t>
      </w:r>
      <w:r w:rsidRPr="00A55E67">
        <w:rPr>
          <w:rFonts w:eastAsia="Times New Roman" w:cs="Arial"/>
          <w:color w:val="000000"/>
        </w:rPr>
        <w:t xml:space="preserve"> </w:t>
      </w:r>
      <w:proofErr w:type="spellStart"/>
      <w:r w:rsidRPr="00A55E67">
        <w:rPr>
          <w:rFonts w:eastAsia="Times New Roman" w:cs="Arial"/>
          <w:color w:val="000000"/>
          <w:lang w:val="en-US"/>
        </w:rPr>
        <w:t>insulinotropic</w:t>
      </w:r>
      <w:proofErr w:type="spellEnd"/>
      <w:r w:rsidRPr="00A55E67">
        <w:rPr>
          <w:rFonts w:eastAsia="Times New Roman" w:cs="Arial"/>
          <w:color w:val="000000"/>
        </w:rPr>
        <w:t xml:space="preserve"> </w:t>
      </w:r>
      <w:r w:rsidRPr="00A55E67">
        <w:rPr>
          <w:rFonts w:eastAsia="Times New Roman" w:cs="Arial"/>
          <w:color w:val="000000"/>
          <w:lang w:val="en-US"/>
        </w:rPr>
        <w:t>polypeptide</w:t>
      </w:r>
      <w:r w:rsidRPr="00A55E67">
        <w:rPr>
          <w:rFonts w:eastAsia="Times New Roman" w:cs="Arial"/>
          <w:color w:val="000000"/>
        </w:rPr>
        <w:t xml:space="preserve">), </w:t>
      </w:r>
      <w:r w:rsidRPr="00A55E67">
        <w:rPr>
          <w:rFonts w:eastAsia="Times New Roman" w:cs="Arial"/>
          <w:color w:val="000000"/>
          <w:lang w:eastAsia="bg-BG"/>
        </w:rPr>
        <w:t>както на гладно, така и след хранене.</w:t>
      </w:r>
    </w:p>
    <w:p w14:paraId="72AC621F" w14:textId="77777777" w:rsidR="00A55E67" w:rsidRPr="00A55E67" w:rsidRDefault="00A55E67" w:rsidP="00A55E67">
      <w:pPr>
        <w:spacing w:line="240" w:lineRule="auto"/>
        <w:rPr>
          <w:rFonts w:eastAsia="Times New Roman" w:cs="Arial"/>
          <w:color w:val="000000"/>
          <w:u w:val="single"/>
          <w:lang w:eastAsia="bg-BG"/>
        </w:rPr>
      </w:pPr>
    </w:p>
    <w:p w14:paraId="333AB219" w14:textId="1F8955C6" w:rsidR="00A55E67" w:rsidRPr="00A55E67" w:rsidRDefault="00A55E67" w:rsidP="00A55E67">
      <w:pPr>
        <w:spacing w:line="240" w:lineRule="auto"/>
        <w:rPr>
          <w:rFonts w:eastAsia="Times New Roman" w:cs="Arial"/>
        </w:rPr>
      </w:pPr>
      <w:r w:rsidRPr="00A55E67">
        <w:rPr>
          <w:rFonts w:eastAsia="Times New Roman" w:cs="Arial"/>
          <w:color w:val="000000"/>
          <w:u w:val="single"/>
          <w:lang w:eastAsia="bg-BG"/>
        </w:rPr>
        <w:t>Фармакодинамични ефекти</w:t>
      </w:r>
    </w:p>
    <w:p w14:paraId="6DCF2E8A" w14:textId="77777777"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Посредством повишаване на ендогенните нива на тези инкретинови хормони, вилдаглиптин повишава чувствителността на бета клетката към кръвната захар, което води до подобряване на зависимата от кръвната захар инсулинова секреция. Лечението с вилдаглиптин 50-100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дневно при пациенти с диабет тип 2 значимо подобрява маркерите за функция на бета клетките, включително НОМА-р </w:t>
      </w:r>
      <w:r w:rsidRPr="00A55E67">
        <w:rPr>
          <w:rFonts w:eastAsia="Times New Roman" w:cs="Arial"/>
          <w:color w:val="000000"/>
          <w:lang w:val="ru-RU"/>
        </w:rPr>
        <w:t>(</w:t>
      </w:r>
      <w:r w:rsidRPr="00A55E67">
        <w:rPr>
          <w:rFonts w:eastAsia="Times New Roman" w:cs="Arial"/>
          <w:color w:val="000000"/>
          <w:lang w:val="en-US"/>
        </w:rPr>
        <w:t>Homeostasis</w:t>
      </w:r>
      <w:r w:rsidRPr="00A55E67">
        <w:rPr>
          <w:rFonts w:eastAsia="Times New Roman" w:cs="Arial"/>
          <w:color w:val="000000"/>
          <w:lang w:val="ru-RU"/>
        </w:rPr>
        <w:t xml:space="preserve"> </w:t>
      </w:r>
      <w:r w:rsidRPr="00A55E67">
        <w:rPr>
          <w:rFonts w:eastAsia="Times New Roman" w:cs="Arial"/>
          <w:color w:val="000000"/>
          <w:lang w:val="en-US"/>
        </w:rPr>
        <w:t>Model</w:t>
      </w:r>
      <w:r w:rsidRPr="00A55E67">
        <w:rPr>
          <w:rFonts w:eastAsia="Times New Roman" w:cs="Arial"/>
          <w:color w:val="000000"/>
          <w:lang w:val="ru-RU"/>
        </w:rPr>
        <w:t xml:space="preserve"> </w:t>
      </w:r>
      <w:r w:rsidRPr="00A55E67">
        <w:rPr>
          <w:rFonts w:eastAsia="Times New Roman" w:cs="Arial"/>
          <w:color w:val="000000"/>
          <w:lang w:val="en-US"/>
        </w:rPr>
        <w:t>Assessment</w:t>
      </w:r>
      <w:r w:rsidRPr="00A55E67">
        <w:rPr>
          <w:rFonts w:eastAsia="Times New Roman" w:cs="Arial"/>
          <w:color w:val="000000"/>
          <w:lang w:val="ru-RU"/>
        </w:rPr>
        <w:t xml:space="preserve"> </w:t>
      </w:r>
      <w:r w:rsidRPr="00A55E67">
        <w:rPr>
          <w:rFonts w:eastAsia="Times New Roman" w:cs="Arial"/>
          <w:color w:val="000000"/>
          <w:lang w:eastAsia="bg-BG"/>
        </w:rPr>
        <w:t>- р), отношението проинсулин към инсулин и измерванията на отговора на бета клетките при кръвнозахарен профил с чести проби. При лица без диабет (нормогликемични), вилдаглиптин не стимулира инсулиновата секреция и не намалява стойностите на кръвната захар.</w:t>
      </w:r>
    </w:p>
    <w:p w14:paraId="77FE0953" w14:textId="77777777" w:rsidR="00A55E67" w:rsidRPr="00A55E67" w:rsidRDefault="00A55E67" w:rsidP="00A55E67">
      <w:pPr>
        <w:spacing w:line="240" w:lineRule="auto"/>
        <w:rPr>
          <w:rFonts w:eastAsia="Times New Roman" w:cs="Arial"/>
          <w:color w:val="000000"/>
          <w:lang w:eastAsia="bg-BG"/>
        </w:rPr>
      </w:pPr>
    </w:p>
    <w:p w14:paraId="40394C95" w14:textId="5A3D2D41" w:rsidR="00A55E67" w:rsidRPr="00A55E67" w:rsidRDefault="00A55E67" w:rsidP="00A55E67">
      <w:pPr>
        <w:spacing w:line="240" w:lineRule="auto"/>
        <w:rPr>
          <w:rFonts w:eastAsia="Times New Roman" w:cs="Arial"/>
        </w:rPr>
      </w:pPr>
      <w:r w:rsidRPr="00A55E67">
        <w:rPr>
          <w:rFonts w:eastAsia="Times New Roman" w:cs="Arial"/>
          <w:color w:val="000000"/>
          <w:lang w:eastAsia="bg-BG"/>
        </w:rPr>
        <w:t>Чрез повишаване на</w:t>
      </w:r>
      <w:r w:rsidRPr="00A55E67">
        <w:rPr>
          <w:rFonts w:eastAsia="Times New Roman" w:cs="Arial"/>
          <w:color w:val="000000"/>
          <w:lang w:val="ru-RU"/>
        </w:rPr>
        <w:t xml:space="preserve"> </w:t>
      </w:r>
      <w:r w:rsidRPr="00A55E67">
        <w:rPr>
          <w:rFonts w:eastAsia="Times New Roman" w:cs="Arial"/>
          <w:color w:val="000000"/>
          <w:lang w:eastAsia="bg-BG"/>
        </w:rPr>
        <w:t>едногенните нива</w:t>
      </w:r>
      <w:r w:rsidRPr="00A55E67">
        <w:rPr>
          <w:rFonts w:eastAsia="Times New Roman" w:cs="Arial"/>
          <w:color w:val="000000"/>
          <w:lang w:val="ru-RU"/>
        </w:rPr>
        <w:t xml:space="preserve"> </w:t>
      </w:r>
      <w:r w:rsidRPr="00A55E67">
        <w:rPr>
          <w:rFonts w:eastAsia="Times New Roman" w:cs="Arial"/>
          <w:color w:val="000000"/>
          <w:lang w:eastAsia="bg-BG"/>
        </w:rPr>
        <w:t>на</w:t>
      </w:r>
      <w:r w:rsidRPr="00A55E67">
        <w:rPr>
          <w:rFonts w:eastAsia="Times New Roman" w:cs="Arial"/>
          <w:color w:val="000000"/>
          <w:lang w:val="ru-RU"/>
        </w:rPr>
        <w:t xml:space="preserve"> </w:t>
      </w:r>
      <w:r w:rsidRPr="00A55E67">
        <w:rPr>
          <w:rFonts w:eastAsia="Times New Roman" w:cs="Arial"/>
          <w:color w:val="000000"/>
          <w:lang w:val="en-US"/>
        </w:rPr>
        <w:t>GLP</w:t>
      </w:r>
      <w:r w:rsidRPr="00A55E67">
        <w:rPr>
          <w:rFonts w:eastAsia="Times New Roman" w:cs="Arial"/>
          <w:color w:val="000000"/>
          <w:lang w:val="ru-RU"/>
        </w:rPr>
        <w:t xml:space="preserve">-1 </w:t>
      </w:r>
      <w:r w:rsidRPr="00A55E67">
        <w:rPr>
          <w:rFonts w:eastAsia="Times New Roman" w:cs="Arial"/>
          <w:color w:val="000000"/>
          <w:lang w:eastAsia="bg-BG"/>
        </w:rPr>
        <w:t>вилдаглиптин също повишава чувствителността на алфа клетките към кръвната захар, което води до по-адекватна секреция на глюкагон спрямо нивото на кръвната захар.</w:t>
      </w:r>
    </w:p>
    <w:p w14:paraId="34994FCE" w14:textId="77777777" w:rsidR="00A55E67" w:rsidRPr="00A55E67" w:rsidRDefault="00A55E67" w:rsidP="00A55E67">
      <w:pPr>
        <w:spacing w:line="240" w:lineRule="auto"/>
        <w:rPr>
          <w:rFonts w:eastAsia="Times New Roman" w:cs="Arial"/>
          <w:color w:val="000000"/>
          <w:lang w:eastAsia="bg-BG"/>
        </w:rPr>
      </w:pPr>
    </w:p>
    <w:p w14:paraId="713BD20F" w14:textId="67B8B8E0"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Подчертаното увеличение на съотношението инсулин/ глюкагон в хода на хипергликемия, поради завишеното ниво на инкретинови хормони, води до намаляване на синтеза на </w:t>
      </w:r>
      <w:r w:rsidRPr="00A55E67">
        <w:rPr>
          <w:rFonts w:eastAsia="Times New Roman" w:cs="Arial"/>
          <w:color w:val="000000"/>
          <w:lang w:eastAsia="bg-BG"/>
        </w:rPr>
        <w:lastRenderedPageBreak/>
        <w:t>глюкоза от черния дроб, както на гладно, така и след хранене, което води до намаляване на гликемията.</w:t>
      </w:r>
    </w:p>
    <w:p w14:paraId="60086BB0" w14:textId="77777777" w:rsidR="00A55E67" w:rsidRPr="00A55E67" w:rsidRDefault="00A55E67" w:rsidP="00A55E67">
      <w:pPr>
        <w:spacing w:line="240" w:lineRule="auto"/>
        <w:rPr>
          <w:rFonts w:eastAsia="Times New Roman" w:cs="Arial"/>
          <w:color w:val="000000"/>
          <w:lang w:eastAsia="bg-BG"/>
        </w:rPr>
      </w:pPr>
    </w:p>
    <w:p w14:paraId="1EF672CD" w14:textId="789750EC"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Известният ефект на повишените нива на </w:t>
      </w:r>
      <w:r w:rsidRPr="00A55E67">
        <w:rPr>
          <w:rFonts w:eastAsia="Times New Roman" w:cs="Arial"/>
          <w:color w:val="000000"/>
          <w:lang w:val="en-US"/>
        </w:rPr>
        <w:t>GLP</w:t>
      </w:r>
      <w:r w:rsidRPr="00A55E67">
        <w:rPr>
          <w:rFonts w:eastAsia="Times New Roman" w:cs="Arial"/>
          <w:color w:val="000000"/>
          <w:lang w:val="ru-RU"/>
        </w:rPr>
        <w:t xml:space="preserve">-1, </w:t>
      </w:r>
      <w:r w:rsidRPr="00A55E67">
        <w:rPr>
          <w:rFonts w:eastAsia="Times New Roman" w:cs="Arial"/>
          <w:color w:val="000000"/>
          <w:lang w:eastAsia="bg-BG"/>
        </w:rPr>
        <w:t>които забавят стомашното изпразване, не се наблюдава при лечение с вилдаглиптин.</w:t>
      </w:r>
    </w:p>
    <w:p w14:paraId="3F6F8576" w14:textId="77777777" w:rsidR="00A55E67" w:rsidRPr="00A55E67" w:rsidRDefault="00A55E67" w:rsidP="00A55E67">
      <w:pPr>
        <w:spacing w:line="240" w:lineRule="auto"/>
        <w:rPr>
          <w:rFonts w:eastAsia="Times New Roman" w:cs="Arial"/>
          <w:color w:val="000000"/>
          <w:u w:val="single"/>
          <w:lang w:eastAsia="bg-BG"/>
        </w:rPr>
      </w:pPr>
    </w:p>
    <w:p w14:paraId="6F9EE4EE" w14:textId="3E1825D1" w:rsidR="00A55E67" w:rsidRPr="00A55E67" w:rsidRDefault="00A55E67" w:rsidP="00A55E67">
      <w:pPr>
        <w:spacing w:line="240" w:lineRule="auto"/>
        <w:rPr>
          <w:rFonts w:eastAsia="Times New Roman" w:cs="Arial"/>
        </w:rPr>
      </w:pPr>
      <w:r w:rsidRPr="00A55E67">
        <w:rPr>
          <w:rFonts w:eastAsia="Times New Roman" w:cs="Arial"/>
          <w:color w:val="000000"/>
          <w:u w:val="single"/>
          <w:lang w:eastAsia="bg-BG"/>
        </w:rPr>
        <w:t>Клинична ефикасност и безопасност</w:t>
      </w:r>
    </w:p>
    <w:p w14:paraId="3DC18316" w14:textId="77777777"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Над 15 000 пациенти със захарен диабет тип 2 участват в двойнослепи плацебо- или активно контролирани клинични изпитвания с продължителност на лечението над 2 години. При тези проучвания вилдаглиптин се прилага на повече от 9 000 пациенти в дневни дози от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веднъж дневно,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два пъти дневно или 100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веднъж дневно. Над 5 000 мъже и над 4 000 жени приемат вилдаглиптин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веднъж дневно или 100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дневно. Над 1 900 пациенти, приемащи вилдаглиптин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веднъж дневно или 100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дневно са ≥65 години. При тези изпитвания вилдаглиптин е прилаган като монотерапия при пациенти със захарен диабет тип 2, които никога не са приемали лекарствено лечение за диабет, или в комбинация при пациенти, чиито контрол не е задоволителен при лечение с други антидиабетни лекарствени продукти.</w:t>
      </w:r>
    </w:p>
    <w:p w14:paraId="5DE4B2C4" w14:textId="77777777" w:rsidR="00A55E67" w:rsidRPr="00A55E67" w:rsidRDefault="00A55E67" w:rsidP="00A55E67">
      <w:pPr>
        <w:rPr>
          <w:rFonts w:eastAsia="Times New Roman" w:cs="Arial"/>
          <w:color w:val="000000"/>
          <w:lang w:eastAsia="bg-BG"/>
        </w:rPr>
      </w:pPr>
    </w:p>
    <w:p w14:paraId="63EB6A6B" w14:textId="29AAFC5F" w:rsidR="00A55E67" w:rsidRPr="00A55E67" w:rsidRDefault="00A55E67" w:rsidP="00A55E67">
      <w:pPr>
        <w:rPr>
          <w:rFonts w:eastAsia="Times New Roman" w:cs="Arial"/>
          <w:color w:val="000000"/>
          <w:lang w:eastAsia="bg-BG"/>
        </w:rPr>
      </w:pPr>
      <w:r w:rsidRPr="00A55E67">
        <w:rPr>
          <w:rFonts w:eastAsia="Times New Roman" w:cs="Arial"/>
          <w:color w:val="000000"/>
          <w:lang w:eastAsia="bg-BG"/>
        </w:rPr>
        <w:t>Като цяло, вилдаглиптин подобрява гликемичния контрол, когато се прилага като</w:t>
      </w:r>
      <w:r w:rsidRPr="00A55E67">
        <w:rPr>
          <w:rFonts w:eastAsia="Times New Roman" w:cs="Arial"/>
          <w:color w:val="000000"/>
          <w:lang w:val="ru-RU"/>
        </w:rPr>
        <w:t xml:space="preserve"> </w:t>
      </w:r>
      <w:r w:rsidRPr="00A55E67">
        <w:rPr>
          <w:rFonts w:eastAsia="Times New Roman" w:cs="Arial"/>
          <w:color w:val="000000"/>
          <w:lang w:eastAsia="bg-BG"/>
        </w:rPr>
        <w:t>монотерапия или когато се прилага в комбинация с метформин, сулфонилуреен продукт и тиазолидиндион</w:t>
      </w:r>
      <w:r w:rsidRPr="00A55E67">
        <w:rPr>
          <w:rFonts w:eastAsia="Times New Roman" w:cs="Arial"/>
          <w:b/>
          <w:bCs/>
          <w:color w:val="000000"/>
          <w:lang w:eastAsia="bg-BG"/>
        </w:rPr>
        <w:t xml:space="preserve"> </w:t>
      </w:r>
      <w:r w:rsidRPr="00A55E67">
        <w:rPr>
          <w:rFonts w:eastAsia="Times New Roman" w:cs="Arial"/>
          <w:color w:val="000000"/>
          <w:lang w:eastAsia="bg-BG"/>
        </w:rPr>
        <w:t xml:space="preserve">което се оценява по клинично значимото понижение на стойностите на </w:t>
      </w:r>
      <w:proofErr w:type="spellStart"/>
      <w:r w:rsidRPr="00A55E67">
        <w:rPr>
          <w:rFonts w:eastAsia="Times New Roman" w:cs="Arial"/>
          <w:color w:val="000000"/>
          <w:lang w:val="en-US"/>
        </w:rPr>
        <w:t>HbA</w:t>
      </w:r>
      <w:proofErr w:type="spellEnd"/>
      <w:r w:rsidRPr="00A55E67">
        <w:rPr>
          <w:rFonts w:eastAsia="Times New Roman" w:cs="Arial"/>
          <w:color w:val="000000"/>
          <w:lang w:val="ru-RU"/>
        </w:rPr>
        <w:t>1</w:t>
      </w:r>
      <w:r w:rsidRPr="00A55E67">
        <w:rPr>
          <w:rFonts w:eastAsia="Times New Roman" w:cs="Arial"/>
          <w:color w:val="000000"/>
          <w:lang w:val="en-US"/>
        </w:rPr>
        <w:t>c</w:t>
      </w:r>
      <w:r w:rsidRPr="00A55E67">
        <w:rPr>
          <w:rFonts w:eastAsia="Times New Roman" w:cs="Arial"/>
          <w:color w:val="000000"/>
          <w:lang w:val="ru-RU"/>
        </w:rPr>
        <w:t xml:space="preserve"> </w:t>
      </w:r>
      <w:r w:rsidRPr="00A55E67">
        <w:rPr>
          <w:rFonts w:eastAsia="Times New Roman" w:cs="Arial"/>
          <w:color w:val="000000"/>
          <w:lang w:eastAsia="bg-BG"/>
        </w:rPr>
        <w:t>в края на изпитването спрямо изходните стойности (вижте Таблица 8).</w:t>
      </w:r>
    </w:p>
    <w:p w14:paraId="1FA082F5" w14:textId="6BCCBE8D" w:rsidR="00A55E67" w:rsidRPr="00A55E67" w:rsidRDefault="00A55E67" w:rsidP="00A55E67">
      <w:pPr>
        <w:rPr>
          <w:rFonts w:eastAsia="Times New Roman" w:cs="Arial"/>
          <w:color w:val="000000"/>
          <w:lang w:eastAsia="bg-BG"/>
        </w:rPr>
      </w:pPr>
    </w:p>
    <w:p w14:paraId="67D61764" w14:textId="77777777"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В хода на клиничните изпитвания степента на понижение на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 xml:space="preserve">с вилдаглиптин е била </w:t>
      </w:r>
      <w:r w:rsidRPr="00A55E67">
        <w:rPr>
          <w:rFonts w:eastAsia="Times New Roman" w:cs="Arial"/>
          <w:i/>
          <w:iCs/>
          <w:color w:val="000000"/>
          <w:lang w:eastAsia="bg-BG"/>
        </w:rPr>
        <w:t xml:space="preserve">по- </w:t>
      </w:r>
      <w:r w:rsidRPr="00A55E67">
        <w:rPr>
          <w:rFonts w:eastAsia="Times New Roman" w:cs="Arial"/>
          <w:color w:val="000000"/>
          <w:lang w:eastAsia="bg-BG"/>
        </w:rPr>
        <w:t xml:space="preserve">голяма при пациенти с по-висока изходна стойност на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w:t>
      </w:r>
    </w:p>
    <w:p w14:paraId="62B3B739" w14:textId="77777777" w:rsidR="00A55E67" w:rsidRPr="00A55E67" w:rsidRDefault="00A55E67" w:rsidP="00A55E67">
      <w:pPr>
        <w:spacing w:line="240" w:lineRule="auto"/>
        <w:rPr>
          <w:rFonts w:eastAsia="Times New Roman" w:cs="Arial"/>
          <w:color w:val="000000"/>
          <w:lang w:eastAsia="bg-BG"/>
        </w:rPr>
      </w:pPr>
    </w:p>
    <w:p w14:paraId="1B4C49AC" w14:textId="1D5F0E49"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При 52-седмично двойносляпо контролирано изпитване, където вилдаглиптин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два пъти дневно) намалява изходния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 xml:space="preserve">с -1% в сравнение с -1,6% за метформин (титриран до 2 </w:t>
      </w:r>
      <w:r w:rsidRPr="00A55E67">
        <w:rPr>
          <w:rFonts w:eastAsia="Times New Roman" w:cs="Arial"/>
          <w:color w:val="000000"/>
          <w:lang w:val="en-US"/>
        </w:rPr>
        <w:t>g</w:t>
      </w:r>
      <w:r w:rsidRPr="00A55E67">
        <w:rPr>
          <w:rFonts w:eastAsia="Times New Roman" w:cs="Arial"/>
          <w:color w:val="000000"/>
          <w:lang w:val="ru-RU"/>
        </w:rPr>
        <w:t xml:space="preserve"> </w:t>
      </w:r>
      <w:r w:rsidRPr="00A55E67">
        <w:rPr>
          <w:rFonts w:eastAsia="Times New Roman" w:cs="Arial"/>
          <w:color w:val="000000"/>
          <w:lang w:eastAsia="bg-BG"/>
        </w:rPr>
        <w:t>дневно), не се достига статистическия показател за не по-малка ефикасност. Пациентите, лекувани с вилдаглиптин, съобщават за значимо по-ниска честота на стомашно-чревни нежелани лекарствени реакции спрямо тези, лекувани с метформин.</w:t>
      </w:r>
    </w:p>
    <w:p w14:paraId="55568B22" w14:textId="77777777" w:rsidR="00A55E67" w:rsidRPr="00A55E67" w:rsidRDefault="00A55E67" w:rsidP="00A55E67">
      <w:pPr>
        <w:spacing w:line="240" w:lineRule="auto"/>
        <w:rPr>
          <w:rFonts w:eastAsia="Times New Roman" w:cs="Arial"/>
          <w:color w:val="000000"/>
          <w:lang w:eastAsia="bg-BG"/>
        </w:rPr>
      </w:pPr>
    </w:p>
    <w:p w14:paraId="58B30601" w14:textId="2388E218"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При 24-седмично двойносляпо контролирано изпитване вилдаглиптин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два пъти дневно) е сравнен с розиглитазон (8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ведъж дневно). Средното намаление е -1,20% за вилдаглиптин и -1,48% за розиглитазон при пациенти с изходен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 xml:space="preserve">от 8,7%. Пациентите, които получават розиглитазон, повишават телесното си тегло средно с (+1,6 </w:t>
      </w:r>
      <w:r w:rsidRPr="00A55E67">
        <w:rPr>
          <w:rFonts w:eastAsia="Times New Roman" w:cs="Arial"/>
          <w:color w:val="000000"/>
          <w:lang w:val="en-US"/>
        </w:rPr>
        <w:t>kg</w:t>
      </w:r>
      <w:r w:rsidRPr="00A55E67">
        <w:rPr>
          <w:rFonts w:eastAsia="Times New Roman" w:cs="Arial"/>
          <w:color w:val="000000"/>
          <w:lang w:val="ru-RU"/>
        </w:rPr>
        <w:t xml:space="preserve">), </w:t>
      </w:r>
      <w:r w:rsidRPr="00A55E67">
        <w:rPr>
          <w:rFonts w:eastAsia="Times New Roman" w:cs="Arial"/>
          <w:color w:val="000000"/>
          <w:lang w:eastAsia="bg-BG"/>
        </w:rPr>
        <w:t xml:space="preserve">докато тези, които получават вилдаглиптин, не повишават телесното си тегло (-0,3 </w:t>
      </w:r>
      <w:r w:rsidRPr="00A55E67">
        <w:rPr>
          <w:rFonts w:eastAsia="Times New Roman" w:cs="Arial"/>
          <w:color w:val="000000"/>
          <w:lang w:val="en-US"/>
        </w:rPr>
        <w:t>kg</w:t>
      </w:r>
      <w:r w:rsidRPr="00A55E67">
        <w:rPr>
          <w:rFonts w:eastAsia="Times New Roman" w:cs="Arial"/>
          <w:color w:val="000000"/>
          <w:lang w:val="ru-RU"/>
        </w:rPr>
        <w:t xml:space="preserve">). </w:t>
      </w:r>
      <w:r w:rsidRPr="00A55E67">
        <w:rPr>
          <w:rFonts w:eastAsia="Times New Roman" w:cs="Arial"/>
          <w:color w:val="000000"/>
          <w:lang w:eastAsia="bg-BG"/>
        </w:rPr>
        <w:t>Честотата на периферни отоци е по- ниска в групата на вилдаглиптин в сравнение с групата на розиглитазон (2,1% срещу 4,1%).</w:t>
      </w:r>
    </w:p>
    <w:p w14:paraId="3705A03B" w14:textId="77777777" w:rsidR="00A55E67" w:rsidRPr="00A55E67" w:rsidRDefault="00A55E67" w:rsidP="00A55E67">
      <w:pPr>
        <w:spacing w:line="240" w:lineRule="auto"/>
        <w:rPr>
          <w:rFonts w:eastAsia="Times New Roman" w:cs="Arial"/>
          <w:color w:val="000000"/>
          <w:lang w:eastAsia="bg-BG"/>
        </w:rPr>
      </w:pPr>
    </w:p>
    <w:p w14:paraId="66FA28E1" w14:textId="74247E13"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При клинично изпитване с продължителност 2 години вилдаглиптин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два пъти дневно) е сравнен с гликлазид (до 320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дневно). На втората година средното понижение на нивата на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 xml:space="preserve">е -0,5% за вилдаглиптин и -0,6% за гликлазид от средни изходни стойности на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8,6%. Вилдаглиптин не показва статистически значима не по-малка ефективност спрямо гликлазид. Вилдаглиптин се свързва с по-малко случаи на хипогликемия (0,7%) отколкото гликлазид (1,7%).</w:t>
      </w:r>
    </w:p>
    <w:p w14:paraId="62005C2C" w14:textId="77777777" w:rsidR="00A55E67" w:rsidRPr="00A55E67" w:rsidRDefault="00A55E67" w:rsidP="00A55E67">
      <w:pPr>
        <w:spacing w:line="240" w:lineRule="auto"/>
        <w:rPr>
          <w:rFonts w:eastAsia="Times New Roman" w:cs="Arial"/>
          <w:color w:val="000000"/>
          <w:lang w:eastAsia="bg-BG"/>
        </w:rPr>
      </w:pPr>
    </w:p>
    <w:p w14:paraId="25FF3BBF" w14:textId="6DE0BEB0"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При 24-седмично изпитване вилдаглиптин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два пъти дневно) е сравнен с пиоглитазон (30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веднъж дневно) при пациенти, при които не е постигнат </w:t>
      </w:r>
      <w:r w:rsidRPr="00A55E67">
        <w:rPr>
          <w:rFonts w:eastAsia="Times New Roman" w:cs="Arial"/>
          <w:color w:val="000000"/>
          <w:lang w:eastAsia="bg-BG"/>
        </w:rPr>
        <w:lastRenderedPageBreak/>
        <w:t xml:space="preserve">задоволителен гликемичен контрол с метформин (средна дневна доза: 2020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Средното понижение на нивата на </w:t>
      </w:r>
      <w:proofErr w:type="spellStart"/>
      <w:r w:rsidRPr="00A55E67">
        <w:rPr>
          <w:rFonts w:eastAsia="Times New Roman" w:cs="Arial"/>
          <w:color w:val="000000"/>
          <w:lang w:val="en-US"/>
        </w:rPr>
        <w:t>HbA</w:t>
      </w:r>
      <w:proofErr w:type="spellEnd"/>
      <w:r w:rsidRPr="00A55E67">
        <w:rPr>
          <w:rFonts w:eastAsia="Times New Roman" w:cs="Arial"/>
          <w:color w:val="000000"/>
          <w:lang w:val="ru-RU"/>
        </w:rPr>
        <w:t>1</w:t>
      </w:r>
      <w:r w:rsidRPr="00A55E67">
        <w:rPr>
          <w:rFonts w:eastAsia="Times New Roman" w:cs="Arial"/>
          <w:color w:val="000000"/>
          <w:lang w:val="en-US"/>
        </w:rPr>
        <w:t>c</w:t>
      </w:r>
      <w:r w:rsidRPr="00A55E67">
        <w:rPr>
          <w:rFonts w:eastAsia="Times New Roman" w:cs="Arial"/>
          <w:color w:val="000000"/>
          <w:lang w:val="ru-RU"/>
        </w:rPr>
        <w:t xml:space="preserve"> </w:t>
      </w:r>
      <w:r w:rsidRPr="00A55E67">
        <w:rPr>
          <w:rFonts w:eastAsia="Times New Roman" w:cs="Arial"/>
          <w:color w:val="000000"/>
          <w:lang w:eastAsia="bg-BG"/>
        </w:rPr>
        <w:t xml:space="preserve">при среден изходен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 xml:space="preserve">от 8,4% е -0,9% при добавяне на вилдаглиптин към метформин и -1,0% при добавяне на пиоглитазон към метформин. Следното повишение на телесното тегло, наблюдавано при пациентите, приемащи пиоглитазон в допълнение към метформин е +1,9 </w:t>
      </w:r>
      <w:r w:rsidRPr="00A55E67">
        <w:rPr>
          <w:rFonts w:eastAsia="Times New Roman" w:cs="Arial"/>
          <w:color w:val="000000"/>
          <w:lang w:val="en-US"/>
        </w:rPr>
        <w:t>kg</w:t>
      </w:r>
      <w:r w:rsidRPr="00A55E67">
        <w:rPr>
          <w:rFonts w:eastAsia="Times New Roman" w:cs="Arial"/>
          <w:color w:val="000000"/>
          <w:lang w:val="ru-RU"/>
        </w:rPr>
        <w:t xml:space="preserve">, </w:t>
      </w:r>
      <w:r w:rsidRPr="00A55E67">
        <w:rPr>
          <w:rFonts w:eastAsia="Times New Roman" w:cs="Arial"/>
          <w:color w:val="000000"/>
          <w:lang w:eastAsia="bg-BG"/>
        </w:rPr>
        <w:t xml:space="preserve">спрямо +0,3 </w:t>
      </w:r>
      <w:r w:rsidRPr="00A55E67">
        <w:rPr>
          <w:rFonts w:eastAsia="Times New Roman" w:cs="Arial"/>
          <w:color w:val="000000"/>
          <w:lang w:val="en-US"/>
        </w:rPr>
        <w:t>kg</w:t>
      </w:r>
      <w:r w:rsidRPr="00A55E67">
        <w:rPr>
          <w:rFonts w:eastAsia="Times New Roman" w:cs="Arial"/>
          <w:color w:val="000000"/>
          <w:lang w:val="ru-RU"/>
        </w:rPr>
        <w:t xml:space="preserve"> </w:t>
      </w:r>
      <w:r w:rsidRPr="00A55E67">
        <w:rPr>
          <w:rFonts w:eastAsia="Times New Roman" w:cs="Arial"/>
          <w:color w:val="000000"/>
          <w:lang w:eastAsia="bg-BG"/>
        </w:rPr>
        <w:t>при пациентите, приемащи вилдаглиптин в допълнение към метформин.</w:t>
      </w:r>
    </w:p>
    <w:p w14:paraId="31DA0F6C" w14:textId="77777777" w:rsidR="00A55E67" w:rsidRPr="00A55E67" w:rsidRDefault="00A55E67" w:rsidP="00A55E67">
      <w:pPr>
        <w:spacing w:line="240" w:lineRule="auto"/>
        <w:rPr>
          <w:rFonts w:eastAsia="Times New Roman" w:cs="Arial"/>
          <w:color w:val="000000"/>
          <w:lang w:eastAsia="bg-BG"/>
        </w:rPr>
      </w:pPr>
    </w:p>
    <w:p w14:paraId="4BA3D977" w14:textId="42DCF61A"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В клинично изпитване с продължителност 2 години вилдаглиптин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два пъти дневно) е сравнен с глимепирид (до 6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дневно - средна доза през 2те години: 4,6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при пациенти, лекувани с метформин (средна дневна доза: 1894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След 1 година средното понижение на нивата на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е -0,4% при добавяне на вилдаглиптин към метформин и -0,5% при добавяне на глимепирид към метформин, при среден изходен Н</w:t>
      </w:r>
      <w:r w:rsidRPr="00A55E67">
        <w:rPr>
          <w:rFonts w:eastAsia="Times New Roman" w:cs="Arial"/>
          <w:color w:val="000000"/>
          <w:lang w:val="en-US"/>
        </w:rPr>
        <w:t>b</w:t>
      </w:r>
      <w:r w:rsidRPr="00A55E67">
        <w:rPr>
          <w:rFonts w:eastAsia="Times New Roman" w:cs="Arial"/>
          <w:color w:val="000000"/>
          <w:lang w:eastAsia="bg-BG"/>
        </w:rPr>
        <w:t xml:space="preserve">А1с от 7,3%. Промяната в телесното тегло при вилдаглиптин е -0,2 </w:t>
      </w:r>
      <w:r w:rsidRPr="00A55E67">
        <w:rPr>
          <w:rFonts w:eastAsia="Times New Roman" w:cs="Arial"/>
          <w:color w:val="000000"/>
          <w:lang w:val="en-US"/>
        </w:rPr>
        <w:t>kg</w:t>
      </w:r>
      <w:r w:rsidRPr="00A55E67">
        <w:rPr>
          <w:rFonts w:eastAsia="Times New Roman" w:cs="Arial"/>
          <w:color w:val="000000"/>
          <w:lang w:val="ru-RU"/>
        </w:rPr>
        <w:t xml:space="preserve"> </w:t>
      </w:r>
      <w:r w:rsidRPr="00A55E67">
        <w:rPr>
          <w:rFonts w:eastAsia="Times New Roman" w:cs="Arial"/>
          <w:color w:val="000000"/>
          <w:lang w:eastAsia="bg-BG"/>
        </w:rPr>
        <w:t xml:space="preserve">спрямо +1,6 </w:t>
      </w:r>
      <w:r w:rsidRPr="00A55E67">
        <w:rPr>
          <w:rFonts w:eastAsia="Times New Roman" w:cs="Arial"/>
          <w:color w:val="000000"/>
          <w:lang w:val="en-US"/>
        </w:rPr>
        <w:t>kg</w:t>
      </w:r>
      <w:r w:rsidRPr="00A55E67">
        <w:rPr>
          <w:rFonts w:eastAsia="Times New Roman" w:cs="Arial"/>
          <w:color w:val="000000"/>
          <w:lang w:val="ru-RU"/>
        </w:rPr>
        <w:t xml:space="preserve"> </w:t>
      </w:r>
      <w:r w:rsidRPr="00A55E67">
        <w:rPr>
          <w:rFonts w:eastAsia="Times New Roman" w:cs="Arial"/>
          <w:color w:val="000000"/>
          <w:lang w:eastAsia="bg-BG"/>
        </w:rPr>
        <w:t xml:space="preserve">при глимепирид. Честотата на случаите на хипогликемия е съществено по-ниска в групата на вилдаглиптин (1,7%) в сравнение с групата на глимепирид (16,2%). В крайната точка на проучването (след 2 години) стойностите на промяна на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спрямо изходното ниво са еднакви с изходните стойности в двете терапевтични групи, а различията по отношение на промяната в телесното тегло и случаите на хипогликемия се запазват.</w:t>
      </w:r>
    </w:p>
    <w:p w14:paraId="1748EA6C" w14:textId="77777777" w:rsidR="00A55E67" w:rsidRPr="00A55E67" w:rsidRDefault="00A55E67" w:rsidP="00A55E67">
      <w:pPr>
        <w:spacing w:line="240" w:lineRule="auto"/>
        <w:rPr>
          <w:rFonts w:eastAsia="Times New Roman" w:cs="Arial"/>
          <w:color w:val="000000"/>
          <w:lang w:eastAsia="bg-BG"/>
        </w:rPr>
      </w:pPr>
    </w:p>
    <w:p w14:paraId="67DA8438" w14:textId="158E831F"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При 52-седмично изпитване вилдаглиптин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два пъти дневно) е сравнен с гликлазид (средна дневна доза: 229.5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при пациенти, непостигнали контрол с метформин (изходна доза на метформин 1928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дневно). След 1 година средното понижение на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 xml:space="preserve">е -0,81% при добавяне на вилдаглиптин към метформин (среден изходен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 xml:space="preserve">8,4%) и -0,85% при добавяне на гликлазид към метформин (при среден изходен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 xml:space="preserve">8,5%); показана е статистически значима не по-малка ефикасност (95% </w:t>
      </w:r>
      <w:r w:rsidRPr="00A55E67">
        <w:rPr>
          <w:rFonts w:eastAsia="Times New Roman" w:cs="Arial"/>
          <w:color w:val="000000"/>
          <w:lang w:val="en-US"/>
        </w:rPr>
        <w:t>CI</w:t>
      </w:r>
      <w:r w:rsidRPr="00A55E67">
        <w:rPr>
          <w:rFonts w:eastAsia="Times New Roman" w:cs="Arial"/>
          <w:color w:val="000000"/>
          <w:lang w:val="ru-RU"/>
        </w:rPr>
        <w:t>-0,11</w:t>
      </w:r>
      <w:r w:rsidRPr="00A55E67">
        <w:rPr>
          <w:rFonts w:eastAsia="Times New Roman" w:cs="Arial"/>
          <w:color w:val="000000"/>
          <w:lang w:eastAsia="bg-BG"/>
        </w:rPr>
        <w:t xml:space="preserve"> -0,20). Промяната в телесното тегжйт+угр^щщ вилдаглиптин спрямо +1,4 </w:t>
      </w:r>
      <w:r w:rsidRPr="00A55E67">
        <w:rPr>
          <w:rFonts w:eastAsia="Times New Roman" w:cs="Arial"/>
          <w:color w:val="000000"/>
          <w:lang w:val="en-US"/>
        </w:rPr>
        <w:t>kg</w:t>
      </w:r>
      <w:r w:rsidRPr="00A55E67">
        <w:rPr>
          <w:rFonts w:eastAsia="Times New Roman" w:cs="Arial"/>
          <w:color w:val="000000"/>
          <w:lang w:val="ru-RU"/>
        </w:rPr>
        <w:t xml:space="preserve"> </w:t>
      </w:r>
      <w:r w:rsidRPr="00A55E67">
        <w:rPr>
          <w:rFonts w:eastAsia="Times New Roman" w:cs="Arial"/>
          <w:color w:val="000000"/>
          <w:lang w:eastAsia="bg-BG"/>
        </w:rPr>
        <w:t>при гликлазид.</w:t>
      </w:r>
    </w:p>
    <w:p w14:paraId="450F37F4" w14:textId="77777777" w:rsidR="00A55E67" w:rsidRPr="00A55E67" w:rsidRDefault="00A55E67" w:rsidP="00A55E67">
      <w:pPr>
        <w:spacing w:line="240" w:lineRule="auto"/>
        <w:rPr>
          <w:rFonts w:eastAsia="Times New Roman" w:cs="Arial"/>
        </w:rPr>
      </w:pPr>
    </w:p>
    <w:p w14:paraId="73E25CC9" w14:textId="77777777" w:rsidR="00A55E67" w:rsidRPr="00A55E67" w:rsidRDefault="00A55E67" w:rsidP="00A55E67">
      <w:pPr>
        <w:spacing w:line="240" w:lineRule="auto"/>
        <w:rPr>
          <w:rFonts w:eastAsia="Times New Roman" w:cs="Arial"/>
        </w:rPr>
      </w:pPr>
      <w:r w:rsidRPr="00A55E67">
        <w:rPr>
          <w:rFonts w:eastAsia="Times New Roman" w:cs="Arial"/>
          <w:color w:val="000000"/>
          <w:lang w:eastAsia="bg-BG"/>
        </w:rPr>
        <w:t>При 24-седмично изпитване е оценена ефикасността на фиксираната дозова комбинация от</w:t>
      </w:r>
    </w:p>
    <w:p w14:paraId="5652A785" w14:textId="77777777" w:rsidR="00A55E67" w:rsidRPr="00A55E67" w:rsidRDefault="00A55E67" w:rsidP="00A55E67">
      <w:pPr>
        <w:rPr>
          <w:rFonts w:eastAsia="Times New Roman" w:cs="Arial"/>
        </w:rPr>
      </w:pPr>
      <w:r w:rsidRPr="00A55E67">
        <w:rPr>
          <w:rFonts w:eastAsia="Times New Roman" w:cs="Arial"/>
          <w:color w:val="000000"/>
          <w:lang w:eastAsia="bg-BG"/>
        </w:rPr>
        <w:t xml:space="preserve">вилдаглиптин и метформин (постепенно титрирана до доза от </w:t>
      </w:r>
      <w:r w:rsidRPr="00A55E67">
        <w:rPr>
          <w:rFonts w:eastAsia="Times New Roman" w:cs="Arial"/>
          <w:color w:val="000000"/>
          <w:lang w:val="ru-RU"/>
        </w:rPr>
        <w:t>50</w:t>
      </w:r>
      <w:r w:rsidRPr="00A55E67">
        <w:rPr>
          <w:rFonts w:eastAsia="Times New Roman" w:cs="Arial"/>
          <w:color w:val="000000"/>
          <w:lang w:val="en-US"/>
        </w:rPr>
        <w:t>mg</w:t>
      </w:r>
      <w:r w:rsidRPr="00A55E67">
        <w:rPr>
          <w:rFonts w:eastAsia="Times New Roman" w:cs="Arial"/>
          <w:color w:val="000000"/>
          <w:lang w:val="ru-RU"/>
        </w:rPr>
        <w:t xml:space="preserve">/500 </w:t>
      </w:r>
      <w:r w:rsidRPr="00A55E67">
        <w:rPr>
          <w:rFonts w:eastAsia="Times New Roman" w:cs="Arial"/>
          <w:color w:val="000000"/>
          <w:lang w:val="en-US"/>
        </w:rPr>
        <w:t>mg</w:t>
      </w:r>
      <w:r w:rsidRPr="00A55E67">
        <w:rPr>
          <w:rFonts w:eastAsia="Times New Roman" w:cs="Arial"/>
          <w:color w:val="000000"/>
          <w:lang w:eastAsia="bg-BG"/>
        </w:rPr>
        <w:t xml:space="preserve"> два пъти дневно или 50 </w:t>
      </w:r>
      <w:r w:rsidRPr="00A55E67">
        <w:rPr>
          <w:rFonts w:eastAsia="Times New Roman" w:cs="Arial"/>
          <w:color w:val="000000"/>
          <w:lang w:val="en-US"/>
        </w:rPr>
        <w:t>mg</w:t>
      </w:r>
      <w:r w:rsidRPr="00A55E67">
        <w:rPr>
          <w:rFonts w:eastAsia="Times New Roman" w:cs="Arial"/>
          <w:color w:val="000000"/>
          <w:lang w:val="ru-RU"/>
        </w:rPr>
        <w:t xml:space="preserve">/1000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два пъти дневно), приложена като първоначална терапия при пациенти, неприемали преди това други лекарства. Комбинацията вилдаглиптин/ метформин 50 </w:t>
      </w:r>
      <w:r w:rsidRPr="00A55E67">
        <w:rPr>
          <w:rFonts w:eastAsia="Times New Roman" w:cs="Arial"/>
          <w:color w:val="000000"/>
          <w:lang w:val="en-US"/>
        </w:rPr>
        <w:t>mg</w:t>
      </w:r>
      <w:r w:rsidRPr="00A55E67">
        <w:rPr>
          <w:rFonts w:eastAsia="Times New Roman" w:cs="Arial"/>
          <w:color w:val="000000"/>
        </w:rPr>
        <w:t xml:space="preserve">/1000 </w:t>
      </w:r>
      <w:r w:rsidRPr="00A55E67">
        <w:rPr>
          <w:rFonts w:eastAsia="Times New Roman" w:cs="Arial"/>
          <w:color w:val="000000"/>
          <w:lang w:val="en-US"/>
        </w:rPr>
        <w:t>mg</w:t>
      </w:r>
      <w:r w:rsidRPr="00A55E67">
        <w:rPr>
          <w:rFonts w:eastAsia="Times New Roman" w:cs="Arial"/>
          <w:color w:val="000000"/>
        </w:rPr>
        <w:t xml:space="preserve">, </w:t>
      </w:r>
      <w:r w:rsidRPr="00A55E67">
        <w:rPr>
          <w:rFonts w:eastAsia="Times New Roman" w:cs="Arial"/>
          <w:color w:val="000000"/>
          <w:lang w:eastAsia="bg-BG"/>
        </w:rPr>
        <w:t xml:space="preserve">приложена два пъти дневно, понижава </w:t>
      </w:r>
      <w:proofErr w:type="spellStart"/>
      <w:r w:rsidRPr="00A55E67">
        <w:rPr>
          <w:rFonts w:eastAsia="Times New Roman" w:cs="Arial"/>
          <w:color w:val="000000"/>
          <w:lang w:val="en-US"/>
        </w:rPr>
        <w:t>HbAlc</w:t>
      </w:r>
      <w:proofErr w:type="spellEnd"/>
      <w:r w:rsidRPr="00A55E67">
        <w:rPr>
          <w:rFonts w:eastAsia="Times New Roman" w:cs="Arial"/>
          <w:color w:val="000000"/>
        </w:rPr>
        <w:t xml:space="preserve"> </w:t>
      </w:r>
      <w:r w:rsidRPr="00A55E67">
        <w:rPr>
          <w:rFonts w:eastAsia="Times New Roman" w:cs="Arial"/>
          <w:color w:val="000000"/>
          <w:lang w:eastAsia="bg-BG"/>
        </w:rPr>
        <w:t xml:space="preserve">с -1,82%, вилдаглиптин/ метформин 50 </w:t>
      </w:r>
      <w:r w:rsidRPr="00A55E67">
        <w:rPr>
          <w:rFonts w:eastAsia="Times New Roman" w:cs="Arial"/>
          <w:color w:val="000000"/>
          <w:lang w:val="en-US"/>
        </w:rPr>
        <w:t>mg</w:t>
      </w:r>
      <w:r w:rsidRPr="00A55E67">
        <w:rPr>
          <w:rFonts w:eastAsia="Times New Roman" w:cs="Arial"/>
          <w:color w:val="000000"/>
        </w:rPr>
        <w:t xml:space="preserve">/500 </w:t>
      </w:r>
      <w:r w:rsidRPr="00A55E67">
        <w:rPr>
          <w:rFonts w:eastAsia="Times New Roman" w:cs="Arial"/>
          <w:color w:val="000000"/>
          <w:lang w:val="en-US"/>
        </w:rPr>
        <w:t>mg</w:t>
      </w:r>
      <w:r w:rsidRPr="00A55E67">
        <w:rPr>
          <w:rFonts w:eastAsia="Times New Roman" w:cs="Arial"/>
          <w:color w:val="000000"/>
        </w:rPr>
        <w:t xml:space="preserve">, </w:t>
      </w:r>
      <w:r w:rsidRPr="00A55E67">
        <w:rPr>
          <w:rFonts w:eastAsia="Times New Roman" w:cs="Arial"/>
          <w:color w:val="000000"/>
          <w:lang w:eastAsia="bg-BG"/>
        </w:rPr>
        <w:t xml:space="preserve">приложена два пъти дневно, с -1,61%, метформин 1000 </w:t>
      </w:r>
      <w:r w:rsidRPr="00A55E67">
        <w:rPr>
          <w:rFonts w:eastAsia="Times New Roman" w:cs="Arial"/>
          <w:color w:val="000000"/>
          <w:lang w:val="en-US"/>
        </w:rPr>
        <w:t>mg</w:t>
      </w:r>
      <w:r w:rsidRPr="00A55E67">
        <w:rPr>
          <w:rFonts w:eastAsia="Times New Roman" w:cs="Arial"/>
          <w:color w:val="000000"/>
        </w:rPr>
        <w:t xml:space="preserve">, </w:t>
      </w:r>
      <w:r w:rsidRPr="00A55E67">
        <w:rPr>
          <w:rFonts w:eastAsia="Times New Roman" w:cs="Arial"/>
          <w:color w:val="000000"/>
          <w:lang w:eastAsia="bg-BG"/>
        </w:rPr>
        <w:t xml:space="preserve">приложен два пъти дневно, с - 1,36%, а вилдаглиптин 50 </w:t>
      </w:r>
      <w:r w:rsidRPr="00A55E67">
        <w:rPr>
          <w:rFonts w:eastAsia="Times New Roman" w:cs="Arial"/>
          <w:color w:val="000000"/>
          <w:lang w:val="en-US"/>
        </w:rPr>
        <w:t>mg</w:t>
      </w:r>
      <w:r w:rsidRPr="00A55E67">
        <w:rPr>
          <w:rFonts w:eastAsia="Times New Roman" w:cs="Arial"/>
          <w:color w:val="000000"/>
        </w:rPr>
        <w:t xml:space="preserve">, </w:t>
      </w:r>
      <w:r w:rsidRPr="00A55E67">
        <w:rPr>
          <w:rFonts w:eastAsia="Times New Roman" w:cs="Arial"/>
          <w:color w:val="000000"/>
          <w:lang w:eastAsia="bg-BG"/>
        </w:rPr>
        <w:t xml:space="preserve">приложен два пъти дневно, с -1,09% при изходен </w:t>
      </w:r>
      <w:proofErr w:type="spellStart"/>
      <w:r w:rsidRPr="00A55E67">
        <w:rPr>
          <w:rFonts w:eastAsia="Times New Roman" w:cs="Arial"/>
          <w:color w:val="000000"/>
          <w:lang w:val="en-US"/>
        </w:rPr>
        <w:t>HbAlc</w:t>
      </w:r>
      <w:proofErr w:type="spellEnd"/>
      <w:r w:rsidRPr="00A55E67">
        <w:rPr>
          <w:rFonts w:eastAsia="Times New Roman" w:cs="Arial"/>
          <w:color w:val="000000"/>
        </w:rPr>
        <w:t xml:space="preserve"> </w:t>
      </w:r>
      <w:r w:rsidRPr="00A55E67">
        <w:rPr>
          <w:rFonts w:eastAsia="Times New Roman" w:cs="Arial"/>
          <w:color w:val="000000"/>
          <w:lang w:eastAsia="bg-BG"/>
        </w:rPr>
        <w:t xml:space="preserve">8,6%. Понижението на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 xml:space="preserve">наблюдавано при пациенти с изходен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&gt;10,0% е по-голямо.</w:t>
      </w:r>
    </w:p>
    <w:p w14:paraId="55940024" w14:textId="77777777" w:rsidR="00A55E67" w:rsidRPr="00A55E67" w:rsidRDefault="00A55E67" w:rsidP="00A55E67">
      <w:pPr>
        <w:spacing w:line="240" w:lineRule="auto"/>
        <w:rPr>
          <w:rFonts w:eastAsia="Times New Roman" w:cs="Arial"/>
          <w:color w:val="000000"/>
          <w:lang w:eastAsia="bg-BG"/>
        </w:rPr>
      </w:pPr>
    </w:p>
    <w:p w14:paraId="3BF18EBB" w14:textId="2CA51E9C"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Проведено е 24-седмично многоцентрово, рандомизирано, двойносляпо, плацебо контролирано изпитване, за да се оцени терапевтичният ефект на вилдаглиптин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веднъж дневно спрямо плацебо при 515 пациенти с диабет тип 2 и умерено бъбречно увреждане </w:t>
      </w:r>
      <w:r w:rsidRPr="00A55E67">
        <w:rPr>
          <w:rFonts w:eastAsia="Times New Roman" w:cs="Arial"/>
          <w:color w:val="000000"/>
          <w:lang w:val="ru-RU"/>
        </w:rPr>
        <w:t>(</w:t>
      </w:r>
      <w:r w:rsidRPr="00A55E67">
        <w:rPr>
          <w:rFonts w:eastAsia="Times New Roman" w:cs="Arial"/>
          <w:color w:val="000000"/>
          <w:lang w:val="en-US"/>
        </w:rPr>
        <w:t>N</w:t>
      </w:r>
      <w:r w:rsidRPr="00A55E67">
        <w:rPr>
          <w:rFonts w:eastAsia="Times New Roman" w:cs="Arial"/>
          <w:color w:val="000000"/>
          <w:lang w:val="ru-RU"/>
        </w:rPr>
        <w:t xml:space="preserve">=294) </w:t>
      </w:r>
      <w:r w:rsidRPr="00A55E67">
        <w:rPr>
          <w:rFonts w:eastAsia="Times New Roman" w:cs="Arial"/>
          <w:color w:val="000000"/>
          <w:lang w:eastAsia="bg-BG"/>
        </w:rPr>
        <w:t xml:space="preserve">или тежко бъбречно увреждане </w:t>
      </w:r>
      <w:r w:rsidRPr="00A55E67">
        <w:rPr>
          <w:rFonts w:eastAsia="Times New Roman" w:cs="Arial"/>
          <w:color w:val="000000"/>
          <w:lang w:val="ru-RU"/>
        </w:rPr>
        <w:t>(</w:t>
      </w:r>
      <w:r w:rsidRPr="00A55E67">
        <w:rPr>
          <w:rFonts w:eastAsia="Times New Roman" w:cs="Arial"/>
          <w:color w:val="000000"/>
          <w:lang w:val="en-US"/>
        </w:rPr>
        <w:t>N</w:t>
      </w:r>
      <w:r w:rsidRPr="00A55E67">
        <w:rPr>
          <w:rFonts w:eastAsia="Times New Roman" w:cs="Arial"/>
          <w:color w:val="000000"/>
          <w:lang w:val="ru-RU"/>
        </w:rPr>
        <w:t xml:space="preserve">=221). </w:t>
      </w:r>
      <w:r w:rsidRPr="00A55E67">
        <w:rPr>
          <w:rFonts w:eastAsia="Times New Roman" w:cs="Arial"/>
          <w:color w:val="000000"/>
          <w:lang w:eastAsia="bg-BG"/>
        </w:rPr>
        <w:t xml:space="preserve">Съответно 68,8% и 80,5% от пациентите с умерено и тежко бъбречно увреждане са лекувани с инсулин на изходно ниво (средна дневна доза съответно 56 единици и 51,6 единици). При пациентите с умерено бъбречно увреждане вилдаглиптин значимо понижава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 xml:space="preserve">спрямо плацебо (разлика от -0,53%) от средна стойност на изходно ниво 7,9%. При пациентите с тежко бъбречно увреждане вилдаглиптин значимо понижава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спрямо плацебо (разлика -0,56%) от средна стойност на изходно ниво 7,7%.</w:t>
      </w:r>
    </w:p>
    <w:p w14:paraId="1D0D19F7" w14:textId="77777777" w:rsidR="00A55E67" w:rsidRPr="00A55E67" w:rsidRDefault="00A55E67" w:rsidP="00A55E67">
      <w:pPr>
        <w:spacing w:line="240" w:lineRule="auto"/>
        <w:rPr>
          <w:rFonts w:eastAsia="Times New Roman" w:cs="Arial"/>
          <w:color w:val="000000"/>
          <w:lang w:eastAsia="bg-BG"/>
        </w:rPr>
      </w:pPr>
    </w:p>
    <w:p w14:paraId="3CFD679D" w14:textId="29D64B22" w:rsidR="00A55E67" w:rsidRPr="00A55E67" w:rsidRDefault="00A55E67" w:rsidP="00A55E67">
      <w:pPr>
        <w:spacing w:line="240" w:lineRule="auto"/>
        <w:rPr>
          <w:rFonts w:eastAsia="Times New Roman" w:cs="Arial"/>
        </w:rPr>
      </w:pPr>
      <w:r w:rsidRPr="00A55E67">
        <w:rPr>
          <w:rFonts w:eastAsia="Times New Roman" w:cs="Arial"/>
          <w:color w:val="000000"/>
          <w:lang w:eastAsia="bg-BG"/>
        </w:rPr>
        <w:lastRenderedPageBreak/>
        <w:t xml:space="preserve">Проведено е 24-седмично рандомизирано, двойносляпо, плацебо контролирано изпитване при 318 пациенти, за да се оцени ефикасността и безопасността на вилдаглиптин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два пъти дневно) в комбинация с метформин (&gt;1500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дневно) и глимепирид (&gt;4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дневно). Вилдаглиптин в комбинация с метформин и глимепирид значимо понижава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 xml:space="preserve">спрямо плацебо. Коригираната спрямо плацебо разлика в понижението на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спрямо изходно ниво от 8,8% е-0,76%.</w:t>
      </w:r>
    </w:p>
    <w:p w14:paraId="01CC1F3F" w14:textId="77777777" w:rsidR="00A55E67" w:rsidRPr="00A55E67" w:rsidRDefault="00A55E67" w:rsidP="00A55E67">
      <w:pPr>
        <w:spacing w:line="240" w:lineRule="auto"/>
        <w:rPr>
          <w:rFonts w:eastAsia="Times New Roman" w:cs="Arial"/>
          <w:color w:val="000000"/>
          <w:lang w:eastAsia="bg-BG"/>
        </w:rPr>
      </w:pPr>
    </w:p>
    <w:p w14:paraId="607CB70B" w14:textId="1FB07884"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Проведено е 24-седмично рандомизирано, двойносляпо, плацебо контролирано изпитване при 449 пациенти, за да се оцени ефикасността и безопасността на вилдаглиптин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два пъти дневно) в комбинация със стабилна доза базален или смесен инсулин (средна дневна доза от 41 единици), със съпътстващ прием на метформин </w:t>
      </w:r>
      <w:r w:rsidRPr="00A55E67">
        <w:rPr>
          <w:rFonts w:eastAsia="Times New Roman" w:cs="Arial"/>
          <w:color w:val="000000"/>
          <w:lang w:val="ru-RU"/>
        </w:rPr>
        <w:t>(</w:t>
      </w:r>
      <w:r w:rsidRPr="00A55E67">
        <w:rPr>
          <w:rFonts w:eastAsia="Times New Roman" w:cs="Arial"/>
          <w:color w:val="000000"/>
          <w:lang w:val="en-US"/>
        </w:rPr>
        <w:t>N</w:t>
      </w:r>
      <w:r w:rsidRPr="00A55E67">
        <w:rPr>
          <w:rFonts w:eastAsia="Times New Roman" w:cs="Arial"/>
          <w:color w:val="000000"/>
          <w:lang w:val="ru-RU"/>
        </w:rPr>
        <w:t xml:space="preserve">=276) </w:t>
      </w:r>
      <w:r w:rsidRPr="00A55E67">
        <w:rPr>
          <w:rFonts w:eastAsia="Times New Roman" w:cs="Arial"/>
          <w:color w:val="000000"/>
          <w:lang w:eastAsia="bg-BG"/>
        </w:rPr>
        <w:t xml:space="preserve">или без съпътстващ прием на метформин </w:t>
      </w:r>
      <w:r w:rsidRPr="00A55E67">
        <w:rPr>
          <w:rFonts w:eastAsia="Times New Roman" w:cs="Arial"/>
          <w:color w:val="000000"/>
          <w:lang w:val="ru-RU"/>
        </w:rPr>
        <w:t>(</w:t>
      </w:r>
      <w:r w:rsidRPr="00A55E67">
        <w:rPr>
          <w:rFonts w:eastAsia="Times New Roman" w:cs="Arial"/>
          <w:color w:val="000000"/>
          <w:lang w:val="en-US"/>
        </w:rPr>
        <w:t>N</w:t>
      </w:r>
      <w:r w:rsidRPr="00A55E67">
        <w:rPr>
          <w:rFonts w:eastAsia="Times New Roman" w:cs="Arial"/>
          <w:color w:val="000000"/>
          <w:lang w:val="ru-RU"/>
        </w:rPr>
        <w:t xml:space="preserve">=173). </w:t>
      </w:r>
      <w:r w:rsidRPr="00A55E67">
        <w:rPr>
          <w:rFonts w:eastAsia="Times New Roman" w:cs="Arial"/>
          <w:color w:val="000000"/>
          <w:lang w:eastAsia="bg-BG"/>
        </w:rPr>
        <w:t xml:space="preserve">Вилдаглиптин в комбинация с инсулин значимо понижава </w:t>
      </w:r>
      <w:proofErr w:type="spellStart"/>
      <w:r w:rsidRPr="00A55E67">
        <w:rPr>
          <w:rFonts w:eastAsia="Times New Roman" w:cs="Arial"/>
          <w:color w:val="000000"/>
          <w:lang w:val="en-US"/>
        </w:rPr>
        <w:t>HbA</w:t>
      </w:r>
      <w:proofErr w:type="spellEnd"/>
      <w:r w:rsidRPr="00A55E67">
        <w:rPr>
          <w:rFonts w:eastAsia="Times New Roman" w:cs="Arial"/>
          <w:color w:val="000000"/>
          <w:lang w:val="ru-RU"/>
        </w:rPr>
        <w:t>1</w:t>
      </w:r>
      <w:r w:rsidRPr="00A55E67">
        <w:rPr>
          <w:rFonts w:eastAsia="Times New Roman" w:cs="Arial"/>
          <w:color w:val="000000"/>
          <w:lang w:val="en-US"/>
        </w:rPr>
        <w:t>c</w:t>
      </w:r>
      <w:r w:rsidRPr="00A55E67">
        <w:rPr>
          <w:rFonts w:eastAsia="Times New Roman" w:cs="Arial"/>
          <w:color w:val="000000"/>
          <w:lang w:val="ru-RU"/>
        </w:rPr>
        <w:t xml:space="preserve"> </w:t>
      </w:r>
      <w:r w:rsidRPr="00A55E67">
        <w:rPr>
          <w:rFonts w:eastAsia="Times New Roman" w:cs="Arial"/>
          <w:color w:val="000000"/>
          <w:lang w:eastAsia="bg-BG"/>
        </w:rPr>
        <w:t xml:space="preserve">спрямо плацебо. В общата популация коригираното спрямо плацебо понижение от средна изходна стойност на </w:t>
      </w:r>
      <w:proofErr w:type="spellStart"/>
      <w:r w:rsidRPr="00A55E67">
        <w:rPr>
          <w:rFonts w:eastAsia="Times New Roman" w:cs="Arial"/>
          <w:color w:val="000000"/>
          <w:lang w:val="en-US"/>
        </w:rPr>
        <w:t>HbA</w:t>
      </w:r>
      <w:proofErr w:type="spellEnd"/>
      <w:r w:rsidRPr="00A55E67">
        <w:rPr>
          <w:rFonts w:eastAsia="Times New Roman" w:cs="Arial"/>
          <w:color w:val="000000"/>
          <w:lang w:val="ru-RU"/>
        </w:rPr>
        <w:t>1</w:t>
      </w:r>
      <w:r w:rsidRPr="00A55E67">
        <w:rPr>
          <w:rFonts w:eastAsia="Times New Roman" w:cs="Arial"/>
          <w:color w:val="000000"/>
          <w:lang w:val="en-US"/>
        </w:rPr>
        <w:t>c</w:t>
      </w:r>
      <w:r w:rsidRPr="00A55E67">
        <w:rPr>
          <w:rFonts w:eastAsia="Times New Roman" w:cs="Arial"/>
          <w:color w:val="000000"/>
          <w:lang w:val="ru-RU"/>
        </w:rPr>
        <w:t xml:space="preserve"> </w:t>
      </w:r>
      <w:r w:rsidRPr="00A55E67">
        <w:rPr>
          <w:rFonts w:eastAsia="Times New Roman" w:cs="Arial"/>
          <w:color w:val="000000"/>
          <w:lang w:eastAsia="bg-BG"/>
        </w:rPr>
        <w:t xml:space="preserve">8,8% е 0,72%. В подгрупите, лекувани с инсулин с или без съпътстващ прием на метформин, коригираното спрямо плацебо средно понижение на </w:t>
      </w:r>
      <w:proofErr w:type="spellStart"/>
      <w:r w:rsidRPr="00A55E67">
        <w:rPr>
          <w:rFonts w:eastAsia="Times New Roman" w:cs="Arial"/>
          <w:color w:val="000000"/>
          <w:lang w:val="en-US"/>
        </w:rPr>
        <w:t>HbA</w:t>
      </w:r>
      <w:proofErr w:type="spellEnd"/>
      <w:r w:rsidRPr="00A55E67">
        <w:rPr>
          <w:rFonts w:eastAsia="Times New Roman" w:cs="Arial"/>
          <w:color w:val="000000"/>
          <w:lang w:val="ru-RU"/>
        </w:rPr>
        <w:t>1</w:t>
      </w:r>
      <w:r w:rsidRPr="00A55E67">
        <w:rPr>
          <w:rFonts w:eastAsia="Times New Roman" w:cs="Arial"/>
          <w:color w:val="000000"/>
          <w:lang w:val="en-US"/>
        </w:rPr>
        <w:t>c</w:t>
      </w:r>
      <w:r w:rsidRPr="00A55E67">
        <w:rPr>
          <w:rFonts w:eastAsia="Times New Roman" w:cs="Arial"/>
          <w:color w:val="000000"/>
          <w:lang w:val="ru-RU"/>
        </w:rPr>
        <w:t xml:space="preserve"> </w:t>
      </w:r>
      <w:r w:rsidRPr="00A55E67">
        <w:rPr>
          <w:rFonts w:eastAsia="Times New Roman" w:cs="Arial"/>
          <w:color w:val="000000"/>
          <w:lang w:eastAsia="bg-BG"/>
        </w:rPr>
        <w:t xml:space="preserve">е съответно -0,63% и -0,84%. Честотата на хипогликемия в общата популация е 8,4% и 7,2%, съответно в групите на вилдаглиптин и плацебо. При пациентите, приемащи вилдаглиптин, не се наблюдава повишение на теглото (+0,2 </w:t>
      </w:r>
      <w:r w:rsidRPr="00A55E67">
        <w:rPr>
          <w:rFonts w:eastAsia="Times New Roman" w:cs="Arial"/>
          <w:color w:val="000000"/>
          <w:lang w:val="en-US"/>
        </w:rPr>
        <w:t>kg</w:t>
      </w:r>
      <w:r w:rsidRPr="00A55E67">
        <w:rPr>
          <w:rFonts w:eastAsia="Times New Roman" w:cs="Arial"/>
          <w:color w:val="000000"/>
          <w:lang w:val="ru-RU"/>
        </w:rPr>
        <w:t xml:space="preserve">), </w:t>
      </w:r>
      <w:r w:rsidRPr="00A55E67">
        <w:rPr>
          <w:rFonts w:eastAsia="Times New Roman" w:cs="Arial"/>
          <w:color w:val="000000"/>
          <w:lang w:eastAsia="bg-BG"/>
        </w:rPr>
        <w:t xml:space="preserve">докато при приемащите плацебо се наблюдава понижение на теглото (-0,7 </w:t>
      </w:r>
      <w:r w:rsidRPr="00A55E67">
        <w:rPr>
          <w:rFonts w:eastAsia="Times New Roman" w:cs="Arial"/>
          <w:color w:val="000000"/>
          <w:lang w:val="en-US"/>
        </w:rPr>
        <w:t>kg</w:t>
      </w:r>
      <w:r w:rsidRPr="00A55E67">
        <w:rPr>
          <w:rFonts w:eastAsia="Times New Roman" w:cs="Arial"/>
          <w:color w:val="000000"/>
          <w:lang w:val="ru-RU"/>
        </w:rPr>
        <w:t>).</w:t>
      </w:r>
    </w:p>
    <w:p w14:paraId="2B870600" w14:textId="7E1FACE3"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При друго 24-седмично проучване при пациенти с по-напреднал захарен диабет тип 2, при които не е постигнат адекватен контрол с лечението с инсулин (кратко и дългодействащ, средна доза на инсулин от 80 IU дневно), средното понижение на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 xml:space="preserve">при добавяне на вилдаглиптин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два пъти дневно) към инсулин е статистически значимо по-голямо отколкото при комбинацията плацебо плюс инсулин (0,5% спрямо 0,2%). Честотата на хипогликемия е по- ниска в групата на вилдаглиптин спрямо плацебо групата (22,9% спрямо 29,6%).</w:t>
      </w:r>
    </w:p>
    <w:p w14:paraId="311D63C5" w14:textId="77777777" w:rsidR="00A55E67" w:rsidRPr="00A55E67" w:rsidRDefault="00A55E67" w:rsidP="00A55E67">
      <w:pPr>
        <w:spacing w:line="240" w:lineRule="auto"/>
        <w:rPr>
          <w:rFonts w:eastAsia="Times New Roman" w:cs="Arial"/>
          <w:color w:val="000000"/>
          <w:lang w:eastAsia="bg-BG"/>
        </w:rPr>
      </w:pPr>
    </w:p>
    <w:p w14:paraId="11E54C95" w14:textId="77777777" w:rsidR="00A55E67" w:rsidRPr="00A55E67" w:rsidRDefault="00A55E67" w:rsidP="00A55E67">
      <w:pPr>
        <w:rPr>
          <w:rFonts w:eastAsia="Times New Roman" w:cs="Arial"/>
        </w:rPr>
      </w:pPr>
      <w:r w:rsidRPr="00A55E67">
        <w:rPr>
          <w:rFonts w:eastAsia="Times New Roman" w:cs="Arial"/>
          <w:color w:val="000000"/>
          <w:lang w:eastAsia="bg-BG"/>
        </w:rPr>
        <w:t xml:space="preserve">Проведено е 52-седмично многоцентрово, рандомизирано, двойносляпо изпитване при пациенти с диабет тип 2 и застойна сърдечна недостатъчност (функционален клас по </w:t>
      </w:r>
      <w:r w:rsidRPr="00A55E67">
        <w:rPr>
          <w:rFonts w:eastAsia="Times New Roman" w:cs="Arial"/>
          <w:color w:val="000000"/>
          <w:lang w:val="en-US"/>
        </w:rPr>
        <w:t>NYHA</w:t>
      </w:r>
      <w:r w:rsidRPr="00A55E67">
        <w:rPr>
          <w:rFonts w:eastAsia="Times New Roman" w:cs="Arial"/>
          <w:color w:val="000000"/>
          <w:lang w:val="ru-RU"/>
        </w:rPr>
        <w:t xml:space="preserve"> </w:t>
      </w:r>
      <w:r w:rsidRPr="00A55E67">
        <w:rPr>
          <w:rFonts w:eastAsia="Times New Roman" w:cs="Arial"/>
          <w:color w:val="000000"/>
          <w:lang w:val="en-US"/>
        </w:rPr>
        <w:t>I</w:t>
      </w:r>
      <w:r w:rsidRPr="00A55E67">
        <w:rPr>
          <w:rFonts w:eastAsia="Times New Roman" w:cs="Arial"/>
          <w:color w:val="000000"/>
          <w:lang w:eastAsia="bg-BG"/>
        </w:rPr>
        <w:t xml:space="preserve">-III), за да се оцени ефекта на вилдаглиптин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два пъти дневно </w:t>
      </w:r>
      <w:r w:rsidRPr="00A55E67">
        <w:rPr>
          <w:rFonts w:eastAsia="Times New Roman" w:cs="Arial"/>
          <w:color w:val="000000"/>
          <w:lang w:val="ru-RU"/>
        </w:rPr>
        <w:t>(</w:t>
      </w:r>
      <w:r w:rsidRPr="00A55E67">
        <w:rPr>
          <w:rFonts w:eastAsia="Times New Roman" w:cs="Arial"/>
          <w:color w:val="000000"/>
          <w:lang w:val="en-US"/>
        </w:rPr>
        <w:t>N</w:t>
      </w:r>
      <w:r w:rsidRPr="00A55E67">
        <w:rPr>
          <w:rFonts w:eastAsia="Times New Roman" w:cs="Arial"/>
          <w:color w:val="000000"/>
          <w:lang w:val="ru-RU"/>
        </w:rPr>
        <w:t xml:space="preserve">=128) </w:t>
      </w:r>
      <w:r w:rsidRPr="00A55E67">
        <w:rPr>
          <w:rFonts w:eastAsia="Times New Roman" w:cs="Arial"/>
          <w:color w:val="000000"/>
          <w:lang w:eastAsia="bg-BG"/>
        </w:rPr>
        <w:t xml:space="preserve">спрямо плацебо </w:t>
      </w:r>
      <w:r w:rsidRPr="00A55E67">
        <w:rPr>
          <w:rFonts w:eastAsia="Times New Roman" w:cs="Arial"/>
          <w:color w:val="000000"/>
          <w:lang w:val="en-US"/>
        </w:rPr>
        <w:t>N</w:t>
      </w:r>
      <w:r w:rsidRPr="00A55E67">
        <w:rPr>
          <w:rFonts w:eastAsia="Times New Roman" w:cs="Arial"/>
          <w:color w:val="000000"/>
          <w:lang w:val="ru-RU"/>
        </w:rPr>
        <w:t xml:space="preserve">=126) </w:t>
      </w:r>
      <w:r w:rsidRPr="00A55E67">
        <w:rPr>
          <w:rFonts w:eastAsia="Times New Roman" w:cs="Arial"/>
          <w:color w:val="000000"/>
          <w:lang w:eastAsia="bg-BG"/>
        </w:rPr>
        <w:t xml:space="preserve">върху фракцията на изтласкване на лявата камера </w:t>
      </w:r>
      <w:r w:rsidRPr="00A55E67">
        <w:rPr>
          <w:rFonts w:eastAsia="Times New Roman" w:cs="Arial"/>
          <w:color w:val="000000"/>
          <w:lang w:val="ru-RU"/>
        </w:rPr>
        <w:t>(</w:t>
      </w:r>
      <w:r w:rsidRPr="00A55E67">
        <w:rPr>
          <w:rFonts w:eastAsia="Times New Roman" w:cs="Arial"/>
          <w:color w:val="000000"/>
          <w:lang w:val="en-US"/>
        </w:rPr>
        <w:t>LVEF</w:t>
      </w:r>
      <w:r w:rsidRPr="00A55E67">
        <w:rPr>
          <w:rFonts w:eastAsia="Times New Roman" w:cs="Arial"/>
          <w:color w:val="000000"/>
          <w:lang w:val="ru-RU"/>
        </w:rPr>
        <w:t xml:space="preserve">). </w:t>
      </w:r>
      <w:r w:rsidRPr="00A55E67">
        <w:rPr>
          <w:rFonts w:eastAsia="Times New Roman" w:cs="Arial"/>
          <w:color w:val="000000"/>
          <w:lang w:eastAsia="bg-BG"/>
        </w:rPr>
        <w:t>Приложението на вилдаглиптин не е свързано с промяна във функцията на лявата камера или с влошаване на</w:t>
      </w:r>
      <w:r w:rsidRPr="00A55E67">
        <w:rPr>
          <w:rFonts w:eastAsia="Times New Roman" w:cs="Arial"/>
          <w:color w:val="000000"/>
          <w:lang w:val="ru-RU"/>
        </w:rPr>
        <w:t xml:space="preserve"> </w:t>
      </w:r>
      <w:r w:rsidRPr="00A55E67">
        <w:rPr>
          <w:rFonts w:eastAsia="Times New Roman" w:cs="Arial"/>
          <w:color w:val="000000"/>
          <w:lang w:eastAsia="bg-BG"/>
        </w:rPr>
        <w:t xml:space="preserve">съществуваща ЗСН. Като цяло предварително определените нежелани сърдечно-съдови събития са балансирани. Наблюдават се повече сърдечно-съдови събития при пациенти със сърдечна недостатъчност клас </w:t>
      </w:r>
      <w:r w:rsidRPr="00A55E67">
        <w:rPr>
          <w:rFonts w:eastAsia="Times New Roman" w:cs="Arial"/>
          <w:color w:val="000000"/>
          <w:lang w:val="en-US"/>
        </w:rPr>
        <w:t>III</w:t>
      </w:r>
      <w:r w:rsidRPr="00A55E67">
        <w:rPr>
          <w:rFonts w:eastAsia="Times New Roman" w:cs="Arial"/>
          <w:color w:val="000000"/>
          <w:lang w:eastAsia="bg-BG"/>
        </w:rPr>
        <w:t xml:space="preserve"> по </w:t>
      </w:r>
      <w:r w:rsidRPr="00A55E67">
        <w:rPr>
          <w:rFonts w:eastAsia="Times New Roman" w:cs="Arial"/>
          <w:color w:val="000000"/>
          <w:lang w:val="en-US"/>
        </w:rPr>
        <w:t>NYHA</w:t>
      </w:r>
      <w:r w:rsidRPr="00A55E67">
        <w:rPr>
          <w:rFonts w:eastAsia="Times New Roman" w:cs="Arial"/>
          <w:color w:val="000000"/>
          <w:lang w:val="ru-RU"/>
        </w:rPr>
        <w:t xml:space="preserve">, </w:t>
      </w:r>
      <w:r w:rsidRPr="00A55E67">
        <w:rPr>
          <w:rFonts w:eastAsia="Times New Roman" w:cs="Arial"/>
          <w:color w:val="000000"/>
          <w:lang w:eastAsia="bg-BG"/>
        </w:rPr>
        <w:t>лекувани с вилдаглиптин спрямо плацебо. Въпреки това на изходно ниво съществува дисбаланс по отношение на сърдечно-съдовия риск в полза на плацебо и броят на</w:t>
      </w:r>
      <w:r w:rsidRPr="00A55E67">
        <w:rPr>
          <w:rFonts w:eastAsia="Times New Roman" w:cs="Arial"/>
          <w:color w:val="000000"/>
          <w:lang w:val="ru-RU" w:eastAsia="bg-BG"/>
        </w:rPr>
        <w:t xml:space="preserve"> </w:t>
      </w:r>
      <w:r w:rsidRPr="00A55E67">
        <w:rPr>
          <w:rFonts w:eastAsia="Times New Roman" w:cs="Arial"/>
          <w:color w:val="000000"/>
          <w:lang w:eastAsia="bg-BG"/>
        </w:rPr>
        <w:t xml:space="preserve">събитията е нисък, което изключва категорични заключения. Вилдаглиптин значимо понижава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 xml:space="preserve">спрямо плацебо на 16-та седмица (разлика от 0,6%) при средно изходно ниво от 7,8%. В подгрупата с клас </w:t>
      </w:r>
      <w:r w:rsidRPr="00A55E67">
        <w:rPr>
          <w:rFonts w:eastAsia="Times New Roman" w:cs="Arial"/>
          <w:color w:val="000000"/>
          <w:lang w:val="en-US"/>
        </w:rPr>
        <w:t>III</w:t>
      </w:r>
      <w:r w:rsidRPr="00A55E67">
        <w:rPr>
          <w:rFonts w:eastAsia="Times New Roman" w:cs="Arial"/>
          <w:color w:val="000000"/>
          <w:lang w:eastAsia="bg-BG"/>
        </w:rPr>
        <w:t xml:space="preserve"> по </w:t>
      </w:r>
      <w:r w:rsidRPr="00A55E67">
        <w:rPr>
          <w:rFonts w:eastAsia="Times New Roman" w:cs="Arial"/>
          <w:color w:val="000000"/>
          <w:lang w:val="en-US"/>
        </w:rPr>
        <w:t>NYHA</w:t>
      </w:r>
      <w:r w:rsidRPr="00A55E67">
        <w:rPr>
          <w:rFonts w:eastAsia="Times New Roman" w:cs="Arial"/>
          <w:color w:val="000000"/>
          <w:lang w:val="ru-RU"/>
        </w:rPr>
        <w:t xml:space="preserve"> </w:t>
      </w:r>
      <w:r w:rsidRPr="00A55E67">
        <w:rPr>
          <w:rFonts w:eastAsia="Times New Roman" w:cs="Arial"/>
          <w:color w:val="000000"/>
          <w:lang w:eastAsia="bg-BG"/>
        </w:rPr>
        <w:t xml:space="preserve">понижението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сравнено с плацебо е по-ниско (0,3% разлика), но не може да се направи заключение поради малкия брой пациенти (</w:t>
      </w:r>
      <w:r w:rsidRPr="00A55E67">
        <w:rPr>
          <w:rFonts w:eastAsia="Times New Roman" w:cs="Arial"/>
          <w:color w:val="000000"/>
          <w:lang w:val="en-US"/>
        </w:rPr>
        <w:t>n</w:t>
      </w:r>
      <w:r w:rsidRPr="00A55E67">
        <w:rPr>
          <w:rFonts w:eastAsia="Times New Roman" w:cs="Arial"/>
          <w:color w:val="000000"/>
          <w:lang w:eastAsia="bg-BG"/>
        </w:rPr>
        <w:t>=44). Честотата на случаите на хипогликемия в общата популация е съответно 4,7% и 5,6% в групите на вилдаглиптин и плацебо.</w:t>
      </w:r>
    </w:p>
    <w:p w14:paraId="4A479EF6" w14:textId="77777777" w:rsidR="00A55E67" w:rsidRPr="00A55E67" w:rsidRDefault="00A55E67" w:rsidP="00A55E67">
      <w:pPr>
        <w:spacing w:line="240" w:lineRule="auto"/>
        <w:rPr>
          <w:rFonts w:eastAsia="Times New Roman" w:cs="Arial"/>
          <w:color w:val="000000"/>
          <w:lang w:eastAsia="bg-BG"/>
        </w:rPr>
      </w:pPr>
    </w:p>
    <w:p w14:paraId="24B79AB1" w14:textId="44B40C45"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Проведено е петгодишно, многоцентрово, рандомизирано, двойносляпо проучване </w:t>
      </w:r>
      <w:r w:rsidRPr="00A55E67">
        <w:rPr>
          <w:rFonts w:eastAsia="Times New Roman" w:cs="Arial"/>
          <w:color w:val="000000"/>
          <w:lang w:val="ru-RU"/>
        </w:rPr>
        <w:t>(</w:t>
      </w:r>
      <w:r w:rsidRPr="00A55E67">
        <w:rPr>
          <w:rFonts w:eastAsia="Times New Roman" w:cs="Arial"/>
          <w:color w:val="000000"/>
          <w:lang w:val="en-US"/>
        </w:rPr>
        <w:t>VERIFY</w:t>
      </w:r>
      <w:r w:rsidRPr="00A55E67">
        <w:rPr>
          <w:rFonts w:eastAsia="Times New Roman" w:cs="Arial"/>
          <w:color w:val="000000"/>
          <w:lang w:val="ru-RU"/>
        </w:rPr>
        <w:t xml:space="preserve">) </w:t>
      </w:r>
      <w:r w:rsidRPr="00A55E67">
        <w:rPr>
          <w:rFonts w:eastAsia="Times New Roman" w:cs="Arial"/>
          <w:color w:val="000000"/>
          <w:lang w:eastAsia="bg-BG"/>
        </w:rPr>
        <w:t xml:space="preserve">при пациенти със захарен диабет тип 2, за да се оцени ефектът на ранно лечение с комбинацията вилдаглиптин и метформин </w:t>
      </w:r>
      <w:r w:rsidRPr="00A55E67">
        <w:rPr>
          <w:rFonts w:eastAsia="Times New Roman" w:cs="Arial"/>
          <w:color w:val="000000"/>
          <w:lang w:val="ru-RU"/>
        </w:rPr>
        <w:t>(</w:t>
      </w:r>
      <w:r w:rsidRPr="00A55E67">
        <w:rPr>
          <w:rFonts w:eastAsia="Times New Roman" w:cs="Arial"/>
          <w:color w:val="000000"/>
          <w:lang w:val="en-US"/>
        </w:rPr>
        <w:t>N</w:t>
      </w:r>
      <w:r w:rsidRPr="00A55E67">
        <w:rPr>
          <w:rFonts w:eastAsia="Times New Roman" w:cs="Arial"/>
          <w:color w:val="000000"/>
          <w:lang w:val="ru-RU"/>
        </w:rPr>
        <w:t xml:space="preserve">=998) </w:t>
      </w:r>
      <w:r w:rsidRPr="00A55E67">
        <w:rPr>
          <w:rFonts w:eastAsia="Times New Roman" w:cs="Arial"/>
          <w:color w:val="000000"/>
          <w:lang w:eastAsia="bg-BG"/>
        </w:rPr>
        <w:t xml:space="preserve">спрямо стандартна първоначална монотерапия с метформин, последвана от комбинация с вилдаглиптин </w:t>
      </w:r>
      <w:r w:rsidRPr="00A55E67">
        <w:rPr>
          <w:rFonts w:eastAsia="Times New Roman" w:cs="Arial"/>
          <w:color w:val="000000"/>
          <w:lang w:eastAsia="bg-BG"/>
        </w:rPr>
        <w:lastRenderedPageBreak/>
        <w:t xml:space="preserve">(група на последователно лечение) </w:t>
      </w:r>
      <w:r w:rsidRPr="00A55E67">
        <w:rPr>
          <w:rFonts w:eastAsia="Times New Roman" w:cs="Arial"/>
          <w:color w:val="000000"/>
          <w:lang w:val="ru-RU"/>
        </w:rPr>
        <w:t>(</w:t>
      </w:r>
      <w:r w:rsidRPr="00A55E67">
        <w:rPr>
          <w:rFonts w:eastAsia="Times New Roman" w:cs="Arial"/>
          <w:color w:val="000000"/>
          <w:lang w:val="en-US"/>
        </w:rPr>
        <w:t>N</w:t>
      </w:r>
      <w:r w:rsidRPr="00A55E67">
        <w:rPr>
          <w:rFonts w:eastAsia="Times New Roman" w:cs="Arial"/>
          <w:color w:val="000000"/>
          <w:lang w:val="ru-RU"/>
        </w:rPr>
        <w:t xml:space="preserve">=1003) </w:t>
      </w:r>
      <w:r w:rsidRPr="00A55E67">
        <w:rPr>
          <w:rFonts w:eastAsia="Times New Roman" w:cs="Arial"/>
          <w:color w:val="000000"/>
          <w:lang w:eastAsia="bg-BG"/>
        </w:rPr>
        <w:t>при новодиагностицирани пациенти със захарен диабет тип 2.</w:t>
      </w:r>
    </w:p>
    <w:p w14:paraId="32B6325F" w14:textId="77777777"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Схемата с комбинацията на вилдаглиптин 50 </w:t>
      </w:r>
      <w:r w:rsidRPr="00A55E67">
        <w:rPr>
          <w:rFonts w:eastAsia="Times New Roman" w:cs="Arial"/>
          <w:color w:val="000000"/>
          <w:lang w:val="en-US"/>
        </w:rPr>
        <w:t>mg</w:t>
      </w:r>
      <w:r w:rsidRPr="00A55E67">
        <w:rPr>
          <w:rFonts w:eastAsia="Times New Roman" w:cs="Arial"/>
          <w:color w:val="000000"/>
          <w:lang w:val="ru-RU"/>
        </w:rPr>
        <w:t xml:space="preserve"> </w:t>
      </w:r>
      <w:r w:rsidRPr="00A55E67">
        <w:rPr>
          <w:rFonts w:eastAsia="Times New Roman" w:cs="Arial"/>
          <w:color w:val="000000"/>
          <w:lang w:eastAsia="bg-BG"/>
        </w:rPr>
        <w:t xml:space="preserve">два пъти дневно плюс метформин води до статистически и клинично значимо относително намаляване на риска “време до потвърден неуспех на първоначалното лечение“ (стойност на </w:t>
      </w:r>
      <w:proofErr w:type="spellStart"/>
      <w:r w:rsidRPr="00A55E67">
        <w:rPr>
          <w:rFonts w:eastAsia="Times New Roman" w:cs="Arial"/>
          <w:color w:val="000000"/>
          <w:lang w:val="en-US"/>
        </w:rPr>
        <w:t>HbAlc</w:t>
      </w:r>
      <w:proofErr w:type="spellEnd"/>
      <w:r w:rsidRPr="00A55E67">
        <w:rPr>
          <w:rFonts w:eastAsia="Times New Roman" w:cs="Arial"/>
          <w:color w:val="000000"/>
          <w:lang w:val="ru-RU"/>
        </w:rPr>
        <w:t xml:space="preserve"> </w:t>
      </w:r>
      <w:r w:rsidRPr="00A55E67">
        <w:rPr>
          <w:rFonts w:eastAsia="Times New Roman" w:cs="Arial"/>
          <w:color w:val="000000"/>
          <w:lang w:eastAsia="bg-BG"/>
        </w:rPr>
        <w:t xml:space="preserve">≥7%), спрямо монотерапия с метформин при нелекувани до момента пациенти със захарен диабет тип 2 през 5-годишната продължителност на проучването </w:t>
      </w:r>
      <w:r w:rsidRPr="00A55E67">
        <w:rPr>
          <w:rFonts w:eastAsia="Times New Roman" w:cs="Arial"/>
          <w:color w:val="000000"/>
          <w:lang w:val="ru-RU"/>
        </w:rPr>
        <w:t>(</w:t>
      </w:r>
      <w:r w:rsidRPr="00A55E67">
        <w:rPr>
          <w:rFonts w:eastAsia="Times New Roman" w:cs="Arial"/>
          <w:color w:val="000000"/>
          <w:lang w:val="en-US"/>
        </w:rPr>
        <w:t>HR</w:t>
      </w:r>
      <w:r w:rsidRPr="00A55E67">
        <w:rPr>
          <w:rFonts w:eastAsia="Times New Roman" w:cs="Arial"/>
          <w:color w:val="000000"/>
          <w:lang w:val="ru-RU"/>
        </w:rPr>
        <w:t xml:space="preserve"> </w:t>
      </w:r>
      <w:r w:rsidRPr="00A55E67">
        <w:rPr>
          <w:rFonts w:eastAsia="Times New Roman" w:cs="Arial"/>
          <w:color w:val="000000"/>
          <w:lang w:eastAsia="bg-BG"/>
        </w:rPr>
        <w:t>[95%С</w:t>
      </w:r>
      <w:r w:rsidRPr="00A55E67">
        <w:rPr>
          <w:rFonts w:eastAsia="Times New Roman" w:cs="Arial"/>
          <w:color w:val="000000"/>
          <w:lang w:val="en-US"/>
        </w:rPr>
        <w:t>I</w:t>
      </w:r>
      <w:r w:rsidRPr="00A55E67">
        <w:rPr>
          <w:rFonts w:eastAsia="Times New Roman" w:cs="Arial"/>
          <w:color w:val="000000"/>
          <w:lang w:val="ru-RU"/>
        </w:rPr>
        <w:t>]</w:t>
      </w:r>
      <w:r w:rsidRPr="00A55E67">
        <w:rPr>
          <w:rFonts w:eastAsia="Times New Roman" w:cs="Arial"/>
          <w:color w:val="000000"/>
          <w:lang w:eastAsia="bg-BG"/>
        </w:rPr>
        <w:t xml:space="preserve">: 0,51 [0,45,0,58]; р&lt;0.001). Честотата на неуспех на първоначалното лечение (стойност на </w:t>
      </w:r>
      <w:proofErr w:type="spellStart"/>
      <w:r w:rsidRPr="00A55E67">
        <w:rPr>
          <w:rFonts w:eastAsia="Times New Roman" w:cs="Arial"/>
          <w:color w:val="000000"/>
          <w:lang w:val="en-US"/>
        </w:rPr>
        <w:t>HbA</w:t>
      </w:r>
      <w:proofErr w:type="spellEnd"/>
      <w:r w:rsidRPr="00A55E67">
        <w:rPr>
          <w:rFonts w:eastAsia="Times New Roman" w:cs="Arial"/>
          <w:color w:val="000000"/>
          <w:lang w:val="ru-RU"/>
        </w:rPr>
        <w:t>1</w:t>
      </w:r>
      <w:r w:rsidRPr="00A55E67">
        <w:rPr>
          <w:rFonts w:eastAsia="Times New Roman" w:cs="Arial"/>
          <w:color w:val="000000"/>
          <w:lang w:val="en-US"/>
        </w:rPr>
        <w:t>c</w:t>
      </w:r>
      <w:r w:rsidRPr="00A55E67">
        <w:rPr>
          <w:rFonts w:eastAsia="Times New Roman" w:cs="Arial"/>
          <w:color w:val="000000"/>
          <w:lang w:val="ru-RU"/>
        </w:rPr>
        <w:t xml:space="preserve"> </w:t>
      </w:r>
      <w:r w:rsidRPr="00A55E67">
        <w:rPr>
          <w:rFonts w:eastAsia="Times New Roman" w:cs="Arial"/>
          <w:color w:val="000000"/>
          <w:lang w:eastAsia="bg-BG"/>
        </w:rPr>
        <w:t>≥7%) е 429 (43,6%) пациенти в групата на лечение с комбинацията и 614 (62,1%) пациенти в групата на последователно лечение.</w:t>
      </w:r>
    </w:p>
    <w:p w14:paraId="4391A001" w14:textId="77777777" w:rsidR="00A55E67" w:rsidRPr="00A55E67" w:rsidRDefault="00A55E67" w:rsidP="00A55E67">
      <w:pPr>
        <w:spacing w:line="240" w:lineRule="auto"/>
        <w:rPr>
          <w:rFonts w:eastAsia="Times New Roman" w:cs="Arial"/>
          <w:i/>
          <w:iCs/>
          <w:color w:val="000000"/>
          <w:lang w:eastAsia="bg-BG"/>
        </w:rPr>
      </w:pPr>
    </w:p>
    <w:p w14:paraId="12B73796" w14:textId="1E5525A3" w:rsidR="00A55E67" w:rsidRPr="00A55E67" w:rsidRDefault="00A55E67" w:rsidP="00A55E67">
      <w:pPr>
        <w:spacing w:line="240" w:lineRule="auto"/>
        <w:rPr>
          <w:rFonts w:eastAsia="Times New Roman" w:cs="Arial"/>
        </w:rPr>
      </w:pPr>
      <w:r w:rsidRPr="00A55E67">
        <w:rPr>
          <w:rFonts w:eastAsia="Times New Roman" w:cs="Arial"/>
          <w:i/>
          <w:iCs/>
          <w:color w:val="000000"/>
          <w:lang w:eastAsia="bg-BG"/>
        </w:rPr>
        <w:t>Сърдечно-съдов риск</w:t>
      </w:r>
    </w:p>
    <w:p w14:paraId="19DC3D80" w14:textId="77777777" w:rsidR="00A55E67" w:rsidRPr="00A55E67" w:rsidRDefault="00A55E67" w:rsidP="00A55E67">
      <w:pPr>
        <w:spacing w:line="240" w:lineRule="auto"/>
        <w:rPr>
          <w:rFonts w:eastAsia="Times New Roman" w:cs="Arial"/>
        </w:rPr>
      </w:pPr>
      <w:r w:rsidRPr="00A55E67">
        <w:rPr>
          <w:rFonts w:eastAsia="Times New Roman" w:cs="Arial"/>
          <w:color w:val="000000"/>
          <w:lang w:eastAsia="bg-BG"/>
        </w:rPr>
        <w:t xml:space="preserve">Мета анализ на независимо и предварително определените сърдечно-съдови нежелани събития от 37 фаза III и IV клинични изпитвания при монотерапия и комбинирана терапия, с продължителност над 2 години (средна експозиция 50 седмици за вилдаглиптин и 49 седмици за сравнителните продукти), показва, че лечението с вилдаглиптин не е свързано с повишаване на сърдечно-съдовия риск спрямо сравнителните продукти. Съставната крайна точка на предварително определените големи сърдечно-съдови събития </w:t>
      </w:r>
      <w:r w:rsidRPr="00A55E67">
        <w:rPr>
          <w:rFonts w:eastAsia="Times New Roman" w:cs="Arial"/>
          <w:color w:val="000000"/>
        </w:rPr>
        <w:t>(</w:t>
      </w:r>
      <w:r w:rsidRPr="00A55E67">
        <w:rPr>
          <w:rFonts w:eastAsia="Times New Roman" w:cs="Arial"/>
          <w:color w:val="000000"/>
          <w:lang w:val="en-US"/>
        </w:rPr>
        <w:t>major</w:t>
      </w:r>
      <w:r w:rsidRPr="00A55E67">
        <w:rPr>
          <w:rFonts w:eastAsia="Times New Roman" w:cs="Arial"/>
          <w:color w:val="000000"/>
        </w:rPr>
        <w:t xml:space="preserve"> </w:t>
      </w:r>
      <w:r w:rsidRPr="00A55E67">
        <w:rPr>
          <w:rFonts w:eastAsia="Times New Roman" w:cs="Arial"/>
          <w:color w:val="000000"/>
          <w:lang w:val="en-US"/>
        </w:rPr>
        <w:t>adverse</w:t>
      </w:r>
      <w:r w:rsidRPr="00A55E67">
        <w:rPr>
          <w:rFonts w:eastAsia="Times New Roman" w:cs="Arial"/>
          <w:color w:val="000000"/>
        </w:rPr>
        <w:t xml:space="preserve"> </w:t>
      </w:r>
      <w:r w:rsidRPr="00A55E67">
        <w:rPr>
          <w:rFonts w:eastAsia="Times New Roman" w:cs="Arial"/>
          <w:color w:val="000000"/>
          <w:lang w:val="en-US"/>
        </w:rPr>
        <w:t>cardiovascular</w:t>
      </w:r>
      <w:r w:rsidRPr="00A55E67">
        <w:rPr>
          <w:rFonts w:eastAsia="Times New Roman" w:cs="Arial"/>
          <w:color w:val="000000"/>
        </w:rPr>
        <w:t xml:space="preserve"> </w:t>
      </w:r>
      <w:r w:rsidRPr="00A55E67">
        <w:rPr>
          <w:rFonts w:eastAsia="Times New Roman" w:cs="Arial"/>
          <w:color w:val="000000"/>
          <w:lang w:val="en-US"/>
        </w:rPr>
        <w:t>events</w:t>
      </w:r>
      <w:r w:rsidRPr="00A55E67">
        <w:rPr>
          <w:rFonts w:eastAsia="Times New Roman" w:cs="Arial"/>
          <w:color w:val="000000"/>
        </w:rPr>
        <w:t xml:space="preserve"> - </w:t>
      </w:r>
      <w:r w:rsidRPr="00A55E67">
        <w:rPr>
          <w:rFonts w:eastAsia="Times New Roman" w:cs="Arial"/>
          <w:color w:val="000000"/>
          <w:lang w:val="en-US"/>
        </w:rPr>
        <w:t>MACE</w:t>
      </w:r>
      <w:r w:rsidRPr="00A55E67">
        <w:rPr>
          <w:rFonts w:eastAsia="Times New Roman" w:cs="Arial"/>
          <w:color w:val="000000"/>
        </w:rPr>
        <w:t xml:space="preserve">), </w:t>
      </w:r>
      <w:r w:rsidRPr="00A55E67">
        <w:rPr>
          <w:rFonts w:eastAsia="Times New Roman" w:cs="Arial"/>
          <w:color w:val="000000"/>
          <w:lang w:eastAsia="bg-BG"/>
        </w:rPr>
        <w:t xml:space="preserve">включително миокарден инфаркт, инсулт или смърт поради сърдечно-съдова причина е подобна при вилдаглиптин спрямо комбинирани активни и плацебо сравнителни продукти [Относителен риск по </w:t>
      </w:r>
      <w:r w:rsidRPr="00A55E67">
        <w:rPr>
          <w:rFonts w:eastAsia="Times New Roman" w:cs="Arial"/>
          <w:color w:val="000000"/>
          <w:lang w:val="en-US"/>
        </w:rPr>
        <w:t>Mantel</w:t>
      </w:r>
      <w:r w:rsidRPr="00A55E67">
        <w:rPr>
          <w:rFonts w:eastAsia="Times New Roman" w:cs="Arial"/>
          <w:color w:val="000000"/>
        </w:rPr>
        <w:t>-</w:t>
      </w:r>
      <w:proofErr w:type="spellStart"/>
      <w:r w:rsidRPr="00A55E67">
        <w:rPr>
          <w:rFonts w:eastAsia="Times New Roman" w:cs="Arial"/>
          <w:color w:val="000000"/>
          <w:lang w:val="en-US"/>
        </w:rPr>
        <w:t>Haenszel</w:t>
      </w:r>
      <w:proofErr w:type="spellEnd"/>
      <w:r w:rsidRPr="00A55E67">
        <w:rPr>
          <w:rFonts w:eastAsia="Times New Roman" w:cs="Arial"/>
          <w:color w:val="000000"/>
        </w:rPr>
        <w:t xml:space="preserve"> </w:t>
      </w:r>
      <w:r w:rsidRPr="00A55E67">
        <w:rPr>
          <w:rFonts w:eastAsia="Times New Roman" w:cs="Arial"/>
          <w:color w:val="000000"/>
          <w:lang w:eastAsia="bg-BG"/>
        </w:rPr>
        <w:t xml:space="preserve">(М-Н </w:t>
      </w:r>
      <w:r w:rsidRPr="00A55E67">
        <w:rPr>
          <w:rFonts w:eastAsia="Times New Roman" w:cs="Arial"/>
          <w:color w:val="000000"/>
          <w:lang w:val="en-US"/>
        </w:rPr>
        <w:t>RR</w:t>
      </w:r>
      <w:r w:rsidRPr="00A55E67">
        <w:rPr>
          <w:rFonts w:eastAsia="Times New Roman" w:cs="Arial"/>
          <w:color w:val="000000"/>
        </w:rPr>
        <w:t xml:space="preserve">) </w:t>
      </w:r>
      <w:r w:rsidRPr="00A55E67">
        <w:rPr>
          <w:rFonts w:eastAsia="Times New Roman" w:cs="Arial"/>
          <w:color w:val="000000"/>
          <w:lang w:eastAsia="bg-BG"/>
        </w:rPr>
        <w:t xml:space="preserve">0,82 (95% </w:t>
      </w:r>
      <w:r w:rsidRPr="00A55E67">
        <w:rPr>
          <w:rFonts w:eastAsia="Times New Roman" w:cs="Arial"/>
          <w:color w:val="000000"/>
          <w:lang w:val="en-US"/>
        </w:rPr>
        <w:t>CI</w:t>
      </w:r>
      <w:r w:rsidRPr="00A55E67">
        <w:rPr>
          <w:rFonts w:eastAsia="Times New Roman" w:cs="Arial"/>
          <w:color w:val="000000"/>
        </w:rPr>
        <w:t xml:space="preserve"> </w:t>
      </w:r>
      <w:r w:rsidRPr="00A55E67">
        <w:rPr>
          <w:rFonts w:eastAsia="Times New Roman" w:cs="Arial"/>
          <w:color w:val="000000"/>
          <w:lang w:eastAsia="bg-BG"/>
        </w:rPr>
        <w:t xml:space="preserve">0,61-1,11)]. МАСЕ настъпва при 83 от 9 599 (0,86%) пациенти, лекувани с вилдаглиптин и при 85 от 7 102 (1,20%) пациенти, лекувани със сравнителен продукт. Оценката на всеки отделен компонент на МАСЕ не показва повишен риск (подобен М-Н </w:t>
      </w:r>
      <w:r w:rsidRPr="00A55E67">
        <w:rPr>
          <w:rFonts w:eastAsia="Times New Roman" w:cs="Arial"/>
          <w:color w:val="000000"/>
          <w:lang w:val="en-US"/>
        </w:rPr>
        <w:t>RR</w:t>
      </w:r>
      <w:r w:rsidRPr="00A55E67">
        <w:rPr>
          <w:rFonts w:eastAsia="Times New Roman" w:cs="Arial"/>
          <w:color w:val="000000"/>
          <w:lang w:val="ru-RU"/>
        </w:rPr>
        <w:t xml:space="preserve">). </w:t>
      </w:r>
      <w:r w:rsidRPr="00A55E67">
        <w:rPr>
          <w:rFonts w:eastAsia="Times New Roman" w:cs="Arial"/>
          <w:color w:val="000000"/>
          <w:lang w:eastAsia="bg-BG"/>
        </w:rPr>
        <w:t xml:space="preserve">Събития с потвърдена сърдечна недостатъчност (СН), дефинирана като СН, изискваща хоспитализация, или новопоявила се СН се съобщават при 41 (0,43%) от пациентите, лекувани с вилдаглиптин и при 32 (0,45%) от пациентите, лекувани със сравнителен продукт М-Н </w:t>
      </w:r>
      <w:r w:rsidRPr="00A55E67">
        <w:rPr>
          <w:rFonts w:eastAsia="Times New Roman" w:cs="Arial"/>
          <w:color w:val="000000"/>
          <w:lang w:val="en-US"/>
        </w:rPr>
        <w:t>RR</w:t>
      </w:r>
      <w:r w:rsidRPr="00A55E67">
        <w:rPr>
          <w:rFonts w:eastAsia="Times New Roman" w:cs="Arial"/>
          <w:color w:val="000000"/>
          <w:lang w:val="ru-RU"/>
        </w:rPr>
        <w:t xml:space="preserve"> </w:t>
      </w:r>
      <w:r w:rsidRPr="00A55E67">
        <w:rPr>
          <w:rFonts w:eastAsia="Times New Roman" w:cs="Arial"/>
          <w:color w:val="000000"/>
          <w:lang w:eastAsia="bg-BG"/>
        </w:rPr>
        <w:t xml:space="preserve">1,08 (95 </w:t>
      </w:r>
      <w:r w:rsidRPr="00A55E67">
        <w:rPr>
          <w:rFonts w:eastAsia="Times New Roman" w:cs="Arial"/>
          <w:color w:val="000000"/>
          <w:lang w:val="en-US"/>
        </w:rPr>
        <w:t>CI</w:t>
      </w:r>
      <w:r w:rsidRPr="00A55E67">
        <w:rPr>
          <w:rFonts w:eastAsia="Times New Roman" w:cs="Arial"/>
          <w:color w:val="000000"/>
          <w:lang w:val="ru-RU"/>
        </w:rPr>
        <w:t xml:space="preserve"> </w:t>
      </w:r>
      <w:r w:rsidRPr="00A55E67">
        <w:rPr>
          <w:rFonts w:eastAsia="Times New Roman" w:cs="Arial"/>
          <w:color w:val="000000"/>
          <w:lang w:eastAsia="bg-BG"/>
        </w:rPr>
        <w:t>0,68-1,70).</w:t>
      </w:r>
    </w:p>
    <w:p w14:paraId="746B26AD" w14:textId="77777777" w:rsidR="00A55E67" w:rsidRPr="00A55E67" w:rsidRDefault="00A55E67" w:rsidP="00A55E67">
      <w:pPr>
        <w:spacing w:line="240" w:lineRule="auto"/>
        <w:rPr>
          <w:rFonts w:eastAsia="Times New Roman" w:cs="Arial"/>
          <w:color w:val="000000"/>
          <w:lang w:eastAsia="bg-BG"/>
        </w:rPr>
      </w:pPr>
    </w:p>
    <w:p w14:paraId="31302055" w14:textId="38AA32C9" w:rsidR="00A55E67" w:rsidRPr="00A55E67" w:rsidRDefault="00A55E67" w:rsidP="00A55E67">
      <w:pPr>
        <w:spacing w:line="240" w:lineRule="auto"/>
        <w:rPr>
          <w:rFonts w:eastAsia="Times New Roman" w:cs="Arial"/>
        </w:rPr>
      </w:pPr>
      <w:r w:rsidRPr="00A55E67">
        <w:rPr>
          <w:rFonts w:eastAsia="Times New Roman" w:cs="Arial"/>
          <w:color w:val="000000"/>
          <w:lang w:eastAsia="bg-BG"/>
        </w:rPr>
        <w:t>Таблица 8 - Основни резултати за ефикасност на вилдаглиптин при плацебо контролирани изпитвания за монотерапия и при изпитвания за допълваща терапия (първична ГГТ популация за ефикасност)</w:t>
      </w:r>
    </w:p>
    <w:p w14:paraId="4E0E805B" w14:textId="030BA41D" w:rsidR="00A55E67" w:rsidRDefault="00A55E67" w:rsidP="00A55E67">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56"/>
        <w:gridCol w:w="2329"/>
        <w:gridCol w:w="2329"/>
        <w:gridCol w:w="2336"/>
      </w:tblGrid>
      <w:tr w:rsidR="00A55E67" w14:paraId="2C8D3F1D" w14:textId="77777777" w:rsidTr="00A55E67">
        <w:tc>
          <w:tcPr>
            <w:tcW w:w="2394" w:type="dxa"/>
          </w:tcPr>
          <w:p w14:paraId="62E7DDCD" w14:textId="49239BA8" w:rsidR="00A55E67" w:rsidRPr="00A55E67" w:rsidRDefault="00A55E67" w:rsidP="00A55E67">
            <w:pPr>
              <w:spacing w:line="240" w:lineRule="auto"/>
              <w:rPr>
                <w:rFonts w:ascii="Times New Roman" w:eastAsia="Times New Roman" w:hAnsi="Times New Roman" w:cs="Times New Roman"/>
                <w:szCs w:val="24"/>
              </w:rPr>
            </w:pPr>
            <w:r w:rsidRPr="00A55E67">
              <w:rPr>
                <w:b/>
                <w:bCs/>
                <w:szCs w:val="20"/>
              </w:rPr>
              <w:t>Плацебо контролирани изпитвания - монотеряпия</w:t>
            </w:r>
          </w:p>
        </w:tc>
        <w:tc>
          <w:tcPr>
            <w:tcW w:w="2394" w:type="dxa"/>
          </w:tcPr>
          <w:p w14:paraId="76174A07" w14:textId="77777777" w:rsidR="00A55E67" w:rsidRPr="00A55E67" w:rsidRDefault="00A55E67" w:rsidP="00A55E67">
            <w:r w:rsidRPr="00A55E67">
              <w:rPr>
                <w:b/>
                <w:bCs/>
                <w:szCs w:val="20"/>
              </w:rPr>
              <w:t xml:space="preserve">Средни изходни стойности на </w:t>
            </w:r>
            <w:proofErr w:type="spellStart"/>
            <w:r w:rsidRPr="00A55E67">
              <w:rPr>
                <w:b/>
                <w:bCs/>
                <w:szCs w:val="20"/>
                <w:lang w:val="en-US"/>
              </w:rPr>
              <w:t>HbA</w:t>
            </w:r>
            <w:proofErr w:type="spellEnd"/>
            <w:r w:rsidRPr="00A55E67">
              <w:rPr>
                <w:b/>
                <w:bCs/>
                <w:szCs w:val="20"/>
                <w:lang w:val="ru-RU"/>
              </w:rPr>
              <w:t>1</w:t>
            </w:r>
            <w:r w:rsidRPr="00A55E67">
              <w:rPr>
                <w:b/>
                <w:bCs/>
                <w:szCs w:val="20"/>
                <w:lang w:val="en-US"/>
              </w:rPr>
              <w:t>c</w:t>
            </w:r>
          </w:p>
          <w:p w14:paraId="7434F130" w14:textId="767FF21D" w:rsidR="00A55E67" w:rsidRPr="00A55E67" w:rsidRDefault="00A55E67" w:rsidP="00A55E67">
            <w:pPr>
              <w:spacing w:line="240" w:lineRule="auto"/>
              <w:rPr>
                <w:rFonts w:ascii="Times New Roman" w:eastAsia="Times New Roman" w:hAnsi="Times New Roman" w:cs="Times New Roman"/>
                <w:szCs w:val="24"/>
              </w:rPr>
            </w:pPr>
            <w:r w:rsidRPr="00A55E67">
              <w:rPr>
                <w:b/>
                <w:bCs/>
                <w:szCs w:val="20"/>
              </w:rPr>
              <w:t>(%)</w:t>
            </w:r>
          </w:p>
        </w:tc>
        <w:tc>
          <w:tcPr>
            <w:tcW w:w="2394" w:type="dxa"/>
          </w:tcPr>
          <w:p w14:paraId="2E15B7F9" w14:textId="2578413E" w:rsidR="00A55E67" w:rsidRPr="00A55E67" w:rsidRDefault="00A55E67" w:rsidP="00A55E67">
            <w:pPr>
              <w:spacing w:line="240" w:lineRule="auto"/>
              <w:rPr>
                <w:rFonts w:ascii="Times New Roman" w:eastAsia="Times New Roman" w:hAnsi="Times New Roman" w:cs="Times New Roman"/>
                <w:szCs w:val="24"/>
              </w:rPr>
            </w:pPr>
            <w:r w:rsidRPr="00A55E67">
              <w:rPr>
                <w:b/>
                <w:bCs/>
                <w:szCs w:val="20"/>
              </w:rPr>
              <w:t xml:space="preserve">Средна промяна спрямо изходните стойности на </w:t>
            </w:r>
            <w:proofErr w:type="spellStart"/>
            <w:r w:rsidRPr="00A55E67">
              <w:rPr>
                <w:b/>
                <w:bCs/>
                <w:szCs w:val="20"/>
                <w:lang w:val="en-US"/>
              </w:rPr>
              <w:t>HbAlc</w:t>
            </w:r>
            <w:proofErr w:type="spellEnd"/>
            <w:r w:rsidRPr="00A55E67">
              <w:rPr>
                <w:b/>
                <w:bCs/>
                <w:szCs w:val="20"/>
                <w:lang w:val="ru-RU"/>
              </w:rPr>
              <w:t xml:space="preserve"> </w:t>
            </w:r>
            <w:r w:rsidRPr="00A55E67">
              <w:rPr>
                <w:b/>
                <w:bCs/>
                <w:szCs w:val="20"/>
              </w:rPr>
              <w:t>(%) на 24-та седмица</w:t>
            </w:r>
          </w:p>
        </w:tc>
        <w:tc>
          <w:tcPr>
            <w:tcW w:w="2394" w:type="dxa"/>
          </w:tcPr>
          <w:p w14:paraId="123F96EA" w14:textId="116BA0FF" w:rsidR="00A55E67" w:rsidRPr="00A55E67" w:rsidRDefault="00A55E67" w:rsidP="00A55E67">
            <w:pPr>
              <w:spacing w:line="240" w:lineRule="auto"/>
              <w:rPr>
                <w:rFonts w:ascii="Times New Roman" w:eastAsia="Times New Roman" w:hAnsi="Times New Roman" w:cs="Times New Roman"/>
                <w:szCs w:val="24"/>
              </w:rPr>
            </w:pPr>
            <w:r w:rsidRPr="00A55E67">
              <w:rPr>
                <w:b/>
                <w:bCs/>
                <w:szCs w:val="20"/>
              </w:rPr>
              <w:t xml:space="preserve">Плацебо коригирана средна промяна на </w:t>
            </w:r>
            <w:proofErr w:type="spellStart"/>
            <w:r w:rsidRPr="00A55E67">
              <w:rPr>
                <w:b/>
                <w:bCs/>
                <w:szCs w:val="20"/>
                <w:lang w:val="en-US"/>
              </w:rPr>
              <w:t>HbAlc</w:t>
            </w:r>
            <w:proofErr w:type="spellEnd"/>
            <w:r w:rsidRPr="00A55E67">
              <w:rPr>
                <w:b/>
                <w:bCs/>
                <w:szCs w:val="20"/>
                <w:lang w:val="ru-RU"/>
              </w:rPr>
              <w:t xml:space="preserve"> </w:t>
            </w:r>
            <w:r w:rsidRPr="00A55E67">
              <w:rPr>
                <w:b/>
                <w:bCs/>
                <w:szCs w:val="20"/>
              </w:rPr>
              <w:t>(%) на 24-та седмица (95%С1)</w:t>
            </w:r>
          </w:p>
        </w:tc>
      </w:tr>
      <w:tr w:rsidR="00A55E67" w14:paraId="4B43CF03" w14:textId="77777777" w:rsidTr="00A55E67">
        <w:tc>
          <w:tcPr>
            <w:tcW w:w="2394" w:type="dxa"/>
          </w:tcPr>
          <w:p w14:paraId="41BB068A" w14:textId="690C1653" w:rsidR="00A55E67" w:rsidRPr="00A55E67" w:rsidRDefault="00A55E67" w:rsidP="00A55E67">
            <w:pPr>
              <w:spacing w:line="240" w:lineRule="auto"/>
              <w:rPr>
                <w:rFonts w:ascii="Times New Roman" w:eastAsia="Times New Roman" w:hAnsi="Times New Roman" w:cs="Times New Roman"/>
                <w:szCs w:val="24"/>
              </w:rPr>
            </w:pPr>
            <w:r w:rsidRPr="00A55E67">
              <w:rPr>
                <w:szCs w:val="20"/>
              </w:rPr>
              <w:t xml:space="preserve">Проучване 2301: вилдаглиптин 50 </w:t>
            </w:r>
            <w:r w:rsidRPr="00A55E67">
              <w:rPr>
                <w:szCs w:val="20"/>
                <w:lang w:val="en-US"/>
              </w:rPr>
              <w:t>mg</w:t>
            </w:r>
            <w:r w:rsidRPr="00A55E67">
              <w:rPr>
                <w:szCs w:val="20"/>
                <w:lang w:val="ru-RU"/>
              </w:rPr>
              <w:t xml:space="preserve"> </w:t>
            </w:r>
            <w:r w:rsidRPr="00A55E67">
              <w:rPr>
                <w:szCs w:val="20"/>
              </w:rPr>
              <w:t xml:space="preserve">два пъти дневно </w:t>
            </w:r>
            <w:r w:rsidRPr="00A55E67">
              <w:rPr>
                <w:szCs w:val="20"/>
                <w:lang w:val="ru-RU"/>
              </w:rPr>
              <w:t>(</w:t>
            </w:r>
            <w:r w:rsidRPr="00A55E67">
              <w:rPr>
                <w:szCs w:val="20"/>
                <w:lang w:val="en-US"/>
              </w:rPr>
              <w:t>N</w:t>
            </w:r>
            <w:r w:rsidRPr="00A55E67">
              <w:rPr>
                <w:szCs w:val="20"/>
                <w:lang w:val="ru-RU"/>
              </w:rPr>
              <w:t>=90)</w:t>
            </w:r>
          </w:p>
        </w:tc>
        <w:tc>
          <w:tcPr>
            <w:tcW w:w="2394" w:type="dxa"/>
          </w:tcPr>
          <w:p w14:paraId="0FC15721" w14:textId="77777777" w:rsidR="00A55E67" w:rsidRPr="00A55E67" w:rsidRDefault="00A55E67" w:rsidP="00A55E67">
            <w:r w:rsidRPr="00A55E67">
              <w:rPr>
                <w:szCs w:val="20"/>
              </w:rPr>
              <w:t>8.6</w:t>
            </w:r>
          </w:p>
          <w:p w14:paraId="3EF6AF27" w14:textId="77777777" w:rsidR="00A55E67" w:rsidRPr="00A55E67" w:rsidRDefault="00A55E67" w:rsidP="00A55E67">
            <w:pPr>
              <w:spacing w:line="240" w:lineRule="auto"/>
              <w:rPr>
                <w:rFonts w:ascii="Times New Roman" w:eastAsia="Times New Roman" w:hAnsi="Times New Roman" w:cs="Times New Roman"/>
                <w:szCs w:val="24"/>
              </w:rPr>
            </w:pPr>
          </w:p>
        </w:tc>
        <w:tc>
          <w:tcPr>
            <w:tcW w:w="2394" w:type="dxa"/>
          </w:tcPr>
          <w:p w14:paraId="18AA4EE6" w14:textId="073852D3" w:rsidR="00A55E67" w:rsidRPr="00A55E67" w:rsidRDefault="00A55E67" w:rsidP="00A55E67">
            <w:pPr>
              <w:spacing w:line="240" w:lineRule="auto"/>
              <w:rPr>
                <w:rFonts w:ascii="Times New Roman" w:eastAsia="Times New Roman" w:hAnsi="Times New Roman" w:cs="Times New Roman"/>
                <w:szCs w:val="24"/>
              </w:rPr>
            </w:pPr>
            <w:r w:rsidRPr="00A55E67">
              <w:rPr>
                <w:szCs w:val="20"/>
              </w:rPr>
              <w:t>-0.8</w:t>
            </w:r>
          </w:p>
        </w:tc>
        <w:tc>
          <w:tcPr>
            <w:tcW w:w="2394" w:type="dxa"/>
          </w:tcPr>
          <w:p w14:paraId="58A19E54" w14:textId="16CE2738" w:rsidR="00A55E67" w:rsidRPr="00A55E67" w:rsidRDefault="00A55E67" w:rsidP="00A55E67">
            <w:pPr>
              <w:spacing w:line="240" w:lineRule="auto"/>
              <w:rPr>
                <w:rFonts w:ascii="Times New Roman" w:eastAsia="Times New Roman" w:hAnsi="Times New Roman" w:cs="Times New Roman"/>
                <w:szCs w:val="24"/>
              </w:rPr>
            </w:pPr>
            <w:r w:rsidRPr="00A55E67">
              <w:rPr>
                <w:szCs w:val="20"/>
              </w:rPr>
              <w:t>-0.5* (-0.8, -0.1)</w:t>
            </w:r>
          </w:p>
        </w:tc>
      </w:tr>
      <w:tr w:rsidR="00A55E67" w14:paraId="7248AA08" w14:textId="77777777" w:rsidTr="00A55E67">
        <w:tc>
          <w:tcPr>
            <w:tcW w:w="2394" w:type="dxa"/>
          </w:tcPr>
          <w:p w14:paraId="03697F69" w14:textId="7DC35C84" w:rsidR="00A55E67" w:rsidRPr="00A55E67" w:rsidRDefault="00A55E67" w:rsidP="00A55E67">
            <w:pPr>
              <w:spacing w:line="240" w:lineRule="auto"/>
              <w:rPr>
                <w:rFonts w:ascii="Times New Roman" w:eastAsia="Times New Roman" w:hAnsi="Times New Roman" w:cs="Times New Roman"/>
                <w:szCs w:val="24"/>
              </w:rPr>
            </w:pPr>
            <w:r w:rsidRPr="00A55E67">
              <w:rPr>
                <w:szCs w:val="20"/>
              </w:rPr>
              <w:t xml:space="preserve">Проучване 2384: вилдаглиптин 50 </w:t>
            </w:r>
            <w:r w:rsidRPr="00A55E67">
              <w:rPr>
                <w:szCs w:val="20"/>
                <w:lang w:val="en-US"/>
              </w:rPr>
              <w:t>mg</w:t>
            </w:r>
            <w:r w:rsidRPr="00A55E67">
              <w:rPr>
                <w:szCs w:val="20"/>
                <w:lang w:val="ru-RU"/>
              </w:rPr>
              <w:t xml:space="preserve"> </w:t>
            </w:r>
            <w:r w:rsidRPr="00A55E67">
              <w:rPr>
                <w:szCs w:val="20"/>
              </w:rPr>
              <w:t xml:space="preserve">два пъти дневно </w:t>
            </w:r>
            <w:r w:rsidRPr="00A55E67">
              <w:rPr>
                <w:szCs w:val="20"/>
                <w:lang w:val="ru-RU"/>
              </w:rPr>
              <w:t>(</w:t>
            </w:r>
            <w:r w:rsidRPr="00A55E67">
              <w:rPr>
                <w:szCs w:val="20"/>
                <w:lang w:val="en-US"/>
              </w:rPr>
              <w:t>N</w:t>
            </w:r>
            <w:r w:rsidRPr="00A55E67">
              <w:rPr>
                <w:szCs w:val="20"/>
                <w:lang w:val="ru-RU"/>
              </w:rPr>
              <w:t>=79)</w:t>
            </w:r>
          </w:p>
        </w:tc>
        <w:tc>
          <w:tcPr>
            <w:tcW w:w="2394" w:type="dxa"/>
          </w:tcPr>
          <w:p w14:paraId="0149800B" w14:textId="4AC1379A" w:rsidR="00A55E67" w:rsidRPr="00A55E67" w:rsidRDefault="00A55E67" w:rsidP="00A55E67">
            <w:pPr>
              <w:spacing w:line="240" w:lineRule="auto"/>
              <w:rPr>
                <w:rFonts w:ascii="Times New Roman" w:eastAsia="Times New Roman" w:hAnsi="Times New Roman" w:cs="Times New Roman"/>
                <w:szCs w:val="24"/>
              </w:rPr>
            </w:pPr>
            <w:r w:rsidRPr="00A55E67">
              <w:rPr>
                <w:szCs w:val="20"/>
              </w:rPr>
              <w:t>8.4</w:t>
            </w:r>
          </w:p>
        </w:tc>
        <w:tc>
          <w:tcPr>
            <w:tcW w:w="2394" w:type="dxa"/>
          </w:tcPr>
          <w:p w14:paraId="7BC1CF81" w14:textId="717EEE54" w:rsidR="00A55E67" w:rsidRPr="00A55E67" w:rsidRDefault="00A55E67" w:rsidP="00A55E67">
            <w:pPr>
              <w:spacing w:line="240" w:lineRule="auto"/>
              <w:rPr>
                <w:rFonts w:ascii="Times New Roman" w:eastAsia="Times New Roman" w:hAnsi="Times New Roman" w:cs="Times New Roman"/>
                <w:szCs w:val="24"/>
              </w:rPr>
            </w:pPr>
            <w:r w:rsidRPr="00A55E67">
              <w:rPr>
                <w:szCs w:val="20"/>
              </w:rPr>
              <w:t>-0.7</w:t>
            </w:r>
          </w:p>
        </w:tc>
        <w:tc>
          <w:tcPr>
            <w:tcW w:w="2394" w:type="dxa"/>
          </w:tcPr>
          <w:p w14:paraId="554279D4" w14:textId="2D89EF1F" w:rsidR="00A55E67" w:rsidRPr="00A55E67" w:rsidRDefault="00A55E67" w:rsidP="00A55E67">
            <w:pPr>
              <w:spacing w:line="240" w:lineRule="auto"/>
              <w:rPr>
                <w:rFonts w:ascii="Times New Roman" w:eastAsia="Times New Roman" w:hAnsi="Times New Roman" w:cs="Times New Roman"/>
                <w:szCs w:val="24"/>
              </w:rPr>
            </w:pPr>
            <w:r w:rsidRPr="00A55E67">
              <w:rPr>
                <w:szCs w:val="20"/>
              </w:rPr>
              <w:t>-0.7* (-1.1,-0.4)</w:t>
            </w:r>
          </w:p>
        </w:tc>
      </w:tr>
      <w:tr w:rsidR="00A55E67" w14:paraId="4DD1A776" w14:textId="77777777" w:rsidTr="00375998">
        <w:tc>
          <w:tcPr>
            <w:tcW w:w="9576" w:type="dxa"/>
            <w:gridSpan w:val="4"/>
          </w:tcPr>
          <w:p w14:paraId="1877FA7F" w14:textId="6E539416" w:rsidR="00A55E67" w:rsidRPr="00A55E67" w:rsidRDefault="00A55E67" w:rsidP="00A55E67">
            <w:pPr>
              <w:spacing w:line="240" w:lineRule="auto"/>
              <w:rPr>
                <w:rFonts w:ascii="Times New Roman" w:eastAsia="Times New Roman" w:hAnsi="Times New Roman" w:cs="Times New Roman"/>
                <w:szCs w:val="24"/>
              </w:rPr>
            </w:pPr>
            <w:r w:rsidRPr="00A55E67">
              <w:rPr>
                <w:szCs w:val="20"/>
              </w:rPr>
              <w:t>*р&lt;0.05 за сравнение спрямо плацебо</w:t>
            </w:r>
          </w:p>
        </w:tc>
      </w:tr>
    </w:tbl>
    <w:p w14:paraId="70A39A04" w14:textId="77777777" w:rsidR="00A55E67" w:rsidRPr="00A55E67" w:rsidRDefault="00A55E67" w:rsidP="00A55E67">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60"/>
        <w:gridCol w:w="2327"/>
        <w:gridCol w:w="2328"/>
        <w:gridCol w:w="2335"/>
      </w:tblGrid>
      <w:tr w:rsidR="00A55E67" w14:paraId="5AE809FC" w14:textId="77777777" w:rsidTr="00A55E67">
        <w:tc>
          <w:tcPr>
            <w:tcW w:w="2394" w:type="dxa"/>
          </w:tcPr>
          <w:p w14:paraId="6CD2F2DB" w14:textId="67EF6EFE" w:rsidR="00A55E67" w:rsidRPr="00A55E67" w:rsidRDefault="00A55E67" w:rsidP="00A55E67">
            <w:r w:rsidRPr="00A55E67">
              <w:rPr>
                <w:b/>
                <w:bCs/>
                <w:szCs w:val="20"/>
              </w:rPr>
              <w:lastRenderedPageBreak/>
              <w:t>Проучвания зя комибинирана/ допълваща терапия</w:t>
            </w:r>
          </w:p>
        </w:tc>
        <w:tc>
          <w:tcPr>
            <w:tcW w:w="2394" w:type="dxa"/>
          </w:tcPr>
          <w:p w14:paraId="67820799" w14:textId="77777777" w:rsidR="00A55E67" w:rsidRPr="00A55E67" w:rsidRDefault="00A55E67" w:rsidP="00A55E67">
            <w:r w:rsidRPr="00A55E67">
              <w:rPr>
                <w:b/>
                <w:bCs/>
                <w:szCs w:val="20"/>
              </w:rPr>
              <w:t xml:space="preserve">Средни изходни стойности на </w:t>
            </w:r>
            <w:proofErr w:type="spellStart"/>
            <w:r w:rsidRPr="00A55E67">
              <w:rPr>
                <w:b/>
                <w:bCs/>
                <w:szCs w:val="20"/>
                <w:lang w:val="en-US"/>
              </w:rPr>
              <w:t>HbA</w:t>
            </w:r>
            <w:proofErr w:type="spellEnd"/>
            <w:r w:rsidRPr="00A55E67">
              <w:rPr>
                <w:b/>
                <w:bCs/>
                <w:szCs w:val="20"/>
                <w:lang w:val="ru-RU"/>
              </w:rPr>
              <w:t>1</w:t>
            </w:r>
            <w:r w:rsidRPr="00A55E67">
              <w:rPr>
                <w:b/>
                <w:bCs/>
                <w:szCs w:val="20"/>
                <w:lang w:val="en-US"/>
              </w:rPr>
              <w:t>c</w:t>
            </w:r>
          </w:p>
          <w:p w14:paraId="73BBAE59" w14:textId="026A660E" w:rsidR="00A55E67" w:rsidRPr="00A55E67" w:rsidRDefault="00A55E67" w:rsidP="00A55E67">
            <w:r w:rsidRPr="00A55E67">
              <w:rPr>
                <w:b/>
                <w:bCs/>
                <w:szCs w:val="20"/>
              </w:rPr>
              <w:t>(%)</w:t>
            </w:r>
          </w:p>
        </w:tc>
        <w:tc>
          <w:tcPr>
            <w:tcW w:w="2394" w:type="dxa"/>
          </w:tcPr>
          <w:p w14:paraId="021C70AA" w14:textId="46D9E906" w:rsidR="00A55E67" w:rsidRPr="00A55E67" w:rsidRDefault="00A55E67" w:rsidP="00A55E67">
            <w:r w:rsidRPr="00A55E67">
              <w:rPr>
                <w:b/>
                <w:bCs/>
                <w:szCs w:val="20"/>
              </w:rPr>
              <w:t xml:space="preserve">Средна промяна спрямо изходните стойности на </w:t>
            </w:r>
            <w:proofErr w:type="spellStart"/>
            <w:r w:rsidRPr="00A55E67">
              <w:rPr>
                <w:b/>
                <w:bCs/>
                <w:szCs w:val="20"/>
                <w:lang w:val="en-US"/>
              </w:rPr>
              <w:t>HbAlc</w:t>
            </w:r>
            <w:proofErr w:type="spellEnd"/>
            <w:r w:rsidRPr="00A55E67">
              <w:rPr>
                <w:b/>
                <w:bCs/>
                <w:szCs w:val="20"/>
                <w:lang w:val="ru-RU"/>
              </w:rPr>
              <w:t xml:space="preserve"> </w:t>
            </w:r>
            <w:r w:rsidRPr="00A55E67">
              <w:rPr>
                <w:b/>
                <w:bCs/>
                <w:szCs w:val="20"/>
              </w:rPr>
              <w:t>(%) на 24-та седмица</w:t>
            </w:r>
          </w:p>
        </w:tc>
        <w:tc>
          <w:tcPr>
            <w:tcW w:w="2394" w:type="dxa"/>
          </w:tcPr>
          <w:p w14:paraId="181AE5A1" w14:textId="30CD5F07" w:rsidR="00A55E67" w:rsidRPr="00A55E67" w:rsidRDefault="00A55E67" w:rsidP="00A55E67">
            <w:r w:rsidRPr="00A55E67">
              <w:rPr>
                <w:b/>
                <w:bCs/>
                <w:szCs w:val="20"/>
              </w:rPr>
              <w:t xml:space="preserve">Плацебо коригирана средна промяна на </w:t>
            </w:r>
            <w:proofErr w:type="spellStart"/>
            <w:r w:rsidRPr="00A55E67">
              <w:rPr>
                <w:b/>
                <w:bCs/>
                <w:szCs w:val="20"/>
                <w:lang w:val="en-US"/>
              </w:rPr>
              <w:t>HbAlc</w:t>
            </w:r>
            <w:proofErr w:type="spellEnd"/>
            <w:r w:rsidRPr="00A55E67">
              <w:rPr>
                <w:b/>
                <w:bCs/>
                <w:szCs w:val="20"/>
                <w:lang w:val="ru-RU"/>
              </w:rPr>
              <w:t xml:space="preserve"> </w:t>
            </w:r>
            <w:r w:rsidRPr="00A55E67">
              <w:rPr>
                <w:b/>
                <w:bCs/>
                <w:szCs w:val="20"/>
              </w:rPr>
              <w:t>(%) на 24-та седмица (%) иа 24- та седмица (95%С</w:t>
            </w:r>
            <w:r w:rsidRPr="00A55E67">
              <w:rPr>
                <w:b/>
                <w:bCs/>
                <w:szCs w:val="20"/>
                <w:lang w:val="en-US"/>
              </w:rPr>
              <w:t>I</w:t>
            </w:r>
            <w:r w:rsidRPr="00A55E67">
              <w:rPr>
                <w:b/>
                <w:bCs/>
                <w:szCs w:val="20"/>
              </w:rPr>
              <w:t>)</w:t>
            </w:r>
          </w:p>
        </w:tc>
      </w:tr>
      <w:tr w:rsidR="00A55E67" w14:paraId="6655BAAF" w14:textId="77777777" w:rsidTr="00A55E67">
        <w:tc>
          <w:tcPr>
            <w:tcW w:w="2394" w:type="dxa"/>
          </w:tcPr>
          <w:p w14:paraId="12D3F7BE" w14:textId="51C363D6" w:rsidR="00A55E67" w:rsidRPr="00A55E67" w:rsidRDefault="00A55E67" w:rsidP="00A55E67">
            <w:r w:rsidRPr="00A55E67">
              <w:rPr>
                <w:szCs w:val="20"/>
              </w:rPr>
              <w:t xml:space="preserve">вилдаглиптин 50 </w:t>
            </w:r>
            <w:r w:rsidRPr="00A55E67">
              <w:rPr>
                <w:szCs w:val="20"/>
                <w:lang w:val="en-US"/>
              </w:rPr>
              <w:t>mg</w:t>
            </w:r>
            <w:r w:rsidRPr="00A55E67">
              <w:rPr>
                <w:szCs w:val="20"/>
                <w:lang w:val="ru-RU"/>
              </w:rPr>
              <w:t xml:space="preserve"> </w:t>
            </w:r>
            <w:r w:rsidRPr="00A55E67">
              <w:rPr>
                <w:szCs w:val="20"/>
              </w:rPr>
              <w:t xml:space="preserve">два пъти дневно + метформин </w:t>
            </w:r>
            <w:r w:rsidRPr="00A55E67">
              <w:rPr>
                <w:szCs w:val="20"/>
                <w:lang w:val="ru-RU"/>
              </w:rPr>
              <w:t>(</w:t>
            </w:r>
            <w:r w:rsidRPr="00A55E67">
              <w:rPr>
                <w:szCs w:val="20"/>
                <w:lang w:val="en-US"/>
              </w:rPr>
              <w:t>N</w:t>
            </w:r>
            <w:r w:rsidRPr="00A55E67">
              <w:rPr>
                <w:szCs w:val="20"/>
                <w:lang w:val="ru-RU"/>
              </w:rPr>
              <w:t>=143)</w:t>
            </w:r>
          </w:p>
        </w:tc>
        <w:tc>
          <w:tcPr>
            <w:tcW w:w="2394" w:type="dxa"/>
          </w:tcPr>
          <w:p w14:paraId="68D3FCC7" w14:textId="4FD9EFD8" w:rsidR="00A55E67" w:rsidRPr="00A55E67" w:rsidRDefault="00A55E67" w:rsidP="00A55E67">
            <w:r w:rsidRPr="00A55E67">
              <w:rPr>
                <w:szCs w:val="20"/>
              </w:rPr>
              <w:t>8.4</w:t>
            </w:r>
          </w:p>
        </w:tc>
        <w:tc>
          <w:tcPr>
            <w:tcW w:w="2394" w:type="dxa"/>
          </w:tcPr>
          <w:p w14:paraId="27954672" w14:textId="76D308E8" w:rsidR="00A55E67" w:rsidRPr="00A55E67" w:rsidRDefault="00A55E67" w:rsidP="00A55E67">
            <w:r w:rsidRPr="00A55E67">
              <w:rPr>
                <w:szCs w:val="20"/>
              </w:rPr>
              <w:t>-0.9</w:t>
            </w:r>
          </w:p>
        </w:tc>
        <w:tc>
          <w:tcPr>
            <w:tcW w:w="2394" w:type="dxa"/>
          </w:tcPr>
          <w:p w14:paraId="24BC4953" w14:textId="1909AB83" w:rsidR="00A55E67" w:rsidRPr="00A55E67" w:rsidRDefault="00A55E67" w:rsidP="00A55E67">
            <w:r w:rsidRPr="00A55E67">
              <w:rPr>
                <w:szCs w:val="20"/>
              </w:rPr>
              <w:t>-1.1* (-1.4,-0.8)</w:t>
            </w:r>
          </w:p>
        </w:tc>
      </w:tr>
      <w:tr w:rsidR="00A55E67" w14:paraId="2CA4C2CE" w14:textId="77777777" w:rsidTr="00A55E67">
        <w:tc>
          <w:tcPr>
            <w:tcW w:w="2394" w:type="dxa"/>
          </w:tcPr>
          <w:p w14:paraId="01E7BAFF" w14:textId="2305848D" w:rsidR="00A55E67" w:rsidRPr="00A55E67" w:rsidRDefault="00A55E67" w:rsidP="00A55E67">
            <w:r w:rsidRPr="00A55E67">
              <w:rPr>
                <w:szCs w:val="20"/>
              </w:rPr>
              <w:t xml:space="preserve">вилдаглиптин 50 </w:t>
            </w:r>
            <w:r w:rsidRPr="00A55E67">
              <w:rPr>
                <w:szCs w:val="20"/>
                <w:lang w:val="en-US"/>
              </w:rPr>
              <w:t>mg</w:t>
            </w:r>
            <w:r w:rsidRPr="00A55E67">
              <w:rPr>
                <w:szCs w:val="20"/>
                <w:lang w:val="ru-RU"/>
              </w:rPr>
              <w:t xml:space="preserve"> </w:t>
            </w:r>
            <w:r w:rsidRPr="00A55E67">
              <w:rPr>
                <w:szCs w:val="20"/>
              </w:rPr>
              <w:t xml:space="preserve">дневно + глимепирид </w:t>
            </w:r>
            <w:r w:rsidRPr="00A55E67">
              <w:rPr>
                <w:szCs w:val="20"/>
                <w:lang w:val="ru-RU"/>
              </w:rPr>
              <w:t>(</w:t>
            </w:r>
            <w:r w:rsidRPr="00A55E67">
              <w:rPr>
                <w:szCs w:val="20"/>
                <w:lang w:val="en-US"/>
              </w:rPr>
              <w:t>N</w:t>
            </w:r>
            <w:r w:rsidRPr="00A55E67">
              <w:rPr>
                <w:szCs w:val="20"/>
                <w:lang w:val="ru-RU"/>
              </w:rPr>
              <w:t>=132)</w:t>
            </w:r>
          </w:p>
        </w:tc>
        <w:tc>
          <w:tcPr>
            <w:tcW w:w="2394" w:type="dxa"/>
          </w:tcPr>
          <w:p w14:paraId="31FD7FEF" w14:textId="25BAE566" w:rsidR="00A55E67" w:rsidRPr="00A55E67" w:rsidRDefault="00A55E67" w:rsidP="00A55E67">
            <w:r w:rsidRPr="00A55E67">
              <w:rPr>
                <w:szCs w:val="20"/>
              </w:rPr>
              <w:t>8.5</w:t>
            </w:r>
          </w:p>
        </w:tc>
        <w:tc>
          <w:tcPr>
            <w:tcW w:w="2394" w:type="dxa"/>
          </w:tcPr>
          <w:p w14:paraId="6521CF9D" w14:textId="0DFF3B2C" w:rsidR="00A55E67" w:rsidRPr="00A55E67" w:rsidRDefault="00A55E67" w:rsidP="00A55E67">
            <w:r w:rsidRPr="00A55E67">
              <w:rPr>
                <w:szCs w:val="20"/>
              </w:rPr>
              <w:t>-0.6</w:t>
            </w:r>
          </w:p>
        </w:tc>
        <w:tc>
          <w:tcPr>
            <w:tcW w:w="2394" w:type="dxa"/>
          </w:tcPr>
          <w:p w14:paraId="5D269812" w14:textId="138DB48B" w:rsidR="00A55E67" w:rsidRPr="00A55E67" w:rsidRDefault="00A55E67" w:rsidP="00A55E67">
            <w:r w:rsidRPr="00A55E67">
              <w:rPr>
                <w:szCs w:val="20"/>
              </w:rPr>
              <w:t>-0.6* (-0.9, -0.4)</w:t>
            </w:r>
          </w:p>
        </w:tc>
      </w:tr>
      <w:tr w:rsidR="00A55E67" w14:paraId="5CA781C5" w14:textId="77777777" w:rsidTr="00A55E67">
        <w:tc>
          <w:tcPr>
            <w:tcW w:w="2394" w:type="dxa"/>
          </w:tcPr>
          <w:p w14:paraId="47D231A0" w14:textId="3E53FCC2" w:rsidR="00A55E67" w:rsidRPr="00A55E67" w:rsidRDefault="00A55E67" w:rsidP="00A55E67">
            <w:r w:rsidRPr="00A55E67">
              <w:rPr>
                <w:szCs w:val="20"/>
              </w:rPr>
              <w:t xml:space="preserve">вилдаглиптин 50 </w:t>
            </w:r>
            <w:r w:rsidRPr="00A55E67">
              <w:rPr>
                <w:szCs w:val="20"/>
                <w:lang w:val="en-US"/>
              </w:rPr>
              <w:t>mg</w:t>
            </w:r>
            <w:r w:rsidRPr="00A55E67">
              <w:rPr>
                <w:szCs w:val="20"/>
                <w:lang w:val="ru-RU"/>
              </w:rPr>
              <w:t xml:space="preserve"> </w:t>
            </w:r>
            <w:r w:rsidRPr="00A55E67">
              <w:rPr>
                <w:szCs w:val="20"/>
              </w:rPr>
              <w:t xml:space="preserve">два пъти дневно + пиоглитазон </w:t>
            </w:r>
            <w:r w:rsidRPr="00A55E67">
              <w:rPr>
                <w:szCs w:val="20"/>
                <w:lang w:val="ru-RU"/>
              </w:rPr>
              <w:t>(</w:t>
            </w:r>
            <w:r w:rsidRPr="00A55E67">
              <w:rPr>
                <w:szCs w:val="20"/>
                <w:lang w:val="en-US"/>
              </w:rPr>
              <w:t>N</w:t>
            </w:r>
            <w:r w:rsidRPr="00A55E67">
              <w:rPr>
                <w:szCs w:val="20"/>
                <w:lang w:val="ru-RU"/>
              </w:rPr>
              <w:t>=136)</w:t>
            </w:r>
          </w:p>
        </w:tc>
        <w:tc>
          <w:tcPr>
            <w:tcW w:w="2394" w:type="dxa"/>
          </w:tcPr>
          <w:p w14:paraId="65C6AA54" w14:textId="37146429" w:rsidR="00A55E67" w:rsidRPr="00A55E67" w:rsidRDefault="00A55E67" w:rsidP="00A55E67">
            <w:r w:rsidRPr="00A55E67">
              <w:rPr>
                <w:szCs w:val="20"/>
              </w:rPr>
              <w:t>8.7</w:t>
            </w:r>
          </w:p>
        </w:tc>
        <w:tc>
          <w:tcPr>
            <w:tcW w:w="2394" w:type="dxa"/>
          </w:tcPr>
          <w:p w14:paraId="1181453D" w14:textId="24534FE3" w:rsidR="00A55E67" w:rsidRPr="00A55E67" w:rsidRDefault="00A55E67" w:rsidP="00A55E67">
            <w:r w:rsidRPr="00A55E67">
              <w:rPr>
                <w:szCs w:val="20"/>
              </w:rPr>
              <w:t>-1.0</w:t>
            </w:r>
          </w:p>
        </w:tc>
        <w:tc>
          <w:tcPr>
            <w:tcW w:w="2394" w:type="dxa"/>
          </w:tcPr>
          <w:p w14:paraId="2749FE24" w14:textId="2B2C8CE2" w:rsidR="00A55E67" w:rsidRPr="00A55E67" w:rsidRDefault="00A55E67" w:rsidP="00A55E67">
            <w:r w:rsidRPr="00A55E67">
              <w:rPr>
                <w:szCs w:val="20"/>
              </w:rPr>
              <w:t>-0.7* (-0.9, -0.4)</w:t>
            </w:r>
          </w:p>
        </w:tc>
      </w:tr>
      <w:tr w:rsidR="00A55E67" w14:paraId="4C075C3C" w14:textId="77777777" w:rsidTr="00A55E67">
        <w:tc>
          <w:tcPr>
            <w:tcW w:w="2394" w:type="dxa"/>
          </w:tcPr>
          <w:p w14:paraId="212A427A" w14:textId="672596A3" w:rsidR="00A55E67" w:rsidRPr="00A55E67" w:rsidRDefault="00A55E67" w:rsidP="00A55E67">
            <w:r w:rsidRPr="00A55E67">
              <w:rPr>
                <w:szCs w:val="20"/>
              </w:rPr>
              <w:t xml:space="preserve">вилдаглиптин 50 </w:t>
            </w:r>
            <w:r w:rsidRPr="00A55E67">
              <w:rPr>
                <w:szCs w:val="20"/>
                <w:lang w:val="en-US"/>
              </w:rPr>
              <w:t>mg</w:t>
            </w:r>
            <w:r w:rsidRPr="00A55E67">
              <w:rPr>
                <w:szCs w:val="20"/>
                <w:lang w:val="ru-RU"/>
              </w:rPr>
              <w:t xml:space="preserve"> </w:t>
            </w:r>
            <w:r w:rsidRPr="00A55E67">
              <w:rPr>
                <w:szCs w:val="20"/>
              </w:rPr>
              <w:t xml:space="preserve">два пъти дневно + метформин + глимепирид </w:t>
            </w:r>
            <w:r w:rsidRPr="00A55E67">
              <w:rPr>
                <w:szCs w:val="20"/>
                <w:lang w:val="ru-RU"/>
              </w:rPr>
              <w:t>(</w:t>
            </w:r>
            <w:r w:rsidRPr="00A55E67">
              <w:rPr>
                <w:szCs w:val="20"/>
                <w:lang w:val="en-US"/>
              </w:rPr>
              <w:t>N</w:t>
            </w:r>
            <w:r w:rsidRPr="00A55E67">
              <w:rPr>
                <w:szCs w:val="20"/>
                <w:lang w:val="ru-RU"/>
              </w:rPr>
              <w:t>=152)</w:t>
            </w:r>
          </w:p>
        </w:tc>
        <w:tc>
          <w:tcPr>
            <w:tcW w:w="2394" w:type="dxa"/>
          </w:tcPr>
          <w:p w14:paraId="6D4508FA" w14:textId="2810D192" w:rsidR="00A55E67" w:rsidRPr="00A55E67" w:rsidRDefault="00A55E67" w:rsidP="00A55E67">
            <w:r w:rsidRPr="00A55E67">
              <w:rPr>
                <w:szCs w:val="20"/>
              </w:rPr>
              <w:t>8.8</w:t>
            </w:r>
          </w:p>
        </w:tc>
        <w:tc>
          <w:tcPr>
            <w:tcW w:w="2394" w:type="dxa"/>
          </w:tcPr>
          <w:p w14:paraId="0C7643AD" w14:textId="2844862A" w:rsidR="00A55E67" w:rsidRPr="00A55E67" w:rsidRDefault="00A55E67" w:rsidP="00A55E67">
            <w:r w:rsidRPr="00A55E67">
              <w:rPr>
                <w:szCs w:val="20"/>
              </w:rPr>
              <w:t>-1.0</w:t>
            </w:r>
          </w:p>
        </w:tc>
        <w:tc>
          <w:tcPr>
            <w:tcW w:w="2394" w:type="dxa"/>
          </w:tcPr>
          <w:p w14:paraId="300F0A35" w14:textId="67DBAE9B" w:rsidR="00A55E67" w:rsidRPr="00A55E67" w:rsidRDefault="00A55E67" w:rsidP="00A55E67">
            <w:r w:rsidRPr="00A55E67">
              <w:rPr>
                <w:szCs w:val="20"/>
              </w:rPr>
              <w:t>-0.8* (-1.0, -0.5)</w:t>
            </w:r>
          </w:p>
        </w:tc>
      </w:tr>
      <w:tr w:rsidR="00A55E67" w14:paraId="50CBA625" w14:textId="77777777" w:rsidTr="00F04302">
        <w:tc>
          <w:tcPr>
            <w:tcW w:w="9576" w:type="dxa"/>
            <w:gridSpan w:val="4"/>
          </w:tcPr>
          <w:p w14:paraId="4AEBBD58" w14:textId="6C90DA31" w:rsidR="00A55E67" w:rsidRDefault="00A55E67" w:rsidP="00A55E67">
            <w:r w:rsidRPr="00A55E67">
              <w:rPr>
                <w:lang w:eastAsia="bg-BG"/>
              </w:rPr>
              <w:t>*р&lt;0.05 за сравнение спрямо плацебо + компаратор</w:t>
            </w:r>
          </w:p>
        </w:tc>
      </w:tr>
    </w:tbl>
    <w:p w14:paraId="6A04B730" w14:textId="77777777" w:rsidR="00A55E67" w:rsidRDefault="00A55E67" w:rsidP="00A55E67">
      <w:pPr>
        <w:spacing w:line="240" w:lineRule="auto"/>
        <w:rPr>
          <w:rFonts w:ascii="Times New Roman" w:eastAsia="Times New Roman" w:hAnsi="Times New Roman" w:cs="Times New Roman"/>
          <w:color w:val="000000"/>
          <w:sz w:val="20"/>
          <w:szCs w:val="20"/>
          <w:u w:val="single"/>
          <w:lang w:eastAsia="bg-BG"/>
        </w:rPr>
      </w:pPr>
    </w:p>
    <w:p w14:paraId="3EC91FD4" w14:textId="043E6DBE"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u w:val="single"/>
          <w:lang w:eastAsia="bg-BG"/>
        </w:rPr>
        <w:t>Педиатрична популация</w:t>
      </w:r>
    </w:p>
    <w:p w14:paraId="1B19E0B0" w14:textId="51F489DF" w:rsidR="00A55E67" w:rsidRPr="00A55E67" w:rsidRDefault="00A55E67" w:rsidP="00A55E67">
      <w:pPr>
        <w:rPr>
          <w:rFonts w:eastAsia="Times New Roman" w:cs="Arial"/>
          <w:color w:val="000000"/>
          <w:szCs w:val="20"/>
          <w:lang w:eastAsia="bg-BG"/>
        </w:rPr>
      </w:pPr>
      <w:r w:rsidRPr="00A55E67">
        <w:rPr>
          <w:rFonts w:eastAsia="Times New Roman" w:cs="Arial"/>
          <w:color w:val="000000"/>
          <w:szCs w:val="20"/>
          <w:lang w:eastAsia="bg-BG"/>
        </w:rPr>
        <w:t>Европейската агенция по лекарствата освобождава от задължението за предоставяне на резултатите от проучванията с вилдаглитггин във всички подгрупи на педиатричната популация със захарен диабет тип 2 (вижте точка 4,2 за информация относно употреба в педиатрията).</w:t>
      </w:r>
    </w:p>
    <w:p w14:paraId="2D5A1D42" w14:textId="77777777" w:rsidR="00A55E67" w:rsidRPr="00A55E67" w:rsidRDefault="00A55E67" w:rsidP="00A55E67"/>
    <w:p w14:paraId="78DD93AA" w14:textId="4494DC98" w:rsidR="00B6672E" w:rsidRDefault="002C50EE" w:rsidP="00936AD0">
      <w:pPr>
        <w:pStyle w:val="Heading2"/>
      </w:pPr>
      <w:r>
        <w:t>5.2. Фармакокинетични свойства</w:t>
      </w:r>
    </w:p>
    <w:p w14:paraId="1DDF868B" w14:textId="23393560" w:rsidR="00A55E67" w:rsidRDefault="00A55E67" w:rsidP="00A55E67"/>
    <w:p w14:paraId="5CC7A49D" w14:textId="77777777" w:rsidR="00A55E67" w:rsidRPr="00A55E67" w:rsidRDefault="00A55E67" w:rsidP="00A55E67">
      <w:pPr>
        <w:pStyle w:val="Heading3"/>
        <w:rPr>
          <w:rFonts w:eastAsia="Times New Roman"/>
          <w:sz w:val="28"/>
          <w:u w:val="single"/>
        </w:rPr>
      </w:pPr>
      <w:r w:rsidRPr="00A55E67">
        <w:rPr>
          <w:rFonts w:eastAsia="Times New Roman"/>
          <w:u w:val="single"/>
          <w:lang w:eastAsia="bg-BG"/>
        </w:rPr>
        <w:t>Абсорбция</w:t>
      </w:r>
    </w:p>
    <w:p w14:paraId="720313AB" w14:textId="77777777"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 xml:space="preserve">След перорално приложение на гладно вилдаглиптин се абсорбира бързо, като пикови плазмени концентрации се наблюдават след 1,7 часа. Храната леко забавя времето за достигане на пикови плазмени концентрации до 2,5 часа, но не повлиява общата експозиция </w:t>
      </w:r>
      <w:r w:rsidRPr="00A55E67">
        <w:rPr>
          <w:rFonts w:eastAsia="Times New Roman" w:cs="Arial"/>
          <w:color w:val="000000"/>
          <w:szCs w:val="20"/>
          <w:lang w:val="ru-RU"/>
        </w:rPr>
        <w:t>(</w:t>
      </w:r>
      <w:r w:rsidRPr="00A55E67">
        <w:rPr>
          <w:rFonts w:eastAsia="Times New Roman" w:cs="Arial"/>
          <w:color w:val="000000"/>
          <w:szCs w:val="20"/>
          <w:lang w:val="en-US"/>
        </w:rPr>
        <w:t>AUC</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Приложението на вилдаглиптин </w:t>
      </w:r>
      <w:r w:rsidRPr="00A55E67">
        <w:rPr>
          <w:rFonts w:eastAsia="Times New Roman" w:cs="Arial"/>
          <w:i/>
          <w:iCs/>
          <w:color w:val="000000"/>
          <w:szCs w:val="20"/>
          <w:lang w:eastAsia="bg-BG"/>
        </w:rPr>
        <w:t>с</w:t>
      </w:r>
      <w:r w:rsidRPr="00A55E67">
        <w:rPr>
          <w:rFonts w:eastAsia="Times New Roman" w:cs="Arial"/>
          <w:color w:val="000000"/>
          <w:szCs w:val="20"/>
          <w:lang w:eastAsia="bg-BG"/>
        </w:rPr>
        <w:t xml:space="preserve"> храна води до намаляване на Стах (19%). Въпреки това, степента на тази промяна не е клинично значима, така че вилдаглиптин може да бъде приеман със или без храна Абсолютната бионаличност е 85%.</w:t>
      </w:r>
    </w:p>
    <w:p w14:paraId="65C1EF5B" w14:textId="77777777" w:rsidR="00A55E67" w:rsidRPr="00A55E67" w:rsidRDefault="00A55E67" w:rsidP="00A55E67">
      <w:pPr>
        <w:spacing w:line="240" w:lineRule="auto"/>
        <w:rPr>
          <w:rFonts w:eastAsia="Times New Roman" w:cs="Arial"/>
          <w:color w:val="000000"/>
          <w:szCs w:val="20"/>
          <w:u w:val="single"/>
          <w:lang w:eastAsia="bg-BG"/>
        </w:rPr>
      </w:pPr>
    </w:p>
    <w:p w14:paraId="7B167F87" w14:textId="29275A5A" w:rsidR="00A55E67" w:rsidRPr="00A55E67" w:rsidRDefault="00A55E67" w:rsidP="00A55E67">
      <w:pPr>
        <w:pStyle w:val="Heading3"/>
        <w:rPr>
          <w:rFonts w:eastAsia="Times New Roman"/>
          <w:sz w:val="28"/>
          <w:u w:val="single"/>
        </w:rPr>
      </w:pPr>
      <w:r w:rsidRPr="00A55E67">
        <w:rPr>
          <w:rFonts w:eastAsia="Times New Roman"/>
          <w:u w:val="single"/>
          <w:lang w:eastAsia="bg-BG"/>
        </w:rPr>
        <w:t>Разпределение</w:t>
      </w:r>
    </w:p>
    <w:p w14:paraId="255DE3AA" w14:textId="77777777"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 xml:space="preserve">Свързването на вилдаглиптин с плазмените протеини е слабо (9,3%), като вилдаглиптин се разпределя поравно между плазмата и червените кръвни клетки. Средният обем на разпределение на видаглиптин при стабилно състояние след интравенозно приложение </w:t>
      </w:r>
      <w:r w:rsidRPr="00A55E67">
        <w:rPr>
          <w:rFonts w:eastAsia="Times New Roman" w:cs="Arial"/>
          <w:color w:val="000000"/>
          <w:szCs w:val="20"/>
          <w:lang w:val="ru-RU"/>
        </w:rPr>
        <w:t>(</w:t>
      </w:r>
      <w:proofErr w:type="spellStart"/>
      <w:r w:rsidRPr="00A55E67">
        <w:rPr>
          <w:rFonts w:eastAsia="Times New Roman" w:cs="Arial"/>
          <w:color w:val="000000"/>
          <w:szCs w:val="20"/>
          <w:lang w:val="en-US"/>
        </w:rPr>
        <w:t>Vss</w:t>
      </w:r>
      <w:proofErr w:type="spellEnd"/>
      <w:r w:rsidRPr="00A55E67">
        <w:rPr>
          <w:rFonts w:eastAsia="Times New Roman" w:cs="Arial"/>
          <w:color w:val="000000"/>
          <w:szCs w:val="20"/>
          <w:lang w:val="ru-RU"/>
        </w:rPr>
        <w:t xml:space="preserve">) </w:t>
      </w:r>
      <w:r w:rsidRPr="00A55E67">
        <w:rPr>
          <w:rFonts w:eastAsia="Times New Roman" w:cs="Arial"/>
          <w:color w:val="000000"/>
          <w:szCs w:val="20"/>
          <w:lang w:eastAsia="bg-BG"/>
        </w:rPr>
        <w:t>е 71 литра, което предполага извънсъдово разпределение.</w:t>
      </w:r>
    </w:p>
    <w:p w14:paraId="6FF66BB5" w14:textId="77777777" w:rsidR="00A55E67" w:rsidRPr="00A55E67" w:rsidRDefault="00A55E67" w:rsidP="00A55E67">
      <w:pPr>
        <w:spacing w:line="240" w:lineRule="auto"/>
        <w:rPr>
          <w:rFonts w:eastAsia="Times New Roman" w:cs="Arial"/>
          <w:color w:val="000000"/>
          <w:szCs w:val="20"/>
          <w:u w:val="single"/>
          <w:lang w:eastAsia="bg-BG"/>
        </w:rPr>
      </w:pPr>
    </w:p>
    <w:p w14:paraId="1DF3AA28" w14:textId="21F28574" w:rsidR="00A55E67" w:rsidRPr="00A55E67" w:rsidRDefault="00A55E67" w:rsidP="00A55E67">
      <w:pPr>
        <w:pStyle w:val="Heading3"/>
        <w:rPr>
          <w:rFonts w:eastAsia="Times New Roman"/>
          <w:sz w:val="28"/>
          <w:u w:val="single"/>
        </w:rPr>
      </w:pPr>
      <w:r w:rsidRPr="00A55E67">
        <w:rPr>
          <w:rFonts w:eastAsia="Times New Roman"/>
          <w:u w:val="single"/>
          <w:lang w:eastAsia="bg-BG"/>
        </w:rPr>
        <w:t>Биотрансформация</w:t>
      </w:r>
    </w:p>
    <w:p w14:paraId="27D37941" w14:textId="77777777"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 xml:space="preserve">69% от дозата вилдаглиптин се метаболизира, което е основният път на елиминиране при хора. Основният метаболит </w:t>
      </w:r>
      <w:r w:rsidRPr="00A55E67">
        <w:rPr>
          <w:rFonts w:eastAsia="Times New Roman" w:cs="Arial"/>
          <w:color w:val="000000"/>
          <w:szCs w:val="20"/>
          <w:lang w:val="ru-RU"/>
        </w:rPr>
        <w:t>(</w:t>
      </w:r>
      <w:r w:rsidRPr="00A55E67">
        <w:rPr>
          <w:rFonts w:eastAsia="Times New Roman" w:cs="Arial"/>
          <w:color w:val="000000"/>
          <w:szCs w:val="20"/>
          <w:lang w:val="en-US"/>
        </w:rPr>
        <w:t>LAY</w:t>
      </w:r>
      <w:r w:rsidRPr="00A55E67">
        <w:rPr>
          <w:rFonts w:eastAsia="Times New Roman" w:cs="Arial"/>
          <w:color w:val="000000"/>
          <w:szCs w:val="20"/>
          <w:lang w:val="ru-RU"/>
        </w:rPr>
        <w:t xml:space="preserve"> 15</w:t>
      </w:r>
      <w:r w:rsidRPr="00A55E67">
        <w:rPr>
          <w:rFonts w:eastAsia="Times New Roman" w:cs="Arial"/>
          <w:color w:val="000000"/>
          <w:szCs w:val="20"/>
          <w:lang w:eastAsia="bg-BG"/>
        </w:rPr>
        <w:t xml:space="preserve">1) е фармакологично неактивен и е продукт на </w:t>
      </w:r>
      <w:r w:rsidRPr="00A55E67">
        <w:rPr>
          <w:rFonts w:eastAsia="Times New Roman" w:cs="Arial"/>
          <w:color w:val="000000"/>
          <w:szCs w:val="20"/>
          <w:lang w:eastAsia="bg-BG"/>
        </w:rPr>
        <w:lastRenderedPageBreak/>
        <w:t xml:space="preserve">хидролизата на цианогрупата на 57% от дозата вилдаглиптин, преследван от глюкоронид </w:t>
      </w:r>
      <w:r w:rsidRPr="00A55E67">
        <w:rPr>
          <w:rFonts w:eastAsia="Times New Roman" w:cs="Arial"/>
          <w:color w:val="000000"/>
          <w:szCs w:val="20"/>
          <w:lang w:val="ru-RU"/>
        </w:rPr>
        <w:t>(</w:t>
      </w:r>
      <w:r w:rsidRPr="00A55E67">
        <w:rPr>
          <w:rFonts w:eastAsia="Times New Roman" w:cs="Arial"/>
          <w:color w:val="000000"/>
          <w:szCs w:val="20"/>
          <w:lang w:val="en-US"/>
        </w:rPr>
        <w:t>BQS</w:t>
      </w:r>
      <w:r w:rsidRPr="00A55E67">
        <w:rPr>
          <w:rFonts w:eastAsia="Times New Roman" w:cs="Arial"/>
          <w:color w:val="000000"/>
          <w:szCs w:val="20"/>
          <w:lang w:val="ru-RU"/>
        </w:rPr>
        <w:t xml:space="preserve">867) </w:t>
      </w:r>
      <w:r w:rsidRPr="00A55E67">
        <w:rPr>
          <w:rFonts w:eastAsia="Times New Roman" w:cs="Arial"/>
          <w:color w:val="000000"/>
          <w:szCs w:val="20"/>
          <w:lang w:eastAsia="bg-BG"/>
        </w:rPr>
        <w:t xml:space="preserve">и продуктите на амидна хидролиза (4% от дозата). </w:t>
      </w:r>
      <w:r w:rsidRPr="00A55E67">
        <w:rPr>
          <w:rFonts w:eastAsia="Times New Roman" w:cs="Arial"/>
          <w:color w:val="000000"/>
          <w:szCs w:val="20"/>
          <w:lang w:val="en-US"/>
        </w:rPr>
        <w:t>In</w:t>
      </w:r>
      <w:r w:rsidRPr="00A55E67">
        <w:rPr>
          <w:rFonts w:eastAsia="Times New Roman" w:cs="Arial"/>
          <w:color w:val="000000"/>
          <w:szCs w:val="20"/>
          <w:lang w:val="ru-RU"/>
        </w:rPr>
        <w:t xml:space="preserve"> </w:t>
      </w:r>
      <w:r w:rsidRPr="00A55E67">
        <w:rPr>
          <w:rFonts w:eastAsia="Times New Roman" w:cs="Arial"/>
          <w:color w:val="000000"/>
          <w:szCs w:val="20"/>
          <w:lang w:val="en-US"/>
        </w:rPr>
        <w:t>vitro</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данни от човешки бъбречни микрозомални системи сочат, че бъбрекът може да е един от основните органи, допринасящи за хидролизата на вилдаглиптин до неговия основен неактивен метаболит </w:t>
      </w:r>
      <w:r w:rsidRPr="00A55E67">
        <w:rPr>
          <w:rFonts w:eastAsia="Times New Roman" w:cs="Arial"/>
          <w:color w:val="000000"/>
          <w:szCs w:val="20"/>
          <w:lang w:val="en-US"/>
        </w:rPr>
        <w:t>LAY</w:t>
      </w:r>
      <w:r w:rsidRPr="00A55E67">
        <w:rPr>
          <w:rFonts w:eastAsia="Times New Roman" w:cs="Arial"/>
          <w:color w:val="000000"/>
          <w:szCs w:val="20"/>
          <w:lang w:val="ru-RU"/>
        </w:rPr>
        <w:t xml:space="preserve">151. </w:t>
      </w:r>
      <w:r w:rsidRPr="00A55E67">
        <w:rPr>
          <w:rFonts w:eastAsia="Times New Roman" w:cs="Arial"/>
          <w:color w:val="000000"/>
          <w:szCs w:val="20"/>
          <w:lang w:val="en-US"/>
        </w:rPr>
        <w:t>DPP</w:t>
      </w:r>
      <w:r w:rsidRPr="00A55E67">
        <w:rPr>
          <w:rFonts w:eastAsia="Times New Roman" w:cs="Arial"/>
          <w:color w:val="000000"/>
          <w:szCs w:val="20"/>
          <w:lang w:val="ru-RU"/>
        </w:rPr>
        <w:t xml:space="preserve">-4 </w:t>
      </w:r>
      <w:r w:rsidRPr="00A55E67">
        <w:rPr>
          <w:rFonts w:eastAsia="Times New Roman" w:cs="Arial"/>
          <w:color w:val="000000"/>
          <w:szCs w:val="20"/>
          <w:lang w:eastAsia="bg-BG"/>
        </w:rPr>
        <w:t xml:space="preserve">допринася частично за хидролизата на вилдаглиптин въз основа на </w:t>
      </w:r>
      <w:r w:rsidRPr="00A55E67">
        <w:rPr>
          <w:rFonts w:eastAsia="Times New Roman" w:cs="Arial"/>
          <w:color w:val="000000"/>
          <w:szCs w:val="20"/>
          <w:lang w:val="en-US"/>
        </w:rPr>
        <w:t>in</w:t>
      </w:r>
      <w:r w:rsidRPr="00A55E67">
        <w:rPr>
          <w:rFonts w:eastAsia="Times New Roman" w:cs="Arial"/>
          <w:color w:val="000000"/>
          <w:szCs w:val="20"/>
          <w:lang w:val="ru-RU"/>
        </w:rPr>
        <w:t xml:space="preserve"> </w:t>
      </w:r>
      <w:r w:rsidRPr="00A55E67">
        <w:rPr>
          <w:rFonts w:eastAsia="Times New Roman" w:cs="Arial"/>
          <w:color w:val="000000"/>
          <w:szCs w:val="20"/>
          <w:lang w:val="en-US"/>
        </w:rPr>
        <w:t>vivo</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изпитване, в което са използвани плъхове с дефицит на </w:t>
      </w:r>
      <w:r w:rsidRPr="00A55E67">
        <w:rPr>
          <w:rFonts w:eastAsia="Times New Roman" w:cs="Arial"/>
          <w:color w:val="000000"/>
          <w:szCs w:val="20"/>
          <w:lang w:val="en-US"/>
        </w:rPr>
        <w:t>DPP</w:t>
      </w:r>
      <w:r w:rsidRPr="00A55E67">
        <w:rPr>
          <w:rFonts w:eastAsia="Times New Roman" w:cs="Arial"/>
          <w:color w:val="000000"/>
          <w:szCs w:val="20"/>
          <w:lang w:val="ru-RU"/>
        </w:rPr>
        <w:t xml:space="preserve">-4. </w:t>
      </w:r>
      <w:r w:rsidRPr="00A55E67">
        <w:rPr>
          <w:rFonts w:eastAsia="Times New Roman" w:cs="Arial"/>
          <w:color w:val="000000"/>
          <w:szCs w:val="20"/>
          <w:lang w:eastAsia="bg-BG"/>
        </w:rPr>
        <w:t xml:space="preserve">Вилдаглиптин не се метаболизира в значима степен от </w:t>
      </w:r>
      <w:r w:rsidRPr="00A55E67">
        <w:rPr>
          <w:rFonts w:eastAsia="Times New Roman" w:cs="Arial"/>
          <w:color w:val="000000"/>
          <w:szCs w:val="20"/>
          <w:lang w:val="en-US"/>
        </w:rPr>
        <w:t>CYP</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450 енизимите. Следователно, метаболитния клирънс на вилдаглиптин не се очаква да бъде повлиян от съвместно приложение с </w:t>
      </w:r>
      <w:r w:rsidRPr="00A55E67">
        <w:rPr>
          <w:rFonts w:eastAsia="Times New Roman" w:cs="Arial"/>
          <w:color w:val="000000"/>
          <w:szCs w:val="20"/>
          <w:lang w:val="en-US"/>
        </w:rPr>
        <w:t>CYP</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450 инхибитори и/ или индуктори. </w:t>
      </w:r>
      <w:r w:rsidRPr="00A55E67">
        <w:rPr>
          <w:rFonts w:eastAsia="Times New Roman" w:cs="Arial"/>
          <w:color w:val="000000"/>
          <w:szCs w:val="20"/>
          <w:lang w:val="en-US"/>
        </w:rPr>
        <w:t>In</w:t>
      </w:r>
      <w:r w:rsidRPr="00A55E67">
        <w:rPr>
          <w:rFonts w:eastAsia="Times New Roman" w:cs="Arial"/>
          <w:color w:val="000000"/>
          <w:szCs w:val="20"/>
          <w:lang w:val="ru-RU"/>
        </w:rPr>
        <w:t xml:space="preserve"> </w:t>
      </w:r>
      <w:r w:rsidRPr="00A55E67">
        <w:rPr>
          <w:rFonts w:eastAsia="Times New Roman" w:cs="Arial"/>
          <w:color w:val="000000"/>
          <w:szCs w:val="20"/>
          <w:lang w:val="en-US"/>
        </w:rPr>
        <w:t>vitro</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проучвания демонстрират, че вилдаглиптин не инхибира/ индуцира </w:t>
      </w:r>
      <w:r w:rsidRPr="00A55E67">
        <w:rPr>
          <w:rFonts w:eastAsia="Times New Roman" w:cs="Arial"/>
          <w:color w:val="000000"/>
          <w:szCs w:val="20"/>
          <w:lang w:val="en-US"/>
        </w:rPr>
        <w:t>CYP</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450 ензимите. Поради това, вилдаглиптин няма вероятност да повлияе метаболитния клирънс на съвместно прилагани лекарства, метаболизирани от </w:t>
      </w:r>
      <w:r w:rsidRPr="00A55E67">
        <w:rPr>
          <w:rFonts w:eastAsia="Times New Roman" w:cs="Arial"/>
          <w:color w:val="000000"/>
          <w:szCs w:val="20"/>
          <w:lang w:val="en-US"/>
        </w:rPr>
        <w:t>CYP</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1А2, </w:t>
      </w:r>
      <w:r w:rsidRPr="00A55E67">
        <w:rPr>
          <w:rFonts w:eastAsia="Times New Roman" w:cs="Arial"/>
          <w:color w:val="000000"/>
          <w:szCs w:val="20"/>
          <w:lang w:val="en-US"/>
        </w:rPr>
        <w:t>CYP</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2С8, </w:t>
      </w:r>
      <w:r w:rsidRPr="00A55E67">
        <w:rPr>
          <w:rFonts w:eastAsia="Times New Roman" w:cs="Arial"/>
          <w:color w:val="000000"/>
          <w:szCs w:val="20"/>
          <w:lang w:val="en-US"/>
        </w:rPr>
        <w:t>CYP</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2С9, </w:t>
      </w:r>
      <w:r w:rsidRPr="00A55E67">
        <w:rPr>
          <w:rFonts w:eastAsia="Times New Roman" w:cs="Arial"/>
          <w:color w:val="000000"/>
          <w:szCs w:val="20"/>
          <w:lang w:val="en-US"/>
        </w:rPr>
        <w:t>CYP</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2С19, </w:t>
      </w:r>
      <w:r w:rsidRPr="00A55E67">
        <w:rPr>
          <w:rFonts w:eastAsia="Times New Roman" w:cs="Arial"/>
          <w:color w:val="000000"/>
          <w:szCs w:val="20"/>
          <w:lang w:val="en-US"/>
        </w:rPr>
        <w:t>CYP</w:t>
      </w:r>
      <w:r w:rsidRPr="00A55E67">
        <w:rPr>
          <w:rFonts w:eastAsia="Times New Roman" w:cs="Arial"/>
          <w:color w:val="000000"/>
          <w:szCs w:val="20"/>
          <w:lang w:val="ru-RU"/>
        </w:rPr>
        <w:t xml:space="preserve"> 2</w:t>
      </w:r>
      <w:r w:rsidRPr="00A55E67">
        <w:rPr>
          <w:rFonts w:eastAsia="Times New Roman" w:cs="Arial"/>
          <w:color w:val="000000"/>
          <w:szCs w:val="20"/>
          <w:lang w:val="en-US"/>
        </w:rPr>
        <w:t>D</w:t>
      </w:r>
      <w:r w:rsidRPr="00A55E67">
        <w:rPr>
          <w:rFonts w:eastAsia="Times New Roman" w:cs="Arial"/>
          <w:color w:val="000000"/>
          <w:szCs w:val="20"/>
          <w:lang w:val="ru-RU"/>
        </w:rPr>
        <w:t xml:space="preserve">6, </w:t>
      </w:r>
      <w:r w:rsidRPr="00A55E67">
        <w:rPr>
          <w:rFonts w:eastAsia="Times New Roman" w:cs="Arial"/>
          <w:color w:val="000000"/>
          <w:szCs w:val="20"/>
          <w:lang w:val="en-US"/>
        </w:rPr>
        <w:t>CYP</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2Е1 или </w:t>
      </w:r>
      <w:r w:rsidRPr="00A55E67">
        <w:rPr>
          <w:rFonts w:eastAsia="Times New Roman" w:cs="Arial"/>
          <w:color w:val="000000"/>
          <w:szCs w:val="20"/>
          <w:lang w:val="en-US"/>
        </w:rPr>
        <w:t>CYP</w:t>
      </w:r>
      <w:r w:rsidRPr="00A55E67">
        <w:rPr>
          <w:rFonts w:eastAsia="Times New Roman" w:cs="Arial"/>
          <w:color w:val="000000"/>
          <w:szCs w:val="20"/>
          <w:lang w:val="ru-RU"/>
        </w:rPr>
        <w:t>3</w:t>
      </w:r>
      <w:r w:rsidRPr="00A55E67">
        <w:rPr>
          <w:rFonts w:eastAsia="Times New Roman" w:cs="Arial"/>
          <w:color w:val="000000"/>
          <w:szCs w:val="20"/>
          <w:lang w:val="en-US"/>
        </w:rPr>
        <w:t>A</w:t>
      </w:r>
      <w:r w:rsidRPr="00A55E67">
        <w:rPr>
          <w:rFonts w:eastAsia="Times New Roman" w:cs="Arial"/>
          <w:color w:val="000000"/>
          <w:szCs w:val="20"/>
          <w:lang w:val="ru-RU"/>
        </w:rPr>
        <w:t>4/5.</w:t>
      </w:r>
    </w:p>
    <w:p w14:paraId="18A3E5A5" w14:textId="77777777" w:rsidR="00A55E67" w:rsidRPr="00A55E67" w:rsidRDefault="00A55E67" w:rsidP="00A55E67">
      <w:pPr>
        <w:spacing w:line="240" w:lineRule="auto"/>
        <w:rPr>
          <w:rFonts w:eastAsia="Times New Roman" w:cs="Arial"/>
          <w:color w:val="000000"/>
          <w:szCs w:val="20"/>
          <w:u w:val="single"/>
          <w:lang w:eastAsia="bg-BG"/>
        </w:rPr>
      </w:pPr>
    </w:p>
    <w:p w14:paraId="76DF7958" w14:textId="5B8F0446" w:rsidR="00A55E67" w:rsidRPr="00A55E67" w:rsidRDefault="00A55E67" w:rsidP="00A55E67">
      <w:pPr>
        <w:pStyle w:val="Heading3"/>
        <w:rPr>
          <w:rFonts w:eastAsia="Times New Roman"/>
          <w:sz w:val="28"/>
          <w:u w:val="single"/>
        </w:rPr>
      </w:pPr>
      <w:r w:rsidRPr="00A55E67">
        <w:rPr>
          <w:rFonts w:eastAsia="Times New Roman"/>
          <w:u w:val="single"/>
          <w:lang w:eastAsia="bg-BG"/>
        </w:rPr>
        <w:t>Елиминиране</w:t>
      </w:r>
    </w:p>
    <w:p w14:paraId="763F10CA" w14:textId="77777777"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 xml:space="preserve">След перорално приложение на (14С] вилдаглиптин, приблизително 85% от дозата се екскретира в урината и 15% от дозата се установява в изпражненията. Бъбречната екскреция на непроменен вилдаглиптин е 23% от дозата след перорално приложение. След интравенозно приложение при здрави субекти общия плазмен и бъбречен клирънс на вилдаглиптин е съответно 41 и 13 </w:t>
      </w:r>
      <w:r w:rsidRPr="00A55E67">
        <w:rPr>
          <w:rFonts w:eastAsia="Times New Roman" w:cs="Arial"/>
          <w:color w:val="000000"/>
          <w:szCs w:val="20"/>
          <w:lang w:val="ru-RU"/>
        </w:rPr>
        <w:t>1/</w:t>
      </w:r>
      <w:r w:rsidRPr="00A55E67">
        <w:rPr>
          <w:rFonts w:eastAsia="Times New Roman" w:cs="Arial"/>
          <w:color w:val="000000"/>
          <w:szCs w:val="20"/>
          <w:lang w:val="en-US"/>
        </w:rPr>
        <w:t>h</w:t>
      </w:r>
      <w:r w:rsidRPr="00A55E67">
        <w:rPr>
          <w:rFonts w:eastAsia="Times New Roman" w:cs="Arial"/>
          <w:color w:val="000000"/>
          <w:szCs w:val="20"/>
          <w:lang w:val="ru-RU"/>
        </w:rPr>
        <w:t xml:space="preserve">. </w:t>
      </w:r>
      <w:r w:rsidRPr="00A55E67">
        <w:rPr>
          <w:rFonts w:eastAsia="Times New Roman" w:cs="Arial"/>
          <w:color w:val="000000"/>
          <w:szCs w:val="20"/>
          <w:lang w:eastAsia="bg-BG"/>
        </w:rPr>
        <w:t>Следният елиминационен полуживот след интравенозно приложение е приблизително 2 часа. Елиминационният полуживот след перорално приложение е приблизително 3 часа.</w:t>
      </w:r>
    </w:p>
    <w:p w14:paraId="3DCDB090" w14:textId="77777777" w:rsidR="00A55E67" w:rsidRPr="00A55E67" w:rsidRDefault="00A55E67" w:rsidP="00A55E67">
      <w:pPr>
        <w:spacing w:line="240" w:lineRule="auto"/>
        <w:rPr>
          <w:rFonts w:eastAsia="Times New Roman" w:cs="Arial"/>
          <w:color w:val="000000"/>
          <w:szCs w:val="20"/>
          <w:u w:val="single"/>
          <w:lang w:eastAsia="bg-BG"/>
        </w:rPr>
      </w:pPr>
    </w:p>
    <w:p w14:paraId="6C73FDE8" w14:textId="62ADBA37" w:rsidR="00A55E67" w:rsidRPr="00A55E67" w:rsidRDefault="00A55E67" w:rsidP="00A55E67">
      <w:pPr>
        <w:pStyle w:val="Heading3"/>
        <w:rPr>
          <w:rFonts w:eastAsia="Times New Roman"/>
          <w:sz w:val="28"/>
          <w:u w:val="single"/>
        </w:rPr>
      </w:pPr>
      <w:r w:rsidRPr="00A55E67">
        <w:rPr>
          <w:rFonts w:eastAsia="Times New Roman"/>
          <w:u w:val="single"/>
          <w:lang w:eastAsia="bg-BG"/>
        </w:rPr>
        <w:t>Линейност/ нелинейности</w:t>
      </w:r>
    </w:p>
    <w:p w14:paraId="38E0961B" w14:textId="77777777"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С</w:t>
      </w:r>
      <w:r w:rsidRPr="00A55E67">
        <w:rPr>
          <w:rFonts w:eastAsia="Times New Roman" w:cs="Arial"/>
          <w:color w:val="000000"/>
          <w:szCs w:val="20"/>
          <w:lang w:val="en-US"/>
        </w:rPr>
        <w:t>max</w:t>
      </w:r>
      <w:r w:rsidRPr="00A55E67">
        <w:rPr>
          <w:rFonts w:eastAsia="Times New Roman" w:cs="Arial"/>
          <w:color w:val="000000"/>
          <w:szCs w:val="20"/>
          <w:lang w:eastAsia="bg-BG"/>
        </w:rPr>
        <w:t xml:space="preserve"> на вилдаглиптин и площта под кривата на плазмените концентрации спрямо времето </w:t>
      </w:r>
      <w:r w:rsidRPr="00A55E67">
        <w:rPr>
          <w:rFonts w:eastAsia="Times New Roman" w:cs="Arial"/>
          <w:color w:val="000000"/>
          <w:szCs w:val="20"/>
          <w:lang w:val="ru-RU"/>
        </w:rPr>
        <w:t>(</w:t>
      </w:r>
      <w:r w:rsidRPr="00A55E67">
        <w:rPr>
          <w:rFonts w:eastAsia="Times New Roman" w:cs="Arial"/>
          <w:color w:val="000000"/>
          <w:szCs w:val="20"/>
          <w:lang w:val="en-US"/>
        </w:rPr>
        <w:t>AUC</w:t>
      </w:r>
      <w:r w:rsidRPr="00A55E67">
        <w:rPr>
          <w:rFonts w:eastAsia="Times New Roman" w:cs="Arial"/>
          <w:color w:val="000000"/>
          <w:szCs w:val="20"/>
          <w:lang w:val="ru-RU"/>
        </w:rPr>
        <w:t xml:space="preserve">) </w:t>
      </w:r>
      <w:r w:rsidRPr="00A55E67">
        <w:rPr>
          <w:rFonts w:eastAsia="Times New Roman" w:cs="Arial"/>
          <w:color w:val="000000"/>
          <w:szCs w:val="20"/>
          <w:lang w:eastAsia="bg-BG"/>
        </w:rPr>
        <w:t>се увеличава приблизително пропорционално на дозата в рамките на терапевтичния дозов интервал.</w:t>
      </w:r>
    </w:p>
    <w:p w14:paraId="451E26EB" w14:textId="77777777" w:rsidR="00A55E67" w:rsidRPr="00A55E67" w:rsidRDefault="00A55E67" w:rsidP="00A55E67">
      <w:pPr>
        <w:spacing w:line="240" w:lineRule="auto"/>
        <w:rPr>
          <w:rFonts w:eastAsia="Times New Roman" w:cs="Arial"/>
          <w:color w:val="000000"/>
          <w:szCs w:val="20"/>
          <w:u w:val="single"/>
          <w:lang w:eastAsia="bg-BG"/>
        </w:rPr>
      </w:pPr>
    </w:p>
    <w:p w14:paraId="1AEB6825" w14:textId="16FB6353"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u w:val="single"/>
          <w:lang w:eastAsia="bg-BG"/>
        </w:rPr>
        <w:t>Характеристики при специфични групи пациенти</w:t>
      </w:r>
    </w:p>
    <w:p w14:paraId="54072137" w14:textId="77777777" w:rsidR="00A55E67" w:rsidRPr="00A55E67" w:rsidRDefault="00A55E67" w:rsidP="00A55E67">
      <w:pPr>
        <w:spacing w:line="240" w:lineRule="auto"/>
        <w:rPr>
          <w:rFonts w:eastAsia="Times New Roman" w:cs="Arial"/>
          <w:sz w:val="28"/>
          <w:szCs w:val="24"/>
        </w:rPr>
      </w:pPr>
      <w:r w:rsidRPr="00A55E67">
        <w:rPr>
          <w:rFonts w:eastAsia="Times New Roman" w:cs="Arial"/>
          <w:i/>
          <w:iCs/>
          <w:color w:val="000000"/>
          <w:szCs w:val="20"/>
          <w:lang w:eastAsia="bg-BG"/>
        </w:rPr>
        <w:t>Пол</w:t>
      </w:r>
    </w:p>
    <w:p w14:paraId="309229A7" w14:textId="77777777"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 xml:space="preserve">Не се наблюдават клинично значими разлики във фармакокинетиката на вилдаглиптин при здрави мъже и жени в широк възрастов диапазон и индекс на телесната маса (ИТМ). </w:t>
      </w:r>
      <w:r w:rsidRPr="00A55E67">
        <w:rPr>
          <w:rFonts w:eastAsia="Times New Roman" w:cs="Arial"/>
          <w:color w:val="000000"/>
          <w:szCs w:val="20"/>
          <w:lang w:val="en-US"/>
        </w:rPr>
        <w:t>DPP</w:t>
      </w:r>
      <w:r w:rsidRPr="00A55E67">
        <w:rPr>
          <w:rFonts w:eastAsia="Times New Roman" w:cs="Arial"/>
          <w:color w:val="000000"/>
          <w:szCs w:val="20"/>
          <w:lang w:val="ru-RU"/>
        </w:rPr>
        <w:t xml:space="preserve">-4 </w:t>
      </w:r>
      <w:r w:rsidRPr="00A55E67">
        <w:rPr>
          <w:rFonts w:eastAsia="Times New Roman" w:cs="Arial"/>
          <w:color w:val="000000"/>
          <w:szCs w:val="20"/>
          <w:lang w:eastAsia="bg-BG"/>
        </w:rPr>
        <w:t>инхибирането на вилдаглиптин не се повлиява от пола.</w:t>
      </w:r>
    </w:p>
    <w:p w14:paraId="7C5B2859" w14:textId="77777777" w:rsidR="00A55E67" w:rsidRPr="00A55E67" w:rsidRDefault="00A55E67" w:rsidP="00A55E67">
      <w:pPr>
        <w:spacing w:line="240" w:lineRule="auto"/>
        <w:rPr>
          <w:rFonts w:eastAsia="Times New Roman" w:cs="Arial"/>
          <w:i/>
          <w:iCs/>
          <w:color w:val="000000"/>
          <w:szCs w:val="20"/>
          <w:lang w:eastAsia="bg-BG"/>
        </w:rPr>
      </w:pPr>
    </w:p>
    <w:p w14:paraId="7254AA01" w14:textId="30C7CEF4" w:rsidR="00A55E67" w:rsidRPr="00A55E67" w:rsidRDefault="00A55E67" w:rsidP="00A55E67">
      <w:pPr>
        <w:spacing w:line="240" w:lineRule="auto"/>
        <w:rPr>
          <w:rFonts w:eastAsia="Times New Roman" w:cs="Arial"/>
          <w:sz w:val="28"/>
          <w:szCs w:val="24"/>
        </w:rPr>
      </w:pPr>
      <w:r w:rsidRPr="00A55E67">
        <w:rPr>
          <w:rFonts w:eastAsia="Times New Roman" w:cs="Arial"/>
          <w:i/>
          <w:iCs/>
          <w:color w:val="000000"/>
          <w:szCs w:val="20"/>
          <w:lang w:eastAsia="bg-BG"/>
        </w:rPr>
        <w:t>Пациенти в старческа възраст</w:t>
      </w:r>
    </w:p>
    <w:p w14:paraId="350AED5D" w14:textId="77777777"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 xml:space="preserve">При здрави пациенти в старческа възраст (≥ 70 години) общата експозиция на виладглиптин (100 </w:t>
      </w:r>
      <w:r w:rsidRPr="00A55E67">
        <w:rPr>
          <w:rFonts w:eastAsia="Times New Roman" w:cs="Arial"/>
          <w:color w:val="000000"/>
          <w:szCs w:val="20"/>
          <w:lang w:val="en-US"/>
        </w:rPr>
        <w:t>mg</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веднъж дневно) се повишава с 32%, при 18% повишение на пиковите плазмени концентрации в сравнение с тези при млади здрави субекти (18-40 години). Тези промени обаче не се считат за клинично значими. </w:t>
      </w:r>
      <w:r w:rsidRPr="00A55E67">
        <w:rPr>
          <w:rFonts w:eastAsia="Times New Roman" w:cs="Arial"/>
          <w:color w:val="000000"/>
          <w:szCs w:val="20"/>
          <w:lang w:val="en-US"/>
        </w:rPr>
        <w:t>DPP</w:t>
      </w:r>
      <w:r w:rsidRPr="00A55E67">
        <w:rPr>
          <w:rFonts w:eastAsia="Times New Roman" w:cs="Arial"/>
          <w:color w:val="000000"/>
          <w:szCs w:val="20"/>
          <w:lang w:val="ru-RU"/>
        </w:rPr>
        <w:t xml:space="preserve">-4 </w:t>
      </w:r>
      <w:r w:rsidRPr="00A55E67">
        <w:rPr>
          <w:rFonts w:eastAsia="Times New Roman" w:cs="Arial"/>
          <w:color w:val="000000"/>
          <w:szCs w:val="20"/>
          <w:lang w:eastAsia="bg-BG"/>
        </w:rPr>
        <w:t>инхибирането на вилдаглиптин не се повлиява от възрастта.</w:t>
      </w:r>
    </w:p>
    <w:p w14:paraId="2648CBA8" w14:textId="77777777" w:rsidR="00A55E67" w:rsidRPr="00A55E67" w:rsidRDefault="00A55E67" w:rsidP="00A55E67">
      <w:pPr>
        <w:spacing w:line="240" w:lineRule="auto"/>
        <w:rPr>
          <w:rFonts w:eastAsia="Times New Roman" w:cs="Arial"/>
          <w:i/>
          <w:iCs/>
          <w:color w:val="000000"/>
          <w:szCs w:val="20"/>
          <w:lang w:eastAsia="bg-BG"/>
        </w:rPr>
      </w:pPr>
    </w:p>
    <w:p w14:paraId="7F40CC24" w14:textId="5027E9FF" w:rsidR="00A55E67" w:rsidRPr="00A55E67" w:rsidRDefault="00A55E67" w:rsidP="00A55E67">
      <w:pPr>
        <w:spacing w:line="240" w:lineRule="auto"/>
        <w:rPr>
          <w:rFonts w:eastAsia="Times New Roman" w:cs="Arial"/>
          <w:sz w:val="28"/>
          <w:szCs w:val="24"/>
        </w:rPr>
      </w:pPr>
      <w:r w:rsidRPr="00A55E67">
        <w:rPr>
          <w:rFonts w:eastAsia="Times New Roman" w:cs="Arial"/>
          <w:i/>
          <w:iCs/>
          <w:color w:val="000000"/>
          <w:szCs w:val="20"/>
          <w:lang w:eastAsia="bg-BG"/>
        </w:rPr>
        <w:t>Чернодробно увреждане</w:t>
      </w:r>
    </w:p>
    <w:p w14:paraId="3E4FCC1E" w14:textId="77777777" w:rsidR="00A55E67" w:rsidRPr="00A55E67" w:rsidRDefault="00A55E67" w:rsidP="00A55E67">
      <w:pPr>
        <w:rPr>
          <w:rFonts w:eastAsia="Times New Roman" w:cs="Arial"/>
          <w:sz w:val="28"/>
          <w:szCs w:val="24"/>
        </w:rPr>
      </w:pPr>
      <w:r w:rsidRPr="00A55E67">
        <w:rPr>
          <w:rFonts w:eastAsia="Times New Roman" w:cs="Arial"/>
          <w:color w:val="000000"/>
          <w:szCs w:val="20"/>
          <w:lang w:eastAsia="bg-BG"/>
        </w:rPr>
        <w:t xml:space="preserve">Ефектът на увредената чернодробна функция върху фармакокинетиката на вилдаглиптин е проучен при пациенти с леко, умерено и тежко чернодробно увреждане, въз основа на скалата </w:t>
      </w:r>
      <w:r w:rsidRPr="00A55E67">
        <w:rPr>
          <w:rFonts w:eastAsia="Times New Roman" w:cs="Arial"/>
          <w:color w:val="000000"/>
          <w:szCs w:val="20"/>
          <w:lang w:val="en-US"/>
        </w:rPr>
        <w:t>Child</w:t>
      </w:r>
      <w:r w:rsidRPr="00A55E67">
        <w:rPr>
          <w:rFonts w:eastAsia="Times New Roman" w:cs="Arial"/>
          <w:color w:val="000000"/>
          <w:szCs w:val="20"/>
          <w:lang w:val="ru-RU"/>
        </w:rPr>
        <w:t>-</w:t>
      </w:r>
      <w:r w:rsidRPr="00A55E67">
        <w:rPr>
          <w:rFonts w:eastAsia="Times New Roman" w:cs="Arial"/>
          <w:color w:val="000000"/>
          <w:szCs w:val="20"/>
          <w:lang w:val="en-US"/>
        </w:rPr>
        <w:t>Pugh</w:t>
      </w:r>
      <w:r w:rsidRPr="00A55E67">
        <w:rPr>
          <w:rFonts w:eastAsia="Times New Roman" w:cs="Arial"/>
          <w:color w:val="000000"/>
          <w:szCs w:val="20"/>
          <w:lang w:val="ru-RU"/>
        </w:rPr>
        <w:t xml:space="preserve"> </w:t>
      </w:r>
      <w:r w:rsidRPr="00A55E67">
        <w:rPr>
          <w:rFonts w:eastAsia="Times New Roman" w:cs="Arial"/>
          <w:color w:val="000000"/>
          <w:szCs w:val="20"/>
          <w:lang w:eastAsia="bg-BG"/>
        </w:rPr>
        <w:t>(вариращ от 6 за леките до 12 за тежките) в сравнение със здрави лица. Експозицията на вилдаглиптин след еднократна доза при пациенти с леко и умерено чернодробо увреждане е намалена (съответно 20% и 8%), докато експозицията на вилдаглиптин при пациенти с тежко увреждане е повишена с 22%. Максималната промяна (увеличаване или намаляване) в</w:t>
      </w:r>
      <w:r w:rsidRPr="00A55E67">
        <w:rPr>
          <w:rFonts w:eastAsia="Times New Roman" w:cs="Arial"/>
          <w:color w:val="000000"/>
          <w:szCs w:val="20"/>
          <w:lang w:val="ru-RU" w:eastAsia="bg-BG"/>
        </w:rPr>
        <w:t xml:space="preserve"> </w:t>
      </w:r>
      <w:r w:rsidRPr="00A55E67">
        <w:rPr>
          <w:rFonts w:eastAsia="Times New Roman" w:cs="Arial"/>
          <w:color w:val="000000"/>
          <w:szCs w:val="20"/>
          <w:lang w:eastAsia="bg-BG"/>
        </w:rPr>
        <w:t>експозицията на вилдаглиптин е ~30%, което не се счита за клинично значимо. Няма корелация между тежестта на чернодробното заболяване и промяната в експозицията на вилдаглиптин.</w:t>
      </w:r>
    </w:p>
    <w:p w14:paraId="0A1ADC86" w14:textId="77777777" w:rsidR="00A55E67" w:rsidRPr="00A55E67" w:rsidRDefault="00A55E67" w:rsidP="00A55E67">
      <w:pPr>
        <w:spacing w:line="240" w:lineRule="auto"/>
        <w:rPr>
          <w:rFonts w:eastAsia="Times New Roman" w:cs="Arial"/>
          <w:i/>
          <w:iCs/>
          <w:color w:val="000000"/>
          <w:szCs w:val="20"/>
          <w:lang w:eastAsia="bg-BG"/>
        </w:rPr>
      </w:pPr>
    </w:p>
    <w:p w14:paraId="16566A66" w14:textId="021F6964" w:rsidR="00A55E67" w:rsidRPr="00A55E67" w:rsidRDefault="00A55E67" w:rsidP="00A55E67">
      <w:pPr>
        <w:spacing w:line="240" w:lineRule="auto"/>
        <w:rPr>
          <w:rFonts w:eastAsia="Times New Roman" w:cs="Arial"/>
          <w:sz w:val="28"/>
          <w:szCs w:val="24"/>
        </w:rPr>
      </w:pPr>
      <w:r w:rsidRPr="00A55E67">
        <w:rPr>
          <w:rFonts w:eastAsia="Times New Roman" w:cs="Arial"/>
          <w:i/>
          <w:iCs/>
          <w:color w:val="000000"/>
          <w:szCs w:val="20"/>
          <w:lang w:eastAsia="bg-BG"/>
        </w:rPr>
        <w:t>Бъбречно увреждане</w:t>
      </w:r>
    </w:p>
    <w:p w14:paraId="0C3C9A2F" w14:textId="77777777"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 xml:space="preserve">Проведено е отворено изпитване с многократно дозиране, за да се оцени фармакокинетиката на по-ниската терапевтична доза вилдаглиптин (50 </w:t>
      </w:r>
      <w:r w:rsidRPr="00A55E67">
        <w:rPr>
          <w:rFonts w:eastAsia="Times New Roman" w:cs="Arial"/>
          <w:color w:val="000000"/>
          <w:szCs w:val="20"/>
          <w:lang w:val="en-US"/>
        </w:rPr>
        <w:t>mg</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веднъж дневно) при пациенти с различна степен на хронично бъбречно увреждане, дефинирано чрез креатининовия клирънс (леко: 50 до &lt;80 </w:t>
      </w:r>
      <w:r w:rsidRPr="00A55E67">
        <w:rPr>
          <w:rFonts w:eastAsia="Times New Roman" w:cs="Arial"/>
          <w:color w:val="000000"/>
          <w:szCs w:val="20"/>
          <w:lang w:val="en-US"/>
        </w:rPr>
        <w:t>ml</w:t>
      </w:r>
      <w:r w:rsidRPr="00A55E67">
        <w:rPr>
          <w:rFonts w:eastAsia="Times New Roman" w:cs="Arial"/>
          <w:color w:val="000000"/>
          <w:szCs w:val="20"/>
          <w:lang w:val="ru-RU"/>
        </w:rPr>
        <w:t>/</w:t>
      </w:r>
      <w:r w:rsidRPr="00A55E67">
        <w:rPr>
          <w:rFonts w:eastAsia="Times New Roman" w:cs="Arial"/>
          <w:color w:val="000000"/>
          <w:szCs w:val="20"/>
          <w:lang w:val="en-US"/>
        </w:rPr>
        <w:t>min</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умерено: 30 до &lt;50 </w:t>
      </w:r>
      <w:r w:rsidRPr="00A55E67">
        <w:rPr>
          <w:rFonts w:eastAsia="Times New Roman" w:cs="Arial"/>
          <w:color w:val="000000"/>
          <w:szCs w:val="20"/>
          <w:lang w:val="en-US"/>
        </w:rPr>
        <w:t>ml</w:t>
      </w:r>
      <w:r w:rsidRPr="00A55E67">
        <w:rPr>
          <w:rFonts w:eastAsia="Times New Roman" w:cs="Arial"/>
          <w:color w:val="000000"/>
          <w:szCs w:val="20"/>
          <w:lang w:val="ru-RU"/>
        </w:rPr>
        <w:t>/</w:t>
      </w:r>
      <w:r w:rsidRPr="00A55E67">
        <w:rPr>
          <w:rFonts w:eastAsia="Times New Roman" w:cs="Arial"/>
          <w:color w:val="000000"/>
          <w:szCs w:val="20"/>
          <w:lang w:val="en-US"/>
        </w:rPr>
        <w:t>min</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и тежко: &lt;30 </w:t>
      </w:r>
      <w:r w:rsidRPr="00A55E67">
        <w:rPr>
          <w:rFonts w:eastAsia="Times New Roman" w:cs="Arial"/>
          <w:color w:val="000000"/>
          <w:szCs w:val="20"/>
          <w:lang w:val="en-US"/>
        </w:rPr>
        <w:t>ml</w:t>
      </w:r>
      <w:r w:rsidRPr="00A55E67">
        <w:rPr>
          <w:rFonts w:eastAsia="Times New Roman" w:cs="Arial"/>
          <w:color w:val="000000"/>
          <w:szCs w:val="20"/>
          <w:lang w:val="ru-RU"/>
        </w:rPr>
        <w:t>/</w:t>
      </w:r>
      <w:r w:rsidRPr="00A55E67">
        <w:rPr>
          <w:rFonts w:eastAsia="Times New Roman" w:cs="Arial"/>
          <w:color w:val="000000"/>
          <w:szCs w:val="20"/>
          <w:lang w:val="en-US"/>
        </w:rPr>
        <w:t>min</w:t>
      </w:r>
      <w:r w:rsidRPr="00A55E67">
        <w:rPr>
          <w:rFonts w:eastAsia="Times New Roman" w:cs="Arial"/>
          <w:color w:val="000000"/>
          <w:szCs w:val="20"/>
          <w:lang w:val="ru-RU"/>
        </w:rPr>
        <w:t xml:space="preserve">) </w:t>
      </w:r>
      <w:r w:rsidRPr="00A55E67">
        <w:rPr>
          <w:rFonts w:eastAsia="Times New Roman" w:cs="Arial"/>
          <w:color w:val="000000"/>
          <w:szCs w:val="20"/>
          <w:lang w:eastAsia="bg-BG"/>
        </w:rPr>
        <w:t>спрямо нормални здрави контроли.</w:t>
      </w:r>
    </w:p>
    <w:p w14:paraId="3E086A59" w14:textId="77777777" w:rsidR="00A55E67" w:rsidRPr="00A55E67" w:rsidRDefault="00A55E67" w:rsidP="00A55E67">
      <w:pPr>
        <w:spacing w:line="240" w:lineRule="auto"/>
        <w:rPr>
          <w:rFonts w:eastAsia="Times New Roman" w:cs="Arial"/>
          <w:color w:val="000000"/>
          <w:szCs w:val="20"/>
          <w:lang w:val="en-US"/>
        </w:rPr>
      </w:pPr>
    </w:p>
    <w:p w14:paraId="0BF3A95C" w14:textId="438AC731"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val="en-US"/>
        </w:rPr>
        <w:t>AUC</w:t>
      </w:r>
      <w:r w:rsidRPr="00A55E67">
        <w:rPr>
          <w:rFonts w:eastAsia="Times New Roman" w:cs="Arial"/>
          <w:color w:val="000000"/>
          <w:szCs w:val="20"/>
          <w:lang w:val="ru-RU"/>
        </w:rPr>
        <w:t xml:space="preserve"> </w:t>
      </w:r>
      <w:r w:rsidRPr="00A55E67">
        <w:rPr>
          <w:rFonts w:eastAsia="Times New Roman" w:cs="Arial"/>
          <w:color w:val="000000"/>
          <w:szCs w:val="20"/>
          <w:lang w:eastAsia="bg-BG"/>
        </w:rPr>
        <w:t>на вилдаглиптин се повишава средно 1</w:t>
      </w:r>
      <w:proofErr w:type="gramStart"/>
      <w:r w:rsidRPr="00A55E67">
        <w:rPr>
          <w:rFonts w:eastAsia="Times New Roman" w:cs="Arial"/>
          <w:color w:val="000000"/>
          <w:szCs w:val="20"/>
          <w:lang w:eastAsia="bg-BG"/>
        </w:rPr>
        <w:t>,4</w:t>
      </w:r>
      <w:proofErr w:type="gramEnd"/>
      <w:r w:rsidRPr="00A55E67">
        <w:rPr>
          <w:rFonts w:eastAsia="Times New Roman" w:cs="Arial"/>
          <w:color w:val="000000"/>
          <w:szCs w:val="20"/>
          <w:lang w:eastAsia="bg-BG"/>
        </w:rPr>
        <w:t xml:space="preserve">; 1,7 и 2 пъти съотневтно при леко, умерено и тежко бъбречно увреждане спрямо нормални здрави контроли. </w:t>
      </w:r>
      <w:r w:rsidRPr="00A55E67">
        <w:rPr>
          <w:rFonts w:eastAsia="Times New Roman" w:cs="Arial"/>
          <w:color w:val="000000"/>
          <w:szCs w:val="20"/>
          <w:lang w:val="en-US"/>
        </w:rPr>
        <w:t>AUC</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на метаболитите </w:t>
      </w:r>
      <w:r w:rsidRPr="00A55E67">
        <w:rPr>
          <w:rFonts w:eastAsia="Times New Roman" w:cs="Arial"/>
          <w:color w:val="000000"/>
          <w:szCs w:val="20"/>
          <w:lang w:val="en-US"/>
        </w:rPr>
        <w:t>LAY</w:t>
      </w:r>
      <w:r w:rsidRPr="00A55E67">
        <w:rPr>
          <w:rFonts w:eastAsia="Times New Roman" w:cs="Arial"/>
          <w:color w:val="000000"/>
          <w:szCs w:val="20"/>
          <w:lang w:val="ru-RU"/>
        </w:rPr>
        <w:t xml:space="preserve">151 </w:t>
      </w:r>
      <w:r w:rsidRPr="00A55E67">
        <w:rPr>
          <w:rFonts w:eastAsia="Times New Roman" w:cs="Arial"/>
          <w:color w:val="000000"/>
          <w:szCs w:val="20"/>
          <w:lang w:eastAsia="bg-BG"/>
        </w:rPr>
        <w:t xml:space="preserve">и </w:t>
      </w:r>
      <w:r w:rsidRPr="00A55E67">
        <w:rPr>
          <w:rFonts w:eastAsia="Times New Roman" w:cs="Arial"/>
          <w:color w:val="000000"/>
          <w:szCs w:val="20"/>
          <w:lang w:val="en-US"/>
        </w:rPr>
        <w:t>BQS</w:t>
      </w:r>
      <w:r w:rsidRPr="00A55E67">
        <w:rPr>
          <w:rFonts w:eastAsia="Times New Roman" w:cs="Arial"/>
          <w:color w:val="000000"/>
          <w:szCs w:val="20"/>
          <w:lang w:val="ru-RU"/>
        </w:rPr>
        <w:t xml:space="preserve">867 </w:t>
      </w:r>
      <w:r w:rsidRPr="00A55E67">
        <w:rPr>
          <w:rFonts w:eastAsia="Times New Roman" w:cs="Arial"/>
          <w:color w:val="000000"/>
          <w:szCs w:val="20"/>
          <w:lang w:eastAsia="bg-BG"/>
        </w:rPr>
        <w:t>се повишава средно с 1</w:t>
      </w:r>
      <w:proofErr w:type="gramStart"/>
      <w:r w:rsidRPr="00A55E67">
        <w:rPr>
          <w:rFonts w:eastAsia="Times New Roman" w:cs="Arial"/>
          <w:color w:val="000000"/>
          <w:szCs w:val="20"/>
          <w:lang w:eastAsia="bg-BG"/>
        </w:rPr>
        <w:t>,5</w:t>
      </w:r>
      <w:proofErr w:type="gramEnd"/>
      <w:r w:rsidRPr="00A55E67">
        <w:rPr>
          <w:rFonts w:eastAsia="Times New Roman" w:cs="Arial"/>
          <w:color w:val="000000"/>
          <w:szCs w:val="20"/>
          <w:lang w:eastAsia="bg-BG"/>
        </w:rPr>
        <w:t xml:space="preserve">; 3 и 7 пъти съответно при пациенти с леко, умерено и тежко бъбречно увреждане. Ограничените данни от приложение при пациенти с терминално бъбречно заболяване </w:t>
      </w:r>
      <w:r w:rsidRPr="00A55E67">
        <w:rPr>
          <w:rFonts w:eastAsia="Times New Roman" w:cs="Arial"/>
          <w:color w:val="000000"/>
          <w:szCs w:val="20"/>
          <w:lang w:val="ru-RU"/>
        </w:rPr>
        <w:t>(</w:t>
      </w:r>
      <w:r w:rsidRPr="00A55E67">
        <w:rPr>
          <w:rFonts w:eastAsia="Times New Roman" w:cs="Arial"/>
          <w:color w:val="000000"/>
          <w:szCs w:val="20"/>
          <w:lang w:val="en-US"/>
        </w:rPr>
        <w:t>ESRD</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показват, че експозицията на вилдаглиптин е сходна с тази при пациенти с тежко бъбречно увреждане. Концентрациите на </w:t>
      </w:r>
      <w:r w:rsidRPr="00A55E67">
        <w:rPr>
          <w:rFonts w:eastAsia="Times New Roman" w:cs="Arial"/>
          <w:color w:val="000000"/>
          <w:szCs w:val="20"/>
          <w:lang w:val="en-US"/>
        </w:rPr>
        <w:t>LAY</w:t>
      </w:r>
      <w:r w:rsidRPr="00A55E67">
        <w:rPr>
          <w:rFonts w:eastAsia="Times New Roman" w:cs="Arial"/>
          <w:color w:val="000000"/>
          <w:szCs w:val="20"/>
          <w:lang w:val="ru-RU"/>
        </w:rPr>
        <w:t xml:space="preserve">151 </w:t>
      </w:r>
      <w:r w:rsidRPr="00A55E67">
        <w:rPr>
          <w:rFonts w:eastAsia="Times New Roman" w:cs="Arial"/>
          <w:color w:val="000000"/>
          <w:szCs w:val="20"/>
          <w:lang w:eastAsia="bg-BG"/>
        </w:rPr>
        <w:t>са приблизително 2-3 пъти по-високи отколкото при пациента с тежко бъбречно увреждане.</w:t>
      </w:r>
    </w:p>
    <w:p w14:paraId="528A0D8E" w14:textId="77777777" w:rsidR="00A55E67" w:rsidRPr="00A55E67" w:rsidRDefault="00A55E67" w:rsidP="00A55E67">
      <w:pPr>
        <w:spacing w:line="240" w:lineRule="auto"/>
        <w:rPr>
          <w:rFonts w:eastAsia="Times New Roman" w:cs="Arial"/>
          <w:color w:val="000000"/>
          <w:szCs w:val="20"/>
          <w:lang w:eastAsia="bg-BG"/>
        </w:rPr>
      </w:pPr>
    </w:p>
    <w:p w14:paraId="1DB4EF50" w14:textId="7A636797"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Вилдаглиптин се отстранява в ограничена степен при хемодиализа (3% при 3-4 часова хемодиализа с начало 4 часа след прилагане на дозата).</w:t>
      </w:r>
    </w:p>
    <w:p w14:paraId="57F8AF21" w14:textId="77777777" w:rsidR="00A55E67" w:rsidRPr="00A55E67" w:rsidRDefault="00A55E67" w:rsidP="00A55E67">
      <w:pPr>
        <w:spacing w:line="240" w:lineRule="auto"/>
        <w:rPr>
          <w:rFonts w:eastAsia="Times New Roman" w:cs="Arial"/>
          <w:i/>
          <w:iCs/>
          <w:color w:val="000000"/>
          <w:szCs w:val="20"/>
          <w:lang w:eastAsia="bg-BG"/>
        </w:rPr>
      </w:pPr>
    </w:p>
    <w:p w14:paraId="414D8F14" w14:textId="63E4B4CB" w:rsidR="00A55E67" w:rsidRPr="00A55E67" w:rsidRDefault="00A55E67" w:rsidP="00A55E67">
      <w:pPr>
        <w:spacing w:line="240" w:lineRule="auto"/>
        <w:rPr>
          <w:rFonts w:eastAsia="Times New Roman" w:cs="Arial"/>
          <w:sz w:val="28"/>
          <w:szCs w:val="24"/>
        </w:rPr>
      </w:pPr>
      <w:r w:rsidRPr="00A55E67">
        <w:rPr>
          <w:rFonts w:eastAsia="Times New Roman" w:cs="Arial"/>
          <w:i/>
          <w:iCs/>
          <w:color w:val="000000"/>
          <w:szCs w:val="20"/>
          <w:lang w:eastAsia="bg-BG"/>
        </w:rPr>
        <w:t>Етническа група</w:t>
      </w:r>
    </w:p>
    <w:p w14:paraId="5776C2E3" w14:textId="77777777"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Ограничените данни предполагат, че расата не оказва сериозно влияние върху фармакокинетиката на вилдаглиптин.</w:t>
      </w:r>
    </w:p>
    <w:p w14:paraId="64C16429" w14:textId="51B9B4B6" w:rsidR="00A55E67" w:rsidRPr="00A55E67" w:rsidRDefault="00A55E67" w:rsidP="00A55E67"/>
    <w:p w14:paraId="4FB791BE" w14:textId="20E4DDD7" w:rsidR="00B6672E" w:rsidRDefault="002C50EE" w:rsidP="00936AD0">
      <w:pPr>
        <w:pStyle w:val="Heading2"/>
      </w:pPr>
      <w:r>
        <w:t>5.3. Предклинични данни за безопасност</w:t>
      </w:r>
    </w:p>
    <w:p w14:paraId="071F539B" w14:textId="57D71442" w:rsidR="00A55E67" w:rsidRDefault="00A55E67" w:rsidP="00A55E67"/>
    <w:p w14:paraId="2F2BBC1A" w14:textId="77777777"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При кучета се наблюдава забавяне на провеждането на импулси в сърцето при доза</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без клиничен ефект от 15 </w:t>
      </w:r>
      <w:r w:rsidRPr="00A55E67">
        <w:rPr>
          <w:rFonts w:eastAsia="Times New Roman" w:cs="Arial"/>
          <w:color w:val="000000"/>
          <w:szCs w:val="20"/>
          <w:lang w:val="en-US"/>
        </w:rPr>
        <w:t>mg</w:t>
      </w:r>
      <w:r w:rsidRPr="00A55E67">
        <w:rPr>
          <w:rFonts w:eastAsia="Times New Roman" w:cs="Arial"/>
          <w:color w:val="000000"/>
          <w:szCs w:val="20"/>
          <w:lang w:val="ru-RU"/>
        </w:rPr>
        <w:t>/</w:t>
      </w:r>
      <w:r w:rsidRPr="00A55E67">
        <w:rPr>
          <w:rFonts w:eastAsia="Times New Roman" w:cs="Arial"/>
          <w:color w:val="000000"/>
          <w:szCs w:val="20"/>
          <w:lang w:val="en-US"/>
        </w:rPr>
        <w:t>kg</w:t>
      </w:r>
      <w:r w:rsidRPr="00A55E67">
        <w:rPr>
          <w:rFonts w:eastAsia="Times New Roman" w:cs="Arial"/>
          <w:color w:val="000000"/>
          <w:szCs w:val="20"/>
          <w:lang w:val="ru-RU"/>
        </w:rPr>
        <w:t xml:space="preserve"> </w:t>
      </w:r>
      <w:r w:rsidRPr="00A55E67">
        <w:rPr>
          <w:rFonts w:eastAsia="Times New Roman" w:cs="Arial"/>
          <w:color w:val="000000"/>
          <w:szCs w:val="20"/>
          <w:lang w:eastAsia="bg-BG"/>
        </w:rPr>
        <w:t>(7 пъти над експозицията при хора въз основа на С</w:t>
      </w:r>
      <w:r w:rsidRPr="00A55E67">
        <w:rPr>
          <w:rFonts w:eastAsia="Times New Roman" w:cs="Arial"/>
          <w:color w:val="000000"/>
          <w:szCs w:val="20"/>
          <w:vertAlign w:val="subscript"/>
          <w:lang w:val="en-US"/>
        </w:rPr>
        <w:t>max</w:t>
      </w:r>
      <w:r w:rsidRPr="00A55E67">
        <w:rPr>
          <w:rFonts w:eastAsia="Times New Roman" w:cs="Arial"/>
          <w:color w:val="000000"/>
          <w:szCs w:val="20"/>
          <w:lang w:eastAsia="bg-BG"/>
        </w:rPr>
        <w:t>).</w:t>
      </w:r>
    </w:p>
    <w:p w14:paraId="69AFD23F" w14:textId="77777777" w:rsidR="00A55E67" w:rsidRPr="00A55E67" w:rsidRDefault="00A55E67" w:rsidP="00A55E67">
      <w:pPr>
        <w:spacing w:line="240" w:lineRule="auto"/>
        <w:rPr>
          <w:rFonts w:eastAsia="Times New Roman" w:cs="Arial"/>
          <w:color w:val="000000"/>
          <w:szCs w:val="20"/>
          <w:lang w:eastAsia="bg-BG"/>
        </w:rPr>
      </w:pPr>
    </w:p>
    <w:p w14:paraId="3BDBF721" w14:textId="033D81F9"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 xml:space="preserve">Кумулиране на пенести алвеоларни макрофаги в белите дробове се наблюдава при плъхове и мишки. Дозата без клиничен ефект при плъхове е 25 </w:t>
      </w:r>
      <w:r w:rsidRPr="00A55E67">
        <w:rPr>
          <w:rFonts w:eastAsia="Times New Roman" w:cs="Arial"/>
          <w:color w:val="000000"/>
          <w:szCs w:val="20"/>
          <w:lang w:val="en-US"/>
        </w:rPr>
        <w:t>mg</w:t>
      </w:r>
      <w:r w:rsidRPr="00A55E67">
        <w:rPr>
          <w:rFonts w:eastAsia="Times New Roman" w:cs="Arial"/>
          <w:color w:val="000000"/>
          <w:szCs w:val="20"/>
          <w:lang w:val="ru-RU"/>
        </w:rPr>
        <w:t>/</w:t>
      </w:r>
      <w:r w:rsidRPr="00A55E67">
        <w:rPr>
          <w:rFonts w:eastAsia="Times New Roman" w:cs="Arial"/>
          <w:color w:val="000000"/>
          <w:szCs w:val="20"/>
          <w:lang w:val="en-US"/>
        </w:rPr>
        <w:t>kg</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(5 пъти над експозицията при хора въз основа на </w:t>
      </w:r>
      <w:r w:rsidRPr="00A55E67">
        <w:rPr>
          <w:rFonts w:eastAsia="Times New Roman" w:cs="Arial"/>
          <w:color w:val="000000"/>
          <w:szCs w:val="20"/>
          <w:lang w:val="en-US"/>
        </w:rPr>
        <w:t>AUC</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и 750 </w:t>
      </w:r>
      <w:r w:rsidRPr="00A55E67">
        <w:rPr>
          <w:rFonts w:eastAsia="Times New Roman" w:cs="Arial"/>
          <w:color w:val="000000"/>
          <w:szCs w:val="20"/>
          <w:lang w:val="en-US"/>
        </w:rPr>
        <w:t>mg</w:t>
      </w:r>
      <w:r w:rsidRPr="00A55E67">
        <w:rPr>
          <w:rFonts w:eastAsia="Times New Roman" w:cs="Arial"/>
          <w:color w:val="000000"/>
          <w:szCs w:val="20"/>
          <w:lang w:val="ru-RU"/>
        </w:rPr>
        <w:t>/</w:t>
      </w:r>
      <w:r w:rsidRPr="00A55E67">
        <w:rPr>
          <w:rFonts w:eastAsia="Times New Roman" w:cs="Arial"/>
          <w:color w:val="000000"/>
          <w:szCs w:val="20"/>
          <w:lang w:val="en-US"/>
        </w:rPr>
        <w:t>kg</w:t>
      </w:r>
      <w:r w:rsidRPr="00A55E67">
        <w:rPr>
          <w:rFonts w:eastAsia="Times New Roman" w:cs="Arial"/>
          <w:color w:val="000000"/>
          <w:szCs w:val="20"/>
          <w:lang w:val="ru-RU"/>
        </w:rPr>
        <w:t xml:space="preserve"> </w:t>
      </w:r>
      <w:r w:rsidRPr="00A55E67">
        <w:rPr>
          <w:rFonts w:eastAsia="Times New Roman" w:cs="Arial"/>
          <w:color w:val="000000"/>
          <w:szCs w:val="20"/>
          <w:lang w:eastAsia="bg-BG"/>
        </w:rPr>
        <w:t>при мишки (142 пъти над експозицията при хора).</w:t>
      </w:r>
    </w:p>
    <w:p w14:paraId="39649FF6" w14:textId="77777777" w:rsidR="00A55E67" w:rsidRPr="00A55E67" w:rsidRDefault="00A55E67" w:rsidP="00A55E67">
      <w:pPr>
        <w:spacing w:line="240" w:lineRule="auto"/>
        <w:rPr>
          <w:rFonts w:eastAsia="Times New Roman" w:cs="Arial"/>
          <w:color w:val="000000"/>
          <w:szCs w:val="20"/>
          <w:lang w:eastAsia="bg-BG"/>
        </w:rPr>
      </w:pPr>
    </w:p>
    <w:p w14:paraId="00A483FC" w14:textId="19219BD9"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Стомашно-чревни симптоми, особено меки изпражнения, изпражнения със слуз, диария и, при високи дози, кръв в изпражненията са наблюдавани при кучета. Ниво без клиничен ефект не е достигнато.</w:t>
      </w:r>
    </w:p>
    <w:p w14:paraId="6BEC5797" w14:textId="77777777" w:rsidR="00A55E67" w:rsidRPr="00A55E67" w:rsidRDefault="00A55E67" w:rsidP="00A55E67">
      <w:pPr>
        <w:spacing w:line="240" w:lineRule="auto"/>
        <w:rPr>
          <w:rFonts w:eastAsia="Times New Roman" w:cs="Arial"/>
          <w:color w:val="000000"/>
          <w:szCs w:val="20"/>
          <w:lang w:eastAsia="bg-BG"/>
        </w:rPr>
      </w:pPr>
    </w:p>
    <w:p w14:paraId="4268099A" w14:textId="7609AADA"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 xml:space="preserve">Вилдаглиптин не е бил мутагенен при конвенционални </w:t>
      </w:r>
      <w:r w:rsidRPr="00A55E67">
        <w:rPr>
          <w:rFonts w:eastAsia="Times New Roman" w:cs="Arial"/>
          <w:color w:val="000000"/>
          <w:szCs w:val="20"/>
          <w:lang w:val="en-US"/>
        </w:rPr>
        <w:t>in</w:t>
      </w:r>
      <w:r w:rsidRPr="00A55E67">
        <w:rPr>
          <w:rFonts w:eastAsia="Times New Roman" w:cs="Arial"/>
          <w:color w:val="000000"/>
          <w:szCs w:val="20"/>
          <w:lang w:val="ru-RU"/>
        </w:rPr>
        <w:t xml:space="preserve"> </w:t>
      </w:r>
      <w:r w:rsidRPr="00A55E67">
        <w:rPr>
          <w:rFonts w:eastAsia="Times New Roman" w:cs="Arial"/>
          <w:color w:val="000000"/>
          <w:szCs w:val="20"/>
          <w:lang w:val="en-US"/>
        </w:rPr>
        <w:t>vitro</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и </w:t>
      </w:r>
      <w:r w:rsidRPr="00A55E67">
        <w:rPr>
          <w:rFonts w:eastAsia="Times New Roman" w:cs="Arial"/>
          <w:color w:val="000000"/>
          <w:szCs w:val="20"/>
          <w:lang w:val="en-US"/>
        </w:rPr>
        <w:t>in</w:t>
      </w:r>
      <w:r w:rsidRPr="00A55E67">
        <w:rPr>
          <w:rFonts w:eastAsia="Times New Roman" w:cs="Arial"/>
          <w:color w:val="000000"/>
          <w:szCs w:val="20"/>
          <w:lang w:val="ru-RU"/>
        </w:rPr>
        <w:t xml:space="preserve"> </w:t>
      </w:r>
      <w:r w:rsidRPr="00A55E67">
        <w:rPr>
          <w:rFonts w:eastAsia="Times New Roman" w:cs="Arial"/>
          <w:color w:val="000000"/>
          <w:szCs w:val="20"/>
          <w:lang w:val="en-US"/>
        </w:rPr>
        <w:t>vivo</w:t>
      </w:r>
      <w:r w:rsidRPr="00A55E67">
        <w:rPr>
          <w:rFonts w:eastAsia="Times New Roman" w:cs="Arial"/>
          <w:color w:val="000000"/>
          <w:szCs w:val="20"/>
          <w:lang w:val="ru-RU"/>
        </w:rPr>
        <w:t xml:space="preserve"> </w:t>
      </w:r>
      <w:r w:rsidRPr="00A55E67">
        <w:rPr>
          <w:rFonts w:eastAsia="Times New Roman" w:cs="Arial"/>
          <w:color w:val="000000"/>
          <w:szCs w:val="20"/>
          <w:lang w:eastAsia="bg-BG"/>
        </w:rPr>
        <w:t>изпитвания за генотоксичност.</w:t>
      </w:r>
    </w:p>
    <w:p w14:paraId="551732EE" w14:textId="77777777" w:rsidR="00A55E67" w:rsidRPr="00A55E67" w:rsidRDefault="00A55E67" w:rsidP="00A55E67">
      <w:pPr>
        <w:spacing w:line="240" w:lineRule="auto"/>
        <w:rPr>
          <w:rFonts w:eastAsia="Times New Roman" w:cs="Arial"/>
          <w:color w:val="000000"/>
          <w:szCs w:val="20"/>
          <w:lang w:eastAsia="bg-BG"/>
        </w:rPr>
      </w:pPr>
    </w:p>
    <w:p w14:paraId="2C45357C" w14:textId="645968D2"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Изпитване за фер</w:t>
      </w:r>
      <w:r w:rsidRPr="00A55E67">
        <w:rPr>
          <w:rFonts w:eastAsia="Times New Roman" w:cs="Arial"/>
          <w:color w:val="000000"/>
          <w:szCs w:val="20"/>
          <w:lang w:val="en-US"/>
        </w:rPr>
        <w:t>t</w:t>
      </w:r>
      <w:r w:rsidRPr="00A55E67">
        <w:rPr>
          <w:rFonts w:eastAsia="Times New Roman" w:cs="Arial"/>
          <w:color w:val="000000"/>
          <w:szCs w:val="20"/>
          <w:lang w:eastAsia="bg-BG"/>
        </w:rPr>
        <w:t xml:space="preserve">илитет и ранно ембрионално развитие при плъхове не дава данни за нарушения във фертилитета, репродуктивното представяне или ранното ембрионално развитие в резултат на лечение с вилдаглиптин. Ембриофеталната токсичност е оценена при плъхове и зайци. Повишена честота на вълнообразни ребра се наблюдава при плъхове във връзка с намалени параметри на телесното тегло на майките при доза без клиничен ефект от 75 </w:t>
      </w:r>
      <w:r w:rsidRPr="00A55E67">
        <w:rPr>
          <w:rFonts w:eastAsia="Times New Roman" w:cs="Arial"/>
          <w:color w:val="000000"/>
          <w:szCs w:val="20"/>
          <w:lang w:val="en-US"/>
        </w:rPr>
        <w:t>mg</w:t>
      </w:r>
      <w:r w:rsidRPr="00A55E67">
        <w:rPr>
          <w:rFonts w:eastAsia="Times New Roman" w:cs="Arial"/>
          <w:color w:val="000000"/>
          <w:szCs w:val="20"/>
          <w:lang w:val="ru-RU"/>
        </w:rPr>
        <w:t>/</w:t>
      </w:r>
      <w:r w:rsidRPr="00A55E67">
        <w:rPr>
          <w:rFonts w:eastAsia="Times New Roman" w:cs="Arial"/>
          <w:color w:val="000000"/>
          <w:szCs w:val="20"/>
          <w:lang w:val="en-US"/>
        </w:rPr>
        <w:t>kg</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(10 пъти над експозицията при хора). При зайци намалено телесно тегло и промени на скелета, показателни за забавяне на развитието са отбелязани само при наличие на тежка майчина токсичност с доза без клиничен ефект от 50 </w:t>
      </w:r>
      <w:r w:rsidRPr="00A55E67">
        <w:rPr>
          <w:rFonts w:eastAsia="Times New Roman" w:cs="Arial"/>
          <w:color w:val="000000"/>
          <w:szCs w:val="20"/>
          <w:lang w:val="en-US"/>
        </w:rPr>
        <w:t>mg</w:t>
      </w:r>
      <w:r w:rsidRPr="00A55E67">
        <w:rPr>
          <w:rFonts w:eastAsia="Times New Roman" w:cs="Arial"/>
          <w:color w:val="000000"/>
          <w:szCs w:val="20"/>
          <w:lang w:val="ru-RU"/>
        </w:rPr>
        <w:t>/</w:t>
      </w:r>
      <w:r w:rsidRPr="00A55E67">
        <w:rPr>
          <w:rFonts w:eastAsia="Times New Roman" w:cs="Arial"/>
          <w:color w:val="000000"/>
          <w:szCs w:val="20"/>
          <w:lang w:val="en-US"/>
        </w:rPr>
        <w:t>kg</w:t>
      </w:r>
      <w:r w:rsidRPr="00A55E67">
        <w:rPr>
          <w:rFonts w:eastAsia="Times New Roman" w:cs="Arial"/>
          <w:color w:val="000000"/>
          <w:szCs w:val="20"/>
          <w:lang w:val="ru-RU"/>
        </w:rPr>
        <w:t xml:space="preserve"> </w:t>
      </w:r>
      <w:r w:rsidRPr="00A55E67">
        <w:rPr>
          <w:rFonts w:eastAsia="Times New Roman" w:cs="Arial"/>
          <w:color w:val="000000"/>
          <w:szCs w:val="20"/>
          <w:lang w:eastAsia="bg-BG"/>
        </w:rPr>
        <w:t>(9 пъти над експозицията при хора). При плъхове е проведено проучване на пре- и постнаталното развитие. Промени се</w:t>
      </w:r>
      <w:r w:rsidRPr="00A55E67">
        <w:rPr>
          <w:rFonts w:eastAsia="Times New Roman" w:cs="Arial"/>
          <w:color w:val="000000"/>
          <w:szCs w:val="20"/>
          <w:lang w:val="en-US"/>
        </w:rPr>
        <w:t xml:space="preserve"> </w:t>
      </w:r>
      <w:r w:rsidRPr="00A55E67">
        <w:rPr>
          <w:rFonts w:eastAsia="Times New Roman" w:cs="Arial"/>
          <w:color w:val="000000"/>
          <w:szCs w:val="20"/>
          <w:lang w:eastAsia="bg-BG"/>
        </w:rPr>
        <w:t>наблюдават само</w:t>
      </w:r>
    </w:p>
    <w:p w14:paraId="71311598" w14:textId="64E9395C" w:rsidR="00A55E67" w:rsidRPr="00A55E67" w:rsidRDefault="00A55E67" w:rsidP="00A55E67">
      <w:pPr>
        <w:rPr>
          <w:rFonts w:eastAsia="Times New Roman" w:cs="Arial"/>
          <w:color w:val="000000"/>
          <w:szCs w:val="20"/>
          <w:lang w:eastAsia="bg-BG"/>
        </w:rPr>
      </w:pPr>
      <w:r w:rsidRPr="00A55E67">
        <w:rPr>
          <w:rFonts w:eastAsia="Times New Roman" w:cs="Arial"/>
          <w:color w:val="000000"/>
          <w:szCs w:val="20"/>
          <w:lang w:eastAsia="bg-BG"/>
        </w:rPr>
        <w:lastRenderedPageBreak/>
        <w:t xml:space="preserve">във връзка с майчина токсичност при ≥150 </w:t>
      </w:r>
      <w:r w:rsidRPr="00A55E67">
        <w:rPr>
          <w:rFonts w:eastAsia="Times New Roman" w:cs="Arial"/>
          <w:color w:val="000000"/>
          <w:szCs w:val="20"/>
          <w:lang w:val="en-US"/>
        </w:rPr>
        <w:t>mg</w:t>
      </w:r>
      <w:r w:rsidRPr="00A55E67">
        <w:rPr>
          <w:rFonts w:eastAsia="Times New Roman" w:cs="Arial"/>
          <w:color w:val="000000"/>
          <w:szCs w:val="20"/>
          <w:lang w:val="ru-RU"/>
        </w:rPr>
        <w:t>/</w:t>
      </w:r>
      <w:r w:rsidRPr="00A55E67">
        <w:rPr>
          <w:rFonts w:eastAsia="Times New Roman" w:cs="Arial"/>
          <w:color w:val="000000"/>
          <w:szCs w:val="20"/>
          <w:lang w:val="en-US"/>
        </w:rPr>
        <w:t>kg</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и включват преходно намаляване на телесното тегло и намалена двигателна активност на </w:t>
      </w:r>
      <w:r w:rsidRPr="00A55E67">
        <w:rPr>
          <w:rFonts w:eastAsia="Times New Roman" w:cs="Arial"/>
          <w:color w:val="000000"/>
          <w:szCs w:val="20"/>
          <w:lang w:val="en-US"/>
        </w:rPr>
        <w:t>F</w:t>
      </w:r>
      <w:r w:rsidRPr="00A55E67">
        <w:rPr>
          <w:rFonts w:eastAsia="Times New Roman" w:cs="Arial"/>
          <w:color w:val="000000"/>
          <w:szCs w:val="20"/>
          <w:lang w:val="ru-RU"/>
        </w:rPr>
        <w:t xml:space="preserve">1 </w:t>
      </w:r>
      <w:r w:rsidRPr="00A55E67">
        <w:rPr>
          <w:rFonts w:eastAsia="Times New Roman" w:cs="Arial"/>
          <w:color w:val="000000"/>
          <w:szCs w:val="20"/>
          <w:lang w:eastAsia="bg-BG"/>
        </w:rPr>
        <w:t>поколението.</w:t>
      </w:r>
    </w:p>
    <w:p w14:paraId="624A61DA" w14:textId="5A98C375" w:rsidR="00A55E67" w:rsidRPr="00A55E67" w:rsidRDefault="00A55E67" w:rsidP="00A55E67">
      <w:pPr>
        <w:rPr>
          <w:rFonts w:eastAsia="Times New Roman" w:cs="Arial"/>
          <w:color w:val="000000"/>
          <w:szCs w:val="20"/>
          <w:lang w:eastAsia="bg-BG"/>
        </w:rPr>
      </w:pPr>
    </w:p>
    <w:p w14:paraId="66F58CBB" w14:textId="77777777"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 xml:space="preserve">Двугодишно проучване за карциногенност е проведено при плъхове с перорални дози до 900 </w:t>
      </w:r>
      <w:r w:rsidRPr="00A55E67">
        <w:rPr>
          <w:rFonts w:eastAsia="Times New Roman" w:cs="Arial"/>
          <w:color w:val="000000"/>
          <w:szCs w:val="20"/>
          <w:lang w:val="en-US"/>
        </w:rPr>
        <w:t>mg</w:t>
      </w:r>
      <w:r w:rsidRPr="00A55E67">
        <w:rPr>
          <w:rFonts w:eastAsia="Times New Roman" w:cs="Arial"/>
          <w:color w:val="000000"/>
          <w:szCs w:val="20"/>
          <w:lang w:val="ru-RU"/>
        </w:rPr>
        <w:t>/</w:t>
      </w:r>
      <w:r w:rsidRPr="00A55E67">
        <w:rPr>
          <w:rFonts w:eastAsia="Times New Roman" w:cs="Arial"/>
          <w:color w:val="000000"/>
          <w:szCs w:val="20"/>
          <w:lang w:val="en-US"/>
        </w:rPr>
        <w:t>kg</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(приблизително 200 пъти експозицията при хора при максимално препоръчителната доза). Не се наблюдава увеличение на честотата на туморите, които биха могли да са в резултат на вилдаглиптин. Друго двугодишно проучване за карциногенност е проведено при мишки, с перорални дози до 1000 </w:t>
      </w:r>
      <w:r w:rsidRPr="00A55E67">
        <w:rPr>
          <w:rFonts w:eastAsia="Times New Roman" w:cs="Arial"/>
          <w:color w:val="000000"/>
          <w:szCs w:val="20"/>
          <w:lang w:val="en-US"/>
        </w:rPr>
        <w:t>mg</w:t>
      </w:r>
      <w:r w:rsidRPr="00A55E67">
        <w:rPr>
          <w:rFonts w:eastAsia="Times New Roman" w:cs="Arial"/>
          <w:color w:val="000000"/>
          <w:szCs w:val="20"/>
          <w:lang w:val="ru-RU"/>
        </w:rPr>
        <w:t>/</w:t>
      </w:r>
      <w:r w:rsidRPr="00A55E67">
        <w:rPr>
          <w:rFonts w:eastAsia="Times New Roman" w:cs="Arial"/>
          <w:color w:val="000000"/>
          <w:szCs w:val="20"/>
          <w:lang w:val="en-US"/>
        </w:rPr>
        <w:t>kg</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Повишена честота на аденокарцином на гърдата и хемангиосарком се наблюдава при доза без клиничен ефект от съответно 500 </w:t>
      </w:r>
      <w:r w:rsidRPr="00A55E67">
        <w:rPr>
          <w:rFonts w:eastAsia="Times New Roman" w:cs="Arial"/>
          <w:color w:val="000000"/>
          <w:szCs w:val="20"/>
          <w:lang w:val="en-US"/>
        </w:rPr>
        <w:t>mg</w:t>
      </w:r>
      <w:r w:rsidRPr="00A55E67">
        <w:rPr>
          <w:rFonts w:eastAsia="Times New Roman" w:cs="Arial"/>
          <w:color w:val="000000"/>
          <w:szCs w:val="20"/>
          <w:lang w:val="ru-RU"/>
        </w:rPr>
        <w:t>/</w:t>
      </w:r>
      <w:r w:rsidRPr="00A55E67">
        <w:rPr>
          <w:rFonts w:eastAsia="Times New Roman" w:cs="Arial"/>
          <w:color w:val="000000"/>
          <w:szCs w:val="20"/>
          <w:lang w:val="en-US"/>
        </w:rPr>
        <w:t>kg</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(59 пъти над експозицията при хора) и 100 </w:t>
      </w:r>
      <w:r w:rsidRPr="00A55E67">
        <w:rPr>
          <w:rFonts w:eastAsia="Times New Roman" w:cs="Arial"/>
          <w:color w:val="000000"/>
          <w:szCs w:val="20"/>
          <w:lang w:val="en-US"/>
        </w:rPr>
        <w:t>mg</w:t>
      </w:r>
      <w:r w:rsidRPr="00A55E67">
        <w:rPr>
          <w:rFonts w:eastAsia="Times New Roman" w:cs="Arial"/>
          <w:color w:val="000000"/>
          <w:szCs w:val="20"/>
          <w:lang w:val="ru-RU"/>
        </w:rPr>
        <w:t>/</w:t>
      </w:r>
      <w:r w:rsidRPr="00A55E67">
        <w:rPr>
          <w:rFonts w:eastAsia="Times New Roman" w:cs="Arial"/>
          <w:color w:val="000000"/>
          <w:szCs w:val="20"/>
          <w:lang w:val="en-US"/>
        </w:rPr>
        <w:t>kg</w:t>
      </w:r>
      <w:r w:rsidRPr="00A55E67">
        <w:rPr>
          <w:rFonts w:eastAsia="Times New Roman" w:cs="Arial"/>
          <w:color w:val="000000"/>
          <w:szCs w:val="20"/>
          <w:lang w:val="ru-RU"/>
        </w:rPr>
        <w:t xml:space="preserve"> </w:t>
      </w:r>
      <w:r w:rsidRPr="00A55E67">
        <w:rPr>
          <w:rFonts w:eastAsia="Times New Roman" w:cs="Arial"/>
          <w:color w:val="000000"/>
          <w:szCs w:val="20"/>
          <w:lang w:eastAsia="bg-BG"/>
        </w:rPr>
        <w:t>(16 пъта над експозицията при хора). Счита се, че повишената честота на тези тумори при мишки не представлява съществен риск за хората поради липсата на генотоксичност на вилдаглиптин и основният му метаболит, появата на туморите само при един вид и високите съотношения на системна експозиция, при които са наблюдавани туморите.</w:t>
      </w:r>
    </w:p>
    <w:p w14:paraId="24F90916" w14:textId="77777777" w:rsidR="00A55E67" w:rsidRPr="00A55E67" w:rsidRDefault="00A55E67" w:rsidP="00A55E67">
      <w:pPr>
        <w:spacing w:line="240" w:lineRule="auto"/>
        <w:rPr>
          <w:rFonts w:eastAsia="Times New Roman" w:cs="Arial"/>
          <w:color w:val="000000"/>
          <w:szCs w:val="20"/>
          <w:lang w:eastAsia="bg-BG"/>
        </w:rPr>
      </w:pPr>
    </w:p>
    <w:p w14:paraId="7524E043" w14:textId="2CFA9A2A"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 xml:space="preserve">При 13-седмично токсикологично проучване при маймуни макаци кожни лезии са отчетени при дози ≥ 5 </w:t>
      </w:r>
      <w:r w:rsidRPr="00A55E67">
        <w:rPr>
          <w:rFonts w:eastAsia="Times New Roman" w:cs="Arial"/>
          <w:color w:val="000000"/>
          <w:szCs w:val="20"/>
          <w:lang w:val="en-US"/>
        </w:rPr>
        <w:t>mg</w:t>
      </w:r>
      <w:r w:rsidRPr="00A55E67">
        <w:rPr>
          <w:rFonts w:eastAsia="Times New Roman" w:cs="Arial"/>
          <w:color w:val="000000"/>
          <w:szCs w:val="20"/>
          <w:lang w:val="ru-RU"/>
        </w:rPr>
        <w:t>/</w:t>
      </w:r>
      <w:r w:rsidRPr="00A55E67">
        <w:rPr>
          <w:rFonts w:eastAsia="Times New Roman" w:cs="Arial"/>
          <w:color w:val="000000"/>
          <w:szCs w:val="20"/>
          <w:lang w:val="en-US"/>
        </w:rPr>
        <w:t>kg</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дневно. Те се локализират предимно по крайниците (ръце, ходила, уши и опашка). При 5 </w:t>
      </w:r>
      <w:r w:rsidRPr="00A55E67">
        <w:rPr>
          <w:rFonts w:eastAsia="Times New Roman" w:cs="Arial"/>
          <w:color w:val="000000"/>
          <w:szCs w:val="20"/>
          <w:lang w:val="en-US"/>
        </w:rPr>
        <w:t>mg</w:t>
      </w:r>
      <w:r w:rsidRPr="00A55E67">
        <w:rPr>
          <w:rFonts w:eastAsia="Times New Roman" w:cs="Arial"/>
          <w:color w:val="000000"/>
          <w:szCs w:val="20"/>
          <w:lang w:val="ru-RU"/>
        </w:rPr>
        <w:t>/</w:t>
      </w:r>
      <w:r w:rsidRPr="00A55E67">
        <w:rPr>
          <w:rFonts w:eastAsia="Times New Roman" w:cs="Arial"/>
          <w:color w:val="000000"/>
          <w:szCs w:val="20"/>
          <w:lang w:val="en-US"/>
        </w:rPr>
        <w:t>kg</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дневно (приблизителен еквивалент на </w:t>
      </w:r>
      <w:r w:rsidRPr="00A55E67">
        <w:rPr>
          <w:rFonts w:eastAsia="Times New Roman" w:cs="Arial"/>
          <w:color w:val="000000"/>
          <w:szCs w:val="20"/>
          <w:lang w:val="en-US"/>
        </w:rPr>
        <w:t>AUC</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експозицията при хора при доза 100 </w:t>
      </w:r>
      <w:r w:rsidRPr="00A55E67">
        <w:rPr>
          <w:rFonts w:eastAsia="Times New Roman" w:cs="Arial"/>
          <w:color w:val="000000"/>
          <w:szCs w:val="20"/>
          <w:lang w:val="en-US"/>
        </w:rPr>
        <w:t>mg</w:t>
      </w:r>
      <w:r w:rsidRPr="00A55E67">
        <w:rPr>
          <w:rFonts w:eastAsia="Times New Roman" w:cs="Arial"/>
          <w:color w:val="000000"/>
          <w:szCs w:val="20"/>
          <w:lang w:val="ru-RU"/>
        </w:rPr>
        <w:t xml:space="preserve">) </w:t>
      </w:r>
      <w:r w:rsidRPr="00A55E67">
        <w:rPr>
          <w:rFonts w:eastAsia="Times New Roman" w:cs="Arial"/>
          <w:color w:val="000000"/>
          <w:szCs w:val="20"/>
          <w:lang w:eastAsia="bg-BG"/>
        </w:rPr>
        <w:t>са наблюдавани само мехури. Те са обратими, независимо от това, че лечението е продължено, и не са свързани с хистопатологични аномалии. Лющеща се кожа, белеща се кожа, струпеи и рани на опашката с корелиращи хистопатологични промени са наблюдавани при дози</w:t>
      </w:r>
    </w:p>
    <w:p w14:paraId="22BC4D9F" w14:textId="77777777" w:rsidR="00A55E67" w:rsidRPr="00A55E67" w:rsidRDefault="00A55E67" w:rsidP="00A55E67">
      <w:pPr>
        <w:spacing w:line="240" w:lineRule="auto"/>
        <w:rPr>
          <w:rFonts w:eastAsia="Times New Roman" w:cs="Arial"/>
          <w:sz w:val="28"/>
          <w:szCs w:val="24"/>
        </w:rPr>
      </w:pPr>
      <w:r w:rsidRPr="00A55E67">
        <w:rPr>
          <w:rFonts w:eastAsia="Times New Roman" w:cs="Arial"/>
          <w:color w:val="000000"/>
          <w:szCs w:val="20"/>
          <w:lang w:eastAsia="bg-BG"/>
        </w:rPr>
        <w:t xml:space="preserve">≥ 20 </w:t>
      </w:r>
      <w:r w:rsidRPr="00A55E67">
        <w:rPr>
          <w:rFonts w:eastAsia="Times New Roman" w:cs="Arial"/>
          <w:color w:val="000000"/>
          <w:szCs w:val="20"/>
          <w:lang w:val="en-US"/>
        </w:rPr>
        <w:t>mg</w:t>
      </w:r>
      <w:r w:rsidRPr="00A55E67">
        <w:rPr>
          <w:rFonts w:eastAsia="Times New Roman" w:cs="Arial"/>
          <w:color w:val="000000"/>
          <w:szCs w:val="20"/>
          <w:lang w:val="ru-RU"/>
        </w:rPr>
        <w:t>/</w:t>
      </w:r>
      <w:r w:rsidRPr="00A55E67">
        <w:rPr>
          <w:rFonts w:eastAsia="Times New Roman" w:cs="Arial"/>
          <w:color w:val="000000"/>
          <w:szCs w:val="20"/>
          <w:lang w:val="en-US"/>
        </w:rPr>
        <w:t>kg</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дневно (приблизително 3 пъти над </w:t>
      </w:r>
      <w:r w:rsidRPr="00A55E67">
        <w:rPr>
          <w:rFonts w:eastAsia="Times New Roman" w:cs="Arial"/>
          <w:color w:val="000000"/>
          <w:szCs w:val="20"/>
          <w:lang w:val="en-US"/>
        </w:rPr>
        <w:t>AUC</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експозицията при хора при доза 100 </w:t>
      </w:r>
      <w:r w:rsidRPr="00A55E67">
        <w:rPr>
          <w:rFonts w:eastAsia="Times New Roman" w:cs="Arial"/>
          <w:color w:val="000000"/>
          <w:szCs w:val="20"/>
          <w:lang w:val="en-US"/>
        </w:rPr>
        <w:t>mg</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Некротични лезии на опашката са наблюдавани ≥ 80 </w:t>
      </w:r>
      <w:r w:rsidRPr="00A55E67">
        <w:rPr>
          <w:rFonts w:eastAsia="Times New Roman" w:cs="Arial"/>
          <w:color w:val="000000"/>
          <w:szCs w:val="20"/>
          <w:lang w:val="en-US"/>
        </w:rPr>
        <w:t>mg</w:t>
      </w:r>
      <w:r w:rsidRPr="00A55E67">
        <w:rPr>
          <w:rFonts w:eastAsia="Times New Roman" w:cs="Arial"/>
          <w:color w:val="000000"/>
          <w:szCs w:val="20"/>
          <w:lang w:val="ru-RU"/>
        </w:rPr>
        <w:t>/</w:t>
      </w:r>
      <w:r w:rsidRPr="00A55E67">
        <w:rPr>
          <w:rFonts w:eastAsia="Times New Roman" w:cs="Arial"/>
          <w:color w:val="000000"/>
          <w:szCs w:val="20"/>
          <w:lang w:val="en-US"/>
        </w:rPr>
        <w:t>kg</w:t>
      </w:r>
      <w:r w:rsidRPr="00A55E67">
        <w:rPr>
          <w:rFonts w:eastAsia="Times New Roman" w:cs="Arial"/>
          <w:color w:val="000000"/>
          <w:szCs w:val="20"/>
          <w:lang w:val="ru-RU"/>
        </w:rPr>
        <w:t xml:space="preserve"> </w:t>
      </w:r>
      <w:r w:rsidRPr="00A55E67">
        <w:rPr>
          <w:rFonts w:eastAsia="Times New Roman" w:cs="Arial"/>
          <w:color w:val="000000"/>
          <w:szCs w:val="20"/>
          <w:lang w:eastAsia="bg-BG"/>
        </w:rPr>
        <w:t xml:space="preserve">дневно. Кожните лезии не са обратими при маймуни, лекувани с 160 </w:t>
      </w:r>
      <w:r w:rsidRPr="00A55E67">
        <w:rPr>
          <w:rFonts w:eastAsia="Times New Roman" w:cs="Arial"/>
          <w:color w:val="000000"/>
          <w:szCs w:val="20"/>
          <w:lang w:val="en-US"/>
        </w:rPr>
        <w:t>mg</w:t>
      </w:r>
      <w:r w:rsidRPr="00A55E67">
        <w:rPr>
          <w:rFonts w:eastAsia="Times New Roman" w:cs="Arial"/>
          <w:color w:val="000000"/>
          <w:szCs w:val="20"/>
          <w:lang w:val="ru-RU"/>
        </w:rPr>
        <w:t>/</w:t>
      </w:r>
      <w:r w:rsidRPr="00A55E67">
        <w:rPr>
          <w:rFonts w:eastAsia="Times New Roman" w:cs="Arial"/>
          <w:color w:val="000000"/>
          <w:szCs w:val="20"/>
          <w:lang w:val="en-US"/>
        </w:rPr>
        <w:t>kg</w:t>
      </w:r>
      <w:r w:rsidRPr="00A55E67">
        <w:rPr>
          <w:rFonts w:eastAsia="Times New Roman" w:cs="Arial"/>
          <w:color w:val="000000"/>
          <w:szCs w:val="20"/>
          <w:lang w:val="ru-RU"/>
        </w:rPr>
        <w:t xml:space="preserve"> </w:t>
      </w:r>
      <w:r w:rsidRPr="00A55E67">
        <w:rPr>
          <w:rFonts w:eastAsia="Times New Roman" w:cs="Arial"/>
          <w:color w:val="000000"/>
          <w:szCs w:val="20"/>
          <w:lang w:eastAsia="bg-BG"/>
        </w:rPr>
        <w:t>дневно по време на 4-седмичния възстановителен период.</w:t>
      </w:r>
    </w:p>
    <w:p w14:paraId="318F427C" w14:textId="77777777" w:rsidR="00A55E67" w:rsidRPr="00A55E67" w:rsidRDefault="00A55E67" w:rsidP="00A55E67"/>
    <w:p w14:paraId="1BA6531D" w14:textId="75F2A12B" w:rsidR="00B6672E" w:rsidRDefault="002C50EE" w:rsidP="00936AD0">
      <w:pPr>
        <w:pStyle w:val="Heading1"/>
      </w:pPr>
      <w:r>
        <w:t>7. ПРИТЕЖАТЕЛ НА РАЗРЕШЕНИЕТО ЗА УПОТРЕБА</w:t>
      </w:r>
    </w:p>
    <w:p w14:paraId="781DF2B7" w14:textId="2FF55FAD" w:rsidR="00A55E67" w:rsidRDefault="00A55E67" w:rsidP="00A55E67"/>
    <w:p w14:paraId="736439CD" w14:textId="4984CAE5" w:rsidR="00A55E67" w:rsidRPr="00A55E67" w:rsidRDefault="00A55E67" w:rsidP="00A55E67">
      <w:r>
        <w:t xml:space="preserve">Medochemie Ltd, </w:t>
      </w:r>
      <w:r>
        <w:rPr>
          <w:lang w:eastAsia="bg-BG"/>
        </w:rPr>
        <w:t xml:space="preserve">1-10 </w:t>
      </w:r>
      <w:r>
        <w:t xml:space="preserve">Constantinoupoleos Street, 3011 Limassol, </w:t>
      </w:r>
      <w:r>
        <w:rPr>
          <w:lang w:eastAsia="bg-BG"/>
        </w:rPr>
        <w:t>Кипър</w:t>
      </w:r>
    </w:p>
    <w:p w14:paraId="508F3A54" w14:textId="0668835E" w:rsidR="00B6672E" w:rsidRDefault="00936AD0" w:rsidP="00936AD0">
      <w:pPr>
        <w:pStyle w:val="Heading1"/>
      </w:pPr>
      <w:r>
        <w:t>8.</w:t>
      </w:r>
      <w:r w:rsidR="002C50EE">
        <w:t>НОМЕР НА РАЗРЕШЕНИЕТО ЗА УПОТРЕБА</w:t>
      </w:r>
    </w:p>
    <w:p w14:paraId="72846E42" w14:textId="5D86D442" w:rsidR="00A55E67" w:rsidRDefault="00A55E67" w:rsidP="00A55E67"/>
    <w:p w14:paraId="1889D29A" w14:textId="044567CB" w:rsidR="00A55E67" w:rsidRPr="00A55E67" w:rsidRDefault="00A55E67" w:rsidP="00A55E67">
      <w:pPr>
        <w:rPr>
          <w:sz w:val="24"/>
          <w:szCs w:val="24"/>
          <w:lang w:val="ru-RU"/>
        </w:rPr>
      </w:pPr>
      <w:r w:rsidRPr="00A55E67">
        <w:rPr>
          <w:lang w:val="en-US"/>
        </w:rPr>
        <w:t>Per</w:t>
      </w:r>
      <w:r w:rsidRPr="00A55E67">
        <w:rPr>
          <w:lang w:val="ru-RU"/>
        </w:rPr>
        <w:t>. №: 20170283</w:t>
      </w:r>
    </w:p>
    <w:p w14:paraId="2CCB5832" w14:textId="75AB99CE" w:rsidR="007C605B" w:rsidRDefault="002C50EE" w:rsidP="007C605B">
      <w:pPr>
        <w:pStyle w:val="Heading1"/>
      </w:pPr>
      <w:r>
        <w:t>9. ДАТА НА ПЪРВО РАЗРЕШАВАНЕ/ПОДНОВЯВАНЕ НА РАЗРЕШЕНИЕТО ЗА УПОТРЕБА</w:t>
      </w:r>
    </w:p>
    <w:p w14:paraId="5338637A" w14:textId="354D3209" w:rsidR="00A55E67" w:rsidRDefault="00A55E67" w:rsidP="00A55E67"/>
    <w:p w14:paraId="6D8560A1" w14:textId="5FA01900" w:rsidR="00A55E67" w:rsidRPr="00A55E67" w:rsidRDefault="00A55E67" w:rsidP="00A55E67">
      <w:r>
        <w:t>Дата на първо разрешаване: 27 сепптември 2017 г,</w:t>
      </w:r>
    </w:p>
    <w:p w14:paraId="0E9D0119" w14:textId="0245C6D7" w:rsidR="002C50EE" w:rsidRDefault="002C50EE" w:rsidP="002C50EE">
      <w:pPr>
        <w:pStyle w:val="Heading1"/>
      </w:pPr>
      <w:r>
        <w:t>10. ДАТА НА АКТУАЛИЗИРАНЕ НА ТЕКСТА</w:t>
      </w:r>
    </w:p>
    <w:bookmarkEnd w:id="0"/>
    <w:p w14:paraId="43FB38A2" w14:textId="220704D5" w:rsidR="007C605B" w:rsidRPr="003E3126" w:rsidRDefault="00A55E67" w:rsidP="00A55E67">
      <w:r>
        <w:t>01/2022</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01540"/>
    <w:multiLevelType w:val="hybridMultilevel"/>
    <w:tmpl w:val="EC2A8F6A"/>
    <w:lvl w:ilvl="0" w:tplc="06FA070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3"/>
  </w:num>
  <w:num w:numId="28">
    <w:abstractNumId w:val="7"/>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8"/>
  </w:num>
  <w:num w:numId="36">
    <w:abstractNumId w:val="1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D0246"/>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55E67"/>
    <w:rsid w:val="00A65A81"/>
    <w:rsid w:val="00AA23EC"/>
    <w:rsid w:val="00AC63CE"/>
    <w:rsid w:val="00AE2107"/>
    <w:rsid w:val="00B275A8"/>
    <w:rsid w:val="00B41857"/>
    <w:rsid w:val="00B6672E"/>
    <w:rsid w:val="00BF2600"/>
    <w:rsid w:val="00C0049F"/>
    <w:rsid w:val="00C07B84"/>
    <w:rsid w:val="00C33464"/>
    <w:rsid w:val="00C40420"/>
    <w:rsid w:val="00C74717"/>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6676</Words>
  <Characters>38054</Characters>
  <Application>Microsoft Office Word</Application>
  <DocSecurity>0</DocSecurity>
  <Lines>317</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2022-07-08T17:39:00Z</dcterms:created>
  <dcterms:modified xsi:type="dcterms:W3CDTF">2022-07-08T17:39:00Z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