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2C835195" w:rsidR="00C40420" w:rsidRDefault="00DD466D" w:rsidP="004A448E">
      <w:pPr>
        <w:pStyle w:val="Heading1"/>
      </w:pPr>
      <w:r>
        <w:t>1.ИМЕ НА ЛЕКАРСТВЕНИЯ ПРОДУКТ</w:t>
      </w:r>
    </w:p>
    <w:p w14:paraId="44DD81A4" w14:textId="00C3597B" w:rsidR="00C10AF7" w:rsidRDefault="00C10AF7" w:rsidP="00C10AF7"/>
    <w:p w14:paraId="237C588E" w14:textId="77777777" w:rsidR="00C10AF7" w:rsidRPr="00C10AF7" w:rsidRDefault="00C10AF7" w:rsidP="00C10AF7">
      <w:pPr>
        <w:rPr>
          <w:sz w:val="24"/>
          <w:szCs w:val="24"/>
        </w:rPr>
      </w:pPr>
      <w:r w:rsidRPr="00C10AF7">
        <w:rPr>
          <w:lang w:eastAsia="bg-BG"/>
        </w:rPr>
        <w:t xml:space="preserve">ДАЛТЕКС 50 </w:t>
      </w:r>
      <w:r w:rsidRPr="00C10AF7">
        <w:rPr>
          <w:lang w:val="en-US"/>
        </w:rPr>
        <w:t>mg</w:t>
      </w:r>
      <w:r w:rsidRPr="00C10AF7">
        <w:t xml:space="preserve">/850 </w:t>
      </w:r>
      <w:r w:rsidRPr="00C10AF7">
        <w:rPr>
          <w:lang w:val="en-US"/>
        </w:rPr>
        <w:t>mg</w:t>
      </w:r>
      <w:r w:rsidRPr="00C10AF7">
        <w:t xml:space="preserve"> </w:t>
      </w:r>
      <w:r w:rsidRPr="00C10AF7">
        <w:rPr>
          <w:lang w:eastAsia="bg-BG"/>
        </w:rPr>
        <w:t>филмирани таблетки</w:t>
      </w:r>
    </w:p>
    <w:p w14:paraId="745DF3A9" w14:textId="77777777" w:rsidR="00C10AF7" w:rsidRPr="00C10AF7" w:rsidRDefault="00C10AF7" w:rsidP="00C10AF7">
      <w:pPr>
        <w:rPr>
          <w:sz w:val="24"/>
          <w:szCs w:val="24"/>
        </w:rPr>
      </w:pPr>
      <w:r w:rsidRPr="00C10AF7">
        <w:rPr>
          <w:lang w:val="en-US"/>
        </w:rPr>
        <w:t>DALTEX</w:t>
      </w:r>
      <w:r w:rsidRPr="00C10AF7">
        <w:t xml:space="preserve"> </w:t>
      </w:r>
      <w:r w:rsidRPr="00C10AF7">
        <w:rPr>
          <w:lang w:eastAsia="bg-BG"/>
        </w:rPr>
        <w:t xml:space="preserve">50 </w:t>
      </w:r>
      <w:r w:rsidRPr="00C10AF7">
        <w:rPr>
          <w:lang w:val="en-US"/>
        </w:rPr>
        <w:t>mg</w:t>
      </w:r>
      <w:r w:rsidRPr="00C10AF7">
        <w:t xml:space="preserve">/850 </w:t>
      </w:r>
      <w:r w:rsidRPr="00C10AF7">
        <w:rPr>
          <w:lang w:val="en-US"/>
        </w:rPr>
        <w:t>mg</w:t>
      </w:r>
      <w:r w:rsidRPr="00C10AF7">
        <w:t xml:space="preserve"> </w:t>
      </w:r>
      <w:r w:rsidRPr="00C10AF7">
        <w:rPr>
          <w:lang w:val="en-US"/>
        </w:rPr>
        <w:t>film</w:t>
      </w:r>
      <w:r w:rsidRPr="00C10AF7">
        <w:t>-</w:t>
      </w:r>
      <w:r w:rsidRPr="00C10AF7">
        <w:rPr>
          <w:lang w:val="en-US"/>
        </w:rPr>
        <w:t>coated</w:t>
      </w:r>
      <w:r w:rsidRPr="00C10AF7">
        <w:t xml:space="preserve"> </w:t>
      </w:r>
      <w:r w:rsidRPr="00C10AF7">
        <w:rPr>
          <w:lang w:val="en-US"/>
        </w:rPr>
        <w:t>tablets</w:t>
      </w:r>
    </w:p>
    <w:p w14:paraId="614C828C" w14:textId="77777777" w:rsidR="00C10AF7" w:rsidRPr="00C10AF7" w:rsidRDefault="00C10AF7" w:rsidP="00C10AF7"/>
    <w:p w14:paraId="6920A680" w14:textId="53597D73" w:rsidR="00C40420" w:rsidRDefault="00DD466D" w:rsidP="004A448E">
      <w:pPr>
        <w:pStyle w:val="Heading1"/>
      </w:pPr>
      <w:r>
        <w:t>2. КАЧЕСТВЕН И КОЛИЧЕСТВЕН СЪСТАВ</w:t>
      </w:r>
    </w:p>
    <w:p w14:paraId="2B2E83B7" w14:textId="327FBC47" w:rsidR="00C10AF7" w:rsidRDefault="00C10AF7" w:rsidP="00C10AF7"/>
    <w:p w14:paraId="17423F0F" w14:textId="77777777" w:rsidR="00C10AF7" w:rsidRPr="00C10AF7" w:rsidRDefault="00C10AF7" w:rsidP="00C10AF7">
      <w:pPr>
        <w:rPr>
          <w:sz w:val="24"/>
          <w:szCs w:val="24"/>
        </w:rPr>
      </w:pPr>
      <w:r w:rsidRPr="00C10AF7">
        <w:rPr>
          <w:lang w:eastAsia="bg-BG"/>
        </w:rPr>
        <w:t xml:space="preserve">Всяка филмирана таблетка съдържа 50 </w:t>
      </w:r>
      <w:r w:rsidRPr="00C10AF7">
        <w:rPr>
          <w:lang w:val="en-US"/>
        </w:rPr>
        <w:t>mg</w:t>
      </w:r>
      <w:r w:rsidRPr="00C10AF7">
        <w:t xml:space="preserve"> </w:t>
      </w:r>
      <w:r w:rsidRPr="00C10AF7">
        <w:rPr>
          <w:lang w:eastAsia="bg-BG"/>
        </w:rPr>
        <w:t xml:space="preserve">вилдаглиптин </w:t>
      </w:r>
      <w:r w:rsidRPr="00C10AF7">
        <w:t>(</w:t>
      </w:r>
      <w:proofErr w:type="spellStart"/>
      <w:r w:rsidRPr="00C10AF7">
        <w:rPr>
          <w:lang w:val="en-US"/>
        </w:rPr>
        <w:t>vildagliptin</w:t>
      </w:r>
      <w:proofErr w:type="spellEnd"/>
      <w:r w:rsidRPr="00C10AF7">
        <w:t xml:space="preserve">) </w:t>
      </w:r>
      <w:r w:rsidRPr="00C10AF7">
        <w:rPr>
          <w:lang w:eastAsia="bg-BG"/>
        </w:rPr>
        <w:t xml:space="preserve">и 850 </w:t>
      </w:r>
      <w:r w:rsidRPr="00C10AF7">
        <w:rPr>
          <w:lang w:val="en-US"/>
        </w:rPr>
        <w:t>mg</w:t>
      </w:r>
      <w:r w:rsidRPr="00C10AF7">
        <w:t xml:space="preserve"> </w:t>
      </w:r>
      <w:r w:rsidRPr="00C10AF7">
        <w:rPr>
          <w:lang w:eastAsia="bg-BG"/>
        </w:rPr>
        <w:t xml:space="preserve">метформин хидрохлорид </w:t>
      </w:r>
      <w:r w:rsidRPr="00C10AF7">
        <w:t>(</w:t>
      </w:r>
      <w:r w:rsidRPr="00C10AF7">
        <w:rPr>
          <w:lang w:val="en-US"/>
        </w:rPr>
        <w:t>metformin</w:t>
      </w:r>
      <w:r w:rsidRPr="00C10AF7">
        <w:t xml:space="preserve"> </w:t>
      </w:r>
      <w:r w:rsidRPr="00C10AF7">
        <w:rPr>
          <w:lang w:val="en-US"/>
        </w:rPr>
        <w:t>hydrochloride</w:t>
      </w:r>
      <w:r w:rsidRPr="00C10AF7">
        <w:t xml:space="preserve">) </w:t>
      </w:r>
      <w:r w:rsidRPr="00C10AF7">
        <w:rPr>
          <w:lang w:eastAsia="bg-BG"/>
        </w:rPr>
        <w:t xml:space="preserve">(съответстващ на 660 </w:t>
      </w:r>
      <w:r w:rsidRPr="00C10AF7">
        <w:rPr>
          <w:lang w:val="en-US"/>
        </w:rPr>
        <w:t>mg</w:t>
      </w:r>
      <w:r w:rsidRPr="00C10AF7">
        <w:t xml:space="preserve"> </w:t>
      </w:r>
      <w:r w:rsidRPr="00C10AF7">
        <w:rPr>
          <w:lang w:eastAsia="bg-BG"/>
        </w:rPr>
        <w:t xml:space="preserve">метформин </w:t>
      </w:r>
      <w:r w:rsidRPr="00C10AF7">
        <w:t>(</w:t>
      </w:r>
      <w:r w:rsidRPr="00C10AF7">
        <w:rPr>
          <w:lang w:val="en-US"/>
        </w:rPr>
        <w:t>metformin</w:t>
      </w:r>
      <w:r w:rsidRPr="00C10AF7">
        <w:t>).</w:t>
      </w:r>
    </w:p>
    <w:p w14:paraId="6966BD7E" w14:textId="77777777" w:rsidR="00C10AF7" w:rsidRPr="00C10AF7" w:rsidRDefault="00C10AF7" w:rsidP="00C10AF7"/>
    <w:p w14:paraId="614984C4" w14:textId="6379E0B7" w:rsidR="008A6AF2" w:rsidRDefault="00DD466D" w:rsidP="002C50EE">
      <w:pPr>
        <w:pStyle w:val="Heading1"/>
      </w:pPr>
      <w:r>
        <w:t>3. ЛЕКАРСТВЕНА ФОРМА</w:t>
      </w:r>
    </w:p>
    <w:p w14:paraId="55AEBB26" w14:textId="2B4E8583" w:rsidR="00C10AF7" w:rsidRDefault="00C10AF7" w:rsidP="00C10AF7"/>
    <w:p w14:paraId="5F055E96" w14:textId="77777777" w:rsidR="00C10AF7" w:rsidRPr="00C10AF7" w:rsidRDefault="00C10AF7" w:rsidP="00C10AF7">
      <w:pPr>
        <w:rPr>
          <w:sz w:val="24"/>
          <w:szCs w:val="24"/>
        </w:rPr>
      </w:pPr>
      <w:r w:rsidRPr="00C10AF7">
        <w:rPr>
          <w:lang w:eastAsia="bg-BG"/>
        </w:rPr>
        <w:t>Филмирана таблетка.</w:t>
      </w:r>
    </w:p>
    <w:p w14:paraId="548C2066" w14:textId="77777777" w:rsidR="00C10AF7" w:rsidRDefault="00C10AF7" w:rsidP="00C10AF7">
      <w:pPr>
        <w:rPr>
          <w:lang w:eastAsia="bg-BG"/>
        </w:rPr>
      </w:pPr>
    </w:p>
    <w:p w14:paraId="6C0A8412" w14:textId="6A798FBC" w:rsidR="00C10AF7" w:rsidRPr="00C10AF7" w:rsidRDefault="00C10AF7" w:rsidP="00C10AF7">
      <w:pPr>
        <w:rPr>
          <w:sz w:val="24"/>
          <w:szCs w:val="24"/>
        </w:rPr>
      </w:pPr>
      <w:r w:rsidRPr="00C10AF7">
        <w:rPr>
          <w:lang w:eastAsia="bg-BG"/>
        </w:rPr>
        <w:t xml:space="preserve">Жълта, елипсовидна филмирана таблетка със скосени ръбове, гладка от двете страни с приблизителни размери 20,7 X 8,8 </w:t>
      </w:r>
      <w:r w:rsidRPr="00C10AF7">
        <w:rPr>
          <w:lang w:val="en-US"/>
        </w:rPr>
        <w:t>mm</w:t>
      </w:r>
      <w:r w:rsidRPr="00C10AF7">
        <w:rPr>
          <w:lang w:val="ru-RU"/>
        </w:rPr>
        <w:t>.</w:t>
      </w:r>
    </w:p>
    <w:p w14:paraId="7E64AADC" w14:textId="77777777" w:rsidR="00C10AF7" w:rsidRPr="00C10AF7" w:rsidRDefault="00C10AF7" w:rsidP="00C10AF7"/>
    <w:p w14:paraId="490FC2C4" w14:textId="32682B15" w:rsidR="002C50EE" w:rsidRDefault="002C50EE" w:rsidP="002C50EE">
      <w:pPr>
        <w:pStyle w:val="Heading1"/>
      </w:pPr>
      <w:r>
        <w:t>4. КЛИНИЧНИ ДАННИ</w:t>
      </w:r>
    </w:p>
    <w:p w14:paraId="0C8E6903" w14:textId="1EC3C19F" w:rsidR="008134C8" w:rsidRDefault="002C50EE" w:rsidP="004A448E">
      <w:pPr>
        <w:pStyle w:val="Heading2"/>
      </w:pPr>
      <w:r>
        <w:t>4.1. Терапевтични показания</w:t>
      </w:r>
    </w:p>
    <w:p w14:paraId="56E7BF10" w14:textId="13999B89" w:rsidR="00C10AF7" w:rsidRDefault="00C10AF7" w:rsidP="00C10AF7"/>
    <w:p w14:paraId="47834030"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ДАЛТЕКС е показан за лечение на захарен диабет тип 2:</w:t>
      </w:r>
    </w:p>
    <w:p w14:paraId="38BBEFD9" w14:textId="77777777"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ДАЛТЕКС е показан за лечение на възрастни пациенти, при които не е възможно да се постигне задоволителен гликемичен контрол, при максимално поносимата за тях доза перорално приложен метформин или при пациенти, които вече са лекувани с комбинацията вилдаглиптин и метформин под формата на отделни таблетки.</w:t>
      </w:r>
    </w:p>
    <w:p w14:paraId="17E79BEF" w14:textId="77777777"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ДАЛТЕКС е показан в комбинация със сулфонилурейни производни (т.е. тройна комбинирана терапия), в допълнение към диетата и упражненията, при възрастни пациенти, при които не е постигнат адекватен контрол с метформин и сулфонилурейно производно.</w:t>
      </w:r>
    </w:p>
    <w:p w14:paraId="612FD868" w14:textId="6A714EC4"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ДАЛТЕКС е показан като тройна комбинирана терапия с инсулин, в допълнение към диетата и упражненията за подобряване на гликемичния контрол при възрастни пациенти, при които постоянната доза инсулин и метформин, приложени самостоятелно не постигат адекватен гликемичен контрол.</w:t>
      </w:r>
    </w:p>
    <w:p w14:paraId="06F09EA1" w14:textId="77777777" w:rsidR="00C10AF7" w:rsidRPr="00C10AF7" w:rsidRDefault="00C10AF7" w:rsidP="00C10AF7"/>
    <w:p w14:paraId="30BE2C7B" w14:textId="2B55D46D" w:rsidR="008134C8" w:rsidRDefault="002C50EE" w:rsidP="004A448E">
      <w:pPr>
        <w:pStyle w:val="Heading2"/>
      </w:pPr>
      <w:r>
        <w:t>4.2. Дозировка и начин на приложение</w:t>
      </w:r>
    </w:p>
    <w:p w14:paraId="16C320B5" w14:textId="56CA81B1" w:rsidR="00C10AF7" w:rsidRDefault="00C10AF7" w:rsidP="00C10AF7"/>
    <w:p w14:paraId="3ED30906" w14:textId="77777777" w:rsidR="00C10AF7" w:rsidRPr="00C10AF7" w:rsidRDefault="00C10AF7" w:rsidP="00C10AF7">
      <w:pPr>
        <w:pStyle w:val="Heading3"/>
        <w:rPr>
          <w:rFonts w:eastAsia="Times New Roman"/>
          <w:u w:val="single"/>
        </w:rPr>
      </w:pPr>
      <w:r w:rsidRPr="00C10AF7">
        <w:rPr>
          <w:rFonts w:eastAsia="Times New Roman"/>
          <w:u w:val="single"/>
          <w:lang w:eastAsia="bg-BG"/>
        </w:rPr>
        <w:t>Дозировка</w:t>
      </w:r>
    </w:p>
    <w:p w14:paraId="410DFCC7"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 xml:space="preserve">Възрастни с нормална бъбречна функция </w:t>
      </w:r>
      <w:r w:rsidRPr="00C10AF7">
        <w:rPr>
          <w:rFonts w:eastAsia="Times New Roman" w:cs="Arial"/>
          <w:i/>
          <w:iCs/>
          <w:color w:val="000000"/>
          <w:lang w:val="ru-RU"/>
        </w:rPr>
        <w:t>(</w:t>
      </w:r>
      <w:r w:rsidRPr="00C10AF7">
        <w:rPr>
          <w:rFonts w:eastAsia="Times New Roman" w:cs="Arial"/>
          <w:i/>
          <w:iCs/>
          <w:color w:val="000000"/>
          <w:lang w:val="en-US"/>
        </w:rPr>
        <w:t>GFR</w:t>
      </w:r>
      <w:r w:rsidRPr="00C10AF7">
        <w:rPr>
          <w:rFonts w:eastAsia="Times New Roman" w:cs="Arial"/>
          <w:i/>
          <w:iCs/>
          <w:color w:val="000000"/>
          <w:lang w:eastAsia="bg-BG"/>
        </w:rPr>
        <w:t>≥</w:t>
      </w:r>
      <w:r w:rsidRPr="00C10AF7">
        <w:rPr>
          <w:rFonts w:eastAsia="Times New Roman" w:cs="Arial"/>
          <w:i/>
          <w:iCs/>
          <w:color w:val="000000"/>
          <w:lang w:val="ru-RU"/>
        </w:rPr>
        <w:t xml:space="preserve"> </w:t>
      </w:r>
      <w:r w:rsidRPr="00C10AF7">
        <w:rPr>
          <w:rFonts w:eastAsia="Times New Roman" w:cs="Arial"/>
          <w:i/>
          <w:iCs/>
          <w:color w:val="000000"/>
          <w:lang w:eastAsia="bg-BG"/>
        </w:rPr>
        <w:t xml:space="preserve">90 </w:t>
      </w:r>
      <w:r w:rsidRPr="00C10AF7">
        <w:rPr>
          <w:rFonts w:eastAsia="Times New Roman" w:cs="Arial"/>
          <w:i/>
          <w:iCs/>
          <w:color w:val="000000"/>
          <w:lang w:val="en-US"/>
        </w:rPr>
        <w:t>ml</w:t>
      </w:r>
      <w:r w:rsidRPr="00C10AF7">
        <w:rPr>
          <w:rFonts w:eastAsia="Times New Roman" w:cs="Arial"/>
          <w:i/>
          <w:iCs/>
          <w:color w:val="000000"/>
          <w:lang w:val="ru-RU"/>
        </w:rPr>
        <w:t>/</w:t>
      </w:r>
      <w:r w:rsidRPr="00C10AF7">
        <w:rPr>
          <w:rFonts w:eastAsia="Times New Roman" w:cs="Arial"/>
          <w:i/>
          <w:iCs/>
          <w:color w:val="000000"/>
          <w:lang w:val="en-US"/>
        </w:rPr>
        <w:t>min</w:t>
      </w:r>
      <w:r w:rsidRPr="00C10AF7">
        <w:rPr>
          <w:rFonts w:eastAsia="Times New Roman" w:cs="Arial"/>
          <w:i/>
          <w:iCs/>
          <w:color w:val="000000"/>
          <w:lang w:val="ru-RU"/>
        </w:rPr>
        <w:t>)</w:t>
      </w:r>
    </w:p>
    <w:p w14:paraId="50A730B7"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lastRenderedPageBreak/>
        <w:t xml:space="preserve">Дозата на антихипергликемичната терапия с ДАЛТЕКС трябва да бъде индивидуализирана въз основа на текущата схема на пациента, ефективността и поносимостта, като не се превишава максималната препоръчителна дневна доза от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вилдаглиптин. ДАЛТЕКС може да се започне като една таблетка от 50 </w:t>
      </w:r>
      <w:r w:rsidRPr="00C10AF7">
        <w:rPr>
          <w:rFonts w:eastAsia="Times New Roman" w:cs="Arial"/>
          <w:color w:val="000000"/>
          <w:lang w:val="en-US"/>
        </w:rPr>
        <w:t>mg</w:t>
      </w:r>
      <w:r w:rsidRPr="00C10AF7">
        <w:rPr>
          <w:rFonts w:eastAsia="Times New Roman" w:cs="Arial"/>
          <w:color w:val="000000"/>
          <w:lang w:val="ru-RU"/>
        </w:rPr>
        <w:t xml:space="preserve">/850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или като една таблетка от 50 </w:t>
      </w:r>
      <w:r w:rsidRPr="00C10AF7">
        <w:rPr>
          <w:rFonts w:eastAsia="Times New Roman" w:cs="Arial"/>
          <w:color w:val="000000"/>
          <w:lang w:val="en-US"/>
        </w:rPr>
        <w:t>mg</w:t>
      </w:r>
      <w:r w:rsidRPr="00C10AF7">
        <w:rPr>
          <w:rFonts w:eastAsia="Times New Roman" w:cs="Arial"/>
          <w:color w:val="000000"/>
          <w:lang w:val="ru-RU"/>
        </w:rPr>
        <w:t>/</w:t>
      </w:r>
      <w:r w:rsidRPr="00C10AF7">
        <w:rPr>
          <w:rFonts w:eastAsia="Times New Roman" w:cs="Arial"/>
          <w:color w:val="000000"/>
          <w:lang w:eastAsia="bg-BG"/>
        </w:rPr>
        <w:t xml:space="preserve">1000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приложена два пъти дневно, една таблетка сутрин и една таблетка вечер.</w:t>
      </w:r>
    </w:p>
    <w:p w14:paraId="1266D45A" w14:textId="77777777" w:rsidR="00C10AF7" w:rsidRDefault="00C10AF7" w:rsidP="00C10AF7">
      <w:pPr>
        <w:spacing w:line="240" w:lineRule="auto"/>
        <w:rPr>
          <w:rFonts w:eastAsia="Times New Roman" w:cs="Arial"/>
          <w:color w:val="000000"/>
          <w:lang w:eastAsia="bg-BG"/>
        </w:rPr>
      </w:pPr>
    </w:p>
    <w:p w14:paraId="2007CCED" w14:textId="664D52BF"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 xml:space="preserve">При пациенти, при които не е постигнат адекватен контрол с максимална поносима доза метформин, прилаган като монотерапия: Началната доза на ДАЛТЕКС трябва да предоставя вилдаглиптин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два пъти дневно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обща дневна доза) плюс дозата на метформин, приемана до момента.</w:t>
      </w:r>
    </w:p>
    <w:p w14:paraId="3F6C617F" w14:textId="77777777" w:rsidR="00C10AF7" w:rsidRPr="00C10AF7" w:rsidRDefault="00C10AF7" w:rsidP="00C10AF7">
      <w:pPr>
        <w:spacing w:line="240" w:lineRule="auto"/>
        <w:rPr>
          <w:rFonts w:eastAsia="Times New Roman" w:cs="Arial"/>
        </w:rPr>
      </w:pPr>
    </w:p>
    <w:p w14:paraId="4812B48A" w14:textId="77777777"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При пациенти, при които са прилагани едновременно вилдаглиптин и метформин като</w:t>
      </w:r>
    </w:p>
    <w:p w14:paraId="10A4EB9A" w14:textId="77777777" w:rsidR="00C10AF7" w:rsidRPr="00C10AF7" w:rsidRDefault="00C10AF7" w:rsidP="00C10AF7">
      <w:pPr>
        <w:pStyle w:val="ListParagraph"/>
        <w:rPr>
          <w:rFonts w:eastAsia="Times New Roman" w:cs="Arial"/>
          <w:color w:val="000000"/>
          <w:lang w:eastAsia="bg-BG"/>
        </w:rPr>
      </w:pPr>
    </w:p>
    <w:p w14:paraId="3DA2444E" w14:textId="2DC3B565"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отделни таблетки: ДАЛТЕКС трябва да бъде започнат в същите дози на вилдаглиптин и метформин като приеманите до момента.</w:t>
      </w:r>
    </w:p>
    <w:p w14:paraId="05C74F6C" w14:textId="77777777" w:rsidR="00C10AF7" w:rsidRDefault="00C10AF7" w:rsidP="00C10AF7">
      <w:pPr>
        <w:spacing w:line="240" w:lineRule="auto"/>
        <w:rPr>
          <w:rFonts w:eastAsia="Times New Roman" w:cs="Arial"/>
          <w:color w:val="000000"/>
          <w:lang w:eastAsia="bg-BG"/>
        </w:rPr>
      </w:pPr>
    </w:p>
    <w:p w14:paraId="1523430C" w14:textId="0E317218"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 xml:space="preserve">При пациенти, при които не е постигнат адекватен контрол с двойна комбинация с метформин и сулфонилурейно производно: Дозата ДАЛТЕКС трябва да предоставя вилдаглиптин в доза от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два пъти дневно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обща дневна доза), а дозата на метформин трябва да бъде подобна на приеманата до момента. Когато ДАЛТЕКС се прилага в комбинация със сулфонилурейно производно, може да се има предвид по-ниска доза на сулфонилурейното производно, за да се намали рискът от хипогликемия.</w:t>
      </w:r>
    </w:p>
    <w:p w14:paraId="147C25B2" w14:textId="77777777" w:rsidR="00C10AF7" w:rsidRDefault="00C10AF7" w:rsidP="00C10AF7">
      <w:pPr>
        <w:spacing w:line="240" w:lineRule="auto"/>
        <w:rPr>
          <w:rFonts w:eastAsia="Times New Roman" w:cs="Arial"/>
          <w:color w:val="000000"/>
          <w:lang w:eastAsia="bg-BG"/>
        </w:rPr>
      </w:pPr>
    </w:p>
    <w:p w14:paraId="04CFED9E" w14:textId="61C27DBA"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При пациенти, при които не е постигнат адекватен контрол с двойна комбинирана терапия с инсулин и максимална поносима доза метформин:</w:t>
      </w:r>
    </w:p>
    <w:p w14:paraId="37DB7A1A"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Дозата ДАЛТЕКС трябва да предоставя вилдаглиптин в доза от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два пъти дневно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обща дневна доза), а дозата метформин трябва да е бъде подобна на приеманата до момента.</w:t>
      </w:r>
    </w:p>
    <w:p w14:paraId="22331E19" w14:textId="77777777" w:rsidR="00C10AF7" w:rsidRDefault="00C10AF7" w:rsidP="00C10AF7">
      <w:pPr>
        <w:spacing w:line="240" w:lineRule="auto"/>
        <w:rPr>
          <w:rFonts w:eastAsia="Times New Roman" w:cs="Arial"/>
          <w:color w:val="000000"/>
          <w:lang w:eastAsia="bg-BG"/>
        </w:rPr>
      </w:pPr>
    </w:p>
    <w:p w14:paraId="79E7F7A8" w14:textId="513610E6" w:rsidR="00C10AF7" w:rsidRPr="00C10AF7" w:rsidRDefault="00C10AF7" w:rsidP="00C10AF7">
      <w:pPr>
        <w:spacing w:line="240" w:lineRule="auto"/>
        <w:rPr>
          <w:rFonts w:eastAsia="Times New Roman" w:cs="Arial"/>
        </w:rPr>
      </w:pPr>
      <w:r w:rsidRPr="00C10AF7">
        <w:rPr>
          <w:rFonts w:eastAsia="Times New Roman" w:cs="Arial"/>
          <w:color w:val="000000"/>
          <w:lang w:eastAsia="bg-BG"/>
        </w:rPr>
        <w:t>Безопасността и ефикасността на вилдаглиптин и метформин, прилагани като тройна перорална терапия в комбинация с тиазолидиндион не са установени.</w:t>
      </w:r>
    </w:p>
    <w:p w14:paraId="75A4E019" w14:textId="77777777" w:rsidR="00C10AF7" w:rsidRDefault="00C10AF7" w:rsidP="00C10AF7">
      <w:pPr>
        <w:spacing w:line="240" w:lineRule="auto"/>
        <w:rPr>
          <w:rFonts w:eastAsia="Times New Roman" w:cs="Arial"/>
          <w:color w:val="000000"/>
          <w:u w:val="single"/>
          <w:lang w:eastAsia="bg-BG"/>
        </w:rPr>
      </w:pPr>
    </w:p>
    <w:p w14:paraId="5314DB6C" w14:textId="7DDBD5C5"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Специални популации</w:t>
      </w:r>
    </w:p>
    <w:p w14:paraId="62328D95"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Пациенти в старческа възраст (&gt; 65 години)</w:t>
      </w:r>
    </w:p>
    <w:p w14:paraId="486E74A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Тъй като метформин се екскретира през бъбреците, а пациентите в старческа възраст показват тенденция към намалена бъбречна функция, при пациенти, които приемат ДАЛТЕКС, бъбречната функция трябва да бъде редовно проследявана (вижте точки 4.4 и 5.2).</w:t>
      </w:r>
    </w:p>
    <w:p w14:paraId="5EE222FC" w14:textId="77777777" w:rsidR="00C10AF7" w:rsidRDefault="00C10AF7" w:rsidP="00C10AF7">
      <w:pPr>
        <w:spacing w:line="240" w:lineRule="auto"/>
        <w:rPr>
          <w:rFonts w:eastAsia="Times New Roman" w:cs="Arial"/>
          <w:i/>
          <w:iCs/>
          <w:color w:val="000000"/>
          <w:lang w:eastAsia="bg-BG"/>
        </w:rPr>
      </w:pPr>
    </w:p>
    <w:p w14:paraId="507F1219" w14:textId="1E16770E"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Бъбречно увреждане</w:t>
      </w:r>
    </w:p>
    <w:p w14:paraId="35E62F96"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Преди започване на лечение с продукти, съдържащи метформин, трябва да се направи оценка на </w:t>
      </w:r>
      <w:r w:rsidRPr="00C10AF7">
        <w:rPr>
          <w:rFonts w:eastAsia="Times New Roman" w:cs="Arial"/>
          <w:color w:val="000000"/>
          <w:lang w:val="en-US"/>
        </w:rPr>
        <w:t>GFR</w:t>
      </w:r>
      <w:r w:rsidRPr="00C10AF7">
        <w:rPr>
          <w:rFonts w:eastAsia="Times New Roman" w:cs="Arial"/>
          <w:color w:val="000000"/>
          <w:lang w:val="ru-RU"/>
        </w:rPr>
        <w:t xml:space="preserve"> </w:t>
      </w:r>
      <w:r w:rsidRPr="00C10AF7">
        <w:rPr>
          <w:rFonts w:eastAsia="Times New Roman" w:cs="Arial"/>
          <w:color w:val="000000"/>
          <w:lang w:eastAsia="bg-BG"/>
        </w:rPr>
        <w:t>стойностите, а след това - поне веднъж годишно. При пациенти с повишен риск от по</w:t>
      </w:r>
      <w:r w:rsidRPr="00C10AF7">
        <w:rPr>
          <w:rFonts w:eastAsia="Times New Roman" w:cs="Arial"/>
          <w:color w:val="000000"/>
          <w:lang w:eastAsia="bg-BG"/>
        </w:rPr>
        <w:softHyphen/>
        <w:t>нататъшно прогресиране на бъбречно увреждане и при пациенти в старческа възраст трябва по- често да се прави оценка на бъбречната функция, например на всеки 3-6 месеца.</w:t>
      </w:r>
    </w:p>
    <w:p w14:paraId="51FD30EB" w14:textId="77777777" w:rsidR="00C10AF7" w:rsidRDefault="00C10AF7" w:rsidP="00C10AF7">
      <w:pPr>
        <w:spacing w:line="240" w:lineRule="auto"/>
        <w:rPr>
          <w:rFonts w:eastAsia="Times New Roman" w:cs="Arial"/>
          <w:color w:val="000000"/>
          <w:lang w:eastAsia="bg-BG"/>
        </w:rPr>
      </w:pPr>
    </w:p>
    <w:p w14:paraId="5ABC538D" w14:textId="246501A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За предпочитане е максималната дневна доза метформин да бъде разделена на 2-3 дневни дози. Фактори, които могат да увеличат риска от лактатна ацидоза (вж. точка 4.4), </w:t>
      </w:r>
      <w:r w:rsidRPr="00C10AF7">
        <w:rPr>
          <w:rFonts w:eastAsia="Times New Roman" w:cs="Arial"/>
          <w:color w:val="000000"/>
          <w:lang w:eastAsia="bg-BG"/>
        </w:rPr>
        <w:lastRenderedPageBreak/>
        <w:t xml:space="preserve">трябва да бъдат преразгледани, преди да се обмисли започването на лечение с метформин при пациенти с </w:t>
      </w:r>
      <w:r w:rsidRPr="00C10AF7">
        <w:rPr>
          <w:rFonts w:eastAsia="Times New Roman" w:cs="Arial"/>
          <w:color w:val="000000"/>
          <w:lang w:val="en-US"/>
        </w:rPr>
        <w:t>GFR</w:t>
      </w:r>
      <w:r w:rsidRPr="00C10AF7">
        <w:rPr>
          <w:rFonts w:eastAsia="Times New Roman" w:cs="Arial"/>
          <w:color w:val="000000"/>
          <w:lang w:val="ru-RU"/>
        </w:rPr>
        <w:t xml:space="preserve">&lt; </w:t>
      </w:r>
      <w:r w:rsidRPr="00C10AF7">
        <w:rPr>
          <w:rFonts w:eastAsia="Times New Roman" w:cs="Arial"/>
          <w:color w:val="000000"/>
          <w:lang w:eastAsia="bg-BG"/>
        </w:rPr>
        <w:t xml:space="preserve">60 </w:t>
      </w:r>
      <w:r w:rsidRPr="00C10AF7">
        <w:rPr>
          <w:rFonts w:eastAsia="Times New Roman" w:cs="Arial"/>
          <w:color w:val="000000"/>
          <w:lang w:val="en-US"/>
        </w:rPr>
        <w:t>ml</w:t>
      </w:r>
      <w:r w:rsidRPr="00C10AF7">
        <w:rPr>
          <w:rFonts w:eastAsia="Times New Roman" w:cs="Arial"/>
          <w:color w:val="000000"/>
          <w:lang w:val="ru-RU"/>
        </w:rPr>
        <w:t>/</w:t>
      </w:r>
      <w:r w:rsidRPr="00C10AF7">
        <w:rPr>
          <w:rFonts w:eastAsia="Times New Roman" w:cs="Arial"/>
          <w:color w:val="000000"/>
          <w:lang w:val="en-US"/>
        </w:rPr>
        <w:t>min</w:t>
      </w:r>
      <w:r w:rsidRPr="00C10AF7">
        <w:rPr>
          <w:rFonts w:eastAsia="Times New Roman" w:cs="Arial"/>
          <w:color w:val="000000"/>
          <w:lang w:val="ru-RU"/>
        </w:rPr>
        <w:t>.</w:t>
      </w:r>
    </w:p>
    <w:p w14:paraId="3BDB5450" w14:textId="77777777" w:rsidR="00C10AF7" w:rsidRDefault="00C10AF7" w:rsidP="00C10AF7">
      <w:pPr>
        <w:spacing w:line="240" w:lineRule="auto"/>
        <w:rPr>
          <w:rFonts w:eastAsia="Times New Roman" w:cs="Arial"/>
          <w:color w:val="000000"/>
          <w:lang w:eastAsia="bg-BG"/>
        </w:rPr>
      </w:pPr>
    </w:p>
    <w:p w14:paraId="579BDF72" w14:textId="683E5D26" w:rsidR="00C10AF7" w:rsidRDefault="00C10AF7" w:rsidP="00C10AF7">
      <w:pPr>
        <w:spacing w:line="240" w:lineRule="auto"/>
        <w:rPr>
          <w:rFonts w:eastAsia="Times New Roman" w:cs="Arial"/>
          <w:color w:val="000000"/>
          <w:lang w:eastAsia="bg-BG"/>
        </w:rPr>
      </w:pPr>
      <w:r w:rsidRPr="00C10AF7">
        <w:rPr>
          <w:rFonts w:eastAsia="Times New Roman" w:cs="Arial"/>
          <w:color w:val="000000"/>
          <w:lang w:eastAsia="bg-BG"/>
        </w:rPr>
        <w:t>Ако не е достъпна дозова форма на ДАЛТЕКС с адекватно количество на активното вещество, вместо комбинация с фиксирани дози трябва да се използват отделните монокомпоненти.</w:t>
      </w:r>
    </w:p>
    <w:p w14:paraId="3B885DB6" w14:textId="797FDFF6" w:rsidR="00C10AF7" w:rsidRDefault="00C10AF7" w:rsidP="00C10AF7">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1633"/>
        <w:gridCol w:w="4590"/>
        <w:gridCol w:w="3127"/>
      </w:tblGrid>
      <w:tr w:rsidR="00C10AF7" w14:paraId="38088A11" w14:textId="77777777" w:rsidTr="00C10AF7">
        <w:tc>
          <w:tcPr>
            <w:tcW w:w="1668" w:type="dxa"/>
          </w:tcPr>
          <w:p w14:paraId="693E710A" w14:textId="3BB9C005" w:rsidR="00C10AF7" w:rsidRPr="00C10AF7" w:rsidRDefault="00C10AF7" w:rsidP="00C10AF7">
            <w:pPr>
              <w:spacing w:line="240" w:lineRule="auto"/>
              <w:rPr>
                <w:rFonts w:eastAsia="Times New Roman" w:cs="Arial"/>
              </w:rPr>
            </w:pPr>
            <w:r w:rsidRPr="00C10AF7">
              <w:rPr>
                <w:lang w:val="en-US"/>
              </w:rPr>
              <w:t>GFR ml/min</w:t>
            </w:r>
          </w:p>
        </w:tc>
        <w:tc>
          <w:tcPr>
            <w:tcW w:w="4716" w:type="dxa"/>
          </w:tcPr>
          <w:p w14:paraId="1B8369C5" w14:textId="60085169" w:rsidR="00C10AF7" w:rsidRPr="00C10AF7" w:rsidRDefault="00C10AF7" w:rsidP="00C10AF7">
            <w:pPr>
              <w:spacing w:line="240" w:lineRule="auto"/>
              <w:rPr>
                <w:rFonts w:eastAsia="Times New Roman" w:cs="Arial"/>
              </w:rPr>
            </w:pPr>
            <w:r w:rsidRPr="00C10AF7">
              <w:t>Метформин</w:t>
            </w:r>
          </w:p>
        </w:tc>
        <w:tc>
          <w:tcPr>
            <w:tcW w:w="3192" w:type="dxa"/>
          </w:tcPr>
          <w:p w14:paraId="1B7D7BF1" w14:textId="69541C33" w:rsidR="00C10AF7" w:rsidRPr="00C10AF7" w:rsidRDefault="00C10AF7" w:rsidP="00C10AF7">
            <w:pPr>
              <w:spacing w:line="240" w:lineRule="auto"/>
              <w:rPr>
                <w:rFonts w:eastAsia="Times New Roman" w:cs="Arial"/>
              </w:rPr>
            </w:pPr>
            <w:r w:rsidRPr="00C10AF7">
              <w:t>Вилдаглиптин</w:t>
            </w:r>
          </w:p>
        </w:tc>
      </w:tr>
      <w:tr w:rsidR="00C10AF7" w14:paraId="6F586101" w14:textId="77777777" w:rsidTr="00C10AF7">
        <w:tc>
          <w:tcPr>
            <w:tcW w:w="1668" w:type="dxa"/>
          </w:tcPr>
          <w:p w14:paraId="3AA58CE3" w14:textId="3A2821EE" w:rsidR="00C10AF7" w:rsidRPr="00C10AF7" w:rsidRDefault="00C10AF7" w:rsidP="00C10AF7">
            <w:pPr>
              <w:spacing w:line="240" w:lineRule="auto"/>
              <w:rPr>
                <w:rFonts w:eastAsia="Times New Roman" w:cs="Arial"/>
              </w:rPr>
            </w:pPr>
            <w:r w:rsidRPr="00C10AF7">
              <w:rPr>
                <w:lang w:val="en-US"/>
              </w:rPr>
              <w:t>60-89</w:t>
            </w:r>
          </w:p>
        </w:tc>
        <w:tc>
          <w:tcPr>
            <w:tcW w:w="4716" w:type="dxa"/>
          </w:tcPr>
          <w:p w14:paraId="30AA79CF" w14:textId="77777777" w:rsidR="00C10AF7" w:rsidRPr="00C10AF7" w:rsidRDefault="00C10AF7" w:rsidP="00C10AF7">
            <w:r w:rsidRPr="00C10AF7">
              <w:t xml:space="preserve">Максималната дневна доза е 3000 </w:t>
            </w:r>
            <w:r w:rsidRPr="00C10AF7">
              <w:rPr>
                <w:lang w:val="en-US"/>
              </w:rPr>
              <w:t>mg</w:t>
            </w:r>
            <w:r w:rsidRPr="00C10AF7">
              <w:rPr>
                <w:lang w:val="ru-RU"/>
              </w:rPr>
              <w:t>.</w:t>
            </w:r>
          </w:p>
          <w:p w14:paraId="7C1AAAB7" w14:textId="170FC594" w:rsidR="00C10AF7" w:rsidRPr="00C10AF7" w:rsidRDefault="00C10AF7" w:rsidP="00C10AF7">
            <w:pPr>
              <w:spacing w:line="240" w:lineRule="auto"/>
              <w:rPr>
                <w:rFonts w:eastAsia="Times New Roman" w:cs="Arial"/>
              </w:rPr>
            </w:pPr>
            <w:r w:rsidRPr="00C10AF7">
              <w:t>Може да бъде обмислено понижаване на дозата във връзка с намаляващата бъбречна функция.</w:t>
            </w:r>
          </w:p>
        </w:tc>
        <w:tc>
          <w:tcPr>
            <w:tcW w:w="3192" w:type="dxa"/>
          </w:tcPr>
          <w:p w14:paraId="26142EE9" w14:textId="5ACACFD4" w:rsidR="00C10AF7" w:rsidRPr="00C10AF7" w:rsidRDefault="00C10AF7" w:rsidP="00C10AF7">
            <w:pPr>
              <w:spacing w:line="240" w:lineRule="auto"/>
              <w:rPr>
                <w:rFonts w:eastAsia="Times New Roman" w:cs="Arial"/>
              </w:rPr>
            </w:pPr>
            <w:r w:rsidRPr="00C10AF7">
              <w:t>Без адаптиране на дозата.</w:t>
            </w:r>
          </w:p>
        </w:tc>
      </w:tr>
      <w:tr w:rsidR="00C10AF7" w14:paraId="5D46FC67" w14:textId="77777777" w:rsidTr="00C10AF7">
        <w:tc>
          <w:tcPr>
            <w:tcW w:w="1668" w:type="dxa"/>
          </w:tcPr>
          <w:p w14:paraId="2C8E64B1" w14:textId="531B8E44" w:rsidR="00C10AF7" w:rsidRPr="00C10AF7" w:rsidRDefault="00C10AF7" w:rsidP="00C10AF7">
            <w:pPr>
              <w:spacing w:line="240" w:lineRule="auto"/>
              <w:rPr>
                <w:rFonts w:eastAsia="Times New Roman" w:cs="Arial"/>
              </w:rPr>
            </w:pPr>
            <w:r w:rsidRPr="00C10AF7">
              <w:rPr>
                <w:lang w:val="en-US"/>
              </w:rPr>
              <w:t>45-59</w:t>
            </w:r>
          </w:p>
        </w:tc>
        <w:tc>
          <w:tcPr>
            <w:tcW w:w="4716" w:type="dxa"/>
          </w:tcPr>
          <w:p w14:paraId="6DB9A18E" w14:textId="632D95D3" w:rsidR="00C10AF7" w:rsidRPr="00C10AF7" w:rsidRDefault="00C10AF7" w:rsidP="00C10AF7">
            <w:pPr>
              <w:spacing w:line="240" w:lineRule="auto"/>
              <w:rPr>
                <w:rFonts w:eastAsia="Times New Roman" w:cs="Arial"/>
              </w:rPr>
            </w:pPr>
            <w:r w:rsidRPr="00C10AF7">
              <w:t xml:space="preserve">Максималната дневна доза е 2000 </w:t>
            </w:r>
            <w:r w:rsidRPr="00C10AF7">
              <w:rPr>
                <w:lang w:val="en-US"/>
              </w:rPr>
              <w:t>mg</w:t>
            </w:r>
            <w:r w:rsidRPr="00C10AF7">
              <w:rPr>
                <w:lang w:val="ru-RU"/>
              </w:rPr>
              <w:t xml:space="preserve">. </w:t>
            </w:r>
            <w:r w:rsidRPr="00C10AF7">
              <w:t>Началната доза е най-много половината от максималната доза.</w:t>
            </w:r>
          </w:p>
        </w:tc>
        <w:tc>
          <w:tcPr>
            <w:tcW w:w="3192" w:type="dxa"/>
            <w:vMerge w:val="restart"/>
          </w:tcPr>
          <w:p w14:paraId="0577BAD4" w14:textId="3193E929" w:rsidR="00C10AF7" w:rsidRPr="00C10AF7" w:rsidRDefault="00C10AF7" w:rsidP="00C10AF7">
            <w:pPr>
              <w:spacing w:line="240" w:lineRule="auto"/>
              <w:rPr>
                <w:rFonts w:eastAsia="Times New Roman" w:cs="Arial"/>
              </w:rPr>
            </w:pPr>
            <w:r w:rsidRPr="00C10AF7">
              <w:t xml:space="preserve">Максималната дневна доза е 50 </w:t>
            </w:r>
            <w:r w:rsidRPr="00C10AF7">
              <w:rPr>
                <w:lang w:val="en-US"/>
              </w:rPr>
              <w:t>mg</w:t>
            </w:r>
          </w:p>
        </w:tc>
      </w:tr>
      <w:tr w:rsidR="00C10AF7" w14:paraId="5D2E6831" w14:textId="77777777" w:rsidTr="00C10AF7">
        <w:tc>
          <w:tcPr>
            <w:tcW w:w="1668" w:type="dxa"/>
          </w:tcPr>
          <w:p w14:paraId="074DEDC3" w14:textId="66D9B8A9" w:rsidR="00C10AF7" w:rsidRPr="00C10AF7" w:rsidRDefault="00C10AF7" w:rsidP="00C10AF7">
            <w:pPr>
              <w:spacing w:line="240" w:lineRule="auto"/>
              <w:rPr>
                <w:rFonts w:eastAsia="Times New Roman" w:cs="Arial"/>
              </w:rPr>
            </w:pPr>
            <w:r w:rsidRPr="00C10AF7">
              <w:rPr>
                <w:lang w:val="en-US"/>
              </w:rPr>
              <w:t>30-44</w:t>
            </w:r>
          </w:p>
        </w:tc>
        <w:tc>
          <w:tcPr>
            <w:tcW w:w="4716" w:type="dxa"/>
          </w:tcPr>
          <w:p w14:paraId="498E12A5" w14:textId="77777777" w:rsidR="00C10AF7" w:rsidRPr="00C10AF7" w:rsidRDefault="00C10AF7" w:rsidP="00C10AF7">
            <w:r w:rsidRPr="00C10AF7">
              <w:t xml:space="preserve">Максималната дневна доза е 1000 </w:t>
            </w:r>
            <w:r w:rsidRPr="00C10AF7">
              <w:rPr>
                <w:lang w:val="en-US"/>
              </w:rPr>
              <w:t>mg</w:t>
            </w:r>
            <w:r w:rsidRPr="00C10AF7">
              <w:rPr>
                <w:lang w:val="ru-RU"/>
              </w:rPr>
              <w:t>.</w:t>
            </w:r>
          </w:p>
          <w:p w14:paraId="53A70C5C" w14:textId="6A6E2951" w:rsidR="00C10AF7" w:rsidRPr="00C10AF7" w:rsidRDefault="00C10AF7" w:rsidP="00C10AF7">
            <w:pPr>
              <w:spacing w:line="240" w:lineRule="auto"/>
              <w:rPr>
                <w:rFonts w:eastAsia="Times New Roman" w:cs="Arial"/>
              </w:rPr>
            </w:pPr>
            <w:r w:rsidRPr="00C10AF7">
              <w:t>Началната доза е най-много половината от максималната доза.</w:t>
            </w:r>
          </w:p>
        </w:tc>
        <w:tc>
          <w:tcPr>
            <w:tcW w:w="3192" w:type="dxa"/>
            <w:vMerge/>
          </w:tcPr>
          <w:p w14:paraId="4A91F9F1" w14:textId="77777777" w:rsidR="00C10AF7" w:rsidRDefault="00C10AF7" w:rsidP="00C10AF7">
            <w:pPr>
              <w:spacing w:line="240" w:lineRule="auto"/>
              <w:rPr>
                <w:rFonts w:eastAsia="Times New Roman" w:cs="Arial"/>
              </w:rPr>
            </w:pPr>
          </w:p>
        </w:tc>
      </w:tr>
      <w:tr w:rsidR="00C10AF7" w14:paraId="0C27EBAE" w14:textId="77777777" w:rsidTr="00C10AF7">
        <w:tc>
          <w:tcPr>
            <w:tcW w:w="1668" w:type="dxa"/>
          </w:tcPr>
          <w:p w14:paraId="5860113E" w14:textId="1F33FF6A" w:rsidR="00C10AF7" w:rsidRPr="00C10AF7" w:rsidRDefault="00C10AF7" w:rsidP="00C10AF7">
            <w:pPr>
              <w:spacing w:line="240" w:lineRule="auto"/>
              <w:rPr>
                <w:rFonts w:eastAsia="Times New Roman" w:cs="Arial"/>
              </w:rPr>
            </w:pPr>
            <w:r w:rsidRPr="00C10AF7">
              <w:rPr>
                <w:lang w:val="en-US"/>
              </w:rPr>
              <w:t>&lt;30</w:t>
            </w:r>
          </w:p>
        </w:tc>
        <w:tc>
          <w:tcPr>
            <w:tcW w:w="4716" w:type="dxa"/>
          </w:tcPr>
          <w:p w14:paraId="78825182" w14:textId="28DA4A12" w:rsidR="00C10AF7" w:rsidRPr="00C10AF7" w:rsidRDefault="00C10AF7" w:rsidP="00C10AF7">
            <w:pPr>
              <w:spacing w:line="240" w:lineRule="auto"/>
              <w:rPr>
                <w:rFonts w:eastAsia="Times New Roman" w:cs="Arial"/>
              </w:rPr>
            </w:pPr>
            <w:r w:rsidRPr="00C10AF7">
              <w:t>Метформин е противопоказан</w:t>
            </w:r>
          </w:p>
        </w:tc>
        <w:tc>
          <w:tcPr>
            <w:tcW w:w="3192" w:type="dxa"/>
            <w:vMerge/>
          </w:tcPr>
          <w:p w14:paraId="3A7DEE33" w14:textId="77777777" w:rsidR="00C10AF7" w:rsidRDefault="00C10AF7" w:rsidP="00C10AF7">
            <w:pPr>
              <w:spacing w:line="240" w:lineRule="auto"/>
              <w:rPr>
                <w:rFonts w:eastAsia="Times New Roman" w:cs="Arial"/>
              </w:rPr>
            </w:pPr>
          </w:p>
        </w:tc>
      </w:tr>
    </w:tbl>
    <w:p w14:paraId="39BFE032" w14:textId="12648803" w:rsidR="00C10AF7" w:rsidRDefault="00C10AF7" w:rsidP="00C10AF7">
      <w:pPr>
        <w:spacing w:line="240" w:lineRule="auto"/>
        <w:rPr>
          <w:rFonts w:eastAsia="Times New Roman" w:cs="Arial"/>
        </w:rPr>
      </w:pPr>
    </w:p>
    <w:p w14:paraId="1D5EA440"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Чернодробно увреждане</w:t>
      </w:r>
    </w:p>
    <w:p w14:paraId="4A4A8976" w14:textId="77777777" w:rsidR="00C10AF7" w:rsidRPr="00C10AF7" w:rsidRDefault="00C10AF7" w:rsidP="00C10AF7">
      <w:pPr>
        <w:rPr>
          <w:rFonts w:eastAsia="Times New Roman" w:cs="Arial"/>
        </w:rPr>
      </w:pPr>
      <w:r w:rsidRPr="00C10AF7">
        <w:rPr>
          <w:rFonts w:eastAsia="Times New Roman" w:cs="Arial"/>
          <w:color w:val="000000"/>
          <w:lang w:eastAsia="bg-BG"/>
        </w:rPr>
        <w:t xml:space="preserve">ДАЛТЕКС не трябва да се прилага при пациенти с чернодробно увреждане, включвително при тези със стойности на аланнн аминотрансферазата </w:t>
      </w:r>
      <w:r w:rsidRPr="00C10AF7">
        <w:rPr>
          <w:rFonts w:eastAsia="Times New Roman" w:cs="Arial"/>
          <w:color w:val="000000"/>
          <w:lang w:val="ru-RU"/>
        </w:rPr>
        <w:t>(</w:t>
      </w:r>
      <w:r w:rsidRPr="00C10AF7">
        <w:rPr>
          <w:rFonts w:eastAsia="Times New Roman" w:cs="Arial"/>
          <w:color w:val="000000"/>
          <w:lang w:val="en-US"/>
        </w:rPr>
        <w:t>ALT</w:t>
      </w:r>
      <w:r w:rsidRPr="00C10AF7">
        <w:rPr>
          <w:rFonts w:eastAsia="Times New Roman" w:cs="Arial"/>
          <w:color w:val="000000"/>
          <w:lang w:val="ru-RU"/>
        </w:rPr>
        <w:t xml:space="preserve">) </w:t>
      </w:r>
      <w:r w:rsidRPr="00C10AF7">
        <w:rPr>
          <w:rFonts w:eastAsia="Times New Roman" w:cs="Arial"/>
          <w:color w:val="000000"/>
          <w:lang w:eastAsia="bg-BG"/>
        </w:rPr>
        <w:t xml:space="preserve">или аспартат аминотрансферазата </w:t>
      </w:r>
      <w:r w:rsidRPr="00C10AF7">
        <w:rPr>
          <w:rFonts w:eastAsia="Times New Roman" w:cs="Arial"/>
          <w:color w:val="000000"/>
          <w:lang w:val="ru-RU"/>
        </w:rPr>
        <w:t>(</w:t>
      </w:r>
      <w:r w:rsidRPr="00C10AF7">
        <w:rPr>
          <w:rFonts w:eastAsia="Times New Roman" w:cs="Arial"/>
          <w:color w:val="000000"/>
          <w:lang w:val="en-US"/>
        </w:rPr>
        <w:t>AST</w:t>
      </w:r>
      <w:r w:rsidRPr="00C10AF7">
        <w:rPr>
          <w:rFonts w:eastAsia="Times New Roman" w:cs="Arial"/>
          <w:color w:val="000000"/>
          <w:lang w:val="ru-RU"/>
        </w:rPr>
        <w:t xml:space="preserve">) </w:t>
      </w:r>
      <w:r w:rsidRPr="00C10AF7">
        <w:rPr>
          <w:rFonts w:eastAsia="Times New Roman" w:cs="Arial"/>
          <w:color w:val="000000"/>
          <w:lang w:eastAsia="bg-BG"/>
        </w:rPr>
        <w:t>преди започване на лечението &gt; 3 пъти горната граница на нормата (</w:t>
      </w:r>
      <w:r w:rsidRPr="00C10AF7">
        <w:rPr>
          <w:rFonts w:eastAsia="Times New Roman" w:cs="Arial"/>
          <w:color w:val="000000"/>
          <w:lang w:val="en-US"/>
        </w:rPr>
        <w:t>ULN</w:t>
      </w:r>
      <w:r w:rsidRPr="00C10AF7">
        <w:rPr>
          <w:rFonts w:eastAsia="Times New Roman" w:cs="Arial"/>
          <w:color w:val="000000"/>
          <w:lang w:val="ru-RU"/>
        </w:rPr>
        <w:t>) (</w:t>
      </w:r>
      <w:r w:rsidRPr="00C10AF7">
        <w:rPr>
          <w:rFonts w:eastAsia="Times New Roman" w:cs="Arial"/>
          <w:color w:val="000000"/>
          <w:lang w:eastAsia="bg-BG"/>
        </w:rPr>
        <w:t>вижте точка 4.3, 4.4 и 4.8).</w:t>
      </w:r>
    </w:p>
    <w:p w14:paraId="382EFA74" w14:textId="77777777" w:rsidR="00C10AF7" w:rsidRDefault="00C10AF7" w:rsidP="00C10AF7">
      <w:pPr>
        <w:spacing w:line="240" w:lineRule="auto"/>
        <w:rPr>
          <w:rFonts w:eastAsia="Times New Roman" w:cs="Arial"/>
          <w:i/>
          <w:iCs/>
          <w:color w:val="000000"/>
          <w:lang w:eastAsia="bg-BG"/>
        </w:rPr>
      </w:pPr>
    </w:p>
    <w:p w14:paraId="288843D1" w14:textId="4FACEDE3"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Педиатрична популация</w:t>
      </w:r>
    </w:p>
    <w:p w14:paraId="0E9E7B80"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ДАЛТЕКС не се препоръчва за употреба при деца и юноши (&lt;18 години). Безопасността и ефикасността на вилдаглиптин/метформин при деца и юноши (&lt;18 години) не са установени. Няма налични данни.</w:t>
      </w:r>
    </w:p>
    <w:p w14:paraId="4ECAA872" w14:textId="77777777" w:rsidR="00C10AF7" w:rsidRDefault="00C10AF7" w:rsidP="00C10AF7">
      <w:pPr>
        <w:spacing w:line="240" w:lineRule="auto"/>
        <w:rPr>
          <w:rFonts w:eastAsia="Times New Roman" w:cs="Arial"/>
          <w:color w:val="000000"/>
          <w:u w:val="single"/>
          <w:lang w:eastAsia="bg-BG"/>
        </w:rPr>
      </w:pPr>
    </w:p>
    <w:p w14:paraId="70F4976B" w14:textId="049E7A68" w:rsidR="00C10AF7" w:rsidRPr="00C10AF7" w:rsidRDefault="00C10AF7" w:rsidP="00C10AF7">
      <w:pPr>
        <w:pStyle w:val="Heading3"/>
        <w:rPr>
          <w:rFonts w:eastAsia="Times New Roman"/>
          <w:u w:val="single"/>
        </w:rPr>
      </w:pPr>
      <w:r w:rsidRPr="00C10AF7">
        <w:rPr>
          <w:rFonts w:eastAsia="Times New Roman"/>
          <w:u w:val="single"/>
          <w:lang w:eastAsia="bg-BG"/>
        </w:rPr>
        <w:t>Начин на приложение</w:t>
      </w:r>
    </w:p>
    <w:p w14:paraId="7261CD5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Перорално приложение. Приемът на ДАЛТЕКС с или непосредствено след хранене може да намали стомашно-чревните симптоми, свързани с метформин (вижте също точка 5.2).</w:t>
      </w:r>
    </w:p>
    <w:p w14:paraId="69EDDE4E" w14:textId="3A891920" w:rsidR="00C10AF7" w:rsidRPr="00C10AF7" w:rsidRDefault="00C10AF7" w:rsidP="00C10AF7">
      <w:pPr>
        <w:rPr>
          <w:lang w:eastAsia="bg-BG"/>
        </w:rPr>
      </w:pPr>
    </w:p>
    <w:p w14:paraId="28C984E8" w14:textId="7D4AF793" w:rsidR="008134C8" w:rsidRDefault="002C50EE" w:rsidP="004A448E">
      <w:pPr>
        <w:pStyle w:val="Heading2"/>
      </w:pPr>
      <w:r>
        <w:t>4.3. Противопоказания</w:t>
      </w:r>
    </w:p>
    <w:p w14:paraId="4B842CE8" w14:textId="77777777" w:rsidR="00C10AF7" w:rsidRDefault="00C10AF7" w:rsidP="00C10AF7">
      <w:pPr>
        <w:spacing w:line="240" w:lineRule="auto"/>
      </w:pPr>
    </w:p>
    <w:p w14:paraId="445B69FC"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06D0A31B"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Всеки тип остра метаболитна ацидоза (като лактатна ацидоза, диабетна кетоацидоза) Диабетна прекома.</w:t>
      </w:r>
    </w:p>
    <w:p w14:paraId="7804EC0E"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 xml:space="preserve">Тежка бъбречна недостатъчност </w:t>
      </w:r>
      <w:r w:rsidRPr="00C10AF7">
        <w:rPr>
          <w:rFonts w:eastAsia="Times New Roman" w:cs="Arial"/>
          <w:color w:val="000000"/>
          <w:lang w:val="ru-RU"/>
        </w:rPr>
        <w:t>(</w:t>
      </w:r>
      <w:r w:rsidRPr="00C10AF7">
        <w:rPr>
          <w:rFonts w:eastAsia="Times New Roman" w:cs="Arial"/>
          <w:color w:val="000000"/>
          <w:lang w:val="en-US"/>
        </w:rPr>
        <w:t>GFR</w:t>
      </w:r>
      <w:r w:rsidRPr="00C10AF7">
        <w:rPr>
          <w:rFonts w:eastAsia="Times New Roman" w:cs="Arial"/>
          <w:color w:val="000000"/>
          <w:lang w:val="ru-RU"/>
        </w:rPr>
        <w:t xml:space="preserve">&lt; </w:t>
      </w:r>
      <w:r w:rsidRPr="00C10AF7">
        <w:rPr>
          <w:rFonts w:eastAsia="Times New Roman" w:cs="Arial"/>
          <w:color w:val="000000"/>
          <w:lang w:eastAsia="bg-BG"/>
        </w:rPr>
        <w:t xml:space="preserve">30 </w:t>
      </w:r>
      <w:r w:rsidRPr="00C10AF7">
        <w:rPr>
          <w:rFonts w:eastAsia="Times New Roman" w:cs="Arial"/>
          <w:color w:val="000000"/>
          <w:lang w:val="en-US"/>
        </w:rPr>
        <w:t>ml</w:t>
      </w:r>
      <w:r w:rsidRPr="00C10AF7">
        <w:rPr>
          <w:rFonts w:eastAsia="Times New Roman" w:cs="Arial"/>
          <w:color w:val="000000"/>
          <w:lang w:val="ru-RU"/>
        </w:rPr>
        <w:t>/</w:t>
      </w:r>
      <w:r w:rsidRPr="00C10AF7">
        <w:rPr>
          <w:rFonts w:eastAsia="Times New Roman" w:cs="Arial"/>
          <w:color w:val="000000"/>
          <w:lang w:val="en-US"/>
        </w:rPr>
        <w:t>min</w:t>
      </w:r>
      <w:r w:rsidRPr="00C10AF7">
        <w:rPr>
          <w:rFonts w:eastAsia="Times New Roman" w:cs="Arial"/>
          <w:color w:val="000000"/>
          <w:lang w:val="ru-RU"/>
        </w:rPr>
        <w:t xml:space="preserve">) </w:t>
      </w:r>
      <w:r w:rsidRPr="00C10AF7">
        <w:rPr>
          <w:rFonts w:eastAsia="Times New Roman" w:cs="Arial"/>
          <w:color w:val="000000"/>
          <w:lang w:eastAsia="bg-BG"/>
        </w:rPr>
        <w:t xml:space="preserve">(вижте точка 4.4) </w:t>
      </w:r>
    </w:p>
    <w:p w14:paraId="1E109BA2" w14:textId="738DC94B"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Остри състояния, които могат да про</w:t>
      </w:r>
      <w:r>
        <w:rPr>
          <w:rFonts w:eastAsia="Times New Roman" w:cs="Arial"/>
          <w:color w:val="000000"/>
          <w:lang w:eastAsia="bg-BG"/>
        </w:rPr>
        <w:t>менят бъбречната функция, като:</w:t>
      </w:r>
    </w:p>
    <w:p w14:paraId="40B0107C" w14:textId="77777777" w:rsidR="00C10AF7" w:rsidRDefault="00C10AF7" w:rsidP="00C10AF7">
      <w:pPr>
        <w:pStyle w:val="ListParagraph"/>
        <w:numPr>
          <w:ilvl w:val="0"/>
          <w:numId w:val="36"/>
        </w:numPr>
        <w:spacing w:line="240" w:lineRule="auto"/>
        <w:rPr>
          <w:rFonts w:eastAsia="Times New Roman" w:cs="Arial"/>
          <w:color w:val="000000"/>
          <w:lang w:eastAsia="bg-BG"/>
        </w:rPr>
      </w:pPr>
      <w:r w:rsidRPr="00C10AF7">
        <w:rPr>
          <w:rFonts w:eastAsia="Times New Roman" w:cs="Arial"/>
          <w:color w:val="000000"/>
          <w:lang w:eastAsia="bg-BG"/>
        </w:rPr>
        <w:t xml:space="preserve">дехидратация, </w:t>
      </w:r>
    </w:p>
    <w:p w14:paraId="53AFF685" w14:textId="77777777" w:rsidR="00C10AF7" w:rsidRDefault="00C10AF7" w:rsidP="00C10AF7">
      <w:pPr>
        <w:pStyle w:val="ListParagraph"/>
        <w:numPr>
          <w:ilvl w:val="0"/>
          <w:numId w:val="36"/>
        </w:numPr>
        <w:spacing w:line="240" w:lineRule="auto"/>
        <w:rPr>
          <w:rFonts w:eastAsia="Times New Roman" w:cs="Arial"/>
          <w:color w:val="000000"/>
          <w:lang w:eastAsia="bg-BG"/>
        </w:rPr>
      </w:pPr>
      <w:r w:rsidRPr="00C10AF7">
        <w:rPr>
          <w:rFonts w:eastAsia="Times New Roman" w:cs="Arial"/>
          <w:color w:val="000000"/>
          <w:lang w:eastAsia="bg-BG"/>
        </w:rPr>
        <w:t xml:space="preserve">тежка инфекция, </w:t>
      </w:r>
    </w:p>
    <w:p w14:paraId="7AE1E4AB" w14:textId="77777777" w:rsidR="00C10AF7" w:rsidRDefault="00C10AF7" w:rsidP="00C10AF7">
      <w:pPr>
        <w:pStyle w:val="ListParagraph"/>
        <w:numPr>
          <w:ilvl w:val="0"/>
          <w:numId w:val="36"/>
        </w:numPr>
        <w:spacing w:line="240" w:lineRule="auto"/>
        <w:rPr>
          <w:rFonts w:eastAsia="Times New Roman" w:cs="Arial"/>
          <w:color w:val="000000"/>
          <w:lang w:eastAsia="bg-BG"/>
        </w:rPr>
      </w:pPr>
      <w:r w:rsidRPr="00C10AF7">
        <w:rPr>
          <w:rFonts w:eastAsia="Times New Roman" w:cs="Arial"/>
          <w:color w:val="000000"/>
          <w:lang w:eastAsia="bg-BG"/>
        </w:rPr>
        <w:t xml:space="preserve">шок, </w:t>
      </w:r>
    </w:p>
    <w:p w14:paraId="3F8C39FD" w14:textId="20912269" w:rsidR="00C10AF7" w:rsidRPr="00C10AF7" w:rsidRDefault="00C10AF7" w:rsidP="00C10AF7">
      <w:pPr>
        <w:pStyle w:val="ListParagraph"/>
        <w:numPr>
          <w:ilvl w:val="0"/>
          <w:numId w:val="36"/>
        </w:numPr>
        <w:spacing w:line="240" w:lineRule="auto"/>
        <w:rPr>
          <w:rFonts w:eastAsia="Times New Roman" w:cs="Arial"/>
          <w:color w:val="000000"/>
          <w:lang w:eastAsia="bg-BG"/>
        </w:rPr>
      </w:pPr>
      <w:r w:rsidRPr="00C10AF7">
        <w:rPr>
          <w:rFonts w:eastAsia="Times New Roman" w:cs="Arial"/>
          <w:color w:val="000000"/>
          <w:lang w:eastAsia="bg-BG"/>
        </w:rPr>
        <w:t>вътресъдово приложение на йодирани контрастни вещества (вижте точка 4.4).</w:t>
      </w:r>
    </w:p>
    <w:p w14:paraId="390A1988" w14:textId="426BE064" w:rsidR="00C10AF7" w:rsidRP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lastRenderedPageBreak/>
        <w:t>Остро или хронично заболяване, което може да причини тьканна хипоксия, като:</w:t>
      </w:r>
    </w:p>
    <w:p w14:paraId="26B89433" w14:textId="77777777" w:rsidR="00C10AF7" w:rsidRPr="00C10AF7" w:rsidRDefault="00C10AF7" w:rsidP="00C10AF7">
      <w:pPr>
        <w:pStyle w:val="ListParagraph"/>
        <w:numPr>
          <w:ilvl w:val="0"/>
          <w:numId w:val="37"/>
        </w:numPr>
        <w:spacing w:line="240" w:lineRule="auto"/>
        <w:rPr>
          <w:rFonts w:eastAsia="Times New Roman" w:cs="Arial"/>
        </w:rPr>
      </w:pPr>
      <w:r w:rsidRPr="00C10AF7">
        <w:rPr>
          <w:rFonts w:eastAsia="Times New Roman" w:cs="Arial"/>
          <w:color w:val="000000"/>
          <w:lang w:eastAsia="bg-BG"/>
        </w:rPr>
        <w:t xml:space="preserve">сърдечна или дихателна недостатъчност, </w:t>
      </w:r>
    </w:p>
    <w:p w14:paraId="1118485D" w14:textId="77777777" w:rsidR="00C10AF7" w:rsidRPr="00C10AF7" w:rsidRDefault="00C10AF7" w:rsidP="00C10AF7">
      <w:pPr>
        <w:pStyle w:val="ListParagraph"/>
        <w:numPr>
          <w:ilvl w:val="0"/>
          <w:numId w:val="37"/>
        </w:numPr>
        <w:spacing w:line="240" w:lineRule="auto"/>
        <w:rPr>
          <w:rFonts w:eastAsia="Times New Roman" w:cs="Arial"/>
        </w:rPr>
      </w:pPr>
      <w:r w:rsidRPr="00C10AF7">
        <w:rPr>
          <w:rFonts w:eastAsia="Times New Roman" w:cs="Arial"/>
          <w:color w:val="000000"/>
          <w:lang w:eastAsia="bg-BG"/>
        </w:rPr>
        <w:t xml:space="preserve">скорошен инфаркт на миокарда, </w:t>
      </w:r>
    </w:p>
    <w:p w14:paraId="53824202" w14:textId="121A2C0A" w:rsidR="00C10AF7" w:rsidRPr="00C10AF7" w:rsidRDefault="00C10AF7" w:rsidP="00C10AF7">
      <w:pPr>
        <w:pStyle w:val="ListParagraph"/>
        <w:numPr>
          <w:ilvl w:val="0"/>
          <w:numId w:val="37"/>
        </w:numPr>
        <w:spacing w:line="240" w:lineRule="auto"/>
        <w:rPr>
          <w:rFonts w:eastAsia="Times New Roman" w:cs="Arial"/>
        </w:rPr>
      </w:pPr>
      <w:r w:rsidRPr="00C10AF7">
        <w:rPr>
          <w:rFonts w:eastAsia="Times New Roman" w:cs="Arial"/>
          <w:color w:val="000000"/>
          <w:lang w:eastAsia="bg-BG"/>
        </w:rPr>
        <w:t>шок.</w:t>
      </w:r>
    </w:p>
    <w:p w14:paraId="52A46140"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Чернодробно увреждане (вижте точки 4.2,4.4 и 4.8)</w:t>
      </w:r>
    </w:p>
    <w:p w14:paraId="2F32229F"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Остра алкохолна интоксикация, алкохолизъм</w:t>
      </w:r>
    </w:p>
    <w:p w14:paraId="6BB37E4D" w14:textId="6D429A9B" w:rsidR="00C10AF7" w:rsidRP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Кърмене (вижте точка 4.6)</w:t>
      </w:r>
    </w:p>
    <w:p w14:paraId="5B52CCBF" w14:textId="77777777" w:rsidR="00C10AF7" w:rsidRPr="00C10AF7" w:rsidRDefault="00C10AF7" w:rsidP="00C10AF7"/>
    <w:p w14:paraId="212F509C" w14:textId="31670069" w:rsidR="004F498A" w:rsidRDefault="002C50EE" w:rsidP="004A448E">
      <w:pPr>
        <w:pStyle w:val="Heading2"/>
      </w:pPr>
      <w:r>
        <w:t>4.4. Специални предупреждения и предпазни мерки при употреба</w:t>
      </w:r>
    </w:p>
    <w:p w14:paraId="57877D08" w14:textId="03D4814A" w:rsidR="00C10AF7" w:rsidRDefault="00C10AF7" w:rsidP="00C10AF7"/>
    <w:p w14:paraId="26104A8B" w14:textId="77777777"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Общи</w:t>
      </w:r>
    </w:p>
    <w:p w14:paraId="5A088F6F"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ДАЛТЕКС не е заместител на инсулина при инсулин-зависими пациенти и не трябва да се прилага при пациенти с диабет тип 1.</w:t>
      </w:r>
    </w:p>
    <w:p w14:paraId="27FFDCAC" w14:textId="77777777" w:rsidR="00C10AF7" w:rsidRDefault="00C10AF7" w:rsidP="00C10AF7">
      <w:pPr>
        <w:spacing w:line="240" w:lineRule="auto"/>
        <w:rPr>
          <w:rFonts w:eastAsia="Times New Roman" w:cs="Arial"/>
          <w:color w:val="000000"/>
          <w:u w:val="single"/>
          <w:lang w:eastAsia="bg-BG"/>
        </w:rPr>
      </w:pPr>
    </w:p>
    <w:p w14:paraId="15738678" w14:textId="79DCD5B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Лактатна ацидоза</w:t>
      </w:r>
    </w:p>
    <w:p w14:paraId="0BFA67B6"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Лактатната ацидоза, много рядко, но сериозно метаболитно усложнение, най-често настъпва при остро влошаване на бъбречната функция, кардио-респираторно заболяване или сепсис. Натрупването на метформин настъпва при остро влошаване на бъбречната функция и увеличава риска от лактатна ацидоза.</w:t>
      </w:r>
    </w:p>
    <w:p w14:paraId="2F69688E" w14:textId="77777777" w:rsidR="00C10AF7" w:rsidRDefault="00C10AF7" w:rsidP="00C10AF7">
      <w:pPr>
        <w:spacing w:line="240" w:lineRule="auto"/>
        <w:rPr>
          <w:rFonts w:eastAsia="Times New Roman" w:cs="Arial"/>
          <w:color w:val="000000"/>
          <w:lang w:eastAsia="bg-BG"/>
        </w:rPr>
      </w:pPr>
    </w:p>
    <w:p w14:paraId="20697AD9" w14:textId="0064A061" w:rsidR="00C10AF7" w:rsidRPr="00C10AF7" w:rsidRDefault="00C10AF7" w:rsidP="00C10AF7">
      <w:pPr>
        <w:spacing w:line="240" w:lineRule="auto"/>
        <w:rPr>
          <w:rFonts w:eastAsia="Times New Roman" w:cs="Arial"/>
        </w:rPr>
      </w:pPr>
      <w:r w:rsidRPr="00C10AF7">
        <w:rPr>
          <w:rFonts w:eastAsia="Times New Roman" w:cs="Arial"/>
          <w:color w:val="000000"/>
          <w:lang w:eastAsia="bg-BG"/>
        </w:rPr>
        <w:t>В случай на дехидратация (тежка диария или повръщане, треска или намален прием на течности) трябва временно да се спре приема на метформин и е препоръчително да се установи връзка с медицински специалист.</w:t>
      </w:r>
    </w:p>
    <w:p w14:paraId="0F2C1802" w14:textId="77777777" w:rsidR="00C10AF7" w:rsidRDefault="00C10AF7" w:rsidP="00C10AF7">
      <w:pPr>
        <w:spacing w:line="240" w:lineRule="auto"/>
        <w:rPr>
          <w:rFonts w:eastAsia="Times New Roman" w:cs="Arial"/>
          <w:color w:val="000000"/>
          <w:lang w:eastAsia="bg-BG"/>
        </w:rPr>
      </w:pPr>
    </w:p>
    <w:p w14:paraId="0A709E25" w14:textId="1DC16A75" w:rsidR="00C10AF7" w:rsidRDefault="00C10AF7" w:rsidP="00C10AF7">
      <w:pPr>
        <w:spacing w:line="240" w:lineRule="auto"/>
        <w:rPr>
          <w:rFonts w:eastAsia="Times New Roman" w:cs="Arial"/>
          <w:color w:val="000000"/>
          <w:lang w:eastAsia="bg-BG"/>
        </w:rPr>
      </w:pPr>
      <w:r w:rsidRPr="00C10AF7">
        <w:rPr>
          <w:rFonts w:eastAsia="Times New Roman" w:cs="Arial"/>
          <w:color w:val="000000"/>
          <w:lang w:eastAsia="bg-BG"/>
        </w:rPr>
        <w:t>Приемът на лекарствени продукти, които могат остро да увредят бъбречната функция (като антихипертензивни средства, диуретици и НСПВС) трябва да се започне с повишемп внимание при пациенти, лекувани с метформин. Други рискови фактори за лактатна ацидоза са</w:t>
      </w:r>
      <w:r>
        <w:rPr>
          <w:rFonts w:eastAsia="Times New Roman" w:cs="Arial"/>
        </w:rPr>
        <w:t xml:space="preserve"> </w:t>
      </w:r>
      <w:r w:rsidRPr="00C10AF7">
        <w:rPr>
          <w:rFonts w:eastAsia="Times New Roman" w:cs="Arial"/>
          <w:color w:val="000000"/>
          <w:lang w:eastAsia="bg-BG"/>
        </w:rPr>
        <w:t>прекомерен прием на алкохол, чернодробна недостатъчност, недостатъчно контролиран диабет, кетоза, продължително гладуване и всички състояния, свързани с хипоксия, както и едновременната употреба на лекарствени продукти, които могат да причинят лактатна ацидоза</w:t>
      </w:r>
      <w:r>
        <w:rPr>
          <w:rFonts w:eastAsia="Times New Roman" w:cs="Arial"/>
        </w:rPr>
        <w:t xml:space="preserve"> </w:t>
      </w:r>
      <w:r w:rsidRPr="00C10AF7">
        <w:rPr>
          <w:rFonts w:eastAsia="Times New Roman" w:cs="Arial"/>
          <w:color w:val="000000"/>
          <w:lang w:eastAsia="bg-BG"/>
        </w:rPr>
        <w:t>(вижте също точки 4.3 и 4.5).</w:t>
      </w:r>
    </w:p>
    <w:p w14:paraId="201DD848" w14:textId="33FF0A77" w:rsidR="00C10AF7" w:rsidRDefault="00C10AF7" w:rsidP="00C10AF7">
      <w:pPr>
        <w:spacing w:line="240" w:lineRule="auto"/>
        <w:rPr>
          <w:rFonts w:eastAsia="Times New Roman" w:cs="Arial"/>
          <w:color w:val="000000"/>
          <w:lang w:eastAsia="bg-BG"/>
        </w:rPr>
      </w:pPr>
    </w:p>
    <w:p w14:paraId="381C4661"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Пациентите и/или болногледачите трябва да бъдат информирани за риска от лактатна ацидоза. Лактатната ацидоза се характеризира с ацидозна диспнея, коремна болка, мускулни крампи, астения и хипотермия, последвани от кома. В случай на съмнение за симптоми пациентът трябва да спре приема на метформин и незабавно да потърси лекарска помощ. Лабораторни находки с диагностично значение са понижаване на </w:t>
      </w:r>
      <w:r w:rsidRPr="00C10AF7">
        <w:rPr>
          <w:rFonts w:eastAsia="Times New Roman" w:cs="Arial"/>
          <w:color w:val="000000"/>
          <w:lang w:val="en-US"/>
        </w:rPr>
        <w:t>pH</w:t>
      </w:r>
      <w:r w:rsidRPr="00C10AF7">
        <w:rPr>
          <w:rFonts w:eastAsia="Times New Roman" w:cs="Arial"/>
          <w:color w:val="000000"/>
          <w:lang w:val="ru-RU"/>
        </w:rPr>
        <w:t xml:space="preserve"> </w:t>
      </w:r>
      <w:r w:rsidRPr="00C10AF7">
        <w:rPr>
          <w:rFonts w:eastAsia="Times New Roman" w:cs="Arial"/>
          <w:color w:val="000000"/>
          <w:lang w:eastAsia="bg-BG"/>
        </w:rPr>
        <w:t xml:space="preserve">(&lt;7,35) в кръвта, повишени нива на лактат в плазмата (&gt; 5 </w:t>
      </w:r>
      <w:proofErr w:type="spellStart"/>
      <w:r w:rsidRPr="00C10AF7">
        <w:rPr>
          <w:rFonts w:eastAsia="Times New Roman" w:cs="Arial"/>
          <w:color w:val="000000"/>
          <w:lang w:val="en-US"/>
        </w:rPr>
        <w:t>mmol</w:t>
      </w:r>
      <w:proofErr w:type="spellEnd"/>
      <w:r w:rsidRPr="00C10AF7">
        <w:rPr>
          <w:rFonts w:eastAsia="Times New Roman" w:cs="Arial"/>
          <w:color w:val="000000"/>
          <w:lang w:val="ru-RU"/>
        </w:rPr>
        <w:t xml:space="preserve">/1) </w:t>
      </w:r>
      <w:r w:rsidRPr="00C10AF7">
        <w:rPr>
          <w:rFonts w:eastAsia="Times New Roman" w:cs="Arial"/>
          <w:color w:val="000000"/>
          <w:lang w:eastAsia="bg-BG"/>
        </w:rPr>
        <w:t>и повишени анионна разлика и съотношение лактат/пируват.</w:t>
      </w:r>
    </w:p>
    <w:p w14:paraId="71BB54DA" w14:textId="77777777" w:rsidR="00C10AF7" w:rsidRDefault="00C10AF7" w:rsidP="00C10AF7">
      <w:pPr>
        <w:spacing w:line="240" w:lineRule="auto"/>
        <w:rPr>
          <w:rFonts w:eastAsia="Times New Roman" w:cs="Arial"/>
          <w:i/>
          <w:iCs/>
          <w:color w:val="000000"/>
          <w:lang w:eastAsia="bg-BG"/>
        </w:rPr>
      </w:pPr>
    </w:p>
    <w:p w14:paraId="2FC4DB92" w14:textId="30DEE31B"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Приложение на йодирани контрастни вещества</w:t>
      </w:r>
    </w:p>
    <w:p w14:paraId="2E282BD5"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Вътресъдовото приложение на йодирани контрастни вещества може да доведе до контраст- индуцирана нефропатия, водеща до натрупването на метформин и повишен риск от лактатна ацидоза. Метформин трябва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4.5).</w:t>
      </w:r>
    </w:p>
    <w:p w14:paraId="6B311E1A" w14:textId="77777777" w:rsidR="00C10AF7" w:rsidRDefault="00C10AF7" w:rsidP="00C10AF7">
      <w:pPr>
        <w:spacing w:line="240" w:lineRule="auto"/>
        <w:rPr>
          <w:rFonts w:eastAsia="Times New Roman" w:cs="Arial"/>
          <w:color w:val="000000"/>
          <w:u w:val="single"/>
          <w:lang w:eastAsia="bg-BG"/>
        </w:rPr>
      </w:pPr>
    </w:p>
    <w:p w14:paraId="56266245" w14:textId="7B5446E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lastRenderedPageBreak/>
        <w:t>Бъбречна функция</w:t>
      </w:r>
    </w:p>
    <w:p w14:paraId="1994CD61"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Преди започване на лечението трябва да се направи оценка на стойностите на </w:t>
      </w:r>
      <w:r w:rsidRPr="00C10AF7">
        <w:rPr>
          <w:rFonts w:eastAsia="Times New Roman" w:cs="Arial"/>
          <w:color w:val="000000"/>
          <w:lang w:val="en-US"/>
        </w:rPr>
        <w:t>GFR</w:t>
      </w:r>
      <w:r w:rsidRPr="00C10AF7">
        <w:rPr>
          <w:rFonts w:eastAsia="Times New Roman" w:cs="Arial"/>
          <w:color w:val="000000"/>
          <w:lang w:val="ru-RU"/>
        </w:rPr>
        <w:t xml:space="preserve"> </w:t>
      </w:r>
      <w:r w:rsidRPr="00C10AF7">
        <w:rPr>
          <w:rFonts w:eastAsia="Times New Roman" w:cs="Arial"/>
          <w:color w:val="000000"/>
          <w:lang w:eastAsia="bg-BG"/>
        </w:rPr>
        <w:t xml:space="preserve">и редовно след това (вж. точка 4.2). Метформин е противопоказан при пациенти с </w:t>
      </w:r>
      <w:r w:rsidRPr="00C10AF7">
        <w:rPr>
          <w:rFonts w:eastAsia="Times New Roman" w:cs="Arial"/>
          <w:color w:val="000000"/>
          <w:lang w:val="en-US"/>
        </w:rPr>
        <w:t>GFR</w:t>
      </w:r>
      <w:r w:rsidRPr="00C10AF7">
        <w:rPr>
          <w:rFonts w:eastAsia="Times New Roman" w:cs="Arial"/>
          <w:color w:val="000000"/>
          <w:lang w:val="ru-RU"/>
        </w:rPr>
        <w:t xml:space="preserve"> </w:t>
      </w:r>
      <w:r w:rsidRPr="00C10AF7">
        <w:rPr>
          <w:rFonts w:eastAsia="Times New Roman" w:cs="Arial"/>
          <w:color w:val="000000"/>
          <w:lang w:eastAsia="bg-BG"/>
        </w:rPr>
        <w:t xml:space="preserve">&lt; 30 </w:t>
      </w:r>
      <w:r w:rsidRPr="00C10AF7">
        <w:rPr>
          <w:rFonts w:eastAsia="Times New Roman" w:cs="Arial"/>
          <w:color w:val="000000"/>
          <w:lang w:val="en-US"/>
        </w:rPr>
        <w:t>ml</w:t>
      </w:r>
      <w:r w:rsidRPr="00C10AF7">
        <w:rPr>
          <w:rFonts w:eastAsia="Times New Roman" w:cs="Arial"/>
          <w:color w:val="000000"/>
          <w:lang w:eastAsia="bg-BG"/>
        </w:rPr>
        <w:t>/мин и трябва да бъде временно спрян при наличие на състояния, които променят бъбречната функция (вж. точка 4.3).</w:t>
      </w:r>
    </w:p>
    <w:p w14:paraId="3D7119EB" w14:textId="77777777" w:rsidR="00C10AF7" w:rsidRDefault="00C10AF7" w:rsidP="00C10AF7">
      <w:pPr>
        <w:spacing w:line="240" w:lineRule="auto"/>
        <w:rPr>
          <w:rFonts w:eastAsia="Times New Roman" w:cs="Arial"/>
          <w:color w:val="000000"/>
          <w:u w:val="single"/>
          <w:lang w:eastAsia="bg-BG"/>
        </w:rPr>
      </w:pPr>
    </w:p>
    <w:p w14:paraId="7C97D3AF" w14:textId="565CB3F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Чернодробно увреждане</w:t>
      </w:r>
    </w:p>
    <w:p w14:paraId="67A0CB6B"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Пациентите с чернодробно увреждане, включително тези със стойности на </w:t>
      </w:r>
      <w:r w:rsidRPr="00C10AF7">
        <w:rPr>
          <w:rFonts w:eastAsia="Times New Roman" w:cs="Arial"/>
          <w:color w:val="000000"/>
          <w:lang w:val="en-US"/>
        </w:rPr>
        <w:t>ALT</w:t>
      </w:r>
      <w:r w:rsidRPr="00C10AF7">
        <w:rPr>
          <w:rFonts w:eastAsia="Times New Roman" w:cs="Arial"/>
          <w:color w:val="000000"/>
          <w:lang w:val="ru-RU"/>
        </w:rPr>
        <w:t xml:space="preserve"> </w:t>
      </w:r>
      <w:r w:rsidRPr="00C10AF7">
        <w:rPr>
          <w:rFonts w:eastAsia="Times New Roman" w:cs="Arial"/>
          <w:color w:val="000000"/>
          <w:lang w:eastAsia="bg-BG"/>
        </w:rPr>
        <w:t xml:space="preserve">или </w:t>
      </w:r>
      <w:r w:rsidRPr="00C10AF7">
        <w:rPr>
          <w:rFonts w:eastAsia="Times New Roman" w:cs="Arial"/>
          <w:color w:val="000000"/>
          <w:lang w:val="en-US"/>
        </w:rPr>
        <w:t>AST</w:t>
      </w:r>
      <w:r w:rsidRPr="00C10AF7">
        <w:rPr>
          <w:rFonts w:eastAsia="Times New Roman" w:cs="Arial"/>
          <w:color w:val="000000"/>
          <w:lang w:val="ru-RU"/>
        </w:rPr>
        <w:t xml:space="preserve"> </w:t>
      </w:r>
      <w:r w:rsidRPr="00C10AF7">
        <w:rPr>
          <w:rFonts w:eastAsia="Times New Roman" w:cs="Arial"/>
          <w:color w:val="000000"/>
          <w:lang w:eastAsia="bg-BG"/>
        </w:rPr>
        <w:t xml:space="preserve">&gt; Зх </w:t>
      </w:r>
      <w:r w:rsidRPr="00C10AF7">
        <w:rPr>
          <w:rFonts w:eastAsia="Times New Roman" w:cs="Arial"/>
          <w:color w:val="000000"/>
          <w:lang w:val="en-US"/>
        </w:rPr>
        <w:t>ULN</w:t>
      </w:r>
      <w:r w:rsidRPr="00C10AF7">
        <w:rPr>
          <w:rFonts w:eastAsia="Times New Roman" w:cs="Arial"/>
          <w:color w:val="000000"/>
          <w:lang w:val="ru-RU"/>
        </w:rPr>
        <w:t xml:space="preserve">, </w:t>
      </w:r>
      <w:r w:rsidRPr="00C10AF7">
        <w:rPr>
          <w:rFonts w:eastAsia="Times New Roman" w:cs="Arial"/>
          <w:color w:val="000000"/>
          <w:lang w:eastAsia="bg-BG"/>
        </w:rPr>
        <w:t>не трябва да бъдат лекувани с ДАЛТЕКС (вижте точки 4.2,4.3 и 4.8).</w:t>
      </w:r>
    </w:p>
    <w:p w14:paraId="02FC4FAA" w14:textId="77777777" w:rsidR="00C10AF7" w:rsidRDefault="00C10AF7" w:rsidP="00C10AF7">
      <w:pPr>
        <w:spacing w:line="240" w:lineRule="auto"/>
        <w:rPr>
          <w:rFonts w:eastAsia="Times New Roman" w:cs="Arial"/>
          <w:i/>
          <w:iCs/>
          <w:color w:val="000000"/>
          <w:lang w:eastAsia="bg-BG"/>
        </w:rPr>
      </w:pPr>
    </w:p>
    <w:p w14:paraId="1EA8C8FA" w14:textId="36FC2AA2"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Проследяване на чернодробните ензими</w:t>
      </w:r>
    </w:p>
    <w:p w14:paraId="4C32D106"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При приложение на вилдаглиптин са съобщавани редки случаи на чернодробна недостатъчност (включително хепатит). В тези случаи най-общо пациентите не са проявили симптоми, не е имало клинични последствия, а стойностите на чернодробните функционални тестове (ЧФТ) се връщат към нормалните след преустановяване на лечението. ЧФТ трябва да бъдат извършени преди започване на лечение с ДАЛТЕКС, за да е известно изходното ниво на пациента. Чернодробната функция трябва да бъде проследявана по време на лечението с ДАЛТЕКС на тримесечни интервали през първата година и периодично след това. Пациентите, при които стойностите на трансаминазите се повишат, трябва да бъдат проследявани с повторна оценка на чернодробната функция, за да се потвърди находката, а впоследствие да бъдат проследявани с чести ЧФТ докато отклонението(ята) не се възвърне(ат) към нормалните стойности. Ако повишението на </w:t>
      </w:r>
      <w:r w:rsidRPr="00C10AF7">
        <w:rPr>
          <w:rFonts w:eastAsia="Times New Roman" w:cs="Arial"/>
          <w:color w:val="000000"/>
          <w:lang w:val="en-US"/>
        </w:rPr>
        <w:t>AST</w:t>
      </w:r>
      <w:r w:rsidRPr="00C10AF7">
        <w:rPr>
          <w:rFonts w:eastAsia="Times New Roman" w:cs="Arial"/>
          <w:color w:val="000000"/>
          <w:lang w:val="ru-RU"/>
        </w:rPr>
        <w:t xml:space="preserve"> </w:t>
      </w:r>
      <w:r w:rsidRPr="00C10AF7">
        <w:rPr>
          <w:rFonts w:eastAsia="Times New Roman" w:cs="Arial"/>
          <w:color w:val="000000"/>
          <w:lang w:eastAsia="bg-BG"/>
        </w:rPr>
        <w:t xml:space="preserve">или </w:t>
      </w:r>
      <w:r w:rsidRPr="00C10AF7">
        <w:rPr>
          <w:rFonts w:eastAsia="Times New Roman" w:cs="Arial"/>
          <w:color w:val="000000"/>
          <w:lang w:val="en-US"/>
        </w:rPr>
        <w:t>ALT</w:t>
      </w:r>
      <w:r w:rsidRPr="00C10AF7">
        <w:rPr>
          <w:rFonts w:eastAsia="Times New Roman" w:cs="Arial"/>
          <w:color w:val="000000"/>
          <w:lang w:val="ru-RU"/>
        </w:rPr>
        <w:t xml:space="preserve"> </w:t>
      </w:r>
      <w:r w:rsidRPr="00C10AF7">
        <w:rPr>
          <w:rFonts w:eastAsia="Times New Roman" w:cs="Arial"/>
          <w:color w:val="000000"/>
          <w:lang w:eastAsia="bg-BG"/>
        </w:rPr>
        <w:t xml:space="preserve">от Зх </w:t>
      </w:r>
      <w:r w:rsidRPr="00C10AF7">
        <w:rPr>
          <w:rFonts w:eastAsia="Times New Roman" w:cs="Arial"/>
          <w:color w:val="000000"/>
          <w:lang w:val="en-US"/>
        </w:rPr>
        <w:t>ULN</w:t>
      </w:r>
      <w:r w:rsidRPr="00C10AF7">
        <w:rPr>
          <w:rFonts w:eastAsia="Times New Roman" w:cs="Arial"/>
          <w:color w:val="000000"/>
          <w:lang w:val="ru-RU"/>
        </w:rPr>
        <w:t xml:space="preserve"> </w:t>
      </w:r>
      <w:r w:rsidRPr="00C10AF7">
        <w:rPr>
          <w:rFonts w:eastAsia="Times New Roman" w:cs="Arial"/>
          <w:color w:val="000000"/>
          <w:lang w:eastAsia="bg-BG"/>
        </w:rPr>
        <w:t>или повече продължи се препоръчва преустановяване на лечението с ДАЛТЕКС. Пациентите, които развият жълтеница или други признаци на чернодробна недостатъчност трябва да преустановят ДАЛТЕКС.</w:t>
      </w:r>
    </w:p>
    <w:p w14:paraId="5292E0C6" w14:textId="77777777" w:rsidR="00C10AF7" w:rsidRDefault="00C10AF7" w:rsidP="00C10AF7">
      <w:pPr>
        <w:spacing w:line="240" w:lineRule="auto"/>
        <w:rPr>
          <w:rFonts w:eastAsia="Times New Roman" w:cs="Arial"/>
          <w:color w:val="000000"/>
          <w:lang w:eastAsia="bg-BG"/>
        </w:rPr>
      </w:pPr>
    </w:p>
    <w:p w14:paraId="5489A17B" w14:textId="7060F48E" w:rsidR="00C10AF7" w:rsidRPr="00C10AF7" w:rsidRDefault="00C10AF7" w:rsidP="00C10AF7">
      <w:pPr>
        <w:spacing w:line="240" w:lineRule="auto"/>
        <w:rPr>
          <w:rFonts w:eastAsia="Times New Roman" w:cs="Arial"/>
        </w:rPr>
      </w:pPr>
      <w:r w:rsidRPr="00C10AF7">
        <w:rPr>
          <w:rFonts w:eastAsia="Times New Roman" w:cs="Arial"/>
          <w:color w:val="000000"/>
          <w:lang w:eastAsia="bg-BG"/>
        </w:rPr>
        <w:t>След преустановяване на лечението с ДАЛТЕКС и нормализиране на ЧФТ, лечението с ДАЛТЕКС не трябва да бъде възобновявано.</w:t>
      </w:r>
    </w:p>
    <w:p w14:paraId="300CA69F" w14:textId="77777777" w:rsidR="00C10AF7" w:rsidRDefault="00C10AF7" w:rsidP="00C10AF7">
      <w:pPr>
        <w:spacing w:line="240" w:lineRule="auto"/>
        <w:rPr>
          <w:rFonts w:eastAsia="Times New Roman" w:cs="Arial"/>
          <w:color w:val="000000"/>
          <w:u w:val="single"/>
          <w:lang w:eastAsia="bg-BG"/>
        </w:rPr>
      </w:pPr>
    </w:p>
    <w:p w14:paraId="3F04BE68" w14:textId="2488D2D3"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Кожни нарушения</w:t>
      </w:r>
    </w:p>
    <w:p w14:paraId="340963A3"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Кожни лезии, включително поява на мехури и улцерации по крайниците на маймуни се съобщават при приложение на вилдаглиптин в неклинични проучвания за токсичност (вижте точка 5.3). Въпреки че в клиничните проучвания не се наблюдава поява на кожни лезии с повишена честота, опитът при пациенти с кожни усложнения на диабета е ограничен. В допълнение има постмаркетингови съобщения за булозни и ексфолиативни кожни лезии. Ето защо, като част от рутинните грижи при пациентите с диабет се препоръчва проследяване за кожни нарушения като поява на мехури и улцерации.</w:t>
      </w:r>
    </w:p>
    <w:p w14:paraId="2E8B028D" w14:textId="77777777" w:rsidR="00C10AF7" w:rsidRDefault="00C10AF7" w:rsidP="00C10AF7">
      <w:pPr>
        <w:spacing w:line="240" w:lineRule="auto"/>
        <w:rPr>
          <w:rFonts w:eastAsia="Times New Roman" w:cs="Arial"/>
          <w:color w:val="000000"/>
          <w:u w:val="single"/>
          <w:lang w:eastAsia="bg-BG"/>
        </w:rPr>
      </w:pPr>
    </w:p>
    <w:p w14:paraId="67404578" w14:textId="67C5E910"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Остър панкреатит</w:t>
      </w:r>
    </w:p>
    <w:p w14:paraId="27B603F5"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Приложението на вилдаглиптин се асоциира с риск от развиване на остър панкреатит</w:t>
      </w:r>
    </w:p>
    <w:p w14:paraId="0CC28F0C"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Пациентите трябва да бъдат информирани за характерните симптоми на остър панкреатит</w:t>
      </w:r>
    </w:p>
    <w:p w14:paraId="2709695F" w14:textId="77777777" w:rsidR="00C10AF7" w:rsidRDefault="00C10AF7" w:rsidP="00C10AF7">
      <w:pPr>
        <w:spacing w:line="240" w:lineRule="auto"/>
        <w:rPr>
          <w:rFonts w:eastAsia="Times New Roman" w:cs="Arial"/>
          <w:color w:val="000000"/>
          <w:lang w:eastAsia="bg-BG"/>
        </w:rPr>
      </w:pPr>
    </w:p>
    <w:p w14:paraId="4EC2BC6A" w14:textId="77777777" w:rsidR="00C10AF7" w:rsidRPr="00C10AF7" w:rsidRDefault="00C10AF7" w:rsidP="00C10AF7">
      <w:pPr>
        <w:rPr>
          <w:rFonts w:eastAsia="Times New Roman" w:cs="Arial"/>
        </w:rPr>
      </w:pPr>
      <w:r w:rsidRPr="00C10AF7">
        <w:rPr>
          <w:rFonts w:eastAsia="Times New Roman" w:cs="Arial"/>
          <w:color w:val="000000"/>
          <w:lang w:eastAsia="bg-BG"/>
        </w:rPr>
        <w:t>Ако се подозира наличие на панкреатит, вилдаглиптин трябва да бъде преустановен; ако се</w:t>
      </w:r>
      <w:r>
        <w:rPr>
          <w:rFonts w:eastAsia="Times New Roman" w:cs="Arial"/>
          <w:color w:val="000000"/>
          <w:lang w:eastAsia="bg-BG"/>
        </w:rPr>
        <w:t xml:space="preserve"> </w:t>
      </w:r>
      <w:r w:rsidRPr="00C10AF7">
        <w:rPr>
          <w:rFonts w:eastAsia="Times New Roman" w:cs="Arial"/>
          <w:color w:val="000000"/>
          <w:lang w:eastAsia="bg-BG"/>
        </w:rPr>
        <w:t>потвърди наличие на панкреатит, лечението с вилдаглиптин не трябва да се подновява. Необходимо е повишено внимание при пациенти с анамнеза за остър панкреатит.</w:t>
      </w:r>
    </w:p>
    <w:p w14:paraId="5142E4C0" w14:textId="77777777" w:rsidR="00C10AF7" w:rsidRDefault="00C10AF7" w:rsidP="00C10AF7">
      <w:pPr>
        <w:spacing w:line="240" w:lineRule="auto"/>
        <w:rPr>
          <w:rFonts w:eastAsia="Times New Roman" w:cs="Arial"/>
          <w:color w:val="000000"/>
          <w:u w:val="single"/>
          <w:lang w:eastAsia="bg-BG"/>
        </w:rPr>
      </w:pPr>
    </w:p>
    <w:p w14:paraId="1FC30BDF" w14:textId="27AA747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Хипогликемия</w:t>
      </w:r>
    </w:p>
    <w:p w14:paraId="18AB29E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lastRenderedPageBreak/>
        <w:t>Известно е, че сулфонилурейните производни причиняват хипогликемия. Пациентите, които приемат вилдаглиптин в комбинация със сулфонилурея може да са изложени на риск от хипогликемия. Поради това, може да се обмисли по-ниска доза на сулфонилурейното производно, за да се намали рискът от хипогликемия.</w:t>
      </w:r>
    </w:p>
    <w:p w14:paraId="76782E33" w14:textId="77777777" w:rsidR="00C10AF7" w:rsidRDefault="00C10AF7" w:rsidP="00C10AF7">
      <w:pPr>
        <w:spacing w:line="240" w:lineRule="auto"/>
        <w:rPr>
          <w:rFonts w:eastAsia="Times New Roman" w:cs="Arial"/>
          <w:color w:val="000000"/>
          <w:u w:val="single"/>
          <w:lang w:eastAsia="bg-BG"/>
        </w:rPr>
      </w:pPr>
    </w:p>
    <w:p w14:paraId="7974409C" w14:textId="0E4E8CB1"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Хирургия</w:t>
      </w:r>
    </w:p>
    <w:p w14:paraId="7BDFA6DD" w14:textId="77777777" w:rsidR="00C10AF7" w:rsidRPr="00C10AF7" w:rsidRDefault="00C10AF7" w:rsidP="00C10AF7">
      <w:pPr>
        <w:spacing w:line="240" w:lineRule="auto"/>
        <w:rPr>
          <w:rFonts w:ascii="Times New Roman" w:eastAsia="Times New Roman" w:hAnsi="Times New Roman" w:cs="Times New Roman"/>
          <w:sz w:val="24"/>
          <w:szCs w:val="24"/>
        </w:rPr>
      </w:pPr>
      <w:r w:rsidRPr="00C10AF7">
        <w:rPr>
          <w:rFonts w:eastAsia="Times New Roman" w:cs="Arial"/>
          <w:color w:val="000000"/>
          <w:lang w:eastAsia="bg-BG"/>
        </w:rPr>
        <w:t>Метформин трябва да се спре по време на операция под обща, спинална или епидурална анестезия. Лечението може да бъде възобновено не по-рано от 48 часа след операцията или възобновяването на храненето през уста, и при условие че бъбречната функция е оценена отново и е установено, че е стабилна.</w:t>
      </w:r>
    </w:p>
    <w:p w14:paraId="5C778FB4" w14:textId="7B915ACD" w:rsidR="00C10AF7" w:rsidRPr="00C10AF7" w:rsidRDefault="00C10AF7" w:rsidP="00C10AF7">
      <w:pPr>
        <w:spacing w:line="240" w:lineRule="auto"/>
        <w:rPr>
          <w:rFonts w:eastAsia="Times New Roman" w:cs="Arial"/>
        </w:rPr>
      </w:pPr>
    </w:p>
    <w:p w14:paraId="619DED1E" w14:textId="1255697B"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1BC42A9" w14:textId="5E564953" w:rsidR="00C10AF7" w:rsidRDefault="00C10AF7" w:rsidP="00C10AF7"/>
    <w:p w14:paraId="75B9ED78"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 са провеждани официални проучвания на вилдаглиптин/метформин. Следните данни отразяват информацията, налична за отделните активни вещества.</w:t>
      </w:r>
    </w:p>
    <w:p w14:paraId="69AF95D7" w14:textId="77777777" w:rsidR="00C10AF7" w:rsidRDefault="00C10AF7" w:rsidP="00C10AF7">
      <w:pPr>
        <w:spacing w:line="240" w:lineRule="auto"/>
        <w:rPr>
          <w:rFonts w:eastAsia="Times New Roman" w:cs="Arial"/>
          <w:color w:val="000000"/>
          <w:u w:val="single"/>
          <w:lang w:eastAsia="bg-BG"/>
        </w:rPr>
      </w:pPr>
    </w:p>
    <w:p w14:paraId="78D8026F" w14:textId="4017BCB7"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Вилдаглиптин</w:t>
      </w:r>
    </w:p>
    <w:p w14:paraId="11E2679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Вилдаглиптин има слаб потенциал за взаимодействия при едновременно приложение с други лекарствени продукти. Тъй като вилдаглиптин не е субстрат на цитохром Р </w:t>
      </w:r>
      <w:r w:rsidRPr="00C10AF7">
        <w:rPr>
          <w:rFonts w:eastAsia="Times New Roman" w:cs="Arial"/>
          <w:color w:val="000000"/>
          <w:lang w:val="ru-RU"/>
        </w:rPr>
        <w:t>(</w:t>
      </w:r>
      <w:r w:rsidRPr="00C10AF7">
        <w:rPr>
          <w:rFonts w:eastAsia="Times New Roman" w:cs="Arial"/>
          <w:color w:val="000000"/>
          <w:lang w:val="en-US"/>
        </w:rPr>
        <w:t>CYP</w:t>
      </w:r>
      <w:r w:rsidRPr="00C10AF7">
        <w:rPr>
          <w:rFonts w:eastAsia="Times New Roman" w:cs="Arial"/>
          <w:color w:val="000000"/>
          <w:lang w:val="ru-RU"/>
        </w:rPr>
        <w:t xml:space="preserve">) </w:t>
      </w:r>
      <w:r w:rsidRPr="00C10AF7">
        <w:rPr>
          <w:rFonts w:eastAsia="Times New Roman" w:cs="Arial"/>
          <w:color w:val="000000"/>
          <w:lang w:eastAsia="bg-BG"/>
        </w:rPr>
        <w:t xml:space="preserve">450 ензима и не инхибира или индуцира </w:t>
      </w:r>
      <w:r w:rsidRPr="00C10AF7">
        <w:rPr>
          <w:rFonts w:eastAsia="Times New Roman" w:cs="Arial"/>
          <w:color w:val="000000"/>
          <w:lang w:val="en-US"/>
        </w:rPr>
        <w:t>CYP</w:t>
      </w:r>
      <w:r w:rsidRPr="00C10AF7">
        <w:rPr>
          <w:rFonts w:eastAsia="Times New Roman" w:cs="Arial"/>
          <w:color w:val="000000"/>
          <w:lang w:val="ru-RU"/>
        </w:rPr>
        <w:t xml:space="preserve"> </w:t>
      </w:r>
      <w:r w:rsidRPr="00C10AF7">
        <w:rPr>
          <w:rFonts w:eastAsia="Times New Roman" w:cs="Arial"/>
          <w:color w:val="000000"/>
          <w:lang w:eastAsia="bg-BG"/>
        </w:rPr>
        <w:t>450 ензимите, малко вероятно е да си взаимодейства с активни вещества, които са субстрати, инхибитори или индуктори на тези ензими.</w:t>
      </w:r>
    </w:p>
    <w:p w14:paraId="73D06A1D" w14:textId="77777777" w:rsidR="00C10AF7" w:rsidRDefault="00C10AF7" w:rsidP="00C10AF7">
      <w:pPr>
        <w:spacing w:line="240" w:lineRule="auto"/>
        <w:rPr>
          <w:rFonts w:eastAsia="Times New Roman" w:cs="Arial"/>
          <w:color w:val="000000"/>
          <w:lang w:eastAsia="bg-BG"/>
        </w:rPr>
      </w:pPr>
    </w:p>
    <w:p w14:paraId="35ADE5A7" w14:textId="10143F63" w:rsidR="00C10AF7" w:rsidRPr="00C10AF7" w:rsidRDefault="00C10AF7" w:rsidP="00C10AF7">
      <w:pPr>
        <w:spacing w:line="240" w:lineRule="auto"/>
        <w:rPr>
          <w:rFonts w:eastAsia="Times New Roman" w:cs="Arial"/>
        </w:rPr>
      </w:pPr>
      <w:r w:rsidRPr="00C10AF7">
        <w:rPr>
          <w:rFonts w:eastAsia="Times New Roman" w:cs="Arial"/>
          <w:color w:val="000000"/>
          <w:lang w:eastAsia="bg-BG"/>
        </w:rPr>
        <w:t>Резултатите от клиничните изпитвания, проведени с перорално приложените антидиабетни продукти пиоглитазон, метформин и глибурид в комбинация с вилдаглиптин, не показват клинично значими фармакокинетични взаимодействия в таргетната популация.</w:t>
      </w:r>
    </w:p>
    <w:p w14:paraId="67514C0F" w14:textId="77777777" w:rsidR="00C10AF7" w:rsidRDefault="00C10AF7" w:rsidP="00C10AF7">
      <w:pPr>
        <w:spacing w:line="240" w:lineRule="auto"/>
        <w:rPr>
          <w:rFonts w:eastAsia="Times New Roman" w:cs="Arial"/>
          <w:color w:val="000000"/>
          <w:lang w:eastAsia="bg-BG"/>
        </w:rPr>
      </w:pPr>
    </w:p>
    <w:p w14:paraId="6B4FF58E" w14:textId="1D83E0BC"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Проучванията за лекарствени взаимодействия с дигоксин (субстрат на Р-гликопротеин) и варфарин (субстрат на </w:t>
      </w:r>
      <w:r w:rsidRPr="00C10AF7">
        <w:rPr>
          <w:rFonts w:eastAsia="Times New Roman" w:cs="Arial"/>
          <w:color w:val="000000"/>
          <w:lang w:val="en-US"/>
        </w:rPr>
        <w:t>CYP</w:t>
      </w:r>
      <w:r w:rsidRPr="00C10AF7">
        <w:rPr>
          <w:rFonts w:eastAsia="Times New Roman" w:cs="Arial"/>
          <w:color w:val="000000"/>
          <w:lang w:val="ru-RU"/>
        </w:rPr>
        <w:t>2</w:t>
      </w:r>
      <w:r w:rsidRPr="00C10AF7">
        <w:rPr>
          <w:rFonts w:eastAsia="Times New Roman" w:cs="Arial"/>
          <w:color w:val="000000"/>
          <w:lang w:val="en-US"/>
        </w:rPr>
        <w:t>C</w:t>
      </w:r>
      <w:r w:rsidRPr="00C10AF7">
        <w:rPr>
          <w:rFonts w:eastAsia="Times New Roman" w:cs="Arial"/>
          <w:color w:val="000000"/>
          <w:lang w:val="ru-RU"/>
        </w:rPr>
        <w:t xml:space="preserve">9) </w:t>
      </w:r>
      <w:r w:rsidRPr="00C10AF7">
        <w:rPr>
          <w:rFonts w:eastAsia="Times New Roman" w:cs="Arial"/>
          <w:color w:val="000000"/>
          <w:lang w:eastAsia="bg-BG"/>
        </w:rPr>
        <w:t>при здрави субекти не показват клинично значими фармакокинетични взаимодействия след съвместно приложение с вилдаглиптин.</w:t>
      </w:r>
    </w:p>
    <w:p w14:paraId="088AA368" w14:textId="77777777" w:rsidR="00C10AF7" w:rsidRDefault="00C10AF7" w:rsidP="00C10AF7">
      <w:pPr>
        <w:spacing w:line="240" w:lineRule="auto"/>
        <w:rPr>
          <w:rFonts w:eastAsia="Times New Roman" w:cs="Arial"/>
          <w:color w:val="000000"/>
          <w:lang w:eastAsia="bg-BG"/>
        </w:rPr>
      </w:pPr>
    </w:p>
    <w:p w14:paraId="758C4A22" w14:textId="34DFCB65" w:rsidR="00C10AF7" w:rsidRPr="00C10AF7" w:rsidRDefault="00C10AF7" w:rsidP="00C10AF7">
      <w:pPr>
        <w:spacing w:line="240" w:lineRule="auto"/>
        <w:rPr>
          <w:rFonts w:eastAsia="Times New Roman" w:cs="Arial"/>
        </w:rPr>
      </w:pPr>
      <w:r w:rsidRPr="00C10AF7">
        <w:rPr>
          <w:rFonts w:eastAsia="Times New Roman" w:cs="Arial"/>
          <w:color w:val="000000"/>
          <w:lang w:eastAsia="bg-BG"/>
        </w:rPr>
        <w:t>Проучвания за лекарствени взаимодействия при здрави субекти са проведени с амлодипин, рамиприл, валсартан и симвастатин. При тези проучвания не са наблюдавани клинично значими фармакокинетични взаимодействия след съвместно приложение с вилдаглиптин. Въпреки това, това не е установено в таргетната популация.</w:t>
      </w:r>
    </w:p>
    <w:p w14:paraId="551C01DC" w14:textId="77777777" w:rsidR="00C10AF7" w:rsidRDefault="00C10AF7" w:rsidP="00C10AF7">
      <w:pPr>
        <w:spacing w:line="240" w:lineRule="auto"/>
        <w:rPr>
          <w:rFonts w:eastAsia="Times New Roman" w:cs="Arial"/>
          <w:color w:val="000000"/>
          <w:u w:val="single"/>
          <w:lang w:eastAsia="bg-BG"/>
        </w:rPr>
      </w:pPr>
    </w:p>
    <w:p w14:paraId="2204FCCE" w14:textId="49AB8BB9"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Комбинация с АСЕ инхибитори</w:t>
      </w:r>
    </w:p>
    <w:p w14:paraId="34632774"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Може да съществува повишен риск от ангиоедем при пациенти, които приемат съвместно АСЕ инхибитори (вижте точка 4.8).</w:t>
      </w:r>
    </w:p>
    <w:p w14:paraId="5AED64F5"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Както и при другите антидиабетни лекарствени продукти, хипогликемичните ефекти на вилдаглиптин могат да бъдат намалени от определени активни вещества, включително тиазиди, кортикостероиди, тироидни продукти и симпатикомиметици.</w:t>
      </w:r>
    </w:p>
    <w:p w14:paraId="09BC3BEB" w14:textId="77777777" w:rsidR="00C10AF7" w:rsidRDefault="00C10AF7" w:rsidP="00C10AF7">
      <w:pPr>
        <w:spacing w:line="240" w:lineRule="auto"/>
        <w:rPr>
          <w:rFonts w:eastAsia="Times New Roman" w:cs="Arial"/>
          <w:color w:val="000000"/>
          <w:u w:val="single"/>
          <w:lang w:eastAsia="bg-BG"/>
        </w:rPr>
      </w:pPr>
    </w:p>
    <w:p w14:paraId="6046E058" w14:textId="2E8043F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Метформин</w:t>
      </w:r>
    </w:p>
    <w:p w14:paraId="1A198BE7"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Комбинации, които не се препоръчват</w:t>
      </w:r>
    </w:p>
    <w:p w14:paraId="6118E107"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Алкохол</w:t>
      </w:r>
    </w:p>
    <w:p w14:paraId="127DA7A8"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Алкохолната интоксикация се свързва с повишен риск от лактатна ацидоза, особено в случаи на гладуване, недохранване или чернодробна недостатъчност.</w:t>
      </w:r>
    </w:p>
    <w:p w14:paraId="374C26CB" w14:textId="7F790652" w:rsidR="00C10AF7" w:rsidRPr="00C10AF7" w:rsidRDefault="00C10AF7" w:rsidP="00C10AF7">
      <w:pPr>
        <w:spacing w:line="240" w:lineRule="auto"/>
        <w:rPr>
          <w:rFonts w:eastAsia="Times New Roman" w:cs="Arial"/>
        </w:rPr>
      </w:pPr>
    </w:p>
    <w:p w14:paraId="79E4C295"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Йодирани контрастни вешества</w:t>
      </w:r>
    </w:p>
    <w:p w14:paraId="78CE1105" w14:textId="77777777" w:rsidR="00C10AF7" w:rsidRPr="00C10AF7" w:rsidRDefault="00C10AF7" w:rsidP="00C10AF7">
      <w:pPr>
        <w:rPr>
          <w:rFonts w:eastAsia="Times New Roman" w:cs="Arial"/>
        </w:rPr>
      </w:pPr>
      <w:r w:rsidRPr="00C10AF7">
        <w:rPr>
          <w:rFonts w:eastAsia="Times New Roman" w:cs="Arial"/>
          <w:color w:val="000000"/>
          <w:lang w:eastAsia="bg-BG"/>
        </w:rPr>
        <w:t>Метформин трябва задължително да се спре преди или по време на процедурата за образна диагностика и не трябва да се възобновява до най-малко 48 часа след това, при условие че</w:t>
      </w:r>
      <w:r>
        <w:rPr>
          <w:rFonts w:eastAsia="Times New Roman" w:cs="Arial"/>
          <w:color w:val="000000"/>
          <w:lang w:eastAsia="bg-BG"/>
        </w:rPr>
        <w:t xml:space="preserve"> </w:t>
      </w:r>
      <w:r w:rsidRPr="00C10AF7">
        <w:rPr>
          <w:rFonts w:eastAsia="Times New Roman" w:cs="Arial"/>
          <w:color w:val="000000"/>
          <w:lang w:eastAsia="bg-BG"/>
        </w:rPr>
        <w:t>бъбречната функция е оценена отново и е установено, че е стабилна (вж. точки 4.2 и 4.4).</w:t>
      </w:r>
    </w:p>
    <w:p w14:paraId="24728BDE" w14:textId="77777777" w:rsidR="00C10AF7" w:rsidRDefault="00C10AF7" w:rsidP="00C10AF7">
      <w:pPr>
        <w:spacing w:line="240" w:lineRule="auto"/>
        <w:rPr>
          <w:rFonts w:eastAsia="Times New Roman" w:cs="Arial"/>
          <w:i/>
          <w:iCs/>
          <w:color w:val="000000"/>
          <w:lang w:eastAsia="bg-BG"/>
        </w:rPr>
      </w:pPr>
    </w:p>
    <w:p w14:paraId="146FF0C5" w14:textId="11772FD4"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Катийонни активни вещества</w:t>
      </w:r>
    </w:p>
    <w:p w14:paraId="25746419"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Катионните активни вещества, които се елиминират посредством бъбречна тубулна секреция (например циметидин) могат да взаимодействат с метформин чрез конкурираме за обща транспортна система в бъбречните тубули и следователно да забавят елиминирането на метформин, което може да повиши риска от лактатна ацидоза. Проучване при здрави доброволци показва, че циметидин, приложен в доза от 400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два пъти дневно, повишава системната експозиция на метформин </w:t>
      </w:r>
      <w:r w:rsidRPr="00C10AF7">
        <w:rPr>
          <w:rFonts w:eastAsia="Times New Roman" w:cs="Arial"/>
          <w:color w:val="000000"/>
          <w:lang w:val="ru-RU"/>
        </w:rPr>
        <w:t>(</w:t>
      </w:r>
      <w:r w:rsidRPr="00C10AF7">
        <w:rPr>
          <w:rFonts w:eastAsia="Times New Roman" w:cs="Arial"/>
          <w:color w:val="000000"/>
          <w:lang w:val="en-US"/>
        </w:rPr>
        <w:t>AUC</w:t>
      </w:r>
      <w:r w:rsidRPr="00C10AF7">
        <w:rPr>
          <w:rFonts w:eastAsia="Times New Roman" w:cs="Arial"/>
          <w:color w:val="000000"/>
          <w:lang w:val="ru-RU"/>
        </w:rPr>
        <w:t xml:space="preserve">) </w:t>
      </w:r>
      <w:r w:rsidRPr="00C10AF7">
        <w:rPr>
          <w:rFonts w:eastAsia="Times New Roman" w:cs="Arial"/>
          <w:color w:val="000000"/>
          <w:lang w:eastAsia="bg-BG"/>
        </w:rPr>
        <w:t>с 50%. Поради това, когато едновременно се прилагат катионни лекарствени продукти, които се елиминират чрез бъбречна тубулна секреция, трябва да се обмисли стриктно проследяване на гликемичния контрол, коригиране на дозата в рамките на препоръчваната доза и промяна в лечението на диабета (вижте точка 4.4).</w:t>
      </w:r>
    </w:p>
    <w:p w14:paraId="35222A42" w14:textId="77777777" w:rsidR="00C10AF7" w:rsidRDefault="00C10AF7" w:rsidP="00C10AF7">
      <w:pPr>
        <w:spacing w:line="240" w:lineRule="auto"/>
        <w:rPr>
          <w:rFonts w:eastAsia="Times New Roman" w:cs="Arial"/>
          <w:i/>
          <w:iCs/>
          <w:color w:val="000000"/>
          <w:lang w:eastAsia="bg-BG"/>
        </w:rPr>
      </w:pPr>
    </w:p>
    <w:p w14:paraId="7D30E533" w14:textId="596C91CC"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Комбинации, които изискват предпазни мерки при употреба</w:t>
      </w:r>
    </w:p>
    <w:p w14:paraId="57D5D8BA"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Някои лекарствени продукти могат да се отразят неблагоприятно на бъбречната функция, което може да увеличи риска от лактатна ацидоза, например НСПВС, включително селективни инхибитори на циклооксигеназа </w:t>
      </w:r>
      <w:r w:rsidRPr="00C10AF7">
        <w:rPr>
          <w:rFonts w:eastAsia="Times New Roman" w:cs="Arial"/>
          <w:color w:val="000000"/>
          <w:lang w:val="ru-RU"/>
        </w:rPr>
        <w:t>(</w:t>
      </w:r>
      <w:r w:rsidRPr="00C10AF7">
        <w:rPr>
          <w:rFonts w:eastAsia="Times New Roman" w:cs="Arial"/>
          <w:color w:val="000000"/>
          <w:lang w:val="en-US"/>
        </w:rPr>
        <w:t>COX</w:t>
      </w:r>
      <w:r w:rsidRPr="00C10AF7">
        <w:rPr>
          <w:rFonts w:eastAsia="Times New Roman" w:cs="Arial"/>
          <w:color w:val="000000"/>
          <w:lang w:val="ru-RU"/>
        </w:rPr>
        <w:t xml:space="preserve">) </w:t>
      </w:r>
      <w:r w:rsidRPr="00C10AF7">
        <w:rPr>
          <w:rFonts w:eastAsia="Times New Roman" w:cs="Arial"/>
          <w:color w:val="000000"/>
          <w:lang w:eastAsia="bg-BG"/>
        </w:rPr>
        <w:t>II, АСЕ инхибитори, ангиотензин П рецепторни антагонисти и диуретици, особено бримкови диуретици. При започването или употребата на такива продукти в комбинация с метформин е необходимо внимателно проследяване на бъбречната функция.</w:t>
      </w:r>
    </w:p>
    <w:p w14:paraId="1436C853" w14:textId="77777777" w:rsidR="00C10AF7" w:rsidRDefault="00C10AF7" w:rsidP="00C10AF7">
      <w:pPr>
        <w:spacing w:line="240" w:lineRule="auto"/>
        <w:rPr>
          <w:rFonts w:eastAsia="Times New Roman" w:cs="Arial"/>
          <w:color w:val="000000"/>
          <w:lang w:eastAsia="bg-BG"/>
        </w:rPr>
      </w:pPr>
    </w:p>
    <w:p w14:paraId="41E83382" w14:textId="717AEF2F" w:rsidR="00C10AF7" w:rsidRPr="00C10AF7" w:rsidRDefault="00C10AF7" w:rsidP="00C10AF7">
      <w:pPr>
        <w:spacing w:line="240" w:lineRule="auto"/>
        <w:rPr>
          <w:rFonts w:eastAsia="Times New Roman" w:cs="Arial"/>
        </w:rPr>
      </w:pPr>
      <w:r w:rsidRPr="00C10AF7">
        <w:rPr>
          <w:rFonts w:eastAsia="Times New Roman" w:cs="Arial"/>
          <w:color w:val="000000"/>
          <w:lang w:eastAsia="bg-BG"/>
        </w:rPr>
        <w:t>Глюкокортикоидите, бета-2 агонистите и диуретиците имат присъща хипергликемична активност. Пациентите трябва да бъдат информирани и кръвната захар да бъде проследявана по-често, особено в началото на лечението. Ако е необходимо, дозата ДАЛТЕКС може да бъде адаптирана при съвместно лечение или при преустановяване на това лечение.</w:t>
      </w:r>
    </w:p>
    <w:p w14:paraId="17DC176A" w14:textId="77777777" w:rsidR="00C10AF7" w:rsidRDefault="00C10AF7" w:rsidP="00C10AF7">
      <w:pPr>
        <w:spacing w:line="240" w:lineRule="auto"/>
        <w:rPr>
          <w:rFonts w:eastAsia="Times New Roman" w:cs="Arial"/>
          <w:color w:val="000000"/>
          <w:lang w:eastAsia="bg-BG"/>
        </w:rPr>
      </w:pPr>
    </w:p>
    <w:p w14:paraId="040CD733" w14:textId="7ABBF612" w:rsidR="00C10AF7" w:rsidRPr="00C10AF7" w:rsidRDefault="00C10AF7" w:rsidP="00C10AF7">
      <w:pPr>
        <w:spacing w:line="240" w:lineRule="auto"/>
        <w:rPr>
          <w:rFonts w:eastAsia="Times New Roman" w:cs="Arial"/>
        </w:rPr>
      </w:pPr>
      <w:r w:rsidRPr="00C10AF7">
        <w:rPr>
          <w:rFonts w:eastAsia="Times New Roman" w:cs="Arial"/>
          <w:color w:val="000000"/>
          <w:lang w:eastAsia="bg-BG"/>
        </w:rPr>
        <w:t>Инхибиторите на ангиотензин конвертиращия ензим (АСЕ) могат да понижат нивата на кръвна захар. Ако е необходимо дозата на антихипергликемичниге лекарствени продукти може да бъде адаптирана по време на лечението с друг лекарствен продукт или при неговото преустановяване.</w:t>
      </w:r>
    </w:p>
    <w:p w14:paraId="2F47DFC7" w14:textId="57894472" w:rsidR="00C10AF7" w:rsidRPr="00C10AF7" w:rsidRDefault="00C10AF7" w:rsidP="00C10AF7">
      <w:pPr>
        <w:rPr>
          <w:rFonts w:cs="Arial"/>
        </w:rPr>
      </w:pPr>
    </w:p>
    <w:p w14:paraId="394A7584" w14:textId="14AFE183" w:rsidR="004F498A" w:rsidRDefault="002C50EE" w:rsidP="004A448E">
      <w:pPr>
        <w:pStyle w:val="Heading2"/>
      </w:pPr>
      <w:r>
        <w:t>4.6. Фертилитет, бременност и кърмене</w:t>
      </w:r>
    </w:p>
    <w:p w14:paraId="3A6B0B66" w14:textId="37A1135C" w:rsidR="00C10AF7" w:rsidRDefault="00C10AF7" w:rsidP="00C10AF7"/>
    <w:p w14:paraId="42DFD4A7" w14:textId="77777777" w:rsidR="00C10AF7" w:rsidRPr="00C10AF7" w:rsidRDefault="00C10AF7" w:rsidP="00C10AF7">
      <w:pPr>
        <w:pStyle w:val="Heading3"/>
        <w:rPr>
          <w:rFonts w:eastAsia="Times New Roman"/>
          <w:u w:val="single"/>
        </w:rPr>
      </w:pPr>
      <w:r w:rsidRPr="00C10AF7">
        <w:rPr>
          <w:rFonts w:eastAsia="Times New Roman"/>
          <w:u w:val="single"/>
          <w:lang w:eastAsia="bg-BG"/>
        </w:rPr>
        <w:t>Бременност</w:t>
      </w:r>
    </w:p>
    <w:p w14:paraId="1FEDDDD7"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Няма адекватни данни за употребата на вилдаглиптин/метформин при бременни жени. Проучванията при животни на метформин не показват репродуктивна токсичност. Проучванията при животни, проведени с вилдаглиптин не показват тератогеннност, но показват фетотоксичност при токсични за майката дози (вижте точка 5.3). Потенциалният риск при хора не е известен. ДАЛТЕКС не трябва да се прилага по време на бременността.</w:t>
      </w:r>
    </w:p>
    <w:p w14:paraId="60AF18AB" w14:textId="77777777" w:rsidR="00C10AF7" w:rsidRPr="00C10AF7" w:rsidRDefault="00C10AF7" w:rsidP="00C10AF7">
      <w:pPr>
        <w:spacing w:line="240" w:lineRule="auto"/>
        <w:rPr>
          <w:rFonts w:eastAsia="Times New Roman" w:cs="Arial"/>
          <w:color w:val="000000"/>
          <w:u w:val="single"/>
          <w:lang w:eastAsia="bg-BG"/>
        </w:rPr>
      </w:pPr>
    </w:p>
    <w:p w14:paraId="03644C6A" w14:textId="4BE9BAC6" w:rsidR="00C10AF7" w:rsidRPr="00C10AF7" w:rsidRDefault="00C10AF7" w:rsidP="00C10AF7">
      <w:pPr>
        <w:pStyle w:val="Heading3"/>
        <w:rPr>
          <w:rFonts w:eastAsia="Times New Roman"/>
          <w:u w:val="single"/>
        </w:rPr>
      </w:pPr>
      <w:r w:rsidRPr="00C10AF7">
        <w:rPr>
          <w:rFonts w:eastAsia="Times New Roman"/>
          <w:u w:val="single"/>
          <w:lang w:eastAsia="bg-BG"/>
        </w:rPr>
        <w:lastRenderedPageBreak/>
        <w:t>Кърмене</w:t>
      </w:r>
    </w:p>
    <w:p w14:paraId="39D420AD"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Проучванията при животни показват екскреция в кърмата както на метформин, така и на вилдаглиптин. Не е известно дали видлаглиптин се екскретира в кърмата при хора, но метформин се екскретира в кърмата при хора в малки дози. Поради потенциалния риск от хипогликемия при новороденото, свързан с метформин, както и поради липса на данни при хора за вилдаглиптин, ДАЛТЕКС не трябва да се прилага при кърмене (вижте точка 4.3).</w:t>
      </w:r>
    </w:p>
    <w:p w14:paraId="3F7378AF" w14:textId="77777777" w:rsidR="00C10AF7" w:rsidRPr="00C10AF7" w:rsidRDefault="00C10AF7" w:rsidP="00C10AF7">
      <w:pPr>
        <w:spacing w:line="240" w:lineRule="auto"/>
        <w:rPr>
          <w:rFonts w:eastAsia="Times New Roman" w:cs="Arial"/>
          <w:color w:val="000000"/>
          <w:u w:val="single"/>
          <w:lang w:eastAsia="bg-BG"/>
        </w:rPr>
      </w:pPr>
    </w:p>
    <w:p w14:paraId="19F66018" w14:textId="32A001D8" w:rsidR="00C10AF7" w:rsidRPr="00C10AF7" w:rsidRDefault="00C10AF7" w:rsidP="00C10AF7">
      <w:pPr>
        <w:pStyle w:val="Heading3"/>
        <w:rPr>
          <w:rFonts w:eastAsia="Times New Roman"/>
          <w:u w:val="single"/>
          <w:lang w:eastAsia="bg-BG"/>
        </w:rPr>
      </w:pPr>
      <w:r w:rsidRPr="00C10AF7">
        <w:rPr>
          <w:rFonts w:eastAsia="Times New Roman"/>
          <w:u w:val="single"/>
          <w:lang w:eastAsia="bg-BG"/>
        </w:rPr>
        <w:t>Фертилитет</w:t>
      </w:r>
    </w:p>
    <w:p w14:paraId="1BD14AF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 са провеждани проучвания на ефектите върху фертилитета на вилдаглиптин/метформин (вижте точка 5.3).</w:t>
      </w:r>
    </w:p>
    <w:p w14:paraId="397078F4" w14:textId="77777777" w:rsidR="00C10AF7" w:rsidRPr="00C10AF7" w:rsidRDefault="00C10AF7" w:rsidP="00C10AF7"/>
    <w:p w14:paraId="064DF1DE" w14:textId="7F1D5CE1" w:rsidR="00CF77F7" w:rsidRDefault="002C50EE" w:rsidP="004A448E">
      <w:pPr>
        <w:pStyle w:val="Heading2"/>
      </w:pPr>
      <w:r>
        <w:t>4.7. Ефекти върху способността за шофиране и работа с машини</w:t>
      </w:r>
    </w:p>
    <w:p w14:paraId="248111F6" w14:textId="069AC557" w:rsidR="00C10AF7" w:rsidRDefault="00C10AF7" w:rsidP="00C10AF7"/>
    <w:p w14:paraId="48B467F0" w14:textId="77777777" w:rsidR="00C10AF7" w:rsidRPr="00C10AF7" w:rsidRDefault="00C10AF7" w:rsidP="00C10AF7">
      <w:pPr>
        <w:rPr>
          <w:sz w:val="24"/>
          <w:szCs w:val="24"/>
        </w:rPr>
      </w:pPr>
      <w:r w:rsidRPr="00C10AF7">
        <w:rPr>
          <w:lang w:eastAsia="bg-BG"/>
        </w:rPr>
        <w:t>Не са провеждани проучвания на ефектите върху способността за шофиране и работа с машини. Пациентите, които могат да почувстват замаяност като нежелана лекарствена</w:t>
      </w:r>
      <w:r>
        <w:rPr>
          <w:lang w:eastAsia="bg-BG"/>
        </w:rPr>
        <w:t xml:space="preserve"> </w:t>
      </w:r>
      <w:r w:rsidRPr="00C10AF7">
        <w:rPr>
          <w:lang w:eastAsia="bg-BG"/>
        </w:rPr>
        <w:t>реакция, трябва да избягват да шофират или да използват машини.</w:t>
      </w:r>
    </w:p>
    <w:p w14:paraId="7A914C34" w14:textId="4C04459E" w:rsidR="00C10AF7" w:rsidRPr="00C10AF7" w:rsidRDefault="00C10AF7" w:rsidP="00C10AF7"/>
    <w:p w14:paraId="37A3FD9F" w14:textId="5AEF99A9" w:rsidR="00CF77F7" w:rsidRDefault="002C50EE" w:rsidP="004A448E">
      <w:pPr>
        <w:pStyle w:val="Heading2"/>
      </w:pPr>
      <w:r>
        <w:t>4.8. Нежелани лекарствени реакции</w:t>
      </w:r>
    </w:p>
    <w:p w14:paraId="34E6CB60" w14:textId="1514F9B2" w:rsidR="00C10AF7" w:rsidRDefault="00C10AF7" w:rsidP="00C10AF7"/>
    <w:p w14:paraId="1FB2D427"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 са проведени терапевтични клинични изпитвания с вилдаглиптин/метформин. Въпреки това е демонстрирана биоеквивалентност при съвместно прилагани вилдаглиптин и метформин (вижте точка 5.2). Представените по-долу данни са свързани със съвместно приложение на вилдагиптин и метформин, при което вилдаглиптин е добавен към метформин. Не са проведени проучвания за метформин, добавен към вилдагиптин.</w:t>
      </w:r>
    </w:p>
    <w:p w14:paraId="46A0D4CE" w14:textId="77777777" w:rsidR="00C10AF7" w:rsidRDefault="00C10AF7" w:rsidP="00C10AF7">
      <w:pPr>
        <w:spacing w:line="240" w:lineRule="auto"/>
        <w:rPr>
          <w:rFonts w:eastAsia="Times New Roman" w:cs="Arial"/>
          <w:color w:val="000000"/>
          <w:u w:val="single"/>
          <w:lang w:eastAsia="bg-BG"/>
        </w:rPr>
      </w:pPr>
    </w:p>
    <w:p w14:paraId="2A819A23" w14:textId="55DAD16B"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Резюме на профила на безопасност</w:t>
      </w:r>
    </w:p>
    <w:p w14:paraId="4902EC82"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По-голямата част от нежеланите лекарствени реакции са леки и преходни, като не изискват преустановяване на лечението. Не е установена връзка между нежеланите лекарствени реакции и възрастта, етническата принадлежност, продължителността на експозиция или дневната доза.</w:t>
      </w:r>
    </w:p>
    <w:p w14:paraId="54EF2156" w14:textId="77777777" w:rsidR="00C10AF7" w:rsidRDefault="00C10AF7" w:rsidP="00C10AF7">
      <w:pPr>
        <w:spacing w:line="240" w:lineRule="auto"/>
        <w:rPr>
          <w:rFonts w:eastAsia="Times New Roman" w:cs="Arial"/>
          <w:color w:val="000000"/>
          <w:lang w:eastAsia="bg-BG"/>
        </w:rPr>
      </w:pPr>
    </w:p>
    <w:p w14:paraId="10380F1F" w14:textId="2310C1FF"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При приложение на вилдаглиптин са съобщавани редки случаи на чернодробна недостатъчност (включително хепатит). При тези случаи пациентите обичайно не са проявили симптоми и не е имало клинични последствия, а чернодробната функция се е възстановила до нормалното след преустановяване на лечението. В данните от контролираните изпитвания на монотерапия и добавъчна терапия с продължителност до 24 седмици честотата на повишение на </w:t>
      </w:r>
      <w:r w:rsidRPr="00C10AF7">
        <w:rPr>
          <w:rFonts w:eastAsia="Times New Roman" w:cs="Arial"/>
          <w:color w:val="000000"/>
          <w:lang w:val="en-US"/>
        </w:rPr>
        <w:t>ALT</w:t>
      </w:r>
      <w:r w:rsidRPr="00C10AF7">
        <w:rPr>
          <w:rFonts w:eastAsia="Times New Roman" w:cs="Arial"/>
          <w:color w:val="000000"/>
          <w:lang w:val="ru-RU"/>
        </w:rPr>
        <w:t xml:space="preserve"> </w:t>
      </w:r>
      <w:r w:rsidRPr="00C10AF7">
        <w:rPr>
          <w:rFonts w:eastAsia="Times New Roman" w:cs="Arial"/>
          <w:color w:val="000000"/>
          <w:lang w:eastAsia="bg-BG"/>
        </w:rPr>
        <w:t xml:space="preserve">или </w:t>
      </w:r>
      <w:r w:rsidRPr="00C10AF7">
        <w:rPr>
          <w:rFonts w:eastAsia="Times New Roman" w:cs="Arial"/>
          <w:color w:val="000000"/>
          <w:lang w:val="en-US"/>
        </w:rPr>
        <w:t>AST</w:t>
      </w:r>
      <w:r w:rsidRPr="00C10AF7">
        <w:rPr>
          <w:rFonts w:eastAsia="Times New Roman" w:cs="Arial"/>
          <w:color w:val="000000"/>
          <w:lang w:val="ru-RU"/>
        </w:rPr>
        <w:t xml:space="preserve"> </w:t>
      </w:r>
      <w:r w:rsidRPr="00C10AF7">
        <w:rPr>
          <w:rFonts w:eastAsia="Times New Roman" w:cs="Arial"/>
          <w:color w:val="000000"/>
          <w:lang w:eastAsia="bg-BG"/>
        </w:rPr>
        <w:t xml:space="preserve">≥ Зх </w:t>
      </w:r>
      <w:r w:rsidRPr="00C10AF7">
        <w:rPr>
          <w:rFonts w:eastAsia="Times New Roman" w:cs="Arial"/>
          <w:color w:val="000000"/>
          <w:lang w:val="en-US"/>
        </w:rPr>
        <w:t>ULN</w:t>
      </w:r>
      <w:r w:rsidRPr="00C10AF7">
        <w:rPr>
          <w:rFonts w:eastAsia="Times New Roman" w:cs="Arial"/>
          <w:color w:val="000000"/>
          <w:lang w:val="ru-RU"/>
        </w:rPr>
        <w:t xml:space="preserve"> </w:t>
      </w:r>
      <w:r w:rsidRPr="00C10AF7">
        <w:rPr>
          <w:rFonts w:eastAsia="Times New Roman" w:cs="Arial"/>
          <w:color w:val="000000"/>
          <w:lang w:eastAsia="bg-BG"/>
        </w:rPr>
        <w:t xml:space="preserve">(класифицирано като налично при поне 2 последователни измервания или при последното посещение по време на лечението) е била съответно 0.2%, 0.3% и 0.2% за вилдаглиптин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веднъж дневно, вилдаглиптин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два пъти дневно и всички компаратори. Тези повишения на трансаминазите обичайно са били асимптоматични, непрогресиращи по природа и не са били свързани с холестаза или жълтеница.</w:t>
      </w:r>
    </w:p>
    <w:p w14:paraId="21A95161" w14:textId="77777777" w:rsidR="00C10AF7" w:rsidRDefault="00C10AF7" w:rsidP="00C10AF7">
      <w:pPr>
        <w:spacing w:line="240" w:lineRule="auto"/>
        <w:rPr>
          <w:rFonts w:eastAsia="Times New Roman" w:cs="Arial"/>
          <w:color w:val="000000"/>
          <w:lang w:eastAsia="bg-BG"/>
        </w:rPr>
      </w:pPr>
    </w:p>
    <w:p w14:paraId="51A8CE36" w14:textId="74DEC7F1" w:rsidR="00C10AF7" w:rsidRPr="00C10AF7" w:rsidRDefault="00C10AF7" w:rsidP="00C10AF7">
      <w:pPr>
        <w:spacing w:line="240" w:lineRule="auto"/>
        <w:rPr>
          <w:rFonts w:eastAsia="Times New Roman" w:cs="Arial"/>
        </w:rPr>
      </w:pPr>
      <w:r w:rsidRPr="00C10AF7">
        <w:rPr>
          <w:rFonts w:eastAsia="Times New Roman" w:cs="Arial"/>
          <w:color w:val="000000"/>
          <w:lang w:eastAsia="bg-BG"/>
        </w:rPr>
        <w:t>При лечение с вилдаглиптин са съобщавани редки случаи на ангиоедем с честота сходна с тази на контролите. По-голям брой случаи са съобщавани, когато вилдаглиптин е прилаган в комбинация с АСЕ инхибитор. Повечето събития са били леки по тежест и са отзвучали в рамките на лечението с вилдаглиптин.</w:t>
      </w:r>
    </w:p>
    <w:p w14:paraId="5D5F1B64" w14:textId="77777777" w:rsidR="00C10AF7" w:rsidRDefault="00C10AF7" w:rsidP="00C10AF7">
      <w:pPr>
        <w:spacing w:line="240" w:lineRule="auto"/>
        <w:rPr>
          <w:rFonts w:eastAsia="Times New Roman" w:cs="Arial"/>
          <w:color w:val="000000"/>
          <w:u w:val="single"/>
          <w:lang w:eastAsia="bg-BG"/>
        </w:rPr>
      </w:pPr>
    </w:p>
    <w:p w14:paraId="53FBBF10" w14:textId="77A3AE35"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lastRenderedPageBreak/>
        <w:t>Табличен списък на нежеланите лекарствени реакции</w:t>
      </w:r>
    </w:p>
    <w:p w14:paraId="7BDDB3A8"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Нежеланите лекарствени реакции, съобщавани при пациенти, получаващи вилдаглиптин като монотерапия или като добавъчна терапия са изброени по-долу по система-орган-клас и абсолютна честота. Нежеланите реакции, посочени в Таблица 5 се основават на информацията, налична за метформин в кратките характеристики на продукта в ЕС. Честотата е дефинирана като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 Във всяка от групите по честота нежеланите лекарствени реакции са представени в низходящ ред по отношение на тяхната сериозност.</w:t>
      </w:r>
    </w:p>
    <w:p w14:paraId="44B41015" w14:textId="77777777" w:rsidR="00C10AF7" w:rsidRDefault="00C10AF7" w:rsidP="00C10AF7">
      <w:pPr>
        <w:rPr>
          <w:rFonts w:eastAsia="Times New Roman" w:cs="Arial"/>
          <w:b/>
          <w:bCs/>
          <w:color w:val="000000"/>
          <w:lang w:eastAsia="bg-BG"/>
        </w:rPr>
      </w:pPr>
    </w:p>
    <w:p w14:paraId="60BBD0A4" w14:textId="4AD9CC05" w:rsidR="00C10AF7" w:rsidRDefault="00C10AF7" w:rsidP="00C10AF7">
      <w:pPr>
        <w:rPr>
          <w:rFonts w:eastAsia="Times New Roman" w:cs="Arial"/>
          <w:b/>
          <w:bCs/>
          <w:color w:val="000000"/>
          <w:lang w:val="ru-RU"/>
        </w:rPr>
      </w:pPr>
      <w:r w:rsidRPr="00C10AF7">
        <w:rPr>
          <w:rFonts w:eastAsia="Times New Roman" w:cs="Arial"/>
          <w:b/>
          <w:bCs/>
          <w:color w:val="000000"/>
          <w:lang w:eastAsia="bg-BG"/>
        </w:rPr>
        <w:t xml:space="preserve">Таблица 1 Нежелани лекарствени реакции, съобщавани при пациенти, конто приемат вилдаглиптин 100 </w:t>
      </w:r>
      <w:r w:rsidRPr="00C10AF7">
        <w:rPr>
          <w:rFonts w:eastAsia="Times New Roman" w:cs="Arial"/>
          <w:b/>
          <w:bCs/>
          <w:color w:val="000000"/>
          <w:lang w:val="en-US"/>
        </w:rPr>
        <w:t>mg</w:t>
      </w:r>
      <w:r w:rsidRPr="00C10AF7">
        <w:rPr>
          <w:rFonts w:eastAsia="Times New Roman" w:cs="Arial"/>
          <w:b/>
          <w:bCs/>
          <w:color w:val="000000"/>
          <w:lang w:val="ru-RU"/>
        </w:rPr>
        <w:t xml:space="preserve"> </w:t>
      </w:r>
      <w:r w:rsidRPr="00C10AF7">
        <w:rPr>
          <w:rFonts w:eastAsia="Times New Roman" w:cs="Arial"/>
          <w:b/>
          <w:bCs/>
          <w:color w:val="000000"/>
          <w:lang w:eastAsia="bg-BG"/>
        </w:rPr>
        <w:t xml:space="preserve">дневно като добавъчна терапия към метформин в сравнение с плацебо плюс метформин при двойнослепи проучвания </w:t>
      </w:r>
      <w:r w:rsidRPr="00C10AF7">
        <w:rPr>
          <w:rFonts w:eastAsia="Times New Roman" w:cs="Arial"/>
          <w:b/>
          <w:bCs/>
          <w:color w:val="000000"/>
          <w:lang w:val="ru-RU"/>
        </w:rPr>
        <w:t>(</w:t>
      </w:r>
      <w:r w:rsidRPr="00C10AF7">
        <w:rPr>
          <w:rFonts w:eastAsia="Times New Roman" w:cs="Arial"/>
          <w:b/>
          <w:bCs/>
          <w:color w:val="000000"/>
          <w:lang w:val="en-US"/>
        </w:rPr>
        <w:t>N</w:t>
      </w:r>
      <w:r w:rsidRPr="00C10AF7">
        <w:rPr>
          <w:rFonts w:eastAsia="Times New Roman" w:cs="Arial"/>
          <w:b/>
          <w:bCs/>
          <w:color w:val="000000"/>
          <w:lang w:val="ru-RU"/>
        </w:rPr>
        <w:t>=208)</w:t>
      </w:r>
    </w:p>
    <w:p w14:paraId="2074C638" w14:textId="3AE5031F" w:rsidR="00C10AF7" w:rsidRDefault="00C10AF7" w:rsidP="00C10AF7">
      <w:pPr>
        <w:rPr>
          <w:rFonts w:eastAsia="Times New Roman" w:cs="Arial"/>
          <w:b/>
          <w:bCs/>
          <w:color w:val="000000"/>
          <w:lang w:val="ru-RU"/>
        </w:rPr>
      </w:pPr>
    </w:p>
    <w:tbl>
      <w:tblPr>
        <w:tblStyle w:val="TableGrid"/>
        <w:tblW w:w="0" w:type="auto"/>
        <w:tblLook w:val="04A0" w:firstRow="1" w:lastRow="0" w:firstColumn="1" w:lastColumn="0" w:noHBand="0" w:noVBand="1"/>
      </w:tblPr>
      <w:tblGrid>
        <w:gridCol w:w="9350"/>
      </w:tblGrid>
      <w:tr w:rsidR="00C10AF7" w14:paraId="6056B6E0" w14:textId="77777777" w:rsidTr="00C10AF7">
        <w:tc>
          <w:tcPr>
            <w:tcW w:w="9576" w:type="dxa"/>
          </w:tcPr>
          <w:p w14:paraId="56564027" w14:textId="77777777" w:rsidR="00C10AF7" w:rsidRPr="00C10AF7" w:rsidRDefault="00C10AF7" w:rsidP="00C10AF7">
            <w:pPr>
              <w:spacing w:line="240" w:lineRule="auto"/>
              <w:rPr>
                <w:rFonts w:eastAsia="Times New Roman" w:cs="Arial"/>
              </w:rPr>
            </w:pPr>
            <w:bookmarkStart w:id="1" w:name="bookmark0"/>
            <w:r w:rsidRPr="00C10AF7">
              <w:rPr>
                <w:rFonts w:eastAsia="Times New Roman" w:cs="Arial"/>
                <w:b/>
                <w:bCs/>
                <w:color w:val="000000"/>
                <w:lang w:eastAsia="bg-BG"/>
              </w:rPr>
              <w:t>Нарушения на метаболизма и храненето</w:t>
            </w:r>
            <w:bookmarkEnd w:id="1"/>
          </w:p>
          <w:p w14:paraId="45E801E4" w14:textId="1324E457"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Хипогликемия</w:t>
            </w:r>
          </w:p>
          <w:p w14:paraId="66948EFB" w14:textId="77777777" w:rsidR="00C10AF7" w:rsidRDefault="00C10AF7" w:rsidP="00C10AF7">
            <w:pPr>
              <w:spacing w:line="240" w:lineRule="auto"/>
              <w:rPr>
                <w:rFonts w:eastAsia="Times New Roman" w:cs="Arial"/>
                <w:b/>
                <w:bCs/>
                <w:color w:val="000000"/>
                <w:lang w:eastAsia="bg-BG"/>
              </w:rPr>
            </w:pPr>
          </w:p>
          <w:p w14:paraId="709D6CFB" w14:textId="3498D79E"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нервната система</w:t>
            </w:r>
          </w:p>
          <w:p w14:paraId="626ABB43" w14:textId="0958A16C"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Тремор</w:t>
            </w:r>
          </w:p>
          <w:p w14:paraId="339EF0B4" w14:textId="2835539C"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Главоболие</w:t>
            </w:r>
          </w:p>
          <w:p w14:paraId="7384EA6D" w14:textId="20D55FAD"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Замаяност</w:t>
            </w:r>
          </w:p>
          <w:p w14:paraId="4D224AE9" w14:textId="34C4436E"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Нечести</w:t>
            </w:r>
            <w:r>
              <w:rPr>
                <w:rFonts w:eastAsia="Times New Roman" w:cs="Arial"/>
                <w:color w:val="000000"/>
                <w:lang w:eastAsia="bg-BG"/>
              </w:rPr>
              <w:t>:</w:t>
            </w:r>
            <w:r w:rsidRPr="00C10AF7">
              <w:rPr>
                <w:rFonts w:eastAsia="Times New Roman" w:cs="Arial"/>
                <w:color w:val="000000"/>
                <w:lang w:eastAsia="bg-BG"/>
              </w:rPr>
              <w:t xml:space="preserve"> Умора</w:t>
            </w:r>
          </w:p>
          <w:p w14:paraId="09B6604B" w14:textId="77777777" w:rsidR="00C10AF7" w:rsidRDefault="00C10AF7" w:rsidP="00C10AF7">
            <w:pPr>
              <w:spacing w:line="240" w:lineRule="auto"/>
              <w:rPr>
                <w:rFonts w:eastAsia="Times New Roman" w:cs="Arial"/>
                <w:b/>
                <w:bCs/>
                <w:color w:val="000000"/>
                <w:lang w:eastAsia="bg-BG"/>
              </w:rPr>
            </w:pPr>
          </w:p>
          <w:p w14:paraId="37A0BB77" w14:textId="51501EB1"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Стомашно-чревни нарушения</w:t>
            </w:r>
          </w:p>
          <w:p w14:paraId="72DE9713" w14:textId="60400311"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Гадене</w:t>
            </w:r>
          </w:p>
        </w:tc>
      </w:tr>
    </w:tbl>
    <w:p w14:paraId="7EB59F9D" w14:textId="135986B1" w:rsidR="00C10AF7" w:rsidRDefault="00C10AF7" w:rsidP="00C10AF7">
      <w:pPr>
        <w:rPr>
          <w:rFonts w:cs="Arial"/>
          <w:lang w:val="ru-RU"/>
        </w:rPr>
      </w:pPr>
    </w:p>
    <w:p w14:paraId="11608767" w14:textId="77777777" w:rsidR="00C10AF7" w:rsidRPr="00C10AF7" w:rsidRDefault="00C10AF7" w:rsidP="00C10AF7">
      <w:pPr>
        <w:spacing w:line="240" w:lineRule="auto"/>
        <w:rPr>
          <w:rFonts w:eastAsia="Times New Roman" w:cs="Arial"/>
        </w:rPr>
      </w:pPr>
      <w:r w:rsidRPr="00C10AF7">
        <w:rPr>
          <w:rFonts w:eastAsia="Times New Roman" w:cs="Arial"/>
          <w:i/>
          <w:iCs/>
          <w:color w:val="000000"/>
          <w:u w:val="single"/>
          <w:lang w:eastAsia="bg-BG"/>
        </w:rPr>
        <w:t>Описание на избрани нежелани реакции</w:t>
      </w:r>
    </w:p>
    <w:p w14:paraId="3F37280D"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При контролираните клинични изпитвания на комбинацията вилдаглиптин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дневно плюс метформин не е съобщавано за преустановяване на лечението поради нежелани реакции нито в групата на вилдаглиптин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дневно плюс метформин, нито в групата на плацебо плюс метформин.</w:t>
      </w:r>
    </w:p>
    <w:p w14:paraId="44DAE639" w14:textId="77777777" w:rsidR="00C10AF7" w:rsidRDefault="00C10AF7" w:rsidP="00C10AF7">
      <w:pPr>
        <w:spacing w:line="240" w:lineRule="auto"/>
        <w:rPr>
          <w:rFonts w:eastAsia="Times New Roman" w:cs="Arial"/>
          <w:color w:val="000000"/>
          <w:lang w:eastAsia="bg-BG"/>
        </w:rPr>
      </w:pPr>
    </w:p>
    <w:p w14:paraId="420845F3" w14:textId="0F15729F" w:rsidR="00C10AF7" w:rsidRPr="00C10AF7" w:rsidRDefault="00C10AF7" w:rsidP="00C10AF7">
      <w:pPr>
        <w:spacing w:line="240" w:lineRule="auto"/>
        <w:rPr>
          <w:rFonts w:eastAsia="Times New Roman" w:cs="Arial"/>
          <w:color w:val="000000"/>
          <w:lang w:eastAsia="bg-BG"/>
        </w:rPr>
      </w:pPr>
      <w:r w:rsidRPr="00C10AF7">
        <w:rPr>
          <w:rFonts w:eastAsia="Times New Roman" w:cs="Arial"/>
          <w:color w:val="000000"/>
          <w:lang w:eastAsia="bg-BG"/>
        </w:rPr>
        <w:t>При клиничните изпитвания честотата на хипогликемия е била честа при пациенти, приемали вилдаглиптин в комбинация с метформин (1%) и нечеста при пациенти, приемали плацебо + метформин (0,4%). Не са съобщавани тежки хипогликемични събития в групите на вилдаглиптин.</w:t>
      </w:r>
    </w:p>
    <w:p w14:paraId="64EA30D7" w14:textId="77777777" w:rsidR="00C10AF7" w:rsidRDefault="00C10AF7" w:rsidP="00C10AF7">
      <w:pPr>
        <w:spacing w:line="240" w:lineRule="auto"/>
        <w:rPr>
          <w:rFonts w:eastAsia="Times New Roman" w:cs="Arial"/>
          <w:color w:val="000000"/>
          <w:lang w:eastAsia="bg-BG"/>
        </w:rPr>
      </w:pPr>
    </w:p>
    <w:p w14:paraId="52706334" w14:textId="1CBEF5D8"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При клиничните изпитвания теглото не се е променило от изходните стойности, когато вилдаглиптин е добавен към метформин (+0.2 </w:t>
      </w:r>
      <w:r w:rsidRPr="00C10AF7">
        <w:rPr>
          <w:rFonts w:eastAsia="Times New Roman" w:cs="Arial"/>
          <w:i/>
          <w:iCs/>
          <w:color w:val="000000"/>
          <w:lang w:val="en-US"/>
        </w:rPr>
        <w:t>kg</w:t>
      </w:r>
      <w:r w:rsidRPr="00C10AF7">
        <w:rPr>
          <w:rFonts w:eastAsia="Times New Roman" w:cs="Arial"/>
          <w:i/>
          <w:iCs/>
          <w:color w:val="000000"/>
          <w:lang w:val="ru-RU"/>
        </w:rPr>
        <w:t xml:space="preserve"> </w:t>
      </w:r>
      <w:r w:rsidRPr="00C10AF7">
        <w:rPr>
          <w:rFonts w:eastAsia="Times New Roman" w:cs="Arial"/>
          <w:i/>
          <w:iCs/>
          <w:color w:val="000000"/>
          <w:lang w:eastAsia="bg-BG"/>
        </w:rPr>
        <w:t>и</w:t>
      </w:r>
      <w:r w:rsidRPr="00C10AF7">
        <w:rPr>
          <w:rFonts w:eastAsia="Times New Roman" w:cs="Arial"/>
          <w:color w:val="000000"/>
          <w:lang w:eastAsia="bg-BG"/>
        </w:rPr>
        <w:t xml:space="preserve"> -1.0 </w:t>
      </w:r>
      <w:r w:rsidRPr="00C10AF7">
        <w:rPr>
          <w:rFonts w:eastAsia="Times New Roman" w:cs="Arial"/>
          <w:color w:val="000000"/>
          <w:lang w:val="en-US"/>
        </w:rPr>
        <w:t>kg</w:t>
      </w:r>
      <w:r w:rsidRPr="00C10AF7">
        <w:rPr>
          <w:rFonts w:eastAsia="Times New Roman" w:cs="Arial"/>
          <w:color w:val="000000"/>
          <w:lang w:val="ru-RU"/>
        </w:rPr>
        <w:t xml:space="preserve"> </w:t>
      </w:r>
      <w:r w:rsidRPr="00C10AF7">
        <w:rPr>
          <w:rFonts w:eastAsia="Times New Roman" w:cs="Arial"/>
          <w:color w:val="000000"/>
          <w:lang w:eastAsia="bg-BG"/>
        </w:rPr>
        <w:t>съответно за вилдаглиптин и плацебо).</w:t>
      </w:r>
    </w:p>
    <w:p w14:paraId="1DE72142" w14:textId="77777777" w:rsidR="00C10AF7" w:rsidRDefault="00C10AF7" w:rsidP="00C10AF7">
      <w:pPr>
        <w:spacing w:line="240" w:lineRule="auto"/>
        <w:rPr>
          <w:rFonts w:eastAsia="Times New Roman" w:cs="Arial"/>
          <w:color w:val="000000"/>
          <w:lang w:eastAsia="bg-BG"/>
        </w:rPr>
      </w:pPr>
    </w:p>
    <w:p w14:paraId="3C9A9942" w14:textId="07608BFD" w:rsidR="00C10AF7" w:rsidRPr="00C10AF7" w:rsidRDefault="00C10AF7" w:rsidP="00C10AF7">
      <w:pPr>
        <w:spacing w:line="240" w:lineRule="auto"/>
        <w:rPr>
          <w:rFonts w:eastAsia="Times New Roman" w:cs="Arial"/>
        </w:rPr>
      </w:pPr>
      <w:r w:rsidRPr="00C10AF7">
        <w:rPr>
          <w:rFonts w:eastAsia="Times New Roman" w:cs="Arial"/>
          <w:color w:val="000000"/>
          <w:lang w:eastAsia="bg-BG"/>
        </w:rPr>
        <w:t>Клиничните изпитвания с продължителност над 2 години не са показали някакви допълнителни сигнали, свързани с безопасността, или непредвидени рискове, когато вилдаглиптин е добавен към метформин.</w:t>
      </w:r>
    </w:p>
    <w:p w14:paraId="0CFCD080" w14:textId="77777777" w:rsidR="00C10AF7" w:rsidRDefault="00C10AF7" w:rsidP="00C10AF7">
      <w:pPr>
        <w:spacing w:line="240" w:lineRule="auto"/>
        <w:rPr>
          <w:rFonts w:eastAsia="Times New Roman" w:cs="Arial"/>
          <w:i/>
          <w:iCs/>
          <w:color w:val="000000"/>
          <w:lang w:eastAsia="bg-BG"/>
        </w:rPr>
      </w:pPr>
    </w:p>
    <w:p w14:paraId="11F64AE0" w14:textId="46F3AB3B"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Комбинации със сулфонилурейно производно</w:t>
      </w:r>
    </w:p>
    <w:p w14:paraId="3B24FF82" w14:textId="77777777" w:rsidR="00C10AF7" w:rsidRDefault="00C10AF7" w:rsidP="00C10AF7">
      <w:pPr>
        <w:spacing w:line="240" w:lineRule="auto"/>
        <w:rPr>
          <w:rFonts w:eastAsia="Times New Roman" w:cs="Arial"/>
          <w:b/>
          <w:bCs/>
          <w:color w:val="000000"/>
          <w:lang w:eastAsia="bg-BG"/>
        </w:rPr>
      </w:pPr>
    </w:p>
    <w:p w14:paraId="30A33B4F" w14:textId="59D77EB6"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lastRenderedPageBreak/>
        <w:t xml:space="preserve">Таблица 2 Нежелани лекарствени реакции, съобщавани при пациенти, които са приемали вилдаглиптин 50 </w:t>
      </w:r>
      <w:r w:rsidRPr="00C10AF7">
        <w:rPr>
          <w:rFonts w:eastAsia="Times New Roman" w:cs="Arial"/>
          <w:b/>
          <w:bCs/>
          <w:color w:val="000000"/>
          <w:lang w:val="en-US"/>
        </w:rPr>
        <w:t>mg</w:t>
      </w:r>
      <w:r w:rsidRPr="00C10AF7">
        <w:rPr>
          <w:rFonts w:eastAsia="Times New Roman" w:cs="Arial"/>
          <w:b/>
          <w:bCs/>
          <w:color w:val="000000"/>
          <w:lang w:val="ru-RU"/>
        </w:rPr>
        <w:t xml:space="preserve"> </w:t>
      </w:r>
      <w:r w:rsidRPr="00C10AF7">
        <w:rPr>
          <w:rFonts w:eastAsia="Times New Roman" w:cs="Arial"/>
          <w:b/>
          <w:bCs/>
          <w:color w:val="000000"/>
          <w:lang w:eastAsia="bg-BG"/>
        </w:rPr>
        <w:t xml:space="preserve">два пъти дневно в комбинация с метформин и сулфонилурейно производно </w:t>
      </w:r>
      <w:r w:rsidRPr="00C10AF7">
        <w:rPr>
          <w:rFonts w:eastAsia="Times New Roman" w:cs="Arial"/>
          <w:b/>
          <w:bCs/>
          <w:color w:val="000000"/>
          <w:lang w:val="ru-RU"/>
        </w:rPr>
        <w:t>(</w:t>
      </w:r>
      <w:r w:rsidRPr="00C10AF7">
        <w:rPr>
          <w:rFonts w:eastAsia="Times New Roman" w:cs="Arial"/>
          <w:b/>
          <w:bCs/>
          <w:color w:val="000000"/>
          <w:lang w:val="en-US"/>
        </w:rPr>
        <w:t>N</w:t>
      </w:r>
      <w:r w:rsidRPr="00C10AF7">
        <w:rPr>
          <w:rFonts w:eastAsia="Times New Roman" w:cs="Arial"/>
          <w:b/>
          <w:bCs/>
          <w:color w:val="000000"/>
          <w:lang w:val="ru-RU"/>
        </w:rPr>
        <w:t>=157)</w:t>
      </w:r>
    </w:p>
    <w:tbl>
      <w:tblPr>
        <w:tblStyle w:val="TableGrid"/>
        <w:tblW w:w="0" w:type="auto"/>
        <w:tblLook w:val="04A0" w:firstRow="1" w:lastRow="0" w:firstColumn="1" w:lastColumn="0" w:noHBand="0" w:noVBand="1"/>
      </w:tblPr>
      <w:tblGrid>
        <w:gridCol w:w="9350"/>
      </w:tblGrid>
      <w:tr w:rsidR="00C10AF7" w14:paraId="4A4EFC48" w14:textId="77777777" w:rsidTr="00C10AF7">
        <w:tc>
          <w:tcPr>
            <w:tcW w:w="9576" w:type="dxa"/>
          </w:tcPr>
          <w:p w14:paraId="68513C7D" w14:textId="77777777"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иа метаболизма и храненето</w:t>
            </w:r>
          </w:p>
          <w:p w14:paraId="0F8A65AC" w14:textId="23BEB4B6"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Хипогликемия</w:t>
            </w:r>
          </w:p>
          <w:p w14:paraId="4A048882" w14:textId="77777777" w:rsidR="00C10AF7" w:rsidRDefault="00C10AF7" w:rsidP="00C10AF7">
            <w:pPr>
              <w:spacing w:line="240" w:lineRule="auto"/>
              <w:rPr>
                <w:rFonts w:eastAsia="Times New Roman" w:cs="Arial"/>
                <w:b/>
                <w:bCs/>
                <w:color w:val="000000"/>
                <w:lang w:eastAsia="bg-BG"/>
              </w:rPr>
            </w:pPr>
          </w:p>
          <w:p w14:paraId="4B6B3E4B" w14:textId="0FE7C886"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нервната система</w:t>
            </w:r>
          </w:p>
          <w:p w14:paraId="6C418FAC" w14:textId="66277053"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Замаяност, тремор</w:t>
            </w:r>
          </w:p>
          <w:p w14:paraId="239B17AB" w14:textId="77777777" w:rsidR="00C10AF7" w:rsidRDefault="00C10AF7" w:rsidP="00C10AF7">
            <w:pPr>
              <w:spacing w:line="240" w:lineRule="auto"/>
              <w:rPr>
                <w:rFonts w:eastAsia="Times New Roman" w:cs="Arial"/>
                <w:b/>
                <w:bCs/>
                <w:color w:val="000000"/>
                <w:lang w:eastAsia="bg-BG"/>
              </w:rPr>
            </w:pPr>
          </w:p>
          <w:p w14:paraId="2A319DD1" w14:textId="3A7E8AAE"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кожата и подкожната тъкан</w:t>
            </w:r>
          </w:p>
          <w:p w14:paraId="4C8016CB" w14:textId="120D1891"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Хиперхидроза</w:t>
            </w:r>
          </w:p>
          <w:p w14:paraId="2421A9DF" w14:textId="77777777" w:rsidR="00C10AF7" w:rsidRDefault="00C10AF7" w:rsidP="00C10AF7">
            <w:pPr>
              <w:spacing w:line="240" w:lineRule="auto"/>
              <w:rPr>
                <w:rFonts w:eastAsia="Times New Roman" w:cs="Arial"/>
                <w:b/>
                <w:bCs/>
                <w:color w:val="000000"/>
                <w:lang w:eastAsia="bg-BG"/>
              </w:rPr>
            </w:pPr>
          </w:p>
          <w:p w14:paraId="68F7489A" w14:textId="6C3E1111"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Общи нарушения и ефекти на мястото на приложение</w:t>
            </w:r>
          </w:p>
          <w:p w14:paraId="143181D8" w14:textId="1B74222F" w:rsidR="00C10AF7" w:rsidRPr="00C10AF7" w:rsidRDefault="00C10AF7" w:rsidP="00C10AF7">
            <w:pPr>
              <w:spacing w:line="240" w:lineRule="auto"/>
              <w:rPr>
                <w:rFonts w:ascii="Times New Roman" w:eastAsia="Times New Roman" w:hAnsi="Times New Roman" w:cs="Times New Roman"/>
                <w:sz w:val="24"/>
                <w:szCs w:val="24"/>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Астения</w:t>
            </w:r>
          </w:p>
        </w:tc>
      </w:tr>
    </w:tbl>
    <w:p w14:paraId="6C90FD94" w14:textId="2AF5B62C" w:rsidR="00C10AF7" w:rsidRDefault="00C10AF7" w:rsidP="00C10AF7">
      <w:pPr>
        <w:rPr>
          <w:rFonts w:cs="Arial"/>
        </w:rPr>
      </w:pPr>
    </w:p>
    <w:p w14:paraId="460BB2AE" w14:textId="77777777" w:rsidR="00C10AF7" w:rsidRPr="00C10AF7" w:rsidRDefault="00C10AF7" w:rsidP="00C10AF7">
      <w:pPr>
        <w:spacing w:line="240" w:lineRule="auto"/>
        <w:rPr>
          <w:rFonts w:eastAsia="Times New Roman" w:cs="Arial"/>
        </w:rPr>
      </w:pPr>
      <w:r w:rsidRPr="00C10AF7">
        <w:rPr>
          <w:rFonts w:eastAsia="Times New Roman" w:cs="Arial"/>
          <w:i/>
          <w:iCs/>
          <w:color w:val="000000"/>
          <w:u w:val="single"/>
          <w:lang w:eastAsia="bg-BG"/>
        </w:rPr>
        <w:t>Описание на избрани нежелани реакции</w:t>
      </w:r>
    </w:p>
    <w:p w14:paraId="49D286F1"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 е съобщавано за преустановяване на лечението поради нежелани лекарствени реакции за терапевтична група вилдаглиптин + метформин + глимепирид в сравнение с 0,6% за терапевтична група плацебо + метформин + глимепирид.</w:t>
      </w:r>
    </w:p>
    <w:p w14:paraId="2AEDDB3B" w14:textId="77777777" w:rsidR="00C10AF7" w:rsidRDefault="00C10AF7" w:rsidP="00C10AF7">
      <w:pPr>
        <w:spacing w:line="240" w:lineRule="auto"/>
        <w:rPr>
          <w:rFonts w:eastAsia="Times New Roman" w:cs="Arial"/>
          <w:color w:val="000000"/>
          <w:lang w:eastAsia="bg-BG"/>
        </w:rPr>
      </w:pPr>
    </w:p>
    <w:p w14:paraId="2C8F9B33" w14:textId="4B377E1C"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Честотата на хипогликемия е честа и в двете терапевтични групи (5,1% за групата вилдаглиптин + метформин + глимепирид в сравнение с 1,9% за групата плацебо + метформин + глимепирид). Едно тежко хипогликемично събитие е съобщавано за вилдаглиптин групата.</w:t>
      </w:r>
    </w:p>
    <w:p w14:paraId="59AC88C8" w14:textId="77777777" w:rsidR="00C10AF7" w:rsidRDefault="00C10AF7" w:rsidP="00C10AF7">
      <w:pPr>
        <w:spacing w:line="240" w:lineRule="auto"/>
        <w:rPr>
          <w:rFonts w:eastAsia="Times New Roman" w:cs="Arial"/>
          <w:color w:val="000000"/>
          <w:lang w:eastAsia="bg-BG"/>
        </w:rPr>
      </w:pPr>
    </w:p>
    <w:p w14:paraId="1C41D097" w14:textId="02001EDC"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В края на проучването ефектът върху средното телесно тегло е бил неутрален (+0,6 </w:t>
      </w:r>
      <w:r w:rsidRPr="00C10AF7">
        <w:rPr>
          <w:rFonts w:eastAsia="Times New Roman" w:cs="Arial"/>
          <w:color w:val="000000"/>
          <w:lang w:val="en-US"/>
        </w:rPr>
        <w:t>kg</w:t>
      </w:r>
      <w:r w:rsidRPr="00C10AF7">
        <w:rPr>
          <w:rFonts w:eastAsia="Times New Roman" w:cs="Arial"/>
          <w:color w:val="000000"/>
          <w:lang w:val="ru-RU"/>
        </w:rPr>
        <w:t xml:space="preserve"> </w:t>
      </w:r>
      <w:r w:rsidRPr="00C10AF7">
        <w:rPr>
          <w:rFonts w:eastAsia="Times New Roman" w:cs="Arial"/>
          <w:color w:val="000000"/>
          <w:lang w:eastAsia="bg-BG"/>
        </w:rPr>
        <w:t xml:space="preserve">за групата на вилдаглиптин и -0,1 </w:t>
      </w:r>
      <w:r w:rsidRPr="00C10AF7">
        <w:rPr>
          <w:rFonts w:eastAsia="Times New Roman" w:cs="Arial"/>
          <w:color w:val="000000"/>
          <w:lang w:val="en-US"/>
        </w:rPr>
        <w:t>kg</w:t>
      </w:r>
      <w:r w:rsidRPr="00C10AF7">
        <w:rPr>
          <w:rFonts w:eastAsia="Times New Roman" w:cs="Arial"/>
          <w:color w:val="000000"/>
          <w:lang w:val="ru-RU"/>
        </w:rPr>
        <w:t xml:space="preserve"> </w:t>
      </w:r>
      <w:r w:rsidRPr="00C10AF7">
        <w:rPr>
          <w:rFonts w:eastAsia="Times New Roman" w:cs="Arial"/>
          <w:color w:val="000000"/>
          <w:lang w:eastAsia="bg-BG"/>
        </w:rPr>
        <w:t>за плацебо групата).</w:t>
      </w:r>
    </w:p>
    <w:p w14:paraId="1523898A" w14:textId="77777777" w:rsidR="00C10AF7" w:rsidRDefault="00C10AF7" w:rsidP="00C10AF7">
      <w:pPr>
        <w:spacing w:line="240" w:lineRule="auto"/>
        <w:rPr>
          <w:rFonts w:eastAsia="Times New Roman" w:cs="Arial"/>
          <w:i/>
          <w:iCs/>
          <w:color w:val="000000"/>
          <w:lang w:eastAsia="bg-BG"/>
        </w:rPr>
      </w:pPr>
    </w:p>
    <w:p w14:paraId="23EBFB43" w14:textId="4B08369A"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Комбинация с инсулин</w:t>
      </w:r>
    </w:p>
    <w:p w14:paraId="78A749F8" w14:textId="77777777" w:rsidR="00C10AF7" w:rsidRDefault="00C10AF7" w:rsidP="00C10AF7">
      <w:pPr>
        <w:rPr>
          <w:rFonts w:eastAsia="Times New Roman" w:cs="Arial"/>
          <w:b/>
          <w:bCs/>
          <w:color w:val="000000"/>
          <w:lang w:eastAsia="bg-BG"/>
        </w:rPr>
      </w:pPr>
    </w:p>
    <w:p w14:paraId="2F5A92BF" w14:textId="44CD9871" w:rsidR="00C10AF7" w:rsidRDefault="00C10AF7" w:rsidP="00C10AF7">
      <w:pPr>
        <w:rPr>
          <w:rFonts w:eastAsia="Times New Roman" w:cs="Arial"/>
          <w:b/>
          <w:bCs/>
          <w:color w:val="000000"/>
          <w:lang w:val="ru-RU"/>
        </w:rPr>
      </w:pPr>
      <w:r w:rsidRPr="00C10AF7">
        <w:rPr>
          <w:rFonts w:eastAsia="Times New Roman" w:cs="Arial"/>
          <w:b/>
          <w:bCs/>
          <w:color w:val="000000"/>
          <w:lang w:eastAsia="bg-BG"/>
        </w:rPr>
        <w:t xml:space="preserve">Таблица 3 Нежелани лекарствени реакции, съобщавани при пациенти, приемали вилдаглиптин 100 </w:t>
      </w:r>
      <w:r w:rsidRPr="00C10AF7">
        <w:rPr>
          <w:rFonts w:eastAsia="Times New Roman" w:cs="Arial"/>
          <w:b/>
          <w:bCs/>
          <w:color w:val="000000"/>
          <w:lang w:val="en-US"/>
        </w:rPr>
        <w:t>mg</w:t>
      </w:r>
      <w:r w:rsidRPr="00C10AF7">
        <w:rPr>
          <w:rFonts w:eastAsia="Times New Roman" w:cs="Arial"/>
          <w:b/>
          <w:bCs/>
          <w:color w:val="000000"/>
          <w:lang w:val="ru-RU"/>
        </w:rPr>
        <w:t xml:space="preserve"> </w:t>
      </w:r>
      <w:r w:rsidRPr="00C10AF7">
        <w:rPr>
          <w:rFonts w:eastAsia="Times New Roman" w:cs="Arial"/>
          <w:b/>
          <w:bCs/>
          <w:color w:val="000000"/>
          <w:lang w:eastAsia="bg-BG"/>
        </w:rPr>
        <w:t xml:space="preserve">дневно в комбинация с инсулин (с или без метформин) при двойнослепи проучвания </w:t>
      </w:r>
      <w:r w:rsidRPr="00C10AF7">
        <w:rPr>
          <w:rFonts w:eastAsia="Times New Roman" w:cs="Arial"/>
          <w:b/>
          <w:bCs/>
          <w:color w:val="000000"/>
          <w:lang w:val="ru-RU"/>
        </w:rPr>
        <w:t>(</w:t>
      </w:r>
      <w:r w:rsidRPr="00C10AF7">
        <w:rPr>
          <w:rFonts w:eastAsia="Times New Roman" w:cs="Arial"/>
          <w:b/>
          <w:bCs/>
          <w:color w:val="000000"/>
          <w:lang w:val="en-US"/>
        </w:rPr>
        <w:t>N</w:t>
      </w:r>
      <w:r w:rsidRPr="00C10AF7">
        <w:rPr>
          <w:rFonts w:eastAsia="Times New Roman" w:cs="Arial"/>
          <w:b/>
          <w:bCs/>
          <w:color w:val="000000"/>
          <w:lang w:val="ru-RU"/>
        </w:rPr>
        <w:t>=371)</w:t>
      </w:r>
    </w:p>
    <w:tbl>
      <w:tblPr>
        <w:tblStyle w:val="TableGrid"/>
        <w:tblW w:w="0" w:type="auto"/>
        <w:tblLook w:val="04A0" w:firstRow="1" w:lastRow="0" w:firstColumn="1" w:lastColumn="0" w:noHBand="0" w:noVBand="1"/>
      </w:tblPr>
      <w:tblGrid>
        <w:gridCol w:w="9350"/>
      </w:tblGrid>
      <w:tr w:rsidR="00C10AF7" w14:paraId="742BB4BA" w14:textId="77777777" w:rsidTr="00C10AF7">
        <w:tc>
          <w:tcPr>
            <w:tcW w:w="9576" w:type="dxa"/>
          </w:tcPr>
          <w:p w14:paraId="1F8E091D" w14:textId="77777777"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метаболизма и храненето</w:t>
            </w:r>
          </w:p>
          <w:p w14:paraId="27004E8A"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sidRPr="00C10AF7">
              <w:rPr>
                <w:rFonts w:eastAsia="Times New Roman" w:cs="Arial"/>
                <w:color w:val="000000"/>
                <w:lang w:eastAsia="bg-BG"/>
              </w:rPr>
              <w:tab/>
              <w:t>Понижение на кръвната захар</w:t>
            </w:r>
          </w:p>
          <w:p w14:paraId="725852C5" w14:textId="77777777" w:rsidR="00FD56D2" w:rsidRDefault="00FD56D2" w:rsidP="00C10AF7">
            <w:pPr>
              <w:spacing w:line="240" w:lineRule="auto"/>
              <w:rPr>
                <w:rFonts w:eastAsia="Times New Roman" w:cs="Arial"/>
                <w:b/>
                <w:bCs/>
                <w:color w:val="000000"/>
                <w:lang w:eastAsia="bg-BG"/>
              </w:rPr>
            </w:pPr>
          </w:p>
          <w:p w14:paraId="51D1D607" w14:textId="32012E41"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нервната система</w:t>
            </w:r>
          </w:p>
          <w:p w14:paraId="003C61F3"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sidRPr="00C10AF7">
              <w:rPr>
                <w:rFonts w:eastAsia="Times New Roman" w:cs="Arial"/>
                <w:color w:val="000000"/>
                <w:lang w:eastAsia="bg-BG"/>
              </w:rPr>
              <w:tab/>
              <w:t>Главоболие, треска</w:t>
            </w:r>
          </w:p>
          <w:p w14:paraId="2D5BB37B" w14:textId="77777777" w:rsidR="00FD56D2" w:rsidRDefault="00FD56D2" w:rsidP="00C10AF7">
            <w:pPr>
              <w:spacing w:line="240" w:lineRule="auto"/>
              <w:rPr>
                <w:rFonts w:eastAsia="Times New Roman" w:cs="Arial"/>
                <w:b/>
                <w:bCs/>
                <w:color w:val="000000"/>
                <w:lang w:eastAsia="bg-BG"/>
              </w:rPr>
            </w:pPr>
          </w:p>
          <w:p w14:paraId="2786446D" w14:textId="089A953B"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Стомашно-чревни нарушения</w:t>
            </w:r>
          </w:p>
          <w:p w14:paraId="64FBD653"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sidRPr="00C10AF7">
              <w:rPr>
                <w:rFonts w:eastAsia="Times New Roman" w:cs="Arial"/>
                <w:color w:val="000000"/>
                <w:lang w:eastAsia="bg-BG"/>
              </w:rPr>
              <w:tab/>
              <w:t>Гадене, гастро-езофагеална рефлуксна болест</w:t>
            </w:r>
          </w:p>
          <w:p w14:paraId="52647D67" w14:textId="2C5A1661" w:rsidR="00C10AF7" w:rsidRDefault="00C10AF7" w:rsidP="00C10AF7">
            <w:pPr>
              <w:rPr>
                <w:rFonts w:cs="Arial"/>
                <w:lang w:val="ru-RU"/>
              </w:rPr>
            </w:pPr>
            <w:r w:rsidRPr="00C10AF7">
              <w:rPr>
                <w:rFonts w:eastAsia="Times New Roman" w:cs="Arial"/>
                <w:color w:val="000000"/>
                <w:lang w:eastAsia="bg-BG"/>
              </w:rPr>
              <w:t>Нечести Диария, флатуленция</w:t>
            </w:r>
          </w:p>
        </w:tc>
      </w:tr>
    </w:tbl>
    <w:p w14:paraId="1E5E0FE1" w14:textId="416C43A1" w:rsidR="00C10AF7" w:rsidRDefault="00C10AF7" w:rsidP="00C10AF7">
      <w:pPr>
        <w:rPr>
          <w:rFonts w:cs="Arial"/>
          <w:lang w:val="ru-RU"/>
        </w:rPr>
      </w:pPr>
    </w:p>
    <w:p w14:paraId="111CE11F" w14:textId="77777777" w:rsidR="00FD56D2" w:rsidRPr="00FD56D2" w:rsidRDefault="00FD56D2" w:rsidP="00FD56D2">
      <w:pPr>
        <w:spacing w:line="240" w:lineRule="auto"/>
        <w:rPr>
          <w:rFonts w:eastAsia="Times New Roman" w:cs="Arial"/>
        </w:rPr>
      </w:pPr>
      <w:r w:rsidRPr="00FD56D2">
        <w:rPr>
          <w:rFonts w:eastAsia="Times New Roman" w:cs="Arial"/>
          <w:i/>
          <w:iCs/>
          <w:color w:val="000000"/>
          <w:u w:val="single"/>
          <w:lang w:eastAsia="bg-BG"/>
        </w:rPr>
        <w:t>Описание на избрани нежелани реакции</w:t>
      </w:r>
    </w:p>
    <w:p w14:paraId="1BF51477"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контролирани клинични изпитвания на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два пъти дневно в комбинация с инсулин, с или без съвместно приеман метформин, общата честота на преустановяване на лечението поради нежелани реакции е била 0,3% в терапевтичната група на вилдаглиптин и не е наблюдавано преустановяване в групата на плацебо.</w:t>
      </w:r>
    </w:p>
    <w:p w14:paraId="60883512" w14:textId="77777777" w:rsidR="00FD56D2" w:rsidRDefault="00FD56D2" w:rsidP="00FD56D2">
      <w:pPr>
        <w:spacing w:line="240" w:lineRule="auto"/>
        <w:rPr>
          <w:rFonts w:eastAsia="Times New Roman" w:cs="Arial"/>
          <w:color w:val="000000"/>
          <w:lang w:eastAsia="bg-BG"/>
        </w:rPr>
      </w:pPr>
    </w:p>
    <w:p w14:paraId="241EE788" w14:textId="673E6A7D" w:rsidR="00FD56D2" w:rsidRPr="00FD56D2" w:rsidRDefault="00FD56D2" w:rsidP="00FD56D2">
      <w:pPr>
        <w:spacing w:line="240" w:lineRule="auto"/>
        <w:rPr>
          <w:rFonts w:eastAsia="Times New Roman" w:cs="Arial"/>
        </w:rPr>
      </w:pPr>
      <w:r w:rsidRPr="00FD56D2">
        <w:rPr>
          <w:rFonts w:eastAsia="Times New Roman" w:cs="Arial"/>
          <w:color w:val="000000"/>
          <w:lang w:eastAsia="bg-BG"/>
        </w:rPr>
        <w:lastRenderedPageBreak/>
        <w:t>Честотата на хипогликемия е била сходна в двете терапевтични групи (14,0% в групата на вилдаглиптин спрямо 16,4% в плацебо групата). Двама пациента са съобщили тежки хипогликемични събития в групата на вилдаглиптин и 6 пациенти в плацебо групата.</w:t>
      </w:r>
    </w:p>
    <w:p w14:paraId="2411AE9C" w14:textId="77777777" w:rsidR="00FD56D2" w:rsidRDefault="00FD56D2" w:rsidP="00FD56D2">
      <w:pPr>
        <w:spacing w:line="240" w:lineRule="auto"/>
        <w:rPr>
          <w:rFonts w:eastAsia="Times New Roman" w:cs="Arial"/>
          <w:color w:val="000000"/>
          <w:lang w:eastAsia="bg-BG"/>
        </w:rPr>
      </w:pPr>
    </w:p>
    <w:p w14:paraId="50A51F20" w14:textId="6468D073"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В края на проучването ефектът върху средното телесно тегло е бил неутрален (+0,6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промяна от изходното ниво в групата на вилдаглиптин и без промяна в плацебо групата).</w:t>
      </w:r>
    </w:p>
    <w:p w14:paraId="06D8DED0" w14:textId="77777777" w:rsidR="00FD56D2" w:rsidRDefault="00FD56D2" w:rsidP="00FD56D2">
      <w:pPr>
        <w:spacing w:line="240" w:lineRule="auto"/>
        <w:rPr>
          <w:rFonts w:eastAsia="Times New Roman" w:cs="Arial"/>
          <w:color w:val="000000"/>
          <w:u w:val="single"/>
          <w:lang w:eastAsia="bg-BG"/>
        </w:rPr>
      </w:pPr>
    </w:p>
    <w:p w14:paraId="69A7FCD8" w14:textId="5564608D"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Допълнителна информация за отделните активни вещества във фиксираната комбинация</w:t>
      </w:r>
    </w:p>
    <w:p w14:paraId="1A840AF9" w14:textId="77777777" w:rsidR="00FD56D2" w:rsidRDefault="00FD56D2" w:rsidP="00FD56D2">
      <w:pPr>
        <w:spacing w:line="240" w:lineRule="auto"/>
        <w:rPr>
          <w:rFonts w:eastAsia="Times New Roman" w:cs="Arial"/>
          <w:i/>
          <w:iCs/>
          <w:color w:val="000000"/>
          <w:lang w:eastAsia="bg-BG"/>
        </w:rPr>
      </w:pPr>
    </w:p>
    <w:p w14:paraId="6C9BCBB9" w14:textId="48E88005"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Вилдаглиптин</w:t>
      </w:r>
    </w:p>
    <w:p w14:paraId="2CECA736" w14:textId="77777777" w:rsidR="00FD56D2" w:rsidRDefault="00FD56D2" w:rsidP="00FD56D2">
      <w:pPr>
        <w:spacing w:line="240" w:lineRule="auto"/>
        <w:rPr>
          <w:rFonts w:eastAsia="Times New Roman" w:cs="Arial"/>
          <w:b/>
          <w:bCs/>
          <w:color w:val="000000"/>
          <w:lang w:eastAsia="bg-BG"/>
        </w:rPr>
      </w:pPr>
    </w:p>
    <w:p w14:paraId="2FE36F92" w14:textId="56A5AD0D" w:rsidR="00FD56D2" w:rsidRPr="00FD56D2" w:rsidRDefault="00FD56D2" w:rsidP="00FD56D2">
      <w:pPr>
        <w:spacing w:line="240" w:lineRule="auto"/>
        <w:rPr>
          <w:rFonts w:ascii="Times New Roman" w:eastAsia="Times New Roman" w:hAnsi="Times New Roman" w:cs="Times New Roman"/>
          <w:sz w:val="24"/>
          <w:szCs w:val="24"/>
        </w:rPr>
      </w:pPr>
      <w:r w:rsidRPr="00FD56D2">
        <w:rPr>
          <w:rFonts w:eastAsia="Times New Roman" w:cs="Arial"/>
          <w:b/>
          <w:bCs/>
          <w:color w:val="000000"/>
          <w:lang w:eastAsia="bg-BG"/>
        </w:rPr>
        <w:t xml:space="preserve">Таблица 4 Нежелани лекарствени реакции, съобщавани при пациенти, приемали вилдаглиптин 100 </w:t>
      </w:r>
      <w:r w:rsidRPr="00FD56D2">
        <w:rPr>
          <w:rFonts w:eastAsia="Times New Roman" w:cs="Arial"/>
          <w:b/>
          <w:bCs/>
          <w:color w:val="000000"/>
          <w:lang w:val="en-US"/>
        </w:rPr>
        <w:t>mg</w:t>
      </w:r>
      <w:r w:rsidRPr="00FD56D2">
        <w:rPr>
          <w:rFonts w:eastAsia="Times New Roman" w:cs="Arial"/>
          <w:b/>
          <w:bCs/>
          <w:color w:val="000000"/>
          <w:lang w:val="ru-RU"/>
        </w:rPr>
        <w:t xml:space="preserve"> </w:t>
      </w:r>
      <w:r w:rsidRPr="00FD56D2">
        <w:rPr>
          <w:rFonts w:eastAsia="Times New Roman" w:cs="Arial"/>
          <w:b/>
          <w:bCs/>
          <w:color w:val="000000"/>
          <w:lang w:eastAsia="bg-BG"/>
        </w:rPr>
        <w:t xml:space="preserve">дневно като монотерапия при двойнослепи проучвания </w:t>
      </w:r>
      <w:r w:rsidRPr="00FD56D2">
        <w:rPr>
          <w:rFonts w:eastAsia="Times New Roman" w:cs="Arial"/>
          <w:b/>
          <w:bCs/>
          <w:color w:val="000000"/>
          <w:lang w:val="ru-RU"/>
        </w:rPr>
        <w:t>(</w:t>
      </w:r>
      <w:r w:rsidRPr="00FD56D2">
        <w:rPr>
          <w:rFonts w:eastAsia="Times New Roman" w:cs="Arial"/>
          <w:b/>
          <w:bCs/>
          <w:color w:val="000000"/>
          <w:lang w:val="en-US"/>
        </w:rPr>
        <w:t>N</w:t>
      </w:r>
      <w:r w:rsidRPr="00FD56D2">
        <w:rPr>
          <w:rFonts w:eastAsia="Times New Roman" w:cs="Arial"/>
          <w:b/>
          <w:bCs/>
          <w:color w:val="000000"/>
          <w:lang w:val="ru-RU"/>
        </w:rPr>
        <w:t>=1855)</w:t>
      </w:r>
    </w:p>
    <w:tbl>
      <w:tblPr>
        <w:tblStyle w:val="TableGrid"/>
        <w:tblW w:w="0" w:type="auto"/>
        <w:tblLook w:val="04A0" w:firstRow="1" w:lastRow="0" w:firstColumn="1" w:lastColumn="0" w:noHBand="0" w:noVBand="1"/>
      </w:tblPr>
      <w:tblGrid>
        <w:gridCol w:w="9350"/>
      </w:tblGrid>
      <w:tr w:rsidR="00FD56D2" w14:paraId="5394F007" w14:textId="77777777" w:rsidTr="00FD56D2">
        <w:tc>
          <w:tcPr>
            <w:tcW w:w="9576" w:type="dxa"/>
          </w:tcPr>
          <w:p w14:paraId="2AE7B396" w14:textId="77777777"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Инфекции и инфестации</w:t>
            </w:r>
          </w:p>
          <w:p w14:paraId="15E13F3C" w14:textId="36308B23" w:rsidR="00FD56D2" w:rsidRPr="00FD56D2" w:rsidRDefault="00FD56D2" w:rsidP="00FD56D2">
            <w:pPr>
              <w:spacing w:line="240" w:lineRule="auto"/>
              <w:rPr>
                <w:rFonts w:eastAsia="Times New Roman" w:cs="Arial"/>
              </w:rPr>
            </w:pPr>
            <w:r w:rsidRPr="00FD56D2">
              <w:rPr>
                <w:rFonts w:eastAsia="Times New Roman" w:cs="Arial"/>
                <w:color w:val="000000"/>
                <w:lang w:eastAsia="bg-BG"/>
              </w:rPr>
              <w:t>Много редки</w:t>
            </w:r>
            <w:r>
              <w:rPr>
                <w:rFonts w:eastAsia="Times New Roman" w:cs="Arial"/>
                <w:color w:val="000000"/>
                <w:lang w:eastAsia="bg-BG"/>
              </w:rPr>
              <w:t>:</w:t>
            </w:r>
            <w:r w:rsidRPr="00FD56D2">
              <w:rPr>
                <w:rFonts w:eastAsia="Times New Roman" w:cs="Arial"/>
                <w:color w:val="000000"/>
                <w:lang w:eastAsia="bg-BG"/>
              </w:rPr>
              <w:tab/>
              <w:t>Инфекции на горните дихателни пътища</w:t>
            </w:r>
          </w:p>
          <w:p w14:paraId="7D43AE0B" w14:textId="7F569035" w:rsidR="00FD56D2" w:rsidRPr="00FD56D2" w:rsidRDefault="00FD56D2" w:rsidP="00FD56D2">
            <w:pPr>
              <w:spacing w:line="240" w:lineRule="auto"/>
              <w:rPr>
                <w:rFonts w:eastAsia="Times New Roman" w:cs="Arial"/>
              </w:rPr>
            </w:pPr>
            <w:r w:rsidRPr="00FD56D2">
              <w:rPr>
                <w:rFonts w:eastAsia="Times New Roman" w:cs="Arial"/>
                <w:color w:val="000000"/>
                <w:lang w:eastAsia="bg-BG"/>
              </w:rPr>
              <w:t>Много редки</w:t>
            </w:r>
            <w:r>
              <w:rPr>
                <w:rFonts w:eastAsia="Times New Roman" w:cs="Arial"/>
                <w:color w:val="000000"/>
                <w:lang w:eastAsia="bg-BG"/>
              </w:rPr>
              <w:t>:</w:t>
            </w:r>
            <w:r w:rsidRPr="00FD56D2">
              <w:rPr>
                <w:rFonts w:eastAsia="Times New Roman" w:cs="Arial"/>
                <w:color w:val="000000"/>
                <w:lang w:eastAsia="bg-BG"/>
              </w:rPr>
              <w:tab/>
              <w:t>Назофарингит</w:t>
            </w:r>
          </w:p>
          <w:p w14:paraId="43D0A401" w14:textId="77777777" w:rsidR="00FD56D2" w:rsidRDefault="00FD56D2" w:rsidP="00FD56D2">
            <w:pPr>
              <w:spacing w:line="240" w:lineRule="auto"/>
              <w:rPr>
                <w:rFonts w:eastAsia="Times New Roman" w:cs="Arial"/>
                <w:b/>
                <w:bCs/>
                <w:color w:val="000000"/>
                <w:lang w:eastAsia="bg-BG"/>
              </w:rPr>
            </w:pPr>
          </w:p>
          <w:p w14:paraId="2878E69D" w14:textId="2FD970FF"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иа метаболизма и храненето</w:t>
            </w:r>
          </w:p>
          <w:p w14:paraId="4133F05F" w14:textId="6C2DB977" w:rsidR="00FD56D2" w:rsidRPr="00FD56D2" w:rsidRDefault="00FD56D2" w:rsidP="00FD56D2">
            <w:pPr>
              <w:spacing w:line="240" w:lineRule="auto"/>
              <w:rPr>
                <w:rFonts w:eastAsia="Times New Roman" w:cs="Arial"/>
              </w:rPr>
            </w:pPr>
            <w:r w:rsidRPr="00FD56D2">
              <w:rPr>
                <w:rFonts w:eastAsia="Times New Roman" w:cs="Arial"/>
                <w:color w:val="000000"/>
                <w:lang w:eastAsia="bg-BG"/>
              </w:rPr>
              <w:t>Нечести</w:t>
            </w:r>
            <w:r>
              <w:rPr>
                <w:rFonts w:eastAsia="Times New Roman" w:cs="Arial"/>
                <w:color w:val="000000"/>
                <w:lang w:eastAsia="bg-BG"/>
              </w:rPr>
              <w:t xml:space="preserve">: </w:t>
            </w:r>
            <w:r w:rsidRPr="00FD56D2">
              <w:rPr>
                <w:rFonts w:eastAsia="Times New Roman" w:cs="Arial"/>
                <w:color w:val="000000"/>
                <w:lang w:eastAsia="bg-BG"/>
              </w:rPr>
              <w:t>Хипогликемия</w:t>
            </w:r>
          </w:p>
          <w:p w14:paraId="782934A2" w14:textId="77777777" w:rsidR="00FD56D2" w:rsidRDefault="00FD56D2" w:rsidP="00FD56D2">
            <w:pPr>
              <w:spacing w:line="240" w:lineRule="auto"/>
              <w:rPr>
                <w:rFonts w:eastAsia="Times New Roman" w:cs="Arial"/>
                <w:b/>
                <w:bCs/>
                <w:color w:val="000000"/>
                <w:lang w:eastAsia="bg-BG"/>
              </w:rPr>
            </w:pPr>
          </w:p>
          <w:p w14:paraId="0CF34BAA" w14:textId="77777777" w:rsidR="00FD56D2" w:rsidRDefault="00FD56D2" w:rsidP="00FD56D2">
            <w:pPr>
              <w:spacing w:line="240" w:lineRule="auto"/>
              <w:rPr>
                <w:rFonts w:eastAsia="Times New Roman" w:cs="Arial"/>
                <w:b/>
                <w:bCs/>
                <w:color w:val="000000"/>
                <w:lang w:eastAsia="bg-BG"/>
              </w:rPr>
            </w:pPr>
            <w:r w:rsidRPr="00FD56D2">
              <w:rPr>
                <w:rFonts w:eastAsia="Times New Roman" w:cs="Arial"/>
                <w:b/>
                <w:bCs/>
                <w:color w:val="000000"/>
                <w:lang w:eastAsia="bg-BG"/>
              </w:rPr>
              <w:t xml:space="preserve">Нарушения на нервната система </w:t>
            </w:r>
          </w:p>
          <w:p w14:paraId="00995677" w14:textId="3130EEA3" w:rsidR="00FD56D2" w:rsidRPr="00FD56D2" w:rsidRDefault="00FD56D2" w:rsidP="00FD56D2">
            <w:pPr>
              <w:spacing w:line="240" w:lineRule="auto"/>
              <w:rPr>
                <w:rFonts w:eastAsia="Times New Roman" w:cs="Arial"/>
              </w:rPr>
            </w:pPr>
            <w:r w:rsidRPr="00FD56D2">
              <w:rPr>
                <w:rFonts w:eastAsia="Times New Roman" w:cs="Arial"/>
                <w:color w:val="000000"/>
                <w:lang w:eastAsia="bg-BG"/>
              </w:rPr>
              <w:t>Чести</w:t>
            </w:r>
            <w:r>
              <w:rPr>
                <w:rFonts w:eastAsia="Times New Roman" w:cs="Arial"/>
                <w:color w:val="000000"/>
                <w:lang w:eastAsia="bg-BG"/>
              </w:rPr>
              <w:t>:</w:t>
            </w:r>
            <w:r w:rsidRPr="00FD56D2">
              <w:rPr>
                <w:rFonts w:eastAsia="Times New Roman" w:cs="Arial"/>
                <w:color w:val="000000"/>
                <w:lang w:eastAsia="bg-BG"/>
              </w:rPr>
              <w:tab/>
              <w:t>Замаяност</w:t>
            </w:r>
          </w:p>
          <w:p w14:paraId="1596C091" w14:textId="3D3FA5FA" w:rsidR="00FD56D2" w:rsidRPr="00FD56D2" w:rsidRDefault="00FD56D2" w:rsidP="00FD56D2">
            <w:pPr>
              <w:spacing w:line="240" w:lineRule="auto"/>
              <w:rPr>
                <w:rFonts w:eastAsia="Times New Roman" w:cs="Arial"/>
              </w:rPr>
            </w:pPr>
            <w:r>
              <w:rPr>
                <w:rFonts w:eastAsia="Times New Roman" w:cs="Arial"/>
                <w:color w:val="000000"/>
                <w:lang w:eastAsia="bg-BG"/>
              </w:rPr>
              <w:t xml:space="preserve">Нечести: </w:t>
            </w:r>
            <w:r w:rsidRPr="00FD56D2">
              <w:rPr>
                <w:rFonts w:eastAsia="Times New Roman" w:cs="Arial"/>
                <w:color w:val="000000"/>
                <w:lang w:eastAsia="bg-BG"/>
              </w:rPr>
              <w:t>Главоболие</w:t>
            </w:r>
          </w:p>
          <w:p w14:paraId="4A407C36" w14:textId="77777777" w:rsidR="00FD56D2" w:rsidRDefault="00FD56D2" w:rsidP="00FD56D2">
            <w:pPr>
              <w:spacing w:line="240" w:lineRule="auto"/>
              <w:rPr>
                <w:rFonts w:eastAsia="Times New Roman" w:cs="Arial"/>
                <w:b/>
                <w:bCs/>
                <w:color w:val="000000"/>
                <w:lang w:eastAsia="bg-BG"/>
              </w:rPr>
            </w:pPr>
          </w:p>
          <w:p w14:paraId="53662A08" w14:textId="2FD2EFA6" w:rsidR="00FD56D2" w:rsidRPr="00FD56D2" w:rsidRDefault="00FD56D2" w:rsidP="00FD56D2">
            <w:pPr>
              <w:spacing w:line="240" w:lineRule="auto"/>
              <w:rPr>
                <w:rFonts w:eastAsia="Times New Roman" w:cs="Arial"/>
                <w:b/>
                <w:bCs/>
                <w:color w:val="000000"/>
                <w:lang w:eastAsia="bg-BG"/>
              </w:rPr>
            </w:pPr>
            <w:r w:rsidRPr="00FD56D2">
              <w:rPr>
                <w:rFonts w:eastAsia="Times New Roman" w:cs="Arial"/>
                <w:b/>
                <w:bCs/>
                <w:color w:val="000000"/>
                <w:lang w:eastAsia="bg-BG"/>
              </w:rPr>
              <w:t>Съдови нарушения</w:t>
            </w:r>
          </w:p>
          <w:p w14:paraId="11675275" w14:textId="5225F216" w:rsidR="00FD56D2" w:rsidRPr="00FD56D2" w:rsidRDefault="00FD56D2" w:rsidP="00FD56D2">
            <w:pPr>
              <w:spacing w:line="240" w:lineRule="auto"/>
              <w:rPr>
                <w:rFonts w:eastAsia="Times New Roman" w:cs="Arial"/>
              </w:rPr>
            </w:pPr>
            <w:r w:rsidRPr="00FD56D2">
              <w:rPr>
                <w:rFonts w:eastAsia="Times New Roman" w:cs="Arial"/>
                <w:color w:val="000000"/>
                <w:lang w:eastAsia="bg-BG"/>
              </w:rPr>
              <w:t>Нечести</w:t>
            </w:r>
            <w:r>
              <w:rPr>
                <w:rFonts w:eastAsia="Times New Roman" w:cs="Arial"/>
                <w:color w:val="000000"/>
                <w:lang w:eastAsia="bg-BG"/>
              </w:rPr>
              <w:t xml:space="preserve">: </w:t>
            </w:r>
            <w:r w:rsidRPr="00FD56D2">
              <w:rPr>
                <w:rFonts w:eastAsia="Times New Roman" w:cs="Arial"/>
                <w:color w:val="000000"/>
                <w:lang w:eastAsia="bg-BG"/>
              </w:rPr>
              <w:t>Периферен оток</w:t>
            </w:r>
          </w:p>
          <w:p w14:paraId="2F7768E1" w14:textId="77777777" w:rsidR="00FD56D2" w:rsidRDefault="00FD56D2" w:rsidP="00FD56D2">
            <w:pPr>
              <w:spacing w:line="240" w:lineRule="auto"/>
              <w:rPr>
                <w:rFonts w:eastAsia="Times New Roman" w:cs="Arial"/>
                <w:b/>
                <w:bCs/>
                <w:color w:val="000000"/>
                <w:lang w:eastAsia="bg-BG"/>
              </w:rPr>
            </w:pPr>
          </w:p>
          <w:p w14:paraId="43D310B2" w14:textId="2D29964A"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Стомашно-чревни нарушения</w:t>
            </w:r>
          </w:p>
          <w:p w14:paraId="13344D5D" w14:textId="3BF6AF0A" w:rsidR="00FD56D2" w:rsidRPr="00FD56D2" w:rsidRDefault="00FD56D2" w:rsidP="00FD56D2">
            <w:pPr>
              <w:spacing w:line="240" w:lineRule="auto"/>
              <w:rPr>
                <w:rFonts w:eastAsia="Times New Roman" w:cs="Arial"/>
              </w:rPr>
            </w:pPr>
            <w:r w:rsidRPr="00FD56D2">
              <w:rPr>
                <w:rFonts w:eastAsia="Times New Roman" w:cs="Arial"/>
                <w:color w:val="000000"/>
                <w:lang w:eastAsia="bg-BG"/>
              </w:rPr>
              <w:t>Нечести</w:t>
            </w:r>
            <w:r>
              <w:rPr>
                <w:rFonts w:eastAsia="Times New Roman" w:cs="Arial"/>
                <w:color w:val="000000"/>
                <w:lang w:eastAsia="bg-BG"/>
              </w:rPr>
              <w:t xml:space="preserve">: </w:t>
            </w:r>
            <w:r w:rsidRPr="00FD56D2">
              <w:rPr>
                <w:rFonts w:eastAsia="Times New Roman" w:cs="Arial"/>
                <w:color w:val="000000"/>
                <w:lang w:eastAsia="bg-BG"/>
              </w:rPr>
              <w:t>Констипация</w:t>
            </w:r>
          </w:p>
          <w:p w14:paraId="5056CDFF" w14:textId="77777777" w:rsidR="00FD56D2" w:rsidRDefault="00FD56D2" w:rsidP="00FD56D2">
            <w:pPr>
              <w:spacing w:line="240" w:lineRule="auto"/>
              <w:rPr>
                <w:rFonts w:eastAsia="Times New Roman" w:cs="Arial"/>
                <w:b/>
                <w:bCs/>
                <w:color w:val="000000"/>
                <w:lang w:eastAsia="bg-BG"/>
              </w:rPr>
            </w:pPr>
          </w:p>
          <w:p w14:paraId="5888B450" w14:textId="5C94B7AA"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мускулно-скелетната система и съединителната тъкан</w:t>
            </w:r>
          </w:p>
          <w:p w14:paraId="3A5E6D54" w14:textId="56D85E6C" w:rsidR="00FD56D2" w:rsidRPr="00FD56D2" w:rsidRDefault="00FD56D2" w:rsidP="00FD56D2">
            <w:pPr>
              <w:spacing w:line="240" w:lineRule="auto"/>
              <w:rPr>
                <w:rFonts w:eastAsia="Times New Roman" w:cs="Arial"/>
              </w:rPr>
            </w:pPr>
            <w:r w:rsidRPr="00FD56D2">
              <w:rPr>
                <w:rFonts w:eastAsia="Times New Roman" w:cs="Arial"/>
                <w:color w:val="000000"/>
                <w:lang w:eastAsia="bg-BG"/>
              </w:rPr>
              <w:t>Нечести</w:t>
            </w:r>
            <w:r>
              <w:rPr>
                <w:rFonts w:eastAsia="Times New Roman" w:cs="Arial"/>
                <w:color w:val="000000"/>
                <w:lang w:eastAsia="bg-BG"/>
              </w:rPr>
              <w:t>:</w:t>
            </w:r>
            <w:r w:rsidRPr="00FD56D2">
              <w:rPr>
                <w:rFonts w:eastAsia="Times New Roman" w:cs="Arial"/>
                <w:color w:val="000000"/>
                <w:lang w:eastAsia="bg-BG"/>
              </w:rPr>
              <w:t xml:space="preserve">  Артралгия</w:t>
            </w:r>
          </w:p>
        </w:tc>
      </w:tr>
    </w:tbl>
    <w:p w14:paraId="328BB2AD" w14:textId="77777777" w:rsidR="00FD56D2" w:rsidRDefault="00FD56D2" w:rsidP="00FD56D2">
      <w:pPr>
        <w:spacing w:line="240" w:lineRule="auto"/>
        <w:rPr>
          <w:rFonts w:ascii="Times New Roman" w:eastAsia="Times New Roman" w:hAnsi="Times New Roman" w:cs="Times New Roman"/>
          <w:i/>
          <w:iCs/>
          <w:color w:val="000000"/>
          <w:sz w:val="44"/>
          <w:szCs w:val="44"/>
          <w:u w:val="single"/>
          <w:lang w:eastAsia="bg-BG"/>
        </w:rPr>
      </w:pPr>
    </w:p>
    <w:p w14:paraId="193C8981" w14:textId="1E11F90A" w:rsidR="00FD56D2" w:rsidRPr="00FD56D2" w:rsidRDefault="00FD56D2" w:rsidP="00FD56D2">
      <w:pPr>
        <w:spacing w:line="240" w:lineRule="auto"/>
        <w:rPr>
          <w:rFonts w:eastAsia="Times New Roman" w:cs="Arial"/>
        </w:rPr>
      </w:pPr>
      <w:r w:rsidRPr="00FD56D2">
        <w:rPr>
          <w:rFonts w:eastAsia="Times New Roman" w:cs="Arial"/>
          <w:i/>
          <w:iCs/>
          <w:color w:val="000000"/>
          <w:u w:val="single"/>
          <w:lang w:eastAsia="bg-BG"/>
        </w:rPr>
        <w:t>Описание на избрани нежелани реакции</w:t>
      </w:r>
    </w:p>
    <w:p w14:paraId="4273DB47"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Общата честота на преустановяване на лечението при контролираните изпитвания на монотерапия поради нежелани реакции не е била по-висока при пациенти, лекувани с вилдаглиптин в дози от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дневно (0,3%), отколкото при плацебо (0,6%) или компараторите (0,5%).</w:t>
      </w:r>
    </w:p>
    <w:p w14:paraId="03F663A1" w14:textId="77777777" w:rsidR="00FD56D2" w:rsidRDefault="00FD56D2" w:rsidP="00FD56D2">
      <w:pPr>
        <w:spacing w:line="240" w:lineRule="auto"/>
        <w:rPr>
          <w:rFonts w:eastAsia="Times New Roman" w:cs="Arial"/>
          <w:color w:val="000000"/>
          <w:lang w:eastAsia="bg-BG"/>
        </w:rPr>
      </w:pPr>
    </w:p>
    <w:p w14:paraId="71AFFC38" w14:textId="3CE6F94A"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сравнителните проучвания на монотерапия хипогликемията е била нечеста, съобщавана при 0,4% (7 от 1 855) от пациентите, лекувани с вилдаглиптин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дневно, в сравнение с 0,2% (2 от 1 08) от пациентите в групите, лекувани с активен компаратор или плацебо, но не са съобщавани тежки или сериозни събития.</w:t>
      </w:r>
    </w:p>
    <w:p w14:paraId="076BF0D9" w14:textId="77777777" w:rsidR="00FD56D2" w:rsidRPr="00FD56D2" w:rsidRDefault="00FD56D2" w:rsidP="00FD56D2">
      <w:pPr>
        <w:spacing w:line="240" w:lineRule="auto"/>
        <w:rPr>
          <w:rFonts w:eastAsia="Times New Roman" w:cs="Arial"/>
        </w:rPr>
      </w:pPr>
    </w:p>
    <w:p w14:paraId="716B5F43" w14:textId="1E58BF81"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 xml:space="preserve">При клиничните изпитвания теглото не се е променило спрямо изходните стоиности, когато вилдаглипти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е прилаган като монотерапия (съответно -0,3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за вилдаглиптин и</w:t>
      </w:r>
      <w:r w:rsidRPr="00FD56D2">
        <w:rPr>
          <w:rFonts w:eastAsia="Times New Roman" w:cs="Arial"/>
        </w:rPr>
        <w:t xml:space="preserve"> </w:t>
      </w:r>
      <w:r w:rsidRPr="00FD56D2">
        <w:rPr>
          <w:rFonts w:eastAsia="Times New Roman" w:cs="Arial"/>
          <w:color w:val="000000"/>
          <w:lang w:eastAsia="bg-BG"/>
        </w:rPr>
        <w:t xml:space="preserve">-1,3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за плацебо).</w:t>
      </w:r>
    </w:p>
    <w:p w14:paraId="4DB76B30" w14:textId="1097FA8A" w:rsidR="00FD56D2" w:rsidRDefault="00FD56D2" w:rsidP="00FD56D2">
      <w:pPr>
        <w:spacing w:line="240" w:lineRule="auto"/>
        <w:rPr>
          <w:rFonts w:eastAsia="Times New Roman" w:cs="Arial"/>
          <w:color w:val="000000"/>
          <w:lang w:eastAsia="bg-BG"/>
        </w:rPr>
      </w:pPr>
    </w:p>
    <w:p w14:paraId="6779FE4E"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lastRenderedPageBreak/>
        <w:t>Клиничните изпитвания с продължителност до 2 години не са показали допълнителни сигнали, свързани с безопасността, или непредвидени рискове при монотерапия с вилдаглиптин.</w:t>
      </w:r>
    </w:p>
    <w:p w14:paraId="7353F57E" w14:textId="77777777" w:rsidR="00FD56D2" w:rsidRPr="00FD56D2" w:rsidRDefault="00FD56D2" w:rsidP="00FD56D2">
      <w:pPr>
        <w:spacing w:line="240" w:lineRule="auto"/>
        <w:rPr>
          <w:rFonts w:eastAsia="Times New Roman" w:cs="Arial"/>
          <w:i/>
          <w:iCs/>
          <w:color w:val="000000"/>
          <w:lang w:eastAsia="bg-BG"/>
        </w:rPr>
      </w:pPr>
    </w:p>
    <w:p w14:paraId="4E1DE23B" w14:textId="30CAE8DB"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Метформин</w:t>
      </w:r>
    </w:p>
    <w:p w14:paraId="043E8B0D" w14:textId="77777777" w:rsidR="00FD56D2" w:rsidRPr="00FD56D2" w:rsidRDefault="00FD56D2" w:rsidP="00FD56D2">
      <w:pPr>
        <w:spacing w:line="240" w:lineRule="auto"/>
        <w:rPr>
          <w:rFonts w:eastAsia="Times New Roman" w:cs="Arial"/>
          <w:b/>
          <w:bCs/>
          <w:color w:val="000000"/>
          <w:lang w:eastAsia="bg-BG"/>
        </w:rPr>
      </w:pPr>
    </w:p>
    <w:p w14:paraId="6B7CE0DA" w14:textId="76FDDE1A"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Таблица 5 Нежелани лекарствени реакции със съставката метформин</w:t>
      </w:r>
    </w:p>
    <w:tbl>
      <w:tblPr>
        <w:tblStyle w:val="TableGrid"/>
        <w:tblW w:w="0" w:type="auto"/>
        <w:tblLook w:val="04A0" w:firstRow="1" w:lastRow="0" w:firstColumn="1" w:lastColumn="0" w:noHBand="0" w:noVBand="1"/>
      </w:tblPr>
      <w:tblGrid>
        <w:gridCol w:w="9350"/>
      </w:tblGrid>
      <w:tr w:rsidR="00FD56D2" w14:paraId="131EC5C6" w14:textId="77777777" w:rsidTr="00FD56D2">
        <w:tc>
          <w:tcPr>
            <w:tcW w:w="9576" w:type="dxa"/>
          </w:tcPr>
          <w:p w14:paraId="12B90732" w14:textId="77777777"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метаболизма и храненето</w:t>
            </w:r>
          </w:p>
          <w:p w14:paraId="5F55BB4A" w14:textId="72A8A1F9" w:rsidR="00FD56D2" w:rsidRPr="00FD56D2" w:rsidRDefault="00FD56D2" w:rsidP="00FD56D2">
            <w:pPr>
              <w:spacing w:line="240" w:lineRule="auto"/>
              <w:rPr>
                <w:rFonts w:eastAsia="Times New Roman" w:cs="Arial"/>
              </w:rPr>
            </w:pPr>
            <w:r w:rsidRPr="00FD56D2">
              <w:rPr>
                <w:rFonts w:eastAsia="Times New Roman" w:cs="Arial"/>
                <w:color w:val="000000"/>
                <w:lang w:eastAsia="bg-BG"/>
              </w:rPr>
              <w:t>Много редки</w:t>
            </w:r>
            <w:r>
              <w:rPr>
                <w:rFonts w:eastAsia="Times New Roman" w:cs="Arial"/>
                <w:color w:val="000000"/>
                <w:lang w:eastAsia="bg-BG"/>
              </w:rPr>
              <w:t>:</w:t>
            </w:r>
            <w:r w:rsidRPr="00FD56D2">
              <w:rPr>
                <w:rFonts w:eastAsia="Times New Roman" w:cs="Arial"/>
                <w:color w:val="000000"/>
                <w:lang w:eastAsia="bg-BG"/>
              </w:rPr>
              <w:tab/>
              <w:t>Понижаване на абсорбцията на витамин В12 и лактатна ацидоза*</w:t>
            </w:r>
          </w:p>
          <w:p w14:paraId="05CBB342" w14:textId="77777777" w:rsidR="00FD56D2" w:rsidRDefault="00FD56D2" w:rsidP="00FD56D2">
            <w:pPr>
              <w:spacing w:line="240" w:lineRule="auto"/>
              <w:rPr>
                <w:rFonts w:eastAsia="Times New Roman" w:cs="Arial"/>
                <w:b/>
                <w:bCs/>
                <w:color w:val="000000"/>
                <w:lang w:eastAsia="bg-BG"/>
              </w:rPr>
            </w:pPr>
          </w:p>
          <w:p w14:paraId="76FEF393" w14:textId="4C0F6613"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нервната система</w:t>
            </w:r>
          </w:p>
          <w:p w14:paraId="2DD34B9C" w14:textId="4A5AB3BC" w:rsidR="00FD56D2" w:rsidRPr="00FD56D2" w:rsidRDefault="00FD56D2" w:rsidP="00FD56D2">
            <w:pPr>
              <w:spacing w:line="240" w:lineRule="auto"/>
              <w:rPr>
                <w:rFonts w:eastAsia="Times New Roman" w:cs="Arial"/>
              </w:rPr>
            </w:pPr>
            <w:r w:rsidRPr="00FD56D2">
              <w:rPr>
                <w:rFonts w:eastAsia="Times New Roman" w:cs="Arial"/>
                <w:color w:val="000000"/>
                <w:lang w:eastAsia="bg-BG"/>
              </w:rPr>
              <w:t>Чести</w:t>
            </w:r>
            <w:r>
              <w:rPr>
                <w:rFonts w:eastAsia="Times New Roman" w:cs="Arial"/>
                <w:color w:val="000000"/>
                <w:lang w:eastAsia="bg-BG"/>
              </w:rPr>
              <w:t>:</w:t>
            </w:r>
            <w:r w:rsidRPr="00FD56D2">
              <w:rPr>
                <w:rFonts w:eastAsia="Times New Roman" w:cs="Arial"/>
                <w:color w:val="000000"/>
                <w:lang w:eastAsia="bg-BG"/>
              </w:rPr>
              <w:tab/>
              <w:t>Метален вкус</w:t>
            </w:r>
          </w:p>
          <w:p w14:paraId="6B703E35" w14:textId="77777777" w:rsidR="00FD56D2" w:rsidRDefault="00FD56D2" w:rsidP="00FD56D2">
            <w:pPr>
              <w:spacing w:line="240" w:lineRule="auto"/>
              <w:rPr>
                <w:rFonts w:eastAsia="Times New Roman" w:cs="Arial"/>
                <w:b/>
                <w:bCs/>
                <w:color w:val="000000"/>
                <w:lang w:eastAsia="bg-BG"/>
              </w:rPr>
            </w:pPr>
          </w:p>
          <w:p w14:paraId="1E08673B" w14:textId="5C1D4F18"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Стомашно-чревни нарушения</w:t>
            </w:r>
          </w:p>
          <w:p w14:paraId="3D9DC9E3" w14:textId="14AE0AE4"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Много чести</w:t>
            </w:r>
            <w:r>
              <w:rPr>
                <w:rFonts w:eastAsia="Times New Roman" w:cs="Arial"/>
                <w:color w:val="000000"/>
                <w:lang w:eastAsia="bg-BG"/>
              </w:rPr>
              <w:t>:</w:t>
            </w:r>
            <w:r w:rsidRPr="00FD56D2">
              <w:rPr>
                <w:rFonts w:eastAsia="Times New Roman" w:cs="Arial"/>
                <w:color w:val="000000"/>
                <w:lang w:eastAsia="bg-BG"/>
              </w:rPr>
              <w:t xml:space="preserve"> Гадене, повръщане, диария, болка в корема и загуба на апетит </w:t>
            </w:r>
          </w:p>
          <w:p w14:paraId="44DC8D16" w14:textId="77777777" w:rsidR="00FD56D2" w:rsidRDefault="00FD56D2" w:rsidP="00FD56D2">
            <w:pPr>
              <w:spacing w:line="240" w:lineRule="auto"/>
              <w:rPr>
                <w:rFonts w:eastAsia="Times New Roman" w:cs="Arial"/>
                <w:b/>
                <w:bCs/>
                <w:color w:val="000000"/>
                <w:lang w:eastAsia="bg-BG"/>
              </w:rPr>
            </w:pPr>
          </w:p>
          <w:p w14:paraId="436D07D1" w14:textId="6956E002"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Хепатобилиарни нарушения</w:t>
            </w:r>
          </w:p>
          <w:p w14:paraId="3F622E0C" w14:textId="73E48D43"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Много редки</w:t>
            </w:r>
            <w:r>
              <w:rPr>
                <w:rFonts w:eastAsia="Times New Roman" w:cs="Arial"/>
                <w:color w:val="000000"/>
                <w:lang w:eastAsia="bg-BG"/>
              </w:rPr>
              <w:t>:</w:t>
            </w:r>
            <w:r w:rsidRPr="00FD56D2">
              <w:rPr>
                <w:rFonts w:eastAsia="Times New Roman" w:cs="Arial"/>
                <w:color w:val="000000"/>
                <w:lang w:eastAsia="bg-BG"/>
              </w:rPr>
              <w:t xml:space="preserve"> Отклонения в чернодробните функционални тестове или хепатит** </w:t>
            </w:r>
          </w:p>
          <w:p w14:paraId="2CD4F0AF" w14:textId="77777777" w:rsidR="00FD56D2" w:rsidRDefault="00FD56D2" w:rsidP="00FD56D2">
            <w:pPr>
              <w:spacing w:line="240" w:lineRule="auto"/>
              <w:rPr>
                <w:rFonts w:eastAsia="Times New Roman" w:cs="Arial"/>
                <w:color w:val="000000"/>
                <w:lang w:eastAsia="bg-BG"/>
              </w:rPr>
            </w:pPr>
          </w:p>
          <w:p w14:paraId="48D1BE68" w14:textId="348D53CF"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кожата или подкожната тъкан</w:t>
            </w:r>
          </w:p>
          <w:p w14:paraId="25784C95" w14:textId="220C4BA3" w:rsidR="00FD56D2" w:rsidRDefault="00FD56D2" w:rsidP="00FD56D2">
            <w:pPr>
              <w:spacing w:line="240" w:lineRule="auto"/>
              <w:rPr>
                <w:rFonts w:eastAsia="Times New Roman" w:cs="Arial"/>
              </w:rPr>
            </w:pPr>
            <w:r w:rsidRPr="00FD56D2">
              <w:rPr>
                <w:rFonts w:eastAsia="Times New Roman" w:cs="Arial"/>
                <w:color w:val="000000"/>
                <w:u w:val="single"/>
                <w:lang w:eastAsia="bg-BG"/>
              </w:rPr>
              <w:t>Много редки</w:t>
            </w:r>
            <w:r>
              <w:rPr>
                <w:rFonts w:eastAsia="Times New Roman" w:cs="Arial"/>
                <w:color w:val="000000"/>
                <w:u w:val="single"/>
                <w:lang w:eastAsia="bg-BG"/>
              </w:rPr>
              <w:t>:</w:t>
            </w:r>
            <w:r w:rsidRPr="00FD56D2">
              <w:rPr>
                <w:rFonts w:eastAsia="Times New Roman" w:cs="Arial"/>
                <w:color w:val="000000"/>
                <w:u w:val="single"/>
                <w:lang w:val="ru-RU"/>
              </w:rPr>
              <w:t xml:space="preserve"> </w:t>
            </w:r>
            <w:r w:rsidRPr="00FD56D2">
              <w:rPr>
                <w:rFonts w:eastAsia="Times New Roman" w:cs="Arial"/>
                <w:color w:val="000000"/>
                <w:u w:val="single"/>
                <w:lang w:eastAsia="bg-BG"/>
              </w:rPr>
              <w:t>Кожни реакции като еритема, пруритус и ургикария</w:t>
            </w:r>
          </w:p>
        </w:tc>
      </w:tr>
    </w:tbl>
    <w:p w14:paraId="79A9B1CF"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*Понижаване на абсорбцията на витамин В12 с понижаване на серумните нива е наблюдавано рядко при пациенти, лекувани с метформин за дълъг период от време. Трябва да се има предвид такава етиология, ако при пациента се развие мегалобластна анемия.</w:t>
      </w:r>
    </w:p>
    <w:p w14:paraId="7E173972"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**Наблюдавани са изолирани случаи на отклонения в изследванията на чернодробната функция или хепатит, които отшумяват след преустановяване на лечението.</w:t>
      </w:r>
    </w:p>
    <w:p w14:paraId="63711D3C" w14:textId="77777777" w:rsidR="00FD56D2" w:rsidRDefault="00FD56D2" w:rsidP="00FD56D2">
      <w:pPr>
        <w:spacing w:line="240" w:lineRule="auto"/>
        <w:rPr>
          <w:rFonts w:eastAsia="Times New Roman" w:cs="Arial"/>
          <w:color w:val="000000"/>
          <w:lang w:eastAsia="bg-BG"/>
        </w:rPr>
      </w:pPr>
    </w:p>
    <w:p w14:paraId="5C03D64E" w14:textId="6B7ADCAF" w:rsidR="00FD56D2" w:rsidRPr="00FD56D2" w:rsidRDefault="00FD56D2" w:rsidP="00FD56D2">
      <w:pPr>
        <w:spacing w:line="240" w:lineRule="auto"/>
        <w:rPr>
          <w:rFonts w:eastAsia="Times New Roman" w:cs="Arial"/>
        </w:rPr>
      </w:pPr>
      <w:r w:rsidRPr="00FD56D2">
        <w:rPr>
          <w:rFonts w:eastAsia="Times New Roman" w:cs="Arial"/>
          <w:color w:val="000000"/>
          <w:lang w:eastAsia="bg-BG"/>
        </w:rPr>
        <w:t>Стомашно-чревни нежелани реакции се появяват най-често при започване на лечението и в повечето случаи отшумяват спонтанно. За да се предотвратят се препоръчва метформин да се приема в 2 дози дневно по време на или след хранене. Бавното повишаване на дозата може също да подобри стомашно-чревната толерантност.</w:t>
      </w:r>
    </w:p>
    <w:p w14:paraId="7A7B6912" w14:textId="77777777" w:rsidR="00FD56D2" w:rsidRDefault="00FD56D2" w:rsidP="00FD56D2">
      <w:pPr>
        <w:spacing w:line="240" w:lineRule="auto"/>
        <w:rPr>
          <w:rFonts w:eastAsia="Times New Roman" w:cs="Arial"/>
          <w:color w:val="000000"/>
          <w:u w:val="single"/>
          <w:lang w:eastAsia="bg-BG"/>
        </w:rPr>
      </w:pPr>
    </w:p>
    <w:p w14:paraId="1A414CF9" w14:textId="27DD93CA"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Постмаркетингов опит</w:t>
      </w:r>
    </w:p>
    <w:p w14:paraId="35FC372D" w14:textId="77777777" w:rsidR="00FD56D2" w:rsidRDefault="00FD56D2" w:rsidP="00FD56D2">
      <w:pPr>
        <w:spacing w:line="240" w:lineRule="auto"/>
        <w:rPr>
          <w:rFonts w:eastAsia="Times New Roman" w:cs="Arial"/>
          <w:b/>
          <w:bCs/>
          <w:color w:val="000000"/>
          <w:lang w:eastAsia="bg-BG"/>
        </w:rPr>
      </w:pPr>
    </w:p>
    <w:p w14:paraId="31733B67" w14:textId="057B63C9" w:rsidR="00FD56D2" w:rsidRDefault="00FD56D2" w:rsidP="00FD56D2">
      <w:pPr>
        <w:spacing w:line="240" w:lineRule="auto"/>
        <w:rPr>
          <w:rFonts w:eastAsia="Times New Roman" w:cs="Arial"/>
          <w:b/>
          <w:bCs/>
          <w:color w:val="000000"/>
          <w:lang w:eastAsia="bg-BG"/>
        </w:rPr>
      </w:pPr>
      <w:r w:rsidRPr="00FD56D2">
        <w:rPr>
          <w:rFonts w:eastAsia="Times New Roman" w:cs="Arial"/>
          <w:b/>
          <w:bCs/>
          <w:color w:val="000000"/>
          <w:lang w:eastAsia="bg-BG"/>
        </w:rPr>
        <w:t>Таблица 6 Постмаркетиигови нежелани лекарствени реакции</w:t>
      </w:r>
    </w:p>
    <w:tbl>
      <w:tblPr>
        <w:tblStyle w:val="TableGrid"/>
        <w:tblW w:w="0" w:type="auto"/>
        <w:tblLook w:val="04A0" w:firstRow="1" w:lastRow="0" w:firstColumn="1" w:lastColumn="0" w:noHBand="0" w:noVBand="1"/>
      </w:tblPr>
      <w:tblGrid>
        <w:gridCol w:w="9350"/>
      </w:tblGrid>
      <w:tr w:rsidR="00FD56D2" w14:paraId="52873EBE" w14:textId="77777777" w:rsidTr="00FD56D2">
        <w:tc>
          <w:tcPr>
            <w:tcW w:w="9576" w:type="dxa"/>
          </w:tcPr>
          <w:p w14:paraId="799290A3" w14:textId="77777777"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Стомашно-чревни нарушения</w:t>
            </w:r>
          </w:p>
          <w:p w14:paraId="06C3ADD6" w14:textId="6BD9BF75" w:rsidR="00FD56D2" w:rsidRPr="00FD56D2" w:rsidRDefault="00FD56D2" w:rsidP="00FD56D2">
            <w:pPr>
              <w:spacing w:line="240" w:lineRule="auto"/>
              <w:rPr>
                <w:rFonts w:eastAsia="Times New Roman" w:cs="Arial"/>
              </w:rPr>
            </w:pPr>
            <w:r w:rsidRPr="00FD56D2">
              <w:rPr>
                <w:rFonts w:eastAsia="Times New Roman" w:cs="Arial"/>
                <w:color w:val="000000"/>
                <w:lang w:eastAsia="bg-BG"/>
              </w:rPr>
              <w:t>С неивестна</w:t>
            </w:r>
            <w:r>
              <w:rPr>
                <w:rFonts w:eastAsia="Times New Roman" w:cs="Arial"/>
                <w:color w:val="000000"/>
                <w:lang w:eastAsia="bg-BG"/>
              </w:rPr>
              <w:t>:</w:t>
            </w:r>
            <w:r w:rsidRPr="00FD56D2">
              <w:rPr>
                <w:rFonts w:eastAsia="Times New Roman" w:cs="Arial"/>
                <w:color w:val="000000"/>
                <w:lang w:eastAsia="bg-BG"/>
              </w:rPr>
              <w:t xml:space="preserve"> честота Панкреатит</w:t>
            </w:r>
          </w:p>
          <w:p w14:paraId="45502149" w14:textId="77777777" w:rsidR="00FD56D2" w:rsidRDefault="00FD56D2" w:rsidP="00FD56D2">
            <w:pPr>
              <w:spacing w:line="240" w:lineRule="auto"/>
              <w:rPr>
                <w:rFonts w:eastAsia="Times New Roman" w:cs="Arial"/>
                <w:b/>
                <w:bCs/>
                <w:color w:val="000000"/>
                <w:lang w:eastAsia="bg-BG"/>
              </w:rPr>
            </w:pPr>
          </w:p>
          <w:p w14:paraId="1BF09E85" w14:textId="62ED512D"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Чернодробни нарушения</w:t>
            </w:r>
          </w:p>
          <w:p w14:paraId="78FE1B7F" w14:textId="3A65BB93" w:rsidR="00FD56D2" w:rsidRPr="00FD56D2" w:rsidRDefault="00FD56D2" w:rsidP="00FD56D2">
            <w:pPr>
              <w:spacing w:line="240" w:lineRule="auto"/>
              <w:rPr>
                <w:rFonts w:eastAsia="Times New Roman" w:cs="Arial"/>
              </w:rPr>
            </w:pPr>
            <w:r w:rsidRPr="00FD56D2">
              <w:rPr>
                <w:rFonts w:eastAsia="Times New Roman" w:cs="Arial"/>
                <w:color w:val="000000"/>
                <w:lang w:eastAsia="bg-BG"/>
              </w:rPr>
              <w:t>С неизвестна честота</w:t>
            </w:r>
            <w:r>
              <w:rPr>
                <w:rFonts w:eastAsia="Times New Roman" w:cs="Arial"/>
                <w:color w:val="000000"/>
                <w:lang w:eastAsia="bg-BG"/>
              </w:rPr>
              <w:t>:</w:t>
            </w:r>
            <w:r w:rsidRPr="00FD56D2">
              <w:rPr>
                <w:rFonts w:eastAsia="Times New Roman" w:cs="Arial"/>
                <w:color w:val="000000"/>
                <w:lang w:eastAsia="bg-BG"/>
              </w:rPr>
              <w:t xml:space="preserve"> Хепатит (обратим след преустановяване на лечението с лекарствения продукт) Отклонения в чернодробните функционални тестове (обратим след преустановяване на лечението с лекарствения продукт)</w:t>
            </w:r>
          </w:p>
          <w:p w14:paraId="2D722C90" w14:textId="77777777" w:rsidR="00FD56D2" w:rsidRDefault="00FD56D2" w:rsidP="00FD56D2">
            <w:pPr>
              <w:spacing w:line="240" w:lineRule="auto"/>
              <w:rPr>
                <w:rFonts w:eastAsia="Times New Roman" w:cs="Arial"/>
                <w:b/>
                <w:bCs/>
                <w:color w:val="000000"/>
                <w:lang w:eastAsia="bg-BG"/>
              </w:rPr>
            </w:pPr>
            <w:bookmarkStart w:id="2" w:name="bookmark2"/>
          </w:p>
          <w:p w14:paraId="4771C668" w14:textId="2E19C39D"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мускулно-скелетната система и съединителната тъкан</w:t>
            </w:r>
            <w:bookmarkEnd w:id="2"/>
          </w:p>
          <w:p w14:paraId="72D55394" w14:textId="101F1C92" w:rsidR="00FD56D2" w:rsidRPr="00FD56D2" w:rsidRDefault="00FD56D2" w:rsidP="00FD56D2">
            <w:pPr>
              <w:spacing w:line="240" w:lineRule="auto"/>
              <w:rPr>
                <w:rFonts w:eastAsia="Times New Roman" w:cs="Arial"/>
              </w:rPr>
            </w:pPr>
            <w:r w:rsidRPr="00FD56D2">
              <w:rPr>
                <w:rFonts w:eastAsia="Times New Roman" w:cs="Arial"/>
                <w:color w:val="000000"/>
                <w:lang w:eastAsia="bg-BG"/>
              </w:rPr>
              <w:t>С неизвестна</w:t>
            </w:r>
            <w:r>
              <w:rPr>
                <w:rFonts w:eastAsia="Times New Roman" w:cs="Arial"/>
                <w:color w:val="000000"/>
                <w:lang w:eastAsia="bg-BG"/>
              </w:rPr>
              <w:t>:</w:t>
            </w:r>
            <w:r w:rsidRPr="00FD56D2">
              <w:rPr>
                <w:rFonts w:eastAsia="Times New Roman" w:cs="Arial"/>
                <w:color w:val="000000"/>
                <w:lang w:eastAsia="bg-BG"/>
              </w:rPr>
              <w:t xml:space="preserve"> честота Миалгия</w:t>
            </w:r>
          </w:p>
          <w:p w14:paraId="5C5A5642" w14:textId="77777777" w:rsidR="00FD56D2" w:rsidRDefault="00FD56D2" w:rsidP="00FD56D2">
            <w:pPr>
              <w:spacing w:line="240" w:lineRule="auto"/>
              <w:rPr>
                <w:rFonts w:eastAsia="Times New Roman" w:cs="Arial"/>
                <w:b/>
                <w:bCs/>
                <w:color w:val="000000"/>
                <w:lang w:eastAsia="bg-BG"/>
              </w:rPr>
            </w:pPr>
          </w:p>
          <w:p w14:paraId="7CF43FC3" w14:textId="10245194"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кожата и подкожната тъкан</w:t>
            </w:r>
          </w:p>
          <w:p w14:paraId="413F045D" w14:textId="5D4DE38A" w:rsidR="00FD56D2" w:rsidRP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С неизвестна честота</w:t>
            </w:r>
            <w:r>
              <w:rPr>
                <w:rFonts w:eastAsia="Times New Roman" w:cs="Arial"/>
                <w:color w:val="000000"/>
                <w:lang w:eastAsia="bg-BG"/>
              </w:rPr>
              <w:t>:</w:t>
            </w:r>
            <w:r w:rsidRPr="00FD56D2">
              <w:rPr>
                <w:rFonts w:eastAsia="Times New Roman" w:cs="Arial"/>
                <w:color w:val="000000"/>
                <w:lang w:eastAsia="bg-BG"/>
              </w:rPr>
              <w:t xml:space="preserve"> Уртикария</w:t>
            </w:r>
          </w:p>
          <w:p w14:paraId="1CF3DD8D" w14:textId="29974C9D" w:rsidR="00FD56D2" w:rsidRDefault="00FD56D2" w:rsidP="00FD56D2">
            <w:pPr>
              <w:spacing w:line="240" w:lineRule="auto"/>
              <w:rPr>
                <w:rFonts w:eastAsia="Times New Roman" w:cs="Arial"/>
              </w:rPr>
            </w:pPr>
            <w:r w:rsidRPr="00FD56D2">
              <w:rPr>
                <w:rFonts w:eastAsia="Times New Roman" w:cs="Arial"/>
                <w:color w:val="000000"/>
                <w:lang w:eastAsia="bg-BG"/>
              </w:rPr>
              <w:t xml:space="preserve">Ексфолиативни и булозни кожни лезии, включително булозен </w:t>
            </w:r>
            <w:r w:rsidRPr="00FD56D2">
              <w:rPr>
                <w:rFonts w:eastAsia="Times New Roman" w:cs="Arial"/>
                <w:color w:val="000000"/>
                <w:u w:val="single"/>
                <w:lang w:eastAsia="bg-BG"/>
              </w:rPr>
              <w:t>пемфигоид</w:t>
            </w:r>
          </w:p>
        </w:tc>
      </w:tr>
    </w:tbl>
    <w:p w14:paraId="69AFD974" w14:textId="1B92C92B" w:rsidR="00FD56D2" w:rsidRDefault="00FD56D2" w:rsidP="00FD56D2">
      <w:pPr>
        <w:spacing w:line="240" w:lineRule="auto"/>
        <w:rPr>
          <w:rFonts w:eastAsia="Times New Roman" w:cs="Arial"/>
        </w:rPr>
      </w:pPr>
    </w:p>
    <w:p w14:paraId="6E70ECEC" w14:textId="77777777"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lastRenderedPageBreak/>
        <w:t>Съобщаване на подозирани нежелани реакции</w:t>
      </w:r>
    </w:p>
    <w:p w14:paraId="7D3DFC43"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w:t>
      </w:r>
    </w:p>
    <w:p w14:paraId="2E18B799" w14:textId="77777777"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 xml:space="preserve">лекарствения продукт. От медицинските специалисти се изисква да съобщават всяка подозирана нежелана реакция чрез националната система за съобщаване: Изпълнителна агенция по лекарствата </w:t>
      </w:r>
    </w:p>
    <w:p w14:paraId="3CF26A6C" w14:textId="3AE9957D"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 xml:space="preserve">ул.,Дамян Груев” № 8, </w:t>
      </w:r>
    </w:p>
    <w:p w14:paraId="73E0CE90" w14:textId="111A671C" w:rsidR="00FD56D2" w:rsidRPr="00FD56D2" w:rsidRDefault="00FD56D2" w:rsidP="00FD56D2">
      <w:pPr>
        <w:spacing w:line="240" w:lineRule="auto"/>
        <w:rPr>
          <w:rFonts w:eastAsia="Times New Roman" w:cs="Arial"/>
        </w:rPr>
      </w:pPr>
      <w:r w:rsidRPr="00FD56D2">
        <w:rPr>
          <w:rFonts w:eastAsia="Times New Roman" w:cs="Arial"/>
          <w:color w:val="000000"/>
          <w:lang w:eastAsia="bg-BG"/>
        </w:rPr>
        <w:t>1303 София,</w:t>
      </w:r>
    </w:p>
    <w:p w14:paraId="78BD4C05" w14:textId="77777777"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 xml:space="preserve">Тел.: +359 2 8903417 </w:t>
      </w:r>
    </w:p>
    <w:p w14:paraId="12616832" w14:textId="61D9B9E4"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уебсайт: </w:t>
      </w:r>
      <w:r w:rsidRPr="00FD56D2">
        <w:rPr>
          <w:rFonts w:eastAsia="Times New Roman" w:cs="Arial"/>
        </w:rPr>
        <w:fldChar w:fldCharType="begin"/>
      </w:r>
      <w:r w:rsidRPr="00FD56D2">
        <w:rPr>
          <w:rFonts w:eastAsia="Times New Roman" w:cs="Arial"/>
        </w:rPr>
        <w:instrText xml:space="preserve"> HYPERLINK "http://www.bda.bg" </w:instrText>
      </w:r>
      <w:r w:rsidRPr="00FD56D2">
        <w:rPr>
          <w:rFonts w:eastAsia="Times New Roman" w:cs="Arial"/>
        </w:rPr>
      </w:r>
      <w:r w:rsidRPr="00FD56D2">
        <w:rPr>
          <w:rFonts w:eastAsia="Times New Roman" w:cs="Arial"/>
        </w:rPr>
        <w:fldChar w:fldCharType="separate"/>
      </w:r>
      <w:r w:rsidRPr="00FD56D2">
        <w:rPr>
          <w:rFonts w:eastAsia="Times New Roman" w:cs="Arial"/>
          <w:color w:val="000000"/>
          <w:u w:val="single"/>
          <w:lang w:val="en-US"/>
        </w:rPr>
        <w:t>www</w:t>
      </w:r>
      <w:r w:rsidRPr="00FD56D2">
        <w:rPr>
          <w:rFonts w:eastAsia="Times New Roman" w:cs="Arial"/>
          <w:color w:val="000000"/>
          <w:u w:val="single"/>
          <w:lang w:val="ru-RU"/>
        </w:rPr>
        <w:t>.</w:t>
      </w:r>
      <w:proofErr w:type="spellStart"/>
      <w:r w:rsidRPr="00FD56D2">
        <w:rPr>
          <w:rFonts w:eastAsia="Times New Roman" w:cs="Arial"/>
          <w:color w:val="000000"/>
          <w:u w:val="single"/>
          <w:lang w:val="en-US"/>
        </w:rPr>
        <w:t>bda</w:t>
      </w:r>
      <w:proofErr w:type="spellEnd"/>
      <w:r w:rsidRPr="00FD56D2">
        <w:rPr>
          <w:rFonts w:eastAsia="Times New Roman" w:cs="Arial"/>
          <w:color w:val="000000"/>
          <w:u w:val="single"/>
          <w:lang w:val="ru-RU"/>
        </w:rPr>
        <w:t>.</w:t>
      </w:r>
      <w:proofErr w:type="spellStart"/>
      <w:r w:rsidRPr="00FD56D2">
        <w:rPr>
          <w:rFonts w:eastAsia="Times New Roman" w:cs="Arial"/>
          <w:color w:val="000000"/>
          <w:u w:val="single"/>
          <w:lang w:val="en-US"/>
        </w:rPr>
        <w:t>bg</w:t>
      </w:r>
      <w:proofErr w:type="spellEnd"/>
      <w:r w:rsidRPr="00FD56D2">
        <w:rPr>
          <w:rFonts w:eastAsia="Times New Roman" w:cs="Arial"/>
        </w:rPr>
        <w:fldChar w:fldCharType="end"/>
      </w:r>
    </w:p>
    <w:p w14:paraId="693C2C31" w14:textId="77777777" w:rsidR="00FD56D2" w:rsidRPr="00FD56D2" w:rsidRDefault="00FD56D2" w:rsidP="00FD56D2">
      <w:pPr>
        <w:spacing w:line="240" w:lineRule="auto"/>
        <w:rPr>
          <w:rFonts w:eastAsia="Times New Roman" w:cs="Arial"/>
        </w:rPr>
      </w:pPr>
    </w:p>
    <w:p w14:paraId="0A023CE0" w14:textId="05484499" w:rsidR="00CF77F7" w:rsidRDefault="002C50EE" w:rsidP="004A448E">
      <w:pPr>
        <w:pStyle w:val="Heading2"/>
      </w:pPr>
      <w:r>
        <w:t>4.9. Предозиране</w:t>
      </w:r>
    </w:p>
    <w:p w14:paraId="407C5728" w14:textId="7D286E7F" w:rsidR="00FD56D2" w:rsidRDefault="00FD56D2" w:rsidP="00FD56D2"/>
    <w:p w14:paraId="1D9F1823"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Няма налични данни по отношение на предозиране с вилдаглиптин/метформин.</w:t>
      </w:r>
    </w:p>
    <w:p w14:paraId="3C928DD4" w14:textId="77777777" w:rsidR="00FD56D2" w:rsidRDefault="00FD56D2" w:rsidP="00FD56D2">
      <w:pPr>
        <w:spacing w:line="240" w:lineRule="auto"/>
        <w:rPr>
          <w:rFonts w:eastAsia="Times New Roman" w:cs="Arial"/>
          <w:i/>
          <w:iCs/>
          <w:color w:val="000000"/>
          <w:lang w:eastAsia="bg-BG"/>
        </w:rPr>
      </w:pPr>
    </w:p>
    <w:p w14:paraId="7B6DAFA8" w14:textId="2FD940AA"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Вилдаглиптин</w:t>
      </w:r>
    </w:p>
    <w:p w14:paraId="39F8C208"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Информацията по отношение на предозиране с вилдаглиптин е ограничена.</w:t>
      </w:r>
    </w:p>
    <w:p w14:paraId="0CDB8B6D" w14:textId="77777777" w:rsidR="00FD56D2" w:rsidRDefault="00FD56D2" w:rsidP="00FD56D2">
      <w:pPr>
        <w:spacing w:line="240" w:lineRule="auto"/>
        <w:rPr>
          <w:rFonts w:eastAsia="Times New Roman" w:cs="Arial"/>
          <w:color w:val="000000"/>
          <w:u w:val="single"/>
          <w:lang w:eastAsia="bg-BG"/>
        </w:rPr>
      </w:pPr>
    </w:p>
    <w:p w14:paraId="17388C71" w14:textId="5D57D036" w:rsidR="00FD56D2" w:rsidRPr="00FD56D2" w:rsidRDefault="00FD56D2" w:rsidP="00FD56D2">
      <w:pPr>
        <w:pStyle w:val="Heading3"/>
        <w:rPr>
          <w:rFonts w:eastAsia="Times New Roman"/>
          <w:u w:val="single"/>
        </w:rPr>
      </w:pPr>
      <w:r w:rsidRPr="00FD56D2">
        <w:rPr>
          <w:rFonts w:eastAsia="Times New Roman"/>
          <w:u w:val="single"/>
          <w:lang w:eastAsia="bg-BG"/>
        </w:rPr>
        <w:t>Симптоми</w:t>
      </w:r>
    </w:p>
    <w:p w14:paraId="6F70953A"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Информацията за симптомите при предозиране с вилдаглиптин е получена от проучване за поносимост на увеличаваща се доза при здрави индивиди, на които е прилаган вилдаглиптин за 10 дни. При доза от 400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има три случая на мускулна болка и индивидуални случаи на лека и преходна парестезия, треска, оток и преходно повишение на липазните нива. При доза от 600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при един пациент е наблюдаван оток на краката и ръцете и повишени нива на креатинин фосфокиназата (СРК), </w:t>
      </w:r>
      <w:r w:rsidRPr="00FD56D2">
        <w:rPr>
          <w:rFonts w:eastAsia="Times New Roman" w:cs="Arial"/>
          <w:color w:val="000000"/>
          <w:lang w:val="en-US"/>
        </w:rPr>
        <w:t>AST</w:t>
      </w:r>
      <w:r w:rsidRPr="00FD56D2">
        <w:rPr>
          <w:rFonts w:eastAsia="Times New Roman" w:cs="Arial"/>
          <w:color w:val="000000"/>
          <w:lang w:val="ru-RU"/>
        </w:rPr>
        <w:t xml:space="preserve">, </w:t>
      </w:r>
      <w:r w:rsidRPr="00FD56D2">
        <w:rPr>
          <w:rFonts w:eastAsia="Times New Roman" w:cs="Arial"/>
          <w:color w:val="000000"/>
          <w:lang w:eastAsia="bg-BG"/>
        </w:rPr>
        <w:t xml:space="preserve">С-реактивен протеин </w:t>
      </w:r>
      <w:r w:rsidRPr="00FD56D2">
        <w:rPr>
          <w:rFonts w:eastAsia="Times New Roman" w:cs="Arial"/>
          <w:color w:val="000000"/>
          <w:lang w:val="ru-RU"/>
        </w:rPr>
        <w:t>(</w:t>
      </w:r>
      <w:r w:rsidRPr="00FD56D2">
        <w:rPr>
          <w:rFonts w:eastAsia="Times New Roman" w:cs="Arial"/>
          <w:color w:val="000000"/>
          <w:lang w:val="en-US"/>
        </w:rPr>
        <w:t>CRP</w:t>
      </w:r>
      <w:r w:rsidRPr="00FD56D2">
        <w:rPr>
          <w:rFonts w:eastAsia="Times New Roman" w:cs="Arial"/>
          <w:color w:val="000000"/>
          <w:lang w:val="ru-RU"/>
        </w:rPr>
        <w:t xml:space="preserve">) </w:t>
      </w:r>
      <w:r w:rsidRPr="00FD56D2">
        <w:rPr>
          <w:rFonts w:eastAsia="Times New Roman" w:cs="Arial"/>
          <w:color w:val="000000"/>
          <w:lang w:eastAsia="bg-BG"/>
        </w:rPr>
        <w:t>и миоглобин.</w:t>
      </w:r>
    </w:p>
    <w:p w14:paraId="4D19CB87"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При трима други субекти е наблюдаван оток на краката с парестезия в два от случаите. Всички симптоми и отклонения в лабораторните показатели са отзвучали без лечение след преустановяване на проучвания лекарствен продукт.</w:t>
      </w:r>
    </w:p>
    <w:p w14:paraId="26A09632" w14:textId="77777777" w:rsidR="00FD56D2" w:rsidRDefault="00FD56D2" w:rsidP="00FD56D2">
      <w:pPr>
        <w:spacing w:line="240" w:lineRule="auto"/>
        <w:rPr>
          <w:rFonts w:eastAsia="Times New Roman" w:cs="Arial"/>
          <w:i/>
          <w:iCs/>
          <w:color w:val="000000"/>
          <w:lang w:eastAsia="bg-BG"/>
        </w:rPr>
      </w:pPr>
    </w:p>
    <w:p w14:paraId="71A1E4D0" w14:textId="5D8085F9"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Метформин</w:t>
      </w:r>
    </w:p>
    <w:p w14:paraId="6AD3F98B"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Предозиране с висока доза метформин (или съпътстващ риск от лактатна ацидоза) може да доведе до лактатна ацидоза, която представлява спешно състояние и трябва да бъде лекувана в болница.</w:t>
      </w:r>
    </w:p>
    <w:p w14:paraId="434EF64B" w14:textId="77777777" w:rsidR="00FD56D2" w:rsidRDefault="00FD56D2" w:rsidP="00FD56D2">
      <w:pPr>
        <w:spacing w:line="240" w:lineRule="auto"/>
        <w:rPr>
          <w:rFonts w:eastAsia="Times New Roman" w:cs="Arial"/>
          <w:color w:val="000000"/>
          <w:u w:val="single"/>
          <w:lang w:eastAsia="bg-BG"/>
        </w:rPr>
      </w:pPr>
    </w:p>
    <w:p w14:paraId="61193E9B" w14:textId="79AED5DA" w:rsidR="00FD56D2" w:rsidRPr="00FD56D2" w:rsidRDefault="00FD56D2" w:rsidP="00FD56D2">
      <w:pPr>
        <w:pStyle w:val="Heading3"/>
        <w:rPr>
          <w:rFonts w:eastAsia="Times New Roman"/>
          <w:u w:val="single"/>
        </w:rPr>
      </w:pPr>
      <w:r w:rsidRPr="00FD56D2">
        <w:rPr>
          <w:rFonts w:eastAsia="Times New Roman"/>
          <w:u w:val="single"/>
          <w:lang w:eastAsia="bg-BG"/>
        </w:rPr>
        <w:t>Лечение</w:t>
      </w:r>
    </w:p>
    <w:p w14:paraId="1323FD98" w14:textId="2083BCEB" w:rsidR="00FD56D2" w:rsidRPr="00FD56D2" w:rsidRDefault="00FD56D2" w:rsidP="00FD56D2">
      <w:pPr>
        <w:rPr>
          <w:rFonts w:cs="Arial"/>
        </w:rPr>
      </w:pPr>
      <w:r w:rsidRPr="00FD56D2">
        <w:rPr>
          <w:rFonts w:eastAsia="Times New Roman" w:cs="Arial"/>
          <w:color w:val="000000"/>
          <w:lang w:eastAsia="bg-BG"/>
        </w:rPr>
        <w:t xml:space="preserve">Най-ефективният метод за отстраняване на метформин е чрез хемодиализа. Въпреки това, вилдаглиптин не може да бъде отстранен чрез хемодиализа, независимо че основният му метаболит след хидролиза </w:t>
      </w:r>
      <w:r w:rsidRPr="00FD56D2">
        <w:rPr>
          <w:rFonts w:eastAsia="Times New Roman" w:cs="Arial"/>
          <w:color w:val="000000"/>
          <w:lang w:val="ru-RU"/>
        </w:rPr>
        <w:t>(</w:t>
      </w:r>
      <w:r w:rsidRPr="00FD56D2">
        <w:rPr>
          <w:rFonts w:eastAsia="Times New Roman" w:cs="Arial"/>
          <w:color w:val="000000"/>
          <w:lang w:val="en-US"/>
        </w:rPr>
        <w:t>LAY</w:t>
      </w:r>
      <w:r w:rsidRPr="00FD56D2">
        <w:rPr>
          <w:rFonts w:eastAsia="Times New Roman" w:cs="Arial"/>
          <w:color w:val="000000"/>
          <w:lang w:val="ru-RU"/>
        </w:rPr>
        <w:t xml:space="preserve"> </w:t>
      </w:r>
      <w:r w:rsidRPr="00FD56D2">
        <w:rPr>
          <w:rFonts w:eastAsia="Times New Roman" w:cs="Arial"/>
          <w:color w:val="000000"/>
          <w:lang w:eastAsia="bg-BG"/>
        </w:rPr>
        <w:t>151) може. Препоръчва се поддържащо лечение.</w:t>
      </w:r>
    </w:p>
    <w:p w14:paraId="02081B24" w14:textId="1F46E296" w:rsidR="00395555" w:rsidRPr="00395555" w:rsidRDefault="002C50EE" w:rsidP="008A6AF2">
      <w:pPr>
        <w:pStyle w:val="Heading1"/>
      </w:pPr>
      <w:r>
        <w:t>5. ФАРМАКОЛОГИЧНИ СВОЙСТВА</w:t>
      </w:r>
    </w:p>
    <w:p w14:paraId="32B6DE66" w14:textId="474B7CE1" w:rsidR="00CF77F7" w:rsidRDefault="002C50EE" w:rsidP="004A448E">
      <w:pPr>
        <w:pStyle w:val="Heading2"/>
      </w:pPr>
      <w:r>
        <w:t>5.1. Фармакодинамични свойства</w:t>
      </w:r>
    </w:p>
    <w:p w14:paraId="36029137" w14:textId="1B89BDC7" w:rsidR="00FD56D2" w:rsidRDefault="00FD56D2" w:rsidP="00FD56D2"/>
    <w:p w14:paraId="15C60F4A"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Фармакотерапевтична група: Лекарства, използвани при диабет, комбинации от перорални понижаващи кръвната захар лекарства, АТС код: </w:t>
      </w:r>
      <w:r w:rsidRPr="00FD56D2">
        <w:rPr>
          <w:rFonts w:eastAsia="Times New Roman" w:cs="Arial"/>
          <w:color w:val="000000"/>
          <w:lang w:val="en-US"/>
        </w:rPr>
        <w:t>A</w:t>
      </w:r>
      <w:r w:rsidRPr="00FD56D2">
        <w:rPr>
          <w:rFonts w:eastAsia="Times New Roman" w:cs="Arial"/>
          <w:color w:val="000000"/>
          <w:lang w:val="ru-RU"/>
        </w:rPr>
        <w:t>10</w:t>
      </w:r>
      <w:r w:rsidRPr="00FD56D2">
        <w:rPr>
          <w:rFonts w:eastAsia="Times New Roman" w:cs="Arial"/>
          <w:color w:val="000000"/>
          <w:lang w:val="en-US"/>
        </w:rPr>
        <w:t>BD</w:t>
      </w:r>
      <w:r w:rsidRPr="00FD56D2">
        <w:rPr>
          <w:rFonts w:eastAsia="Times New Roman" w:cs="Arial"/>
          <w:color w:val="000000"/>
          <w:lang w:val="ru-RU"/>
        </w:rPr>
        <w:t>08</w:t>
      </w:r>
    </w:p>
    <w:p w14:paraId="29BC1E99" w14:textId="77777777" w:rsidR="00FD56D2" w:rsidRDefault="00FD56D2" w:rsidP="00FD56D2">
      <w:pPr>
        <w:spacing w:line="240" w:lineRule="auto"/>
        <w:rPr>
          <w:rFonts w:eastAsia="Times New Roman" w:cs="Arial"/>
          <w:color w:val="000000"/>
          <w:u w:val="single"/>
          <w:lang w:eastAsia="bg-BG"/>
        </w:rPr>
      </w:pPr>
    </w:p>
    <w:p w14:paraId="6A453CFB" w14:textId="22DD957A"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lastRenderedPageBreak/>
        <w:t>Механизъм на действие</w:t>
      </w:r>
    </w:p>
    <w:p w14:paraId="7D4164BD"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ДАЛТЕКС комбинира два антихипергликемични агента с взаимно допълващи се механизми на действие за подобряване на гликемичния контрол при пациенти с диабет тип 2: вилдаглиптин, представител на класа лекарствени продукти, стимулиращи клетките в островите на панкреаса, и метформин, представител на класа на бигвандиниге.</w:t>
      </w:r>
    </w:p>
    <w:p w14:paraId="60EA9832" w14:textId="77777777" w:rsidR="00FD56D2" w:rsidRDefault="00FD56D2" w:rsidP="00FD56D2">
      <w:pPr>
        <w:spacing w:line="240" w:lineRule="auto"/>
        <w:rPr>
          <w:rFonts w:eastAsia="Times New Roman" w:cs="Arial"/>
          <w:color w:val="000000"/>
          <w:lang w:eastAsia="bg-BG"/>
        </w:rPr>
      </w:pPr>
    </w:p>
    <w:p w14:paraId="50C294A7" w14:textId="195805FE" w:rsidR="00FD56D2" w:rsidRPr="00FD56D2" w:rsidRDefault="00FD56D2" w:rsidP="00FD56D2">
      <w:pPr>
        <w:spacing w:line="240" w:lineRule="auto"/>
        <w:rPr>
          <w:rFonts w:eastAsia="Times New Roman" w:cs="Arial"/>
        </w:rPr>
      </w:pPr>
      <w:r w:rsidRPr="00FD56D2">
        <w:rPr>
          <w:rFonts w:eastAsia="Times New Roman" w:cs="Arial"/>
          <w:color w:val="000000"/>
          <w:lang w:eastAsia="bg-BG"/>
        </w:rPr>
        <w:t>Вилдаглиптин, представител на класа лекарствени продукти, стимулиращи клетките в</w:t>
      </w:r>
      <w:r w:rsidRPr="00FD56D2">
        <w:rPr>
          <w:rFonts w:eastAsia="Times New Roman" w:cs="Arial"/>
          <w:color w:val="000000"/>
          <w:u w:val="single"/>
          <w:lang w:eastAsia="bg-BG"/>
        </w:rPr>
        <w:t xml:space="preserve"> </w:t>
      </w:r>
      <w:r w:rsidRPr="00FD56D2">
        <w:rPr>
          <w:rFonts w:eastAsia="Times New Roman" w:cs="Arial"/>
          <w:color w:val="000000"/>
          <w:lang w:eastAsia="bg-BG"/>
        </w:rPr>
        <w:t>островите на панкреаса е мощен и селективен дипептидил-пептидаза-4 (</w:t>
      </w:r>
      <w:r w:rsidRPr="00FD56D2">
        <w:rPr>
          <w:rFonts w:eastAsia="Times New Roman" w:cs="Arial"/>
          <w:color w:val="000000"/>
          <w:lang w:val="en-US"/>
        </w:rPr>
        <w:t>DDP</w:t>
      </w:r>
      <w:r w:rsidRPr="00FD56D2">
        <w:rPr>
          <w:rFonts w:eastAsia="Times New Roman" w:cs="Arial"/>
          <w:color w:val="000000"/>
          <w:lang w:val="ru-RU"/>
        </w:rPr>
        <w:t xml:space="preserve">-4) </w:t>
      </w:r>
      <w:r w:rsidRPr="00FD56D2">
        <w:rPr>
          <w:rFonts w:eastAsia="Times New Roman" w:cs="Arial"/>
          <w:color w:val="000000"/>
          <w:lang w:eastAsia="bg-BG"/>
        </w:rPr>
        <w:t>инхибитор Метформин действа предимно като понижава ендогенното образуване на глюкоза в черния Дроб.</w:t>
      </w:r>
    </w:p>
    <w:p w14:paraId="2CD8EF10" w14:textId="77777777" w:rsidR="00FD56D2" w:rsidRDefault="00FD56D2" w:rsidP="00FD56D2">
      <w:pPr>
        <w:spacing w:line="240" w:lineRule="auto"/>
        <w:rPr>
          <w:rFonts w:eastAsia="Times New Roman" w:cs="Arial"/>
          <w:color w:val="000000"/>
          <w:u w:val="single"/>
          <w:lang w:eastAsia="bg-BG"/>
        </w:rPr>
      </w:pPr>
    </w:p>
    <w:p w14:paraId="53CDBD62" w14:textId="1AE70C8B"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Фармакодинамичнн ефекти</w:t>
      </w:r>
    </w:p>
    <w:p w14:paraId="16E735F7" w14:textId="1F04EC39"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Вилдаглиптин</w:t>
      </w:r>
    </w:p>
    <w:p w14:paraId="0E424A1F" w14:textId="30EE8CAE" w:rsidR="00FD56D2" w:rsidRDefault="00FD56D2" w:rsidP="00FD56D2"/>
    <w:p w14:paraId="55225DE7"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Вилдаглиптин действа основно като инхибира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 xml:space="preserve">ензимът, отговорен за разграждането на инкретиновите хормони </w:t>
      </w:r>
      <w:r w:rsidRPr="00FD56D2">
        <w:rPr>
          <w:rFonts w:eastAsia="Times New Roman" w:cs="Arial"/>
          <w:color w:val="000000"/>
          <w:lang w:val="en-US"/>
        </w:rPr>
        <w:t>GLP</w:t>
      </w:r>
      <w:r w:rsidRPr="00FD56D2">
        <w:rPr>
          <w:rFonts w:eastAsia="Times New Roman" w:cs="Arial"/>
          <w:color w:val="000000"/>
          <w:lang w:val="ru-RU"/>
        </w:rPr>
        <w:t xml:space="preserve">-1 </w:t>
      </w:r>
      <w:r w:rsidRPr="00FD56D2">
        <w:rPr>
          <w:rFonts w:eastAsia="Times New Roman" w:cs="Arial"/>
          <w:color w:val="000000"/>
          <w:lang w:eastAsia="bg-BG"/>
        </w:rPr>
        <w:t xml:space="preserve">(глюкагон подобен пептид-1) и </w:t>
      </w:r>
      <w:r w:rsidRPr="00FD56D2">
        <w:rPr>
          <w:rFonts w:eastAsia="Times New Roman" w:cs="Arial"/>
          <w:color w:val="000000"/>
          <w:lang w:val="en-US"/>
        </w:rPr>
        <w:t>GIP</w:t>
      </w:r>
      <w:r w:rsidRPr="00FD56D2">
        <w:rPr>
          <w:rFonts w:eastAsia="Times New Roman" w:cs="Arial"/>
          <w:color w:val="000000"/>
          <w:lang w:val="ru-RU"/>
        </w:rPr>
        <w:t xml:space="preserve"> </w:t>
      </w:r>
      <w:r w:rsidRPr="00FD56D2">
        <w:rPr>
          <w:rFonts w:eastAsia="Times New Roman" w:cs="Arial"/>
          <w:color w:val="000000"/>
          <w:lang w:eastAsia="bg-BG"/>
        </w:rPr>
        <w:t>(глюкозозависим инсулинотропен полипептид).</w:t>
      </w:r>
    </w:p>
    <w:p w14:paraId="77F3A494" w14:textId="77777777" w:rsidR="00FD56D2" w:rsidRDefault="00FD56D2" w:rsidP="00FD56D2">
      <w:pPr>
        <w:spacing w:line="240" w:lineRule="auto"/>
        <w:rPr>
          <w:rFonts w:eastAsia="Times New Roman" w:cs="Arial"/>
          <w:color w:val="000000"/>
          <w:lang w:eastAsia="bg-BG"/>
        </w:rPr>
      </w:pPr>
    </w:p>
    <w:p w14:paraId="22795BE2" w14:textId="450BFCF2"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Приложението на вилдаглиптин води до бързо и пълно инхибиране на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 xml:space="preserve">активността, в резултат на което се повишават ендогенните нива на инкретиновите хормони </w:t>
      </w:r>
      <w:r w:rsidRPr="00FD56D2">
        <w:rPr>
          <w:rFonts w:eastAsia="Times New Roman" w:cs="Arial"/>
          <w:color w:val="000000"/>
          <w:lang w:val="en-US"/>
        </w:rPr>
        <w:t>GLP</w:t>
      </w:r>
      <w:r w:rsidRPr="00FD56D2">
        <w:rPr>
          <w:rFonts w:eastAsia="Times New Roman" w:cs="Arial"/>
          <w:color w:val="000000"/>
          <w:lang w:val="ru-RU"/>
        </w:rPr>
        <w:t xml:space="preserve">-1 </w:t>
      </w:r>
      <w:r w:rsidRPr="00FD56D2">
        <w:rPr>
          <w:rFonts w:eastAsia="Times New Roman" w:cs="Arial"/>
          <w:color w:val="000000"/>
          <w:lang w:eastAsia="bg-BG"/>
        </w:rPr>
        <w:t xml:space="preserve">и </w:t>
      </w:r>
      <w:r w:rsidRPr="00FD56D2">
        <w:rPr>
          <w:rFonts w:eastAsia="Times New Roman" w:cs="Arial"/>
          <w:color w:val="000000"/>
          <w:lang w:val="en-US"/>
        </w:rPr>
        <w:t>GIP</w:t>
      </w:r>
      <w:r w:rsidRPr="00FD56D2">
        <w:rPr>
          <w:rFonts w:eastAsia="Times New Roman" w:cs="Arial"/>
          <w:color w:val="000000"/>
          <w:lang w:val="ru-RU"/>
        </w:rPr>
        <w:t>.</w:t>
      </w:r>
    </w:p>
    <w:p w14:paraId="1B7CC808" w14:textId="77777777" w:rsidR="00FD56D2" w:rsidRDefault="00FD56D2" w:rsidP="00FD56D2">
      <w:pPr>
        <w:spacing w:line="240" w:lineRule="auto"/>
        <w:rPr>
          <w:rFonts w:eastAsia="Times New Roman" w:cs="Arial"/>
          <w:color w:val="000000"/>
          <w:lang w:eastAsia="bg-BG"/>
        </w:rPr>
      </w:pPr>
    </w:p>
    <w:p w14:paraId="24C6B556" w14:textId="58FDCBB5"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Чрез повишаване на ендогенните нива на тези инкретинови хормони, вилдаглиптин повишава чувствителността на бета клетките към кръвната захар, което води до подобряване на глюкозо- зависимата инсулинова секреция. Лечението с вилдаглиптин 50-100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при пациенти със захарен диабет тип 2 значимо подобрява маркерите на бета клетъчната функция, които включват НОМА-β </w:t>
      </w:r>
      <w:r w:rsidRPr="00FD56D2">
        <w:rPr>
          <w:rFonts w:eastAsia="Times New Roman" w:cs="Arial"/>
          <w:color w:val="000000"/>
          <w:lang w:val="ru-RU"/>
        </w:rPr>
        <w:t>(</w:t>
      </w:r>
      <w:r w:rsidRPr="00FD56D2">
        <w:rPr>
          <w:rFonts w:eastAsia="Times New Roman" w:cs="Arial"/>
          <w:color w:val="000000"/>
          <w:lang w:val="en-US"/>
        </w:rPr>
        <w:t>Homeostasis</w:t>
      </w:r>
      <w:r w:rsidRPr="00FD56D2">
        <w:rPr>
          <w:rFonts w:eastAsia="Times New Roman" w:cs="Arial"/>
          <w:color w:val="000000"/>
          <w:lang w:val="ru-RU"/>
        </w:rPr>
        <w:t xml:space="preserve"> </w:t>
      </w:r>
      <w:r w:rsidRPr="00FD56D2">
        <w:rPr>
          <w:rFonts w:eastAsia="Times New Roman" w:cs="Arial"/>
          <w:color w:val="000000"/>
          <w:lang w:val="en-US"/>
        </w:rPr>
        <w:t>Model</w:t>
      </w:r>
      <w:r w:rsidRPr="00FD56D2">
        <w:rPr>
          <w:rFonts w:eastAsia="Times New Roman" w:cs="Arial"/>
          <w:color w:val="000000"/>
          <w:lang w:val="ru-RU"/>
        </w:rPr>
        <w:t xml:space="preserve"> </w:t>
      </w:r>
      <w:r w:rsidRPr="00FD56D2">
        <w:rPr>
          <w:rFonts w:eastAsia="Times New Roman" w:cs="Arial"/>
          <w:color w:val="000000"/>
          <w:lang w:val="en-US"/>
        </w:rPr>
        <w:t>Assessment</w:t>
      </w:r>
      <w:r w:rsidRPr="00FD56D2">
        <w:rPr>
          <w:rFonts w:eastAsia="Times New Roman" w:cs="Arial"/>
          <w:color w:val="000000"/>
          <w:lang w:val="ru-RU"/>
        </w:rPr>
        <w:t>-</w:t>
      </w:r>
      <w:r w:rsidRPr="00FD56D2">
        <w:rPr>
          <w:rFonts w:eastAsia="Times New Roman" w:cs="Arial"/>
          <w:color w:val="000000"/>
          <w:lang w:eastAsia="bg-BG"/>
        </w:rPr>
        <w:t>β</w:t>
      </w:r>
      <w:r w:rsidRPr="00FD56D2">
        <w:rPr>
          <w:rFonts w:eastAsia="Times New Roman" w:cs="Arial"/>
          <w:color w:val="000000"/>
          <w:lang w:val="ru-RU"/>
        </w:rPr>
        <w:t xml:space="preserve">), </w:t>
      </w:r>
      <w:r w:rsidRPr="00FD56D2">
        <w:rPr>
          <w:rFonts w:eastAsia="Times New Roman" w:cs="Arial"/>
          <w:color w:val="000000"/>
          <w:lang w:eastAsia="bg-BG"/>
        </w:rPr>
        <w:t>съотношението проинсулин към инсулин и измерването на реактивността на бета клетките при теста за толерантност при често даване на храна. При индивиди, които не страдат от диабет (нормогликемия), вилдаглиптин не стимулира секрецията на инсулин и не намалява нивото на кръвната захар.</w:t>
      </w:r>
    </w:p>
    <w:p w14:paraId="6D1AE9B1" w14:textId="77777777" w:rsidR="00FD56D2" w:rsidRDefault="00FD56D2" w:rsidP="00FD56D2">
      <w:pPr>
        <w:spacing w:line="240" w:lineRule="auto"/>
        <w:rPr>
          <w:rFonts w:eastAsia="Times New Roman" w:cs="Arial"/>
          <w:color w:val="000000"/>
          <w:lang w:eastAsia="bg-BG"/>
        </w:rPr>
      </w:pPr>
    </w:p>
    <w:p w14:paraId="76275B9C" w14:textId="1D129640"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Чрез повишаване на ендогенното ниво на </w:t>
      </w:r>
      <w:r w:rsidRPr="00FD56D2">
        <w:rPr>
          <w:rFonts w:eastAsia="Times New Roman" w:cs="Arial"/>
          <w:color w:val="000000"/>
          <w:lang w:val="en-US"/>
        </w:rPr>
        <w:t>GLP</w:t>
      </w:r>
      <w:r w:rsidRPr="00FD56D2">
        <w:rPr>
          <w:rFonts w:eastAsia="Times New Roman" w:cs="Arial"/>
          <w:color w:val="000000"/>
          <w:lang w:val="ru-RU"/>
        </w:rPr>
        <w:t xml:space="preserve">-1 </w:t>
      </w:r>
      <w:r w:rsidRPr="00FD56D2">
        <w:rPr>
          <w:rFonts w:eastAsia="Times New Roman" w:cs="Arial"/>
          <w:color w:val="000000"/>
          <w:lang w:eastAsia="bg-BG"/>
        </w:rPr>
        <w:t>вилдаглиптин повишава чувствителността на алфа клетките към кръвната захар, което води до по-адекватна на кръвната захар секреция на глюкагон.</w:t>
      </w:r>
    </w:p>
    <w:p w14:paraId="33D978F5" w14:textId="77777777" w:rsidR="00FD56D2" w:rsidRDefault="00FD56D2" w:rsidP="00FD56D2">
      <w:pPr>
        <w:spacing w:line="240" w:lineRule="auto"/>
        <w:rPr>
          <w:rFonts w:eastAsia="Times New Roman" w:cs="Arial"/>
          <w:color w:val="000000"/>
          <w:lang w:eastAsia="bg-BG"/>
        </w:rPr>
      </w:pPr>
    </w:p>
    <w:p w14:paraId="5EF278CA" w14:textId="3C842057" w:rsidR="00FD56D2" w:rsidRPr="00FD56D2" w:rsidRDefault="00FD56D2" w:rsidP="00FD56D2">
      <w:pPr>
        <w:spacing w:line="240" w:lineRule="auto"/>
        <w:rPr>
          <w:rFonts w:eastAsia="Times New Roman" w:cs="Arial"/>
        </w:rPr>
      </w:pPr>
      <w:r w:rsidRPr="00FD56D2">
        <w:rPr>
          <w:rFonts w:eastAsia="Times New Roman" w:cs="Arial"/>
          <w:color w:val="000000"/>
          <w:lang w:eastAsia="bg-BG"/>
        </w:rPr>
        <w:t>Повишаването на инкретиновите хормони в условията на хипергликемия води до засилено увеличаване на съотношението инсулин/глкжагон и намаляване продукцията на глюкоза от черния дроб, както на гладно, така и след хранене, с което се намалява гликемията.</w:t>
      </w:r>
    </w:p>
    <w:p w14:paraId="1F3402B1" w14:textId="77777777" w:rsidR="00FD56D2" w:rsidRDefault="00FD56D2" w:rsidP="00FD56D2">
      <w:pPr>
        <w:spacing w:line="240" w:lineRule="auto"/>
        <w:rPr>
          <w:rFonts w:eastAsia="Times New Roman" w:cs="Arial"/>
          <w:color w:val="000000"/>
          <w:lang w:eastAsia="bg-BG"/>
        </w:rPr>
      </w:pPr>
    </w:p>
    <w:p w14:paraId="1710C6CF" w14:textId="39021031"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Известният ефект, че повишеното ниво на </w:t>
      </w:r>
      <w:r w:rsidRPr="00FD56D2">
        <w:rPr>
          <w:rFonts w:eastAsia="Times New Roman" w:cs="Arial"/>
          <w:color w:val="000000"/>
          <w:lang w:val="en-US"/>
        </w:rPr>
        <w:t>GLP</w:t>
      </w:r>
      <w:r w:rsidRPr="00FD56D2">
        <w:rPr>
          <w:rFonts w:eastAsia="Times New Roman" w:cs="Arial"/>
          <w:color w:val="000000"/>
          <w:lang w:val="ru-RU"/>
        </w:rPr>
        <w:t xml:space="preserve">-1 </w:t>
      </w:r>
      <w:r w:rsidRPr="00FD56D2">
        <w:rPr>
          <w:rFonts w:eastAsia="Times New Roman" w:cs="Arial"/>
          <w:color w:val="000000"/>
          <w:lang w:eastAsia="bg-BG"/>
        </w:rPr>
        <w:t>забавя стомашното изпразване не се наблюдава при лечение с вилдаглиптин.</w:t>
      </w:r>
    </w:p>
    <w:p w14:paraId="3015B51C" w14:textId="77777777" w:rsidR="00FD56D2" w:rsidRDefault="00FD56D2" w:rsidP="00FD56D2">
      <w:pPr>
        <w:spacing w:line="240" w:lineRule="auto"/>
        <w:rPr>
          <w:rFonts w:eastAsia="Times New Roman" w:cs="Arial"/>
          <w:i/>
          <w:iCs/>
          <w:color w:val="000000"/>
          <w:lang w:eastAsia="bg-BG"/>
        </w:rPr>
      </w:pPr>
    </w:p>
    <w:p w14:paraId="79A7BC7A" w14:textId="2958007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Метформин</w:t>
      </w:r>
    </w:p>
    <w:p w14:paraId="32F686E3"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Метформн е бигванид с антихипергликемичен ефект, който намалява стойностите на глюкоза в плазмата както на гладно, така и след хранене. Той не стимулира секрецията на инсулин и поради това не води до хипогликемия или увеличаване на телесното тегло.</w:t>
      </w:r>
    </w:p>
    <w:p w14:paraId="49BE68C1" w14:textId="77777777" w:rsidR="00FD56D2" w:rsidRDefault="00FD56D2" w:rsidP="00FD56D2">
      <w:pPr>
        <w:spacing w:line="240" w:lineRule="auto"/>
        <w:rPr>
          <w:rFonts w:eastAsia="Times New Roman" w:cs="Arial"/>
          <w:color w:val="000000"/>
          <w:lang w:eastAsia="bg-BG"/>
        </w:rPr>
      </w:pPr>
    </w:p>
    <w:p w14:paraId="343F7FAF" w14:textId="77777777" w:rsidR="00FD56D2" w:rsidRPr="00FD56D2" w:rsidRDefault="00FD56D2" w:rsidP="00FD56D2">
      <w:pPr>
        <w:pStyle w:val="ListParagraph"/>
        <w:numPr>
          <w:ilvl w:val="0"/>
          <w:numId w:val="38"/>
        </w:numPr>
        <w:spacing w:line="240" w:lineRule="auto"/>
        <w:rPr>
          <w:rFonts w:eastAsia="Times New Roman" w:cs="Arial"/>
        </w:rPr>
      </w:pPr>
      <w:r w:rsidRPr="00FD56D2">
        <w:rPr>
          <w:rFonts w:eastAsia="Times New Roman" w:cs="Arial"/>
          <w:color w:val="000000"/>
          <w:lang w:eastAsia="bg-BG"/>
        </w:rPr>
        <w:lastRenderedPageBreak/>
        <w:t>Метформин може да оказва своя глюкозо-понижаващ ефект посредством три механизма: чрез намаляване на образуването на глюкоза в черния дроб чрез инхибиране на глюконеогенезата и гликогенолизата;</w:t>
      </w:r>
    </w:p>
    <w:p w14:paraId="384AD6D6" w14:textId="77777777" w:rsidR="00FD56D2" w:rsidRPr="00FD56D2" w:rsidRDefault="00FD56D2" w:rsidP="00FD56D2">
      <w:pPr>
        <w:pStyle w:val="ListParagraph"/>
        <w:numPr>
          <w:ilvl w:val="0"/>
          <w:numId w:val="38"/>
        </w:numPr>
        <w:spacing w:line="240" w:lineRule="auto"/>
        <w:rPr>
          <w:rFonts w:eastAsia="Times New Roman" w:cs="Arial"/>
        </w:rPr>
      </w:pPr>
      <w:r w:rsidRPr="00FD56D2">
        <w:rPr>
          <w:rFonts w:eastAsia="Times New Roman" w:cs="Arial"/>
          <w:color w:val="000000"/>
          <w:lang w:eastAsia="bg-BG"/>
        </w:rPr>
        <w:t xml:space="preserve">в мускулите посредством умерено изразено повишаване на инсулиновата чувствителност, подобрявайки периферното поемане и усвояване на глюкозата; </w:t>
      </w:r>
    </w:p>
    <w:p w14:paraId="0F37CBA3" w14:textId="577ED8AA" w:rsidR="00FD56D2" w:rsidRPr="00FD56D2" w:rsidRDefault="00FD56D2" w:rsidP="00FD56D2">
      <w:pPr>
        <w:pStyle w:val="ListParagraph"/>
        <w:numPr>
          <w:ilvl w:val="0"/>
          <w:numId w:val="38"/>
        </w:numPr>
        <w:spacing w:line="240" w:lineRule="auto"/>
        <w:rPr>
          <w:rFonts w:eastAsia="Times New Roman" w:cs="Arial"/>
        </w:rPr>
      </w:pPr>
      <w:r w:rsidRPr="00FD56D2">
        <w:rPr>
          <w:rFonts w:eastAsia="Times New Roman" w:cs="Arial"/>
          <w:color w:val="000000"/>
          <w:lang w:eastAsia="bg-BG"/>
        </w:rPr>
        <w:t>посредством забавяне на абсорбцията на глюкоза в червата.</w:t>
      </w:r>
    </w:p>
    <w:p w14:paraId="417E3734" w14:textId="7A93B29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Метформин стимулира вътреклетъчния синтез на гликоген посредством повлияване на гликоген синтазата и повишава транспортния капацитет на специфични типове мембранни глюкозни транспортери </w:t>
      </w:r>
      <w:r w:rsidRPr="00FD56D2">
        <w:rPr>
          <w:rFonts w:eastAsia="Times New Roman" w:cs="Arial"/>
          <w:color w:val="000000"/>
          <w:lang w:val="ru-RU"/>
        </w:rPr>
        <w:t>(</w:t>
      </w:r>
      <w:r w:rsidRPr="00FD56D2">
        <w:rPr>
          <w:rFonts w:eastAsia="Times New Roman" w:cs="Arial"/>
          <w:color w:val="000000"/>
          <w:lang w:val="en-US"/>
        </w:rPr>
        <w:t>GLUT</w:t>
      </w:r>
      <w:r w:rsidRPr="00FD56D2">
        <w:rPr>
          <w:rFonts w:eastAsia="Times New Roman" w:cs="Arial"/>
          <w:color w:val="000000"/>
          <w:lang w:val="ru-RU"/>
        </w:rPr>
        <w:t xml:space="preserve">-1 </w:t>
      </w:r>
      <w:r w:rsidRPr="00FD56D2">
        <w:rPr>
          <w:rFonts w:eastAsia="Times New Roman" w:cs="Arial"/>
          <w:color w:val="000000"/>
          <w:lang w:eastAsia="bg-BG"/>
        </w:rPr>
        <w:t xml:space="preserve">и </w:t>
      </w:r>
      <w:r w:rsidRPr="00FD56D2">
        <w:rPr>
          <w:rFonts w:eastAsia="Times New Roman" w:cs="Arial"/>
          <w:color w:val="000000"/>
          <w:lang w:val="en-US"/>
        </w:rPr>
        <w:t>GLUT</w:t>
      </w:r>
      <w:r w:rsidRPr="00FD56D2">
        <w:rPr>
          <w:rFonts w:eastAsia="Times New Roman" w:cs="Arial"/>
          <w:color w:val="000000"/>
          <w:lang w:val="ru-RU"/>
        </w:rPr>
        <w:t>-4).</w:t>
      </w:r>
    </w:p>
    <w:p w14:paraId="4247689A" w14:textId="77777777" w:rsidR="00FD56D2" w:rsidRDefault="00FD56D2" w:rsidP="00FD56D2">
      <w:pPr>
        <w:spacing w:line="240" w:lineRule="auto"/>
        <w:rPr>
          <w:rFonts w:eastAsia="Times New Roman" w:cs="Arial"/>
          <w:color w:val="000000"/>
          <w:lang w:eastAsia="bg-BG"/>
        </w:rPr>
      </w:pPr>
    </w:p>
    <w:p w14:paraId="2218AD38" w14:textId="2A20AAD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хора, независимо от влиянието си върху гликемията, метформин има благоприятни ефекти върху липидния метаболизъм. Това е установено при терапевтични дози в контролирани, средно- и дългосрочни клинични проучвания: метформин понижава нивата на общия холестерол, </w:t>
      </w:r>
      <w:r w:rsidRPr="00FD56D2">
        <w:rPr>
          <w:rFonts w:eastAsia="Times New Roman" w:cs="Arial"/>
          <w:color w:val="000000"/>
          <w:lang w:val="en-US"/>
        </w:rPr>
        <w:t>LDL</w:t>
      </w:r>
      <w:r w:rsidRPr="00FD56D2">
        <w:rPr>
          <w:rFonts w:eastAsia="Times New Roman" w:cs="Arial"/>
          <w:color w:val="000000"/>
          <w:lang w:val="ru-RU"/>
        </w:rPr>
        <w:t xml:space="preserve"> </w:t>
      </w:r>
      <w:r w:rsidRPr="00FD56D2">
        <w:rPr>
          <w:rFonts w:eastAsia="Times New Roman" w:cs="Arial"/>
          <w:color w:val="000000"/>
          <w:lang w:eastAsia="bg-BG"/>
        </w:rPr>
        <w:t>холестерола и триглицеридите.</w:t>
      </w:r>
    </w:p>
    <w:p w14:paraId="2C812E83" w14:textId="77777777" w:rsidR="00FD56D2" w:rsidRDefault="00FD56D2" w:rsidP="00FD56D2">
      <w:pPr>
        <w:spacing w:line="240" w:lineRule="auto"/>
        <w:rPr>
          <w:rFonts w:eastAsia="Times New Roman" w:cs="Arial"/>
          <w:color w:val="000000"/>
          <w:lang w:eastAsia="bg-BG"/>
        </w:rPr>
      </w:pPr>
    </w:p>
    <w:p w14:paraId="27BA0354" w14:textId="19A365B2"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Проспективното рандомизирано проучване </w:t>
      </w:r>
      <w:r w:rsidRPr="00FD56D2">
        <w:rPr>
          <w:rFonts w:eastAsia="Times New Roman" w:cs="Arial"/>
          <w:color w:val="000000"/>
          <w:lang w:val="en-US"/>
        </w:rPr>
        <w:t>UKPDS</w:t>
      </w:r>
      <w:r w:rsidRPr="00FD56D2">
        <w:rPr>
          <w:rFonts w:eastAsia="Times New Roman" w:cs="Arial"/>
          <w:color w:val="000000"/>
        </w:rPr>
        <w:t xml:space="preserve"> (</w:t>
      </w:r>
      <w:r w:rsidRPr="00FD56D2">
        <w:rPr>
          <w:rFonts w:eastAsia="Times New Roman" w:cs="Arial"/>
          <w:color w:val="000000"/>
          <w:lang w:val="en-US"/>
        </w:rPr>
        <w:t>UK</w:t>
      </w:r>
      <w:r w:rsidRPr="00FD56D2">
        <w:rPr>
          <w:rFonts w:eastAsia="Times New Roman" w:cs="Arial"/>
          <w:color w:val="000000"/>
        </w:rPr>
        <w:t xml:space="preserve"> </w:t>
      </w:r>
      <w:r w:rsidRPr="00FD56D2">
        <w:rPr>
          <w:rFonts w:eastAsia="Times New Roman" w:cs="Arial"/>
          <w:color w:val="000000"/>
          <w:lang w:val="en-US"/>
        </w:rPr>
        <w:t>Prospective</w:t>
      </w:r>
      <w:r w:rsidRPr="00FD56D2">
        <w:rPr>
          <w:rFonts w:eastAsia="Times New Roman" w:cs="Arial"/>
          <w:color w:val="000000"/>
        </w:rPr>
        <w:t xml:space="preserve"> </w:t>
      </w:r>
      <w:r w:rsidRPr="00FD56D2">
        <w:rPr>
          <w:rFonts w:eastAsia="Times New Roman" w:cs="Arial"/>
          <w:color w:val="000000"/>
          <w:lang w:val="en-US"/>
        </w:rPr>
        <w:t>Diabetes</w:t>
      </w:r>
      <w:r w:rsidRPr="00FD56D2">
        <w:rPr>
          <w:rFonts w:eastAsia="Times New Roman" w:cs="Arial"/>
          <w:color w:val="000000"/>
        </w:rPr>
        <w:t xml:space="preserve"> </w:t>
      </w:r>
      <w:r w:rsidRPr="00FD56D2">
        <w:rPr>
          <w:rFonts w:eastAsia="Times New Roman" w:cs="Arial"/>
          <w:color w:val="000000"/>
          <w:lang w:val="en-US"/>
        </w:rPr>
        <w:t>Study</w:t>
      </w:r>
      <w:r w:rsidRPr="00FD56D2">
        <w:rPr>
          <w:rFonts w:eastAsia="Times New Roman" w:cs="Arial"/>
          <w:color w:val="000000"/>
        </w:rPr>
        <w:t xml:space="preserve">) </w:t>
      </w:r>
      <w:r w:rsidRPr="00FD56D2">
        <w:rPr>
          <w:rFonts w:eastAsia="Times New Roman" w:cs="Arial"/>
          <w:color w:val="000000"/>
          <w:lang w:eastAsia="bg-BG"/>
        </w:rPr>
        <w:t>установява дългосрочните ползи от интензивния контрол на кръвната захар при пациенти с диабет тип 2. Анализът на резултатите при пациенти с наднормено тегло, лекувани с метформин след неуспех на лечение само с диета показват:</w:t>
      </w:r>
    </w:p>
    <w:p w14:paraId="4E996E97" w14:textId="77777777" w:rsidR="00FD56D2" w:rsidRPr="00FD56D2" w:rsidRDefault="00FD56D2" w:rsidP="00FD56D2">
      <w:pPr>
        <w:pStyle w:val="ListParagraph"/>
        <w:numPr>
          <w:ilvl w:val="0"/>
          <w:numId w:val="39"/>
        </w:numPr>
        <w:rPr>
          <w:rFonts w:cs="Arial"/>
        </w:rPr>
      </w:pPr>
      <w:r w:rsidRPr="00FD56D2">
        <w:rPr>
          <w:rFonts w:eastAsia="Times New Roman" w:cs="Arial"/>
          <w:color w:val="000000"/>
          <w:lang w:eastAsia="bg-BG"/>
        </w:rPr>
        <w:t>значимо понижение на абсолютния риск от всяко свързано с диабета исложнение в групата на метформин (29,8 събития/1000 пацинт-години) спрямо пациентите само на диета (43,3 събития/1000 пациент-години), р=0,0023, и спрямо групите на комбинирана терапия със сулфонилурейно производно и монотерапия с инсулин (40,1 събития/1000 пациент-години), р=0,0034;</w:t>
      </w:r>
    </w:p>
    <w:p w14:paraId="669D6C35" w14:textId="77777777" w:rsidR="00FD56D2" w:rsidRPr="00FD56D2" w:rsidRDefault="00FD56D2" w:rsidP="00FD56D2">
      <w:pPr>
        <w:pStyle w:val="ListParagraph"/>
        <w:numPr>
          <w:ilvl w:val="0"/>
          <w:numId w:val="39"/>
        </w:numPr>
        <w:rPr>
          <w:rFonts w:cs="Arial"/>
        </w:rPr>
      </w:pPr>
      <w:r w:rsidRPr="00FD56D2">
        <w:rPr>
          <w:rFonts w:eastAsia="Times New Roman" w:cs="Arial"/>
          <w:color w:val="000000"/>
          <w:lang w:eastAsia="bg-BG"/>
        </w:rPr>
        <w:t>значимо понижение на абсолютния риск от свързана с диабета смъртност: метформин 7,5 събития/1000 пациент-години, само диета 12,7 събития/1000 пациент-години, р=0,017;</w:t>
      </w:r>
    </w:p>
    <w:p w14:paraId="23F1DA0D" w14:textId="77777777" w:rsidR="00FD56D2" w:rsidRPr="00FD56D2" w:rsidRDefault="00FD56D2" w:rsidP="00FD56D2">
      <w:pPr>
        <w:pStyle w:val="ListParagraph"/>
        <w:numPr>
          <w:ilvl w:val="0"/>
          <w:numId w:val="39"/>
        </w:numPr>
        <w:rPr>
          <w:rFonts w:cs="Arial"/>
        </w:rPr>
      </w:pPr>
      <w:r w:rsidRPr="00FD56D2">
        <w:rPr>
          <w:rFonts w:eastAsia="Times New Roman" w:cs="Arial"/>
          <w:color w:val="000000"/>
          <w:lang w:eastAsia="bg-BG"/>
        </w:rPr>
        <w:t>значимо понижение на абсолютния риск от обща смъртност: метформин 13,5 събития/1000 пациент-години спрямо само диета 20,6 събития/1000 пациент-години, и спрямо групите на комбинирана терапия със сулфонилурейно производно и монотерапия с инсулин 18,9 събития/1000 пациент-години (р=0,021);</w:t>
      </w:r>
    </w:p>
    <w:p w14:paraId="04F28C39" w14:textId="635DE39D" w:rsidR="00FD56D2" w:rsidRPr="00FD56D2" w:rsidRDefault="00FD56D2" w:rsidP="00FD56D2">
      <w:pPr>
        <w:pStyle w:val="ListParagraph"/>
        <w:numPr>
          <w:ilvl w:val="0"/>
          <w:numId w:val="39"/>
        </w:numPr>
        <w:rPr>
          <w:rFonts w:cs="Arial"/>
        </w:rPr>
      </w:pPr>
      <w:r w:rsidRPr="00FD56D2">
        <w:rPr>
          <w:rFonts w:eastAsia="Times New Roman" w:cs="Arial"/>
          <w:color w:val="000000"/>
          <w:lang w:eastAsia="bg-BG"/>
        </w:rPr>
        <w:t>значимо понижение на абсолютния риск от инфаркт на миокарда: метформин 11 събития/1000 пациент-години, само диета 18 събигия/1000 пациент-години. (р=0,01).</w:t>
      </w:r>
    </w:p>
    <w:p w14:paraId="09316A95" w14:textId="77777777" w:rsidR="00FD56D2" w:rsidRDefault="00FD56D2" w:rsidP="00FD56D2">
      <w:pPr>
        <w:spacing w:line="240" w:lineRule="auto"/>
        <w:rPr>
          <w:rFonts w:eastAsia="Times New Roman" w:cs="Arial"/>
          <w:color w:val="000000"/>
          <w:u w:val="single"/>
          <w:lang w:eastAsia="bg-BG"/>
        </w:rPr>
      </w:pPr>
    </w:p>
    <w:p w14:paraId="67FA0D98" w14:textId="1046DA4D"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Клинична ефикасност и безопасност</w:t>
      </w:r>
    </w:p>
    <w:p w14:paraId="7EE86478"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Добавянето на вилдаглиптин към лечението на пациенти, чиито гликемичен контрол не е задоволителен въпреки монотерапията с метформин, след 6-месечно лечение води до допълнително статистически значимо средно понижение на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плацебо (разлики между групите от -0,7% и -1,1% съответно за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и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Процентът на пациентите, които постигат понижение на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с &gt;0,7% спрямо изходните стойности е статистически значимо по-висок в двете групи на вилдаглиптин плюс метформин (съответно 46% и 60%) спрямо групата метформин плюс плацебо (20%).</w:t>
      </w:r>
    </w:p>
    <w:p w14:paraId="72D91245" w14:textId="77777777" w:rsidR="00FD56D2" w:rsidRDefault="00FD56D2" w:rsidP="00FD56D2">
      <w:pPr>
        <w:spacing w:line="240" w:lineRule="auto"/>
        <w:rPr>
          <w:rFonts w:eastAsia="Times New Roman" w:cs="Arial"/>
          <w:color w:val="000000"/>
          <w:lang w:eastAsia="bg-BG"/>
        </w:rPr>
      </w:pPr>
    </w:p>
    <w:p w14:paraId="34635125" w14:textId="47D288D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24-седмично изпитване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е сравнен с пиоглитазон (30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веднъж дневно) при пациенти, при които не е постигнат адекватен гликемичен контрол с метформин (средна дневна доза: 2020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Средното понижение на нивата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от 8,4% е - 0,9% при добавяне на вилдаглиптин към метформин и -1,0% при добавяне на пиоглитазон към метформин. Средното повишение на телесното тегло </w:t>
      </w:r>
      <w:r w:rsidRPr="00FD56D2">
        <w:rPr>
          <w:rFonts w:eastAsia="Times New Roman" w:cs="Arial"/>
          <w:color w:val="000000"/>
          <w:lang w:eastAsia="bg-BG"/>
        </w:rPr>
        <w:lastRenderedPageBreak/>
        <w:t xml:space="preserve">от +1,9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е наблюдавано при пациенти, които са приемали пиоглитазон, добавен към метформин, в сравнение с +0,3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при тези, които са получавали вилдаглиптин, добавен към метформин.</w:t>
      </w:r>
    </w:p>
    <w:p w14:paraId="4690E1AD" w14:textId="77777777" w:rsidR="00FD56D2" w:rsidRDefault="00FD56D2" w:rsidP="00FD56D2">
      <w:pPr>
        <w:spacing w:line="240" w:lineRule="auto"/>
        <w:rPr>
          <w:rFonts w:eastAsia="Times New Roman" w:cs="Arial"/>
          <w:color w:val="000000"/>
          <w:lang w:eastAsia="bg-BG"/>
        </w:rPr>
      </w:pPr>
    </w:p>
    <w:p w14:paraId="612CD487" w14:textId="0C9EE3A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клинични изпитвания с продължителност 2 години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е сравнен с глимепирид (до 6 </w:t>
      </w:r>
      <w:r w:rsidRPr="00FD56D2">
        <w:rPr>
          <w:rFonts w:eastAsia="Times New Roman" w:cs="Arial"/>
          <w:color w:val="000000"/>
          <w:lang w:val="en-US"/>
        </w:rPr>
        <w:t>mg</w:t>
      </w:r>
      <w:r w:rsidRPr="00FD56D2">
        <w:rPr>
          <w:rFonts w:eastAsia="Times New Roman" w:cs="Arial"/>
          <w:color w:val="000000"/>
          <w:lang w:eastAsia="bg-BG"/>
        </w:rPr>
        <w:t xml:space="preserve">/дневно - средна доза през 2-те години: 4,6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при пациенти, лекувани с метформин (средна дневна доза: 1894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След 1 година средното понижение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е било -0,4% при вилдаглиптин, добавен към метформин, и -0,5% при глимепирид, добавен към метформин, спрямо изходните стойности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от 7,3%. Промяната в телесното тегло при вилдаглиптин е -0,2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+1,6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при глимепирид. Честотата на хипогликемия е значимо по-ниска в групата на вилдаглиптин (1,7%), отколкото в групата на глимепирид (16,2%). В крайната точка на проучването (2 години)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са били сходни със стойностите на изходно ниво и в двете терапевтични групи, а промените в телесното тегло и разликите в случаите на хипогликемия се запазват.</w:t>
      </w:r>
    </w:p>
    <w:p w14:paraId="74F4FA53" w14:textId="77777777" w:rsidR="00FD56D2" w:rsidRDefault="00FD56D2" w:rsidP="00FD56D2">
      <w:pPr>
        <w:spacing w:line="240" w:lineRule="auto"/>
        <w:rPr>
          <w:rFonts w:eastAsia="Times New Roman" w:cs="Arial"/>
          <w:color w:val="000000"/>
          <w:lang w:eastAsia="bg-BG"/>
        </w:rPr>
      </w:pPr>
    </w:p>
    <w:p w14:paraId="0FE221F4" w14:textId="3F2E796C"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52-седмично изпитване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е сравнен с гликлазид (средна дневна доза 229,5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при пациенти, при които е налице неадекватен контрол с метформин (изходна доза метформин: 1928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След 1 година средното понижние на </w:t>
      </w:r>
      <w:proofErr w:type="spellStart"/>
      <w:r w:rsidRPr="00FD56D2">
        <w:rPr>
          <w:rFonts w:eastAsia="Times New Roman" w:cs="Arial"/>
          <w:color w:val="000000"/>
          <w:lang w:val="en-US"/>
        </w:rPr>
        <w:t>HbA</w:t>
      </w:r>
      <w:r w:rsidRPr="00FD56D2">
        <w:rPr>
          <w:rFonts w:eastAsia="Times New Roman" w:cs="Arial"/>
          <w:color w:val="000000"/>
          <w:vertAlign w:val="subscript"/>
          <w:lang w:val="en-US"/>
        </w:rPr>
        <w:t>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е - 0,81% при вилдаглиптин, добавен към метформин (средни изходни стойности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8,4%), и - 0,85% при гликлазид, добавен към метформин (средни изходни стойности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8,5%); постигната е статистически значима не по-малка ефикасност (95% </w:t>
      </w:r>
      <w:r w:rsidRPr="00FD56D2">
        <w:rPr>
          <w:rFonts w:eastAsia="Times New Roman" w:cs="Arial"/>
          <w:color w:val="000000"/>
          <w:lang w:val="en-US"/>
        </w:rPr>
        <w:t>CI</w:t>
      </w:r>
      <w:r w:rsidRPr="00FD56D2">
        <w:rPr>
          <w:rFonts w:eastAsia="Times New Roman" w:cs="Arial"/>
          <w:color w:val="000000"/>
          <w:lang w:val="ru-RU"/>
        </w:rPr>
        <w:t xml:space="preserve"> </w:t>
      </w:r>
      <w:r w:rsidRPr="00FD56D2">
        <w:rPr>
          <w:rFonts w:eastAsia="Times New Roman" w:cs="Arial"/>
          <w:color w:val="000000"/>
          <w:lang w:eastAsia="bg-BG"/>
        </w:rPr>
        <w:t xml:space="preserve">-0.11 - 0.20). Промените в телесното тегло при вилдаглиптин са +0,1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покачване на теглото +1,4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при гликлазид.</w:t>
      </w:r>
    </w:p>
    <w:p w14:paraId="6F306242" w14:textId="77777777" w:rsidR="00FD56D2" w:rsidRDefault="00FD56D2" w:rsidP="00FD56D2">
      <w:pPr>
        <w:rPr>
          <w:rFonts w:eastAsia="Times New Roman" w:cs="Arial"/>
          <w:color w:val="000000"/>
          <w:lang w:eastAsia="bg-BG"/>
        </w:rPr>
      </w:pPr>
    </w:p>
    <w:p w14:paraId="010DAE89" w14:textId="7534370A" w:rsidR="00FD56D2" w:rsidRPr="00FD56D2" w:rsidRDefault="00FD56D2" w:rsidP="00FD56D2">
      <w:pPr>
        <w:rPr>
          <w:rFonts w:eastAsia="Times New Roman" w:cs="Arial"/>
          <w:color w:val="000000"/>
          <w:lang w:eastAsia="bg-BG"/>
        </w:rPr>
      </w:pPr>
      <w:r w:rsidRPr="00FD56D2">
        <w:rPr>
          <w:rFonts w:eastAsia="Times New Roman" w:cs="Arial"/>
          <w:color w:val="000000"/>
          <w:lang w:eastAsia="bg-BG"/>
        </w:rPr>
        <w:t xml:space="preserve">При 24-седмично изпитване е оценена ефикасността на фиксирана доза от комбинацията вилдаглиптин и метформин (постепенно титрирана до доза от 50 </w:t>
      </w:r>
      <w:r w:rsidRPr="00FD56D2">
        <w:rPr>
          <w:rFonts w:eastAsia="Times New Roman" w:cs="Arial"/>
          <w:color w:val="000000"/>
          <w:lang w:val="en-US"/>
        </w:rPr>
        <w:t>mg</w:t>
      </w:r>
      <w:r w:rsidRPr="00FD56D2">
        <w:rPr>
          <w:rFonts w:eastAsia="Times New Roman" w:cs="Arial"/>
          <w:color w:val="000000"/>
          <w:lang w:val="ru-RU"/>
        </w:rPr>
        <w:t xml:space="preserve">/500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или 50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eastAsia="bg-BG"/>
        </w:rPr>
        <w:t xml:space="preserve">1000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приложена като първоначална терапия при пациенти, които не са приемали други лекарства преди това. Вилдаглиптин/метформин 50 </w:t>
      </w:r>
      <w:r w:rsidRPr="00FD56D2">
        <w:rPr>
          <w:rFonts w:eastAsia="Times New Roman" w:cs="Arial"/>
          <w:color w:val="000000"/>
          <w:lang w:val="en-US"/>
        </w:rPr>
        <w:t>mg</w:t>
      </w:r>
      <w:r w:rsidRPr="00FD56D2">
        <w:rPr>
          <w:rFonts w:eastAsia="Times New Roman" w:cs="Arial"/>
          <w:color w:val="000000"/>
          <w:lang w:val="ru-RU"/>
        </w:rPr>
        <w:t>/1000</w:t>
      </w:r>
      <w:r w:rsidRPr="00FD56D2">
        <w:rPr>
          <w:rFonts w:eastAsia="Times New Roman" w:cs="Arial"/>
          <w:color w:val="000000"/>
          <w:lang w:eastAsia="bg-BG"/>
        </w:rPr>
        <w:t xml:space="preserve">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понижава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с -1,16%, метформин 1000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денвно с -1,36% и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с -1,09% спрямо изходните стойности на </w:t>
      </w:r>
      <w:proofErr w:type="spellStart"/>
      <w:r w:rsidRPr="00FD56D2">
        <w:rPr>
          <w:rFonts w:eastAsia="Times New Roman" w:cs="Arial"/>
          <w:color w:val="000000"/>
          <w:lang w:val="en-US"/>
        </w:rPr>
        <w:t>HbA</w:t>
      </w:r>
      <w:proofErr w:type="spellEnd"/>
      <w:r w:rsidRPr="00FD56D2">
        <w:rPr>
          <w:rFonts w:eastAsia="Times New Roman" w:cs="Arial"/>
          <w:color w:val="000000"/>
          <w:lang w:val="ru-RU"/>
        </w:rPr>
        <w:t>1</w:t>
      </w:r>
      <w:r w:rsidRPr="00FD56D2">
        <w:rPr>
          <w:rFonts w:eastAsia="Times New Roman" w:cs="Arial"/>
          <w:color w:val="000000"/>
          <w:lang w:val="en-US"/>
        </w:rPr>
        <w:t>c</w:t>
      </w:r>
      <w:r w:rsidRPr="00FD56D2">
        <w:rPr>
          <w:rFonts w:eastAsia="Times New Roman" w:cs="Arial"/>
          <w:color w:val="000000"/>
          <w:lang w:val="ru-RU"/>
        </w:rPr>
        <w:t xml:space="preserve"> </w:t>
      </w:r>
      <w:r w:rsidRPr="00FD56D2">
        <w:rPr>
          <w:rFonts w:eastAsia="Times New Roman" w:cs="Arial"/>
          <w:color w:val="000000"/>
          <w:lang w:eastAsia="bg-BG"/>
        </w:rPr>
        <w:t xml:space="preserve">от 8,6%. Понижението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наблюдавано при пациенти с изходни стойности ≥10,0% е било ПО-ГОЛЯМО.</w:t>
      </w:r>
    </w:p>
    <w:p w14:paraId="726030B2" w14:textId="2E365FE9" w:rsidR="00FD56D2" w:rsidRDefault="00FD56D2" w:rsidP="00FD56D2">
      <w:pPr>
        <w:rPr>
          <w:rFonts w:cs="Arial"/>
        </w:rPr>
      </w:pPr>
    </w:p>
    <w:p w14:paraId="5335B2F5"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Проведено е 24-седмично рандомизирано, двойносляпо, плацебо контролирано клинично изпитване при 318 пациента, за да се оцени ефикасността и безопасността на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в комбинация с метформин (≥1500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и глимепирид (≥4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Вилдаглиптин в комбинация с метформин и глимепирид значимо понижава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плацебо. Коригираната спрямо плацебо разлика в средното понижение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спрямо изходната стойност от 8,8% е -0,76%.</w:t>
      </w:r>
    </w:p>
    <w:p w14:paraId="1BA75291" w14:textId="77777777" w:rsidR="00FD56D2" w:rsidRDefault="00FD56D2" w:rsidP="00FD56D2">
      <w:pPr>
        <w:spacing w:line="240" w:lineRule="auto"/>
        <w:rPr>
          <w:rFonts w:eastAsia="Times New Roman" w:cs="Arial"/>
          <w:color w:val="000000"/>
          <w:lang w:eastAsia="bg-BG"/>
        </w:rPr>
      </w:pPr>
    </w:p>
    <w:p w14:paraId="4E1F391E" w14:textId="5D5186A5"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Проведено е 24-седмично рандомизирано, двойносляпо плацебо контролирано клинично изпитване при 449 пациенти, за да се оцени ефикасността и безопасността на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в комбинация с постоянна доза базален или смесен инсулин (средна дневна доза 41 единици), със съпътстващ прием на метформин </w:t>
      </w:r>
      <w:r w:rsidRPr="00FD56D2">
        <w:rPr>
          <w:rFonts w:eastAsia="Times New Roman" w:cs="Arial"/>
          <w:color w:val="000000"/>
          <w:lang w:val="ru-RU"/>
        </w:rPr>
        <w:t>(</w:t>
      </w:r>
      <w:r w:rsidRPr="00FD56D2">
        <w:rPr>
          <w:rFonts w:eastAsia="Times New Roman" w:cs="Arial"/>
          <w:color w:val="000000"/>
          <w:lang w:val="en-US"/>
        </w:rPr>
        <w:t>N</w:t>
      </w:r>
      <w:r w:rsidRPr="00FD56D2">
        <w:rPr>
          <w:rFonts w:eastAsia="Times New Roman" w:cs="Arial"/>
          <w:color w:val="000000"/>
          <w:lang w:val="ru-RU"/>
        </w:rPr>
        <w:t xml:space="preserve">=276) </w:t>
      </w:r>
      <w:r w:rsidRPr="00FD56D2">
        <w:rPr>
          <w:rFonts w:eastAsia="Times New Roman" w:cs="Arial"/>
          <w:color w:val="000000"/>
          <w:lang w:eastAsia="bg-BG"/>
        </w:rPr>
        <w:t xml:space="preserve">или без съпътстващ прием на метформин </w:t>
      </w:r>
      <w:r w:rsidRPr="00FD56D2">
        <w:rPr>
          <w:rFonts w:eastAsia="Times New Roman" w:cs="Arial"/>
          <w:color w:val="000000"/>
          <w:lang w:val="ru-RU"/>
        </w:rPr>
        <w:t>(</w:t>
      </w:r>
      <w:r w:rsidRPr="00FD56D2">
        <w:rPr>
          <w:rFonts w:eastAsia="Times New Roman" w:cs="Arial"/>
          <w:color w:val="000000"/>
          <w:lang w:val="en-US"/>
        </w:rPr>
        <w:t>N</w:t>
      </w:r>
      <w:r w:rsidRPr="00FD56D2">
        <w:rPr>
          <w:rFonts w:eastAsia="Times New Roman" w:cs="Arial"/>
          <w:color w:val="000000"/>
          <w:lang w:val="ru-RU"/>
        </w:rPr>
        <w:t xml:space="preserve">=173). </w:t>
      </w:r>
      <w:r w:rsidRPr="00FD56D2">
        <w:rPr>
          <w:rFonts w:eastAsia="Times New Roman" w:cs="Arial"/>
          <w:color w:val="000000"/>
          <w:lang w:eastAsia="bg-BG"/>
        </w:rPr>
        <w:t xml:space="preserve">Вилдаглиптин в комбинация с инсулин значимо понижава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плацебо. При общата популация коригираната спрямо плацебо разлика в средното понижение от изходните стойности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от 8,8% е -0,72%. При подгрупите с инсулин със или без съвместно приложен метформин коригираното спрямо плацебо понижение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е съответно -0,63% и -</w:t>
      </w:r>
      <w:r w:rsidRPr="00FD56D2">
        <w:rPr>
          <w:rFonts w:eastAsia="Times New Roman" w:cs="Arial"/>
          <w:color w:val="000000"/>
          <w:lang w:eastAsia="bg-BG"/>
        </w:rPr>
        <w:lastRenderedPageBreak/>
        <w:t xml:space="preserve">0,84%. Честотата на хипогликемия в общата популация е 8,4% и 7,2% съответно при групите на вилдаглиптин и плацебо. При пациентите, приемали вилдаглиптин, не се наблюдава повишение на теглото (+0,2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докато при тези, получавали плацебо се наблюдава понижение на теглото (-0,7 </w:t>
      </w:r>
      <w:r w:rsidRPr="00FD56D2">
        <w:rPr>
          <w:rFonts w:eastAsia="Times New Roman" w:cs="Arial"/>
          <w:color w:val="000000"/>
          <w:lang w:val="en-US"/>
        </w:rPr>
        <w:t>kg</w:t>
      </w:r>
      <w:r w:rsidRPr="00FD56D2">
        <w:rPr>
          <w:rFonts w:eastAsia="Times New Roman" w:cs="Arial"/>
          <w:color w:val="000000"/>
          <w:lang w:val="ru-RU"/>
        </w:rPr>
        <w:t>).</w:t>
      </w:r>
    </w:p>
    <w:p w14:paraId="018C826B" w14:textId="77777777" w:rsidR="00FD56D2" w:rsidRDefault="00FD56D2" w:rsidP="00FD56D2">
      <w:pPr>
        <w:spacing w:line="240" w:lineRule="auto"/>
        <w:rPr>
          <w:rFonts w:eastAsia="Times New Roman" w:cs="Arial"/>
          <w:color w:val="000000"/>
          <w:lang w:eastAsia="bg-BG"/>
        </w:rPr>
      </w:pPr>
    </w:p>
    <w:p w14:paraId="1EDF251E" w14:textId="1B40A4A9" w:rsidR="00FD56D2" w:rsidRPr="00FD56D2" w:rsidRDefault="00FD56D2" w:rsidP="00FD56D2">
      <w:pPr>
        <w:spacing w:line="240" w:lineRule="auto"/>
        <w:rPr>
          <w:rFonts w:eastAsia="Times New Roman" w:cs="Arial"/>
        </w:rPr>
      </w:pPr>
      <w:r w:rsidRPr="00FD56D2">
        <w:rPr>
          <w:rFonts w:eastAsia="Times New Roman" w:cs="Arial"/>
          <w:color w:val="000000"/>
          <w:lang w:eastAsia="bg-BG"/>
        </w:rPr>
        <w:t>При друго 24-седмично проучване при пациенти с по-напреднал захарен диабет тип 2, неадекватно контролиран от инсулин (кратко и дълго де</w:t>
      </w:r>
      <w:r>
        <w:rPr>
          <w:rFonts w:eastAsia="Times New Roman" w:cs="Arial"/>
          <w:color w:val="000000"/>
          <w:lang w:eastAsia="bg-BG"/>
        </w:rPr>
        <w:t xml:space="preserve">йстващ, средна доза инсулин 80 </w:t>
      </w:r>
      <w:r>
        <w:rPr>
          <w:rFonts w:eastAsia="Times New Roman" w:cs="Arial"/>
          <w:color w:val="000000"/>
          <w:lang w:val="en-US" w:eastAsia="bg-BG"/>
        </w:rPr>
        <w:t>III</w:t>
      </w:r>
      <w:r w:rsidRPr="00FD56D2">
        <w:rPr>
          <w:rFonts w:eastAsia="Times New Roman" w:cs="Arial"/>
          <w:color w:val="000000"/>
          <w:lang w:eastAsia="bg-BG"/>
        </w:rPr>
        <w:t xml:space="preserve">/ дневно), средното понижение на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при добавяне на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два пъти дневно) към инсулин е статистически значимо по-голямо отколкото при плацебо плюс инсулин (0,5% спрямо 0,2%). Честотата на хипогликемия е по-ниска в групата на вилдаглиптин отколкото в плацебо групата (22,9% спрямо 29,6%).</w:t>
      </w:r>
    </w:p>
    <w:p w14:paraId="2917CD82" w14:textId="77777777" w:rsidR="00FD56D2" w:rsidRDefault="00FD56D2" w:rsidP="00FD56D2">
      <w:pPr>
        <w:spacing w:line="240" w:lineRule="auto"/>
        <w:rPr>
          <w:rFonts w:eastAsia="Times New Roman" w:cs="Arial"/>
          <w:i/>
          <w:iCs/>
          <w:color w:val="000000"/>
          <w:lang w:eastAsia="bg-BG"/>
        </w:rPr>
      </w:pPr>
    </w:p>
    <w:p w14:paraId="719FB4FB" w14:textId="0673F20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Сърдечно-съдов риск</w:t>
      </w:r>
    </w:p>
    <w:p w14:paraId="16EEED28"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Мета анализ на независимо и предварително определените сърдечно-съдови нежелани събития от 37 фаза </w:t>
      </w:r>
      <w:r w:rsidRPr="00FD56D2">
        <w:rPr>
          <w:rFonts w:eastAsia="Times New Roman" w:cs="Arial"/>
          <w:color w:val="000000"/>
          <w:lang w:val="en-US"/>
        </w:rPr>
        <w:t>III</w:t>
      </w:r>
      <w:r w:rsidRPr="00FD56D2">
        <w:rPr>
          <w:rFonts w:eastAsia="Times New Roman" w:cs="Arial"/>
          <w:color w:val="000000"/>
          <w:lang w:eastAsia="bg-BG"/>
        </w:rPr>
        <w:t xml:space="preserve"> и IV клинични изпитвания при монотерапия и комбинирана терапия, с продължителност над 2 години (средна експозиция 50 седмици за вилдаглиптин и 49 седмици за сравнителните продукти), показва, че лечението с вилдаглиптин не е свързано с повишаване на сърдечно-съдовия риск спрямо сравнителните продукти. Съставната крайна точка на предварително определените големи сърдечно-съдови събития </w:t>
      </w:r>
      <w:r w:rsidRPr="00FD56D2">
        <w:rPr>
          <w:rFonts w:eastAsia="Times New Roman" w:cs="Arial"/>
          <w:color w:val="000000"/>
        </w:rPr>
        <w:t>(</w:t>
      </w:r>
      <w:r w:rsidRPr="00FD56D2">
        <w:rPr>
          <w:rFonts w:eastAsia="Times New Roman" w:cs="Arial"/>
          <w:color w:val="000000"/>
          <w:lang w:val="en-US"/>
        </w:rPr>
        <w:t>major</w:t>
      </w:r>
      <w:r w:rsidRPr="00FD56D2">
        <w:rPr>
          <w:rFonts w:eastAsia="Times New Roman" w:cs="Arial"/>
          <w:color w:val="000000"/>
        </w:rPr>
        <w:t xml:space="preserve"> </w:t>
      </w:r>
      <w:r w:rsidRPr="00FD56D2">
        <w:rPr>
          <w:rFonts w:eastAsia="Times New Roman" w:cs="Arial"/>
          <w:color w:val="000000"/>
          <w:lang w:val="en-US"/>
        </w:rPr>
        <w:t>adverse</w:t>
      </w:r>
      <w:r w:rsidRPr="00FD56D2">
        <w:rPr>
          <w:rFonts w:eastAsia="Times New Roman" w:cs="Arial"/>
          <w:color w:val="000000"/>
        </w:rPr>
        <w:t xml:space="preserve"> </w:t>
      </w:r>
      <w:r w:rsidRPr="00FD56D2">
        <w:rPr>
          <w:rFonts w:eastAsia="Times New Roman" w:cs="Arial"/>
          <w:color w:val="000000"/>
          <w:lang w:val="en-US"/>
        </w:rPr>
        <w:t>cardiovascular</w:t>
      </w:r>
      <w:r w:rsidRPr="00FD56D2">
        <w:rPr>
          <w:rFonts w:eastAsia="Times New Roman" w:cs="Arial"/>
          <w:color w:val="000000"/>
        </w:rPr>
        <w:t xml:space="preserve"> </w:t>
      </w:r>
      <w:r w:rsidRPr="00FD56D2">
        <w:rPr>
          <w:rFonts w:eastAsia="Times New Roman" w:cs="Arial"/>
          <w:color w:val="000000"/>
          <w:lang w:val="en-US"/>
        </w:rPr>
        <w:t>events</w:t>
      </w:r>
      <w:r w:rsidRPr="00FD56D2">
        <w:rPr>
          <w:rFonts w:eastAsia="Times New Roman" w:cs="Arial"/>
          <w:color w:val="000000"/>
        </w:rPr>
        <w:t xml:space="preserve"> - </w:t>
      </w:r>
      <w:r w:rsidRPr="00FD56D2">
        <w:rPr>
          <w:rFonts w:eastAsia="Times New Roman" w:cs="Arial"/>
          <w:color w:val="000000"/>
          <w:lang w:val="en-US"/>
        </w:rPr>
        <w:t>MACE</w:t>
      </w:r>
      <w:r w:rsidRPr="00FD56D2">
        <w:rPr>
          <w:rFonts w:eastAsia="Times New Roman" w:cs="Arial"/>
          <w:color w:val="000000"/>
        </w:rPr>
        <w:t xml:space="preserve">), </w:t>
      </w:r>
      <w:r w:rsidRPr="00FD56D2">
        <w:rPr>
          <w:rFonts w:eastAsia="Times New Roman" w:cs="Arial"/>
          <w:color w:val="000000"/>
          <w:lang w:eastAsia="bg-BG"/>
        </w:rPr>
        <w:t xml:space="preserve">включително миокарден инфаркт, инсулт или смърт поради сърдечно-съдова причина, е подобна при вилдаглиптин спрямо комбинирани активни и плацебо сравнителни продукти [Относителен риск по </w:t>
      </w:r>
      <w:r w:rsidRPr="00FD56D2">
        <w:rPr>
          <w:rFonts w:eastAsia="Times New Roman" w:cs="Arial"/>
          <w:color w:val="000000"/>
          <w:lang w:val="en-US"/>
        </w:rPr>
        <w:t>Mantel</w:t>
      </w:r>
      <w:r w:rsidRPr="00FD56D2">
        <w:rPr>
          <w:rFonts w:eastAsia="Times New Roman" w:cs="Arial"/>
          <w:color w:val="000000"/>
        </w:rPr>
        <w:t>-</w:t>
      </w:r>
      <w:proofErr w:type="spellStart"/>
      <w:r w:rsidRPr="00FD56D2">
        <w:rPr>
          <w:rFonts w:eastAsia="Times New Roman" w:cs="Arial"/>
          <w:color w:val="000000"/>
          <w:lang w:val="en-US"/>
        </w:rPr>
        <w:t>Haenszel</w:t>
      </w:r>
      <w:proofErr w:type="spellEnd"/>
      <w:r w:rsidRPr="00FD56D2">
        <w:rPr>
          <w:rFonts w:eastAsia="Times New Roman" w:cs="Arial"/>
          <w:color w:val="000000"/>
        </w:rPr>
        <w:t xml:space="preserve"> </w:t>
      </w:r>
      <w:r w:rsidRPr="00FD56D2">
        <w:rPr>
          <w:rFonts w:eastAsia="Times New Roman" w:cs="Arial"/>
          <w:color w:val="000000"/>
          <w:lang w:eastAsia="bg-BG"/>
        </w:rPr>
        <w:t xml:space="preserve">(М-Н </w:t>
      </w:r>
      <w:r w:rsidRPr="00FD56D2">
        <w:rPr>
          <w:rFonts w:eastAsia="Times New Roman" w:cs="Arial"/>
          <w:color w:val="000000"/>
          <w:lang w:val="en-US"/>
        </w:rPr>
        <w:t>RR</w:t>
      </w:r>
      <w:r w:rsidRPr="00FD56D2">
        <w:rPr>
          <w:rFonts w:eastAsia="Times New Roman" w:cs="Arial"/>
          <w:color w:val="000000"/>
        </w:rPr>
        <w:t xml:space="preserve">) </w:t>
      </w:r>
      <w:r w:rsidRPr="00FD56D2">
        <w:rPr>
          <w:rFonts w:eastAsia="Times New Roman" w:cs="Arial"/>
          <w:color w:val="000000"/>
          <w:lang w:eastAsia="bg-BG"/>
        </w:rPr>
        <w:t xml:space="preserve">0,82 (95% </w:t>
      </w:r>
      <w:r w:rsidRPr="00FD56D2">
        <w:rPr>
          <w:rFonts w:eastAsia="Times New Roman" w:cs="Arial"/>
          <w:color w:val="000000"/>
          <w:lang w:val="en-US"/>
        </w:rPr>
        <w:t>CI</w:t>
      </w:r>
      <w:r w:rsidRPr="00FD56D2">
        <w:rPr>
          <w:rFonts w:eastAsia="Times New Roman" w:cs="Arial"/>
          <w:color w:val="000000"/>
        </w:rPr>
        <w:t xml:space="preserve"> </w:t>
      </w:r>
      <w:r w:rsidRPr="00FD56D2">
        <w:rPr>
          <w:rFonts w:eastAsia="Times New Roman" w:cs="Arial"/>
          <w:color w:val="000000"/>
          <w:lang w:eastAsia="bg-BG"/>
        </w:rPr>
        <w:t xml:space="preserve">0,61-1,11)]. МАСЕ настъпва при 83 от 9 599 (0,86%) пациенти, лекувани с вилдаглиптин и при 85 от 7 102 (1,20%) пациенти, лекувани със сравнителен продукт. Оценката на всеки отделен компонент на МАСЕ не показва повишен риск (подобен М-Н </w:t>
      </w:r>
      <w:r w:rsidRPr="00FD56D2">
        <w:rPr>
          <w:rFonts w:eastAsia="Times New Roman" w:cs="Arial"/>
          <w:color w:val="000000"/>
          <w:lang w:val="en-US"/>
        </w:rPr>
        <w:t>RR</w:t>
      </w:r>
      <w:r w:rsidRPr="00FD56D2">
        <w:rPr>
          <w:rFonts w:eastAsia="Times New Roman" w:cs="Arial"/>
          <w:color w:val="000000"/>
          <w:lang w:val="ru-RU"/>
        </w:rPr>
        <w:t xml:space="preserve">). </w:t>
      </w:r>
      <w:r w:rsidRPr="00FD56D2">
        <w:rPr>
          <w:rFonts w:eastAsia="Times New Roman" w:cs="Arial"/>
          <w:color w:val="000000"/>
          <w:lang w:eastAsia="bg-BG"/>
        </w:rPr>
        <w:t xml:space="preserve">Събития с потвърдена сърдечна недостатъчност (СН), дефинирана като СН, изискваща хоспитализация, или новопоявила се СН, се съобщават при 41 (0,43%) от пациентите, лекувани с вилдаглиптин и при 32 (0,45%) от пациентите, лекувани със сравнителен продукт М-Н </w:t>
      </w:r>
      <w:r w:rsidRPr="00FD56D2">
        <w:rPr>
          <w:rFonts w:eastAsia="Times New Roman" w:cs="Arial"/>
          <w:color w:val="000000"/>
          <w:lang w:val="en-US"/>
        </w:rPr>
        <w:t>RR</w:t>
      </w:r>
      <w:r w:rsidRPr="00FD56D2">
        <w:rPr>
          <w:rFonts w:eastAsia="Times New Roman" w:cs="Arial"/>
          <w:color w:val="000000"/>
          <w:lang w:val="ru-RU"/>
        </w:rPr>
        <w:t xml:space="preserve"> </w:t>
      </w:r>
      <w:r w:rsidRPr="00FD56D2">
        <w:rPr>
          <w:rFonts w:eastAsia="Times New Roman" w:cs="Arial"/>
          <w:color w:val="000000"/>
          <w:lang w:eastAsia="bg-BG"/>
        </w:rPr>
        <w:t xml:space="preserve">1,08 (95 </w:t>
      </w:r>
      <w:r w:rsidRPr="00FD56D2">
        <w:rPr>
          <w:rFonts w:eastAsia="Times New Roman" w:cs="Arial"/>
          <w:color w:val="000000"/>
          <w:lang w:val="en-US"/>
        </w:rPr>
        <w:t>CI</w:t>
      </w:r>
      <w:r w:rsidRPr="00FD56D2">
        <w:rPr>
          <w:rFonts w:eastAsia="Times New Roman" w:cs="Arial"/>
          <w:color w:val="000000"/>
          <w:lang w:val="ru-RU"/>
        </w:rPr>
        <w:t xml:space="preserve"> </w:t>
      </w:r>
      <w:r w:rsidRPr="00FD56D2">
        <w:rPr>
          <w:rFonts w:eastAsia="Times New Roman" w:cs="Arial"/>
          <w:color w:val="000000"/>
          <w:lang w:eastAsia="bg-BG"/>
        </w:rPr>
        <w:t>0,68- 1,70).</w:t>
      </w:r>
    </w:p>
    <w:p w14:paraId="1A88AE3A" w14:textId="77777777" w:rsidR="00FD56D2" w:rsidRDefault="00FD56D2" w:rsidP="00FD56D2">
      <w:pPr>
        <w:spacing w:line="240" w:lineRule="auto"/>
        <w:rPr>
          <w:rFonts w:eastAsia="Times New Roman" w:cs="Arial"/>
          <w:color w:val="000000"/>
          <w:u w:val="single"/>
          <w:lang w:eastAsia="bg-BG"/>
        </w:rPr>
      </w:pPr>
    </w:p>
    <w:p w14:paraId="670CE7A1" w14:textId="19F9ADAE"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Педиатрична популация</w:t>
      </w:r>
    </w:p>
    <w:p w14:paraId="770A30B4" w14:textId="08909B86" w:rsidR="00FD56D2" w:rsidRDefault="00FD56D2" w:rsidP="00FD56D2">
      <w:pPr>
        <w:rPr>
          <w:rFonts w:eastAsia="Times New Roman" w:cs="Arial"/>
          <w:color w:val="000000"/>
          <w:lang w:eastAsia="bg-BG"/>
        </w:rPr>
      </w:pPr>
      <w:r w:rsidRPr="00FD56D2">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вилдаглиптин в комбинация с метформин във всички подгрупи на педиатричната популация със захаредн диабет тип 2 (вижте точка 4.2 за</w:t>
      </w:r>
      <w:r w:rsidRPr="00FD56D2">
        <w:rPr>
          <w:rFonts w:eastAsia="Times New Roman" w:cs="Arial"/>
          <w:color w:val="000000"/>
          <w:lang w:val="ru-RU"/>
        </w:rPr>
        <w:t xml:space="preserve"> </w:t>
      </w:r>
      <w:r w:rsidRPr="00FD56D2">
        <w:rPr>
          <w:rFonts w:eastAsia="Times New Roman" w:cs="Arial"/>
          <w:color w:val="000000"/>
          <w:lang w:eastAsia="bg-BG"/>
        </w:rPr>
        <w:t>информация относно употреба в педиатрията).</w:t>
      </w:r>
    </w:p>
    <w:p w14:paraId="2EAB1CDA" w14:textId="77777777" w:rsidR="00FD56D2" w:rsidRPr="00FD56D2" w:rsidRDefault="00FD56D2" w:rsidP="00FD56D2">
      <w:pPr>
        <w:rPr>
          <w:rFonts w:cs="Arial"/>
        </w:rPr>
      </w:pPr>
    </w:p>
    <w:p w14:paraId="35F84B81" w14:textId="757EA15F" w:rsidR="00CF77F7" w:rsidRDefault="002C50EE" w:rsidP="004A448E">
      <w:pPr>
        <w:pStyle w:val="Heading2"/>
      </w:pPr>
      <w:r>
        <w:t>5.2. Фармакокинетични свойства</w:t>
      </w:r>
    </w:p>
    <w:p w14:paraId="1601B2F9" w14:textId="5A3BBEDE" w:rsidR="00FD56D2" w:rsidRDefault="00FD56D2" w:rsidP="00FD56D2"/>
    <w:p w14:paraId="72A1B496" w14:textId="77777777" w:rsidR="00FD56D2" w:rsidRPr="00FD56D2" w:rsidRDefault="00FD56D2" w:rsidP="00FD56D2">
      <w:pPr>
        <w:spacing w:line="240" w:lineRule="auto"/>
        <w:rPr>
          <w:rFonts w:eastAsia="Times New Roman" w:cs="Arial"/>
          <w:color w:val="000000"/>
          <w:u w:val="single"/>
          <w:lang w:eastAsia="bg-BG"/>
        </w:rPr>
      </w:pPr>
      <w:r w:rsidRPr="00FD56D2">
        <w:rPr>
          <w:rFonts w:eastAsia="Times New Roman" w:cs="Arial"/>
          <w:color w:val="000000"/>
          <w:u w:val="single"/>
          <w:lang w:eastAsia="bg-BG"/>
        </w:rPr>
        <w:t xml:space="preserve">Вилдаглиптин/метформин </w:t>
      </w:r>
    </w:p>
    <w:p w14:paraId="45B818CB" w14:textId="429BEB6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Абсорбция</w:t>
      </w:r>
    </w:p>
    <w:p w14:paraId="41161E45" w14:textId="4099E237" w:rsidR="00FD56D2" w:rsidRPr="00FD56D2" w:rsidRDefault="00FD56D2" w:rsidP="00FD56D2">
      <w:pPr>
        <w:rPr>
          <w:rFonts w:cs="Arial"/>
        </w:rPr>
      </w:pPr>
    </w:p>
    <w:p w14:paraId="03A5D57F"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Демонстрирана е биоеквивалентност между вилдаглиптин/метформин при три дозови концентрации (50 </w:t>
      </w:r>
      <w:r w:rsidRPr="00FD56D2">
        <w:rPr>
          <w:rFonts w:eastAsia="Times New Roman" w:cs="Arial"/>
          <w:color w:val="000000"/>
          <w:lang w:val="en-US"/>
        </w:rPr>
        <w:t>mg</w:t>
      </w:r>
      <w:r w:rsidRPr="00FD56D2">
        <w:rPr>
          <w:rFonts w:eastAsia="Times New Roman" w:cs="Arial"/>
          <w:color w:val="000000"/>
          <w:lang w:val="ru-RU"/>
        </w:rPr>
        <w:t xml:space="preserve">/500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50 </w:t>
      </w:r>
      <w:r w:rsidRPr="00FD56D2">
        <w:rPr>
          <w:rFonts w:eastAsia="Times New Roman" w:cs="Arial"/>
          <w:color w:val="000000"/>
          <w:lang w:val="en-US"/>
        </w:rPr>
        <w:t>mg</w:t>
      </w:r>
      <w:r w:rsidRPr="00FD56D2">
        <w:rPr>
          <w:rFonts w:eastAsia="Times New Roman" w:cs="Arial"/>
          <w:color w:val="000000"/>
          <w:lang w:val="ru-RU"/>
        </w:rPr>
        <w:t xml:space="preserve">/850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и </w:t>
      </w:r>
      <w:r w:rsidRPr="00FD56D2">
        <w:rPr>
          <w:rFonts w:eastAsia="Times New Roman" w:cs="Arial"/>
          <w:color w:val="000000"/>
          <w:lang w:val="ru-RU"/>
        </w:rPr>
        <w:t xml:space="preserve">50 </w:t>
      </w:r>
      <w:r w:rsidRPr="00FD56D2">
        <w:rPr>
          <w:rFonts w:eastAsia="Times New Roman" w:cs="Arial"/>
          <w:color w:val="000000"/>
          <w:lang w:val="en-US"/>
        </w:rPr>
        <w:t>mg</w:t>
      </w:r>
      <w:r w:rsidRPr="00FD56D2">
        <w:rPr>
          <w:rFonts w:eastAsia="Times New Roman" w:cs="Arial"/>
          <w:color w:val="000000"/>
          <w:lang w:val="ru-RU"/>
        </w:rPr>
        <w:t xml:space="preserve">/1000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спрямо свободни комбинации на вилдаглиптин и метформин хидрохлорид таблетки в съответстващи дози.</w:t>
      </w:r>
    </w:p>
    <w:p w14:paraId="7F08C125" w14:textId="77777777" w:rsidR="00FD56D2" w:rsidRDefault="00FD56D2" w:rsidP="00FD56D2">
      <w:pPr>
        <w:spacing w:line="240" w:lineRule="auto"/>
        <w:rPr>
          <w:rFonts w:eastAsia="Times New Roman" w:cs="Arial"/>
          <w:color w:val="000000"/>
          <w:lang w:eastAsia="bg-BG"/>
        </w:rPr>
      </w:pPr>
    </w:p>
    <w:p w14:paraId="0BFC1E1D" w14:textId="3373DD9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Храната не повлиява степента и скоростта на абсорбция на вилдаглиптин от вилдаглиптин/метформин. Скоростта и степента на абсорбция на метформин от вилдаглиптин/метформин 50 </w:t>
      </w:r>
      <w:r w:rsidRPr="00FD56D2">
        <w:rPr>
          <w:rFonts w:eastAsia="Times New Roman" w:cs="Arial"/>
          <w:color w:val="000000"/>
          <w:lang w:val="en-US"/>
        </w:rPr>
        <w:t>mg</w:t>
      </w:r>
      <w:r w:rsidRPr="00FD56D2">
        <w:rPr>
          <w:rFonts w:eastAsia="Times New Roman" w:cs="Arial"/>
          <w:color w:val="000000"/>
          <w:lang w:val="ru-RU"/>
        </w:rPr>
        <w:t xml:space="preserve">/1000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намаляват, когато се прилага с храна, което се отразява в понижение на С</w:t>
      </w:r>
      <w:r w:rsidRPr="00FD56D2">
        <w:rPr>
          <w:rFonts w:eastAsia="Times New Roman" w:cs="Arial"/>
          <w:color w:val="000000"/>
          <w:lang w:val="en-US"/>
        </w:rPr>
        <w:t>max</w:t>
      </w:r>
      <w:r w:rsidRPr="00FD56D2">
        <w:rPr>
          <w:rFonts w:eastAsia="Times New Roman" w:cs="Arial"/>
          <w:color w:val="000000"/>
          <w:lang w:eastAsia="bg-BG"/>
        </w:rPr>
        <w:t xml:space="preserve"> с 26%,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с 7% забавяне достигането на Т</w:t>
      </w:r>
      <w:r w:rsidRPr="00FD56D2">
        <w:rPr>
          <w:rFonts w:eastAsia="Times New Roman" w:cs="Arial"/>
          <w:color w:val="000000"/>
          <w:lang w:val="en-US"/>
        </w:rPr>
        <w:t>max</w:t>
      </w:r>
      <w:r w:rsidRPr="00FD56D2">
        <w:rPr>
          <w:rFonts w:eastAsia="Times New Roman" w:cs="Arial"/>
          <w:color w:val="000000"/>
          <w:lang w:eastAsia="bg-BG"/>
        </w:rPr>
        <w:t xml:space="preserve"> (2.0 до 4.0 часа).</w:t>
      </w:r>
    </w:p>
    <w:p w14:paraId="62A48D59" w14:textId="77777777" w:rsidR="00FD56D2" w:rsidRDefault="00FD56D2" w:rsidP="00FD56D2">
      <w:pPr>
        <w:spacing w:line="240" w:lineRule="auto"/>
        <w:rPr>
          <w:rFonts w:eastAsia="Times New Roman" w:cs="Arial"/>
          <w:color w:val="000000"/>
          <w:lang w:eastAsia="bg-BG"/>
        </w:rPr>
      </w:pPr>
    </w:p>
    <w:p w14:paraId="621C021E" w14:textId="0DE699BD" w:rsidR="00FD56D2" w:rsidRPr="00FD56D2" w:rsidRDefault="00FD56D2" w:rsidP="00FD56D2">
      <w:pPr>
        <w:spacing w:line="240" w:lineRule="auto"/>
        <w:rPr>
          <w:rFonts w:eastAsia="Times New Roman" w:cs="Arial"/>
        </w:rPr>
      </w:pPr>
      <w:r w:rsidRPr="00FD56D2">
        <w:rPr>
          <w:rFonts w:eastAsia="Times New Roman" w:cs="Arial"/>
          <w:color w:val="000000"/>
          <w:lang w:eastAsia="bg-BG"/>
        </w:rPr>
        <w:t>Следните данни се отнасят за фармакокинетичните свойства на отделните активни вещества в ДАЛТЕКС.</w:t>
      </w:r>
    </w:p>
    <w:p w14:paraId="7B1C1678" w14:textId="77777777" w:rsidR="00FD56D2" w:rsidRDefault="00FD56D2" w:rsidP="00FD56D2">
      <w:pPr>
        <w:spacing w:line="240" w:lineRule="auto"/>
        <w:rPr>
          <w:rFonts w:eastAsia="Times New Roman" w:cs="Arial"/>
          <w:color w:val="000000"/>
          <w:u w:val="single"/>
          <w:lang w:eastAsia="bg-BG"/>
        </w:rPr>
      </w:pPr>
    </w:p>
    <w:p w14:paraId="678A32F4" w14:textId="5DCF772E"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Вилдаглиптин</w:t>
      </w:r>
    </w:p>
    <w:p w14:paraId="3BD1B6B9"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Абсорбция</w:t>
      </w:r>
    </w:p>
    <w:p w14:paraId="775BA940"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След перорално приложение на гладно вилдаглиптин се абсорбира бързо като пикови плазмени концентрации се наблюдават на 1,7 час. Храната леко забавя времето за достигане на пикови плазмени концентрации до 2,5 часа, но не променя общата експозиция </w:t>
      </w:r>
      <w:r w:rsidRPr="00FD56D2">
        <w:rPr>
          <w:rFonts w:eastAsia="Times New Roman" w:cs="Arial"/>
          <w:color w:val="000000"/>
          <w:lang w:val="ru-RU"/>
        </w:rPr>
        <w:t>(</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Приложението на вилдаглиптин с храна води до понижаване на С</w:t>
      </w:r>
      <w:r w:rsidRPr="00FD56D2">
        <w:rPr>
          <w:rFonts w:eastAsia="Times New Roman" w:cs="Arial"/>
          <w:color w:val="000000"/>
          <w:lang w:val="en-US"/>
        </w:rPr>
        <w:t>max</w:t>
      </w:r>
      <w:r w:rsidRPr="00FD56D2">
        <w:rPr>
          <w:rFonts w:eastAsia="Times New Roman" w:cs="Arial"/>
          <w:color w:val="000000"/>
          <w:lang w:eastAsia="bg-BG"/>
        </w:rPr>
        <w:t xml:space="preserve"> (19%) в сравнение с дозиране на гладно. Въпреки това, степента на промяната не е клинично значима, което означава, че вилдаглиптин може да се прилага с или без храна. Абсолютната бионаличност е 85%.</w:t>
      </w:r>
    </w:p>
    <w:p w14:paraId="5D673F60" w14:textId="77777777" w:rsidR="00FD56D2" w:rsidRDefault="00FD56D2" w:rsidP="00FD56D2">
      <w:pPr>
        <w:spacing w:line="240" w:lineRule="auto"/>
        <w:rPr>
          <w:rFonts w:eastAsia="Times New Roman" w:cs="Arial"/>
          <w:i/>
          <w:iCs/>
          <w:color w:val="000000"/>
          <w:lang w:eastAsia="bg-BG"/>
        </w:rPr>
      </w:pPr>
    </w:p>
    <w:p w14:paraId="1278F87C" w14:textId="7F96F5F9"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Разпределение</w:t>
      </w:r>
    </w:p>
    <w:p w14:paraId="45E166D1"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Свързването на вилдаглиптин с плазмените протеини е слабо (9,3%) и вилдаглиптин се разпределя по равно между плазмата и червените кръвни клетки. Средният обем на разпределение на вилдаглиптин в стабилно състояние след интравенозно приложение (V</w:t>
      </w:r>
      <w:proofErr w:type="spellStart"/>
      <w:r w:rsidRPr="00FD56D2">
        <w:rPr>
          <w:rFonts w:eastAsia="Times New Roman" w:cs="Arial"/>
          <w:color w:val="000000"/>
          <w:lang w:val="en-US"/>
        </w:rPr>
        <w:t>ss</w:t>
      </w:r>
      <w:proofErr w:type="spellEnd"/>
      <w:r w:rsidRPr="00FD56D2">
        <w:rPr>
          <w:rFonts w:eastAsia="Times New Roman" w:cs="Arial"/>
          <w:color w:val="000000"/>
          <w:lang w:val="ru-RU"/>
        </w:rPr>
        <w:t xml:space="preserve">) </w:t>
      </w:r>
      <w:r w:rsidRPr="00FD56D2">
        <w:rPr>
          <w:rFonts w:eastAsia="Times New Roman" w:cs="Arial"/>
          <w:color w:val="000000"/>
          <w:lang w:eastAsia="bg-BG"/>
        </w:rPr>
        <w:t>е 71 литра, което предполага екстраваскуларно разпределение.</w:t>
      </w:r>
    </w:p>
    <w:p w14:paraId="123A621E" w14:textId="77777777" w:rsidR="00FD56D2" w:rsidRDefault="00FD56D2" w:rsidP="00FD56D2">
      <w:pPr>
        <w:spacing w:line="240" w:lineRule="auto"/>
        <w:rPr>
          <w:rFonts w:eastAsia="Times New Roman" w:cs="Arial"/>
          <w:i/>
          <w:iCs/>
          <w:color w:val="000000"/>
          <w:lang w:eastAsia="bg-BG"/>
        </w:rPr>
      </w:pPr>
    </w:p>
    <w:p w14:paraId="73323B7C" w14:textId="5CF731B2"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Биотрансформация</w:t>
      </w:r>
    </w:p>
    <w:p w14:paraId="692102E6"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Метаболизмът е основният път на елиминиране на вилдаглиптин при хора, като представлява 69% от дозата. Основният метаболит </w:t>
      </w:r>
      <w:r w:rsidRPr="00FD56D2">
        <w:rPr>
          <w:rFonts w:eastAsia="Times New Roman" w:cs="Arial"/>
          <w:color w:val="000000"/>
          <w:lang w:val="ru-RU"/>
        </w:rPr>
        <w:t>(</w:t>
      </w:r>
      <w:r w:rsidRPr="00FD56D2">
        <w:rPr>
          <w:rFonts w:eastAsia="Times New Roman" w:cs="Arial"/>
          <w:color w:val="000000"/>
          <w:lang w:val="en-US"/>
        </w:rPr>
        <w:t>LAY</w:t>
      </w:r>
      <w:r w:rsidRPr="00FD56D2">
        <w:rPr>
          <w:rFonts w:eastAsia="Times New Roman" w:cs="Arial"/>
          <w:color w:val="000000"/>
          <w:lang w:val="ru-RU"/>
        </w:rPr>
        <w:t xml:space="preserve"> </w:t>
      </w:r>
      <w:r w:rsidRPr="00FD56D2">
        <w:rPr>
          <w:rFonts w:eastAsia="Times New Roman" w:cs="Arial"/>
          <w:color w:val="000000"/>
          <w:lang w:eastAsia="bg-BG"/>
        </w:rPr>
        <w:t xml:space="preserve">151) е фармакологично неактивен и е продукт на хидролизата на циано групата като представлява 57% от дозата, следван от продукт на амидната хидролиза (4% от дозата). Според </w:t>
      </w:r>
      <w:r w:rsidRPr="00FD56D2">
        <w:rPr>
          <w:rFonts w:eastAsia="Times New Roman" w:cs="Arial"/>
          <w:i/>
          <w:iCs/>
          <w:color w:val="000000"/>
          <w:lang w:val="en-US"/>
        </w:rPr>
        <w:t>in</w:t>
      </w:r>
      <w:r w:rsidRPr="00FD56D2">
        <w:rPr>
          <w:rFonts w:eastAsia="Times New Roman" w:cs="Arial"/>
          <w:i/>
          <w:iCs/>
          <w:color w:val="000000"/>
          <w:lang w:val="ru-RU"/>
        </w:rPr>
        <w:t xml:space="preserve"> </w:t>
      </w:r>
      <w:r w:rsidRPr="00FD56D2">
        <w:rPr>
          <w:rFonts w:eastAsia="Times New Roman" w:cs="Arial"/>
          <w:i/>
          <w:iCs/>
          <w:color w:val="000000"/>
          <w:lang w:val="en-US"/>
        </w:rPr>
        <w:t>vivo</w:t>
      </w:r>
      <w:r w:rsidRPr="00FD56D2">
        <w:rPr>
          <w:rFonts w:eastAsia="Times New Roman" w:cs="Arial"/>
          <w:color w:val="000000"/>
          <w:lang w:val="ru-RU"/>
        </w:rPr>
        <w:t xml:space="preserve"> </w:t>
      </w:r>
      <w:r w:rsidRPr="00FD56D2">
        <w:rPr>
          <w:rFonts w:eastAsia="Times New Roman" w:cs="Arial"/>
          <w:color w:val="000000"/>
          <w:lang w:eastAsia="bg-BG"/>
        </w:rPr>
        <w:t xml:space="preserve">проучване, при което са използвани плъхове с дефицит на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 xml:space="preserve">допринася частично за хидролизата на вилдаглиптин. Вилдаглиптин не се метаболизира от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450 ензимите до степен, която може да бъде определена, и въз основа на това не се очаква метаболитният клирънс на вилдаглиптин да бъде повлиян от съвместно приложени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450 инхибитори и/или индуктори. </w:t>
      </w:r>
      <w:r w:rsidRPr="00FD56D2">
        <w:rPr>
          <w:rFonts w:eastAsia="Times New Roman" w:cs="Arial"/>
          <w:i/>
          <w:iCs/>
          <w:color w:val="000000"/>
          <w:lang w:val="en-US"/>
        </w:rPr>
        <w:t>In</w:t>
      </w:r>
      <w:r w:rsidRPr="00FD56D2">
        <w:rPr>
          <w:rFonts w:eastAsia="Times New Roman" w:cs="Arial"/>
          <w:i/>
          <w:iCs/>
          <w:color w:val="000000"/>
          <w:lang w:val="ru-RU"/>
        </w:rPr>
        <w:t xml:space="preserve"> </w:t>
      </w:r>
      <w:r w:rsidRPr="00FD56D2">
        <w:rPr>
          <w:rFonts w:eastAsia="Times New Roman" w:cs="Arial"/>
          <w:i/>
          <w:iCs/>
          <w:color w:val="000000"/>
          <w:lang w:val="en-US"/>
        </w:rPr>
        <w:t>vitro</w:t>
      </w:r>
      <w:r w:rsidRPr="00FD56D2">
        <w:rPr>
          <w:rFonts w:eastAsia="Times New Roman" w:cs="Arial"/>
          <w:i/>
          <w:iCs/>
          <w:color w:val="000000"/>
          <w:lang w:val="ru-RU"/>
        </w:rPr>
        <w:t xml:space="preserve"> </w:t>
      </w:r>
      <w:r w:rsidRPr="00FD56D2">
        <w:rPr>
          <w:rFonts w:eastAsia="Times New Roman" w:cs="Arial"/>
          <w:color w:val="000000"/>
          <w:lang w:eastAsia="bg-BG"/>
        </w:rPr>
        <w:t xml:space="preserve">проучвания показват, че вилдаглиптин не инхибира/индуцира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450 ензимите. Поради това не се очаква вилдаглиптин да повлияе метаболитния клирънс на съвместно прилагани лекарства, метаболизирани от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1А2,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2С8,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2С9,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2С19, </w:t>
      </w:r>
      <w:r w:rsidRPr="00FD56D2">
        <w:rPr>
          <w:rFonts w:eastAsia="Times New Roman" w:cs="Arial"/>
          <w:color w:val="000000"/>
          <w:lang w:val="en-US"/>
        </w:rPr>
        <w:t>CYP</w:t>
      </w:r>
      <w:r w:rsidRPr="00FD56D2">
        <w:rPr>
          <w:rFonts w:eastAsia="Times New Roman" w:cs="Arial"/>
          <w:color w:val="000000"/>
          <w:lang w:val="ru-RU"/>
        </w:rPr>
        <w:t xml:space="preserve"> 2</w:t>
      </w:r>
      <w:r w:rsidRPr="00FD56D2">
        <w:rPr>
          <w:rFonts w:eastAsia="Times New Roman" w:cs="Arial"/>
          <w:color w:val="000000"/>
          <w:lang w:val="en-US"/>
        </w:rPr>
        <w:t>D</w:t>
      </w:r>
      <w:r w:rsidRPr="00FD56D2">
        <w:rPr>
          <w:rFonts w:eastAsia="Times New Roman" w:cs="Arial"/>
          <w:color w:val="000000"/>
          <w:lang w:val="ru-RU"/>
        </w:rPr>
        <w:t xml:space="preserve">6,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2Е1 или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ЗА4/5.</w:t>
      </w:r>
    </w:p>
    <w:p w14:paraId="072802D8" w14:textId="77777777" w:rsidR="00FD56D2" w:rsidRDefault="00FD56D2" w:rsidP="00FD56D2">
      <w:pPr>
        <w:spacing w:line="240" w:lineRule="auto"/>
        <w:rPr>
          <w:rFonts w:eastAsia="Times New Roman" w:cs="Arial"/>
          <w:i/>
          <w:iCs/>
          <w:color w:val="000000"/>
          <w:lang w:eastAsia="bg-BG"/>
        </w:rPr>
      </w:pPr>
    </w:p>
    <w:p w14:paraId="32791F53" w14:textId="64D2D45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Елиминиране</w:t>
      </w:r>
    </w:p>
    <w:p w14:paraId="62CD1717" w14:textId="2501BCA9" w:rsidR="00FD56D2" w:rsidRPr="00FD56D2" w:rsidRDefault="00FD56D2" w:rsidP="00FD56D2">
      <w:pPr>
        <w:spacing w:line="240" w:lineRule="auto"/>
        <w:rPr>
          <w:rFonts w:eastAsia="Times New Roman" w:cs="Arial"/>
        </w:rPr>
      </w:pPr>
      <w:r w:rsidRPr="00FD56D2">
        <w:rPr>
          <w:rFonts w:eastAsia="Times New Roman" w:cs="Arial"/>
          <w:color w:val="000000"/>
          <w:lang w:eastAsia="bg-BG"/>
        </w:rPr>
        <w:t>След перорално приложение на [</w:t>
      </w:r>
      <w:r w:rsidRPr="00FD56D2">
        <w:rPr>
          <w:rFonts w:eastAsia="Times New Roman" w:cs="Arial"/>
          <w:color w:val="000000"/>
          <w:vertAlign w:val="superscript"/>
          <w:lang w:eastAsia="bg-BG"/>
        </w:rPr>
        <w:t>14</w:t>
      </w:r>
      <w:r w:rsidRPr="00FD56D2">
        <w:rPr>
          <w:rFonts w:eastAsia="Times New Roman" w:cs="Arial"/>
          <w:color w:val="000000"/>
          <w:lang w:eastAsia="bg-BG"/>
        </w:rPr>
        <w:t xml:space="preserve">С] вилдаглиптин приблизително 85% от дозата се екскретира в урината, а 15% от дозата се откриват в изпражненията. Бъбречната екскреция на непроменен вилдаглиптин представлява 23% от дозата след перорално приложение. След интравенозно приложение при здрави субекти общият плазмен и бъбречен клирънс на вилдаглиптин е съответно 41 и 13 </w:t>
      </w:r>
      <w:r w:rsidRPr="00FD56D2">
        <w:rPr>
          <w:rFonts w:eastAsia="Times New Roman" w:cs="Arial"/>
          <w:color w:val="000000"/>
          <w:lang w:val="ru-RU"/>
        </w:rPr>
        <w:t>1/</w:t>
      </w:r>
      <w:r w:rsidRPr="00FD56D2">
        <w:rPr>
          <w:rFonts w:eastAsia="Times New Roman" w:cs="Arial"/>
          <w:color w:val="000000"/>
          <w:lang w:val="en-US"/>
        </w:rPr>
        <w:t>h</w:t>
      </w:r>
      <w:r w:rsidRPr="00FD56D2">
        <w:rPr>
          <w:rFonts w:eastAsia="Times New Roman" w:cs="Arial"/>
          <w:color w:val="000000"/>
          <w:lang w:val="ru-RU"/>
        </w:rPr>
        <w:t xml:space="preserve">. </w:t>
      </w:r>
      <w:r w:rsidRPr="00FD56D2">
        <w:rPr>
          <w:rFonts w:eastAsia="Times New Roman" w:cs="Arial"/>
          <w:color w:val="000000"/>
          <w:lang w:eastAsia="bg-BG"/>
        </w:rPr>
        <w:t>Средният елиминационен полуживот след перорално приложение е приблизително 3 часа.</w:t>
      </w:r>
    </w:p>
    <w:p w14:paraId="3B40F630" w14:textId="77777777" w:rsidR="00FD56D2" w:rsidRDefault="00FD56D2" w:rsidP="00FD56D2">
      <w:pPr>
        <w:spacing w:line="240" w:lineRule="auto"/>
        <w:rPr>
          <w:rFonts w:eastAsia="Times New Roman" w:cs="Arial"/>
          <w:i/>
          <w:iCs/>
          <w:color w:val="000000"/>
          <w:lang w:eastAsia="bg-BG"/>
        </w:rPr>
      </w:pPr>
    </w:p>
    <w:p w14:paraId="70FBB295" w14:textId="4EAF6EF8"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Линейност/нелинейност</w:t>
      </w:r>
    </w:p>
    <w:p w14:paraId="6A883E68" w14:textId="46315DF6" w:rsidR="00FD56D2" w:rsidRDefault="00FD56D2" w:rsidP="00FD56D2">
      <w:pPr>
        <w:rPr>
          <w:rFonts w:eastAsia="Times New Roman" w:cs="Arial"/>
          <w:color w:val="000000"/>
          <w:lang w:eastAsia="bg-BG"/>
        </w:rPr>
      </w:pPr>
      <w:r w:rsidRPr="00FD56D2">
        <w:rPr>
          <w:rFonts w:eastAsia="Times New Roman" w:cs="Arial"/>
          <w:color w:val="000000"/>
          <w:lang w:eastAsia="bg-BG"/>
        </w:rPr>
        <w:t>Стах на вилдаглиптин и площта под кривата плазмена концентрация спрямо време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се повишава приблизително по пропорционален на дозата начин в рамките на терапевтичния дозов интервал.</w:t>
      </w:r>
    </w:p>
    <w:p w14:paraId="6EEE8DFE" w14:textId="50CA2B21" w:rsidR="00FD56D2" w:rsidRDefault="00FD56D2" w:rsidP="00FD56D2">
      <w:pPr>
        <w:rPr>
          <w:rFonts w:eastAsia="Times New Roman" w:cs="Arial"/>
          <w:color w:val="000000"/>
          <w:lang w:eastAsia="bg-BG"/>
        </w:rPr>
      </w:pPr>
    </w:p>
    <w:p w14:paraId="3EE64113"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Характеристики при пациенти</w:t>
      </w:r>
    </w:p>
    <w:p w14:paraId="225B4B53"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lastRenderedPageBreak/>
        <w:t xml:space="preserve">Пол: Не са наблюдавани клинично значими разлики във фармакокинетиката на вилдаглиптин при мъже и жени в рамките на широк интервал на възраст и индекс на телесната маса </w:t>
      </w:r>
      <w:r w:rsidRPr="00FD56D2">
        <w:rPr>
          <w:rFonts w:eastAsia="Times New Roman" w:cs="Arial"/>
          <w:color w:val="000000"/>
          <w:lang w:val="ru-RU"/>
        </w:rPr>
        <w:t>(</w:t>
      </w:r>
      <w:r w:rsidRPr="00FD56D2">
        <w:rPr>
          <w:rFonts w:eastAsia="Times New Roman" w:cs="Arial"/>
          <w:color w:val="000000"/>
          <w:lang w:val="en-US"/>
        </w:rPr>
        <w:t>BMI</w:t>
      </w:r>
      <w:r w:rsidRPr="00FD56D2">
        <w:rPr>
          <w:rFonts w:eastAsia="Times New Roman" w:cs="Arial"/>
          <w:color w:val="000000"/>
          <w:lang w:val="ru-RU"/>
        </w:rPr>
        <w:t xml:space="preserve">). </w:t>
      </w:r>
      <w:r w:rsidRPr="00FD56D2">
        <w:rPr>
          <w:rFonts w:eastAsia="Times New Roman" w:cs="Arial"/>
          <w:color w:val="000000"/>
          <w:lang w:eastAsia="bg-BG"/>
        </w:rPr>
        <w:t xml:space="preserve">Инхибирането на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от вилдаглиптин не се повлиява от пола.</w:t>
      </w:r>
    </w:p>
    <w:p w14:paraId="60C272B0" w14:textId="77777777" w:rsidR="00FD56D2" w:rsidRDefault="00FD56D2" w:rsidP="00FD56D2">
      <w:pPr>
        <w:spacing w:line="240" w:lineRule="auto"/>
        <w:rPr>
          <w:rFonts w:eastAsia="Times New Roman" w:cs="Arial"/>
          <w:color w:val="000000"/>
          <w:lang w:eastAsia="bg-BG"/>
        </w:rPr>
      </w:pPr>
    </w:p>
    <w:p w14:paraId="23656554" w14:textId="0FD1053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Възраст: При здрави субекти в старческа възраст (≥70 години) общата експозиция на вилдаглиптин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веднъж дневно) се повишава с 32%, при повишение на пиковите плазмени конзцентрации от 18% в сравнение с млади здрави субекти (18-40 години). Въпреки това се счита, че тези промени нямат клинична значимост. Инхибирането на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от вилдаглиптин не се повлиява от възрастта.</w:t>
      </w:r>
    </w:p>
    <w:p w14:paraId="5FBE7A93" w14:textId="77777777" w:rsidR="00FD56D2" w:rsidRDefault="00FD56D2" w:rsidP="00FD56D2">
      <w:pPr>
        <w:spacing w:line="240" w:lineRule="auto"/>
        <w:rPr>
          <w:rFonts w:eastAsia="Times New Roman" w:cs="Arial"/>
          <w:color w:val="000000"/>
          <w:lang w:eastAsia="bg-BG"/>
        </w:rPr>
      </w:pPr>
    </w:p>
    <w:p w14:paraId="03ED0782" w14:textId="1EB6A401"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Чернодробно увреждане: При субекти с леко, умерено или тежко чернодробно увреждане </w:t>
      </w:r>
      <w:r w:rsidRPr="00FD56D2">
        <w:rPr>
          <w:rFonts w:eastAsia="Times New Roman" w:cs="Arial"/>
          <w:color w:val="000000"/>
          <w:lang w:val="ru-RU"/>
        </w:rPr>
        <w:t>(</w:t>
      </w:r>
      <w:r w:rsidRPr="00FD56D2">
        <w:rPr>
          <w:rFonts w:eastAsia="Times New Roman" w:cs="Arial"/>
          <w:color w:val="000000"/>
          <w:lang w:val="en-US"/>
        </w:rPr>
        <w:t>Child</w:t>
      </w:r>
      <w:r w:rsidRPr="00FD56D2">
        <w:rPr>
          <w:rFonts w:eastAsia="Times New Roman" w:cs="Arial"/>
          <w:color w:val="000000"/>
          <w:lang w:val="ru-RU"/>
        </w:rPr>
        <w:t xml:space="preserve">- </w:t>
      </w:r>
      <w:r w:rsidRPr="00FD56D2">
        <w:rPr>
          <w:rFonts w:eastAsia="Times New Roman" w:cs="Arial"/>
          <w:color w:val="000000"/>
          <w:lang w:val="en-US"/>
        </w:rPr>
        <w:t>Pugh</w:t>
      </w:r>
      <w:r w:rsidRPr="00FD56D2">
        <w:rPr>
          <w:rFonts w:eastAsia="Times New Roman" w:cs="Arial"/>
          <w:color w:val="000000"/>
          <w:lang w:val="ru-RU"/>
        </w:rPr>
        <w:t xml:space="preserve"> </w:t>
      </w:r>
      <w:r w:rsidRPr="00FD56D2">
        <w:rPr>
          <w:rFonts w:eastAsia="Times New Roman" w:cs="Arial"/>
          <w:color w:val="000000"/>
          <w:lang w:eastAsia="bg-BG"/>
        </w:rPr>
        <w:t>А-С) не са наблюдавани клинично значими промени (максимално ~30%) в експозицията на вилдаглиптин.</w:t>
      </w:r>
    </w:p>
    <w:p w14:paraId="7A9BD718" w14:textId="77777777" w:rsidR="00FD56D2" w:rsidRDefault="00FD56D2" w:rsidP="00FD56D2">
      <w:pPr>
        <w:spacing w:line="240" w:lineRule="auto"/>
        <w:rPr>
          <w:rFonts w:eastAsia="Times New Roman" w:cs="Arial"/>
          <w:color w:val="000000"/>
          <w:lang w:eastAsia="bg-BG"/>
        </w:rPr>
      </w:pPr>
    </w:p>
    <w:p w14:paraId="3745BE59" w14:textId="29714CCB" w:rsidR="00FD56D2" w:rsidRPr="00FD56D2" w:rsidRDefault="00FD56D2" w:rsidP="00FD56D2">
      <w:pPr>
        <w:spacing w:line="240" w:lineRule="auto"/>
        <w:rPr>
          <w:rFonts w:eastAsia="Times New Roman" w:cs="Arial"/>
        </w:rPr>
      </w:pPr>
      <w:r w:rsidRPr="00FD56D2">
        <w:rPr>
          <w:rFonts w:eastAsia="Times New Roman" w:cs="Arial"/>
          <w:color w:val="000000"/>
          <w:lang w:eastAsia="bg-BG"/>
        </w:rPr>
        <w:t>Бъбречно увреждане: При субекти с леко, умерено или тежко бъбречно увреждане системната експозиция на вилдаглиптин се повишава (С</w:t>
      </w:r>
      <w:r w:rsidRPr="00FD56D2">
        <w:rPr>
          <w:rFonts w:eastAsia="Times New Roman" w:cs="Arial"/>
          <w:color w:val="000000"/>
          <w:lang w:val="en-US"/>
        </w:rPr>
        <w:t>max</w:t>
      </w:r>
      <w:r w:rsidRPr="00FD56D2">
        <w:rPr>
          <w:rFonts w:eastAsia="Times New Roman" w:cs="Arial"/>
          <w:color w:val="000000"/>
          <w:lang w:eastAsia="bg-BG"/>
        </w:rPr>
        <w:t xml:space="preserve"> 8-66%;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32-134%), а общият телесен клирънс се понижава в сравнение със субекти с нормална бъбречна функция.</w:t>
      </w:r>
    </w:p>
    <w:p w14:paraId="1E2C811B" w14:textId="77777777" w:rsidR="00FD56D2" w:rsidRDefault="00FD56D2" w:rsidP="00FD56D2">
      <w:pPr>
        <w:spacing w:line="240" w:lineRule="auto"/>
        <w:rPr>
          <w:rFonts w:eastAsia="Times New Roman" w:cs="Arial"/>
          <w:color w:val="000000"/>
          <w:lang w:eastAsia="bg-BG"/>
        </w:rPr>
      </w:pPr>
    </w:p>
    <w:p w14:paraId="09A4380C" w14:textId="47979B45" w:rsidR="00FD56D2" w:rsidRPr="00FD56D2" w:rsidRDefault="00FD56D2" w:rsidP="00FD56D2">
      <w:pPr>
        <w:spacing w:line="240" w:lineRule="auto"/>
        <w:rPr>
          <w:rFonts w:eastAsia="Times New Roman" w:cs="Arial"/>
        </w:rPr>
      </w:pPr>
      <w:r w:rsidRPr="00FD56D2">
        <w:rPr>
          <w:rFonts w:eastAsia="Times New Roman" w:cs="Arial"/>
          <w:color w:val="000000"/>
          <w:lang w:eastAsia="bg-BG"/>
        </w:rPr>
        <w:t>Етническа група: Ограничените данни показват, че расата не оказва сериозно влияние върху фармакокинетиката на вилдаглиптин.</w:t>
      </w:r>
    </w:p>
    <w:p w14:paraId="3BB1E048" w14:textId="77777777" w:rsidR="00FD56D2" w:rsidRDefault="00FD56D2" w:rsidP="00FD56D2">
      <w:pPr>
        <w:spacing w:line="240" w:lineRule="auto"/>
        <w:rPr>
          <w:rFonts w:eastAsia="Times New Roman" w:cs="Arial"/>
          <w:color w:val="000000"/>
          <w:u w:val="single"/>
          <w:lang w:eastAsia="bg-BG"/>
        </w:rPr>
      </w:pPr>
    </w:p>
    <w:p w14:paraId="7C06E46B" w14:textId="2C61B6E3"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Метформин</w:t>
      </w:r>
    </w:p>
    <w:p w14:paraId="2F75E8B0"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Абсорбция</w:t>
      </w:r>
    </w:p>
    <w:p w14:paraId="596C7FAD"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След перорална доза метформин максималните плазмени концентрации (Стах) се достигат след около 2,5 часа. Абсолютната бионаличност на таблетка метформин 500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е приблизително 50- 60% при здрави субекти. След перорална доза неабсорбираната фракция, която се открива в изпражненията е 20-30%.</w:t>
      </w:r>
    </w:p>
    <w:p w14:paraId="452C8902" w14:textId="77777777" w:rsidR="00FD56D2" w:rsidRDefault="00FD56D2" w:rsidP="00FD56D2">
      <w:pPr>
        <w:spacing w:line="240" w:lineRule="auto"/>
        <w:rPr>
          <w:rFonts w:eastAsia="Times New Roman" w:cs="Arial"/>
          <w:color w:val="000000"/>
          <w:lang w:eastAsia="bg-BG"/>
        </w:rPr>
      </w:pPr>
    </w:p>
    <w:p w14:paraId="326B0496" w14:textId="31F5FE60" w:rsidR="00FD56D2" w:rsidRPr="00FD56D2" w:rsidRDefault="00FD56D2" w:rsidP="00FD56D2">
      <w:pPr>
        <w:spacing w:line="240" w:lineRule="auto"/>
        <w:rPr>
          <w:rFonts w:eastAsia="Times New Roman" w:cs="Arial"/>
        </w:rPr>
      </w:pPr>
      <w:r w:rsidRPr="00FD56D2">
        <w:rPr>
          <w:rFonts w:eastAsia="Times New Roman" w:cs="Arial"/>
          <w:color w:val="000000"/>
          <w:lang w:eastAsia="bg-BG"/>
        </w:rPr>
        <w:t>След перорално приложение абсорбцията на метформин е насищаща и непълна. Предполага се, че фармакокинетиката на абсорбцията на метформин е нелинейна. При обичайните дози и схема на дозиране на метформин стабилни плазмени концентрации се достигат в рамките на 24-48 часа и обичайно са под 1 μ</w:t>
      </w:r>
      <w:r w:rsidRPr="00FD56D2">
        <w:rPr>
          <w:rFonts w:eastAsia="Times New Roman" w:cs="Arial"/>
          <w:color w:val="000000"/>
          <w:lang w:val="en-US"/>
        </w:rPr>
        <w:t>g</w:t>
      </w:r>
      <w:r w:rsidRPr="00FD56D2">
        <w:rPr>
          <w:rFonts w:eastAsia="Times New Roman" w:cs="Arial"/>
          <w:color w:val="000000"/>
          <w:lang w:val="ru-RU"/>
        </w:rPr>
        <w:t>/</w:t>
      </w:r>
      <w:r w:rsidRPr="00FD56D2">
        <w:rPr>
          <w:rFonts w:eastAsia="Times New Roman" w:cs="Arial"/>
          <w:color w:val="000000"/>
          <w:lang w:val="en-US"/>
        </w:rPr>
        <w:t>ml</w:t>
      </w:r>
      <w:r w:rsidRPr="00FD56D2">
        <w:rPr>
          <w:rFonts w:eastAsia="Times New Roman" w:cs="Arial"/>
          <w:color w:val="000000"/>
          <w:lang w:val="ru-RU"/>
        </w:rPr>
        <w:t xml:space="preserve">. </w:t>
      </w:r>
      <w:r w:rsidRPr="00FD56D2">
        <w:rPr>
          <w:rFonts w:eastAsia="Times New Roman" w:cs="Arial"/>
          <w:color w:val="000000"/>
          <w:lang w:eastAsia="bg-BG"/>
        </w:rPr>
        <w:t>при контролираните клинични изпитвания максималните плазмени нива на метформин (Стах) не са превишавали 4 μ</w:t>
      </w:r>
      <w:r w:rsidRPr="00FD56D2">
        <w:rPr>
          <w:rFonts w:eastAsia="Times New Roman" w:cs="Arial"/>
          <w:color w:val="000000"/>
          <w:lang w:val="en-US"/>
        </w:rPr>
        <w:t>g</w:t>
      </w:r>
      <w:r w:rsidRPr="00FD56D2">
        <w:rPr>
          <w:rFonts w:eastAsia="Times New Roman" w:cs="Arial"/>
          <w:color w:val="000000"/>
          <w:lang w:val="ru-RU"/>
        </w:rPr>
        <w:t>/</w:t>
      </w:r>
      <w:r w:rsidRPr="00FD56D2">
        <w:rPr>
          <w:rFonts w:eastAsia="Times New Roman" w:cs="Arial"/>
          <w:color w:val="000000"/>
          <w:lang w:val="en-US"/>
        </w:rPr>
        <w:t>ml</w:t>
      </w:r>
      <w:r w:rsidRPr="00FD56D2">
        <w:rPr>
          <w:rFonts w:eastAsia="Times New Roman" w:cs="Arial"/>
          <w:color w:val="000000"/>
          <w:lang w:val="ru-RU"/>
        </w:rPr>
        <w:t xml:space="preserve"> </w:t>
      </w:r>
      <w:r w:rsidRPr="00FD56D2">
        <w:rPr>
          <w:rFonts w:eastAsia="Times New Roman" w:cs="Arial"/>
          <w:color w:val="000000"/>
          <w:lang w:eastAsia="bg-BG"/>
        </w:rPr>
        <w:t>дори и при максимални дози.</w:t>
      </w:r>
    </w:p>
    <w:p w14:paraId="4AEC085F" w14:textId="77777777" w:rsidR="00FD56D2" w:rsidRDefault="00FD56D2" w:rsidP="00FD56D2">
      <w:pPr>
        <w:spacing w:line="240" w:lineRule="auto"/>
        <w:rPr>
          <w:rFonts w:eastAsia="Times New Roman" w:cs="Arial"/>
          <w:color w:val="000000"/>
          <w:lang w:eastAsia="bg-BG"/>
        </w:rPr>
      </w:pPr>
    </w:p>
    <w:p w14:paraId="4E9BC82E" w14:textId="5890ED4A"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Храната леко забавя и понижава степента на абсорбция на метформин. След приложение на доза от 850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пиковите плазмени концентрации са 40% по-ниски,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се понижава с 25% и времето за достигане на пикови плазмени концентрации се удължава с 35 минути. Клиничната значимост на това понижение не е известна.</w:t>
      </w:r>
    </w:p>
    <w:p w14:paraId="09695219" w14:textId="77777777" w:rsidR="00FD56D2" w:rsidRDefault="00FD56D2" w:rsidP="00FD56D2">
      <w:pPr>
        <w:spacing w:line="240" w:lineRule="auto"/>
        <w:rPr>
          <w:rFonts w:eastAsia="Times New Roman" w:cs="Arial"/>
          <w:i/>
          <w:iCs/>
          <w:color w:val="000000"/>
          <w:lang w:eastAsia="bg-BG"/>
        </w:rPr>
      </w:pPr>
    </w:p>
    <w:p w14:paraId="495B76CF" w14:textId="5C0A1235"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Разпределение</w:t>
      </w:r>
    </w:p>
    <w:p w14:paraId="54E9C4D4"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Свързването с плазмените протеини е пренебрежимо. Метформин се разпределя в еритроцитите. Средният обем на разпределение </w:t>
      </w:r>
      <w:r w:rsidRPr="00FD56D2">
        <w:rPr>
          <w:rFonts w:eastAsia="Times New Roman" w:cs="Arial"/>
          <w:color w:val="000000"/>
          <w:lang w:val="ru-RU"/>
        </w:rPr>
        <w:t>(</w:t>
      </w:r>
      <w:proofErr w:type="spellStart"/>
      <w:r w:rsidRPr="00FD56D2">
        <w:rPr>
          <w:rFonts w:eastAsia="Times New Roman" w:cs="Arial"/>
          <w:color w:val="000000"/>
          <w:lang w:val="en-US"/>
        </w:rPr>
        <w:t>Vd</w:t>
      </w:r>
      <w:proofErr w:type="spellEnd"/>
      <w:r w:rsidRPr="00FD56D2">
        <w:rPr>
          <w:rFonts w:eastAsia="Times New Roman" w:cs="Arial"/>
          <w:color w:val="000000"/>
          <w:lang w:val="ru-RU"/>
        </w:rPr>
        <w:t xml:space="preserve">) </w:t>
      </w:r>
      <w:r w:rsidRPr="00FD56D2">
        <w:rPr>
          <w:rFonts w:eastAsia="Times New Roman" w:cs="Arial"/>
          <w:color w:val="000000"/>
          <w:lang w:eastAsia="bg-BG"/>
        </w:rPr>
        <w:t>варира в диапазона 63-276 литра.</w:t>
      </w:r>
    </w:p>
    <w:p w14:paraId="37428918" w14:textId="77777777" w:rsidR="00FD56D2" w:rsidRDefault="00FD56D2" w:rsidP="00FD56D2">
      <w:pPr>
        <w:spacing w:line="240" w:lineRule="auto"/>
        <w:rPr>
          <w:rFonts w:eastAsia="Times New Roman" w:cs="Arial"/>
          <w:i/>
          <w:iCs/>
          <w:color w:val="000000"/>
          <w:lang w:eastAsia="bg-BG"/>
        </w:rPr>
      </w:pPr>
    </w:p>
    <w:p w14:paraId="2730ECDB" w14:textId="287F509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Биотрансформация</w:t>
      </w:r>
    </w:p>
    <w:p w14:paraId="1AFB605B"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Метформин се екскретивра в непроменен вид в урината. Не са установени метаболити при хора.</w:t>
      </w:r>
    </w:p>
    <w:p w14:paraId="166DC889" w14:textId="77777777" w:rsidR="00FD56D2" w:rsidRDefault="00FD56D2" w:rsidP="00FD56D2">
      <w:pPr>
        <w:spacing w:line="240" w:lineRule="auto"/>
        <w:rPr>
          <w:rFonts w:eastAsia="Times New Roman" w:cs="Arial"/>
          <w:i/>
          <w:iCs/>
          <w:color w:val="000000"/>
          <w:lang w:eastAsia="bg-BG"/>
        </w:rPr>
      </w:pPr>
    </w:p>
    <w:p w14:paraId="38AC51E2" w14:textId="0E921CF6"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Елиминиране</w:t>
      </w:r>
    </w:p>
    <w:p w14:paraId="45CE283D"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lastRenderedPageBreak/>
        <w:t>Метформин се елиминира посредством бъбречна екскреция. Бъбречният</w:t>
      </w:r>
      <w:r w:rsidRPr="00FD56D2">
        <w:rPr>
          <w:rFonts w:eastAsia="Times New Roman" w:cs="Arial"/>
          <w:color w:val="000000"/>
          <w:lang w:val="ru-RU"/>
        </w:rPr>
        <w:t xml:space="preserve"> </w:t>
      </w:r>
      <w:r w:rsidRPr="00FD56D2">
        <w:rPr>
          <w:rFonts w:eastAsia="Times New Roman" w:cs="Arial"/>
          <w:color w:val="000000"/>
          <w:lang w:eastAsia="bg-BG"/>
        </w:rPr>
        <w:t xml:space="preserve">клирънс на метформин е &gt; 400 </w:t>
      </w:r>
      <w:r w:rsidRPr="00FD56D2">
        <w:rPr>
          <w:rFonts w:eastAsia="Times New Roman" w:cs="Arial"/>
          <w:color w:val="000000"/>
          <w:lang w:val="en-US"/>
        </w:rPr>
        <w:t>ml</w:t>
      </w:r>
      <w:r w:rsidRPr="00FD56D2">
        <w:rPr>
          <w:rFonts w:eastAsia="Times New Roman" w:cs="Arial"/>
          <w:color w:val="000000"/>
          <w:lang w:val="ru-RU"/>
        </w:rPr>
        <w:t>/</w:t>
      </w:r>
      <w:r w:rsidRPr="00FD56D2">
        <w:rPr>
          <w:rFonts w:eastAsia="Times New Roman" w:cs="Arial"/>
          <w:color w:val="000000"/>
          <w:lang w:val="en-US"/>
        </w:rPr>
        <w:t>mm</w:t>
      </w:r>
      <w:r w:rsidRPr="00FD56D2">
        <w:rPr>
          <w:rFonts w:eastAsia="Times New Roman" w:cs="Arial"/>
          <w:color w:val="000000"/>
          <w:lang w:val="ru-RU"/>
        </w:rPr>
        <w:t xml:space="preserve">, </w:t>
      </w:r>
      <w:r w:rsidRPr="00FD56D2">
        <w:rPr>
          <w:rFonts w:eastAsia="Times New Roman" w:cs="Arial"/>
          <w:color w:val="000000"/>
          <w:lang w:eastAsia="bg-BG"/>
        </w:rPr>
        <w:t>което показва, че метформин се елиминира чрез гломерулна филтрация и тубулна секреция. След перорална доза привидният терминален елиминационен полуживот е приблизително 6,5 часа. Когато бъбречната функция е увредена, бъбречният клирънс се забавя пропорционално на креатининовия и по този начин елиминационният полуживот се удължава, което води до повишени плазмени нива на метформин.</w:t>
      </w:r>
    </w:p>
    <w:p w14:paraId="76E57384" w14:textId="77777777" w:rsidR="00FD56D2" w:rsidRPr="00FD56D2" w:rsidRDefault="00FD56D2" w:rsidP="00FD56D2">
      <w:pPr>
        <w:rPr>
          <w:rFonts w:cs="Arial"/>
        </w:rPr>
      </w:pPr>
    </w:p>
    <w:p w14:paraId="648E39DA" w14:textId="0CB2E7F8" w:rsidR="00CF77F7" w:rsidRDefault="002C50EE" w:rsidP="004A448E">
      <w:pPr>
        <w:pStyle w:val="Heading2"/>
      </w:pPr>
      <w:r>
        <w:t>5.3. Предклинични данни за безопасност</w:t>
      </w:r>
    </w:p>
    <w:p w14:paraId="4679D169" w14:textId="4A638B73" w:rsidR="00FD56D2" w:rsidRDefault="00FD56D2" w:rsidP="00FD56D2"/>
    <w:p w14:paraId="51839C14"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Проведени са проучвания при животни с продължителност до 13 седмици с комбинираните вещества на ДАЛТЕКС. Не е установена нова токсичност, свързана с комбинацията. Следните данни са установени при проучвания, проведени с вилдаглиптин или метформин самостоятелно.</w:t>
      </w:r>
    </w:p>
    <w:p w14:paraId="2A9F9B66" w14:textId="77777777" w:rsidR="00FD56D2" w:rsidRDefault="00FD56D2" w:rsidP="00FD56D2">
      <w:pPr>
        <w:spacing w:line="240" w:lineRule="auto"/>
        <w:rPr>
          <w:rFonts w:eastAsia="Times New Roman" w:cs="Arial"/>
          <w:color w:val="000000"/>
          <w:u w:val="single"/>
          <w:lang w:eastAsia="bg-BG"/>
        </w:rPr>
      </w:pPr>
    </w:p>
    <w:p w14:paraId="41079152" w14:textId="0609376A"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Вилдаглиптин</w:t>
      </w:r>
    </w:p>
    <w:p w14:paraId="5A5EC4DD"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кучета се наблюдава удлъжаване на интракардиалното провеждане при доза, при която няма ефект от 15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(7 пъти експозицията при хора въз основа на С</w:t>
      </w:r>
      <w:r w:rsidRPr="00FD56D2">
        <w:rPr>
          <w:rFonts w:eastAsia="Times New Roman" w:cs="Arial"/>
          <w:color w:val="000000"/>
          <w:lang w:val="en-US"/>
        </w:rPr>
        <w:t>max</w:t>
      </w:r>
      <w:r w:rsidRPr="00FD56D2">
        <w:rPr>
          <w:rFonts w:eastAsia="Times New Roman" w:cs="Arial"/>
          <w:color w:val="000000"/>
          <w:lang w:eastAsia="bg-BG"/>
        </w:rPr>
        <w:t>).</w:t>
      </w:r>
    </w:p>
    <w:p w14:paraId="1366ED8A" w14:textId="77777777" w:rsidR="00FD56D2" w:rsidRDefault="00FD56D2" w:rsidP="00FD56D2">
      <w:pPr>
        <w:spacing w:line="240" w:lineRule="auto"/>
        <w:rPr>
          <w:rFonts w:eastAsia="Times New Roman" w:cs="Arial"/>
          <w:color w:val="000000"/>
          <w:lang w:eastAsia="bg-BG"/>
        </w:rPr>
      </w:pPr>
    </w:p>
    <w:p w14:paraId="00B33678" w14:textId="4819733E"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Кумулиране на пенести алвеоларни макрофаги в белите дробове е наблюдавано при плъхове и мишки. Дозата, при която не се наблюдава ефект при плъхове е 25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(5 пъти експозицията при хора въз основа на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 xml:space="preserve">а при мишки е 750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(142 пъти експозицията при хора).</w:t>
      </w:r>
    </w:p>
    <w:p w14:paraId="76C400B8" w14:textId="77777777" w:rsidR="00FD56D2" w:rsidRDefault="00FD56D2" w:rsidP="00FD56D2">
      <w:pPr>
        <w:spacing w:line="240" w:lineRule="auto"/>
        <w:rPr>
          <w:rFonts w:eastAsia="Times New Roman" w:cs="Arial"/>
          <w:color w:val="000000"/>
          <w:lang w:eastAsia="bg-BG"/>
        </w:rPr>
      </w:pPr>
    </w:p>
    <w:p w14:paraId="763D4772" w14:textId="6EB37CB4" w:rsidR="00FD56D2" w:rsidRPr="00FD56D2" w:rsidRDefault="00FD56D2" w:rsidP="00FD56D2">
      <w:pPr>
        <w:spacing w:line="240" w:lineRule="auto"/>
        <w:rPr>
          <w:rFonts w:eastAsia="Times New Roman" w:cs="Arial"/>
        </w:rPr>
      </w:pPr>
      <w:r w:rsidRPr="00FD56D2">
        <w:rPr>
          <w:rFonts w:eastAsia="Times New Roman" w:cs="Arial"/>
          <w:color w:val="000000"/>
          <w:lang w:eastAsia="bg-BG"/>
        </w:rPr>
        <w:t>Стомашно-чревни симптоми, в частност меки изпражнения, слузести изпражнения, диария и при по-високи дози кръв в изпражненията са наблюдавани при кучета. Не е установено ниво, при което няма ефект.</w:t>
      </w:r>
    </w:p>
    <w:p w14:paraId="726B0623" w14:textId="77777777" w:rsidR="00FD56D2" w:rsidRDefault="00FD56D2" w:rsidP="00FD56D2">
      <w:pPr>
        <w:spacing w:line="240" w:lineRule="auto"/>
        <w:rPr>
          <w:rFonts w:eastAsia="Times New Roman" w:cs="Arial"/>
          <w:color w:val="000000"/>
          <w:lang w:eastAsia="bg-BG"/>
        </w:rPr>
      </w:pPr>
    </w:p>
    <w:p w14:paraId="27EAE6EA" w14:textId="585C9272"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Вилдаглиптин не демонстрира мутагенен потенциал при конвенционалните </w:t>
      </w:r>
      <w:r w:rsidRPr="00FD56D2">
        <w:rPr>
          <w:rFonts w:eastAsia="Times New Roman" w:cs="Arial"/>
          <w:i/>
          <w:iCs/>
          <w:color w:val="000000"/>
          <w:lang w:val="en-US"/>
        </w:rPr>
        <w:t>in</w:t>
      </w:r>
      <w:r w:rsidRPr="00FD56D2">
        <w:rPr>
          <w:rFonts w:eastAsia="Times New Roman" w:cs="Arial"/>
          <w:i/>
          <w:iCs/>
          <w:color w:val="000000"/>
          <w:lang w:val="ru-RU"/>
        </w:rPr>
        <w:t xml:space="preserve"> </w:t>
      </w:r>
      <w:r w:rsidRPr="00FD56D2">
        <w:rPr>
          <w:rFonts w:eastAsia="Times New Roman" w:cs="Arial"/>
          <w:i/>
          <w:iCs/>
          <w:color w:val="000000"/>
          <w:lang w:val="en-US"/>
        </w:rPr>
        <w:t>vitro</w:t>
      </w:r>
      <w:r w:rsidRPr="00FD56D2">
        <w:rPr>
          <w:rFonts w:eastAsia="Times New Roman" w:cs="Arial"/>
          <w:color w:val="000000"/>
          <w:lang w:val="ru-RU"/>
        </w:rPr>
        <w:t xml:space="preserve"> </w:t>
      </w:r>
      <w:r w:rsidRPr="00FD56D2">
        <w:rPr>
          <w:rFonts w:eastAsia="Times New Roman" w:cs="Arial"/>
          <w:color w:val="000000"/>
          <w:lang w:eastAsia="bg-BG"/>
        </w:rPr>
        <w:t xml:space="preserve">и </w:t>
      </w:r>
      <w:r w:rsidRPr="00FD56D2">
        <w:rPr>
          <w:rFonts w:eastAsia="Times New Roman" w:cs="Arial"/>
          <w:i/>
          <w:iCs/>
          <w:color w:val="000000"/>
          <w:lang w:val="en-US"/>
        </w:rPr>
        <w:t>in</w:t>
      </w:r>
      <w:r w:rsidRPr="00FD56D2">
        <w:rPr>
          <w:rFonts w:eastAsia="Times New Roman" w:cs="Arial"/>
          <w:i/>
          <w:iCs/>
          <w:color w:val="000000"/>
          <w:lang w:val="ru-RU"/>
        </w:rPr>
        <w:t xml:space="preserve"> </w:t>
      </w:r>
      <w:r w:rsidRPr="00FD56D2">
        <w:rPr>
          <w:rFonts w:eastAsia="Times New Roman" w:cs="Arial"/>
          <w:i/>
          <w:iCs/>
          <w:color w:val="000000"/>
          <w:lang w:val="en-US"/>
        </w:rPr>
        <w:t>vivo</w:t>
      </w:r>
      <w:r w:rsidRPr="00FD56D2">
        <w:rPr>
          <w:rFonts w:eastAsia="Times New Roman" w:cs="Arial"/>
          <w:i/>
          <w:iCs/>
          <w:color w:val="000000"/>
          <w:lang w:val="ru-RU"/>
        </w:rPr>
        <w:t xml:space="preserve"> </w:t>
      </w:r>
      <w:r w:rsidRPr="00FD56D2">
        <w:rPr>
          <w:rFonts w:eastAsia="Times New Roman" w:cs="Arial"/>
          <w:color w:val="000000"/>
          <w:lang w:eastAsia="bg-BG"/>
        </w:rPr>
        <w:t>изпитвания за генотоксичност.</w:t>
      </w:r>
    </w:p>
    <w:p w14:paraId="79A56340" w14:textId="77777777" w:rsidR="00FD56D2" w:rsidRDefault="00FD56D2" w:rsidP="00FD56D2">
      <w:pPr>
        <w:spacing w:line="240" w:lineRule="auto"/>
        <w:rPr>
          <w:rFonts w:eastAsia="Times New Roman" w:cs="Arial"/>
          <w:color w:val="000000"/>
          <w:lang w:eastAsia="bg-BG"/>
        </w:rPr>
      </w:pPr>
    </w:p>
    <w:p w14:paraId="79A95FD1" w14:textId="0ED76E0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поучване на фертилитета и ранното ембрионално развитие при плъхове не са открити доказателства за нарушения на фертилитета, репродукцията или ранното ембрионално развитие, които да се дължат на вилдаглиптин. Ембриофеталната токсичност е оценена при плъхове и зайци. Повишена честота на вълнообразни ребра е наблюдавана при плъхове във връзка с намалени параметри на телесно тегло при майката при доза, която няма ефект 75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(10 пъти експозицията при хора). При зайци са наблюдавани понижаване на теглото на фетуса и скелетни промени, които подсказват забавяне на развитието, само при наличие на тежка майчина токсичност при доза, при която не се наблюдава ефект 50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(9 пъти експозицията при хора). Проучване на пре- и постнаталното развитие е проведено при плъхове. Находки са наблюдавани само във връзка с майчина токсичност &gt;150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и включват преходно понижение на телесното тегло и понижена двигателна активност на поколение </w:t>
      </w:r>
      <w:r w:rsidRPr="00FD56D2">
        <w:rPr>
          <w:rFonts w:eastAsia="Times New Roman" w:cs="Arial"/>
          <w:color w:val="000000"/>
          <w:lang w:val="en-US"/>
        </w:rPr>
        <w:t>F</w:t>
      </w:r>
      <w:r w:rsidRPr="00FD56D2">
        <w:rPr>
          <w:rFonts w:eastAsia="Times New Roman" w:cs="Arial"/>
          <w:color w:val="000000"/>
          <w:lang w:val="ru-RU"/>
        </w:rPr>
        <w:t>1.</w:t>
      </w:r>
    </w:p>
    <w:p w14:paraId="45307B2A" w14:textId="77777777" w:rsidR="00FD56D2" w:rsidRDefault="00FD56D2" w:rsidP="00FD56D2">
      <w:pPr>
        <w:spacing w:line="240" w:lineRule="auto"/>
        <w:rPr>
          <w:rFonts w:eastAsia="Times New Roman" w:cs="Arial"/>
          <w:color w:val="000000"/>
          <w:lang w:eastAsia="bg-BG"/>
        </w:rPr>
      </w:pPr>
    </w:p>
    <w:p w14:paraId="71CDD9B2" w14:textId="58DD847C"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Двугодишно проучване за карциногенност е проведено при плъхове при перорални дози до 900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(приблизително 200 пъти експозицията при хора при максималната препоръчителна доза). Не са наблюдавани свързани с вилдаглиптин повишения на честотата на тумори. Друго двугодишно проучване за карциногенност е проведено при мишки при перорални дози до 1000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Наблюдавана е повишена честота на аденокарцином на гърдата и хемангиосаркоми при дози, при които няма ефект съответно </w:t>
      </w:r>
      <w:r w:rsidRPr="00FD56D2">
        <w:rPr>
          <w:rFonts w:eastAsia="Times New Roman" w:cs="Arial"/>
          <w:color w:val="000000"/>
          <w:lang w:eastAsia="bg-BG"/>
        </w:rPr>
        <w:lastRenderedPageBreak/>
        <w:t xml:space="preserve">от 500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(59 пъти експозицията при хора) и 100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(16 пъти експозицията при хора). Не се счита, че повишената честота на тези тумори при мишки представлява сериозен риск при хора въз основа на липсата на генотоксичност на вилдаглиптин и неговият основен метаболит, появата на тумори само при един вид и високите съотношения на системна експозиция, при която са наблюдавани тумори.</w:t>
      </w:r>
    </w:p>
    <w:p w14:paraId="294ECCAE" w14:textId="77777777" w:rsidR="00FD56D2" w:rsidRDefault="00FD56D2" w:rsidP="00FD56D2">
      <w:pPr>
        <w:rPr>
          <w:rFonts w:eastAsia="Times New Roman" w:cs="Arial"/>
          <w:color w:val="000000"/>
          <w:lang w:eastAsia="bg-BG"/>
        </w:rPr>
      </w:pPr>
    </w:p>
    <w:p w14:paraId="5C677876" w14:textId="77777777" w:rsidR="00FD56D2" w:rsidRPr="00FD56D2" w:rsidRDefault="00FD56D2" w:rsidP="00FD56D2">
      <w:pPr>
        <w:rPr>
          <w:rFonts w:eastAsia="Times New Roman" w:cs="Arial"/>
        </w:rPr>
      </w:pPr>
      <w:r w:rsidRPr="00FD56D2">
        <w:rPr>
          <w:rFonts w:eastAsia="Times New Roman" w:cs="Arial"/>
          <w:color w:val="000000"/>
          <w:lang w:eastAsia="bg-BG"/>
        </w:rPr>
        <w:t xml:space="preserve">При 13-седмично токсикологично проучване при маймуни макаци са отчетени кожни лезии при дози ≥ 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Те се локализират винаги по крайниците (ръцете, краката, ушите и опашката). При 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(приблизително еквивалентно на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 xml:space="preserve">експозицията при хора при доза от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са наблюдавани само мехури. Те са обратими, независимо от продължаването на лечението, и не са свързани с хистопатологични аномалии. Напукана кожа, лющеща се кожа, струпеи и разранена опашка със съответните хистопатологични промени са наблюдавани при дози ≥ 20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(приблизително 3 пъти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 xml:space="preserve">експозицията при хора при доза от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Некротични лезии на опашката са наблюдавани при ≥ 80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дневно. Кожните</w:t>
      </w:r>
      <w:r w:rsidRPr="00FD56D2">
        <w:rPr>
          <w:rFonts w:eastAsia="Times New Roman" w:cs="Arial"/>
          <w:color w:val="000000"/>
          <w:lang w:val="ru-RU" w:eastAsia="bg-BG"/>
        </w:rPr>
        <w:t xml:space="preserve"> </w:t>
      </w:r>
      <w:r w:rsidRPr="00FD56D2">
        <w:rPr>
          <w:rFonts w:eastAsia="Times New Roman" w:cs="Arial"/>
          <w:color w:val="000000"/>
          <w:lang w:eastAsia="bg-BG"/>
        </w:rPr>
        <w:t xml:space="preserve">лезии не са били обратими при маймуни, лекувани със 160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дневно по време на 4-седмичния възстановителен период.</w:t>
      </w:r>
    </w:p>
    <w:p w14:paraId="68D2E607" w14:textId="77777777" w:rsidR="00FD56D2" w:rsidRPr="00FD56D2" w:rsidRDefault="00FD56D2" w:rsidP="00FD56D2">
      <w:pPr>
        <w:spacing w:line="240" w:lineRule="auto"/>
        <w:rPr>
          <w:rFonts w:eastAsia="Times New Roman" w:cs="Arial"/>
          <w:color w:val="000000"/>
          <w:u w:val="single"/>
          <w:lang w:eastAsia="bg-BG"/>
        </w:rPr>
      </w:pPr>
    </w:p>
    <w:p w14:paraId="08852C19" w14:textId="395ABB5E"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Метформин</w:t>
      </w:r>
    </w:p>
    <w:p w14:paraId="67E9A09A" w14:textId="77F97DC4" w:rsidR="00FD56D2" w:rsidRPr="00FD56D2" w:rsidRDefault="00FD56D2" w:rsidP="00FD56D2">
      <w:pPr>
        <w:rPr>
          <w:rFonts w:cs="Arial"/>
          <w:lang w:val="ru-RU"/>
        </w:rPr>
      </w:pPr>
      <w:r w:rsidRPr="00FD56D2">
        <w:rPr>
          <w:rFonts w:eastAsia="Times New Roman" w:cs="Arial"/>
          <w:color w:val="000000"/>
          <w:lang w:eastAsia="bg-BG"/>
        </w:rPr>
        <w:t>Неклиничните данни за метформин не разкриват специален риск при хора въз основа на конвенционалните проучвания за фармакологична безопасност, токсичност при многократно дозиране, генотоксичност, карциногенен потенциал и репродуктивна токсичност.</w:t>
      </w:r>
    </w:p>
    <w:p w14:paraId="6A7820AB" w14:textId="7D0DB1AC" w:rsidR="008A6AF2" w:rsidRDefault="002C50EE" w:rsidP="00395555">
      <w:pPr>
        <w:pStyle w:val="Heading1"/>
      </w:pPr>
      <w:r>
        <w:t>7. ПРИТЕЖАТЕЛ НА РАЗРЕШЕНИЕТО ЗА УПОТРЕБА</w:t>
      </w:r>
    </w:p>
    <w:p w14:paraId="11661ACF" w14:textId="151F2C7A" w:rsidR="00FD56D2" w:rsidRDefault="00FD56D2" w:rsidP="00FD56D2"/>
    <w:p w14:paraId="67F9FD6A" w14:textId="45CB3BAC" w:rsidR="00FD56D2" w:rsidRPr="00FD56D2" w:rsidRDefault="00FD56D2" w:rsidP="00FD56D2">
      <w:r>
        <w:t xml:space="preserve">Medochemie Ltd., </w:t>
      </w:r>
      <w:r>
        <w:rPr>
          <w:lang w:eastAsia="bg-BG"/>
        </w:rPr>
        <w:t xml:space="preserve">1-10 </w:t>
      </w:r>
      <w:r>
        <w:t xml:space="preserve">Constantinoupoleos street, 3011 Limassol, </w:t>
      </w:r>
      <w:r>
        <w:rPr>
          <w:lang w:eastAsia="bg-BG"/>
        </w:rPr>
        <w:t>Кипър</w:t>
      </w:r>
    </w:p>
    <w:p w14:paraId="7BA1BA64" w14:textId="1DA81A2C" w:rsidR="00CF77F7" w:rsidRPr="00CF77F7" w:rsidRDefault="002C50EE" w:rsidP="004A448E">
      <w:pPr>
        <w:pStyle w:val="Heading1"/>
      </w:pPr>
      <w:r>
        <w:t>8. НОМЕР НА РАЗРЕШЕНИЕТО ЗА УПОТРЕБА</w:t>
      </w:r>
    </w:p>
    <w:p w14:paraId="0B0C65E2" w14:textId="5DA669EF" w:rsidR="00FD56D2" w:rsidRPr="00FD56D2" w:rsidRDefault="002C50EE" w:rsidP="00FD56D2">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000052E5" w:rsidR="007C605B" w:rsidRPr="003E3126" w:rsidRDefault="00FD56D2" w:rsidP="00FD56D2">
      <w:r>
        <w:t>Юли 2017</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756F33"/>
    <w:multiLevelType w:val="hybridMultilevel"/>
    <w:tmpl w:val="93968582"/>
    <w:lvl w:ilvl="0" w:tplc="49A2298C">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53E3AB1"/>
    <w:multiLevelType w:val="hybridMultilevel"/>
    <w:tmpl w:val="B880ABBC"/>
    <w:lvl w:ilvl="0" w:tplc="49A2298C">
      <w:start w:val="4"/>
      <w:numFmt w:val="bullet"/>
      <w:lvlText w:val="-"/>
      <w:lvlJc w:val="left"/>
      <w:pPr>
        <w:ind w:left="1440" w:hanging="36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44691"/>
    <w:multiLevelType w:val="hybridMultilevel"/>
    <w:tmpl w:val="D58E2CB2"/>
    <w:lvl w:ilvl="0" w:tplc="49A2298C">
      <w:start w:val="4"/>
      <w:numFmt w:val="bullet"/>
      <w:lvlText w:val="-"/>
      <w:lvlJc w:val="left"/>
      <w:pPr>
        <w:ind w:left="1440" w:hanging="36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1C60"/>
    <w:multiLevelType w:val="hybridMultilevel"/>
    <w:tmpl w:val="6734C75A"/>
    <w:lvl w:ilvl="0" w:tplc="49A2298C">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A4266"/>
    <w:multiLevelType w:val="hybridMultilevel"/>
    <w:tmpl w:val="23E46C88"/>
    <w:lvl w:ilvl="0" w:tplc="49A2298C">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5"/>
  </w:num>
  <w:num w:numId="11">
    <w:abstractNumId w:val="33"/>
  </w:num>
  <w:num w:numId="12">
    <w:abstractNumId w:val="15"/>
  </w:num>
  <w:num w:numId="13">
    <w:abstractNumId w:val="20"/>
  </w:num>
  <w:num w:numId="14">
    <w:abstractNumId w:val="13"/>
  </w:num>
  <w:num w:numId="15">
    <w:abstractNumId w:val="32"/>
  </w:num>
  <w:num w:numId="16">
    <w:abstractNumId w:val="11"/>
  </w:num>
  <w:num w:numId="17">
    <w:abstractNumId w:val="25"/>
  </w:num>
  <w:num w:numId="18">
    <w:abstractNumId w:val="9"/>
  </w:num>
  <w:num w:numId="19">
    <w:abstractNumId w:val="28"/>
  </w:num>
  <w:num w:numId="20">
    <w:abstractNumId w:val="24"/>
  </w:num>
  <w:num w:numId="21">
    <w:abstractNumId w:val="18"/>
  </w:num>
  <w:num w:numId="22">
    <w:abstractNumId w:val="26"/>
  </w:num>
  <w:num w:numId="23">
    <w:abstractNumId w:val="19"/>
  </w:num>
  <w:num w:numId="24">
    <w:abstractNumId w:val="10"/>
  </w:num>
  <w:num w:numId="25">
    <w:abstractNumId w:val="23"/>
  </w:num>
  <w:num w:numId="26">
    <w:abstractNumId w:val="22"/>
  </w:num>
  <w:num w:numId="27">
    <w:abstractNumId w:val="34"/>
  </w:num>
  <w:num w:numId="28">
    <w:abstractNumId w:val="8"/>
  </w:num>
  <w:num w:numId="29">
    <w:abstractNumId w:val="21"/>
  </w:num>
  <w:num w:numId="30">
    <w:abstractNumId w:val="38"/>
  </w:num>
  <w:num w:numId="31">
    <w:abstractNumId w:val="7"/>
  </w:num>
  <w:num w:numId="32">
    <w:abstractNumId w:val="37"/>
  </w:num>
  <w:num w:numId="33">
    <w:abstractNumId w:val="31"/>
  </w:num>
  <w:num w:numId="34">
    <w:abstractNumId w:val="35"/>
  </w:num>
  <w:num w:numId="35">
    <w:abstractNumId w:val="29"/>
  </w:num>
  <w:num w:numId="36">
    <w:abstractNumId w:val="6"/>
  </w:num>
  <w:num w:numId="37">
    <w:abstractNumId w:val="27"/>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10AF7"/>
    <w:rsid w:val="00C33464"/>
    <w:rsid w:val="00C40420"/>
    <w:rsid w:val="00C809A7"/>
    <w:rsid w:val="00C83063"/>
    <w:rsid w:val="00C87E90"/>
    <w:rsid w:val="00CA1B57"/>
    <w:rsid w:val="00CF77F7"/>
    <w:rsid w:val="00D86297"/>
    <w:rsid w:val="00DD466D"/>
    <w:rsid w:val="00EB6364"/>
    <w:rsid w:val="00F37B64"/>
    <w:rsid w:val="00FD56D2"/>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7683</Words>
  <Characters>43796</Characters>
  <Application>Microsoft Office Word</Application>
  <DocSecurity>0</DocSecurity>
  <Lines>364</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2022-05-01T11:29:00Z</dcterms:created>
  <dcterms:modified xsi:type="dcterms:W3CDTF">2022-05-01T11:29:00Z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