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7C7DBAF8" w:rsidR="009F77A4" w:rsidRDefault="00DD466D" w:rsidP="00387A66">
      <w:pPr>
        <w:pStyle w:val="Heading1"/>
      </w:pPr>
      <w:r>
        <w:t>1.ИМЕ НА ЛЕКАРСТВЕНИЯ ПРОДУКТ</w:t>
      </w:r>
    </w:p>
    <w:p w14:paraId="7E7AC822" w14:textId="475CACEC" w:rsidR="007C41A0" w:rsidRDefault="007C41A0" w:rsidP="007C41A0"/>
    <w:p w14:paraId="1F394FB4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 xml:space="preserve">Де-Нол 120 </w:t>
      </w:r>
      <w:r w:rsidRPr="007C41A0">
        <w:rPr>
          <w:lang w:val="en-US"/>
        </w:rPr>
        <w:t xml:space="preserve">mg </w:t>
      </w:r>
      <w:r w:rsidRPr="007C41A0">
        <w:rPr>
          <w:lang w:eastAsia="bg-BG"/>
        </w:rPr>
        <w:t>филмирани таблетки</w:t>
      </w:r>
    </w:p>
    <w:p w14:paraId="4962BB37" w14:textId="65687ADF" w:rsidR="007C41A0" w:rsidRDefault="007C41A0" w:rsidP="007C41A0">
      <w:pPr>
        <w:rPr>
          <w:lang w:val="en-US"/>
        </w:rPr>
      </w:pPr>
      <w:r w:rsidRPr="007C41A0">
        <w:rPr>
          <w:lang w:val="en-US"/>
        </w:rPr>
        <w:t>De-</w:t>
      </w:r>
      <w:proofErr w:type="spellStart"/>
      <w:r w:rsidRPr="007C41A0">
        <w:rPr>
          <w:lang w:val="en-US"/>
        </w:rPr>
        <w:t>Nol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 xml:space="preserve">120 </w:t>
      </w:r>
      <w:r w:rsidRPr="007C41A0">
        <w:rPr>
          <w:lang w:val="en-US"/>
        </w:rPr>
        <w:t>mg film-coated tablets</w:t>
      </w:r>
    </w:p>
    <w:p w14:paraId="743E9859" w14:textId="77777777" w:rsidR="007C41A0" w:rsidRPr="007C41A0" w:rsidRDefault="007C41A0" w:rsidP="007C41A0"/>
    <w:p w14:paraId="0DF202EC" w14:textId="18E3A298" w:rsidR="00F53FB7" w:rsidRDefault="00DD466D" w:rsidP="00A93499">
      <w:pPr>
        <w:pStyle w:val="Heading1"/>
      </w:pPr>
      <w:r>
        <w:t>2. КАЧЕСТВЕН И КОЛИЧЕСТВЕН СЪСТАВ</w:t>
      </w:r>
    </w:p>
    <w:p w14:paraId="6FE14F5F" w14:textId="31AEEB85" w:rsidR="007C41A0" w:rsidRDefault="007C41A0" w:rsidP="007C41A0"/>
    <w:p w14:paraId="382B1B3B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Всяка таблетка съдържа като активно вещество изсушен колоидален разтвор на бисмутов субцитрат </w:t>
      </w:r>
      <w:r w:rsidRPr="007C41A0">
        <w:rPr>
          <w:rFonts w:eastAsia="Times New Roman" w:cs="Arial"/>
          <w:i/>
          <w:iCs/>
          <w:color w:val="000000"/>
          <w:lang w:val="en-US"/>
        </w:rPr>
        <w:t xml:space="preserve">(colloidal bismuth </w:t>
      </w:r>
      <w:proofErr w:type="spellStart"/>
      <w:r w:rsidRPr="007C41A0">
        <w:rPr>
          <w:rFonts w:eastAsia="Times New Roman" w:cs="Arial"/>
          <w:i/>
          <w:iCs/>
          <w:color w:val="000000"/>
          <w:lang w:val="en-US"/>
        </w:rPr>
        <w:t>subcitrate</w:t>
      </w:r>
      <w:proofErr w:type="spellEnd"/>
      <w:r w:rsidRPr="007C41A0">
        <w:rPr>
          <w:rFonts w:eastAsia="Times New Roman" w:cs="Arial"/>
          <w:i/>
          <w:iCs/>
          <w:color w:val="000000"/>
          <w:lang w:val="en-US"/>
        </w:rPr>
        <w:t>),</w:t>
      </w:r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 xml:space="preserve">еквивалентен на 120 </w:t>
      </w:r>
      <w:r w:rsidRPr="007C41A0">
        <w:rPr>
          <w:rFonts w:eastAsia="Times New Roman" w:cs="Arial"/>
          <w:color w:val="000000"/>
          <w:lang w:val="en-US"/>
        </w:rPr>
        <w:t xml:space="preserve">mg </w:t>
      </w:r>
      <w:r w:rsidRPr="007C41A0">
        <w:rPr>
          <w:rFonts w:eastAsia="Times New Roman" w:cs="Arial"/>
          <w:color w:val="000000"/>
          <w:lang w:eastAsia="bg-BG"/>
        </w:rPr>
        <w:t xml:space="preserve">бисмутов триоксид </w:t>
      </w:r>
      <w:r w:rsidRPr="007C41A0">
        <w:rPr>
          <w:rFonts w:eastAsia="Times New Roman" w:cs="Arial"/>
          <w:i/>
          <w:iCs/>
          <w:color w:val="000000"/>
          <w:lang w:val="en-US"/>
        </w:rPr>
        <w:t>(bismuth trioxide).</w:t>
      </w:r>
    </w:p>
    <w:p w14:paraId="5B087E7F" w14:textId="77777777" w:rsidR="007C41A0" w:rsidRPr="007C41A0" w:rsidRDefault="007C41A0" w:rsidP="007C41A0">
      <w:pPr>
        <w:rPr>
          <w:rFonts w:eastAsia="Times New Roman" w:cs="Arial"/>
          <w:color w:val="000000"/>
          <w:lang w:eastAsia="bg-BG"/>
        </w:rPr>
      </w:pPr>
    </w:p>
    <w:p w14:paraId="1E8E1879" w14:textId="4334C8CF" w:rsidR="007C41A0" w:rsidRPr="007C41A0" w:rsidRDefault="007C41A0" w:rsidP="007C41A0">
      <w:pPr>
        <w:rPr>
          <w:rFonts w:cs="Arial"/>
        </w:rPr>
      </w:pPr>
      <w:r w:rsidRPr="007C41A0">
        <w:rPr>
          <w:rFonts w:eastAsia="Times New Roman" w:cs="Arial"/>
          <w:color w:val="000000"/>
          <w:lang w:eastAsia="bg-BG"/>
        </w:rPr>
        <w:t>В литературата активното вещество често се отнася към координационните съединения: трикалиев дицитратобисмутат.</w:t>
      </w:r>
    </w:p>
    <w:p w14:paraId="4CABB9ED" w14:textId="72B198A5" w:rsidR="00F53FB7" w:rsidRDefault="00DD466D" w:rsidP="00A93499">
      <w:pPr>
        <w:pStyle w:val="Heading1"/>
      </w:pPr>
      <w:r>
        <w:t>3. ЛЕКАРСТВЕНА ФОРМА</w:t>
      </w:r>
    </w:p>
    <w:p w14:paraId="2239D66C" w14:textId="1FE3B70B" w:rsidR="007C41A0" w:rsidRDefault="007C41A0" w:rsidP="007C41A0"/>
    <w:p w14:paraId="2F2FC22D" w14:textId="77777777" w:rsidR="007C41A0" w:rsidRPr="007C41A0" w:rsidRDefault="007C41A0" w:rsidP="007C41A0">
      <w:pPr>
        <w:rPr>
          <w:lang w:eastAsia="bg-BG"/>
        </w:rPr>
      </w:pPr>
      <w:r w:rsidRPr="007C41A0">
        <w:rPr>
          <w:lang w:eastAsia="bg-BG"/>
        </w:rPr>
        <w:t>Филмирани таблетки</w:t>
      </w:r>
    </w:p>
    <w:p w14:paraId="1AA39904" w14:textId="77777777" w:rsidR="007C41A0" w:rsidRPr="007C41A0" w:rsidRDefault="007C41A0" w:rsidP="007C41A0">
      <w:pPr>
        <w:rPr>
          <w:lang w:eastAsia="bg-BG"/>
        </w:rPr>
      </w:pPr>
    </w:p>
    <w:p w14:paraId="5638F557" w14:textId="1472FEBF" w:rsidR="007C41A0" w:rsidRPr="007C41A0" w:rsidRDefault="007C41A0" w:rsidP="007C41A0">
      <w:pPr>
        <w:rPr>
          <w:lang w:eastAsia="bg-BG"/>
        </w:rPr>
      </w:pPr>
      <w:r w:rsidRPr="007C41A0">
        <w:rPr>
          <w:lang w:eastAsia="bg-BG"/>
        </w:rPr>
        <w:t xml:space="preserve">Бели, кръгли, двойно изпъкнали таблетки с маркировка </w:t>
      </w:r>
      <w:r w:rsidRPr="007C41A0">
        <w:rPr>
          <w:lang w:val="en-US"/>
        </w:rPr>
        <w:t>“</w:t>
      </w:r>
      <w:proofErr w:type="spellStart"/>
      <w:r w:rsidRPr="007C41A0">
        <w:rPr>
          <w:lang w:val="en-US"/>
        </w:rPr>
        <w:t>gbr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>152” от едната страна и фирмен знак от другата.</w:t>
      </w:r>
    </w:p>
    <w:p w14:paraId="7DF1D13F" w14:textId="77777777" w:rsidR="007C41A0" w:rsidRPr="007C41A0" w:rsidRDefault="007C41A0" w:rsidP="007C41A0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5633B3A0" w:rsidR="009F77A4" w:rsidRDefault="002C50EE" w:rsidP="00387A66">
      <w:pPr>
        <w:pStyle w:val="Heading2"/>
      </w:pPr>
      <w:r>
        <w:t>4.1. Терапевтични показания</w:t>
      </w:r>
    </w:p>
    <w:p w14:paraId="187ED845" w14:textId="553B8C0F" w:rsidR="007C41A0" w:rsidRDefault="007C41A0" w:rsidP="007C41A0"/>
    <w:p w14:paraId="5DA57F04" w14:textId="77777777" w:rsidR="007C41A0" w:rsidRDefault="007C41A0" w:rsidP="007C41A0">
      <w:pPr>
        <w:pStyle w:val="ListParagraph"/>
        <w:numPr>
          <w:ilvl w:val="0"/>
          <w:numId w:val="40"/>
        </w:numPr>
        <w:rPr>
          <w:lang w:eastAsia="bg-BG"/>
        </w:rPr>
      </w:pPr>
      <w:r w:rsidRPr="007C41A0">
        <w:rPr>
          <w:lang w:eastAsia="bg-BG"/>
        </w:rPr>
        <w:t>стомашна и дуоденална язва</w:t>
      </w:r>
    </w:p>
    <w:p w14:paraId="22E303C1" w14:textId="309EF839" w:rsidR="007C41A0" w:rsidRPr="007C41A0" w:rsidRDefault="007C41A0" w:rsidP="007C41A0">
      <w:pPr>
        <w:pStyle w:val="ListParagraph"/>
        <w:numPr>
          <w:ilvl w:val="0"/>
          <w:numId w:val="40"/>
        </w:numPr>
        <w:rPr>
          <w:lang w:eastAsia="bg-BG"/>
        </w:rPr>
      </w:pPr>
      <w:r w:rsidRPr="007C41A0">
        <w:rPr>
          <w:lang w:eastAsia="bg-BG"/>
        </w:rPr>
        <w:t xml:space="preserve">гастрит, свързан с диспепсия, когато е необходима ерадикация на </w:t>
      </w:r>
      <w:r w:rsidRPr="007C41A0">
        <w:rPr>
          <w:lang w:val="en-US"/>
        </w:rPr>
        <w:t>Helicobacter pylori.</w:t>
      </w:r>
    </w:p>
    <w:p w14:paraId="6878EFBE" w14:textId="77777777" w:rsidR="007C41A0" w:rsidRPr="007C41A0" w:rsidRDefault="007C41A0" w:rsidP="007C41A0"/>
    <w:p w14:paraId="31744E5A" w14:textId="3106B444" w:rsidR="009F77A4" w:rsidRDefault="002C50EE" w:rsidP="00387A66">
      <w:pPr>
        <w:pStyle w:val="Heading2"/>
      </w:pPr>
      <w:r>
        <w:t>4.2. Дозировка и начин на приложение</w:t>
      </w:r>
    </w:p>
    <w:p w14:paraId="693E592F" w14:textId="17F06107" w:rsidR="007C41A0" w:rsidRDefault="007C41A0" w:rsidP="007C41A0"/>
    <w:p w14:paraId="61CCE105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7C41A0">
        <w:rPr>
          <w:rFonts w:eastAsia="Times New Roman" w:cs="Arial"/>
          <w:b/>
          <w:bCs/>
          <w:color w:val="000000"/>
          <w:lang w:eastAsia="bg-BG"/>
        </w:rPr>
        <w:t>Дозировка</w:t>
      </w:r>
      <w:bookmarkEnd w:id="1"/>
    </w:p>
    <w:p w14:paraId="0BE1633F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Два пъти дневно по две таблетки на гладно:</w:t>
      </w:r>
    </w:p>
    <w:p w14:paraId="60A926FA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1/2 час преди закуска и</w:t>
      </w:r>
    </w:p>
    <w:p w14:paraId="54491C69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1/2 час преди вечеря или преди лягане,</w:t>
      </w:r>
    </w:p>
    <w:p w14:paraId="134A49DA" w14:textId="77777777" w:rsidR="007C41A0" w:rsidRDefault="007C41A0" w:rsidP="007C41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D3CEF3" w14:textId="33F9DAC3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или четири пъти дневно по една таблетка на гладно:</w:t>
      </w:r>
    </w:p>
    <w:p w14:paraId="3FB6FBD8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1/2 час преди всяко от трите основни хранения и преди лягане.</w:t>
      </w:r>
    </w:p>
    <w:p w14:paraId="3B332406" w14:textId="77777777" w:rsidR="007C41A0" w:rsidRDefault="007C41A0" w:rsidP="007C41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9E876D1" w14:textId="1898DBC0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1623189A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Таблетките се приемат с малко вода и се поглъщат цели.</w:t>
      </w:r>
    </w:p>
    <w:p w14:paraId="5B739C44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трябва да се приема в продължение на 1 -2 месеца.</w:t>
      </w:r>
    </w:p>
    <w:p w14:paraId="2CA579F3" w14:textId="77777777" w:rsidR="007C41A0" w:rsidRDefault="007C41A0" w:rsidP="007C41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3ED21D" w14:textId="23FFEFF6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Преди всеки следващ курс на лечение трябва да се спазва интервал от 2 месеца, през който не бива да се приемат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или други бисмут-съдържащи продукти.</w:t>
      </w:r>
    </w:p>
    <w:p w14:paraId="47B26F37" w14:textId="77777777" w:rsidR="007C41A0" w:rsidRDefault="007C41A0" w:rsidP="007C41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0F9493" w14:textId="634420FD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Внимание! Доказано е, че препоръчителната доза е ефективна. Ако се изпусне приема на доза,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трябва да се вземе, освен ако не е вече време за следващата доза.</w:t>
      </w:r>
    </w:p>
    <w:p w14:paraId="7BC7142B" w14:textId="77777777" w:rsidR="007C41A0" w:rsidRPr="007C41A0" w:rsidRDefault="007C41A0" w:rsidP="007C41A0"/>
    <w:p w14:paraId="5D9E65DA" w14:textId="23615AA3" w:rsidR="009F77A4" w:rsidRDefault="002C50EE" w:rsidP="00387A66">
      <w:pPr>
        <w:pStyle w:val="Heading2"/>
      </w:pPr>
      <w:r>
        <w:t>4.3. Противопоказания</w:t>
      </w:r>
    </w:p>
    <w:p w14:paraId="68DEE7E5" w14:textId="4A731D60" w:rsidR="007C41A0" w:rsidRDefault="007C41A0" w:rsidP="007C41A0"/>
    <w:p w14:paraId="0BED9018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val="en-US"/>
        </w:rPr>
        <w:t>De-</w:t>
      </w:r>
      <w:proofErr w:type="spellStart"/>
      <w:r w:rsidRPr="007C41A0">
        <w:rPr>
          <w:lang w:val="en-US"/>
        </w:rPr>
        <w:t>Nol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>е противопоказан при тежка бъбречна недостатъчност.</w:t>
      </w:r>
    </w:p>
    <w:p w14:paraId="33BDB11A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>Свръхчувствителност към активното вещество или към някое от помощните вещества.</w:t>
      </w:r>
    </w:p>
    <w:p w14:paraId="3D3AB5E8" w14:textId="77777777" w:rsidR="007C41A0" w:rsidRPr="007C41A0" w:rsidRDefault="007C41A0" w:rsidP="007C41A0"/>
    <w:p w14:paraId="1C27CE53" w14:textId="189A2967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D3308F1" w14:textId="59EAEC0D" w:rsidR="007C41A0" w:rsidRDefault="007C41A0" w:rsidP="007C41A0"/>
    <w:p w14:paraId="6723ACD0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>Продължителната употреба на някои бисмутови съединения във високи дози не се препоръчва, тъй като в определени случаи това би довело до обратима енцефалопатия.</w:t>
      </w:r>
    </w:p>
    <w:p w14:paraId="5EA98D3D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 xml:space="preserve">Възможността това да се случи при употреба на </w:t>
      </w:r>
      <w:r w:rsidRPr="007C41A0">
        <w:rPr>
          <w:lang w:val="en-US"/>
        </w:rPr>
        <w:t>De-</w:t>
      </w:r>
      <w:proofErr w:type="spellStart"/>
      <w:r w:rsidRPr="007C41A0">
        <w:rPr>
          <w:lang w:val="en-US"/>
        </w:rPr>
        <w:t>Nol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>е изключително малка, ако се използва както е препоръчано.</w:t>
      </w:r>
    </w:p>
    <w:p w14:paraId="246E9B25" w14:textId="26E81254" w:rsidR="007C41A0" w:rsidRDefault="007C41A0" w:rsidP="007C41A0">
      <w:pPr>
        <w:rPr>
          <w:lang w:eastAsia="bg-BG"/>
        </w:rPr>
      </w:pPr>
      <w:r w:rsidRPr="007C41A0">
        <w:rPr>
          <w:lang w:eastAsia="bg-BG"/>
        </w:rPr>
        <w:t>Освен това не се препоръчва да се приемат едновременно други съдържащи бисмут продукти.</w:t>
      </w:r>
    </w:p>
    <w:p w14:paraId="3013FA5B" w14:textId="77777777" w:rsidR="007C41A0" w:rsidRPr="007C41A0" w:rsidRDefault="007C41A0" w:rsidP="007C41A0"/>
    <w:p w14:paraId="1DA47448" w14:textId="097846BC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63E4D52" w14:textId="7F293760" w:rsidR="007C41A0" w:rsidRDefault="007C41A0" w:rsidP="007C41A0"/>
    <w:p w14:paraId="6B3E4FFD" w14:textId="1C3E5A7E" w:rsidR="007C41A0" w:rsidRDefault="007C41A0" w:rsidP="007C41A0">
      <w:pPr>
        <w:rPr>
          <w:lang w:val="en-US"/>
        </w:rPr>
      </w:pPr>
      <w:r>
        <w:t xml:space="preserve">Никакви други лекарства, храна или напитки особено антиациди, мляко, плодове и плодови сокове не би трябвало да се консумират половин час преди или след доза </w:t>
      </w:r>
      <w:r>
        <w:rPr>
          <w:lang w:val="en-US"/>
        </w:rPr>
        <w:t>De-</w:t>
      </w:r>
      <w:proofErr w:type="spellStart"/>
      <w:r>
        <w:rPr>
          <w:lang w:val="en-US"/>
        </w:rPr>
        <w:t>Nol</w:t>
      </w:r>
      <w:proofErr w:type="spellEnd"/>
      <w:r>
        <w:rPr>
          <w:lang w:val="en-US"/>
        </w:rPr>
        <w:t xml:space="preserve">, </w:t>
      </w:r>
      <w:r>
        <w:t xml:space="preserve">тъй като може да повлияят на неговото действие. Теоретично може да се намали резорбцията на тетрациклините, ако се приемат едновременно с </w:t>
      </w:r>
      <w:r>
        <w:rPr>
          <w:lang w:val="en-US"/>
        </w:rPr>
        <w:t>De-Nol.</w:t>
      </w:r>
    </w:p>
    <w:p w14:paraId="1F2251F7" w14:textId="77777777" w:rsidR="007C41A0" w:rsidRPr="007C41A0" w:rsidRDefault="007C41A0" w:rsidP="007C41A0"/>
    <w:p w14:paraId="48846BBA" w14:textId="02AF416F" w:rsidR="009F77A4" w:rsidRDefault="002C50EE" w:rsidP="00387A66">
      <w:pPr>
        <w:pStyle w:val="Heading2"/>
      </w:pPr>
      <w:r>
        <w:t>4.6. Фертилитет, бременност и кърмене</w:t>
      </w:r>
    </w:p>
    <w:p w14:paraId="186DE47E" w14:textId="4AE36CD9" w:rsidR="007C41A0" w:rsidRDefault="007C41A0" w:rsidP="007C41A0"/>
    <w:p w14:paraId="16B423DA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 xml:space="preserve">Няма достатъчно информация за употреба на </w:t>
      </w:r>
      <w:r w:rsidRPr="007C41A0">
        <w:rPr>
          <w:lang w:val="en-US"/>
        </w:rPr>
        <w:t>De-</w:t>
      </w:r>
      <w:proofErr w:type="spellStart"/>
      <w:r w:rsidRPr="007C41A0">
        <w:rPr>
          <w:lang w:val="en-US"/>
        </w:rPr>
        <w:t>Nol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>по време на бременност и кърмене и възможни вредни ефекти.</w:t>
      </w:r>
    </w:p>
    <w:p w14:paraId="11D39EB8" w14:textId="15FD624D" w:rsidR="007C41A0" w:rsidRDefault="007C41A0" w:rsidP="007C41A0">
      <w:pPr>
        <w:rPr>
          <w:lang w:eastAsia="bg-BG"/>
        </w:rPr>
      </w:pPr>
      <w:r w:rsidRPr="007C41A0">
        <w:rPr>
          <w:lang w:eastAsia="bg-BG"/>
        </w:rPr>
        <w:t>Проучванията върху животни не са показали наличие на каквито и да е вредни ефекти.</w:t>
      </w:r>
    </w:p>
    <w:p w14:paraId="34B0DDBE" w14:textId="77777777" w:rsidR="007C41A0" w:rsidRPr="007C41A0" w:rsidRDefault="007C41A0" w:rsidP="007C41A0"/>
    <w:p w14:paraId="321AAB00" w14:textId="7E3614A2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7BC27818" w14:textId="6E862AA0" w:rsidR="007C41A0" w:rsidRDefault="007C41A0" w:rsidP="007C41A0"/>
    <w:p w14:paraId="7D6B90C0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 xml:space="preserve">Няма данни за неблагоприятен ефект на </w:t>
      </w:r>
      <w:r w:rsidRPr="007C41A0">
        <w:rPr>
          <w:lang w:val="en-US"/>
        </w:rPr>
        <w:t>De-</w:t>
      </w:r>
      <w:proofErr w:type="spellStart"/>
      <w:r w:rsidRPr="007C41A0">
        <w:rPr>
          <w:lang w:val="en-US"/>
        </w:rPr>
        <w:t>Nol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>върху способността за шофиране.</w:t>
      </w:r>
    </w:p>
    <w:p w14:paraId="229D00C0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 xml:space="preserve">Не е вероятно </w:t>
      </w:r>
      <w:r w:rsidRPr="007C41A0">
        <w:rPr>
          <w:lang w:val="en-US"/>
        </w:rPr>
        <w:t>De-</w:t>
      </w:r>
      <w:proofErr w:type="spellStart"/>
      <w:r w:rsidRPr="007C41A0">
        <w:rPr>
          <w:lang w:val="en-US"/>
        </w:rPr>
        <w:t>Nol</w:t>
      </w:r>
      <w:proofErr w:type="spellEnd"/>
      <w:r w:rsidRPr="007C41A0">
        <w:rPr>
          <w:lang w:val="en-US"/>
        </w:rPr>
        <w:t xml:space="preserve"> </w:t>
      </w:r>
      <w:r w:rsidRPr="007C41A0">
        <w:rPr>
          <w:lang w:eastAsia="bg-BG"/>
        </w:rPr>
        <w:t>да предизвиква ефект върху способностите за шофиране и работа с машини.</w:t>
      </w:r>
    </w:p>
    <w:p w14:paraId="2C1E2A59" w14:textId="77777777" w:rsidR="007C41A0" w:rsidRPr="007C41A0" w:rsidRDefault="007C41A0" w:rsidP="007C41A0"/>
    <w:p w14:paraId="136C86B8" w14:textId="3663DCF7" w:rsidR="009F77A4" w:rsidRDefault="002C50EE" w:rsidP="00387A66">
      <w:pPr>
        <w:pStyle w:val="Heading2"/>
      </w:pPr>
      <w:r>
        <w:t>4.8. Нежелани лекарствени реакции</w:t>
      </w:r>
    </w:p>
    <w:p w14:paraId="3020B650" w14:textId="71FEF8F2" w:rsidR="007C41A0" w:rsidRDefault="007C41A0" w:rsidP="007C41A0"/>
    <w:p w14:paraId="5E68F891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Много чести (&gt;1/10)</w:t>
      </w:r>
    </w:p>
    <w:p w14:paraId="7C14C23E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lastRenderedPageBreak/>
        <w:t>Стомашно-чревни нарушения: може да се появи почерняване на изпражненията в резултат от образуването на бисмутов сулфид. Тази промяна в цвета лесно може да се различи от мелена.</w:t>
      </w:r>
    </w:p>
    <w:p w14:paraId="775CD429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36CB01F" w14:textId="03BFFD15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Нечести (≥1/1,000, &lt;1/100)</w:t>
      </w:r>
    </w:p>
    <w:p w14:paraId="3BAD68CF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Стомашно-чревни нарушения: гадене, повръщане, запек, диария.</w:t>
      </w:r>
    </w:p>
    <w:p w14:paraId="069A94FC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Нарушения на кожата и подкожната тъкан: леки алергични кожни реакции.</w:t>
      </w:r>
    </w:p>
    <w:p w14:paraId="326592CD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3523B78" w14:textId="3F441850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Много редки (&lt;1/10,000), с неизвестна честота (от наличните данни не може да бъде направена оценка)</w:t>
      </w:r>
    </w:p>
    <w:p w14:paraId="34C06614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Нарушения на имунната система: анафилактична реакция.</w:t>
      </w:r>
    </w:p>
    <w:p w14:paraId="5DA14C9B" w14:textId="77777777" w:rsidR="007C41A0" w:rsidRPr="007C41A0" w:rsidRDefault="007C41A0" w:rsidP="007C41A0"/>
    <w:p w14:paraId="378A0F20" w14:textId="7DBD7EDD" w:rsidR="001D095A" w:rsidRDefault="002C50EE" w:rsidP="00340E8D">
      <w:pPr>
        <w:pStyle w:val="Heading2"/>
      </w:pPr>
      <w:r>
        <w:t>4.9. Предозиране</w:t>
      </w:r>
    </w:p>
    <w:p w14:paraId="69B8CD8F" w14:textId="71B2C8BA" w:rsidR="007C41A0" w:rsidRDefault="007C41A0" w:rsidP="007C41A0"/>
    <w:p w14:paraId="158E7839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Симптоми за интоксикация:</w:t>
      </w:r>
    </w:p>
    <w:p w14:paraId="15A6D1FD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Остра масивна свръхдоза може да доведе до бъбречна недостатъчност със забавено начало до 10 дни.</w:t>
      </w:r>
    </w:p>
    <w:p w14:paraId="0D66A720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BD2A1FD" w14:textId="34BE8E52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Лечение на интоксикацията:</w:t>
      </w:r>
    </w:p>
    <w:p w14:paraId="72CB8958" w14:textId="3626271B" w:rsidR="007C41A0" w:rsidRDefault="007C41A0" w:rsidP="007C41A0">
      <w:pPr>
        <w:rPr>
          <w:rFonts w:eastAsia="Times New Roman" w:cs="Arial"/>
          <w:color w:val="000000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След приемане на висока доза еднократно е необходимо веднага да се започне лечение със стомашна промивка и повтарящи се дози от суспензия на активен въглен, комбинирана с осмотични лаксативи. Това лечение като цяло ще ограничи резобцията на</w:t>
      </w:r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бисмута така че не</w:t>
      </w:r>
      <w:r w:rsidRPr="007C41A0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са необходими допълнителни мерки.</w:t>
      </w:r>
    </w:p>
    <w:p w14:paraId="70B6FE4A" w14:textId="374641AA" w:rsidR="007C41A0" w:rsidRDefault="007C41A0" w:rsidP="007C41A0">
      <w:pPr>
        <w:rPr>
          <w:rFonts w:eastAsia="Times New Roman" w:cs="Arial"/>
          <w:color w:val="000000"/>
          <w:lang w:eastAsia="bg-BG"/>
        </w:rPr>
      </w:pPr>
    </w:p>
    <w:p w14:paraId="1FCDAC85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В случай на остра и на хронична интоксикация би трябвало да се мониторира нивото на бисмута в кръвта и урината, за да се определи дали някои от симптомите се дължат на повишена експозиция на бисмут.</w:t>
      </w:r>
    </w:p>
    <w:p w14:paraId="24A6B2E9" w14:textId="77777777" w:rsidR="007C41A0" w:rsidRDefault="007C41A0" w:rsidP="007C41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604043" w14:textId="429D3929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Когато е известно, че симптомите са предизвикани от остро или хронично предозиране с бисмут може да се има предвид хелатно лечение с димеркаптосукцинова киселина </w:t>
      </w:r>
      <w:r w:rsidRPr="007C41A0">
        <w:rPr>
          <w:rFonts w:eastAsia="Times New Roman" w:cs="Arial"/>
          <w:color w:val="000000"/>
          <w:lang w:val="en-US"/>
        </w:rPr>
        <w:t>(</w:t>
      </w:r>
      <w:proofErr w:type="spellStart"/>
      <w:r w:rsidRPr="007C41A0">
        <w:rPr>
          <w:rFonts w:eastAsia="Times New Roman" w:cs="Arial"/>
          <w:color w:val="000000"/>
          <w:lang w:val="en-US"/>
        </w:rPr>
        <w:t>dimercaptosuccinic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acid </w:t>
      </w:r>
      <w:r w:rsidRPr="007C41A0">
        <w:rPr>
          <w:rFonts w:eastAsia="Times New Roman" w:cs="Arial"/>
          <w:color w:val="000000"/>
          <w:lang w:eastAsia="bg-BG"/>
        </w:rPr>
        <w:t xml:space="preserve">- </w:t>
      </w:r>
      <w:r w:rsidRPr="007C41A0">
        <w:rPr>
          <w:rFonts w:eastAsia="Times New Roman" w:cs="Arial"/>
          <w:color w:val="000000"/>
          <w:lang w:val="en-US"/>
        </w:rPr>
        <w:t xml:space="preserve">DMSA) </w:t>
      </w:r>
      <w:r w:rsidRPr="007C41A0">
        <w:rPr>
          <w:rFonts w:eastAsia="Times New Roman" w:cs="Arial"/>
          <w:color w:val="000000"/>
          <w:lang w:eastAsia="bg-BG"/>
        </w:rPr>
        <w:t xml:space="preserve">или с димеркаптопропансулфонова киселина </w:t>
      </w:r>
      <w:r w:rsidRPr="007C41A0">
        <w:rPr>
          <w:rFonts w:eastAsia="Times New Roman" w:cs="Arial"/>
          <w:color w:val="000000"/>
          <w:lang w:val="en-US"/>
        </w:rPr>
        <w:t>(</w:t>
      </w:r>
      <w:proofErr w:type="spellStart"/>
      <w:r w:rsidRPr="007C41A0">
        <w:rPr>
          <w:rFonts w:eastAsia="Times New Roman" w:cs="Arial"/>
          <w:color w:val="000000"/>
          <w:lang w:val="en-US"/>
        </w:rPr>
        <w:t>dimercaptopropanesulphonic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acid </w:t>
      </w:r>
      <w:r w:rsidRPr="007C41A0">
        <w:rPr>
          <w:rFonts w:eastAsia="Times New Roman" w:cs="Arial"/>
          <w:color w:val="000000"/>
          <w:lang w:eastAsia="bg-BG"/>
        </w:rPr>
        <w:t xml:space="preserve">- </w:t>
      </w:r>
      <w:r w:rsidRPr="007C41A0">
        <w:rPr>
          <w:rFonts w:eastAsia="Times New Roman" w:cs="Arial"/>
          <w:color w:val="000000"/>
          <w:lang w:val="en-US"/>
        </w:rPr>
        <w:t>DMPS).</w:t>
      </w:r>
    </w:p>
    <w:p w14:paraId="52953EF6" w14:textId="77777777" w:rsidR="007C41A0" w:rsidRDefault="007C41A0" w:rsidP="007C41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8E0AED" w14:textId="60164D02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При наличие на тежка бъбречна недостатъчност хелатното лечение трябва да се следва от хемодиализа.</w:t>
      </w:r>
    </w:p>
    <w:p w14:paraId="1D51D613" w14:textId="77777777" w:rsidR="007C41A0" w:rsidRPr="007C41A0" w:rsidRDefault="007C41A0" w:rsidP="007C41A0">
      <w:pPr>
        <w:rPr>
          <w:rFonts w:cs="Arial"/>
        </w:rPr>
      </w:pP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2A2A6665" w:rsidR="00F62E44" w:rsidRDefault="002C50EE" w:rsidP="00387A66">
      <w:pPr>
        <w:pStyle w:val="Heading2"/>
      </w:pPr>
      <w:r>
        <w:t>5.1. Фармакодинамични свойства</w:t>
      </w:r>
    </w:p>
    <w:p w14:paraId="37A6EAB0" w14:textId="19862C0B" w:rsidR="007C41A0" w:rsidRDefault="007C41A0" w:rsidP="007C41A0"/>
    <w:p w14:paraId="2949DB39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u w:val="single"/>
          <w:lang w:eastAsia="bg-BG"/>
        </w:rPr>
        <w:t>Фармакотерапевтична група</w:t>
      </w:r>
      <w:r w:rsidRPr="007C41A0">
        <w:rPr>
          <w:rFonts w:eastAsia="Times New Roman" w:cs="Arial"/>
          <w:color w:val="000000"/>
          <w:lang w:eastAsia="bg-BG"/>
        </w:rPr>
        <w:t>: други продукти за лечение на пептична язва и гастро-езофагеална рефлуксна болест. АТС код: А02ВХ05.</w:t>
      </w:r>
    </w:p>
    <w:p w14:paraId="58FF0657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16BD6B4" w14:textId="484D4FE6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Механизъм на действие:</w:t>
      </w:r>
    </w:p>
    <w:p w14:paraId="71186552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Когато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влезе в контакт със стомашната киселина се образува преципитат, който се прикрепя основно към язвата и инхибира действието на пепсина.</w:t>
      </w:r>
    </w:p>
    <w:p w14:paraId="4FF3E1E4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защитава лигавицата също чрез стимулиране синтеза и секретирането на ендогенни простагландини, което води до повишено образуване на бикарбонат и муцин.</w:t>
      </w:r>
    </w:p>
    <w:p w14:paraId="5A2DBF45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lastRenderedPageBreak/>
        <w:t xml:space="preserve">Допълнително,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 xml:space="preserve">проявява антибактериално действие срещу </w:t>
      </w:r>
      <w:r w:rsidRPr="007C41A0">
        <w:rPr>
          <w:rFonts w:eastAsia="Times New Roman" w:cs="Arial"/>
          <w:color w:val="000000"/>
          <w:lang w:val="en-US"/>
        </w:rPr>
        <w:t xml:space="preserve">Helicobacter pylori </w:t>
      </w:r>
      <w:r w:rsidRPr="007C41A0">
        <w:rPr>
          <w:rFonts w:eastAsia="Times New Roman" w:cs="Arial"/>
          <w:color w:val="000000"/>
          <w:lang w:eastAsia="bg-BG"/>
        </w:rPr>
        <w:t>- микроорганизъм, който вероятно предизвиква гастрит.</w:t>
      </w:r>
    </w:p>
    <w:p w14:paraId="280F92EF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Ерадикацията на този микроорганизъм от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се свързва с подобрение в хистологичната картина и облекчение на симптомите на гастрита.</w:t>
      </w:r>
    </w:p>
    <w:p w14:paraId="6FCF5254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849EA2" w14:textId="4AA32500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Фармакодинамични ефекти:</w:t>
      </w:r>
    </w:p>
    <w:p w14:paraId="12C69574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Клиничните проучвания показват, че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лекува голям процент от стомашните и дуоденални язви.</w:t>
      </w:r>
    </w:p>
    <w:p w14:paraId="67604C7E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Антибактериалното действие на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 xml:space="preserve">срещу </w:t>
      </w:r>
      <w:r w:rsidRPr="007C41A0">
        <w:rPr>
          <w:rFonts w:eastAsia="Times New Roman" w:cs="Arial"/>
          <w:i/>
          <w:iCs/>
          <w:color w:val="000000"/>
          <w:lang w:val="en-US"/>
        </w:rPr>
        <w:t>Helicobacter Pylori</w:t>
      </w:r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е свързано с удължаване на ремисията, отколкото при употребата на други лекарства по време на първата година след прекратяване лечението на дуоденална язва. Същата тенденция се наблюдава и при пациенти със стомашна язва.</w:t>
      </w:r>
    </w:p>
    <w:p w14:paraId="4B546E1F" w14:textId="77777777" w:rsidR="007C41A0" w:rsidRPr="007C41A0" w:rsidRDefault="007C41A0" w:rsidP="007C41A0"/>
    <w:p w14:paraId="544FFDAF" w14:textId="7F965ED7" w:rsidR="00F62E44" w:rsidRDefault="002C50EE" w:rsidP="00387A66">
      <w:pPr>
        <w:pStyle w:val="Heading2"/>
      </w:pPr>
      <w:r>
        <w:t>5.2. Фармакокинетични свойства</w:t>
      </w:r>
    </w:p>
    <w:p w14:paraId="46C167E6" w14:textId="04BBBDE5" w:rsidR="007C41A0" w:rsidRDefault="007C41A0" w:rsidP="007C41A0"/>
    <w:p w14:paraId="70D27FD8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Резорбция:</w:t>
      </w:r>
    </w:p>
    <w:p w14:paraId="567F6606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Въпреки че </w:t>
      </w: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представлява един локално активен агент, минимални количества бисмут, извлечени от бисмутовия субцитрат, се резорбират по време на терапията (по-малко от 0,2% на доза).</w:t>
      </w:r>
    </w:p>
    <w:p w14:paraId="160866A1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079C506" w14:textId="092CC82F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Разпределение</w:t>
      </w:r>
    </w:p>
    <w:p w14:paraId="0A887703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Най-големи количества бисмут се откриват в бъбречите, а в останалите органи има само следи от бисмут.</w:t>
      </w:r>
    </w:p>
    <w:p w14:paraId="577D9E3F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04A5D12" w14:textId="0004E97A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Биотрансформация:</w:t>
      </w:r>
    </w:p>
    <w:p w14:paraId="2FE1511C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val="en-US"/>
        </w:rPr>
        <w:t>De-</w:t>
      </w:r>
      <w:proofErr w:type="spellStart"/>
      <w:r w:rsidRPr="007C41A0">
        <w:rPr>
          <w:rFonts w:eastAsia="Times New Roman" w:cs="Arial"/>
          <w:color w:val="000000"/>
          <w:lang w:val="en-US"/>
        </w:rPr>
        <w:t>Nol</w:t>
      </w:r>
      <w:proofErr w:type="spellEnd"/>
      <w:r w:rsidRPr="007C41A0">
        <w:rPr>
          <w:rFonts w:eastAsia="Times New Roman" w:cs="Arial"/>
          <w:color w:val="000000"/>
          <w:lang w:val="en-US"/>
        </w:rPr>
        <w:t xml:space="preserve"> </w:t>
      </w:r>
      <w:r w:rsidRPr="007C41A0">
        <w:rPr>
          <w:rFonts w:eastAsia="Times New Roman" w:cs="Arial"/>
          <w:color w:val="000000"/>
          <w:lang w:eastAsia="bg-BG"/>
        </w:rPr>
        <w:t>преципитира в стомаха до неразтворими бисмутови съединения, вероятно до бисму</w:t>
      </w:r>
      <w:r w:rsidRPr="007C41A0">
        <w:rPr>
          <w:rFonts w:eastAsia="Times New Roman" w:cs="Arial"/>
          <w:color w:val="000000"/>
          <w:u w:val="single"/>
          <w:lang w:eastAsia="bg-BG"/>
        </w:rPr>
        <w:t xml:space="preserve">тов </w:t>
      </w:r>
      <w:r w:rsidRPr="007C41A0">
        <w:rPr>
          <w:rFonts w:eastAsia="Times New Roman" w:cs="Arial"/>
          <w:color w:val="000000"/>
          <w:lang w:eastAsia="bg-BG"/>
        </w:rPr>
        <w:t>оксихлорид и бисмутов цитрат.</w:t>
      </w:r>
    </w:p>
    <w:p w14:paraId="5791660D" w14:textId="77777777" w:rsidR="007C41A0" w:rsidRDefault="007C41A0" w:rsidP="007C41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1F16347" w14:textId="63D0AD33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i/>
          <w:iCs/>
          <w:color w:val="000000"/>
          <w:lang w:eastAsia="bg-BG"/>
        </w:rPr>
        <w:t>Елиминиране</w:t>
      </w:r>
    </w:p>
    <w:p w14:paraId="547A9F44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>Основното количество от приетия бисмут се екскретира чрез изпражненията.</w:t>
      </w:r>
    </w:p>
    <w:p w14:paraId="3170BDC7" w14:textId="5B55E0C4" w:rsidR="007C41A0" w:rsidRDefault="007C41A0" w:rsidP="007C41A0"/>
    <w:p w14:paraId="4BC0FEC4" w14:textId="77777777" w:rsidR="007C41A0" w:rsidRPr="007C41A0" w:rsidRDefault="007C41A0" w:rsidP="007C41A0">
      <w:pPr>
        <w:spacing w:line="240" w:lineRule="auto"/>
        <w:rPr>
          <w:rFonts w:eastAsia="Times New Roman" w:cs="Arial"/>
          <w:lang w:eastAsia="bg-BG"/>
        </w:rPr>
      </w:pPr>
      <w:r w:rsidRPr="007C41A0">
        <w:rPr>
          <w:rFonts w:eastAsia="Times New Roman" w:cs="Arial"/>
          <w:color w:val="000000"/>
          <w:lang w:eastAsia="bg-BG"/>
        </w:rPr>
        <w:t xml:space="preserve">Излъчването чрез урината на малкото количество резорбиран бисмут е приблизително 50 </w:t>
      </w:r>
      <w:r w:rsidRPr="007C41A0">
        <w:rPr>
          <w:rFonts w:eastAsia="Times New Roman" w:cs="Arial"/>
          <w:color w:val="000000"/>
          <w:lang w:val="en-US"/>
        </w:rPr>
        <w:t xml:space="preserve">ml/min. </w:t>
      </w:r>
      <w:r w:rsidRPr="007C41A0">
        <w:rPr>
          <w:rFonts w:eastAsia="Times New Roman" w:cs="Arial"/>
          <w:color w:val="000000"/>
          <w:lang w:eastAsia="bg-BG"/>
        </w:rPr>
        <w:t>Необходим е поне трикомпартиментен модел за да се опише екскреция на бисмута към времето. Голямата част от резорбирания бисмут се елиминира с време на полуживот 5-11 дни.</w:t>
      </w:r>
    </w:p>
    <w:p w14:paraId="089C947A" w14:textId="77777777" w:rsidR="007C41A0" w:rsidRPr="007C41A0" w:rsidRDefault="007C41A0" w:rsidP="007C41A0"/>
    <w:p w14:paraId="6925FEB0" w14:textId="4B32C19A" w:rsidR="00F62E44" w:rsidRPr="00F62E44" w:rsidRDefault="002C50EE" w:rsidP="00387A66">
      <w:pPr>
        <w:pStyle w:val="Heading2"/>
      </w:pPr>
      <w:r>
        <w:t>5.3. Предклинични данни за безопасност</w:t>
      </w:r>
    </w:p>
    <w:p w14:paraId="357049A8" w14:textId="72C48134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779D9210" w14:textId="72F9587C" w:rsidR="007C41A0" w:rsidRDefault="007C41A0" w:rsidP="007C41A0"/>
    <w:p w14:paraId="45BF2968" w14:textId="77777777" w:rsidR="007C41A0" w:rsidRPr="007C41A0" w:rsidRDefault="007C41A0" w:rsidP="007C41A0">
      <w:pPr>
        <w:rPr>
          <w:lang w:val="en-US" w:eastAsia="bg-BG"/>
        </w:rPr>
      </w:pPr>
      <w:r w:rsidRPr="007C41A0">
        <w:rPr>
          <w:lang w:val="en-US"/>
        </w:rPr>
        <w:t>Astellas Pharma d.o.o.</w:t>
      </w:r>
    </w:p>
    <w:p w14:paraId="7CEBE843" w14:textId="77777777" w:rsidR="007C41A0" w:rsidRDefault="007C41A0" w:rsidP="007C41A0">
      <w:pPr>
        <w:rPr>
          <w:lang w:val="en-US"/>
        </w:rPr>
      </w:pPr>
      <w:proofErr w:type="spellStart"/>
      <w:r w:rsidRPr="007C41A0">
        <w:rPr>
          <w:lang w:val="en-US"/>
        </w:rPr>
        <w:t>Smartmska</w:t>
      </w:r>
      <w:proofErr w:type="spellEnd"/>
      <w:r w:rsidRPr="007C41A0">
        <w:rPr>
          <w:lang w:val="en-US"/>
        </w:rPr>
        <w:t xml:space="preserve"> cesta 53, </w:t>
      </w:r>
    </w:p>
    <w:p w14:paraId="51A45C43" w14:textId="36693390" w:rsidR="007C41A0" w:rsidRPr="007C41A0" w:rsidRDefault="007C41A0" w:rsidP="007C41A0">
      <w:pPr>
        <w:rPr>
          <w:lang w:val="en-US" w:eastAsia="bg-BG"/>
        </w:rPr>
      </w:pPr>
      <w:r w:rsidRPr="007C41A0">
        <w:rPr>
          <w:lang w:val="en-US"/>
        </w:rPr>
        <w:t>1000 Ljubljana</w:t>
      </w:r>
    </w:p>
    <w:p w14:paraId="62C483CE" w14:textId="29745C3E" w:rsidR="007C41A0" w:rsidRPr="007C41A0" w:rsidRDefault="007C41A0" w:rsidP="007C41A0">
      <w:r w:rsidRPr="007C41A0">
        <w:rPr>
          <w:lang w:eastAsia="bg-BG"/>
        </w:rPr>
        <w:t>Словения</w:t>
      </w:r>
    </w:p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C2688F5" w14:textId="013A4117" w:rsidR="00F62E44" w:rsidRDefault="00F62E44" w:rsidP="00F62E44"/>
    <w:p w14:paraId="32DFAE74" w14:textId="0A7E3B8D" w:rsidR="007C41A0" w:rsidRDefault="007C41A0" w:rsidP="007C41A0">
      <w:r>
        <w:t>Рег.№ 20000499</w:t>
      </w:r>
    </w:p>
    <w:p w14:paraId="00481C21" w14:textId="1B8975C8" w:rsidR="00F62E44" w:rsidRDefault="002C50EE" w:rsidP="00387A66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03784244" w14:textId="3792DE8E" w:rsidR="007C41A0" w:rsidRDefault="007C41A0" w:rsidP="007C41A0"/>
    <w:p w14:paraId="14D1249A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>Дата на първо разрешаване: 15.08.2000</w:t>
      </w:r>
    </w:p>
    <w:p w14:paraId="3675F187" w14:textId="77777777" w:rsidR="007C41A0" w:rsidRPr="007C41A0" w:rsidRDefault="007C41A0" w:rsidP="007C41A0">
      <w:pPr>
        <w:rPr>
          <w:sz w:val="24"/>
          <w:szCs w:val="24"/>
          <w:lang w:eastAsia="bg-BG"/>
        </w:rPr>
      </w:pPr>
      <w:r w:rsidRPr="007C41A0">
        <w:rPr>
          <w:lang w:eastAsia="bg-BG"/>
        </w:rPr>
        <w:t>Дата на подновяване на разрешението за употреба: 29.05.2006</w:t>
      </w:r>
    </w:p>
    <w:p w14:paraId="1870BBBD" w14:textId="77777777" w:rsidR="007C41A0" w:rsidRPr="007C41A0" w:rsidRDefault="007C41A0" w:rsidP="007C41A0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36DB61BC" w:rsidR="00BB22B4" w:rsidRPr="007C41A0" w:rsidRDefault="007C41A0" w:rsidP="007C41A0">
      <w:pPr>
        <w:rPr>
          <w:lang w:val="en-US"/>
        </w:rPr>
      </w:pPr>
      <w:r>
        <w:t>Септември 2012</w:t>
      </w:r>
    </w:p>
    <w:sectPr w:rsidR="00BB22B4" w:rsidRPr="007C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61"/>
    <w:multiLevelType w:val="hybridMultilevel"/>
    <w:tmpl w:val="4D3C4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10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1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4"/>
  </w:num>
  <w:num w:numId="40" w16cid:durableId="537935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41A0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2023-03-04T19:32:00Z</dcterms:created>
  <dcterms:modified xsi:type="dcterms:W3CDTF">2023-03-04T19:32:00Z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