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548E619" w:rsidR="00AA23EC" w:rsidRDefault="00DD466D" w:rsidP="00DD466D">
      <w:pPr>
        <w:pStyle w:val="Heading1"/>
      </w:pPr>
      <w:r>
        <w:t>1.ИМЕ НА ЛЕКАРСТВЕНИЯ ПРОДУКТ</w:t>
      </w:r>
    </w:p>
    <w:p w14:paraId="78B005CD" w14:textId="13DB7692" w:rsidR="006705BC" w:rsidRDefault="006705BC" w:rsidP="006705BC"/>
    <w:p w14:paraId="6B7142DD" w14:textId="77777777" w:rsidR="006705BC" w:rsidRPr="006705BC" w:rsidRDefault="006705BC" w:rsidP="006705BC">
      <w:pPr>
        <w:rPr>
          <w:sz w:val="24"/>
          <w:szCs w:val="24"/>
        </w:rPr>
      </w:pPr>
      <w:r w:rsidRPr="006705BC">
        <w:rPr>
          <w:lang w:eastAsia="bg-BG"/>
        </w:rPr>
        <w:t xml:space="preserve">ДЕКАПЕПТИЛ 0,1 </w:t>
      </w:r>
      <w:r w:rsidRPr="006705BC">
        <w:rPr>
          <w:lang w:val="en-US"/>
        </w:rPr>
        <w:t>mg</w:t>
      </w:r>
      <w:r w:rsidRPr="006705BC">
        <w:t>/</w:t>
      </w:r>
      <w:r w:rsidRPr="006705BC">
        <w:rPr>
          <w:lang w:val="en-US"/>
        </w:rPr>
        <w:t>ml</w:t>
      </w:r>
      <w:r w:rsidRPr="006705BC">
        <w:t xml:space="preserve"> </w:t>
      </w:r>
      <w:r w:rsidRPr="006705BC">
        <w:rPr>
          <w:lang w:eastAsia="bg-BG"/>
        </w:rPr>
        <w:t>инжекционен разтвор</w:t>
      </w:r>
    </w:p>
    <w:p w14:paraId="731F0B86" w14:textId="77777777" w:rsidR="006705BC" w:rsidRPr="006705BC" w:rsidRDefault="006705BC" w:rsidP="006705BC">
      <w:pPr>
        <w:rPr>
          <w:sz w:val="24"/>
          <w:szCs w:val="24"/>
        </w:rPr>
      </w:pPr>
      <w:r w:rsidRPr="006705BC">
        <w:rPr>
          <w:lang w:val="en-US"/>
        </w:rPr>
        <w:t>DECAPEPTYL</w:t>
      </w:r>
      <w:r w:rsidRPr="006705BC">
        <w:t xml:space="preserve"> </w:t>
      </w:r>
      <w:r w:rsidRPr="006705BC">
        <w:rPr>
          <w:lang w:eastAsia="bg-BG"/>
        </w:rPr>
        <w:t>0</w:t>
      </w:r>
      <w:proofErr w:type="gramStart"/>
      <w:r w:rsidRPr="006705BC">
        <w:rPr>
          <w:lang w:eastAsia="bg-BG"/>
        </w:rPr>
        <w:t>,1</w:t>
      </w:r>
      <w:proofErr w:type="gramEnd"/>
      <w:r w:rsidRPr="006705BC">
        <w:rPr>
          <w:lang w:eastAsia="bg-BG"/>
        </w:rPr>
        <w:t xml:space="preserve"> </w:t>
      </w:r>
      <w:r w:rsidRPr="006705BC">
        <w:rPr>
          <w:lang w:val="en-US"/>
        </w:rPr>
        <w:t>mg</w:t>
      </w:r>
      <w:r w:rsidRPr="006705BC">
        <w:t>/</w:t>
      </w:r>
      <w:r w:rsidRPr="006705BC">
        <w:rPr>
          <w:lang w:val="en-US"/>
        </w:rPr>
        <w:t>ml</w:t>
      </w:r>
      <w:r w:rsidRPr="006705BC">
        <w:t xml:space="preserve"> </w:t>
      </w:r>
      <w:r w:rsidRPr="006705BC">
        <w:rPr>
          <w:lang w:val="en-US"/>
        </w:rPr>
        <w:t>solution</w:t>
      </w:r>
      <w:r w:rsidRPr="006705BC">
        <w:t xml:space="preserve"> </w:t>
      </w:r>
      <w:r w:rsidRPr="006705BC">
        <w:rPr>
          <w:lang w:val="en-US"/>
        </w:rPr>
        <w:t>for</w:t>
      </w:r>
      <w:r w:rsidRPr="006705BC">
        <w:t xml:space="preserve"> </w:t>
      </w:r>
      <w:r w:rsidRPr="006705BC">
        <w:rPr>
          <w:lang w:val="en-US"/>
        </w:rPr>
        <w:t>injection</w:t>
      </w:r>
    </w:p>
    <w:p w14:paraId="6560847F" w14:textId="77777777" w:rsidR="006705BC" w:rsidRPr="006705BC" w:rsidRDefault="006705BC" w:rsidP="006705BC"/>
    <w:p w14:paraId="0A368469" w14:textId="0909FB9C" w:rsidR="00C0049F" w:rsidRDefault="00DD466D" w:rsidP="009F1313">
      <w:pPr>
        <w:pStyle w:val="Heading1"/>
      </w:pPr>
      <w:r>
        <w:t>2. КАЧЕСТВЕН И КОЛИЧЕСТВЕН СЪСТАВ</w:t>
      </w:r>
    </w:p>
    <w:p w14:paraId="5F0640C0" w14:textId="0DEEDE9E" w:rsidR="006705BC" w:rsidRDefault="006705BC" w:rsidP="006705BC"/>
    <w:p w14:paraId="22D86BAC" w14:textId="77777777" w:rsidR="006705BC" w:rsidRPr="006705BC" w:rsidRDefault="006705BC" w:rsidP="006705BC">
      <w:pPr>
        <w:spacing w:line="240" w:lineRule="auto"/>
        <w:rPr>
          <w:rFonts w:eastAsia="Times New Roman" w:cs="Arial"/>
          <w:sz w:val="12"/>
          <w:szCs w:val="24"/>
        </w:rPr>
      </w:pPr>
      <w:r w:rsidRPr="006705BC">
        <w:rPr>
          <w:rFonts w:eastAsia="Times New Roman" w:cs="Arial"/>
          <w:color w:val="000000"/>
          <w:szCs w:val="44"/>
          <w:lang w:eastAsia="bg-BG"/>
        </w:rPr>
        <w:t xml:space="preserve">Всяка спринцовка с 1 </w:t>
      </w:r>
      <w:r w:rsidRPr="006705BC">
        <w:rPr>
          <w:rFonts w:eastAsia="Times New Roman" w:cs="Arial"/>
          <w:color w:val="000000"/>
          <w:szCs w:val="44"/>
          <w:lang w:val="en-US"/>
        </w:rPr>
        <w:t>ml</w:t>
      </w:r>
      <w:r w:rsidRPr="006705BC">
        <w:rPr>
          <w:rFonts w:eastAsia="Times New Roman" w:cs="Arial"/>
          <w:color w:val="000000"/>
          <w:szCs w:val="44"/>
          <w:lang w:val="ru-RU"/>
        </w:rPr>
        <w:t xml:space="preserve"> </w:t>
      </w:r>
      <w:r w:rsidRPr="006705BC">
        <w:rPr>
          <w:rFonts w:eastAsia="Times New Roman" w:cs="Arial"/>
          <w:color w:val="000000"/>
          <w:szCs w:val="44"/>
          <w:lang w:eastAsia="bg-BG"/>
        </w:rPr>
        <w:t>разтвор съдържа:</w:t>
      </w:r>
    </w:p>
    <w:p w14:paraId="1234A13D" w14:textId="77777777" w:rsidR="006705BC" w:rsidRDefault="006705BC" w:rsidP="006705BC">
      <w:pPr>
        <w:rPr>
          <w:rFonts w:eastAsia="Times New Roman" w:cs="Arial"/>
          <w:color w:val="000000"/>
          <w:szCs w:val="44"/>
          <w:lang w:eastAsia="bg-BG"/>
        </w:rPr>
      </w:pPr>
    </w:p>
    <w:p w14:paraId="1FDF1736" w14:textId="2917D434" w:rsidR="006705BC" w:rsidRPr="006705BC" w:rsidRDefault="006705BC" w:rsidP="006705BC">
      <w:pPr>
        <w:rPr>
          <w:rFonts w:cs="Arial"/>
          <w:sz w:val="10"/>
        </w:rPr>
      </w:pPr>
      <w:r w:rsidRPr="006705BC">
        <w:rPr>
          <w:rFonts w:eastAsia="Times New Roman" w:cs="Arial"/>
          <w:color w:val="000000"/>
          <w:szCs w:val="44"/>
          <w:lang w:eastAsia="bg-BG"/>
        </w:rPr>
        <w:t xml:space="preserve">ДЕКАПЕПТИЛ 0,1 </w:t>
      </w:r>
      <w:r w:rsidRPr="006705BC">
        <w:rPr>
          <w:rFonts w:eastAsia="Times New Roman" w:cs="Arial"/>
          <w:color w:val="000000"/>
          <w:szCs w:val="44"/>
          <w:lang w:val="en-US"/>
        </w:rPr>
        <w:t>mg</w:t>
      </w:r>
      <w:r w:rsidRPr="006705BC">
        <w:rPr>
          <w:rFonts w:eastAsia="Times New Roman" w:cs="Arial"/>
          <w:color w:val="000000"/>
          <w:szCs w:val="44"/>
          <w:lang w:val="ru-RU"/>
        </w:rPr>
        <w:t>/</w:t>
      </w:r>
      <w:r w:rsidRPr="006705BC">
        <w:rPr>
          <w:rFonts w:eastAsia="Times New Roman" w:cs="Arial"/>
          <w:color w:val="000000"/>
          <w:szCs w:val="44"/>
          <w:lang w:val="en-US"/>
        </w:rPr>
        <w:t>ml</w:t>
      </w:r>
      <w:r w:rsidRPr="006705BC">
        <w:rPr>
          <w:rFonts w:eastAsia="Times New Roman" w:cs="Arial"/>
          <w:color w:val="000000"/>
          <w:szCs w:val="44"/>
          <w:lang w:val="ru-RU"/>
        </w:rPr>
        <w:t xml:space="preserve">, </w:t>
      </w:r>
      <w:r w:rsidRPr="006705BC">
        <w:rPr>
          <w:rFonts w:eastAsia="Times New Roman" w:cs="Arial"/>
          <w:color w:val="000000"/>
          <w:szCs w:val="44"/>
          <w:lang w:eastAsia="bg-BG"/>
        </w:rPr>
        <w:t xml:space="preserve">100 </w:t>
      </w:r>
      <w:proofErr w:type="spellStart"/>
      <w:r w:rsidRPr="006705BC">
        <w:rPr>
          <w:rFonts w:eastAsia="Times New Roman" w:cs="Arial"/>
          <w:color w:val="000000"/>
          <w:szCs w:val="44"/>
          <w:lang w:val="en-US"/>
        </w:rPr>
        <w:t>pg</w:t>
      </w:r>
      <w:proofErr w:type="spellEnd"/>
      <w:r w:rsidRPr="006705BC">
        <w:rPr>
          <w:rFonts w:eastAsia="Times New Roman" w:cs="Arial"/>
          <w:color w:val="000000"/>
          <w:szCs w:val="44"/>
          <w:lang w:val="ru-RU"/>
        </w:rPr>
        <w:t xml:space="preserve"> </w:t>
      </w:r>
      <w:r w:rsidRPr="006705BC">
        <w:rPr>
          <w:rFonts w:eastAsia="Times New Roman" w:cs="Arial"/>
          <w:color w:val="000000"/>
          <w:szCs w:val="44"/>
          <w:lang w:eastAsia="bg-BG"/>
        </w:rPr>
        <w:t>трипторелин ацетат, еквивалентен на 95,6 микрограма трипторелин свободна основа.</w:t>
      </w:r>
    </w:p>
    <w:p w14:paraId="614984C4" w14:textId="081A6C8B" w:rsidR="008A6AF2" w:rsidRDefault="00DD466D" w:rsidP="002C50EE">
      <w:pPr>
        <w:pStyle w:val="Heading1"/>
      </w:pPr>
      <w:r>
        <w:t>3. ЛЕКАРСТВЕНА ФОРМА</w:t>
      </w:r>
    </w:p>
    <w:p w14:paraId="78C2B9A1" w14:textId="61584AF9" w:rsidR="006705BC" w:rsidRDefault="006705BC" w:rsidP="006705BC"/>
    <w:p w14:paraId="49DA2906" w14:textId="77777777" w:rsidR="006705BC" w:rsidRPr="006705BC" w:rsidRDefault="006705BC" w:rsidP="006705BC">
      <w:pPr>
        <w:rPr>
          <w:sz w:val="24"/>
          <w:szCs w:val="24"/>
        </w:rPr>
      </w:pPr>
      <w:r w:rsidRPr="006705BC">
        <w:rPr>
          <w:lang w:eastAsia="bg-BG"/>
        </w:rPr>
        <w:t>Инжекционен разтвор</w:t>
      </w:r>
    </w:p>
    <w:p w14:paraId="13412B78" w14:textId="5164956F" w:rsidR="006705BC" w:rsidRPr="006705BC" w:rsidRDefault="006705BC" w:rsidP="006705BC">
      <w:r w:rsidRPr="006705BC">
        <w:rPr>
          <w:lang w:eastAsia="bg-BG"/>
        </w:rPr>
        <w:t>Външен вид на разтвора: прозрачен безцветен разтвор.</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AC59D64" w:rsidR="00395555" w:rsidRDefault="00395555" w:rsidP="00395555"/>
    <w:p w14:paraId="51193E73" w14:textId="77777777"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Мъже</w:t>
      </w:r>
    </w:p>
    <w:p w14:paraId="2A4ED20D" w14:textId="77777777" w:rsid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Лечение на хормонозависим локално напреднал или метастатичен рак на простатата.</w:t>
      </w:r>
    </w:p>
    <w:p w14:paraId="0073EF4C" w14:textId="7FE90AC3" w:rsidR="006705BC" w:rsidRP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Карцином на простатата, който не отговаря на хормонално въздействие.</w:t>
      </w:r>
    </w:p>
    <w:p w14:paraId="18BEB64B" w14:textId="77777777" w:rsidR="006705BC" w:rsidRPr="006705BC" w:rsidRDefault="006705BC" w:rsidP="006705BC">
      <w:pPr>
        <w:spacing w:line="240" w:lineRule="auto"/>
        <w:rPr>
          <w:rFonts w:eastAsia="Times New Roman" w:cs="Arial"/>
          <w:b/>
          <w:bCs/>
          <w:color w:val="000000"/>
          <w:lang w:eastAsia="bg-BG"/>
        </w:rPr>
      </w:pPr>
    </w:p>
    <w:p w14:paraId="7AAFD3E7" w14:textId="1B43F29A"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Жени</w:t>
      </w:r>
    </w:p>
    <w:p w14:paraId="0FAF783C" w14:textId="77777777" w:rsidR="006705BC" w:rsidRP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 xml:space="preserve">Даун регулация (потискане) и предотвратяване на преждевременно лутеинизиращ хормон </w:t>
      </w:r>
      <w:r w:rsidRPr="006705BC">
        <w:rPr>
          <w:rFonts w:eastAsia="Times New Roman" w:cs="Arial"/>
          <w:color w:val="000000"/>
          <w:lang w:val="ru-RU"/>
        </w:rPr>
        <w:t>(</w:t>
      </w:r>
      <w:r w:rsidRPr="006705BC">
        <w:rPr>
          <w:rFonts w:eastAsia="Times New Roman" w:cs="Arial"/>
          <w:color w:val="000000"/>
          <w:lang w:val="en-US"/>
        </w:rPr>
        <w:t>LH</w:t>
      </w:r>
      <w:r w:rsidRPr="006705BC">
        <w:rPr>
          <w:rFonts w:eastAsia="Times New Roman" w:cs="Arial"/>
          <w:color w:val="000000"/>
          <w:lang w:val="ru-RU"/>
        </w:rPr>
        <w:t xml:space="preserve">) </w:t>
      </w:r>
      <w:r w:rsidRPr="006705BC">
        <w:rPr>
          <w:rFonts w:eastAsia="Times New Roman" w:cs="Arial"/>
          <w:color w:val="000000"/>
          <w:lang w:eastAsia="bg-BG"/>
        </w:rPr>
        <w:t xml:space="preserve">при жени, подложени на контролирана хиперстимулация на яйчниците при асистирани репродуктивни технологии </w:t>
      </w:r>
      <w:r w:rsidRPr="006705BC">
        <w:rPr>
          <w:rFonts w:eastAsia="Times New Roman" w:cs="Arial"/>
          <w:color w:val="000000"/>
          <w:lang w:val="ru-RU"/>
        </w:rPr>
        <w:t>(</w:t>
      </w:r>
      <w:r w:rsidRPr="006705BC">
        <w:rPr>
          <w:rFonts w:eastAsia="Times New Roman" w:cs="Arial"/>
          <w:color w:val="000000"/>
          <w:lang w:val="en-US"/>
        </w:rPr>
        <w:t>APT</w:t>
      </w:r>
      <w:r w:rsidRPr="006705BC">
        <w:rPr>
          <w:rFonts w:eastAsia="Times New Roman" w:cs="Arial"/>
          <w:color w:val="000000"/>
          <w:lang w:val="ru-RU"/>
        </w:rPr>
        <w:t>).</w:t>
      </w:r>
    </w:p>
    <w:p w14:paraId="6D6C6852" w14:textId="77777777" w:rsid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Предоперативно намаляване на размера на миомата с цел намаляване симптомите на кървене и болки при жени със симптоматични маточни миоми.</w:t>
      </w:r>
    </w:p>
    <w:p w14:paraId="2A33C58B" w14:textId="250997F6" w:rsid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Симптоматична ендометриоза, потвърдена с лапароскопия, когато даун регулацията на овариална хормоногенеза е показана, доколкото хирургична терапия не е основно показана.</w:t>
      </w:r>
    </w:p>
    <w:p w14:paraId="4B3C27CF" w14:textId="5DD00325" w:rsidR="006705BC" w:rsidRPr="006705BC" w:rsidRDefault="006705BC" w:rsidP="006705BC">
      <w:pPr>
        <w:spacing w:line="240" w:lineRule="auto"/>
        <w:rPr>
          <w:rFonts w:eastAsia="Times New Roman" w:cs="Arial"/>
          <w:color w:val="000000"/>
          <w:lang w:eastAsia="bg-BG"/>
        </w:rPr>
      </w:pPr>
    </w:p>
    <w:p w14:paraId="7C0CA5EB" w14:textId="72EB010E" w:rsidR="00C0049F" w:rsidRDefault="002C50EE" w:rsidP="009F1313">
      <w:pPr>
        <w:pStyle w:val="Heading2"/>
      </w:pPr>
      <w:r>
        <w:t>4.2. Дозировка и начин на приложение</w:t>
      </w:r>
    </w:p>
    <w:p w14:paraId="3C946C40" w14:textId="10157F35" w:rsidR="006705BC" w:rsidRDefault="006705BC" w:rsidP="006705BC"/>
    <w:p w14:paraId="7EF43221" w14:textId="77777777"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Общо</w:t>
      </w:r>
    </w:p>
    <w:p w14:paraId="79341F2F" w14:textId="77777777" w:rsidR="006705BC" w:rsidRPr="006705BC" w:rsidRDefault="006705BC" w:rsidP="006705BC">
      <w:pPr>
        <w:spacing w:line="240" w:lineRule="auto"/>
        <w:rPr>
          <w:rFonts w:eastAsia="Times New Roman" w:cs="Arial"/>
        </w:rPr>
      </w:pPr>
      <w:r w:rsidRPr="006705BC">
        <w:rPr>
          <w:rFonts w:eastAsia="Times New Roman" w:cs="Arial"/>
          <w:color w:val="000000"/>
          <w:lang w:eastAsia="bg-BG"/>
        </w:rPr>
        <w:t xml:space="preserve">ДЕКАПЕПТИЛ е предназначен за подкожно инжектиране веднъж дневно в долната част на коремната стена. След първото приложение, се препоръчва пациентът да остане под лекарско наблюдение в продължение на 30 минути, за да се гарантира, че няма </w:t>
      </w:r>
      <w:r w:rsidRPr="006705BC">
        <w:rPr>
          <w:rFonts w:eastAsia="Times New Roman" w:cs="Arial"/>
          <w:color w:val="000000"/>
          <w:lang w:eastAsia="bg-BG"/>
        </w:rPr>
        <w:lastRenderedPageBreak/>
        <w:t>алергична / псевдо-алергична реакция към инжекцията. Средства за лечение на такива реакции трябва да се държат на разположение. Следващите инжекции могат да бъдат поставени самостоятелно, доколкото пациентът е информиран за тези признаци и симптоми, които могат да са индикация за свръхчувствителност, последиците от тази реакция и необходимостта от незабавна медицинска намеса. Мястото на инжектиране трябва да се променя, за да се избегне липоатрофия. Относно инструкциите за употреба и работа с продукта, вижте точка 6.6.</w:t>
      </w:r>
    </w:p>
    <w:p w14:paraId="64D0E26D" w14:textId="77777777" w:rsidR="006705BC" w:rsidRPr="006705BC" w:rsidRDefault="006705BC" w:rsidP="006705BC">
      <w:pPr>
        <w:spacing w:line="240" w:lineRule="auto"/>
        <w:rPr>
          <w:rFonts w:eastAsia="Times New Roman" w:cs="Arial"/>
          <w:b/>
          <w:bCs/>
          <w:color w:val="000000"/>
          <w:lang w:eastAsia="bg-BG"/>
        </w:rPr>
      </w:pPr>
    </w:p>
    <w:p w14:paraId="5F9D505F" w14:textId="312147EB"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Мъже</w:t>
      </w:r>
    </w:p>
    <w:p w14:paraId="752931EF" w14:textId="62AE254E" w:rsidR="006705BC" w:rsidRP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Рак на простатата</w:t>
      </w:r>
    </w:p>
    <w:p w14:paraId="486D93D6" w14:textId="77777777" w:rsidR="006705BC" w:rsidRPr="006705BC" w:rsidRDefault="006705BC" w:rsidP="006705BC">
      <w:pPr>
        <w:spacing w:line="240" w:lineRule="auto"/>
        <w:rPr>
          <w:rFonts w:eastAsia="Times New Roman" w:cs="Arial"/>
        </w:rPr>
      </w:pPr>
      <w:r w:rsidRPr="006705BC">
        <w:rPr>
          <w:rFonts w:eastAsia="Times New Roman" w:cs="Arial"/>
          <w:color w:val="000000"/>
          <w:lang w:eastAsia="bg-BG"/>
        </w:rPr>
        <w:t xml:space="preserve">Първоначална доза от 0,5 </w:t>
      </w:r>
      <w:r w:rsidRPr="006705BC">
        <w:rPr>
          <w:rFonts w:eastAsia="Times New Roman" w:cs="Arial"/>
          <w:color w:val="000000"/>
          <w:lang w:val="en-US"/>
        </w:rPr>
        <w:t>mg</w:t>
      </w:r>
      <w:r w:rsidRPr="006705BC">
        <w:rPr>
          <w:rFonts w:eastAsia="Times New Roman" w:cs="Arial"/>
          <w:color w:val="000000"/>
          <w:lang w:val="ru-RU"/>
        </w:rPr>
        <w:t xml:space="preserve"> </w:t>
      </w:r>
      <w:r w:rsidRPr="006705BC">
        <w:rPr>
          <w:rFonts w:eastAsia="Times New Roman" w:cs="Arial"/>
          <w:color w:val="000000"/>
          <w:lang w:eastAsia="bg-BG"/>
        </w:rPr>
        <w:t xml:space="preserve">се прилага подкожно всеки ден в продължение на 7 дни. От осмия ден веднъж дневно се прилагат 0,1 </w:t>
      </w:r>
      <w:r w:rsidRPr="006705BC">
        <w:rPr>
          <w:rFonts w:eastAsia="Times New Roman" w:cs="Arial"/>
          <w:color w:val="000000"/>
          <w:lang w:val="en-US"/>
        </w:rPr>
        <w:t>mg</w:t>
      </w:r>
      <w:r w:rsidRPr="006705BC">
        <w:rPr>
          <w:rFonts w:eastAsia="Times New Roman" w:cs="Arial"/>
          <w:color w:val="000000"/>
          <w:lang w:val="ru-RU"/>
        </w:rPr>
        <w:t xml:space="preserve">. </w:t>
      </w:r>
      <w:r w:rsidRPr="006705BC">
        <w:rPr>
          <w:rFonts w:eastAsia="Times New Roman" w:cs="Arial"/>
          <w:color w:val="000000"/>
          <w:lang w:eastAsia="bg-BG"/>
        </w:rPr>
        <w:t xml:space="preserve">Лечението обикновено е продължително терапия. Възможно е безпроблемно преминаване във всеки един проблем от други форми на прилагане на </w:t>
      </w:r>
      <w:proofErr w:type="spellStart"/>
      <w:r w:rsidRPr="006705BC">
        <w:rPr>
          <w:rFonts w:eastAsia="Times New Roman" w:cs="Arial"/>
          <w:color w:val="000000"/>
          <w:lang w:val="en-US"/>
        </w:rPr>
        <w:t>GnRH</w:t>
      </w:r>
      <w:proofErr w:type="spellEnd"/>
      <w:r w:rsidRPr="006705BC">
        <w:rPr>
          <w:rFonts w:eastAsia="Times New Roman" w:cs="Arial"/>
          <w:color w:val="000000"/>
          <w:lang w:eastAsia="bg-BG"/>
        </w:rPr>
        <w:t>-аналози.</w:t>
      </w:r>
    </w:p>
    <w:p w14:paraId="55B3F2F2" w14:textId="77777777" w:rsidR="006705BC" w:rsidRDefault="006705BC" w:rsidP="006705BC">
      <w:pPr>
        <w:spacing w:line="240" w:lineRule="auto"/>
        <w:rPr>
          <w:rFonts w:eastAsia="Times New Roman" w:cs="Arial"/>
          <w:b/>
          <w:bCs/>
          <w:color w:val="000000"/>
          <w:lang w:eastAsia="bg-BG"/>
        </w:rPr>
      </w:pPr>
      <w:bookmarkStart w:id="1" w:name="bookmark0"/>
    </w:p>
    <w:p w14:paraId="2ECD55E1" w14:textId="042334F9"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Жени</w:t>
      </w:r>
      <w:bookmarkEnd w:id="1"/>
    </w:p>
    <w:p w14:paraId="16646A1D" w14:textId="52B28913" w:rsidR="006705BC" w:rsidRPr="006705BC" w:rsidRDefault="006705BC" w:rsidP="006705BC">
      <w:pPr>
        <w:pStyle w:val="ListParagraph"/>
        <w:numPr>
          <w:ilvl w:val="0"/>
          <w:numId w:val="2"/>
        </w:numPr>
        <w:spacing w:line="240" w:lineRule="auto"/>
        <w:rPr>
          <w:rFonts w:eastAsia="Times New Roman" w:cs="Arial"/>
          <w:color w:val="000000"/>
          <w:lang w:eastAsia="bg-BG"/>
        </w:rPr>
      </w:pPr>
      <w:r w:rsidRPr="006705BC">
        <w:rPr>
          <w:rFonts w:eastAsia="Times New Roman" w:cs="Arial"/>
          <w:color w:val="000000"/>
          <w:lang w:eastAsia="bg-BG"/>
        </w:rPr>
        <w:t xml:space="preserve">Даун регулация и превенция на преждевременно лутеинизиращ хормон </w:t>
      </w:r>
      <w:r w:rsidRPr="006705BC">
        <w:rPr>
          <w:rFonts w:eastAsia="Times New Roman" w:cs="Arial"/>
          <w:color w:val="000000"/>
          <w:lang w:val="ru-RU"/>
        </w:rPr>
        <w:t>(</w:t>
      </w:r>
      <w:r w:rsidRPr="006705BC">
        <w:rPr>
          <w:rFonts w:eastAsia="Times New Roman" w:cs="Arial"/>
          <w:color w:val="000000"/>
          <w:lang w:val="en-US"/>
        </w:rPr>
        <w:t>LH</w:t>
      </w:r>
      <w:r w:rsidRPr="006705BC">
        <w:rPr>
          <w:rFonts w:eastAsia="Times New Roman" w:cs="Arial"/>
          <w:color w:val="000000"/>
          <w:lang w:val="ru-RU"/>
        </w:rPr>
        <w:t>).</w:t>
      </w:r>
    </w:p>
    <w:p w14:paraId="2547980E" w14:textId="77777777" w:rsidR="006705BC" w:rsidRPr="006705BC" w:rsidRDefault="006705BC" w:rsidP="006705BC">
      <w:pPr>
        <w:spacing w:line="240" w:lineRule="auto"/>
        <w:rPr>
          <w:rFonts w:eastAsia="Times New Roman" w:cs="Arial"/>
        </w:rPr>
      </w:pPr>
      <w:r w:rsidRPr="006705BC">
        <w:rPr>
          <w:rFonts w:eastAsia="Times New Roman" w:cs="Arial"/>
          <w:color w:val="000000"/>
          <w:lang w:eastAsia="bg-BG"/>
        </w:rPr>
        <w:t xml:space="preserve">Лечението може да започне в началото на фоликуларната фаза (ден 2 или 3 на менструалния цикъл) или в средата на лутеалната фаза (ден 21-23 на менструалния цикъл или 5-7 дни преди очакваното начало на менструацията). Контролирана овариална хиперстимулация с гонадотропини трябва да започне след около 2-4 седмици лечение с ДЕКАПЕПТИЛ. Овариалният отговор трябва да се следи клинично (включително овариален ултразвук самостоятелно или в комбинация с измерване нивата на естрадиолни нива) и дозата на гонадотропини трябва съответно да се коригират. Когато подходящ брой фоликули достигнат подходящ размер, лечението с ДЕКАПЕПТИЛ и гонадотропин се спира и се извършва еднократно инжекция с чХГ, за да се индуцира крайното узряване на фоликулите. Ако даун регулацията не бъде потвърдена след 4 седмици (определена чрез естрадиолови нива или ултразвукова документация на </w:t>
      </w:r>
      <w:proofErr w:type="spellStart"/>
      <w:r w:rsidRPr="006705BC">
        <w:rPr>
          <w:rFonts w:eastAsia="Times New Roman" w:cs="Arial"/>
          <w:color w:val="000000"/>
          <w:lang w:val="en-US"/>
        </w:rPr>
        <w:t>shedded</w:t>
      </w:r>
      <w:proofErr w:type="spellEnd"/>
      <w:r w:rsidRPr="006705BC">
        <w:rPr>
          <w:rFonts w:eastAsia="Times New Roman" w:cs="Arial"/>
          <w:color w:val="000000"/>
          <w:lang w:val="ru-RU"/>
        </w:rPr>
        <w:t xml:space="preserve"> </w:t>
      </w:r>
      <w:r w:rsidRPr="006705BC">
        <w:rPr>
          <w:rFonts w:eastAsia="Times New Roman" w:cs="Arial"/>
          <w:color w:val="000000"/>
          <w:lang w:eastAsia="bg-BG"/>
        </w:rPr>
        <w:t>ендометриум), трябва да се обмисли преустановяване на ДЕКАПЕПТИЛ. Общата продължителност на лечението е обикновено 4-7 седмици. При използване на ДЕКАПЕПТИЛ следва да се осигури поддържане на лутеалната фаза. Поддържането на лутеалната фаза трябва да се осигури в съответствие с практиката на репродуктивния медицински център.</w:t>
      </w:r>
    </w:p>
    <w:p w14:paraId="376E045C" w14:textId="77777777" w:rsidR="006705BC" w:rsidRDefault="006705BC" w:rsidP="006705BC">
      <w:pPr>
        <w:spacing w:line="240" w:lineRule="auto"/>
        <w:rPr>
          <w:rFonts w:eastAsia="Times New Roman" w:cs="Arial"/>
          <w:color w:val="000000"/>
          <w:lang w:eastAsia="bg-BG"/>
        </w:rPr>
      </w:pPr>
    </w:p>
    <w:p w14:paraId="46A1096F" w14:textId="5FC53AA7" w:rsidR="006705BC" w:rsidRPr="006705BC" w:rsidRDefault="006705BC" w:rsidP="006705BC">
      <w:pPr>
        <w:pStyle w:val="ListParagraph"/>
        <w:numPr>
          <w:ilvl w:val="0"/>
          <w:numId w:val="2"/>
        </w:numPr>
        <w:spacing w:line="240" w:lineRule="auto"/>
        <w:rPr>
          <w:rFonts w:eastAsia="Times New Roman" w:cs="Arial"/>
        </w:rPr>
      </w:pPr>
      <w:r w:rsidRPr="006705BC">
        <w:rPr>
          <w:rFonts w:eastAsia="Times New Roman" w:cs="Arial"/>
          <w:color w:val="000000"/>
          <w:lang w:eastAsia="bg-BG"/>
        </w:rPr>
        <w:t>Маточни миоми и ендометриоза:</w:t>
      </w:r>
    </w:p>
    <w:p w14:paraId="2AF3B194" w14:textId="77777777" w:rsidR="006705BC" w:rsidRPr="006705BC" w:rsidRDefault="006705BC" w:rsidP="006705BC">
      <w:pPr>
        <w:spacing w:line="240" w:lineRule="auto"/>
        <w:rPr>
          <w:rFonts w:eastAsia="Times New Roman" w:cs="Arial"/>
        </w:rPr>
      </w:pPr>
      <w:r w:rsidRPr="006705BC">
        <w:rPr>
          <w:rFonts w:eastAsia="Times New Roman" w:cs="Arial"/>
          <w:color w:val="000000"/>
          <w:lang w:eastAsia="bg-BG"/>
        </w:rPr>
        <w:t>Продължителността на лечението зависи от първоначалната степен на сериозност на ендометриозата и за развитието на клиничните й прояви (функционални и анатомични) и за развитието на обема на миоми на матката, определени чрез ехография по време на лечението. Обикновено, максимално постижимия резултат се очаква след 3 до 4 месеца.</w:t>
      </w:r>
    </w:p>
    <w:p w14:paraId="789B2B71" w14:textId="77777777" w:rsidR="006705BC" w:rsidRDefault="006705BC" w:rsidP="006705BC">
      <w:pPr>
        <w:spacing w:line="240" w:lineRule="auto"/>
        <w:rPr>
          <w:rFonts w:eastAsia="Times New Roman" w:cs="Arial"/>
          <w:color w:val="000000"/>
          <w:lang w:eastAsia="bg-BG"/>
        </w:rPr>
      </w:pPr>
    </w:p>
    <w:p w14:paraId="61F054D4" w14:textId="561ED9ED" w:rsidR="006705BC" w:rsidRPr="006705BC" w:rsidRDefault="006705BC" w:rsidP="006705BC">
      <w:pPr>
        <w:spacing w:line="240" w:lineRule="auto"/>
        <w:rPr>
          <w:rFonts w:eastAsia="Times New Roman" w:cs="Arial"/>
        </w:rPr>
      </w:pPr>
      <w:r w:rsidRPr="006705BC">
        <w:rPr>
          <w:rFonts w:eastAsia="Times New Roman" w:cs="Arial"/>
          <w:color w:val="000000"/>
          <w:lang w:eastAsia="bg-BG"/>
        </w:rPr>
        <w:t>С оглед на възможния ефект върху костната плътност, лечението с ДЕКАПЕПТИЛ без лечение с прикриваща терапия не трябва да надвишава 6 месеца (виж т.4.4).</w:t>
      </w:r>
    </w:p>
    <w:p w14:paraId="041C8B76" w14:textId="77777777" w:rsidR="006705BC" w:rsidRDefault="006705BC" w:rsidP="006705BC">
      <w:pPr>
        <w:spacing w:line="240" w:lineRule="auto"/>
        <w:rPr>
          <w:rFonts w:eastAsia="Times New Roman" w:cs="Arial"/>
          <w:b/>
          <w:bCs/>
          <w:color w:val="000000"/>
          <w:lang w:eastAsia="bg-BG"/>
        </w:rPr>
      </w:pPr>
      <w:bookmarkStart w:id="2" w:name="bookmark2"/>
    </w:p>
    <w:p w14:paraId="5BF32F97" w14:textId="4DDBCB8C" w:rsidR="006705BC" w:rsidRPr="006705BC" w:rsidRDefault="006705BC" w:rsidP="006705BC">
      <w:pPr>
        <w:spacing w:line="240" w:lineRule="auto"/>
        <w:rPr>
          <w:rFonts w:eastAsia="Times New Roman" w:cs="Arial"/>
        </w:rPr>
      </w:pPr>
      <w:r w:rsidRPr="006705BC">
        <w:rPr>
          <w:rFonts w:eastAsia="Times New Roman" w:cs="Arial"/>
          <w:b/>
          <w:bCs/>
          <w:color w:val="000000"/>
          <w:lang w:eastAsia="bg-BG"/>
        </w:rPr>
        <w:t>Специални популации пациенти</w:t>
      </w:r>
      <w:bookmarkEnd w:id="2"/>
    </w:p>
    <w:p w14:paraId="4B83A632" w14:textId="1B75A73F" w:rsidR="006705BC" w:rsidRPr="006705BC" w:rsidRDefault="006705BC" w:rsidP="006705BC">
      <w:pPr>
        <w:rPr>
          <w:rFonts w:cs="Arial"/>
        </w:rPr>
      </w:pPr>
      <w:r w:rsidRPr="006705BC">
        <w:rPr>
          <w:rFonts w:eastAsia="Times New Roman" w:cs="Arial"/>
          <w:color w:val="000000"/>
          <w:lang w:eastAsia="bg-BG"/>
        </w:rPr>
        <w:t>Няма конкретни препоръки за дозиране за пациенти с бъбречно или чернодробно увреждане. Клинично проучване показва, че рискът от натрупване на трипторелин при пациенти с тежко чернодробно и бъбречно увреждане е малък (виж т. 5.2).</w:t>
      </w:r>
    </w:p>
    <w:p w14:paraId="62B13D0B" w14:textId="73DE7FCA" w:rsidR="00395555" w:rsidRDefault="002C50EE" w:rsidP="008A6AF2">
      <w:pPr>
        <w:pStyle w:val="Heading2"/>
      </w:pPr>
      <w:r>
        <w:lastRenderedPageBreak/>
        <w:t>4.3. Противопоказания</w:t>
      </w:r>
    </w:p>
    <w:p w14:paraId="39D95E65" w14:textId="630725D3" w:rsidR="006705BC" w:rsidRDefault="006705BC" w:rsidP="006705BC"/>
    <w:p w14:paraId="6D225E40"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ДЕКАПЕПТИЛ не се препоръчва в случаи на:</w:t>
      </w:r>
    </w:p>
    <w:p w14:paraId="66094193" w14:textId="77777777" w:rsidR="006705BC" w:rsidRPr="006705BC" w:rsidRDefault="006705BC" w:rsidP="006705BC">
      <w:pPr>
        <w:spacing w:line="240" w:lineRule="auto"/>
        <w:rPr>
          <w:rFonts w:eastAsia="Times New Roman" w:cs="Arial"/>
          <w:b/>
          <w:bCs/>
          <w:color w:val="000000"/>
          <w:szCs w:val="40"/>
          <w:lang w:eastAsia="bg-BG"/>
        </w:rPr>
      </w:pPr>
    </w:p>
    <w:p w14:paraId="5A86AF11" w14:textId="599C8E3B"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b/>
          <w:bCs/>
          <w:color w:val="000000"/>
          <w:szCs w:val="40"/>
          <w:lang w:eastAsia="bg-BG"/>
        </w:rPr>
        <w:t>Общи</w:t>
      </w:r>
    </w:p>
    <w:p w14:paraId="6C99A6A1" w14:textId="77777777" w:rsidR="006705BC" w:rsidRPr="006705BC" w:rsidRDefault="006705BC" w:rsidP="006705BC">
      <w:pPr>
        <w:pStyle w:val="ListParagraph"/>
        <w:numPr>
          <w:ilvl w:val="0"/>
          <w:numId w:val="2"/>
        </w:num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Свръхчувствителност към трипторелин ацетат или къ</w:t>
      </w:r>
      <w:r>
        <w:rPr>
          <w:rFonts w:eastAsia="Times New Roman" w:cs="Arial"/>
          <w:color w:val="000000"/>
          <w:szCs w:val="40"/>
          <w:lang w:eastAsia="bg-BG"/>
        </w:rPr>
        <w:t>м някое от помощните вещества</w:t>
      </w:r>
    </w:p>
    <w:p w14:paraId="7BF6F5B7" w14:textId="58C7306D" w:rsidR="006705BC" w:rsidRPr="006705BC" w:rsidRDefault="006705BC" w:rsidP="006705BC">
      <w:pPr>
        <w:pStyle w:val="ListParagraph"/>
        <w:numPr>
          <w:ilvl w:val="0"/>
          <w:numId w:val="2"/>
        </w:num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Свръхчувствителност към гонадотропин освобождаващи хормони </w:t>
      </w:r>
      <w:r w:rsidRPr="006705BC">
        <w:rPr>
          <w:rFonts w:eastAsia="Times New Roman" w:cs="Arial"/>
          <w:color w:val="000000"/>
          <w:szCs w:val="40"/>
          <w:lang w:val="ru-RU"/>
        </w:rPr>
        <w:t>(</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 xml:space="preserve">или друг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аналог</w:t>
      </w:r>
    </w:p>
    <w:p w14:paraId="6E8E0682" w14:textId="77777777" w:rsidR="006705BC" w:rsidRPr="006705BC" w:rsidRDefault="006705BC" w:rsidP="006705BC">
      <w:pPr>
        <w:spacing w:line="240" w:lineRule="auto"/>
        <w:rPr>
          <w:rFonts w:eastAsia="Times New Roman" w:cs="Arial"/>
          <w:b/>
          <w:bCs/>
          <w:color w:val="000000"/>
          <w:szCs w:val="40"/>
          <w:lang w:eastAsia="bg-BG"/>
        </w:rPr>
      </w:pPr>
    </w:p>
    <w:p w14:paraId="4C3D65D1" w14:textId="11BF2F80"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b/>
          <w:bCs/>
          <w:color w:val="000000"/>
          <w:szCs w:val="40"/>
          <w:lang w:eastAsia="bg-BG"/>
        </w:rPr>
        <w:t>Жени</w:t>
      </w:r>
    </w:p>
    <w:p w14:paraId="6A77D1F9" w14:textId="6010A398" w:rsidR="006705BC" w:rsidRPr="006705BC" w:rsidRDefault="006705BC" w:rsidP="006705BC">
      <w:pPr>
        <w:pStyle w:val="ListParagraph"/>
        <w:numPr>
          <w:ilvl w:val="0"/>
          <w:numId w:val="2"/>
        </w:num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Бременност или кърмене</w:t>
      </w:r>
    </w:p>
    <w:p w14:paraId="04202178" w14:textId="5FB0ABFE" w:rsidR="006705BC" w:rsidRPr="006705BC" w:rsidRDefault="006705BC" w:rsidP="006705BC"/>
    <w:p w14:paraId="5A4AC413" w14:textId="17C32058" w:rsidR="00395555" w:rsidRDefault="002C50EE" w:rsidP="008A6AF2">
      <w:pPr>
        <w:pStyle w:val="Heading2"/>
      </w:pPr>
      <w:r>
        <w:t>4.4. Специални предупреждения и предпазни мерки при употреба</w:t>
      </w:r>
    </w:p>
    <w:p w14:paraId="33BC871E" w14:textId="629857BF" w:rsidR="006705BC" w:rsidRDefault="006705BC" w:rsidP="006705BC"/>
    <w:p w14:paraId="33E87C53"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b/>
          <w:bCs/>
          <w:color w:val="000000"/>
          <w:szCs w:val="40"/>
          <w:lang w:eastAsia="bg-BG"/>
        </w:rPr>
        <w:t>Общи</w:t>
      </w:r>
    </w:p>
    <w:p w14:paraId="78F65730"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Използването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 xml:space="preserve">агонисти може да доведе до намаляване на костната минерална плътност. При мъжете, предварителните данни показват, че използването на бисфосфонатите може ефективно да противодейства на загубата на костна минерална плътност, предизвикана от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агонисти. Особено внимание трябва да се обърне на пациенти с други основни рискови фактори за остеопороза (например хронична злоупотреба с алкохол, тютюнопушене, продължително лечение с лекарства, които намаляват костната минерална плътност, например антиконвулсанти или кортикоиди, фамилна анамнеза за остеопороза или недохранване).</w:t>
      </w:r>
    </w:p>
    <w:p w14:paraId="6D471FEE" w14:textId="77777777" w:rsidR="006705BC" w:rsidRDefault="006705BC" w:rsidP="006705BC">
      <w:pPr>
        <w:spacing w:line="240" w:lineRule="auto"/>
        <w:rPr>
          <w:rFonts w:eastAsia="Times New Roman" w:cs="Arial"/>
          <w:color w:val="000000"/>
          <w:szCs w:val="40"/>
          <w:lang w:eastAsia="bg-BG"/>
        </w:rPr>
      </w:pPr>
    </w:p>
    <w:p w14:paraId="1D7BC0E1" w14:textId="0C3BCD7E"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Трябва да се потвърди, че пациентката не е бременна преди предписването на трипторелин.</w:t>
      </w:r>
    </w:p>
    <w:p w14:paraId="34B12DEE" w14:textId="77777777" w:rsidR="006705BC" w:rsidRDefault="006705BC" w:rsidP="006705BC">
      <w:pPr>
        <w:spacing w:line="240" w:lineRule="auto"/>
        <w:rPr>
          <w:rFonts w:eastAsia="Times New Roman" w:cs="Arial"/>
          <w:color w:val="000000"/>
          <w:szCs w:val="40"/>
          <w:lang w:eastAsia="bg-BG"/>
        </w:rPr>
      </w:pPr>
    </w:p>
    <w:p w14:paraId="2FA335B5" w14:textId="415D55CB"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В редки случаи лечението с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агонисти може да покаже наличието на неустановен досега гонатрофичен клетъчен аденом на хипофизата. Тези пациенти могат да развият хипофизнаа апоплексия, характеризираща се с внезапно главоболие, повръщане, нарушения в зрението и офталмоплегия.</w:t>
      </w:r>
    </w:p>
    <w:p w14:paraId="4EE60FD0" w14:textId="77777777" w:rsidR="006705BC" w:rsidRDefault="006705BC" w:rsidP="006705BC">
      <w:pPr>
        <w:spacing w:line="240" w:lineRule="auto"/>
        <w:rPr>
          <w:rFonts w:eastAsia="Times New Roman" w:cs="Arial"/>
          <w:color w:val="000000"/>
          <w:szCs w:val="40"/>
          <w:lang w:eastAsia="bg-BG"/>
        </w:rPr>
      </w:pPr>
    </w:p>
    <w:p w14:paraId="23501C8C" w14:textId="44D23272"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Докладвани са промени в настроението, включително депресия. Пациенти с установена депресия трябва да бъдат внимателно наблюдавани по време на лечението.</w:t>
      </w:r>
    </w:p>
    <w:p w14:paraId="22CD9B79" w14:textId="77777777" w:rsidR="006705BC" w:rsidRDefault="006705BC" w:rsidP="006705BC">
      <w:pPr>
        <w:spacing w:line="240" w:lineRule="auto"/>
        <w:rPr>
          <w:rFonts w:eastAsia="Times New Roman" w:cs="Arial"/>
          <w:color w:val="000000"/>
          <w:szCs w:val="40"/>
          <w:lang w:eastAsia="bg-BG"/>
        </w:rPr>
      </w:pPr>
    </w:p>
    <w:p w14:paraId="5363FEC0" w14:textId="5CA0E066"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При пациенти с бъбречно или чернодробно увреждане, трипторелин има елиминационен полуживот от 7-8 часа в сравнение с 3-5 часа при здрави индивиди. При индикация за ин-витро оплождане; въпреки продължителното излагане, не се очаква трипторелин да се намира в кръвообращението към момента на прехвърляне на ембриони.</w:t>
      </w:r>
    </w:p>
    <w:p w14:paraId="7EFA3FAF" w14:textId="77777777" w:rsidR="006705BC" w:rsidRDefault="006705BC" w:rsidP="006705BC">
      <w:pPr>
        <w:spacing w:line="240" w:lineRule="auto"/>
        <w:rPr>
          <w:rFonts w:eastAsia="Times New Roman" w:cs="Arial"/>
          <w:b/>
          <w:bCs/>
          <w:color w:val="000000"/>
          <w:szCs w:val="40"/>
          <w:lang w:eastAsia="bg-BG"/>
        </w:rPr>
      </w:pPr>
    </w:p>
    <w:p w14:paraId="3E30E810" w14:textId="6AF97494"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b/>
          <w:bCs/>
          <w:color w:val="000000"/>
          <w:szCs w:val="40"/>
          <w:lang w:eastAsia="bg-BG"/>
        </w:rPr>
        <w:t>Мъже</w:t>
      </w:r>
    </w:p>
    <w:p w14:paraId="75437F42" w14:textId="29F67E0E" w:rsidR="006705BC" w:rsidRPr="006705BC" w:rsidRDefault="006705BC" w:rsidP="006705BC">
      <w:pPr>
        <w:pStyle w:val="ListParagraph"/>
        <w:numPr>
          <w:ilvl w:val="0"/>
          <w:numId w:val="2"/>
        </w:num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Рак на простатата</w:t>
      </w:r>
    </w:p>
    <w:p w14:paraId="3975F1D3"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Първоначално, трипторелин - както всички други агонисти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 xml:space="preserve">- предизвиква бързо и преходно повишаване на серумните нива на тестостерон. В резултат на това, през първите седмици от лечението могат да се развият изолирани случаи на преходно влошаване на признаци и симптоми на рак на простатата. По време на началната фаза на лечението трябва да се обсъди и допълнителен прием на подходящи анти-андрогени, </w:t>
      </w:r>
      <w:r w:rsidRPr="006705BC">
        <w:rPr>
          <w:rFonts w:eastAsia="Times New Roman" w:cs="Arial"/>
          <w:color w:val="000000"/>
          <w:szCs w:val="40"/>
          <w:lang w:eastAsia="bg-BG"/>
        </w:rPr>
        <w:lastRenderedPageBreak/>
        <w:t>за да противодейства на първоначалното увеличаване на серумните нива на тестостерон и влошаването на клиничните симптоми.</w:t>
      </w:r>
    </w:p>
    <w:p w14:paraId="4FE32415" w14:textId="77777777" w:rsidR="006705BC" w:rsidRDefault="006705BC" w:rsidP="006705BC">
      <w:pPr>
        <w:spacing w:line="240" w:lineRule="auto"/>
        <w:rPr>
          <w:rFonts w:eastAsia="Times New Roman" w:cs="Arial"/>
          <w:color w:val="000000"/>
          <w:szCs w:val="40"/>
          <w:lang w:eastAsia="bg-BG"/>
        </w:rPr>
      </w:pPr>
    </w:p>
    <w:p w14:paraId="7CCB0663" w14:textId="694D2722"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При малък процент от пациентите може да настъпи временно влошаване на признаците и симптомите на рака на простатата (тумора) и временно увеличение на свързаните с рака болки (метастатична болка), които могат да бъдат овладени симптоматично.</w:t>
      </w:r>
    </w:p>
    <w:p w14:paraId="72A2C063" w14:textId="77777777" w:rsidR="006705BC" w:rsidRDefault="006705BC" w:rsidP="006705BC">
      <w:pPr>
        <w:spacing w:line="240" w:lineRule="auto"/>
        <w:rPr>
          <w:rFonts w:eastAsia="Times New Roman" w:cs="Arial"/>
          <w:color w:val="000000"/>
          <w:szCs w:val="40"/>
          <w:lang w:eastAsia="bg-BG"/>
        </w:rPr>
      </w:pPr>
    </w:p>
    <w:p w14:paraId="13C102E5" w14:textId="691C02C2"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Както и при други агонисти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са наблюдавани изолирани случаи на компресия на гръбначния мозък или обструкция на уретрата. Ако се развие компресия на гръбначния мозък или бъбречно увреждане, трябва да се започне стандартно лечение на тези усложнения, като в крайни случаи трябва да обмисли незабавно извършване на орхиектомия (хирургическа кастрация). Необходимо е внимателно наблюдение по време на първите седмици от лечението, особено при пациенти, страдащи от гръбначни метастази, предвид риска от компресия на гръбначния мозък, както и при пациенти с обструкция на пикочните пътища.</w:t>
      </w:r>
    </w:p>
    <w:p w14:paraId="1990B34A" w14:textId="77777777" w:rsidR="006705BC" w:rsidRDefault="006705BC" w:rsidP="006705BC">
      <w:pPr>
        <w:spacing w:line="240" w:lineRule="auto"/>
        <w:rPr>
          <w:rFonts w:eastAsia="Times New Roman" w:cs="Arial"/>
          <w:color w:val="000000"/>
          <w:szCs w:val="40"/>
          <w:lang w:eastAsia="bg-BG"/>
        </w:rPr>
      </w:pPr>
    </w:p>
    <w:p w14:paraId="6E98D9A4" w14:textId="57EC2693"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След хирургическата кастрация трипторелинът не предизвиква по-нататъшно намаляване на серумните нива на тестостерон.</w:t>
      </w:r>
    </w:p>
    <w:p w14:paraId="71EB40A6" w14:textId="77777777" w:rsidR="006705BC" w:rsidRDefault="006705BC" w:rsidP="006705BC">
      <w:pPr>
        <w:spacing w:line="240" w:lineRule="auto"/>
        <w:rPr>
          <w:rFonts w:eastAsia="Times New Roman" w:cs="Arial"/>
          <w:color w:val="000000"/>
          <w:szCs w:val="40"/>
          <w:lang w:eastAsia="bg-BG"/>
        </w:rPr>
      </w:pPr>
    </w:p>
    <w:p w14:paraId="78E2493C" w14:textId="5F3AE836"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Лишаването от андроген за продължителен период от време чрез двустранна орхиектомия или чрез прием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аналози е свързана с ускорена загуба на костна плътност, която може да доведе до остеопороза и повишен риск от фрактури на костите.</w:t>
      </w:r>
    </w:p>
    <w:p w14:paraId="11DA462C" w14:textId="77777777" w:rsidR="006705BC" w:rsidRDefault="006705BC" w:rsidP="006705BC">
      <w:pPr>
        <w:spacing w:line="240" w:lineRule="auto"/>
        <w:rPr>
          <w:rFonts w:eastAsia="Times New Roman" w:cs="Arial"/>
          <w:color w:val="000000"/>
          <w:szCs w:val="40"/>
          <w:lang w:eastAsia="bg-BG"/>
        </w:rPr>
      </w:pPr>
    </w:p>
    <w:p w14:paraId="1C2068ED" w14:textId="01CF897E"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Лечение чрез лишаване от андроген може да удължи </w:t>
      </w:r>
      <w:r w:rsidRPr="006705BC">
        <w:rPr>
          <w:rFonts w:eastAsia="Times New Roman" w:cs="Arial"/>
          <w:color w:val="000000"/>
          <w:szCs w:val="40"/>
          <w:lang w:val="en-US"/>
        </w:rPr>
        <w:t>QT</w:t>
      </w:r>
      <w:r w:rsidRPr="006705BC">
        <w:rPr>
          <w:rFonts w:eastAsia="Times New Roman" w:cs="Arial"/>
          <w:color w:val="000000"/>
          <w:szCs w:val="40"/>
          <w:lang w:val="ru-RU"/>
        </w:rPr>
        <w:t xml:space="preserve"> </w:t>
      </w:r>
      <w:r w:rsidRPr="006705BC">
        <w:rPr>
          <w:rFonts w:eastAsia="Times New Roman" w:cs="Arial"/>
          <w:color w:val="000000"/>
          <w:szCs w:val="40"/>
          <w:lang w:eastAsia="bg-BG"/>
        </w:rPr>
        <w:t>интервала.</w:t>
      </w:r>
    </w:p>
    <w:p w14:paraId="7F79E192" w14:textId="77777777" w:rsidR="006705BC" w:rsidRDefault="006705BC" w:rsidP="006705BC">
      <w:pPr>
        <w:spacing w:line="240" w:lineRule="auto"/>
        <w:rPr>
          <w:rFonts w:eastAsia="Times New Roman" w:cs="Arial"/>
          <w:color w:val="000000"/>
          <w:szCs w:val="40"/>
          <w:lang w:eastAsia="bg-BG"/>
        </w:rPr>
      </w:pPr>
    </w:p>
    <w:p w14:paraId="1B10B99F" w14:textId="77777777" w:rsidR="006705BC" w:rsidRPr="006705BC" w:rsidRDefault="006705BC" w:rsidP="006705BC">
      <w:pPr>
        <w:rPr>
          <w:rFonts w:ascii="Times New Roman" w:eastAsia="Times New Roman" w:hAnsi="Times New Roman" w:cs="Times New Roman"/>
          <w:sz w:val="14"/>
          <w:szCs w:val="24"/>
        </w:rPr>
      </w:pPr>
      <w:r w:rsidRPr="006705BC">
        <w:rPr>
          <w:rFonts w:eastAsia="Times New Roman" w:cs="Arial"/>
          <w:color w:val="000000"/>
          <w:szCs w:val="40"/>
          <w:lang w:eastAsia="bg-BG"/>
        </w:rPr>
        <w:t xml:space="preserve">При пациенти с анамнеза за или рискови фактори за удължаване на </w:t>
      </w:r>
      <w:r w:rsidRPr="006705BC">
        <w:rPr>
          <w:rFonts w:eastAsia="Times New Roman" w:cs="Arial"/>
          <w:color w:val="000000"/>
          <w:szCs w:val="40"/>
          <w:lang w:val="en-US"/>
        </w:rPr>
        <w:t>QT</w:t>
      </w:r>
      <w:r w:rsidRPr="006705BC">
        <w:rPr>
          <w:rFonts w:eastAsia="Times New Roman" w:cs="Arial"/>
          <w:color w:val="000000"/>
          <w:szCs w:val="40"/>
          <w:lang w:val="ru-RU"/>
        </w:rPr>
        <w:t xml:space="preserve"> </w:t>
      </w:r>
      <w:r w:rsidRPr="006705BC">
        <w:rPr>
          <w:rFonts w:eastAsia="Times New Roman" w:cs="Arial"/>
          <w:color w:val="000000"/>
          <w:szCs w:val="40"/>
          <w:lang w:eastAsia="bg-BG"/>
        </w:rPr>
        <w:t xml:space="preserve">интервала и при пациенти приемащи едновременно лекарствени продукти, които могат да удължат </w:t>
      </w:r>
      <w:r w:rsidRPr="006705BC">
        <w:rPr>
          <w:rFonts w:eastAsia="Times New Roman" w:cs="Arial"/>
          <w:color w:val="000000"/>
          <w:szCs w:val="40"/>
          <w:lang w:val="en-US"/>
        </w:rPr>
        <w:t>QT</w:t>
      </w:r>
      <w:r w:rsidRPr="006705BC">
        <w:rPr>
          <w:rFonts w:eastAsia="Times New Roman" w:cs="Arial"/>
          <w:color w:val="000000"/>
          <w:szCs w:val="40"/>
          <w:lang w:val="ru-RU"/>
        </w:rPr>
        <w:t xml:space="preserve"> </w:t>
      </w:r>
      <w:r w:rsidRPr="006705BC">
        <w:rPr>
          <w:rFonts w:eastAsia="Times New Roman" w:cs="Arial"/>
          <w:color w:val="000000"/>
          <w:szCs w:val="40"/>
          <w:lang w:eastAsia="bg-BG"/>
        </w:rPr>
        <w:t xml:space="preserve">интервала (виж т. </w:t>
      </w:r>
      <w:r w:rsidRPr="006705BC">
        <w:rPr>
          <w:rFonts w:eastAsia="Times New Roman" w:cs="Arial"/>
          <w:i/>
          <w:iCs/>
          <w:color w:val="000000"/>
          <w:szCs w:val="40"/>
          <w:lang w:eastAsia="bg-BG"/>
        </w:rPr>
        <w:t>4.5) лекарите трябва да</w:t>
      </w:r>
      <w:r w:rsidRPr="006705BC">
        <w:rPr>
          <w:rFonts w:eastAsia="Times New Roman" w:cs="Arial"/>
          <w:i/>
          <w:iCs/>
          <w:color w:val="000000"/>
          <w:szCs w:val="40"/>
          <w:lang w:val="ru-RU" w:eastAsia="bg-BG"/>
        </w:rPr>
        <w:t xml:space="preserve"> </w:t>
      </w:r>
      <w:r w:rsidRPr="006705BC">
        <w:rPr>
          <w:rFonts w:eastAsia="Times New Roman" w:cs="Arial"/>
          <w:color w:val="000000"/>
          <w:szCs w:val="40"/>
          <w:lang w:eastAsia="bg-BG"/>
        </w:rPr>
        <w:t xml:space="preserve">преценят съотношението полза-риск, включително и възможността от </w:t>
      </w:r>
      <w:r w:rsidRPr="006705BC">
        <w:rPr>
          <w:rFonts w:eastAsia="Times New Roman" w:cs="Arial"/>
          <w:color w:val="000000"/>
          <w:szCs w:val="40"/>
          <w:lang w:val="ru-RU"/>
        </w:rPr>
        <w:t>“</w:t>
      </w:r>
      <w:r w:rsidRPr="006705BC">
        <w:rPr>
          <w:rFonts w:eastAsia="Times New Roman" w:cs="Arial"/>
          <w:color w:val="000000"/>
          <w:szCs w:val="40"/>
          <w:lang w:val="en-US"/>
        </w:rPr>
        <w:t>torsade</w:t>
      </w:r>
      <w:r w:rsidRPr="006705BC">
        <w:rPr>
          <w:rFonts w:eastAsia="Times New Roman" w:cs="Arial"/>
          <w:color w:val="000000"/>
          <w:szCs w:val="40"/>
          <w:lang w:val="ru-RU"/>
        </w:rPr>
        <w:t xml:space="preserve"> </w:t>
      </w:r>
      <w:r w:rsidRPr="006705BC">
        <w:rPr>
          <w:rFonts w:eastAsia="Times New Roman" w:cs="Arial"/>
          <w:color w:val="000000"/>
          <w:szCs w:val="40"/>
          <w:lang w:val="en-US"/>
        </w:rPr>
        <w:t>de</w:t>
      </w:r>
      <w:r w:rsidRPr="006705BC">
        <w:rPr>
          <w:rFonts w:eastAsia="Times New Roman" w:cs="Arial"/>
          <w:color w:val="000000"/>
          <w:szCs w:val="40"/>
          <w:lang w:val="ru-RU"/>
        </w:rPr>
        <w:t xml:space="preserve"> </w:t>
      </w:r>
      <w:r w:rsidRPr="006705BC">
        <w:rPr>
          <w:rFonts w:eastAsia="Times New Roman" w:cs="Arial"/>
          <w:color w:val="000000"/>
          <w:szCs w:val="40"/>
          <w:lang w:val="en-US"/>
        </w:rPr>
        <w:t>pointes</w:t>
      </w:r>
      <w:r w:rsidRPr="006705BC">
        <w:rPr>
          <w:rFonts w:eastAsia="Times New Roman" w:cs="Arial"/>
          <w:color w:val="000000"/>
          <w:szCs w:val="40"/>
          <w:lang w:val="ru-RU"/>
        </w:rPr>
        <w:t xml:space="preserve">” </w:t>
      </w:r>
      <w:r w:rsidRPr="006705BC">
        <w:rPr>
          <w:rFonts w:eastAsia="Times New Roman" w:cs="Arial"/>
          <w:color w:val="000000"/>
          <w:szCs w:val="40"/>
          <w:lang w:eastAsia="bg-BG"/>
        </w:rPr>
        <w:t>преди въвеждане на ДЕКАПЕПТИЛ,</w:t>
      </w:r>
    </w:p>
    <w:p w14:paraId="72D7F6A6" w14:textId="77777777" w:rsidR="006705BC" w:rsidRDefault="006705BC" w:rsidP="006705BC">
      <w:pPr>
        <w:spacing w:line="240" w:lineRule="auto"/>
        <w:rPr>
          <w:rFonts w:eastAsia="Times New Roman" w:cs="Arial"/>
          <w:color w:val="000000"/>
          <w:szCs w:val="40"/>
          <w:lang w:eastAsia="bg-BG"/>
        </w:rPr>
      </w:pPr>
    </w:p>
    <w:p w14:paraId="6BADBBDC" w14:textId="621E28A0" w:rsidR="006705BC" w:rsidRPr="006705BC" w:rsidRDefault="006705BC" w:rsidP="006705BC">
      <w:pPr>
        <w:spacing w:line="240" w:lineRule="auto"/>
        <w:rPr>
          <w:rFonts w:eastAsia="Times New Roman" w:cs="Arial"/>
          <w:color w:val="000000"/>
          <w:szCs w:val="40"/>
          <w:lang w:eastAsia="bg-BG"/>
        </w:rPr>
      </w:pPr>
      <w:r w:rsidRPr="006705BC">
        <w:rPr>
          <w:rFonts w:eastAsia="Times New Roman" w:cs="Arial"/>
          <w:color w:val="000000"/>
          <w:szCs w:val="40"/>
          <w:lang w:val="ru-RU" w:eastAsia="bg-BG"/>
        </w:rPr>
        <w:t>*</w:t>
      </w:r>
      <w:r w:rsidRPr="006705BC">
        <w:rPr>
          <w:rFonts w:eastAsia="Times New Roman" w:cs="Arial"/>
          <w:color w:val="000000"/>
          <w:szCs w:val="40"/>
          <w:lang w:eastAsia="bg-BG"/>
        </w:rPr>
        <w:t>Освен това, въз основа на епидемиологични данни, се наблюда, че при пациентите могат да настъпят метаболитни промени (</w:t>
      </w:r>
      <w:proofErr w:type="gramStart"/>
      <w:r w:rsidRPr="006705BC">
        <w:rPr>
          <w:rFonts w:eastAsia="Times New Roman" w:cs="Arial"/>
          <w:color w:val="000000"/>
          <w:szCs w:val="40"/>
          <w:lang w:eastAsia="bg-BG"/>
        </w:rPr>
        <w:t>например</w:t>
      </w:r>
      <w:proofErr w:type="gramEnd"/>
      <w:r w:rsidRPr="006705BC">
        <w:rPr>
          <w:rFonts w:eastAsia="Times New Roman" w:cs="Arial"/>
          <w:color w:val="000000"/>
          <w:szCs w:val="40"/>
          <w:lang w:eastAsia="bg-BG"/>
        </w:rPr>
        <w:t xml:space="preserve"> глюкозна непоносимост), или повишен риск от сърдечно-съдови заболявания при лечение с лишаване от андрогени. Въпреки това, очакваните данни не потвърждават връзката между лечението с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аналози и увеличаване на смъртността от сърдечно-съдови заболявания. Трябва да се извърши внимателна преценка на пациентите с висок риск за метаболитни или сърдечно-съдови заболявания, преди да се започне лечение и да бъдат адекватно проследявани по време на лечението чрез лишаване от андроген.#</w:t>
      </w:r>
    </w:p>
    <w:p w14:paraId="1869B2BE" w14:textId="77777777" w:rsidR="006705BC" w:rsidRDefault="006705BC" w:rsidP="006705BC">
      <w:pPr>
        <w:spacing w:line="240" w:lineRule="auto"/>
        <w:rPr>
          <w:rFonts w:eastAsia="Times New Roman" w:cs="Arial"/>
          <w:color w:val="000000"/>
          <w:szCs w:val="40"/>
          <w:lang w:eastAsia="bg-BG"/>
        </w:rPr>
      </w:pPr>
    </w:p>
    <w:p w14:paraId="030CE27C" w14:textId="3A0978BD"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ИЛИ</w:t>
      </w:r>
    </w:p>
    <w:p w14:paraId="1B424D4A" w14:textId="77777777" w:rsidR="006705BC" w:rsidRDefault="006705BC" w:rsidP="006705BC">
      <w:pPr>
        <w:spacing w:line="240" w:lineRule="auto"/>
        <w:rPr>
          <w:rFonts w:eastAsia="Times New Roman" w:cs="Arial"/>
          <w:color w:val="000000"/>
          <w:szCs w:val="40"/>
          <w:lang w:eastAsia="bg-BG"/>
        </w:rPr>
      </w:pPr>
    </w:p>
    <w:p w14:paraId="20595064" w14:textId="599BD20B" w:rsidR="006705BC" w:rsidRPr="006705BC" w:rsidRDefault="006705BC" w:rsidP="006705BC">
      <w:pPr>
        <w:spacing w:line="240" w:lineRule="auto"/>
        <w:rPr>
          <w:rFonts w:eastAsia="Times New Roman" w:cs="Arial"/>
          <w:color w:val="000000"/>
          <w:szCs w:val="40"/>
          <w:lang w:eastAsia="bg-BG"/>
        </w:rPr>
      </w:pPr>
      <w:r w:rsidRPr="006705BC">
        <w:rPr>
          <w:rFonts w:eastAsia="Times New Roman" w:cs="Arial"/>
          <w:color w:val="000000"/>
          <w:szCs w:val="40"/>
          <w:lang w:val="ru-RU" w:eastAsia="bg-BG"/>
        </w:rPr>
        <w:t>*</w:t>
      </w:r>
      <w:r w:rsidRPr="006705BC">
        <w:rPr>
          <w:rFonts w:eastAsia="Times New Roman" w:cs="Arial"/>
          <w:color w:val="000000"/>
          <w:szCs w:val="40"/>
          <w:lang w:eastAsia="bg-BG"/>
        </w:rPr>
        <w:t xml:space="preserve">Епидемиологичните изследвания предполагат малко, но статистически значително увеличение на относителния риск от захарен диабет тип 2 и някои сърдечно-съдови заболявания (внезапна смърт, инфаркт </w:t>
      </w:r>
      <w:proofErr w:type="gramStart"/>
      <w:r w:rsidRPr="006705BC">
        <w:rPr>
          <w:rFonts w:eastAsia="Times New Roman" w:cs="Arial"/>
          <w:color w:val="000000"/>
          <w:szCs w:val="40"/>
          <w:lang w:eastAsia="bg-BG"/>
        </w:rPr>
        <w:t>на миокарда</w:t>
      </w:r>
      <w:proofErr w:type="gramEnd"/>
      <w:r w:rsidRPr="006705BC">
        <w:rPr>
          <w:rFonts w:eastAsia="Times New Roman" w:cs="Arial"/>
          <w:color w:val="000000"/>
          <w:szCs w:val="40"/>
          <w:lang w:eastAsia="bg-BG"/>
        </w:rPr>
        <w:t xml:space="preserve"> и инсулт), свързани с използването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агонисти при мъжете с рак на простатата. Ето защо се препоръчва пациентите с хипертония, хиперлипидемия или сърдечно-съдови заболявания да се наблюдават по време на лечението с трипторелин?</w:t>
      </w:r>
    </w:p>
    <w:p w14:paraId="40BDB521" w14:textId="77777777" w:rsidR="006705BC" w:rsidRDefault="006705BC" w:rsidP="006705BC">
      <w:pPr>
        <w:spacing w:line="240" w:lineRule="auto"/>
        <w:rPr>
          <w:rFonts w:eastAsia="Times New Roman" w:cs="Arial"/>
          <w:color w:val="000000"/>
          <w:szCs w:val="40"/>
          <w:lang w:eastAsia="bg-BG"/>
        </w:rPr>
      </w:pPr>
    </w:p>
    <w:p w14:paraId="1D6DDFA7" w14:textId="22195424"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Приемът на трипторелин в терапевтични дози води до потискане на хипофизно-гонадната система. Нормалната функция обикновено се възстановява след прекратяване на </w:t>
      </w:r>
      <w:r w:rsidRPr="006705BC">
        <w:rPr>
          <w:rFonts w:eastAsia="Times New Roman" w:cs="Arial"/>
          <w:color w:val="000000"/>
          <w:szCs w:val="40"/>
          <w:lang w:eastAsia="bg-BG"/>
        </w:rPr>
        <w:lastRenderedPageBreak/>
        <w:t xml:space="preserve">лечението. Ето защо диагностичните тестове на функцията на хипофизно-гонадната система, проведени по време на лечението и след прекратяване на лечението с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аналози, могат да се окажат подвеждащи.</w:t>
      </w:r>
    </w:p>
    <w:p w14:paraId="2BE8EEAE" w14:textId="77777777" w:rsidR="006705BC" w:rsidRDefault="006705BC" w:rsidP="006705BC">
      <w:pPr>
        <w:spacing w:line="240" w:lineRule="auto"/>
        <w:rPr>
          <w:rFonts w:eastAsia="Times New Roman" w:cs="Arial"/>
          <w:b/>
          <w:bCs/>
          <w:color w:val="000000"/>
          <w:szCs w:val="40"/>
          <w:lang w:eastAsia="bg-BG"/>
        </w:rPr>
      </w:pPr>
    </w:p>
    <w:p w14:paraId="1B29D38D" w14:textId="49D5D8BF"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b/>
          <w:bCs/>
          <w:color w:val="000000"/>
          <w:szCs w:val="40"/>
          <w:lang w:eastAsia="bg-BG"/>
        </w:rPr>
        <w:t>Жени</w:t>
      </w:r>
    </w:p>
    <w:p w14:paraId="2EA57F72"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Загуба на костна минерална плътност</w:t>
      </w:r>
    </w:p>
    <w:p w14:paraId="1E170D3C"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Използването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агонисти вероятно да доведе до намаляване на костната минерална плътност средно с 1 % на месец по време на шестмесечния период на лечение. Всяко 1</w:t>
      </w:r>
      <w:r w:rsidRPr="006705BC">
        <w:rPr>
          <w:rFonts w:eastAsia="Times New Roman" w:cs="Arial"/>
          <w:i/>
          <w:iCs/>
          <w:color w:val="000000"/>
          <w:szCs w:val="40"/>
          <w:lang w:eastAsia="bg-BG"/>
        </w:rPr>
        <w:t>0%</w:t>
      </w:r>
      <w:r w:rsidRPr="006705BC">
        <w:rPr>
          <w:rFonts w:eastAsia="Times New Roman" w:cs="Arial"/>
          <w:color w:val="000000"/>
          <w:szCs w:val="40"/>
          <w:lang w:eastAsia="bg-BG"/>
        </w:rPr>
        <w:t xml:space="preserve"> намаляване на костната минерална плътност е свързано с около два до три пъти повишен риск от фрактури. Поради тази причина, лечение без прикриваща терапия </w:t>
      </w:r>
      <w:r w:rsidRPr="006705BC">
        <w:rPr>
          <w:rFonts w:eastAsia="Times New Roman" w:cs="Arial"/>
          <w:i/>
          <w:iCs/>
          <w:color w:val="000000"/>
          <w:szCs w:val="40"/>
          <w:lang w:eastAsia="bg-BG"/>
        </w:rPr>
        <w:t>(назначаване на лекарства, които потискат страничните ефекти на основното лечение, включително и преди първичната терапия)</w:t>
      </w:r>
      <w:r w:rsidRPr="006705BC">
        <w:rPr>
          <w:rFonts w:eastAsia="Times New Roman" w:cs="Arial"/>
          <w:color w:val="000000"/>
          <w:szCs w:val="40"/>
          <w:lang w:eastAsia="bg-BG"/>
        </w:rPr>
        <w:t xml:space="preserve"> не трябва да надвишава продължителност от 6 месеца. При по-голямата част от жените, наличните данни показват, че възстановяването на костната плътност настъпва в рамките на 6 - 9 месеца след прекратяване на лечението.</w:t>
      </w:r>
    </w:p>
    <w:p w14:paraId="78658FB8" w14:textId="77777777" w:rsidR="006705BC" w:rsidRDefault="006705BC" w:rsidP="006705BC">
      <w:pPr>
        <w:spacing w:line="240" w:lineRule="auto"/>
        <w:rPr>
          <w:rFonts w:eastAsia="Times New Roman" w:cs="Arial"/>
          <w:color w:val="000000"/>
          <w:szCs w:val="40"/>
          <w:lang w:eastAsia="bg-BG"/>
        </w:rPr>
      </w:pPr>
    </w:p>
    <w:p w14:paraId="756381F2" w14:textId="0B5FE1C9"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Няма конкретна информация за пациенти с установена остеопороза или с рискови фактори за остеопороза (напр. хронична злоупотреба с алкохол, пушачи, продължително лечение с лекарства, които намаляват костната минерална плътност, напр. антиконвулсанти или кортикоиди, фамилна анамнеза за остеопороза, недохранване, напр. анорексия нервоза). Тъй като вероятно загубата на костна минерална плътност вероятно ще бъде по-вредна при тези пациенти, лечението с трипторелин трябва да се разглежда индивидуално и да се започва, само ако ползата от лечението е по-голяма от риска след много внимателна преценка. Трябва да се обсъдят допълнителни мерки, за да се противодейства на загубата на костна минерална плътност.</w:t>
      </w:r>
    </w:p>
    <w:p w14:paraId="4567E5C7" w14:textId="77777777" w:rsidR="006705BC" w:rsidRDefault="006705BC" w:rsidP="006705BC">
      <w:pPr>
        <w:spacing w:line="240" w:lineRule="auto"/>
        <w:rPr>
          <w:rFonts w:eastAsia="Times New Roman" w:cs="Arial"/>
          <w:color w:val="000000"/>
          <w:szCs w:val="40"/>
          <w:lang w:eastAsia="bg-BG"/>
        </w:rPr>
      </w:pPr>
    </w:p>
    <w:p w14:paraId="057D283D" w14:textId="54534B32" w:rsidR="006705BC" w:rsidRPr="006705BC" w:rsidRDefault="006705BC" w:rsidP="006705BC">
      <w:pPr>
        <w:pStyle w:val="ListParagraph"/>
        <w:numPr>
          <w:ilvl w:val="0"/>
          <w:numId w:val="2"/>
        </w:num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 xml:space="preserve">Даун регулация и предотвратяване на преждевременни вълни на </w:t>
      </w:r>
      <w:r w:rsidRPr="006705BC">
        <w:rPr>
          <w:rFonts w:eastAsia="Times New Roman" w:cs="Arial"/>
          <w:color w:val="000000"/>
          <w:szCs w:val="40"/>
          <w:lang w:val="en-US"/>
        </w:rPr>
        <w:t>LH</w:t>
      </w:r>
      <w:r w:rsidRPr="006705BC">
        <w:rPr>
          <w:rFonts w:eastAsia="Times New Roman" w:cs="Arial"/>
          <w:color w:val="000000"/>
          <w:szCs w:val="40"/>
          <w:lang w:val="ru-RU"/>
        </w:rPr>
        <w:t>:</w:t>
      </w:r>
    </w:p>
    <w:p w14:paraId="2D7D6170" w14:textId="77777777" w:rsidR="006705BC" w:rsidRPr="006705BC" w:rsidRDefault="006705BC" w:rsidP="006705BC">
      <w:pPr>
        <w:spacing w:line="240" w:lineRule="auto"/>
        <w:rPr>
          <w:rFonts w:ascii="Times New Roman" w:eastAsia="Times New Roman" w:hAnsi="Times New Roman" w:cs="Times New Roman"/>
          <w:sz w:val="14"/>
          <w:szCs w:val="24"/>
        </w:rPr>
      </w:pPr>
      <w:r w:rsidRPr="006705BC">
        <w:rPr>
          <w:rFonts w:eastAsia="Times New Roman" w:cs="Arial"/>
          <w:color w:val="000000"/>
          <w:szCs w:val="40"/>
          <w:lang w:eastAsia="bg-BG"/>
        </w:rPr>
        <w:t>Техниките за асистирана репродукция са свързани с повишен риск от многоплодна бременност, загуба на бременност, извънматочна бременност и вродени малформации. Тези рискове са относими и при използване на Декапептил като съпътстваща терапия при контролирана овариална хиперстимулация. Използването на Декапептил при контролирана овариална хиперстимулация може да повиши риска от синдром на овариална хиперстимулация (СОХС) и кисти на яйчниците.</w:t>
      </w:r>
    </w:p>
    <w:p w14:paraId="27BB9F7E" w14:textId="77777777" w:rsidR="006705BC" w:rsidRDefault="006705BC" w:rsidP="006705BC">
      <w:pPr>
        <w:spacing w:line="240" w:lineRule="auto"/>
        <w:rPr>
          <w:rFonts w:eastAsia="Times New Roman" w:cs="Arial"/>
          <w:color w:val="000000"/>
          <w:szCs w:val="40"/>
          <w:lang w:eastAsia="bg-BG"/>
        </w:rPr>
      </w:pPr>
    </w:p>
    <w:p w14:paraId="3E0FBEC9" w14:textId="58434504" w:rsidR="006705BC" w:rsidRPr="006705BC" w:rsidRDefault="006705BC" w:rsidP="006705BC">
      <w:pPr>
        <w:spacing w:line="240" w:lineRule="auto"/>
        <w:rPr>
          <w:rFonts w:ascii="Times New Roman" w:eastAsia="Times New Roman" w:hAnsi="Times New Roman" w:cs="Times New Roman"/>
          <w:sz w:val="24"/>
          <w:szCs w:val="24"/>
        </w:rPr>
      </w:pPr>
      <w:r w:rsidRPr="006705BC">
        <w:rPr>
          <w:rFonts w:eastAsia="Times New Roman" w:cs="Arial"/>
          <w:color w:val="000000"/>
          <w:szCs w:val="40"/>
          <w:lang w:eastAsia="bg-BG"/>
        </w:rPr>
        <w:t xml:space="preserve">Подборът на фоликули, индуцирани чрез използването на </w:t>
      </w:r>
      <w:proofErr w:type="spellStart"/>
      <w:r w:rsidRPr="006705BC">
        <w:rPr>
          <w:rFonts w:eastAsia="Times New Roman" w:cs="Arial"/>
          <w:color w:val="000000"/>
          <w:szCs w:val="40"/>
          <w:lang w:val="en-US"/>
        </w:rPr>
        <w:t>GnRH</w:t>
      </w:r>
      <w:proofErr w:type="spellEnd"/>
      <w:r w:rsidRPr="006705BC">
        <w:rPr>
          <w:rFonts w:eastAsia="Times New Roman" w:cs="Arial"/>
          <w:color w:val="000000"/>
          <w:szCs w:val="40"/>
          <w:lang w:val="ru-RU"/>
        </w:rPr>
        <w:t xml:space="preserve"> </w:t>
      </w:r>
      <w:r w:rsidRPr="006705BC">
        <w:rPr>
          <w:rFonts w:eastAsia="Times New Roman" w:cs="Arial"/>
          <w:color w:val="000000"/>
          <w:szCs w:val="40"/>
          <w:lang w:eastAsia="bg-BG"/>
        </w:rPr>
        <w:t>аналози и гонадотропини, може да се увеличи значително при малка част от предразположени към това пациенти, особено в случай на поликистозен овариален синдром.</w:t>
      </w:r>
    </w:p>
    <w:p w14:paraId="226615C1" w14:textId="7DC2BD94" w:rsidR="006705BC" w:rsidRPr="006705BC" w:rsidRDefault="006705BC" w:rsidP="006705BC">
      <w:pPr>
        <w:spacing w:line="240" w:lineRule="auto"/>
        <w:rPr>
          <w:rFonts w:ascii="Times New Roman" w:eastAsia="Times New Roman" w:hAnsi="Times New Roman" w:cs="Times New Roman"/>
          <w:sz w:val="14"/>
          <w:szCs w:val="24"/>
        </w:rPr>
      </w:pPr>
    </w:p>
    <w:p w14:paraId="74CDF70B"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Както и при други аналози на </w:t>
      </w:r>
      <w:proofErr w:type="spellStart"/>
      <w:r w:rsidRPr="00371F96">
        <w:rPr>
          <w:rFonts w:eastAsia="Times New Roman" w:cs="Arial"/>
          <w:color w:val="000000"/>
          <w:szCs w:val="40"/>
          <w:lang w:val="en-US"/>
        </w:rPr>
        <w:t>GnRH</w:t>
      </w:r>
      <w:proofErr w:type="spellEnd"/>
      <w:r w:rsidRPr="00371F96">
        <w:rPr>
          <w:rFonts w:eastAsia="Times New Roman" w:cs="Arial"/>
          <w:color w:val="000000"/>
          <w:szCs w:val="40"/>
          <w:lang w:val="ru-RU"/>
        </w:rPr>
        <w:t xml:space="preserve">, </w:t>
      </w:r>
      <w:r w:rsidRPr="00371F96">
        <w:rPr>
          <w:rFonts w:eastAsia="Times New Roman" w:cs="Arial"/>
          <w:color w:val="000000"/>
          <w:szCs w:val="40"/>
          <w:lang w:eastAsia="bg-BG"/>
        </w:rPr>
        <w:t>има съобщения за синдром на овариалната хиперстимулация, свързани с употребата на трипторелин в комбинация с гонадотропини.</w:t>
      </w:r>
    </w:p>
    <w:p w14:paraId="32688D21" w14:textId="77777777" w:rsidR="00371F96" w:rsidRDefault="00371F96" w:rsidP="00371F96">
      <w:pPr>
        <w:spacing w:line="240" w:lineRule="auto"/>
        <w:rPr>
          <w:rFonts w:eastAsia="Times New Roman" w:cs="Arial"/>
          <w:color w:val="000000"/>
          <w:szCs w:val="40"/>
          <w:lang w:eastAsia="bg-BG"/>
        </w:rPr>
      </w:pPr>
    </w:p>
    <w:p w14:paraId="1C8B5F54" w14:textId="3B010D50"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Синдром на овариалната хиперстимулация (СОХС)</w:t>
      </w:r>
    </w:p>
    <w:p w14:paraId="29D4E4D2"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val="en-US"/>
        </w:rPr>
        <w:t>OHSS</w:t>
      </w:r>
      <w:r w:rsidRPr="00371F96">
        <w:rPr>
          <w:rFonts w:eastAsia="Times New Roman" w:cs="Arial"/>
          <w:color w:val="000000"/>
          <w:szCs w:val="40"/>
          <w:lang w:val="ru-RU"/>
        </w:rPr>
        <w:t xml:space="preserve"> </w:t>
      </w:r>
      <w:r w:rsidRPr="00371F96">
        <w:rPr>
          <w:rFonts w:eastAsia="Times New Roman" w:cs="Arial"/>
          <w:color w:val="000000"/>
          <w:szCs w:val="40"/>
          <w:lang w:eastAsia="bg-BG"/>
        </w:rPr>
        <w:t>е медицинско събитие различно от неусложненото уголемяване на яйчниците. СОХС е синдром, който може да се прояви с увеличаващи се степени на сериозност. Той включва изразено уголемяване на яйчниците, високи серумни полови стероиди и увеличаване на съдовата пропускливост, което може да доведе до натрупване на течност в перитонеалната, плевралната и рядко - в перикардната - кухини.</w:t>
      </w:r>
    </w:p>
    <w:p w14:paraId="675B14D1"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Следните симптоми могат да се наблюдават при тежки случаи на СОХС: коремна болка, подуване на корема, тежко уголемяване на яйчниците, наддаване на тегло, диспнея, олигурия и стомашно-чревни симптоми, включително гадене, повръщане и диария. Клиничната оценка може да разкрие хиповолемия, хемоконцентрация, електролитен </w:t>
      </w:r>
      <w:r w:rsidRPr="00371F96">
        <w:rPr>
          <w:rFonts w:eastAsia="Times New Roman" w:cs="Arial"/>
          <w:color w:val="000000"/>
          <w:szCs w:val="40"/>
          <w:lang w:eastAsia="bg-BG"/>
        </w:rPr>
        <w:lastRenderedPageBreak/>
        <w:t>дисбаланс, асцит, хемоперитонеум, плеврален излив, хидроторакс, остър респираторен дистрес и тромбо-емболични състояния.</w:t>
      </w:r>
    </w:p>
    <w:p w14:paraId="2C3A8F89"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Прекомерният овариален отговор към лечението с гонадотропин рядко води до СОХС, освен ако чХГ се прилага за предизвикване на овулация. Затова в случаи на СОХС е разумно да се откаже чХГ и пациентът да бъде посъветван да се въздържа от полови сношения или да използва бариерни методи за най-малко 4 дни. СОХС може да прогресира бързо (в рамките на 24 часа до няколко дни) и да се превърне в сериозен медицински проблем, затова пациентите трябва да се проследяват в продължение на най-малко две седмици след прилагането на чХГ.</w:t>
      </w:r>
    </w:p>
    <w:p w14:paraId="0C56C64B" w14:textId="77777777" w:rsidR="00371F96" w:rsidRDefault="00371F96" w:rsidP="00371F96">
      <w:pPr>
        <w:spacing w:line="240" w:lineRule="auto"/>
        <w:rPr>
          <w:rFonts w:eastAsia="Times New Roman" w:cs="Arial"/>
          <w:color w:val="000000"/>
          <w:szCs w:val="40"/>
          <w:lang w:eastAsia="bg-BG"/>
        </w:rPr>
      </w:pPr>
    </w:p>
    <w:p w14:paraId="5DA14D0A" w14:textId="6FFB075F"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СОХС може да бъде по-тежък и по-продължителен, ако настъпи бременност. Най-често, СОХС настъпва, след като хормоналното лечение е било преустановено и достига максимална сериозност на около седмия до десетия ден след лечението. Обикновено, СОХС отзвучава спонтанно с началото на менструацията.</w:t>
      </w:r>
    </w:p>
    <w:p w14:paraId="10156369"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Ако настъпи тежък СОХС, лечението с гонадотропин трябва да бъде спряно, ако все още продължава, пациентът да бъде хоспитализиран и да се започне специфична терапия за СОХС, например с почивка, интравенозно вливане на електролитни разтвори или колоиди и хепарин.</w:t>
      </w:r>
    </w:p>
    <w:p w14:paraId="7CB89AA2" w14:textId="77777777" w:rsidR="00371F96" w:rsidRDefault="00371F96" w:rsidP="00371F96">
      <w:pPr>
        <w:spacing w:line="240" w:lineRule="auto"/>
        <w:rPr>
          <w:rFonts w:eastAsia="Times New Roman" w:cs="Arial"/>
          <w:color w:val="000000"/>
          <w:szCs w:val="40"/>
          <w:lang w:eastAsia="bg-BG"/>
        </w:rPr>
      </w:pPr>
    </w:p>
    <w:p w14:paraId="1F936067" w14:textId="7801EB9B"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Този синдром се среща по-често при пациенти с овариална поликистоза.</w:t>
      </w:r>
    </w:p>
    <w:p w14:paraId="73E61E2A"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Рискът от СОХС може да бъде по-висок при използване на </w:t>
      </w:r>
      <w:proofErr w:type="spellStart"/>
      <w:r w:rsidRPr="00371F96">
        <w:rPr>
          <w:rFonts w:eastAsia="Times New Roman" w:cs="Arial"/>
          <w:color w:val="000000"/>
          <w:szCs w:val="40"/>
          <w:lang w:val="en-US"/>
        </w:rPr>
        <w:t>GnRH</w:t>
      </w:r>
      <w:proofErr w:type="spellEnd"/>
      <w:r w:rsidRPr="00371F96">
        <w:rPr>
          <w:rFonts w:eastAsia="Times New Roman" w:cs="Arial"/>
          <w:color w:val="000000"/>
          <w:szCs w:val="40"/>
          <w:lang w:val="ru-RU"/>
        </w:rPr>
        <w:t xml:space="preserve"> </w:t>
      </w:r>
      <w:r w:rsidRPr="00371F96">
        <w:rPr>
          <w:rFonts w:eastAsia="Times New Roman" w:cs="Arial"/>
          <w:color w:val="000000"/>
          <w:szCs w:val="40"/>
          <w:lang w:eastAsia="bg-BG"/>
        </w:rPr>
        <w:t>агонисти в комбинация с гонадотропини, отколкото при употребата само на гонадотропини.</w:t>
      </w:r>
    </w:p>
    <w:p w14:paraId="19FDBFE8" w14:textId="77777777" w:rsidR="00371F96" w:rsidRDefault="00371F96" w:rsidP="00371F96">
      <w:pPr>
        <w:spacing w:line="240" w:lineRule="auto"/>
        <w:rPr>
          <w:rFonts w:eastAsia="Times New Roman" w:cs="Arial"/>
          <w:color w:val="000000"/>
          <w:szCs w:val="40"/>
          <w:lang w:eastAsia="bg-BG"/>
        </w:rPr>
      </w:pPr>
    </w:p>
    <w:p w14:paraId="5E202DCA" w14:textId="51112679"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Овариални кисти</w:t>
      </w:r>
    </w:p>
    <w:p w14:paraId="13897407"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Кистите на яйчниците могат да се получат по време на началната фаза на лечението с </w:t>
      </w:r>
      <w:proofErr w:type="spellStart"/>
      <w:r w:rsidRPr="00371F96">
        <w:rPr>
          <w:rFonts w:eastAsia="Times New Roman" w:cs="Arial"/>
          <w:color w:val="000000"/>
          <w:szCs w:val="40"/>
          <w:lang w:val="en-US"/>
        </w:rPr>
        <w:t>GnRH</w:t>
      </w:r>
      <w:proofErr w:type="spellEnd"/>
      <w:r w:rsidRPr="00371F96">
        <w:rPr>
          <w:rFonts w:eastAsia="Times New Roman" w:cs="Arial"/>
          <w:color w:val="000000"/>
          <w:szCs w:val="40"/>
          <w:lang w:val="ru-RU"/>
        </w:rPr>
        <w:t xml:space="preserve">. </w:t>
      </w:r>
      <w:r w:rsidRPr="00371F96">
        <w:rPr>
          <w:rFonts w:eastAsia="Times New Roman" w:cs="Arial"/>
          <w:color w:val="000000"/>
          <w:szCs w:val="40"/>
          <w:lang w:eastAsia="bg-BG"/>
        </w:rPr>
        <w:t>Те обикновено са асимптоматични и нефункционални.</w:t>
      </w:r>
    </w:p>
    <w:p w14:paraId="4AF9007A" w14:textId="77777777" w:rsidR="00371F96" w:rsidRDefault="00371F96" w:rsidP="00371F96">
      <w:pPr>
        <w:spacing w:line="240" w:lineRule="auto"/>
        <w:rPr>
          <w:rFonts w:eastAsia="Times New Roman" w:cs="Arial"/>
          <w:color w:val="000000"/>
          <w:szCs w:val="40"/>
          <w:lang w:eastAsia="bg-BG"/>
        </w:rPr>
      </w:pPr>
    </w:p>
    <w:p w14:paraId="1B34FBA0" w14:textId="34F33048" w:rsidR="00371F96" w:rsidRPr="00371F96" w:rsidRDefault="00371F96" w:rsidP="00371F96">
      <w:pPr>
        <w:pStyle w:val="ListParagraph"/>
        <w:numPr>
          <w:ilvl w:val="0"/>
          <w:numId w:val="2"/>
        </w:num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Маточни миоми и ендометриоза</w:t>
      </w:r>
    </w:p>
    <w:p w14:paraId="5AA5DCC0"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Менструация не се появява по време на лечението. Липса на менструация, настъпила след лечението, не е нормално състояние (с изключение на първия месец), и трябва да провери нивото на плазмения естроген. Ако това ниво се окаже по-ниско от 50 </w:t>
      </w:r>
      <w:proofErr w:type="spellStart"/>
      <w:r w:rsidRPr="00371F96">
        <w:rPr>
          <w:rFonts w:eastAsia="Times New Roman" w:cs="Arial"/>
          <w:color w:val="000000"/>
          <w:szCs w:val="40"/>
          <w:lang w:val="en-US"/>
        </w:rPr>
        <w:t>pg</w:t>
      </w:r>
      <w:proofErr w:type="spellEnd"/>
      <w:r w:rsidRPr="00371F96">
        <w:rPr>
          <w:rFonts w:eastAsia="Times New Roman" w:cs="Arial"/>
          <w:color w:val="000000"/>
          <w:szCs w:val="40"/>
          <w:lang w:val="ru-RU"/>
        </w:rPr>
        <w:t xml:space="preserve">/ </w:t>
      </w:r>
      <w:r w:rsidRPr="00371F96">
        <w:rPr>
          <w:rFonts w:eastAsia="Times New Roman" w:cs="Arial"/>
          <w:color w:val="000000"/>
          <w:szCs w:val="40"/>
          <w:lang w:val="en-US"/>
        </w:rPr>
        <w:t>ml</w:t>
      </w:r>
      <w:r w:rsidRPr="00371F96">
        <w:rPr>
          <w:rFonts w:eastAsia="Times New Roman" w:cs="Arial"/>
          <w:color w:val="000000"/>
          <w:szCs w:val="40"/>
          <w:lang w:val="ru-RU"/>
        </w:rPr>
        <w:t xml:space="preserve">, </w:t>
      </w:r>
      <w:r w:rsidRPr="00371F96">
        <w:rPr>
          <w:rFonts w:eastAsia="Times New Roman" w:cs="Arial"/>
          <w:color w:val="000000"/>
          <w:szCs w:val="40"/>
          <w:lang w:eastAsia="bg-BG"/>
        </w:rPr>
        <w:t>трябва да се търсят евентуално свързани с това органни лезии. След спиране на лечението, функцията на яйчниците се възстановява, напр. менструалното кървене трябва да се възобнови след 7-12 седмици след последната инжекция.</w:t>
      </w:r>
    </w:p>
    <w:p w14:paraId="2812915C"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Трябва да се използва нехормонална контрацепция по време на първия месец от лечението, тъй като може да бъде предизвикана овулация от началното освобождаване на гонадотропини. Такава трябва да се използва от 4-та седмица след последната инжекция до възстановяване на менструацията или докато се определи друг метод за контрацепция.</w:t>
      </w:r>
    </w:p>
    <w:p w14:paraId="1C0E593E" w14:textId="77777777" w:rsidR="00371F96" w:rsidRDefault="00371F96" w:rsidP="00371F96">
      <w:pPr>
        <w:spacing w:line="240" w:lineRule="auto"/>
        <w:rPr>
          <w:rFonts w:eastAsia="Times New Roman" w:cs="Arial"/>
          <w:color w:val="000000"/>
          <w:szCs w:val="40"/>
          <w:lang w:eastAsia="bg-BG"/>
        </w:rPr>
      </w:pPr>
    </w:p>
    <w:p w14:paraId="6B5F4791" w14:textId="134A14D8"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Препоръчва се по време на лечението на фиброиди на матката, размерът на фибромата да се опрделя редовно.</w:t>
      </w:r>
    </w:p>
    <w:p w14:paraId="4D9975D4" w14:textId="77777777" w:rsidR="00371F96" w:rsidRDefault="00371F96" w:rsidP="00371F96">
      <w:pPr>
        <w:rPr>
          <w:rFonts w:eastAsia="Times New Roman" w:cs="Arial"/>
          <w:color w:val="000000"/>
          <w:szCs w:val="40"/>
          <w:lang w:eastAsia="bg-BG"/>
        </w:rPr>
      </w:pPr>
    </w:p>
    <w:p w14:paraId="6FBB27D9" w14:textId="552DC253" w:rsidR="00371F96" w:rsidRDefault="00371F96" w:rsidP="00371F96">
      <w:pPr>
        <w:rPr>
          <w:rFonts w:eastAsia="Times New Roman" w:cs="Arial"/>
          <w:color w:val="000000"/>
          <w:szCs w:val="40"/>
          <w:lang w:eastAsia="bg-BG"/>
        </w:rPr>
      </w:pPr>
      <w:r w:rsidRPr="00371F96">
        <w:rPr>
          <w:rFonts w:eastAsia="Times New Roman" w:cs="Arial"/>
          <w:color w:val="000000"/>
          <w:szCs w:val="40"/>
          <w:lang w:eastAsia="bg-BG"/>
        </w:rPr>
        <w:t>Тъй като менструацията трябва да спре по време на лечението с ДЕКАПЕПТИЛ, пациентът трябва да бъде инструктиран да уведоми своя лекар, ако редовната менструация продължава.</w:t>
      </w:r>
    </w:p>
    <w:p w14:paraId="5784BB60" w14:textId="77777777" w:rsidR="00371F96" w:rsidRPr="00371F96" w:rsidRDefault="00371F96" w:rsidP="00371F96">
      <w:pPr>
        <w:rPr>
          <w:sz w:val="12"/>
        </w:rPr>
      </w:pPr>
    </w:p>
    <w:p w14:paraId="1244F76A" w14:textId="6D8270E5" w:rsidR="00395555" w:rsidRDefault="002C50EE" w:rsidP="008A6AF2">
      <w:pPr>
        <w:pStyle w:val="Heading2"/>
      </w:pPr>
      <w:r>
        <w:t>4.5. Взаимодействие с други лекарствени продукти и други форми на взаимодействие</w:t>
      </w:r>
    </w:p>
    <w:p w14:paraId="4031E512" w14:textId="1A1527D2" w:rsidR="00371F96" w:rsidRDefault="00371F96" w:rsidP="00371F96"/>
    <w:p w14:paraId="0A261DE2"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lastRenderedPageBreak/>
        <w:t>Когато трипторелин се приема едновременно с лекарства, оказващи въздействие върху хипофизната секреция на гонадотропини, трябва да се внимава, като се препоръчва проследяване на хормоналния статус на пациента.</w:t>
      </w:r>
    </w:p>
    <w:p w14:paraId="4027EEAC" w14:textId="77777777" w:rsidR="00371F96" w:rsidRDefault="00371F96" w:rsidP="00371F96">
      <w:pPr>
        <w:spacing w:line="240" w:lineRule="auto"/>
        <w:rPr>
          <w:rFonts w:eastAsia="Times New Roman" w:cs="Arial"/>
          <w:color w:val="000000"/>
          <w:szCs w:val="40"/>
          <w:lang w:eastAsia="bg-BG"/>
        </w:rPr>
      </w:pPr>
    </w:p>
    <w:p w14:paraId="7355103C" w14:textId="704C74C0"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Тъй като лечението с лишаване от андроген може да удължи </w:t>
      </w:r>
      <w:r w:rsidRPr="00371F96">
        <w:rPr>
          <w:rFonts w:eastAsia="Times New Roman" w:cs="Arial"/>
          <w:i/>
          <w:iCs/>
          <w:color w:val="000000"/>
          <w:szCs w:val="40"/>
          <w:lang w:val="en-US"/>
        </w:rPr>
        <w:t>QT</w:t>
      </w:r>
      <w:r w:rsidRPr="00371F96">
        <w:rPr>
          <w:rFonts w:eastAsia="Times New Roman" w:cs="Arial"/>
          <w:color w:val="000000"/>
          <w:szCs w:val="40"/>
          <w:lang w:val="ru-RU"/>
        </w:rPr>
        <w:t xml:space="preserve"> </w:t>
      </w:r>
      <w:r w:rsidRPr="00371F96">
        <w:rPr>
          <w:rFonts w:eastAsia="Times New Roman" w:cs="Arial"/>
          <w:color w:val="000000"/>
          <w:szCs w:val="40"/>
          <w:lang w:eastAsia="bg-BG"/>
        </w:rPr>
        <w:t xml:space="preserve">интервала, едновременната употреба на ДЕКАПЕПТИЛ с лекарствени продукти, за които е известно, че удължават </w:t>
      </w:r>
      <w:r w:rsidRPr="00371F96">
        <w:rPr>
          <w:rFonts w:eastAsia="Times New Roman" w:cs="Arial"/>
          <w:color w:val="000000"/>
          <w:szCs w:val="40"/>
          <w:lang w:val="en-US"/>
        </w:rPr>
        <w:t>QT</w:t>
      </w:r>
      <w:r w:rsidRPr="00371F96">
        <w:rPr>
          <w:rFonts w:eastAsia="Times New Roman" w:cs="Arial"/>
          <w:color w:val="000000"/>
          <w:szCs w:val="40"/>
          <w:lang w:val="ru-RU"/>
        </w:rPr>
        <w:t xml:space="preserve"> </w:t>
      </w:r>
      <w:r w:rsidRPr="00371F96">
        <w:rPr>
          <w:rFonts w:eastAsia="Times New Roman" w:cs="Arial"/>
          <w:color w:val="000000"/>
          <w:szCs w:val="40"/>
          <w:lang w:eastAsia="bg-BG"/>
        </w:rPr>
        <w:t xml:space="preserve">интервала или лекарствени продукти, които могат да причинят </w:t>
      </w:r>
      <w:r w:rsidRPr="00371F96">
        <w:rPr>
          <w:rFonts w:eastAsia="Times New Roman" w:cs="Arial"/>
          <w:color w:val="000000"/>
          <w:szCs w:val="40"/>
          <w:lang w:val="ru-RU"/>
        </w:rPr>
        <w:t>“</w:t>
      </w:r>
      <w:r w:rsidRPr="00371F96">
        <w:rPr>
          <w:rFonts w:eastAsia="Times New Roman" w:cs="Arial"/>
          <w:color w:val="000000"/>
          <w:szCs w:val="40"/>
          <w:lang w:val="en-US"/>
        </w:rPr>
        <w:t>Torsade</w:t>
      </w:r>
      <w:r w:rsidRPr="00371F96">
        <w:rPr>
          <w:rFonts w:eastAsia="Times New Roman" w:cs="Arial"/>
          <w:color w:val="000000"/>
          <w:szCs w:val="40"/>
          <w:lang w:val="ru-RU"/>
        </w:rPr>
        <w:t xml:space="preserve"> </w:t>
      </w:r>
      <w:r w:rsidRPr="00371F96">
        <w:rPr>
          <w:rFonts w:eastAsia="Times New Roman" w:cs="Arial"/>
          <w:color w:val="000000"/>
          <w:szCs w:val="40"/>
          <w:lang w:val="en-US"/>
        </w:rPr>
        <w:t>de</w:t>
      </w:r>
      <w:r w:rsidRPr="00371F96">
        <w:rPr>
          <w:rFonts w:eastAsia="Times New Roman" w:cs="Arial"/>
          <w:color w:val="000000"/>
          <w:szCs w:val="40"/>
          <w:lang w:val="ru-RU"/>
        </w:rPr>
        <w:t xml:space="preserve"> </w:t>
      </w:r>
      <w:r w:rsidRPr="00371F96">
        <w:rPr>
          <w:rFonts w:eastAsia="Times New Roman" w:cs="Arial"/>
          <w:color w:val="000000"/>
          <w:szCs w:val="40"/>
          <w:lang w:val="en-US"/>
        </w:rPr>
        <w:t>Pointes</w:t>
      </w:r>
      <w:r w:rsidRPr="00371F96">
        <w:rPr>
          <w:rFonts w:eastAsia="Times New Roman" w:cs="Arial"/>
          <w:color w:val="000000"/>
          <w:szCs w:val="40"/>
          <w:lang w:val="ru-RU"/>
        </w:rPr>
        <w:t xml:space="preserve">” </w:t>
      </w:r>
      <w:r w:rsidRPr="00371F96">
        <w:rPr>
          <w:rFonts w:eastAsia="Times New Roman" w:cs="Arial"/>
          <w:color w:val="000000"/>
          <w:szCs w:val="40"/>
          <w:lang w:eastAsia="bg-BG"/>
        </w:rPr>
        <w:t xml:space="preserve">като клас </w:t>
      </w:r>
      <w:r w:rsidRPr="00371F96">
        <w:rPr>
          <w:rFonts w:eastAsia="Times New Roman" w:cs="Arial"/>
          <w:color w:val="000000"/>
          <w:szCs w:val="40"/>
          <w:lang w:val="en-US"/>
        </w:rPr>
        <w:t>IA</w:t>
      </w:r>
      <w:r w:rsidRPr="00371F96">
        <w:rPr>
          <w:rFonts w:eastAsia="Times New Roman" w:cs="Arial"/>
          <w:color w:val="000000"/>
          <w:szCs w:val="40"/>
          <w:lang w:val="ru-RU"/>
        </w:rPr>
        <w:t xml:space="preserve"> </w:t>
      </w:r>
      <w:r w:rsidRPr="00371F96">
        <w:rPr>
          <w:rFonts w:eastAsia="Times New Roman" w:cs="Arial"/>
          <w:color w:val="000000"/>
          <w:szCs w:val="40"/>
          <w:lang w:eastAsia="bg-BG"/>
        </w:rPr>
        <w:t xml:space="preserve">(напр. хинидин, дизопирамид) или клас </w:t>
      </w:r>
      <w:r w:rsidRPr="00371F96">
        <w:rPr>
          <w:rFonts w:eastAsia="Times New Roman" w:cs="Arial"/>
          <w:i/>
          <w:iCs/>
          <w:color w:val="000000"/>
          <w:szCs w:val="40"/>
          <w:lang w:val="en-US"/>
        </w:rPr>
        <w:t>III</w:t>
      </w:r>
      <w:r w:rsidRPr="00371F96">
        <w:rPr>
          <w:rFonts w:eastAsia="Times New Roman" w:cs="Arial"/>
          <w:i/>
          <w:iCs/>
          <w:color w:val="000000"/>
          <w:szCs w:val="40"/>
          <w:lang w:val="ru-RU"/>
        </w:rPr>
        <w:t xml:space="preserve"> </w:t>
      </w:r>
      <w:r w:rsidRPr="00371F96">
        <w:rPr>
          <w:rFonts w:eastAsia="Times New Roman" w:cs="Arial"/>
          <w:color w:val="000000"/>
          <w:szCs w:val="40"/>
          <w:lang w:eastAsia="bg-BG"/>
        </w:rPr>
        <w:t>(напр. амиодарон, соталол, дофетилид, ибутилид), антиаритмични лекарствени продукти, метадон, моксифлоксацин, антипсихотици, и т.н. трябва да се преценяват внимателно (виж раздел 4.4).</w:t>
      </w:r>
    </w:p>
    <w:p w14:paraId="24732483" w14:textId="77777777" w:rsidR="00371F96" w:rsidRDefault="00371F96" w:rsidP="00371F96">
      <w:pPr>
        <w:rPr>
          <w:rFonts w:eastAsia="Times New Roman" w:cs="Arial"/>
          <w:color w:val="000000"/>
          <w:szCs w:val="40"/>
          <w:lang w:eastAsia="bg-BG"/>
        </w:rPr>
      </w:pPr>
    </w:p>
    <w:p w14:paraId="38A563E1" w14:textId="56FC1F50" w:rsidR="00371F96" w:rsidRDefault="00371F96" w:rsidP="00371F96">
      <w:pPr>
        <w:rPr>
          <w:rFonts w:eastAsia="Times New Roman" w:cs="Arial"/>
          <w:color w:val="000000"/>
          <w:szCs w:val="40"/>
          <w:lang w:eastAsia="bg-BG"/>
        </w:rPr>
      </w:pPr>
      <w:r w:rsidRPr="00371F96">
        <w:rPr>
          <w:rFonts w:eastAsia="Times New Roman" w:cs="Arial"/>
          <w:color w:val="000000"/>
          <w:szCs w:val="40"/>
          <w:lang w:eastAsia="bg-BG"/>
        </w:rPr>
        <w:t>Не са провеждани официални проучвания за лекарствени взаимодействия. Не може да се изключи възможността за взаимодействия с често използвани лекарствени продукти, включително продукти, освобождаващи хистамин.</w:t>
      </w:r>
    </w:p>
    <w:p w14:paraId="214A304F" w14:textId="77777777" w:rsidR="00371F96" w:rsidRPr="00371F96" w:rsidRDefault="00371F96" w:rsidP="00371F96"/>
    <w:p w14:paraId="6EADE4D6" w14:textId="362BFDEC" w:rsidR="00395555" w:rsidRDefault="002C50EE" w:rsidP="008A6AF2">
      <w:pPr>
        <w:pStyle w:val="Heading2"/>
      </w:pPr>
      <w:r>
        <w:t>4.6. Фертилитет, бременност и кърмене</w:t>
      </w:r>
    </w:p>
    <w:p w14:paraId="50B91B8D" w14:textId="6862E1BD" w:rsidR="00371F96" w:rsidRDefault="00371F96" w:rsidP="00371F96"/>
    <w:p w14:paraId="7957C887" w14:textId="77777777" w:rsidR="00371F96" w:rsidRPr="00371F96" w:rsidRDefault="00371F96" w:rsidP="00371F96">
      <w:pPr>
        <w:pStyle w:val="Heading3"/>
        <w:rPr>
          <w:rFonts w:ascii="Times New Roman" w:eastAsia="Times New Roman" w:hAnsi="Times New Roman" w:cs="Times New Roman"/>
          <w:sz w:val="14"/>
          <w:u w:val="single"/>
        </w:rPr>
      </w:pPr>
      <w:r w:rsidRPr="00371F96">
        <w:rPr>
          <w:rFonts w:eastAsia="Times New Roman"/>
          <w:u w:val="single"/>
          <w:lang w:eastAsia="bg-BG"/>
        </w:rPr>
        <w:t>Бременност:</w:t>
      </w:r>
    </w:p>
    <w:p w14:paraId="37B4DD07"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Преди лечение, жени в детеродна възраст трябва да бъдат прегледани внимателно, за да се изключи бременност. С изключение на случаите, когато трипторелин се използва за лечение на стерилитет, трябва да се използват нехормонални методи за контрацепция по време на лечението, докато се възобнови менструацията.</w:t>
      </w:r>
    </w:p>
    <w:p w14:paraId="3090244B"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Трипторелинът не трябва да се използва по време на бременност, тъй като едновременната употреба на </w:t>
      </w:r>
      <w:proofErr w:type="spellStart"/>
      <w:r w:rsidRPr="00371F96">
        <w:rPr>
          <w:rFonts w:eastAsia="Times New Roman" w:cs="Arial"/>
          <w:color w:val="000000"/>
          <w:szCs w:val="40"/>
          <w:lang w:val="en-US"/>
        </w:rPr>
        <w:t>GnRH</w:t>
      </w:r>
      <w:proofErr w:type="spellEnd"/>
      <w:r w:rsidRPr="00371F96">
        <w:rPr>
          <w:rFonts w:eastAsia="Times New Roman" w:cs="Arial"/>
          <w:color w:val="000000"/>
          <w:szCs w:val="40"/>
          <w:lang w:val="ru-RU"/>
        </w:rPr>
        <w:t xml:space="preserve"> </w:t>
      </w:r>
      <w:r w:rsidRPr="00371F96">
        <w:rPr>
          <w:rFonts w:eastAsia="Times New Roman" w:cs="Arial"/>
          <w:color w:val="000000"/>
          <w:szCs w:val="40"/>
          <w:lang w:eastAsia="bg-BG"/>
        </w:rPr>
        <w:t>агонисти е свързано с теоретичен риск от аборт или аномалии на плода. Твърде ограничените данни за употребата на трипторелин по време на бременност не показват повишен риск от вродени малформации. Въпреки това, твърде ограничени са последващите проучвания на развитието в дългосрочен план. Данните при животни не показват преки или непреки вредни последици за бременността или постнаталното развитие, но има индикации за фетотоксичност и забавяне на раждането (виж точка 5.3). Въз основа на фармакологичните последици не могат да се изключа неблагоприятните въздействия върху бременността и плода и ДЕКАПЕПТИЛ не трябва да се използва по време на бременност.</w:t>
      </w:r>
    </w:p>
    <w:p w14:paraId="525355E6" w14:textId="77777777" w:rsidR="00371F96" w:rsidRDefault="00371F96" w:rsidP="00371F96">
      <w:pPr>
        <w:spacing w:line="240" w:lineRule="auto"/>
        <w:rPr>
          <w:rFonts w:eastAsia="Times New Roman" w:cs="Arial"/>
          <w:color w:val="000000"/>
          <w:szCs w:val="40"/>
          <w:lang w:eastAsia="bg-BG"/>
        </w:rPr>
      </w:pPr>
    </w:p>
    <w:p w14:paraId="24CD276A" w14:textId="1E5231F5"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Когато трипторелин се използва за лечение на стерилитет, няма клинични доказателства за съществуването на причинно-следствена връзка между трипторелин и всички последващи аномалии в развитието на яйцеклетката или бременност или резултата.</w:t>
      </w:r>
    </w:p>
    <w:p w14:paraId="71211C93" w14:textId="77777777" w:rsidR="00371F96" w:rsidRDefault="00371F96" w:rsidP="00371F96">
      <w:pPr>
        <w:spacing w:line="240" w:lineRule="auto"/>
        <w:rPr>
          <w:rFonts w:eastAsia="Times New Roman" w:cs="Arial"/>
          <w:color w:val="000000"/>
          <w:szCs w:val="40"/>
          <w:lang w:eastAsia="bg-BG"/>
        </w:rPr>
      </w:pPr>
    </w:p>
    <w:p w14:paraId="6D6DE300" w14:textId="415EE918" w:rsidR="00371F96" w:rsidRPr="00371F96" w:rsidRDefault="00371F96" w:rsidP="00371F96">
      <w:pPr>
        <w:pStyle w:val="Heading3"/>
        <w:rPr>
          <w:rFonts w:ascii="Times New Roman" w:eastAsia="Times New Roman" w:hAnsi="Times New Roman" w:cs="Times New Roman"/>
          <w:sz w:val="14"/>
          <w:u w:val="single"/>
        </w:rPr>
      </w:pPr>
      <w:r w:rsidRPr="00371F96">
        <w:rPr>
          <w:rFonts w:eastAsia="Times New Roman"/>
          <w:u w:val="single"/>
          <w:lang w:eastAsia="bg-BG"/>
        </w:rPr>
        <w:t>Кърмене</w:t>
      </w:r>
    </w:p>
    <w:p w14:paraId="2BAA5A82" w14:textId="77777777" w:rsidR="00371F96" w:rsidRPr="00371F96" w:rsidRDefault="00371F96" w:rsidP="00371F96">
      <w:pPr>
        <w:spacing w:line="240" w:lineRule="auto"/>
        <w:rPr>
          <w:rFonts w:ascii="Times New Roman" w:eastAsia="Times New Roman" w:hAnsi="Times New Roman" w:cs="Times New Roman"/>
          <w:sz w:val="14"/>
          <w:szCs w:val="24"/>
        </w:rPr>
      </w:pPr>
      <w:r w:rsidRPr="00371F96">
        <w:rPr>
          <w:rFonts w:eastAsia="Times New Roman" w:cs="Arial"/>
          <w:color w:val="000000"/>
          <w:szCs w:val="40"/>
          <w:lang w:eastAsia="bg-BG"/>
        </w:rPr>
        <w:t xml:space="preserve">Не е известно дали трипторелина преминава в кърмата. Поради възможността за нежелани реакции към трипторелина при кърмачета, кърменето трябва да се прекрати преди </w:t>
      </w:r>
      <w:r w:rsidRPr="00371F96">
        <w:rPr>
          <w:rFonts w:eastAsia="Times New Roman" w:cs="Arial"/>
          <w:i/>
          <w:iCs/>
          <w:color w:val="000000"/>
          <w:szCs w:val="40"/>
          <w:lang w:eastAsia="bg-BG"/>
        </w:rPr>
        <w:t>и по време</w:t>
      </w:r>
      <w:r w:rsidRPr="00371F96">
        <w:rPr>
          <w:rFonts w:eastAsia="Times New Roman" w:cs="Arial"/>
          <w:color w:val="000000"/>
          <w:szCs w:val="40"/>
          <w:lang w:eastAsia="bg-BG"/>
        </w:rPr>
        <w:t xml:space="preserve"> на приема.</w:t>
      </w:r>
    </w:p>
    <w:p w14:paraId="347AF09E" w14:textId="77777777" w:rsidR="00371F96" w:rsidRPr="00371F96" w:rsidRDefault="00371F96" w:rsidP="00371F96"/>
    <w:p w14:paraId="5766770B" w14:textId="621346D9" w:rsidR="00395555" w:rsidRDefault="002C50EE" w:rsidP="008A6AF2">
      <w:pPr>
        <w:pStyle w:val="Heading2"/>
      </w:pPr>
      <w:r>
        <w:t>4.7. Ефекти върху способността за шофиране и работа с машини</w:t>
      </w:r>
    </w:p>
    <w:p w14:paraId="1891DB0F" w14:textId="2E8D9B54" w:rsidR="00371F96" w:rsidRDefault="00371F96" w:rsidP="00371F96"/>
    <w:p w14:paraId="098CA6EF" w14:textId="2F0C0DF3" w:rsidR="00371F96" w:rsidRDefault="00371F96" w:rsidP="00371F96">
      <w:r>
        <w:t xml:space="preserve">Не са провеждани проучвания за въздействието върху способността за шофиране и работа с машини. Въпреки това, поради фармакологичното му профил ДЕКАПЕПТИЛ </w:t>
      </w:r>
      <w:r>
        <w:lastRenderedPageBreak/>
        <w:t>вероятно не би имал или би имал незначително влияние върху способността на пациента за шофиране и работа с машини.</w:t>
      </w:r>
    </w:p>
    <w:p w14:paraId="7C7FE489" w14:textId="77777777" w:rsidR="00371F96" w:rsidRPr="00371F96" w:rsidRDefault="00371F96" w:rsidP="00371F96"/>
    <w:p w14:paraId="4FE16E21" w14:textId="516F63FD" w:rsidR="00395555" w:rsidRDefault="002C50EE" w:rsidP="008A6AF2">
      <w:pPr>
        <w:pStyle w:val="Heading2"/>
      </w:pPr>
      <w:r>
        <w:t>4.8. Нежелани лекарствени реакции</w:t>
      </w:r>
    </w:p>
    <w:p w14:paraId="395BC371" w14:textId="10659A6C" w:rsidR="00371F96" w:rsidRDefault="00371F96" w:rsidP="00371F96"/>
    <w:p w14:paraId="387BA8A8" w14:textId="77777777" w:rsidR="00371F96" w:rsidRPr="00371F96" w:rsidRDefault="00371F96" w:rsidP="00371F96">
      <w:pPr>
        <w:spacing w:line="240" w:lineRule="auto"/>
        <w:rPr>
          <w:rFonts w:eastAsia="Times New Roman" w:cs="Arial"/>
        </w:rPr>
      </w:pPr>
      <w:r w:rsidRPr="00371F96">
        <w:rPr>
          <w:rFonts w:eastAsia="Times New Roman" w:cs="Arial"/>
          <w:color w:val="000000"/>
          <w:lang w:eastAsia="bg-BG"/>
        </w:rPr>
        <w:t>Информацията за безопасност за различните целеви популации се представя отделно в заивисимост от показанията. Поради ограничените данни от програмата за клинично изпитване и от периода след пускането на пазара по отношение на мъжката популация с карцином на простатата и женската популация с миома на матката и ендометриоза, информацията за безопасността и обобщението в табличен вид се извлича от опита с безопасността на ДЕКАПЕПТИЛ за тези две целеви популации.</w:t>
      </w:r>
    </w:p>
    <w:p w14:paraId="24E1E8F1" w14:textId="7B01F431" w:rsidR="00371F96" w:rsidRPr="00371F96" w:rsidRDefault="00371F96" w:rsidP="00371F96">
      <w:pPr>
        <w:rPr>
          <w:rFonts w:cs="Arial"/>
        </w:rPr>
      </w:pPr>
    </w:p>
    <w:p w14:paraId="0A6CFA88" w14:textId="77777777" w:rsidR="00371F96" w:rsidRPr="00371F96" w:rsidRDefault="00371F96" w:rsidP="00371F96">
      <w:pPr>
        <w:spacing w:line="240" w:lineRule="auto"/>
        <w:rPr>
          <w:rFonts w:eastAsia="Times New Roman" w:cs="Arial"/>
        </w:rPr>
      </w:pPr>
      <w:r w:rsidRPr="00371F96">
        <w:rPr>
          <w:rFonts w:eastAsia="Times New Roman" w:cs="Arial"/>
          <w:b/>
          <w:bCs/>
          <w:color w:val="000000"/>
          <w:lang w:eastAsia="bg-BG"/>
        </w:rPr>
        <w:t>Мъже (всички показания):</w:t>
      </w:r>
    </w:p>
    <w:p w14:paraId="6E7AA5F4" w14:textId="77777777" w:rsidR="00371F96" w:rsidRDefault="00371F96" w:rsidP="00371F96">
      <w:pPr>
        <w:spacing w:line="240" w:lineRule="auto"/>
        <w:rPr>
          <w:rFonts w:eastAsia="Times New Roman" w:cs="Arial"/>
          <w:color w:val="000000"/>
          <w:lang w:eastAsia="bg-BG"/>
        </w:rPr>
      </w:pPr>
    </w:p>
    <w:p w14:paraId="11D3E11E" w14:textId="7CF56D9A" w:rsidR="00371F96" w:rsidRPr="00371F96" w:rsidRDefault="00371F96" w:rsidP="00371F96">
      <w:pPr>
        <w:spacing w:line="240" w:lineRule="auto"/>
        <w:rPr>
          <w:rFonts w:eastAsia="Times New Roman" w:cs="Arial"/>
        </w:rPr>
      </w:pPr>
      <w:r w:rsidRPr="00371F96">
        <w:rPr>
          <w:rFonts w:eastAsia="Times New Roman" w:cs="Arial"/>
          <w:color w:val="000000"/>
          <w:lang w:eastAsia="bg-BG"/>
        </w:rPr>
        <w:t>Обобщение на профила на безопасност:</w:t>
      </w:r>
    </w:p>
    <w:p w14:paraId="086FE7BC" w14:textId="77777777" w:rsidR="00371F96" w:rsidRPr="00371F96" w:rsidRDefault="00371F96" w:rsidP="00371F96">
      <w:pPr>
        <w:spacing w:line="240" w:lineRule="auto"/>
        <w:rPr>
          <w:rFonts w:eastAsia="Times New Roman" w:cs="Arial"/>
        </w:rPr>
      </w:pPr>
      <w:r w:rsidRPr="00371F96">
        <w:rPr>
          <w:rFonts w:eastAsia="Times New Roman" w:cs="Arial"/>
          <w:color w:val="000000"/>
          <w:lang w:eastAsia="bg-BG"/>
        </w:rPr>
        <w:t xml:space="preserve">Както се вижда при други терапии с </w:t>
      </w:r>
      <w:proofErr w:type="spellStart"/>
      <w:r w:rsidRPr="00371F96">
        <w:rPr>
          <w:rFonts w:eastAsia="Times New Roman" w:cs="Arial"/>
          <w:color w:val="000000"/>
          <w:lang w:val="en-US"/>
        </w:rPr>
        <w:t>GnRH</w:t>
      </w:r>
      <w:proofErr w:type="spellEnd"/>
      <w:r w:rsidRPr="00371F96">
        <w:rPr>
          <w:rFonts w:eastAsia="Times New Roman" w:cs="Arial"/>
          <w:color w:val="000000"/>
          <w:lang w:val="ru-RU"/>
        </w:rPr>
        <w:t xml:space="preserve"> </w:t>
      </w:r>
      <w:r w:rsidRPr="00371F96">
        <w:rPr>
          <w:rFonts w:eastAsia="Times New Roman" w:cs="Arial"/>
          <w:color w:val="000000"/>
          <w:lang w:eastAsia="bg-BG"/>
        </w:rPr>
        <w:t>агонисти или след хирургическа кастрация, най-често наблюдаваните нежелани лекарствени реакции, свързани с лечението трипторелин, се дължат на очакваните му фармакологични въздействия: Първоначално увеличаване на нивата на тестостерон, следвани от почти пълно потискане на тестостерона. Тези въздействия включват еректилна дисфункция (44%), горещи вълни (41%) и загуба на либидо (40%); най-често наблюдаваните нежелани лекарствени реакции. Освен това, потенциална нежелана лекарствена реакция, съобщавана в клиничните изпитвания, е хипертонията (1%).</w:t>
      </w:r>
    </w:p>
    <w:p w14:paraId="2F8ADAB7" w14:textId="77777777" w:rsidR="00371F96" w:rsidRDefault="00371F96" w:rsidP="00371F96">
      <w:pPr>
        <w:spacing w:line="240" w:lineRule="auto"/>
        <w:rPr>
          <w:rFonts w:eastAsia="Times New Roman" w:cs="Arial"/>
          <w:color w:val="000000"/>
          <w:lang w:eastAsia="bg-BG"/>
        </w:rPr>
      </w:pPr>
    </w:p>
    <w:p w14:paraId="4819D4BD" w14:textId="1CA636A3" w:rsidR="00371F96" w:rsidRPr="00371F96" w:rsidRDefault="00371F96" w:rsidP="00371F96">
      <w:pPr>
        <w:spacing w:line="240" w:lineRule="auto"/>
        <w:rPr>
          <w:rFonts w:eastAsia="Times New Roman" w:cs="Arial"/>
        </w:rPr>
      </w:pPr>
      <w:r w:rsidRPr="00371F96">
        <w:rPr>
          <w:rFonts w:eastAsia="Times New Roman" w:cs="Arial"/>
          <w:color w:val="000000"/>
          <w:lang w:eastAsia="bg-BG"/>
        </w:rPr>
        <w:t>Трипторелинът причинява преходно увеличение на циркулиращите нива на тестостерон през първата седмица след първоначалното инжектиране на формулата със забавено освобождаване. С това първоначално увеличение на циркулиращите нива на тестостерон, при малък процент от пациентите (≤5%) може да се почувства временно влошаване на признаците и симптомите на рака на простатата (тумора), който обикновено се проявява като увеличение на уринарните симптоми (&lt;2%) и / или метастатична болка (5%), които проблеми могат да се решават симптоматично. Тези симптоми са преходни и обикновено изчезват в рамките на една до две седмици. Настъпвали са изолирани случаи на обостряне на симптомите на заболяването; или запушване на уретрата, което може да намали бъбречната функция или компресия на гръбначния мозък от метастази. които могат да причинят парестезия и слабост в краката. Поради това, при пациенти с метастазирали гръбначни лезии и/ или с обструкция на горните или долните пикочни пътища трябва да бъдат внимателно наблюдавани по време на първите няколко седмици от лечението (виж раздел 4.4).</w:t>
      </w:r>
    </w:p>
    <w:p w14:paraId="6B2ACB42" w14:textId="77777777" w:rsidR="00371F96" w:rsidRDefault="00371F96" w:rsidP="00371F96">
      <w:pPr>
        <w:spacing w:line="240" w:lineRule="auto"/>
        <w:rPr>
          <w:rFonts w:eastAsia="Times New Roman" w:cs="Arial"/>
          <w:color w:val="000000"/>
          <w:lang w:eastAsia="bg-BG"/>
        </w:rPr>
      </w:pPr>
    </w:p>
    <w:p w14:paraId="22032E67" w14:textId="05D583B8" w:rsidR="00371F96" w:rsidRPr="00371F96" w:rsidRDefault="00371F96" w:rsidP="00371F96">
      <w:pPr>
        <w:spacing w:line="240" w:lineRule="auto"/>
        <w:rPr>
          <w:rFonts w:eastAsia="Times New Roman" w:cs="Arial"/>
        </w:rPr>
      </w:pPr>
      <w:r w:rsidRPr="00371F96">
        <w:rPr>
          <w:rFonts w:eastAsia="Times New Roman" w:cs="Arial"/>
          <w:color w:val="000000"/>
          <w:lang w:eastAsia="bg-BG"/>
        </w:rPr>
        <w:t>Не са наблюдавани анафилактични реакции при клинични изпитвания, а едва няколко случаи са съобщени в периода след пускането на пазара.</w:t>
      </w:r>
    </w:p>
    <w:p w14:paraId="38F0B827" w14:textId="77777777" w:rsidR="00371F96" w:rsidRDefault="00371F96" w:rsidP="00371F96">
      <w:pPr>
        <w:spacing w:line="240" w:lineRule="auto"/>
        <w:rPr>
          <w:rFonts w:eastAsia="Times New Roman" w:cs="Arial"/>
          <w:color w:val="000000"/>
          <w:lang w:eastAsia="bg-BG"/>
        </w:rPr>
      </w:pPr>
    </w:p>
    <w:p w14:paraId="6F17F3CA" w14:textId="723D68F7" w:rsidR="00371F96" w:rsidRPr="00371F96" w:rsidRDefault="00371F96" w:rsidP="00371F96">
      <w:pPr>
        <w:spacing w:line="240" w:lineRule="auto"/>
        <w:rPr>
          <w:rFonts w:eastAsia="Times New Roman" w:cs="Arial"/>
        </w:rPr>
      </w:pPr>
      <w:r w:rsidRPr="00371F96">
        <w:rPr>
          <w:rFonts w:eastAsia="Times New Roman" w:cs="Arial"/>
          <w:color w:val="000000"/>
          <w:lang w:eastAsia="bg-BG"/>
        </w:rPr>
        <w:t>Резюме на нежеланите лекарствени реакции в таблична форма:</w:t>
      </w:r>
    </w:p>
    <w:p w14:paraId="150200BA" w14:textId="295665AC" w:rsidR="00371F96" w:rsidRDefault="00371F96" w:rsidP="00371F96">
      <w:pPr>
        <w:rPr>
          <w:rFonts w:eastAsia="Times New Roman" w:cs="Arial"/>
          <w:color w:val="000000"/>
          <w:lang w:eastAsia="bg-BG"/>
        </w:rPr>
      </w:pPr>
      <w:r w:rsidRPr="00371F96">
        <w:rPr>
          <w:rFonts w:eastAsia="Times New Roman" w:cs="Arial"/>
          <w:color w:val="000000"/>
          <w:lang w:eastAsia="bg-BG"/>
        </w:rPr>
        <w:t xml:space="preserve">Въз основа на честотата на съобщените нежелани лекарствени реакции при клиничните проучвания с ДЕКАПЕПТИЛ при мъже за лечение на рак на простатата </w:t>
      </w:r>
      <w:r w:rsidRPr="00371F96">
        <w:rPr>
          <w:rFonts w:eastAsia="Times New Roman" w:cs="Arial"/>
          <w:color w:val="000000"/>
          <w:lang w:val="ru-RU"/>
        </w:rPr>
        <w:t>(</w:t>
      </w:r>
      <w:r w:rsidRPr="00371F96">
        <w:rPr>
          <w:rFonts w:eastAsia="Times New Roman" w:cs="Arial"/>
          <w:color w:val="000000"/>
          <w:lang w:val="en-US"/>
        </w:rPr>
        <w:t>N</w:t>
      </w:r>
      <w:r w:rsidRPr="00371F96">
        <w:rPr>
          <w:rFonts w:eastAsia="Times New Roman" w:cs="Arial"/>
          <w:color w:val="000000"/>
          <w:lang w:val="ru-RU"/>
        </w:rPr>
        <w:t xml:space="preserve"> </w:t>
      </w:r>
      <w:r w:rsidRPr="00371F96">
        <w:rPr>
          <w:rFonts w:eastAsia="Times New Roman" w:cs="Arial"/>
          <w:color w:val="000000"/>
          <w:lang w:eastAsia="bg-BG"/>
        </w:rPr>
        <w:t>= 266), в комбинация с наблюдения на лекарствените реакции в периода след пускането на пазара. Известно е, че повечето от нежеланите лекарствени реакции са свързани с биохимична или хирургична кастрация.</w:t>
      </w:r>
    </w:p>
    <w:p w14:paraId="72873765" w14:textId="48651B92" w:rsidR="00371F96" w:rsidRDefault="00371F96" w:rsidP="00371F96">
      <w:pPr>
        <w:rPr>
          <w:rFonts w:eastAsia="Times New Roman" w:cs="Arial"/>
          <w:color w:val="000000"/>
          <w:lang w:eastAsia="bg-BG"/>
        </w:rPr>
      </w:pPr>
    </w:p>
    <w:tbl>
      <w:tblPr>
        <w:tblStyle w:val="TableGrid"/>
        <w:tblW w:w="0" w:type="auto"/>
        <w:tblLook w:val="04A0" w:firstRow="1" w:lastRow="0" w:firstColumn="1" w:lastColumn="0" w:noHBand="0" w:noVBand="1"/>
      </w:tblPr>
      <w:tblGrid>
        <w:gridCol w:w="2333"/>
        <w:gridCol w:w="1590"/>
        <w:gridCol w:w="1516"/>
        <w:gridCol w:w="1560"/>
        <w:gridCol w:w="2351"/>
      </w:tblGrid>
      <w:tr w:rsidR="008E5730" w14:paraId="14E24999" w14:textId="77777777" w:rsidTr="008E5730">
        <w:tc>
          <w:tcPr>
            <w:tcW w:w="1889" w:type="dxa"/>
          </w:tcPr>
          <w:p w14:paraId="676C8E6C" w14:textId="1E320D20" w:rsidR="008E5730" w:rsidRPr="008E5730" w:rsidRDefault="008E5730" w:rsidP="008E5730">
            <w:pPr>
              <w:rPr>
                <w:rFonts w:eastAsia="Times New Roman" w:cs="Arial"/>
                <w:color w:val="000000"/>
                <w:lang w:eastAsia="bg-BG"/>
              </w:rPr>
            </w:pPr>
            <w:r w:rsidRPr="008E5730">
              <w:rPr>
                <w:rFonts w:cs="Arial"/>
                <w:b/>
                <w:bCs/>
              </w:rPr>
              <w:lastRenderedPageBreak/>
              <w:t xml:space="preserve">Системно-органова класификация </w:t>
            </w:r>
            <w:proofErr w:type="spellStart"/>
            <w:r w:rsidRPr="008E5730">
              <w:rPr>
                <w:rFonts w:cs="Arial"/>
                <w:b/>
                <w:bCs/>
                <w:lang w:val="en-US"/>
              </w:rPr>
              <w:t>MedDRA</w:t>
            </w:r>
            <w:proofErr w:type="spellEnd"/>
          </w:p>
        </w:tc>
        <w:tc>
          <w:tcPr>
            <w:tcW w:w="1697" w:type="dxa"/>
          </w:tcPr>
          <w:p w14:paraId="4AA0BC98" w14:textId="012E3D5A" w:rsidR="008E5730" w:rsidRPr="008E5730" w:rsidRDefault="008E5730" w:rsidP="008E5730">
            <w:pPr>
              <w:rPr>
                <w:rFonts w:eastAsia="Times New Roman" w:cs="Arial"/>
                <w:color w:val="000000"/>
                <w:lang w:eastAsia="bg-BG"/>
              </w:rPr>
            </w:pPr>
            <w:r w:rsidRPr="008E5730">
              <w:rPr>
                <w:rFonts w:cs="Arial"/>
                <w:b/>
                <w:bCs/>
              </w:rPr>
              <w:t xml:space="preserve">Много чести </w:t>
            </w:r>
            <w:r w:rsidRPr="008E5730">
              <w:rPr>
                <w:rFonts w:cs="Arial"/>
                <w:b/>
                <w:bCs/>
                <w:lang w:val="en-US"/>
              </w:rPr>
              <w:t>(</w:t>
            </w:r>
            <w:r w:rsidRPr="008E5730">
              <w:rPr>
                <w:rFonts w:cs="Arial"/>
                <w:b/>
                <w:bCs/>
              </w:rPr>
              <w:t>≥</w:t>
            </w:r>
            <w:r w:rsidRPr="008E5730">
              <w:rPr>
                <w:rFonts w:cs="Arial"/>
                <w:b/>
                <w:bCs/>
                <w:lang w:val="en-US"/>
              </w:rPr>
              <w:t>1/10)</w:t>
            </w:r>
          </w:p>
        </w:tc>
        <w:tc>
          <w:tcPr>
            <w:tcW w:w="1778" w:type="dxa"/>
          </w:tcPr>
          <w:p w14:paraId="65F44610" w14:textId="77777777" w:rsidR="008E5730" w:rsidRPr="008E5730" w:rsidRDefault="008E5730" w:rsidP="008E5730">
            <w:r w:rsidRPr="008E5730">
              <w:rPr>
                <w:rFonts w:cs="Arial"/>
                <w:b/>
                <w:bCs/>
              </w:rPr>
              <w:t>Чести (≥1/100 до</w:t>
            </w:r>
          </w:p>
          <w:p w14:paraId="136FFA9F" w14:textId="6730BFA2" w:rsidR="008E5730" w:rsidRPr="008E5730" w:rsidRDefault="008E5730" w:rsidP="008E5730">
            <w:pPr>
              <w:rPr>
                <w:rFonts w:eastAsia="Times New Roman" w:cs="Arial"/>
                <w:color w:val="000000"/>
                <w:lang w:eastAsia="bg-BG"/>
              </w:rPr>
            </w:pPr>
            <w:r w:rsidRPr="008E5730">
              <w:rPr>
                <w:rFonts w:cs="Arial"/>
                <w:b/>
                <w:bCs/>
              </w:rPr>
              <w:t>&lt;1/10)</w:t>
            </w:r>
          </w:p>
        </w:tc>
        <w:tc>
          <w:tcPr>
            <w:tcW w:w="1801" w:type="dxa"/>
          </w:tcPr>
          <w:p w14:paraId="54349DC4" w14:textId="77777777" w:rsidR="008E5730" w:rsidRPr="008E5730" w:rsidRDefault="008E5730" w:rsidP="008E5730">
            <w:r w:rsidRPr="008E5730">
              <w:rPr>
                <w:rFonts w:cs="Arial"/>
                <w:b/>
                <w:bCs/>
              </w:rPr>
              <w:t>Нечести (≥1/1,000 до</w:t>
            </w:r>
          </w:p>
          <w:p w14:paraId="49EE72B6" w14:textId="019541F9" w:rsidR="008E5730" w:rsidRPr="008E5730" w:rsidRDefault="008E5730" w:rsidP="008E5730">
            <w:pPr>
              <w:rPr>
                <w:rFonts w:eastAsia="Times New Roman" w:cs="Arial"/>
                <w:color w:val="000000"/>
                <w:lang w:eastAsia="bg-BG"/>
              </w:rPr>
            </w:pPr>
            <w:r w:rsidRPr="008E5730">
              <w:rPr>
                <w:rFonts w:cs="Arial"/>
                <w:b/>
                <w:bCs/>
              </w:rPr>
              <w:t>&lt;1/100)</w:t>
            </w:r>
          </w:p>
        </w:tc>
        <w:tc>
          <w:tcPr>
            <w:tcW w:w="2411" w:type="dxa"/>
          </w:tcPr>
          <w:p w14:paraId="5BB39EDC" w14:textId="561091CC" w:rsidR="008E5730" w:rsidRPr="008E5730" w:rsidRDefault="008E5730" w:rsidP="008E5730">
            <w:pPr>
              <w:rPr>
                <w:rFonts w:eastAsia="Times New Roman" w:cs="Arial"/>
                <w:color w:val="000000"/>
                <w:lang w:eastAsia="bg-BG"/>
              </w:rPr>
            </w:pPr>
            <w:r w:rsidRPr="008E5730">
              <w:rPr>
                <w:rFonts w:cs="Arial"/>
                <w:b/>
                <w:bCs/>
              </w:rPr>
              <w:t>С неизвестна честота*</w:t>
            </w:r>
          </w:p>
        </w:tc>
      </w:tr>
      <w:tr w:rsidR="008E5730" w14:paraId="4CD28F0D" w14:textId="77777777" w:rsidTr="008E5730">
        <w:tc>
          <w:tcPr>
            <w:tcW w:w="1889" w:type="dxa"/>
          </w:tcPr>
          <w:p w14:paraId="482E26BB" w14:textId="54B61C9F" w:rsidR="008E5730" w:rsidRPr="008E5730" w:rsidRDefault="008E5730" w:rsidP="008E5730">
            <w:pPr>
              <w:rPr>
                <w:rFonts w:eastAsia="Times New Roman" w:cs="Arial"/>
                <w:color w:val="000000"/>
                <w:lang w:eastAsia="bg-BG"/>
              </w:rPr>
            </w:pPr>
            <w:r w:rsidRPr="008E5730">
              <w:rPr>
                <w:rFonts w:cs="Arial"/>
              </w:rPr>
              <w:t>Инфекции и инфестации</w:t>
            </w:r>
          </w:p>
        </w:tc>
        <w:tc>
          <w:tcPr>
            <w:tcW w:w="1697" w:type="dxa"/>
          </w:tcPr>
          <w:p w14:paraId="2D90BDF5" w14:textId="77777777" w:rsidR="008E5730" w:rsidRPr="008E5730" w:rsidRDefault="008E5730" w:rsidP="008E5730">
            <w:pPr>
              <w:rPr>
                <w:rFonts w:eastAsia="Times New Roman" w:cs="Arial"/>
                <w:color w:val="000000"/>
                <w:lang w:eastAsia="bg-BG"/>
              </w:rPr>
            </w:pPr>
          </w:p>
        </w:tc>
        <w:tc>
          <w:tcPr>
            <w:tcW w:w="1778" w:type="dxa"/>
          </w:tcPr>
          <w:p w14:paraId="24D43AAB" w14:textId="77777777" w:rsidR="008E5730" w:rsidRPr="008E5730" w:rsidRDefault="008E5730" w:rsidP="008E5730">
            <w:pPr>
              <w:rPr>
                <w:rFonts w:eastAsia="Times New Roman" w:cs="Arial"/>
                <w:color w:val="000000"/>
                <w:lang w:eastAsia="bg-BG"/>
              </w:rPr>
            </w:pPr>
          </w:p>
        </w:tc>
        <w:tc>
          <w:tcPr>
            <w:tcW w:w="1801" w:type="dxa"/>
          </w:tcPr>
          <w:p w14:paraId="7CDB83B7" w14:textId="77777777" w:rsidR="008E5730" w:rsidRPr="008E5730" w:rsidRDefault="008E5730" w:rsidP="008E5730">
            <w:pPr>
              <w:rPr>
                <w:rFonts w:eastAsia="Times New Roman" w:cs="Arial"/>
                <w:color w:val="000000"/>
                <w:lang w:eastAsia="bg-BG"/>
              </w:rPr>
            </w:pPr>
          </w:p>
        </w:tc>
        <w:tc>
          <w:tcPr>
            <w:tcW w:w="2411" w:type="dxa"/>
          </w:tcPr>
          <w:p w14:paraId="0C58FC45" w14:textId="6974D913" w:rsidR="008E5730" w:rsidRPr="008E5730" w:rsidRDefault="008E5730" w:rsidP="008E5730">
            <w:pPr>
              <w:rPr>
                <w:rFonts w:eastAsia="Times New Roman" w:cs="Arial"/>
                <w:color w:val="000000"/>
                <w:lang w:eastAsia="bg-BG"/>
              </w:rPr>
            </w:pPr>
            <w:r w:rsidRPr="008E5730">
              <w:t>Назофарингит</w:t>
            </w:r>
          </w:p>
        </w:tc>
      </w:tr>
      <w:tr w:rsidR="008E5730" w14:paraId="2CD09C60" w14:textId="77777777" w:rsidTr="008E5730">
        <w:tc>
          <w:tcPr>
            <w:tcW w:w="1889" w:type="dxa"/>
          </w:tcPr>
          <w:p w14:paraId="44C6B11A" w14:textId="42B89B86" w:rsidR="008E5730" w:rsidRPr="008E5730" w:rsidRDefault="008E5730" w:rsidP="008E5730">
            <w:pPr>
              <w:rPr>
                <w:rFonts w:eastAsia="Times New Roman" w:cs="Arial"/>
                <w:color w:val="000000"/>
                <w:lang w:eastAsia="bg-BG"/>
              </w:rPr>
            </w:pPr>
            <w:r w:rsidRPr="008E5730">
              <w:rPr>
                <w:rFonts w:cs="Arial"/>
              </w:rPr>
              <w:t>Нарушения в имунната система</w:t>
            </w:r>
          </w:p>
        </w:tc>
        <w:tc>
          <w:tcPr>
            <w:tcW w:w="1697" w:type="dxa"/>
          </w:tcPr>
          <w:p w14:paraId="158501F2" w14:textId="77777777" w:rsidR="008E5730" w:rsidRPr="008E5730" w:rsidRDefault="008E5730" w:rsidP="008E5730">
            <w:pPr>
              <w:rPr>
                <w:rFonts w:eastAsia="Times New Roman" w:cs="Arial"/>
                <w:color w:val="000000"/>
                <w:lang w:eastAsia="bg-BG"/>
              </w:rPr>
            </w:pPr>
          </w:p>
        </w:tc>
        <w:tc>
          <w:tcPr>
            <w:tcW w:w="1778" w:type="dxa"/>
          </w:tcPr>
          <w:p w14:paraId="2AA8700A" w14:textId="77777777" w:rsidR="008E5730" w:rsidRPr="008E5730" w:rsidRDefault="008E5730" w:rsidP="008E5730">
            <w:pPr>
              <w:rPr>
                <w:rFonts w:eastAsia="Times New Roman" w:cs="Arial"/>
                <w:color w:val="000000"/>
                <w:lang w:eastAsia="bg-BG"/>
              </w:rPr>
            </w:pPr>
          </w:p>
        </w:tc>
        <w:tc>
          <w:tcPr>
            <w:tcW w:w="1801" w:type="dxa"/>
          </w:tcPr>
          <w:p w14:paraId="1ADF0248" w14:textId="77777777" w:rsidR="008E5730" w:rsidRPr="008E5730" w:rsidRDefault="008E5730" w:rsidP="008E5730">
            <w:pPr>
              <w:rPr>
                <w:rFonts w:eastAsia="Times New Roman" w:cs="Arial"/>
                <w:color w:val="000000"/>
                <w:lang w:eastAsia="bg-BG"/>
              </w:rPr>
            </w:pPr>
          </w:p>
        </w:tc>
        <w:tc>
          <w:tcPr>
            <w:tcW w:w="2411" w:type="dxa"/>
          </w:tcPr>
          <w:p w14:paraId="7867450B" w14:textId="3F33338E" w:rsidR="008E5730" w:rsidRPr="008E5730" w:rsidRDefault="008E5730" w:rsidP="008E5730">
            <w:pPr>
              <w:rPr>
                <w:rFonts w:eastAsia="Times New Roman" w:cs="Arial"/>
                <w:color w:val="000000"/>
                <w:lang w:eastAsia="bg-BG"/>
              </w:rPr>
            </w:pPr>
            <w:r w:rsidRPr="008E5730">
              <w:t>Анафилактична реакция, свръхчувствителност</w:t>
            </w:r>
          </w:p>
        </w:tc>
      </w:tr>
      <w:tr w:rsidR="008E5730" w14:paraId="1BF4A795" w14:textId="77777777" w:rsidTr="008E5730">
        <w:tc>
          <w:tcPr>
            <w:tcW w:w="1889" w:type="dxa"/>
          </w:tcPr>
          <w:p w14:paraId="2A4D9A31" w14:textId="77777777" w:rsidR="008E5730" w:rsidRPr="008E5730" w:rsidRDefault="008E5730" w:rsidP="008E5730">
            <w:r w:rsidRPr="008E5730">
              <w:rPr>
                <w:rFonts w:cs="Arial"/>
              </w:rPr>
              <w:t>Нарушения на метаболизма и</w:t>
            </w:r>
          </w:p>
          <w:p w14:paraId="5A0BDF92" w14:textId="7E2107D7" w:rsidR="008E5730" w:rsidRPr="008E5730" w:rsidRDefault="008E5730" w:rsidP="008E5730">
            <w:pPr>
              <w:rPr>
                <w:rFonts w:eastAsia="Times New Roman" w:cs="Arial"/>
                <w:color w:val="000000"/>
                <w:lang w:eastAsia="bg-BG"/>
              </w:rPr>
            </w:pPr>
            <w:r w:rsidRPr="008E5730">
              <w:rPr>
                <w:rFonts w:cs="Arial"/>
              </w:rPr>
              <w:t>храненето</w:t>
            </w:r>
          </w:p>
        </w:tc>
        <w:tc>
          <w:tcPr>
            <w:tcW w:w="1697" w:type="dxa"/>
          </w:tcPr>
          <w:p w14:paraId="148CD5EF" w14:textId="77777777" w:rsidR="008E5730" w:rsidRPr="008E5730" w:rsidRDefault="008E5730" w:rsidP="008E5730">
            <w:pPr>
              <w:rPr>
                <w:rFonts w:eastAsia="Times New Roman" w:cs="Arial"/>
                <w:color w:val="000000"/>
                <w:lang w:eastAsia="bg-BG"/>
              </w:rPr>
            </w:pPr>
          </w:p>
        </w:tc>
        <w:tc>
          <w:tcPr>
            <w:tcW w:w="1778" w:type="dxa"/>
          </w:tcPr>
          <w:p w14:paraId="79F7E8E5" w14:textId="77777777" w:rsidR="008E5730" w:rsidRPr="008E5730" w:rsidRDefault="008E5730" w:rsidP="008E5730">
            <w:pPr>
              <w:rPr>
                <w:rFonts w:eastAsia="Times New Roman" w:cs="Arial"/>
                <w:color w:val="000000"/>
                <w:lang w:eastAsia="bg-BG"/>
              </w:rPr>
            </w:pPr>
          </w:p>
        </w:tc>
        <w:tc>
          <w:tcPr>
            <w:tcW w:w="1801" w:type="dxa"/>
          </w:tcPr>
          <w:p w14:paraId="36AE8670" w14:textId="5436AC3B" w:rsidR="008E5730" w:rsidRPr="008E5730" w:rsidRDefault="008E5730" w:rsidP="008E5730">
            <w:pPr>
              <w:rPr>
                <w:rFonts w:eastAsia="Times New Roman" w:cs="Arial"/>
                <w:color w:val="000000"/>
                <w:lang w:eastAsia="bg-BG"/>
              </w:rPr>
            </w:pPr>
            <w:r w:rsidRPr="008E5730">
              <w:t>Намален апетит</w:t>
            </w:r>
          </w:p>
        </w:tc>
        <w:tc>
          <w:tcPr>
            <w:tcW w:w="2411" w:type="dxa"/>
          </w:tcPr>
          <w:p w14:paraId="60684A3B" w14:textId="507A2747" w:rsidR="008E5730" w:rsidRPr="008E5730" w:rsidRDefault="008E5730" w:rsidP="008E5730">
            <w:pPr>
              <w:rPr>
                <w:rFonts w:eastAsia="Times New Roman" w:cs="Arial"/>
                <w:color w:val="000000"/>
                <w:lang w:eastAsia="bg-BG"/>
              </w:rPr>
            </w:pPr>
            <w:r w:rsidRPr="008E5730">
              <w:t>Захарен диабет, подагра, повишен апетит</w:t>
            </w:r>
          </w:p>
        </w:tc>
      </w:tr>
      <w:tr w:rsidR="008E5730" w14:paraId="34B3B404" w14:textId="77777777" w:rsidTr="008E5730">
        <w:tc>
          <w:tcPr>
            <w:tcW w:w="1889" w:type="dxa"/>
          </w:tcPr>
          <w:p w14:paraId="13CDB30F" w14:textId="7941B272" w:rsidR="008E5730" w:rsidRPr="008E5730" w:rsidRDefault="008E5730" w:rsidP="008E5730">
            <w:pPr>
              <w:rPr>
                <w:rFonts w:eastAsia="Times New Roman" w:cs="Arial"/>
                <w:color w:val="000000"/>
                <w:lang w:eastAsia="bg-BG"/>
              </w:rPr>
            </w:pPr>
            <w:r w:rsidRPr="008E5730">
              <w:rPr>
                <w:rFonts w:cs="Arial"/>
              </w:rPr>
              <w:t>Психични нарушения</w:t>
            </w:r>
          </w:p>
        </w:tc>
        <w:tc>
          <w:tcPr>
            <w:tcW w:w="1697" w:type="dxa"/>
          </w:tcPr>
          <w:p w14:paraId="555AF534" w14:textId="6867AF94" w:rsidR="008E5730" w:rsidRPr="008E5730" w:rsidRDefault="008E5730" w:rsidP="008E5730">
            <w:pPr>
              <w:rPr>
                <w:rFonts w:eastAsia="Times New Roman" w:cs="Arial"/>
                <w:color w:val="000000"/>
                <w:lang w:eastAsia="bg-BG"/>
              </w:rPr>
            </w:pPr>
            <w:r w:rsidRPr="008E5730">
              <w:t>Загуба на либидо</w:t>
            </w:r>
          </w:p>
        </w:tc>
        <w:tc>
          <w:tcPr>
            <w:tcW w:w="1778" w:type="dxa"/>
          </w:tcPr>
          <w:p w14:paraId="1D7DB2EB" w14:textId="77777777" w:rsidR="008E5730" w:rsidRPr="008E5730" w:rsidRDefault="008E5730" w:rsidP="008E5730">
            <w:pPr>
              <w:rPr>
                <w:rFonts w:eastAsia="Times New Roman" w:cs="Arial"/>
                <w:color w:val="000000"/>
                <w:lang w:eastAsia="bg-BG"/>
              </w:rPr>
            </w:pPr>
          </w:p>
        </w:tc>
        <w:tc>
          <w:tcPr>
            <w:tcW w:w="1801" w:type="dxa"/>
          </w:tcPr>
          <w:p w14:paraId="7A45B1D7" w14:textId="6CC7BDD2" w:rsidR="008E5730" w:rsidRPr="008E5730" w:rsidRDefault="008E5730" w:rsidP="008E5730">
            <w:pPr>
              <w:rPr>
                <w:rFonts w:eastAsia="Times New Roman" w:cs="Arial"/>
                <w:color w:val="000000"/>
                <w:lang w:eastAsia="bg-BG"/>
              </w:rPr>
            </w:pPr>
            <w:r w:rsidRPr="008E5730">
              <w:t>Безсъние</w:t>
            </w:r>
          </w:p>
        </w:tc>
        <w:tc>
          <w:tcPr>
            <w:tcW w:w="2411" w:type="dxa"/>
          </w:tcPr>
          <w:p w14:paraId="5EC48874" w14:textId="45CA0132" w:rsidR="008E5730" w:rsidRPr="008E5730" w:rsidRDefault="008E5730" w:rsidP="008E5730">
            <w:pPr>
              <w:rPr>
                <w:rFonts w:eastAsia="Times New Roman" w:cs="Arial"/>
                <w:color w:val="000000"/>
                <w:lang w:eastAsia="bg-BG"/>
              </w:rPr>
            </w:pPr>
            <w:r w:rsidRPr="008E5730">
              <w:t>Депресия, промени в настроението, състояние на обърканост, намалена активност, еуфорично настроение, тревожност</w:t>
            </w:r>
          </w:p>
        </w:tc>
      </w:tr>
      <w:tr w:rsidR="008E5730" w14:paraId="62A5ED16" w14:textId="77777777" w:rsidTr="008E5730">
        <w:tc>
          <w:tcPr>
            <w:tcW w:w="1889" w:type="dxa"/>
          </w:tcPr>
          <w:p w14:paraId="6D0DCA2D" w14:textId="719CC82F" w:rsidR="008E5730" w:rsidRPr="008E5730" w:rsidRDefault="008E5730" w:rsidP="008E5730">
            <w:pPr>
              <w:rPr>
                <w:rFonts w:eastAsia="Times New Roman" w:cs="Arial"/>
                <w:color w:val="000000"/>
                <w:lang w:eastAsia="bg-BG"/>
              </w:rPr>
            </w:pPr>
            <w:r w:rsidRPr="008E5730">
              <w:rPr>
                <w:rFonts w:cs="Arial"/>
              </w:rPr>
              <w:t>Нарушения на нервната система</w:t>
            </w:r>
          </w:p>
        </w:tc>
        <w:tc>
          <w:tcPr>
            <w:tcW w:w="1697" w:type="dxa"/>
          </w:tcPr>
          <w:p w14:paraId="4512208D" w14:textId="77777777" w:rsidR="008E5730" w:rsidRPr="008E5730" w:rsidRDefault="008E5730" w:rsidP="008E5730">
            <w:pPr>
              <w:rPr>
                <w:rFonts w:eastAsia="Times New Roman" w:cs="Arial"/>
                <w:color w:val="000000"/>
                <w:lang w:eastAsia="bg-BG"/>
              </w:rPr>
            </w:pPr>
          </w:p>
        </w:tc>
        <w:tc>
          <w:tcPr>
            <w:tcW w:w="1778" w:type="dxa"/>
          </w:tcPr>
          <w:p w14:paraId="637792F8" w14:textId="26B897EE" w:rsidR="008E5730" w:rsidRPr="008E5730" w:rsidRDefault="008E5730" w:rsidP="008E5730">
            <w:pPr>
              <w:rPr>
                <w:rFonts w:eastAsia="Times New Roman" w:cs="Arial"/>
                <w:color w:val="000000"/>
                <w:lang w:eastAsia="bg-BG"/>
              </w:rPr>
            </w:pPr>
            <w:r w:rsidRPr="008E5730">
              <w:t>Замаяност</w:t>
            </w:r>
          </w:p>
        </w:tc>
        <w:tc>
          <w:tcPr>
            <w:tcW w:w="1801" w:type="dxa"/>
          </w:tcPr>
          <w:p w14:paraId="7D4E1473" w14:textId="12A94BD2" w:rsidR="008E5730" w:rsidRPr="008E5730" w:rsidRDefault="008E5730" w:rsidP="008E5730">
            <w:pPr>
              <w:rPr>
                <w:rFonts w:eastAsia="Times New Roman" w:cs="Arial"/>
                <w:color w:val="000000"/>
                <w:lang w:eastAsia="bg-BG"/>
              </w:rPr>
            </w:pPr>
            <w:r w:rsidRPr="008E5730">
              <w:t>Парестезия</w:t>
            </w:r>
          </w:p>
        </w:tc>
        <w:tc>
          <w:tcPr>
            <w:tcW w:w="2411" w:type="dxa"/>
          </w:tcPr>
          <w:p w14:paraId="03CE8046" w14:textId="77777777" w:rsidR="008E5730" w:rsidRPr="008E5730" w:rsidRDefault="008E5730" w:rsidP="008E5730">
            <w:r w:rsidRPr="008E5730">
              <w:t>Дисгеузия, летаргия,</w:t>
            </w:r>
          </w:p>
          <w:p w14:paraId="241BADC3" w14:textId="77777777" w:rsidR="008E5730" w:rsidRPr="008E5730" w:rsidRDefault="008E5730" w:rsidP="008E5730">
            <w:r w:rsidRPr="008E5730">
              <w:t>сънливост, дистасия,</w:t>
            </w:r>
          </w:p>
          <w:p w14:paraId="54E5CB62" w14:textId="77777777" w:rsidR="008E5730" w:rsidRPr="008E5730" w:rsidRDefault="008E5730" w:rsidP="008E5730">
            <w:r w:rsidRPr="008E5730">
              <w:t>главоболие, нарушения на</w:t>
            </w:r>
          </w:p>
          <w:p w14:paraId="3773703F" w14:textId="0EB85BA0" w:rsidR="008E5730" w:rsidRPr="008E5730" w:rsidRDefault="008E5730" w:rsidP="008E5730">
            <w:pPr>
              <w:rPr>
                <w:rFonts w:eastAsia="Times New Roman" w:cs="Arial"/>
                <w:color w:val="000000"/>
                <w:lang w:eastAsia="bg-BG"/>
              </w:rPr>
            </w:pPr>
            <w:r w:rsidRPr="008E5730">
              <w:t>паметта</w:t>
            </w:r>
          </w:p>
        </w:tc>
      </w:tr>
      <w:tr w:rsidR="008E5730" w14:paraId="23A3E82C" w14:textId="77777777" w:rsidTr="008E5730">
        <w:tc>
          <w:tcPr>
            <w:tcW w:w="1889" w:type="dxa"/>
          </w:tcPr>
          <w:p w14:paraId="12855AC8" w14:textId="31D6D497" w:rsidR="008E5730" w:rsidRPr="008E5730" w:rsidRDefault="008E5730" w:rsidP="008E5730">
            <w:pPr>
              <w:rPr>
                <w:rFonts w:eastAsia="Times New Roman" w:cs="Arial"/>
                <w:color w:val="000000"/>
                <w:lang w:eastAsia="bg-BG"/>
              </w:rPr>
            </w:pPr>
            <w:r w:rsidRPr="008E5730">
              <w:rPr>
                <w:rFonts w:cs="Arial"/>
              </w:rPr>
              <w:t>Нарушения на очите</w:t>
            </w:r>
          </w:p>
        </w:tc>
        <w:tc>
          <w:tcPr>
            <w:tcW w:w="1697" w:type="dxa"/>
          </w:tcPr>
          <w:p w14:paraId="20F872D0" w14:textId="77777777" w:rsidR="008E5730" w:rsidRPr="008E5730" w:rsidRDefault="008E5730" w:rsidP="008E5730">
            <w:pPr>
              <w:rPr>
                <w:rFonts w:eastAsia="Times New Roman" w:cs="Arial"/>
                <w:color w:val="000000"/>
                <w:lang w:eastAsia="bg-BG"/>
              </w:rPr>
            </w:pPr>
          </w:p>
        </w:tc>
        <w:tc>
          <w:tcPr>
            <w:tcW w:w="1778" w:type="dxa"/>
          </w:tcPr>
          <w:p w14:paraId="76596C54" w14:textId="77777777" w:rsidR="008E5730" w:rsidRPr="008E5730" w:rsidRDefault="008E5730" w:rsidP="008E5730">
            <w:pPr>
              <w:rPr>
                <w:rFonts w:eastAsia="Times New Roman" w:cs="Arial"/>
                <w:color w:val="000000"/>
                <w:lang w:eastAsia="bg-BG"/>
              </w:rPr>
            </w:pPr>
          </w:p>
        </w:tc>
        <w:tc>
          <w:tcPr>
            <w:tcW w:w="1801" w:type="dxa"/>
          </w:tcPr>
          <w:p w14:paraId="5F9DB964" w14:textId="77777777" w:rsidR="008E5730" w:rsidRPr="008E5730" w:rsidRDefault="008E5730" w:rsidP="008E5730">
            <w:pPr>
              <w:rPr>
                <w:rFonts w:eastAsia="Times New Roman" w:cs="Arial"/>
                <w:color w:val="000000"/>
                <w:lang w:eastAsia="bg-BG"/>
              </w:rPr>
            </w:pPr>
          </w:p>
        </w:tc>
        <w:tc>
          <w:tcPr>
            <w:tcW w:w="2411" w:type="dxa"/>
            <w:vAlign w:val="bottom"/>
          </w:tcPr>
          <w:p w14:paraId="40DE1A4E" w14:textId="19A67CF9" w:rsidR="008E5730" w:rsidRPr="008E5730" w:rsidRDefault="008E5730" w:rsidP="008E5730">
            <w:pPr>
              <w:rPr>
                <w:rFonts w:eastAsia="Times New Roman" w:cs="Arial"/>
                <w:color w:val="000000"/>
                <w:lang w:eastAsia="bg-BG"/>
              </w:rPr>
            </w:pPr>
            <w:r w:rsidRPr="008E5730">
              <w:t>Необичайно усещане в окото, увреждане на зрението, замъглено виждане</w:t>
            </w:r>
          </w:p>
        </w:tc>
      </w:tr>
      <w:tr w:rsidR="008E5730" w14:paraId="6477CF66" w14:textId="77777777" w:rsidTr="008E5730">
        <w:tc>
          <w:tcPr>
            <w:tcW w:w="1889" w:type="dxa"/>
            <w:vAlign w:val="bottom"/>
          </w:tcPr>
          <w:p w14:paraId="620E9E8C" w14:textId="23152750" w:rsidR="008E5730" w:rsidRPr="008E5730" w:rsidRDefault="008E5730" w:rsidP="008E5730">
            <w:pPr>
              <w:rPr>
                <w:rFonts w:eastAsia="Times New Roman" w:cs="Arial"/>
                <w:color w:val="000000"/>
                <w:lang w:eastAsia="bg-BG"/>
              </w:rPr>
            </w:pPr>
            <w:r w:rsidRPr="008E5730">
              <w:rPr>
                <w:rFonts w:cs="Arial"/>
              </w:rPr>
              <w:t>Нарушения на ухото и лабиринта</w:t>
            </w:r>
          </w:p>
        </w:tc>
        <w:tc>
          <w:tcPr>
            <w:tcW w:w="1697" w:type="dxa"/>
          </w:tcPr>
          <w:p w14:paraId="65E55466" w14:textId="77777777" w:rsidR="008E5730" w:rsidRPr="008E5730" w:rsidRDefault="008E5730" w:rsidP="008E5730">
            <w:pPr>
              <w:rPr>
                <w:rFonts w:eastAsia="Times New Roman" w:cs="Arial"/>
                <w:color w:val="000000"/>
                <w:lang w:eastAsia="bg-BG"/>
              </w:rPr>
            </w:pPr>
          </w:p>
        </w:tc>
        <w:tc>
          <w:tcPr>
            <w:tcW w:w="1778" w:type="dxa"/>
          </w:tcPr>
          <w:p w14:paraId="29E3AA58" w14:textId="77777777" w:rsidR="008E5730" w:rsidRPr="008E5730" w:rsidRDefault="008E5730" w:rsidP="008E5730">
            <w:pPr>
              <w:rPr>
                <w:rFonts w:eastAsia="Times New Roman" w:cs="Arial"/>
                <w:color w:val="000000"/>
                <w:lang w:eastAsia="bg-BG"/>
              </w:rPr>
            </w:pPr>
          </w:p>
        </w:tc>
        <w:tc>
          <w:tcPr>
            <w:tcW w:w="1801" w:type="dxa"/>
          </w:tcPr>
          <w:p w14:paraId="1E0AAAEB" w14:textId="77777777" w:rsidR="008E5730" w:rsidRPr="008E5730" w:rsidRDefault="008E5730" w:rsidP="008E5730">
            <w:pPr>
              <w:rPr>
                <w:rFonts w:eastAsia="Times New Roman" w:cs="Arial"/>
                <w:color w:val="000000"/>
                <w:lang w:eastAsia="bg-BG"/>
              </w:rPr>
            </w:pPr>
          </w:p>
        </w:tc>
        <w:tc>
          <w:tcPr>
            <w:tcW w:w="2411" w:type="dxa"/>
          </w:tcPr>
          <w:p w14:paraId="1A4BAEA6" w14:textId="7D91ED25" w:rsidR="008E5730" w:rsidRPr="008E5730" w:rsidRDefault="008E5730" w:rsidP="008E5730">
            <w:pPr>
              <w:rPr>
                <w:rFonts w:eastAsia="Times New Roman" w:cs="Arial"/>
                <w:color w:val="000000"/>
                <w:lang w:eastAsia="bg-BG"/>
              </w:rPr>
            </w:pPr>
            <w:r w:rsidRPr="008E5730">
              <w:t>Шум в ушите, световъртеж</w:t>
            </w:r>
          </w:p>
        </w:tc>
      </w:tr>
      <w:tr w:rsidR="008E5730" w14:paraId="1374885D" w14:textId="77777777" w:rsidTr="008E5730">
        <w:tc>
          <w:tcPr>
            <w:tcW w:w="1889" w:type="dxa"/>
          </w:tcPr>
          <w:p w14:paraId="635C65A0" w14:textId="62439069" w:rsidR="008E5730" w:rsidRPr="008E5730" w:rsidRDefault="008E5730" w:rsidP="008E5730">
            <w:pPr>
              <w:rPr>
                <w:rFonts w:eastAsia="Times New Roman" w:cs="Arial"/>
                <w:color w:val="000000"/>
                <w:lang w:eastAsia="bg-BG"/>
              </w:rPr>
            </w:pPr>
            <w:r w:rsidRPr="008E5730">
              <w:rPr>
                <w:rFonts w:cs="Arial"/>
              </w:rPr>
              <w:t>Съдови нарушения</w:t>
            </w:r>
          </w:p>
        </w:tc>
        <w:tc>
          <w:tcPr>
            <w:tcW w:w="1697" w:type="dxa"/>
          </w:tcPr>
          <w:p w14:paraId="6AB3A8B4" w14:textId="5508029B" w:rsidR="008E5730" w:rsidRPr="008E5730" w:rsidRDefault="008E5730" w:rsidP="008E5730">
            <w:pPr>
              <w:rPr>
                <w:rFonts w:eastAsia="Times New Roman" w:cs="Arial"/>
                <w:color w:val="000000"/>
                <w:lang w:eastAsia="bg-BG"/>
              </w:rPr>
            </w:pPr>
            <w:r w:rsidRPr="008E5730">
              <w:t>Горещи вълни</w:t>
            </w:r>
          </w:p>
        </w:tc>
        <w:tc>
          <w:tcPr>
            <w:tcW w:w="1778" w:type="dxa"/>
          </w:tcPr>
          <w:p w14:paraId="095BEBB8" w14:textId="2F58D4D1" w:rsidR="008E5730" w:rsidRPr="008E5730" w:rsidRDefault="008E5730" w:rsidP="008E5730">
            <w:pPr>
              <w:rPr>
                <w:rFonts w:eastAsia="Times New Roman" w:cs="Arial"/>
                <w:color w:val="000000"/>
                <w:lang w:eastAsia="bg-BG"/>
              </w:rPr>
            </w:pPr>
            <w:r w:rsidRPr="008E5730">
              <w:t>Хипертония</w:t>
            </w:r>
          </w:p>
        </w:tc>
        <w:tc>
          <w:tcPr>
            <w:tcW w:w="1801" w:type="dxa"/>
          </w:tcPr>
          <w:p w14:paraId="266E9BA8" w14:textId="77777777" w:rsidR="008E5730" w:rsidRPr="008E5730" w:rsidRDefault="008E5730" w:rsidP="008E5730">
            <w:pPr>
              <w:rPr>
                <w:rFonts w:eastAsia="Times New Roman" w:cs="Arial"/>
                <w:color w:val="000000"/>
                <w:lang w:eastAsia="bg-BG"/>
              </w:rPr>
            </w:pPr>
          </w:p>
        </w:tc>
        <w:tc>
          <w:tcPr>
            <w:tcW w:w="2411" w:type="dxa"/>
          </w:tcPr>
          <w:p w14:paraId="7C563D24" w14:textId="7DE92DF7" w:rsidR="008E5730" w:rsidRPr="008E5730" w:rsidRDefault="008E5730" w:rsidP="008E5730">
            <w:pPr>
              <w:rPr>
                <w:rFonts w:eastAsia="Times New Roman" w:cs="Arial"/>
                <w:color w:val="000000"/>
                <w:lang w:eastAsia="bg-BG"/>
              </w:rPr>
            </w:pPr>
            <w:r w:rsidRPr="008E5730">
              <w:t>Хипотония</w:t>
            </w:r>
          </w:p>
        </w:tc>
      </w:tr>
      <w:tr w:rsidR="008E5730" w14:paraId="1C68C17C" w14:textId="77777777" w:rsidTr="008E5730">
        <w:tc>
          <w:tcPr>
            <w:tcW w:w="1889" w:type="dxa"/>
            <w:vAlign w:val="bottom"/>
          </w:tcPr>
          <w:p w14:paraId="78A01C0B" w14:textId="759546FA" w:rsidR="008E5730" w:rsidRPr="008E5730" w:rsidRDefault="008E5730" w:rsidP="008E5730">
            <w:pPr>
              <w:rPr>
                <w:rFonts w:eastAsia="Times New Roman" w:cs="Arial"/>
                <w:color w:val="000000"/>
                <w:lang w:eastAsia="bg-BG"/>
              </w:rPr>
            </w:pPr>
            <w:r w:rsidRPr="008E5730">
              <w:rPr>
                <w:rFonts w:cs="Arial"/>
              </w:rPr>
              <w:t>Респираторни, гръдни и медиастинални нарушения</w:t>
            </w:r>
          </w:p>
        </w:tc>
        <w:tc>
          <w:tcPr>
            <w:tcW w:w="1697" w:type="dxa"/>
          </w:tcPr>
          <w:p w14:paraId="3160BE0B" w14:textId="77777777" w:rsidR="008E5730" w:rsidRPr="008E5730" w:rsidRDefault="008E5730" w:rsidP="008E5730">
            <w:pPr>
              <w:rPr>
                <w:rFonts w:eastAsia="Times New Roman" w:cs="Arial"/>
                <w:color w:val="000000"/>
                <w:lang w:eastAsia="bg-BG"/>
              </w:rPr>
            </w:pPr>
          </w:p>
        </w:tc>
        <w:tc>
          <w:tcPr>
            <w:tcW w:w="1778" w:type="dxa"/>
          </w:tcPr>
          <w:p w14:paraId="67678323" w14:textId="77777777" w:rsidR="008E5730" w:rsidRPr="008E5730" w:rsidRDefault="008E5730" w:rsidP="008E5730">
            <w:pPr>
              <w:rPr>
                <w:rFonts w:eastAsia="Times New Roman" w:cs="Arial"/>
                <w:color w:val="000000"/>
                <w:lang w:eastAsia="bg-BG"/>
              </w:rPr>
            </w:pPr>
          </w:p>
        </w:tc>
        <w:tc>
          <w:tcPr>
            <w:tcW w:w="1801" w:type="dxa"/>
          </w:tcPr>
          <w:p w14:paraId="091EB913" w14:textId="77777777" w:rsidR="008E5730" w:rsidRPr="008E5730" w:rsidRDefault="008E5730" w:rsidP="008E5730">
            <w:pPr>
              <w:rPr>
                <w:rFonts w:eastAsia="Times New Roman" w:cs="Arial"/>
                <w:color w:val="000000"/>
                <w:lang w:eastAsia="bg-BG"/>
              </w:rPr>
            </w:pPr>
          </w:p>
        </w:tc>
        <w:tc>
          <w:tcPr>
            <w:tcW w:w="2411" w:type="dxa"/>
          </w:tcPr>
          <w:p w14:paraId="7AAEBBD5" w14:textId="7AD0D489" w:rsidR="008E5730" w:rsidRPr="008E5730" w:rsidRDefault="008E5730" w:rsidP="008E5730">
            <w:pPr>
              <w:rPr>
                <w:rFonts w:eastAsia="Times New Roman" w:cs="Arial"/>
                <w:color w:val="000000"/>
                <w:lang w:eastAsia="bg-BG"/>
              </w:rPr>
            </w:pPr>
            <w:r w:rsidRPr="008E5730">
              <w:t>Диспнея, ортопнея, епистаксис</w:t>
            </w:r>
          </w:p>
        </w:tc>
      </w:tr>
      <w:tr w:rsidR="008E5730" w14:paraId="65839D75" w14:textId="77777777" w:rsidTr="008E5730">
        <w:tc>
          <w:tcPr>
            <w:tcW w:w="1889" w:type="dxa"/>
          </w:tcPr>
          <w:p w14:paraId="79D3631F" w14:textId="38768561" w:rsidR="008E5730" w:rsidRPr="008E5730" w:rsidRDefault="008E5730" w:rsidP="008E5730">
            <w:pPr>
              <w:rPr>
                <w:rFonts w:eastAsia="Times New Roman" w:cs="Arial"/>
                <w:color w:val="000000"/>
                <w:lang w:eastAsia="bg-BG"/>
              </w:rPr>
            </w:pPr>
            <w:r w:rsidRPr="008E5730">
              <w:rPr>
                <w:rFonts w:cs="Arial"/>
              </w:rPr>
              <w:t>Стомашно-чревни нарушения</w:t>
            </w:r>
          </w:p>
        </w:tc>
        <w:tc>
          <w:tcPr>
            <w:tcW w:w="1697" w:type="dxa"/>
          </w:tcPr>
          <w:p w14:paraId="3D8E9B7E" w14:textId="77777777" w:rsidR="008E5730" w:rsidRPr="008E5730" w:rsidRDefault="008E5730" w:rsidP="008E5730">
            <w:pPr>
              <w:rPr>
                <w:rFonts w:eastAsia="Times New Roman" w:cs="Arial"/>
                <w:color w:val="000000"/>
                <w:lang w:eastAsia="bg-BG"/>
              </w:rPr>
            </w:pPr>
          </w:p>
        </w:tc>
        <w:tc>
          <w:tcPr>
            <w:tcW w:w="1778" w:type="dxa"/>
          </w:tcPr>
          <w:p w14:paraId="22EFF4BC" w14:textId="77777777" w:rsidR="008E5730" w:rsidRPr="008E5730" w:rsidRDefault="008E5730" w:rsidP="008E5730">
            <w:pPr>
              <w:rPr>
                <w:rFonts w:eastAsia="Times New Roman" w:cs="Arial"/>
                <w:color w:val="000000"/>
                <w:lang w:eastAsia="bg-BG"/>
              </w:rPr>
            </w:pPr>
          </w:p>
        </w:tc>
        <w:tc>
          <w:tcPr>
            <w:tcW w:w="1801" w:type="dxa"/>
            <w:vAlign w:val="bottom"/>
          </w:tcPr>
          <w:p w14:paraId="6A8CA078" w14:textId="35E7AC96" w:rsidR="008E5730" w:rsidRPr="008E5730" w:rsidRDefault="008E5730" w:rsidP="008E5730">
            <w:pPr>
              <w:rPr>
                <w:rFonts w:eastAsia="Times New Roman" w:cs="Arial"/>
                <w:color w:val="000000"/>
                <w:lang w:eastAsia="bg-BG"/>
              </w:rPr>
            </w:pPr>
            <w:r w:rsidRPr="008E5730">
              <w:t>Гадене, запек, сухота в устата</w:t>
            </w:r>
          </w:p>
        </w:tc>
        <w:tc>
          <w:tcPr>
            <w:tcW w:w="2411" w:type="dxa"/>
            <w:vAlign w:val="bottom"/>
          </w:tcPr>
          <w:p w14:paraId="2FF50312" w14:textId="13D4C1E0" w:rsidR="008E5730" w:rsidRPr="008E5730" w:rsidRDefault="008E5730" w:rsidP="008E5730">
            <w:pPr>
              <w:rPr>
                <w:rFonts w:eastAsia="Times New Roman" w:cs="Arial"/>
                <w:color w:val="000000"/>
                <w:lang w:eastAsia="bg-BG"/>
              </w:rPr>
            </w:pPr>
            <w:r w:rsidRPr="008E5730">
              <w:t>Болки в корема, диария, повръщане, подуване на корема, метеоризъм</w:t>
            </w:r>
          </w:p>
        </w:tc>
      </w:tr>
      <w:tr w:rsidR="008E5730" w14:paraId="2AB0EA69" w14:textId="77777777" w:rsidTr="00DE5E39">
        <w:tc>
          <w:tcPr>
            <w:tcW w:w="1889" w:type="dxa"/>
            <w:vAlign w:val="bottom"/>
          </w:tcPr>
          <w:p w14:paraId="053C7C21" w14:textId="295E3CDF" w:rsidR="008E5730" w:rsidRPr="008E5730" w:rsidRDefault="008E5730" w:rsidP="008E5730">
            <w:pPr>
              <w:rPr>
                <w:rFonts w:eastAsia="Times New Roman" w:cs="Arial"/>
                <w:color w:val="000000"/>
                <w:lang w:eastAsia="bg-BG"/>
              </w:rPr>
            </w:pPr>
            <w:r w:rsidRPr="008E5730">
              <w:rPr>
                <w:rFonts w:cs="Arial"/>
              </w:rPr>
              <w:lastRenderedPageBreak/>
              <w:t>Нарушения на кожата и подкожната тъкан</w:t>
            </w:r>
          </w:p>
        </w:tc>
        <w:tc>
          <w:tcPr>
            <w:tcW w:w="1697" w:type="dxa"/>
          </w:tcPr>
          <w:p w14:paraId="7C72C3AB" w14:textId="1F51FB93" w:rsidR="008E5730" w:rsidRPr="008E5730" w:rsidRDefault="008E5730" w:rsidP="008E5730">
            <w:pPr>
              <w:rPr>
                <w:rFonts w:eastAsia="Times New Roman" w:cs="Arial"/>
                <w:color w:val="000000"/>
                <w:lang w:eastAsia="bg-BG"/>
              </w:rPr>
            </w:pPr>
            <w:r w:rsidRPr="008E5730">
              <w:t>Хиперхидроза</w:t>
            </w:r>
          </w:p>
        </w:tc>
        <w:tc>
          <w:tcPr>
            <w:tcW w:w="1778" w:type="dxa"/>
          </w:tcPr>
          <w:p w14:paraId="59C9747A" w14:textId="77777777" w:rsidR="008E5730" w:rsidRPr="008E5730" w:rsidRDefault="008E5730" w:rsidP="008E5730">
            <w:pPr>
              <w:rPr>
                <w:rFonts w:eastAsia="Times New Roman" w:cs="Arial"/>
                <w:color w:val="000000"/>
                <w:lang w:eastAsia="bg-BG"/>
              </w:rPr>
            </w:pPr>
          </w:p>
        </w:tc>
        <w:tc>
          <w:tcPr>
            <w:tcW w:w="1801" w:type="dxa"/>
          </w:tcPr>
          <w:p w14:paraId="208641D1" w14:textId="272CF199" w:rsidR="008E5730" w:rsidRPr="008E5730" w:rsidRDefault="008E5730" w:rsidP="008E5730">
            <w:pPr>
              <w:rPr>
                <w:rFonts w:eastAsia="Times New Roman" w:cs="Arial"/>
                <w:color w:val="000000"/>
                <w:lang w:eastAsia="bg-BG"/>
              </w:rPr>
            </w:pPr>
            <w:r w:rsidRPr="008E5730">
              <w:t>Алопеция</w:t>
            </w:r>
          </w:p>
        </w:tc>
        <w:tc>
          <w:tcPr>
            <w:tcW w:w="2411" w:type="dxa"/>
            <w:vAlign w:val="bottom"/>
          </w:tcPr>
          <w:p w14:paraId="5997AC11" w14:textId="023D4118" w:rsidR="008E5730" w:rsidRPr="008E5730" w:rsidRDefault="008E5730" w:rsidP="008E5730">
            <w:pPr>
              <w:rPr>
                <w:rFonts w:eastAsia="Times New Roman" w:cs="Arial"/>
                <w:color w:val="000000"/>
                <w:lang w:eastAsia="bg-BG"/>
              </w:rPr>
            </w:pPr>
            <w:r w:rsidRPr="008E5730">
              <w:t>Пурпура, акне. сърбеж, обрив, блистер, ангиоедем, уртикария</w:t>
            </w:r>
          </w:p>
        </w:tc>
      </w:tr>
      <w:tr w:rsidR="008E5730" w14:paraId="03E46BF0" w14:textId="77777777" w:rsidTr="00DE5E39">
        <w:tc>
          <w:tcPr>
            <w:tcW w:w="1889" w:type="dxa"/>
          </w:tcPr>
          <w:p w14:paraId="601D76A4" w14:textId="02F6E647" w:rsidR="008E5730" w:rsidRPr="008E5730" w:rsidRDefault="008E5730" w:rsidP="008E5730">
            <w:pPr>
              <w:rPr>
                <w:rFonts w:eastAsia="Times New Roman" w:cs="Arial"/>
                <w:color w:val="000000"/>
                <w:lang w:eastAsia="bg-BG"/>
              </w:rPr>
            </w:pPr>
            <w:r w:rsidRPr="008E5730">
              <w:rPr>
                <w:rFonts w:cs="Arial"/>
              </w:rPr>
              <w:t>Нарушения на мускул но-скелетната система и съединителната тъкан</w:t>
            </w:r>
          </w:p>
        </w:tc>
        <w:tc>
          <w:tcPr>
            <w:tcW w:w="1697" w:type="dxa"/>
          </w:tcPr>
          <w:p w14:paraId="655D49C4" w14:textId="77777777" w:rsidR="008E5730" w:rsidRPr="008E5730" w:rsidRDefault="008E5730" w:rsidP="008E5730">
            <w:pPr>
              <w:rPr>
                <w:rFonts w:eastAsia="Times New Roman" w:cs="Arial"/>
                <w:color w:val="000000"/>
                <w:lang w:eastAsia="bg-BG"/>
              </w:rPr>
            </w:pPr>
          </w:p>
        </w:tc>
        <w:tc>
          <w:tcPr>
            <w:tcW w:w="1778" w:type="dxa"/>
          </w:tcPr>
          <w:p w14:paraId="46E3DC63" w14:textId="54ECD9E2" w:rsidR="008E5730" w:rsidRPr="008E5730" w:rsidRDefault="008E5730" w:rsidP="008E5730">
            <w:pPr>
              <w:rPr>
                <w:rFonts w:eastAsia="Times New Roman" w:cs="Arial"/>
                <w:color w:val="000000"/>
                <w:lang w:eastAsia="bg-BG"/>
              </w:rPr>
            </w:pPr>
            <w:r w:rsidRPr="008E5730">
              <w:t>Болка в костите</w:t>
            </w:r>
          </w:p>
        </w:tc>
        <w:tc>
          <w:tcPr>
            <w:tcW w:w="1801" w:type="dxa"/>
          </w:tcPr>
          <w:p w14:paraId="2E8AA94B" w14:textId="1D6F8466" w:rsidR="008E5730" w:rsidRPr="008E5730" w:rsidRDefault="008E5730" w:rsidP="008E5730">
            <w:pPr>
              <w:rPr>
                <w:rFonts w:eastAsia="Times New Roman" w:cs="Arial"/>
                <w:color w:val="000000"/>
                <w:lang w:eastAsia="bg-BG"/>
              </w:rPr>
            </w:pPr>
            <w:r w:rsidRPr="008E5730">
              <w:t>Болка в гърба</w:t>
            </w:r>
          </w:p>
        </w:tc>
        <w:tc>
          <w:tcPr>
            <w:tcW w:w="2411" w:type="dxa"/>
            <w:vAlign w:val="bottom"/>
          </w:tcPr>
          <w:p w14:paraId="188D683B" w14:textId="5A36EBF5" w:rsidR="008E5730" w:rsidRPr="008E5730" w:rsidRDefault="008E5730" w:rsidP="008E5730">
            <w:pPr>
              <w:rPr>
                <w:rFonts w:eastAsia="Times New Roman" w:cs="Arial"/>
                <w:color w:val="000000"/>
                <w:lang w:eastAsia="bg-BG"/>
              </w:rPr>
            </w:pPr>
            <w:r w:rsidRPr="008E5730">
              <w:t>Мускулно-скелетна болка, болка в крайниците, болки в ставите, мускулни спазми, мускулна слабост, миалгия, скованост на ставите, подуване на ставите, мускулно-скелетни скованост, остеоартрит</w:t>
            </w:r>
          </w:p>
        </w:tc>
      </w:tr>
      <w:tr w:rsidR="008E5730" w14:paraId="67E874DD" w14:textId="77777777" w:rsidTr="00DE5E39">
        <w:tc>
          <w:tcPr>
            <w:tcW w:w="1889" w:type="dxa"/>
            <w:vAlign w:val="bottom"/>
          </w:tcPr>
          <w:p w14:paraId="6D0D9B1E" w14:textId="08070AF9" w:rsidR="008E5730" w:rsidRPr="008E5730" w:rsidRDefault="008E5730" w:rsidP="008E5730">
            <w:pPr>
              <w:rPr>
                <w:rFonts w:eastAsia="Times New Roman" w:cs="Arial"/>
                <w:color w:val="000000"/>
                <w:lang w:eastAsia="bg-BG"/>
              </w:rPr>
            </w:pPr>
            <w:r w:rsidRPr="008E5730">
              <w:rPr>
                <w:rFonts w:cs="Arial"/>
              </w:rPr>
              <w:t>Нарушения на възпроизводителната система и гърдата</w:t>
            </w:r>
          </w:p>
        </w:tc>
        <w:tc>
          <w:tcPr>
            <w:tcW w:w="1697" w:type="dxa"/>
          </w:tcPr>
          <w:p w14:paraId="3E04D24C" w14:textId="113C9454" w:rsidR="008E5730" w:rsidRPr="008E5730" w:rsidRDefault="008E5730" w:rsidP="008E5730">
            <w:pPr>
              <w:rPr>
                <w:rFonts w:eastAsia="Times New Roman" w:cs="Arial"/>
                <w:color w:val="000000"/>
                <w:lang w:eastAsia="bg-BG"/>
              </w:rPr>
            </w:pPr>
            <w:r w:rsidRPr="008E5730">
              <w:t>Еректилна дисфункция</w:t>
            </w:r>
          </w:p>
        </w:tc>
        <w:tc>
          <w:tcPr>
            <w:tcW w:w="1778" w:type="dxa"/>
          </w:tcPr>
          <w:p w14:paraId="5A0485F3" w14:textId="77777777" w:rsidR="008E5730" w:rsidRPr="008E5730" w:rsidRDefault="008E5730" w:rsidP="008E5730">
            <w:pPr>
              <w:rPr>
                <w:rFonts w:eastAsia="Times New Roman" w:cs="Arial"/>
                <w:color w:val="000000"/>
                <w:lang w:eastAsia="bg-BG"/>
              </w:rPr>
            </w:pPr>
          </w:p>
        </w:tc>
        <w:tc>
          <w:tcPr>
            <w:tcW w:w="1801" w:type="dxa"/>
          </w:tcPr>
          <w:p w14:paraId="7A939B08" w14:textId="5C1311E3" w:rsidR="008E5730" w:rsidRPr="008E5730" w:rsidRDefault="008E5730" w:rsidP="008E5730">
            <w:pPr>
              <w:rPr>
                <w:rFonts w:eastAsia="Times New Roman" w:cs="Arial"/>
                <w:color w:val="000000"/>
                <w:lang w:eastAsia="bg-BG"/>
              </w:rPr>
            </w:pPr>
            <w:r w:rsidRPr="008E5730">
              <w:t>Гинекомастия</w:t>
            </w:r>
          </w:p>
        </w:tc>
        <w:tc>
          <w:tcPr>
            <w:tcW w:w="2411" w:type="dxa"/>
            <w:vAlign w:val="bottom"/>
          </w:tcPr>
          <w:p w14:paraId="0BAF875B" w14:textId="62A21438" w:rsidR="008E5730" w:rsidRPr="008E5730" w:rsidRDefault="008E5730" w:rsidP="008E5730">
            <w:pPr>
              <w:rPr>
                <w:rFonts w:eastAsia="Times New Roman" w:cs="Arial"/>
                <w:color w:val="000000"/>
                <w:lang w:eastAsia="bg-BG"/>
              </w:rPr>
            </w:pPr>
            <w:r w:rsidRPr="008E5730">
              <w:t>Болка в гърдите, атрофия на тестисите, болка в тестисите, липса на еякулация</w:t>
            </w:r>
          </w:p>
        </w:tc>
      </w:tr>
      <w:tr w:rsidR="008E5730" w14:paraId="03DA867A" w14:textId="77777777" w:rsidTr="00DE5E39">
        <w:tc>
          <w:tcPr>
            <w:tcW w:w="1889" w:type="dxa"/>
          </w:tcPr>
          <w:p w14:paraId="5BD83513" w14:textId="7EEE919D" w:rsidR="008E5730" w:rsidRPr="008E5730" w:rsidRDefault="008E5730" w:rsidP="008E5730">
            <w:pPr>
              <w:rPr>
                <w:rFonts w:eastAsia="Times New Roman" w:cs="Arial"/>
                <w:color w:val="000000"/>
                <w:lang w:eastAsia="bg-BG"/>
              </w:rPr>
            </w:pPr>
            <w:r w:rsidRPr="008E5730">
              <w:rPr>
                <w:rFonts w:cs="Arial"/>
              </w:rPr>
              <w:t>Общи нарушения и ефекти на мястото на приложение</w:t>
            </w:r>
          </w:p>
        </w:tc>
        <w:tc>
          <w:tcPr>
            <w:tcW w:w="1697" w:type="dxa"/>
          </w:tcPr>
          <w:p w14:paraId="1078FE3C" w14:textId="77777777" w:rsidR="008E5730" w:rsidRPr="008E5730" w:rsidRDefault="008E5730" w:rsidP="008E5730">
            <w:pPr>
              <w:rPr>
                <w:rFonts w:eastAsia="Times New Roman" w:cs="Arial"/>
                <w:color w:val="000000"/>
                <w:lang w:eastAsia="bg-BG"/>
              </w:rPr>
            </w:pPr>
          </w:p>
        </w:tc>
        <w:tc>
          <w:tcPr>
            <w:tcW w:w="1778" w:type="dxa"/>
          </w:tcPr>
          <w:p w14:paraId="0CBDFF98" w14:textId="21553C1B" w:rsidR="008E5730" w:rsidRPr="008E5730" w:rsidRDefault="008E5730" w:rsidP="008E5730">
            <w:pPr>
              <w:rPr>
                <w:rFonts w:eastAsia="Times New Roman" w:cs="Arial"/>
                <w:color w:val="000000"/>
                <w:lang w:eastAsia="bg-BG"/>
              </w:rPr>
            </w:pPr>
            <w:r w:rsidRPr="008E5730">
              <w:t>Болка на мястото на инжектиране, умора</w:t>
            </w:r>
          </w:p>
        </w:tc>
        <w:tc>
          <w:tcPr>
            <w:tcW w:w="1801" w:type="dxa"/>
          </w:tcPr>
          <w:p w14:paraId="70031BBE" w14:textId="77777777" w:rsidR="008E5730" w:rsidRPr="008E5730" w:rsidRDefault="008E5730" w:rsidP="008E5730">
            <w:pPr>
              <w:rPr>
                <w:rFonts w:eastAsia="Times New Roman" w:cs="Arial"/>
                <w:color w:val="000000"/>
                <w:lang w:eastAsia="bg-BG"/>
              </w:rPr>
            </w:pPr>
          </w:p>
        </w:tc>
        <w:tc>
          <w:tcPr>
            <w:tcW w:w="2411" w:type="dxa"/>
            <w:vAlign w:val="bottom"/>
          </w:tcPr>
          <w:p w14:paraId="424C4AB3" w14:textId="5DEFAC40" w:rsidR="008E5730" w:rsidRPr="008E5730" w:rsidRDefault="008E5730" w:rsidP="008E5730">
            <w:pPr>
              <w:rPr>
                <w:rFonts w:eastAsia="Times New Roman" w:cs="Arial"/>
                <w:color w:val="000000"/>
                <w:lang w:eastAsia="bg-BG"/>
              </w:rPr>
            </w:pPr>
            <w:r w:rsidRPr="008E5730">
              <w:t>Астения, еритема на мястото на инжектиране, възпаление на мястото на инжектиране, реакция на мястото на инжектиране, оток, болка, втрисане, болки в гърдите, грипоподобно заболяване, пирексия, неразположение, раздразнителност</w:t>
            </w:r>
          </w:p>
        </w:tc>
      </w:tr>
      <w:tr w:rsidR="008E5730" w14:paraId="6BCD9AD4" w14:textId="77777777" w:rsidTr="00DE5E39">
        <w:tc>
          <w:tcPr>
            <w:tcW w:w="1889" w:type="dxa"/>
          </w:tcPr>
          <w:p w14:paraId="7165BACD" w14:textId="4EB0084A" w:rsidR="008E5730" w:rsidRPr="008E5730" w:rsidRDefault="008E5730" w:rsidP="008E5730">
            <w:pPr>
              <w:rPr>
                <w:rFonts w:eastAsia="Times New Roman" w:cs="Arial"/>
                <w:color w:val="000000"/>
                <w:lang w:eastAsia="bg-BG"/>
              </w:rPr>
            </w:pPr>
            <w:r w:rsidRPr="008E5730">
              <w:rPr>
                <w:rFonts w:cs="Arial"/>
              </w:rPr>
              <w:t>Изследвания</w:t>
            </w:r>
          </w:p>
        </w:tc>
        <w:tc>
          <w:tcPr>
            <w:tcW w:w="1697" w:type="dxa"/>
          </w:tcPr>
          <w:p w14:paraId="66BC4B6C" w14:textId="77777777" w:rsidR="008E5730" w:rsidRPr="008E5730" w:rsidRDefault="008E5730" w:rsidP="008E5730">
            <w:pPr>
              <w:rPr>
                <w:rFonts w:eastAsia="Times New Roman" w:cs="Arial"/>
                <w:color w:val="000000"/>
                <w:lang w:eastAsia="bg-BG"/>
              </w:rPr>
            </w:pPr>
          </w:p>
        </w:tc>
        <w:tc>
          <w:tcPr>
            <w:tcW w:w="1778" w:type="dxa"/>
          </w:tcPr>
          <w:p w14:paraId="60A65F4D" w14:textId="77777777" w:rsidR="008E5730" w:rsidRPr="008E5730" w:rsidRDefault="008E5730" w:rsidP="008E5730">
            <w:pPr>
              <w:rPr>
                <w:rFonts w:eastAsia="Times New Roman" w:cs="Arial"/>
                <w:color w:val="000000"/>
                <w:lang w:eastAsia="bg-BG"/>
              </w:rPr>
            </w:pPr>
          </w:p>
        </w:tc>
        <w:tc>
          <w:tcPr>
            <w:tcW w:w="1801" w:type="dxa"/>
          </w:tcPr>
          <w:p w14:paraId="69A2EA7B" w14:textId="77777777" w:rsidR="008E5730" w:rsidRPr="008E5730" w:rsidRDefault="008E5730" w:rsidP="008E5730">
            <w:pPr>
              <w:rPr>
                <w:rFonts w:eastAsia="Times New Roman" w:cs="Arial"/>
                <w:color w:val="000000"/>
                <w:lang w:eastAsia="bg-BG"/>
              </w:rPr>
            </w:pPr>
          </w:p>
        </w:tc>
        <w:tc>
          <w:tcPr>
            <w:tcW w:w="2411" w:type="dxa"/>
            <w:vAlign w:val="bottom"/>
          </w:tcPr>
          <w:p w14:paraId="523ACE15" w14:textId="77777777" w:rsidR="008E5730" w:rsidRPr="008E5730" w:rsidRDefault="008E5730" w:rsidP="008E5730">
            <w:r w:rsidRPr="008E5730">
              <w:t>Увеличен аланин аминотрансфераза, увеличен аспартат</w:t>
            </w:r>
          </w:p>
          <w:p w14:paraId="3500D53E" w14:textId="77777777" w:rsidR="008E5730" w:rsidRPr="008E5730" w:rsidRDefault="008E5730" w:rsidP="008E5730">
            <w:r w:rsidRPr="008E5730">
              <w:t xml:space="preserve">аминотрансферазата, увеличен креатинин в кръвта, увеличено кръвно налягане, увеличена урея. увеличена </w:t>
            </w:r>
            <w:r w:rsidRPr="008E5730">
              <w:lastRenderedPageBreak/>
              <w:t>пивалкална фосфатаза в кръвта, повишена телесна</w:t>
            </w:r>
          </w:p>
          <w:p w14:paraId="7C018EA6" w14:textId="77777777" w:rsidR="008E5730" w:rsidRPr="008E5730" w:rsidRDefault="008E5730" w:rsidP="008E5730">
            <w:r w:rsidRPr="008E5730">
              <w:t>температура, увеличаване на теглото, намаляване на теглото</w:t>
            </w:r>
          </w:p>
          <w:p w14:paraId="62CA826B" w14:textId="77777777" w:rsidR="008E5730" w:rsidRPr="008E5730" w:rsidRDefault="008E5730" w:rsidP="008E5730">
            <w:r w:rsidRPr="008E5730">
              <w:t xml:space="preserve">Удължаване на </w:t>
            </w:r>
            <w:r w:rsidRPr="008E5730">
              <w:rPr>
                <w:lang w:val="en-US"/>
              </w:rPr>
              <w:t>QT</w:t>
            </w:r>
            <w:r w:rsidRPr="008E5730">
              <w:rPr>
                <w:lang w:val="ru-RU"/>
              </w:rPr>
              <w:t xml:space="preserve"> (</w:t>
            </w:r>
            <w:r w:rsidRPr="008E5730">
              <w:t>виж</w:t>
            </w:r>
          </w:p>
          <w:p w14:paraId="2A0A64E6" w14:textId="0DFA367D" w:rsidR="008E5730" w:rsidRPr="008E5730" w:rsidRDefault="008E5730" w:rsidP="008E5730">
            <w:pPr>
              <w:rPr>
                <w:rFonts w:eastAsia="Times New Roman" w:cs="Arial"/>
                <w:color w:val="000000"/>
                <w:lang w:eastAsia="bg-BG"/>
              </w:rPr>
            </w:pPr>
            <w:r w:rsidRPr="008E5730">
              <w:t>точка 4.4. и 4.5)</w:t>
            </w:r>
          </w:p>
        </w:tc>
      </w:tr>
    </w:tbl>
    <w:p w14:paraId="69DF8FDF" w14:textId="5309174D" w:rsidR="00371F96" w:rsidRDefault="00371F96" w:rsidP="00371F96">
      <w:pPr>
        <w:rPr>
          <w:rFonts w:eastAsia="Times New Roman" w:cs="Arial"/>
          <w:color w:val="000000"/>
          <w:lang w:eastAsia="bg-BG"/>
        </w:rPr>
      </w:pPr>
    </w:p>
    <w:p w14:paraId="1ECFC02A" w14:textId="5AB4CC15" w:rsidR="008E5730" w:rsidRDefault="008E5730" w:rsidP="008E5730">
      <w:r>
        <w:t>Описание на избрани нежелани реакции:</w:t>
      </w:r>
    </w:p>
    <w:p w14:paraId="256D8AA1" w14:textId="77777777" w:rsidR="008E5730" w:rsidRDefault="008E5730" w:rsidP="008E5730">
      <w:pPr>
        <w:spacing w:line="240" w:lineRule="auto"/>
        <w:rPr>
          <w:rFonts w:eastAsia="Times New Roman" w:cs="Arial"/>
          <w:color w:val="000000"/>
          <w:lang w:eastAsia="bg-BG"/>
        </w:rPr>
      </w:pPr>
    </w:p>
    <w:p w14:paraId="663A5B89" w14:textId="3A3885B0" w:rsidR="008E5730" w:rsidRPr="008E5730" w:rsidRDefault="008E5730" w:rsidP="008E5730">
      <w:pPr>
        <w:spacing w:line="240" w:lineRule="auto"/>
        <w:rPr>
          <w:rFonts w:eastAsia="Times New Roman" w:cs="Arial"/>
        </w:rPr>
      </w:pPr>
      <w:r w:rsidRPr="008E5730">
        <w:rPr>
          <w:rFonts w:eastAsia="Times New Roman" w:cs="Arial"/>
          <w:color w:val="000000"/>
          <w:lang w:eastAsia="bg-BG"/>
        </w:rPr>
        <w:t xml:space="preserve">Използването на </w:t>
      </w:r>
      <w:proofErr w:type="spellStart"/>
      <w:r w:rsidRPr="008E5730">
        <w:rPr>
          <w:rFonts w:eastAsia="Times New Roman" w:cs="Arial"/>
          <w:color w:val="000000"/>
          <w:lang w:val="en-US"/>
        </w:rPr>
        <w:t>GnRH</w:t>
      </w:r>
      <w:proofErr w:type="spellEnd"/>
      <w:r w:rsidRPr="008E5730">
        <w:rPr>
          <w:rFonts w:eastAsia="Times New Roman" w:cs="Arial"/>
          <w:color w:val="000000"/>
          <w:lang w:val="ru-RU"/>
        </w:rPr>
        <w:t xml:space="preserve"> </w:t>
      </w:r>
      <w:r w:rsidRPr="008E5730">
        <w:rPr>
          <w:rFonts w:eastAsia="Times New Roman" w:cs="Arial"/>
          <w:color w:val="000000"/>
          <w:lang w:eastAsia="bg-BG"/>
        </w:rPr>
        <w:t>агонисти за лечение на рак на простатата може да се свърже със загуба на костна плътност и може да доведе до остеопороза и увеличен риск от костни фрактури. Може да се получи лека загуба на плътност в трабекуларната кост. Това обикновено е обратимо в рамките на 6-9 месеца след преустановяване на лечението (виж раздел 4.4).</w:t>
      </w:r>
    </w:p>
    <w:p w14:paraId="785D101B" w14:textId="77777777" w:rsidR="008E5730" w:rsidRDefault="008E5730" w:rsidP="008E5730">
      <w:pPr>
        <w:spacing w:line="240" w:lineRule="auto"/>
        <w:rPr>
          <w:rFonts w:eastAsia="Times New Roman" w:cs="Arial"/>
          <w:b/>
          <w:bCs/>
          <w:color w:val="000000"/>
          <w:lang w:eastAsia="bg-BG"/>
        </w:rPr>
      </w:pPr>
    </w:p>
    <w:p w14:paraId="67D69266" w14:textId="5BE842F1" w:rsidR="008E5730" w:rsidRPr="008E5730" w:rsidRDefault="008E5730" w:rsidP="008E5730">
      <w:pPr>
        <w:spacing w:line="240" w:lineRule="auto"/>
        <w:rPr>
          <w:rFonts w:eastAsia="Times New Roman" w:cs="Arial"/>
        </w:rPr>
      </w:pPr>
      <w:r w:rsidRPr="008E5730">
        <w:rPr>
          <w:rFonts w:eastAsia="Times New Roman" w:cs="Arial"/>
          <w:b/>
          <w:bCs/>
          <w:color w:val="000000"/>
          <w:lang w:eastAsia="bg-BG"/>
        </w:rPr>
        <w:t xml:space="preserve">Жени (даун регулация и превенция на преждевременни </w:t>
      </w:r>
      <w:r w:rsidRPr="008E5730">
        <w:rPr>
          <w:rFonts w:eastAsia="Times New Roman" w:cs="Arial"/>
          <w:b/>
          <w:bCs/>
          <w:color w:val="000000"/>
          <w:lang w:val="en-US"/>
        </w:rPr>
        <w:t>LH</w:t>
      </w:r>
      <w:r w:rsidRPr="008E5730">
        <w:rPr>
          <w:rFonts w:eastAsia="Times New Roman" w:cs="Arial"/>
          <w:b/>
          <w:bCs/>
          <w:color w:val="000000"/>
          <w:lang w:val="ru-RU"/>
        </w:rPr>
        <w:t xml:space="preserve"> </w:t>
      </w:r>
      <w:r w:rsidRPr="008E5730">
        <w:rPr>
          <w:rFonts w:eastAsia="Times New Roman" w:cs="Arial"/>
          <w:b/>
          <w:bCs/>
          <w:color w:val="000000"/>
          <w:lang w:eastAsia="bg-BG"/>
        </w:rPr>
        <w:t>удари):</w:t>
      </w:r>
    </w:p>
    <w:p w14:paraId="1F667F90" w14:textId="77777777" w:rsidR="008E5730" w:rsidRDefault="008E5730" w:rsidP="008E5730">
      <w:pPr>
        <w:spacing w:line="240" w:lineRule="auto"/>
        <w:rPr>
          <w:rFonts w:eastAsia="Times New Roman" w:cs="Arial"/>
          <w:color w:val="000000"/>
          <w:lang w:eastAsia="bg-BG"/>
        </w:rPr>
      </w:pPr>
    </w:p>
    <w:p w14:paraId="2DBB4805" w14:textId="253FE5FA" w:rsidR="008E5730" w:rsidRPr="008E5730" w:rsidRDefault="008E5730" w:rsidP="008E5730">
      <w:pPr>
        <w:spacing w:line="240" w:lineRule="auto"/>
        <w:rPr>
          <w:rFonts w:eastAsia="Times New Roman" w:cs="Arial"/>
        </w:rPr>
      </w:pPr>
      <w:r w:rsidRPr="008E5730">
        <w:rPr>
          <w:rFonts w:eastAsia="Times New Roman" w:cs="Arial"/>
          <w:color w:val="000000"/>
          <w:lang w:eastAsia="bg-BG"/>
        </w:rPr>
        <w:t>Резюме на профила на безопасност:</w:t>
      </w:r>
    </w:p>
    <w:p w14:paraId="04C6B00D" w14:textId="77777777" w:rsidR="008E5730" w:rsidRPr="008E5730" w:rsidRDefault="008E5730" w:rsidP="008E5730">
      <w:pPr>
        <w:spacing w:line="240" w:lineRule="auto"/>
        <w:rPr>
          <w:rFonts w:eastAsia="Times New Roman" w:cs="Arial"/>
        </w:rPr>
      </w:pPr>
      <w:r w:rsidRPr="008E5730">
        <w:rPr>
          <w:rFonts w:eastAsia="Times New Roman" w:cs="Arial"/>
          <w:color w:val="000000"/>
          <w:lang w:eastAsia="bg-BG"/>
        </w:rPr>
        <w:t>Най-честите нежелани лекарствени реакции са главоболие (0.6%) и синдром на овариалната хиперстимулация (0.6%). Когато се използва за лечение на безплодие, синдром на овариалната хиперстимулация (виж точка 4.4), може да се наблюдават разширяване на яйчниците, диспнея, болки в таза и/или корема.</w:t>
      </w:r>
    </w:p>
    <w:p w14:paraId="555C9A18" w14:textId="77777777" w:rsidR="008E5730" w:rsidRPr="008E5730" w:rsidRDefault="008E5730" w:rsidP="008E5730">
      <w:pPr>
        <w:spacing w:line="240" w:lineRule="auto"/>
        <w:rPr>
          <w:rFonts w:eastAsia="Times New Roman" w:cs="Arial"/>
        </w:rPr>
      </w:pPr>
      <w:r w:rsidRPr="008E5730">
        <w:rPr>
          <w:rFonts w:eastAsia="Times New Roman" w:cs="Arial"/>
          <w:color w:val="000000"/>
          <w:lang w:eastAsia="bg-BG"/>
        </w:rPr>
        <w:t>Съобщавана е нечеста проява на кисти на яйчниците (0,2%) по време на първоначалната фаза от лечението с ДЕКАПЕПТИЛ.</w:t>
      </w:r>
    </w:p>
    <w:p w14:paraId="13987C61" w14:textId="77777777" w:rsidR="008E5730" w:rsidRDefault="008E5730" w:rsidP="008E5730">
      <w:pPr>
        <w:spacing w:line="240" w:lineRule="auto"/>
        <w:rPr>
          <w:rFonts w:eastAsia="Times New Roman" w:cs="Arial"/>
          <w:color w:val="000000"/>
          <w:lang w:eastAsia="bg-BG"/>
        </w:rPr>
      </w:pPr>
    </w:p>
    <w:p w14:paraId="5C906D79" w14:textId="1399EFFD" w:rsidR="008E5730" w:rsidRPr="008E5730" w:rsidRDefault="008E5730" w:rsidP="008E5730">
      <w:pPr>
        <w:spacing w:line="240" w:lineRule="auto"/>
        <w:rPr>
          <w:rFonts w:eastAsia="Times New Roman" w:cs="Arial"/>
        </w:rPr>
      </w:pPr>
      <w:r w:rsidRPr="008E5730">
        <w:rPr>
          <w:rFonts w:eastAsia="Times New Roman" w:cs="Arial"/>
          <w:color w:val="000000"/>
          <w:lang w:eastAsia="bg-BG"/>
        </w:rPr>
        <w:t>Не са наблюдавани анафилактични реакции при клиничните проучвания, като е съобщено за много малко случаи на свръхчувствителност в периода на използване след пускането на пазара.</w:t>
      </w:r>
    </w:p>
    <w:p w14:paraId="70915C97" w14:textId="77777777" w:rsidR="008E5730" w:rsidRDefault="008E5730" w:rsidP="008E5730">
      <w:pPr>
        <w:spacing w:line="240" w:lineRule="auto"/>
        <w:rPr>
          <w:rFonts w:eastAsia="Times New Roman" w:cs="Arial"/>
          <w:color w:val="000000"/>
          <w:lang w:eastAsia="bg-BG"/>
        </w:rPr>
      </w:pPr>
    </w:p>
    <w:p w14:paraId="2BC4A43C" w14:textId="689D2B41" w:rsidR="008E5730" w:rsidRPr="008E5730" w:rsidRDefault="008E5730" w:rsidP="008E5730">
      <w:pPr>
        <w:spacing w:line="240" w:lineRule="auto"/>
        <w:rPr>
          <w:rFonts w:eastAsia="Times New Roman" w:cs="Arial"/>
        </w:rPr>
      </w:pPr>
      <w:r w:rsidRPr="008E5730">
        <w:rPr>
          <w:rFonts w:eastAsia="Times New Roman" w:cs="Arial"/>
          <w:color w:val="000000"/>
          <w:lang w:eastAsia="bg-BG"/>
        </w:rPr>
        <w:t>Резюме на нежеланите лекарствени реакции в таблична форма:</w:t>
      </w:r>
    </w:p>
    <w:p w14:paraId="31DD4D24" w14:textId="77777777" w:rsidR="008E5730" w:rsidRPr="008E5730" w:rsidRDefault="008E5730" w:rsidP="008E5730">
      <w:pPr>
        <w:spacing w:line="240" w:lineRule="auto"/>
        <w:rPr>
          <w:rFonts w:eastAsia="Times New Roman" w:cs="Arial"/>
        </w:rPr>
      </w:pPr>
      <w:r w:rsidRPr="008E5730">
        <w:rPr>
          <w:rFonts w:eastAsia="Times New Roman" w:cs="Arial"/>
          <w:color w:val="000000"/>
          <w:lang w:eastAsia="bg-BG"/>
        </w:rPr>
        <w:t xml:space="preserve">Въз основа на честотата на нежеланите лекарствени реакции, съобщени по време на клиничните проучвания с ДЕКАПЕПТИЛ при жени с даун регулация и предотвратяване на </w:t>
      </w:r>
      <w:r w:rsidRPr="008E5730">
        <w:rPr>
          <w:rFonts w:eastAsia="Times New Roman" w:cs="Arial"/>
          <w:color w:val="000000"/>
          <w:lang w:val="en-US"/>
        </w:rPr>
        <w:t>LH</w:t>
      </w:r>
      <w:r w:rsidRPr="008E5730">
        <w:rPr>
          <w:rFonts w:eastAsia="Times New Roman" w:cs="Arial"/>
          <w:color w:val="000000"/>
          <w:lang w:val="ru-RU"/>
        </w:rPr>
        <w:t xml:space="preserve"> </w:t>
      </w:r>
      <w:r w:rsidRPr="008E5730">
        <w:rPr>
          <w:rFonts w:eastAsia="Times New Roman" w:cs="Arial"/>
          <w:color w:val="000000"/>
          <w:lang w:eastAsia="bg-BG"/>
        </w:rPr>
        <w:t xml:space="preserve">удари </w:t>
      </w:r>
      <w:r w:rsidRPr="008E5730">
        <w:rPr>
          <w:rFonts w:eastAsia="Times New Roman" w:cs="Arial"/>
          <w:color w:val="000000"/>
          <w:lang w:val="ru-RU"/>
        </w:rPr>
        <w:t>(</w:t>
      </w:r>
      <w:r w:rsidRPr="008E5730">
        <w:rPr>
          <w:rFonts w:eastAsia="Times New Roman" w:cs="Arial"/>
          <w:color w:val="000000"/>
          <w:lang w:val="en-US"/>
        </w:rPr>
        <w:t>N</w:t>
      </w:r>
      <w:r w:rsidRPr="008E5730">
        <w:rPr>
          <w:rFonts w:eastAsia="Times New Roman" w:cs="Arial"/>
          <w:color w:val="000000"/>
          <w:lang w:val="ru-RU"/>
        </w:rPr>
        <w:t xml:space="preserve">=2,934) </w:t>
      </w:r>
      <w:r w:rsidRPr="008E5730">
        <w:rPr>
          <w:rFonts w:eastAsia="Times New Roman" w:cs="Arial"/>
          <w:color w:val="000000"/>
          <w:lang w:eastAsia="bg-BG"/>
        </w:rPr>
        <w:t>в комбинация с опит след пускането на пазара.</w:t>
      </w:r>
    </w:p>
    <w:p w14:paraId="65061B51" w14:textId="766C0638" w:rsidR="008E5730" w:rsidRDefault="008E5730" w:rsidP="008E5730">
      <w:pPr>
        <w:rPr>
          <w:rFonts w:eastAsia="Times New Roman" w:cs="Arial"/>
          <w:color w:val="000000"/>
          <w:lang w:eastAsia="bg-BG"/>
        </w:rPr>
      </w:pPr>
    </w:p>
    <w:tbl>
      <w:tblPr>
        <w:tblStyle w:val="TableGrid"/>
        <w:tblW w:w="0" w:type="auto"/>
        <w:tblLook w:val="04A0" w:firstRow="1" w:lastRow="0" w:firstColumn="1" w:lastColumn="0" w:noHBand="0" w:noVBand="1"/>
      </w:tblPr>
      <w:tblGrid>
        <w:gridCol w:w="3128"/>
        <w:gridCol w:w="3095"/>
        <w:gridCol w:w="3127"/>
      </w:tblGrid>
      <w:tr w:rsidR="008E5730" w14:paraId="24C55F71" w14:textId="77777777" w:rsidTr="00DE5E39">
        <w:tc>
          <w:tcPr>
            <w:tcW w:w="3192" w:type="dxa"/>
            <w:vAlign w:val="bottom"/>
          </w:tcPr>
          <w:p w14:paraId="7C522692" w14:textId="72B1CDCC" w:rsidR="008E5730" w:rsidRPr="008E5730" w:rsidRDefault="008E5730" w:rsidP="008E5730">
            <w:pPr>
              <w:rPr>
                <w:rFonts w:eastAsia="Times New Roman" w:cs="Arial"/>
                <w:color w:val="000000"/>
                <w:lang w:eastAsia="bg-BG"/>
              </w:rPr>
            </w:pPr>
            <w:r w:rsidRPr="008E5730">
              <w:rPr>
                <w:rFonts w:cs="Arial"/>
                <w:b/>
                <w:bCs/>
              </w:rPr>
              <w:t xml:space="preserve">Снстемно-органова класификация </w:t>
            </w:r>
            <w:proofErr w:type="spellStart"/>
            <w:r w:rsidRPr="008E5730">
              <w:rPr>
                <w:rFonts w:cs="Arial"/>
                <w:b/>
                <w:bCs/>
                <w:lang w:val="en-US"/>
              </w:rPr>
              <w:t>MedDRA</w:t>
            </w:r>
            <w:proofErr w:type="spellEnd"/>
          </w:p>
        </w:tc>
        <w:tc>
          <w:tcPr>
            <w:tcW w:w="3192" w:type="dxa"/>
          </w:tcPr>
          <w:p w14:paraId="769EB156" w14:textId="2A3102FF" w:rsidR="008E5730" w:rsidRPr="008E5730" w:rsidRDefault="008E5730" w:rsidP="008E5730">
            <w:pPr>
              <w:rPr>
                <w:rFonts w:eastAsia="Times New Roman" w:cs="Arial"/>
                <w:color w:val="000000"/>
                <w:lang w:eastAsia="bg-BG"/>
              </w:rPr>
            </w:pPr>
            <w:r w:rsidRPr="008E5730">
              <w:rPr>
                <w:rFonts w:cs="Arial"/>
                <w:b/>
                <w:bCs/>
              </w:rPr>
              <w:t>Нечести (≥1/1,000 до &lt;1/100)</w:t>
            </w:r>
          </w:p>
        </w:tc>
        <w:tc>
          <w:tcPr>
            <w:tcW w:w="3192" w:type="dxa"/>
          </w:tcPr>
          <w:p w14:paraId="41062BA6" w14:textId="354CBC17" w:rsidR="008E5730" w:rsidRPr="008E5730" w:rsidRDefault="008E5730" w:rsidP="008E5730">
            <w:pPr>
              <w:rPr>
                <w:rFonts w:eastAsia="Times New Roman" w:cs="Arial"/>
                <w:color w:val="000000"/>
                <w:lang w:eastAsia="bg-BG"/>
              </w:rPr>
            </w:pPr>
            <w:r w:rsidRPr="008E5730">
              <w:rPr>
                <w:rFonts w:cs="Arial"/>
                <w:b/>
                <w:bCs/>
              </w:rPr>
              <w:t>С неизвестна честота*</w:t>
            </w:r>
          </w:p>
        </w:tc>
      </w:tr>
      <w:tr w:rsidR="008E5730" w14:paraId="6836A3E6" w14:textId="77777777" w:rsidTr="00DE5E39">
        <w:tc>
          <w:tcPr>
            <w:tcW w:w="3192" w:type="dxa"/>
            <w:vAlign w:val="bottom"/>
          </w:tcPr>
          <w:p w14:paraId="42EB2740" w14:textId="5BD894D2" w:rsidR="008E5730" w:rsidRPr="008E5730" w:rsidRDefault="008E5730" w:rsidP="008E5730">
            <w:pPr>
              <w:rPr>
                <w:rFonts w:eastAsia="Times New Roman" w:cs="Arial"/>
                <w:color w:val="000000"/>
                <w:lang w:eastAsia="bg-BG"/>
              </w:rPr>
            </w:pPr>
            <w:r w:rsidRPr="008E5730">
              <w:rPr>
                <w:rFonts w:cs="Arial"/>
              </w:rPr>
              <w:t>Нарушения в имунната система</w:t>
            </w:r>
          </w:p>
        </w:tc>
        <w:tc>
          <w:tcPr>
            <w:tcW w:w="3192" w:type="dxa"/>
          </w:tcPr>
          <w:p w14:paraId="524D9ABD" w14:textId="77777777" w:rsidR="008E5730" w:rsidRPr="008E5730" w:rsidRDefault="008E5730" w:rsidP="008E5730">
            <w:pPr>
              <w:rPr>
                <w:rFonts w:eastAsia="Times New Roman" w:cs="Arial"/>
                <w:color w:val="000000"/>
                <w:lang w:eastAsia="bg-BG"/>
              </w:rPr>
            </w:pPr>
          </w:p>
        </w:tc>
        <w:tc>
          <w:tcPr>
            <w:tcW w:w="3192" w:type="dxa"/>
          </w:tcPr>
          <w:p w14:paraId="0636325C" w14:textId="1ED22DA8" w:rsidR="008E5730" w:rsidRPr="008E5730" w:rsidRDefault="008E5730" w:rsidP="008E5730">
            <w:pPr>
              <w:rPr>
                <w:rFonts w:eastAsia="Times New Roman" w:cs="Arial"/>
                <w:color w:val="000000"/>
                <w:lang w:eastAsia="bg-BG"/>
              </w:rPr>
            </w:pPr>
            <w:r w:rsidRPr="008E5730">
              <w:t>Свръхчувствителност</w:t>
            </w:r>
          </w:p>
        </w:tc>
      </w:tr>
      <w:tr w:rsidR="008E5730" w14:paraId="08B773B7" w14:textId="77777777" w:rsidTr="00DE5E39">
        <w:tc>
          <w:tcPr>
            <w:tcW w:w="3192" w:type="dxa"/>
            <w:vAlign w:val="bottom"/>
          </w:tcPr>
          <w:p w14:paraId="133A9C67" w14:textId="002E590E" w:rsidR="008E5730" w:rsidRPr="008E5730" w:rsidRDefault="008E5730" w:rsidP="008E5730">
            <w:pPr>
              <w:rPr>
                <w:rFonts w:eastAsia="Times New Roman" w:cs="Arial"/>
                <w:color w:val="000000"/>
                <w:lang w:eastAsia="bg-BG"/>
              </w:rPr>
            </w:pPr>
            <w:r w:rsidRPr="008E5730">
              <w:rPr>
                <w:rFonts w:cs="Arial"/>
              </w:rPr>
              <w:t>Нарушения на нервната система</w:t>
            </w:r>
          </w:p>
        </w:tc>
        <w:tc>
          <w:tcPr>
            <w:tcW w:w="3192" w:type="dxa"/>
          </w:tcPr>
          <w:p w14:paraId="4A8ED9D5" w14:textId="0D1B2B75" w:rsidR="008E5730" w:rsidRPr="008E5730" w:rsidRDefault="008E5730" w:rsidP="008E5730">
            <w:pPr>
              <w:rPr>
                <w:rFonts w:eastAsia="Times New Roman" w:cs="Arial"/>
                <w:color w:val="000000"/>
                <w:lang w:eastAsia="bg-BG"/>
              </w:rPr>
            </w:pPr>
            <w:r w:rsidRPr="008E5730">
              <w:t>Главоболие</w:t>
            </w:r>
          </w:p>
        </w:tc>
        <w:tc>
          <w:tcPr>
            <w:tcW w:w="3192" w:type="dxa"/>
          </w:tcPr>
          <w:p w14:paraId="6547A5FB" w14:textId="77777777" w:rsidR="008E5730" w:rsidRPr="008E5730" w:rsidRDefault="008E5730" w:rsidP="008E5730">
            <w:pPr>
              <w:rPr>
                <w:rFonts w:eastAsia="Times New Roman" w:cs="Arial"/>
                <w:color w:val="000000"/>
                <w:lang w:eastAsia="bg-BG"/>
              </w:rPr>
            </w:pPr>
          </w:p>
        </w:tc>
      </w:tr>
      <w:tr w:rsidR="008E5730" w14:paraId="26ADEEA9" w14:textId="77777777" w:rsidTr="00DE5E39">
        <w:tc>
          <w:tcPr>
            <w:tcW w:w="3192" w:type="dxa"/>
          </w:tcPr>
          <w:p w14:paraId="00DEEBAE" w14:textId="665ED1EA" w:rsidR="008E5730" w:rsidRPr="008E5730" w:rsidRDefault="008E5730" w:rsidP="008E5730">
            <w:pPr>
              <w:rPr>
                <w:rFonts w:eastAsia="Times New Roman" w:cs="Arial"/>
                <w:color w:val="000000"/>
                <w:lang w:eastAsia="bg-BG"/>
              </w:rPr>
            </w:pPr>
            <w:r w:rsidRPr="008E5730">
              <w:rPr>
                <w:rFonts w:cs="Arial"/>
              </w:rPr>
              <w:t>Нарушения на очите</w:t>
            </w:r>
          </w:p>
        </w:tc>
        <w:tc>
          <w:tcPr>
            <w:tcW w:w="3192" w:type="dxa"/>
          </w:tcPr>
          <w:p w14:paraId="03042E88" w14:textId="77777777" w:rsidR="008E5730" w:rsidRPr="008E5730" w:rsidRDefault="008E5730" w:rsidP="008E5730">
            <w:pPr>
              <w:rPr>
                <w:rFonts w:eastAsia="Times New Roman" w:cs="Arial"/>
                <w:color w:val="000000"/>
                <w:lang w:eastAsia="bg-BG"/>
              </w:rPr>
            </w:pPr>
          </w:p>
        </w:tc>
        <w:tc>
          <w:tcPr>
            <w:tcW w:w="3192" w:type="dxa"/>
            <w:vAlign w:val="bottom"/>
          </w:tcPr>
          <w:p w14:paraId="5279D359" w14:textId="5EA7DEE1" w:rsidR="008E5730" w:rsidRPr="008E5730" w:rsidRDefault="008E5730" w:rsidP="008E5730">
            <w:pPr>
              <w:rPr>
                <w:rFonts w:eastAsia="Times New Roman" w:cs="Arial"/>
                <w:color w:val="000000"/>
                <w:lang w:eastAsia="bg-BG"/>
              </w:rPr>
            </w:pPr>
            <w:r w:rsidRPr="008E5730">
              <w:t>Замъглено виждане, нарушение на зрението</w:t>
            </w:r>
          </w:p>
        </w:tc>
      </w:tr>
      <w:tr w:rsidR="008E5730" w14:paraId="2C732578" w14:textId="77777777" w:rsidTr="00DE5E39">
        <w:tc>
          <w:tcPr>
            <w:tcW w:w="3192" w:type="dxa"/>
            <w:vAlign w:val="bottom"/>
          </w:tcPr>
          <w:p w14:paraId="79A99525" w14:textId="691E4955" w:rsidR="008E5730" w:rsidRPr="008E5730" w:rsidRDefault="008E5730" w:rsidP="008E5730">
            <w:pPr>
              <w:rPr>
                <w:rFonts w:eastAsia="Times New Roman" w:cs="Arial"/>
                <w:color w:val="000000"/>
                <w:lang w:eastAsia="bg-BG"/>
              </w:rPr>
            </w:pPr>
            <w:r w:rsidRPr="008E5730">
              <w:rPr>
                <w:rFonts w:cs="Arial"/>
              </w:rPr>
              <w:t>Съдови нарушения</w:t>
            </w:r>
          </w:p>
        </w:tc>
        <w:tc>
          <w:tcPr>
            <w:tcW w:w="3192" w:type="dxa"/>
            <w:vAlign w:val="bottom"/>
          </w:tcPr>
          <w:p w14:paraId="79CB9EC7" w14:textId="49F03BC9" w:rsidR="008E5730" w:rsidRPr="008E5730" w:rsidRDefault="008E5730" w:rsidP="008E5730">
            <w:pPr>
              <w:rPr>
                <w:rFonts w:eastAsia="Times New Roman" w:cs="Arial"/>
                <w:color w:val="000000"/>
                <w:lang w:eastAsia="bg-BG"/>
              </w:rPr>
            </w:pPr>
            <w:r w:rsidRPr="008E5730">
              <w:t>Горещи вълни</w:t>
            </w:r>
          </w:p>
        </w:tc>
        <w:tc>
          <w:tcPr>
            <w:tcW w:w="3192" w:type="dxa"/>
          </w:tcPr>
          <w:p w14:paraId="13973FB1" w14:textId="77777777" w:rsidR="008E5730" w:rsidRPr="008E5730" w:rsidRDefault="008E5730" w:rsidP="008E5730">
            <w:pPr>
              <w:rPr>
                <w:rFonts w:eastAsia="Times New Roman" w:cs="Arial"/>
                <w:color w:val="000000"/>
                <w:lang w:eastAsia="bg-BG"/>
              </w:rPr>
            </w:pPr>
          </w:p>
        </w:tc>
      </w:tr>
      <w:tr w:rsidR="008E5730" w14:paraId="602474F7" w14:textId="77777777" w:rsidTr="00DE5E39">
        <w:tc>
          <w:tcPr>
            <w:tcW w:w="3192" w:type="dxa"/>
            <w:vAlign w:val="bottom"/>
          </w:tcPr>
          <w:p w14:paraId="587140F6" w14:textId="5669E26A" w:rsidR="008E5730" w:rsidRPr="008E5730" w:rsidRDefault="008E5730" w:rsidP="008E5730">
            <w:pPr>
              <w:rPr>
                <w:rFonts w:eastAsia="Times New Roman" w:cs="Arial"/>
                <w:color w:val="000000"/>
                <w:lang w:eastAsia="bg-BG"/>
              </w:rPr>
            </w:pPr>
            <w:r w:rsidRPr="008E5730">
              <w:rPr>
                <w:rFonts w:cs="Arial"/>
              </w:rPr>
              <w:lastRenderedPageBreak/>
              <w:t>Респираторни, гръдни и медиастинални нарушения</w:t>
            </w:r>
          </w:p>
        </w:tc>
        <w:tc>
          <w:tcPr>
            <w:tcW w:w="3192" w:type="dxa"/>
          </w:tcPr>
          <w:p w14:paraId="0BD60B71" w14:textId="77777777" w:rsidR="008E5730" w:rsidRPr="008E5730" w:rsidRDefault="008E5730" w:rsidP="008E5730">
            <w:pPr>
              <w:rPr>
                <w:rFonts w:eastAsia="Times New Roman" w:cs="Arial"/>
                <w:color w:val="000000"/>
                <w:lang w:eastAsia="bg-BG"/>
              </w:rPr>
            </w:pPr>
          </w:p>
        </w:tc>
        <w:tc>
          <w:tcPr>
            <w:tcW w:w="3192" w:type="dxa"/>
          </w:tcPr>
          <w:p w14:paraId="2D819B02" w14:textId="371FE509" w:rsidR="008E5730" w:rsidRPr="008E5730" w:rsidRDefault="008E5730" w:rsidP="008E5730">
            <w:pPr>
              <w:rPr>
                <w:rFonts w:eastAsia="Times New Roman" w:cs="Arial"/>
                <w:color w:val="000000"/>
                <w:lang w:eastAsia="bg-BG"/>
              </w:rPr>
            </w:pPr>
            <w:r w:rsidRPr="008E5730">
              <w:t>Диспнея</w:t>
            </w:r>
          </w:p>
        </w:tc>
      </w:tr>
      <w:tr w:rsidR="008E5730" w14:paraId="2701C5FF" w14:textId="77777777" w:rsidTr="00DE5E39">
        <w:tc>
          <w:tcPr>
            <w:tcW w:w="3192" w:type="dxa"/>
            <w:vAlign w:val="bottom"/>
          </w:tcPr>
          <w:p w14:paraId="71A80E61" w14:textId="5DA24CA8" w:rsidR="008E5730" w:rsidRPr="008E5730" w:rsidRDefault="008E5730" w:rsidP="008E5730">
            <w:pPr>
              <w:rPr>
                <w:rFonts w:eastAsia="Times New Roman" w:cs="Arial"/>
                <w:color w:val="000000"/>
                <w:lang w:eastAsia="bg-BG"/>
              </w:rPr>
            </w:pPr>
            <w:r w:rsidRPr="008E5730">
              <w:rPr>
                <w:rFonts w:cs="Arial"/>
              </w:rPr>
              <w:t>Стомашно-чревни нарушения</w:t>
            </w:r>
          </w:p>
        </w:tc>
        <w:tc>
          <w:tcPr>
            <w:tcW w:w="3192" w:type="dxa"/>
          </w:tcPr>
          <w:p w14:paraId="573C9998" w14:textId="77777777" w:rsidR="008E5730" w:rsidRPr="008E5730" w:rsidRDefault="008E5730" w:rsidP="008E5730">
            <w:pPr>
              <w:rPr>
                <w:rFonts w:eastAsia="Times New Roman" w:cs="Arial"/>
                <w:color w:val="000000"/>
                <w:lang w:eastAsia="bg-BG"/>
              </w:rPr>
            </w:pPr>
          </w:p>
        </w:tc>
        <w:tc>
          <w:tcPr>
            <w:tcW w:w="3192" w:type="dxa"/>
          </w:tcPr>
          <w:p w14:paraId="4ADD4DE2" w14:textId="3663A053" w:rsidR="008E5730" w:rsidRPr="008E5730" w:rsidRDefault="008E5730" w:rsidP="008E5730">
            <w:pPr>
              <w:rPr>
                <w:rFonts w:eastAsia="Times New Roman" w:cs="Arial"/>
                <w:color w:val="000000"/>
                <w:lang w:eastAsia="bg-BG"/>
              </w:rPr>
            </w:pPr>
            <w:r w:rsidRPr="008E5730">
              <w:t>Болки в корема</w:t>
            </w:r>
          </w:p>
        </w:tc>
      </w:tr>
      <w:tr w:rsidR="008E5730" w14:paraId="1C132138" w14:textId="77777777" w:rsidTr="00DE5E39">
        <w:tc>
          <w:tcPr>
            <w:tcW w:w="3192" w:type="dxa"/>
            <w:vAlign w:val="bottom"/>
          </w:tcPr>
          <w:p w14:paraId="0A159AE3" w14:textId="270A5B15" w:rsidR="008E5730" w:rsidRPr="008E5730" w:rsidRDefault="008E5730" w:rsidP="008E5730">
            <w:pPr>
              <w:rPr>
                <w:rFonts w:eastAsia="Times New Roman" w:cs="Arial"/>
                <w:color w:val="000000"/>
                <w:lang w:eastAsia="bg-BG"/>
              </w:rPr>
            </w:pPr>
            <w:r w:rsidRPr="008E5730">
              <w:rPr>
                <w:rFonts w:cs="Arial"/>
              </w:rPr>
              <w:t>Нарушения на кожата и подкожната тъкан</w:t>
            </w:r>
          </w:p>
        </w:tc>
        <w:tc>
          <w:tcPr>
            <w:tcW w:w="3192" w:type="dxa"/>
          </w:tcPr>
          <w:p w14:paraId="79E3A25F" w14:textId="77777777" w:rsidR="008E5730" w:rsidRPr="008E5730" w:rsidRDefault="008E5730" w:rsidP="008E5730">
            <w:pPr>
              <w:rPr>
                <w:rFonts w:eastAsia="Times New Roman" w:cs="Arial"/>
                <w:color w:val="000000"/>
                <w:lang w:eastAsia="bg-BG"/>
              </w:rPr>
            </w:pPr>
          </w:p>
        </w:tc>
        <w:tc>
          <w:tcPr>
            <w:tcW w:w="3192" w:type="dxa"/>
            <w:vAlign w:val="bottom"/>
          </w:tcPr>
          <w:p w14:paraId="2CD90149" w14:textId="535500AE" w:rsidR="008E5730" w:rsidRPr="008E5730" w:rsidRDefault="008E5730" w:rsidP="008E5730">
            <w:pPr>
              <w:rPr>
                <w:rFonts w:eastAsia="Times New Roman" w:cs="Arial"/>
                <w:color w:val="000000"/>
                <w:lang w:eastAsia="bg-BG"/>
              </w:rPr>
            </w:pPr>
            <w:r w:rsidRPr="008E5730">
              <w:t>Хиперхидроза, сърбеж, уртикария, обрив, ангиоедем</w:t>
            </w:r>
          </w:p>
        </w:tc>
      </w:tr>
      <w:tr w:rsidR="008E5730" w14:paraId="5AC8788C" w14:textId="77777777" w:rsidTr="00DE5E39">
        <w:tc>
          <w:tcPr>
            <w:tcW w:w="3192" w:type="dxa"/>
          </w:tcPr>
          <w:p w14:paraId="24EE10B3" w14:textId="7F07FB0F" w:rsidR="008E5730" w:rsidRPr="008E5730" w:rsidRDefault="008E5730" w:rsidP="008E5730">
            <w:pPr>
              <w:rPr>
                <w:rFonts w:eastAsia="Times New Roman" w:cs="Arial"/>
                <w:color w:val="000000"/>
                <w:lang w:eastAsia="bg-BG"/>
              </w:rPr>
            </w:pPr>
            <w:r w:rsidRPr="008E5730">
              <w:rPr>
                <w:rFonts w:cs="Arial"/>
              </w:rPr>
              <w:t>Нарушения на възпроизводителната система и гърдата</w:t>
            </w:r>
          </w:p>
        </w:tc>
        <w:tc>
          <w:tcPr>
            <w:tcW w:w="3192" w:type="dxa"/>
            <w:vAlign w:val="bottom"/>
          </w:tcPr>
          <w:p w14:paraId="5C037513" w14:textId="70376535" w:rsidR="008E5730" w:rsidRPr="008E5730" w:rsidRDefault="008E5730" w:rsidP="008E5730">
            <w:pPr>
              <w:rPr>
                <w:rFonts w:eastAsia="Times New Roman" w:cs="Arial"/>
                <w:color w:val="000000"/>
                <w:lang w:eastAsia="bg-BG"/>
              </w:rPr>
            </w:pPr>
            <w:r w:rsidRPr="008E5730">
              <w:t>синдром на овариалната хиперстимулация, киста на яйчниците **</w:t>
            </w:r>
          </w:p>
        </w:tc>
        <w:tc>
          <w:tcPr>
            <w:tcW w:w="3192" w:type="dxa"/>
          </w:tcPr>
          <w:p w14:paraId="18329EB6" w14:textId="77777777" w:rsidR="008E5730" w:rsidRPr="008E5730" w:rsidRDefault="008E5730" w:rsidP="008E5730">
            <w:r w:rsidRPr="008E5730">
              <w:t>Разширяване на яйчниците, болки в</w:t>
            </w:r>
          </w:p>
          <w:p w14:paraId="0BAF2FC6" w14:textId="68FF7AB7" w:rsidR="008E5730" w:rsidRPr="008E5730" w:rsidRDefault="008E5730" w:rsidP="008E5730">
            <w:pPr>
              <w:rPr>
                <w:rFonts w:eastAsia="Times New Roman" w:cs="Arial"/>
                <w:color w:val="000000"/>
                <w:lang w:eastAsia="bg-BG"/>
              </w:rPr>
            </w:pPr>
            <w:r w:rsidRPr="008E5730">
              <w:t>таза</w:t>
            </w:r>
          </w:p>
        </w:tc>
      </w:tr>
      <w:tr w:rsidR="008E5730" w14:paraId="448689DD" w14:textId="77777777" w:rsidTr="00DE5E39">
        <w:tc>
          <w:tcPr>
            <w:tcW w:w="3192" w:type="dxa"/>
          </w:tcPr>
          <w:p w14:paraId="57C586D9" w14:textId="2C13AD13" w:rsidR="008E5730" w:rsidRPr="008E5730" w:rsidRDefault="008E5730" w:rsidP="008E5730">
            <w:pPr>
              <w:rPr>
                <w:rFonts w:eastAsia="Times New Roman" w:cs="Arial"/>
                <w:color w:val="000000"/>
                <w:lang w:eastAsia="bg-BG"/>
              </w:rPr>
            </w:pPr>
            <w:r w:rsidRPr="008E5730">
              <w:rPr>
                <w:rFonts w:cs="Arial"/>
              </w:rPr>
              <w:t>Общи нарушения и ефекти на мястото на приложение</w:t>
            </w:r>
          </w:p>
        </w:tc>
        <w:tc>
          <w:tcPr>
            <w:tcW w:w="3192" w:type="dxa"/>
            <w:vAlign w:val="bottom"/>
          </w:tcPr>
          <w:p w14:paraId="09E38FA4" w14:textId="77777777" w:rsidR="008E5730" w:rsidRPr="008E5730" w:rsidRDefault="008E5730" w:rsidP="008E5730">
            <w:r w:rsidRPr="008E5730">
              <w:t xml:space="preserve">Еритема на мястото на инжектиране, болка на мястото на инжектиране, хематом на мястото </w:t>
            </w:r>
          </w:p>
          <w:p w14:paraId="4FD31390" w14:textId="7A0A42F8" w:rsidR="008E5730" w:rsidRPr="008E5730" w:rsidRDefault="008E5730" w:rsidP="008E5730">
            <w:pPr>
              <w:rPr>
                <w:rFonts w:eastAsia="Times New Roman" w:cs="Arial"/>
                <w:color w:val="000000"/>
                <w:lang w:eastAsia="bg-BG"/>
              </w:rPr>
            </w:pPr>
            <w:r w:rsidRPr="008E5730">
              <w:t>на инжектиране</w:t>
            </w:r>
          </w:p>
        </w:tc>
        <w:tc>
          <w:tcPr>
            <w:tcW w:w="3192" w:type="dxa"/>
          </w:tcPr>
          <w:p w14:paraId="6FA26841" w14:textId="76B80D5D" w:rsidR="008E5730" w:rsidRPr="008E5730" w:rsidRDefault="008E5730" w:rsidP="008E5730">
            <w:pPr>
              <w:rPr>
                <w:rFonts w:eastAsia="Times New Roman" w:cs="Arial"/>
                <w:color w:val="000000"/>
                <w:lang w:eastAsia="bg-BG"/>
              </w:rPr>
            </w:pPr>
            <w:r w:rsidRPr="008E5730">
              <w:t>Възпаление на мястото на инжектиране</w:t>
            </w:r>
          </w:p>
        </w:tc>
      </w:tr>
    </w:tbl>
    <w:p w14:paraId="64CE51B7" w14:textId="77777777" w:rsidR="008E5730" w:rsidRDefault="008E5730" w:rsidP="008E5730">
      <w:pPr>
        <w:spacing w:line="240" w:lineRule="auto"/>
        <w:rPr>
          <w:rFonts w:eastAsia="Times New Roman" w:cs="Arial"/>
          <w:color w:val="000000"/>
          <w:lang w:eastAsia="bg-BG"/>
        </w:rPr>
      </w:pPr>
      <w:r w:rsidRPr="008E5730">
        <w:rPr>
          <w:rFonts w:eastAsia="Times New Roman" w:cs="Arial"/>
          <w:color w:val="000000"/>
          <w:lang w:val="ru-RU" w:eastAsia="bg-BG"/>
        </w:rPr>
        <w:t>*</w:t>
      </w:r>
      <w:proofErr w:type="gramStart"/>
      <w:r w:rsidRPr="008E5730">
        <w:rPr>
          <w:rFonts w:eastAsia="Times New Roman" w:cs="Arial"/>
          <w:color w:val="000000"/>
          <w:lang w:eastAsia="bg-BG"/>
        </w:rPr>
        <w:t>С</w:t>
      </w:r>
      <w:proofErr w:type="gramEnd"/>
      <w:r w:rsidRPr="008E5730">
        <w:rPr>
          <w:rFonts w:eastAsia="Times New Roman" w:cs="Arial"/>
          <w:color w:val="000000"/>
          <w:lang w:eastAsia="bg-BG"/>
        </w:rPr>
        <w:t xml:space="preserve"> неизвестна честота (честотата не може да се определи въз основа на наличните данни)</w:t>
      </w:r>
    </w:p>
    <w:p w14:paraId="3C32B81D" w14:textId="5E33310F" w:rsidR="008E5730" w:rsidRPr="008E5730" w:rsidRDefault="008E5730" w:rsidP="008E5730">
      <w:pPr>
        <w:spacing w:line="240" w:lineRule="auto"/>
        <w:rPr>
          <w:rFonts w:eastAsia="Times New Roman" w:cs="Arial"/>
          <w:color w:val="000000"/>
          <w:lang w:eastAsia="bg-BG"/>
        </w:rPr>
      </w:pPr>
      <w:r w:rsidRPr="008E5730">
        <w:rPr>
          <w:rFonts w:eastAsia="Times New Roman" w:cs="Arial"/>
          <w:color w:val="000000"/>
          <w:lang w:val="ru-RU" w:eastAsia="bg-BG"/>
        </w:rPr>
        <w:t>**</w:t>
      </w:r>
      <w:r w:rsidRPr="008E5730">
        <w:rPr>
          <w:rFonts w:eastAsia="Times New Roman" w:cs="Arial"/>
          <w:color w:val="000000"/>
          <w:lang w:eastAsia="bg-BG"/>
        </w:rPr>
        <w:t xml:space="preserve">Кисти на яйчниците са наблюдавани само в клиничните проучвания, а не в случаи след пускането на пазара. Могат да се проявят по време на началната фаза на лечението с </w:t>
      </w:r>
      <w:proofErr w:type="spellStart"/>
      <w:r w:rsidRPr="008E5730">
        <w:rPr>
          <w:rFonts w:eastAsia="Times New Roman" w:cs="Arial"/>
          <w:color w:val="000000"/>
          <w:lang w:val="en-US"/>
        </w:rPr>
        <w:t>GnRH</w:t>
      </w:r>
      <w:proofErr w:type="spellEnd"/>
      <w:r w:rsidRPr="008E5730">
        <w:rPr>
          <w:rFonts w:eastAsia="Times New Roman" w:cs="Arial"/>
          <w:color w:val="000000"/>
          <w:lang w:val="ru-RU"/>
        </w:rPr>
        <w:t xml:space="preserve"> </w:t>
      </w:r>
      <w:r w:rsidRPr="008E5730">
        <w:rPr>
          <w:rFonts w:eastAsia="Times New Roman" w:cs="Arial"/>
          <w:color w:val="000000"/>
          <w:lang w:eastAsia="bg-BG"/>
        </w:rPr>
        <w:t>агонист. Обикновено са асимптоматични и нефункционални.</w:t>
      </w:r>
    </w:p>
    <w:p w14:paraId="7D6379A8" w14:textId="77777777" w:rsidR="008E5730" w:rsidRDefault="008E5730" w:rsidP="008E5730">
      <w:pPr>
        <w:spacing w:line="240" w:lineRule="auto"/>
        <w:rPr>
          <w:rFonts w:eastAsia="Times New Roman" w:cs="Arial"/>
          <w:b/>
          <w:bCs/>
          <w:color w:val="000000"/>
          <w:lang w:eastAsia="bg-BG"/>
        </w:rPr>
      </w:pPr>
    </w:p>
    <w:p w14:paraId="00CDFB51" w14:textId="6CEDE47D" w:rsidR="008E5730" w:rsidRPr="008E5730" w:rsidRDefault="008E5730" w:rsidP="008E5730">
      <w:pPr>
        <w:spacing w:line="240" w:lineRule="auto"/>
        <w:rPr>
          <w:rFonts w:eastAsia="Times New Roman" w:cs="Arial"/>
        </w:rPr>
      </w:pPr>
      <w:r w:rsidRPr="008E5730">
        <w:rPr>
          <w:rFonts w:eastAsia="Times New Roman" w:cs="Arial"/>
          <w:b/>
          <w:bCs/>
          <w:color w:val="000000"/>
          <w:lang w:eastAsia="bg-BG"/>
        </w:rPr>
        <w:t>Жени (миома на матката и ендометриоза):</w:t>
      </w:r>
    </w:p>
    <w:p w14:paraId="4A98C5FF" w14:textId="77777777" w:rsidR="008E5730" w:rsidRDefault="008E5730" w:rsidP="008E5730">
      <w:pPr>
        <w:spacing w:line="240" w:lineRule="auto"/>
        <w:rPr>
          <w:rFonts w:eastAsia="Times New Roman" w:cs="Arial"/>
          <w:color w:val="000000"/>
          <w:lang w:eastAsia="bg-BG"/>
        </w:rPr>
      </w:pPr>
    </w:p>
    <w:p w14:paraId="792F108A" w14:textId="6C3F11BF" w:rsidR="008E5730" w:rsidRPr="008E5730" w:rsidRDefault="008E5730" w:rsidP="008E5730">
      <w:pPr>
        <w:spacing w:line="240" w:lineRule="auto"/>
        <w:rPr>
          <w:rFonts w:eastAsia="Times New Roman" w:cs="Arial"/>
        </w:rPr>
      </w:pPr>
      <w:r w:rsidRPr="008E5730">
        <w:rPr>
          <w:rFonts w:eastAsia="Times New Roman" w:cs="Arial"/>
          <w:color w:val="000000"/>
          <w:lang w:eastAsia="bg-BG"/>
        </w:rPr>
        <w:t>Резюме на профила на безопасност</w:t>
      </w:r>
    </w:p>
    <w:p w14:paraId="1D9A6E3B" w14:textId="77777777" w:rsidR="008E5730" w:rsidRPr="008E5730" w:rsidRDefault="008E5730" w:rsidP="008E5730">
      <w:pPr>
        <w:spacing w:line="240" w:lineRule="auto"/>
        <w:rPr>
          <w:rFonts w:eastAsia="Times New Roman" w:cs="Arial"/>
        </w:rPr>
      </w:pPr>
      <w:r w:rsidRPr="008E5730">
        <w:rPr>
          <w:rFonts w:eastAsia="Times New Roman" w:cs="Arial"/>
          <w:color w:val="000000"/>
          <w:lang w:eastAsia="bg-BG"/>
        </w:rPr>
        <w:t>В резултат на понижените нива на естроген, най-често съобщаваните нежелани реакции, свързани с лечението с трипторелин, са горещи вълни (60%), главоболие (20%), хиперхидроза (20%), вулвовагинална сухота (19%), намалено либидо (16% ), разстройство на съня (12%), генитално кървене (10%), умора (9%), астения (9%), диспареуния (8%) и промяна на настроението (8%). Освен това, потенциално сериозна нежелана лекарствена реакция, съобщавана при клиничните изпитвания, е депресия (4%)</w:t>
      </w:r>
    </w:p>
    <w:p w14:paraId="32B0E84F" w14:textId="77777777" w:rsidR="008E5730" w:rsidRDefault="008E5730" w:rsidP="008E5730">
      <w:pPr>
        <w:spacing w:line="240" w:lineRule="auto"/>
        <w:rPr>
          <w:rFonts w:eastAsia="Times New Roman" w:cs="Arial"/>
          <w:color w:val="000000"/>
          <w:lang w:eastAsia="bg-BG"/>
        </w:rPr>
      </w:pPr>
    </w:p>
    <w:p w14:paraId="48838242" w14:textId="2C2C1867" w:rsidR="008E5730" w:rsidRPr="008E5730" w:rsidRDefault="008E5730" w:rsidP="008E5730">
      <w:pPr>
        <w:spacing w:line="240" w:lineRule="auto"/>
        <w:rPr>
          <w:rFonts w:eastAsia="Times New Roman" w:cs="Arial"/>
        </w:rPr>
      </w:pPr>
      <w:r w:rsidRPr="008E5730">
        <w:rPr>
          <w:rFonts w:eastAsia="Times New Roman" w:cs="Arial"/>
          <w:color w:val="000000"/>
          <w:lang w:eastAsia="bg-BG"/>
        </w:rPr>
        <w:t>В началото на лечението, симптоми на ендометриоза, включително болки в таза и дисменория, могат да са доста чести (≥10%) в резултат на първоначалното преходно увеличение в нивата на плазмения естрадиол. Тези симптоми са преходни и обикновено изчезват в рамките на една или две седмици.</w:t>
      </w:r>
    </w:p>
    <w:p w14:paraId="43C65EB5" w14:textId="77777777" w:rsidR="008E5730" w:rsidRDefault="008E5730" w:rsidP="008E5730">
      <w:pPr>
        <w:spacing w:line="240" w:lineRule="auto"/>
        <w:rPr>
          <w:rFonts w:eastAsia="Times New Roman" w:cs="Arial"/>
          <w:color w:val="000000"/>
          <w:lang w:eastAsia="bg-BG"/>
        </w:rPr>
      </w:pPr>
    </w:p>
    <w:p w14:paraId="7828F9FC" w14:textId="2B7F0A99" w:rsidR="008E5730" w:rsidRPr="008E5730" w:rsidRDefault="008E5730" w:rsidP="008E5730">
      <w:pPr>
        <w:spacing w:line="240" w:lineRule="auto"/>
        <w:rPr>
          <w:rFonts w:eastAsia="Times New Roman" w:cs="Arial"/>
        </w:rPr>
      </w:pPr>
      <w:r w:rsidRPr="008E5730">
        <w:rPr>
          <w:rFonts w:eastAsia="Times New Roman" w:cs="Arial"/>
          <w:color w:val="000000"/>
          <w:lang w:eastAsia="bg-BG"/>
        </w:rPr>
        <w:t>Не са наблюдавани анафилактични реакции по време на клиничните проучвания и има само няколко случая, за които е съобщено в периода след пускане на пазара.</w:t>
      </w:r>
    </w:p>
    <w:p w14:paraId="665023EC" w14:textId="77777777" w:rsidR="008E5730" w:rsidRDefault="008E5730" w:rsidP="008E5730">
      <w:pPr>
        <w:spacing w:line="240" w:lineRule="auto"/>
        <w:rPr>
          <w:rFonts w:eastAsia="Times New Roman" w:cs="Arial"/>
          <w:color w:val="000000"/>
          <w:lang w:eastAsia="bg-BG"/>
        </w:rPr>
      </w:pPr>
    </w:p>
    <w:p w14:paraId="570B3AD9" w14:textId="61F099FB" w:rsidR="008E5730" w:rsidRPr="008E5730" w:rsidRDefault="008E5730" w:rsidP="008E5730">
      <w:pPr>
        <w:spacing w:line="240" w:lineRule="auto"/>
        <w:rPr>
          <w:rFonts w:eastAsia="Times New Roman" w:cs="Arial"/>
        </w:rPr>
      </w:pPr>
      <w:r w:rsidRPr="008E5730">
        <w:rPr>
          <w:rFonts w:eastAsia="Times New Roman" w:cs="Arial"/>
          <w:color w:val="000000"/>
          <w:lang w:eastAsia="bg-BG"/>
        </w:rPr>
        <w:t>Резюме на нежеланите лекарствени реакции в таблична форма:</w:t>
      </w:r>
    </w:p>
    <w:p w14:paraId="64DD6BE0" w14:textId="77777777" w:rsidR="008E5730" w:rsidRPr="008E5730" w:rsidRDefault="008E5730" w:rsidP="008E5730">
      <w:pPr>
        <w:spacing w:line="240" w:lineRule="auto"/>
        <w:rPr>
          <w:rFonts w:eastAsia="Times New Roman" w:cs="Arial"/>
        </w:rPr>
      </w:pPr>
      <w:r w:rsidRPr="008E5730">
        <w:rPr>
          <w:rFonts w:eastAsia="Times New Roman" w:cs="Arial"/>
          <w:color w:val="000000"/>
          <w:lang w:eastAsia="bg-BG"/>
        </w:rPr>
        <w:t xml:space="preserve">Въз основа на честотата на нежеланите лекарствени реакции, съобщени по време на клиничните проучвания с ДЕКАПИПТЕЛИ при жени за лечение на миома на матката и ендометриоза </w:t>
      </w:r>
      <w:r w:rsidRPr="008E5730">
        <w:rPr>
          <w:rFonts w:eastAsia="Times New Roman" w:cs="Arial"/>
          <w:color w:val="000000"/>
          <w:lang w:val="ru-RU"/>
        </w:rPr>
        <w:t>(</w:t>
      </w:r>
      <w:r w:rsidRPr="008E5730">
        <w:rPr>
          <w:rFonts w:eastAsia="Times New Roman" w:cs="Arial"/>
          <w:color w:val="000000"/>
          <w:lang w:val="en-US"/>
        </w:rPr>
        <w:t>N</w:t>
      </w:r>
      <w:r w:rsidRPr="008E5730">
        <w:rPr>
          <w:rFonts w:eastAsia="Times New Roman" w:cs="Arial"/>
          <w:color w:val="000000"/>
          <w:lang w:val="ru-RU"/>
        </w:rPr>
        <w:t>=</w:t>
      </w:r>
      <w:r w:rsidRPr="008E5730">
        <w:rPr>
          <w:rFonts w:eastAsia="Times New Roman" w:cs="Arial"/>
          <w:color w:val="000000"/>
          <w:lang w:eastAsia="bg-BG"/>
        </w:rPr>
        <w:t>1,022) в комбинация с опит след пускането на пазара.</w:t>
      </w:r>
    </w:p>
    <w:p w14:paraId="29379A57" w14:textId="47CCDDB7" w:rsidR="008E5730" w:rsidRDefault="008E5730" w:rsidP="008E5730">
      <w:pPr>
        <w:rPr>
          <w:rFonts w:eastAsia="Times New Roman" w:cs="Arial"/>
          <w:color w:val="000000"/>
          <w:lang w:eastAsia="bg-BG"/>
        </w:rPr>
      </w:pPr>
    </w:p>
    <w:tbl>
      <w:tblPr>
        <w:tblStyle w:val="TableGrid"/>
        <w:tblW w:w="0" w:type="auto"/>
        <w:tblLook w:val="04A0" w:firstRow="1" w:lastRow="0" w:firstColumn="1" w:lastColumn="0" w:noHBand="0" w:noVBand="1"/>
      </w:tblPr>
      <w:tblGrid>
        <w:gridCol w:w="1877"/>
        <w:gridCol w:w="1458"/>
        <w:gridCol w:w="1756"/>
        <w:gridCol w:w="1237"/>
        <w:gridCol w:w="1105"/>
        <w:gridCol w:w="1917"/>
      </w:tblGrid>
      <w:tr w:rsidR="00DE5E39" w14:paraId="3DD5BF44" w14:textId="77777777" w:rsidTr="00DE5E39">
        <w:tc>
          <w:tcPr>
            <w:tcW w:w="1924" w:type="dxa"/>
          </w:tcPr>
          <w:p w14:paraId="1FD59CA7" w14:textId="3C926EDD" w:rsidR="008E5730" w:rsidRPr="00DE5E39" w:rsidRDefault="008E5730" w:rsidP="008E5730">
            <w:pPr>
              <w:rPr>
                <w:rFonts w:eastAsia="Times New Roman" w:cs="Arial"/>
                <w:color w:val="000000"/>
                <w:lang w:eastAsia="bg-BG"/>
              </w:rPr>
            </w:pPr>
            <w:r w:rsidRPr="00DE5E39">
              <w:rPr>
                <w:b/>
                <w:bCs/>
              </w:rPr>
              <w:t xml:space="preserve">Системно-органова класификация </w:t>
            </w:r>
            <w:proofErr w:type="spellStart"/>
            <w:r w:rsidRPr="00DE5E39">
              <w:rPr>
                <w:b/>
                <w:bCs/>
                <w:lang w:val="en-US"/>
              </w:rPr>
              <w:t>MedDRA</w:t>
            </w:r>
            <w:proofErr w:type="spellEnd"/>
          </w:p>
        </w:tc>
        <w:tc>
          <w:tcPr>
            <w:tcW w:w="1493" w:type="dxa"/>
          </w:tcPr>
          <w:p w14:paraId="60E7755A" w14:textId="58B3D6AC" w:rsidR="008E5730" w:rsidRPr="00DE5E39" w:rsidRDefault="008E5730" w:rsidP="008E5730">
            <w:pPr>
              <w:rPr>
                <w:rFonts w:eastAsia="Times New Roman" w:cs="Arial"/>
                <w:color w:val="000000"/>
                <w:lang w:eastAsia="bg-BG"/>
              </w:rPr>
            </w:pPr>
            <w:r w:rsidRPr="00DE5E39">
              <w:rPr>
                <w:b/>
                <w:bCs/>
              </w:rPr>
              <w:t>Много чести (≥1/10)</w:t>
            </w:r>
          </w:p>
        </w:tc>
        <w:tc>
          <w:tcPr>
            <w:tcW w:w="1799" w:type="dxa"/>
          </w:tcPr>
          <w:p w14:paraId="063F5BC8" w14:textId="77777777" w:rsidR="008E5730" w:rsidRPr="00DE5E39" w:rsidRDefault="008E5730" w:rsidP="008E5730">
            <w:r w:rsidRPr="00DE5E39">
              <w:rPr>
                <w:b/>
                <w:bCs/>
              </w:rPr>
              <w:t>Чести (≥1/100 до</w:t>
            </w:r>
          </w:p>
          <w:p w14:paraId="2A8DF0DD" w14:textId="47B0AC39" w:rsidR="008E5730" w:rsidRPr="00DE5E39" w:rsidRDefault="008E5730" w:rsidP="008E5730">
            <w:pPr>
              <w:rPr>
                <w:rFonts w:eastAsia="Times New Roman" w:cs="Arial"/>
                <w:color w:val="000000"/>
                <w:lang w:eastAsia="bg-BG"/>
              </w:rPr>
            </w:pPr>
            <w:r w:rsidRPr="00DE5E39">
              <w:rPr>
                <w:b/>
                <w:bCs/>
              </w:rPr>
              <w:t>&lt;1/10)</w:t>
            </w:r>
          </w:p>
        </w:tc>
        <w:tc>
          <w:tcPr>
            <w:tcW w:w="1266" w:type="dxa"/>
          </w:tcPr>
          <w:p w14:paraId="225E08BB" w14:textId="5FCBD2C2" w:rsidR="008E5730" w:rsidRPr="00DE5E39" w:rsidRDefault="008E5730" w:rsidP="008E5730">
            <w:pPr>
              <w:rPr>
                <w:rFonts w:eastAsia="Times New Roman" w:cs="Arial"/>
                <w:color w:val="000000"/>
                <w:lang w:eastAsia="bg-BG"/>
              </w:rPr>
            </w:pPr>
            <w:r w:rsidRPr="00DE5E39">
              <w:rPr>
                <w:b/>
                <w:bCs/>
              </w:rPr>
              <w:t>Нечести (≥1/1,000 до&lt;1/100)</w:t>
            </w:r>
          </w:p>
        </w:tc>
        <w:tc>
          <w:tcPr>
            <w:tcW w:w="1130" w:type="dxa"/>
          </w:tcPr>
          <w:p w14:paraId="0C81BB7D" w14:textId="29614454" w:rsidR="008E5730" w:rsidRPr="00DE5E39" w:rsidRDefault="008E5730" w:rsidP="008E5730">
            <w:pPr>
              <w:rPr>
                <w:rFonts w:eastAsia="Times New Roman" w:cs="Arial"/>
                <w:color w:val="000000"/>
                <w:lang w:eastAsia="bg-BG"/>
              </w:rPr>
            </w:pPr>
            <w:r w:rsidRPr="00DE5E39">
              <w:rPr>
                <w:b/>
                <w:bCs/>
              </w:rPr>
              <w:t>Редки (≥1/10,000 до &lt;1/1,000)</w:t>
            </w:r>
          </w:p>
        </w:tc>
        <w:tc>
          <w:tcPr>
            <w:tcW w:w="1964" w:type="dxa"/>
          </w:tcPr>
          <w:p w14:paraId="68025DCF" w14:textId="13871AEB" w:rsidR="008E5730" w:rsidRPr="00DE5E39" w:rsidRDefault="008E5730" w:rsidP="008E5730">
            <w:pPr>
              <w:rPr>
                <w:rFonts w:eastAsia="Times New Roman" w:cs="Arial"/>
                <w:color w:val="000000"/>
                <w:lang w:eastAsia="bg-BG"/>
              </w:rPr>
            </w:pPr>
            <w:r w:rsidRPr="00DE5E39">
              <w:rPr>
                <w:b/>
                <w:bCs/>
              </w:rPr>
              <w:t>С неизвестна честота*</w:t>
            </w:r>
          </w:p>
        </w:tc>
      </w:tr>
      <w:tr w:rsidR="00DE5E39" w14:paraId="4D93DC47" w14:textId="77777777" w:rsidTr="00DE5E39">
        <w:tc>
          <w:tcPr>
            <w:tcW w:w="1924" w:type="dxa"/>
          </w:tcPr>
          <w:p w14:paraId="4C177137" w14:textId="41205907" w:rsidR="008E5730" w:rsidRPr="00DE5E39" w:rsidRDefault="008E5730" w:rsidP="008E5730">
            <w:pPr>
              <w:rPr>
                <w:rFonts w:eastAsia="Times New Roman" w:cs="Arial"/>
                <w:color w:val="000000"/>
                <w:lang w:eastAsia="bg-BG"/>
              </w:rPr>
            </w:pPr>
            <w:r w:rsidRPr="00DE5E39">
              <w:lastRenderedPageBreak/>
              <w:t>Нарушения в имунната система</w:t>
            </w:r>
          </w:p>
        </w:tc>
        <w:tc>
          <w:tcPr>
            <w:tcW w:w="1493" w:type="dxa"/>
          </w:tcPr>
          <w:p w14:paraId="3A5F18D5" w14:textId="77777777" w:rsidR="008E5730" w:rsidRPr="00DE5E39" w:rsidRDefault="008E5730" w:rsidP="008E5730">
            <w:pPr>
              <w:rPr>
                <w:rFonts w:eastAsia="Times New Roman" w:cs="Arial"/>
                <w:color w:val="000000"/>
                <w:lang w:eastAsia="bg-BG"/>
              </w:rPr>
            </w:pPr>
          </w:p>
        </w:tc>
        <w:tc>
          <w:tcPr>
            <w:tcW w:w="1799" w:type="dxa"/>
          </w:tcPr>
          <w:p w14:paraId="6D4872A7" w14:textId="77777777" w:rsidR="008E5730" w:rsidRPr="00DE5E39" w:rsidRDefault="008E5730" w:rsidP="008E5730">
            <w:pPr>
              <w:rPr>
                <w:rFonts w:eastAsia="Times New Roman" w:cs="Arial"/>
                <w:color w:val="000000"/>
                <w:lang w:eastAsia="bg-BG"/>
              </w:rPr>
            </w:pPr>
          </w:p>
        </w:tc>
        <w:tc>
          <w:tcPr>
            <w:tcW w:w="1266" w:type="dxa"/>
          </w:tcPr>
          <w:p w14:paraId="0F635141" w14:textId="77777777" w:rsidR="008E5730" w:rsidRPr="00DE5E39" w:rsidRDefault="008E5730" w:rsidP="008E5730">
            <w:pPr>
              <w:rPr>
                <w:rFonts w:eastAsia="Times New Roman" w:cs="Arial"/>
                <w:color w:val="000000"/>
                <w:lang w:eastAsia="bg-BG"/>
              </w:rPr>
            </w:pPr>
          </w:p>
        </w:tc>
        <w:tc>
          <w:tcPr>
            <w:tcW w:w="1130" w:type="dxa"/>
          </w:tcPr>
          <w:p w14:paraId="7030E355" w14:textId="77777777" w:rsidR="008E5730" w:rsidRPr="00DE5E39" w:rsidRDefault="008E5730" w:rsidP="008E5730">
            <w:pPr>
              <w:rPr>
                <w:rFonts w:eastAsia="Times New Roman" w:cs="Arial"/>
                <w:color w:val="000000"/>
                <w:lang w:eastAsia="bg-BG"/>
              </w:rPr>
            </w:pPr>
          </w:p>
        </w:tc>
        <w:tc>
          <w:tcPr>
            <w:tcW w:w="1964" w:type="dxa"/>
          </w:tcPr>
          <w:p w14:paraId="1E8E20FA" w14:textId="1104291A" w:rsidR="008E5730" w:rsidRPr="00DE5E39" w:rsidRDefault="008E5730" w:rsidP="008E5730">
            <w:pPr>
              <w:rPr>
                <w:rFonts w:eastAsia="Times New Roman" w:cs="Arial"/>
                <w:color w:val="000000"/>
                <w:lang w:eastAsia="bg-BG"/>
              </w:rPr>
            </w:pPr>
            <w:r w:rsidRPr="00DE5E39">
              <w:t>Свръхчувствителност, анафилактични реакции</w:t>
            </w:r>
          </w:p>
        </w:tc>
      </w:tr>
      <w:tr w:rsidR="00DE5E39" w14:paraId="032F5730" w14:textId="77777777" w:rsidTr="00DE5E39">
        <w:tc>
          <w:tcPr>
            <w:tcW w:w="1924" w:type="dxa"/>
          </w:tcPr>
          <w:p w14:paraId="3C76783E" w14:textId="67A98FD4" w:rsidR="008E5730" w:rsidRPr="00DE5E39" w:rsidRDefault="008E5730" w:rsidP="008E5730">
            <w:pPr>
              <w:rPr>
                <w:rFonts w:eastAsia="Times New Roman" w:cs="Arial"/>
                <w:color w:val="000000"/>
                <w:lang w:eastAsia="bg-BG"/>
              </w:rPr>
            </w:pPr>
            <w:r w:rsidRPr="00DE5E39">
              <w:t>Ендокринни нарушения</w:t>
            </w:r>
          </w:p>
        </w:tc>
        <w:tc>
          <w:tcPr>
            <w:tcW w:w="1493" w:type="dxa"/>
          </w:tcPr>
          <w:p w14:paraId="27EFC44F" w14:textId="77777777" w:rsidR="008E5730" w:rsidRPr="00DE5E39" w:rsidRDefault="008E5730" w:rsidP="008E5730">
            <w:pPr>
              <w:rPr>
                <w:rFonts w:eastAsia="Times New Roman" w:cs="Arial"/>
                <w:color w:val="000000"/>
                <w:lang w:eastAsia="bg-BG"/>
              </w:rPr>
            </w:pPr>
          </w:p>
        </w:tc>
        <w:tc>
          <w:tcPr>
            <w:tcW w:w="1799" w:type="dxa"/>
          </w:tcPr>
          <w:p w14:paraId="344ABFC0" w14:textId="6EFF997F" w:rsidR="008E5730" w:rsidRPr="00DE5E39" w:rsidRDefault="008E5730" w:rsidP="008E5730">
            <w:pPr>
              <w:rPr>
                <w:rFonts w:eastAsia="Times New Roman" w:cs="Arial"/>
                <w:color w:val="000000"/>
                <w:lang w:eastAsia="bg-BG"/>
              </w:rPr>
            </w:pPr>
            <w:r w:rsidRPr="00DE5E39">
              <w:t>Хиперандрогенизъм</w:t>
            </w:r>
          </w:p>
        </w:tc>
        <w:tc>
          <w:tcPr>
            <w:tcW w:w="1266" w:type="dxa"/>
          </w:tcPr>
          <w:p w14:paraId="32AAF34E" w14:textId="77777777" w:rsidR="008E5730" w:rsidRPr="00DE5E39" w:rsidRDefault="008E5730" w:rsidP="008E5730">
            <w:pPr>
              <w:rPr>
                <w:rFonts w:eastAsia="Times New Roman" w:cs="Arial"/>
                <w:color w:val="000000"/>
                <w:lang w:eastAsia="bg-BG"/>
              </w:rPr>
            </w:pPr>
          </w:p>
        </w:tc>
        <w:tc>
          <w:tcPr>
            <w:tcW w:w="1130" w:type="dxa"/>
          </w:tcPr>
          <w:p w14:paraId="6344C6E8" w14:textId="77777777" w:rsidR="008E5730" w:rsidRPr="00DE5E39" w:rsidRDefault="008E5730" w:rsidP="008E5730">
            <w:pPr>
              <w:rPr>
                <w:rFonts w:eastAsia="Times New Roman" w:cs="Arial"/>
                <w:color w:val="000000"/>
                <w:lang w:eastAsia="bg-BG"/>
              </w:rPr>
            </w:pPr>
          </w:p>
        </w:tc>
        <w:tc>
          <w:tcPr>
            <w:tcW w:w="1964" w:type="dxa"/>
          </w:tcPr>
          <w:p w14:paraId="608FAEBC" w14:textId="77777777" w:rsidR="008E5730" w:rsidRPr="00DE5E39" w:rsidRDefault="008E5730" w:rsidP="008E5730">
            <w:pPr>
              <w:rPr>
                <w:rFonts w:eastAsia="Times New Roman" w:cs="Arial"/>
                <w:color w:val="000000"/>
                <w:lang w:eastAsia="bg-BG"/>
              </w:rPr>
            </w:pPr>
          </w:p>
        </w:tc>
      </w:tr>
      <w:tr w:rsidR="00DE5E39" w14:paraId="28E1C88B" w14:textId="77777777" w:rsidTr="00DE5E39">
        <w:tc>
          <w:tcPr>
            <w:tcW w:w="1924" w:type="dxa"/>
          </w:tcPr>
          <w:p w14:paraId="4A308DB3" w14:textId="5EB0830A" w:rsidR="008E5730" w:rsidRPr="00DE5E39" w:rsidRDefault="008E5730" w:rsidP="008E5730">
            <w:pPr>
              <w:rPr>
                <w:rFonts w:eastAsia="Times New Roman" w:cs="Arial"/>
                <w:color w:val="000000"/>
                <w:lang w:eastAsia="bg-BG"/>
              </w:rPr>
            </w:pPr>
            <w:r w:rsidRPr="00DE5E39">
              <w:t>Психични нарушения</w:t>
            </w:r>
          </w:p>
        </w:tc>
        <w:tc>
          <w:tcPr>
            <w:tcW w:w="1493" w:type="dxa"/>
          </w:tcPr>
          <w:p w14:paraId="43B8EDE3" w14:textId="349FF1AC" w:rsidR="008E5730" w:rsidRPr="00DE5E39" w:rsidRDefault="008E5730" w:rsidP="008E5730">
            <w:pPr>
              <w:rPr>
                <w:rFonts w:eastAsia="Times New Roman" w:cs="Arial"/>
                <w:color w:val="000000"/>
                <w:lang w:eastAsia="bg-BG"/>
              </w:rPr>
            </w:pPr>
            <w:r w:rsidRPr="00DE5E39">
              <w:t>Намалено либидо, нарушения на съня</w:t>
            </w:r>
          </w:p>
        </w:tc>
        <w:tc>
          <w:tcPr>
            <w:tcW w:w="1799" w:type="dxa"/>
          </w:tcPr>
          <w:p w14:paraId="288AF07D" w14:textId="7707218E" w:rsidR="008E5730" w:rsidRPr="00DE5E39" w:rsidRDefault="008E5730" w:rsidP="008E5730">
            <w:pPr>
              <w:rPr>
                <w:rFonts w:eastAsia="Times New Roman" w:cs="Arial"/>
                <w:color w:val="000000"/>
                <w:lang w:eastAsia="bg-BG"/>
              </w:rPr>
            </w:pPr>
            <w:r w:rsidRPr="00DE5E39">
              <w:t>Променливо настроение, тревожност, безсъние, депресия, депресивно настроение</w:t>
            </w:r>
          </w:p>
        </w:tc>
        <w:tc>
          <w:tcPr>
            <w:tcW w:w="1266" w:type="dxa"/>
          </w:tcPr>
          <w:p w14:paraId="7538A8C6" w14:textId="77777777" w:rsidR="008E5730" w:rsidRPr="00DE5E39" w:rsidRDefault="008E5730" w:rsidP="008E5730">
            <w:pPr>
              <w:rPr>
                <w:rFonts w:eastAsia="Times New Roman" w:cs="Arial"/>
                <w:color w:val="000000"/>
                <w:lang w:eastAsia="bg-BG"/>
              </w:rPr>
            </w:pPr>
          </w:p>
        </w:tc>
        <w:tc>
          <w:tcPr>
            <w:tcW w:w="1130" w:type="dxa"/>
          </w:tcPr>
          <w:p w14:paraId="19AFAB11" w14:textId="77777777" w:rsidR="008E5730" w:rsidRPr="00DE5E39" w:rsidRDefault="008E5730" w:rsidP="008E5730">
            <w:pPr>
              <w:rPr>
                <w:rFonts w:eastAsia="Times New Roman" w:cs="Arial"/>
                <w:color w:val="000000"/>
                <w:lang w:eastAsia="bg-BG"/>
              </w:rPr>
            </w:pPr>
          </w:p>
        </w:tc>
        <w:tc>
          <w:tcPr>
            <w:tcW w:w="1964" w:type="dxa"/>
          </w:tcPr>
          <w:p w14:paraId="03427DD3" w14:textId="679F4F20" w:rsidR="008E5730" w:rsidRPr="00DE5E39" w:rsidRDefault="008E5730" w:rsidP="008E5730">
            <w:pPr>
              <w:rPr>
                <w:rFonts w:eastAsia="Times New Roman" w:cs="Arial"/>
                <w:color w:val="000000"/>
                <w:lang w:eastAsia="bg-BG"/>
              </w:rPr>
            </w:pPr>
            <w:r w:rsidRPr="00DE5E39">
              <w:t>Състояние на обърканост</w:t>
            </w:r>
          </w:p>
        </w:tc>
      </w:tr>
      <w:tr w:rsidR="00DE5E39" w14:paraId="0F390333" w14:textId="77777777" w:rsidTr="00DE5E39">
        <w:tc>
          <w:tcPr>
            <w:tcW w:w="1924" w:type="dxa"/>
          </w:tcPr>
          <w:p w14:paraId="78D73B83" w14:textId="65AB7948" w:rsidR="008E5730" w:rsidRPr="00DE5E39" w:rsidRDefault="008E5730" w:rsidP="008E5730">
            <w:pPr>
              <w:rPr>
                <w:rFonts w:eastAsia="Times New Roman" w:cs="Arial"/>
                <w:color w:val="000000"/>
                <w:lang w:eastAsia="bg-BG"/>
              </w:rPr>
            </w:pPr>
            <w:r w:rsidRPr="00DE5E39">
              <w:t>Нарушения на нервната система</w:t>
            </w:r>
          </w:p>
        </w:tc>
        <w:tc>
          <w:tcPr>
            <w:tcW w:w="1493" w:type="dxa"/>
          </w:tcPr>
          <w:p w14:paraId="7412F836" w14:textId="7E58A641" w:rsidR="008E5730" w:rsidRPr="00DE5E39" w:rsidRDefault="008E5730" w:rsidP="008E5730">
            <w:pPr>
              <w:rPr>
                <w:rFonts w:eastAsia="Times New Roman" w:cs="Arial"/>
                <w:color w:val="000000"/>
                <w:lang w:eastAsia="bg-BG"/>
              </w:rPr>
            </w:pPr>
            <w:r w:rsidRPr="00DE5E39">
              <w:t>Главоболие</w:t>
            </w:r>
          </w:p>
        </w:tc>
        <w:tc>
          <w:tcPr>
            <w:tcW w:w="1799" w:type="dxa"/>
          </w:tcPr>
          <w:p w14:paraId="16C937EA" w14:textId="29EF096B" w:rsidR="008E5730" w:rsidRPr="00DE5E39" w:rsidRDefault="008E5730" w:rsidP="008E5730">
            <w:pPr>
              <w:rPr>
                <w:rFonts w:eastAsia="Times New Roman" w:cs="Arial"/>
                <w:color w:val="000000"/>
                <w:lang w:eastAsia="bg-BG"/>
              </w:rPr>
            </w:pPr>
            <w:r w:rsidRPr="00DE5E39">
              <w:t>Замаяност</w:t>
            </w:r>
          </w:p>
        </w:tc>
        <w:tc>
          <w:tcPr>
            <w:tcW w:w="1266" w:type="dxa"/>
          </w:tcPr>
          <w:p w14:paraId="4072CF12" w14:textId="524926CF" w:rsidR="008E5730" w:rsidRPr="00DE5E39" w:rsidRDefault="008E5730" w:rsidP="008E5730">
            <w:pPr>
              <w:rPr>
                <w:rFonts w:eastAsia="Times New Roman" w:cs="Arial"/>
                <w:color w:val="000000"/>
                <w:lang w:eastAsia="bg-BG"/>
              </w:rPr>
            </w:pPr>
            <w:r w:rsidRPr="00DE5E39">
              <w:t>парестезия</w:t>
            </w:r>
          </w:p>
        </w:tc>
        <w:tc>
          <w:tcPr>
            <w:tcW w:w="1130" w:type="dxa"/>
          </w:tcPr>
          <w:p w14:paraId="0F7EAED2" w14:textId="77777777" w:rsidR="008E5730" w:rsidRPr="00DE5E39" w:rsidRDefault="008E5730" w:rsidP="008E5730">
            <w:pPr>
              <w:rPr>
                <w:rFonts w:eastAsia="Times New Roman" w:cs="Arial"/>
                <w:color w:val="000000"/>
                <w:lang w:eastAsia="bg-BG"/>
              </w:rPr>
            </w:pPr>
          </w:p>
        </w:tc>
        <w:tc>
          <w:tcPr>
            <w:tcW w:w="1964" w:type="dxa"/>
          </w:tcPr>
          <w:p w14:paraId="0A057A7F" w14:textId="77777777" w:rsidR="008E5730" w:rsidRPr="00DE5E39" w:rsidRDefault="008E5730" w:rsidP="008E5730">
            <w:pPr>
              <w:rPr>
                <w:rFonts w:eastAsia="Times New Roman" w:cs="Arial"/>
                <w:color w:val="000000"/>
                <w:lang w:eastAsia="bg-BG"/>
              </w:rPr>
            </w:pPr>
          </w:p>
        </w:tc>
      </w:tr>
      <w:tr w:rsidR="00DE5E39" w14:paraId="66CED9F9" w14:textId="77777777" w:rsidTr="00DE5E39">
        <w:tc>
          <w:tcPr>
            <w:tcW w:w="1924" w:type="dxa"/>
          </w:tcPr>
          <w:p w14:paraId="193C83B0" w14:textId="5B62C457" w:rsidR="008E5730" w:rsidRPr="00DE5E39" w:rsidRDefault="008E5730" w:rsidP="008E5730">
            <w:pPr>
              <w:rPr>
                <w:rFonts w:eastAsia="Times New Roman" w:cs="Arial"/>
                <w:color w:val="000000"/>
                <w:lang w:eastAsia="bg-BG"/>
              </w:rPr>
            </w:pPr>
            <w:r w:rsidRPr="00DE5E39">
              <w:t>Нарушения на очите</w:t>
            </w:r>
          </w:p>
        </w:tc>
        <w:tc>
          <w:tcPr>
            <w:tcW w:w="1493" w:type="dxa"/>
          </w:tcPr>
          <w:p w14:paraId="4194A757" w14:textId="77777777" w:rsidR="008E5730" w:rsidRPr="00DE5E39" w:rsidRDefault="008E5730" w:rsidP="008E5730">
            <w:pPr>
              <w:rPr>
                <w:rFonts w:eastAsia="Times New Roman" w:cs="Arial"/>
                <w:color w:val="000000"/>
                <w:lang w:eastAsia="bg-BG"/>
              </w:rPr>
            </w:pPr>
          </w:p>
        </w:tc>
        <w:tc>
          <w:tcPr>
            <w:tcW w:w="1799" w:type="dxa"/>
          </w:tcPr>
          <w:p w14:paraId="7EE49B7A" w14:textId="77777777" w:rsidR="008E5730" w:rsidRPr="00DE5E39" w:rsidRDefault="008E5730" w:rsidP="008E5730">
            <w:pPr>
              <w:rPr>
                <w:rFonts w:eastAsia="Times New Roman" w:cs="Arial"/>
                <w:color w:val="000000"/>
                <w:lang w:eastAsia="bg-BG"/>
              </w:rPr>
            </w:pPr>
          </w:p>
        </w:tc>
        <w:tc>
          <w:tcPr>
            <w:tcW w:w="1266" w:type="dxa"/>
          </w:tcPr>
          <w:p w14:paraId="232DA696" w14:textId="77777777" w:rsidR="008E5730" w:rsidRPr="00DE5E39" w:rsidRDefault="008E5730" w:rsidP="008E5730">
            <w:pPr>
              <w:rPr>
                <w:rFonts w:eastAsia="Times New Roman" w:cs="Arial"/>
                <w:color w:val="000000"/>
                <w:lang w:eastAsia="bg-BG"/>
              </w:rPr>
            </w:pPr>
          </w:p>
        </w:tc>
        <w:tc>
          <w:tcPr>
            <w:tcW w:w="1130" w:type="dxa"/>
          </w:tcPr>
          <w:p w14:paraId="295C875C" w14:textId="77777777" w:rsidR="008E5730" w:rsidRPr="00DE5E39" w:rsidRDefault="008E5730" w:rsidP="008E5730">
            <w:pPr>
              <w:rPr>
                <w:rFonts w:eastAsia="Times New Roman" w:cs="Arial"/>
                <w:color w:val="000000"/>
                <w:lang w:eastAsia="bg-BG"/>
              </w:rPr>
            </w:pPr>
          </w:p>
        </w:tc>
        <w:tc>
          <w:tcPr>
            <w:tcW w:w="1964" w:type="dxa"/>
          </w:tcPr>
          <w:p w14:paraId="5DC1971B" w14:textId="77132215" w:rsidR="008E5730" w:rsidRPr="00DE5E39" w:rsidRDefault="008E5730" w:rsidP="008E5730">
            <w:pPr>
              <w:rPr>
                <w:rFonts w:eastAsia="Times New Roman" w:cs="Arial"/>
                <w:color w:val="000000"/>
                <w:lang w:eastAsia="bg-BG"/>
              </w:rPr>
            </w:pPr>
            <w:r w:rsidRPr="00DE5E39">
              <w:t>Замъглено зрение, увреждане на зрението</w:t>
            </w:r>
          </w:p>
        </w:tc>
      </w:tr>
      <w:tr w:rsidR="00DE5E39" w14:paraId="1A0B8509" w14:textId="77777777" w:rsidTr="00DE5E39">
        <w:tc>
          <w:tcPr>
            <w:tcW w:w="1924" w:type="dxa"/>
          </w:tcPr>
          <w:p w14:paraId="340F6FB9" w14:textId="77777777" w:rsidR="008E5730" w:rsidRPr="00DE5E39" w:rsidRDefault="008E5730" w:rsidP="008E5730">
            <w:r w:rsidRPr="00DE5E39">
              <w:t>Нарушения на ухото и лабиринта</w:t>
            </w:r>
          </w:p>
          <w:p w14:paraId="288D0644" w14:textId="4673CABF" w:rsidR="008E5730" w:rsidRPr="00DE5E39" w:rsidRDefault="008E5730" w:rsidP="008E5730">
            <w:pPr>
              <w:rPr>
                <w:rFonts w:eastAsia="Times New Roman" w:cs="Arial"/>
                <w:color w:val="000000"/>
                <w:lang w:eastAsia="bg-BG"/>
              </w:rPr>
            </w:pPr>
          </w:p>
        </w:tc>
        <w:tc>
          <w:tcPr>
            <w:tcW w:w="1493" w:type="dxa"/>
          </w:tcPr>
          <w:p w14:paraId="45362C41" w14:textId="77777777" w:rsidR="008E5730" w:rsidRPr="00DE5E39" w:rsidRDefault="008E5730" w:rsidP="008E5730">
            <w:pPr>
              <w:rPr>
                <w:rFonts w:eastAsia="Times New Roman" w:cs="Arial"/>
                <w:color w:val="000000"/>
                <w:lang w:eastAsia="bg-BG"/>
              </w:rPr>
            </w:pPr>
          </w:p>
        </w:tc>
        <w:tc>
          <w:tcPr>
            <w:tcW w:w="1799" w:type="dxa"/>
          </w:tcPr>
          <w:p w14:paraId="4A4C9361" w14:textId="304FFDED" w:rsidR="008E5730" w:rsidRPr="00DE5E39" w:rsidRDefault="008E5730" w:rsidP="008E5730">
            <w:pPr>
              <w:rPr>
                <w:rFonts w:eastAsia="Times New Roman" w:cs="Arial"/>
                <w:color w:val="000000"/>
                <w:lang w:eastAsia="bg-BG"/>
              </w:rPr>
            </w:pPr>
          </w:p>
        </w:tc>
        <w:tc>
          <w:tcPr>
            <w:tcW w:w="1266" w:type="dxa"/>
          </w:tcPr>
          <w:p w14:paraId="76BEBAF0" w14:textId="09D0C72B" w:rsidR="008E5730" w:rsidRPr="00DE5E39" w:rsidRDefault="008E5730" w:rsidP="008E5730">
            <w:pPr>
              <w:rPr>
                <w:rFonts w:eastAsia="Times New Roman" w:cs="Arial"/>
                <w:color w:val="000000"/>
                <w:lang w:eastAsia="bg-BG"/>
              </w:rPr>
            </w:pPr>
            <w:r w:rsidRPr="00DE5E39">
              <w:t>Световъртеж</w:t>
            </w:r>
          </w:p>
        </w:tc>
        <w:tc>
          <w:tcPr>
            <w:tcW w:w="1130" w:type="dxa"/>
          </w:tcPr>
          <w:p w14:paraId="0E168D11" w14:textId="77777777" w:rsidR="008E5730" w:rsidRPr="00DE5E39" w:rsidRDefault="008E5730" w:rsidP="008E5730">
            <w:pPr>
              <w:rPr>
                <w:rFonts w:eastAsia="Times New Roman" w:cs="Arial"/>
                <w:color w:val="000000"/>
                <w:lang w:eastAsia="bg-BG"/>
              </w:rPr>
            </w:pPr>
          </w:p>
        </w:tc>
        <w:tc>
          <w:tcPr>
            <w:tcW w:w="1964" w:type="dxa"/>
          </w:tcPr>
          <w:p w14:paraId="122E6CAB" w14:textId="77777777" w:rsidR="008E5730" w:rsidRPr="00DE5E39" w:rsidRDefault="008E5730" w:rsidP="008E5730">
            <w:pPr>
              <w:rPr>
                <w:rFonts w:eastAsia="Times New Roman" w:cs="Arial"/>
                <w:color w:val="000000"/>
                <w:lang w:eastAsia="bg-BG"/>
              </w:rPr>
            </w:pPr>
          </w:p>
        </w:tc>
      </w:tr>
      <w:tr w:rsidR="00DE5E39" w14:paraId="0413CDAC" w14:textId="77777777" w:rsidTr="00DE5E39">
        <w:tc>
          <w:tcPr>
            <w:tcW w:w="1924" w:type="dxa"/>
          </w:tcPr>
          <w:p w14:paraId="46FB647D" w14:textId="6335D4C8" w:rsidR="008E5730" w:rsidRDefault="00DE5E39" w:rsidP="008E5730">
            <w:pPr>
              <w:rPr>
                <w:rFonts w:eastAsia="Times New Roman" w:cs="Arial"/>
                <w:color w:val="000000"/>
                <w:lang w:eastAsia="bg-BG"/>
              </w:rPr>
            </w:pPr>
            <w:r w:rsidRPr="00DE5E39">
              <w:t>Сърдечни нарушения</w:t>
            </w:r>
          </w:p>
        </w:tc>
        <w:tc>
          <w:tcPr>
            <w:tcW w:w="1493" w:type="dxa"/>
          </w:tcPr>
          <w:p w14:paraId="354AEE6C" w14:textId="77777777" w:rsidR="008E5730" w:rsidRDefault="008E5730" w:rsidP="008E5730">
            <w:pPr>
              <w:rPr>
                <w:rFonts w:eastAsia="Times New Roman" w:cs="Arial"/>
                <w:color w:val="000000"/>
                <w:lang w:eastAsia="bg-BG"/>
              </w:rPr>
            </w:pPr>
          </w:p>
        </w:tc>
        <w:tc>
          <w:tcPr>
            <w:tcW w:w="1799" w:type="dxa"/>
          </w:tcPr>
          <w:p w14:paraId="16A96500" w14:textId="2B8BE153" w:rsidR="008E5730" w:rsidRDefault="00DE5E39" w:rsidP="00DE5E39">
            <w:pPr>
              <w:rPr>
                <w:rFonts w:eastAsia="Times New Roman" w:cs="Arial"/>
                <w:color w:val="000000"/>
                <w:lang w:eastAsia="bg-BG"/>
              </w:rPr>
            </w:pPr>
            <w:r>
              <w:t>Сърцебиене</w:t>
            </w:r>
          </w:p>
        </w:tc>
        <w:tc>
          <w:tcPr>
            <w:tcW w:w="1266" w:type="dxa"/>
          </w:tcPr>
          <w:p w14:paraId="7B947A94" w14:textId="77777777" w:rsidR="008E5730" w:rsidRDefault="008E5730" w:rsidP="008E5730">
            <w:pPr>
              <w:rPr>
                <w:rFonts w:eastAsia="Times New Roman" w:cs="Arial"/>
                <w:color w:val="000000"/>
                <w:lang w:eastAsia="bg-BG"/>
              </w:rPr>
            </w:pPr>
          </w:p>
        </w:tc>
        <w:tc>
          <w:tcPr>
            <w:tcW w:w="1130" w:type="dxa"/>
          </w:tcPr>
          <w:p w14:paraId="0A2F67D8" w14:textId="77777777" w:rsidR="008E5730" w:rsidRDefault="008E5730" w:rsidP="008E5730">
            <w:pPr>
              <w:rPr>
                <w:rFonts w:eastAsia="Times New Roman" w:cs="Arial"/>
                <w:color w:val="000000"/>
                <w:lang w:eastAsia="bg-BG"/>
              </w:rPr>
            </w:pPr>
          </w:p>
        </w:tc>
        <w:tc>
          <w:tcPr>
            <w:tcW w:w="1964" w:type="dxa"/>
          </w:tcPr>
          <w:p w14:paraId="57AF887B" w14:textId="77777777" w:rsidR="008E5730" w:rsidRDefault="008E5730" w:rsidP="008E5730">
            <w:pPr>
              <w:rPr>
                <w:rFonts w:eastAsia="Times New Roman" w:cs="Arial"/>
                <w:color w:val="000000"/>
                <w:lang w:eastAsia="bg-BG"/>
              </w:rPr>
            </w:pPr>
          </w:p>
        </w:tc>
      </w:tr>
      <w:tr w:rsidR="00DE5E39" w14:paraId="0E2515B1" w14:textId="77777777" w:rsidTr="00DE5E39">
        <w:tc>
          <w:tcPr>
            <w:tcW w:w="1924" w:type="dxa"/>
          </w:tcPr>
          <w:p w14:paraId="06C6040C" w14:textId="23DB9C43" w:rsidR="00DE5E39" w:rsidRPr="00DE5E39" w:rsidRDefault="00DE5E39" w:rsidP="00DE5E39">
            <w:pPr>
              <w:rPr>
                <w:rFonts w:eastAsia="Times New Roman" w:cs="Arial"/>
                <w:color w:val="000000"/>
                <w:lang w:eastAsia="bg-BG"/>
              </w:rPr>
            </w:pPr>
            <w:r w:rsidRPr="00DE5E39">
              <w:t>Съдови нарушения</w:t>
            </w:r>
          </w:p>
        </w:tc>
        <w:tc>
          <w:tcPr>
            <w:tcW w:w="1493" w:type="dxa"/>
          </w:tcPr>
          <w:p w14:paraId="7595FB8D" w14:textId="3B067342" w:rsidR="00DE5E39" w:rsidRPr="00DE5E39" w:rsidRDefault="00DE5E39" w:rsidP="00DE5E39">
            <w:pPr>
              <w:rPr>
                <w:rFonts w:eastAsia="Times New Roman" w:cs="Arial"/>
                <w:color w:val="000000"/>
                <w:lang w:eastAsia="bg-BG"/>
              </w:rPr>
            </w:pPr>
            <w:r w:rsidRPr="00DE5E39">
              <w:t>Горещи вълни</w:t>
            </w:r>
          </w:p>
        </w:tc>
        <w:tc>
          <w:tcPr>
            <w:tcW w:w="1799" w:type="dxa"/>
          </w:tcPr>
          <w:p w14:paraId="15E03D19" w14:textId="77777777" w:rsidR="00DE5E39" w:rsidRDefault="00DE5E39" w:rsidP="00DE5E39">
            <w:pPr>
              <w:rPr>
                <w:rFonts w:eastAsia="Times New Roman" w:cs="Arial"/>
                <w:color w:val="000000"/>
                <w:lang w:eastAsia="bg-BG"/>
              </w:rPr>
            </w:pPr>
          </w:p>
        </w:tc>
        <w:tc>
          <w:tcPr>
            <w:tcW w:w="1266" w:type="dxa"/>
          </w:tcPr>
          <w:p w14:paraId="569498B6" w14:textId="77777777" w:rsidR="00DE5E39" w:rsidRDefault="00DE5E39" w:rsidP="00DE5E39">
            <w:pPr>
              <w:rPr>
                <w:rFonts w:eastAsia="Times New Roman" w:cs="Arial"/>
                <w:color w:val="000000"/>
                <w:lang w:eastAsia="bg-BG"/>
              </w:rPr>
            </w:pPr>
          </w:p>
        </w:tc>
        <w:tc>
          <w:tcPr>
            <w:tcW w:w="1130" w:type="dxa"/>
          </w:tcPr>
          <w:p w14:paraId="1DB3538A" w14:textId="77777777" w:rsidR="00DE5E39" w:rsidRDefault="00DE5E39" w:rsidP="00DE5E39">
            <w:pPr>
              <w:rPr>
                <w:rFonts w:eastAsia="Times New Roman" w:cs="Arial"/>
                <w:color w:val="000000"/>
                <w:lang w:eastAsia="bg-BG"/>
              </w:rPr>
            </w:pPr>
          </w:p>
        </w:tc>
        <w:tc>
          <w:tcPr>
            <w:tcW w:w="1964" w:type="dxa"/>
          </w:tcPr>
          <w:p w14:paraId="03988B4F" w14:textId="77777777" w:rsidR="00DE5E39" w:rsidRDefault="00DE5E39" w:rsidP="00DE5E39">
            <w:pPr>
              <w:rPr>
                <w:rFonts w:eastAsia="Times New Roman" w:cs="Arial"/>
                <w:color w:val="000000"/>
                <w:lang w:eastAsia="bg-BG"/>
              </w:rPr>
            </w:pPr>
          </w:p>
        </w:tc>
      </w:tr>
      <w:tr w:rsidR="00DE5E39" w14:paraId="36D4EF76" w14:textId="77777777" w:rsidTr="00DE5E39">
        <w:tc>
          <w:tcPr>
            <w:tcW w:w="1924" w:type="dxa"/>
          </w:tcPr>
          <w:p w14:paraId="3FBDDF6C" w14:textId="45EFA366" w:rsidR="00DE5E39" w:rsidRPr="00DE5E39" w:rsidRDefault="00DE5E39" w:rsidP="00DE5E39">
            <w:pPr>
              <w:rPr>
                <w:rFonts w:eastAsia="Times New Roman" w:cs="Arial"/>
                <w:color w:val="000000"/>
                <w:lang w:eastAsia="bg-BG"/>
              </w:rPr>
            </w:pPr>
            <w:r w:rsidRPr="00DE5E39">
              <w:t>Респираторни, гръдни и медиастинални нарушения</w:t>
            </w:r>
          </w:p>
        </w:tc>
        <w:tc>
          <w:tcPr>
            <w:tcW w:w="1493" w:type="dxa"/>
          </w:tcPr>
          <w:p w14:paraId="72310DF2" w14:textId="77777777" w:rsidR="00DE5E39" w:rsidRPr="00DE5E39" w:rsidRDefault="00DE5E39" w:rsidP="00DE5E39">
            <w:pPr>
              <w:rPr>
                <w:rFonts w:eastAsia="Times New Roman" w:cs="Arial"/>
                <w:color w:val="000000"/>
                <w:lang w:eastAsia="bg-BG"/>
              </w:rPr>
            </w:pPr>
          </w:p>
        </w:tc>
        <w:tc>
          <w:tcPr>
            <w:tcW w:w="1799" w:type="dxa"/>
          </w:tcPr>
          <w:p w14:paraId="5EF0E357" w14:textId="155C62AA" w:rsidR="00DE5E39" w:rsidRPr="00DE5E39" w:rsidRDefault="00DE5E39" w:rsidP="00DE5E39">
            <w:pPr>
              <w:rPr>
                <w:rFonts w:eastAsia="Times New Roman" w:cs="Arial"/>
                <w:color w:val="000000"/>
                <w:lang w:eastAsia="bg-BG"/>
              </w:rPr>
            </w:pPr>
            <w:r w:rsidRPr="00DE5E39">
              <w:t xml:space="preserve">Признаци и симптоми на горните дихателни пътища </w:t>
            </w:r>
            <w:r w:rsidRPr="00DE5E39">
              <w:rPr>
                <w:lang w:val="ru-RU"/>
              </w:rPr>
              <w:t>(</w:t>
            </w:r>
            <w:r w:rsidRPr="00DE5E39">
              <w:rPr>
                <w:lang w:val="en-US"/>
              </w:rPr>
              <w:t>HLT</w:t>
            </w:r>
            <w:r w:rsidRPr="00DE5E39">
              <w:rPr>
                <w:lang w:val="ru-RU"/>
              </w:rPr>
              <w:t>)</w:t>
            </w:r>
          </w:p>
        </w:tc>
        <w:tc>
          <w:tcPr>
            <w:tcW w:w="1266" w:type="dxa"/>
          </w:tcPr>
          <w:p w14:paraId="5A4E6622" w14:textId="77777777" w:rsidR="00DE5E39" w:rsidRPr="00DE5E39" w:rsidRDefault="00DE5E39" w:rsidP="00DE5E39">
            <w:pPr>
              <w:rPr>
                <w:rFonts w:eastAsia="Times New Roman" w:cs="Arial"/>
                <w:color w:val="000000"/>
                <w:lang w:eastAsia="bg-BG"/>
              </w:rPr>
            </w:pPr>
          </w:p>
        </w:tc>
        <w:tc>
          <w:tcPr>
            <w:tcW w:w="1130" w:type="dxa"/>
          </w:tcPr>
          <w:p w14:paraId="0CB104EA" w14:textId="77777777" w:rsidR="00DE5E39" w:rsidRPr="00DE5E39" w:rsidRDefault="00DE5E39" w:rsidP="00DE5E39">
            <w:pPr>
              <w:rPr>
                <w:rFonts w:eastAsia="Times New Roman" w:cs="Arial"/>
                <w:color w:val="000000"/>
                <w:lang w:eastAsia="bg-BG"/>
              </w:rPr>
            </w:pPr>
          </w:p>
        </w:tc>
        <w:tc>
          <w:tcPr>
            <w:tcW w:w="1964" w:type="dxa"/>
          </w:tcPr>
          <w:p w14:paraId="7E164152" w14:textId="1441C8BC" w:rsidR="00DE5E39" w:rsidRPr="00DE5E39" w:rsidRDefault="00DE5E39" w:rsidP="00DE5E39">
            <w:pPr>
              <w:rPr>
                <w:rFonts w:eastAsia="Times New Roman" w:cs="Arial"/>
                <w:color w:val="000000"/>
                <w:lang w:eastAsia="bg-BG"/>
              </w:rPr>
            </w:pPr>
            <w:r w:rsidRPr="00DE5E39">
              <w:t>Диспнея</w:t>
            </w:r>
          </w:p>
        </w:tc>
      </w:tr>
      <w:tr w:rsidR="00DE5E39" w14:paraId="5B9AD6B3" w14:textId="77777777" w:rsidTr="00DE5E39">
        <w:tc>
          <w:tcPr>
            <w:tcW w:w="1924" w:type="dxa"/>
          </w:tcPr>
          <w:p w14:paraId="21F34155" w14:textId="3ABE97E2" w:rsidR="00DE5E39" w:rsidRPr="00DE5E39" w:rsidRDefault="00DE5E39" w:rsidP="00DE5E39">
            <w:pPr>
              <w:rPr>
                <w:rFonts w:eastAsia="Times New Roman" w:cs="Arial"/>
                <w:color w:val="000000"/>
                <w:lang w:eastAsia="bg-BG"/>
              </w:rPr>
            </w:pPr>
            <w:r w:rsidRPr="00DE5E39">
              <w:t>Стомашно-чревни нарушения</w:t>
            </w:r>
          </w:p>
        </w:tc>
        <w:tc>
          <w:tcPr>
            <w:tcW w:w="1493" w:type="dxa"/>
          </w:tcPr>
          <w:p w14:paraId="0C1E2DF4" w14:textId="77777777" w:rsidR="00DE5E39" w:rsidRPr="00DE5E39" w:rsidRDefault="00DE5E39" w:rsidP="00DE5E39">
            <w:pPr>
              <w:rPr>
                <w:rFonts w:eastAsia="Times New Roman" w:cs="Arial"/>
                <w:color w:val="000000"/>
                <w:lang w:eastAsia="bg-BG"/>
              </w:rPr>
            </w:pPr>
          </w:p>
        </w:tc>
        <w:tc>
          <w:tcPr>
            <w:tcW w:w="1799" w:type="dxa"/>
          </w:tcPr>
          <w:p w14:paraId="7CD59578" w14:textId="3CD58CCC" w:rsidR="00DE5E39" w:rsidRPr="00DE5E39" w:rsidRDefault="00DE5E39" w:rsidP="00DE5E39">
            <w:pPr>
              <w:rPr>
                <w:rFonts w:eastAsia="Times New Roman" w:cs="Arial"/>
                <w:color w:val="000000"/>
                <w:lang w:eastAsia="bg-BG"/>
              </w:rPr>
            </w:pPr>
            <w:r w:rsidRPr="00DE5E39">
              <w:t>Гадене, диспепсия, стомашно разстройство, болка в корема</w:t>
            </w:r>
          </w:p>
        </w:tc>
        <w:tc>
          <w:tcPr>
            <w:tcW w:w="1266" w:type="dxa"/>
          </w:tcPr>
          <w:p w14:paraId="28D426C3" w14:textId="77777777" w:rsidR="00DE5E39" w:rsidRPr="00DE5E39" w:rsidRDefault="00DE5E39" w:rsidP="00DE5E39">
            <w:pPr>
              <w:rPr>
                <w:rFonts w:eastAsia="Times New Roman" w:cs="Arial"/>
                <w:color w:val="000000"/>
                <w:lang w:eastAsia="bg-BG"/>
              </w:rPr>
            </w:pPr>
          </w:p>
        </w:tc>
        <w:tc>
          <w:tcPr>
            <w:tcW w:w="1130" w:type="dxa"/>
          </w:tcPr>
          <w:p w14:paraId="6DDFDE94" w14:textId="678743D3" w:rsidR="00DE5E39" w:rsidRPr="00DE5E39" w:rsidRDefault="00DE5E39" w:rsidP="00DE5E39">
            <w:pPr>
              <w:rPr>
                <w:rFonts w:eastAsia="Times New Roman" w:cs="Arial"/>
                <w:color w:val="000000"/>
                <w:lang w:eastAsia="bg-BG"/>
              </w:rPr>
            </w:pPr>
            <w:r w:rsidRPr="00DE5E39">
              <w:t>Повръщане</w:t>
            </w:r>
          </w:p>
        </w:tc>
        <w:tc>
          <w:tcPr>
            <w:tcW w:w="1964" w:type="dxa"/>
          </w:tcPr>
          <w:p w14:paraId="406AC881" w14:textId="4B41EE10" w:rsidR="00DE5E39" w:rsidRPr="00DE5E39" w:rsidRDefault="00DE5E39" w:rsidP="00DE5E39">
            <w:pPr>
              <w:rPr>
                <w:rFonts w:eastAsia="Times New Roman" w:cs="Arial"/>
                <w:color w:val="000000"/>
                <w:lang w:eastAsia="bg-BG"/>
              </w:rPr>
            </w:pPr>
            <w:r w:rsidRPr="00DE5E39">
              <w:t>Коремен дискомфорт, диария,</w:t>
            </w:r>
          </w:p>
        </w:tc>
      </w:tr>
      <w:tr w:rsidR="00DE5E39" w14:paraId="422BC010" w14:textId="77777777" w:rsidTr="00DE5E39">
        <w:tc>
          <w:tcPr>
            <w:tcW w:w="1924" w:type="dxa"/>
          </w:tcPr>
          <w:p w14:paraId="5E2B8910" w14:textId="3B56B1AE" w:rsidR="00DE5E39" w:rsidRPr="00DE5E39" w:rsidRDefault="00DE5E39" w:rsidP="00DE5E39">
            <w:pPr>
              <w:rPr>
                <w:rFonts w:eastAsia="Times New Roman" w:cs="Arial"/>
                <w:color w:val="000000"/>
                <w:lang w:eastAsia="bg-BG"/>
              </w:rPr>
            </w:pPr>
            <w:r w:rsidRPr="00DE5E39">
              <w:t>Нарушения на кожата и подкожната тъкан</w:t>
            </w:r>
          </w:p>
        </w:tc>
        <w:tc>
          <w:tcPr>
            <w:tcW w:w="1493" w:type="dxa"/>
          </w:tcPr>
          <w:p w14:paraId="47360434" w14:textId="07EB4033" w:rsidR="00DE5E39" w:rsidRPr="00DE5E39" w:rsidRDefault="00DE5E39" w:rsidP="00DE5E39">
            <w:pPr>
              <w:rPr>
                <w:rFonts w:eastAsia="Times New Roman" w:cs="Arial"/>
                <w:color w:val="000000"/>
                <w:lang w:eastAsia="bg-BG"/>
              </w:rPr>
            </w:pPr>
            <w:r w:rsidRPr="00DE5E39">
              <w:t>Хиперхидроза</w:t>
            </w:r>
          </w:p>
        </w:tc>
        <w:tc>
          <w:tcPr>
            <w:tcW w:w="1799" w:type="dxa"/>
          </w:tcPr>
          <w:p w14:paraId="7E4C0D1D" w14:textId="670A8BCA" w:rsidR="00DE5E39" w:rsidRPr="00DE5E39" w:rsidRDefault="00DE5E39" w:rsidP="00DE5E39">
            <w:pPr>
              <w:rPr>
                <w:rFonts w:eastAsia="Times New Roman" w:cs="Arial"/>
                <w:color w:val="000000"/>
                <w:lang w:eastAsia="bg-BG"/>
              </w:rPr>
            </w:pPr>
            <w:r w:rsidRPr="00DE5E39">
              <w:t>Алопеция</w:t>
            </w:r>
          </w:p>
        </w:tc>
        <w:tc>
          <w:tcPr>
            <w:tcW w:w="1266" w:type="dxa"/>
          </w:tcPr>
          <w:p w14:paraId="46A003A7" w14:textId="77777777" w:rsidR="00DE5E39" w:rsidRPr="00DE5E39" w:rsidRDefault="00DE5E39" w:rsidP="00DE5E39">
            <w:pPr>
              <w:rPr>
                <w:rFonts w:eastAsia="Times New Roman" w:cs="Arial"/>
                <w:color w:val="000000"/>
                <w:lang w:eastAsia="bg-BG"/>
              </w:rPr>
            </w:pPr>
          </w:p>
        </w:tc>
        <w:tc>
          <w:tcPr>
            <w:tcW w:w="1130" w:type="dxa"/>
          </w:tcPr>
          <w:p w14:paraId="03B8E9B9" w14:textId="77777777" w:rsidR="00DE5E39" w:rsidRPr="00DE5E39" w:rsidRDefault="00DE5E39" w:rsidP="00DE5E39">
            <w:pPr>
              <w:rPr>
                <w:rFonts w:eastAsia="Times New Roman" w:cs="Arial"/>
                <w:color w:val="000000"/>
                <w:lang w:eastAsia="bg-BG"/>
              </w:rPr>
            </w:pPr>
          </w:p>
        </w:tc>
        <w:tc>
          <w:tcPr>
            <w:tcW w:w="1964" w:type="dxa"/>
          </w:tcPr>
          <w:p w14:paraId="67EB1FB1" w14:textId="1AA1A51E" w:rsidR="00DE5E39" w:rsidRPr="00DE5E39" w:rsidRDefault="00DE5E39" w:rsidP="00DE5E39">
            <w:pPr>
              <w:rPr>
                <w:rFonts w:eastAsia="Times New Roman" w:cs="Arial"/>
                <w:color w:val="000000"/>
                <w:lang w:eastAsia="bg-BG"/>
              </w:rPr>
            </w:pPr>
            <w:r w:rsidRPr="00DE5E39">
              <w:t>Ангиоедем. сърбеж, обрив, уртикария</w:t>
            </w:r>
          </w:p>
        </w:tc>
      </w:tr>
      <w:tr w:rsidR="00DE5E39" w14:paraId="427F67AD" w14:textId="77777777" w:rsidTr="00DE5E39">
        <w:tc>
          <w:tcPr>
            <w:tcW w:w="1924" w:type="dxa"/>
          </w:tcPr>
          <w:p w14:paraId="2373FBD5" w14:textId="4648367B" w:rsidR="00DE5E39" w:rsidRPr="00DE5E39" w:rsidRDefault="00DE5E39" w:rsidP="00DE5E39">
            <w:pPr>
              <w:rPr>
                <w:rFonts w:eastAsia="Times New Roman" w:cs="Arial"/>
                <w:color w:val="000000"/>
                <w:lang w:eastAsia="bg-BG"/>
              </w:rPr>
            </w:pPr>
            <w:r w:rsidRPr="00DE5E39">
              <w:t xml:space="preserve">Нарушения на мускулно-скелетната система и </w:t>
            </w:r>
            <w:r w:rsidRPr="00DE5E39">
              <w:lastRenderedPageBreak/>
              <w:t>съединителната тъкан</w:t>
            </w:r>
          </w:p>
        </w:tc>
        <w:tc>
          <w:tcPr>
            <w:tcW w:w="1493" w:type="dxa"/>
          </w:tcPr>
          <w:p w14:paraId="3390E1F0" w14:textId="77777777" w:rsidR="00DE5E39" w:rsidRPr="00DE5E39" w:rsidRDefault="00DE5E39" w:rsidP="00DE5E39">
            <w:pPr>
              <w:rPr>
                <w:rFonts w:eastAsia="Times New Roman" w:cs="Arial"/>
                <w:color w:val="000000"/>
                <w:lang w:eastAsia="bg-BG"/>
              </w:rPr>
            </w:pPr>
          </w:p>
        </w:tc>
        <w:tc>
          <w:tcPr>
            <w:tcW w:w="1799" w:type="dxa"/>
          </w:tcPr>
          <w:p w14:paraId="58387992" w14:textId="5B5EEA91" w:rsidR="00DE5E39" w:rsidRPr="00DE5E39" w:rsidRDefault="00DE5E39" w:rsidP="00DE5E39">
            <w:pPr>
              <w:rPr>
                <w:rFonts w:eastAsia="Times New Roman" w:cs="Arial"/>
                <w:color w:val="000000"/>
                <w:lang w:eastAsia="bg-BG"/>
              </w:rPr>
            </w:pPr>
            <w:r w:rsidRPr="00DE5E39">
              <w:t>Артралгия</w:t>
            </w:r>
          </w:p>
        </w:tc>
        <w:tc>
          <w:tcPr>
            <w:tcW w:w="1266" w:type="dxa"/>
          </w:tcPr>
          <w:p w14:paraId="099CB786" w14:textId="6359AD5E" w:rsidR="00DE5E39" w:rsidRPr="00DE5E39" w:rsidRDefault="00DE5E39" w:rsidP="00DE5E39">
            <w:pPr>
              <w:rPr>
                <w:rFonts w:eastAsia="Times New Roman" w:cs="Arial"/>
                <w:color w:val="000000"/>
                <w:lang w:eastAsia="bg-BG"/>
              </w:rPr>
            </w:pPr>
            <w:r w:rsidRPr="00DE5E39">
              <w:t xml:space="preserve">Болки в гърба, болки в костите, </w:t>
            </w:r>
            <w:r w:rsidRPr="00DE5E39">
              <w:lastRenderedPageBreak/>
              <w:t>мускулни спазми</w:t>
            </w:r>
          </w:p>
        </w:tc>
        <w:tc>
          <w:tcPr>
            <w:tcW w:w="1130" w:type="dxa"/>
          </w:tcPr>
          <w:p w14:paraId="5C394F38" w14:textId="025CD02F" w:rsidR="00DE5E39" w:rsidRPr="00DE5E39" w:rsidRDefault="00DE5E39" w:rsidP="00DE5E39">
            <w:pPr>
              <w:rPr>
                <w:rFonts w:eastAsia="Times New Roman" w:cs="Arial"/>
                <w:color w:val="000000"/>
                <w:lang w:eastAsia="bg-BG"/>
              </w:rPr>
            </w:pPr>
            <w:r w:rsidRPr="00DE5E39">
              <w:lastRenderedPageBreak/>
              <w:t>Миалгия</w:t>
            </w:r>
          </w:p>
        </w:tc>
        <w:tc>
          <w:tcPr>
            <w:tcW w:w="1964" w:type="dxa"/>
          </w:tcPr>
          <w:p w14:paraId="1DA0F262" w14:textId="3DAB572B" w:rsidR="00DE5E39" w:rsidRPr="00DE5E39" w:rsidRDefault="00DE5E39" w:rsidP="00DE5E39">
            <w:pPr>
              <w:rPr>
                <w:rFonts w:eastAsia="Times New Roman" w:cs="Arial"/>
                <w:color w:val="000000"/>
                <w:lang w:eastAsia="bg-BG"/>
              </w:rPr>
            </w:pPr>
            <w:r w:rsidRPr="00DE5E39">
              <w:t>Мускулна слабост</w:t>
            </w:r>
          </w:p>
        </w:tc>
      </w:tr>
      <w:tr w:rsidR="00DE5E39" w14:paraId="6BE777BF" w14:textId="77777777" w:rsidTr="00DE5E39">
        <w:tc>
          <w:tcPr>
            <w:tcW w:w="1924" w:type="dxa"/>
          </w:tcPr>
          <w:p w14:paraId="2CB93C07" w14:textId="713BDA06" w:rsidR="00DE5E39" w:rsidRPr="00DE5E39" w:rsidRDefault="00DE5E39" w:rsidP="00DE5E39">
            <w:pPr>
              <w:rPr>
                <w:rFonts w:eastAsia="Times New Roman" w:cs="Arial"/>
                <w:color w:val="000000"/>
                <w:lang w:eastAsia="bg-BG"/>
              </w:rPr>
            </w:pPr>
            <w:r w:rsidRPr="00DE5E39">
              <w:t>Нарушения на възпроизводителната система и гърдата</w:t>
            </w:r>
          </w:p>
        </w:tc>
        <w:tc>
          <w:tcPr>
            <w:tcW w:w="1493" w:type="dxa"/>
          </w:tcPr>
          <w:p w14:paraId="5940ACC3" w14:textId="2027FB03" w:rsidR="00DE5E39" w:rsidRPr="00DE5E39" w:rsidRDefault="00DE5E39" w:rsidP="00DE5E39">
            <w:pPr>
              <w:rPr>
                <w:rFonts w:eastAsia="Times New Roman" w:cs="Arial"/>
                <w:color w:val="000000"/>
                <w:lang w:eastAsia="bg-BG"/>
              </w:rPr>
            </w:pPr>
            <w:r w:rsidRPr="00DE5E39">
              <w:t>Вулвовагинална сухота, генитално кървене</w:t>
            </w:r>
          </w:p>
        </w:tc>
        <w:tc>
          <w:tcPr>
            <w:tcW w:w="1799" w:type="dxa"/>
          </w:tcPr>
          <w:p w14:paraId="213094FA" w14:textId="38D56C0B" w:rsidR="00DE5E39" w:rsidRPr="00DE5E39" w:rsidRDefault="00DE5E39" w:rsidP="00DE5E39">
            <w:pPr>
              <w:rPr>
                <w:rFonts w:eastAsia="Times New Roman" w:cs="Arial"/>
                <w:color w:val="000000"/>
                <w:lang w:eastAsia="bg-BG"/>
              </w:rPr>
            </w:pPr>
            <w:r w:rsidRPr="00DE5E39">
              <w:t>Диспареуния, нарушения на гърдата, менструално кървене</w:t>
            </w:r>
          </w:p>
        </w:tc>
        <w:tc>
          <w:tcPr>
            <w:tcW w:w="1266" w:type="dxa"/>
          </w:tcPr>
          <w:p w14:paraId="5FCFF005" w14:textId="77777777" w:rsidR="00DE5E39" w:rsidRPr="00DE5E39" w:rsidRDefault="00DE5E39" w:rsidP="00DE5E39">
            <w:pPr>
              <w:rPr>
                <w:rFonts w:eastAsia="Times New Roman" w:cs="Arial"/>
                <w:color w:val="000000"/>
                <w:lang w:eastAsia="bg-BG"/>
              </w:rPr>
            </w:pPr>
          </w:p>
        </w:tc>
        <w:tc>
          <w:tcPr>
            <w:tcW w:w="1130" w:type="dxa"/>
          </w:tcPr>
          <w:p w14:paraId="4737C84E" w14:textId="6E9EC68C" w:rsidR="00DE5E39" w:rsidRPr="00DE5E39" w:rsidRDefault="00DE5E39" w:rsidP="00DE5E39">
            <w:pPr>
              <w:rPr>
                <w:rFonts w:eastAsia="Times New Roman" w:cs="Arial"/>
                <w:color w:val="000000"/>
                <w:lang w:eastAsia="bg-BG"/>
              </w:rPr>
            </w:pPr>
            <w:r w:rsidRPr="00DE5E39">
              <w:t>Менорагия, болка в таза</w:t>
            </w:r>
          </w:p>
        </w:tc>
        <w:tc>
          <w:tcPr>
            <w:tcW w:w="1964" w:type="dxa"/>
          </w:tcPr>
          <w:p w14:paraId="420C4608" w14:textId="5C33DFEB" w:rsidR="00DE5E39" w:rsidRPr="00DE5E39" w:rsidRDefault="00DE5E39" w:rsidP="00DE5E39">
            <w:pPr>
              <w:rPr>
                <w:rFonts w:eastAsia="Times New Roman" w:cs="Arial"/>
                <w:color w:val="000000"/>
                <w:lang w:eastAsia="bg-BG"/>
              </w:rPr>
            </w:pPr>
            <w:r w:rsidRPr="00DE5E39">
              <w:t>Дисменорея, метрорагия, болки в гърдите, аменорея</w:t>
            </w:r>
          </w:p>
        </w:tc>
      </w:tr>
      <w:tr w:rsidR="00DE5E39" w14:paraId="6FA7B0F6" w14:textId="77777777" w:rsidTr="00DE5E39">
        <w:tc>
          <w:tcPr>
            <w:tcW w:w="1924" w:type="dxa"/>
          </w:tcPr>
          <w:p w14:paraId="29E9C83C" w14:textId="7931D970" w:rsidR="00DE5E39" w:rsidRPr="00DE5E39" w:rsidRDefault="00DE5E39" w:rsidP="00DE5E39">
            <w:pPr>
              <w:rPr>
                <w:rFonts w:eastAsia="Times New Roman" w:cs="Arial"/>
                <w:color w:val="000000"/>
                <w:lang w:eastAsia="bg-BG"/>
              </w:rPr>
            </w:pPr>
            <w:r w:rsidRPr="00DE5E39">
              <w:t>Общи нарушения и ефекти на мястото на приложение</w:t>
            </w:r>
          </w:p>
        </w:tc>
        <w:tc>
          <w:tcPr>
            <w:tcW w:w="1493" w:type="dxa"/>
          </w:tcPr>
          <w:p w14:paraId="08B3645E" w14:textId="77777777" w:rsidR="00DE5E39" w:rsidRPr="00DE5E39" w:rsidRDefault="00DE5E39" w:rsidP="00DE5E39">
            <w:pPr>
              <w:rPr>
                <w:rFonts w:eastAsia="Times New Roman" w:cs="Arial"/>
                <w:color w:val="000000"/>
                <w:lang w:eastAsia="bg-BG"/>
              </w:rPr>
            </w:pPr>
          </w:p>
        </w:tc>
        <w:tc>
          <w:tcPr>
            <w:tcW w:w="1799" w:type="dxa"/>
          </w:tcPr>
          <w:p w14:paraId="651E10F6" w14:textId="086F97C0" w:rsidR="00DE5E39" w:rsidRPr="00DE5E39" w:rsidRDefault="00DE5E39" w:rsidP="00DE5E39">
            <w:pPr>
              <w:rPr>
                <w:rFonts w:eastAsia="Times New Roman" w:cs="Arial"/>
                <w:color w:val="000000"/>
                <w:lang w:eastAsia="bg-BG"/>
              </w:rPr>
            </w:pPr>
            <w:r w:rsidRPr="00DE5E39">
              <w:t>Умора, астения, раздразнителност</w:t>
            </w:r>
          </w:p>
        </w:tc>
        <w:tc>
          <w:tcPr>
            <w:tcW w:w="1266" w:type="dxa"/>
          </w:tcPr>
          <w:p w14:paraId="4D7D8AA7" w14:textId="3C1D502E" w:rsidR="00DE5E39" w:rsidRPr="00DE5E39" w:rsidRDefault="00DE5E39" w:rsidP="00DE5E39">
            <w:pPr>
              <w:rPr>
                <w:rFonts w:eastAsia="Times New Roman" w:cs="Arial"/>
                <w:color w:val="000000"/>
                <w:lang w:eastAsia="bg-BG"/>
              </w:rPr>
            </w:pPr>
            <w:r w:rsidRPr="00DE5E39">
              <w:t>Оток, болка на мястото на инжектиране, реакция на мястото на инжектиране</w:t>
            </w:r>
          </w:p>
        </w:tc>
        <w:tc>
          <w:tcPr>
            <w:tcW w:w="1130" w:type="dxa"/>
          </w:tcPr>
          <w:p w14:paraId="643D07FA" w14:textId="77777777" w:rsidR="00DE5E39" w:rsidRPr="00DE5E39" w:rsidRDefault="00DE5E39" w:rsidP="00DE5E39">
            <w:pPr>
              <w:rPr>
                <w:rFonts w:eastAsia="Times New Roman" w:cs="Arial"/>
                <w:color w:val="000000"/>
                <w:lang w:eastAsia="bg-BG"/>
              </w:rPr>
            </w:pPr>
          </w:p>
        </w:tc>
        <w:tc>
          <w:tcPr>
            <w:tcW w:w="1964" w:type="dxa"/>
          </w:tcPr>
          <w:p w14:paraId="1467DD76" w14:textId="4B99CDBA" w:rsidR="00DE5E39" w:rsidRPr="00DE5E39" w:rsidRDefault="00DE5E39" w:rsidP="00DE5E39">
            <w:pPr>
              <w:rPr>
                <w:rFonts w:eastAsia="Times New Roman" w:cs="Arial"/>
                <w:color w:val="000000"/>
                <w:lang w:eastAsia="bg-BG"/>
              </w:rPr>
            </w:pPr>
            <w:r w:rsidRPr="00DE5E39">
              <w:t>Пирексия, неразположение, зачервяване на мястото на инжектиране, възпаление на мястото на инжектиране</w:t>
            </w:r>
          </w:p>
        </w:tc>
      </w:tr>
      <w:tr w:rsidR="00DE5E39" w14:paraId="4A950F81" w14:textId="77777777" w:rsidTr="00DE5E39">
        <w:tc>
          <w:tcPr>
            <w:tcW w:w="1924" w:type="dxa"/>
          </w:tcPr>
          <w:p w14:paraId="0F3CB6F2" w14:textId="66762A51" w:rsidR="00DE5E39" w:rsidRPr="00DE5E39" w:rsidRDefault="00DE5E39" w:rsidP="00DE5E39">
            <w:pPr>
              <w:rPr>
                <w:rFonts w:eastAsia="Times New Roman" w:cs="Arial"/>
                <w:color w:val="000000"/>
                <w:lang w:eastAsia="bg-BG"/>
              </w:rPr>
            </w:pPr>
            <w:r w:rsidRPr="00DE5E39">
              <w:t>Изследвания</w:t>
            </w:r>
          </w:p>
        </w:tc>
        <w:tc>
          <w:tcPr>
            <w:tcW w:w="1493" w:type="dxa"/>
          </w:tcPr>
          <w:p w14:paraId="274312D8" w14:textId="77777777" w:rsidR="00DE5E39" w:rsidRPr="00DE5E39" w:rsidRDefault="00DE5E39" w:rsidP="00DE5E39">
            <w:pPr>
              <w:rPr>
                <w:rFonts w:eastAsia="Times New Roman" w:cs="Arial"/>
                <w:color w:val="000000"/>
                <w:lang w:eastAsia="bg-BG"/>
              </w:rPr>
            </w:pPr>
          </w:p>
        </w:tc>
        <w:tc>
          <w:tcPr>
            <w:tcW w:w="1799" w:type="dxa"/>
          </w:tcPr>
          <w:p w14:paraId="5336B365" w14:textId="5E4245C8" w:rsidR="00DE5E39" w:rsidRPr="00DE5E39" w:rsidRDefault="00DE5E39" w:rsidP="00DE5E39">
            <w:pPr>
              <w:rPr>
                <w:rFonts w:eastAsia="Times New Roman" w:cs="Arial"/>
                <w:color w:val="000000"/>
                <w:lang w:eastAsia="bg-BG"/>
              </w:rPr>
            </w:pPr>
            <w:r w:rsidRPr="00DE5E39">
              <w:t>Увеличено тегло, ненормално тегло</w:t>
            </w:r>
          </w:p>
        </w:tc>
        <w:tc>
          <w:tcPr>
            <w:tcW w:w="1266" w:type="dxa"/>
          </w:tcPr>
          <w:p w14:paraId="748D1C1B" w14:textId="2F7BFA20" w:rsidR="00DE5E39" w:rsidRPr="00DE5E39" w:rsidRDefault="00DE5E39" w:rsidP="00DE5E39">
            <w:pPr>
              <w:rPr>
                <w:rFonts w:eastAsia="Times New Roman" w:cs="Arial"/>
                <w:color w:val="000000"/>
                <w:lang w:eastAsia="bg-BG"/>
              </w:rPr>
            </w:pPr>
            <w:r w:rsidRPr="00DE5E39">
              <w:t>Увеличено кръвно налягане</w:t>
            </w:r>
          </w:p>
        </w:tc>
        <w:tc>
          <w:tcPr>
            <w:tcW w:w="1130" w:type="dxa"/>
          </w:tcPr>
          <w:p w14:paraId="647C1FA8" w14:textId="77777777" w:rsidR="00DE5E39" w:rsidRPr="00DE5E39" w:rsidRDefault="00DE5E39" w:rsidP="00DE5E39">
            <w:pPr>
              <w:rPr>
                <w:rFonts w:eastAsia="Times New Roman" w:cs="Arial"/>
                <w:color w:val="000000"/>
                <w:lang w:eastAsia="bg-BG"/>
              </w:rPr>
            </w:pPr>
          </w:p>
        </w:tc>
        <w:tc>
          <w:tcPr>
            <w:tcW w:w="1964" w:type="dxa"/>
          </w:tcPr>
          <w:p w14:paraId="08D766F2" w14:textId="77777777" w:rsidR="00DE5E39" w:rsidRPr="00DE5E39" w:rsidRDefault="00DE5E39" w:rsidP="00DE5E39">
            <w:pPr>
              <w:rPr>
                <w:rFonts w:eastAsia="Times New Roman" w:cs="Arial"/>
                <w:color w:val="000000"/>
                <w:lang w:eastAsia="bg-BG"/>
              </w:rPr>
            </w:pPr>
          </w:p>
        </w:tc>
      </w:tr>
    </w:tbl>
    <w:p w14:paraId="5DA6D6E7"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 С неизвестна честота (честотата не може да се определи въз основа на наличните данни)</w:t>
      </w:r>
    </w:p>
    <w:p w14:paraId="67C48937" w14:textId="77777777" w:rsidR="00DE5E39" w:rsidRDefault="00DE5E39" w:rsidP="00DE5E39">
      <w:pPr>
        <w:spacing w:line="240" w:lineRule="auto"/>
        <w:rPr>
          <w:rFonts w:eastAsia="Times New Roman" w:cs="Arial"/>
          <w:color w:val="000000"/>
          <w:lang w:eastAsia="bg-BG"/>
        </w:rPr>
      </w:pPr>
    </w:p>
    <w:p w14:paraId="648F41D2" w14:textId="5E93D0F7" w:rsidR="00DE5E39" w:rsidRPr="00DE5E39" w:rsidRDefault="00DE5E39" w:rsidP="00DE5E39">
      <w:pPr>
        <w:spacing w:line="240" w:lineRule="auto"/>
        <w:rPr>
          <w:rFonts w:eastAsia="Times New Roman" w:cs="Arial"/>
        </w:rPr>
      </w:pPr>
      <w:r w:rsidRPr="00DE5E39">
        <w:rPr>
          <w:rFonts w:eastAsia="Times New Roman" w:cs="Arial"/>
          <w:color w:val="000000"/>
          <w:lang w:eastAsia="bg-BG"/>
        </w:rPr>
        <w:t>Описание на избрани нежелани реакции:</w:t>
      </w:r>
    </w:p>
    <w:p w14:paraId="66DCF053"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Генитални кръвоизливи, включително менструално кървене, менорагия и метрорагия може да се появят през месеца след първата инжекция</w:t>
      </w:r>
    </w:p>
    <w:p w14:paraId="5EF0FFD7" w14:textId="77777777" w:rsidR="00DE5E39" w:rsidRDefault="00DE5E39" w:rsidP="00DE5E39">
      <w:pPr>
        <w:spacing w:line="240" w:lineRule="auto"/>
        <w:rPr>
          <w:rFonts w:eastAsia="Times New Roman" w:cs="Arial"/>
          <w:color w:val="000000"/>
          <w:lang w:eastAsia="bg-BG"/>
        </w:rPr>
      </w:pPr>
    </w:p>
    <w:p w14:paraId="34116B09" w14:textId="2C47F0E3" w:rsidR="00DE5E39" w:rsidRDefault="00DE5E39" w:rsidP="00DE5E39">
      <w:pPr>
        <w:spacing w:line="240" w:lineRule="auto"/>
        <w:rPr>
          <w:rFonts w:eastAsia="Times New Roman" w:cs="Arial"/>
          <w:color w:val="000000"/>
          <w:lang w:eastAsia="bg-BG"/>
        </w:rPr>
      </w:pPr>
      <w:r w:rsidRPr="00DE5E39">
        <w:rPr>
          <w:rFonts w:eastAsia="Times New Roman" w:cs="Arial"/>
          <w:color w:val="000000"/>
          <w:lang w:eastAsia="bg-BG"/>
        </w:rPr>
        <w:t xml:space="preserve">Може да се получи леко загуба на плътност на трабекуларната кост. Това обикновено е </w:t>
      </w:r>
    </w:p>
    <w:p w14:paraId="44FC9497" w14:textId="6F553CFB" w:rsidR="00DE5E39" w:rsidRPr="00DE5E39" w:rsidRDefault="00DE5E39" w:rsidP="00DE5E39">
      <w:pPr>
        <w:spacing w:line="240" w:lineRule="auto"/>
        <w:rPr>
          <w:rFonts w:eastAsia="Times New Roman" w:cs="Arial"/>
        </w:rPr>
      </w:pPr>
      <w:r w:rsidRPr="00DE5E39">
        <w:rPr>
          <w:rFonts w:eastAsia="Times New Roman" w:cs="Arial"/>
          <w:color w:val="000000"/>
          <w:lang w:eastAsia="bg-BG"/>
        </w:rPr>
        <w:t>обратимо в рамките на 6-9 месеца след преустановяване на лечението (виж раздел 4.4).</w:t>
      </w:r>
    </w:p>
    <w:p w14:paraId="1C3B5C12" w14:textId="77777777" w:rsidR="00DE5E39" w:rsidRDefault="00DE5E39" w:rsidP="00DE5E39">
      <w:pPr>
        <w:spacing w:line="240" w:lineRule="auto"/>
        <w:rPr>
          <w:rFonts w:eastAsia="Times New Roman" w:cs="Arial"/>
          <w:color w:val="000000"/>
          <w:u w:val="single"/>
          <w:lang w:eastAsia="bg-BG"/>
        </w:rPr>
      </w:pPr>
    </w:p>
    <w:p w14:paraId="28DD4909" w14:textId="1B4409DE" w:rsidR="00DE5E39" w:rsidRPr="00DE5E39" w:rsidRDefault="00DE5E39" w:rsidP="00DE5E39">
      <w:pPr>
        <w:spacing w:line="240" w:lineRule="auto"/>
        <w:rPr>
          <w:rFonts w:eastAsia="Times New Roman" w:cs="Arial"/>
        </w:rPr>
      </w:pPr>
      <w:r w:rsidRPr="00DE5E39">
        <w:rPr>
          <w:rFonts w:eastAsia="Times New Roman" w:cs="Arial"/>
          <w:color w:val="000000"/>
          <w:u w:val="single"/>
          <w:lang w:eastAsia="bg-BG"/>
        </w:rPr>
        <w:t>Съобщаване на подозирани нежелани реакции</w:t>
      </w:r>
    </w:p>
    <w:p w14:paraId="4C47B27D"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като използват данните по-долу:</w:t>
      </w:r>
    </w:p>
    <w:p w14:paraId="7597458A"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Изпълнителна агенция по лекарствата ул. „Дамян Груев“ № 8</w:t>
      </w:r>
    </w:p>
    <w:p w14:paraId="4753C10F"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 xml:space="preserve">1303 София, </w:t>
      </w:r>
      <w:r w:rsidRPr="00DE5E39">
        <w:rPr>
          <w:rFonts w:eastAsia="Times New Roman" w:cs="Arial"/>
          <w:b/>
          <w:bCs/>
          <w:color w:val="000000"/>
          <w:lang w:eastAsia="bg-BG"/>
        </w:rPr>
        <w:t>България</w:t>
      </w:r>
    </w:p>
    <w:p w14:paraId="73223516"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Тел.:+359 2 8903417</w:t>
      </w:r>
    </w:p>
    <w:p w14:paraId="025B88A1" w14:textId="77777777" w:rsidR="00DE5E39" w:rsidRPr="00DE5E39" w:rsidRDefault="00DE5E39" w:rsidP="00DE5E39">
      <w:pPr>
        <w:spacing w:line="240" w:lineRule="auto"/>
        <w:rPr>
          <w:rFonts w:eastAsia="Times New Roman" w:cs="Arial"/>
        </w:rPr>
      </w:pPr>
      <w:r w:rsidRPr="00DE5E39">
        <w:rPr>
          <w:rFonts w:eastAsia="Times New Roman" w:cs="Arial"/>
          <w:color w:val="000000"/>
          <w:lang w:eastAsia="bg-BG"/>
        </w:rPr>
        <w:t xml:space="preserve">уебсайт: </w:t>
      </w:r>
      <w:hyperlink r:id="rId5" w:history="1">
        <w:r w:rsidRPr="00DE5E39">
          <w:rPr>
            <w:rFonts w:eastAsia="Times New Roman" w:cs="Arial"/>
            <w:color w:val="000000"/>
            <w:lang w:val="en-US"/>
          </w:rPr>
          <w:t>www.bda.bg</w:t>
        </w:r>
      </w:hyperlink>
    </w:p>
    <w:p w14:paraId="1962861B" w14:textId="77777777" w:rsidR="008E5730" w:rsidRPr="00371F96" w:rsidRDefault="008E5730" w:rsidP="008E5730">
      <w:pPr>
        <w:rPr>
          <w:rFonts w:eastAsia="Times New Roman" w:cs="Arial"/>
          <w:color w:val="000000"/>
          <w:lang w:eastAsia="bg-BG"/>
        </w:rPr>
      </w:pPr>
    </w:p>
    <w:p w14:paraId="4ED30546" w14:textId="79D0FBFD" w:rsidR="007C605B" w:rsidRDefault="002C50EE" w:rsidP="009F1313">
      <w:pPr>
        <w:pStyle w:val="Heading2"/>
      </w:pPr>
      <w:r>
        <w:t>4.9. Предозиране</w:t>
      </w:r>
    </w:p>
    <w:p w14:paraId="61600029" w14:textId="3AF30A6C" w:rsidR="00DE5E39" w:rsidRDefault="00DE5E39" w:rsidP="00DE5E39"/>
    <w:p w14:paraId="2AFF5932" w14:textId="77777777" w:rsidR="00DE5E39" w:rsidRPr="00DE5E39" w:rsidRDefault="00DE5E39" w:rsidP="00DE5E39">
      <w:pPr>
        <w:rPr>
          <w:rFonts w:ascii="Times New Roman" w:hAnsi="Times New Roman" w:cs="Times New Roman"/>
          <w:sz w:val="24"/>
          <w:szCs w:val="24"/>
        </w:rPr>
      </w:pPr>
      <w:r w:rsidRPr="00DE5E39">
        <w:rPr>
          <w:lang w:eastAsia="bg-BG"/>
        </w:rPr>
        <w:t>Предозирането при хора може да доведе до удължено действие. В случай на предозиране, лечението с ДЕКАПЕПТИЛ трябва да бъде (временно) преустановено.</w:t>
      </w:r>
    </w:p>
    <w:p w14:paraId="18E3AFCC" w14:textId="70F5B86E" w:rsidR="00DE5E39" w:rsidRPr="00DE5E39" w:rsidRDefault="00DE5E39" w:rsidP="00DE5E39">
      <w:pPr>
        <w:rPr>
          <w:rFonts w:ascii="Times New Roman" w:hAnsi="Times New Roman" w:cs="Times New Roman"/>
          <w:sz w:val="24"/>
          <w:szCs w:val="24"/>
        </w:rPr>
      </w:pPr>
      <w:r w:rsidRPr="00DE5E39">
        <w:rPr>
          <w:lang w:eastAsia="bg-BG"/>
        </w:rPr>
        <w:lastRenderedPageBreak/>
        <w:t>Няма съобщения за нежелани реакции в резултат на предозиране.</w:t>
      </w:r>
    </w:p>
    <w:p w14:paraId="02081B24" w14:textId="1F46E296" w:rsidR="00395555" w:rsidRPr="00395555" w:rsidRDefault="002C50EE" w:rsidP="008A6AF2">
      <w:pPr>
        <w:pStyle w:val="Heading1"/>
      </w:pPr>
      <w:r>
        <w:t>5. ФАРМАКОЛОГИЧНИ СВОЙСТВА</w:t>
      </w:r>
    </w:p>
    <w:p w14:paraId="5350637D" w14:textId="214BD839" w:rsidR="00395555" w:rsidRDefault="002C50EE" w:rsidP="008A6AF2">
      <w:pPr>
        <w:pStyle w:val="Heading2"/>
      </w:pPr>
      <w:r>
        <w:t>5.1. Фармакодинамични свойства</w:t>
      </w:r>
    </w:p>
    <w:p w14:paraId="75B2CAC9" w14:textId="671A772E" w:rsidR="00DE5E39" w:rsidRDefault="00DE5E39" w:rsidP="00DE5E39"/>
    <w:p w14:paraId="1DC71888" w14:textId="77777777"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 xml:space="preserve">Фармакотерапевтична група: Аналози на гонатропин освобождаващ хормон АТС код: </w:t>
      </w:r>
      <w:r w:rsidRPr="00DE5E39">
        <w:rPr>
          <w:rFonts w:eastAsia="Times New Roman" w:cs="Arial"/>
          <w:color w:val="000000"/>
          <w:lang w:val="en-US"/>
        </w:rPr>
        <w:t>L</w:t>
      </w:r>
      <w:r w:rsidRPr="00DE5E39">
        <w:rPr>
          <w:rFonts w:eastAsia="Times New Roman" w:cs="Arial"/>
          <w:color w:val="000000"/>
          <w:lang w:val="ru-RU"/>
        </w:rPr>
        <w:t>02</w:t>
      </w:r>
      <w:r w:rsidRPr="00DE5E39">
        <w:rPr>
          <w:rFonts w:eastAsia="Times New Roman" w:cs="Arial"/>
          <w:color w:val="000000"/>
          <w:lang w:val="en-US"/>
        </w:rPr>
        <w:t>AE</w:t>
      </w:r>
      <w:r w:rsidRPr="00DE5E39">
        <w:rPr>
          <w:rFonts w:eastAsia="Times New Roman" w:cs="Arial"/>
          <w:color w:val="000000"/>
          <w:lang w:val="ru-RU"/>
        </w:rPr>
        <w:t>04</w:t>
      </w:r>
    </w:p>
    <w:p w14:paraId="1DF2D2A6" w14:textId="77777777" w:rsidR="00866C31" w:rsidRDefault="00866C31" w:rsidP="00DE5E39">
      <w:pPr>
        <w:spacing w:line="240" w:lineRule="auto"/>
        <w:rPr>
          <w:rFonts w:eastAsia="Times New Roman" w:cs="Arial"/>
          <w:color w:val="000000"/>
          <w:lang w:eastAsia="bg-BG"/>
        </w:rPr>
      </w:pPr>
    </w:p>
    <w:p w14:paraId="7A04EE86" w14:textId="18FF8736"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 xml:space="preserve">Трипторелин е синтетичен декапептиден аналог на естествения гонатропин освобождаващ хормон </w:t>
      </w:r>
      <w:r w:rsidRPr="00DE5E39">
        <w:rPr>
          <w:rFonts w:eastAsia="Times New Roman" w:cs="Arial"/>
          <w:color w:val="000000"/>
          <w:lang w:val="ru-RU"/>
        </w:rPr>
        <w:t>(</w:t>
      </w:r>
      <w:proofErr w:type="spellStart"/>
      <w:r w:rsidRPr="00DE5E39">
        <w:rPr>
          <w:rFonts w:eastAsia="Times New Roman" w:cs="Arial"/>
          <w:color w:val="000000"/>
          <w:lang w:val="en-US"/>
        </w:rPr>
        <w:t>GnRH</w:t>
      </w:r>
      <w:proofErr w:type="spellEnd"/>
      <w:r w:rsidRPr="00DE5E39">
        <w:rPr>
          <w:rFonts w:eastAsia="Times New Roman" w:cs="Arial"/>
          <w:color w:val="000000"/>
          <w:lang w:val="ru-RU"/>
        </w:rPr>
        <w:t xml:space="preserve">). </w:t>
      </w:r>
      <w:proofErr w:type="spellStart"/>
      <w:r w:rsidRPr="00DE5E39">
        <w:rPr>
          <w:rFonts w:eastAsia="Times New Roman" w:cs="Arial"/>
          <w:color w:val="000000"/>
          <w:lang w:val="en-US"/>
        </w:rPr>
        <w:t>GnRH</w:t>
      </w:r>
      <w:proofErr w:type="spellEnd"/>
      <w:r w:rsidRPr="00DE5E39">
        <w:rPr>
          <w:rFonts w:eastAsia="Times New Roman" w:cs="Arial"/>
          <w:color w:val="000000"/>
          <w:lang w:val="ru-RU"/>
        </w:rPr>
        <w:t xml:space="preserve"> </w:t>
      </w:r>
      <w:r w:rsidRPr="00DE5E39">
        <w:rPr>
          <w:rFonts w:eastAsia="Times New Roman" w:cs="Arial"/>
          <w:color w:val="000000"/>
          <w:lang w:eastAsia="bg-BG"/>
        </w:rPr>
        <w:t xml:space="preserve">е декапептид, който се синтезира в хипоталамуса и регулира биологичния синтез и освобождаването на гонатропин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 xml:space="preserve">(лутеинизиращ хормон) и </w:t>
      </w:r>
      <w:r w:rsidRPr="00DE5E39">
        <w:rPr>
          <w:rFonts w:eastAsia="Times New Roman" w:cs="Arial"/>
          <w:color w:val="000000"/>
          <w:lang w:val="en-US"/>
        </w:rPr>
        <w:t>FSH</w:t>
      </w:r>
      <w:r w:rsidRPr="00DE5E39">
        <w:rPr>
          <w:rFonts w:eastAsia="Times New Roman" w:cs="Arial"/>
          <w:color w:val="000000"/>
          <w:lang w:val="ru-RU"/>
        </w:rPr>
        <w:t xml:space="preserve"> </w:t>
      </w:r>
      <w:r w:rsidRPr="00DE5E39">
        <w:rPr>
          <w:rFonts w:eastAsia="Times New Roman" w:cs="Arial"/>
          <w:color w:val="000000"/>
          <w:lang w:eastAsia="bg-BG"/>
        </w:rPr>
        <w:t xml:space="preserve">(фоликул-стимулиращ хормон) от хипофизата. Трипторелин стимулира по-силно хипофизата да секретира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val="en-US"/>
        </w:rPr>
        <w:t>and</w:t>
      </w:r>
      <w:r w:rsidRPr="00DE5E39">
        <w:rPr>
          <w:rFonts w:eastAsia="Times New Roman" w:cs="Arial"/>
          <w:color w:val="000000"/>
          <w:lang w:val="ru-RU"/>
        </w:rPr>
        <w:t xml:space="preserve"> </w:t>
      </w:r>
      <w:r w:rsidRPr="00DE5E39">
        <w:rPr>
          <w:rFonts w:eastAsia="Times New Roman" w:cs="Arial"/>
          <w:color w:val="000000"/>
          <w:lang w:val="en-US"/>
        </w:rPr>
        <w:t>FSH</w:t>
      </w:r>
      <w:r w:rsidRPr="00DE5E39">
        <w:rPr>
          <w:rFonts w:eastAsia="Times New Roman" w:cs="Arial"/>
          <w:color w:val="000000"/>
          <w:lang w:val="ru-RU"/>
        </w:rPr>
        <w:t xml:space="preserve"> </w:t>
      </w:r>
      <w:r w:rsidRPr="00DE5E39">
        <w:rPr>
          <w:rFonts w:eastAsia="Times New Roman" w:cs="Arial"/>
          <w:color w:val="000000"/>
          <w:lang w:eastAsia="bg-BG"/>
        </w:rPr>
        <w:t xml:space="preserve">в сравнение със сравнима доза гонадорелин и има по- дълго действие. Увеличаването на нивата на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 xml:space="preserve">и </w:t>
      </w:r>
      <w:r w:rsidRPr="00DE5E39">
        <w:rPr>
          <w:rFonts w:eastAsia="Times New Roman" w:cs="Arial"/>
          <w:color w:val="000000"/>
          <w:lang w:val="en-US"/>
        </w:rPr>
        <w:t>FSH</w:t>
      </w:r>
      <w:r w:rsidRPr="00DE5E39">
        <w:rPr>
          <w:rFonts w:eastAsia="Times New Roman" w:cs="Arial"/>
          <w:color w:val="000000"/>
          <w:lang w:val="ru-RU"/>
        </w:rPr>
        <w:t xml:space="preserve"> </w:t>
      </w:r>
      <w:r w:rsidRPr="00DE5E39">
        <w:rPr>
          <w:rFonts w:eastAsia="Times New Roman" w:cs="Arial"/>
          <w:color w:val="000000"/>
          <w:lang w:eastAsia="bg-BG"/>
        </w:rPr>
        <w:t xml:space="preserve">първоначално ще доведе до увеличаване концентрацията на серумния тестостерон при мъжете или концентрацията на серумния естроген при жените. Хроничният прием на </w:t>
      </w:r>
      <w:proofErr w:type="spellStart"/>
      <w:r w:rsidRPr="00DE5E39">
        <w:rPr>
          <w:rFonts w:eastAsia="Times New Roman" w:cs="Arial"/>
          <w:color w:val="000000"/>
          <w:lang w:val="en-US"/>
        </w:rPr>
        <w:t>GnRH</w:t>
      </w:r>
      <w:proofErr w:type="spellEnd"/>
      <w:r w:rsidRPr="00DE5E39">
        <w:rPr>
          <w:rFonts w:eastAsia="Times New Roman" w:cs="Arial"/>
          <w:color w:val="000000"/>
          <w:lang w:val="ru-RU"/>
        </w:rPr>
        <w:t xml:space="preserve"> </w:t>
      </w:r>
      <w:r w:rsidRPr="00DE5E39">
        <w:rPr>
          <w:rFonts w:eastAsia="Times New Roman" w:cs="Arial"/>
          <w:color w:val="000000"/>
          <w:lang w:eastAsia="bg-BG"/>
        </w:rPr>
        <w:t xml:space="preserve">агонисти води до инхибиране на секрекцията на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 xml:space="preserve">и </w:t>
      </w:r>
      <w:r w:rsidRPr="00DE5E39">
        <w:rPr>
          <w:rFonts w:eastAsia="Times New Roman" w:cs="Arial"/>
          <w:color w:val="000000"/>
          <w:lang w:val="en-US"/>
        </w:rPr>
        <w:t>FSH</w:t>
      </w:r>
      <w:r w:rsidRPr="00DE5E39">
        <w:rPr>
          <w:rFonts w:eastAsia="Times New Roman" w:cs="Arial"/>
          <w:color w:val="000000"/>
          <w:lang w:val="ru-RU"/>
        </w:rPr>
        <w:t xml:space="preserve"> </w:t>
      </w:r>
      <w:r w:rsidRPr="00DE5E39">
        <w:rPr>
          <w:rFonts w:eastAsia="Times New Roman" w:cs="Arial"/>
          <w:color w:val="000000"/>
          <w:lang w:eastAsia="bg-BG"/>
        </w:rPr>
        <w:t>от хипофизата. Това инхибиране води до намаляване на стероидогенезата, с което серумната концентрация на естрадиол при жени и серумната концентрация на тестостерон при мъжете падат до стойностите, съответно, на менопауза или кастриране, т.е. състояние на хипогонадотропен хипогонадизъм.</w:t>
      </w:r>
    </w:p>
    <w:p w14:paraId="2A3F71B5" w14:textId="77777777"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 xml:space="preserve">Нивата на плазмен </w:t>
      </w:r>
      <w:r w:rsidRPr="00DE5E39">
        <w:rPr>
          <w:rFonts w:eastAsia="Times New Roman" w:cs="Arial"/>
          <w:color w:val="000000"/>
          <w:lang w:val="en-US"/>
        </w:rPr>
        <w:t>DHEAS</w:t>
      </w:r>
      <w:r w:rsidRPr="00DE5E39">
        <w:rPr>
          <w:rFonts w:eastAsia="Times New Roman" w:cs="Arial"/>
          <w:color w:val="000000"/>
          <w:lang w:val="ru-RU"/>
        </w:rPr>
        <w:t xml:space="preserve"> </w:t>
      </w:r>
      <w:r w:rsidRPr="00DE5E39">
        <w:rPr>
          <w:rFonts w:eastAsia="Times New Roman" w:cs="Arial"/>
          <w:color w:val="000000"/>
          <w:lang w:eastAsia="bg-BG"/>
        </w:rPr>
        <w:t>(дихидроепиандростендион сулфат) не се засягат. Терапевтично, това води до намаляване на растежа на тумори на простатата, чувствителни на тестостерон при мъжете и до намаляване на ендометриозните огнища и миоми на матката, зависими от естрогена, при жените. По отношение на миомите на матката, се наблюдава максимална полза от лечението при жени с анемия (хемоглобин по-нисък или равен на 8 г / дл)</w:t>
      </w:r>
    </w:p>
    <w:p w14:paraId="09DA5BC7" w14:textId="77777777" w:rsidR="00866C31" w:rsidRDefault="00866C31" w:rsidP="00DE5E39">
      <w:pPr>
        <w:spacing w:line="240" w:lineRule="auto"/>
        <w:rPr>
          <w:rFonts w:eastAsia="Times New Roman" w:cs="Arial"/>
          <w:color w:val="000000"/>
          <w:lang w:eastAsia="bg-BG"/>
        </w:rPr>
      </w:pPr>
    </w:p>
    <w:p w14:paraId="5EF9FD4D" w14:textId="401BE985"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Точната продължителност на действие на ДЕКАПЕПТИЛ не е установена, но потискането на хипофизата се поддържа в продължение на най-малко 6 дни след спиране на приема.</w:t>
      </w:r>
    </w:p>
    <w:p w14:paraId="7644952D" w14:textId="77777777" w:rsidR="00866C31" w:rsidRDefault="00866C31" w:rsidP="00DE5E39">
      <w:pPr>
        <w:spacing w:line="240" w:lineRule="auto"/>
        <w:rPr>
          <w:rFonts w:eastAsia="Times New Roman" w:cs="Arial"/>
          <w:color w:val="000000"/>
          <w:lang w:eastAsia="bg-BG"/>
        </w:rPr>
      </w:pPr>
    </w:p>
    <w:p w14:paraId="377756EE" w14:textId="032D272D"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 xml:space="preserve">Даун регулация на хипофизата, индуцирана с ДЕКАПЕПТИЛ, може да предотврати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 xml:space="preserve">удари и по този начин - преждевременната овулация и/ или фоликуларна лутеинизация. Използването на даун регулацията с </w:t>
      </w:r>
      <w:proofErr w:type="spellStart"/>
      <w:r w:rsidRPr="00DE5E39">
        <w:rPr>
          <w:rFonts w:eastAsia="Times New Roman" w:cs="Arial"/>
          <w:color w:val="000000"/>
          <w:lang w:val="en-US"/>
        </w:rPr>
        <w:t>GnRH</w:t>
      </w:r>
      <w:proofErr w:type="spellEnd"/>
      <w:r w:rsidRPr="00DE5E39">
        <w:rPr>
          <w:rFonts w:eastAsia="Times New Roman" w:cs="Arial"/>
          <w:color w:val="000000"/>
          <w:lang w:val="ru-RU"/>
        </w:rPr>
        <w:t xml:space="preserve"> </w:t>
      </w:r>
      <w:r w:rsidRPr="00DE5E39">
        <w:rPr>
          <w:rFonts w:eastAsia="Times New Roman" w:cs="Arial"/>
          <w:color w:val="000000"/>
          <w:lang w:eastAsia="bg-BG"/>
        </w:rPr>
        <w:t xml:space="preserve">агонист намалява процента на прекъсване на цикъла и подобрява процента на забременяване при циклите на </w:t>
      </w:r>
      <w:r w:rsidRPr="00DE5E39">
        <w:rPr>
          <w:rFonts w:eastAsia="Times New Roman" w:cs="Arial"/>
          <w:color w:val="000000"/>
          <w:lang w:val="en-US"/>
        </w:rPr>
        <w:t>APT</w:t>
      </w:r>
      <w:r w:rsidRPr="00DE5E39">
        <w:rPr>
          <w:rFonts w:eastAsia="Times New Roman" w:cs="Arial"/>
          <w:color w:val="000000"/>
          <w:lang w:val="ru-RU"/>
        </w:rPr>
        <w:t>.</w:t>
      </w:r>
    </w:p>
    <w:p w14:paraId="0686F9E3" w14:textId="77777777" w:rsidR="00866C31" w:rsidRDefault="00866C31" w:rsidP="00DE5E39">
      <w:pPr>
        <w:spacing w:line="240" w:lineRule="auto"/>
        <w:rPr>
          <w:rFonts w:eastAsia="Times New Roman" w:cs="Arial"/>
          <w:color w:val="000000"/>
          <w:lang w:eastAsia="bg-BG"/>
        </w:rPr>
      </w:pPr>
    </w:p>
    <w:p w14:paraId="784EA7C6" w14:textId="69734766" w:rsidR="00DE5E39" w:rsidRPr="00DE5E39" w:rsidRDefault="00DE5E39" w:rsidP="00DE5E39">
      <w:pPr>
        <w:spacing w:line="240" w:lineRule="auto"/>
        <w:rPr>
          <w:rFonts w:ascii="Times New Roman" w:eastAsia="Times New Roman" w:hAnsi="Times New Roman" w:cs="Times New Roman"/>
        </w:rPr>
      </w:pPr>
      <w:r w:rsidRPr="00DE5E39">
        <w:rPr>
          <w:rFonts w:eastAsia="Times New Roman" w:cs="Arial"/>
          <w:color w:val="000000"/>
          <w:lang w:eastAsia="bg-BG"/>
        </w:rPr>
        <w:t xml:space="preserve">След преустановяване приема на ДЕКАПЕПТИЛ може да се очаква допълнителен спад на циркулационните нива на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 xml:space="preserve">като нивата на </w:t>
      </w:r>
      <w:r w:rsidRPr="00DE5E39">
        <w:rPr>
          <w:rFonts w:eastAsia="Times New Roman" w:cs="Arial"/>
          <w:color w:val="000000"/>
          <w:lang w:val="en-US"/>
        </w:rPr>
        <w:t>LH</w:t>
      </w:r>
      <w:r w:rsidRPr="00DE5E39">
        <w:rPr>
          <w:rFonts w:eastAsia="Times New Roman" w:cs="Arial"/>
          <w:color w:val="000000"/>
          <w:lang w:val="ru-RU"/>
        </w:rPr>
        <w:t xml:space="preserve"> </w:t>
      </w:r>
      <w:r w:rsidRPr="00DE5E39">
        <w:rPr>
          <w:rFonts w:eastAsia="Times New Roman" w:cs="Arial"/>
          <w:color w:val="000000"/>
          <w:lang w:eastAsia="bg-BG"/>
        </w:rPr>
        <w:t>се възвръщат до базовото ниво след около 2 седмици.</w:t>
      </w:r>
    </w:p>
    <w:p w14:paraId="7D5B0AC8" w14:textId="77777777" w:rsidR="00DE5E39" w:rsidRPr="00DE5E39" w:rsidRDefault="00DE5E39" w:rsidP="00DE5E39"/>
    <w:p w14:paraId="26535098" w14:textId="0787EE58" w:rsidR="00395555" w:rsidRDefault="002C50EE" w:rsidP="008A6AF2">
      <w:pPr>
        <w:pStyle w:val="Heading2"/>
      </w:pPr>
      <w:r>
        <w:t>5.2. Фармакокинетични свойства</w:t>
      </w:r>
    </w:p>
    <w:p w14:paraId="04CF56C0" w14:textId="213FC0BE" w:rsidR="00866C31" w:rsidRDefault="00866C31" w:rsidP="00866C31"/>
    <w:p w14:paraId="461C98EC" w14:textId="77777777" w:rsidR="00866C31" w:rsidRPr="00866C31" w:rsidRDefault="00866C31" w:rsidP="00866C31">
      <w:pPr>
        <w:rPr>
          <w:rFonts w:ascii="Times New Roman" w:hAnsi="Times New Roman" w:cs="Times New Roman"/>
          <w:sz w:val="24"/>
          <w:szCs w:val="24"/>
        </w:rPr>
      </w:pPr>
      <w:r w:rsidRPr="00866C31">
        <w:rPr>
          <w:lang w:eastAsia="bg-BG"/>
        </w:rPr>
        <w:t>Фармакокинетичните данни показват, че след подкожно приложение на ДЕКАПЕПТИЛ системната бионаличност на трипторелин е близо 100%. Елиминационният полуживот на трипторелин е приблизително 3-5 часа, което показва, че трипторелин се елиминира в рамките на 24 часа. Метаболизирането до по-малки пептиди и аминокиселини се появява главно в черния дроб и бъбреците. Трипторелинът се екскретира предимно с урината.</w:t>
      </w:r>
    </w:p>
    <w:p w14:paraId="2436229D" w14:textId="77777777" w:rsidR="00866C31" w:rsidRDefault="00866C31" w:rsidP="00866C31">
      <w:pPr>
        <w:rPr>
          <w:lang w:eastAsia="bg-BG"/>
        </w:rPr>
      </w:pPr>
    </w:p>
    <w:p w14:paraId="52237D0F" w14:textId="368194CC" w:rsidR="00866C31" w:rsidRPr="00866C31" w:rsidRDefault="00866C31" w:rsidP="00866C31">
      <w:pPr>
        <w:rPr>
          <w:rFonts w:ascii="Times New Roman" w:hAnsi="Times New Roman" w:cs="Times New Roman"/>
          <w:sz w:val="24"/>
          <w:szCs w:val="24"/>
        </w:rPr>
      </w:pPr>
      <w:r w:rsidRPr="00866C31">
        <w:rPr>
          <w:lang w:eastAsia="bg-BG"/>
        </w:rPr>
        <w:lastRenderedPageBreak/>
        <w:t>Клиничните проучвания показват, че рискът от натрупване на трипторелин при пациенти с тежко чернодробно и бъбречно увреждане е малък.</w:t>
      </w:r>
    </w:p>
    <w:p w14:paraId="25D20D52" w14:textId="77777777" w:rsidR="00866C31" w:rsidRPr="00866C31" w:rsidRDefault="00866C31" w:rsidP="00866C31"/>
    <w:p w14:paraId="028E658A" w14:textId="2D0E46EB" w:rsidR="00395555" w:rsidRDefault="002C50EE" w:rsidP="008A6AF2">
      <w:pPr>
        <w:pStyle w:val="Heading2"/>
      </w:pPr>
      <w:r>
        <w:t>5.3. Предклинични данни за безопасност</w:t>
      </w:r>
    </w:p>
    <w:p w14:paraId="17C37C71" w14:textId="4189B113" w:rsidR="00866C31" w:rsidRDefault="00866C31" w:rsidP="00866C31"/>
    <w:p w14:paraId="7789E29A" w14:textId="77777777" w:rsidR="00866C31" w:rsidRPr="00866C31" w:rsidRDefault="00866C31" w:rsidP="00866C31">
      <w:pPr>
        <w:rPr>
          <w:rFonts w:ascii="Times New Roman" w:eastAsia="Times New Roman" w:hAnsi="Times New Roman" w:cs="Times New Roman"/>
          <w:sz w:val="24"/>
          <w:szCs w:val="24"/>
        </w:rPr>
      </w:pPr>
      <w:r>
        <w:t xml:space="preserve">При плъхове, лекувани в продължение на дълъг период от време с трипторелин, е открито увеличаване на туморите на хипофизата. Известно е, че </w:t>
      </w:r>
      <w:r>
        <w:rPr>
          <w:lang w:val="en-US"/>
        </w:rPr>
        <w:t>LHRH</w:t>
      </w:r>
      <w:r w:rsidRPr="00866C31">
        <w:rPr>
          <w:lang w:val="ru-RU"/>
        </w:rPr>
        <w:t xml:space="preserve"> </w:t>
      </w:r>
      <w:r>
        <w:t>аналозите индуцират туморите на хипофизата при гризачи поради</w:t>
      </w:r>
      <w:r w:rsidRPr="00866C31">
        <w:rPr>
          <w:lang w:val="ru-RU"/>
        </w:rPr>
        <w:t xml:space="preserve"> </w:t>
      </w:r>
      <w:r w:rsidRPr="00866C31">
        <w:rPr>
          <w:rFonts w:eastAsia="Times New Roman"/>
          <w:color w:val="000000"/>
          <w:lang w:eastAsia="bg-BG"/>
        </w:rPr>
        <w:t>специфичното регулиране на ендокринната система при гризачите, което е различно от регулирането при хората.</w:t>
      </w:r>
    </w:p>
    <w:p w14:paraId="2D27381A" w14:textId="77777777" w:rsidR="00866C31" w:rsidRDefault="00866C31" w:rsidP="00866C31">
      <w:pPr>
        <w:rPr>
          <w:rFonts w:eastAsia="Times New Roman"/>
          <w:color w:val="000000"/>
          <w:lang w:eastAsia="bg-BG"/>
        </w:rPr>
      </w:pPr>
    </w:p>
    <w:p w14:paraId="7FC71A10" w14:textId="2B350C57" w:rsidR="00866C31" w:rsidRPr="00866C31" w:rsidRDefault="00866C31" w:rsidP="00866C31">
      <w:pPr>
        <w:rPr>
          <w:rFonts w:ascii="Times New Roman" w:eastAsia="Times New Roman" w:hAnsi="Times New Roman" w:cs="Times New Roman"/>
          <w:sz w:val="24"/>
          <w:szCs w:val="24"/>
        </w:rPr>
      </w:pPr>
      <w:r w:rsidRPr="00866C31">
        <w:rPr>
          <w:rFonts w:eastAsia="Times New Roman"/>
          <w:color w:val="000000"/>
          <w:lang w:eastAsia="bg-BG"/>
        </w:rPr>
        <w:t>Влиянието на трипторелин върху аномалии на хипофизата при хора не е известно и се приема, че наблюденията при плъхове не са относими към за хората.</w:t>
      </w:r>
    </w:p>
    <w:p w14:paraId="0F5E2EC6" w14:textId="77777777" w:rsidR="00866C31" w:rsidRDefault="00866C31" w:rsidP="00866C31">
      <w:pPr>
        <w:rPr>
          <w:rFonts w:eastAsia="Times New Roman"/>
          <w:color w:val="000000"/>
          <w:lang w:eastAsia="bg-BG"/>
        </w:rPr>
      </w:pPr>
    </w:p>
    <w:p w14:paraId="143FDC37" w14:textId="315E7293" w:rsidR="00866C31" w:rsidRPr="00866C31" w:rsidRDefault="00866C31" w:rsidP="00866C31">
      <w:pPr>
        <w:rPr>
          <w:rFonts w:ascii="Times New Roman" w:eastAsia="Times New Roman" w:hAnsi="Times New Roman" w:cs="Times New Roman"/>
          <w:sz w:val="24"/>
          <w:szCs w:val="24"/>
        </w:rPr>
      </w:pPr>
      <w:r w:rsidRPr="00866C31">
        <w:rPr>
          <w:rFonts w:eastAsia="Times New Roman"/>
          <w:color w:val="000000"/>
          <w:lang w:eastAsia="bg-BG"/>
        </w:rPr>
        <w:t>Трипторелинът не е тератогенен, но има признаци за забавяне на развитието на плода и раждането при плъхове.</w:t>
      </w:r>
    </w:p>
    <w:p w14:paraId="7E738912" w14:textId="77777777" w:rsidR="00866C31" w:rsidRDefault="00866C31" w:rsidP="00866C31">
      <w:pPr>
        <w:rPr>
          <w:rFonts w:eastAsia="Times New Roman"/>
          <w:color w:val="000000"/>
          <w:lang w:eastAsia="bg-BG"/>
        </w:rPr>
      </w:pPr>
    </w:p>
    <w:p w14:paraId="70EFDBF4" w14:textId="3CD625C3" w:rsidR="00866C31" w:rsidRPr="00866C31" w:rsidRDefault="00866C31" w:rsidP="00866C31">
      <w:pPr>
        <w:rPr>
          <w:rFonts w:ascii="Times New Roman" w:eastAsia="Times New Roman" w:hAnsi="Times New Roman" w:cs="Times New Roman"/>
          <w:sz w:val="24"/>
          <w:szCs w:val="24"/>
        </w:rPr>
      </w:pPr>
      <w:r w:rsidRPr="00866C31">
        <w:rPr>
          <w:rFonts w:eastAsia="Times New Roman"/>
          <w:color w:val="000000"/>
          <w:lang w:eastAsia="bg-BG"/>
        </w:rPr>
        <w:t>Предклиничните данни не показват особен риск за хората на база на изследванията за токсичност и генотоксичност при повтарящи се дози.</w:t>
      </w:r>
    </w:p>
    <w:p w14:paraId="5A5AFE51" w14:textId="1F3DDE62" w:rsidR="00866C31" w:rsidRPr="00866C31" w:rsidRDefault="00866C31" w:rsidP="00866C31"/>
    <w:p w14:paraId="6A7820AB" w14:textId="54A016C2" w:rsidR="008A6AF2" w:rsidRDefault="002C50EE" w:rsidP="00395555">
      <w:pPr>
        <w:pStyle w:val="Heading1"/>
      </w:pPr>
      <w:r>
        <w:t>7. ПРИТЕЖАТЕЛ НА РАЗРЕШЕНИЕТО ЗА УПОТРЕБА</w:t>
      </w:r>
    </w:p>
    <w:p w14:paraId="1C95FE19" w14:textId="4141D4F5" w:rsidR="00866C31" w:rsidRDefault="00866C31" w:rsidP="00866C31"/>
    <w:p w14:paraId="3207363A" w14:textId="77777777" w:rsidR="00866C31" w:rsidRPr="00866C31" w:rsidRDefault="00866C31" w:rsidP="00866C31">
      <w:pPr>
        <w:rPr>
          <w:rFonts w:ascii="Times New Roman" w:hAnsi="Times New Roman" w:cs="Times New Roman"/>
          <w:sz w:val="24"/>
          <w:szCs w:val="24"/>
          <w:lang w:val="en-US"/>
        </w:rPr>
      </w:pPr>
      <w:proofErr w:type="spellStart"/>
      <w:r w:rsidRPr="00866C31">
        <w:rPr>
          <w:lang w:val="en-US"/>
        </w:rPr>
        <w:t>Ferring</w:t>
      </w:r>
      <w:proofErr w:type="spellEnd"/>
      <w:r w:rsidRPr="00866C31">
        <w:rPr>
          <w:lang w:val="en-US"/>
        </w:rPr>
        <w:t xml:space="preserve"> GmbH,</w:t>
      </w:r>
    </w:p>
    <w:p w14:paraId="59B81F51" w14:textId="77777777" w:rsidR="00866C31" w:rsidRPr="00866C31" w:rsidRDefault="00866C31" w:rsidP="00866C31">
      <w:pPr>
        <w:rPr>
          <w:rFonts w:ascii="Times New Roman" w:hAnsi="Times New Roman" w:cs="Times New Roman"/>
          <w:sz w:val="24"/>
          <w:szCs w:val="24"/>
          <w:lang w:val="en-US"/>
        </w:rPr>
      </w:pPr>
      <w:proofErr w:type="spellStart"/>
      <w:r w:rsidRPr="00866C31">
        <w:rPr>
          <w:lang w:val="en-US"/>
        </w:rPr>
        <w:t>Wittland</w:t>
      </w:r>
      <w:proofErr w:type="spellEnd"/>
      <w:r w:rsidRPr="00866C31">
        <w:rPr>
          <w:lang w:val="en-US"/>
        </w:rPr>
        <w:t xml:space="preserve"> </w:t>
      </w:r>
      <w:r w:rsidRPr="00866C31">
        <w:rPr>
          <w:lang w:eastAsia="bg-BG"/>
        </w:rPr>
        <w:t xml:space="preserve">11, </w:t>
      </w:r>
      <w:r w:rsidRPr="00866C31">
        <w:rPr>
          <w:lang w:val="en-US"/>
        </w:rPr>
        <w:t>D-24</w:t>
      </w:r>
      <w:r w:rsidRPr="00866C31">
        <w:rPr>
          <w:lang w:eastAsia="bg-BG"/>
        </w:rPr>
        <w:t xml:space="preserve">109 </w:t>
      </w:r>
      <w:r w:rsidRPr="00866C31">
        <w:rPr>
          <w:lang w:val="en-US"/>
        </w:rPr>
        <w:t>Kiel,</w:t>
      </w:r>
    </w:p>
    <w:p w14:paraId="1593869C" w14:textId="079654E0" w:rsidR="00866C31" w:rsidRPr="00866C31" w:rsidRDefault="00866C31" w:rsidP="00866C31">
      <w:r w:rsidRPr="00866C31">
        <w:rPr>
          <w:lang w:eastAsia="bg-BG"/>
        </w:rPr>
        <w:t>Германия</w:t>
      </w:r>
    </w:p>
    <w:p w14:paraId="04840D59" w14:textId="2D42BED0" w:rsidR="002C50EE" w:rsidRDefault="002C50EE" w:rsidP="00395555">
      <w:pPr>
        <w:pStyle w:val="Heading1"/>
      </w:pPr>
      <w:r>
        <w:t>8. НОМЕР НА РАЗРЕШЕНИЕТО ЗА УПОТРЕБА</w:t>
      </w:r>
    </w:p>
    <w:p w14:paraId="749EF632" w14:textId="1157C4B1" w:rsidR="00866C31" w:rsidRDefault="00866C31" w:rsidP="00866C31"/>
    <w:p w14:paraId="6F217CC2" w14:textId="47CCB863" w:rsidR="00866C31" w:rsidRPr="00866C31" w:rsidRDefault="00866C31" w:rsidP="00866C31">
      <w:r>
        <w:t>Per. № 20000284</w:t>
      </w:r>
    </w:p>
    <w:p w14:paraId="2CCB5832" w14:textId="13CA8B7A" w:rsidR="007C605B" w:rsidRDefault="002C50EE" w:rsidP="007C605B">
      <w:pPr>
        <w:pStyle w:val="Heading1"/>
      </w:pPr>
      <w:r>
        <w:t>9. ДАТА НА ПЪРВО РАЗРЕШАВАНЕ/ПОДНОВЯВАНЕ НА РАЗРЕШЕНИЕТО ЗА УПОТРЕБА</w:t>
      </w:r>
    </w:p>
    <w:p w14:paraId="5C55952B" w14:textId="5A488842" w:rsidR="00866C31" w:rsidRDefault="00866C31" w:rsidP="00866C31"/>
    <w:p w14:paraId="2BA02C90" w14:textId="528C769C" w:rsidR="00866C31" w:rsidRPr="00866C31" w:rsidRDefault="00866C31" w:rsidP="00866C31">
      <w:r>
        <w:t>08.06.2000</w:t>
      </w:r>
    </w:p>
    <w:p w14:paraId="0E9D0119" w14:textId="0245C6D7" w:rsidR="002C50EE" w:rsidRDefault="002C50EE" w:rsidP="002C50EE">
      <w:pPr>
        <w:pStyle w:val="Heading1"/>
      </w:pPr>
      <w:r>
        <w:t>10. ДАТА НА АКТУАЛИЗИРАНЕ НА ТЕКСТА</w:t>
      </w:r>
    </w:p>
    <w:bookmarkEnd w:id="0"/>
    <w:p w14:paraId="43FB38A2" w14:textId="71AF2732" w:rsidR="007C605B" w:rsidRDefault="007C605B" w:rsidP="00395555"/>
    <w:p w14:paraId="677F91E9" w14:textId="086140DD" w:rsidR="00866C31" w:rsidRPr="003E3126" w:rsidRDefault="00866C31" w:rsidP="00866C31">
      <w:r>
        <w:t>12/2016</w:t>
      </w:r>
      <w:bookmarkStart w:id="3" w:name="_GoBack"/>
      <w:bookmarkEnd w:id="3"/>
    </w:p>
    <w:sectPr w:rsidR="00866C31"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29"/>
  </w:num>
  <w:num w:numId="28">
    <w:abstractNumId w:val="6"/>
  </w:num>
  <w:num w:numId="29">
    <w:abstractNumId w:val="19"/>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1F96"/>
    <w:rsid w:val="003765DC"/>
    <w:rsid w:val="00395555"/>
    <w:rsid w:val="003E3126"/>
    <w:rsid w:val="004D4D6B"/>
    <w:rsid w:val="00517A5B"/>
    <w:rsid w:val="00593A00"/>
    <w:rsid w:val="005A66D9"/>
    <w:rsid w:val="00605BCA"/>
    <w:rsid w:val="006158A1"/>
    <w:rsid w:val="00617B1F"/>
    <w:rsid w:val="006705BC"/>
    <w:rsid w:val="00672487"/>
    <w:rsid w:val="00672600"/>
    <w:rsid w:val="00681D4A"/>
    <w:rsid w:val="00685882"/>
    <w:rsid w:val="0075649D"/>
    <w:rsid w:val="007C605B"/>
    <w:rsid w:val="00814073"/>
    <w:rsid w:val="00826F0D"/>
    <w:rsid w:val="00866C31"/>
    <w:rsid w:val="00893B92"/>
    <w:rsid w:val="008A6AF2"/>
    <w:rsid w:val="008C70A2"/>
    <w:rsid w:val="008E5730"/>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E5E39"/>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5042</Words>
  <Characters>28742</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2022-01-05T14:28:00Z</dcterms:created>
  <dcterms:modified xsi:type="dcterms:W3CDTF">2022-01-05T14:28:00Z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