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A328C" w14:textId="77777777" w:rsidR="002C50EE" w:rsidRPr="00D064B4" w:rsidRDefault="002C50EE" w:rsidP="002C50EE">
      <w:pPr>
        <w:pStyle w:val="Heading1"/>
        <w:jc w:val="center"/>
        <w:rPr>
          <w:lang w:val="bg-BG"/>
        </w:rPr>
      </w:pPr>
      <w:bookmarkStart w:id="0" w:name="_Hlk63124480"/>
      <w:r w:rsidRPr="00D064B4">
        <w:rPr>
          <w:lang w:val="bg-BG"/>
        </w:rPr>
        <w:t>КРАТКА ХАРАКТЕРИСТИКА НА ПРОДУКТА</w:t>
      </w:r>
    </w:p>
    <w:p w14:paraId="6AF1D2F0" w14:textId="553BDDD4" w:rsidR="002C50EE" w:rsidRPr="00D064B4" w:rsidRDefault="002C50EE" w:rsidP="00EB6364">
      <w:pPr>
        <w:pStyle w:val="Heading1"/>
        <w:numPr>
          <w:ilvl w:val="0"/>
          <w:numId w:val="11"/>
        </w:numPr>
        <w:rPr>
          <w:lang w:val="bg-BG"/>
        </w:rPr>
      </w:pPr>
      <w:r w:rsidRPr="00D064B4">
        <w:rPr>
          <w:lang w:val="bg-BG"/>
        </w:rPr>
        <w:t>ИМЕ НА ЛЕКАРСТВЕНИЯ ПРОДУКТ</w:t>
      </w:r>
    </w:p>
    <w:p w14:paraId="42A766ED" w14:textId="77777777" w:rsidR="00A21DE4" w:rsidRPr="00D064B4" w:rsidRDefault="00A21DE4" w:rsidP="00A21DE4">
      <w:pPr>
        <w:rPr>
          <w:sz w:val="24"/>
          <w:szCs w:val="24"/>
          <w:lang w:val="bg-BG"/>
        </w:rPr>
      </w:pPr>
      <w:proofErr w:type="spellStart"/>
      <w:r w:rsidRPr="00D064B4">
        <w:rPr>
          <w:lang w:val="bg-BG" w:eastAsia="bg-BG"/>
        </w:rPr>
        <w:t>Деган</w:t>
      </w:r>
      <w:proofErr w:type="spellEnd"/>
      <w:r w:rsidRPr="00D064B4">
        <w:rPr>
          <w:lang w:val="bg-BG" w:eastAsia="bg-BG"/>
        </w:rPr>
        <w:t xml:space="preserve"> 10 </w:t>
      </w:r>
      <w:proofErr w:type="spellStart"/>
      <w:r w:rsidRPr="00D064B4">
        <w:rPr>
          <w:lang w:val="bg-BG"/>
        </w:rPr>
        <w:t>mg</w:t>
      </w:r>
      <w:proofErr w:type="spellEnd"/>
      <w:r w:rsidRPr="00D064B4">
        <w:rPr>
          <w:lang w:val="bg-BG"/>
        </w:rPr>
        <w:t xml:space="preserve"> </w:t>
      </w:r>
      <w:r w:rsidRPr="00D064B4">
        <w:rPr>
          <w:lang w:val="bg-BG" w:eastAsia="bg-BG"/>
        </w:rPr>
        <w:t>таблетки</w:t>
      </w:r>
    </w:p>
    <w:p w14:paraId="41A152D3" w14:textId="22F57AC3" w:rsidR="00EB6364" w:rsidRPr="00D064B4" w:rsidRDefault="00A21DE4" w:rsidP="00EB6364">
      <w:pPr>
        <w:rPr>
          <w:sz w:val="24"/>
          <w:szCs w:val="24"/>
          <w:lang w:val="bg-BG"/>
        </w:rPr>
      </w:pPr>
      <w:proofErr w:type="spellStart"/>
      <w:r w:rsidRPr="00D064B4">
        <w:rPr>
          <w:lang w:val="bg-BG"/>
        </w:rPr>
        <w:t>Degan</w:t>
      </w:r>
      <w:proofErr w:type="spellEnd"/>
      <w:r w:rsidRPr="00D064B4">
        <w:rPr>
          <w:lang w:val="bg-BG"/>
        </w:rPr>
        <w:t xml:space="preserve"> </w:t>
      </w:r>
      <w:r w:rsidRPr="00D064B4">
        <w:rPr>
          <w:lang w:val="bg-BG" w:eastAsia="bg-BG"/>
        </w:rPr>
        <w:t xml:space="preserve">10 </w:t>
      </w:r>
      <w:proofErr w:type="spellStart"/>
      <w:r w:rsidRPr="00D064B4">
        <w:rPr>
          <w:lang w:val="bg-BG"/>
        </w:rPr>
        <w:t>mg</w:t>
      </w:r>
      <w:proofErr w:type="spellEnd"/>
      <w:r w:rsidRPr="00D064B4">
        <w:rPr>
          <w:lang w:val="bg-BG"/>
        </w:rPr>
        <w:t xml:space="preserve"> </w:t>
      </w:r>
      <w:proofErr w:type="spellStart"/>
      <w:r w:rsidRPr="00D064B4">
        <w:rPr>
          <w:lang w:val="bg-BG"/>
        </w:rPr>
        <w:t>tablets</w:t>
      </w:r>
      <w:proofErr w:type="spellEnd"/>
    </w:p>
    <w:p w14:paraId="09D7AC26" w14:textId="3E735060" w:rsidR="00C83063" w:rsidRPr="00D064B4" w:rsidRDefault="002C50EE" w:rsidP="00C83063">
      <w:pPr>
        <w:pStyle w:val="Heading1"/>
        <w:numPr>
          <w:ilvl w:val="0"/>
          <w:numId w:val="11"/>
        </w:numPr>
        <w:rPr>
          <w:lang w:val="bg-BG"/>
        </w:rPr>
      </w:pPr>
      <w:r w:rsidRPr="00D064B4">
        <w:rPr>
          <w:lang w:val="bg-BG"/>
        </w:rPr>
        <w:t>КАЧЕСТВЕН И КОЛИЧЕСТВЕН СЪСТАВ</w:t>
      </w:r>
    </w:p>
    <w:p w14:paraId="27F76272" w14:textId="2272D7E9" w:rsidR="00EB6364" w:rsidRPr="00D064B4" w:rsidRDefault="00A21DE4" w:rsidP="00EB636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Всяка таблетка съдържа 10 </w:t>
      </w:r>
      <w:proofErr w:type="spellStart"/>
      <w:r w:rsidRPr="00D064B4">
        <w:rPr>
          <w:lang w:val="bg-BG"/>
        </w:rPr>
        <w:t>mg</w:t>
      </w:r>
      <w:proofErr w:type="spellEnd"/>
      <w:r w:rsidRPr="00D064B4">
        <w:rPr>
          <w:lang w:val="bg-BG"/>
        </w:rPr>
        <w:t xml:space="preserve"> </w:t>
      </w:r>
      <w:proofErr w:type="spellStart"/>
      <w:r w:rsidRPr="00D064B4">
        <w:rPr>
          <w:lang w:val="bg-BG" w:eastAsia="bg-BG"/>
        </w:rPr>
        <w:t>метоклопрамидов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хидрохлорид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монохидрат</w:t>
      </w:r>
      <w:proofErr w:type="spellEnd"/>
      <w:r w:rsidRPr="00D064B4">
        <w:rPr>
          <w:lang w:val="bg-BG" w:eastAsia="bg-BG"/>
        </w:rPr>
        <w:t xml:space="preserve"> </w:t>
      </w:r>
      <w:r w:rsidRPr="00D064B4">
        <w:rPr>
          <w:i/>
          <w:iCs/>
          <w:lang w:val="bg-BG"/>
        </w:rPr>
        <w:t>(</w:t>
      </w:r>
      <w:proofErr w:type="spellStart"/>
      <w:r w:rsidRPr="00D064B4">
        <w:rPr>
          <w:i/>
          <w:iCs/>
          <w:lang w:val="bg-BG"/>
        </w:rPr>
        <w:t>metoclopramide</w:t>
      </w:r>
      <w:proofErr w:type="spellEnd"/>
      <w:r w:rsidRPr="00D064B4">
        <w:rPr>
          <w:i/>
          <w:iCs/>
          <w:lang w:val="bg-BG"/>
        </w:rPr>
        <w:t xml:space="preserve"> </w:t>
      </w:r>
      <w:proofErr w:type="spellStart"/>
      <w:r w:rsidRPr="00D064B4">
        <w:rPr>
          <w:i/>
          <w:iCs/>
          <w:lang w:val="bg-BG"/>
        </w:rPr>
        <w:t>hydrochloride</w:t>
      </w:r>
      <w:proofErr w:type="spellEnd"/>
      <w:r w:rsidRPr="00D064B4">
        <w:rPr>
          <w:i/>
          <w:iCs/>
          <w:lang w:val="bg-BG"/>
        </w:rPr>
        <w:t xml:space="preserve"> </w:t>
      </w:r>
      <w:proofErr w:type="spellStart"/>
      <w:r w:rsidRPr="00D064B4">
        <w:rPr>
          <w:i/>
          <w:iCs/>
          <w:lang w:val="bg-BG"/>
        </w:rPr>
        <w:t>monohydrate</w:t>
      </w:r>
      <w:proofErr w:type="spellEnd"/>
      <w:r w:rsidRPr="00D064B4">
        <w:rPr>
          <w:i/>
          <w:iCs/>
          <w:lang w:val="bg-BG"/>
        </w:rPr>
        <w:t>).</w:t>
      </w:r>
    </w:p>
    <w:p w14:paraId="6CCB29CE" w14:textId="2AD1D8AB" w:rsidR="002C50EE" w:rsidRPr="00D064B4" w:rsidRDefault="002C50EE" w:rsidP="00EB6364">
      <w:pPr>
        <w:pStyle w:val="Heading1"/>
        <w:numPr>
          <w:ilvl w:val="0"/>
          <w:numId w:val="11"/>
        </w:numPr>
        <w:rPr>
          <w:lang w:val="bg-BG"/>
        </w:rPr>
      </w:pPr>
      <w:r w:rsidRPr="00D064B4">
        <w:rPr>
          <w:lang w:val="bg-BG"/>
        </w:rPr>
        <w:t>ЛЕКАРСТВЕНА ФОРМА</w:t>
      </w:r>
    </w:p>
    <w:p w14:paraId="31EECB3C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Таблетки (бели, кръгли </w:t>
      </w:r>
      <w:proofErr w:type="spellStart"/>
      <w:r w:rsidRPr="00D064B4">
        <w:rPr>
          <w:lang w:val="bg-BG" w:eastAsia="bg-BG"/>
        </w:rPr>
        <w:t>биконвексни</w:t>
      </w:r>
      <w:proofErr w:type="spellEnd"/>
      <w:r w:rsidRPr="00D064B4">
        <w:rPr>
          <w:lang w:val="bg-BG" w:eastAsia="bg-BG"/>
        </w:rPr>
        <w:t xml:space="preserve"> таблетки)</w:t>
      </w:r>
    </w:p>
    <w:p w14:paraId="4F71D57D" w14:textId="77777777" w:rsidR="00A21DE4" w:rsidRPr="00D064B4" w:rsidRDefault="00A21DE4" w:rsidP="00A21DE4">
      <w:pPr>
        <w:rPr>
          <w:lang w:val="bg-BG"/>
        </w:rPr>
      </w:pPr>
    </w:p>
    <w:p w14:paraId="490FC2C4" w14:textId="77777777" w:rsidR="002C50EE" w:rsidRPr="00D064B4" w:rsidRDefault="002C50EE" w:rsidP="002C50EE">
      <w:pPr>
        <w:pStyle w:val="Heading1"/>
        <w:rPr>
          <w:lang w:val="bg-BG"/>
        </w:rPr>
      </w:pPr>
      <w:r w:rsidRPr="00D064B4">
        <w:rPr>
          <w:lang w:val="bg-BG"/>
        </w:rPr>
        <w:t>4. КЛИНИЧНИ ДАННИ</w:t>
      </w:r>
    </w:p>
    <w:p w14:paraId="326DC84A" w14:textId="2A0B1A9D" w:rsidR="0075649D" w:rsidRPr="00D064B4" w:rsidRDefault="002C50EE" w:rsidP="00C83063">
      <w:pPr>
        <w:pStyle w:val="Heading2"/>
        <w:rPr>
          <w:lang w:val="bg-BG"/>
        </w:rPr>
      </w:pPr>
      <w:r w:rsidRPr="00D064B4">
        <w:rPr>
          <w:lang w:val="bg-BG"/>
        </w:rPr>
        <w:t>4.1. Терапевтични показания</w:t>
      </w:r>
    </w:p>
    <w:p w14:paraId="3C21A178" w14:textId="77777777" w:rsidR="00A21DE4" w:rsidRPr="00D064B4" w:rsidRDefault="00A21DE4" w:rsidP="00A21DE4">
      <w:pPr>
        <w:pStyle w:val="Heading3"/>
        <w:rPr>
          <w:rFonts w:eastAsia="Times New Roman"/>
          <w:b/>
          <w:bCs/>
          <w:u w:val="single"/>
          <w:lang w:val="bg-BG" w:eastAsia="bg-BG"/>
        </w:rPr>
      </w:pPr>
    </w:p>
    <w:p w14:paraId="6FB4CB8B" w14:textId="67DD9ECA" w:rsidR="00A21DE4" w:rsidRPr="00D064B4" w:rsidRDefault="00A21DE4" w:rsidP="00A21DE4">
      <w:pPr>
        <w:pStyle w:val="Heading3"/>
        <w:rPr>
          <w:rFonts w:eastAsia="Times New Roman"/>
          <w:b/>
          <w:bCs/>
          <w:u w:val="single"/>
          <w:lang w:val="bg-BG"/>
        </w:rPr>
      </w:pPr>
      <w:r w:rsidRPr="00D064B4">
        <w:rPr>
          <w:rFonts w:eastAsia="Times New Roman"/>
          <w:b/>
          <w:bCs/>
          <w:u w:val="single"/>
          <w:lang w:val="bg-BG" w:eastAsia="bg-BG"/>
        </w:rPr>
        <w:t>Възрастна популация</w:t>
      </w:r>
    </w:p>
    <w:p w14:paraId="05F17B80" w14:textId="19AF9837" w:rsidR="00A21DE4" w:rsidRPr="00D064B4" w:rsidRDefault="00A21DE4" w:rsidP="00A21DE4">
      <w:pPr>
        <w:rPr>
          <w:sz w:val="24"/>
          <w:szCs w:val="24"/>
          <w:lang w:val="bg-BG"/>
        </w:rPr>
      </w:pPr>
      <w:proofErr w:type="spellStart"/>
      <w:r w:rsidRPr="00D064B4">
        <w:rPr>
          <w:lang w:val="bg-BG" w:eastAsia="bg-BG"/>
        </w:rPr>
        <w:t>Деган</w:t>
      </w:r>
      <w:proofErr w:type="spellEnd"/>
      <w:r w:rsidRPr="00D064B4">
        <w:rPr>
          <w:lang w:val="bg-BG" w:eastAsia="bg-BG"/>
        </w:rPr>
        <w:t xml:space="preserve"> е показан при възрастни за:</w:t>
      </w:r>
    </w:p>
    <w:p w14:paraId="1C1B9579" w14:textId="08467A4F" w:rsidR="00A21DE4" w:rsidRPr="00D064B4" w:rsidRDefault="00A21DE4" w:rsidP="00A21DE4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Предотвратяване на забавено гадене и повръщане при химиотерапия </w:t>
      </w:r>
      <w:r w:rsidRPr="00D064B4">
        <w:rPr>
          <w:i/>
          <w:iCs/>
          <w:lang w:val="bg-BG"/>
        </w:rPr>
        <w:t>(</w:t>
      </w:r>
      <w:proofErr w:type="spellStart"/>
      <w:r w:rsidRPr="00D064B4">
        <w:rPr>
          <w:i/>
          <w:iCs/>
          <w:lang w:val="bg-BG"/>
        </w:rPr>
        <w:t>chemotherapy</w:t>
      </w:r>
      <w:proofErr w:type="spellEnd"/>
      <w:r w:rsidRPr="00D064B4">
        <w:rPr>
          <w:i/>
          <w:iCs/>
          <w:lang w:val="bg-BG"/>
        </w:rPr>
        <w:t xml:space="preserve"> </w:t>
      </w:r>
      <w:proofErr w:type="spellStart"/>
      <w:r w:rsidRPr="00D064B4">
        <w:rPr>
          <w:i/>
          <w:iCs/>
          <w:lang w:val="bg-BG"/>
        </w:rPr>
        <w:t>induced</w:t>
      </w:r>
      <w:proofErr w:type="spellEnd"/>
      <w:r w:rsidRPr="00D064B4">
        <w:rPr>
          <w:i/>
          <w:iCs/>
          <w:lang w:val="bg-BG"/>
        </w:rPr>
        <w:t xml:space="preserve"> </w:t>
      </w:r>
      <w:proofErr w:type="spellStart"/>
      <w:r w:rsidRPr="00D064B4">
        <w:rPr>
          <w:i/>
          <w:iCs/>
          <w:lang w:val="bg-BG"/>
        </w:rPr>
        <w:t>nausea</w:t>
      </w:r>
      <w:proofErr w:type="spellEnd"/>
      <w:r w:rsidRPr="00D064B4">
        <w:rPr>
          <w:i/>
          <w:iCs/>
          <w:lang w:val="bg-BG"/>
        </w:rPr>
        <w:t xml:space="preserve"> </w:t>
      </w:r>
      <w:proofErr w:type="spellStart"/>
      <w:r w:rsidRPr="00D064B4">
        <w:rPr>
          <w:i/>
          <w:iCs/>
          <w:lang w:val="bg-BG"/>
        </w:rPr>
        <w:t>and</w:t>
      </w:r>
      <w:proofErr w:type="spellEnd"/>
      <w:r w:rsidRPr="00D064B4">
        <w:rPr>
          <w:i/>
          <w:iCs/>
          <w:lang w:val="bg-BG"/>
        </w:rPr>
        <w:t xml:space="preserve"> </w:t>
      </w:r>
      <w:proofErr w:type="spellStart"/>
      <w:r w:rsidRPr="00D064B4">
        <w:rPr>
          <w:i/>
          <w:iCs/>
          <w:lang w:val="bg-BG"/>
        </w:rPr>
        <w:t>vomitingm</w:t>
      </w:r>
      <w:proofErr w:type="spellEnd"/>
      <w:r w:rsidRPr="00D064B4">
        <w:rPr>
          <w:i/>
          <w:iCs/>
          <w:lang w:val="bg-BG"/>
        </w:rPr>
        <w:t>, CINV)</w:t>
      </w:r>
    </w:p>
    <w:p w14:paraId="694210BB" w14:textId="6DF04010" w:rsidR="00A21DE4" w:rsidRPr="00D064B4" w:rsidRDefault="00A21DE4" w:rsidP="00A21DE4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D064B4">
        <w:rPr>
          <w:lang w:val="bg-BG" w:eastAsia="bg-BG"/>
        </w:rPr>
        <w:t xml:space="preserve">Профилактика на гадене и повръщане, предизвикано от лъчетерапия </w:t>
      </w:r>
      <w:r w:rsidRPr="00D064B4">
        <w:rPr>
          <w:i/>
          <w:iCs/>
          <w:lang w:val="bg-BG"/>
        </w:rPr>
        <w:t>(</w:t>
      </w:r>
      <w:proofErr w:type="spellStart"/>
      <w:r w:rsidRPr="00D064B4">
        <w:rPr>
          <w:i/>
          <w:iCs/>
          <w:lang w:val="bg-BG"/>
        </w:rPr>
        <w:t>radiotherapy</w:t>
      </w:r>
      <w:proofErr w:type="spellEnd"/>
      <w:r w:rsidRPr="00D064B4">
        <w:rPr>
          <w:i/>
          <w:iCs/>
          <w:lang w:val="bg-BG"/>
        </w:rPr>
        <w:t xml:space="preserve"> </w:t>
      </w:r>
      <w:proofErr w:type="spellStart"/>
      <w:r w:rsidRPr="00D064B4">
        <w:rPr>
          <w:i/>
          <w:iCs/>
          <w:lang w:val="bg-BG"/>
        </w:rPr>
        <w:t>induced</w:t>
      </w:r>
      <w:proofErr w:type="spellEnd"/>
      <w:r w:rsidRPr="00D064B4">
        <w:rPr>
          <w:i/>
          <w:iCs/>
          <w:lang w:val="bg-BG"/>
        </w:rPr>
        <w:t xml:space="preserve"> </w:t>
      </w:r>
      <w:proofErr w:type="spellStart"/>
      <w:r w:rsidRPr="00D064B4">
        <w:rPr>
          <w:i/>
          <w:iCs/>
          <w:lang w:val="bg-BG"/>
        </w:rPr>
        <w:t>nausea</w:t>
      </w:r>
      <w:proofErr w:type="spellEnd"/>
      <w:r w:rsidRPr="00D064B4">
        <w:rPr>
          <w:i/>
          <w:iCs/>
          <w:lang w:val="bg-BG"/>
        </w:rPr>
        <w:t xml:space="preserve"> </w:t>
      </w:r>
      <w:proofErr w:type="spellStart"/>
      <w:r w:rsidRPr="00D064B4">
        <w:rPr>
          <w:i/>
          <w:iCs/>
          <w:lang w:val="bg-BG"/>
        </w:rPr>
        <w:t>and</w:t>
      </w:r>
      <w:proofErr w:type="spellEnd"/>
      <w:r w:rsidRPr="00D064B4">
        <w:rPr>
          <w:i/>
          <w:iCs/>
          <w:lang w:val="bg-BG"/>
        </w:rPr>
        <w:t xml:space="preserve"> </w:t>
      </w:r>
      <w:proofErr w:type="spellStart"/>
      <w:r w:rsidRPr="00D064B4">
        <w:rPr>
          <w:i/>
          <w:iCs/>
          <w:lang w:val="bg-BG"/>
        </w:rPr>
        <w:t>vomiting</w:t>
      </w:r>
      <w:proofErr w:type="spellEnd"/>
      <w:r w:rsidRPr="00D064B4">
        <w:rPr>
          <w:i/>
          <w:iCs/>
          <w:lang w:val="bg-BG"/>
        </w:rPr>
        <w:t>, RINV).</w:t>
      </w:r>
    </w:p>
    <w:p w14:paraId="2688C49B" w14:textId="259CE1BC" w:rsidR="00A21DE4" w:rsidRPr="00D064B4" w:rsidRDefault="00A21DE4" w:rsidP="00A21DE4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D064B4">
        <w:rPr>
          <w:lang w:val="bg-BG" w:eastAsia="bg-BG"/>
        </w:rPr>
        <w:t xml:space="preserve">Симптоматично лечение на гадене и повръщане, включително гадене и повръщане, предизвикано от остър </w:t>
      </w:r>
      <w:proofErr w:type="spellStart"/>
      <w:r w:rsidRPr="00D064B4">
        <w:rPr>
          <w:lang w:val="bg-BG" w:eastAsia="bg-BG"/>
        </w:rPr>
        <w:t>мигренозен</w:t>
      </w:r>
      <w:proofErr w:type="spellEnd"/>
      <w:r w:rsidRPr="00D064B4">
        <w:rPr>
          <w:lang w:val="bg-BG" w:eastAsia="bg-BG"/>
        </w:rPr>
        <w:t xml:space="preserve"> пристъп.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може да бъде използван в комбинация с перорални аналгетици за подобряване абсорбцията на </w:t>
      </w:r>
      <w:proofErr w:type="spellStart"/>
      <w:r w:rsidRPr="00D064B4">
        <w:rPr>
          <w:lang w:val="bg-BG" w:eastAsia="bg-BG"/>
        </w:rPr>
        <w:t>аналгетици</w:t>
      </w:r>
      <w:proofErr w:type="spellEnd"/>
      <w:r w:rsidRPr="00D064B4">
        <w:rPr>
          <w:lang w:val="bg-BG" w:eastAsia="bg-BG"/>
        </w:rPr>
        <w:t xml:space="preserve"> при остър </w:t>
      </w:r>
      <w:proofErr w:type="spellStart"/>
      <w:r w:rsidRPr="00D064B4">
        <w:rPr>
          <w:lang w:val="bg-BG" w:eastAsia="bg-BG"/>
        </w:rPr>
        <w:t>мигренозен</w:t>
      </w:r>
      <w:proofErr w:type="spellEnd"/>
      <w:r w:rsidRPr="00D064B4">
        <w:rPr>
          <w:lang w:val="bg-BG" w:eastAsia="bg-BG"/>
        </w:rPr>
        <w:t xml:space="preserve"> пристъп.</w:t>
      </w:r>
    </w:p>
    <w:p w14:paraId="4DEC0742" w14:textId="77777777" w:rsidR="00A21DE4" w:rsidRPr="00D064B4" w:rsidRDefault="00A21DE4" w:rsidP="00A21DE4">
      <w:pPr>
        <w:rPr>
          <w:lang w:val="bg-BG" w:eastAsia="bg-BG"/>
        </w:rPr>
      </w:pPr>
    </w:p>
    <w:p w14:paraId="67EB2CA6" w14:textId="07046038" w:rsidR="00A21DE4" w:rsidRPr="00D064B4" w:rsidRDefault="00A21DE4" w:rsidP="00A21DE4">
      <w:pPr>
        <w:pStyle w:val="Heading3"/>
        <w:rPr>
          <w:rFonts w:eastAsia="Times New Roman"/>
          <w:b/>
          <w:bCs/>
          <w:u w:val="single"/>
          <w:lang w:val="bg-BG"/>
        </w:rPr>
      </w:pPr>
      <w:r w:rsidRPr="00D064B4">
        <w:rPr>
          <w:rFonts w:eastAsia="Times New Roman"/>
          <w:b/>
          <w:bCs/>
          <w:u w:val="single"/>
          <w:lang w:val="bg-BG" w:eastAsia="bg-BG"/>
        </w:rPr>
        <w:t>Педиатрична популация</w:t>
      </w:r>
    </w:p>
    <w:p w14:paraId="441CBAF0" w14:textId="77777777" w:rsidR="00A21DE4" w:rsidRPr="00D064B4" w:rsidRDefault="00A21DE4" w:rsidP="00A21DE4">
      <w:pPr>
        <w:rPr>
          <w:sz w:val="24"/>
          <w:szCs w:val="24"/>
          <w:lang w:val="bg-BG"/>
        </w:rPr>
      </w:pPr>
      <w:proofErr w:type="spellStart"/>
      <w:r w:rsidRPr="00D064B4">
        <w:rPr>
          <w:lang w:val="bg-BG" w:eastAsia="bg-BG"/>
        </w:rPr>
        <w:t>Деган</w:t>
      </w:r>
      <w:proofErr w:type="spellEnd"/>
      <w:r w:rsidRPr="00D064B4">
        <w:rPr>
          <w:lang w:val="bg-BG" w:eastAsia="bg-BG"/>
        </w:rPr>
        <w:t xml:space="preserve"> е показан при деца (на възраст 1-18 години) за:</w:t>
      </w:r>
    </w:p>
    <w:p w14:paraId="1D3C72D7" w14:textId="4EFD9C5B" w:rsidR="00A21DE4" w:rsidRPr="00D064B4" w:rsidRDefault="00A21DE4" w:rsidP="00A21DE4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като втора линия терапия за предотвратяване на забавено гадене и повръщане при химиотерапия </w:t>
      </w:r>
      <w:r w:rsidRPr="00D064B4">
        <w:rPr>
          <w:i/>
          <w:iCs/>
          <w:lang w:val="bg-BG"/>
        </w:rPr>
        <w:t>(</w:t>
      </w:r>
      <w:proofErr w:type="spellStart"/>
      <w:r w:rsidRPr="00D064B4">
        <w:rPr>
          <w:i/>
          <w:iCs/>
          <w:lang w:val="bg-BG"/>
        </w:rPr>
        <w:t>chemotherapy</w:t>
      </w:r>
      <w:proofErr w:type="spellEnd"/>
      <w:r w:rsidRPr="00D064B4">
        <w:rPr>
          <w:i/>
          <w:iCs/>
          <w:lang w:val="bg-BG"/>
        </w:rPr>
        <w:t xml:space="preserve"> </w:t>
      </w:r>
      <w:proofErr w:type="spellStart"/>
      <w:r w:rsidRPr="00D064B4">
        <w:rPr>
          <w:i/>
          <w:iCs/>
          <w:lang w:val="bg-BG"/>
        </w:rPr>
        <w:t>induced</w:t>
      </w:r>
      <w:proofErr w:type="spellEnd"/>
      <w:r w:rsidRPr="00D064B4">
        <w:rPr>
          <w:i/>
          <w:iCs/>
          <w:lang w:val="bg-BG"/>
        </w:rPr>
        <w:t xml:space="preserve"> </w:t>
      </w:r>
      <w:proofErr w:type="spellStart"/>
      <w:r w:rsidRPr="00D064B4">
        <w:rPr>
          <w:i/>
          <w:iCs/>
          <w:lang w:val="bg-BG"/>
        </w:rPr>
        <w:t>nausea</w:t>
      </w:r>
      <w:proofErr w:type="spellEnd"/>
      <w:r w:rsidRPr="00D064B4">
        <w:rPr>
          <w:i/>
          <w:iCs/>
          <w:lang w:val="bg-BG"/>
        </w:rPr>
        <w:t xml:space="preserve"> </w:t>
      </w:r>
      <w:proofErr w:type="spellStart"/>
      <w:r w:rsidRPr="00D064B4">
        <w:rPr>
          <w:i/>
          <w:iCs/>
          <w:lang w:val="bg-BG"/>
        </w:rPr>
        <w:t>and</w:t>
      </w:r>
      <w:proofErr w:type="spellEnd"/>
      <w:r w:rsidRPr="00D064B4">
        <w:rPr>
          <w:i/>
          <w:iCs/>
          <w:lang w:val="bg-BG"/>
        </w:rPr>
        <w:t xml:space="preserve"> </w:t>
      </w:r>
      <w:proofErr w:type="spellStart"/>
      <w:r w:rsidRPr="00D064B4">
        <w:rPr>
          <w:i/>
          <w:iCs/>
          <w:lang w:val="bg-BG"/>
        </w:rPr>
        <w:t>vomiting</w:t>
      </w:r>
      <w:proofErr w:type="spellEnd"/>
      <w:r w:rsidRPr="00D064B4">
        <w:rPr>
          <w:i/>
          <w:iCs/>
          <w:lang w:val="bg-BG"/>
        </w:rPr>
        <w:t>, CINV).</w:t>
      </w:r>
    </w:p>
    <w:p w14:paraId="0708B295" w14:textId="77777777" w:rsidR="00A21DE4" w:rsidRPr="00D064B4" w:rsidRDefault="00A21DE4" w:rsidP="00A21DE4">
      <w:pPr>
        <w:rPr>
          <w:lang w:val="bg-BG"/>
        </w:rPr>
      </w:pPr>
    </w:p>
    <w:p w14:paraId="3DB2ABFA" w14:textId="568F3B49" w:rsidR="00605BCA" w:rsidRPr="00D064B4" w:rsidRDefault="002C50EE" w:rsidP="00C83063">
      <w:pPr>
        <w:pStyle w:val="Heading2"/>
        <w:rPr>
          <w:lang w:val="bg-BG"/>
        </w:rPr>
      </w:pPr>
      <w:r w:rsidRPr="00D064B4">
        <w:rPr>
          <w:lang w:val="bg-BG"/>
        </w:rPr>
        <w:t>4.2. Дозировка и начин на приложение</w:t>
      </w:r>
    </w:p>
    <w:p w14:paraId="18834824" w14:textId="77777777" w:rsidR="00A21DE4" w:rsidRPr="00D064B4" w:rsidRDefault="00A21DE4" w:rsidP="00A21DE4">
      <w:pPr>
        <w:rPr>
          <w:lang w:val="bg-BG" w:eastAsia="bg-BG"/>
        </w:rPr>
      </w:pPr>
    </w:p>
    <w:p w14:paraId="6C2F05D3" w14:textId="4C4F47D3" w:rsidR="00A21DE4" w:rsidRPr="00D064B4" w:rsidRDefault="00A21DE4" w:rsidP="00A00866">
      <w:pPr>
        <w:pStyle w:val="Heading3"/>
        <w:rPr>
          <w:u w:val="single"/>
          <w:lang w:val="bg-BG"/>
        </w:rPr>
      </w:pPr>
      <w:r w:rsidRPr="00D064B4">
        <w:rPr>
          <w:u w:val="single"/>
          <w:lang w:val="bg-BG" w:eastAsia="bg-BG"/>
        </w:rPr>
        <w:t>Всички показания (възрастни пациенти)</w:t>
      </w:r>
    </w:p>
    <w:p w14:paraId="62FF6F7A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Препоръчителната единична доза е 10 </w:t>
      </w:r>
      <w:proofErr w:type="spellStart"/>
      <w:r w:rsidRPr="00D064B4">
        <w:rPr>
          <w:lang w:val="bg-BG"/>
        </w:rPr>
        <w:t>mg</w:t>
      </w:r>
      <w:proofErr w:type="spellEnd"/>
      <w:r w:rsidRPr="00D064B4">
        <w:rPr>
          <w:lang w:val="bg-BG"/>
        </w:rPr>
        <w:t xml:space="preserve">, </w:t>
      </w:r>
      <w:r w:rsidRPr="00D064B4">
        <w:rPr>
          <w:lang w:val="bg-BG" w:eastAsia="bg-BG"/>
        </w:rPr>
        <w:t>приемана до три пъти дневно.</w:t>
      </w:r>
    </w:p>
    <w:p w14:paraId="7C649706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Максималната препоръчителна дневна доза е 30 </w:t>
      </w:r>
      <w:proofErr w:type="spellStart"/>
      <w:r w:rsidRPr="00D064B4">
        <w:rPr>
          <w:lang w:val="bg-BG"/>
        </w:rPr>
        <w:t>mg</w:t>
      </w:r>
      <w:proofErr w:type="spellEnd"/>
      <w:r w:rsidRPr="00D064B4">
        <w:rPr>
          <w:lang w:val="bg-BG"/>
        </w:rPr>
        <w:t xml:space="preserve"> </w:t>
      </w:r>
      <w:r w:rsidRPr="00D064B4">
        <w:rPr>
          <w:lang w:val="bg-BG" w:eastAsia="bg-BG"/>
        </w:rPr>
        <w:t xml:space="preserve">или </w:t>
      </w:r>
      <w:r w:rsidRPr="00D064B4">
        <w:rPr>
          <w:lang w:val="bg-BG"/>
        </w:rPr>
        <w:t>0,5mg/</w:t>
      </w:r>
      <w:proofErr w:type="spellStart"/>
      <w:r w:rsidRPr="00D064B4">
        <w:rPr>
          <w:lang w:val="bg-BG"/>
        </w:rPr>
        <w:t>kg</w:t>
      </w:r>
      <w:proofErr w:type="spellEnd"/>
      <w:r w:rsidRPr="00D064B4">
        <w:rPr>
          <w:lang w:val="bg-BG"/>
        </w:rPr>
        <w:t xml:space="preserve"> </w:t>
      </w:r>
      <w:r w:rsidRPr="00D064B4">
        <w:rPr>
          <w:lang w:val="bg-BG" w:eastAsia="bg-BG"/>
        </w:rPr>
        <w:t>телесно тегло.</w:t>
      </w:r>
    </w:p>
    <w:p w14:paraId="3A02BD1D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Максималната препоръчителна продължителност на лечение е 5 дни.</w:t>
      </w:r>
    </w:p>
    <w:p w14:paraId="5905BDCD" w14:textId="77777777" w:rsidR="00A21DE4" w:rsidRPr="00D064B4" w:rsidRDefault="00A21DE4" w:rsidP="00A21DE4">
      <w:pPr>
        <w:rPr>
          <w:lang w:val="bg-BG" w:eastAsia="bg-BG"/>
        </w:rPr>
      </w:pPr>
    </w:p>
    <w:p w14:paraId="161DC5CC" w14:textId="326B4A14" w:rsidR="00A21DE4" w:rsidRPr="00D064B4" w:rsidRDefault="00A21DE4" w:rsidP="00A00866">
      <w:pPr>
        <w:pStyle w:val="Heading3"/>
        <w:rPr>
          <w:u w:val="single"/>
          <w:lang w:val="bg-BG"/>
        </w:rPr>
      </w:pPr>
      <w:r w:rsidRPr="00D064B4">
        <w:rPr>
          <w:u w:val="single"/>
          <w:lang w:val="bg-BG" w:eastAsia="bg-BG"/>
        </w:rPr>
        <w:lastRenderedPageBreak/>
        <w:t xml:space="preserve">Предотвратяване на забавено гадене и повръщане при химиотерапия </w:t>
      </w:r>
      <w:r w:rsidRPr="00D064B4">
        <w:rPr>
          <w:u w:val="single"/>
          <w:lang w:val="bg-BG"/>
        </w:rPr>
        <w:t xml:space="preserve">(CINV) </w:t>
      </w:r>
      <w:r w:rsidRPr="00D064B4">
        <w:rPr>
          <w:u w:val="single"/>
          <w:lang w:val="bg-BG" w:eastAsia="bg-BG"/>
        </w:rPr>
        <w:t>(педиатрични пациенти на възраст 1-18 години)</w:t>
      </w:r>
    </w:p>
    <w:p w14:paraId="0F39E8CC" w14:textId="21AD1302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Препоръчителната доза е от</w:t>
      </w:r>
      <w:r w:rsidR="00AD2BBE">
        <w:rPr>
          <w:lang w:val="sl-SI" w:eastAsia="bg-BG"/>
        </w:rPr>
        <w:t xml:space="preserve"> 0,1</w:t>
      </w:r>
      <w:r w:rsidRPr="00D064B4">
        <w:rPr>
          <w:lang w:val="bg-BG" w:eastAsia="bg-BG"/>
        </w:rPr>
        <w:t xml:space="preserve"> до 0,15 </w:t>
      </w:r>
      <w:proofErr w:type="spellStart"/>
      <w:r w:rsidRPr="00D064B4">
        <w:rPr>
          <w:lang w:val="bg-BG"/>
        </w:rPr>
        <w:t>mg</w:t>
      </w:r>
      <w:proofErr w:type="spellEnd"/>
      <w:r w:rsidRPr="00D064B4">
        <w:rPr>
          <w:lang w:val="bg-BG"/>
        </w:rPr>
        <w:t>/</w:t>
      </w:r>
      <w:proofErr w:type="spellStart"/>
      <w:r w:rsidRPr="00D064B4">
        <w:rPr>
          <w:lang w:val="bg-BG"/>
        </w:rPr>
        <w:t>kg</w:t>
      </w:r>
      <w:proofErr w:type="spellEnd"/>
      <w:r w:rsidRPr="00D064B4">
        <w:rPr>
          <w:lang w:val="bg-BG"/>
        </w:rPr>
        <w:t xml:space="preserve"> </w:t>
      </w:r>
      <w:r w:rsidRPr="00D064B4">
        <w:rPr>
          <w:lang w:val="bg-BG" w:eastAsia="bg-BG"/>
        </w:rPr>
        <w:t>телесно тегло, приемана до три пъти дневно чрез</w:t>
      </w:r>
    </w:p>
    <w:p w14:paraId="4FE2547B" w14:textId="7F73426C" w:rsidR="00A21DE4" w:rsidRPr="00D064B4" w:rsidRDefault="00A21DE4" w:rsidP="00A21DE4">
      <w:pPr>
        <w:rPr>
          <w:lang w:val="bg-BG" w:eastAsia="bg-BG"/>
        </w:rPr>
      </w:pPr>
      <w:r w:rsidRPr="00D064B4">
        <w:rPr>
          <w:lang w:val="bg-BG" w:eastAsia="bg-BG"/>
        </w:rPr>
        <w:t xml:space="preserve">перорален прием. Максималната доза за 24 часа е 0,5 </w:t>
      </w:r>
      <w:proofErr w:type="spellStart"/>
      <w:r w:rsidRPr="00D064B4">
        <w:rPr>
          <w:lang w:val="bg-BG"/>
        </w:rPr>
        <w:t>mg</w:t>
      </w:r>
      <w:proofErr w:type="spellEnd"/>
      <w:r w:rsidRPr="00D064B4">
        <w:rPr>
          <w:lang w:val="bg-BG"/>
        </w:rPr>
        <w:t>/</w:t>
      </w:r>
      <w:proofErr w:type="spellStart"/>
      <w:r w:rsidRPr="00D064B4">
        <w:rPr>
          <w:lang w:val="bg-BG"/>
        </w:rPr>
        <w:t>kg</w:t>
      </w:r>
      <w:proofErr w:type="spellEnd"/>
      <w:r w:rsidRPr="00D064B4">
        <w:rPr>
          <w:lang w:val="bg-BG"/>
        </w:rPr>
        <w:t xml:space="preserve"> </w:t>
      </w:r>
      <w:r w:rsidRPr="00D064B4">
        <w:rPr>
          <w:lang w:val="bg-BG" w:eastAsia="bg-BG"/>
        </w:rPr>
        <w:t>телесно тегло.</w:t>
      </w:r>
    </w:p>
    <w:p w14:paraId="03C83607" w14:textId="32CD69B5" w:rsidR="00A21DE4" w:rsidRPr="00D064B4" w:rsidRDefault="00A21DE4" w:rsidP="00A21DE4">
      <w:pPr>
        <w:rPr>
          <w:lang w:val="bg-BG" w:eastAsia="bg-BG"/>
        </w:rPr>
      </w:pPr>
    </w:p>
    <w:p w14:paraId="0D5D2351" w14:textId="625975AB" w:rsidR="00A21DE4" w:rsidRPr="00D064B4" w:rsidRDefault="00A21DE4" w:rsidP="00A21DE4">
      <w:pPr>
        <w:rPr>
          <w:lang w:val="bg-BG"/>
        </w:rPr>
      </w:pPr>
      <w:r w:rsidRPr="00D064B4">
        <w:rPr>
          <w:lang w:val="bg-BG"/>
        </w:rPr>
        <w:t>Таблица за дозиране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21DE4" w:rsidRPr="00D064B4" w14:paraId="30803308" w14:textId="77777777" w:rsidTr="00A21DE4">
        <w:tc>
          <w:tcPr>
            <w:tcW w:w="2337" w:type="dxa"/>
          </w:tcPr>
          <w:p w14:paraId="4661E1F5" w14:textId="5CC4A8E9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Възраст</w:t>
            </w:r>
          </w:p>
        </w:tc>
        <w:tc>
          <w:tcPr>
            <w:tcW w:w="2337" w:type="dxa"/>
          </w:tcPr>
          <w:p w14:paraId="342648C0" w14:textId="10088449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Телесно тегло</w:t>
            </w:r>
          </w:p>
        </w:tc>
        <w:tc>
          <w:tcPr>
            <w:tcW w:w="2338" w:type="dxa"/>
          </w:tcPr>
          <w:p w14:paraId="3BC1B1EF" w14:textId="0292B3AD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 w:eastAsia="bg-BG"/>
              </w:rPr>
              <w:t>Доза</w:t>
            </w:r>
          </w:p>
        </w:tc>
        <w:tc>
          <w:tcPr>
            <w:tcW w:w="2338" w:type="dxa"/>
          </w:tcPr>
          <w:p w14:paraId="10D402E8" w14:textId="21597267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Честота</w:t>
            </w:r>
          </w:p>
        </w:tc>
      </w:tr>
      <w:tr w:rsidR="00A21DE4" w:rsidRPr="00D064B4" w14:paraId="4B3AEF04" w14:textId="77777777" w:rsidTr="00A21DE4">
        <w:tc>
          <w:tcPr>
            <w:tcW w:w="2337" w:type="dxa"/>
          </w:tcPr>
          <w:p w14:paraId="41328EF3" w14:textId="7F90ED99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1-3 години</w:t>
            </w:r>
          </w:p>
        </w:tc>
        <w:tc>
          <w:tcPr>
            <w:tcW w:w="2337" w:type="dxa"/>
          </w:tcPr>
          <w:p w14:paraId="4BA2E056" w14:textId="31C7A436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 xml:space="preserve">10-14 </w:t>
            </w:r>
            <w:proofErr w:type="spellStart"/>
            <w:r w:rsidRPr="00D064B4">
              <w:rPr>
                <w:lang w:val="bg-BG"/>
              </w:rPr>
              <w:t>kg</w:t>
            </w:r>
            <w:proofErr w:type="spellEnd"/>
          </w:p>
        </w:tc>
        <w:tc>
          <w:tcPr>
            <w:tcW w:w="2338" w:type="dxa"/>
          </w:tcPr>
          <w:p w14:paraId="428517D6" w14:textId="5103ABBE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 xml:space="preserve">1 </w:t>
            </w:r>
            <w:proofErr w:type="spellStart"/>
            <w:r w:rsidRPr="00D064B4">
              <w:rPr>
                <w:lang w:val="bg-BG"/>
              </w:rPr>
              <w:t>mg</w:t>
            </w:r>
            <w:proofErr w:type="spellEnd"/>
          </w:p>
        </w:tc>
        <w:tc>
          <w:tcPr>
            <w:tcW w:w="2338" w:type="dxa"/>
          </w:tcPr>
          <w:p w14:paraId="06F0495B" w14:textId="7F869C53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До 3 пъти дневно</w:t>
            </w:r>
          </w:p>
        </w:tc>
      </w:tr>
      <w:tr w:rsidR="00A21DE4" w:rsidRPr="00D064B4" w14:paraId="440BC283" w14:textId="77777777" w:rsidTr="00A21DE4">
        <w:tc>
          <w:tcPr>
            <w:tcW w:w="2337" w:type="dxa"/>
          </w:tcPr>
          <w:p w14:paraId="2EF046D1" w14:textId="75F8098E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3-5 години</w:t>
            </w:r>
          </w:p>
        </w:tc>
        <w:tc>
          <w:tcPr>
            <w:tcW w:w="2337" w:type="dxa"/>
          </w:tcPr>
          <w:p w14:paraId="52D99C03" w14:textId="52F36E3A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 xml:space="preserve">15-19 </w:t>
            </w:r>
            <w:proofErr w:type="spellStart"/>
            <w:r w:rsidRPr="00D064B4">
              <w:rPr>
                <w:lang w:val="bg-BG"/>
              </w:rPr>
              <w:t>kg</w:t>
            </w:r>
            <w:proofErr w:type="spellEnd"/>
          </w:p>
        </w:tc>
        <w:tc>
          <w:tcPr>
            <w:tcW w:w="2338" w:type="dxa"/>
          </w:tcPr>
          <w:p w14:paraId="01430200" w14:textId="14E08533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 xml:space="preserve">2 </w:t>
            </w:r>
            <w:proofErr w:type="spellStart"/>
            <w:r w:rsidRPr="00D064B4">
              <w:rPr>
                <w:lang w:val="bg-BG"/>
              </w:rPr>
              <w:t>mg</w:t>
            </w:r>
            <w:proofErr w:type="spellEnd"/>
          </w:p>
        </w:tc>
        <w:tc>
          <w:tcPr>
            <w:tcW w:w="2338" w:type="dxa"/>
          </w:tcPr>
          <w:p w14:paraId="02B0647D" w14:textId="6A282438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До 3 пъти дневно</w:t>
            </w:r>
          </w:p>
        </w:tc>
      </w:tr>
      <w:tr w:rsidR="00A21DE4" w:rsidRPr="00D064B4" w14:paraId="753BE39D" w14:textId="77777777" w:rsidTr="00A21DE4">
        <w:tc>
          <w:tcPr>
            <w:tcW w:w="2337" w:type="dxa"/>
          </w:tcPr>
          <w:p w14:paraId="1231FC49" w14:textId="479379E8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5-9 години</w:t>
            </w:r>
          </w:p>
        </w:tc>
        <w:tc>
          <w:tcPr>
            <w:tcW w:w="2337" w:type="dxa"/>
          </w:tcPr>
          <w:p w14:paraId="22A83BD6" w14:textId="5FD89344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 xml:space="preserve">20-29 </w:t>
            </w:r>
            <w:proofErr w:type="spellStart"/>
            <w:r w:rsidRPr="00D064B4">
              <w:rPr>
                <w:lang w:val="bg-BG"/>
              </w:rPr>
              <w:t>kg</w:t>
            </w:r>
            <w:proofErr w:type="spellEnd"/>
          </w:p>
        </w:tc>
        <w:tc>
          <w:tcPr>
            <w:tcW w:w="2338" w:type="dxa"/>
          </w:tcPr>
          <w:p w14:paraId="2B0C46E0" w14:textId="0462B299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 xml:space="preserve">2,5 </w:t>
            </w:r>
            <w:proofErr w:type="spellStart"/>
            <w:r w:rsidRPr="00D064B4">
              <w:rPr>
                <w:lang w:val="bg-BG"/>
              </w:rPr>
              <w:t>mg</w:t>
            </w:r>
            <w:proofErr w:type="spellEnd"/>
          </w:p>
        </w:tc>
        <w:tc>
          <w:tcPr>
            <w:tcW w:w="2338" w:type="dxa"/>
          </w:tcPr>
          <w:p w14:paraId="1107D9D1" w14:textId="21027327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До 3 пъти дневно</w:t>
            </w:r>
          </w:p>
        </w:tc>
      </w:tr>
      <w:tr w:rsidR="00A21DE4" w:rsidRPr="00D064B4" w14:paraId="3F99400E" w14:textId="77777777" w:rsidTr="00A21DE4">
        <w:tc>
          <w:tcPr>
            <w:tcW w:w="2337" w:type="dxa"/>
          </w:tcPr>
          <w:p w14:paraId="15980330" w14:textId="7FB893B7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9-18 години</w:t>
            </w:r>
          </w:p>
        </w:tc>
        <w:tc>
          <w:tcPr>
            <w:tcW w:w="2337" w:type="dxa"/>
          </w:tcPr>
          <w:p w14:paraId="03BEF360" w14:textId="12967CA2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 xml:space="preserve">30-60 </w:t>
            </w:r>
            <w:proofErr w:type="spellStart"/>
            <w:r w:rsidRPr="00D064B4">
              <w:rPr>
                <w:lang w:val="bg-BG"/>
              </w:rPr>
              <w:t>kg</w:t>
            </w:r>
            <w:proofErr w:type="spellEnd"/>
          </w:p>
        </w:tc>
        <w:tc>
          <w:tcPr>
            <w:tcW w:w="2338" w:type="dxa"/>
          </w:tcPr>
          <w:p w14:paraId="4F8B606C" w14:textId="596A4C7B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 xml:space="preserve">5 </w:t>
            </w:r>
            <w:proofErr w:type="spellStart"/>
            <w:r w:rsidRPr="00D064B4">
              <w:rPr>
                <w:lang w:val="bg-BG"/>
              </w:rPr>
              <w:t>mg</w:t>
            </w:r>
            <w:proofErr w:type="spellEnd"/>
          </w:p>
        </w:tc>
        <w:tc>
          <w:tcPr>
            <w:tcW w:w="2338" w:type="dxa"/>
          </w:tcPr>
          <w:p w14:paraId="30FEF211" w14:textId="76086DD7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До 3 пъти дневно</w:t>
            </w:r>
          </w:p>
        </w:tc>
      </w:tr>
      <w:tr w:rsidR="00A21DE4" w:rsidRPr="00D064B4" w14:paraId="7EB32D81" w14:textId="77777777" w:rsidTr="00A21DE4">
        <w:tc>
          <w:tcPr>
            <w:tcW w:w="2337" w:type="dxa"/>
          </w:tcPr>
          <w:p w14:paraId="753B36AB" w14:textId="6707DCE6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15-18 години</w:t>
            </w:r>
          </w:p>
        </w:tc>
        <w:tc>
          <w:tcPr>
            <w:tcW w:w="2337" w:type="dxa"/>
          </w:tcPr>
          <w:p w14:paraId="7BAD394D" w14:textId="32382007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 xml:space="preserve">Над 60 </w:t>
            </w:r>
            <w:proofErr w:type="spellStart"/>
            <w:r w:rsidRPr="00D064B4">
              <w:rPr>
                <w:lang w:val="bg-BG"/>
              </w:rPr>
              <w:t>kg</w:t>
            </w:r>
            <w:proofErr w:type="spellEnd"/>
          </w:p>
        </w:tc>
        <w:tc>
          <w:tcPr>
            <w:tcW w:w="2338" w:type="dxa"/>
          </w:tcPr>
          <w:p w14:paraId="3F7C307D" w14:textId="5E04EDAA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 xml:space="preserve">10 </w:t>
            </w:r>
            <w:proofErr w:type="spellStart"/>
            <w:r w:rsidRPr="00D064B4">
              <w:rPr>
                <w:lang w:val="bg-BG"/>
              </w:rPr>
              <w:t>mg</w:t>
            </w:r>
            <w:proofErr w:type="spellEnd"/>
          </w:p>
        </w:tc>
        <w:tc>
          <w:tcPr>
            <w:tcW w:w="2338" w:type="dxa"/>
          </w:tcPr>
          <w:p w14:paraId="1A5D0C72" w14:textId="3C6AC6AB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До 3 пъти дневно</w:t>
            </w:r>
          </w:p>
        </w:tc>
      </w:tr>
    </w:tbl>
    <w:p w14:paraId="62339964" w14:textId="62F6C9CD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Максималната продължителност на лечение за предотвратяване на забавено гадене и повръщане при химиотерапия </w:t>
      </w:r>
      <w:r w:rsidRPr="00D064B4">
        <w:rPr>
          <w:lang w:val="bg-BG"/>
        </w:rPr>
        <w:t xml:space="preserve">(CINV) </w:t>
      </w:r>
      <w:r w:rsidRPr="00D064B4">
        <w:rPr>
          <w:lang w:val="bg-BG" w:eastAsia="bg-BG"/>
        </w:rPr>
        <w:t>е 5 дни.</w:t>
      </w:r>
    </w:p>
    <w:p w14:paraId="4010E38F" w14:textId="77777777" w:rsidR="00A21DE4" w:rsidRPr="00D064B4" w:rsidRDefault="00A21DE4" w:rsidP="00A21DE4">
      <w:pPr>
        <w:rPr>
          <w:lang w:val="bg-BG" w:eastAsia="bg-BG"/>
        </w:rPr>
      </w:pPr>
    </w:p>
    <w:p w14:paraId="709077AD" w14:textId="45EA1412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Таблетките от 10 </w:t>
      </w:r>
      <w:proofErr w:type="spellStart"/>
      <w:r w:rsidRPr="00D064B4">
        <w:rPr>
          <w:lang w:val="bg-BG"/>
        </w:rPr>
        <w:t>mg</w:t>
      </w:r>
      <w:proofErr w:type="spellEnd"/>
      <w:r w:rsidRPr="00D064B4">
        <w:rPr>
          <w:lang w:val="bg-BG"/>
        </w:rPr>
        <w:t xml:space="preserve"> </w:t>
      </w:r>
      <w:r w:rsidRPr="00D064B4">
        <w:rPr>
          <w:lang w:val="bg-BG" w:eastAsia="bg-BG"/>
        </w:rPr>
        <w:t xml:space="preserve">не са подходящи за приложение при деца с тегло по-малко от 61 </w:t>
      </w:r>
      <w:proofErr w:type="spellStart"/>
      <w:r w:rsidRPr="00D064B4">
        <w:rPr>
          <w:lang w:val="bg-BG"/>
        </w:rPr>
        <w:t>kg</w:t>
      </w:r>
      <w:proofErr w:type="spellEnd"/>
      <w:r w:rsidRPr="00D064B4">
        <w:rPr>
          <w:lang w:val="bg-BG"/>
        </w:rPr>
        <w:t xml:space="preserve">. </w:t>
      </w:r>
      <w:r w:rsidRPr="00D064B4">
        <w:rPr>
          <w:lang w:val="bg-BG" w:eastAsia="bg-BG"/>
        </w:rPr>
        <w:t>Други лекарствени форми/количества на активното вещество може да бъдат по-подходящи за приложение при тази популация.</w:t>
      </w:r>
    </w:p>
    <w:p w14:paraId="275CD35B" w14:textId="77777777" w:rsidR="00A21DE4" w:rsidRPr="00D064B4" w:rsidRDefault="00A21DE4" w:rsidP="00A21DE4">
      <w:pPr>
        <w:rPr>
          <w:lang w:val="bg-BG" w:eastAsia="bg-BG"/>
        </w:rPr>
      </w:pPr>
    </w:p>
    <w:p w14:paraId="714C2CB1" w14:textId="5190496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Таблетките не трябва да се чупят на две. Дози от 5 </w:t>
      </w:r>
      <w:proofErr w:type="spellStart"/>
      <w:r w:rsidRPr="00D064B4">
        <w:rPr>
          <w:lang w:val="bg-BG"/>
        </w:rPr>
        <w:t>mg</w:t>
      </w:r>
      <w:proofErr w:type="spellEnd"/>
      <w:r w:rsidRPr="00D064B4">
        <w:rPr>
          <w:lang w:val="bg-BG"/>
        </w:rPr>
        <w:t xml:space="preserve"> </w:t>
      </w:r>
      <w:r w:rsidRPr="00D064B4">
        <w:rPr>
          <w:lang w:val="bg-BG" w:eastAsia="bg-BG"/>
        </w:rPr>
        <w:t xml:space="preserve">не са подходящи за приложение при деца с тегло по-малко от 30 </w:t>
      </w:r>
      <w:proofErr w:type="spellStart"/>
      <w:r w:rsidRPr="00D064B4">
        <w:rPr>
          <w:lang w:val="bg-BG"/>
        </w:rPr>
        <w:t>kg</w:t>
      </w:r>
      <w:proofErr w:type="spellEnd"/>
      <w:r w:rsidRPr="00D064B4">
        <w:rPr>
          <w:lang w:val="bg-BG"/>
        </w:rPr>
        <w:t xml:space="preserve">. </w:t>
      </w:r>
      <w:r w:rsidRPr="00D064B4">
        <w:rPr>
          <w:lang w:val="bg-BG" w:eastAsia="bg-BG"/>
        </w:rPr>
        <w:t>Други лекарствени форми/количества на активното вещество могат да са по-подходящи за приложение при тази популация.</w:t>
      </w:r>
    </w:p>
    <w:p w14:paraId="39EB5943" w14:textId="77777777" w:rsidR="00A21DE4" w:rsidRPr="00D064B4" w:rsidRDefault="00A21DE4" w:rsidP="00A21DE4">
      <w:pPr>
        <w:rPr>
          <w:u w:val="single"/>
          <w:lang w:val="bg-BG" w:eastAsia="bg-BG"/>
        </w:rPr>
      </w:pPr>
    </w:p>
    <w:p w14:paraId="125B8474" w14:textId="2F2502DB" w:rsidR="00A21DE4" w:rsidRPr="00D064B4" w:rsidRDefault="00A21DE4" w:rsidP="00A00866">
      <w:pPr>
        <w:pStyle w:val="Heading3"/>
        <w:rPr>
          <w:u w:val="single"/>
          <w:lang w:val="bg-BG"/>
        </w:rPr>
      </w:pPr>
      <w:r w:rsidRPr="00D064B4">
        <w:rPr>
          <w:u w:val="single"/>
          <w:lang w:val="bg-BG" w:eastAsia="bg-BG"/>
        </w:rPr>
        <w:t>Начин на приложение</w:t>
      </w:r>
    </w:p>
    <w:p w14:paraId="5BF51D3F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Минимален интервал от поне 6 часа трябва да се спазва между всяко приложение на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>, дори в случай на повръщане и отхвърляне на дозата (виж т.4.4). Таблетките трябва да се приемат преди хранене и да се поглъщат с малко количество течност.</w:t>
      </w:r>
    </w:p>
    <w:p w14:paraId="760E75AB" w14:textId="77777777" w:rsidR="00A21DE4" w:rsidRPr="00D064B4" w:rsidRDefault="00A21DE4" w:rsidP="00A21DE4">
      <w:pPr>
        <w:rPr>
          <w:u w:val="single"/>
          <w:lang w:val="bg-BG" w:eastAsia="bg-BG"/>
        </w:rPr>
      </w:pPr>
    </w:p>
    <w:p w14:paraId="656FE22F" w14:textId="14CC20AE" w:rsidR="00A21DE4" w:rsidRPr="00D064B4" w:rsidRDefault="00A21DE4" w:rsidP="00A00866">
      <w:pPr>
        <w:pStyle w:val="Heading3"/>
        <w:rPr>
          <w:u w:val="single"/>
          <w:lang w:val="bg-BG"/>
        </w:rPr>
      </w:pPr>
      <w:r w:rsidRPr="00D064B4">
        <w:rPr>
          <w:u w:val="single"/>
          <w:lang w:val="bg-BG" w:eastAsia="bg-BG"/>
        </w:rPr>
        <w:t>Специални популации</w:t>
      </w:r>
    </w:p>
    <w:p w14:paraId="10451F49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i/>
          <w:iCs/>
          <w:lang w:val="bg-BG" w:eastAsia="bg-BG"/>
        </w:rPr>
        <w:t>Старческа възраст</w:t>
      </w:r>
    </w:p>
    <w:p w14:paraId="46CDF0D0" w14:textId="23C525BF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При пациенти в старческа възраст трябва да се обмисли намаляване на дозата, въз основа на бъбречната и чернодробната функция и общото (гериатрично) състояние.</w:t>
      </w:r>
    </w:p>
    <w:p w14:paraId="059C09F8" w14:textId="77777777" w:rsidR="00A21DE4" w:rsidRPr="00D064B4" w:rsidRDefault="00A21DE4" w:rsidP="00A21DE4">
      <w:pPr>
        <w:rPr>
          <w:i/>
          <w:iCs/>
          <w:lang w:val="bg-BG" w:eastAsia="bg-BG"/>
        </w:rPr>
      </w:pPr>
    </w:p>
    <w:p w14:paraId="659C255D" w14:textId="5B632555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i/>
          <w:iCs/>
          <w:lang w:val="bg-BG" w:eastAsia="bg-BG"/>
        </w:rPr>
        <w:t>Бъбречно увреждане:</w:t>
      </w:r>
    </w:p>
    <w:p w14:paraId="32525DC4" w14:textId="6841BF4C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При пациенти с бъбречно заболяване в терминален стадий (</w:t>
      </w:r>
      <w:proofErr w:type="spellStart"/>
      <w:r w:rsidRPr="00D064B4">
        <w:rPr>
          <w:lang w:val="bg-BG" w:eastAsia="bg-BG"/>
        </w:rPr>
        <w:t>кретининов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клирънс</w:t>
      </w:r>
      <w:proofErr w:type="spellEnd"/>
      <w:r w:rsidRPr="00D064B4">
        <w:rPr>
          <w:lang w:val="bg-BG" w:eastAsia="bg-BG"/>
        </w:rPr>
        <w:t xml:space="preserve"> </w:t>
      </w:r>
      <w:r w:rsidRPr="00D064B4">
        <w:rPr>
          <w:lang w:val="bg-BG"/>
        </w:rPr>
        <w:t>≤</w:t>
      </w:r>
      <w:r w:rsidRPr="00D064B4">
        <w:rPr>
          <w:lang w:val="bg-BG" w:eastAsia="bg-BG"/>
        </w:rPr>
        <w:t xml:space="preserve">15 </w:t>
      </w:r>
      <w:r w:rsidR="00B82A8C">
        <w:rPr>
          <w:lang w:val="sl-SI"/>
        </w:rPr>
        <w:t>m</w:t>
      </w:r>
      <w:r w:rsidRPr="00D064B4">
        <w:rPr>
          <w:lang w:val="bg-BG"/>
        </w:rPr>
        <w:t>l/</w:t>
      </w:r>
      <w:proofErr w:type="spellStart"/>
      <w:r w:rsidRPr="00D064B4">
        <w:rPr>
          <w:lang w:val="bg-BG"/>
        </w:rPr>
        <w:t>min</w:t>
      </w:r>
      <w:proofErr w:type="spellEnd"/>
      <w:r w:rsidRPr="00D064B4">
        <w:rPr>
          <w:lang w:val="bg-BG"/>
        </w:rPr>
        <w:t xml:space="preserve">), </w:t>
      </w:r>
      <w:r w:rsidRPr="00D064B4">
        <w:rPr>
          <w:lang w:val="bg-BG" w:eastAsia="bg-BG"/>
        </w:rPr>
        <w:t>дневната доза трябва да се намали с 75%.</w:t>
      </w:r>
    </w:p>
    <w:p w14:paraId="1CE40125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При пациенти с умерено до тежко бъбречно увреждане (</w:t>
      </w:r>
      <w:proofErr w:type="spellStart"/>
      <w:r w:rsidRPr="00D064B4">
        <w:rPr>
          <w:lang w:val="bg-BG" w:eastAsia="bg-BG"/>
        </w:rPr>
        <w:t>креатининов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клирънс</w:t>
      </w:r>
      <w:proofErr w:type="spellEnd"/>
      <w:r w:rsidRPr="00D064B4">
        <w:rPr>
          <w:lang w:val="bg-BG" w:eastAsia="bg-BG"/>
        </w:rPr>
        <w:t xml:space="preserve"> 15-60 </w:t>
      </w:r>
      <w:r w:rsidRPr="00D064B4">
        <w:rPr>
          <w:lang w:val="bg-BG"/>
        </w:rPr>
        <w:t>ml/</w:t>
      </w:r>
      <w:proofErr w:type="spellStart"/>
      <w:r w:rsidRPr="00D064B4">
        <w:rPr>
          <w:lang w:val="bg-BG"/>
        </w:rPr>
        <w:t>min</w:t>
      </w:r>
      <w:proofErr w:type="spellEnd"/>
      <w:r w:rsidRPr="00D064B4">
        <w:rPr>
          <w:lang w:val="bg-BG"/>
        </w:rPr>
        <w:t xml:space="preserve">), </w:t>
      </w:r>
      <w:r w:rsidRPr="00D064B4">
        <w:rPr>
          <w:lang w:val="bg-BG" w:eastAsia="bg-BG"/>
        </w:rPr>
        <w:t>дозата трябва да се намали с 50% (вж. точка 5.2).</w:t>
      </w:r>
    </w:p>
    <w:p w14:paraId="3591DD10" w14:textId="77777777" w:rsidR="00A21DE4" w:rsidRPr="00D064B4" w:rsidRDefault="00A21DE4" w:rsidP="00A21DE4">
      <w:pPr>
        <w:rPr>
          <w:i/>
          <w:iCs/>
          <w:lang w:val="bg-BG" w:eastAsia="bg-BG"/>
        </w:rPr>
      </w:pPr>
    </w:p>
    <w:p w14:paraId="720CB338" w14:textId="4E372BA3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i/>
          <w:iCs/>
          <w:lang w:val="bg-BG" w:eastAsia="bg-BG"/>
        </w:rPr>
        <w:t>Чернодробно увреждане:</w:t>
      </w:r>
    </w:p>
    <w:p w14:paraId="6C444FD2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При пациенти с тежко чернодробно увреждане, дозата трябва да се намали с 50% (вж. точка 5.2).</w:t>
      </w:r>
    </w:p>
    <w:p w14:paraId="55AAE0FC" w14:textId="77777777" w:rsidR="00A21DE4" w:rsidRPr="00D064B4" w:rsidRDefault="00A21DE4" w:rsidP="00A21DE4">
      <w:pPr>
        <w:rPr>
          <w:i/>
          <w:iCs/>
          <w:lang w:val="bg-BG" w:eastAsia="bg-BG"/>
        </w:rPr>
      </w:pPr>
    </w:p>
    <w:p w14:paraId="13B71B76" w14:textId="37DA884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i/>
          <w:iCs/>
          <w:lang w:val="bg-BG" w:eastAsia="bg-BG"/>
        </w:rPr>
        <w:t>Педиатрична популация</w:t>
      </w:r>
    </w:p>
    <w:p w14:paraId="1D040168" w14:textId="15F4DB32" w:rsidR="00A21DE4" w:rsidRPr="00D064B4" w:rsidRDefault="00A21DE4" w:rsidP="00A21DE4">
      <w:pPr>
        <w:rPr>
          <w:lang w:val="bg-BG" w:eastAsia="bg-BG"/>
        </w:rPr>
      </w:pP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е противопоказан при деца на възраст под 1 година (вж. точка 4.3).</w:t>
      </w:r>
    </w:p>
    <w:p w14:paraId="6D89CD13" w14:textId="77777777" w:rsidR="00A21DE4" w:rsidRPr="00D064B4" w:rsidRDefault="00A21DE4" w:rsidP="00A21DE4">
      <w:pPr>
        <w:rPr>
          <w:lang w:val="bg-BG"/>
        </w:rPr>
      </w:pPr>
    </w:p>
    <w:p w14:paraId="455D6048" w14:textId="72394DD6" w:rsidR="002C50EE" w:rsidRPr="00D064B4" w:rsidRDefault="002C50EE" w:rsidP="002C50EE">
      <w:pPr>
        <w:pStyle w:val="Heading2"/>
        <w:rPr>
          <w:lang w:val="bg-BG"/>
        </w:rPr>
      </w:pPr>
      <w:r w:rsidRPr="00D064B4">
        <w:rPr>
          <w:lang w:val="bg-BG"/>
        </w:rPr>
        <w:t>4.3. Противопоказания</w:t>
      </w:r>
    </w:p>
    <w:p w14:paraId="133684FC" w14:textId="42404A80" w:rsidR="00FB0908" w:rsidRPr="00D064B4" w:rsidRDefault="00B55E11" w:rsidP="00B55E11">
      <w:pPr>
        <w:rPr>
          <w:b/>
          <w:bCs/>
          <w:lang w:val="bg-BG"/>
        </w:rPr>
      </w:pPr>
      <w:proofErr w:type="spellStart"/>
      <w:r w:rsidRPr="00D064B4">
        <w:rPr>
          <w:b/>
          <w:bCs/>
          <w:lang w:val="bg-BG"/>
        </w:rPr>
        <w:t>Деган</w:t>
      </w:r>
      <w:proofErr w:type="spellEnd"/>
      <w:r w:rsidRPr="00D064B4">
        <w:rPr>
          <w:b/>
          <w:bCs/>
          <w:lang w:val="bg-BG"/>
        </w:rPr>
        <w:t xml:space="preserve"> е противопоказан </w:t>
      </w:r>
      <w:r w:rsidR="00FB0908" w:rsidRPr="00D064B4">
        <w:rPr>
          <w:b/>
          <w:bCs/>
          <w:lang w:val="bg-BG"/>
        </w:rPr>
        <w:t>при пациенти със:</w:t>
      </w:r>
    </w:p>
    <w:p w14:paraId="61CFD055" w14:textId="77777777" w:rsidR="00A21DE4" w:rsidRPr="00D064B4" w:rsidRDefault="00A21DE4" w:rsidP="00A21DE4">
      <w:pPr>
        <w:rPr>
          <w:lang w:val="bg-BG" w:eastAsia="bg-BG"/>
        </w:rPr>
      </w:pPr>
    </w:p>
    <w:p w14:paraId="178D2A46" w14:textId="36CA8A47" w:rsidR="00A21DE4" w:rsidRPr="00D064B4" w:rsidRDefault="00A21DE4" w:rsidP="00A21DE4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D064B4">
        <w:rPr>
          <w:lang w:val="bg-BG" w:eastAsia="bg-BG"/>
        </w:rPr>
        <w:t>Свръхчувствителност към активното вещество или към някое от помощните вещества, изброени в точка 6</w:t>
      </w:r>
      <w:r w:rsidR="00AD3791">
        <w:rPr>
          <w:lang w:val="sl-SI" w:eastAsia="bg-BG"/>
        </w:rPr>
        <w:t>.1</w:t>
      </w:r>
    </w:p>
    <w:p w14:paraId="1D9B8FE8" w14:textId="73B59A7D" w:rsidR="00A21DE4" w:rsidRPr="00D064B4" w:rsidRDefault="00A21DE4" w:rsidP="00A21DE4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D064B4">
        <w:rPr>
          <w:lang w:val="bg-BG" w:eastAsia="bg-BG"/>
        </w:rPr>
        <w:t xml:space="preserve">Стомашно-чревно кървене, механична обструкция или стомашно-чревна перфорация за която стимулацията на стомашно-чревния </w:t>
      </w:r>
      <w:proofErr w:type="spellStart"/>
      <w:r w:rsidRPr="00D064B4">
        <w:rPr>
          <w:lang w:val="bg-BG" w:eastAsia="bg-BG"/>
        </w:rPr>
        <w:t>мотилитет</w:t>
      </w:r>
      <w:proofErr w:type="spellEnd"/>
      <w:r w:rsidRPr="00D064B4">
        <w:rPr>
          <w:lang w:val="bg-BG" w:eastAsia="bg-BG"/>
        </w:rPr>
        <w:t xml:space="preserve"> представлява риск.</w:t>
      </w:r>
    </w:p>
    <w:p w14:paraId="73EC6DE7" w14:textId="51719C68" w:rsidR="00A21DE4" w:rsidRPr="00D064B4" w:rsidRDefault="00A21DE4" w:rsidP="00A21DE4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D064B4">
        <w:rPr>
          <w:lang w:val="bg-BG" w:eastAsia="bg-BG"/>
        </w:rPr>
        <w:t xml:space="preserve">Потвърден или подозиран </w:t>
      </w:r>
      <w:proofErr w:type="spellStart"/>
      <w:r w:rsidRPr="00D064B4">
        <w:rPr>
          <w:lang w:val="bg-BG" w:eastAsia="bg-BG"/>
        </w:rPr>
        <w:t>феохромоцитом</w:t>
      </w:r>
      <w:proofErr w:type="spellEnd"/>
      <w:r w:rsidRPr="00D064B4">
        <w:rPr>
          <w:lang w:val="bg-BG" w:eastAsia="bg-BG"/>
        </w:rPr>
        <w:t>, поради риск от тежки хипертонична криза</w:t>
      </w:r>
    </w:p>
    <w:p w14:paraId="504120B7" w14:textId="52A7A4F0" w:rsidR="00A21DE4" w:rsidRPr="00D064B4" w:rsidRDefault="00A21DE4" w:rsidP="00A21DE4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D064B4">
        <w:rPr>
          <w:lang w:val="bg-BG" w:eastAsia="bg-BG"/>
        </w:rPr>
        <w:t xml:space="preserve">Анамнеза за </w:t>
      </w:r>
      <w:proofErr w:type="spellStart"/>
      <w:r w:rsidRPr="00D064B4">
        <w:rPr>
          <w:lang w:val="bg-BG" w:eastAsia="bg-BG"/>
        </w:rPr>
        <w:t>невролептична</w:t>
      </w:r>
      <w:proofErr w:type="spellEnd"/>
      <w:r w:rsidRPr="00D064B4">
        <w:rPr>
          <w:lang w:val="bg-BG" w:eastAsia="bg-BG"/>
        </w:rPr>
        <w:t xml:space="preserve"> или предизвикана от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тардивна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диокинеза</w:t>
      </w:r>
      <w:proofErr w:type="spellEnd"/>
    </w:p>
    <w:p w14:paraId="7A3A8B7C" w14:textId="67A113BE" w:rsidR="00A21DE4" w:rsidRPr="00D064B4" w:rsidRDefault="00A21DE4" w:rsidP="00A21DE4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D064B4">
        <w:rPr>
          <w:lang w:val="bg-BG" w:eastAsia="bg-BG"/>
        </w:rPr>
        <w:t>Епилепсия (повишена честота и интензитет на пристъпите)</w:t>
      </w:r>
    </w:p>
    <w:p w14:paraId="0D9DA794" w14:textId="7662F3FF" w:rsidR="00A21DE4" w:rsidRPr="00D064B4" w:rsidRDefault="00A21DE4" w:rsidP="00A21DE4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D064B4">
        <w:rPr>
          <w:lang w:val="bg-BG" w:eastAsia="bg-BG"/>
        </w:rPr>
        <w:t>Болест на Паркинсон</w:t>
      </w:r>
    </w:p>
    <w:p w14:paraId="743291A2" w14:textId="270C38BE" w:rsidR="00A21DE4" w:rsidRPr="00D064B4" w:rsidRDefault="00A21DE4" w:rsidP="00A21DE4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D064B4">
        <w:rPr>
          <w:lang w:val="bg-BG" w:eastAsia="bg-BG"/>
        </w:rPr>
        <w:t xml:space="preserve">Комбинация с </w:t>
      </w:r>
      <w:proofErr w:type="spellStart"/>
      <w:r w:rsidRPr="00D064B4">
        <w:rPr>
          <w:lang w:val="bg-BG" w:eastAsia="bg-BG"/>
        </w:rPr>
        <w:t>леводопа</w:t>
      </w:r>
      <w:proofErr w:type="spellEnd"/>
      <w:r w:rsidRPr="00D064B4">
        <w:rPr>
          <w:lang w:val="bg-BG" w:eastAsia="bg-BG"/>
        </w:rPr>
        <w:t xml:space="preserve"> или </w:t>
      </w:r>
      <w:proofErr w:type="spellStart"/>
      <w:r w:rsidRPr="00D064B4">
        <w:rPr>
          <w:lang w:val="bg-BG" w:eastAsia="bg-BG"/>
        </w:rPr>
        <w:t>допаминергични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агонисти</w:t>
      </w:r>
      <w:proofErr w:type="spellEnd"/>
      <w:r w:rsidRPr="00D064B4">
        <w:rPr>
          <w:lang w:val="bg-BG" w:eastAsia="bg-BG"/>
        </w:rPr>
        <w:t xml:space="preserve"> (вж. точка 4.5)</w:t>
      </w:r>
    </w:p>
    <w:p w14:paraId="5309EEE2" w14:textId="693A58D4" w:rsidR="00A21DE4" w:rsidRPr="00D064B4" w:rsidRDefault="00A21DE4" w:rsidP="00A21DE4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D064B4">
        <w:rPr>
          <w:lang w:val="bg-BG" w:eastAsia="bg-BG"/>
        </w:rPr>
        <w:t xml:space="preserve">Известна анамнеза за </w:t>
      </w:r>
      <w:proofErr w:type="spellStart"/>
      <w:r w:rsidRPr="00D064B4">
        <w:rPr>
          <w:lang w:val="bg-BG" w:eastAsia="bg-BG"/>
        </w:rPr>
        <w:t>метхемоглобинемия</w:t>
      </w:r>
      <w:proofErr w:type="spellEnd"/>
      <w:r w:rsidRPr="00D064B4">
        <w:rPr>
          <w:lang w:val="bg-BG" w:eastAsia="bg-BG"/>
        </w:rPr>
        <w:t xml:space="preserve"> свързана, с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или дефицит на </w:t>
      </w:r>
      <w:r w:rsidRPr="00D064B4">
        <w:rPr>
          <w:lang w:val="bg-BG"/>
        </w:rPr>
        <w:t xml:space="preserve">NADH </w:t>
      </w:r>
      <w:r w:rsidRPr="00D064B4">
        <w:rPr>
          <w:lang w:val="bg-BG" w:eastAsia="bg-BG"/>
        </w:rPr>
        <w:t>цитохром-Ь5.</w:t>
      </w:r>
    </w:p>
    <w:p w14:paraId="55566230" w14:textId="731B2834" w:rsidR="00A21DE4" w:rsidRPr="00D064B4" w:rsidRDefault="00A21DE4" w:rsidP="00A21DE4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D064B4">
        <w:rPr>
          <w:lang w:val="bg-BG" w:eastAsia="bg-BG"/>
        </w:rPr>
        <w:t xml:space="preserve">Приложение при деца на възраст под 1 година, поради повишен риск от </w:t>
      </w:r>
      <w:proofErr w:type="spellStart"/>
      <w:r w:rsidRPr="00D064B4">
        <w:rPr>
          <w:lang w:val="bg-BG" w:eastAsia="bg-BG"/>
        </w:rPr>
        <w:t>екстрапирамидни</w:t>
      </w:r>
      <w:proofErr w:type="spellEnd"/>
      <w:r w:rsidRPr="00D064B4">
        <w:rPr>
          <w:lang w:val="bg-BG" w:eastAsia="bg-BG"/>
        </w:rPr>
        <w:t xml:space="preserve"> нарушения (вж. точка 4.4)</w:t>
      </w:r>
    </w:p>
    <w:p w14:paraId="0D5BCDDA" w14:textId="77777777" w:rsidR="00A21DE4" w:rsidRPr="00D064B4" w:rsidRDefault="00A21DE4" w:rsidP="00A21DE4">
      <w:pPr>
        <w:rPr>
          <w:lang w:val="bg-BG"/>
        </w:rPr>
      </w:pPr>
    </w:p>
    <w:p w14:paraId="2A4373D0" w14:textId="73E24C6C" w:rsidR="002C50EE" w:rsidRPr="00D064B4" w:rsidRDefault="002C50EE" w:rsidP="002C50EE">
      <w:pPr>
        <w:pStyle w:val="Heading2"/>
        <w:rPr>
          <w:lang w:val="bg-BG"/>
        </w:rPr>
      </w:pPr>
      <w:r w:rsidRPr="00D064B4">
        <w:rPr>
          <w:lang w:val="bg-BG"/>
        </w:rPr>
        <w:t>4.4. Специални предупреждения и предпазни мерки при употреба</w:t>
      </w:r>
    </w:p>
    <w:p w14:paraId="6C4A3C92" w14:textId="77777777" w:rsidR="00A21DE4" w:rsidRPr="00D064B4" w:rsidRDefault="00A21DE4" w:rsidP="00A21DE4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val="bg-BG" w:eastAsia="bg-BG"/>
        </w:rPr>
      </w:pPr>
    </w:p>
    <w:p w14:paraId="4B4AD031" w14:textId="3895F7A5" w:rsidR="00A21DE4" w:rsidRPr="00D064B4" w:rsidRDefault="00A21DE4" w:rsidP="00D064B4">
      <w:pPr>
        <w:pStyle w:val="Heading3"/>
        <w:rPr>
          <w:u w:val="single"/>
          <w:lang w:val="bg-BG"/>
        </w:rPr>
      </w:pPr>
      <w:r w:rsidRPr="00D064B4">
        <w:rPr>
          <w:u w:val="single"/>
          <w:lang w:val="bg-BG" w:eastAsia="bg-BG"/>
        </w:rPr>
        <w:t>Неврологични нарушения</w:t>
      </w:r>
    </w:p>
    <w:p w14:paraId="370E3F0F" w14:textId="77777777" w:rsidR="00A21DE4" w:rsidRPr="00D064B4" w:rsidRDefault="00A21DE4" w:rsidP="00A21DE4">
      <w:pPr>
        <w:rPr>
          <w:lang w:val="bg-BG" w:eastAsia="bg-BG"/>
        </w:rPr>
      </w:pPr>
    </w:p>
    <w:p w14:paraId="1021C876" w14:textId="14A27279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Могат да настъпят </w:t>
      </w:r>
      <w:proofErr w:type="spellStart"/>
      <w:r w:rsidRPr="00D064B4">
        <w:rPr>
          <w:lang w:val="bg-BG" w:eastAsia="bg-BG"/>
        </w:rPr>
        <w:t>екстрапирамидни</w:t>
      </w:r>
      <w:proofErr w:type="spellEnd"/>
      <w:r w:rsidRPr="00D064B4">
        <w:rPr>
          <w:lang w:val="bg-BG" w:eastAsia="bg-BG"/>
        </w:rPr>
        <w:t xml:space="preserve"> нарушения, особено при деца и млади хора и/или когато се използват високи дози. Тези реакции настъпват обикновено в началото на лечението и могат да настъпят след еднократно приложение. Приема на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трябва да се прекрати незабавно в случай на </w:t>
      </w:r>
      <w:proofErr w:type="spellStart"/>
      <w:r w:rsidRPr="00D064B4">
        <w:rPr>
          <w:lang w:val="bg-BG" w:eastAsia="bg-BG"/>
        </w:rPr>
        <w:t>екстрапирамидни</w:t>
      </w:r>
      <w:proofErr w:type="spellEnd"/>
      <w:r w:rsidRPr="00D064B4">
        <w:rPr>
          <w:lang w:val="bg-BG" w:eastAsia="bg-BG"/>
        </w:rPr>
        <w:t xml:space="preserve"> симптоми. Тези ефекти като цяло са напълно обратими след прекратяване на лечението, но могат да наложат симптоматично лечение (бензодиазепини при деца и/или </w:t>
      </w:r>
      <w:proofErr w:type="spellStart"/>
      <w:r w:rsidRPr="00D064B4">
        <w:rPr>
          <w:lang w:val="bg-BG" w:eastAsia="bg-BG"/>
        </w:rPr>
        <w:t>антихолинергични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антипаркинсонови</w:t>
      </w:r>
      <w:proofErr w:type="spellEnd"/>
      <w:r w:rsidRPr="00D064B4">
        <w:rPr>
          <w:lang w:val="bg-BG" w:eastAsia="bg-BG"/>
        </w:rPr>
        <w:t xml:space="preserve"> лекарствени продукти при възрастни). Времевия интервал от поне 6 часа, посочен в точка 4.2 трябва да се спазва между всяко приложение на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>, дори в случай на повръщане и отхвърляне на дозата, с цел да се избегне предозиране.</w:t>
      </w:r>
    </w:p>
    <w:p w14:paraId="2278F02B" w14:textId="77777777" w:rsidR="00A21DE4" w:rsidRPr="00D064B4" w:rsidRDefault="00A21DE4" w:rsidP="00A21DE4">
      <w:pPr>
        <w:rPr>
          <w:lang w:val="bg-BG" w:eastAsia="bg-BG"/>
        </w:rPr>
      </w:pPr>
    </w:p>
    <w:p w14:paraId="7B14167A" w14:textId="7C6AA640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Продължителното лечение с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може да причини </w:t>
      </w:r>
      <w:proofErr w:type="spellStart"/>
      <w:r w:rsidRPr="00D064B4">
        <w:rPr>
          <w:lang w:val="bg-BG" w:eastAsia="bg-BG"/>
        </w:rPr>
        <w:t>тардивна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дискинезия</w:t>
      </w:r>
      <w:proofErr w:type="spellEnd"/>
      <w:r w:rsidRPr="00D064B4">
        <w:rPr>
          <w:lang w:val="bg-BG" w:eastAsia="bg-BG"/>
        </w:rPr>
        <w:t>, потенциално необратима, особено при пациенти в старческа възраст.</w:t>
      </w:r>
    </w:p>
    <w:p w14:paraId="4CAF4EB0" w14:textId="77029FC0" w:rsidR="00A21DE4" w:rsidRPr="00D064B4" w:rsidRDefault="00A21DE4" w:rsidP="00A21DE4">
      <w:pPr>
        <w:rPr>
          <w:lang w:val="bg-BG" w:eastAsia="bg-BG"/>
        </w:rPr>
      </w:pPr>
      <w:r w:rsidRPr="00D064B4">
        <w:rPr>
          <w:lang w:val="bg-BG" w:eastAsia="bg-BG"/>
        </w:rPr>
        <w:t xml:space="preserve">Лечението не трябва да надвишава 3 месеца, поради риска от </w:t>
      </w:r>
      <w:proofErr w:type="spellStart"/>
      <w:r w:rsidRPr="00D064B4">
        <w:rPr>
          <w:lang w:val="bg-BG" w:eastAsia="bg-BG"/>
        </w:rPr>
        <w:t>тардивна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дискинезия</w:t>
      </w:r>
      <w:proofErr w:type="spellEnd"/>
      <w:r w:rsidRPr="00D064B4">
        <w:rPr>
          <w:lang w:val="bg-BG" w:eastAsia="bg-BG"/>
        </w:rPr>
        <w:t xml:space="preserve"> (вж. точка 4.8). Лечението трябва да се прекрати, ако възникнат клинични признаци на </w:t>
      </w:r>
      <w:proofErr w:type="spellStart"/>
      <w:r w:rsidRPr="00D064B4">
        <w:rPr>
          <w:lang w:val="bg-BG" w:eastAsia="bg-BG"/>
        </w:rPr>
        <w:t>тардивна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дискинезия</w:t>
      </w:r>
      <w:proofErr w:type="spellEnd"/>
      <w:r w:rsidRPr="00D064B4">
        <w:rPr>
          <w:lang w:val="bg-BG" w:eastAsia="bg-BG"/>
        </w:rPr>
        <w:t>.</w:t>
      </w:r>
    </w:p>
    <w:p w14:paraId="3AB78C8D" w14:textId="2E97C42E" w:rsidR="00A21DE4" w:rsidRPr="00D064B4" w:rsidRDefault="00A21DE4" w:rsidP="00A21DE4">
      <w:pPr>
        <w:rPr>
          <w:lang w:val="bg-BG" w:eastAsia="bg-BG"/>
        </w:rPr>
      </w:pPr>
    </w:p>
    <w:p w14:paraId="3FB65581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При комбинация на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с </w:t>
      </w:r>
      <w:proofErr w:type="spellStart"/>
      <w:r w:rsidRPr="00D064B4">
        <w:rPr>
          <w:lang w:val="bg-BG" w:eastAsia="bg-BG"/>
        </w:rPr>
        <w:t>невролептици</w:t>
      </w:r>
      <w:proofErr w:type="spellEnd"/>
      <w:r w:rsidRPr="00D064B4">
        <w:rPr>
          <w:lang w:val="bg-BG" w:eastAsia="bg-BG"/>
        </w:rPr>
        <w:t xml:space="preserve">, както и при </w:t>
      </w:r>
      <w:proofErr w:type="spellStart"/>
      <w:r w:rsidRPr="00D064B4">
        <w:rPr>
          <w:lang w:val="bg-BG" w:eastAsia="bg-BG"/>
        </w:rPr>
        <w:t>монотерапия</w:t>
      </w:r>
      <w:proofErr w:type="spellEnd"/>
      <w:r w:rsidRPr="00D064B4">
        <w:rPr>
          <w:lang w:val="bg-BG" w:eastAsia="bg-BG"/>
        </w:rPr>
        <w:t xml:space="preserve"> с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се съобщава за </w:t>
      </w:r>
      <w:proofErr w:type="spellStart"/>
      <w:r w:rsidRPr="00D064B4">
        <w:rPr>
          <w:lang w:val="bg-BG" w:eastAsia="bg-BG"/>
        </w:rPr>
        <w:t>невролептичен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малигнен</w:t>
      </w:r>
      <w:proofErr w:type="spellEnd"/>
      <w:r w:rsidRPr="00D064B4">
        <w:rPr>
          <w:lang w:val="bg-BG" w:eastAsia="bg-BG"/>
        </w:rPr>
        <w:t xml:space="preserve"> синдром (вж. точка 4.8).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трябва да се спре незабавно при възникване на симптоми на </w:t>
      </w:r>
      <w:proofErr w:type="spellStart"/>
      <w:r w:rsidRPr="00D064B4">
        <w:rPr>
          <w:lang w:val="bg-BG" w:eastAsia="bg-BG"/>
        </w:rPr>
        <w:t>невролептичен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малигнен</w:t>
      </w:r>
      <w:proofErr w:type="spellEnd"/>
      <w:r w:rsidRPr="00D064B4">
        <w:rPr>
          <w:lang w:val="bg-BG" w:eastAsia="bg-BG"/>
        </w:rPr>
        <w:t xml:space="preserve"> синдром и трябва да се започне подходящо лечение.</w:t>
      </w:r>
    </w:p>
    <w:p w14:paraId="0F4DF314" w14:textId="50FB0151" w:rsidR="00A21DE4" w:rsidRPr="00D064B4" w:rsidRDefault="00A21DE4" w:rsidP="00A21DE4">
      <w:pPr>
        <w:rPr>
          <w:sz w:val="24"/>
          <w:szCs w:val="24"/>
          <w:lang w:val="bg-BG"/>
        </w:rPr>
      </w:pPr>
    </w:p>
    <w:p w14:paraId="11ABA6CF" w14:textId="0F88884D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Необ</w:t>
      </w:r>
      <w:r w:rsidR="00D064B4" w:rsidRPr="00D064B4">
        <w:rPr>
          <w:lang w:val="bg-BG" w:eastAsia="bg-BG"/>
        </w:rPr>
        <w:t>х</w:t>
      </w:r>
      <w:r w:rsidRPr="00D064B4">
        <w:rPr>
          <w:lang w:val="bg-BG" w:eastAsia="bg-BG"/>
        </w:rPr>
        <w:t>одимо е да се подхожда със специално внимание при пациенти с подлежащи неврологични заболявалия и при пациенти, които са били лекувани с други лекарства с централно действие (вж. точка 4.3)</w:t>
      </w:r>
    </w:p>
    <w:p w14:paraId="012B0315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Симптомите на Болест на Паркинсон могат да бъдат </w:t>
      </w:r>
      <w:proofErr w:type="spellStart"/>
      <w:r w:rsidRPr="00D064B4">
        <w:rPr>
          <w:lang w:val="bg-BG" w:eastAsia="bg-BG"/>
        </w:rPr>
        <w:t>обострени</w:t>
      </w:r>
      <w:proofErr w:type="spellEnd"/>
      <w:r w:rsidRPr="00D064B4">
        <w:rPr>
          <w:lang w:val="bg-BG" w:eastAsia="bg-BG"/>
        </w:rPr>
        <w:t xml:space="preserve"> от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>.</w:t>
      </w:r>
    </w:p>
    <w:p w14:paraId="770C26BF" w14:textId="77777777" w:rsidR="00A21DE4" w:rsidRPr="00D064B4" w:rsidRDefault="00A21DE4" w:rsidP="00A21DE4">
      <w:pPr>
        <w:rPr>
          <w:u w:val="single"/>
          <w:lang w:val="bg-BG" w:eastAsia="bg-BG"/>
        </w:rPr>
      </w:pPr>
    </w:p>
    <w:p w14:paraId="6A21F2BA" w14:textId="5696ECED" w:rsidR="00A21DE4" w:rsidRPr="00D064B4" w:rsidRDefault="00A21DE4" w:rsidP="00D064B4">
      <w:pPr>
        <w:pStyle w:val="Heading3"/>
        <w:rPr>
          <w:u w:val="single"/>
          <w:lang w:val="bg-BG"/>
        </w:rPr>
      </w:pPr>
      <w:proofErr w:type="spellStart"/>
      <w:r w:rsidRPr="00D064B4">
        <w:rPr>
          <w:u w:val="single"/>
          <w:lang w:val="bg-BG" w:eastAsia="bg-BG"/>
        </w:rPr>
        <w:t>Метхемоглобинемия</w:t>
      </w:r>
      <w:proofErr w:type="spellEnd"/>
    </w:p>
    <w:p w14:paraId="3369A8F5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Съобщава се за </w:t>
      </w:r>
      <w:proofErr w:type="spellStart"/>
      <w:r w:rsidRPr="00D064B4">
        <w:rPr>
          <w:lang w:val="bg-BG" w:eastAsia="bg-BG"/>
        </w:rPr>
        <w:t>метхемоглобинемия</w:t>
      </w:r>
      <w:proofErr w:type="spellEnd"/>
      <w:r w:rsidRPr="00D064B4">
        <w:rPr>
          <w:lang w:val="bg-BG" w:eastAsia="bg-BG"/>
        </w:rPr>
        <w:t xml:space="preserve">, която може да е свързана с дефицит на </w:t>
      </w:r>
      <w:r w:rsidRPr="00D064B4">
        <w:rPr>
          <w:lang w:val="bg-BG"/>
        </w:rPr>
        <w:t xml:space="preserve">NADH </w:t>
      </w:r>
      <w:proofErr w:type="spellStart"/>
      <w:r w:rsidRPr="00D064B4">
        <w:rPr>
          <w:lang w:val="bg-BG" w:eastAsia="bg-BG"/>
        </w:rPr>
        <w:t>цитохром</w:t>
      </w:r>
      <w:proofErr w:type="spellEnd"/>
      <w:r w:rsidRPr="00D064B4">
        <w:rPr>
          <w:lang w:val="bg-BG" w:eastAsia="bg-BG"/>
        </w:rPr>
        <w:t xml:space="preserve"> </w:t>
      </w:r>
      <w:r w:rsidRPr="00D064B4">
        <w:rPr>
          <w:lang w:val="bg-BG"/>
        </w:rPr>
        <w:t>b</w:t>
      </w:r>
      <w:r w:rsidRPr="00D064B4">
        <w:rPr>
          <w:lang w:val="bg-BG" w:eastAsia="bg-BG"/>
        </w:rPr>
        <w:t xml:space="preserve">5 </w:t>
      </w:r>
      <w:proofErr w:type="spellStart"/>
      <w:r w:rsidRPr="00D064B4">
        <w:rPr>
          <w:lang w:val="bg-BG" w:eastAsia="bg-BG"/>
        </w:rPr>
        <w:t>редуктаза</w:t>
      </w:r>
      <w:proofErr w:type="spellEnd"/>
      <w:r w:rsidRPr="00D064B4">
        <w:rPr>
          <w:lang w:val="bg-BG" w:eastAsia="bg-BG"/>
        </w:rPr>
        <w:t xml:space="preserve">. В такива случаи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трябва да се спре незабавно и за постоянно и трябва да се предприемат подходящи мерки (като например лечение с </w:t>
      </w:r>
      <w:proofErr w:type="spellStart"/>
      <w:r w:rsidRPr="00D064B4">
        <w:rPr>
          <w:lang w:val="bg-BG" w:eastAsia="bg-BG"/>
        </w:rPr>
        <w:t>метиленово</w:t>
      </w:r>
      <w:proofErr w:type="spellEnd"/>
      <w:r w:rsidRPr="00D064B4">
        <w:rPr>
          <w:lang w:val="bg-BG" w:eastAsia="bg-BG"/>
        </w:rPr>
        <w:t xml:space="preserve"> синьо).</w:t>
      </w:r>
    </w:p>
    <w:p w14:paraId="7093D5B0" w14:textId="77777777" w:rsidR="00A21DE4" w:rsidRPr="00D064B4" w:rsidRDefault="00A21DE4" w:rsidP="00A21DE4">
      <w:pPr>
        <w:rPr>
          <w:u w:val="single"/>
          <w:lang w:val="bg-BG" w:eastAsia="bg-BG"/>
        </w:rPr>
      </w:pPr>
    </w:p>
    <w:p w14:paraId="778386B5" w14:textId="283767BF" w:rsidR="00A21DE4" w:rsidRPr="00D064B4" w:rsidRDefault="00A21DE4" w:rsidP="00D064B4">
      <w:pPr>
        <w:pStyle w:val="Heading3"/>
        <w:rPr>
          <w:u w:val="single"/>
          <w:lang w:val="bg-BG"/>
        </w:rPr>
      </w:pPr>
      <w:r w:rsidRPr="00D064B4">
        <w:rPr>
          <w:u w:val="single"/>
          <w:lang w:val="bg-BG" w:eastAsia="bg-BG"/>
        </w:rPr>
        <w:t>Сърдечни нарушения</w:t>
      </w:r>
    </w:p>
    <w:p w14:paraId="0BD3C771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Налични са съобщения за сериозни нежелани реакции от страна на сърдечно-съдовата система, включващи случаи на </w:t>
      </w:r>
      <w:proofErr w:type="spellStart"/>
      <w:r w:rsidRPr="00D064B4">
        <w:rPr>
          <w:lang w:val="bg-BG" w:eastAsia="bg-BG"/>
        </w:rPr>
        <w:t>циркулаторен</w:t>
      </w:r>
      <w:proofErr w:type="spellEnd"/>
      <w:r w:rsidRPr="00D064B4">
        <w:rPr>
          <w:lang w:val="bg-BG" w:eastAsia="bg-BG"/>
        </w:rPr>
        <w:t xml:space="preserve"> колапс, тежка </w:t>
      </w:r>
      <w:proofErr w:type="spellStart"/>
      <w:r w:rsidRPr="00D064B4">
        <w:rPr>
          <w:lang w:val="bg-BG" w:eastAsia="bg-BG"/>
        </w:rPr>
        <w:t>брадикардия</w:t>
      </w:r>
      <w:proofErr w:type="spellEnd"/>
      <w:r w:rsidRPr="00D064B4">
        <w:rPr>
          <w:lang w:val="bg-BG" w:eastAsia="bg-BG"/>
        </w:rPr>
        <w:t xml:space="preserve">, </w:t>
      </w:r>
      <w:proofErr w:type="spellStart"/>
      <w:r w:rsidRPr="00D064B4">
        <w:rPr>
          <w:lang w:val="bg-BG" w:eastAsia="bg-BG"/>
        </w:rPr>
        <w:t>спиранена</w:t>
      </w:r>
      <w:proofErr w:type="spellEnd"/>
      <w:r w:rsidRPr="00D064B4">
        <w:rPr>
          <w:lang w:val="bg-BG" w:eastAsia="bg-BG"/>
        </w:rPr>
        <w:t xml:space="preserve"> сърдечната дейност и удължаване на </w:t>
      </w:r>
      <w:r w:rsidRPr="00D064B4">
        <w:rPr>
          <w:lang w:val="bg-BG"/>
        </w:rPr>
        <w:t xml:space="preserve">QT </w:t>
      </w:r>
      <w:r w:rsidRPr="00D064B4">
        <w:rPr>
          <w:lang w:val="bg-BG" w:eastAsia="bg-BG"/>
        </w:rPr>
        <w:t xml:space="preserve">интервала след приложение на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чрез инжектиране, особено чрез интравенозен път (вж. точка 4.8).</w:t>
      </w:r>
    </w:p>
    <w:p w14:paraId="486E56E5" w14:textId="77777777" w:rsidR="00A21DE4" w:rsidRPr="00D064B4" w:rsidRDefault="00A21DE4" w:rsidP="00A21DE4">
      <w:pPr>
        <w:rPr>
          <w:sz w:val="24"/>
          <w:szCs w:val="24"/>
          <w:lang w:val="bg-BG"/>
        </w:rPr>
      </w:pPr>
    </w:p>
    <w:p w14:paraId="7028D54C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Необходимо е специално внимание, когато се прилага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, особено чрез интравенозен път на въвеждане, на популация в старческа възраст, на пациенти с нарушена сърдечна проводимост (включително удължен </w:t>
      </w:r>
      <w:r w:rsidRPr="00D064B4">
        <w:rPr>
          <w:lang w:val="bg-BG"/>
        </w:rPr>
        <w:t xml:space="preserve">QT </w:t>
      </w:r>
      <w:r w:rsidRPr="00D064B4">
        <w:rPr>
          <w:lang w:val="bg-BG" w:eastAsia="bg-BG"/>
        </w:rPr>
        <w:t>интервал), пациенти с некоригиран</w:t>
      </w:r>
      <w:r w:rsidRPr="00D064B4">
        <w:rPr>
          <w:lang w:val="bg-BG"/>
        </w:rPr>
        <w:t xml:space="preserve"> </w:t>
      </w:r>
      <w:r w:rsidRPr="00D064B4">
        <w:rPr>
          <w:u w:val="single"/>
          <w:lang w:val="bg-BG" w:eastAsia="bg-BG"/>
        </w:rPr>
        <w:t xml:space="preserve"> </w:t>
      </w:r>
      <w:r w:rsidRPr="00D064B4">
        <w:rPr>
          <w:lang w:val="bg-BG" w:eastAsia="bg-BG"/>
        </w:rPr>
        <w:t xml:space="preserve">електролитен дисбаланс, брадикардия и такива, приемащи други лекарства, за </w:t>
      </w:r>
      <w:proofErr w:type="spellStart"/>
      <w:r w:rsidRPr="00D064B4">
        <w:rPr>
          <w:lang w:val="bg-BG" w:eastAsia="bg-BG"/>
        </w:rPr>
        <w:t>коит</w:t>
      </w:r>
      <w:r w:rsidRPr="00D064B4">
        <w:rPr>
          <w:lang w:val="bg-BG"/>
        </w:rPr>
        <w:t>o</w:t>
      </w:r>
      <w:proofErr w:type="spellEnd"/>
      <w:r w:rsidRPr="00D064B4">
        <w:rPr>
          <w:lang w:val="bg-BG"/>
        </w:rPr>
        <w:t xml:space="preserve"> </w:t>
      </w:r>
      <w:r w:rsidRPr="00D064B4">
        <w:rPr>
          <w:lang w:val="bg-BG" w:eastAsia="bg-BG"/>
        </w:rPr>
        <w:t xml:space="preserve">се знае че удължават </w:t>
      </w:r>
      <w:r w:rsidRPr="00D064B4">
        <w:rPr>
          <w:lang w:val="bg-BG"/>
        </w:rPr>
        <w:t xml:space="preserve">QT </w:t>
      </w:r>
      <w:r w:rsidRPr="00D064B4">
        <w:rPr>
          <w:lang w:val="bg-BG" w:eastAsia="bg-BG"/>
        </w:rPr>
        <w:t>интервала.</w:t>
      </w:r>
    </w:p>
    <w:p w14:paraId="4B9ABD0D" w14:textId="698BB84C" w:rsidR="00A21DE4" w:rsidRPr="00D064B4" w:rsidRDefault="00A21DE4" w:rsidP="00A21DE4">
      <w:pPr>
        <w:rPr>
          <w:lang w:val="bg-BG"/>
        </w:rPr>
      </w:pPr>
      <w:r w:rsidRPr="00D064B4">
        <w:rPr>
          <w:lang w:val="bg-BG" w:eastAsia="bg-BG"/>
        </w:rPr>
        <w:t xml:space="preserve">Интравенозните дози, трябва да се прилагат като бавен </w:t>
      </w:r>
      <w:proofErr w:type="spellStart"/>
      <w:r w:rsidRPr="00D064B4">
        <w:rPr>
          <w:lang w:val="bg-BG" w:eastAsia="bg-BG"/>
        </w:rPr>
        <w:t>болус</w:t>
      </w:r>
      <w:proofErr w:type="spellEnd"/>
      <w:r w:rsidRPr="00D064B4">
        <w:rPr>
          <w:lang w:val="bg-BG" w:eastAsia="bg-BG"/>
        </w:rPr>
        <w:t xml:space="preserve"> (за не по-малко от 3 минути) цел намаляване на риска от нежелани реакции (т.е. хипотония, </w:t>
      </w:r>
      <w:proofErr w:type="spellStart"/>
      <w:r w:rsidRPr="00D064B4">
        <w:rPr>
          <w:lang w:val="bg-BG" w:eastAsia="bg-BG"/>
        </w:rPr>
        <w:t>акатизия</w:t>
      </w:r>
      <w:proofErr w:type="spellEnd"/>
      <w:r w:rsidRPr="00D064B4">
        <w:rPr>
          <w:lang w:val="bg-BG" w:eastAsia="bg-BG"/>
        </w:rPr>
        <w:t>).</w:t>
      </w:r>
    </w:p>
    <w:p w14:paraId="4B2B2AB1" w14:textId="302A26D5" w:rsidR="00605BCA" w:rsidRPr="00D064B4" w:rsidRDefault="00605BCA" w:rsidP="00605BCA">
      <w:pPr>
        <w:rPr>
          <w:lang w:val="bg-BG"/>
        </w:rPr>
      </w:pPr>
    </w:p>
    <w:p w14:paraId="5C209072" w14:textId="2E85C9A9" w:rsidR="00A21DE4" w:rsidRPr="00D064B4" w:rsidRDefault="00A21DE4" w:rsidP="00D064B4">
      <w:pPr>
        <w:pStyle w:val="Heading3"/>
        <w:rPr>
          <w:u w:val="single"/>
          <w:lang w:val="bg-BG"/>
        </w:rPr>
      </w:pPr>
      <w:r w:rsidRPr="00D064B4">
        <w:rPr>
          <w:u w:val="single"/>
          <w:lang w:val="bg-BG"/>
        </w:rPr>
        <w:t>Бъбречно и чернодробно увреждане</w:t>
      </w:r>
    </w:p>
    <w:p w14:paraId="25B478B4" w14:textId="77777777" w:rsidR="00A21DE4" w:rsidRPr="00D064B4" w:rsidRDefault="00A21DE4" w:rsidP="00A21DE4">
      <w:pPr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446BF673" w14:textId="0F114C9A" w:rsidR="00A21DE4" w:rsidRPr="00D064B4" w:rsidRDefault="00A21DE4" w:rsidP="00A21DE4">
      <w:pPr>
        <w:rPr>
          <w:rFonts w:eastAsia="Times New Roman" w:cs="Arial"/>
          <w:sz w:val="24"/>
          <w:szCs w:val="24"/>
          <w:lang w:val="bg-BG"/>
        </w:rPr>
      </w:pPr>
      <w:r w:rsidRPr="00D064B4">
        <w:rPr>
          <w:rFonts w:eastAsia="Times New Roman" w:cs="Arial"/>
          <w:color w:val="000000"/>
          <w:lang w:val="bg-BG" w:eastAsia="bg-BG"/>
        </w:rPr>
        <w:t>При пациенти с бъбречно увреждане или с тежко чернодробно увреждане, се препоръчва намаляване на дозата (вж. точка 4.2).</w:t>
      </w:r>
    </w:p>
    <w:p w14:paraId="7A0E3B99" w14:textId="77777777" w:rsidR="00A21DE4" w:rsidRPr="00D064B4" w:rsidRDefault="00A21DE4" w:rsidP="00A21DE4">
      <w:pPr>
        <w:rPr>
          <w:rFonts w:eastAsia="Times New Roman" w:cs="Arial"/>
          <w:b/>
          <w:bCs/>
          <w:color w:val="000000"/>
          <w:lang w:val="bg-BG" w:eastAsia="bg-BG"/>
        </w:rPr>
      </w:pPr>
      <w:bookmarkStart w:id="1" w:name="bookmark0"/>
    </w:p>
    <w:p w14:paraId="7CDA81C6" w14:textId="109332BD" w:rsidR="00A21DE4" w:rsidRPr="00D064B4" w:rsidRDefault="00A21DE4" w:rsidP="00A21DE4">
      <w:pPr>
        <w:rPr>
          <w:rFonts w:eastAsia="Times New Roman" w:cs="Arial"/>
          <w:sz w:val="24"/>
          <w:szCs w:val="24"/>
          <w:lang w:val="bg-BG"/>
        </w:rPr>
      </w:pPr>
      <w:r w:rsidRPr="00D064B4">
        <w:rPr>
          <w:rFonts w:eastAsia="Times New Roman" w:cs="Arial"/>
          <w:b/>
          <w:bCs/>
          <w:color w:val="000000"/>
          <w:lang w:val="bg-BG" w:eastAsia="bg-BG"/>
        </w:rPr>
        <w:t>Важна информация за помощните вещества:</w:t>
      </w:r>
      <w:bookmarkEnd w:id="1"/>
    </w:p>
    <w:p w14:paraId="65B18DA0" w14:textId="77777777" w:rsidR="00A21DE4" w:rsidRPr="00D064B4" w:rsidRDefault="00A21DE4" w:rsidP="00A21DE4">
      <w:pPr>
        <w:rPr>
          <w:rFonts w:eastAsia="Times New Roman" w:cs="Arial"/>
          <w:sz w:val="24"/>
          <w:szCs w:val="24"/>
          <w:lang w:val="bg-BG"/>
        </w:rPr>
      </w:pPr>
      <w:proofErr w:type="spellStart"/>
      <w:r w:rsidRPr="00D064B4">
        <w:rPr>
          <w:rFonts w:eastAsia="Times New Roman" w:cs="Arial"/>
          <w:b/>
          <w:bCs/>
          <w:color w:val="000000"/>
          <w:lang w:val="bg-BG" w:eastAsia="bg-BG"/>
        </w:rPr>
        <w:t>Деган</w:t>
      </w:r>
      <w:proofErr w:type="spellEnd"/>
      <w:r w:rsidRPr="00D064B4">
        <w:rPr>
          <w:rFonts w:eastAsia="Times New Roman" w:cs="Arial"/>
          <w:b/>
          <w:bCs/>
          <w:color w:val="000000"/>
          <w:lang w:val="bg-BG" w:eastAsia="bg-BG"/>
        </w:rPr>
        <w:t xml:space="preserve"> съдържа лактоза и натрий</w:t>
      </w:r>
    </w:p>
    <w:p w14:paraId="67932756" w14:textId="77777777" w:rsidR="00A21DE4" w:rsidRPr="00D064B4" w:rsidRDefault="00A21DE4" w:rsidP="00A21DE4">
      <w:pPr>
        <w:rPr>
          <w:rFonts w:eastAsia="Times New Roman" w:cs="Arial"/>
          <w:sz w:val="24"/>
          <w:szCs w:val="24"/>
          <w:lang w:val="bg-BG"/>
        </w:rPr>
      </w:pPr>
      <w:r w:rsidRPr="00D064B4">
        <w:rPr>
          <w:rFonts w:eastAsia="Times New Roman" w:cs="Arial"/>
          <w:color w:val="000000"/>
          <w:lang w:val="bg-BG" w:eastAsia="bg-BG"/>
        </w:rPr>
        <w:t xml:space="preserve">Една таблетка </w:t>
      </w:r>
      <w:proofErr w:type="spellStart"/>
      <w:r w:rsidRPr="00D064B4">
        <w:rPr>
          <w:rFonts w:eastAsia="Times New Roman" w:cs="Arial"/>
          <w:color w:val="000000"/>
          <w:lang w:val="bg-BG" w:eastAsia="bg-BG"/>
        </w:rPr>
        <w:t>Деган</w:t>
      </w:r>
      <w:proofErr w:type="spellEnd"/>
      <w:r w:rsidRPr="00D064B4">
        <w:rPr>
          <w:rFonts w:eastAsia="Times New Roman" w:cs="Arial"/>
          <w:color w:val="000000"/>
          <w:lang w:val="bg-BG" w:eastAsia="bg-BG"/>
        </w:rPr>
        <w:t xml:space="preserve"> съдържа 90 </w:t>
      </w:r>
      <w:proofErr w:type="spellStart"/>
      <w:r w:rsidRPr="00D064B4">
        <w:rPr>
          <w:rFonts w:eastAsia="Times New Roman" w:cs="Arial"/>
          <w:color w:val="000000"/>
          <w:lang w:val="bg-BG"/>
        </w:rPr>
        <w:t>mg</w:t>
      </w:r>
      <w:proofErr w:type="spellEnd"/>
      <w:r w:rsidRPr="00D064B4">
        <w:rPr>
          <w:rFonts w:eastAsia="Times New Roman" w:cs="Arial"/>
          <w:color w:val="000000"/>
          <w:lang w:val="bg-BG"/>
        </w:rPr>
        <w:t xml:space="preserve"> </w:t>
      </w:r>
      <w:r w:rsidRPr="00D064B4">
        <w:rPr>
          <w:rFonts w:eastAsia="Times New Roman" w:cs="Arial"/>
          <w:b/>
          <w:bCs/>
          <w:color w:val="000000"/>
          <w:lang w:val="bg-BG" w:eastAsia="bg-BG"/>
        </w:rPr>
        <w:t xml:space="preserve">лактоза. </w:t>
      </w:r>
      <w:r w:rsidRPr="00D064B4">
        <w:rPr>
          <w:rFonts w:eastAsia="Times New Roman" w:cs="Arial"/>
          <w:color w:val="000000"/>
          <w:lang w:val="bg-BG" w:eastAsia="bg-BG"/>
        </w:rPr>
        <w:t xml:space="preserve">Пациенти с редки наследствени проблеми на </w:t>
      </w:r>
      <w:proofErr w:type="spellStart"/>
      <w:r w:rsidRPr="00D064B4">
        <w:rPr>
          <w:rFonts w:eastAsia="Times New Roman" w:cs="Arial"/>
          <w:color w:val="000000"/>
          <w:lang w:val="bg-BG" w:eastAsia="bg-BG"/>
        </w:rPr>
        <w:t>галактозна</w:t>
      </w:r>
      <w:proofErr w:type="spellEnd"/>
      <w:r w:rsidRPr="00D064B4">
        <w:rPr>
          <w:rFonts w:eastAsia="Times New Roman" w:cs="Arial"/>
          <w:color w:val="000000"/>
          <w:lang w:val="bg-BG" w:eastAsia="bg-BG"/>
        </w:rPr>
        <w:t xml:space="preserve"> непоносимост, </w:t>
      </w:r>
      <w:proofErr w:type="spellStart"/>
      <w:r w:rsidRPr="00D064B4">
        <w:rPr>
          <w:rFonts w:eastAsia="Times New Roman" w:cs="Arial"/>
          <w:color w:val="000000"/>
          <w:lang w:val="bg-BG"/>
        </w:rPr>
        <w:t>L</w:t>
      </w:r>
      <w:r w:rsidRPr="00D064B4">
        <w:rPr>
          <w:rFonts w:eastAsia="Times New Roman" w:cs="Arial"/>
          <w:color w:val="000000"/>
          <w:lang w:val="bg-BG" w:eastAsia="bg-BG"/>
        </w:rPr>
        <w:t>арр-лактазна</w:t>
      </w:r>
      <w:proofErr w:type="spellEnd"/>
      <w:r w:rsidRPr="00D064B4">
        <w:rPr>
          <w:rFonts w:eastAsia="Times New Roman" w:cs="Arial"/>
          <w:color w:val="000000"/>
          <w:lang w:val="bg-BG" w:eastAsia="bg-BG"/>
        </w:rPr>
        <w:t xml:space="preserve"> недостатъчност или </w:t>
      </w:r>
      <w:proofErr w:type="spellStart"/>
      <w:r w:rsidRPr="00D064B4">
        <w:rPr>
          <w:rFonts w:eastAsia="Times New Roman" w:cs="Arial"/>
          <w:color w:val="000000"/>
          <w:lang w:val="bg-BG" w:eastAsia="bg-BG"/>
        </w:rPr>
        <w:t>глюкозо-галактозна</w:t>
      </w:r>
      <w:proofErr w:type="spellEnd"/>
      <w:r w:rsidRPr="00D064B4">
        <w:rPr>
          <w:rFonts w:eastAsia="Times New Roman" w:cs="Arial"/>
          <w:color w:val="000000"/>
          <w:lang w:val="bg-BG" w:eastAsia="bg-BG"/>
        </w:rPr>
        <w:t xml:space="preserve"> </w:t>
      </w:r>
      <w:proofErr w:type="spellStart"/>
      <w:r w:rsidRPr="00D064B4">
        <w:rPr>
          <w:rFonts w:eastAsia="Times New Roman" w:cs="Arial"/>
          <w:color w:val="000000"/>
          <w:lang w:val="bg-BG" w:eastAsia="bg-BG"/>
        </w:rPr>
        <w:t>малабсорбция</w:t>
      </w:r>
      <w:proofErr w:type="spellEnd"/>
      <w:r w:rsidRPr="00D064B4">
        <w:rPr>
          <w:rFonts w:eastAsia="Times New Roman" w:cs="Arial"/>
          <w:color w:val="000000"/>
          <w:lang w:val="bg-BG" w:eastAsia="bg-BG"/>
        </w:rPr>
        <w:t xml:space="preserve"> не трябва да приемат този продукт.</w:t>
      </w:r>
    </w:p>
    <w:p w14:paraId="3D8ED19F" w14:textId="77777777" w:rsidR="00A21DE4" w:rsidRPr="00D064B4" w:rsidRDefault="00A21DE4" w:rsidP="00A21DE4">
      <w:pPr>
        <w:rPr>
          <w:rFonts w:eastAsia="Times New Roman" w:cs="Arial"/>
          <w:color w:val="000000"/>
          <w:lang w:val="bg-BG" w:eastAsia="bg-BG"/>
        </w:rPr>
      </w:pPr>
    </w:p>
    <w:p w14:paraId="135903E2" w14:textId="1787532E" w:rsidR="00A21DE4" w:rsidRPr="00D064B4" w:rsidRDefault="00A21DE4" w:rsidP="00A21DE4">
      <w:pPr>
        <w:rPr>
          <w:rFonts w:eastAsia="Times New Roman" w:cs="Arial"/>
          <w:sz w:val="24"/>
          <w:szCs w:val="24"/>
          <w:lang w:val="bg-BG"/>
        </w:rPr>
      </w:pPr>
      <w:r w:rsidRPr="00D064B4">
        <w:rPr>
          <w:rFonts w:eastAsia="Times New Roman" w:cs="Arial"/>
          <w:color w:val="000000"/>
          <w:lang w:val="bg-BG" w:eastAsia="bg-BG"/>
        </w:rPr>
        <w:t xml:space="preserve">Това лекарство съдържа по-малко от 1 </w:t>
      </w:r>
      <w:proofErr w:type="spellStart"/>
      <w:r w:rsidRPr="00D064B4">
        <w:rPr>
          <w:rFonts w:eastAsia="Times New Roman" w:cs="Arial"/>
          <w:color w:val="000000"/>
          <w:lang w:val="bg-BG"/>
        </w:rPr>
        <w:t>mmol</w:t>
      </w:r>
      <w:proofErr w:type="spellEnd"/>
      <w:r w:rsidRPr="00D064B4">
        <w:rPr>
          <w:rFonts w:eastAsia="Times New Roman" w:cs="Arial"/>
          <w:color w:val="000000"/>
          <w:lang w:val="bg-BG"/>
        </w:rPr>
        <w:t xml:space="preserve"> </w:t>
      </w:r>
      <w:r w:rsidRPr="00D064B4">
        <w:rPr>
          <w:rFonts w:eastAsia="Times New Roman" w:cs="Arial"/>
          <w:color w:val="000000"/>
          <w:lang w:val="bg-BG" w:eastAsia="bg-BG"/>
        </w:rPr>
        <w:t xml:space="preserve">натрий (23 </w:t>
      </w:r>
      <w:proofErr w:type="spellStart"/>
      <w:r w:rsidRPr="00D064B4">
        <w:rPr>
          <w:rFonts w:eastAsia="Times New Roman" w:cs="Arial"/>
          <w:color w:val="000000"/>
          <w:lang w:val="bg-BG"/>
        </w:rPr>
        <w:t>mg</w:t>
      </w:r>
      <w:proofErr w:type="spellEnd"/>
      <w:r w:rsidRPr="00D064B4">
        <w:rPr>
          <w:rFonts w:eastAsia="Times New Roman" w:cs="Arial"/>
          <w:color w:val="000000"/>
          <w:lang w:val="bg-BG"/>
        </w:rPr>
        <w:t xml:space="preserve">) </w:t>
      </w:r>
      <w:r w:rsidRPr="00D064B4">
        <w:rPr>
          <w:rFonts w:eastAsia="Times New Roman" w:cs="Arial"/>
          <w:color w:val="000000"/>
          <w:lang w:val="bg-BG" w:eastAsia="bg-BG"/>
        </w:rPr>
        <w:t>в една таблетка, т.е. може да се каже, че практически не съдържа натрий.</w:t>
      </w:r>
    </w:p>
    <w:p w14:paraId="5D962FAF" w14:textId="77777777" w:rsidR="00A21DE4" w:rsidRPr="00D064B4" w:rsidRDefault="00A21DE4" w:rsidP="00605BCA">
      <w:pPr>
        <w:rPr>
          <w:rFonts w:cs="Arial"/>
          <w:b/>
          <w:bCs/>
          <w:lang w:val="bg-BG"/>
        </w:rPr>
      </w:pPr>
    </w:p>
    <w:p w14:paraId="78BEBB3D" w14:textId="2B0C864C" w:rsidR="002C50EE" w:rsidRPr="00D064B4" w:rsidRDefault="002C50EE" w:rsidP="002C50EE">
      <w:pPr>
        <w:pStyle w:val="Heading2"/>
        <w:rPr>
          <w:lang w:val="bg-BG"/>
        </w:rPr>
      </w:pPr>
      <w:r w:rsidRPr="00D064B4">
        <w:rPr>
          <w:lang w:val="bg-BG"/>
        </w:rPr>
        <w:t>4.5. Взаимодействие с други лекарствени продукти и други форми на взаимодействие</w:t>
      </w:r>
    </w:p>
    <w:p w14:paraId="61FF1477" w14:textId="77777777" w:rsidR="00A21DE4" w:rsidRPr="00D064B4" w:rsidRDefault="00A21DE4" w:rsidP="00A21DE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val="bg-BG" w:eastAsia="bg-BG"/>
        </w:rPr>
      </w:pPr>
    </w:p>
    <w:p w14:paraId="70CA2A40" w14:textId="18C894BF" w:rsidR="00A21DE4" w:rsidRPr="00D064B4" w:rsidRDefault="00A21DE4" w:rsidP="00D064B4">
      <w:pPr>
        <w:pStyle w:val="Heading3"/>
        <w:rPr>
          <w:b/>
          <w:bCs/>
          <w:lang w:val="bg-BG"/>
        </w:rPr>
      </w:pPr>
      <w:r w:rsidRPr="00D064B4">
        <w:rPr>
          <w:b/>
          <w:bCs/>
          <w:lang w:val="bg-BG" w:eastAsia="bg-BG"/>
        </w:rPr>
        <w:t>Противопоказани комбинации</w:t>
      </w:r>
    </w:p>
    <w:p w14:paraId="32146CE5" w14:textId="77777777" w:rsidR="00A21DE4" w:rsidRPr="00D064B4" w:rsidRDefault="00A21DE4" w:rsidP="00A21DE4">
      <w:pPr>
        <w:rPr>
          <w:lang w:val="bg-BG" w:eastAsia="bg-BG"/>
        </w:rPr>
      </w:pPr>
    </w:p>
    <w:p w14:paraId="16C3C1C7" w14:textId="11C0F219" w:rsidR="00A21DE4" w:rsidRPr="00D064B4" w:rsidRDefault="00A21DE4" w:rsidP="00A21DE4">
      <w:pPr>
        <w:rPr>
          <w:sz w:val="24"/>
          <w:szCs w:val="24"/>
          <w:lang w:val="bg-BG"/>
        </w:rPr>
      </w:pPr>
      <w:proofErr w:type="spellStart"/>
      <w:r w:rsidRPr="00D064B4">
        <w:rPr>
          <w:lang w:val="bg-BG" w:eastAsia="bg-BG"/>
        </w:rPr>
        <w:lastRenderedPageBreak/>
        <w:t>Леводопа</w:t>
      </w:r>
      <w:proofErr w:type="spellEnd"/>
      <w:r w:rsidRPr="00D064B4">
        <w:rPr>
          <w:lang w:val="bg-BG" w:eastAsia="bg-BG"/>
        </w:rPr>
        <w:t xml:space="preserve"> или </w:t>
      </w:r>
      <w:proofErr w:type="spellStart"/>
      <w:r w:rsidRPr="00D064B4">
        <w:rPr>
          <w:lang w:val="bg-BG" w:eastAsia="bg-BG"/>
        </w:rPr>
        <w:t>допаминергични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агонисти</w:t>
      </w:r>
      <w:proofErr w:type="spellEnd"/>
      <w:r w:rsidRPr="00D064B4">
        <w:rPr>
          <w:lang w:val="bg-BG" w:eastAsia="bg-BG"/>
        </w:rPr>
        <w:t xml:space="preserve"> и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имат взаимен антагонизъм (вж. точка 4.3).</w:t>
      </w:r>
    </w:p>
    <w:p w14:paraId="71CDF850" w14:textId="77777777" w:rsidR="00A21DE4" w:rsidRPr="00D064B4" w:rsidRDefault="00A21DE4" w:rsidP="00A21DE4">
      <w:pPr>
        <w:rPr>
          <w:lang w:val="bg-BG" w:eastAsia="bg-BG"/>
        </w:rPr>
      </w:pPr>
    </w:p>
    <w:p w14:paraId="6EEDB1C0" w14:textId="54A24F6D" w:rsidR="00A21DE4" w:rsidRPr="00D064B4" w:rsidRDefault="00A21DE4" w:rsidP="00D064B4">
      <w:pPr>
        <w:pStyle w:val="Heading3"/>
        <w:rPr>
          <w:b/>
          <w:bCs/>
          <w:lang w:val="bg-BG"/>
        </w:rPr>
      </w:pPr>
      <w:r w:rsidRPr="00D064B4">
        <w:rPr>
          <w:b/>
          <w:bCs/>
          <w:lang w:val="bg-BG" w:eastAsia="bg-BG"/>
        </w:rPr>
        <w:t>Комбинации, които трябва да се избягват</w:t>
      </w:r>
    </w:p>
    <w:p w14:paraId="2FC91760" w14:textId="05BC0E9A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Алкохолът </w:t>
      </w:r>
      <w:proofErr w:type="spellStart"/>
      <w:r w:rsidRPr="00D064B4">
        <w:rPr>
          <w:lang w:val="bg-BG" w:eastAsia="bg-BG"/>
        </w:rPr>
        <w:t>потенцира</w:t>
      </w:r>
      <w:proofErr w:type="spellEnd"/>
      <w:r w:rsidRPr="00D064B4">
        <w:rPr>
          <w:lang w:val="bg-BG" w:eastAsia="bg-BG"/>
        </w:rPr>
        <w:t xml:space="preserve"> седативния ефект на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>.</w:t>
      </w:r>
    </w:p>
    <w:p w14:paraId="5187B7AA" w14:textId="77777777" w:rsidR="00A21DE4" w:rsidRPr="00D064B4" w:rsidRDefault="00A21DE4" w:rsidP="00A21DE4">
      <w:pPr>
        <w:rPr>
          <w:lang w:val="bg-BG" w:eastAsia="bg-BG"/>
        </w:rPr>
      </w:pPr>
      <w:bookmarkStart w:id="2" w:name="bookmark2"/>
    </w:p>
    <w:p w14:paraId="509284D5" w14:textId="0D7B62BD" w:rsidR="00A21DE4" w:rsidRPr="00D064B4" w:rsidRDefault="00A21DE4" w:rsidP="00D064B4">
      <w:pPr>
        <w:pStyle w:val="Heading3"/>
        <w:rPr>
          <w:b/>
          <w:bCs/>
          <w:lang w:val="bg-BG"/>
        </w:rPr>
      </w:pPr>
      <w:r w:rsidRPr="00D064B4">
        <w:rPr>
          <w:b/>
          <w:bCs/>
          <w:lang w:val="bg-BG" w:eastAsia="bg-BG"/>
        </w:rPr>
        <w:t>Комбинации, които трябва да се имат предвид</w:t>
      </w:r>
      <w:bookmarkEnd w:id="2"/>
    </w:p>
    <w:p w14:paraId="1FFEB9BF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Поради </w:t>
      </w:r>
      <w:proofErr w:type="spellStart"/>
      <w:r w:rsidRPr="00D064B4">
        <w:rPr>
          <w:lang w:val="bg-BG" w:eastAsia="bg-BG"/>
        </w:rPr>
        <w:t>прокинетичния</w:t>
      </w:r>
      <w:proofErr w:type="spellEnd"/>
      <w:r w:rsidRPr="00D064B4">
        <w:rPr>
          <w:lang w:val="bg-BG" w:eastAsia="bg-BG"/>
        </w:rPr>
        <w:t xml:space="preserve"> ефект на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>, абсорбцията на някои лекарства може да се промени.</w:t>
      </w:r>
    </w:p>
    <w:p w14:paraId="66060105" w14:textId="77777777" w:rsidR="00A21DE4" w:rsidRPr="00D064B4" w:rsidRDefault="00A21DE4" w:rsidP="00A21DE4">
      <w:pPr>
        <w:rPr>
          <w:i/>
          <w:iCs/>
          <w:lang w:val="bg-BG" w:eastAsia="bg-BG"/>
        </w:rPr>
      </w:pPr>
    </w:p>
    <w:p w14:paraId="0A288A1D" w14:textId="5E9DC7C7" w:rsidR="00A21DE4" w:rsidRPr="00D064B4" w:rsidRDefault="00A21DE4" w:rsidP="00A21DE4">
      <w:pPr>
        <w:rPr>
          <w:sz w:val="24"/>
          <w:szCs w:val="24"/>
          <w:lang w:val="bg-BG"/>
        </w:rPr>
      </w:pPr>
      <w:proofErr w:type="spellStart"/>
      <w:r w:rsidRPr="00D064B4">
        <w:rPr>
          <w:i/>
          <w:iCs/>
          <w:lang w:val="bg-BG" w:eastAsia="bg-BG"/>
        </w:rPr>
        <w:t>Антихолинергици</w:t>
      </w:r>
      <w:proofErr w:type="spellEnd"/>
      <w:r w:rsidRPr="00D064B4">
        <w:rPr>
          <w:i/>
          <w:iCs/>
          <w:lang w:val="bg-BG" w:eastAsia="bg-BG"/>
        </w:rPr>
        <w:t xml:space="preserve"> и </w:t>
      </w:r>
      <w:proofErr w:type="spellStart"/>
      <w:r w:rsidRPr="00D064B4">
        <w:rPr>
          <w:i/>
          <w:iCs/>
          <w:lang w:val="bg-BG" w:eastAsia="bg-BG"/>
        </w:rPr>
        <w:t>морфинови</w:t>
      </w:r>
      <w:proofErr w:type="spellEnd"/>
      <w:r w:rsidRPr="00D064B4">
        <w:rPr>
          <w:i/>
          <w:iCs/>
          <w:lang w:val="bg-BG" w:eastAsia="bg-BG"/>
        </w:rPr>
        <w:t xml:space="preserve"> производни</w:t>
      </w:r>
    </w:p>
    <w:p w14:paraId="50473714" w14:textId="77777777" w:rsidR="00A21DE4" w:rsidRPr="00D064B4" w:rsidRDefault="00A21DE4" w:rsidP="00A21DE4">
      <w:pPr>
        <w:rPr>
          <w:sz w:val="24"/>
          <w:szCs w:val="24"/>
          <w:lang w:val="bg-BG"/>
        </w:rPr>
      </w:pPr>
      <w:proofErr w:type="spellStart"/>
      <w:r w:rsidRPr="00D064B4">
        <w:rPr>
          <w:lang w:val="bg-BG" w:eastAsia="bg-BG"/>
        </w:rPr>
        <w:t>Антихолинергиците</w:t>
      </w:r>
      <w:proofErr w:type="spellEnd"/>
      <w:r w:rsidRPr="00D064B4">
        <w:rPr>
          <w:lang w:val="bg-BG" w:eastAsia="bg-BG"/>
        </w:rPr>
        <w:t xml:space="preserve"> и </w:t>
      </w:r>
      <w:proofErr w:type="spellStart"/>
      <w:r w:rsidRPr="00D064B4">
        <w:rPr>
          <w:lang w:val="bg-BG" w:eastAsia="bg-BG"/>
        </w:rPr>
        <w:t>морфиновите</w:t>
      </w:r>
      <w:proofErr w:type="spellEnd"/>
      <w:r w:rsidRPr="00D064B4">
        <w:rPr>
          <w:lang w:val="bg-BG" w:eastAsia="bg-BG"/>
        </w:rPr>
        <w:t xml:space="preserve"> деривати могат да имат взаимен антагонизъм с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по отношение на </w:t>
      </w:r>
      <w:proofErr w:type="spellStart"/>
      <w:r w:rsidRPr="00D064B4">
        <w:rPr>
          <w:lang w:val="bg-BG" w:eastAsia="bg-BG"/>
        </w:rPr>
        <w:t>мотилитета</w:t>
      </w:r>
      <w:proofErr w:type="spellEnd"/>
      <w:r w:rsidRPr="00D064B4">
        <w:rPr>
          <w:lang w:val="bg-BG" w:eastAsia="bg-BG"/>
        </w:rPr>
        <w:t xml:space="preserve"> на храносмилателния тракт.</w:t>
      </w:r>
    </w:p>
    <w:p w14:paraId="40A44A23" w14:textId="77777777" w:rsidR="00A21DE4" w:rsidRPr="00D064B4" w:rsidRDefault="00A21DE4" w:rsidP="00A21DE4">
      <w:pPr>
        <w:rPr>
          <w:i/>
          <w:iCs/>
          <w:lang w:val="bg-BG" w:eastAsia="bg-BG"/>
        </w:rPr>
      </w:pPr>
    </w:p>
    <w:p w14:paraId="5718CB1D" w14:textId="0F6213F5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i/>
          <w:iCs/>
          <w:lang w:val="bg-BG" w:eastAsia="bg-BG"/>
        </w:rPr>
        <w:t>Лекарства, потискащи централната нервна система (</w:t>
      </w:r>
      <w:proofErr w:type="spellStart"/>
      <w:r w:rsidRPr="00D064B4">
        <w:rPr>
          <w:i/>
          <w:iCs/>
          <w:lang w:val="bg-BG" w:eastAsia="bg-BG"/>
        </w:rPr>
        <w:t>морфинови</w:t>
      </w:r>
      <w:proofErr w:type="spellEnd"/>
      <w:r w:rsidRPr="00D064B4">
        <w:rPr>
          <w:i/>
          <w:iCs/>
          <w:lang w:val="bg-BG" w:eastAsia="bg-BG"/>
        </w:rPr>
        <w:t xml:space="preserve"> производни, </w:t>
      </w:r>
      <w:proofErr w:type="spellStart"/>
      <w:r w:rsidRPr="00D064B4">
        <w:rPr>
          <w:i/>
          <w:iCs/>
          <w:lang w:val="bg-BG" w:eastAsia="bg-BG"/>
        </w:rPr>
        <w:t>анксиолитици</w:t>
      </w:r>
      <w:proofErr w:type="spellEnd"/>
      <w:r w:rsidRPr="00D064B4">
        <w:rPr>
          <w:i/>
          <w:iCs/>
          <w:lang w:val="bg-BG" w:eastAsia="bg-BG"/>
        </w:rPr>
        <w:t xml:space="preserve">, седативни Н1 </w:t>
      </w:r>
      <w:proofErr w:type="spellStart"/>
      <w:r w:rsidRPr="00D064B4">
        <w:rPr>
          <w:i/>
          <w:iCs/>
          <w:lang w:val="bg-BG" w:eastAsia="bg-BG"/>
        </w:rPr>
        <w:t>антихистамини</w:t>
      </w:r>
      <w:proofErr w:type="spellEnd"/>
      <w:r w:rsidRPr="00D064B4">
        <w:rPr>
          <w:i/>
          <w:iCs/>
          <w:lang w:val="bg-BG" w:eastAsia="bg-BG"/>
        </w:rPr>
        <w:t xml:space="preserve">, седативни </w:t>
      </w:r>
      <w:proofErr w:type="spellStart"/>
      <w:r w:rsidRPr="00D064B4">
        <w:rPr>
          <w:i/>
          <w:iCs/>
          <w:lang w:val="bg-BG" w:eastAsia="bg-BG"/>
        </w:rPr>
        <w:t>антидепресанти</w:t>
      </w:r>
      <w:proofErr w:type="spellEnd"/>
      <w:r w:rsidRPr="00D064B4">
        <w:rPr>
          <w:i/>
          <w:iCs/>
          <w:lang w:val="bg-BG" w:eastAsia="bg-BG"/>
        </w:rPr>
        <w:t xml:space="preserve">, </w:t>
      </w:r>
      <w:proofErr w:type="spellStart"/>
      <w:r w:rsidRPr="00D064B4">
        <w:rPr>
          <w:i/>
          <w:iCs/>
          <w:lang w:val="bg-BG" w:eastAsia="bg-BG"/>
        </w:rPr>
        <w:t>барбитурати</w:t>
      </w:r>
      <w:proofErr w:type="spellEnd"/>
      <w:r w:rsidRPr="00D064B4">
        <w:rPr>
          <w:i/>
          <w:iCs/>
          <w:lang w:val="bg-BG" w:eastAsia="bg-BG"/>
        </w:rPr>
        <w:t xml:space="preserve">, </w:t>
      </w:r>
      <w:proofErr w:type="spellStart"/>
      <w:r w:rsidRPr="00D064B4">
        <w:rPr>
          <w:i/>
          <w:iCs/>
          <w:lang w:val="bg-BG" w:eastAsia="bg-BG"/>
        </w:rPr>
        <w:t>клонидин</w:t>
      </w:r>
      <w:proofErr w:type="spellEnd"/>
      <w:r w:rsidRPr="00D064B4">
        <w:rPr>
          <w:i/>
          <w:iCs/>
          <w:lang w:val="bg-BG" w:eastAsia="bg-BG"/>
        </w:rPr>
        <w:t xml:space="preserve"> и подобни)</w:t>
      </w:r>
    </w:p>
    <w:p w14:paraId="6D34F0FF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Седативните ефекти на лекарствата, потискащи централната нервна система и </w:t>
      </w:r>
      <w:proofErr w:type="spellStart"/>
      <w:r w:rsidRPr="00D064B4">
        <w:rPr>
          <w:lang w:val="bg-BG" w:eastAsia="bg-BG"/>
        </w:rPr>
        <w:t>метоклорамид</w:t>
      </w:r>
      <w:proofErr w:type="spellEnd"/>
      <w:r w:rsidRPr="00D064B4">
        <w:rPr>
          <w:lang w:val="bg-BG" w:eastAsia="bg-BG"/>
        </w:rPr>
        <w:t xml:space="preserve"> се </w:t>
      </w:r>
      <w:proofErr w:type="spellStart"/>
      <w:r w:rsidRPr="00D064B4">
        <w:rPr>
          <w:lang w:val="bg-BG" w:eastAsia="bg-BG"/>
        </w:rPr>
        <w:t>потенцират</w:t>
      </w:r>
      <w:proofErr w:type="spellEnd"/>
      <w:r w:rsidRPr="00D064B4">
        <w:rPr>
          <w:lang w:val="bg-BG" w:eastAsia="bg-BG"/>
        </w:rPr>
        <w:t>.</w:t>
      </w:r>
    </w:p>
    <w:p w14:paraId="61D0CC29" w14:textId="77777777" w:rsidR="00A21DE4" w:rsidRPr="00D064B4" w:rsidRDefault="00A21DE4" w:rsidP="00A21DE4">
      <w:pPr>
        <w:rPr>
          <w:i/>
          <w:iCs/>
          <w:lang w:val="bg-BG" w:eastAsia="bg-BG"/>
        </w:rPr>
      </w:pPr>
    </w:p>
    <w:p w14:paraId="230E6232" w14:textId="79BCFA07" w:rsidR="00A21DE4" w:rsidRPr="00D064B4" w:rsidRDefault="00A21DE4" w:rsidP="00A21DE4">
      <w:pPr>
        <w:rPr>
          <w:sz w:val="24"/>
          <w:szCs w:val="24"/>
          <w:lang w:val="bg-BG"/>
        </w:rPr>
      </w:pPr>
      <w:proofErr w:type="spellStart"/>
      <w:r w:rsidRPr="00D064B4">
        <w:rPr>
          <w:i/>
          <w:iCs/>
          <w:lang w:val="bg-BG" w:eastAsia="bg-BG"/>
        </w:rPr>
        <w:t>Невролептици</w:t>
      </w:r>
      <w:proofErr w:type="spellEnd"/>
    </w:p>
    <w:p w14:paraId="79D9DFDE" w14:textId="77777777" w:rsidR="00A21DE4" w:rsidRPr="00D064B4" w:rsidRDefault="00A21DE4" w:rsidP="00A21DE4">
      <w:pPr>
        <w:rPr>
          <w:sz w:val="24"/>
          <w:szCs w:val="24"/>
          <w:lang w:val="bg-BG"/>
        </w:rPr>
      </w:pP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може да има адитивен ефект с други </w:t>
      </w:r>
      <w:proofErr w:type="spellStart"/>
      <w:r w:rsidRPr="00D064B4">
        <w:rPr>
          <w:lang w:val="bg-BG" w:eastAsia="bg-BG"/>
        </w:rPr>
        <w:t>невролептици</w:t>
      </w:r>
      <w:proofErr w:type="spellEnd"/>
      <w:r w:rsidRPr="00D064B4">
        <w:rPr>
          <w:lang w:val="bg-BG" w:eastAsia="bg-BG"/>
        </w:rPr>
        <w:t xml:space="preserve"> по отношение на възникването на </w:t>
      </w:r>
      <w:proofErr w:type="spellStart"/>
      <w:r w:rsidRPr="00D064B4">
        <w:rPr>
          <w:lang w:val="bg-BG" w:eastAsia="bg-BG"/>
        </w:rPr>
        <w:t>ектрапирамидни</w:t>
      </w:r>
      <w:proofErr w:type="spellEnd"/>
      <w:r w:rsidRPr="00D064B4">
        <w:rPr>
          <w:lang w:val="bg-BG" w:eastAsia="bg-BG"/>
        </w:rPr>
        <w:t xml:space="preserve"> нарушения.</w:t>
      </w:r>
    </w:p>
    <w:p w14:paraId="3C54AE66" w14:textId="77777777" w:rsidR="00A21DE4" w:rsidRPr="00D064B4" w:rsidRDefault="00A21DE4" w:rsidP="00A21DE4">
      <w:pPr>
        <w:rPr>
          <w:i/>
          <w:iCs/>
          <w:lang w:val="bg-BG" w:eastAsia="bg-BG"/>
        </w:rPr>
      </w:pPr>
    </w:p>
    <w:p w14:paraId="366E4155" w14:textId="350C84F0" w:rsidR="00A21DE4" w:rsidRPr="00D064B4" w:rsidRDefault="00A21DE4" w:rsidP="00A21DE4">
      <w:pPr>
        <w:rPr>
          <w:sz w:val="24"/>
          <w:szCs w:val="24"/>
          <w:lang w:val="bg-BG"/>
        </w:rPr>
      </w:pPr>
      <w:proofErr w:type="spellStart"/>
      <w:r w:rsidRPr="00D064B4">
        <w:rPr>
          <w:i/>
          <w:iCs/>
          <w:lang w:val="bg-BG" w:eastAsia="bg-BG"/>
        </w:rPr>
        <w:t>Серотонинергични</w:t>
      </w:r>
      <w:proofErr w:type="spellEnd"/>
      <w:r w:rsidRPr="00D064B4">
        <w:rPr>
          <w:i/>
          <w:iCs/>
          <w:lang w:val="bg-BG" w:eastAsia="bg-BG"/>
        </w:rPr>
        <w:t xml:space="preserve"> лекарства</w:t>
      </w:r>
    </w:p>
    <w:p w14:paraId="3ECD331E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Приложението на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със </w:t>
      </w:r>
      <w:proofErr w:type="spellStart"/>
      <w:r w:rsidRPr="00D064B4">
        <w:rPr>
          <w:lang w:val="bg-BG" w:eastAsia="bg-BG"/>
        </w:rPr>
        <w:t>серотонинергични</w:t>
      </w:r>
      <w:proofErr w:type="spellEnd"/>
      <w:r w:rsidRPr="00D064B4">
        <w:rPr>
          <w:lang w:val="bg-BG" w:eastAsia="bg-BG"/>
        </w:rPr>
        <w:t xml:space="preserve"> лекарства, като например </w:t>
      </w:r>
      <w:proofErr w:type="spellStart"/>
      <w:r w:rsidRPr="00D064B4">
        <w:rPr>
          <w:lang w:val="bg-BG"/>
        </w:rPr>
        <w:t>SSRIs</w:t>
      </w:r>
      <w:proofErr w:type="spellEnd"/>
      <w:r w:rsidRPr="00D064B4">
        <w:rPr>
          <w:lang w:val="bg-BG"/>
        </w:rPr>
        <w:t xml:space="preserve"> </w:t>
      </w:r>
      <w:r w:rsidRPr="00D064B4">
        <w:rPr>
          <w:lang w:val="bg-BG" w:eastAsia="bg-BG"/>
        </w:rPr>
        <w:t xml:space="preserve">може да повиши риска от </w:t>
      </w:r>
      <w:proofErr w:type="spellStart"/>
      <w:r w:rsidRPr="00D064B4">
        <w:rPr>
          <w:lang w:val="bg-BG" w:eastAsia="bg-BG"/>
        </w:rPr>
        <w:t>серотонинов</w:t>
      </w:r>
      <w:proofErr w:type="spellEnd"/>
      <w:r w:rsidRPr="00D064B4">
        <w:rPr>
          <w:lang w:val="bg-BG" w:eastAsia="bg-BG"/>
        </w:rPr>
        <w:t xml:space="preserve"> синдром.</w:t>
      </w:r>
    </w:p>
    <w:p w14:paraId="6E93BED3" w14:textId="77777777" w:rsidR="00A21DE4" w:rsidRPr="00D064B4" w:rsidRDefault="00A21DE4" w:rsidP="00A21DE4">
      <w:pPr>
        <w:rPr>
          <w:i/>
          <w:iCs/>
          <w:lang w:val="bg-BG" w:eastAsia="bg-BG"/>
        </w:rPr>
      </w:pPr>
    </w:p>
    <w:p w14:paraId="612EEC8C" w14:textId="22353735" w:rsidR="00A21DE4" w:rsidRPr="00D064B4" w:rsidRDefault="00A21DE4" w:rsidP="00A21DE4">
      <w:pPr>
        <w:rPr>
          <w:sz w:val="24"/>
          <w:szCs w:val="24"/>
          <w:lang w:val="bg-BG"/>
        </w:rPr>
      </w:pPr>
      <w:proofErr w:type="spellStart"/>
      <w:r w:rsidRPr="00D064B4">
        <w:rPr>
          <w:i/>
          <w:iCs/>
          <w:lang w:val="bg-BG" w:eastAsia="bg-BG"/>
        </w:rPr>
        <w:t>Дигоксин</w:t>
      </w:r>
      <w:proofErr w:type="spellEnd"/>
    </w:p>
    <w:p w14:paraId="6035B137" w14:textId="77777777" w:rsidR="00A21DE4" w:rsidRPr="00D064B4" w:rsidRDefault="00A21DE4" w:rsidP="00A21DE4">
      <w:pPr>
        <w:rPr>
          <w:sz w:val="24"/>
          <w:szCs w:val="24"/>
          <w:lang w:val="bg-BG"/>
        </w:rPr>
      </w:pP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може да намали </w:t>
      </w:r>
      <w:proofErr w:type="spellStart"/>
      <w:r w:rsidRPr="00D064B4">
        <w:rPr>
          <w:lang w:val="bg-BG" w:eastAsia="bg-BG"/>
        </w:rPr>
        <w:t>бионаличността</w:t>
      </w:r>
      <w:proofErr w:type="spellEnd"/>
      <w:r w:rsidRPr="00D064B4">
        <w:rPr>
          <w:lang w:val="bg-BG" w:eastAsia="bg-BG"/>
        </w:rPr>
        <w:t xml:space="preserve"> на </w:t>
      </w:r>
      <w:proofErr w:type="spellStart"/>
      <w:r w:rsidRPr="00D064B4">
        <w:rPr>
          <w:lang w:val="bg-BG" w:eastAsia="bg-BG"/>
        </w:rPr>
        <w:t>дигоксин</w:t>
      </w:r>
      <w:proofErr w:type="spellEnd"/>
      <w:r w:rsidRPr="00D064B4">
        <w:rPr>
          <w:lang w:val="bg-BG" w:eastAsia="bg-BG"/>
        </w:rPr>
        <w:t xml:space="preserve">. Изисква се внимателно проследяване на плазмената концентрация на </w:t>
      </w:r>
      <w:proofErr w:type="spellStart"/>
      <w:r w:rsidRPr="00D064B4">
        <w:rPr>
          <w:lang w:val="bg-BG" w:eastAsia="bg-BG"/>
        </w:rPr>
        <w:t>дигоксин</w:t>
      </w:r>
      <w:proofErr w:type="spellEnd"/>
      <w:r w:rsidRPr="00D064B4">
        <w:rPr>
          <w:lang w:val="bg-BG" w:eastAsia="bg-BG"/>
        </w:rPr>
        <w:t>.</w:t>
      </w:r>
    </w:p>
    <w:p w14:paraId="56017F63" w14:textId="77777777" w:rsidR="00A21DE4" w:rsidRPr="00D064B4" w:rsidRDefault="00A21DE4" w:rsidP="00A21DE4">
      <w:pPr>
        <w:rPr>
          <w:i/>
          <w:iCs/>
          <w:lang w:val="bg-BG" w:eastAsia="bg-BG"/>
        </w:rPr>
      </w:pPr>
    </w:p>
    <w:p w14:paraId="06DC7C93" w14:textId="17B35646" w:rsidR="00A21DE4" w:rsidRPr="00D064B4" w:rsidRDefault="00A21DE4" w:rsidP="00A21DE4">
      <w:pPr>
        <w:rPr>
          <w:sz w:val="24"/>
          <w:szCs w:val="24"/>
          <w:lang w:val="bg-BG"/>
        </w:rPr>
      </w:pPr>
      <w:proofErr w:type="spellStart"/>
      <w:r w:rsidRPr="00D064B4">
        <w:rPr>
          <w:i/>
          <w:iCs/>
          <w:lang w:val="bg-BG" w:eastAsia="bg-BG"/>
        </w:rPr>
        <w:t>Циклосоприн</w:t>
      </w:r>
      <w:proofErr w:type="spellEnd"/>
    </w:p>
    <w:p w14:paraId="53A3D4F7" w14:textId="77777777" w:rsidR="00A21DE4" w:rsidRPr="00D064B4" w:rsidRDefault="00A21DE4" w:rsidP="00A21DE4">
      <w:pPr>
        <w:rPr>
          <w:sz w:val="24"/>
          <w:szCs w:val="24"/>
          <w:lang w:val="bg-BG"/>
        </w:rPr>
      </w:pP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повишава </w:t>
      </w:r>
      <w:proofErr w:type="spellStart"/>
      <w:r w:rsidRPr="00D064B4">
        <w:rPr>
          <w:lang w:val="bg-BG" w:eastAsia="bg-BG"/>
        </w:rPr>
        <w:t>бионаличността</w:t>
      </w:r>
      <w:proofErr w:type="spellEnd"/>
      <w:r w:rsidRPr="00D064B4">
        <w:rPr>
          <w:lang w:val="bg-BG" w:eastAsia="bg-BG"/>
        </w:rPr>
        <w:t xml:space="preserve"> на </w:t>
      </w:r>
      <w:proofErr w:type="spellStart"/>
      <w:r w:rsidRPr="00D064B4">
        <w:rPr>
          <w:lang w:val="bg-BG" w:eastAsia="bg-BG"/>
        </w:rPr>
        <w:t>циклоспорин</w:t>
      </w:r>
      <w:proofErr w:type="spellEnd"/>
      <w:r w:rsidRPr="00D064B4">
        <w:rPr>
          <w:lang w:val="bg-BG" w:eastAsia="bg-BG"/>
        </w:rPr>
        <w:t xml:space="preserve"> (</w:t>
      </w:r>
      <w:proofErr w:type="spellStart"/>
      <w:r w:rsidRPr="00D064B4">
        <w:rPr>
          <w:lang w:val="bg-BG" w:eastAsia="bg-BG"/>
        </w:rPr>
        <w:t>Стах</w:t>
      </w:r>
      <w:proofErr w:type="spellEnd"/>
      <w:r w:rsidRPr="00D064B4">
        <w:rPr>
          <w:lang w:val="bg-BG" w:eastAsia="bg-BG"/>
        </w:rPr>
        <w:t xml:space="preserve"> с 46% и експозицията с 22%). Изисква се внимателно проследяване на плазмената концентрация на циклоспорин.</w:t>
      </w:r>
    </w:p>
    <w:p w14:paraId="4F2DDF19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Клиничните последствия са неясни.</w:t>
      </w:r>
    </w:p>
    <w:p w14:paraId="2E584749" w14:textId="77777777" w:rsidR="00A21DE4" w:rsidRPr="00D064B4" w:rsidRDefault="00A21DE4" w:rsidP="00A21DE4">
      <w:pPr>
        <w:rPr>
          <w:i/>
          <w:iCs/>
          <w:lang w:val="bg-BG" w:eastAsia="bg-BG"/>
        </w:rPr>
      </w:pPr>
    </w:p>
    <w:p w14:paraId="2DD493FB" w14:textId="41A692BD" w:rsidR="00A21DE4" w:rsidRPr="00D064B4" w:rsidRDefault="00A21DE4" w:rsidP="00A21DE4">
      <w:pPr>
        <w:rPr>
          <w:sz w:val="24"/>
          <w:szCs w:val="24"/>
          <w:lang w:val="bg-BG"/>
        </w:rPr>
      </w:pPr>
      <w:proofErr w:type="spellStart"/>
      <w:r w:rsidRPr="00D064B4">
        <w:rPr>
          <w:i/>
          <w:iCs/>
          <w:lang w:val="bg-BG" w:eastAsia="bg-BG"/>
        </w:rPr>
        <w:t>Мивакуриум</w:t>
      </w:r>
      <w:proofErr w:type="spellEnd"/>
      <w:r w:rsidRPr="00D064B4">
        <w:rPr>
          <w:i/>
          <w:iCs/>
          <w:lang w:val="bg-BG" w:eastAsia="bg-BG"/>
        </w:rPr>
        <w:t xml:space="preserve"> и </w:t>
      </w:r>
      <w:proofErr w:type="spellStart"/>
      <w:r w:rsidRPr="00D064B4">
        <w:rPr>
          <w:i/>
          <w:iCs/>
          <w:lang w:val="bg-BG" w:eastAsia="bg-BG"/>
        </w:rPr>
        <w:t>суксаметониум</w:t>
      </w:r>
      <w:proofErr w:type="spellEnd"/>
    </w:p>
    <w:p w14:paraId="7F944D71" w14:textId="1280EF81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Инжектиране на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може да удължи продължителността на </w:t>
      </w:r>
      <w:proofErr w:type="spellStart"/>
      <w:r w:rsidRPr="00D064B4">
        <w:rPr>
          <w:lang w:val="bg-BG" w:eastAsia="bg-BG"/>
        </w:rPr>
        <w:t>невромускулната</w:t>
      </w:r>
      <w:proofErr w:type="spellEnd"/>
      <w:r w:rsidRPr="00D064B4">
        <w:rPr>
          <w:lang w:val="bg-BG" w:eastAsia="bg-BG"/>
        </w:rPr>
        <w:t xml:space="preserve"> блокада (чрез </w:t>
      </w:r>
      <w:proofErr w:type="spellStart"/>
      <w:r w:rsidRPr="00D064B4">
        <w:rPr>
          <w:lang w:val="bg-BG" w:eastAsia="bg-BG"/>
        </w:rPr>
        <w:t>инхибиране</w:t>
      </w:r>
      <w:proofErr w:type="spellEnd"/>
      <w:r w:rsidRPr="00D064B4">
        <w:rPr>
          <w:lang w:val="bg-BG" w:eastAsia="bg-BG"/>
        </w:rPr>
        <w:t xml:space="preserve"> на плазмената </w:t>
      </w:r>
      <w:proofErr w:type="spellStart"/>
      <w:r w:rsidRPr="00D064B4">
        <w:rPr>
          <w:lang w:val="bg-BG" w:eastAsia="bg-BG"/>
        </w:rPr>
        <w:t>холинестераза</w:t>
      </w:r>
      <w:proofErr w:type="spellEnd"/>
      <w:r w:rsidRPr="00D064B4">
        <w:rPr>
          <w:lang w:val="bg-BG" w:eastAsia="bg-BG"/>
        </w:rPr>
        <w:t>).</w:t>
      </w:r>
    </w:p>
    <w:p w14:paraId="00707EE3" w14:textId="77777777" w:rsidR="00A21DE4" w:rsidRPr="00D064B4" w:rsidRDefault="00A21DE4" w:rsidP="00A21DE4">
      <w:pPr>
        <w:rPr>
          <w:i/>
          <w:iCs/>
          <w:lang w:val="bg-BG" w:eastAsia="bg-BG"/>
        </w:rPr>
      </w:pPr>
    </w:p>
    <w:p w14:paraId="776BD957" w14:textId="71870029" w:rsidR="00A21DE4" w:rsidRPr="00D064B4" w:rsidRDefault="00A21DE4" w:rsidP="00A21DE4">
      <w:pPr>
        <w:rPr>
          <w:i/>
          <w:iCs/>
          <w:lang w:val="bg-BG" w:eastAsia="bg-BG"/>
        </w:rPr>
      </w:pPr>
      <w:r w:rsidRPr="00D064B4">
        <w:rPr>
          <w:i/>
          <w:iCs/>
          <w:lang w:val="bg-BG" w:eastAsia="bg-BG"/>
        </w:rPr>
        <w:t xml:space="preserve">Мощни </w:t>
      </w:r>
      <w:r w:rsidRPr="00D064B4">
        <w:rPr>
          <w:i/>
          <w:iCs/>
          <w:lang w:val="bg-BG"/>
        </w:rPr>
        <w:t xml:space="preserve">CYP2D6 </w:t>
      </w:r>
      <w:proofErr w:type="spellStart"/>
      <w:r w:rsidRPr="00D064B4">
        <w:rPr>
          <w:i/>
          <w:iCs/>
          <w:lang w:val="bg-BG" w:eastAsia="bg-BG"/>
        </w:rPr>
        <w:t>инхибитпори</w:t>
      </w:r>
      <w:proofErr w:type="spellEnd"/>
    </w:p>
    <w:p w14:paraId="631E094C" w14:textId="3DB80D3A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/>
        </w:rPr>
        <w:t xml:space="preserve">Нивата на експозиция на </w:t>
      </w:r>
      <w:proofErr w:type="spellStart"/>
      <w:r w:rsidRPr="00D064B4">
        <w:rPr>
          <w:lang w:val="bg-BG"/>
        </w:rPr>
        <w:t>метоклопрамид</w:t>
      </w:r>
      <w:proofErr w:type="spellEnd"/>
      <w:r w:rsidRPr="00D064B4">
        <w:rPr>
          <w:lang w:val="bg-BG"/>
        </w:rPr>
        <w:t xml:space="preserve"> са повишени, </w:t>
      </w:r>
      <w:proofErr w:type="spellStart"/>
      <w:r w:rsidRPr="00D064B4">
        <w:rPr>
          <w:lang w:val="bg-BG"/>
        </w:rPr>
        <w:t>когаго</w:t>
      </w:r>
      <w:proofErr w:type="spellEnd"/>
      <w:r w:rsidRPr="00D064B4">
        <w:rPr>
          <w:lang w:val="bg-BG"/>
        </w:rPr>
        <w:t xml:space="preserve"> се прилага заедно с мощни CYP2D6 </w:t>
      </w:r>
      <w:proofErr w:type="spellStart"/>
      <w:r w:rsidRPr="00D064B4">
        <w:rPr>
          <w:lang w:val="bg-BG"/>
        </w:rPr>
        <w:t>инхибитори</w:t>
      </w:r>
      <w:proofErr w:type="spellEnd"/>
      <w:r w:rsidRPr="00D064B4">
        <w:rPr>
          <w:lang w:val="bg-BG"/>
        </w:rPr>
        <w:t xml:space="preserve"> като например </w:t>
      </w:r>
      <w:proofErr w:type="spellStart"/>
      <w:r w:rsidRPr="00D064B4">
        <w:rPr>
          <w:lang w:val="bg-BG"/>
        </w:rPr>
        <w:t>флуоксетин</w:t>
      </w:r>
      <w:proofErr w:type="spellEnd"/>
      <w:r w:rsidRPr="00D064B4">
        <w:rPr>
          <w:lang w:val="bg-BG"/>
        </w:rPr>
        <w:t xml:space="preserve"> и </w:t>
      </w:r>
      <w:proofErr w:type="spellStart"/>
      <w:r w:rsidRPr="00D064B4">
        <w:rPr>
          <w:lang w:val="bg-BG"/>
        </w:rPr>
        <w:t>пароксетин</w:t>
      </w:r>
      <w:proofErr w:type="spellEnd"/>
      <w:r w:rsidRPr="00D064B4">
        <w:rPr>
          <w:lang w:val="bg-BG"/>
        </w:rPr>
        <w:t>. Въпреки че клиничната значимост е неясна, пациентите трябва да бъдат наблюдавани за нежелани реакции.</w:t>
      </w:r>
    </w:p>
    <w:p w14:paraId="1A88DAAB" w14:textId="7F7DD104" w:rsidR="00A21DE4" w:rsidRPr="00D064B4" w:rsidRDefault="00A21DE4" w:rsidP="00A21DE4">
      <w:pPr>
        <w:rPr>
          <w:lang w:val="bg-BG"/>
        </w:rPr>
      </w:pPr>
    </w:p>
    <w:p w14:paraId="48221AB5" w14:textId="16A538C4" w:rsidR="002C50EE" w:rsidRPr="00D064B4" w:rsidRDefault="002C50EE" w:rsidP="002C50EE">
      <w:pPr>
        <w:pStyle w:val="Heading2"/>
        <w:rPr>
          <w:lang w:val="bg-BG"/>
        </w:rPr>
      </w:pPr>
      <w:r w:rsidRPr="00D064B4">
        <w:rPr>
          <w:lang w:val="bg-BG"/>
        </w:rPr>
        <w:lastRenderedPageBreak/>
        <w:t>4.6. Фертилитет, бременност и кърмене</w:t>
      </w:r>
    </w:p>
    <w:p w14:paraId="3B62C1B2" w14:textId="77777777" w:rsidR="00A21DE4" w:rsidRPr="00D064B4" w:rsidRDefault="00A21DE4" w:rsidP="00A21DE4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val="bg-BG" w:eastAsia="bg-BG"/>
        </w:rPr>
      </w:pPr>
    </w:p>
    <w:p w14:paraId="1444DD20" w14:textId="24C1D706" w:rsidR="00A21DE4" w:rsidRPr="00D064B4" w:rsidRDefault="00A21DE4" w:rsidP="00A21DE4">
      <w:pPr>
        <w:pStyle w:val="Heading3"/>
        <w:rPr>
          <w:rFonts w:eastAsia="Times New Roman"/>
          <w:u w:val="single"/>
          <w:lang w:val="bg-BG"/>
        </w:rPr>
      </w:pPr>
      <w:r w:rsidRPr="00D064B4">
        <w:rPr>
          <w:rFonts w:eastAsia="Times New Roman"/>
          <w:u w:val="single"/>
          <w:lang w:val="bg-BG" w:eastAsia="bg-BG"/>
        </w:rPr>
        <w:t>Бременност</w:t>
      </w:r>
    </w:p>
    <w:p w14:paraId="30E3E0D4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Голямо количество данни при бременни жени (изход при повече от 1000 експозиции) не показва </w:t>
      </w:r>
      <w:proofErr w:type="spellStart"/>
      <w:r w:rsidRPr="00D064B4">
        <w:rPr>
          <w:lang w:val="bg-BG" w:eastAsia="bg-BG"/>
        </w:rPr>
        <w:t>малформативна</w:t>
      </w:r>
      <w:proofErr w:type="spellEnd"/>
      <w:r w:rsidRPr="00D064B4">
        <w:rPr>
          <w:lang w:val="bg-BG" w:eastAsia="bg-BG"/>
        </w:rPr>
        <w:t xml:space="preserve"> токсичност, мито </w:t>
      </w:r>
      <w:proofErr w:type="spellStart"/>
      <w:r w:rsidRPr="00D064B4">
        <w:rPr>
          <w:lang w:val="bg-BG" w:eastAsia="bg-BG"/>
        </w:rPr>
        <w:t>фетотоксичност</w:t>
      </w:r>
      <w:proofErr w:type="spellEnd"/>
      <w:r w:rsidRPr="00D064B4">
        <w:rPr>
          <w:lang w:val="bg-BG" w:eastAsia="bg-BG"/>
        </w:rPr>
        <w:t xml:space="preserve">.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може да се прилага по време на бременност, ако е клинично необходимо. Поради фармакологичните свойства (като други </w:t>
      </w:r>
      <w:proofErr w:type="spellStart"/>
      <w:r w:rsidRPr="00D064B4">
        <w:rPr>
          <w:lang w:val="bg-BG" w:eastAsia="bg-BG"/>
        </w:rPr>
        <w:t>невролептици</w:t>
      </w:r>
      <w:proofErr w:type="spellEnd"/>
      <w:r w:rsidRPr="00D064B4">
        <w:rPr>
          <w:lang w:val="bg-BG" w:eastAsia="bg-BG"/>
        </w:rPr>
        <w:t xml:space="preserve">), в случай на приложение на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в края на бременността, не може да се изключи </w:t>
      </w:r>
      <w:proofErr w:type="spellStart"/>
      <w:r w:rsidRPr="00D064B4">
        <w:rPr>
          <w:lang w:val="bg-BG" w:eastAsia="bg-BG"/>
        </w:rPr>
        <w:t>екстрапирамиден</w:t>
      </w:r>
      <w:proofErr w:type="spellEnd"/>
      <w:r w:rsidRPr="00D064B4">
        <w:rPr>
          <w:lang w:val="bg-BG" w:eastAsia="bg-BG"/>
        </w:rPr>
        <w:t xml:space="preserve"> синдром при новороденото. Употребата на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в края на бременността трябва да се избягва. Ако се прилага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, трябва да се предприеме наблюдение в </w:t>
      </w:r>
      <w:proofErr w:type="spellStart"/>
      <w:r w:rsidRPr="00D064B4">
        <w:rPr>
          <w:lang w:val="bg-BG" w:eastAsia="bg-BG"/>
        </w:rPr>
        <w:t>неонаталния</w:t>
      </w:r>
      <w:proofErr w:type="spellEnd"/>
      <w:r w:rsidRPr="00D064B4">
        <w:rPr>
          <w:lang w:val="bg-BG" w:eastAsia="bg-BG"/>
        </w:rPr>
        <w:t xml:space="preserve"> период.</w:t>
      </w:r>
    </w:p>
    <w:p w14:paraId="5AE865C1" w14:textId="77777777" w:rsidR="00A21DE4" w:rsidRPr="00D064B4" w:rsidRDefault="00A21DE4" w:rsidP="00A21DE4">
      <w:pPr>
        <w:rPr>
          <w:lang w:val="bg-BG" w:eastAsia="bg-BG"/>
        </w:rPr>
      </w:pPr>
    </w:p>
    <w:p w14:paraId="3134F471" w14:textId="56AD8C33" w:rsidR="00A21DE4" w:rsidRPr="00D064B4" w:rsidRDefault="00A21DE4" w:rsidP="00A21DE4">
      <w:pPr>
        <w:pStyle w:val="Heading3"/>
        <w:rPr>
          <w:rFonts w:eastAsia="Times New Roman"/>
          <w:u w:val="single"/>
          <w:lang w:val="bg-BG"/>
        </w:rPr>
      </w:pPr>
      <w:r w:rsidRPr="00D064B4">
        <w:rPr>
          <w:rFonts w:eastAsia="Times New Roman"/>
          <w:u w:val="single"/>
          <w:lang w:val="bg-BG" w:eastAsia="bg-BG"/>
        </w:rPr>
        <w:t>Кърмене</w:t>
      </w:r>
    </w:p>
    <w:p w14:paraId="57925B35" w14:textId="77777777" w:rsidR="00A21DE4" w:rsidRPr="00D064B4" w:rsidRDefault="00A21DE4" w:rsidP="00A21DE4">
      <w:pPr>
        <w:rPr>
          <w:sz w:val="24"/>
          <w:szCs w:val="24"/>
          <w:lang w:val="bg-BG"/>
        </w:rPr>
      </w:pP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се </w:t>
      </w:r>
      <w:proofErr w:type="spellStart"/>
      <w:r w:rsidRPr="00D064B4">
        <w:rPr>
          <w:lang w:val="bg-BG" w:eastAsia="bg-BG"/>
        </w:rPr>
        <w:t>екскретира</w:t>
      </w:r>
      <w:proofErr w:type="spellEnd"/>
      <w:r w:rsidRPr="00D064B4">
        <w:rPr>
          <w:lang w:val="bg-BG" w:eastAsia="bg-BG"/>
        </w:rPr>
        <w:t xml:space="preserve"> в кърмата в ниска степен. Не могат да бъдат изключени нежелани реакции при кърмачето. Поради това,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не се препоръчва по време на кърмене. Трябва да се обмисли спиране на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при кърмещи жени.</w:t>
      </w:r>
    </w:p>
    <w:p w14:paraId="5B7F87C0" w14:textId="77777777" w:rsidR="00A21DE4" w:rsidRPr="00D064B4" w:rsidRDefault="00A21DE4" w:rsidP="00A21DE4">
      <w:pPr>
        <w:rPr>
          <w:lang w:val="bg-BG"/>
        </w:rPr>
      </w:pPr>
    </w:p>
    <w:p w14:paraId="5F675BDB" w14:textId="2094862A" w:rsidR="002C50EE" w:rsidRPr="00D064B4" w:rsidRDefault="002C50EE" w:rsidP="002C50EE">
      <w:pPr>
        <w:pStyle w:val="Heading2"/>
        <w:rPr>
          <w:lang w:val="bg-BG"/>
        </w:rPr>
      </w:pPr>
      <w:r w:rsidRPr="00D064B4">
        <w:rPr>
          <w:lang w:val="bg-BG"/>
        </w:rPr>
        <w:t>4.7. Ефекти върху способността за шофиране и работа с машини</w:t>
      </w:r>
    </w:p>
    <w:p w14:paraId="16D8C548" w14:textId="77777777" w:rsidR="00A21DE4" w:rsidRPr="00D064B4" w:rsidRDefault="00A21DE4" w:rsidP="00A21DE4">
      <w:pPr>
        <w:rPr>
          <w:lang w:val="bg-BG"/>
        </w:rPr>
      </w:pPr>
    </w:p>
    <w:p w14:paraId="7CEBC60E" w14:textId="1515142E" w:rsidR="00A21DE4" w:rsidRPr="00D064B4" w:rsidRDefault="00A21DE4" w:rsidP="00A21DE4">
      <w:pPr>
        <w:rPr>
          <w:lang w:val="bg-BG"/>
        </w:rPr>
      </w:pPr>
      <w:proofErr w:type="spellStart"/>
      <w:r w:rsidRPr="00D064B4">
        <w:rPr>
          <w:lang w:val="bg-BG"/>
        </w:rPr>
        <w:t>Деган</w:t>
      </w:r>
      <w:proofErr w:type="spellEnd"/>
      <w:r w:rsidRPr="00D064B4">
        <w:rPr>
          <w:lang w:val="bg-BG"/>
        </w:rPr>
        <w:t xml:space="preserve"> може да предизвика сънливост, умора и замаяност, замаяност, </w:t>
      </w:r>
      <w:proofErr w:type="spellStart"/>
      <w:r w:rsidRPr="00D064B4">
        <w:rPr>
          <w:lang w:val="bg-BG"/>
        </w:rPr>
        <w:t>дискинезия</w:t>
      </w:r>
      <w:proofErr w:type="spellEnd"/>
      <w:r w:rsidRPr="00D064B4">
        <w:rPr>
          <w:lang w:val="bg-BG"/>
        </w:rPr>
        <w:t xml:space="preserve"> и </w:t>
      </w:r>
      <w:proofErr w:type="spellStart"/>
      <w:r w:rsidRPr="00D064B4">
        <w:rPr>
          <w:lang w:val="bg-BG"/>
        </w:rPr>
        <w:t>дистония</w:t>
      </w:r>
      <w:proofErr w:type="spellEnd"/>
      <w:r w:rsidRPr="00D064B4">
        <w:rPr>
          <w:lang w:val="bg-BG"/>
        </w:rPr>
        <w:t xml:space="preserve">, която може да засегне зрението. Лекарят и фармацевтът трябва да уведомят пациента, че </w:t>
      </w:r>
      <w:proofErr w:type="spellStart"/>
      <w:r w:rsidRPr="00D064B4">
        <w:rPr>
          <w:lang w:val="bg-BG"/>
        </w:rPr>
        <w:t>метоклопрамид</w:t>
      </w:r>
      <w:proofErr w:type="spellEnd"/>
      <w:r w:rsidRPr="00D064B4">
        <w:rPr>
          <w:lang w:val="bg-BG"/>
        </w:rPr>
        <w:t xml:space="preserve"> може да наруши умствената и/или физическа способност за шофиране или работа с машини, особено в комбинация с алкохол и седативни лекарствени продукти.</w:t>
      </w:r>
    </w:p>
    <w:p w14:paraId="64B3E4F4" w14:textId="77777777" w:rsidR="00A21DE4" w:rsidRPr="00D064B4" w:rsidRDefault="00A21DE4" w:rsidP="00A21DE4">
      <w:pPr>
        <w:rPr>
          <w:lang w:val="bg-BG"/>
        </w:rPr>
      </w:pPr>
    </w:p>
    <w:p w14:paraId="1B3BD30D" w14:textId="64633FFA" w:rsidR="002C50EE" w:rsidRPr="00D064B4" w:rsidRDefault="002C50EE" w:rsidP="002C50EE">
      <w:pPr>
        <w:pStyle w:val="Heading2"/>
        <w:rPr>
          <w:lang w:val="bg-BG"/>
        </w:rPr>
      </w:pPr>
      <w:r w:rsidRPr="00D064B4">
        <w:rPr>
          <w:lang w:val="bg-BG"/>
        </w:rPr>
        <w:t>4.8. Нежелани лекарствени реакции</w:t>
      </w:r>
    </w:p>
    <w:p w14:paraId="1ACBCBFE" w14:textId="77777777" w:rsidR="00A21DE4" w:rsidRPr="00D064B4" w:rsidRDefault="00A21DE4" w:rsidP="00A21DE4">
      <w:pPr>
        <w:rPr>
          <w:lang w:val="bg-BG" w:eastAsia="bg-BG"/>
        </w:rPr>
      </w:pPr>
    </w:p>
    <w:p w14:paraId="2B6CE565" w14:textId="7E8A4D7E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Честотата на нежеланите реакции се определя със следните дефиниции:</w:t>
      </w:r>
    </w:p>
    <w:p w14:paraId="0BA92704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Много чести (</w:t>
      </w:r>
      <w:r w:rsidRPr="00D064B4">
        <w:rPr>
          <w:lang w:val="bg-BG"/>
        </w:rPr>
        <w:t>≥</w:t>
      </w:r>
      <w:r w:rsidRPr="00D064B4">
        <w:rPr>
          <w:lang w:val="bg-BG" w:eastAsia="bg-BG"/>
        </w:rPr>
        <w:t>1/10)</w:t>
      </w:r>
    </w:p>
    <w:p w14:paraId="734A7754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Чести (</w:t>
      </w:r>
      <w:r w:rsidRPr="00D064B4">
        <w:rPr>
          <w:lang w:val="bg-BG"/>
        </w:rPr>
        <w:t>≥</w:t>
      </w:r>
      <w:r w:rsidRPr="00D064B4">
        <w:rPr>
          <w:lang w:val="bg-BG" w:eastAsia="bg-BG"/>
        </w:rPr>
        <w:t>1/100 до &lt; 1/10)</w:t>
      </w:r>
    </w:p>
    <w:p w14:paraId="0AD0B82C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Нечести (</w:t>
      </w:r>
      <w:r w:rsidRPr="00D064B4">
        <w:rPr>
          <w:lang w:val="bg-BG"/>
        </w:rPr>
        <w:t>≥</w:t>
      </w:r>
      <w:r w:rsidRPr="00D064B4">
        <w:rPr>
          <w:lang w:val="bg-BG" w:eastAsia="bg-BG"/>
        </w:rPr>
        <w:t>1/1000 до &lt; 1/100)</w:t>
      </w:r>
    </w:p>
    <w:p w14:paraId="04361DC5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Редки (</w:t>
      </w:r>
      <w:r w:rsidRPr="00D064B4">
        <w:rPr>
          <w:lang w:val="bg-BG"/>
        </w:rPr>
        <w:t>≥</w:t>
      </w:r>
      <w:r w:rsidRPr="00D064B4">
        <w:rPr>
          <w:lang w:val="bg-BG" w:eastAsia="bg-BG"/>
        </w:rPr>
        <w:t>1/10 000 до &lt; 1/1 000)</w:t>
      </w:r>
    </w:p>
    <w:p w14:paraId="2B20C15F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Много редки (&lt; 1/10 000)</w:t>
      </w:r>
    </w:p>
    <w:p w14:paraId="22A712D5" w14:textId="77777777" w:rsidR="00A21DE4" w:rsidRPr="00D064B4" w:rsidRDefault="00A21DE4" w:rsidP="00A21DE4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С неизвестна честота (не може да бъде определена от наличните данни)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86"/>
        <w:gridCol w:w="4675"/>
      </w:tblGrid>
      <w:tr w:rsidR="00A21DE4" w:rsidRPr="00D064B4" w14:paraId="0077383E" w14:textId="77777777" w:rsidTr="00A21DE4">
        <w:tc>
          <w:tcPr>
            <w:tcW w:w="2689" w:type="dxa"/>
            <w:vAlign w:val="bottom"/>
          </w:tcPr>
          <w:p w14:paraId="78B88286" w14:textId="7E29A874" w:rsidR="00A21DE4" w:rsidRPr="00D064B4" w:rsidRDefault="00A21DE4" w:rsidP="00A21DE4">
            <w:pPr>
              <w:rPr>
                <w:b/>
                <w:bCs/>
                <w:lang w:val="bg-BG"/>
              </w:rPr>
            </w:pPr>
            <w:proofErr w:type="spellStart"/>
            <w:r w:rsidRPr="00D064B4">
              <w:rPr>
                <w:b/>
                <w:bCs/>
                <w:lang w:val="bg-BG"/>
              </w:rPr>
              <w:t>Системо-органен</w:t>
            </w:r>
            <w:proofErr w:type="spellEnd"/>
            <w:r w:rsidRPr="00D064B4">
              <w:rPr>
                <w:b/>
                <w:bCs/>
                <w:lang w:val="bg-BG"/>
              </w:rPr>
              <w:t xml:space="preserve"> клас</w:t>
            </w:r>
          </w:p>
        </w:tc>
        <w:tc>
          <w:tcPr>
            <w:tcW w:w="1986" w:type="dxa"/>
            <w:vAlign w:val="bottom"/>
          </w:tcPr>
          <w:p w14:paraId="70EB40B5" w14:textId="1F306CE5" w:rsidR="00A21DE4" w:rsidRPr="00D064B4" w:rsidRDefault="00A21DE4" w:rsidP="00A21DE4">
            <w:pPr>
              <w:rPr>
                <w:b/>
                <w:bCs/>
                <w:lang w:val="bg-BG"/>
              </w:rPr>
            </w:pPr>
            <w:r w:rsidRPr="00D064B4">
              <w:rPr>
                <w:b/>
                <w:bCs/>
                <w:lang w:val="bg-BG"/>
              </w:rPr>
              <w:t>Честота</w:t>
            </w:r>
          </w:p>
        </w:tc>
        <w:tc>
          <w:tcPr>
            <w:tcW w:w="4675" w:type="dxa"/>
            <w:vAlign w:val="bottom"/>
          </w:tcPr>
          <w:p w14:paraId="0C1E462F" w14:textId="1FCE3F52" w:rsidR="00A21DE4" w:rsidRPr="00D064B4" w:rsidRDefault="00A21DE4" w:rsidP="00A21DE4">
            <w:pPr>
              <w:rPr>
                <w:b/>
                <w:bCs/>
                <w:lang w:val="bg-BG"/>
              </w:rPr>
            </w:pPr>
            <w:r w:rsidRPr="00D064B4">
              <w:rPr>
                <w:b/>
                <w:bCs/>
                <w:lang w:val="bg-BG"/>
              </w:rPr>
              <w:t>Нежелани лекарствени реакции</w:t>
            </w:r>
          </w:p>
        </w:tc>
      </w:tr>
      <w:tr w:rsidR="00A21DE4" w:rsidRPr="00D064B4" w14:paraId="4A072D99" w14:textId="77777777" w:rsidTr="00745207">
        <w:tc>
          <w:tcPr>
            <w:tcW w:w="9350" w:type="dxa"/>
            <w:gridSpan w:val="3"/>
          </w:tcPr>
          <w:p w14:paraId="60662786" w14:textId="7508F004" w:rsidR="00A21DE4" w:rsidRPr="00D064B4" w:rsidRDefault="00A21DE4" w:rsidP="00A21DE4">
            <w:pPr>
              <w:rPr>
                <w:b/>
                <w:bCs/>
                <w:lang w:val="bg-BG"/>
              </w:rPr>
            </w:pPr>
            <w:r w:rsidRPr="00D064B4">
              <w:rPr>
                <w:b/>
                <w:bCs/>
                <w:lang w:val="bg-BG"/>
              </w:rPr>
              <w:t>Нарушения на кръвта и лимфната система</w:t>
            </w:r>
          </w:p>
        </w:tc>
      </w:tr>
      <w:tr w:rsidR="00A21DE4" w:rsidRPr="00D064B4" w14:paraId="0CC3998B" w14:textId="77777777" w:rsidTr="00471922">
        <w:tc>
          <w:tcPr>
            <w:tcW w:w="4675" w:type="dxa"/>
            <w:gridSpan w:val="2"/>
          </w:tcPr>
          <w:p w14:paraId="106D3255" w14:textId="6DFF581D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С неизвестна честота</w:t>
            </w:r>
          </w:p>
        </w:tc>
        <w:tc>
          <w:tcPr>
            <w:tcW w:w="4675" w:type="dxa"/>
            <w:vAlign w:val="bottom"/>
          </w:tcPr>
          <w:p w14:paraId="4830A1FF" w14:textId="77E44139" w:rsidR="00A21DE4" w:rsidRPr="00D064B4" w:rsidRDefault="00A21DE4" w:rsidP="00A21DE4">
            <w:pPr>
              <w:rPr>
                <w:lang w:val="bg-BG"/>
              </w:rPr>
            </w:pPr>
            <w:proofErr w:type="spellStart"/>
            <w:r w:rsidRPr="00D064B4">
              <w:rPr>
                <w:lang w:val="bg-BG"/>
              </w:rPr>
              <w:t>Метхемоглобинемия</w:t>
            </w:r>
            <w:proofErr w:type="spellEnd"/>
            <w:r w:rsidRPr="00D064B4">
              <w:rPr>
                <w:lang w:val="bg-BG"/>
              </w:rPr>
              <w:t xml:space="preserve">, която може да е свързана с недостатъчност на NADH </w:t>
            </w:r>
            <w:proofErr w:type="spellStart"/>
            <w:r w:rsidRPr="00D064B4">
              <w:rPr>
                <w:lang w:val="bg-BG"/>
              </w:rPr>
              <w:t>цитохром</w:t>
            </w:r>
            <w:proofErr w:type="spellEnd"/>
            <w:r w:rsidRPr="00D064B4">
              <w:rPr>
                <w:lang w:val="bg-BG"/>
              </w:rPr>
              <w:t xml:space="preserve"> b5 </w:t>
            </w:r>
            <w:proofErr w:type="spellStart"/>
            <w:r w:rsidRPr="00D064B4">
              <w:rPr>
                <w:lang w:val="bg-BG"/>
              </w:rPr>
              <w:t>редуктаза</w:t>
            </w:r>
            <w:proofErr w:type="spellEnd"/>
            <w:r w:rsidRPr="00D064B4">
              <w:rPr>
                <w:lang w:val="bg-BG"/>
              </w:rPr>
              <w:t xml:space="preserve">, особено при новородени (вж. точка 4.4) </w:t>
            </w:r>
            <w:proofErr w:type="spellStart"/>
            <w:r w:rsidRPr="00D064B4">
              <w:rPr>
                <w:lang w:val="bg-BG"/>
              </w:rPr>
              <w:t>Сулфхемоглобинемия</w:t>
            </w:r>
            <w:proofErr w:type="spellEnd"/>
            <w:r w:rsidRPr="00D064B4">
              <w:rPr>
                <w:lang w:val="bg-BG"/>
              </w:rPr>
              <w:t>, основно при едновременно приложение на високи дози лекарствени продукти, освобождаващи сяра</w:t>
            </w:r>
          </w:p>
        </w:tc>
      </w:tr>
      <w:tr w:rsidR="00A21DE4" w:rsidRPr="00D064B4" w14:paraId="4312BFA1" w14:textId="77777777" w:rsidTr="00A21DE4">
        <w:trPr>
          <w:trHeight w:val="379"/>
        </w:trPr>
        <w:tc>
          <w:tcPr>
            <w:tcW w:w="9350" w:type="dxa"/>
            <w:gridSpan w:val="3"/>
          </w:tcPr>
          <w:p w14:paraId="05204C10" w14:textId="6F0FCFC9" w:rsidR="00A21DE4" w:rsidRPr="00D064B4" w:rsidRDefault="00A21DE4" w:rsidP="00A2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064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Сърдечни нарушения</w:t>
            </w:r>
          </w:p>
        </w:tc>
      </w:tr>
      <w:tr w:rsidR="00A21DE4" w:rsidRPr="00D064B4" w14:paraId="6E4DD206" w14:textId="77777777" w:rsidTr="00CE11D6">
        <w:tc>
          <w:tcPr>
            <w:tcW w:w="4675" w:type="dxa"/>
            <w:gridSpan w:val="2"/>
            <w:vAlign w:val="bottom"/>
          </w:tcPr>
          <w:p w14:paraId="414E57B5" w14:textId="623CEC0C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Нечести</w:t>
            </w:r>
          </w:p>
        </w:tc>
        <w:tc>
          <w:tcPr>
            <w:tcW w:w="4675" w:type="dxa"/>
            <w:vAlign w:val="bottom"/>
          </w:tcPr>
          <w:p w14:paraId="75879AE2" w14:textId="56388544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Брадикардия, особено при интравенозни форми</w:t>
            </w:r>
          </w:p>
        </w:tc>
      </w:tr>
      <w:tr w:rsidR="00A21DE4" w:rsidRPr="00D064B4" w14:paraId="49242570" w14:textId="77777777" w:rsidTr="00CE11D6">
        <w:tc>
          <w:tcPr>
            <w:tcW w:w="4675" w:type="dxa"/>
            <w:gridSpan w:val="2"/>
          </w:tcPr>
          <w:p w14:paraId="3A7F2F2F" w14:textId="515D53AD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lastRenderedPageBreak/>
              <w:t>С неизвестна честота</w:t>
            </w:r>
          </w:p>
        </w:tc>
        <w:tc>
          <w:tcPr>
            <w:tcW w:w="4675" w:type="dxa"/>
            <w:vAlign w:val="bottom"/>
          </w:tcPr>
          <w:p w14:paraId="3C41F36B" w14:textId="045FE2C0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 xml:space="preserve">Сърдечен арест, настъпил скоро след инжекционно приложение, и може да е последвал след брадикардия (вж. точка 4.4); </w:t>
            </w:r>
            <w:proofErr w:type="spellStart"/>
            <w:r w:rsidRPr="00D064B4">
              <w:rPr>
                <w:lang w:val="bg-BG"/>
              </w:rPr>
              <w:t>Атриовентрикуларен</w:t>
            </w:r>
            <w:proofErr w:type="spellEnd"/>
            <w:r w:rsidRPr="00D064B4">
              <w:rPr>
                <w:lang w:val="bg-BG"/>
              </w:rPr>
              <w:t xml:space="preserve"> блок, синусов арест, особено при интравенозните форми, удължен QT интервал в електрокардиограма, </w:t>
            </w:r>
            <w:proofErr w:type="spellStart"/>
            <w:r w:rsidRPr="00D064B4">
              <w:rPr>
                <w:lang w:val="bg-BG"/>
              </w:rPr>
              <w:t>Torsade</w:t>
            </w:r>
            <w:proofErr w:type="spellEnd"/>
            <w:r w:rsidRPr="00D064B4">
              <w:rPr>
                <w:lang w:val="bg-BG"/>
              </w:rPr>
              <w:t xml:space="preserve"> </w:t>
            </w:r>
            <w:proofErr w:type="spellStart"/>
            <w:r w:rsidRPr="00D064B4">
              <w:rPr>
                <w:lang w:val="bg-BG"/>
              </w:rPr>
              <w:t>de</w:t>
            </w:r>
            <w:proofErr w:type="spellEnd"/>
            <w:r w:rsidRPr="00D064B4">
              <w:rPr>
                <w:lang w:val="bg-BG"/>
              </w:rPr>
              <w:t xml:space="preserve"> </w:t>
            </w:r>
            <w:proofErr w:type="spellStart"/>
            <w:r w:rsidRPr="00D064B4">
              <w:rPr>
                <w:lang w:val="bg-BG"/>
              </w:rPr>
              <w:t>Pointes</w:t>
            </w:r>
            <w:proofErr w:type="spellEnd"/>
            <w:r w:rsidRPr="00D064B4">
              <w:rPr>
                <w:lang w:val="bg-BG"/>
              </w:rPr>
              <w:t>;</w:t>
            </w:r>
          </w:p>
        </w:tc>
      </w:tr>
      <w:tr w:rsidR="00A21DE4" w:rsidRPr="00D064B4" w14:paraId="317C6099" w14:textId="77777777" w:rsidTr="0048118F">
        <w:tc>
          <w:tcPr>
            <w:tcW w:w="9350" w:type="dxa"/>
            <w:gridSpan w:val="3"/>
          </w:tcPr>
          <w:p w14:paraId="15211702" w14:textId="48357483" w:rsidR="00A21DE4" w:rsidRPr="00D064B4" w:rsidRDefault="00A21DE4" w:rsidP="00A21DE4">
            <w:pPr>
              <w:rPr>
                <w:b/>
                <w:bCs/>
                <w:lang w:val="bg-BG"/>
              </w:rPr>
            </w:pPr>
            <w:r w:rsidRPr="00D064B4">
              <w:rPr>
                <w:b/>
                <w:bCs/>
                <w:lang w:val="bg-BG"/>
              </w:rPr>
              <w:t>Нарушения на ендокринната система*</w:t>
            </w:r>
          </w:p>
        </w:tc>
      </w:tr>
      <w:tr w:rsidR="00A21DE4" w:rsidRPr="00D064B4" w14:paraId="7E2E3236" w14:textId="77777777" w:rsidTr="00A21DE4">
        <w:tc>
          <w:tcPr>
            <w:tcW w:w="4675" w:type="dxa"/>
            <w:gridSpan w:val="2"/>
          </w:tcPr>
          <w:p w14:paraId="0B92A241" w14:textId="4609745E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Нечести</w:t>
            </w:r>
          </w:p>
        </w:tc>
        <w:tc>
          <w:tcPr>
            <w:tcW w:w="4675" w:type="dxa"/>
          </w:tcPr>
          <w:p w14:paraId="136754D5" w14:textId="73C213AF" w:rsidR="00A21DE4" w:rsidRPr="00D064B4" w:rsidRDefault="00A21DE4" w:rsidP="00A21DE4">
            <w:pPr>
              <w:rPr>
                <w:lang w:val="bg-BG"/>
              </w:rPr>
            </w:pPr>
            <w:proofErr w:type="spellStart"/>
            <w:r w:rsidRPr="00D064B4">
              <w:rPr>
                <w:lang w:val="bg-BG"/>
              </w:rPr>
              <w:t>Аменорея</w:t>
            </w:r>
            <w:proofErr w:type="spellEnd"/>
            <w:r w:rsidRPr="00D064B4">
              <w:rPr>
                <w:lang w:val="bg-BG"/>
              </w:rPr>
              <w:t xml:space="preserve">, </w:t>
            </w:r>
            <w:proofErr w:type="spellStart"/>
            <w:r w:rsidRPr="00D064B4">
              <w:rPr>
                <w:lang w:val="bg-BG"/>
              </w:rPr>
              <w:t>хиперпролактинемия</w:t>
            </w:r>
            <w:proofErr w:type="spellEnd"/>
          </w:p>
        </w:tc>
      </w:tr>
      <w:tr w:rsidR="00A21DE4" w:rsidRPr="00D064B4" w14:paraId="7AEF1B50" w14:textId="77777777" w:rsidTr="00A21DE4">
        <w:tc>
          <w:tcPr>
            <w:tcW w:w="4675" w:type="dxa"/>
            <w:gridSpan w:val="2"/>
          </w:tcPr>
          <w:p w14:paraId="4D4942B8" w14:textId="3DB95E5E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Редки</w:t>
            </w:r>
          </w:p>
        </w:tc>
        <w:tc>
          <w:tcPr>
            <w:tcW w:w="4675" w:type="dxa"/>
          </w:tcPr>
          <w:p w14:paraId="0E91657D" w14:textId="0B660E80" w:rsidR="00A21DE4" w:rsidRPr="00D064B4" w:rsidRDefault="00A21DE4" w:rsidP="00A21DE4">
            <w:pPr>
              <w:rPr>
                <w:lang w:val="bg-BG"/>
              </w:rPr>
            </w:pPr>
            <w:proofErr w:type="spellStart"/>
            <w:r w:rsidRPr="00D064B4">
              <w:rPr>
                <w:lang w:val="bg-BG"/>
              </w:rPr>
              <w:t>Галакторея</w:t>
            </w:r>
            <w:proofErr w:type="spellEnd"/>
          </w:p>
        </w:tc>
      </w:tr>
      <w:tr w:rsidR="00A21DE4" w:rsidRPr="00D064B4" w14:paraId="30AEF689" w14:textId="77777777" w:rsidTr="00A21DE4">
        <w:tc>
          <w:tcPr>
            <w:tcW w:w="4675" w:type="dxa"/>
            <w:gridSpan w:val="2"/>
          </w:tcPr>
          <w:p w14:paraId="41F7C107" w14:textId="51769B2E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С неизвестна честота</w:t>
            </w:r>
          </w:p>
        </w:tc>
        <w:tc>
          <w:tcPr>
            <w:tcW w:w="4675" w:type="dxa"/>
          </w:tcPr>
          <w:p w14:paraId="58B4F1D9" w14:textId="4E2C1DF5" w:rsidR="00A21DE4" w:rsidRPr="00D064B4" w:rsidRDefault="00A21DE4" w:rsidP="00A21DE4">
            <w:pPr>
              <w:rPr>
                <w:lang w:val="bg-BG"/>
              </w:rPr>
            </w:pPr>
            <w:proofErr w:type="spellStart"/>
            <w:r w:rsidRPr="00D064B4">
              <w:rPr>
                <w:lang w:val="bg-BG"/>
              </w:rPr>
              <w:t>Гинекомастия</w:t>
            </w:r>
            <w:proofErr w:type="spellEnd"/>
          </w:p>
        </w:tc>
      </w:tr>
      <w:tr w:rsidR="00A21DE4" w:rsidRPr="00D064B4" w14:paraId="1EB3A35D" w14:textId="77777777" w:rsidTr="004E14EC">
        <w:tc>
          <w:tcPr>
            <w:tcW w:w="9350" w:type="dxa"/>
            <w:gridSpan w:val="3"/>
          </w:tcPr>
          <w:p w14:paraId="5A5F8D11" w14:textId="3706CCC0" w:rsidR="00A21DE4" w:rsidRPr="00D064B4" w:rsidRDefault="00A21DE4" w:rsidP="00A21DE4">
            <w:pPr>
              <w:rPr>
                <w:b/>
                <w:bCs/>
                <w:sz w:val="24"/>
                <w:szCs w:val="24"/>
                <w:lang w:val="bg-BG"/>
              </w:rPr>
            </w:pPr>
            <w:r w:rsidRPr="00D064B4">
              <w:rPr>
                <w:b/>
                <w:bCs/>
                <w:lang w:val="bg-BG" w:eastAsia="bg-BG"/>
              </w:rPr>
              <w:t>Стомашно-чревни нарушения</w:t>
            </w:r>
          </w:p>
        </w:tc>
      </w:tr>
      <w:tr w:rsidR="00A21DE4" w:rsidRPr="00D064B4" w14:paraId="4380A284" w14:textId="77777777" w:rsidTr="00A21DE4">
        <w:tc>
          <w:tcPr>
            <w:tcW w:w="4675" w:type="dxa"/>
            <w:gridSpan w:val="2"/>
          </w:tcPr>
          <w:p w14:paraId="6C8EE69F" w14:textId="336077B4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Чести</w:t>
            </w:r>
          </w:p>
        </w:tc>
        <w:tc>
          <w:tcPr>
            <w:tcW w:w="4675" w:type="dxa"/>
          </w:tcPr>
          <w:p w14:paraId="413258AC" w14:textId="16DCF342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Диария</w:t>
            </w:r>
          </w:p>
        </w:tc>
      </w:tr>
      <w:tr w:rsidR="00A21DE4" w:rsidRPr="00D064B4" w14:paraId="4FA4A8CC" w14:textId="77777777" w:rsidTr="00EC5637">
        <w:tc>
          <w:tcPr>
            <w:tcW w:w="9350" w:type="dxa"/>
            <w:gridSpan w:val="3"/>
          </w:tcPr>
          <w:p w14:paraId="2096AE2D" w14:textId="46E5E760" w:rsidR="00A21DE4" w:rsidRPr="00D064B4" w:rsidRDefault="00A21DE4" w:rsidP="00A21DE4">
            <w:pPr>
              <w:rPr>
                <w:b/>
                <w:bCs/>
                <w:sz w:val="24"/>
                <w:szCs w:val="24"/>
                <w:lang w:val="bg-BG"/>
              </w:rPr>
            </w:pPr>
            <w:r w:rsidRPr="00D064B4">
              <w:rPr>
                <w:b/>
                <w:bCs/>
                <w:lang w:val="bg-BG" w:eastAsia="bg-BG"/>
              </w:rPr>
              <w:t>Общи нарушения и ефекти на мястото на приложение</w:t>
            </w:r>
          </w:p>
        </w:tc>
      </w:tr>
      <w:tr w:rsidR="00A21DE4" w:rsidRPr="00D064B4" w14:paraId="694A6D81" w14:textId="77777777" w:rsidTr="00A21DE4">
        <w:tc>
          <w:tcPr>
            <w:tcW w:w="4675" w:type="dxa"/>
            <w:gridSpan w:val="2"/>
          </w:tcPr>
          <w:p w14:paraId="7AEC79A4" w14:textId="18EF586E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Чести</w:t>
            </w:r>
          </w:p>
        </w:tc>
        <w:tc>
          <w:tcPr>
            <w:tcW w:w="4675" w:type="dxa"/>
          </w:tcPr>
          <w:p w14:paraId="5D03791E" w14:textId="312031EE" w:rsidR="00A21DE4" w:rsidRPr="00D064B4" w:rsidRDefault="00A21DE4" w:rsidP="00A21DE4">
            <w:pPr>
              <w:rPr>
                <w:lang w:val="bg-BG"/>
              </w:rPr>
            </w:pPr>
            <w:proofErr w:type="spellStart"/>
            <w:r w:rsidRPr="00D064B4">
              <w:rPr>
                <w:lang w:val="bg-BG"/>
              </w:rPr>
              <w:t>Астения</w:t>
            </w:r>
            <w:proofErr w:type="spellEnd"/>
          </w:p>
        </w:tc>
      </w:tr>
      <w:tr w:rsidR="00A21DE4" w:rsidRPr="00D064B4" w14:paraId="56883E43" w14:textId="77777777" w:rsidTr="00A87167">
        <w:tc>
          <w:tcPr>
            <w:tcW w:w="9350" w:type="dxa"/>
            <w:gridSpan w:val="3"/>
          </w:tcPr>
          <w:p w14:paraId="323280E9" w14:textId="6CAD559E" w:rsidR="00A21DE4" w:rsidRPr="00D064B4" w:rsidRDefault="00A21DE4" w:rsidP="00A21DE4">
            <w:pPr>
              <w:rPr>
                <w:b/>
                <w:bCs/>
                <w:sz w:val="24"/>
                <w:szCs w:val="24"/>
                <w:lang w:val="bg-BG"/>
              </w:rPr>
            </w:pPr>
            <w:r w:rsidRPr="00D064B4">
              <w:rPr>
                <w:b/>
                <w:bCs/>
                <w:lang w:val="bg-BG" w:eastAsia="bg-BG"/>
              </w:rPr>
              <w:t>Нарушения на имунната система</w:t>
            </w:r>
          </w:p>
        </w:tc>
      </w:tr>
      <w:tr w:rsidR="00A21DE4" w:rsidRPr="00D064B4" w14:paraId="2CCD7132" w14:textId="77777777" w:rsidTr="00A21DE4">
        <w:tc>
          <w:tcPr>
            <w:tcW w:w="4675" w:type="dxa"/>
            <w:gridSpan w:val="2"/>
          </w:tcPr>
          <w:p w14:paraId="43C98574" w14:textId="17340FF7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Нечести</w:t>
            </w:r>
          </w:p>
        </w:tc>
        <w:tc>
          <w:tcPr>
            <w:tcW w:w="4675" w:type="dxa"/>
          </w:tcPr>
          <w:p w14:paraId="2511894F" w14:textId="43553B4A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Свръхчувствителност</w:t>
            </w:r>
          </w:p>
        </w:tc>
      </w:tr>
      <w:tr w:rsidR="00A21DE4" w:rsidRPr="00D064B4" w14:paraId="53782B89" w14:textId="77777777" w:rsidTr="00A21DE4">
        <w:tc>
          <w:tcPr>
            <w:tcW w:w="4675" w:type="dxa"/>
            <w:gridSpan w:val="2"/>
          </w:tcPr>
          <w:p w14:paraId="607C484E" w14:textId="37D06771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С неизвестна честота</w:t>
            </w:r>
          </w:p>
        </w:tc>
        <w:tc>
          <w:tcPr>
            <w:tcW w:w="4675" w:type="dxa"/>
          </w:tcPr>
          <w:p w14:paraId="1AEEBA92" w14:textId="511D208F" w:rsidR="00A21DE4" w:rsidRPr="00D064B4" w:rsidRDefault="00A21DE4" w:rsidP="00A21DE4">
            <w:pPr>
              <w:rPr>
                <w:lang w:val="bg-BG"/>
              </w:rPr>
            </w:pPr>
            <w:proofErr w:type="spellStart"/>
            <w:r w:rsidRPr="00D064B4">
              <w:rPr>
                <w:lang w:val="bg-BG"/>
              </w:rPr>
              <w:t>Анафилактична</w:t>
            </w:r>
            <w:proofErr w:type="spellEnd"/>
            <w:r w:rsidRPr="00D064B4">
              <w:rPr>
                <w:lang w:val="bg-BG"/>
              </w:rPr>
              <w:t xml:space="preserve"> реакция (включително </w:t>
            </w:r>
            <w:proofErr w:type="spellStart"/>
            <w:r w:rsidRPr="00D064B4">
              <w:rPr>
                <w:lang w:val="bg-BG"/>
              </w:rPr>
              <w:t>анафилактичен</w:t>
            </w:r>
            <w:proofErr w:type="spellEnd"/>
            <w:r w:rsidRPr="00D064B4">
              <w:rPr>
                <w:lang w:val="bg-BG"/>
              </w:rPr>
              <w:t xml:space="preserve"> шок, особено при интравенозните форми</w:t>
            </w:r>
          </w:p>
        </w:tc>
      </w:tr>
      <w:tr w:rsidR="00A21DE4" w:rsidRPr="00D064B4" w14:paraId="216219C4" w14:textId="77777777" w:rsidTr="004B3972">
        <w:tc>
          <w:tcPr>
            <w:tcW w:w="9350" w:type="dxa"/>
            <w:gridSpan w:val="3"/>
          </w:tcPr>
          <w:p w14:paraId="4083F530" w14:textId="7CF9EA18" w:rsidR="00A21DE4" w:rsidRPr="00D064B4" w:rsidRDefault="00A21DE4" w:rsidP="00A21DE4">
            <w:pPr>
              <w:rPr>
                <w:b/>
                <w:bCs/>
                <w:lang w:val="bg-BG"/>
              </w:rPr>
            </w:pPr>
            <w:r w:rsidRPr="00D064B4">
              <w:rPr>
                <w:b/>
                <w:bCs/>
                <w:lang w:val="bg-BG"/>
              </w:rPr>
              <w:t>Нарушения на нервната система</w:t>
            </w:r>
          </w:p>
        </w:tc>
      </w:tr>
      <w:tr w:rsidR="00A21DE4" w:rsidRPr="00D064B4" w14:paraId="5ADC557C" w14:textId="77777777" w:rsidTr="00A21DE4">
        <w:tc>
          <w:tcPr>
            <w:tcW w:w="4675" w:type="dxa"/>
            <w:gridSpan w:val="2"/>
          </w:tcPr>
          <w:p w14:paraId="4B833A30" w14:textId="154AF169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Много чести</w:t>
            </w:r>
          </w:p>
        </w:tc>
        <w:tc>
          <w:tcPr>
            <w:tcW w:w="4675" w:type="dxa"/>
          </w:tcPr>
          <w:p w14:paraId="045C0FF1" w14:textId="771C02E9" w:rsidR="00A21DE4" w:rsidRPr="00D064B4" w:rsidRDefault="00A21DE4" w:rsidP="00A21DE4">
            <w:pPr>
              <w:rPr>
                <w:lang w:val="bg-BG"/>
              </w:rPr>
            </w:pPr>
            <w:proofErr w:type="spellStart"/>
            <w:r w:rsidRPr="00D064B4">
              <w:rPr>
                <w:lang w:val="bg-BG"/>
              </w:rPr>
              <w:t>Сомнолентност</w:t>
            </w:r>
            <w:proofErr w:type="spellEnd"/>
          </w:p>
        </w:tc>
      </w:tr>
      <w:tr w:rsidR="00A21DE4" w:rsidRPr="00D064B4" w14:paraId="17DA06FC" w14:textId="77777777" w:rsidTr="00A21DE4">
        <w:tc>
          <w:tcPr>
            <w:tcW w:w="4675" w:type="dxa"/>
            <w:gridSpan w:val="2"/>
          </w:tcPr>
          <w:p w14:paraId="51C85415" w14:textId="08A8A693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Чести</w:t>
            </w:r>
          </w:p>
        </w:tc>
        <w:tc>
          <w:tcPr>
            <w:tcW w:w="4675" w:type="dxa"/>
          </w:tcPr>
          <w:p w14:paraId="0D4E81E6" w14:textId="490B07AE" w:rsidR="00A21DE4" w:rsidRPr="00D064B4" w:rsidRDefault="00A21DE4" w:rsidP="00A21DE4">
            <w:pPr>
              <w:rPr>
                <w:lang w:val="bg-BG"/>
              </w:rPr>
            </w:pPr>
            <w:proofErr w:type="spellStart"/>
            <w:r w:rsidRPr="00D064B4">
              <w:rPr>
                <w:lang w:val="bg-BG"/>
              </w:rPr>
              <w:t>Екстрапирамидни</w:t>
            </w:r>
            <w:proofErr w:type="spellEnd"/>
            <w:r w:rsidRPr="00D064B4">
              <w:rPr>
                <w:lang w:val="bg-BG"/>
              </w:rPr>
              <w:t xml:space="preserve"> нарушения (особено при деца и млади хора и/или когато препоръчителната доза е надвишена, дори след приложение на единична доза от лекарството) (вж. точка 4.4), </w:t>
            </w:r>
            <w:proofErr w:type="spellStart"/>
            <w:r w:rsidRPr="00D064B4">
              <w:rPr>
                <w:lang w:val="bg-BG"/>
              </w:rPr>
              <w:t>паркинсонизъм</w:t>
            </w:r>
            <w:proofErr w:type="spellEnd"/>
            <w:r w:rsidRPr="00D064B4">
              <w:rPr>
                <w:lang w:val="bg-BG"/>
              </w:rPr>
              <w:t xml:space="preserve">, </w:t>
            </w:r>
            <w:proofErr w:type="spellStart"/>
            <w:r w:rsidRPr="00D064B4">
              <w:rPr>
                <w:lang w:val="bg-BG"/>
              </w:rPr>
              <w:t>акатизия</w:t>
            </w:r>
            <w:proofErr w:type="spellEnd"/>
          </w:p>
        </w:tc>
      </w:tr>
      <w:tr w:rsidR="00A21DE4" w:rsidRPr="00D064B4" w14:paraId="742140EA" w14:textId="77777777" w:rsidTr="00A21DE4">
        <w:tc>
          <w:tcPr>
            <w:tcW w:w="4675" w:type="dxa"/>
            <w:gridSpan w:val="2"/>
          </w:tcPr>
          <w:p w14:paraId="224AAE64" w14:textId="4732737B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Нечести</w:t>
            </w:r>
          </w:p>
        </w:tc>
        <w:tc>
          <w:tcPr>
            <w:tcW w:w="4675" w:type="dxa"/>
          </w:tcPr>
          <w:p w14:paraId="2610F8B0" w14:textId="75850448" w:rsidR="00A21DE4" w:rsidRPr="00D064B4" w:rsidRDefault="00A21DE4" w:rsidP="00A21DE4">
            <w:pPr>
              <w:rPr>
                <w:lang w:val="bg-BG"/>
              </w:rPr>
            </w:pPr>
            <w:proofErr w:type="spellStart"/>
            <w:r w:rsidRPr="00D064B4">
              <w:rPr>
                <w:lang w:val="bg-BG"/>
              </w:rPr>
              <w:t>Дистония</w:t>
            </w:r>
            <w:proofErr w:type="spellEnd"/>
            <w:r w:rsidRPr="00D064B4">
              <w:rPr>
                <w:lang w:val="bg-BG"/>
              </w:rPr>
              <w:t xml:space="preserve"> (включително зрителни нарушения и </w:t>
            </w:r>
            <w:proofErr w:type="spellStart"/>
            <w:r w:rsidRPr="00D064B4">
              <w:rPr>
                <w:lang w:val="bg-BG"/>
              </w:rPr>
              <w:t>окулогирна</w:t>
            </w:r>
            <w:proofErr w:type="spellEnd"/>
            <w:r w:rsidRPr="00D064B4">
              <w:rPr>
                <w:lang w:val="bg-BG"/>
              </w:rPr>
              <w:t xml:space="preserve"> криза), </w:t>
            </w:r>
            <w:proofErr w:type="spellStart"/>
            <w:r w:rsidRPr="00D064B4">
              <w:rPr>
                <w:lang w:val="bg-BG"/>
              </w:rPr>
              <w:t>дискинезия</w:t>
            </w:r>
            <w:proofErr w:type="spellEnd"/>
            <w:r w:rsidRPr="00D064B4">
              <w:rPr>
                <w:lang w:val="bg-BG"/>
              </w:rPr>
              <w:t>, понижено ниво на съзнание</w:t>
            </w:r>
          </w:p>
        </w:tc>
      </w:tr>
      <w:tr w:rsidR="00A21DE4" w:rsidRPr="00D064B4" w14:paraId="77ACAEBB" w14:textId="77777777" w:rsidTr="00A21DE4">
        <w:tc>
          <w:tcPr>
            <w:tcW w:w="4675" w:type="dxa"/>
            <w:gridSpan w:val="2"/>
          </w:tcPr>
          <w:p w14:paraId="3AC44E10" w14:textId="0B022CC1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Редки</w:t>
            </w:r>
          </w:p>
        </w:tc>
        <w:tc>
          <w:tcPr>
            <w:tcW w:w="4675" w:type="dxa"/>
          </w:tcPr>
          <w:p w14:paraId="17F39BCC" w14:textId="6D7B9F7C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Конвулсии, особено при пациенти с епилепсия</w:t>
            </w:r>
          </w:p>
        </w:tc>
      </w:tr>
      <w:tr w:rsidR="00A21DE4" w:rsidRPr="00D064B4" w14:paraId="7F4F892A" w14:textId="77777777" w:rsidTr="00A21DE4">
        <w:tc>
          <w:tcPr>
            <w:tcW w:w="4675" w:type="dxa"/>
            <w:gridSpan w:val="2"/>
          </w:tcPr>
          <w:p w14:paraId="36B84308" w14:textId="3AA23ACE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С неизвестна честота</w:t>
            </w:r>
          </w:p>
        </w:tc>
        <w:tc>
          <w:tcPr>
            <w:tcW w:w="4675" w:type="dxa"/>
          </w:tcPr>
          <w:p w14:paraId="55F05090" w14:textId="7CB6B3E5" w:rsidR="00A21DE4" w:rsidRPr="00D064B4" w:rsidRDefault="00A21DE4" w:rsidP="00A21DE4">
            <w:pPr>
              <w:rPr>
                <w:lang w:val="bg-BG"/>
              </w:rPr>
            </w:pPr>
            <w:proofErr w:type="spellStart"/>
            <w:r w:rsidRPr="00D064B4">
              <w:rPr>
                <w:lang w:val="bg-BG"/>
              </w:rPr>
              <w:t>Тардивна</w:t>
            </w:r>
            <w:proofErr w:type="spellEnd"/>
            <w:r w:rsidRPr="00D064B4">
              <w:rPr>
                <w:lang w:val="bg-BG"/>
              </w:rPr>
              <w:t xml:space="preserve"> </w:t>
            </w:r>
            <w:proofErr w:type="spellStart"/>
            <w:r w:rsidRPr="00D064B4">
              <w:rPr>
                <w:lang w:val="bg-BG"/>
              </w:rPr>
              <w:t>дискинезия</w:t>
            </w:r>
            <w:proofErr w:type="spellEnd"/>
            <w:r w:rsidRPr="00D064B4">
              <w:rPr>
                <w:lang w:val="bg-BG"/>
              </w:rPr>
              <w:t xml:space="preserve">, която може да </w:t>
            </w:r>
            <w:proofErr w:type="spellStart"/>
            <w:r w:rsidRPr="00D064B4">
              <w:rPr>
                <w:lang w:val="bg-BG"/>
              </w:rPr>
              <w:t>персистира</w:t>
            </w:r>
            <w:proofErr w:type="spellEnd"/>
            <w:r w:rsidRPr="00D064B4">
              <w:rPr>
                <w:lang w:val="bg-BG"/>
              </w:rPr>
              <w:t xml:space="preserve"> по време на или след продължително лечение, особено при пациенти в старческа възраст (вж. точка 4.4), </w:t>
            </w:r>
            <w:proofErr w:type="spellStart"/>
            <w:r w:rsidRPr="00D064B4">
              <w:rPr>
                <w:lang w:val="bg-BG"/>
              </w:rPr>
              <w:t>невролептичен</w:t>
            </w:r>
            <w:proofErr w:type="spellEnd"/>
            <w:r w:rsidRPr="00D064B4">
              <w:rPr>
                <w:lang w:val="bg-BG"/>
              </w:rPr>
              <w:t xml:space="preserve"> </w:t>
            </w:r>
            <w:proofErr w:type="spellStart"/>
            <w:r w:rsidRPr="00D064B4">
              <w:rPr>
                <w:lang w:val="bg-BG"/>
              </w:rPr>
              <w:t>малигнен</w:t>
            </w:r>
            <w:proofErr w:type="spellEnd"/>
            <w:r w:rsidRPr="00D064B4">
              <w:rPr>
                <w:lang w:val="bg-BG"/>
              </w:rPr>
              <w:t xml:space="preserve"> синдром (вж. точка 4.4)</w:t>
            </w:r>
          </w:p>
        </w:tc>
      </w:tr>
      <w:tr w:rsidR="00A21DE4" w:rsidRPr="00D064B4" w14:paraId="2043180B" w14:textId="77777777" w:rsidTr="00135EC7">
        <w:tc>
          <w:tcPr>
            <w:tcW w:w="9350" w:type="dxa"/>
            <w:gridSpan w:val="3"/>
          </w:tcPr>
          <w:p w14:paraId="2FE93280" w14:textId="2F991CD4" w:rsidR="00A21DE4" w:rsidRPr="00D064B4" w:rsidRDefault="00A21DE4" w:rsidP="00A21DE4">
            <w:pPr>
              <w:rPr>
                <w:b/>
                <w:bCs/>
                <w:sz w:val="24"/>
                <w:szCs w:val="24"/>
                <w:lang w:val="bg-BG"/>
              </w:rPr>
            </w:pPr>
            <w:r w:rsidRPr="00D064B4">
              <w:rPr>
                <w:b/>
                <w:bCs/>
                <w:lang w:val="bg-BG" w:eastAsia="bg-BG"/>
              </w:rPr>
              <w:t>Психични нарушения</w:t>
            </w:r>
          </w:p>
        </w:tc>
      </w:tr>
      <w:tr w:rsidR="00A21DE4" w:rsidRPr="00D064B4" w14:paraId="02E43822" w14:textId="77777777" w:rsidTr="00A21DE4">
        <w:tc>
          <w:tcPr>
            <w:tcW w:w="4675" w:type="dxa"/>
            <w:gridSpan w:val="2"/>
          </w:tcPr>
          <w:p w14:paraId="48FE12AC" w14:textId="43249DCC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Чести</w:t>
            </w:r>
          </w:p>
        </w:tc>
        <w:tc>
          <w:tcPr>
            <w:tcW w:w="4675" w:type="dxa"/>
          </w:tcPr>
          <w:p w14:paraId="561F1E8F" w14:textId="6EC68428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Депресия</w:t>
            </w:r>
          </w:p>
        </w:tc>
      </w:tr>
      <w:tr w:rsidR="00A21DE4" w:rsidRPr="00D064B4" w14:paraId="25094386" w14:textId="77777777" w:rsidTr="00A21DE4">
        <w:tc>
          <w:tcPr>
            <w:tcW w:w="4675" w:type="dxa"/>
            <w:gridSpan w:val="2"/>
          </w:tcPr>
          <w:p w14:paraId="084A1E36" w14:textId="50C8E5B2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Нечести</w:t>
            </w:r>
          </w:p>
        </w:tc>
        <w:tc>
          <w:tcPr>
            <w:tcW w:w="4675" w:type="dxa"/>
          </w:tcPr>
          <w:p w14:paraId="1E75B764" w14:textId="4620BE8C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Халюцинации</w:t>
            </w:r>
          </w:p>
        </w:tc>
      </w:tr>
      <w:tr w:rsidR="00A21DE4" w:rsidRPr="00D064B4" w14:paraId="2654A7C9" w14:textId="77777777" w:rsidTr="00A21DE4">
        <w:tc>
          <w:tcPr>
            <w:tcW w:w="4675" w:type="dxa"/>
            <w:gridSpan w:val="2"/>
          </w:tcPr>
          <w:p w14:paraId="6F702BDA" w14:textId="713AD560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Редки</w:t>
            </w:r>
          </w:p>
        </w:tc>
        <w:tc>
          <w:tcPr>
            <w:tcW w:w="4675" w:type="dxa"/>
          </w:tcPr>
          <w:p w14:paraId="3D4F4D48" w14:textId="7918BFE1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Състояние на обърканост</w:t>
            </w:r>
          </w:p>
        </w:tc>
      </w:tr>
      <w:tr w:rsidR="00A21DE4" w:rsidRPr="00D064B4" w14:paraId="6595A1C7" w14:textId="77777777" w:rsidTr="00EB5F53">
        <w:tc>
          <w:tcPr>
            <w:tcW w:w="9350" w:type="dxa"/>
            <w:gridSpan w:val="3"/>
          </w:tcPr>
          <w:p w14:paraId="0B08A459" w14:textId="3CF2D08D" w:rsidR="00A21DE4" w:rsidRPr="00D064B4" w:rsidRDefault="00A21DE4" w:rsidP="00A21DE4">
            <w:pPr>
              <w:rPr>
                <w:b/>
                <w:bCs/>
                <w:sz w:val="24"/>
                <w:szCs w:val="24"/>
                <w:lang w:val="bg-BG"/>
              </w:rPr>
            </w:pPr>
            <w:r w:rsidRPr="00D064B4">
              <w:rPr>
                <w:b/>
                <w:bCs/>
                <w:lang w:val="bg-BG" w:eastAsia="bg-BG"/>
              </w:rPr>
              <w:t>Съдови нарушения</w:t>
            </w:r>
          </w:p>
        </w:tc>
      </w:tr>
      <w:tr w:rsidR="00A21DE4" w:rsidRPr="00D064B4" w14:paraId="29CCA364" w14:textId="77777777" w:rsidTr="00A21DE4">
        <w:tc>
          <w:tcPr>
            <w:tcW w:w="4675" w:type="dxa"/>
            <w:gridSpan w:val="2"/>
          </w:tcPr>
          <w:p w14:paraId="386C3904" w14:textId="5B0B46D9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Чести:</w:t>
            </w:r>
          </w:p>
        </w:tc>
        <w:tc>
          <w:tcPr>
            <w:tcW w:w="4675" w:type="dxa"/>
          </w:tcPr>
          <w:p w14:paraId="2AD4339C" w14:textId="5AA9D48A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>Хипотония, особено при интравенозните форми</w:t>
            </w:r>
          </w:p>
        </w:tc>
      </w:tr>
      <w:tr w:rsidR="00A21DE4" w:rsidRPr="00D064B4" w14:paraId="137E69A6" w14:textId="77777777" w:rsidTr="00A21DE4">
        <w:tc>
          <w:tcPr>
            <w:tcW w:w="4675" w:type="dxa"/>
            <w:gridSpan w:val="2"/>
          </w:tcPr>
          <w:p w14:paraId="2AA50441" w14:textId="404B8694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lastRenderedPageBreak/>
              <w:t>С неизвестна честота</w:t>
            </w:r>
          </w:p>
        </w:tc>
        <w:tc>
          <w:tcPr>
            <w:tcW w:w="4675" w:type="dxa"/>
          </w:tcPr>
          <w:p w14:paraId="17A0EBAF" w14:textId="2C76AA71" w:rsidR="00A21DE4" w:rsidRPr="00D064B4" w:rsidRDefault="00A21DE4" w:rsidP="00A21DE4">
            <w:pPr>
              <w:rPr>
                <w:lang w:val="bg-BG"/>
              </w:rPr>
            </w:pPr>
            <w:r w:rsidRPr="00D064B4">
              <w:rPr>
                <w:lang w:val="bg-BG"/>
              </w:rPr>
              <w:t xml:space="preserve">Шок, </w:t>
            </w:r>
            <w:proofErr w:type="spellStart"/>
            <w:r w:rsidRPr="00D064B4">
              <w:rPr>
                <w:lang w:val="bg-BG"/>
              </w:rPr>
              <w:t>синкоп</w:t>
            </w:r>
            <w:proofErr w:type="spellEnd"/>
            <w:r w:rsidRPr="00D064B4">
              <w:rPr>
                <w:lang w:val="bg-BG"/>
              </w:rPr>
              <w:t xml:space="preserve"> след инжекционно приложение. Остра хипертония при пациенти с </w:t>
            </w:r>
            <w:proofErr w:type="spellStart"/>
            <w:r w:rsidRPr="00D064B4">
              <w:rPr>
                <w:lang w:val="bg-BG"/>
              </w:rPr>
              <w:t>феохромоцитом</w:t>
            </w:r>
            <w:proofErr w:type="spellEnd"/>
            <w:r w:rsidRPr="00D064B4">
              <w:rPr>
                <w:lang w:val="bg-BG"/>
              </w:rPr>
              <w:t xml:space="preserve"> (вж. точка 4.3), преходно повишаване на кръвното налягане</w:t>
            </w:r>
          </w:p>
        </w:tc>
      </w:tr>
    </w:tbl>
    <w:p w14:paraId="44E3A08B" w14:textId="77777777" w:rsidR="005311EE" w:rsidRPr="00D064B4" w:rsidRDefault="005311EE" w:rsidP="005311EE">
      <w:pPr>
        <w:rPr>
          <w:sz w:val="24"/>
          <w:szCs w:val="24"/>
          <w:lang w:val="bg-BG"/>
        </w:rPr>
      </w:pPr>
      <w:r w:rsidRPr="00D064B4">
        <w:rPr>
          <w:lang w:val="bg-BG"/>
        </w:rPr>
        <w:t xml:space="preserve">* </w:t>
      </w:r>
      <w:r w:rsidRPr="00D064B4">
        <w:rPr>
          <w:lang w:val="bg-BG" w:eastAsia="bg-BG"/>
        </w:rPr>
        <w:t xml:space="preserve">Нарушения на ендокринната система по време на </w:t>
      </w:r>
      <w:proofErr w:type="spellStart"/>
      <w:r w:rsidRPr="00D064B4">
        <w:rPr>
          <w:lang w:val="bg-BG" w:eastAsia="bg-BG"/>
        </w:rPr>
        <w:t>прдължително</w:t>
      </w:r>
      <w:proofErr w:type="spellEnd"/>
      <w:r w:rsidRPr="00D064B4">
        <w:rPr>
          <w:lang w:val="bg-BG" w:eastAsia="bg-BG"/>
        </w:rPr>
        <w:t xml:space="preserve"> лечение, свързани с </w:t>
      </w:r>
      <w:proofErr w:type="spellStart"/>
      <w:r w:rsidRPr="00D064B4">
        <w:rPr>
          <w:lang w:val="bg-BG" w:eastAsia="bg-BG"/>
        </w:rPr>
        <w:t>хиперпролактинемия</w:t>
      </w:r>
      <w:proofErr w:type="spellEnd"/>
      <w:r w:rsidRPr="00D064B4">
        <w:rPr>
          <w:lang w:val="bg-BG" w:eastAsia="bg-BG"/>
        </w:rPr>
        <w:t xml:space="preserve"> (</w:t>
      </w:r>
      <w:proofErr w:type="spellStart"/>
      <w:r w:rsidRPr="00D064B4">
        <w:rPr>
          <w:lang w:val="bg-BG" w:eastAsia="bg-BG"/>
        </w:rPr>
        <w:t>аменорея</w:t>
      </w:r>
      <w:proofErr w:type="spellEnd"/>
      <w:r w:rsidRPr="00D064B4">
        <w:rPr>
          <w:lang w:val="bg-BG" w:eastAsia="bg-BG"/>
        </w:rPr>
        <w:t xml:space="preserve">, </w:t>
      </w:r>
      <w:proofErr w:type="spellStart"/>
      <w:r w:rsidRPr="00D064B4">
        <w:rPr>
          <w:lang w:val="bg-BG" w:eastAsia="bg-BG"/>
        </w:rPr>
        <w:t>галакторея</w:t>
      </w:r>
      <w:proofErr w:type="spellEnd"/>
      <w:r w:rsidRPr="00D064B4">
        <w:rPr>
          <w:lang w:val="bg-BG" w:eastAsia="bg-BG"/>
        </w:rPr>
        <w:t xml:space="preserve">, </w:t>
      </w:r>
      <w:proofErr w:type="spellStart"/>
      <w:r w:rsidRPr="00D064B4">
        <w:rPr>
          <w:lang w:val="bg-BG" w:eastAsia="bg-BG"/>
        </w:rPr>
        <w:t>гинекомастия</w:t>
      </w:r>
      <w:proofErr w:type="spellEnd"/>
      <w:r w:rsidRPr="00D064B4">
        <w:rPr>
          <w:lang w:val="bg-BG" w:eastAsia="bg-BG"/>
        </w:rPr>
        <w:t>).</w:t>
      </w:r>
    </w:p>
    <w:p w14:paraId="44DB6861" w14:textId="77777777" w:rsidR="005311EE" w:rsidRPr="00D064B4" w:rsidRDefault="005311EE" w:rsidP="005311EE">
      <w:pPr>
        <w:rPr>
          <w:lang w:val="bg-BG" w:eastAsia="bg-BG"/>
        </w:rPr>
      </w:pPr>
    </w:p>
    <w:p w14:paraId="75260F98" w14:textId="62DFF589" w:rsidR="005311EE" w:rsidRPr="00D064B4" w:rsidRDefault="005311EE" w:rsidP="005311EE">
      <w:pPr>
        <w:rPr>
          <w:lang w:val="bg-BG" w:eastAsia="bg-BG"/>
        </w:rPr>
      </w:pPr>
      <w:r w:rsidRPr="00D064B4">
        <w:rPr>
          <w:lang w:val="bg-BG" w:eastAsia="bg-BG"/>
        </w:rPr>
        <w:t>Следните реакции, понякога свързани, настъпват по-често, при приложение на високи дози:</w:t>
      </w:r>
    </w:p>
    <w:p w14:paraId="344A964B" w14:textId="77777777" w:rsidR="005311EE" w:rsidRPr="00D064B4" w:rsidRDefault="005311EE" w:rsidP="005311EE">
      <w:pPr>
        <w:pStyle w:val="ListParagraph"/>
        <w:numPr>
          <w:ilvl w:val="0"/>
          <w:numId w:val="17"/>
        </w:numPr>
        <w:rPr>
          <w:lang w:val="bg-BG" w:eastAsia="bg-BG"/>
        </w:rPr>
      </w:pPr>
      <w:proofErr w:type="spellStart"/>
      <w:r w:rsidRPr="00D064B4">
        <w:rPr>
          <w:lang w:val="bg-BG" w:eastAsia="bg-BG"/>
        </w:rPr>
        <w:t>Екстрапирамидни</w:t>
      </w:r>
      <w:proofErr w:type="spellEnd"/>
      <w:r w:rsidRPr="00D064B4">
        <w:rPr>
          <w:lang w:val="bg-BG" w:eastAsia="bg-BG"/>
        </w:rPr>
        <w:t xml:space="preserve"> симптоми: остра </w:t>
      </w:r>
      <w:proofErr w:type="spellStart"/>
      <w:r w:rsidRPr="00D064B4">
        <w:rPr>
          <w:lang w:val="bg-BG" w:eastAsia="bg-BG"/>
        </w:rPr>
        <w:t>дистония</w:t>
      </w:r>
      <w:proofErr w:type="spellEnd"/>
      <w:r w:rsidRPr="00D064B4">
        <w:rPr>
          <w:lang w:val="bg-BG" w:eastAsia="bg-BG"/>
        </w:rPr>
        <w:t xml:space="preserve"> и </w:t>
      </w:r>
      <w:proofErr w:type="spellStart"/>
      <w:r w:rsidRPr="00D064B4">
        <w:rPr>
          <w:lang w:val="bg-BG" w:eastAsia="bg-BG"/>
        </w:rPr>
        <w:t>дискинезия</w:t>
      </w:r>
      <w:proofErr w:type="spellEnd"/>
      <w:r w:rsidRPr="00D064B4">
        <w:rPr>
          <w:lang w:val="bg-BG" w:eastAsia="bg-BG"/>
        </w:rPr>
        <w:t xml:space="preserve">, паркинсонов синдром, </w:t>
      </w:r>
      <w:proofErr w:type="spellStart"/>
      <w:r w:rsidRPr="00D064B4">
        <w:rPr>
          <w:lang w:val="bg-BG" w:eastAsia="bg-BG"/>
        </w:rPr>
        <w:t>акатизия</w:t>
      </w:r>
      <w:proofErr w:type="spellEnd"/>
      <w:r w:rsidRPr="00D064B4">
        <w:rPr>
          <w:lang w:val="bg-BG" w:eastAsia="bg-BG"/>
        </w:rPr>
        <w:t>, дори след приложение на единична доза от лекарствения продукт, особено при деца и млади хора (вж. точка 4.4).</w:t>
      </w:r>
    </w:p>
    <w:p w14:paraId="4E9A43C5" w14:textId="2C749D54" w:rsidR="00A21DE4" w:rsidRPr="00D064B4" w:rsidRDefault="005311EE" w:rsidP="005311EE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D064B4">
        <w:rPr>
          <w:lang w:val="bg-BG" w:eastAsia="bg-BG"/>
        </w:rPr>
        <w:t>Сънливост, понижено ниво на съзнание, обърканост, халюцинации.</w:t>
      </w:r>
    </w:p>
    <w:p w14:paraId="10C47071" w14:textId="4B3E7FC0" w:rsidR="005311EE" w:rsidRPr="00D064B4" w:rsidRDefault="005311EE" w:rsidP="005311EE">
      <w:pPr>
        <w:rPr>
          <w:lang w:val="bg-BG" w:eastAsia="bg-BG"/>
        </w:rPr>
      </w:pPr>
    </w:p>
    <w:p w14:paraId="2769BA56" w14:textId="77777777" w:rsidR="005311EE" w:rsidRPr="00071862" w:rsidRDefault="005311EE" w:rsidP="00071862">
      <w:pPr>
        <w:pStyle w:val="Heading3"/>
        <w:rPr>
          <w:u w:val="single"/>
          <w:lang w:val="bg-BG"/>
        </w:rPr>
      </w:pPr>
      <w:r w:rsidRPr="00071862">
        <w:rPr>
          <w:u w:val="single"/>
          <w:lang w:val="bg-BG" w:eastAsia="bg-BG"/>
        </w:rPr>
        <w:t>Съобщаване на подозирани нежелани реакции</w:t>
      </w:r>
    </w:p>
    <w:p w14:paraId="1E1E4A5D" w14:textId="77777777" w:rsidR="005311EE" w:rsidRPr="00D064B4" w:rsidRDefault="005311EE" w:rsidP="005311EE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лекарствата, </w:t>
      </w:r>
      <w:proofErr w:type="spellStart"/>
      <w:r w:rsidRPr="00D064B4">
        <w:rPr>
          <w:lang w:val="bg-BG" w:eastAsia="bg-BG"/>
        </w:rPr>
        <w:t>ул</w:t>
      </w:r>
      <w:proofErr w:type="spellEnd"/>
      <w:r w:rsidRPr="00D064B4">
        <w:rPr>
          <w:lang w:val="bg-BG" w:eastAsia="bg-BG"/>
        </w:rPr>
        <w:t xml:space="preserve">.,Дамян Груев” № 8, 1303 София, тел.: +35928903417, уебсайт </w:t>
      </w:r>
      <w:hyperlink r:id="rId7" w:history="1">
        <w:r w:rsidRPr="00D064B4">
          <w:rPr>
            <w:lang w:val="bg-BG"/>
          </w:rPr>
          <w:t>www.bda.bg</w:t>
        </w:r>
      </w:hyperlink>
      <w:r w:rsidRPr="00D064B4">
        <w:rPr>
          <w:lang w:val="bg-BG"/>
        </w:rPr>
        <w:t>.</w:t>
      </w:r>
    </w:p>
    <w:p w14:paraId="37B7D506" w14:textId="77777777" w:rsidR="005311EE" w:rsidRPr="00D064B4" w:rsidRDefault="005311EE" w:rsidP="005311EE">
      <w:pPr>
        <w:rPr>
          <w:lang w:val="bg-BG" w:eastAsia="bg-BG"/>
        </w:rPr>
      </w:pPr>
    </w:p>
    <w:p w14:paraId="611C622D" w14:textId="0B179274" w:rsidR="002C50EE" w:rsidRPr="00D064B4" w:rsidRDefault="002C50EE" w:rsidP="002C50EE">
      <w:pPr>
        <w:pStyle w:val="Heading2"/>
        <w:rPr>
          <w:lang w:val="bg-BG"/>
        </w:rPr>
      </w:pPr>
      <w:r w:rsidRPr="00D064B4">
        <w:rPr>
          <w:lang w:val="bg-BG"/>
        </w:rPr>
        <w:t>4.9. Предозиране</w:t>
      </w:r>
    </w:p>
    <w:p w14:paraId="4D44DDBA" w14:textId="77777777" w:rsidR="005311EE" w:rsidRPr="00D064B4" w:rsidRDefault="005311EE" w:rsidP="005311EE">
      <w:pPr>
        <w:rPr>
          <w:u w:val="single"/>
          <w:lang w:val="bg-BG"/>
        </w:rPr>
      </w:pPr>
    </w:p>
    <w:p w14:paraId="225A1641" w14:textId="65FAF84B" w:rsidR="005311EE" w:rsidRPr="00071862" w:rsidRDefault="005311EE" w:rsidP="00071862">
      <w:pPr>
        <w:pStyle w:val="Heading3"/>
        <w:rPr>
          <w:u w:val="single"/>
          <w:lang w:val="bg-BG"/>
        </w:rPr>
      </w:pPr>
      <w:r w:rsidRPr="00071862">
        <w:rPr>
          <w:u w:val="single"/>
          <w:lang w:val="bg-BG"/>
        </w:rPr>
        <w:t>Симптоми</w:t>
      </w:r>
    </w:p>
    <w:p w14:paraId="4718406D" w14:textId="77777777" w:rsidR="005311EE" w:rsidRPr="00D064B4" w:rsidRDefault="005311EE" w:rsidP="005311EE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Могат да настъпят </w:t>
      </w:r>
      <w:proofErr w:type="spellStart"/>
      <w:r w:rsidRPr="00D064B4">
        <w:rPr>
          <w:lang w:val="bg-BG" w:eastAsia="bg-BG"/>
        </w:rPr>
        <w:t>екстрапирамидни</w:t>
      </w:r>
      <w:proofErr w:type="spellEnd"/>
      <w:r w:rsidRPr="00D064B4">
        <w:rPr>
          <w:lang w:val="bg-BG" w:eastAsia="bg-BG"/>
        </w:rPr>
        <w:t xml:space="preserve"> нарушения, сънливост, понижено ниво на съзнание, обърканост, халюцинации и </w:t>
      </w:r>
      <w:proofErr w:type="spellStart"/>
      <w:r w:rsidRPr="00D064B4">
        <w:rPr>
          <w:lang w:val="bg-BG" w:eastAsia="bg-BG"/>
        </w:rPr>
        <w:t>кардиореспираторен</w:t>
      </w:r>
      <w:proofErr w:type="spellEnd"/>
      <w:r w:rsidRPr="00D064B4">
        <w:rPr>
          <w:lang w:val="bg-BG" w:eastAsia="bg-BG"/>
        </w:rPr>
        <w:t xml:space="preserve"> арест.</w:t>
      </w:r>
    </w:p>
    <w:p w14:paraId="11C90762" w14:textId="77777777" w:rsidR="005311EE" w:rsidRPr="00D064B4" w:rsidRDefault="005311EE" w:rsidP="005311EE">
      <w:pPr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086C6626" w14:textId="37B40FA5" w:rsidR="005311EE" w:rsidRPr="00071862" w:rsidRDefault="005311EE" w:rsidP="00071862">
      <w:pPr>
        <w:pStyle w:val="Heading3"/>
        <w:rPr>
          <w:u w:val="single"/>
          <w:lang w:val="bg-BG"/>
        </w:rPr>
      </w:pPr>
      <w:r w:rsidRPr="00071862">
        <w:rPr>
          <w:u w:val="single"/>
          <w:lang w:val="bg-BG" w:eastAsia="bg-BG"/>
        </w:rPr>
        <w:t>Овладяване</w:t>
      </w:r>
    </w:p>
    <w:p w14:paraId="41977D65" w14:textId="77777777" w:rsidR="005311EE" w:rsidRPr="00D064B4" w:rsidRDefault="005311EE" w:rsidP="005311EE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В случай на </w:t>
      </w:r>
      <w:proofErr w:type="spellStart"/>
      <w:r w:rsidRPr="00D064B4">
        <w:rPr>
          <w:lang w:val="bg-BG" w:eastAsia="bg-BG"/>
        </w:rPr>
        <w:t>екстрапирамидни</w:t>
      </w:r>
      <w:proofErr w:type="spellEnd"/>
      <w:r w:rsidRPr="00D064B4">
        <w:rPr>
          <w:lang w:val="bg-BG" w:eastAsia="bg-BG"/>
        </w:rPr>
        <w:t xml:space="preserve"> симптоми, свързани или не с предозиране, лечението е само симптоматично (бензодиазепини при деца и/или </w:t>
      </w:r>
      <w:proofErr w:type="spellStart"/>
      <w:r w:rsidRPr="00D064B4">
        <w:rPr>
          <w:lang w:val="bg-BG" w:eastAsia="bg-BG"/>
        </w:rPr>
        <w:t>антихолинергични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антипаркинсонови</w:t>
      </w:r>
      <w:proofErr w:type="spellEnd"/>
      <w:r w:rsidRPr="00D064B4">
        <w:rPr>
          <w:lang w:val="bg-BG" w:eastAsia="bg-BG"/>
        </w:rPr>
        <w:t xml:space="preserve"> лекарствени продукти при възрастни).</w:t>
      </w:r>
    </w:p>
    <w:p w14:paraId="6BB2715E" w14:textId="77777777" w:rsidR="005311EE" w:rsidRPr="00D064B4" w:rsidRDefault="005311EE" w:rsidP="005311EE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В зависимост от клиничния статус, е необходимо осъществяване на симптоматично лечение и продължително проследяване на сърдечно-съдовата и белодробната функция.</w:t>
      </w:r>
    </w:p>
    <w:p w14:paraId="68143946" w14:textId="77777777" w:rsidR="005311EE" w:rsidRPr="00D064B4" w:rsidRDefault="005311EE" w:rsidP="005311EE">
      <w:pPr>
        <w:rPr>
          <w:lang w:val="bg-BG"/>
        </w:rPr>
      </w:pPr>
    </w:p>
    <w:p w14:paraId="18EF4AFE" w14:textId="77777777" w:rsidR="002C50EE" w:rsidRPr="00D064B4" w:rsidRDefault="002C50EE" w:rsidP="002C50EE">
      <w:pPr>
        <w:pStyle w:val="Heading1"/>
        <w:rPr>
          <w:lang w:val="bg-BG"/>
        </w:rPr>
      </w:pPr>
      <w:r w:rsidRPr="00D064B4">
        <w:rPr>
          <w:lang w:val="bg-BG"/>
        </w:rPr>
        <w:t>5. ФАРМАКОЛОГИЧНИ СВОЙСТВА</w:t>
      </w:r>
    </w:p>
    <w:p w14:paraId="2F1CA24E" w14:textId="682CF74B" w:rsidR="002C50EE" w:rsidRPr="00D064B4" w:rsidRDefault="002C50EE" w:rsidP="002C50EE">
      <w:pPr>
        <w:pStyle w:val="Heading2"/>
        <w:rPr>
          <w:lang w:val="bg-BG"/>
        </w:rPr>
      </w:pPr>
      <w:r w:rsidRPr="00D064B4">
        <w:rPr>
          <w:lang w:val="bg-BG"/>
        </w:rPr>
        <w:t xml:space="preserve">5.1. </w:t>
      </w:r>
      <w:proofErr w:type="spellStart"/>
      <w:r w:rsidRPr="00D064B4">
        <w:rPr>
          <w:lang w:val="bg-BG"/>
        </w:rPr>
        <w:t>Фармакодинамични</w:t>
      </w:r>
      <w:proofErr w:type="spellEnd"/>
      <w:r w:rsidRPr="00D064B4">
        <w:rPr>
          <w:lang w:val="bg-BG"/>
        </w:rPr>
        <w:t xml:space="preserve"> свойства</w:t>
      </w:r>
    </w:p>
    <w:p w14:paraId="4DF29722" w14:textId="77777777" w:rsidR="005311EE" w:rsidRPr="00D064B4" w:rsidRDefault="005311EE" w:rsidP="005311EE">
      <w:pPr>
        <w:spacing w:line="240" w:lineRule="auto"/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5FDE1414" w14:textId="0FCD318D" w:rsidR="005311EE" w:rsidRPr="00D064B4" w:rsidRDefault="005311EE" w:rsidP="005311EE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Фармакологична група: лекарства при функционални стомашно-чревни нарушения, </w:t>
      </w:r>
      <w:proofErr w:type="spellStart"/>
      <w:r w:rsidRPr="00D064B4">
        <w:rPr>
          <w:lang w:val="bg-BG" w:eastAsia="bg-BG"/>
        </w:rPr>
        <w:t>пропулсиви</w:t>
      </w:r>
      <w:proofErr w:type="spellEnd"/>
    </w:p>
    <w:p w14:paraId="65B528A4" w14:textId="77777777" w:rsidR="005311EE" w:rsidRPr="00D064B4" w:rsidRDefault="005311EE" w:rsidP="005311EE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АТС код: </w:t>
      </w:r>
      <w:r w:rsidRPr="00D064B4">
        <w:rPr>
          <w:lang w:val="bg-BG"/>
        </w:rPr>
        <w:t>A03FA01</w:t>
      </w:r>
    </w:p>
    <w:p w14:paraId="27A2135A" w14:textId="77777777" w:rsidR="005311EE" w:rsidRPr="00D064B4" w:rsidRDefault="005311EE" w:rsidP="005311EE">
      <w:pPr>
        <w:rPr>
          <w:u w:val="single"/>
          <w:lang w:val="bg-BG" w:eastAsia="bg-BG"/>
        </w:rPr>
      </w:pPr>
    </w:p>
    <w:p w14:paraId="71E51290" w14:textId="613E21C3" w:rsidR="005311EE" w:rsidRPr="00071862" w:rsidRDefault="005311EE" w:rsidP="00071862">
      <w:pPr>
        <w:pStyle w:val="Heading3"/>
        <w:rPr>
          <w:u w:val="single"/>
          <w:lang w:val="bg-BG"/>
        </w:rPr>
      </w:pPr>
      <w:r w:rsidRPr="00071862">
        <w:rPr>
          <w:u w:val="single"/>
          <w:lang w:val="bg-BG" w:eastAsia="bg-BG"/>
        </w:rPr>
        <w:lastRenderedPageBreak/>
        <w:t xml:space="preserve">Механизъм на действие и </w:t>
      </w:r>
      <w:proofErr w:type="spellStart"/>
      <w:r w:rsidRPr="00071862">
        <w:rPr>
          <w:u w:val="single"/>
          <w:lang w:val="bg-BG" w:eastAsia="bg-BG"/>
        </w:rPr>
        <w:t>фармакодинамични</w:t>
      </w:r>
      <w:proofErr w:type="spellEnd"/>
      <w:r w:rsidRPr="00071862">
        <w:rPr>
          <w:u w:val="single"/>
          <w:lang w:val="bg-BG" w:eastAsia="bg-BG"/>
        </w:rPr>
        <w:t xml:space="preserve"> ефекти</w:t>
      </w:r>
    </w:p>
    <w:p w14:paraId="7C06093B" w14:textId="77777777" w:rsidR="005311EE" w:rsidRPr="00D064B4" w:rsidRDefault="005311EE" w:rsidP="005311EE">
      <w:pPr>
        <w:rPr>
          <w:sz w:val="24"/>
          <w:szCs w:val="24"/>
          <w:lang w:val="bg-BG"/>
        </w:rPr>
      </w:pP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притежава както </w:t>
      </w:r>
      <w:proofErr w:type="spellStart"/>
      <w:r w:rsidRPr="00D064B4">
        <w:rPr>
          <w:lang w:val="bg-BG" w:eastAsia="bg-BG"/>
        </w:rPr>
        <w:t>холиномиметични</w:t>
      </w:r>
      <w:proofErr w:type="spellEnd"/>
      <w:r w:rsidRPr="00D064B4">
        <w:rPr>
          <w:lang w:val="bg-BG" w:eastAsia="bg-BG"/>
        </w:rPr>
        <w:t xml:space="preserve">, така и </w:t>
      </w:r>
      <w:proofErr w:type="spellStart"/>
      <w:r w:rsidRPr="00D064B4">
        <w:rPr>
          <w:lang w:val="bg-BG" w:eastAsia="bg-BG"/>
        </w:rPr>
        <w:t>допаминергични</w:t>
      </w:r>
      <w:proofErr w:type="spellEnd"/>
      <w:r w:rsidRPr="00D064B4">
        <w:rPr>
          <w:lang w:val="bg-BG" w:eastAsia="bg-BG"/>
        </w:rPr>
        <w:t xml:space="preserve"> свойства.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има </w:t>
      </w:r>
      <w:proofErr w:type="spellStart"/>
      <w:r w:rsidRPr="00D064B4">
        <w:rPr>
          <w:lang w:val="bg-BG" w:eastAsia="bg-BG"/>
        </w:rPr>
        <w:t>антиеметичен</w:t>
      </w:r>
      <w:proofErr w:type="spellEnd"/>
      <w:r w:rsidRPr="00D064B4">
        <w:rPr>
          <w:lang w:val="bg-BG" w:eastAsia="bg-BG"/>
        </w:rPr>
        <w:t xml:space="preserve"> ефект и усилва моториката на горната част от стомашно- чревния тракт. Увеличава амплитудата и продължителността на </w:t>
      </w:r>
      <w:proofErr w:type="spellStart"/>
      <w:r w:rsidRPr="00D064B4">
        <w:rPr>
          <w:lang w:val="bg-BG" w:eastAsia="bg-BG"/>
        </w:rPr>
        <w:t>езофагеалните</w:t>
      </w:r>
      <w:proofErr w:type="spellEnd"/>
      <w:r w:rsidRPr="00D064B4">
        <w:rPr>
          <w:lang w:val="bg-BG" w:eastAsia="bg-BG"/>
        </w:rPr>
        <w:t xml:space="preserve"> контракции, увеличава тонуса на долния </w:t>
      </w:r>
      <w:proofErr w:type="spellStart"/>
      <w:r w:rsidRPr="00D064B4">
        <w:rPr>
          <w:lang w:val="bg-BG" w:eastAsia="bg-BG"/>
        </w:rPr>
        <w:t>езофагеален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сфинктер</w:t>
      </w:r>
      <w:proofErr w:type="spellEnd"/>
      <w:r w:rsidRPr="00D064B4">
        <w:rPr>
          <w:lang w:val="bg-BG" w:eastAsia="bg-BG"/>
        </w:rPr>
        <w:t xml:space="preserve"> като предотвратява връщането на храна от стомаха и увеличава амплитудата на стомашните контракции и тонуса на стомашната мускулатура. Така улеснява изпразването на стомаха, релаксира </w:t>
      </w:r>
      <w:proofErr w:type="spellStart"/>
      <w:r w:rsidRPr="00D064B4">
        <w:rPr>
          <w:lang w:val="bg-BG" w:eastAsia="bg-BG"/>
        </w:rPr>
        <w:t>пилорния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сфинктер</w:t>
      </w:r>
      <w:proofErr w:type="spellEnd"/>
      <w:r w:rsidRPr="00D064B4">
        <w:rPr>
          <w:lang w:val="bg-BG" w:eastAsia="bg-BG"/>
        </w:rPr>
        <w:t xml:space="preserve"> и усилва перисталтиката на тънкото черво, ускорявайки преминаването на храната.</w:t>
      </w:r>
    </w:p>
    <w:p w14:paraId="0E9D246F" w14:textId="77777777" w:rsidR="005311EE" w:rsidRPr="00D064B4" w:rsidRDefault="005311EE" w:rsidP="005311EE">
      <w:pPr>
        <w:rPr>
          <w:sz w:val="24"/>
          <w:szCs w:val="24"/>
          <w:lang w:val="bg-BG"/>
        </w:rPr>
      </w:pP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преминава през кръвно-мозъчната бариера и блокира </w:t>
      </w:r>
      <w:proofErr w:type="spellStart"/>
      <w:r w:rsidRPr="00D064B4">
        <w:rPr>
          <w:lang w:val="bg-BG" w:eastAsia="bg-BG"/>
        </w:rPr>
        <w:t>допаминовите</w:t>
      </w:r>
      <w:proofErr w:type="spellEnd"/>
      <w:r w:rsidRPr="00D064B4">
        <w:rPr>
          <w:lang w:val="bg-BG" w:eastAsia="bg-BG"/>
        </w:rPr>
        <w:t xml:space="preserve"> рецептори в </w:t>
      </w:r>
      <w:proofErr w:type="spellStart"/>
      <w:r w:rsidRPr="00D064B4">
        <w:rPr>
          <w:lang w:val="bg-BG" w:eastAsia="bg-BG"/>
        </w:rPr>
        <w:t>хеморецепторната</w:t>
      </w:r>
      <w:proofErr w:type="spellEnd"/>
      <w:r w:rsidRPr="00D064B4">
        <w:rPr>
          <w:lang w:val="bg-BG" w:eastAsia="bg-BG"/>
        </w:rPr>
        <w:t xml:space="preserve"> тригер зона.</w:t>
      </w:r>
    </w:p>
    <w:p w14:paraId="117B56D6" w14:textId="77777777" w:rsidR="005311EE" w:rsidRPr="00D064B4" w:rsidRDefault="005311EE" w:rsidP="005311EE">
      <w:pPr>
        <w:rPr>
          <w:u w:val="single"/>
          <w:lang w:val="bg-BG" w:eastAsia="bg-BG"/>
        </w:rPr>
      </w:pPr>
    </w:p>
    <w:p w14:paraId="3D8B5D83" w14:textId="6E9CD3EE" w:rsidR="005311EE" w:rsidRPr="00071862" w:rsidRDefault="005311EE" w:rsidP="00071862">
      <w:pPr>
        <w:pStyle w:val="Heading3"/>
        <w:rPr>
          <w:u w:val="single"/>
          <w:lang w:val="bg-BG"/>
        </w:rPr>
      </w:pPr>
      <w:r w:rsidRPr="00071862">
        <w:rPr>
          <w:u w:val="single"/>
          <w:lang w:val="bg-BG" w:eastAsia="bg-BG"/>
        </w:rPr>
        <w:t>Клинична ефикасност и безопасност</w:t>
      </w:r>
    </w:p>
    <w:p w14:paraId="2017D708" w14:textId="43BF0F82" w:rsidR="005311EE" w:rsidRPr="00D064B4" w:rsidRDefault="005311EE" w:rsidP="005311EE">
      <w:pPr>
        <w:rPr>
          <w:lang w:val="bg-BG" w:eastAsia="bg-BG"/>
        </w:rPr>
      </w:pP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облекчава симптомите, причинени от смущения в стомашно-чревния тракт: гадене, повръщане, чувството на пълнота и тежест в стомаха и хълцане.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не проявява </w:t>
      </w:r>
      <w:proofErr w:type="spellStart"/>
      <w:r w:rsidRPr="00D064B4">
        <w:rPr>
          <w:lang w:val="bg-BG" w:eastAsia="bg-BG"/>
        </w:rPr>
        <w:t>парасимпатиколитична</w:t>
      </w:r>
      <w:proofErr w:type="spellEnd"/>
      <w:r w:rsidRPr="00D064B4">
        <w:rPr>
          <w:lang w:val="bg-BG" w:eastAsia="bg-BG"/>
        </w:rPr>
        <w:t xml:space="preserve">, </w:t>
      </w:r>
      <w:proofErr w:type="spellStart"/>
      <w:r w:rsidRPr="00D064B4">
        <w:rPr>
          <w:lang w:val="bg-BG" w:eastAsia="bg-BG"/>
        </w:rPr>
        <w:t>антихистаминна</w:t>
      </w:r>
      <w:proofErr w:type="spellEnd"/>
      <w:r w:rsidRPr="00D064B4">
        <w:rPr>
          <w:lang w:val="bg-BG" w:eastAsia="bg-BG"/>
        </w:rPr>
        <w:t xml:space="preserve">, </w:t>
      </w:r>
      <w:proofErr w:type="spellStart"/>
      <w:r w:rsidRPr="00D064B4">
        <w:rPr>
          <w:lang w:val="bg-BG" w:eastAsia="bg-BG"/>
        </w:rPr>
        <w:t>антисеротонергична</w:t>
      </w:r>
      <w:proofErr w:type="spellEnd"/>
      <w:r w:rsidRPr="00D064B4">
        <w:rPr>
          <w:lang w:val="bg-BG" w:eastAsia="bg-BG"/>
        </w:rPr>
        <w:t xml:space="preserve"> активност, поради което не влияе върху артериалното кръвно налягане, дишането или други. Има незначителен ефект върху тонуса на дебелото черво и жлъчния мехур, не повлиява отделянето на жлъчни, стомашни и панкреатични сокове.</w:t>
      </w:r>
    </w:p>
    <w:p w14:paraId="13C2B7CF" w14:textId="77777777" w:rsidR="005311EE" w:rsidRPr="00D064B4" w:rsidRDefault="005311EE" w:rsidP="005311EE">
      <w:pPr>
        <w:rPr>
          <w:lang w:val="bg-BG"/>
        </w:rPr>
      </w:pPr>
    </w:p>
    <w:p w14:paraId="788B4E5E" w14:textId="301241EA" w:rsidR="002C50EE" w:rsidRPr="00D064B4" w:rsidRDefault="002C50EE" w:rsidP="002C50EE">
      <w:pPr>
        <w:pStyle w:val="Heading2"/>
        <w:rPr>
          <w:lang w:val="bg-BG"/>
        </w:rPr>
      </w:pPr>
      <w:r w:rsidRPr="00D064B4">
        <w:rPr>
          <w:lang w:val="bg-BG"/>
        </w:rPr>
        <w:t xml:space="preserve">5.2. </w:t>
      </w:r>
      <w:proofErr w:type="spellStart"/>
      <w:r w:rsidRPr="00D064B4">
        <w:rPr>
          <w:lang w:val="bg-BG"/>
        </w:rPr>
        <w:t>Фармакокинетични</w:t>
      </w:r>
      <w:proofErr w:type="spellEnd"/>
      <w:r w:rsidRPr="00D064B4">
        <w:rPr>
          <w:lang w:val="bg-BG"/>
        </w:rPr>
        <w:t xml:space="preserve"> свойства</w:t>
      </w:r>
    </w:p>
    <w:p w14:paraId="051271CE" w14:textId="77777777" w:rsidR="005311EE" w:rsidRPr="00D064B4" w:rsidRDefault="005311EE" w:rsidP="005311EE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val="bg-BG" w:eastAsia="bg-BG"/>
        </w:rPr>
      </w:pPr>
    </w:p>
    <w:p w14:paraId="7430D743" w14:textId="7C1D249C" w:rsidR="005311EE" w:rsidRPr="00071862" w:rsidRDefault="005311EE" w:rsidP="00071862">
      <w:pPr>
        <w:pStyle w:val="Heading3"/>
        <w:rPr>
          <w:u w:val="single"/>
          <w:lang w:val="bg-BG"/>
        </w:rPr>
      </w:pPr>
      <w:r w:rsidRPr="00071862">
        <w:rPr>
          <w:u w:val="single"/>
          <w:lang w:val="bg-BG" w:eastAsia="bg-BG"/>
        </w:rPr>
        <w:t>Резорбция</w:t>
      </w:r>
    </w:p>
    <w:p w14:paraId="10BF2CD0" w14:textId="77777777" w:rsidR="005311EE" w:rsidRPr="00D064B4" w:rsidRDefault="005311EE" w:rsidP="005311EE">
      <w:pPr>
        <w:rPr>
          <w:sz w:val="24"/>
          <w:szCs w:val="24"/>
          <w:lang w:val="bg-BG"/>
        </w:rPr>
      </w:pP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се резорбира бързо и почти изцяло след перорално приложение. Абсолютната бионаличност след перорална употреба е 80 %. Максималната концентрация в плазмата се достига за 1 до 2 часа след еднократен перорален прием.</w:t>
      </w:r>
    </w:p>
    <w:p w14:paraId="5B7A7AF9" w14:textId="77777777" w:rsidR="005311EE" w:rsidRPr="00D064B4" w:rsidRDefault="005311EE" w:rsidP="005311EE">
      <w:pPr>
        <w:rPr>
          <w:lang w:val="bg-BG" w:eastAsia="bg-BG"/>
        </w:rPr>
      </w:pPr>
    </w:p>
    <w:p w14:paraId="1126EAA0" w14:textId="2FA4AC80" w:rsidR="005311EE" w:rsidRPr="00071862" w:rsidRDefault="005311EE" w:rsidP="00071862">
      <w:pPr>
        <w:pStyle w:val="Heading3"/>
        <w:rPr>
          <w:u w:val="single"/>
          <w:lang w:val="bg-BG"/>
        </w:rPr>
      </w:pPr>
      <w:r w:rsidRPr="00071862">
        <w:rPr>
          <w:u w:val="single"/>
          <w:lang w:val="bg-BG" w:eastAsia="bg-BG"/>
        </w:rPr>
        <w:t>Разпределение</w:t>
      </w:r>
    </w:p>
    <w:p w14:paraId="1D03C568" w14:textId="77777777" w:rsidR="005311EE" w:rsidRPr="00D064B4" w:rsidRDefault="005311EE" w:rsidP="005311EE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Площта под кривата концентрация-време расте линейно с доза от 20 до 100 </w:t>
      </w:r>
      <w:proofErr w:type="spellStart"/>
      <w:r w:rsidRPr="00D064B4">
        <w:rPr>
          <w:lang w:val="bg-BG"/>
        </w:rPr>
        <w:t>mg</w:t>
      </w:r>
      <w:proofErr w:type="spellEnd"/>
      <w:r w:rsidRPr="00D064B4">
        <w:rPr>
          <w:lang w:val="bg-BG"/>
        </w:rPr>
        <w:t xml:space="preserve">. </w:t>
      </w:r>
      <w:r w:rsidRPr="00D064B4">
        <w:rPr>
          <w:lang w:val="bg-BG" w:eastAsia="bg-BG"/>
        </w:rPr>
        <w:t xml:space="preserve">Максималната концентрация нараства линейно с дозата; времето, необходимо за достигане на максималната концентрация остава същото; общият клирънс остава непроменен; и степента на отделянето остава същата. Приблизително 30 % от приложената доза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се свързва с плазмените протеини. Общият обем на разпределение е висок (3,5 </w:t>
      </w:r>
      <w:r w:rsidRPr="00D064B4">
        <w:rPr>
          <w:lang w:val="bg-BG"/>
        </w:rPr>
        <w:t>1/</w:t>
      </w:r>
      <w:proofErr w:type="spellStart"/>
      <w:r w:rsidRPr="00D064B4">
        <w:rPr>
          <w:lang w:val="bg-BG"/>
        </w:rPr>
        <w:t>kg</w:t>
      </w:r>
      <w:proofErr w:type="spellEnd"/>
      <w:r w:rsidRPr="00D064B4">
        <w:rPr>
          <w:lang w:val="bg-BG"/>
        </w:rPr>
        <w:t xml:space="preserve">), </w:t>
      </w:r>
      <w:r w:rsidRPr="00D064B4">
        <w:rPr>
          <w:lang w:val="bg-BG" w:eastAsia="bg-BG"/>
        </w:rPr>
        <w:t xml:space="preserve">което осигурява отличното разпределение на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в тъканите.</w:t>
      </w:r>
    </w:p>
    <w:p w14:paraId="3441FBDA" w14:textId="77777777" w:rsidR="005311EE" w:rsidRPr="00D064B4" w:rsidRDefault="005311EE" w:rsidP="005311EE">
      <w:pPr>
        <w:rPr>
          <w:lang w:val="bg-BG" w:eastAsia="bg-BG"/>
        </w:rPr>
      </w:pPr>
    </w:p>
    <w:p w14:paraId="34B8F2FC" w14:textId="04CC7F72" w:rsidR="005311EE" w:rsidRPr="00071862" w:rsidRDefault="005311EE" w:rsidP="00071862">
      <w:pPr>
        <w:pStyle w:val="Heading3"/>
        <w:rPr>
          <w:u w:val="single"/>
          <w:lang w:val="bg-BG"/>
        </w:rPr>
      </w:pPr>
      <w:r w:rsidRPr="00071862">
        <w:rPr>
          <w:u w:val="single"/>
          <w:lang w:val="bg-BG" w:eastAsia="bg-BG"/>
        </w:rPr>
        <w:t>Биотрансформация и елиминиране</w:t>
      </w:r>
    </w:p>
    <w:p w14:paraId="47776CF3" w14:textId="62679FF4" w:rsidR="005311EE" w:rsidRPr="00D064B4" w:rsidRDefault="005311EE" w:rsidP="005311EE">
      <w:pPr>
        <w:rPr>
          <w:lang w:val="bg-BG" w:eastAsia="bg-BG"/>
        </w:rPr>
      </w:pPr>
      <w:r w:rsidRPr="00D064B4">
        <w:rPr>
          <w:lang w:val="bg-BG" w:eastAsia="bg-BG"/>
        </w:rPr>
        <w:t xml:space="preserve">Приблизително 85 % от приложената перорално доза се излъчва с урината за 72 часа. Половината е свободен или </w:t>
      </w:r>
      <w:proofErr w:type="spellStart"/>
      <w:r w:rsidRPr="00D064B4">
        <w:rPr>
          <w:lang w:val="bg-BG" w:eastAsia="bg-BG"/>
        </w:rPr>
        <w:t>конюгиран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. </w:t>
      </w:r>
      <w:proofErr w:type="spellStart"/>
      <w:r w:rsidRPr="00D064B4">
        <w:rPr>
          <w:lang w:val="bg-BG" w:eastAsia="bg-BG"/>
        </w:rPr>
        <w:t>Елиминационнят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полуживот</w:t>
      </w:r>
      <w:proofErr w:type="spellEnd"/>
      <w:r w:rsidRPr="00D064B4">
        <w:rPr>
          <w:lang w:val="bg-BG" w:eastAsia="bg-BG"/>
        </w:rPr>
        <w:t xml:space="preserve"> при хора с нормална функция на бъбреците е 5 до 6 часа.</w:t>
      </w:r>
    </w:p>
    <w:p w14:paraId="3C70319A" w14:textId="372BB23E" w:rsidR="005311EE" w:rsidRPr="00D064B4" w:rsidRDefault="005311EE" w:rsidP="005311EE">
      <w:pPr>
        <w:rPr>
          <w:lang w:val="bg-BG" w:eastAsia="bg-BG"/>
        </w:rPr>
      </w:pPr>
    </w:p>
    <w:p w14:paraId="6411C66E" w14:textId="77777777" w:rsidR="005311EE" w:rsidRPr="00D064B4" w:rsidRDefault="005311EE" w:rsidP="005311EE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Намалената функция на бъбреците влияе върху </w:t>
      </w:r>
      <w:proofErr w:type="spellStart"/>
      <w:r w:rsidRPr="00D064B4">
        <w:rPr>
          <w:lang w:val="bg-BG" w:eastAsia="bg-BG"/>
        </w:rPr>
        <w:t>клирънса</w:t>
      </w:r>
      <w:proofErr w:type="spellEnd"/>
      <w:r w:rsidRPr="00D064B4">
        <w:rPr>
          <w:lang w:val="bg-BG" w:eastAsia="bg-BG"/>
        </w:rPr>
        <w:t xml:space="preserve"> на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; намаление на </w:t>
      </w:r>
      <w:proofErr w:type="spellStart"/>
      <w:r w:rsidRPr="00D064B4">
        <w:rPr>
          <w:lang w:val="bg-BG" w:eastAsia="bg-BG"/>
        </w:rPr>
        <w:t>креатининовия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клирънс</w:t>
      </w:r>
      <w:proofErr w:type="spellEnd"/>
      <w:r w:rsidRPr="00D064B4">
        <w:rPr>
          <w:lang w:val="bg-BG" w:eastAsia="bg-BG"/>
        </w:rPr>
        <w:t xml:space="preserve"> е свързано с намаляване на плазмения и бъбречния клирънс, небъбречния клирънс и увеличаване на елиминационния полуживот. Намаляването на </w:t>
      </w:r>
      <w:proofErr w:type="spellStart"/>
      <w:r w:rsidRPr="00D064B4">
        <w:rPr>
          <w:lang w:val="bg-BG" w:eastAsia="bg-BG"/>
        </w:rPr>
        <w:t>клирънса</w:t>
      </w:r>
      <w:proofErr w:type="spellEnd"/>
      <w:r w:rsidRPr="00D064B4">
        <w:rPr>
          <w:lang w:val="bg-BG" w:eastAsia="bg-BG"/>
        </w:rPr>
        <w:t xml:space="preserve"> при намалена функция на бъбреците доказва, че дозата трябва да се коригира, за да се избегне кумулацията на лекарството.</w:t>
      </w:r>
    </w:p>
    <w:p w14:paraId="77B2AD5C" w14:textId="77777777" w:rsidR="005311EE" w:rsidRPr="00D064B4" w:rsidRDefault="005311EE" w:rsidP="005311EE">
      <w:pPr>
        <w:rPr>
          <w:i/>
          <w:iCs/>
          <w:lang w:val="bg-BG" w:eastAsia="bg-BG"/>
        </w:rPr>
      </w:pPr>
    </w:p>
    <w:p w14:paraId="18F65F3A" w14:textId="28BD0D44" w:rsidR="005311EE" w:rsidRPr="00071862" w:rsidRDefault="005311EE" w:rsidP="00071862">
      <w:pPr>
        <w:pStyle w:val="Heading3"/>
        <w:rPr>
          <w:i/>
          <w:iCs/>
          <w:lang w:val="bg-BG"/>
        </w:rPr>
      </w:pPr>
      <w:r w:rsidRPr="00071862">
        <w:rPr>
          <w:i/>
          <w:iCs/>
          <w:lang w:val="bg-BG" w:eastAsia="bg-BG"/>
        </w:rPr>
        <w:t>Бъбречно увреждане</w:t>
      </w:r>
    </w:p>
    <w:p w14:paraId="3EAFF1D0" w14:textId="77777777" w:rsidR="005311EE" w:rsidRPr="00D064B4" w:rsidRDefault="005311EE" w:rsidP="005311EE">
      <w:pPr>
        <w:rPr>
          <w:sz w:val="24"/>
          <w:szCs w:val="24"/>
          <w:lang w:val="bg-BG"/>
        </w:rPr>
      </w:pPr>
      <w:proofErr w:type="spellStart"/>
      <w:r w:rsidRPr="00D064B4">
        <w:rPr>
          <w:lang w:val="bg-BG" w:eastAsia="bg-BG"/>
        </w:rPr>
        <w:t>Клирънсът</w:t>
      </w:r>
      <w:proofErr w:type="spellEnd"/>
      <w:r w:rsidRPr="00D064B4">
        <w:rPr>
          <w:lang w:val="bg-BG" w:eastAsia="bg-BG"/>
        </w:rPr>
        <w:t xml:space="preserve"> на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е понижен с до 70% при пациенти с тежко бъбречно увреждане, докато елиминационният плазмен полуживот е удължен (приблизително 10 часа за </w:t>
      </w:r>
      <w:proofErr w:type="spellStart"/>
      <w:r w:rsidRPr="00D064B4">
        <w:rPr>
          <w:lang w:val="bg-BG" w:eastAsia="bg-BG"/>
        </w:rPr>
        <w:t>креатининов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клирънс</w:t>
      </w:r>
      <w:proofErr w:type="spellEnd"/>
      <w:r w:rsidRPr="00D064B4">
        <w:rPr>
          <w:lang w:val="bg-BG" w:eastAsia="bg-BG"/>
        </w:rPr>
        <w:t xml:space="preserve"> от 10-50 </w:t>
      </w:r>
      <w:r w:rsidRPr="00D064B4">
        <w:rPr>
          <w:lang w:val="bg-BG"/>
        </w:rPr>
        <w:t>ml</w:t>
      </w:r>
      <w:r w:rsidRPr="00D064B4">
        <w:rPr>
          <w:lang w:val="bg-BG" w:eastAsia="bg-BG"/>
        </w:rPr>
        <w:t xml:space="preserve">/минута и 15 часа за </w:t>
      </w:r>
      <w:proofErr w:type="spellStart"/>
      <w:r w:rsidRPr="00D064B4">
        <w:rPr>
          <w:lang w:val="bg-BG" w:eastAsia="bg-BG"/>
        </w:rPr>
        <w:t>креатининов</w:t>
      </w:r>
      <w:proofErr w:type="spellEnd"/>
      <w:r w:rsidRPr="00D064B4">
        <w:rPr>
          <w:lang w:val="bg-BG" w:eastAsia="bg-BG"/>
        </w:rPr>
        <w:t xml:space="preserve"> </w:t>
      </w:r>
      <w:proofErr w:type="spellStart"/>
      <w:r w:rsidRPr="00D064B4">
        <w:rPr>
          <w:lang w:val="bg-BG" w:eastAsia="bg-BG"/>
        </w:rPr>
        <w:t>клирънс</w:t>
      </w:r>
      <w:proofErr w:type="spellEnd"/>
      <w:r w:rsidRPr="00D064B4">
        <w:rPr>
          <w:lang w:val="bg-BG" w:eastAsia="bg-BG"/>
        </w:rPr>
        <w:t xml:space="preserve"> &lt;10 </w:t>
      </w:r>
      <w:r w:rsidRPr="00D064B4">
        <w:rPr>
          <w:lang w:val="bg-BG"/>
        </w:rPr>
        <w:t>ml</w:t>
      </w:r>
      <w:r w:rsidRPr="00D064B4">
        <w:rPr>
          <w:lang w:val="bg-BG" w:eastAsia="bg-BG"/>
        </w:rPr>
        <w:t>/минута).</w:t>
      </w:r>
    </w:p>
    <w:p w14:paraId="65D84486" w14:textId="77777777" w:rsidR="005311EE" w:rsidRPr="00D064B4" w:rsidRDefault="005311EE" w:rsidP="005311EE">
      <w:pPr>
        <w:rPr>
          <w:i/>
          <w:iCs/>
          <w:lang w:val="bg-BG" w:eastAsia="bg-BG"/>
        </w:rPr>
      </w:pPr>
    </w:p>
    <w:p w14:paraId="7EDC85CF" w14:textId="1CB1A373" w:rsidR="005311EE" w:rsidRPr="00071862" w:rsidRDefault="005311EE" w:rsidP="00071862">
      <w:pPr>
        <w:pStyle w:val="Heading3"/>
        <w:rPr>
          <w:i/>
          <w:iCs/>
          <w:lang w:val="bg-BG"/>
        </w:rPr>
      </w:pPr>
      <w:r w:rsidRPr="00071862">
        <w:rPr>
          <w:i/>
          <w:iCs/>
          <w:lang w:val="bg-BG" w:eastAsia="bg-BG"/>
        </w:rPr>
        <w:t>Чернодробно увреждане</w:t>
      </w:r>
    </w:p>
    <w:p w14:paraId="2261D170" w14:textId="34C9A90A" w:rsidR="005311EE" w:rsidRPr="00D064B4" w:rsidRDefault="005311EE" w:rsidP="005311EE">
      <w:pPr>
        <w:rPr>
          <w:lang w:val="bg-BG" w:eastAsia="bg-BG"/>
        </w:rPr>
      </w:pPr>
      <w:r w:rsidRPr="00D064B4">
        <w:rPr>
          <w:lang w:val="bg-BG" w:eastAsia="bg-BG"/>
        </w:rPr>
        <w:t xml:space="preserve">При пациенти с цироза на черния дроб, е наблюдавано </w:t>
      </w:r>
      <w:proofErr w:type="spellStart"/>
      <w:r w:rsidRPr="00D064B4">
        <w:rPr>
          <w:lang w:val="bg-BG" w:eastAsia="bg-BG"/>
        </w:rPr>
        <w:t>кумулиране</w:t>
      </w:r>
      <w:proofErr w:type="spellEnd"/>
      <w:r w:rsidRPr="00D064B4">
        <w:rPr>
          <w:lang w:val="bg-BG" w:eastAsia="bg-BG"/>
        </w:rPr>
        <w:t xml:space="preserve"> на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>, свързано с 50% намаление на плазмения клирънс.</w:t>
      </w:r>
    </w:p>
    <w:p w14:paraId="3766AEBD" w14:textId="77777777" w:rsidR="005311EE" w:rsidRPr="00D064B4" w:rsidRDefault="005311EE" w:rsidP="005311EE">
      <w:pPr>
        <w:rPr>
          <w:lang w:val="bg-BG"/>
        </w:rPr>
      </w:pPr>
    </w:p>
    <w:p w14:paraId="134A69A8" w14:textId="794A54C9" w:rsidR="002C50EE" w:rsidRPr="00D064B4" w:rsidRDefault="002C50EE" w:rsidP="002C50EE">
      <w:pPr>
        <w:pStyle w:val="Heading2"/>
        <w:rPr>
          <w:lang w:val="bg-BG"/>
        </w:rPr>
      </w:pPr>
      <w:r w:rsidRPr="00D064B4">
        <w:rPr>
          <w:lang w:val="bg-BG"/>
        </w:rPr>
        <w:t>5.3. Предклинични данни за безопасност</w:t>
      </w:r>
    </w:p>
    <w:p w14:paraId="581B3D13" w14:textId="77777777" w:rsidR="005311EE" w:rsidRPr="00D064B4" w:rsidRDefault="005311EE" w:rsidP="005311EE">
      <w:pPr>
        <w:spacing w:line="240" w:lineRule="auto"/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7D1C01FF" w14:textId="2D66B42F" w:rsidR="005311EE" w:rsidRPr="00D064B4" w:rsidRDefault="005311EE" w:rsidP="005311EE">
      <w:pPr>
        <w:rPr>
          <w:sz w:val="24"/>
          <w:szCs w:val="24"/>
          <w:lang w:val="bg-BG"/>
        </w:rPr>
      </w:pP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повишава концентрацията на </w:t>
      </w:r>
      <w:proofErr w:type="spellStart"/>
      <w:r w:rsidRPr="00D064B4">
        <w:rPr>
          <w:lang w:val="bg-BG" w:eastAsia="bg-BG"/>
        </w:rPr>
        <w:t>пролактина</w:t>
      </w:r>
      <w:proofErr w:type="spellEnd"/>
      <w:r w:rsidRPr="00D064B4">
        <w:rPr>
          <w:lang w:val="bg-BG" w:eastAsia="bg-BG"/>
        </w:rPr>
        <w:t xml:space="preserve"> и това се запазва при продължителна употреба на лекарството.</w:t>
      </w:r>
    </w:p>
    <w:p w14:paraId="3685926B" w14:textId="77777777" w:rsidR="005311EE" w:rsidRPr="00D064B4" w:rsidRDefault="005311EE" w:rsidP="005311EE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Експериментални изследвания върху </w:t>
      </w:r>
      <w:proofErr w:type="spellStart"/>
      <w:r w:rsidRPr="00D064B4">
        <w:rPr>
          <w:lang w:val="bg-BG" w:eastAsia="bg-BG"/>
        </w:rPr>
        <w:t>тьканни</w:t>
      </w:r>
      <w:proofErr w:type="spellEnd"/>
      <w:r w:rsidRPr="00D064B4">
        <w:rPr>
          <w:lang w:val="bg-BG" w:eastAsia="bg-BG"/>
        </w:rPr>
        <w:t xml:space="preserve"> култури показват, че приблизително една трета от карциномите на млечната жлеза са зависими от </w:t>
      </w:r>
      <w:proofErr w:type="spellStart"/>
      <w:r w:rsidRPr="00D064B4">
        <w:rPr>
          <w:lang w:val="bg-BG" w:eastAsia="bg-BG"/>
        </w:rPr>
        <w:t>пролактина</w:t>
      </w:r>
      <w:proofErr w:type="spellEnd"/>
      <w:r w:rsidRPr="00D064B4">
        <w:rPr>
          <w:lang w:val="bg-BG" w:eastAsia="bg-BG"/>
        </w:rPr>
        <w:t xml:space="preserve">. Този факт е от голямо значение, когато се решава да се предпише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на пациентка с доказан карцином на млечната жлеза. Въпреки че, при употреба на лекарства, които повишават концентрацията на </w:t>
      </w:r>
      <w:proofErr w:type="spellStart"/>
      <w:r w:rsidRPr="00D064B4">
        <w:rPr>
          <w:lang w:val="bg-BG" w:eastAsia="bg-BG"/>
        </w:rPr>
        <w:t>пролактин</w:t>
      </w:r>
      <w:proofErr w:type="spellEnd"/>
      <w:r w:rsidRPr="00D064B4">
        <w:rPr>
          <w:lang w:val="bg-BG" w:eastAsia="bg-BG"/>
        </w:rPr>
        <w:t xml:space="preserve"> в серума, могат да се появяват смущения като </w:t>
      </w:r>
      <w:proofErr w:type="spellStart"/>
      <w:r w:rsidRPr="00D064B4">
        <w:rPr>
          <w:lang w:val="bg-BG" w:eastAsia="bg-BG"/>
        </w:rPr>
        <w:t>галакторея</w:t>
      </w:r>
      <w:proofErr w:type="spellEnd"/>
      <w:r w:rsidRPr="00D064B4">
        <w:rPr>
          <w:lang w:val="bg-BG" w:eastAsia="bg-BG"/>
        </w:rPr>
        <w:t xml:space="preserve">, </w:t>
      </w:r>
      <w:proofErr w:type="spellStart"/>
      <w:r w:rsidRPr="00D064B4">
        <w:rPr>
          <w:lang w:val="bg-BG" w:eastAsia="bg-BG"/>
        </w:rPr>
        <w:t>аменорея</w:t>
      </w:r>
      <w:proofErr w:type="spellEnd"/>
      <w:r w:rsidRPr="00D064B4">
        <w:rPr>
          <w:lang w:val="bg-BG" w:eastAsia="bg-BG"/>
        </w:rPr>
        <w:t xml:space="preserve">, </w:t>
      </w:r>
      <w:proofErr w:type="spellStart"/>
      <w:r w:rsidRPr="00D064B4">
        <w:rPr>
          <w:lang w:val="bg-BG" w:eastAsia="bg-BG"/>
        </w:rPr>
        <w:t>гинекомастия</w:t>
      </w:r>
      <w:proofErr w:type="spellEnd"/>
      <w:r w:rsidRPr="00D064B4">
        <w:rPr>
          <w:lang w:val="bg-BG" w:eastAsia="bg-BG"/>
        </w:rPr>
        <w:t xml:space="preserve"> и импотентност, при повечето болни няма данни за значително клинично повишаване на </w:t>
      </w:r>
      <w:proofErr w:type="spellStart"/>
      <w:r w:rsidRPr="00D064B4">
        <w:rPr>
          <w:lang w:val="bg-BG" w:eastAsia="bg-BG"/>
        </w:rPr>
        <w:t>пролактин</w:t>
      </w:r>
      <w:proofErr w:type="spellEnd"/>
      <w:r w:rsidRPr="00D064B4">
        <w:rPr>
          <w:lang w:val="bg-BG" w:eastAsia="bg-BG"/>
        </w:rPr>
        <w:t xml:space="preserve"> в серума. След продължително използване на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или на лекарства, стимулиращи излъчването на </w:t>
      </w:r>
      <w:proofErr w:type="spellStart"/>
      <w:r w:rsidRPr="00D064B4">
        <w:rPr>
          <w:lang w:val="bg-BG" w:eastAsia="bg-BG"/>
        </w:rPr>
        <w:t>пролактин</w:t>
      </w:r>
      <w:proofErr w:type="spellEnd"/>
      <w:r w:rsidRPr="00D064B4">
        <w:rPr>
          <w:lang w:val="bg-BG" w:eastAsia="bg-BG"/>
        </w:rPr>
        <w:t xml:space="preserve">, при гризачи се наблюдава увеличаване честотата на </w:t>
      </w:r>
      <w:proofErr w:type="spellStart"/>
      <w:r w:rsidRPr="00D064B4">
        <w:rPr>
          <w:lang w:val="bg-BG" w:eastAsia="bg-BG"/>
        </w:rPr>
        <w:t>неоплазмите</w:t>
      </w:r>
      <w:proofErr w:type="spellEnd"/>
      <w:r w:rsidRPr="00D064B4">
        <w:rPr>
          <w:lang w:val="bg-BG" w:eastAsia="bg-BG"/>
        </w:rPr>
        <w:t>. Както при клинични, така и при епидемиологични проучвания досега не беше потвърдена връзка между продължителното използване на тези лекарства и развитие на тумори на млечните жлези; досегашните доказателства не са достатъчни, за да се направят заключения.</w:t>
      </w:r>
    </w:p>
    <w:p w14:paraId="0804EBF1" w14:textId="77777777" w:rsidR="005311EE" w:rsidRPr="00D064B4" w:rsidRDefault="005311EE" w:rsidP="005311EE">
      <w:pPr>
        <w:rPr>
          <w:b/>
          <w:bCs/>
          <w:lang w:val="bg-BG" w:eastAsia="bg-BG"/>
        </w:rPr>
      </w:pPr>
    </w:p>
    <w:p w14:paraId="3D4ED33C" w14:textId="4AF7304E" w:rsidR="005311EE" w:rsidRPr="00D064B4" w:rsidRDefault="005311EE" w:rsidP="005311EE">
      <w:pPr>
        <w:rPr>
          <w:sz w:val="24"/>
          <w:szCs w:val="24"/>
          <w:lang w:val="bg-BG"/>
        </w:rPr>
      </w:pPr>
      <w:r w:rsidRPr="00D064B4">
        <w:rPr>
          <w:b/>
          <w:bCs/>
          <w:lang w:val="bg-BG" w:eastAsia="bg-BG"/>
        </w:rPr>
        <w:t>Остра токсичност</w:t>
      </w:r>
    </w:p>
    <w:p w14:paraId="140A7FC3" w14:textId="77777777" w:rsidR="005311EE" w:rsidRPr="00D064B4" w:rsidRDefault="005311EE" w:rsidP="005311EE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 xml:space="preserve">Стойностите на </w:t>
      </w:r>
      <w:r w:rsidRPr="00D064B4">
        <w:rPr>
          <w:lang w:val="bg-BG"/>
        </w:rPr>
        <w:t xml:space="preserve">LD50 </w:t>
      </w:r>
      <w:r w:rsidRPr="00D064B4">
        <w:rPr>
          <w:lang w:val="bg-BG" w:eastAsia="bg-BG"/>
        </w:rPr>
        <w:t>при мишки са 100-1000 пъти по-високи от терапевтичните дози прилагани при човек.</w:t>
      </w:r>
    </w:p>
    <w:p w14:paraId="7EC09BFA" w14:textId="77777777" w:rsidR="005311EE" w:rsidRPr="00D064B4" w:rsidRDefault="005311EE" w:rsidP="005311EE">
      <w:pPr>
        <w:rPr>
          <w:b/>
          <w:bCs/>
          <w:lang w:val="bg-BG" w:eastAsia="bg-BG"/>
        </w:rPr>
      </w:pPr>
    </w:p>
    <w:p w14:paraId="71D422F2" w14:textId="3FDC3A97" w:rsidR="005311EE" w:rsidRPr="00D064B4" w:rsidRDefault="005311EE" w:rsidP="005311EE">
      <w:pPr>
        <w:rPr>
          <w:sz w:val="24"/>
          <w:szCs w:val="24"/>
          <w:lang w:val="bg-BG"/>
        </w:rPr>
      </w:pPr>
      <w:proofErr w:type="spellStart"/>
      <w:r w:rsidRPr="00D064B4">
        <w:rPr>
          <w:b/>
          <w:bCs/>
          <w:lang w:val="bg-BG" w:eastAsia="bg-BG"/>
        </w:rPr>
        <w:t>Мутагеиност</w:t>
      </w:r>
      <w:proofErr w:type="spellEnd"/>
    </w:p>
    <w:p w14:paraId="724D8636" w14:textId="77777777" w:rsidR="005311EE" w:rsidRPr="00D064B4" w:rsidRDefault="005311EE" w:rsidP="005311EE">
      <w:pPr>
        <w:rPr>
          <w:sz w:val="24"/>
          <w:szCs w:val="24"/>
          <w:lang w:val="bg-BG"/>
        </w:rPr>
      </w:pPr>
      <w:proofErr w:type="spellStart"/>
      <w:r w:rsidRPr="00D064B4">
        <w:rPr>
          <w:lang w:val="bg-BG"/>
        </w:rPr>
        <w:t>Ames</w:t>
      </w:r>
      <w:proofErr w:type="spellEnd"/>
      <w:r w:rsidRPr="00D064B4">
        <w:rPr>
          <w:lang w:val="bg-BG"/>
        </w:rPr>
        <w:t xml:space="preserve"> </w:t>
      </w:r>
      <w:r w:rsidRPr="00D064B4">
        <w:rPr>
          <w:lang w:val="bg-BG" w:eastAsia="bg-BG"/>
        </w:rPr>
        <w:t xml:space="preserve">теста за </w:t>
      </w:r>
      <w:proofErr w:type="spellStart"/>
      <w:r w:rsidRPr="00D064B4">
        <w:rPr>
          <w:lang w:val="bg-BG" w:eastAsia="bg-BG"/>
        </w:rPr>
        <w:t>мутагеиност</w:t>
      </w:r>
      <w:proofErr w:type="spellEnd"/>
      <w:r w:rsidRPr="00D064B4">
        <w:rPr>
          <w:lang w:val="bg-BG" w:eastAsia="bg-BG"/>
        </w:rPr>
        <w:t xml:space="preserve">, направен с </w:t>
      </w: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>, е отрицателен.</w:t>
      </w:r>
    </w:p>
    <w:p w14:paraId="55CCD07A" w14:textId="77777777" w:rsidR="005311EE" w:rsidRPr="00D064B4" w:rsidRDefault="005311EE" w:rsidP="005311EE">
      <w:pPr>
        <w:rPr>
          <w:b/>
          <w:bCs/>
          <w:lang w:val="bg-BG" w:eastAsia="bg-BG"/>
        </w:rPr>
      </w:pPr>
      <w:bookmarkStart w:id="3" w:name="bookmark4"/>
    </w:p>
    <w:p w14:paraId="2322BFD4" w14:textId="3E2CBFF4" w:rsidR="005311EE" w:rsidRPr="00D064B4" w:rsidRDefault="005311EE" w:rsidP="005311EE">
      <w:pPr>
        <w:rPr>
          <w:sz w:val="24"/>
          <w:szCs w:val="24"/>
          <w:lang w:val="bg-BG"/>
        </w:rPr>
      </w:pPr>
      <w:proofErr w:type="spellStart"/>
      <w:r w:rsidRPr="00D064B4">
        <w:rPr>
          <w:b/>
          <w:bCs/>
          <w:lang w:val="bg-BG" w:eastAsia="bg-BG"/>
        </w:rPr>
        <w:t>Тератогенност</w:t>
      </w:r>
      <w:bookmarkEnd w:id="3"/>
      <w:proofErr w:type="spellEnd"/>
    </w:p>
    <w:p w14:paraId="33A391D7" w14:textId="0725E563" w:rsidR="005311EE" w:rsidRPr="00D064B4" w:rsidRDefault="005311EE" w:rsidP="005311EE">
      <w:pPr>
        <w:rPr>
          <w:lang w:val="bg-BG"/>
        </w:rPr>
      </w:pPr>
      <w:proofErr w:type="spellStart"/>
      <w:r w:rsidRPr="00D064B4">
        <w:rPr>
          <w:lang w:val="bg-BG" w:eastAsia="bg-BG"/>
        </w:rPr>
        <w:t>Метоклопрамид</w:t>
      </w:r>
      <w:proofErr w:type="spellEnd"/>
      <w:r w:rsidRPr="00D064B4">
        <w:rPr>
          <w:lang w:val="bg-BG" w:eastAsia="bg-BG"/>
        </w:rPr>
        <w:t xml:space="preserve"> няма </w:t>
      </w:r>
      <w:proofErr w:type="spellStart"/>
      <w:r w:rsidRPr="00D064B4">
        <w:rPr>
          <w:lang w:val="bg-BG" w:eastAsia="bg-BG"/>
        </w:rPr>
        <w:t>тератогешю</w:t>
      </w:r>
      <w:proofErr w:type="spellEnd"/>
      <w:r w:rsidRPr="00D064B4">
        <w:rPr>
          <w:lang w:val="bg-BG" w:eastAsia="bg-BG"/>
        </w:rPr>
        <w:t xml:space="preserve"> действие.</w:t>
      </w:r>
    </w:p>
    <w:p w14:paraId="28C40F19" w14:textId="2802DF1D" w:rsidR="002C50EE" w:rsidRPr="00D064B4" w:rsidRDefault="002C50EE" w:rsidP="002C50EE">
      <w:pPr>
        <w:pStyle w:val="Heading1"/>
        <w:rPr>
          <w:lang w:val="bg-BG"/>
        </w:rPr>
      </w:pPr>
      <w:r w:rsidRPr="00D064B4">
        <w:rPr>
          <w:lang w:val="bg-BG"/>
        </w:rPr>
        <w:t>7. ПРИТЕЖАТЕЛ НА РАЗРЕШЕНИЕТО ЗА УПОТРЕБА</w:t>
      </w:r>
    </w:p>
    <w:p w14:paraId="50211E13" w14:textId="77777777" w:rsidR="005311EE" w:rsidRPr="00D064B4" w:rsidRDefault="005311EE" w:rsidP="005311EE">
      <w:pPr>
        <w:rPr>
          <w:sz w:val="24"/>
          <w:szCs w:val="24"/>
          <w:lang w:val="bg-BG"/>
        </w:rPr>
      </w:pPr>
      <w:proofErr w:type="spellStart"/>
      <w:r w:rsidRPr="00D064B4">
        <w:rPr>
          <w:lang w:val="bg-BG"/>
        </w:rPr>
        <w:t>Lek</w:t>
      </w:r>
      <w:proofErr w:type="spellEnd"/>
      <w:r w:rsidRPr="00D064B4">
        <w:rPr>
          <w:lang w:val="bg-BG"/>
        </w:rPr>
        <w:t xml:space="preserve"> </w:t>
      </w:r>
      <w:proofErr w:type="spellStart"/>
      <w:r w:rsidRPr="00D064B4">
        <w:rPr>
          <w:lang w:val="bg-BG"/>
        </w:rPr>
        <w:t>Pharmaceuticals</w:t>
      </w:r>
      <w:proofErr w:type="spellEnd"/>
      <w:r w:rsidRPr="00D064B4">
        <w:rPr>
          <w:lang w:val="bg-BG"/>
        </w:rPr>
        <w:t xml:space="preserve"> </w:t>
      </w:r>
      <w:proofErr w:type="spellStart"/>
      <w:r w:rsidRPr="00D064B4">
        <w:rPr>
          <w:lang w:val="bg-BG"/>
        </w:rPr>
        <w:t>d.d</w:t>
      </w:r>
      <w:proofErr w:type="spellEnd"/>
      <w:r w:rsidRPr="00D064B4">
        <w:rPr>
          <w:lang w:val="bg-BG"/>
        </w:rPr>
        <w:t>.</w:t>
      </w:r>
    </w:p>
    <w:p w14:paraId="218BA794" w14:textId="77777777" w:rsidR="005311EE" w:rsidRPr="00D064B4" w:rsidRDefault="005311EE" w:rsidP="005311EE">
      <w:pPr>
        <w:rPr>
          <w:sz w:val="24"/>
          <w:szCs w:val="24"/>
          <w:lang w:val="bg-BG"/>
        </w:rPr>
      </w:pPr>
      <w:proofErr w:type="spellStart"/>
      <w:r w:rsidRPr="00D064B4">
        <w:rPr>
          <w:lang w:val="bg-BG"/>
        </w:rPr>
        <w:t>Verovskova</w:t>
      </w:r>
      <w:proofErr w:type="spellEnd"/>
      <w:r w:rsidRPr="00D064B4">
        <w:rPr>
          <w:lang w:val="bg-BG"/>
        </w:rPr>
        <w:t xml:space="preserve"> 57, </w:t>
      </w:r>
      <w:proofErr w:type="spellStart"/>
      <w:r w:rsidRPr="00D064B4">
        <w:rPr>
          <w:lang w:val="bg-BG"/>
        </w:rPr>
        <w:t>Ljubljana</w:t>
      </w:r>
      <w:proofErr w:type="spellEnd"/>
      <w:r w:rsidRPr="00D064B4">
        <w:rPr>
          <w:lang w:val="bg-BG"/>
        </w:rPr>
        <w:t xml:space="preserve">, </w:t>
      </w:r>
      <w:r w:rsidRPr="00D064B4">
        <w:rPr>
          <w:lang w:val="bg-BG" w:eastAsia="bg-BG"/>
        </w:rPr>
        <w:t>Словения</w:t>
      </w:r>
    </w:p>
    <w:p w14:paraId="113633E1" w14:textId="77777777" w:rsidR="005311EE" w:rsidRPr="00D064B4" w:rsidRDefault="005311EE" w:rsidP="005311EE">
      <w:pPr>
        <w:rPr>
          <w:lang w:val="bg-BG"/>
        </w:rPr>
      </w:pPr>
    </w:p>
    <w:p w14:paraId="04840D59" w14:textId="05A8A918" w:rsidR="002C50EE" w:rsidRPr="00D064B4" w:rsidRDefault="002C50EE" w:rsidP="002C50EE">
      <w:pPr>
        <w:pStyle w:val="Heading1"/>
        <w:rPr>
          <w:lang w:val="bg-BG"/>
        </w:rPr>
      </w:pPr>
      <w:r w:rsidRPr="00D064B4">
        <w:rPr>
          <w:lang w:val="bg-BG"/>
        </w:rPr>
        <w:t>8. НОМЕР НА РАЗРЕШЕНИЕТО ЗА УПОТРЕБА</w:t>
      </w:r>
    </w:p>
    <w:p w14:paraId="326BA668" w14:textId="7DDFAF8E" w:rsidR="005311EE" w:rsidRPr="00D064B4" w:rsidRDefault="005311EE" w:rsidP="005311EE">
      <w:pPr>
        <w:rPr>
          <w:lang w:val="bg-BG"/>
        </w:rPr>
      </w:pPr>
      <w:proofErr w:type="spellStart"/>
      <w:r w:rsidRPr="00D064B4">
        <w:rPr>
          <w:lang w:val="bg-BG"/>
        </w:rPr>
        <w:t>Per.No</w:t>
      </w:r>
      <w:proofErr w:type="spellEnd"/>
      <w:r w:rsidRPr="00D064B4">
        <w:rPr>
          <w:lang w:val="bg-BG"/>
        </w:rPr>
        <w:t>: 20050424</w:t>
      </w:r>
    </w:p>
    <w:p w14:paraId="5900CBF3" w14:textId="095ED1CD" w:rsidR="002C50EE" w:rsidRPr="00D064B4" w:rsidRDefault="002C50EE" w:rsidP="002C50EE">
      <w:pPr>
        <w:pStyle w:val="Heading1"/>
        <w:rPr>
          <w:lang w:val="bg-BG"/>
        </w:rPr>
      </w:pPr>
      <w:r w:rsidRPr="00D064B4">
        <w:rPr>
          <w:lang w:val="bg-BG"/>
        </w:rPr>
        <w:lastRenderedPageBreak/>
        <w:t>9. ДАТА НА ПЪРВО РАЗРЕШАВАНЕ/ПОДНОВЯВАНЕ НА РАЗРЕШЕНИЕТО ЗА УПОТРЕБА</w:t>
      </w:r>
    </w:p>
    <w:p w14:paraId="49096D00" w14:textId="77777777" w:rsidR="005311EE" w:rsidRPr="00D064B4" w:rsidRDefault="005311EE" w:rsidP="005311EE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Дата на първо разрешаване: 03.08.2005</w:t>
      </w:r>
    </w:p>
    <w:p w14:paraId="09A7698D" w14:textId="77777777" w:rsidR="005311EE" w:rsidRPr="00D064B4" w:rsidRDefault="005311EE" w:rsidP="005311EE">
      <w:pPr>
        <w:rPr>
          <w:sz w:val="24"/>
          <w:szCs w:val="24"/>
          <w:lang w:val="bg-BG"/>
        </w:rPr>
      </w:pPr>
      <w:r w:rsidRPr="00D064B4">
        <w:rPr>
          <w:lang w:val="bg-BG" w:eastAsia="bg-BG"/>
        </w:rPr>
        <w:t>Дата на последно подновяване: 27.09.2010</w:t>
      </w:r>
    </w:p>
    <w:p w14:paraId="15A358A7" w14:textId="77777777" w:rsidR="005311EE" w:rsidRPr="00D064B4" w:rsidRDefault="005311EE" w:rsidP="005311EE">
      <w:pPr>
        <w:rPr>
          <w:lang w:val="bg-BG"/>
        </w:rPr>
      </w:pPr>
    </w:p>
    <w:p w14:paraId="0E9D0119" w14:textId="768903D0" w:rsidR="002C50EE" w:rsidRPr="00D064B4" w:rsidRDefault="002C50EE" w:rsidP="002C50EE">
      <w:pPr>
        <w:pStyle w:val="Heading1"/>
        <w:rPr>
          <w:lang w:val="bg-BG"/>
        </w:rPr>
      </w:pPr>
      <w:r w:rsidRPr="00D064B4">
        <w:rPr>
          <w:lang w:val="bg-BG"/>
        </w:rPr>
        <w:t>10. ДАТА НА АКТУАЛИЗИРАНЕ НА ТЕКСТА</w:t>
      </w:r>
    </w:p>
    <w:p w14:paraId="0164283F" w14:textId="7885CC30" w:rsidR="005311EE" w:rsidRPr="00D064B4" w:rsidRDefault="005311EE" w:rsidP="005311EE">
      <w:pPr>
        <w:rPr>
          <w:lang w:val="bg-BG"/>
        </w:rPr>
      </w:pPr>
      <w:r w:rsidRPr="00D064B4">
        <w:rPr>
          <w:lang w:val="bg-BG"/>
        </w:rPr>
        <w:t>01/2020</w:t>
      </w:r>
    </w:p>
    <w:bookmarkEnd w:id="0"/>
    <w:p w14:paraId="383FCB10" w14:textId="77777777" w:rsidR="002C50EE" w:rsidRPr="00D064B4" w:rsidRDefault="002C50EE" w:rsidP="002C50EE">
      <w:pPr>
        <w:rPr>
          <w:rFonts w:cs="Arial"/>
          <w:b/>
          <w:bCs/>
          <w:sz w:val="26"/>
          <w:szCs w:val="26"/>
          <w:lang w:val="bg-BG"/>
        </w:rPr>
      </w:pPr>
    </w:p>
    <w:p w14:paraId="423F4C2A" w14:textId="77777777" w:rsidR="00C87E90" w:rsidRPr="00D064B4" w:rsidRDefault="00C87E90" w:rsidP="003E3126">
      <w:pPr>
        <w:rPr>
          <w:lang w:val="bg-BG"/>
        </w:rPr>
      </w:pPr>
    </w:p>
    <w:sectPr w:rsidR="00C87E90" w:rsidRPr="00D06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2F6BB" w14:textId="77777777" w:rsidR="009824E2" w:rsidRDefault="009824E2" w:rsidP="00837823">
      <w:pPr>
        <w:spacing w:line="240" w:lineRule="auto"/>
      </w:pPr>
      <w:r>
        <w:separator/>
      </w:r>
    </w:p>
  </w:endnote>
  <w:endnote w:type="continuationSeparator" w:id="0">
    <w:p w14:paraId="7189F653" w14:textId="77777777" w:rsidR="009824E2" w:rsidRDefault="009824E2" w:rsidP="00837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55F78" w14:textId="77777777" w:rsidR="009824E2" w:rsidRDefault="009824E2" w:rsidP="00837823">
      <w:pPr>
        <w:spacing w:line="240" w:lineRule="auto"/>
      </w:pPr>
      <w:r>
        <w:separator/>
      </w:r>
    </w:p>
  </w:footnote>
  <w:footnote w:type="continuationSeparator" w:id="0">
    <w:p w14:paraId="6E01BABD" w14:textId="77777777" w:rsidR="009824E2" w:rsidRDefault="009824E2" w:rsidP="008378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2CE271D"/>
    <w:multiLevelType w:val="hybridMultilevel"/>
    <w:tmpl w:val="02E6782A"/>
    <w:lvl w:ilvl="0" w:tplc="61E6174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16"/>
  </w:num>
  <w:num w:numId="12">
    <w:abstractNumId w:val="10"/>
  </w:num>
  <w:num w:numId="13">
    <w:abstractNumId w:val="13"/>
  </w:num>
  <w:num w:numId="14">
    <w:abstractNumId w:val="8"/>
  </w:num>
  <w:num w:numId="15">
    <w:abstractNumId w:val="15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071862"/>
    <w:rsid w:val="00185A46"/>
    <w:rsid w:val="001D1B23"/>
    <w:rsid w:val="002C50EE"/>
    <w:rsid w:val="003E3126"/>
    <w:rsid w:val="00517A5B"/>
    <w:rsid w:val="005311EE"/>
    <w:rsid w:val="00593A00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37823"/>
    <w:rsid w:val="00893B92"/>
    <w:rsid w:val="008C70A2"/>
    <w:rsid w:val="009773E4"/>
    <w:rsid w:val="009824E2"/>
    <w:rsid w:val="00A00866"/>
    <w:rsid w:val="00A20351"/>
    <w:rsid w:val="00A21DE4"/>
    <w:rsid w:val="00AC63CE"/>
    <w:rsid w:val="00AD2BBE"/>
    <w:rsid w:val="00AD3791"/>
    <w:rsid w:val="00AE2107"/>
    <w:rsid w:val="00B275A8"/>
    <w:rsid w:val="00B55E11"/>
    <w:rsid w:val="00B82A8C"/>
    <w:rsid w:val="00BF2600"/>
    <w:rsid w:val="00C33464"/>
    <w:rsid w:val="00C83063"/>
    <w:rsid w:val="00C87E90"/>
    <w:rsid w:val="00D064B4"/>
    <w:rsid w:val="00EB6364"/>
    <w:rsid w:val="00F37B64"/>
    <w:rsid w:val="00FB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984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8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2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378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2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d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2967</Words>
  <Characters>16912</Characters>
  <Application>Microsoft Office Word</Application>
  <DocSecurity>0</DocSecurity>
  <Lines>140</Lines>
  <Paragraphs>39</Paragraphs>
  <ScaleCrop>false</ScaleCrop>
  <Company/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2021-04-18T21:23:00Z</dcterms:created>
  <dcterms:modified xsi:type="dcterms:W3CDTF">2021-07-26T08:42:00Z</dcterms:modified>
</cp:coreProperties>
</file>