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AA6F674" w:rsidR="007122AD" w:rsidRDefault="00DD466D" w:rsidP="00936AD0">
      <w:pPr>
        <w:pStyle w:val="Heading1"/>
      </w:pPr>
      <w:r>
        <w:t>1.ИМЕ НА ЛЕКАРСТВЕНИЯ ПРОДУКТ</w:t>
      </w:r>
    </w:p>
    <w:p w14:paraId="52499FC0" w14:textId="6D8270E6" w:rsidR="002E6951" w:rsidRDefault="002E6951" w:rsidP="002E6951"/>
    <w:p w14:paraId="7A4B614B" w14:textId="77777777" w:rsidR="002E6951" w:rsidRPr="002E6951" w:rsidRDefault="002E6951" w:rsidP="002E6951">
      <w:pPr>
        <w:rPr>
          <w:sz w:val="24"/>
          <w:szCs w:val="24"/>
        </w:rPr>
      </w:pPr>
      <w:r w:rsidRPr="002E6951">
        <w:rPr>
          <w:lang w:eastAsia="bg-BG"/>
        </w:rPr>
        <w:t xml:space="preserve">Дехидразид 25 </w:t>
      </w:r>
      <w:r w:rsidRPr="002E6951">
        <w:rPr>
          <w:lang w:val="en-US"/>
        </w:rPr>
        <w:t>mg</w:t>
      </w:r>
      <w:r w:rsidRPr="002E6951">
        <w:t xml:space="preserve"> </w:t>
      </w:r>
      <w:r w:rsidRPr="002E6951">
        <w:rPr>
          <w:lang w:eastAsia="bg-BG"/>
        </w:rPr>
        <w:t>таблетки</w:t>
      </w:r>
    </w:p>
    <w:p w14:paraId="38E07E6C" w14:textId="77777777" w:rsidR="002E6951" w:rsidRPr="002E6951" w:rsidRDefault="002E6951" w:rsidP="002E6951">
      <w:pPr>
        <w:rPr>
          <w:sz w:val="24"/>
          <w:szCs w:val="24"/>
        </w:rPr>
      </w:pPr>
      <w:proofErr w:type="spellStart"/>
      <w:r w:rsidRPr="002E6951">
        <w:rPr>
          <w:lang w:val="en-US"/>
        </w:rPr>
        <w:t>Dehydrazid</w:t>
      </w:r>
      <w:proofErr w:type="spellEnd"/>
      <w:r w:rsidRPr="002E6951">
        <w:t xml:space="preserve"> </w:t>
      </w:r>
      <w:r w:rsidRPr="002E6951">
        <w:rPr>
          <w:i/>
          <w:iCs/>
          <w:lang w:eastAsia="bg-BG"/>
        </w:rPr>
        <w:t>25</w:t>
      </w:r>
      <w:r w:rsidRPr="002E6951">
        <w:rPr>
          <w:lang w:eastAsia="bg-BG"/>
        </w:rPr>
        <w:t xml:space="preserve"> </w:t>
      </w:r>
      <w:r w:rsidRPr="002E6951">
        <w:rPr>
          <w:lang w:val="en-US"/>
        </w:rPr>
        <w:t>mg</w:t>
      </w:r>
      <w:r w:rsidRPr="002E6951">
        <w:t xml:space="preserve"> </w:t>
      </w:r>
      <w:r w:rsidRPr="002E6951">
        <w:rPr>
          <w:lang w:val="en-US"/>
        </w:rPr>
        <w:t>tablets</w:t>
      </w:r>
    </w:p>
    <w:p w14:paraId="403213D4" w14:textId="77777777" w:rsidR="002E6951" w:rsidRPr="002E6951" w:rsidRDefault="002E6951" w:rsidP="002E6951"/>
    <w:p w14:paraId="6920A680" w14:textId="175EB899" w:rsidR="00C40420" w:rsidRDefault="00DD466D" w:rsidP="004A448E">
      <w:pPr>
        <w:pStyle w:val="Heading1"/>
      </w:pPr>
      <w:r>
        <w:t>2. КАЧЕСТВЕН И КОЛИЧЕСТВЕН СЪСТАВ</w:t>
      </w:r>
    </w:p>
    <w:p w14:paraId="27DC8460" w14:textId="51CF1298" w:rsidR="002E6951" w:rsidRDefault="002E6951" w:rsidP="002E6951"/>
    <w:p w14:paraId="626E2CA2" w14:textId="77777777" w:rsidR="002E6951" w:rsidRPr="002E6951" w:rsidRDefault="002E6951" w:rsidP="002E6951">
      <w:pPr>
        <w:rPr>
          <w:sz w:val="24"/>
          <w:szCs w:val="24"/>
        </w:rPr>
      </w:pPr>
      <w:r w:rsidRPr="002E6951">
        <w:rPr>
          <w:lang w:eastAsia="bg-BG"/>
        </w:rPr>
        <w:t xml:space="preserve">Всяка таблетка съдържа активно вещество хидрохлоротиазид </w:t>
      </w:r>
      <w:r w:rsidRPr="002E6951">
        <w:rPr>
          <w:i/>
          <w:iCs/>
        </w:rPr>
        <w:t>(</w:t>
      </w:r>
      <w:r w:rsidRPr="002E6951">
        <w:rPr>
          <w:i/>
          <w:iCs/>
          <w:lang w:val="en-US"/>
        </w:rPr>
        <w:t>hydrochlorothiazide</w:t>
      </w:r>
      <w:r w:rsidRPr="002E6951">
        <w:rPr>
          <w:i/>
          <w:iCs/>
        </w:rPr>
        <w:t>)</w:t>
      </w:r>
      <w:r w:rsidRPr="002E6951">
        <w:t xml:space="preserve"> </w:t>
      </w:r>
      <w:r w:rsidRPr="002E6951">
        <w:rPr>
          <w:lang w:eastAsia="bg-BG"/>
        </w:rPr>
        <w:t xml:space="preserve">25 </w:t>
      </w:r>
      <w:r w:rsidRPr="002E6951">
        <w:rPr>
          <w:lang w:val="en-US"/>
        </w:rPr>
        <w:t>mg</w:t>
      </w:r>
      <w:r w:rsidRPr="002E6951">
        <w:t>.</w:t>
      </w:r>
    </w:p>
    <w:p w14:paraId="4186719D" w14:textId="77777777" w:rsidR="002E6951" w:rsidRDefault="002E6951" w:rsidP="002E6951">
      <w:pPr>
        <w:rPr>
          <w:u w:val="single"/>
          <w:lang w:eastAsia="bg-BG"/>
        </w:rPr>
      </w:pPr>
    </w:p>
    <w:p w14:paraId="37B33D0F" w14:textId="723A4C1A" w:rsidR="002E6951" w:rsidRPr="002E6951" w:rsidRDefault="002E6951" w:rsidP="002E6951">
      <w:pPr>
        <w:rPr>
          <w:sz w:val="24"/>
          <w:szCs w:val="24"/>
        </w:rPr>
      </w:pPr>
      <w:r w:rsidRPr="002E6951">
        <w:rPr>
          <w:u w:val="single"/>
          <w:lang w:eastAsia="bg-BG"/>
        </w:rPr>
        <w:t>Помощни вещества с известно действие</w:t>
      </w:r>
      <w:r w:rsidRPr="002E6951">
        <w:rPr>
          <w:lang w:eastAsia="bg-BG"/>
        </w:rPr>
        <w:t>: лактоза монохидрат, пшенично нишесте.</w:t>
      </w:r>
    </w:p>
    <w:p w14:paraId="10092225" w14:textId="77777777" w:rsidR="002E6951" w:rsidRPr="002E6951" w:rsidRDefault="002E6951" w:rsidP="002E6951"/>
    <w:p w14:paraId="614984C4" w14:textId="5DC16ABA" w:rsidR="008A6AF2" w:rsidRDefault="00DD466D" w:rsidP="002C50EE">
      <w:pPr>
        <w:pStyle w:val="Heading1"/>
      </w:pPr>
      <w:r>
        <w:t>3. ЛЕКАРСТВЕНА ФОРМА</w:t>
      </w:r>
    </w:p>
    <w:p w14:paraId="6028417A" w14:textId="0364D258" w:rsidR="002E6951" w:rsidRDefault="002E6951" w:rsidP="002E6951"/>
    <w:p w14:paraId="71E966B0" w14:textId="77777777" w:rsidR="002E6951" w:rsidRPr="002E6951" w:rsidRDefault="002E6951" w:rsidP="002E6951">
      <w:pPr>
        <w:rPr>
          <w:sz w:val="24"/>
          <w:szCs w:val="24"/>
        </w:rPr>
      </w:pPr>
      <w:r w:rsidRPr="002E6951">
        <w:rPr>
          <w:lang w:eastAsia="bg-BG"/>
        </w:rPr>
        <w:t>Таблетка</w:t>
      </w:r>
    </w:p>
    <w:p w14:paraId="22155D22" w14:textId="77777777" w:rsidR="002E6951" w:rsidRPr="002E6951" w:rsidRDefault="002E6951" w:rsidP="002E6951">
      <w:pPr>
        <w:rPr>
          <w:sz w:val="24"/>
          <w:szCs w:val="24"/>
        </w:rPr>
      </w:pPr>
      <w:r w:rsidRPr="002E6951">
        <w:rPr>
          <w:lang w:eastAsia="bg-BG"/>
        </w:rPr>
        <w:t xml:space="preserve">Кръгли, плоски таблетки с бял до почти бял цвят, с фасета и делителна черта от едната страна, диаметър 7 </w:t>
      </w:r>
      <w:r w:rsidRPr="002E6951">
        <w:rPr>
          <w:lang w:val="en-US"/>
        </w:rPr>
        <w:t>mm</w:t>
      </w:r>
      <w:r w:rsidRPr="002E6951">
        <w:rPr>
          <w:lang w:val="ru-RU"/>
        </w:rPr>
        <w:t>.</w:t>
      </w:r>
    </w:p>
    <w:p w14:paraId="28A2AA1C" w14:textId="77777777" w:rsidR="002E6951" w:rsidRPr="002E6951" w:rsidRDefault="002E6951" w:rsidP="002E6951">
      <w:pPr>
        <w:rPr>
          <w:sz w:val="24"/>
          <w:szCs w:val="24"/>
        </w:rPr>
      </w:pPr>
      <w:r w:rsidRPr="002E6951">
        <w:rPr>
          <w:lang w:eastAsia="bg-BG"/>
        </w:rPr>
        <w:t>Таблетката може да бъде разделена на две равни дози.</w:t>
      </w:r>
    </w:p>
    <w:p w14:paraId="4DE63875" w14:textId="77777777" w:rsidR="002E6951" w:rsidRPr="002E6951" w:rsidRDefault="002E6951" w:rsidP="002E6951"/>
    <w:p w14:paraId="490FC2C4" w14:textId="0F4A4A75" w:rsidR="002C50EE" w:rsidRDefault="002C50EE" w:rsidP="002C50EE">
      <w:pPr>
        <w:pStyle w:val="Heading1"/>
      </w:pPr>
      <w:r>
        <w:t>4. КЛИНИЧНИ ДАННИ</w:t>
      </w:r>
    </w:p>
    <w:p w14:paraId="74330405" w14:textId="0364B5F7" w:rsidR="007122AD" w:rsidRDefault="002C50EE" w:rsidP="00936AD0">
      <w:pPr>
        <w:pStyle w:val="Heading2"/>
      </w:pPr>
      <w:r>
        <w:t>4.1. Терапевтични показания</w:t>
      </w:r>
    </w:p>
    <w:p w14:paraId="49A56446" w14:textId="6904BD53" w:rsidR="002E6951" w:rsidRDefault="002E6951" w:rsidP="002E6951"/>
    <w:p w14:paraId="622686C4"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Дехидразид е показан при възрастни и деца за лечение на:</w:t>
      </w:r>
    </w:p>
    <w:p w14:paraId="73EFD770" w14:textId="77777777" w:rsidR="002E6951" w:rsidRPr="002E6951" w:rsidRDefault="002E6951" w:rsidP="002E6951">
      <w:pPr>
        <w:pStyle w:val="ListParagraph"/>
        <w:numPr>
          <w:ilvl w:val="0"/>
          <w:numId w:val="37"/>
        </w:numPr>
        <w:spacing w:line="240" w:lineRule="auto"/>
        <w:rPr>
          <w:rFonts w:eastAsia="Times New Roman" w:cs="Arial"/>
          <w:sz w:val="24"/>
          <w:szCs w:val="24"/>
        </w:rPr>
      </w:pPr>
      <w:r w:rsidRPr="002E6951">
        <w:rPr>
          <w:rFonts w:eastAsia="Times New Roman" w:cs="Arial"/>
          <w:color w:val="000000"/>
          <w:lang w:eastAsia="bg-BG"/>
        </w:rPr>
        <w:t>Артериална хипертония - като монотерапия или в комбинация с други антихипертензивни продукти.</w:t>
      </w:r>
    </w:p>
    <w:p w14:paraId="238AF2F1" w14:textId="77777777" w:rsidR="002E6951" w:rsidRPr="002E6951" w:rsidRDefault="002E6951" w:rsidP="002E6951">
      <w:pPr>
        <w:pStyle w:val="ListParagraph"/>
        <w:numPr>
          <w:ilvl w:val="0"/>
          <w:numId w:val="37"/>
        </w:numPr>
        <w:spacing w:line="240" w:lineRule="auto"/>
        <w:rPr>
          <w:rFonts w:eastAsia="Times New Roman" w:cs="Arial"/>
          <w:sz w:val="24"/>
          <w:szCs w:val="24"/>
        </w:rPr>
      </w:pPr>
      <w:r w:rsidRPr="002E6951">
        <w:rPr>
          <w:rFonts w:eastAsia="Times New Roman" w:cs="Arial"/>
          <w:color w:val="000000"/>
          <w:lang w:eastAsia="bg-BG"/>
        </w:rPr>
        <w:t>Отоци от различен произход (сърдечен, чернодробен или бъбречен).</w:t>
      </w:r>
    </w:p>
    <w:p w14:paraId="73FF937B" w14:textId="3C5EFFDF" w:rsidR="002E6951" w:rsidRPr="002E6951" w:rsidRDefault="002E6951" w:rsidP="002E6951">
      <w:pPr>
        <w:pStyle w:val="ListParagraph"/>
        <w:numPr>
          <w:ilvl w:val="0"/>
          <w:numId w:val="37"/>
        </w:numPr>
        <w:spacing w:line="240" w:lineRule="auto"/>
        <w:rPr>
          <w:rFonts w:eastAsia="Times New Roman" w:cs="Arial"/>
          <w:sz w:val="24"/>
          <w:szCs w:val="24"/>
        </w:rPr>
      </w:pPr>
      <w:r w:rsidRPr="002E6951">
        <w:rPr>
          <w:rFonts w:eastAsia="Times New Roman" w:cs="Arial"/>
          <w:color w:val="000000"/>
          <w:lang w:eastAsia="bg-BG"/>
        </w:rPr>
        <w:t>Нефрогенен инсипиден диабет.</w:t>
      </w:r>
    </w:p>
    <w:p w14:paraId="75E00891" w14:textId="77777777" w:rsidR="002E6951" w:rsidRPr="002E6951" w:rsidRDefault="002E6951" w:rsidP="002E6951"/>
    <w:p w14:paraId="53F5B866" w14:textId="12835FFB" w:rsidR="007122AD" w:rsidRDefault="002C50EE" w:rsidP="00936AD0">
      <w:pPr>
        <w:pStyle w:val="Heading2"/>
      </w:pPr>
      <w:r>
        <w:t>4.2. Дозировка и начин на приложение</w:t>
      </w:r>
    </w:p>
    <w:p w14:paraId="5505E365" w14:textId="5DF170E8" w:rsidR="002E6951" w:rsidRDefault="002E6951" w:rsidP="002E6951"/>
    <w:p w14:paraId="251FE25E" w14:textId="77777777" w:rsidR="002E6951" w:rsidRPr="002E6951" w:rsidRDefault="002E6951" w:rsidP="002E6951">
      <w:pPr>
        <w:pStyle w:val="Heading3"/>
        <w:rPr>
          <w:rFonts w:eastAsia="Times New Roman"/>
          <w:u w:val="single"/>
        </w:rPr>
      </w:pPr>
      <w:r w:rsidRPr="002E6951">
        <w:rPr>
          <w:rFonts w:eastAsia="Times New Roman"/>
          <w:u w:val="single"/>
          <w:lang w:eastAsia="bg-BG"/>
        </w:rPr>
        <w:t>Дозировка</w:t>
      </w:r>
    </w:p>
    <w:p w14:paraId="533BE559"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Необходимо е дозата да се индивидуализира в зависимост от терапевтичния отговор.</w:t>
      </w:r>
    </w:p>
    <w:p w14:paraId="684ED764" w14:textId="77777777" w:rsidR="002E6951" w:rsidRPr="002E6951" w:rsidRDefault="002E6951" w:rsidP="002E6951">
      <w:pPr>
        <w:spacing w:line="240" w:lineRule="auto"/>
        <w:rPr>
          <w:rFonts w:eastAsia="Times New Roman" w:cs="Arial"/>
          <w:i/>
          <w:iCs/>
          <w:color w:val="000000"/>
          <w:u w:val="single"/>
          <w:lang w:eastAsia="bg-BG"/>
        </w:rPr>
      </w:pPr>
    </w:p>
    <w:p w14:paraId="3BDA5FD3" w14:textId="4E8F3E1E"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u w:val="single"/>
          <w:lang w:eastAsia="bg-BG"/>
        </w:rPr>
        <w:t>Възрастни</w:t>
      </w:r>
    </w:p>
    <w:p w14:paraId="439AE8FC" w14:textId="068F9D39"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lang w:eastAsia="bg-BG"/>
        </w:rPr>
        <w:t>Артериална хипертония</w:t>
      </w:r>
    </w:p>
    <w:p w14:paraId="28E8E264"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 xml:space="preserve">Обичайната начална доза е по 25 </w:t>
      </w:r>
      <w:r w:rsidRPr="002E6951">
        <w:rPr>
          <w:rFonts w:eastAsia="Times New Roman" w:cs="Arial"/>
          <w:color w:val="000000"/>
          <w:lang w:val="en-US"/>
        </w:rPr>
        <w:t>mg</w:t>
      </w:r>
      <w:r w:rsidRPr="002E6951">
        <w:rPr>
          <w:rFonts w:eastAsia="Times New Roman" w:cs="Arial"/>
          <w:color w:val="000000"/>
          <w:lang w:val="ru-RU"/>
        </w:rPr>
        <w:t xml:space="preserve"> </w:t>
      </w:r>
      <w:r w:rsidRPr="002E6951">
        <w:rPr>
          <w:rFonts w:eastAsia="Times New Roman" w:cs="Arial"/>
          <w:color w:val="000000"/>
          <w:lang w:eastAsia="bg-BG"/>
        </w:rPr>
        <w:t xml:space="preserve">дневно сутрин. Дозата може да се повиши до 50 </w:t>
      </w:r>
      <w:r w:rsidRPr="002E6951">
        <w:rPr>
          <w:rFonts w:eastAsia="Times New Roman" w:cs="Arial"/>
          <w:color w:val="000000"/>
          <w:lang w:val="en-US"/>
        </w:rPr>
        <w:t>mg</w:t>
      </w:r>
      <w:r w:rsidRPr="002E6951">
        <w:rPr>
          <w:rFonts w:eastAsia="Times New Roman" w:cs="Arial"/>
          <w:color w:val="000000"/>
          <w:lang w:val="ru-RU"/>
        </w:rPr>
        <w:t xml:space="preserve"> </w:t>
      </w:r>
      <w:r w:rsidRPr="002E6951">
        <w:rPr>
          <w:rFonts w:eastAsia="Times New Roman" w:cs="Arial"/>
          <w:color w:val="000000"/>
          <w:lang w:eastAsia="bg-BG"/>
        </w:rPr>
        <w:t>еднократно или на 2 приема.</w:t>
      </w:r>
    </w:p>
    <w:p w14:paraId="0941DDD0"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 xml:space="preserve">За поддържаща терапия - по 12,5-25 </w:t>
      </w:r>
      <w:r w:rsidRPr="002E6951">
        <w:rPr>
          <w:rFonts w:eastAsia="Times New Roman" w:cs="Arial"/>
          <w:color w:val="000000"/>
          <w:lang w:val="en-US"/>
        </w:rPr>
        <w:t>mg</w:t>
      </w:r>
      <w:r w:rsidRPr="002E6951">
        <w:rPr>
          <w:rFonts w:eastAsia="Times New Roman" w:cs="Arial"/>
          <w:color w:val="000000"/>
          <w:lang w:val="ru-RU"/>
        </w:rPr>
        <w:t xml:space="preserve"> </w:t>
      </w:r>
      <w:r w:rsidRPr="002E6951">
        <w:rPr>
          <w:rFonts w:eastAsia="Times New Roman" w:cs="Arial"/>
          <w:color w:val="000000"/>
          <w:lang w:eastAsia="bg-BG"/>
        </w:rPr>
        <w:t>дневно.</w:t>
      </w:r>
    </w:p>
    <w:p w14:paraId="3EE732FA" w14:textId="77777777"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lang w:eastAsia="bg-BG"/>
        </w:rPr>
        <w:t>Оточен синдром</w:t>
      </w:r>
    </w:p>
    <w:p w14:paraId="469B866C"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 xml:space="preserve">По 25-100 </w:t>
      </w:r>
      <w:r w:rsidRPr="002E6951">
        <w:rPr>
          <w:rFonts w:eastAsia="Times New Roman" w:cs="Arial"/>
          <w:i/>
          <w:iCs/>
          <w:color w:val="000000"/>
          <w:lang w:val="en-US"/>
        </w:rPr>
        <w:t>mg</w:t>
      </w:r>
      <w:r w:rsidRPr="002E6951">
        <w:rPr>
          <w:rFonts w:eastAsia="Times New Roman" w:cs="Arial"/>
          <w:color w:val="000000"/>
          <w:lang w:val="ru-RU"/>
        </w:rPr>
        <w:t xml:space="preserve"> </w:t>
      </w:r>
      <w:r w:rsidRPr="002E6951">
        <w:rPr>
          <w:rFonts w:eastAsia="Times New Roman" w:cs="Arial"/>
          <w:color w:val="000000"/>
          <w:lang w:eastAsia="bg-BG"/>
        </w:rPr>
        <w:t>дневно в 1 или 2 приема. Възможно е ежедневно приемане, но за предпочитане е интермитентно прилагане през 1-2 дни.</w:t>
      </w:r>
    </w:p>
    <w:p w14:paraId="5780C2C3" w14:textId="77777777"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lang w:eastAsia="bg-BG"/>
        </w:rPr>
        <w:lastRenderedPageBreak/>
        <w:t>Нефрогенен инсипиден диабет</w:t>
      </w:r>
    </w:p>
    <w:p w14:paraId="01BC9167"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 xml:space="preserve">Начална доза 100 </w:t>
      </w:r>
      <w:r w:rsidRPr="002E6951">
        <w:rPr>
          <w:rFonts w:eastAsia="Times New Roman" w:cs="Arial"/>
          <w:color w:val="000000"/>
          <w:lang w:val="en-US"/>
        </w:rPr>
        <w:t>mg</w:t>
      </w:r>
      <w:r w:rsidRPr="002E6951">
        <w:rPr>
          <w:rFonts w:eastAsia="Times New Roman" w:cs="Arial"/>
          <w:color w:val="000000"/>
          <w:lang w:val="ru-RU"/>
        </w:rPr>
        <w:t xml:space="preserve"> </w:t>
      </w:r>
      <w:r w:rsidRPr="002E6951">
        <w:rPr>
          <w:rFonts w:eastAsia="Times New Roman" w:cs="Arial"/>
          <w:color w:val="000000"/>
          <w:lang w:eastAsia="bg-BG"/>
        </w:rPr>
        <w:t>дневно, разделена на 2-4 приема, като впоследствие е възможно намаляване на дозата.</w:t>
      </w:r>
    </w:p>
    <w:p w14:paraId="1F416EFC" w14:textId="77777777" w:rsidR="002E6951" w:rsidRPr="002E6951" w:rsidRDefault="002E6951" w:rsidP="002E6951">
      <w:pPr>
        <w:spacing w:line="240" w:lineRule="auto"/>
        <w:rPr>
          <w:rFonts w:eastAsia="Times New Roman" w:cs="Arial"/>
          <w:i/>
          <w:iCs/>
          <w:color w:val="000000"/>
          <w:u w:val="single"/>
          <w:lang w:eastAsia="bg-BG"/>
        </w:rPr>
      </w:pPr>
    </w:p>
    <w:p w14:paraId="3A22D8BC" w14:textId="33AA1702"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u w:val="single"/>
          <w:lang w:eastAsia="bg-BG"/>
        </w:rPr>
        <w:t>Бъбречни увреждания</w:t>
      </w:r>
    </w:p>
    <w:p w14:paraId="12855E9C" w14:textId="395447EB"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 xml:space="preserve">Дехидразид е противопоказан при пациенти с анурия, тежки бъбречни увреждания (гломерулна филтрация &lt; 30 </w:t>
      </w:r>
      <w:r w:rsidRPr="002E6951">
        <w:rPr>
          <w:rFonts w:eastAsia="Times New Roman" w:cs="Arial"/>
          <w:color w:val="000000"/>
          <w:lang w:val="en-US"/>
        </w:rPr>
        <w:t>ml</w:t>
      </w:r>
      <w:r w:rsidRPr="002E6951">
        <w:rPr>
          <w:rFonts w:eastAsia="Times New Roman" w:cs="Arial"/>
          <w:color w:val="000000"/>
          <w:lang w:val="ru-RU"/>
        </w:rPr>
        <w:t>/</w:t>
      </w:r>
      <w:r w:rsidRPr="002E6951">
        <w:rPr>
          <w:rFonts w:eastAsia="Times New Roman" w:cs="Arial"/>
          <w:color w:val="000000"/>
          <w:lang w:val="en-US"/>
        </w:rPr>
        <w:t>min</w:t>
      </w:r>
      <w:r w:rsidRPr="002E6951">
        <w:rPr>
          <w:rFonts w:eastAsia="Times New Roman" w:cs="Arial"/>
          <w:color w:val="000000"/>
          <w:lang w:val="ru-RU"/>
        </w:rPr>
        <w:t xml:space="preserve">/1,73 </w:t>
      </w:r>
      <w:r w:rsidRPr="002E6951">
        <w:rPr>
          <w:rFonts w:eastAsia="Times New Roman" w:cs="Arial"/>
          <w:color w:val="000000"/>
          <w:lang w:val="en-US"/>
        </w:rPr>
        <w:t>m</w:t>
      </w:r>
      <w:r w:rsidRPr="002E6951">
        <w:rPr>
          <w:rFonts w:eastAsia="Times New Roman" w:cs="Arial"/>
          <w:color w:val="000000"/>
          <w:vertAlign w:val="superscript"/>
          <w:lang w:val="ru-RU"/>
        </w:rPr>
        <w:t>2</w:t>
      </w:r>
      <w:r w:rsidRPr="002E6951">
        <w:rPr>
          <w:rFonts w:eastAsia="Times New Roman" w:cs="Arial"/>
          <w:color w:val="000000"/>
          <w:lang w:val="ru-RU"/>
        </w:rPr>
        <w:t xml:space="preserve">) </w:t>
      </w:r>
      <w:r w:rsidRPr="002E6951">
        <w:rPr>
          <w:rFonts w:eastAsia="Times New Roman" w:cs="Arial"/>
          <w:color w:val="000000"/>
          <w:lang w:eastAsia="bg-BG"/>
        </w:rPr>
        <w:t>или при пациенти на диализа (вижте точки 4.3, 4.4 и 5.2). Не се налага корекция на началната доза при пациенти с леко до умерено</w:t>
      </w:r>
      <w:r w:rsidRPr="002E6951">
        <w:rPr>
          <w:rFonts w:eastAsia="Times New Roman" w:cs="Arial"/>
          <w:sz w:val="24"/>
          <w:szCs w:val="24"/>
          <w:lang w:val="ru-RU"/>
        </w:rPr>
        <w:t xml:space="preserve"> </w:t>
      </w:r>
      <w:r w:rsidRPr="002E6951">
        <w:rPr>
          <w:rFonts w:eastAsia="Times New Roman" w:cs="Arial"/>
          <w:color w:val="000000"/>
          <w:lang w:eastAsia="bg-BG"/>
        </w:rPr>
        <w:t xml:space="preserve">(гломерулна филтрация &gt; 30 </w:t>
      </w:r>
      <w:r w:rsidRPr="002E6951">
        <w:rPr>
          <w:rFonts w:eastAsia="Times New Roman" w:cs="Arial"/>
          <w:color w:val="000000"/>
          <w:lang w:val="en-US"/>
        </w:rPr>
        <w:t>ml</w:t>
      </w:r>
      <w:r w:rsidRPr="002E6951">
        <w:rPr>
          <w:rFonts w:eastAsia="Times New Roman" w:cs="Arial"/>
          <w:color w:val="000000"/>
          <w:lang w:val="ru-RU"/>
        </w:rPr>
        <w:t>/</w:t>
      </w:r>
      <w:r w:rsidRPr="002E6951">
        <w:rPr>
          <w:rFonts w:eastAsia="Times New Roman" w:cs="Arial"/>
          <w:color w:val="000000"/>
          <w:lang w:val="en-US"/>
        </w:rPr>
        <w:t>min</w:t>
      </w:r>
      <w:r w:rsidRPr="002E6951">
        <w:rPr>
          <w:rFonts w:eastAsia="Times New Roman" w:cs="Arial"/>
          <w:color w:val="000000"/>
          <w:lang w:val="ru-RU"/>
        </w:rPr>
        <w:t xml:space="preserve">/1,73 </w:t>
      </w:r>
      <w:r w:rsidRPr="002E6951">
        <w:rPr>
          <w:rFonts w:eastAsia="Times New Roman" w:cs="Arial"/>
          <w:color w:val="000000"/>
          <w:lang w:val="en-US"/>
        </w:rPr>
        <w:t>m</w:t>
      </w:r>
      <w:r w:rsidRPr="002E6951">
        <w:rPr>
          <w:rFonts w:eastAsia="Times New Roman" w:cs="Arial"/>
          <w:color w:val="000000"/>
          <w:vertAlign w:val="superscript"/>
          <w:lang w:val="ru-RU"/>
        </w:rPr>
        <w:t>2</w:t>
      </w:r>
      <w:r w:rsidRPr="002E6951">
        <w:rPr>
          <w:rFonts w:eastAsia="Times New Roman" w:cs="Arial"/>
          <w:color w:val="000000"/>
          <w:lang w:val="ru-RU"/>
        </w:rPr>
        <w:t>).</w:t>
      </w:r>
    </w:p>
    <w:p w14:paraId="68E3BFD6" w14:textId="04435926" w:rsidR="002E6951" w:rsidRPr="002E6951" w:rsidRDefault="002E6951" w:rsidP="002E6951">
      <w:pPr>
        <w:rPr>
          <w:rFonts w:eastAsia="Times New Roman" w:cs="Arial"/>
          <w:color w:val="000000"/>
          <w:lang w:val="ru-RU"/>
        </w:rPr>
      </w:pPr>
    </w:p>
    <w:p w14:paraId="2F2239D7" w14:textId="77777777"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u w:val="single"/>
          <w:lang w:eastAsia="bg-BG"/>
        </w:rPr>
        <w:t>Педиатрична популация</w:t>
      </w:r>
    </w:p>
    <w:p w14:paraId="4F11C140"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 xml:space="preserve">Обичайната дневна доза е 1-2 </w:t>
      </w:r>
      <w:r w:rsidRPr="002E6951">
        <w:rPr>
          <w:rFonts w:eastAsia="Times New Roman" w:cs="Arial"/>
          <w:color w:val="000000"/>
          <w:lang w:val="en-US"/>
        </w:rPr>
        <w:t>mg</w:t>
      </w:r>
      <w:r w:rsidRPr="002E6951">
        <w:rPr>
          <w:rFonts w:eastAsia="Times New Roman" w:cs="Arial"/>
          <w:color w:val="000000"/>
          <w:lang w:val="ru-RU"/>
        </w:rPr>
        <w:t>/</w:t>
      </w:r>
      <w:r w:rsidRPr="002E6951">
        <w:rPr>
          <w:rFonts w:eastAsia="Times New Roman" w:cs="Arial"/>
          <w:color w:val="000000"/>
          <w:lang w:val="en-US"/>
        </w:rPr>
        <w:t>kg</w:t>
      </w:r>
      <w:r w:rsidRPr="002E6951">
        <w:rPr>
          <w:rFonts w:eastAsia="Times New Roman" w:cs="Arial"/>
          <w:color w:val="000000"/>
          <w:lang w:val="ru-RU"/>
        </w:rPr>
        <w:t xml:space="preserve"> </w:t>
      </w:r>
      <w:r w:rsidRPr="002E6951">
        <w:rPr>
          <w:rFonts w:eastAsia="Times New Roman" w:cs="Arial"/>
          <w:color w:val="000000"/>
          <w:lang w:eastAsia="bg-BG"/>
        </w:rPr>
        <w:t xml:space="preserve">в 1 или в 2 приема, като за деца до 2 години не трябва да превишава 37,5 </w:t>
      </w:r>
      <w:r w:rsidRPr="002E6951">
        <w:rPr>
          <w:rFonts w:eastAsia="Times New Roman" w:cs="Arial"/>
          <w:color w:val="000000"/>
          <w:lang w:val="en-US"/>
        </w:rPr>
        <w:t>mg</w:t>
      </w:r>
      <w:r w:rsidRPr="002E6951">
        <w:rPr>
          <w:rFonts w:eastAsia="Times New Roman" w:cs="Arial"/>
          <w:color w:val="000000"/>
          <w:lang w:val="ru-RU"/>
        </w:rPr>
        <w:t xml:space="preserve"> </w:t>
      </w:r>
      <w:r w:rsidRPr="002E6951">
        <w:rPr>
          <w:rFonts w:eastAsia="Times New Roman" w:cs="Arial"/>
          <w:color w:val="000000"/>
          <w:lang w:eastAsia="bg-BG"/>
        </w:rPr>
        <w:t xml:space="preserve">или 100 </w:t>
      </w:r>
      <w:r w:rsidRPr="002E6951">
        <w:rPr>
          <w:rFonts w:eastAsia="Times New Roman" w:cs="Arial"/>
          <w:color w:val="000000"/>
          <w:lang w:val="en-US"/>
        </w:rPr>
        <w:t>mg</w:t>
      </w:r>
      <w:r w:rsidRPr="002E6951">
        <w:rPr>
          <w:rFonts w:eastAsia="Times New Roman" w:cs="Arial"/>
          <w:color w:val="000000"/>
          <w:lang w:val="ru-RU"/>
        </w:rPr>
        <w:t xml:space="preserve"> </w:t>
      </w:r>
      <w:r w:rsidRPr="002E6951">
        <w:rPr>
          <w:rFonts w:eastAsia="Times New Roman" w:cs="Arial"/>
          <w:color w:val="000000"/>
          <w:lang w:eastAsia="bg-BG"/>
        </w:rPr>
        <w:t>за деца от 2 до 12-годишна възраст.</w:t>
      </w:r>
    </w:p>
    <w:p w14:paraId="4F0FFEAC" w14:textId="77777777" w:rsidR="002E6951" w:rsidRPr="002E6951" w:rsidRDefault="002E6951" w:rsidP="002E6951">
      <w:pPr>
        <w:spacing w:line="240" w:lineRule="auto"/>
        <w:rPr>
          <w:rFonts w:eastAsia="Times New Roman" w:cs="Arial"/>
          <w:color w:val="000000"/>
          <w:u w:val="single"/>
          <w:lang w:eastAsia="bg-BG"/>
        </w:rPr>
      </w:pPr>
    </w:p>
    <w:p w14:paraId="772F8D69" w14:textId="7157C43B" w:rsidR="002E6951" w:rsidRPr="002E6951" w:rsidRDefault="002E6951" w:rsidP="002E6951">
      <w:pPr>
        <w:pStyle w:val="Heading3"/>
        <w:rPr>
          <w:rFonts w:eastAsia="Times New Roman"/>
          <w:u w:val="single"/>
        </w:rPr>
      </w:pPr>
      <w:r w:rsidRPr="002E6951">
        <w:rPr>
          <w:rFonts w:eastAsia="Times New Roman"/>
          <w:u w:val="single"/>
          <w:lang w:eastAsia="bg-BG"/>
        </w:rPr>
        <w:t>Начин на приложение</w:t>
      </w:r>
    </w:p>
    <w:p w14:paraId="7650FB30" w14:textId="77777777" w:rsidR="002E6951" w:rsidRPr="002E6951" w:rsidRDefault="002E6951" w:rsidP="002E6951">
      <w:pPr>
        <w:spacing w:line="240" w:lineRule="auto"/>
        <w:rPr>
          <w:rFonts w:ascii="Times New Roman" w:eastAsia="Times New Roman" w:hAnsi="Times New Roman" w:cs="Times New Roman"/>
          <w:sz w:val="24"/>
          <w:szCs w:val="24"/>
        </w:rPr>
      </w:pPr>
      <w:r w:rsidRPr="002E6951">
        <w:rPr>
          <w:rFonts w:eastAsia="Times New Roman" w:cs="Arial"/>
          <w:color w:val="000000"/>
          <w:lang w:eastAsia="bg-BG"/>
        </w:rPr>
        <w:t>Прилага се перорално.</w:t>
      </w:r>
    </w:p>
    <w:p w14:paraId="26BFC991" w14:textId="77777777" w:rsidR="002E6951" w:rsidRPr="002E6951" w:rsidRDefault="002E6951" w:rsidP="002E6951"/>
    <w:p w14:paraId="0F253247" w14:textId="43B2E6D5" w:rsidR="007122AD" w:rsidRDefault="002C50EE" w:rsidP="00936AD0">
      <w:pPr>
        <w:pStyle w:val="Heading2"/>
      </w:pPr>
      <w:r>
        <w:t>4.3. Противопоказания</w:t>
      </w:r>
    </w:p>
    <w:p w14:paraId="414E4641" w14:textId="72EA1363" w:rsidR="002E6951" w:rsidRDefault="002E6951" w:rsidP="002E6951"/>
    <w:p w14:paraId="7B187619" w14:textId="77777777" w:rsidR="002E6951" w:rsidRPr="002E6951" w:rsidRDefault="002E6951" w:rsidP="002E6951">
      <w:pPr>
        <w:pStyle w:val="ListParagraph"/>
        <w:numPr>
          <w:ilvl w:val="0"/>
          <w:numId w:val="38"/>
        </w:numPr>
        <w:rPr>
          <w:sz w:val="24"/>
          <w:szCs w:val="24"/>
        </w:rPr>
      </w:pPr>
      <w:r w:rsidRPr="002E6951">
        <w:rPr>
          <w:lang w:eastAsia="bg-BG"/>
        </w:rPr>
        <w:t>Свръхчувствителност към активното вещество, сулфонамиди или към някое от помощните вещества, изброени в точка 6.1.</w:t>
      </w:r>
    </w:p>
    <w:p w14:paraId="747791F8" w14:textId="77777777" w:rsidR="002E6951" w:rsidRPr="002E6951" w:rsidRDefault="002E6951" w:rsidP="002E6951">
      <w:pPr>
        <w:pStyle w:val="ListParagraph"/>
        <w:numPr>
          <w:ilvl w:val="0"/>
          <w:numId w:val="38"/>
        </w:numPr>
        <w:rPr>
          <w:sz w:val="24"/>
          <w:szCs w:val="24"/>
        </w:rPr>
      </w:pPr>
      <w:r w:rsidRPr="002E6951">
        <w:rPr>
          <w:lang w:eastAsia="bg-BG"/>
        </w:rPr>
        <w:t xml:space="preserve">Анурия; тежки бъбречни увреждания (гломерулна филтрация &lt; 30 </w:t>
      </w:r>
      <w:r w:rsidRPr="002E6951">
        <w:rPr>
          <w:lang w:val="en-US"/>
        </w:rPr>
        <w:t>ml</w:t>
      </w:r>
      <w:r w:rsidRPr="002E6951">
        <w:rPr>
          <w:lang w:val="ru-RU"/>
        </w:rPr>
        <w:t>/</w:t>
      </w:r>
      <w:r w:rsidRPr="002E6951">
        <w:rPr>
          <w:lang w:val="en-US"/>
        </w:rPr>
        <w:t>min</w:t>
      </w:r>
      <w:r w:rsidRPr="002E6951">
        <w:rPr>
          <w:lang w:val="ru-RU"/>
        </w:rPr>
        <w:t>/1</w:t>
      </w:r>
      <w:r w:rsidRPr="002E6951">
        <w:rPr>
          <w:lang w:eastAsia="bg-BG"/>
        </w:rPr>
        <w:t>,73 ш</w:t>
      </w:r>
      <w:r w:rsidRPr="002E6951">
        <w:rPr>
          <w:vertAlign w:val="superscript"/>
          <w:lang w:eastAsia="bg-BG"/>
        </w:rPr>
        <w:t>2</w:t>
      </w:r>
      <w:r w:rsidRPr="002E6951">
        <w:rPr>
          <w:lang w:eastAsia="bg-BG"/>
        </w:rPr>
        <w:t>) или пациенти на диализа.</w:t>
      </w:r>
    </w:p>
    <w:p w14:paraId="2A27BEB9" w14:textId="77777777" w:rsidR="002E6951" w:rsidRPr="002E6951" w:rsidRDefault="002E6951" w:rsidP="002E6951">
      <w:pPr>
        <w:pStyle w:val="ListParagraph"/>
        <w:numPr>
          <w:ilvl w:val="0"/>
          <w:numId w:val="38"/>
        </w:numPr>
        <w:rPr>
          <w:sz w:val="24"/>
          <w:szCs w:val="24"/>
        </w:rPr>
      </w:pPr>
      <w:r w:rsidRPr="002E6951">
        <w:rPr>
          <w:lang w:eastAsia="bg-BG"/>
        </w:rPr>
        <w:t>Чернодробна енцефалопатия.</w:t>
      </w:r>
    </w:p>
    <w:p w14:paraId="51CC7AC6" w14:textId="77777777" w:rsidR="002E6951" w:rsidRPr="002E6951" w:rsidRDefault="002E6951" w:rsidP="002E6951">
      <w:pPr>
        <w:pStyle w:val="ListParagraph"/>
        <w:numPr>
          <w:ilvl w:val="0"/>
          <w:numId w:val="38"/>
        </w:numPr>
        <w:rPr>
          <w:sz w:val="24"/>
          <w:szCs w:val="24"/>
        </w:rPr>
      </w:pPr>
      <w:r w:rsidRPr="002E6951">
        <w:rPr>
          <w:lang w:eastAsia="bg-BG"/>
        </w:rPr>
        <w:t>Тежка хипокалиемия или хипонатриемия.</w:t>
      </w:r>
    </w:p>
    <w:p w14:paraId="18F6ACC3" w14:textId="77777777" w:rsidR="002E6951" w:rsidRPr="002E6951" w:rsidRDefault="002E6951" w:rsidP="002E6951"/>
    <w:p w14:paraId="0E0BDCC7" w14:textId="6A31FB0F" w:rsidR="007122AD" w:rsidRDefault="002C50EE" w:rsidP="00936AD0">
      <w:pPr>
        <w:pStyle w:val="Heading2"/>
      </w:pPr>
      <w:r>
        <w:t>4.4. Специални предупреждения и предпазни мерки при употреба</w:t>
      </w:r>
    </w:p>
    <w:p w14:paraId="1A79557A" w14:textId="3BD0F9CB" w:rsidR="002E6951" w:rsidRDefault="002E6951" w:rsidP="002E6951"/>
    <w:p w14:paraId="3F0F49A0" w14:textId="77777777"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u w:val="single"/>
          <w:lang w:eastAsia="bg-BG"/>
        </w:rPr>
        <w:t>Немеланомен рак на кожата</w:t>
      </w:r>
    </w:p>
    <w:p w14:paraId="488842EF"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сквамозноклетъчен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2E7CB36D"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42ED6847" w14:textId="77777777" w:rsidR="002E6951" w:rsidRPr="002E6951" w:rsidRDefault="002E6951" w:rsidP="002E6951">
      <w:pPr>
        <w:spacing w:line="240" w:lineRule="auto"/>
        <w:rPr>
          <w:rFonts w:eastAsia="Times New Roman" w:cs="Arial"/>
          <w:color w:val="000000"/>
          <w:lang w:eastAsia="bg-BG"/>
        </w:rPr>
      </w:pPr>
    </w:p>
    <w:p w14:paraId="00FC25F5" w14:textId="1A08A382" w:rsidR="002E6951" w:rsidRPr="002E6951" w:rsidRDefault="002E6951" w:rsidP="002E6951">
      <w:pPr>
        <w:spacing w:line="240" w:lineRule="auto"/>
        <w:rPr>
          <w:rFonts w:eastAsia="Times New Roman" w:cs="Arial"/>
          <w:color w:val="000000"/>
          <w:lang w:eastAsia="bg-BG"/>
        </w:rPr>
      </w:pPr>
      <w:r w:rsidRPr="002E6951">
        <w:rPr>
          <w:rFonts w:eastAsia="Times New Roman" w:cs="Arial"/>
          <w:color w:val="000000"/>
          <w:lang w:eastAsia="bg-BG"/>
        </w:rPr>
        <w:t xml:space="preserve">При пациенти с напреднала бъбречна и/или чернодробна недостатъчност, тиазидни диуретици </w:t>
      </w:r>
      <w:r w:rsidRPr="002E6951">
        <w:rPr>
          <w:rFonts w:eastAsia="Times New Roman" w:cs="Arial"/>
          <w:color w:val="000000"/>
          <w:lang w:val="ru-RU" w:eastAsia="bg-BG"/>
        </w:rPr>
        <w:t xml:space="preserve"> </w:t>
      </w:r>
      <w:r w:rsidRPr="002E6951">
        <w:rPr>
          <w:rFonts w:eastAsia="Times New Roman" w:cs="Arial"/>
          <w:color w:val="000000"/>
          <w:lang w:eastAsia="bg-BG"/>
        </w:rPr>
        <w:t>трябва да се прилагат с повишено внимание поради риск от развитие на диселектролитемия, азотемия и хепатална кома.</w:t>
      </w:r>
    </w:p>
    <w:p w14:paraId="1F28648D" w14:textId="77777777" w:rsidR="002E6951" w:rsidRPr="002E6951" w:rsidRDefault="002E6951" w:rsidP="002E6951">
      <w:pPr>
        <w:spacing w:line="240" w:lineRule="auto"/>
        <w:rPr>
          <w:rFonts w:eastAsia="Times New Roman" w:cs="Arial"/>
          <w:i/>
          <w:iCs/>
          <w:color w:val="000000"/>
          <w:u w:val="single"/>
          <w:lang w:eastAsia="bg-BG"/>
        </w:rPr>
      </w:pPr>
    </w:p>
    <w:p w14:paraId="6448D4CF" w14:textId="3DA2872B"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u w:val="single"/>
          <w:lang w:eastAsia="bg-BG"/>
        </w:rPr>
        <w:t>Промени в серумните електролити</w:t>
      </w:r>
    </w:p>
    <w:p w14:paraId="5918FADE"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lastRenderedPageBreak/>
        <w:t>При по-продължително лечение с тиазидни диуретици е необходимо редовно проследяване на серумните електролити, особено серумния калий. Терапията с тиазидни диуретици, включително и с хидрохлоротиазид може да доведе до хипокалиемия, хипонатриемия, хипохлоремична алкалоза и хипомагнезиемия. Лечението с хидрохлоротиазид трябва да започне само след коригиране на хипокалиемията и всяка съпътстваща хипомагнезиемия. Тиазидните диуретици могат да предизвикат нова поява на хипокалиемия или да изострят вече съществуваща хипокалиемия. Тиазидните диуретици трябва да се прилагат с повишено внимание при пациенти със състояния, свързани с повишена загуба на калий, като например сол губещи нефропатии и преренално (кардиогенно) увреждане на бъбречната функция. Ако по време на терапия с хидрохлоротиазид се развие хипокалиемия, терапията трябва да се преустанови, докато се стабилизира баланса на калий.</w:t>
      </w:r>
    </w:p>
    <w:p w14:paraId="56DAC702" w14:textId="77777777" w:rsidR="002E6951" w:rsidRPr="002E6951" w:rsidRDefault="002E6951" w:rsidP="002E6951">
      <w:pPr>
        <w:rPr>
          <w:rFonts w:eastAsia="Times New Roman" w:cs="Arial"/>
          <w:color w:val="000000"/>
          <w:lang w:eastAsia="bg-BG"/>
        </w:rPr>
      </w:pPr>
    </w:p>
    <w:p w14:paraId="0AD562AB" w14:textId="77777777" w:rsidR="002E6951" w:rsidRPr="002E6951" w:rsidRDefault="002E6951" w:rsidP="002E6951">
      <w:pPr>
        <w:rPr>
          <w:rFonts w:eastAsia="Times New Roman" w:cs="Arial"/>
          <w:sz w:val="24"/>
          <w:szCs w:val="24"/>
        </w:rPr>
      </w:pPr>
      <w:r w:rsidRPr="002E6951">
        <w:rPr>
          <w:rFonts w:eastAsia="Times New Roman" w:cs="Arial"/>
          <w:color w:val="000000"/>
          <w:lang w:eastAsia="bg-BG"/>
        </w:rPr>
        <w:t>Тиазидните диуретици могат да предизвикат нова поява на хипонатриемия и хипохлоремична</w:t>
      </w:r>
      <w:r w:rsidRPr="002E6951">
        <w:rPr>
          <w:rFonts w:eastAsia="Times New Roman" w:cs="Arial"/>
          <w:color w:val="000000"/>
          <w:vertAlign w:val="superscript"/>
          <w:lang w:eastAsia="bg-BG"/>
        </w:rPr>
        <w:t xml:space="preserve"> </w:t>
      </w:r>
      <w:r w:rsidRPr="002E6951">
        <w:rPr>
          <w:rFonts w:eastAsia="Times New Roman" w:cs="Arial"/>
          <w:color w:val="000000"/>
          <w:lang w:eastAsia="bg-BG"/>
        </w:rPr>
        <w:t xml:space="preserve">алкалоза или да изострят вече съществуваща хипонатриемия. Наблюдавана е хипонатриемия, придружена от неврологични симптоми (гадене, прогресивна дезориентация, </w:t>
      </w:r>
      <w:r w:rsidRPr="002E6951">
        <w:rPr>
          <w:rFonts w:eastAsia="Times New Roman" w:cs="Arial"/>
          <w:color w:val="000000"/>
          <w:lang w:val="en-US"/>
        </w:rPr>
        <w:t>a</w:t>
      </w:r>
      <w:r w:rsidRPr="002E6951">
        <w:rPr>
          <w:rFonts w:eastAsia="Times New Roman" w:cs="Arial"/>
          <w:color w:val="000000"/>
          <w:lang w:eastAsia="bg-BG"/>
        </w:rPr>
        <w:t>патия). Лечението с хидрохлоротиазид трябва да започне само след корекция на предварително</w:t>
      </w:r>
      <w:r w:rsidRPr="002E6951">
        <w:rPr>
          <w:rFonts w:eastAsia="Times New Roman" w:cs="Arial"/>
          <w:color w:val="000000"/>
          <w:lang w:val="ru-RU" w:eastAsia="bg-BG"/>
        </w:rPr>
        <w:t xml:space="preserve"> </w:t>
      </w:r>
      <w:r w:rsidRPr="002E6951">
        <w:rPr>
          <w:rFonts w:eastAsia="Times New Roman" w:cs="Arial"/>
          <w:color w:val="000000"/>
          <w:lang w:eastAsia="bg-BG"/>
        </w:rPr>
        <w:t>съществуваща хипонатриемия. В случай на тежка или бързо развиваща се хипонатриемия по време на терапия с хидрохлоротиазид, лечението трябва да се преустанови до нормализиране нивата на натрий.</w:t>
      </w:r>
    </w:p>
    <w:p w14:paraId="1F92B132" w14:textId="77777777" w:rsidR="002E6951" w:rsidRPr="002E6951" w:rsidRDefault="002E6951" w:rsidP="002E6951">
      <w:pPr>
        <w:spacing w:line="240" w:lineRule="auto"/>
        <w:rPr>
          <w:rFonts w:eastAsia="Times New Roman" w:cs="Arial"/>
          <w:color w:val="000000"/>
          <w:lang w:eastAsia="bg-BG"/>
        </w:rPr>
      </w:pPr>
    </w:p>
    <w:p w14:paraId="3736E6C7" w14:textId="0DF232C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Всички пациенти, лекувани с тиазидни диуретици трябва периодично да се проследяват за електролитен дисбаланс, особено за калий, натрий и магнезий.</w:t>
      </w:r>
    </w:p>
    <w:p w14:paraId="2F4BE739" w14:textId="77777777" w:rsidR="002E6951" w:rsidRPr="002E6951" w:rsidRDefault="002E6951" w:rsidP="002E6951">
      <w:pPr>
        <w:spacing w:line="240" w:lineRule="auto"/>
        <w:rPr>
          <w:rFonts w:eastAsia="Times New Roman" w:cs="Arial"/>
          <w:i/>
          <w:iCs/>
          <w:color w:val="000000"/>
          <w:u w:val="single"/>
          <w:lang w:eastAsia="bg-BG"/>
        </w:rPr>
      </w:pPr>
    </w:p>
    <w:p w14:paraId="50404406" w14:textId="11F99814"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u w:val="single"/>
          <w:lang w:eastAsia="bg-BG"/>
        </w:rPr>
        <w:t>Бъбречни увреждания</w:t>
      </w:r>
    </w:p>
    <w:p w14:paraId="4C7E6AF4"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Тиазидните диуретици могат да предизвикат азотемия при пациенти с хронично бъбречно заболяване. Когато хидрохлоротиазид се използва при пациенти с бъбречно увреждане се препоръчва периодично проследяване на серумните електролити (включително калий) и серумните нива на креатинин и пикочна киселина.</w:t>
      </w:r>
    </w:p>
    <w:p w14:paraId="28D9E523"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Хидрохлоротиазид е противопоказан при пациенти с тежко бъбречно увреждане, анурия или подложени на диализа пациенти (вж. точка 4.3).</w:t>
      </w:r>
    </w:p>
    <w:p w14:paraId="4A384907"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 xml:space="preserve">Не се налага корекция на дозата на хидрохлоротиазид при пациенти с леко до умерено бъбречно увреждане </w:t>
      </w:r>
      <w:r w:rsidRPr="002E6951">
        <w:rPr>
          <w:rFonts w:eastAsia="Times New Roman" w:cs="Arial"/>
          <w:color w:val="000000"/>
          <w:lang w:val="ru-RU"/>
        </w:rPr>
        <w:t>(</w:t>
      </w:r>
      <w:r w:rsidRPr="002E6951">
        <w:rPr>
          <w:rFonts w:eastAsia="Times New Roman" w:cs="Arial"/>
          <w:color w:val="000000"/>
          <w:lang w:val="en-US"/>
        </w:rPr>
        <w:t>GFR</w:t>
      </w:r>
      <w:r w:rsidRPr="002E6951">
        <w:rPr>
          <w:rFonts w:eastAsia="Times New Roman" w:cs="Arial"/>
          <w:color w:val="000000"/>
          <w:lang w:val="ru-RU"/>
        </w:rPr>
        <w:t xml:space="preserve">&gt;30 </w:t>
      </w:r>
      <w:r w:rsidRPr="002E6951">
        <w:rPr>
          <w:rFonts w:eastAsia="Times New Roman" w:cs="Arial"/>
          <w:color w:val="000000"/>
          <w:lang w:val="en-US"/>
        </w:rPr>
        <w:t>ml</w:t>
      </w:r>
      <w:r w:rsidRPr="002E6951">
        <w:rPr>
          <w:rFonts w:eastAsia="Times New Roman" w:cs="Arial"/>
          <w:color w:val="000000"/>
          <w:lang w:val="ru-RU"/>
        </w:rPr>
        <w:t>/</w:t>
      </w:r>
      <w:r w:rsidRPr="002E6951">
        <w:rPr>
          <w:rFonts w:eastAsia="Times New Roman" w:cs="Arial"/>
          <w:color w:val="000000"/>
          <w:lang w:val="en-US"/>
        </w:rPr>
        <w:t>min</w:t>
      </w:r>
      <w:r w:rsidRPr="002E6951">
        <w:rPr>
          <w:rFonts w:eastAsia="Times New Roman" w:cs="Arial"/>
          <w:color w:val="000000"/>
          <w:lang w:val="ru-RU"/>
        </w:rPr>
        <w:t xml:space="preserve">/1,73 </w:t>
      </w:r>
      <w:r w:rsidRPr="002E6951">
        <w:rPr>
          <w:rFonts w:eastAsia="Times New Roman" w:cs="Arial"/>
          <w:color w:val="000000"/>
          <w:lang w:val="en-US"/>
        </w:rPr>
        <w:t>m</w:t>
      </w:r>
      <w:r w:rsidRPr="002E6951">
        <w:rPr>
          <w:rFonts w:eastAsia="Times New Roman" w:cs="Arial"/>
          <w:color w:val="000000"/>
          <w:vertAlign w:val="superscript"/>
          <w:lang w:val="ru-RU"/>
        </w:rPr>
        <w:t>2</w:t>
      </w:r>
      <w:r w:rsidRPr="002E6951">
        <w:rPr>
          <w:rFonts w:eastAsia="Times New Roman" w:cs="Arial"/>
          <w:color w:val="000000"/>
          <w:lang w:val="ru-RU"/>
        </w:rPr>
        <w:t>).</w:t>
      </w:r>
    </w:p>
    <w:p w14:paraId="17F9DB7A" w14:textId="77777777" w:rsidR="002E6951" w:rsidRPr="002E6951" w:rsidRDefault="002E6951" w:rsidP="002E6951">
      <w:pPr>
        <w:spacing w:line="240" w:lineRule="auto"/>
        <w:rPr>
          <w:rFonts w:eastAsia="Times New Roman" w:cs="Arial"/>
          <w:i/>
          <w:iCs/>
          <w:color w:val="000000"/>
          <w:u w:val="single"/>
          <w:lang w:eastAsia="bg-BG"/>
        </w:rPr>
      </w:pPr>
    </w:p>
    <w:p w14:paraId="6C567F29" w14:textId="59A487C8"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u w:val="single"/>
          <w:lang w:eastAsia="bg-BG"/>
        </w:rPr>
        <w:t>Други метаболитни нарушения</w:t>
      </w:r>
    </w:p>
    <w:p w14:paraId="3CDE0D8B" w14:textId="77777777" w:rsidR="002E6951" w:rsidRPr="002E6951" w:rsidRDefault="002E6951" w:rsidP="002E6951">
      <w:pPr>
        <w:spacing w:line="240" w:lineRule="auto"/>
        <w:rPr>
          <w:rFonts w:eastAsia="Times New Roman" w:cs="Arial"/>
          <w:color w:val="000000"/>
          <w:lang w:eastAsia="bg-BG"/>
        </w:rPr>
      </w:pPr>
      <w:r w:rsidRPr="002E6951">
        <w:rPr>
          <w:rFonts w:eastAsia="Times New Roman" w:cs="Arial"/>
          <w:color w:val="000000"/>
          <w:lang w:eastAsia="bg-BG"/>
        </w:rPr>
        <w:t xml:space="preserve">Тиазидите могат да понижат калциевата екскреция и да повишат серумния калций, без да има данни за нарушения на калциевия метаболизъм. Хидрохлоротиазид е противопоказан при пациенти с хиперкалциемия и трябва да се използва само след предварителната й корекция. Прилагането на хидрохлоротиазид трябва да се преустанови, ако по време на лечението се развие хиперкалциемия. Серумните нива на калций трябва да се проследяват периодично по време на терапията с тиазиди. Значителната хиперкалциемия може да бъде доказателство за скрит хиперпаратиреоидизъм. Приемът на тиазидни диуретици трябва да се преустанови при </w:t>
      </w:r>
    </w:p>
    <w:p w14:paraId="4D593E22" w14:textId="6765864C"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провеждане на тестове за изследване на паратиреоидната функция.</w:t>
      </w:r>
    </w:p>
    <w:p w14:paraId="5FD9856B" w14:textId="77777777" w:rsidR="002E6951" w:rsidRPr="002E6951" w:rsidRDefault="002E6951" w:rsidP="002E6951">
      <w:pPr>
        <w:spacing w:line="240" w:lineRule="auto"/>
        <w:rPr>
          <w:rFonts w:eastAsia="Times New Roman" w:cs="Arial"/>
          <w:color w:val="000000"/>
          <w:lang w:eastAsia="bg-BG"/>
        </w:rPr>
      </w:pPr>
    </w:p>
    <w:p w14:paraId="73B16A1A" w14:textId="2DBA519B"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 xml:space="preserve">При лечение с тиазидни диуретици е необходимо редовно проследяване на кръвна захар, липиден профил, остатъчен азот и пикочна киселина, защото хидрохлоротиазид може да предизвика промяна в глюкозния толеранс и увеличаване на серумните нива на холестерол, триглицериди и пикочна киселина. Хидрохлоротиазид е противопоказан при симптоматична хиперурикемия. Хидрохлоротиазид може да повиши нивото на пикочната </w:t>
      </w:r>
      <w:r w:rsidRPr="002E6951">
        <w:rPr>
          <w:rFonts w:eastAsia="Times New Roman" w:cs="Arial"/>
          <w:color w:val="000000"/>
          <w:lang w:eastAsia="bg-BG"/>
        </w:rPr>
        <w:lastRenderedPageBreak/>
        <w:t>киселина в серума, поради намален клирънс на пикочна киселина и може да причини или обостри хиперурикемия.</w:t>
      </w:r>
    </w:p>
    <w:p w14:paraId="52FB957A" w14:textId="77777777" w:rsidR="002E6951" w:rsidRPr="002E6951" w:rsidRDefault="002E6951" w:rsidP="002E6951">
      <w:pPr>
        <w:spacing w:line="240" w:lineRule="auto"/>
        <w:rPr>
          <w:rFonts w:eastAsia="Times New Roman" w:cs="Arial"/>
          <w:color w:val="000000"/>
          <w:lang w:eastAsia="bg-BG"/>
        </w:rPr>
      </w:pPr>
    </w:p>
    <w:p w14:paraId="784059C8" w14:textId="36E0391B"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Приемът на тиазидни диуретици може да потенцира клинична изява на латентен диабет или подагра.</w:t>
      </w:r>
    </w:p>
    <w:p w14:paraId="57C1550D"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При диабетици, провеждащи лечение с тиазидни диуретици, е необходим стриктен контрол на кръвната захар, поради възможността за нейното повишаване и промяна в дозирането на инсулин или на орални хипогликемични продукти.</w:t>
      </w:r>
    </w:p>
    <w:p w14:paraId="256CFCC2" w14:textId="77777777" w:rsidR="002E6951" w:rsidRPr="002E6951" w:rsidRDefault="002E6951" w:rsidP="002E6951">
      <w:pPr>
        <w:spacing w:line="240" w:lineRule="auto"/>
        <w:rPr>
          <w:rFonts w:eastAsia="Times New Roman" w:cs="Arial"/>
          <w:i/>
          <w:iCs/>
          <w:color w:val="000000"/>
          <w:u w:val="single"/>
          <w:lang w:eastAsia="bg-BG"/>
        </w:rPr>
      </w:pPr>
    </w:p>
    <w:p w14:paraId="2EE8B641" w14:textId="18A24CE7"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u w:val="single"/>
          <w:lang w:eastAsia="bg-BG"/>
        </w:rPr>
        <w:t>Системен лупус еритематозус</w:t>
      </w:r>
    </w:p>
    <w:p w14:paraId="30A4AFFC"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При лечение с тиазидни диуретици е възможно отключваме или обостряне на системен лупус.</w:t>
      </w:r>
    </w:p>
    <w:p w14:paraId="095C4DC4" w14:textId="77777777" w:rsidR="002E6951" w:rsidRPr="002E6951" w:rsidRDefault="002E6951" w:rsidP="002E6951">
      <w:pPr>
        <w:spacing w:line="240" w:lineRule="auto"/>
        <w:rPr>
          <w:rFonts w:eastAsia="Times New Roman" w:cs="Arial"/>
          <w:i/>
          <w:iCs/>
          <w:color w:val="000000"/>
          <w:u w:val="single"/>
          <w:lang w:eastAsia="bg-BG"/>
        </w:rPr>
      </w:pPr>
    </w:p>
    <w:p w14:paraId="39001E41" w14:textId="612952DA"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u w:val="single"/>
          <w:lang w:eastAsia="bg-BG"/>
        </w:rPr>
        <w:t>Фоточувствителност и други прояви на свръхчувствителност</w:t>
      </w:r>
    </w:p>
    <w:p w14:paraId="549576EF"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При пациенти с предистория за алергии или бронхиална астма са възможни прояви на свръхчувствителност при лечение с тиазидни диуретици.</w:t>
      </w:r>
    </w:p>
    <w:p w14:paraId="05008811"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Докладвани са случаи на реакции на фоточувствителност при лечение с тиазидни диуретици (вж. точка 4.8). Ако възникне реакция на фоточувствителност по време на лечението с дехидразид, се препоръчва прекратяване на лечението. Ако се счита за необходимо повторно</w:t>
      </w:r>
      <w:r w:rsidRPr="002E6951">
        <w:rPr>
          <w:rFonts w:eastAsia="Times New Roman" w:cs="Arial"/>
          <w:color w:val="000000"/>
          <w:u w:val="single"/>
          <w:lang w:eastAsia="bg-BG"/>
        </w:rPr>
        <w:t xml:space="preserve"> </w:t>
      </w:r>
      <w:r w:rsidRPr="002E6951">
        <w:rPr>
          <w:rFonts w:eastAsia="Times New Roman" w:cs="Arial"/>
          <w:color w:val="000000"/>
          <w:lang w:eastAsia="bg-BG"/>
        </w:rPr>
        <w:t xml:space="preserve">прилагане на диуретика, се препоръчва предпазване на откритите участъци на тялото от слънце или от изкуствени </w:t>
      </w:r>
      <w:r w:rsidRPr="002E6951">
        <w:rPr>
          <w:rFonts w:eastAsia="Times New Roman" w:cs="Arial"/>
          <w:color w:val="000000"/>
          <w:lang w:val="en-US"/>
        </w:rPr>
        <w:t>UVA</w:t>
      </w:r>
      <w:r w:rsidRPr="002E6951">
        <w:rPr>
          <w:rFonts w:eastAsia="Times New Roman" w:cs="Arial"/>
          <w:color w:val="000000"/>
          <w:lang w:val="ru-RU"/>
        </w:rPr>
        <w:t>.</w:t>
      </w:r>
    </w:p>
    <w:p w14:paraId="27B237CD" w14:textId="77777777" w:rsidR="002E6951" w:rsidRPr="002E6951" w:rsidRDefault="002E6951" w:rsidP="002E6951">
      <w:pPr>
        <w:spacing w:line="240" w:lineRule="auto"/>
        <w:rPr>
          <w:rFonts w:eastAsia="Times New Roman" w:cs="Arial"/>
          <w:i/>
          <w:iCs/>
          <w:color w:val="000000"/>
          <w:u w:val="single"/>
          <w:lang w:eastAsia="bg-BG"/>
        </w:rPr>
      </w:pPr>
    </w:p>
    <w:p w14:paraId="0070B478" w14:textId="35200024"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u w:val="single"/>
          <w:lang w:eastAsia="bg-BG"/>
        </w:rPr>
        <w:t>Хороидален излив, остра миопия и вторична закритоъгълна глаукома</w:t>
      </w:r>
    </w:p>
    <w:p w14:paraId="7EC80D39"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Сулфонамидите или лекарствата, производни на сулфонамидите, могат да предизвикат</w:t>
      </w:r>
    </w:p>
    <w:p w14:paraId="7597C6AF" w14:textId="77777777" w:rsidR="002E6951" w:rsidRPr="002E6951" w:rsidRDefault="002E6951" w:rsidP="002E6951">
      <w:pPr>
        <w:rPr>
          <w:rFonts w:eastAsia="Times New Roman" w:cs="Arial"/>
          <w:sz w:val="24"/>
          <w:szCs w:val="24"/>
        </w:rPr>
      </w:pPr>
      <w:r w:rsidRPr="002E6951">
        <w:rPr>
          <w:rFonts w:eastAsia="Times New Roman" w:cs="Arial"/>
          <w:color w:val="000000"/>
          <w:lang w:eastAsia="bg-BG"/>
        </w:rPr>
        <w:t>идиосинкратична реакция, водеща до хороидален излив с дефект на зрителното поле преходна</w:t>
      </w:r>
      <w:r w:rsidRPr="002E6951">
        <w:rPr>
          <w:rFonts w:eastAsia="Times New Roman" w:cs="Arial"/>
          <w:color w:val="000000"/>
          <w:lang w:val="ru-RU" w:eastAsia="bg-BG"/>
        </w:rPr>
        <w:t xml:space="preserve"> </w:t>
      </w:r>
      <w:r w:rsidRPr="002E6951">
        <w:rPr>
          <w:rFonts w:eastAsia="Times New Roman" w:cs="Arial"/>
          <w:color w:val="000000"/>
          <w:lang w:eastAsia="bg-BG"/>
        </w:rPr>
        <w:t>миопия и остра закритоъгълна глаукома. Симптомите включват остро начало на намалена зрителна острота или болка в очите и обикновено се появяват в рамките на часове до една седмица от започване на лечението. Нелекуваната остра закритоъгълна глаукома може да доведе до трайна загуба на зрението. Основното лечение е да се прекрати приемът на медикамента възможно най-бързо. Може да се наложи незабавна медицинска или хирургична намеса, ако вътреочното налягане остане неконтролирано. Рискови фактори за развитие на остра закритоъгълна глаукома могат да включват анамнеза за алергия към сулфонамиди или пеницилин.</w:t>
      </w:r>
    </w:p>
    <w:p w14:paraId="06AEA5D6" w14:textId="77777777" w:rsidR="002E6951" w:rsidRPr="002E6951" w:rsidRDefault="002E6951" w:rsidP="002E6951">
      <w:pPr>
        <w:spacing w:line="240" w:lineRule="auto"/>
        <w:rPr>
          <w:rFonts w:eastAsia="Times New Roman" w:cs="Arial"/>
          <w:i/>
          <w:iCs/>
          <w:color w:val="000000"/>
          <w:u w:val="single"/>
          <w:lang w:eastAsia="bg-BG"/>
        </w:rPr>
      </w:pPr>
    </w:p>
    <w:p w14:paraId="5AAE18DD" w14:textId="7E93C9B8"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u w:val="single"/>
          <w:lang w:eastAsia="bg-BG"/>
        </w:rPr>
        <w:t>Остра респираторна токсичност</w:t>
      </w:r>
    </w:p>
    <w:p w14:paraId="63FCC8B3"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 xml:space="preserve">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w:t>
      </w:r>
      <w:r w:rsidRPr="002E6951">
        <w:rPr>
          <w:rFonts w:eastAsia="Times New Roman" w:cs="Arial"/>
          <w:color w:val="000000"/>
          <w:lang w:val="en-US"/>
        </w:rPr>
        <w:t>ARDS</w:t>
      </w:r>
      <w:r w:rsidRPr="002E6951">
        <w:rPr>
          <w:rFonts w:eastAsia="Times New Roman" w:cs="Arial"/>
          <w:color w:val="000000"/>
          <w:lang w:val="ru-RU"/>
        </w:rPr>
        <w:t xml:space="preserve"> </w:t>
      </w:r>
      <w:r w:rsidRPr="002E6951">
        <w:rPr>
          <w:rFonts w:eastAsia="Times New Roman" w:cs="Arial"/>
          <w:color w:val="000000"/>
          <w:lang w:eastAsia="bg-BG"/>
        </w:rPr>
        <w:t>трябва да бъде спрян приемът на Дехидразид и да се приложи подходящо лечение. Хидрохлоротиазид не трябва да се прилага при пациенти, които преди това са получавали ОРДС след прием на хидрохлоротиазид.</w:t>
      </w:r>
    </w:p>
    <w:p w14:paraId="157D4A0D" w14:textId="77777777" w:rsidR="002E6951" w:rsidRPr="002E6951" w:rsidRDefault="002E6951" w:rsidP="002E6951">
      <w:pPr>
        <w:spacing w:line="240" w:lineRule="auto"/>
        <w:rPr>
          <w:rFonts w:eastAsia="Times New Roman" w:cs="Arial"/>
          <w:i/>
          <w:iCs/>
          <w:color w:val="000000"/>
          <w:u w:val="single"/>
          <w:lang w:eastAsia="bg-BG"/>
        </w:rPr>
      </w:pPr>
    </w:p>
    <w:p w14:paraId="73AC62E0" w14:textId="42782056"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u w:val="single"/>
          <w:lang w:eastAsia="bg-BG"/>
        </w:rPr>
        <w:t>Помощни вещества</w:t>
      </w:r>
    </w:p>
    <w:p w14:paraId="375A2223" w14:textId="0D63A330"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Лекарственият продукт съдържа лактоза. Пациенти с редки наследствени проблеми на галактозна непоносимост, пълен лактазен дефицит или глюкозо-галактозна малабсорбция не трябва да приемат това лекарство.</w:t>
      </w:r>
    </w:p>
    <w:p w14:paraId="17DC6ECF"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 xml:space="preserve">В състава на лекарствения продукт се съдържа пшенично нишесте. Пшеничното нишесте може да съдържа само следи от глутен и се счита за безопасно </w:t>
      </w:r>
      <w:r w:rsidRPr="002E6951">
        <w:rPr>
          <w:rFonts w:eastAsia="Times New Roman" w:cs="Arial"/>
          <w:i/>
          <w:iCs/>
          <w:color w:val="000000"/>
          <w:lang w:eastAsia="bg-BG"/>
        </w:rPr>
        <w:t>при хора с</w:t>
      </w:r>
      <w:r w:rsidRPr="002E6951">
        <w:rPr>
          <w:rFonts w:eastAsia="Times New Roman" w:cs="Arial"/>
          <w:color w:val="000000"/>
          <w:lang w:eastAsia="bg-BG"/>
        </w:rPr>
        <w:t xml:space="preserve"> цьолиакия.</w:t>
      </w:r>
    </w:p>
    <w:p w14:paraId="5BB0354C" w14:textId="7B137B53" w:rsidR="002E6951" w:rsidRPr="002E6951" w:rsidRDefault="002E6951" w:rsidP="002E6951">
      <w:pPr>
        <w:spacing w:line="240" w:lineRule="auto"/>
        <w:rPr>
          <w:rFonts w:ascii="Times New Roman" w:eastAsia="Times New Roman" w:hAnsi="Times New Roman" w:cs="Times New Roman"/>
          <w:sz w:val="24"/>
          <w:szCs w:val="24"/>
        </w:rPr>
      </w:pPr>
    </w:p>
    <w:p w14:paraId="5B0BBDBB" w14:textId="22118400" w:rsidR="002E6951" w:rsidRPr="002E6951" w:rsidRDefault="002E6951" w:rsidP="002E6951"/>
    <w:p w14:paraId="0734264C" w14:textId="5875847F"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F68E6E9" w14:textId="666F4C43" w:rsidR="002E6951" w:rsidRDefault="002E6951" w:rsidP="002E6951"/>
    <w:p w14:paraId="3697B911" w14:textId="77777777" w:rsidR="002E6951" w:rsidRPr="002E6951" w:rsidRDefault="002E6951" w:rsidP="002E6951">
      <w:pPr>
        <w:spacing w:line="240" w:lineRule="auto"/>
        <w:rPr>
          <w:rFonts w:eastAsia="Times New Roman" w:cs="Arial"/>
        </w:rPr>
      </w:pPr>
      <w:r w:rsidRPr="002E6951">
        <w:rPr>
          <w:rFonts w:eastAsia="Times New Roman" w:cs="Arial"/>
          <w:color w:val="000000"/>
          <w:u w:val="single"/>
          <w:lang w:eastAsia="bg-BG"/>
        </w:rPr>
        <w:t>Комбинации, които не се препоръчват</w:t>
      </w:r>
    </w:p>
    <w:p w14:paraId="75A3867B"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Литий</w:t>
      </w:r>
    </w:p>
    <w:p w14:paraId="1D6B1D90"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Обратимо повишаване на серумните концентрации на литиеви соли и тяхната токсичност са наблюдавани при едновременното приложение с тиазиди. Тъй като бъбречният клирънс на литий намалява при терапия с тиазиди, рискът от литиева токсичност и свързаните с нея нежелани ефекти върху миокарда и нервната система, може да се увеличи допълнително. Затова се препоръчва внимателно мониториране на серумните концентрации на литий по време на едновременното приложение с хидрохлоротиазид.</w:t>
      </w:r>
    </w:p>
    <w:p w14:paraId="6693BDFF" w14:textId="77777777" w:rsidR="002E6951" w:rsidRPr="002E6951" w:rsidRDefault="002E6951" w:rsidP="002E6951">
      <w:pPr>
        <w:spacing w:line="240" w:lineRule="auto"/>
        <w:rPr>
          <w:rFonts w:eastAsia="Times New Roman" w:cs="Arial"/>
          <w:color w:val="000000"/>
          <w:u w:val="single"/>
          <w:lang w:eastAsia="bg-BG"/>
        </w:rPr>
      </w:pPr>
    </w:p>
    <w:p w14:paraId="3159E0F9" w14:textId="5A4D67CB" w:rsidR="002E6951" w:rsidRPr="002E6951" w:rsidRDefault="002E6951" w:rsidP="002E6951">
      <w:pPr>
        <w:spacing w:line="240" w:lineRule="auto"/>
        <w:rPr>
          <w:rFonts w:eastAsia="Times New Roman" w:cs="Arial"/>
        </w:rPr>
      </w:pPr>
      <w:r w:rsidRPr="002E6951">
        <w:rPr>
          <w:rFonts w:eastAsia="Times New Roman" w:cs="Arial"/>
          <w:color w:val="000000"/>
          <w:u w:val="single"/>
          <w:lang w:eastAsia="bg-BG"/>
        </w:rPr>
        <w:t>Комбинации, изискващи особено внимание</w:t>
      </w:r>
    </w:p>
    <w:p w14:paraId="60188B1E" w14:textId="74B69703"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Други антихипертензивни лекарствени продукти</w:t>
      </w:r>
    </w:p>
    <w:p w14:paraId="289DF5DC"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Тиазидните диуретици могат да усилят ефекта на други антихипертензивни лекарствени продукти (например гванетидин, метилдопа, бета-блокери, вазодилататори, блокери на калциевите канали, АСЕ инхибитори, ангиотензин II рецепторни антагонисти директни инхибитори на ренин).</w:t>
      </w:r>
    </w:p>
    <w:p w14:paraId="5B2A6A35" w14:textId="77777777" w:rsidR="002E6951" w:rsidRPr="002E6951" w:rsidRDefault="002E6951" w:rsidP="002E6951">
      <w:pPr>
        <w:spacing w:line="240" w:lineRule="auto"/>
        <w:rPr>
          <w:rFonts w:eastAsia="Times New Roman" w:cs="Arial"/>
          <w:i/>
          <w:iCs/>
          <w:color w:val="000000"/>
          <w:lang w:eastAsia="bg-BG"/>
        </w:rPr>
      </w:pPr>
    </w:p>
    <w:p w14:paraId="4EEDCB58" w14:textId="1B02F2D4"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Бета-блокери или диазоксид</w:t>
      </w:r>
    </w:p>
    <w:p w14:paraId="139EC151"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Тиазидните диуретици, включително и хидрохлоротиазид, могат да увеличат риска от хипергликемия при едновременна употреба с бета-блокери или с диазоксид.</w:t>
      </w:r>
    </w:p>
    <w:p w14:paraId="0529828C" w14:textId="77777777" w:rsidR="002E6951" w:rsidRPr="002E6951" w:rsidRDefault="002E6951" w:rsidP="002E6951">
      <w:pPr>
        <w:spacing w:line="240" w:lineRule="auto"/>
        <w:rPr>
          <w:rFonts w:eastAsia="Times New Roman" w:cs="Arial"/>
          <w:i/>
          <w:iCs/>
          <w:color w:val="000000"/>
          <w:lang w:eastAsia="bg-BG"/>
        </w:rPr>
      </w:pPr>
    </w:p>
    <w:p w14:paraId="4C6B0BCE" w14:textId="05396021"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Дигиталисови гликозиди</w:t>
      </w:r>
    </w:p>
    <w:p w14:paraId="41B0AD56"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Тиазид-индуцирана хипокалиемия или хипомагнезиемия могат да се появят като нежелани реакции, улеснявайки началото на дигиталис-ицдуцирани сърдечни аритмии.</w:t>
      </w:r>
    </w:p>
    <w:p w14:paraId="25061093" w14:textId="77777777" w:rsidR="002E6951" w:rsidRPr="002E6951" w:rsidRDefault="002E6951" w:rsidP="002E6951">
      <w:pPr>
        <w:rPr>
          <w:rFonts w:eastAsia="Times New Roman" w:cs="Arial"/>
          <w:i/>
          <w:iCs/>
          <w:color w:val="000000"/>
          <w:lang w:eastAsia="bg-BG"/>
        </w:rPr>
      </w:pPr>
    </w:p>
    <w:p w14:paraId="56CD9B74" w14:textId="1BCC5676" w:rsidR="002E6951" w:rsidRPr="002E6951" w:rsidRDefault="002E6951" w:rsidP="002E6951">
      <w:pPr>
        <w:rPr>
          <w:rFonts w:eastAsia="Times New Roman" w:cs="Arial"/>
          <w:color w:val="000000"/>
          <w:lang w:eastAsia="bg-BG"/>
        </w:rPr>
      </w:pPr>
      <w:r w:rsidRPr="002E6951">
        <w:rPr>
          <w:rFonts w:eastAsia="Times New Roman" w:cs="Arial"/>
          <w:i/>
          <w:iCs/>
          <w:color w:val="000000"/>
          <w:lang w:eastAsia="bg-BG"/>
        </w:rPr>
        <w:t xml:space="preserve">Антидиабетни средства - инсулин и перорални антидиабетни средства  </w:t>
      </w:r>
      <w:r w:rsidRPr="002E6951">
        <w:rPr>
          <w:rFonts w:eastAsia="Times New Roman" w:cs="Arial"/>
          <w:color w:val="000000"/>
          <w:lang w:eastAsia="bg-BG"/>
        </w:rPr>
        <w:t>Тиазидите могат да нарушат глюкозния толеранс. Коригиране на дозата на антидиабетния лекарствен продукт може да бъде необходимо.</w:t>
      </w:r>
    </w:p>
    <w:p w14:paraId="091DB6D3" w14:textId="53FB7AD8" w:rsidR="002E6951" w:rsidRPr="002E6951" w:rsidRDefault="002E6951" w:rsidP="002E6951">
      <w:pPr>
        <w:rPr>
          <w:rFonts w:eastAsia="Times New Roman" w:cs="Arial"/>
          <w:color w:val="000000"/>
          <w:lang w:eastAsia="bg-BG"/>
        </w:rPr>
      </w:pPr>
    </w:p>
    <w:p w14:paraId="6E5899DD"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Метформин трябва да се използва с повишено внимание поради риск от лакгатна ацидоза, индуцирана от възможна функционална бъбречна недостатъчност, свързана с хидрохлоротиазид.</w:t>
      </w:r>
    </w:p>
    <w:p w14:paraId="3B50B13A" w14:textId="77777777" w:rsidR="002E6951" w:rsidRPr="002E6951" w:rsidRDefault="002E6951" w:rsidP="002E6951">
      <w:pPr>
        <w:spacing w:line="240" w:lineRule="auto"/>
        <w:rPr>
          <w:rFonts w:eastAsia="Times New Roman" w:cs="Arial"/>
          <w:i/>
          <w:iCs/>
          <w:color w:val="000000"/>
          <w:lang w:eastAsia="bg-BG"/>
        </w:rPr>
      </w:pPr>
    </w:p>
    <w:p w14:paraId="5813AC5E" w14:textId="276DD352"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Лекарствени продукти, повлияващи серумните нива на калий</w:t>
      </w:r>
    </w:p>
    <w:p w14:paraId="05C8805F"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 xml:space="preserve">При съвместното приложение с калиеви диуретици, лаксативи, амфотерицин, карбеноксолон, пеницилин </w:t>
      </w:r>
      <w:r w:rsidRPr="002E6951">
        <w:rPr>
          <w:rFonts w:eastAsia="Times New Roman" w:cs="Arial"/>
          <w:color w:val="000000"/>
          <w:lang w:val="en-US"/>
        </w:rPr>
        <w:t>G</w:t>
      </w:r>
      <w:r w:rsidRPr="002E6951">
        <w:rPr>
          <w:rFonts w:eastAsia="Times New Roman" w:cs="Arial"/>
          <w:color w:val="000000"/>
          <w:lang w:val="ru-RU"/>
        </w:rPr>
        <w:t xml:space="preserve">, </w:t>
      </w:r>
      <w:r w:rsidRPr="002E6951">
        <w:rPr>
          <w:rFonts w:eastAsia="Times New Roman" w:cs="Arial"/>
          <w:color w:val="000000"/>
          <w:lang w:eastAsia="bg-BG"/>
        </w:rPr>
        <w:t>салицилова киселина и нейните деривати, глюкокортикостероиди, АКТХ, калцитонин или антиаритмични лекарствени продукти се повишава риска от развитие на хипокалиемия. Препоръчва се проследяване на плазмените нива на калий при комбинираното им прилагане с хидрохлоротиазид.</w:t>
      </w:r>
    </w:p>
    <w:p w14:paraId="59BD4959" w14:textId="77777777" w:rsidR="002E6951" w:rsidRPr="002E6951" w:rsidRDefault="002E6951" w:rsidP="002E6951">
      <w:pPr>
        <w:spacing w:line="240" w:lineRule="auto"/>
        <w:rPr>
          <w:rFonts w:eastAsia="Times New Roman" w:cs="Arial"/>
          <w:i/>
          <w:iCs/>
          <w:color w:val="000000"/>
          <w:lang w:eastAsia="bg-BG"/>
        </w:rPr>
      </w:pPr>
    </w:p>
    <w:p w14:paraId="77F17767" w14:textId="21ABE001"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Лекарствени продукти, повлияващи серумните нива на натрий</w:t>
      </w:r>
    </w:p>
    <w:p w14:paraId="057EA1C8"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Хипонатриемичните ефекти на диуретиците могат да се засилят при едновременно прилагане на лекарствени продукти като антидепресанти, антапсихотици, антиепилептични средства и др. Необходимо е повишено внимание при продължително прилагане на тези лекарствени продукти.</w:t>
      </w:r>
    </w:p>
    <w:p w14:paraId="0473510E" w14:textId="77777777" w:rsidR="002E6951" w:rsidRPr="002E6951" w:rsidRDefault="002E6951" w:rsidP="002E6951">
      <w:pPr>
        <w:spacing w:line="240" w:lineRule="auto"/>
        <w:rPr>
          <w:rFonts w:eastAsia="Times New Roman" w:cs="Arial"/>
          <w:i/>
          <w:iCs/>
          <w:color w:val="000000"/>
          <w:lang w:eastAsia="bg-BG"/>
        </w:rPr>
      </w:pPr>
    </w:p>
    <w:p w14:paraId="661136C4" w14:textId="4DB3C402"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Адреналин, норадреналин</w:t>
      </w:r>
    </w:p>
    <w:p w14:paraId="3D6EF77D"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Тиазидните диуретици намаляват ефекта на пресорните амини (адреналин, норадреналин). Клиничното значение на този ефект е несигурен и недостатъчен, за да изключи възможността за тяхната употреба.</w:t>
      </w:r>
    </w:p>
    <w:p w14:paraId="30842D9C" w14:textId="77777777" w:rsidR="002E6951" w:rsidRPr="002E6951" w:rsidRDefault="002E6951" w:rsidP="002E6951">
      <w:pPr>
        <w:spacing w:line="240" w:lineRule="auto"/>
        <w:rPr>
          <w:rFonts w:eastAsia="Times New Roman" w:cs="Arial"/>
          <w:i/>
          <w:iCs/>
          <w:color w:val="000000"/>
          <w:lang w:eastAsia="bg-BG"/>
        </w:rPr>
      </w:pPr>
    </w:p>
    <w:p w14:paraId="65193AAB" w14:textId="56F92EC5"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Нестероидни противовъзпалителни средства (НСПВС)</w:t>
      </w:r>
    </w:p>
    <w:p w14:paraId="13EC9E2C"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 xml:space="preserve">Нестероидните противовъзпалителни средства (НСПВС), включително селективни циклооксигеназа-2 инхибитори (СОХ-2 инхибитори), ацегилсалицилова киселина (&gt; 3 </w:t>
      </w:r>
      <w:r w:rsidRPr="002E6951">
        <w:rPr>
          <w:rFonts w:eastAsia="Times New Roman" w:cs="Arial"/>
          <w:color w:val="000000"/>
          <w:lang w:val="en-US"/>
        </w:rPr>
        <w:t>g</w:t>
      </w:r>
      <w:r w:rsidRPr="002E6951">
        <w:rPr>
          <w:rFonts w:eastAsia="Times New Roman" w:cs="Arial"/>
          <w:color w:val="000000"/>
          <w:lang w:eastAsia="bg-BG"/>
        </w:rPr>
        <w:t>/ден) и неселективни НСПВС, могат да понижат диуретичния, натриуретичния и антихипертензивния ефект на хидрохлоротиазид, когато се прилагат едновременно. Освен това, едновременната употреба с НСПВС може да доведе до влошаване на бъбречната функция и повишаване на серумния калий. Затова, се препоръчва проследяване на бъбречната функция в началото на лечението, както и адекватна хидратация на пациента.</w:t>
      </w:r>
    </w:p>
    <w:p w14:paraId="14C6BE38" w14:textId="77777777" w:rsidR="002E6951" w:rsidRPr="002E6951" w:rsidRDefault="002E6951" w:rsidP="002E6951">
      <w:pPr>
        <w:spacing w:line="240" w:lineRule="auto"/>
        <w:rPr>
          <w:rFonts w:eastAsia="Times New Roman" w:cs="Arial"/>
          <w:i/>
          <w:iCs/>
          <w:color w:val="000000"/>
          <w:lang w:eastAsia="bg-BG"/>
        </w:rPr>
      </w:pPr>
    </w:p>
    <w:p w14:paraId="777CAE9C" w14:textId="59D67EAE"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Недеполяризиращи мускулни релаксанти на скелетната мускулатура</w:t>
      </w:r>
    </w:p>
    <w:p w14:paraId="05439275"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При едновременно приложение хидрохлоротиазид усилва действието на недеполяризиращите миорелаксанти (тубокурарин и негови производни) и повишава чувствителността към тях.</w:t>
      </w:r>
    </w:p>
    <w:p w14:paraId="5EB65CCA" w14:textId="77777777" w:rsidR="002E6951" w:rsidRPr="002E6951" w:rsidRDefault="002E6951" w:rsidP="002E6951">
      <w:pPr>
        <w:spacing w:line="240" w:lineRule="auto"/>
        <w:rPr>
          <w:rFonts w:eastAsia="Times New Roman" w:cs="Arial"/>
          <w:i/>
          <w:iCs/>
          <w:color w:val="000000"/>
          <w:lang w:eastAsia="bg-BG"/>
        </w:rPr>
      </w:pPr>
    </w:p>
    <w:p w14:paraId="0C5648AE" w14:textId="277C1820"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Антихолинергични агенти и други лекарствени продукти, повлияващи стомашната перисталтика</w:t>
      </w:r>
    </w:p>
    <w:p w14:paraId="652EFB33"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Бионаличността на тиазидните диуретици може да бъде увеличена при прилагане на антихолинергични средства (атропин, бипериден), поради забавяне на стомашно-чревния мотилитет и степента на стомашно изпразване. От друга страна се очаква прокинетични вещества като цизаприд да намалят бионаличността на тиазидни диуретици.</w:t>
      </w:r>
    </w:p>
    <w:p w14:paraId="0454114C" w14:textId="77777777" w:rsidR="002E6951" w:rsidRPr="002E6951" w:rsidRDefault="002E6951" w:rsidP="002E6951">
      <w:pPr>
        <w:spacing w:line="240" w:lineRule="auto"/>
        <w:rPr>
          <w:rFonts w:eastAsia="Times New Roman" w:cs="Arial"/>
          <w:i/>
          <w:iCs/>
          <w:color w:val="000000"/>
          <w:lang w:eastAsia="bg-BG"/>
        </w:rPr>
      </w:pPr>
    </w:p>
    <w:p w14:paraId="5667B203" w14:textId="15129112"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Алопуринол, сулфинпиразон, пробенецид</w:t>
      </w:r>
    </w:p>
    <w:p w14:paraId="6324F8CD"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Хидрохлоротиазид може да намали ефекта на урикозуричните лекарствени продукти (алопуринол, сулфинпиразон, пробенецид), което налага корекция на техните дози при едновременното им приложение с тиазиди. Увеличаване на дозата на пробеницид или сулфинпиразон може да бъде необходимо. Едновременното приложение на тиазидни диуретици, включително хидрохлоротиазид, може да повиши честотата на реакциите на свръхчувствителност към алопуринол.</w:t>
      </w:r>
    </w:p>
    <w:p w14:paraId="2989EB88" w14:textId="77777777" w:rsidR="002E6951" w:rsidRPr="002E6951" w:rsidRDefault="002E6951" w:rsidP="002E6951">
      <w:pPr>
        <w:spacing w:line="240" w:lineRule="auto"/>
        <w:rPr>
          <w:rFonts w:eastAsia="Times New Roman" w:cs="Arial"/>
          <w:i/>
          <w:iCs/>
          <w:color w:val="000000"/>
          <w:lang w:eastAsia="bg-BG"/>
        </w:rPr>
      </w:pPr>
    </w:p>
    <w:p w14:paraId="1C69B6E7" w14:textId="2828351A"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Алкохол, барбитурати или наркотици</w:t>
      </w:r>
    </w:p>
    <w:p w14:paraId="71A4812A" w14:textId="2B1D8604" w:rsidR="002E6951" w:rsidRPr="002E6951" w:rsidRDefault="002E6951" w:rsidP="002E6951">
      <w:pPr>
        <w:rPr>
          <w:rFonts w:eastAsia="Times New Roman" w:cs="Arial"/>
          <w:color w:val="000000"/>
          <w:lang w:eastAsia="bg-BG"/>
        </w:rPr>
      </w:pPr>
      <w:r w:rsidRPr="002E6951">
        <w:rPr>
          <w:rFonts w:eastAsia="Times New Roman" w:cs="Arial"/>
          <w:color w:val="000000"/>
          <w:lang w:eastAsia="bg-BG"/>
        </w:rPr>
        <w:t>Едновременното приложение на тиазидни диуретици с вещества, които също имат понижаващ ефект върху кръвното налягане (например чрез намаляване активността на симпатиковата нервна система, дейността на централната или чрез директна вазодилатация) може да потенцира ортостатична хипотония.</w:t>
      </w:r>
    </w:p>
    <w:p w14:paraId="26AB177A" w14:textId="0CB07CDD" w:rsidR="002E6951" w:rsidRPr="002E6951" w:rsidRDefault="002E6951" w:rsidP="002E6951">
      <w:pPr>
        <w:rPr>
          <w:rFonts w:eastAsia="Times New Roman" w:cs="Arial"/>
          <w:color w:val="000000"/>
          <w:lang w:eastAsia="bg-BG"/>
        </w:rPr>
      </w:pPr>
    </w:p>
    <w:p w14:paraId="4F74E2DE"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 xml:space="preserve">Витамин </w:t>
      </w:r>
      <w:r w:rsidRPr="002E6951">
        <w:rPr>
          <w:rFonts w:eastAsia="Times New Roman" w:cs="Arial"/>
          <w:i/>
          <w:iCs/>
          <w:color w:val="000000"/>
          <w:lang w:val="en-US"/>
        </w:rPr>
        <w:t>D</w:t>
      </w:r>
      <w:r w:rsidRPr="002E6951">
        <w:rPr>
          <w:rFonts w:eastAsia="Times New Roman" w:cs="Arial"/>
          <w:i/>
          <w:iCs/>
          <w:color w:val="000000"/>
          <w:lang w:val="ru-RU"/>
        </w:rPr>
        <w:t xml:space="preserve"> </w:t>
      </w:r>
      <w:r w:rsidRPr="002E6951">
        <w:rPr>
          <w:rFonts w:eastAsia="Times New Roman" w:cs="Arial"/>
          <w:i/>
          <w:iCs/>
          <w:color w:val="000000"/>
          <w:lang w:eastAsia="bg-BG"/>
        </w:rPr>
        <w:t>и калциеви соли</w:t>
      </w:r>
    </w:p>
    <w:p w14:paraId="523044C6"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 xml:space="preserve">Прилагането на тиазидни диуретици, включително хидрохлоротиазид, с витамин </w:t>
      </w:r>
      <w:r w:rsidRPr="002E6951">
        <w:rPr>
          <w:rFonts w:eastAsia="Times New Roman" w:cs="Arial"/>
          <w:color w:val="000000"/>
          <w:lang w:val="en-US"/>
        </w:rPr>
        <w:t>D</w:t>
      </w:r>
      <w:r w:rsidRPr="002E6951">
        <w:rPr>
          <w:rFonts w:eastAsia="Times New Roman" w:cs="Arial"/>
          <w:color w:val="000000"/>
          <w:lang w:val="ru-RU"/>
        </w:rPr>
        <w:t xml:space="preserve"> </w:t>
      </w:r>
      <w:r w:rsidRPr="002E6951">
        <w:rPr>
          <w:rFonts w:eastAsia="Times New Roman" w:cs="Arial"/>
          <w:color w:val="000000"/>
          <w:lang w:eastAsia="bg-BG"/>
        </w:rPr>
        <w:t xml:space="preserve">или с калциеви соли може да потенцира покачването на серумния калций. Едновременната употреба на тиазидни диуретици може да доведе до хиперкалциемия при пациенти предиспозиция за хиперкалциемия (например хиперпаратиреоидизъм, злокачествено заболяване или витамин </w:t>
      </w:r>
      <w:r w:rsidRPr="002E6951">
        <w:rPr>
          <w:rFonts w:eastAsia="Times New Roman" w:cs="Arial"/>
          <w:color w:val="000000"/>
          <w:lang w:val="en-US"/>
        </w:rPr>
        <w:t>D</w:t>
      </w:r>
      <w:r w:rsidRPr="002E6951">
        <w:rPr>
          <w:rFonts w:eastAsia="Times New Roman" w:cs="Arial"/>
          <w:color w:val="000000"/>
          <w:lang w:val="ru-RU"/>
        </w:rPr>
        <w:t xml:space="preserve">- </w:t>
      </w:r>
      <w:r w:rsidRPr="002E6951">
        <w:rPr>
          <w:rFonts w:eastAsia="Times New Roman" w:cs="Arial"/>
          <w:color w:val="000000"/>
          <w:lang w:eastAsia="bg-BG"/>
        </w:rPr>
        <w:t>медиирани състояния) чрез увеличаване на тубулната реабсорбция на калция.</w:t>
      </w:r>
    </w:p>
    <w:p w14:paraId="6645ACC9" w14:textId="77777777" w:rsidR="002E6951" w:rsidRPr="002E6951" w:rsidRDefault="002E6951" w:rsidP="002E6951">
      <w:pPr>
        <w:spacing w:line="240" w:lineRule="auto"/>
        <w:rPr>
          <w:rFonts w:eastAsia="Times New Roman" w:cs="Arial"/>
          <w:i/>
          <w:iCs/>
          <w:color w:val="000000"/>
          <w:lang w:eastAsia="bg-BG"/>
        </w:rPr>
      </w:pPr>
    </w:p>
    <w:p w14:paraId="20CB4FE0" w14:textId="39896071"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lastRenderedPageBreak/>
        <w:t>Метилдопа</w:t>
      </w:r>
    </w:p>
    <w:p w14:paraId="32C40617"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Съобщава се за изолирани случаи на хемолитична анемия в резултат на едновременно прилагане на хидрохлоротиазид и метилдопа.</w:t>
      </w:r>
    </w:p>
    <w:p w14:paraId="6C9FFE34" w14:textId="77777777" w:rsidR="002E6951" w:rsidRPr="002E6951" w:rsidRDefault="002E6951" w:rsidP="002E6951">
      <w:pPr>
        <w:spacing w:line="240" w:lineRule="auto"/>
        <w:rPr>
          <w:rFonts w:eastAsia="Times New Roman" w:cs="Arial"/>
          <w:i/>
          <w:iCs/>
          <w:color w:val="000000"/>
          <w:lang w:eastAsia="bg-BG"/>
        </w:rPr>
      </w:pPr>
    </w:p>
    <w:p w14:paraId="252A5F4C" w14:textId="1A027DC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Циклоспорин</w:t>
      </w:r>
    </w:p>
    <w:p w14:paraId="6596B043"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Комбинирана терапия с циклоспорин може да доведе до хиперурикемия и усложнения от подагрозен тип.</w:t>
      </w:r>
    </w:p>
    <w:p w14:paraId="6D52AC06" w14:textId="77777777" w:rsidR="002E6951" w:rsidRPr="002E6951" w:rsidRDefault="002E6951" w:rsidP="002E6951">
      <w:pPr>
        <w:spacing w:line="240" w:lineRule="auto"/>
        <w:rPr>
          <w:rFonts w:eastAsia="Times New Roman" w:cs="Arial"/>
          <w:i/>
          <w:iCs/>
          <w:color w:val="000000"/>
          <w:lang w:eastAsia="bg-BG"/>
        </w:rPr>
      </w:pPr>
    </w:p>
    <w:p w14:paraId="60F4E962" w14:textId="50E7F299"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Цитостатици</w:t>
      </w:r>
    </w:p>
    <w:p w14:paraId="2EAA35C9"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Тиазиди, включително и хидрохлоротиазид, могат да намалят реналната екскреция на цитотоксични продукти (циклофосфамид, метотрексат) и да потенцират техните миелосупресивни ефекти.</w:t>
      </w:r>
    </w:p>
    <w:p w14:paraId="3084CEB2" w14:textId="77777777" w:rsidR="002E6951" w:rsidRPr="002E6951" w:rsidRDefault="002E6951" w:rsidP="002E6951">
      <w:pPr>
        <w:spacing w:line="240" w:lineRule="auto"/>
        <w:rPr>
          <w:rFonts w:eastAsia="Times New Roman" w:cs="Arial"/>
          <w:i/>
          <w:iCs/>
          <w:color w:val="000000"/>
          <w:lang w:eastAsia="bg-BG"/>
        </w:rPr>
      </w:pPr>
    </w:p>
    <w:p w14:paraId="52DE2A0C" w14:textId="179E5738"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Йод контрастни средства</w:t>
      </w:r>
    </w:p>
    <w:p w14:paraId="2FFFF9E2"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В случаи на дехидратация, причинена от тиазиди, се увеличава риска от остра бъбречна недостатъчност в случаи на прилагане на йод-контрастни вещества, особено с високи дози. Това налага предварителна рехидратация на пациентите.</w:t>
      </w:r>
    </w:p>
    <w:p w14:paraId="2909DD16" w14:textId="77777777" w:rsidR="002E6951" w:rsidRPr="002E6951" w:rsidRDefault="002E6951" w:rsidP="002E6951">
      <w:pPr>
        <w:spacing w:line="240" w:lineRule="auto"/>
        <w:rPr>
          <w:rFonts w:eastAsia="Times New Roman" w:cs="Arial"/>
          <w:i/>
          <w:iCs/>
          <w:color w:val="000000"/>
          <w:lang w:eastAsia="bg-BG"/>
        </w:rPr>
      </w:pPr>
    </w:p>
    <w:p w14:paraId="0A221FAF" w14:textId="71FA43D9"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Амантадин</w:t>
      </w:r>
    </w:p>
    <w:p w14:paraId="5A26221D"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Тиазиди, включително и хидрохлоротиазид, могат да увеличат риска от проява на нежелани реакции от страна на амантадин.</w:t>
      </w:r>
    </w:p>
    <w:p w14:paraId="35989F48" w14:textId="77777777" w:rsidR="002E6951" w:rsidRPr="002E6951" w:rsidRDefault="002E6951" w:rsidP="002E6951">
      <w:pPr>
        <w:spacing w:line="240" w:lineRule="auto"/>
        <w:rPr>
          <w:rFonts w:eastAsia="Times New Roman" w:cs="Arial"/>
          <w:i/>
          <w:iCs/>
          <w:color w:val="000000"/>
          <w:lang w:eastAsia="bg-BG"/>
        </w:rPr>
      </w:pPr>
    </w:p>
    <w:p w14:paraId="03F78C74" w14:textId="7A735534"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Йонообменни смоли</w:t>
      </w:r>
    </w:p>
    <w:p w14:paraId="4AD3F06B"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Абсорбцията на тиазидните диуретици, включително хидрохлоротиазид се намалява с холестирамин или колестипол. Това може да доведе до субтерапевтични ефекти на тиазидните диуретици. За да се сведе до минимум взаимодействието, хидрохлоротиазид се прилага най- малко 4 часа преди или 4-6 часа след прилагане на йонообменните смоли.</w:t>
      </w:r>
    </w:p>
    <w:p w14:paraId="4E163639" w14:textId="77777777" w:rsidR="002E6951" w:rsidRPr="002E6951" w:rsidRDefault="002E6951" w:rsidP="002E6951">
      <w:pPr>
        <w:spacing w:line="240" w:lineRule="auto"/>
        <w:rPr>
          <w:rFonts w:eastAsia="Times New Roman" w:cs="Arial"/>
          <w:i/>
          <w:iCs/>
          <w:color w:val="000000"/>
          <w:lang w:eastAsia="bg-BG"/>
        </w:rPr>
      </w:pPr>
    </w:p>
    <w:p w14:paraId="3FBB0E24" w14:textId="30C69A32"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Лекарствени продукти, които могат да предизвикат торсади</w:t>
      </w:r>
    </w:p>
    <w:p w14:paraId="061A49AF" w14:textId="6C69C565" w:rsidR="002E6951" w:rsidRPr="002E6951" w:rsidRDefault="002E6951" w:rsidP="002E6951">
      <w:pPr>
        <w:spacing w:line="240" w:lineRule="auto"/>
        <w:rPr>
          <w:rFonts w:eastAsia="Times New Roman" w:cs="Arial"/>
        </w:rPr>
      </w:pPr>
      <w:r w:rsidRPr="002E6951">
        <w:rPr>
          <w:rFonts w:eastAsia="Times New Roman" w:cs="Arial"/>
          <w:color w:val="000000"/>
          <w:lang w:eastAsia="bg-BG"/>
        </w:rPr>
        <w:t xml:space="preserve">Поради риска от хипокалиемия, хидрохлоротиазид трябва да се прилага с повишено внимание, когато се прилага с лекарствени продукти, които могат да предизвикат торсади, по-специално от клас </w:t>
      </w:r>
      <w:r w:rsidRPr="002E6951">
        <w:rPr>
          <w:rFonts w:eastAsia="Times New Roman" w:cs="Arial"/>
          <w:color w:val="000000"/>
          <w:lang w:val="en-US"/>
        </w:rPr>
        <w:t>I</w:t>
      </w:r>
      <w:r w:rsidRPr="002E6951">
        <w:rPr>
          <w:rFonts w:eastAsia="Times New Roman" w:cs="Arial"/>
          <w:color w:val="000000"/>
          <w:lang w:eastAsia="bg-BG"/>
        </w:rPr>
        <w:t>а и клас III антиаритмични средства и някои антипсихотици.</w:t>
      </w:r>
    </w:p>
    <w:p w14:paraId="3783757D" w14:textId="493F12A7" w:rsidR="002E6951" w:rsidRPr="002E6951" w:rsidRDefault="002E6951" w:rsidP="002E6951"/>
    <w:p w14:paraId="5D9F40EA" w14:textId="781131A7" w:rsidR="007122AD" w:rsidRDefault="002C50EE" w:rsidP="00936AD0">
      <w:pPr>
        <w:pStyle w:val="Heading2"/>
      </w:pPr>
      <w:r>
        <w:t>4.6. Фертилитет, бременност и кърмене</w:t>
      </w:r>
    </w:p>
    <w:p w14:paraId="46AACEA0" w14:textId="13BB6D22" w:rsidR="002E6951" w:rsidRDefault="002E6951" w:rsidP="002E6951"/>
    <w:p w14:paraId="39D979F4" w14:textId="77777777" w:rsidR="002E6951" w:rsidRPr="002E6951" w:rsidRDefault="002E6951" w:rsidP="002E6951">
      <w:pPr>
        <w:pStyle w:val="Heading3"/>
        <w:rPr>
          <w:rFonts w:eastAsia="Times New Roman"/>
          <w:u w:val="single"/>
        </w:rPr>
      </w:pPr>
      <w:r w:rsidRPr="002E6951">
        <w:rPr>
          <w:rFonts w:eastAsia="Times New Roman"/>
          <w:u w:val="single"/>
          <w:lang w:eastAsia="bg-BG"/>
        </w:rPr>
        <w:t>Бременност</w:t>
      </w:r>
    </w:p>
    <w:p w14:paraId="672852D1"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Има ограничен опит с прилагането на хидрохлоротиазид по време на бременност, особено през първия триместьр. Проучванията при животни са недостатъчни. Хидрохлоротиазид преминава през плацентарната бариера. Употребата му по време на втория и третия триместьр може да наруши фето-плацентарната перфузия и може да причини фетални и неонатални ефекти като жълтеница, нарушение на електролитния баланс и тромбоцитопения, което се дължи на фармакологичния механизъм на действие на хидрохлоротиазид.</w:t>
      </w:r>
    </w:p>
    <w:p w14:paraId="10FE1038"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Хидрохлоротиазид не трябва да се използва за лечение на отоци и хипертония</w:t>
      </w:r>
      <w:r w:rsidRPr="002E6951">
        <w:rPr>
          <w:rFonts w:eastAsia="Times New Roman" w:cs="Arial"/>
          <w:color w:val="000000"/>
          <w:lang w:val="ru-RU"/>
        </w:rPr>
        <w:t xml:space="preserve"> </w:t>
      </w:r>
      <w:r w:rsidRPr="002E6951">
        <w:rPr>
          <w:rFonts w:eastAsia="Times New Roman" w:cs="Arial"/>
          <w:color w:val="000000"/>
          <w:lang w:eastAsia="bg-BG"/>
        </w:rPr>
        <w:t xml:space="preserve">при бременни или за прееклампсия, поради риск от намаляване на плазмения обем и хипоперфузия на плацентата, без настъпване на благоприятен ефект върху хода на болестта. Хидрохлоротиазид не трябва да се използва за лечение на есенциална </w:t>
      </w:r>
      <w:r w:rsidRPr="002E6951">
        <w:rPr>
          <w:rFonts w:eastAsia="Times New Roman" w:cs="Arial"/>
          <w:color w:val="000000"/>
          <w:lang w:eastAsia="bg-BG"/>
        </w:rPr>
        <w:lastRenderedPageBreak/>
        <w:t>хипертония при бременни жени, освен в редки ситуации, когато друго лечение не може да бъде провеждано</w:t>
      </w:r>
    </w:p>
    <w:p w14:paraId="18566A60" w14:textId="7DC0E438" w:rsidR="002E6951" w:rsidRPr="002E6951" w:rsidRDefault="002E6951" w:rsidP="002E6951">
      <w:pPr>
        <w:rPr>
          <w:rFonts w:cs="Arial"/>
        </w:rPr>
      </w:pPr>
    </w:p>
    <w:p w14:paraId="09911C5A" w14:textId="77777777" w:rsidR="002E6951" w:rsidRPr="002E6951" w:rsidRDefault="002E6951" w:rsidP="002E6951">
      <w:pPr>
        <w:pStyle w:val="Heading3"/>
        <w:rPr>
          <w:rFonts w:eastAsia="Times New Roman"/>
          <w:u w:val="single"/>
        </w:rPr>
      </w:pPr>
      <w:r w:rsidRPr="002E6951">
        <w:rPr>
          <w:rFonts w:eastAsia="Times New Roman"/>
          <w:u w:val="single"/>
          <w:lang w:eastAsia="bg-BG"/>
        </w:rPr>
        <w:t>Кърмене</w:t>
      </w:r>
    </w:p>
    <w:p w14:paraId="1EF95C79" w14:textId="77777777" w:rsidR="002E6951" w:rsidRPr="002E6951" w:rsidRDefault="002E6951" w:rsidP="002E6951">
      <w:pPr>
        <w:spacing w:line="240" w:lineRule="auto"/>
        <w:rPr>
          <w:rFonts w:ascii="Times New Roman" w:eastAsia="Times New Roman" w:hAnsi="Times New Roman" w:cs="Times New Roman"/>
          <w:sz w:val="24"/>
          <w:szCs w:val="24"/>
        </w:rPr>
      </w:pPr>
      <w:r w:rsidRPr="002E6951">
        <w:rPr>
          <w:rFonts w:eastAsia="Times New Roman" w:cs="Arial"/>
          <w:color w:val="000000"/>
          <w:lang w:eastAsia="bg-BG"/>
        </w:rPr>
        <w:t>Хидрохлоротиазид се екскретира в майчиното мляко в малки количества. Прилагането на тиазидите във високи дози води до интензивна диуреза и може да потисне производството на кърма. Използването на хидрохлоротиазид по време на кърмене не се препоръчва. Ако хидрохлоротиазид се използва по време на кърмене, приложените дози трябва да са възможно най-ниски.</w:t>
      </w:r>
    </w:p>
    <w:p w14:paraId="6C003B2B" w14:textId="77777777" w:rsidR="002E6951" w:rsidRPr="002E6951" w:rsidRDefault="002E6951" w:rsidP="002E6951"/>
    <w:p w14:paraId="5DD7A76D" w14:textId="261504B6" w:rsidR="007122AD" w:rsidRDefault="002C50EE" w:rsidP="00936AD0">
      <w:pPr>
        <w:pStyle w:val="Heading2"/>
      </w:pPr>
      <w:r>
        <w:t>4.7. Ефекти върху способността за шофиране и работа с машини</w:t>
      </w:r>
    </w:p>
    <w:p w14:paraId="0F62734A" w14:textId="4EEDA810" w:rsidR="002E6951" w:rsidRDefault="002E6951" w:rsidP="002E6951"/>
    <w:p w14:paraId="30961AA1" w14:textId="77777777" w:rsidR="002E6951" w:rsidRPr="002E6951" w:rsidRDefault="002E6951" w:rsidP="002E6951">
      <w:pPr>
        <w:rPr>
          <w:sz w:val="24"/>
          <w:szCs w:val="24"/>
        </w:rPr>
      </w:pPr>
      <w:r w:rsidRPr="002E6951">
        <w:rPr>
          <w:lang w:eastAsia="bg-BG"/>
        </w:rPr>
        <w:t>Дехидразид не повлиява активното внимание, но в началото на лечението могат да се очакват реакции, свързани с понижаване на артериалното налягане, което изисква внимателното му прилагане при шофьори и оператори на машини при точна оценка на съотношението полза/риск.</w:t>
      </w:r>
    </w:p>
    <w:p w14:paraId="0E5540E9" w14:textId="77777777" w:rsidR="002E6951" w:rsidRPr="002E6951" w:rsidRDefault="002E6951" w:rsidP="002E6951"/>
    <w:p w14:paraId="44CE30A3" w14:textId="09885F98" w:rsidR="007122AD" w:rsidRDefault="002C50EE" w:rsidP="00936AD0">
      <w:pPr>
        <w:pStyle w:val="Heading2"/>
      </w:pPr>
      <w:r>
        <w:t>4.8. Нежелани лекарствени реакции</w:t>
      </w:r>
    </w:p>
    <w:p w14:paraId="4FC7FA2C" w14:textId="45D54D6A" w:rsidR="002E6951" w:rsidRDefault="002E6951" w:rsidP="002E6951"/>
    <w:p w14:paraId="47C0E159"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Нежеланите лекарствени реакции обикновено са дозозависими и отзвучават при прекратяване на лечението или намаляване на дозата.</w:t>
      </w:r>
    </w:p>
    <w:p w14:paraId="4D91FF01"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t>Нежеланите реакции са представени по системата орган-клас и честота. Честотата се определя като: много чести (≥1/10), чести (≥ 1/100 до &lt;1/10), нечести (≥ 1/1 000 до &lt;1/100), редки (≥ 1/10 000 до &lt;1/1 000), много редки (&lt;1/10 000), с неизвестна честота (от наличните данни не може да бъде направена оценка).</w:t>
      </w:r>
    </w:p>
    <w:p w14:paraId="76B72711" w14:textId="77777777" w:rsidR="002E6951" w:rsidRPr="002E6951" w:rsidRDefault="002E6951" w:rsidP="002E6951">
      <w:pPr>
        <w:spacing w:line="240" w:lineRule="auto"/>
        <w:rPr>
          <w:rFonts w:eastAsia="Times New Roman" w:cs="Arial"/>
          <w:i/>
          <w:iCs/>
          <w:color w:val="000000"/>
          <w:u w:val="single"/>
          <w:lang w:eastAsia="bg-BG"/>
        </w:rPr>
      </w:pPr>
    </w:p>
    <w:p w14:paraId="5200D2F5" w14:textId="77777777" w:rsidR="002E6951" w:rsidRPr="002E6951" w:rsidRDefault="002E6951" w:rsidP="002E6951">
      <w:pPr>
        <w:spacing w:line="240" w:lineRule="auto"/>
        <w:rPr>
          <w:rFonts w:eastAsia="Times New Roman" w:cs="Arial"/>
          <w:i/>
          <w:iCs/>
          <w:color w:val="000000"/>
          <w:u w:val="single"/>
          <w:lang w:eastAsia="bg-BG"/>
        </w:rPr>
      </w:pPr>
      <w:r w:rsidRPr="002E6951">
        <w:rPr>
          <w:rFonts w:eastAsia="Times New Roman" w:cs="Arial"/>
          <w:i/>
          <w:iCs/>
          <w:color w:val="000000"/>
          <w:u w:val="single"/>
          <w:lang w:eastAsia="bg-BG"/>
        </w:rPr>
        <w:t xml:space="preserve">Неоплазми - доброкачествени, злокачествени и неопределени (вкл. кисти и полипи) </w:t>
      </w:r>
    </w:p>
    <w:p w14:paraId="74F0A3E0" w14:textId="1AC6A6FC"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С неизвестна честота:</w:t>
      </w:r>
      <w:r w:rsidRPr="002E6951">
        <w:rPr>
          <w:rFonts w:eastAsia="Times New Roman" w:cs="Arial"/>
          <w:color w:val="000000"/>
          <w:lang w:eastAsia="bg-BG"/>
        </w:rPr>
        <w:t xml:space="preserve"> немеланомен рак на кожата (базалноклетъчен карцином и сквамозноклетъчен карцином).</w:t>
      </w:r>
    </w:p>
    <w:p w14:paraId="079423F5" w14:textId="77777777" w:rsidR="002E6951" w:rsidRPr="002E6951" w:rsidRDefault="002E6951" w:rsidP="002E6951">
      <w:pPr>
        <w:spacing w:line="240" w:lineRule="auto"/>
        <w:rPr>
          <w:rFonts w:eastAsia="Times New Roman" w:cs="Arial"/>
          <w:i/>
          <w:iCs/>
          <w:color w:val="000000"/>
          <w:u w:val="single"/>
          <w:lang w:eastAsia="bg-BG"/>
        </w:rPr>
      </w:pPr>
    </w:p>
    <w:p w14:paraId="4ECBB266" w14:textId="5A5B9C9D"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Нарушения на кръвта и лимфната система</w:t>
      </w:r>
    </w:p>
    <w:p w14:paraId="7787CDCA" w14:textId="3DDCCAC4"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Редки:</w:t>
      </w:r>
      <w:r w:rsidRPr="002E6951">
        <w:rPr>
          <w:rFonts w:eastAsia="Times New Roman" w:cs="Arial"/>
          <w:color w:val="000000"/>
          <w:lang w:eastAsia="bg-BG"/>
        </w:rPr>
        <w:t xml:space="preserve"> тромбоцитопения, понякога с пурпура;</w:t>
      </w:r>
    </w:p>
    <w:p w14:paraId="2FEEBD50"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Много редки:</w:t>
      </w:r>
      <w:r w:rsidRPr="002E6951">
        <w:rPr>
          <w:rFonts w:eastAsia="Times New Roman" w:cs="Arial"/>
          <w:color w:val="000000"/>
          <w:lang w:eastAsia="bg-BG"/>
        </w:rPr>
        <w:t xml:space="preserve"> хемолитична анемия, левкопения, агранулоцитоза, супресия на костния мозък;</w:t>
      </w:r>
    </w:p>
    <w:p w14:paraId="74E17482"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С неизвестна честота:</w:t>
      </w:r>
      <w:r w:rsidRPr="002E6951">
        <w:rPr>
          <w:rFonts w:eastAsia="Times New Roman" w:cs="Arial"/>
          <w:color w:val="000000"/>
          <w:lang w:eastAsia="bg-BG"/>
        </w:rPr>
        <w:t xml:space="preserve"> апластична анемия.</w:t>
      </w:r>
    </w:p>
    <w:p w14:paraId="3E6B6F13" w14:textId="77777777" w:rsidR="002E6951" w:rsidRPr="002E6951" w:rsidRDefault="002E6951" w:rsidP="002E6951">
      <w:pPr>
        <w:spacing w:line="240" w:lineRule="auto"/>
        <w:rPr>
          <w:rFonts w:eastAsia="Times New Roman" w:cs="Arial"/>
          <w:i/>
          <w:iCs/>
          <w:color w:val="000000"/>
          <w:u w:val="single"/>
          <w:lang w:eastAsia="bg-BG"/>
        </w:rPr>
      </w:pPr>
    </w:p>
    <w:p w14:paraId="083FA640" w14:textId="59341737"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Нарушения на имунната система</w:t>
      </w:r>
    </w:p>
    <w:p w14:paraId="0CD9A504"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Много редки:</w:t>
      </w:r>
      <w:r w:rsidRPr="002E6951">
        <w:rPr>
          <w:rFonts w:eastAsia="Times New Roman" w:cs="Arial"/>
          <w:color w:val="000000"/>
          <w:lang w:eastAsia="bg-BG"/>
        </w:rPr>
        <w:t xml:space="preserve"> реакции на свръхчувствителност.</w:t>
      </w:r>
    </w:p>
    <w:p w14:paraId="66E40F39" w14:textId="77777777" w:rsidR="002E6951" w:rsidRPr="002E6951" w:rsidRDefault="002E6951" w:rsidP="002E6951">
      <w:pPr>
        <w:spacing w:line="240" w:lineRule="auto"/>
        <w:rPr>
          <w:rFonts w:eastAsia="Times New Roman" w:cs="Arial"/>
          <w:i/>
          <w:iCs/>
          <w:color w:val="000000"/>
          <w:u w:val="single"/>
          <w:lang w:eastAsia="bg-BG"/>
        </w:rPr>
      </w:pPr>
    </w:p>
    <w:p w14:paraId="149C5409" w14:textId="3A90FA6E"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Нарушения на нервната система</w:t>
      </w:r>
    </w:p>
    <w:p w14:paraId="4C509EFB"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Редки:</w:t>
      </w:r>
      <w:r w:rsidRPr="002E6951">
        <w:rPr>
          <w:rFonts w:eastAsia="Times New Roman" w:cs="Arial"/>
          <w:color w:val="000000"/>
          <w:lang w:eastAsia="bg-BG"/>
        </w:rPr>
        <w:t xml:space="preserve"> световъртеж, главоболие, парестезии.</w:t>
      </w:r>
    </w:p>
    <w:p w14:paraId="791579B1" w14:textId="77777777" w:rsidR="002E6951" w:rsidRPr="002E6951" w:rsidRDefault="002E6951" w:rsidP="002E6951">
      <w:pPr>
        <w:spacing w:line="240" w:lineRule="auto"/>
        <w:rPr>
          <w:rFonts w:eastAsia="Times New Roman" w:cs="Arial"/>
          <w:i/>
          <w:iCs/>
          <w:color w:val="000000"/>
          <w:u w:val="single"/>
          <w:lang w:eastAsia="bg-BG"/>
        </w:rPr>
      </w:pPr>
    </w:p>
    <w:p w14:paraId="4BEFE87C" w14:textId="5628DF90"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Психични нарушения</w:t>
      </w:r>
    </w:p>
    <w:p w14:paraId="4DB6CD10"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Редки:</w:t>
      </w:r>
      <w:r w:rsidRPr="002E6951">
        <w:rPr>
          <w:rFonts w:eastAsia="Times New Roman" w:cs="Arial"/>
          <w:color w:val="000000"/>
          <w:lang w:eastAsia="bg-BG"/>
        </w:rPr>
        <w:t xml:space="preserve"> депресия, безсъние, нарушение на съня.</w:t>
      </w:r>
    </w:p>
    <w:p w14:paraId="06A85709" w14:textId="77777777" w:rsidR="002E6951" w:rsidRPr="002E6951" w:rsidRDefault="002E6951" w:rsidP="002E6951">
      <w:pPr>
        <w:spacing w:line="240" w:lineRule="auto"/>
        <w:rPr>
          <w:rFonts w:eastAsia="Times New Roman" w:cs="Arial"/>
          <w:i/>
          <w:iCs/>
          <w:color w:val="000000"/>
          <w:u w:val="single"/>
          <w:lang w:eastAsia="bg-BG"/>
        </w:rPr>
      </w:pPr>
    </w:p>
    <w:p w14:paraId="78E5CDDA" w14:textId="47EA6819"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Нарушения на очите</w:t>
      </w:r>
    </w:p>
    <w:p w14:paraId="23172BBE"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Редки:</w:t>
      </w:r>
      <w:r w:rsidRPr="002E6951">
        <w:rPr>
          <w:rFonts w:eastAsia="Times New Roman" w:cs="Arial"/>
          <w:color w:val="000000"/>
          <w:lang w:eastAsia="bg-BG"/>
        </w:rPr>
        <w:t xml:space="preserve"> смущения в зрението;</w:t>
      </w:r>
    </w:p>
    <w:p w14:paraId="4AF5E221"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С неизвестна честота:</w:t>
      </w:r>
      <w:r w:rsidRPr="002E6951">
        <w:rPr>
          <w:rFonts w:eastAsia="Times New Roman" w:cs="Arial"/>
          <w:color w:val="000000"/>
          <w:lang w:eastAsia="bg-BG"/>
        </w:rPr>
        <w:t xml:space="preserve"> остра закритоъгълна глаукома, хороидален излив.</w:t>
      </w:r>
    </w:p>
    <w:p w14:paraId="6F5C489A" w14:textId="77777777" w:rsidR="002E6951" w:rsidRPr="002E6951" w:rsidRDefault="002E6951" w:rsidP="002E6951">
      <w:pPr>
        <w:spacing w:line="240" w:lineRule="auto"/>
        <w:rPr>
          <w:rFonts w:eastAsia="Times New Roman" w:cs="Arial"/>
          <w:i/>
          <w:iCs/>
          <w:color w:val="000000"/>
          <w:u w:val="single"/>
          <w:lang w:eastAsia="bg-BG"/>
        </w:rPr>
      </w:pPr>
    </w:p>
    <w:p w14:paraId="55F0D81D" w14:textId="031FA07B"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lastRenderedPageBreak/>
        <w:t>Стомашно-чревни нарушения</w:t>
      </w:r>
    </w:p>
    <w:p w14:paraId="139FBF5B"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Чести:</w:t>
      </w:r>
      <w:r w:rsidRPr="002E6951">
        <w:rPr>
          <w:rFonts w:eastAsia="Times New Roman" w:cs="Arial"/>
          <w:color w:val="000000"/>
          <w:lang w:eastAsia="bg-BG"/>
        </w:rPr>
        <w:t xml:space="preserve"> безапетитие, гадене, повръщане;</w:t>
      </w:r>
    </w:p>
    <w:p w14:paraId="727CD255"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Редки:</w:t>
      </w:r>
      <w:r w:rsidRPr="002E6951">
        <w:rPr>
          <w:rFonts w:eastAsia="Times New Roman" w:cs="Arial"/>
          <w:color w:val="000000"/>
          <w:lang w:eastAsia="bg-BG"/>
        </w:rPr>
        <w:t xml:space="preserve"> коремен дискомфорт, болки в горната част на корема, констипация, диария;</w:t>
      </w:r>
    </w:p>
    <w:p w14:paraId="399E03A3"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Много редки:</w:t>
      </w:r>
      <w:r w:rsidRPr="002E6951">
        <w:rPr>
          <w:rFonts w:eastAsia="Times New Roman" w:cs="Arial"/>
          <w:color w:val="000000"/>
          <w:lang w:eastAsia="bg-BG"/>
        </w:rPr>
        <w:t xml:space="preserve"> панкреатит.</w:t>
      </w:r>
    </w:p>
    <w:p w14:paraId="175B6DBE" w14:textId="77777777" w:rsidR="002E6951" w:rsidRPr="002E6951" w:rsidRDefault="002E6951" w:rsidP="002E6951">
      <w:pPr>
        <w:spacing w:line="240" w:lineRule="auto"/>
        <w:rPr>
          <w:rFonts w:eastAsia="Times New Roman" w:cs="Arial"/>
          <w:i/>
          <w:iCs/>
          <w:color w:val="000000"/>
          <w:u w:val="single"/>
          <w:lang w:eastAsia="bg-BG"/>
        </w:rPr>
      </w:pPr>
    </w:p>
    <w:p w14:paraId="48401BE1" w14:textId="77777777" w:rsidR="002E6951" w:rsidRPr="002E6951" w:rsidRDefault="002E6951" w:rsidP="002E6951">
      <w:pPr>
        <w:spacing w:line="240" w:lineRule="auto"/>
        <w:rPr>
          <w:rFonts w:eastAsia="Times New Roman" w:cs="Arial"/>
          <w:i/>
          <w:iCs/>
          <w:color w:val="000000"/>
          <w:u w:val="single"/>
          <w:lang w:eastAsia="bg-BG"/>
        </w:rPr>
      </w:pPr>
      <w:r w:rsidRPr="002E6951">
        <w:rPr>
          <w:rFonts w:eastAsia="Times New Roman" w:cs="Arial"/>
          <w:i/>
          <w:iCs/>
          <w:color w:val="000000"/>
          <w:u w:val="single"/>
          <w:lang w:eastAsia="bg-BG"/>
        </w:rPr>
        <w:t xml:space="preserve">Нарушения на бъбреците и пикочните пътища </w:t>
      </w:r>
    </w:p>
    <w:p w14:paraId="7DFE4852" w14:textId="2EA698C9"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Редки:</w:t>
      </w:r>
      <w:r w:rsidRPr="002E6951">
        <w:rPr>
          <w:rFonts w:eastAsia="Times New Roman" w:cs="Arial"/>
          <w:color w:val="000000"/>
          <w:lang w:eastAsia="bg-BG"/>
        </w:rPr>
        <w:t xml:space="preserve"> бъбречна недостатъчност и увреждане;</w:t>
      </w:r>
    </w:p>
    <w:p w14:paraId="2307B6C6" w14:textId="5E7A5DCE" w:rsidR="002E6951" w:rsidRPr="002E6951" w:rsidRDefault="002E6951" w:rsidP="002E6951">
      <w:pPr>
        <w:rPr>
          <w:rFonts w:eastAsia="Times New Roman" w:cs="Arial"/>
          <w:color w:val="000000"/>
          <w:lang w:eastAsia="bg-BG"/>
        </w:rPr>
      </w:pPr>
      <w:r w:rsidRPr="002E6951">
        <w:rPr>
          <w:rFonts w:eastAsia="Times New Roman" w:cs="Arial"/>
          <w:i/>
          <w:iCs/>
          <w:color w:val="000000"/>
          <w:lang w:eastAsia="bg-BG"/>
        </w:rPr>
        <w:t>С неизвестна честота:</w:t>
      </w:r>
      <w:r w:rsidRPr="002E6951">
        <w:rPr>
          <w:rFonts w:eastAsia="Times New Roman" w:cs="Arial"/>
          <w:color w:val="000000"/>
          <w:lang w:eastAsia="bg-BG"/>
        </w:rPr>
        <w:t xml:space="preserve"> бъбречна дисфункция, остра бъбречна недостатъчност</w:t>
      </w:r>
    </w:p>
    <w:p w14:paraId="176D843A" w14:textId="5F76571F" w:rsidR="002E6951" w:rsidRPr="002E6951" w:rsidRDefault="002E6951" w:rsidP="002E6951">
      <w:pPr>
        <w:rPr>
          <w:rFonts w:eastAsia="Times New Roman" w:cs="Arial"/>
          <w:color w:val="000000"/>
          <w:lang w:eastAsia="bg-BG"/>
        </w:rPr>
      </w:pPr>
    </w:p>
    <w:p w14:paraId="4745563E" w14:textId="77777777"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Нарушения на кожата и подкожната тъкан</w:t>
      </w:r>
    </w:p>
    <w:p w14:paraId="4A0A618A"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Чести:</w:t>
      </w:r>
      <w:r w:rsidRPr="002E6951">
        <w:rPr>
          <w:rFonts w:eastAsia="Times New Roman" w:cs="Arial"/>
          <w:color w:val="000000"/>
          <w:lang w:eastAsia="bg-BG"/>
        </w:rPr>
        <w:t xml:space="preserve"> обриви, уртикария;</w:t>
      </w:r>
    </w:p>
    <w:p w14:paraId="0B4CBCE2"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Редки:</w:t>
      </w:r>
      <w:r w:rsidRPr="002E6951">
        <w:rPr>
          <w:rFonts w:eastAsia="Times New Roman" w:cs="Arial"/>
          <w:color w:val="000000"/>
          <w:lang w:eastAsia="bg-BG"/>
        </w:rPr>
        <w:t xml:space="preserve"> реакция на фоточувствителност, пурпура;</w:t>
      </w:r>
    </w:p>
    <w:p w14:paraId="19F6E419"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Много редки:</w:t>
      </w:r>
      <w:r w:rsidRPr="002E6951">
        <w:rPr>
          <w:rFonts w:eastAsia="Times New Roman" w:cs="Arial"/>
          <w:color w:val="000000"/>
          <w:lang w:eastAsia="bg-BG"/>
        </w:rPr>
        <w:t xml:space="preserve"> некротичен васкулит и токсична епидермална некролиза, реакции, подобни на кожен лупус еритематодес, реактивиране на кожен лупус еритематодес;</w:t>
      </w:r>
    </w:p>
    <w:p w14:paraId="2F995D30"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С неизвестна честота:</w:t>
      </w:r>
      <w:r w:rsidRPr="002E6951">
        <w:rPr>
          <w:rFonts w:eastAsia="Times New Roman" w:cs="Arial"/>
          <w:color w:val="000000"/>
          <w:lang w:eastAsia="bg-BG"/>
        </w:rPr>
        <w:t xml:space="preserve"> еритема мултиформе.</w:t>
      </w:r>
    </w:p>
    <w:p w14:paraId="64B6FE61" w14:textId="77777777" w:rsidR="002E6951" w:rsidRPr="002E6951" w:rsidRDefault="002E6951" w:rsidP="002E6951">
      <w:pPr>
        <w:spacing w:line="240" w:lineRule="auto"/>
        <w:rPr>
          <w:rFonts w:eastAsia="Times New Roman" w:cs="Arial"/>
          <w:i/>
          <w:iCs/>
          <w:color w:val="000000"/>
          <w:u w:val="single"/>
          <w:lang w:eastAsia="bg-BG"/>
        </w:rPr>
      </w:pPr>
    </w:p>
    <w:p w14:paraId="2998C691" w14:textId="2E614594"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 xml:space="preserve">Нарушения на мускулно-скелетната система и съединителната тъкан </w:t>
      </w:r>
      <w:r w:rsidRPr="002E6951">
        <w:rPr>
          <w:rFonts w:eastAsia="Times New Roman" w:cs="Arial"/>
          <w:i/>
          <w:iCs/>
          <w:color w:val="000000"/>
          <w:lang w:eastAsia="bg-BG"/>
        </w:rPr>
        <w:t>С неизвестна честота:</w:t>
      </w:r>
      <w:r w:rsidRPr="002E6951">
        <w:rPr>
          <w:rFonts w:eastAsia="Times New Roman" w:cs="Arial"/>
          <w:color w:val="000000"/>
          <w:lang w:eastAsia="bg-BG"/>
        </w:rPr>
        <w:t xml:space="preserve"> мускулни спазми.</w:t>
      </w:r>
    </w:p>
    <w:p w14:paraId="352187D8" w14:textId="77777777" w:rsidR="002E6951" w:rsidRPr="002E6951" w:rsidRDefault="002E6951" w:rsidP="002E6951">
      <w:pPr>
        <w:spacing w:line="240" w:lineRule="auto"/>
        <w:rPr>
          <w:rFonts w:eastAsia="Times New Roman" w:cs="Arial"/>
          <w:i/>
          <w:iCs/>
          <w:color w:val="000000"/>
          <w:u w:val="single"/>
          <w:lang w:eastAsia="bg-BG"/>
        </w:rPr>
      </w:pPr>
    </w:p>
    <w:p w14:paraId="65067121" w14:textId="5B49B13E"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Нарушения на метаболизма и храненето</w:t>
      </w:r>
    </w:p>
    <w:p w14:paraId="432EF1A1"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Много чести:</w:t>
      </w:r>
      <w:r w:rsidRPr="002E6951">
        <w:rPr>
          <w:rFonts w:eastAsia="Times New Roman" w:cs="Arial"/>
          <w:color w:val="000000"/>
          <w:lang w:eastAsia="bg-BG"/>
        </w:rPr>
        <w:t xml:space="preserve"> хипокалиемия;</w:t>
      </w:r>
    </w:p>
    <w:p w14:paraId="7AF883E1"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Чести:</w:t>
      </w:r>
      <w:r w:rsidRPr="002E6951">
        <w:rPr>
          <w:rFonts w:eastAsia="Times New Roman" w:cs="Arial"/>
          <w:color w:val="000000"/>
          <w:lang w:eastAsia="bg-BG"/>
        </w:rPr>
        <w:t xml:space="preserve"> хиперурикемия; хипонатриемия, хипомагнезиемия;</w:t>
      </w:r>
    </w:p>
    <w:p w14:paraId="2AE83923"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Редки:</w:t>
      </w:r>
      <w:r w:rsidRPr="002E6951">
        <w:rPr>
          <w:rFonts w:eastAsia="Times New Roman" w:cs="Arial"/>
          <w:color w:val="000000"/>
          <w:lang w:eastAsia="bg-BG"/>
        </w:rPr>
        <w:t xml:space="preserve"> хиперкалциемия, хипергликемия; влошаване на метаболитното състояние при диабет;</w:t>
      </w:r>
    </w:p>
    <w:p w14:paraId="29E4CADC"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Много редки:</w:t>
      </w:r>
      <w:r w:rsidRPr="002E6951">
        <w:rPr>
          <w:rFonts w:eastAsia="Times New Roman" w:cs="Arial"/>
          <w:color w:val="000000"/>
          <w:lang w:eastAsia="bg-BG"/>
        </w:rPr>
        <w:t xml:space="preserve"> хипохлоремична алкалоза.</w:t>
      </w:r>
    </w:p>
    <w:p w14:paraId="5DAF4F17" w14:textId="77777777" w:rsidR="002E6951" w:rsidRPr="002E6951" w:rsidRDefault="002E6951" w:rsidP="002E6951">
      <w:pPr>
        <w:spacing w:line="240" w:lineRule="auto"/>
        <w:rPr>
          <w:rFonts w:eastAsia="Times New Roman" w:cs="Arial"/>
          <w:i/>
          <w:iCs/>
          <w:color w:val="000000"/>
          <w:u w:val="single"/>
          <w:lang w:eastAsia="bg-BG"/>
        </w:rPr>
      </w:pPr>
    </w:p>
    <w:p w14:paraId="494716EA" w14:textId="626527A8"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Сърдечни нарушения</w:t>
      </w:r>
    </w:p>
    <w:p w14:paraId="4746E34D"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Редки:</w:t>
      </w:r>
      <w:r w:rsidRPr="002E6951">
        <w:rPr>
          <w:rFonts w:eastAsia="Times New Roman" w:cs="Arial"/>
          <w:color w:val="000000"/>
          <w:lang w:eastAsia="bg-BG"/>
        </w:rPr>
        <w:t xml:space="preserve"> аритмии (вкл. брадикардия, камерна тахикардия и предсърдна фибрилация).</w:t>
      </w:r>
    </w:p>
    <w:p w14:paraId="4BDAA952" w14:textId="77777777" w:rsidR="002E6951" w:rsidRPr="002E6951" w:rsidRDefault="002E6951" w:rsidP="002E6951">
      <w:pPr>
        <w:spacing w:line="240" w:lineRule="auto"/>
        <w:rPr>
          <w:rFonts w:eastAsia="Times New Roman" w:cs="Arial"/>
          <w:i/>
          <w:iCs/>
          <w:color w:val="000000"/>
          <w:u w:val="single"/>
          <w:lang w:eastAsia="bg-BG"/>
        </w:rPr>
      </w:pPr>
    </w:p>
    <w:p w14:paraId="058AE814" w14:textId="297A1740"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Съдови нарушения</w:t>
      </w:r>
    </w:p>
    <w:p w14:paraId="3CF5F858"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Нечести:</w:t>
      </w:r>
      <w:r w:rsidRPr="002E6951">
        <w:rPr>
          <w:rFonts w:eastAsia="Times New Roman" w:cs="Arial"/>
          <w:color w:val="000000"/>
          <w:lang w:eastAsia="bg-BG"/>
        </w:rPr>
        <w:t xml:space="preserve"> ортостатична хипотония.</w:t>
      </w:r>
    </w:p>
    <w:p w14:paraId="45D4D8AA" w14:textId="77777777" w:rsidR="002E6951" w:rsidRPr="002E6951" w:rsidRDefault="002E6951" w:rsidP="002E6951">
      <w:pPr>
        <w:spacing w:line="240" w:lineRule="auto"/>
        <w:rPr>
          <w:rFonts w:eastAsia="Times New Roman" w:cs="Arial"/>
          <w:i/>
          <w:iCs/>
          <w:color w:val="000000"/>
          <w:u w:val="single"/>
          <w:lang w:eastAsia="bg-BG"/>
        </w:rPr>
      </w:pPr>
    </w:p>
    <w:p w14:paraId="434520D5" w14:textId="1E9E9C09"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Респираторни: гръдни и медиастинални нарушения</w:t>
      </w:r>
    </w:p>
    <w:p w14:paraId="4E09758D"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Много редки:</w:t>
      </w:r>
      <w:r w:rsidRPr="002E6951">
        <w:rPr>
          <w:rFonts w:eastAsia="Times New Roman" w:cs="Arial"/>
          <w:color w:val="000000"/>
          <w:lang w:eastAsia="bg-BG"/>
        </w:rPr>
        <w:t xml:space="preserve"> остър респираторен дистрес синдром </w:t>
      </w:r>
      <w:r w:rsidRPr="002E6951">
        <w:rPr>
          <w:rFonts w:eastAsia="Times New Roman" w:cs="Arial"/>
          <w:color w:val="000000"/>
          <w:lang w:val="ru-RU"/>
        </w:rPr>
        <w:t>(</w:t>
      </w:r>
      <w:r w:rsidRPr="002E6951">
        <w:rPr>
          <w:rFonts w:eastAsia="Times New Roman" w:cs="Arial"/>
          <w:color w:val="000000"/>
          <w:lang w:val="en-US"/>
        </w:rPr>
        <w:t>ARDS</w:t>
      </w:r>
      <w:r w:rsidRPr="002E6951">
        <w:rPr>
          <w:rFonts w:eastAsia="Times New Roman" w:cs="Arial"/>
          <w:color w:val="000000"/>
          <w:lang w:val="ru-RU"/>
        </w:rPr>
        <w:t xml:space="preserve">) </w:t>
      </w:r>
      <w:r w:rsidRPr="002E6951">
        <w:rPr>
          <w:rFonts w:eastAsia="Times New Roman" w:cs="Arial"/>
          <w:color w:val="000000"/>
          <w:lang w:eastAsia="bg-BG"/>
        </w:rPr>
        <w:t>(вж. точка 4.4)</w:t>
      </w:r>
    </w:p>
    <w:p w14:paraId="48EBD343" w14:textId="77777777" w:rsidR="002E6951" w:rsidRPr="002E6951" w:rsidRDefault="002E6951" w:rsidP="002E6951">
      <w:pPr>
        <w:spacing w:line="240" w:lineRule="auto"/>
        <w:rPr>
          <w:rFonts w:eastAsia="Times New Roman" w:cs="Arial"/>
          <w:i/>
          <w:iCs/>
          <w:color w:val="000000"/>
          <w:u w:val="single"/>
          <w:lang w:eastAsia="bg-BG"/>
        </w:rPr>
      </w:pPr>
    </w:p>
    <w:p w14:paraId="5BEF8AD2" w14:textId="1188D1F8"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Хепатобилиарни нарушения</w:t>
      </w:r>
    </w:p>
    <w:p w14:paraId="0FAD8A03"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Редки:</w:t>
      </w:r>
      <w:r w:rsidRPr="002E6951">
        <w:rPr>
          <w:rFonts w:eastAsia="Times New Roman" w:cs="Arial"/>
          <w:color w:val="000000"/>
          <w:lang w:eastAsia="bg-BG"/>
        </w:rPr>
        <w:t xml:space="preserve"> интрахепатална холестаза, жълтеница.</w:t>
      </w:r>
    </w:p>
    <w:p w14:paraId="205A5ED3" w14:textId="77777777" w:rsidR="002E6951" w:rsidRPr="002E6951" w:rsidRDefault="002E6951" w:rsidP="002E6951">
      <w:pPr>
        <w:spacing w:line="240" w:lineRule="auto"/>
        <w:rPr>
          <w:rFonts w:eastAsia="Times New Roman" w:cs="Arial"/>
          <w:i/>
          <w:iCs/>
          <w:color w:val="000000"/>
          <w:u w:val="single"/>
          <w:lang w:eastAsia="bg-BG"/>
        </w:rPr>
      </w:pPr>
    </w:p>
    <w:p w14:paraId="0F9441E6" w14:textId="1A1485B6"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Нарушения на репродуктивната система и гърдата</w:t>
      </w:r>
    </w:p>
    <w:p w14:paraId="45B0DFDC"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Чести:</w:t>
      </w:r>
      <w:r w:rsidRPr="002E6951">
        <w:rPr>
          <w:rFonts w:eastAsia="Times New Roman" w:cs="Arial"/>
          <w:color w:val="000000"/>
          <w:lang w:eastAsia="bg-BG"/>
        </w:rPr>
        <w:t xml:space="preserve"> импотентност.</w:t>
      </w:r>
    </w:p>
    <w:p w14:paraId="537704B2" w14:textId="77777777" w:rsidR="002E6951" w:rsidRPr="002E6951" w:rsidRDefault="002E6951" w:rsidP="002E6951">
      <w:pPr>
        <w:spacing w:line="240" w:lineRule="auto"/>
        <w:rPr>
          <w:rFonts w:eastAsia="Times New Roman" w:cs="Arial"/>
          <w:i/>
          <w:iCs/>
          <w:color w:val="000000"/>
          <w:u w:val="single"/>
          <w:lang w:eastAsia="bg-BG"/>
        </w:rPr>
      </w:pPr>
    </w:p>
    <w:p w14:paraId="3AB1826C" w14:textId="77777777" w:rsidR="002E6951" w:rsidRPr="002E6951" w:rsidRDefault="002E6951" w:rsidP="002E6951">
      <w:pPr>
        <w:spacing w:line="240" w:lineRule="auto"/>
        <w:rPr>
          <w:rFonts w:eastAsia="Times New Roman" w:cs="Arial"/>
          <w:i/>
          <w:iCs/>
          <w:color w:val="000000"/>
          <w:u w:val="single"/>
          <w:lang w:eastAsia="bg-BG"/>
        </w:rPr>
      </w:pPr>
      <w:r w:rsidRPr="002E6951">
        <w:rPr>
          <w:rFonts w:eastAsia="Times New Roman" w:cs="Arial"/>
          <w:i/>
          <w:iCs/>
          <w:color w:val="000000"/>
          <w:u w:val="single"/>
          <w:lang w:eastAsia="bg-BG"/>
        </w:rPr>
        <w:t xml:space="preserve">Общи нарушения и ефекти на мястото на приложение </w:t>
      </w:r>
    </w:p>
    <w:p w14:paraId="2D88C374" w14:textId="17FC0752"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С неизвестна честота:</w:t>
      </w:r>
      <w:r w:rsidRPr="002E6951">
        <w:rPr>
          <w:rFonts w:eastAsia="Times New Roman" w:cs="Arial"/>
          <w:color w:val="000000"/>
          <w:lang w:eastAsia="bg-BG"/>
        </w:rPr>
        <w:t xml:space="preserve"> астения, пирексия.</w:t>
      </w:r>
    </w:p>
    <w:p w14:paraId="621A7ACA" w14:textId="77777777" w:rsidR="002E6951" w:rsidRPr="002E6951" w:rsidRDefault="002E6951" w:rsidP="002E6951">
      <w:pPr>
        <w:spacing w:line="240" w:lineRule="auto"/>
        <w:rPr>
          <w:rFonts w:eastAsia="Times New Roman" w:cs="Arial"/>
          <w:i/>
          <w:iCs/>
          <w:color w:val="000000"/>
          <w:u w:val="single"/>
          <w:lang w:eastAsia="bg-BG"/>
        </w:rPr>
      </w:pPr>
    </w:p>
    <w:p w14:paraId="72BF0C62" w14:textId="46E53476"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Изследвания</w:t>
      </w:r>
    </w:p>
    <w:p w14:paraId="264B043D"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Много чести:</w:t>
      </w:r>
      <w:r w:rsidRPr="002E6951">
        <w:rPr>
          <w:rFonts w:eastAsia="Times New Roman" w:cs="Arial"/>
          <w:color w:val="000000"/>
          <w:lang w:eastAsia="bg-BG"/>
        </w:rPr>
        <w:t xml:space="preserve"> хиперлипидемия;</w:t>
      </w:r>
    </w:p>
    <w:p w14:paraId="26EE5CB9" w14:textId="77777777" w:rsidR="002E6951" w:rsidRPr="002E6951" w:rsidRDefault="002E6951" w:rsidP="002E6951">
      <w:pPr>
        <w:spacing w:line="240" w:lineRule="auto"/>
        <w:rPr>
          <w:rFonts w:eastAsia="Times New Roman" w:cs="Arial"/>
        </w:rPr>
      </w:pPr>
      <w:r w:rsidRPr="002E6951">
        <w:rPr>
          <w:rFonts w:eastAsia="Times New Roman" w:cs="Arial"/>
          <w:i/>
          <w:iCs/>
          <w:color w:val="000000"/>
          <w:lang w:eastAsia="bg-BG"/>
        </w:rPr>
        <w:t>Редки:</w:t>
      </w:r>
      <w:r w:rsidRPr="002E6951">
        <w:rPr>
          <w:rFonts w:eastAsia="Times New Roman" w:cs="Arial"/>
          <w:color w:val="000000"/>
          <w:lang w:eastAsia="bg-BG"/>
        </w:rPr>
        <w:t xml:space="preserve"> глюкозурия.</w:t>
      </w:r>
    </w:p>
    <w:p w14:paraId="7E964B6E" w14:textId="77777777" w:rsidR="002E6951" w:rsidRPr="002E6951" w:rsidRDefault="002E6951" w:rsidP="002E6951">
      <w:pPr>
        <w:spacing w:line="240" w:lineRule="auto"/>
        <w:rPr>
          <w:rFonts w:eastAsia="Times New Roman" w:cs="Arial"/>
          <w:i/>
          <w:iCs/>
          <w:color w:val="000000"/>
          <w:u w:val="single"/>
          <w:lang w:eastAsia="bg-BG"/>
        </w:rPr>
      </w:pPr>
    </w:p>
    <w:p w14:paraId="2167E067" w14:textId="2CE5951D" w:rsidR="002E6951" w:rsidRPr="002E6951" w:rsidRDefault="002E6951" w:rsidP="002E6951">
      <w:pPr>
        <w:spacing w:line="240" w:lineRule="auto"/>
        <w:rPr>
          <w:rFonts w:eastAsia="Times New Roman" w:cs="Arial"/>
        </w:rPr>
      </w:pPr>
      <w:r w:rsidRPr="002E6951">
        <w:rPr>
          <w:rFonts w:eastAsia="Times New Roman" w:cs="Arial"/>
          <w:i/>
          <w:iCs/>
          <w:color w:val="000000"/>
          <w:u w:val="single"/>
          <w:lang w:eastAsia="bg-BG"/>
        </w:rPr>
        <w:t>Описание на избрани нежелани реакции</w:t>
      </w:r>
    </w:p>
    <w:p w14:paraId="291895ED" w14:textId="77777777" w:rsidR="002E6951" w:rsidRPr="002E6951" w:rsidRDefault="002E6951" w:rsidP="002E6951">
      <w:pPr>
        <w:spacing w:line="240" w:lineRule="auto"/>
        <w:rPr>
          <w:rFonts w:eastAsia="Times New Roman" w:cs="Arial"/>
        </w:rPr>
      </w:pPr>
      <w:r w:rsidRPr="002E6951">
        <w:rPr>
          <w:rFonts w:eastAsia="Times New Roman" w:cs="Arial"/>
          <w:color w:val="000000"/>
          <w:lang w:eastAsia="bg-BG"/>
        </w:rPr>
        <w:lastRenderedPageBreak/>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20E20AD7" w14:textId="77777777" w:rsidR="002E6951" w:rsidRPr="002E6951" w:rsidRDefault="002E6951" w:rsidP="002E6951">
      <w:pPr>
        <w:spacing w:line="240" w:lineRule="auto"/>
        <w:rPr>
          <w:rFonts w:eastAsia="Times New Roman" w:cs="Arial"/>
          <w:color w:val="000000"/>
          <w:u w:val="single"/>
          <w:lang w:eastAsia="bg-BG"/>
        </w:rPr>
      </w:pPr>
    </w:p>
    <w:p w14:paraId="2F3C7C04" w14:textId="66D8A941" w:rsidR="002E6951" w:rsidRPr="002E6951" w:rsidRDefault="002E6951" w:rsidP="002E6951">
      <w:pPr>
        <w:spacing w:line="240" w:lineRule="auto"/>
        <w:rPr>
          <w:rFonts w:eastAsia="Times New Roman" w:cs="Arial"/>
        </w:rPr>
      </w:pPr>
      <w:r w:rsidRPr="002E6951">
        <w:rPr>
          <w:rFonts w:eastAsia="Times New Roman" w:cs="Arial"/>
          <w:color w:val="000000"/>
          <w:u w:val="single"/>
          <w:lang w:eastAsia="bg-BG"/>
        </w:rPr>
        <w:t>Съобщаване на подозирани нежелани реакции</w:t>
      </w:r>
    </w:p>
    <w:p w14:paraId="59F926FD" w14:textId="04A9F0CD" w:rsidR="002E6951" w:rsidRPr="002E6951" w:rsidRDefault="002E6951" w:rsidP="002E6951">
      <w:pPr>
        <w:rPr>
          <w:rFonts w:eastAsia="Times New Roman" w:cs="Arial"/>
        </w:rPr>
      </w:pPr>
      <w:r w:rsidRPr="002E695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28903417; уебсайт: </w:t>
      </w:r>
      <w:r w:rsidRPr="002E6951">
        <w:rPr>
          <w:rFonts w:eastAsia="Times New Roman" w:cs="Arial"/>
        </w:rPr>
        <w:fldChar w:fldCharType="begin"/>
      </w:r>
      <w:r w:rsidRPr="002E6951">
        <w:rPr>
          <w:rFonts w:eastAsia="Times New Roman" w:cs="Arial"/>
        </w:rPr>
        <w:instrText xml:space="preserve"> HYPERLINK "http://www.bda.bg" </w:instrText>
      </w:r>
      <w:r w:rsidRPr="002E6951">
        <w:rPr>
          <w:rFonts w:eastAsia="Times New Roman" w:cs="Arial"/>
        </w:rPr>
      </w:r>
      <w:r w:rsidRPr="002E6951">
        <w:rPr>
          <w:rFonts w:eastAsia="Times New Roman" w:cs="Arial"/>
        </w:rPr>
        <w:fldChar w:fldCharType="separate"/>
      </w:r>
      <w:r w:rsidRPr="002E6951">
        <w:rPr>
          <w:rFonts w:eastAsia="Times New Roman" w:cs="Arial"/>
          <w:color w:val="000000"/>
          <w:lang w:val="en-US"/>
        </w:rPr>
        <w:t>www.bda.bg</w:t>
      </w:r>
      <w:r w:rsidRPr="002E6951">
        <w:rPr>
          <w:rFonts w:eastAsia="Times New Roman" w:cs="Arial"/>
        </w:rPr>
        <w:fldChar w:fldCharType="end"/>
      </w:r>
    </w:p>
    <w:p w14:paraId="06879C40" w14:textId="77777777" w:rsidR="002E6951" w:rsidRPr="002E6951" w:rsidRDefault="002E6951" w:rsidP="002E6951"/>
    <w:p w14:paraId="5A87DBA3" w14:textId="4CEEA908" w:rsidR="007122AD" w:rsidRDefault="002C50EE" w:rsidP="00936AD0">
      <w:pPr>
        <w:pStyle w:val="Heading2"/>
      </w:pPr>
      <w:r>
        <w:t>4.9. Предозиране</w:t>
      </w:r>
    </w:p>
    <w:p w14:paraId="7AD77770" w14:textId="370DF43B" w:rsidR="002E6951" w:rsidRDefault="002E6951" w:rsidP="002E6951"/>
    <w:p w14:paraId="6793D3C8"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Предозирането с хидрохлоротиазид е свързано с недостиг на електролити (хипокалиемия, хипохлоремия) и хиповолемия в резултат на прекомерната диуреза.</w:t>
      </w:r>
    </w:p>
    <w:p w14:paraId="158B1263" w14:textId="77777777" w:rsidR="002E6951" w:rsidRPr="002E6951" w:rsidRDefault="002E6951" w:rsidP="002E6951">
      <w:pPr>
        <w:spacing w:line="240" w:lineRule="auto"/>
        <w:rPr>
          <w:rFonts w:eastAsia="Times New Roman" w:cs="Arial"/>
          <w:color w:val="000000"/>
          <w:u w:val="single"/>
          <w:lang w:eastAsia="bg-BG"/>
        </w:rPr>
      </w:pPr>
    </w:p>
    <w:p w14:paraId="2D3098BE" w14:textId="749865EC" w:rsidR="002E6951" w:rsidRPr="002E6951" w:rsidRDefault="002E6951" w:rsidP="002E6951">
      <w:pPr>
        <w:pStyle w:val="Heading3"/>
        <w:rPr>
          <w:rFonts w:eastAsia="Times New Roman"/>
          <w:u w:val="single"/>
        </w:rPr>
      </w:pPr>
      <w:r w:rsidRPr="002E6951">
        <w:rPr>
          <w:rFonts w:eastAsia="Times New Roman"/>
          <w:u w:val="single"/>
          <w:lang w:eastAsia="bg-BG"/>
        </w:rPr>
        <w:t>Симптоми</w:t>
      </w:r>
    </w:p>
    <w:p w14:paraId="06DB213E"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Най-често са свързани с електролитната загуба - сухота в устата, гадене, жажда, слабост, сънливост, артериална хипотония, тахикардия, олигурия. Хипокалиемията може да доведе до мускулни спазми и/или аритмия, свързана с едновременната употреба на дигиталисови гликозиди или определени антиаритмични лекарствени продукти.</w:t>
      </w:r>
    </w:p>
    <w:p w14:paraId="3636EFC0" w14:textId="77777777" w:rsidR="002E6951" w:rsidRPr="002E6951" w:rsidRDefault="002E6951" w:rsidP="002E6951">
      <w:pPr>
        <w:spacing w:line="240" w:lineRule="auto"/>
        <w:rPr>
          <w:rFonts w:eastAsia="Times New Roman" w:cs="Arial"/>
          <w:color w:val="000000"/>
          <w:u w:val="single"/>
          <w:lang w:eastAsia="bg-BG"/>
        </w:rPr>
      </w:pPr>
    </w:p>
    <w:p w14:paraId="1F96EA25" w14:textId="6325A4FA" w:rsidR="002E6951" w:rsidRPr="002E6951" w:rsidRDefault="002E6951" w:rsidP="002E6951">
      <w:pPr>
        <w:pStyle w:val="Heading3"/>
        <w:rPr>
          <w:rFonts w:eastAsia="Times New Roman"/>
          <w:u w:val="single"/>
        </w:rPr>
      </w:pPr>
      <w:r w:rsidRPr="002E6951">
        <w:rPr>
          <w:rFonts w:eastAsia="Times New Roman"/>
          <w:u w:val="single"/>
          <w:lang w:eastAsia="bg-BG"/>
        </w:rPr>
        <w:t>Лечение</w:t>
      </w:r>
    </w:p>
    <w:p w14:paraId="7BA13DC4"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Симптоматично и поддържащо лечение. Необходимо е стомашна промивка с активен въглен, коригиране на дехидратацията, електролитния дисбаланс, хипотонията и проявите на чернодробна енцефалопатия. Специфичен антидот няма.</w:t>
      </w:r>
    </w:p>
    <w:p w14:paraId="2D5F4EAE" w14:textId="341113D0"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Степента, до която хидрохлоротиазид се отстранява чрез хемодиализа не е установена.</w:t>
      </w:r>
    </w:p>
    <w:p w14:paraId="02081B24" w14:textId="1F46E296" w:rsidR="00395555" w:rsidRPr="00395555" w:rsidRDefault="002C50EE" w:rsidP="008A6AF2">
      <w:pPr>
        <w:pStyle w:val="Heading1"/>
      </w:pPr>
      <w:r>
        <w:t>5. ФАРМАКОЛОГИЧНИ СВОЙСТВА</w:t>
      </w:r>
    </w:p>
    <w:p w14:paraId="7DE36AC8" w14:textId="0E31E669" w:rsidR="00B6672E" w:rsidRDefault="002C50EE" w:rsidP="00936AD0">
      <w:pPr>
        <w:pStyle w:val="Heading2"/>
      </w:pPr>
      <w:r>
        <w:t>5.1. Фармакодинамични свойства</w:t>
      </w:r>
    </w:p>
    <w:p w14:paraId="2B610770" w14:textId="44671D7E" w:rsidR="002E6951" w:rsidRDefault="002E6951" w:rsidP="002E6951"/>
    <w:p w14:paraId="64E6720D"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Фармакотерапевтична група: Диуретици, салуретици-тиазиди, АТС код: С03АА03</w:t>
      </w:r>
    </w:p>
    <w:p w14:paraId="6E8D6606" w14:textId="77777777" w:rsidR="002E6951" w:rsidRPr="002E6951" w:rsidRDefault="002E6951" w:rsidP="002E6951">
      <w:pPr>
        <w:spacing w:line="240" w:lineRule="auto"/>
        <w:rPr>
          <w:rFonts w:eastAsia="Times New Roman" w:cs="Arial"/>
          <w:color w:val="000000"/>
          <w:u w:val="single"/>
          <w:lang w:eastAsia="bg-BG"/>
        </w:rPr>
      </w:pPr>
    </w:p>
    <w:p w14:paraId="77B256ED" w14:textId="1B678CB3" w:rsidR="002E6951" w:rsidRPr="002E6951" w:rsidRDefault="002E6951" w:rsidP="002E6951">
      <w:pPr>
        <w:spacing w:line="240" w:lineRule="auto"/>
        <w:rPr>
          <w:rFonts w:eastAsia="Times New Roman" w:cs="Arial"/>
          <w:sz w:val="24"/>
          <w:szCs w:val="24"/>
        </w:rPr>
      </w:pPr>
      <w:r w:rsidRPr="002E6951">
        <w:rPr>
          <w:rFonts w:eastAsia="Times New Roman" w:cs="Arial"/>
          <w:color w:val="000000"/>
          <w:u w:val="single"/>
          <w:lang w:eastAsia="bg-BG"/>
        </w:rPr>
        <w:t>Механизъм на действие</w:t>
      </w:r>
    </w:p>
    <w:p w14:paraId="0FBDCC1E"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Хидрохлоротиазид е тиазиден диуретик със сулфонамидна структура и умерено изразен натрийуретичен ефект. Намалява реабсорбцията на натрий, хлор, калий, магнезий и вода в дисталния тубул на нефрона. Хидрохлоротиазид намалява отделянето на калций.</w:t>
      </w:r>
    </w:p>
    <w:p w14:paraId="7F4C64D9"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 xml:space="preserve">Мястото на действие на тиазидните диуретици е главно в дисталните извити каналчета на нефрона. В механизма на действие са включени рецептори с висок афинитет като основно свързващо място за тиазидните диуретици, което води до инхибиране на реабсорбцията на </w:t>
      </w:r>
      <w:proofErr w:type="spellStart"/>
      <w:r w:rsidRPr="002E6951">
        <w:rPr>
          <w:rFonts w:eastAsia="Times New Roman" w:cs="Arial"/>
          <w:color w:val="000000"/>
          <w:lang w:val="en-US"/>
        </w:rPr>
        <w:t>NaCl</w:t>
      </w:r>
      <w:proofErr w:type="spellEnd"/>
      <w:r w:rsidRPr="002E6951">
        <w:rPr>
          <w:rFonts w:eastAsia="Times New Roman" w:cs="Arial"/>
          <w:color w:val="000000"/>
          <w:lang w:val="ru-RU"/>
        </w:rPr>
        <w:t xml:space="preserve">. </w:t>
      </w:r>
      <w:r w:rsidRPr="002E6951">
        <w:rPr>
          <w:rFonts w:eastAsia="Times New Roman" w:cs="Arial"/>
          <w:color w:val="000000"/>
          <w:lang w:eastAsia="bg-BG"/>
        </w:rPr>
        <w:t>Тиазидните диуретици инхибират</w:t>
      </w:r>
      <w:r w:rsidRPr="002E6951">
        <w:rPr>
          <w:rFonts w:eastAsia="Times New Roman" w:cs="Arial"/>
          <w:color w:val="000000"/>
          <w:lang w:val="ru-RU"/>
        </w:rPr>
        <w:t xml:space="preserve"> </w:t>
      </w:r>
      <w:r w:rsidRPr="002E6951">
        <w:rPr>
          <w:rFonts w:eastAsia="Times New Roman" w:cs="Arial"/>
          <w:color w:val="000000"/>
          <w:lang w:val="en-US"/>
        </w:rPr>
        <w:t>Na</w:t>
      </w:r>
      <w:r w:rsidRPr="002E6951">
        <w:rPr>
          <w:rFonts w:eastAsia="Times New Roman" w:cs="Arial"/>
          <w:color w:val="000000"/>
          <w:vertAlign w:val="superscript"/>
          <w:lang w:val="ru-RU"/>
        </w:rPr>
        <w:t>+</w:t>
      </w:r>
      <w:r w:rsidRPr="002E6951">
        <w:rPr>
          <w:rFonts w:eastAsia="Times New Roman" w:cs="Arial"/>
          <w:color w:val="000000"/>
          <w:lang w:eastAsia="bg-BG"/>
        </w:rPr>
        <w:t xml:space="preserve"> - СГ симпортер вероятно чрез конкуриране за мястото на свързване на С</w:t>
      </w:r>
      <w:r w:rsidRPr="002E6951">
        <w:rPr>
          <w:rFonts w:eastAsia="Times New Roman" w:cs="Arial"/>
          <w:color w:val="000000"/>
          <w:lang w:val="en-US"/>
        </w:rPr>
        <w:t>I</w:t>
      </w:r>
      <w:r w:rsidRPr="002E6951">
        <w:rPr>
          <w:rFonts w:eastAsia="Times New Roman" w:cs="Arial"/>
          <w:color w:val="000000"/>
          <w:vertAlign w:val="superscript"/>
          <w:lang w:val="ru-RU"/>
        </w:rPr>
        <w:t>-</w:t>
      </w:r>
      <w:r w:rsidRPr="002E6951">
        <w:rPr>
          <w:rFonts w:eastAsia="Times New Roman" w:cs="Arial"/>
          <w:color w:val="000000"/>
          <w:lang w:eastAsia="bg-BG"/>
        </w:rPr>
        <w:t xml:space="preserve">. По този начин механизмът на електролитна реабсорбция се повлиява чрез: директно увеличаване екскрецията на </w:t>
      </w:r>
      <w:r w:rsidRPr="002E6951">
        <w:rPr>
          <w:rFonts w:eastAsia="Times New Roman" w:cs="Arial"/>
          <w:color w:val="000000"/>
          <w:lang w:val="en-US"/>
        </w:rPr>
        <w:t>Na</w:t>
      </w:r>
      <w:r w:rsidRPr="002E6951">
        <w:rPr>
          <w:rFonts w:eastAsia="Times New Roman" w:cs="Arial"/>
          <w:color w:val="000000"/>
          <w:vertAlign w:val="superscript"/>
          <w:lang w:val="ru-RU"/>
        </w:rPr>
        <w:t>+</w:t>
      </w:r>
      <w:r w:rsidRPr="002E6951">
        <w:rPr>
          <w:rFonts w:eastAsia="Times New Roman" w:cs="Arial"/>
          <w:color w:val="000000"/>
          <w:lang w:val="ru-RU"/>
        </w:rPr>
        <w:t xml:space="preserve"> </w:t>
      </w:r>
      <w:r w:rsidRPr="002E6951">
        <w:rPr>
          <w:rFonts w:eastAsia="Times New Roman" w:cs="Arial"/>
          <w:color w:val="000000"/>
          <w:lang w:eastAsia="bg-BG"/>
        </w:rPr>
        <w:t>и С</w:t>
      </w:r>
      <w:r w:rsidRPr="002E6951">
        <w:rPr>
          <w:rFonts w:eastAsia="Times New Roman" w:cs="Arial"/>
          <w:color w:val="000000"/>
          <w:lang w:val="en-US"/>
        </w:rPr>
        <w:t>I</w:t>
      </w:r>
      <w:r w:rsidRPr="002E6951">
        <w:rPr>
          <w:rFonts w:eastAsia="Times New Roman" w:cs="Arial"/>
          <w:color w:val="000000"/>
          <w:vertAlign w:val="superscript"/>
          <w:lang w:val="ru-RU"/>
        </w:rPr>
        <w:t>-</w:t>
      </w:r>
      <w:r w:rsidRPr="002E6951">
        <w:rPr>
          <w:rFonts w:eastAsia="Times New Roman" w:cs="Arial"/>
          <w:color w:val="000000"/>
          <w:lang w:eastAsia="bg-BG"/>
        </w:rPr>
        <w:t xml:space="preserve"> в приблизително еднаква степен и индиректно, чрез това диуретично действие, водещо до намаляване на плазмения обем с последващо повишаване на плазмената ренинова активност, секреция на алдостерон и загуба на калий в урината, както и понижаване на серумния калий.</w:t>
      </w:r>
    </w:p>
    <w:p w14:paraId="443E0C38" w14:textId="77777777" w:rsidR="002E6951" w:rsidRPr="002E6951" w:rsidRDefault="002E6951" w:rsidP="002E6951">
      <w:pPr>
        <w:spacing w:line="240" w:lineRule="auto"/>
        <w:rPr>
          <w:rFonts w:eastAsia="Times New Roman" w:cs="Arial"/>
          <w:color w:val="000000"/>
          <w:u w:val="single"/>
          <w:lang w:eastAsia="bg-BG"/>
        </w:rPr>
      </w:pPr>
    </w:p>
    <w:p w14:paraId="30C5E3C0" w14:textId="5E32218D" w:rsidR="002E6951" w:rsidRPr="002E6951" w:rsidRDefault="002E6951" w:rsidP="002E6951">
      <w:pPr>
        <w:spacing w:line="240" w:lineRule="auto"/>
        <w:rPr>
          <w:rFonts w:eastAsia="Times New Roman" w:cs="Arial"/>
          <w:sz w:val="24"/>
          <w:szCs w:val="24"/>
        </w:rPr>
      </w:pPr>
      <w:r w:rsidRPr="002E6951">
        <w:rPr>
          <w:rFonts w:eastAsia="Times New Roman" w:cs="Arial"/>
          <w:color w:val="000000"/>
          <w:u w:val="single"/>
          <w:lang w:eastAsia="bg-BG"/>
        </w:rPr>
        <w:t>Фармакодинамични ефекти</w:t>
      </w:r>
    </w:p>
    <w:p w14:paraId="32BF0D99"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Диуретичният ефект настъпва след 2 часа, достига максимум след 4 часа, а действието му продължава 6-12 часа. Хипотензивният ефект е в резултат на загуба на течности и отделянето на голямо количество натриеви йони от клетъчните мембрани на артериолите, което води до понижаване на периферното съпротивление на кръвоносните съдове. Тиазидите не повлияват нормалното артериално налягане. Понижената калциева екскреция с урината намалява образуването на бъбречни камъни.</w:t>
      </w:r>
    </w:p>
    <w:p w14:paraId="42E34164" w14:textId="4B3D8985"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 xml:space="preserve">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(кумулативно≥50 000 </w:t>
      </w:r>
      <w:r w:rsidRPr="002E6951">
        <w:rPr>
          <w:rFonts w:eastAsia="Times New Roman" w:cs="Arial"/>
          <w:color w:val="000000"/>
          <w:lang w:val="en-US"/>
        </w:rPr>
        <w:t>mg</w:t>
      </w:r>
      <w:r w:rsidRPr="002E6951">
        <w:rPr>
          <w:rFonts w:eastAsia="Times New Roman" w:cs="Arial"/>
          <w:color w:val="000000"/>
          <w:lang w:val="ru-RU"/>
        </w:rPr>
        <w:t xml:space="preserve">) </w:t>
      </w:r>
      <w:r w:rsidRPr="002E6951">
        <w:rPr>
          <w:rFonts w:eastAsia="Times New Roman" w:cs="Arial"/>
          <w:color w:val="000000"/>
          <w:lang w:eastAsia="bg-BG"/>
        </w:rPr>
        <w:t xml:space="preserve">е свързана с коригиран </w:t>
      </w:r>
      <w:r w:rsidRPr="002E6951">
        <w:rPr>
          <w:rFonts w:eastAsia="Times New Roman" w:cs="Arial"/>
          <w:color w:val="000000"/>
          <w:lang w:val="en-US"/>
        </w:rPr>
        <w:t>OR</w:t>
      </w:r>
      <w:r w:rsidRPr="002E6951">
        <w:rPr>
          <w:rFonts w:eastAsia="Times New Roman" w:cs="Arial"/>
          <w:color w:val="000000"/>
          <w:lang w:val="ru-RU"/>
        </w:rPr>
        <w:t xml:space="preserve"> </w:t>
      </w:r>
      <w:r w:rsidRPr="002E6951">
        <w:rPr>
          <w:rFonts w:eastAsia="Times New Roman" w:cs="Arial"/>
          <w:color w:val="000000"/>
          <w:lang w:eastAsia="bg-BG"/>
        </w:rPr>
        <w:t xml:space="preserve">1,29 (95% ДИ: 1,23-1,35) за БКК и 3,98 (95% ДИ: 3,68- 4,31)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2E6951">
        <w:rPr>
          <w:rFonts w:eastAsia="Times New Roman" w:cs="Arial"/>
          <w:color w:val="000000"/>
          <w:lang w:val="en-US"/>
        </w:rPr>
        <w:t>OR</w:t>
      </w:r>
      <w:r w:rsidRPr="002E6951">
        <w:rPr>
          <w:rFonts w:eastAsia="Times New Roman" w:cs="Arial"/>
          <w:color w:val="000000"/>
          <w:lang w:val="ru-RU"/>
        </w:rPr>
        <w:t xml:space="preserve"> </w:t>
      </w:r>
      <w:r w:rsidRPr="002E6951">
        <w:rPr>
          <w:rFonts w:eastAsia="Times New Roman" w:cs="Arial"/>
          <w:color w:val="000000"/>
          <w:lang w:eastAsia="bg-BG"/>
        </w:rPr>
        <w:t xml:space="preserve">2,1 (95% ДИ: 1,7-2,6), нарастващ до </w:t>
      </w:r>
      <w:r w:rsidRPr="002E6951">
        <w:rPr>
          <w:rFonts w:eastAsia="Times New Roman" w:cs="Arial"/>
          <w:color w:val="000000"/>
          <w:lang w:val="en-US"/>
        </w:rPr>
        <w:t>OR</w:t>
      </w:r>
      <w:r w:rsidRPr="002E6951">
        <w:rPr>
          <w:rFonts w:eastAsia="Times New Roman" w:cs="Arial"/>
          <w:color w:val="000000"/>
          <w:lang w:val="ru-RU"/>
        </w:rPr>
        <w:t xml:space="preserve"> </w:t>
      </w:r>
      <w:r w:rsidRPr="002E6951">
        <w:rPr>
          <w:rFonts w:eastAsia="Times New Roman" w:cs="Arial"/>
          <w:color w:val="000000"/>
          <w:lang w:eastAsia="bg-BG"/>
        </w:rPr>
        <w:t xml:space="preserve">3,9 (3,0-4,9) за висока употреба (~ 25 000 </w:t>
      </w:r>
      <w:r w:rsidRPr="002E6951">
        <w:rPr>
          <w:rFonts w:eastAsia="Times New Roman" w:cs="Arial"/>
          <w:color w:val="000000"/>
          <w:lang w:val="en-US"/>
        </w:rPr>
        <w:t>mg</w:t>
      </w:r>
      <w:r w:rsidRPr="002E6951">
        <w:rPr>
          <w:rFonts w:eastAsia="Times New Roman" w:cs="Arial"/>
          <w:color w:val="000000"/>
          <w:lang w:val="ru-RU"/>
        </w:rPr>
        <w:t xml:space="preserve">) </w:t>
      </w:r>
      <w:r w:rsidRPr="002E6951">
        <w:rPr>
          <w:rFonts w:eastAsia="Times New Roman" w:cs="Arial"/>
          <w:color w:val="000000"/>
          <w:lang w:eastAsia="bg-BG"/>
        </w:rPr>
        <w:t xml:space="preserve">и </w:t>
      </w:r>
      <w:r w:rsidRPr="002E6951">
        <w:rPr>
          <w:rFonts w:eastAsia="Times New Roman" w:cs="Arial"/>
          <w:color w:val="000000"/>
          <w:lang w:val="en-US"/>
        </w:rPr>
        <w:t>OR</w:t>
      </w:r>
      <w:r w:rsidRPr="002E6951">
        <w:rPr>
          <w:rFonts w:eastAsia="Times New Roman" w:cs="Arial"/>
          <w:color w:val="000000"/>
          <w:lang w:val="ru-RU"/>
        </w:rPr>
        <w:t xml:space="preserve"> </w:t>
      </w:r>
      <w:r w:rsidRPr="002E6951">
        <w:rPr>
          <w:rFonts w:eastAsia="Times New Roman" w:cs="Arial"/>
          <w:color w:val="000000"/>
          <w:lang w:eastAsia="bg-BG"/>
        </w:rPr>
        <w:t xml:space="preserve">7,7 (5,7-10,5) за най- високата кумулативна доза (~ 100 000 </w:t>
      </w:r>
      <w:r w:rsidRPr="002E6951">
        <w:rPr>
          <w:rFonts w:eastAsia="Times New Roman" w:cs="Arial"/>
          <w:color w:val="000000"/>
          <w:lang w:val="en-US"/>
        </w:rPr>
        <w:t>mg</w:t>
      </w:r>
      <w:r w:rsidRPr="002E6951">
        <w:rPr>
          <w:rFonts w:eastAsia="Times New Roman" w:cs="Arial"/>
          <w:color w:val="000000"/>
          <w:lang w:val="ru-RU"/>
        </w:rPr>
        <w:t xml:space="preserve">) </w:t>
      </w:r>
      <w:r w:rsidRPr="002E6951">
        <w:rPr>
          <w:rFonts w:eastAsia="Times New Roman" w:cs="Arial"/>
          <w:color w:val="000000"/>
          <w:lang w:eastAsia="bg-BG"/>
        </w:rPr>
        <w:t>(вж. също точка 4.4).</w:t>
      </w:r>
    </w:p>
    <w:p w14:paraId="12D19540" w14:textId="77777777" w:rsidR="002E6951" w:rsidRPr="002E6951" w:rsidRDefault="002E6951" w:rsidP="002E6951">
      <w:pPr>
        <w:spacing w:line="240" w:lineRule="auto"/>
        <w:rPr>
          <w:rFonts w:ascii="Times New Roman" w:eastAsia="Times New Roman" w:hAnsi="Times New Roman" w:cs="Times New Roman"/>
          <w:sz w:val="24"/>
          <w:szCs w:val="24"/>
        </w:rPr>
      </w:pPr>
    </w:p>
    <w:p w14:paraId="78DD93AA" w14:textId="06B61349" w:rsidR="00B6672E" w:rsidRDefault="002C50EE" w:rsidP="00936AD0">
      <w:pPr>
        <w:pStyle w:val="Heading2"/>
      </w:pPr>
      <w:r>
        <w:t>5.2. Фармакокинетични свойства</w:t>
      </w:r>
    </w:p>
    <w:p w14:paraId="120E8035" w14:textId="51593CEE" w:rsidR="002E6951" w:rsidRDefault="002E6951" w:rsidP="002E6951"/>
    <w:p w14:paraId="678361D5" w14:textId="6F62DC4D" w:rsidR="002E6951" w:rsidRPr="002E6951" w:rsidRDefault="002E6951" w:rsidP="002E6951">
      <w:pPr>
        <w:pStyle w:val="Heading3"/>
        <w:rPr>
          <w:u w:val="single"/>
        </w:rPr>
      </w:pPr>
      <w:r w:rsidRPr="002E6951">
        <w:rPr>
          <w:u w:val="single"/>
        </w:rPr>
        <w:t>Абсорбция</w:t>
      </w:r>
    </w:p>
    <w:p w14:paraId="6E00BBA1"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Абсорбцията на хидрохлоротиазид след перорален прием е бърза (Т</w:t>
      </w:r>
      <w:r w:rsidRPr="002E6951">
        <w:rPr>
          <w:rFonts w:eastAsia="Times New Roman" w:cs="Arial"/>
          <w:color w:val="000000"/>
          <w:vertAlign w:val="subscript"/>
          <w:lang w:val="en-US"/>
        </w:rPr>
        <w:t>max</w:t>
      </w:r>
      <w:r w:rsidRPr="002E6951">
        <w:rPr>
          <w:rFonts w:eastAsia="Times New Roman" w:cs="Arial"/>
          <w:color w:val="000000"/>
          <w:lang w:val="ru-RU"/>
        </w:rPr>
        <w:t xml:space="preserve"> </w:t>
      </w:r>
      <w:r w:rsidRPr="002E6951">
        <w:rPr>
          <w:rFonts w:eastAsia="Times New Roman" w:cs="Arial"/>
          <w:color w:val="000000"/>
          <w:lang w:eastAsia="bg-BG"/>
        </w:rPr>
        <w:t xml:space="preserve">около 2-ри час). Увеличаването на средната </w:t>
      </w:r>
      <w:r w:rsidRPr="002E6951">
        <w:rPr>
          <w:rFonts w:eastAsia="Times New Roman" w:cs="Arial"/>
          <w:color w:val="000000"/>
          <w:lang w:val="en-US"/>
        </w:rPr>
        <w:t>AUC</w:t>
      </w:r>
      <w:r w:rsidRPr="002E6951">
        <w:rPr>
          <w:rFonts w:eastAsia="Times New Roman" w:cs="Arial"/>
          <w:color w:val="000000"/>
          <w:lang w:val="ru-RU"/>
        </w:rPr>
        <w:t xml:space="preserve"> </w:t>
      </w:r>
      <w:r w:rsidRPr="002E6951">
        <w:rPr>
          <w:rFonts w:eastAsia="Times New Roman" w:cs="Arial"/>
          <w:color w:val="000000"/>
          <w:lang w:eastAsia="bg-BG"/>
        </w:rPr>
        <w:t>е линейно и пропорционално в диапазона на терапевтичната доза.</w:t>
      </w:r>
    </w:p>
    <w:p w14:paraId="2D2AF4A5"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Ефектът на храната върху абсорбцията на хидрохлоротиазид има малко клинично значение. Абсолютната бионаличност на хидрохлоротиазид е 70% след перорално приложение.</w:t>
      </w:r>
    </w:p>
    <w:p w14:paraId="63F819CF"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Максималната плазмена концентрация е 2 μ</w:t>
      </w:r>
      <w:r w:rsidRPr="002E6951">
        <w:rPr>
          <w:rFonts w:eastAsia="Times New Roman" w:cs="Arial"/>
          <w:color w:val="000000"/>
          <w:lang w:val="en-US"/>
        </w:rPr>
        <w:t>g</w:t>
      </w:r>
      <w:r w:rsidRPr="002E6951">
        <w:rPr>
          <w:rFonts w:eastAsia="Times New Roman" w:cs="Arial"/>
          <w:color w:val="000000"/>
          <w:lang w:val="ru-RU"/>
        </w:rPr>
        <w:t>/</w:t>
      </w:r>
      <w:r w:rsidRPr="002E6951">
        <w:rPr>
          <w:rFonts w:eastAsia="Times New Roman" w:cs="Arial"/>
          <w:color w:val="000000"/>
          <w:lang w:val="en-US"/>
        </w:rPr>
        <w:t>ml</w:t>
      </w:r>
      <w:r w:rsidRPr="002E6951">
        <w:rPr>
          <w:rFonts w:eastAsia="Times New Roman" w:cs="Arial"/>
          <w:color w:val="000000"/>
          <w:lang w:val="ru-RU"/>
        </w:rPr>
        <w:t>.</w:t>
      </w:r>
    </w:p>
    <w:p w14:paraId="6BD7139B" w14:textId="77777777" w:rsidR="002E6951" w:rsidRPr="002E6951" w:rsidRDefault="002E6951" w:rsidP="002E6951">
      <w:pPr>
        <w:spacing w:line="240" w:lineRule="auto"/>
        <w:rPr>
          <w:rFonts w:eastAsia="Times New Roman" w:cs="Arial"/>
          <w:color w:val="000000"/>
          <w:u w:val="single"/>
          <w:lang w:eastAsia="bg-BG"/>
        </w:rPr>
      </w:pPr>
    </w:p>
    <w:p w14:paraId="4002F90F" w14:textId="609C6B8E" w:rsidR="002E6951" w:rsidRPr="002E6951" w:rsidRDefault="002E6951" w:rsidP="002E6951">
      <w:pPr>
        <w:pStyle w:val="Heading3"/>
        <w:rPr>
          <w:rFonts w:eastAsia="Times New Roman"/>
          <w:u w:val="single"/>
        </w:rPr>
      </w:pPr>
      <w:r w:rsidRPr="002E6951">
        <w:rPr>
          <w:rFonts w:eastAsia="Times New Roman"/>
          <w:u w:val="single"/>
          <w:lang w:eastAsia="bg-BG"/>
        </w:rPr>
        <w:t>Разпределение</w:t>
      </w:r>
    </w:p>
    <w:p w14:paraId="4D198CA4"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 xml:space="preserve">С плазмените протеини се свързва от 40-70% основно със серумните албумини. Обемът на разпределение е приблизително 4-8 </w:t>
      </w:r>
      <w:r w:rsidRPr="002E6951">
        <w:rPr>
          <w:rFonts w:eastAsia="Times New Roman" w:cs="Arial"/>
          <w:color w:val="000000"/>
          <w:lang w:val="ru-RU"/>
        </w:rPr>
        <w:t>1/</w:t>
      </w:r>
      <w:r w:rsidRPr="002E6951">
        <w:rPr>
          <w:rFonts w:eastAsia="Times New Roman" w:cs="Arial"/>
          <w:color w:val="000000"/>
          <w:lang w:val="en-US"/>
        </w:rPr>
        <w:t>kg</w:t>
      </w:r>
      <w:r w:rsidRPr="002E6951">
        <w:rPr>
          <w:rFonts w:eastAsia="Times New Roman" w:cs="Arial"/>
          <w:color w:val="000000"/>
          <w:lang w:val="ru-RU"/>
        </w:rPr>
        <w:t xml:space="preserve">. </w:t>
      </w:r>
      <w:r w:rsidRPr="002E6951">
        <w:rPr>
          <w:rFonts w:eastAsia="Times New Roman" w:cs="Arial"/>
          <w:color w:val="000000"/>
          <w:lang w:eastAsia="bg-BG"/>
        </w:rPr>
        <w:t>Натрупва се в еритроцитите приблизително 3 пъти повече отколкото в плазмата. Преминава плацентарната бариера. Излъчва се в кърмата.</w:t>
      </w:r>
    </w:p>
    <w:p w14:paraId="75B13F9D" w14:textId="77777777" w:rsidR="002E6951" w:rsidRPr="002E6951" w:rsidRDefault="002E6951" w:rsidP="002E6951">
      <w:pPr>
        <w:spacing w:line="240" w:lineRule="auto"/>
        <w:rPr>
          <w:rFonts w:eastAsia="Times New Roman" w:cs="Arial"/>
          <w:color w:val="000000"/>
          <w:u w:val="single"/>
          <w:lang w:eastAsia="bg-BG"/>
        </w:rPr>
      </w:pPr>
    </w:p>
    <w:p w14:paraId="68354166" w14:textId="3518062A" w:rsidR="002E6951" w:rsidRPr="002E6951" w:rsidRDefault="002E6951" w:rsidP="002E6951">
      <w:pPr>
        <w:pStyle w:val="Heading3"/>
        <w:rPr>
          <w:rFonts w:eastAsia="Times New Roman"/>
          <w:u w:val="single"/>
        </w:rPr>
      </w:pPr>
      <w:r w:rsidRPr="002E6951">
        <w:rPr>
          <w:rFonts w:eastAsia="Times New Roman"/>
          <w:u w:val="single"/>
          <w:lang w:eastAsia="bg-BG"/>
        </w:rPr>
        <w:t>Биотрансформация</w:t>
      </w:r>
    </w:p>
    <w:p w14:paraId="5E1ACD61"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Хидрохлоротиазид не се метаболизира.</w:t>
      </w:r>
    </w:p>
    <w:p w14:paraId="258BB515" w14:textId="77777777" w:rsidR="002E6951" w:rsidRPr="002E6951" w:rsidRDefault="002E6951" w:rsidP="002E6951">
      <w:pPr>
        <w:spacing w:line="240" w:lineRule="auto"/>
        <w:rPr>
          <w:rFonts w:eastAsia="Times New Roman" w:cs="Arial"/>
          <w:color w:val="000000"/>
          <w:u w:val="single"/>
          <w:lang w:eastAsia="bg-BG"/>
        </w:rPr>
      </w:pPr>
    </w:p>
    <w:p w14:paraId="4545EE96" w14:textId="2BE25961" w:rsidR="002E6951" w:rsidRPr="002E6951" w:rsidRDefault="002E6951" w:rsidP="002E6951">
      <w:pPr>
        <w:pStyle w:val="Heading3"/>
        <w:rPr>
          <w:rFonts w:eastAsia="Times New Roman"/>
          <w:u w:val="single"/>
        </w:rPr>
      </w:pPr>
      <w:r w:rsidRPr="002E6951">
        <w:rPr>
          <w:rFonts w:eastAsia="Times New Roman"/>
          <w:u w:val="single"/>
          <w:lang w:eastAsia="bg-BG"/>
        </w:rPr>
        <w:t>Елиминиране</w:t>
      </w:r>
    </w:p>
    <w:p w14:paraId="26DEBCFF"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Повече от 95% от погълнатата доза се екскретира като непроменено вещество в урината чрез пасивна филтрация и активна секскреция. Елиминационният полуживот (Т</w:t>
      </w:r>
      <w:r w:rsidRPr="002E6951">
        <w:rPr>
          <w:rFonts w:eastAsia="Times New Roman" w:cs="Arial"/>
          <w:color w:val="000000"/>
          <w:vertAlign w:val="subscript"/>
          <w:lang w:eastAsia="bg-BG"/>
        </w:rPr>
        <w:t>1/2</w:t>
      </w:r>
      <w:r w:rsidRPr="002E6951">
        <w:rPr>
          <w:rFonts w:eastAsia="Times New Roman" w:cs="Arial"/>
          <w:color w:val="000000"/>
          <w:lang w:eastAsia="bg-BG"/>
        </w:rPr>
        <w:t>) е средно 6-15 часа, като пълното му елиминиране завършва за 36-48 часа.Няма промяна в кинетиката на хидрохлоротиазид при многократно дозиране, както и натрупването е минимално, когато се дозира веднъж дневно.</w:t>
      </w:r>
    </w:p>
    <w:p w14:paraId="775A4CF3" w14:textId="77777777" w:rsidR="002E6951" w:rsidRPr="002E6951" w:rsidRDefault="002E6951" w:rsidP="002E6951">
      <w:pPr>
        <w:spacing w:line="240" w:lineRule="auto"/>
        <w:rPr>
          <w:rFonts w:eastAsia="Times New Roman" w:cs="Arial"/>
          <w:i/>
          <w:iCs/>
          <w:color w:val="000000"/>
          <w:lang w:eastAsia="bg-BG"/>
        </w:rPr>
      </w:pPr>
    </w:p>
    <w:p w14:paraId="4A054792" w14:textId="7BAEAE1B"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lang w:eastAsia="bg-BG"/>
        </w:rPr>
        <w:lastRenderedPageBreak/>
        <w:t>Педиатрична популация (под 18 години)</w:t>
      </w:r>
    </w:p>
    <w:p w14:paraId="47978A13"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Няма налични фармакокинетични данни.</w:t>
      </w:r>
    </w:p>
    <w:p w14:paraId="61D6DC36" w14:textId="77777777" w:rsidR="002E6951" w:rsidRPr="002E6951" w:rsidRDefault="002E6951" w:rsidP="002E6951">
      <w:pPr>
        <w:spacing w:line="240" w:lineRule="auto"/>
        <w:rPr>
          <w:rFonts w:eastAsia="Times New Roman" w:cs="Arial"/>
          <w:i/>
          <w:iCs/>
          <w:color w:val="000000"/>
          <w:lang w:eastAsia="bg-BG"/>
        </w:rPr>
      </w:pPr>
    </w:p>
    <w:p w14:paraId="1B98D32C" w14:textId="5E46EBF4"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lang w:eastAsia="bg-BG"/>
        </w:rPr>
        <w:t>Пациенти в старческа възраст (на възраст 65 години или по-възрастни)</w:t>
      </w:r>
    </w:p>
    <w:p w14:paraId="50E9F169"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Ограничени данни показват, че системният клирънс на хидрохлоротиазид е намален при здрави и пациенти с хипертония в старческа възраст в сравнение с млади здрави доброволци.</w:t>
      </w:r>
    </w:p>
    <w:p w14:paraId="39DF2C5A"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Тъй като хидрохлоротиазид се понася еднакво добре при по-млади и при по-възрастни пациенти, се препоръчват нормални режими на дозиране при различните възрастови групи (виж точка 4.2).</w:t>
      </w:r>
    </w:p>
    <w:p w14:paraId="24C0F61E" w14:textId="77777777" w:rsidR="002E6951" w:rsidRPr="002E6951" w:rsidRDefault="002E6951" w:rsidP="002E6951">
      <w:pPr>
        <w:spacing w:line="240" w:lineRule="auto"/>
        <w:rPr>
          <w:rFonts w:eastAsia="Times New Roman" w:cs="Arial"/>
          <w:i/>
          <w:iCs/>
          <w:color w:val="000000"/>
          <w:u w:val="single"/>
          <w:lang w:eastAsia="bg-BG"/>
        </w:rPr>
      </w:pPr>
    </w:p>
    <w:p w14:paraId="41B53F0E" w14:textId="0ACAE507" w:rsidR="002E6951" w:rsidRPr="002E6951" w:rsidRDefault="002E6951" w:rsidP="002E6951">
      <w:pPr>
        <w:spacing w:line="240" w:lineRule="auto"/>
        <w:rPr>
          <w:rFonts w:eastAsia="Times New Roman" w:cs="Arial"/>
          <w:sz w:val="24"/>
          <w:szCs w:val="24"/>
        </w:rPr>
      </w:pPr>
      <w:r w:rsidRPr="002E6951">
        <w:rPr>
          <w:rFonts w:eastAsia="Times New Roman" w:cs="Arial"/>
          <w:i/>
          <w:iCs/>
          <w:color w:val="000000"/>
          <w:u w:val="single"/>
          <w:lang w:eastAsia="bg-BG"/>
        </w:rPr>
        <w:t>Фармакокинетика при пациенти с бъбречни увреждания</w:t>
      </w:r>
    </w:p>
    <w:p w14:paraId="6140C510"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При пациенти с бъбречни увреждания Т</w:t>
      </w:r>
      <w:r w:rsidRPr="002E6951">
        <w:rPr>
          <w:rFonts w:eastAsia="Times New Roman" w:cs="Arial"/>
          <w:color w:val="000000"/>
          <w:vertAlign w:val="subscript"/>
          <w:lang w:eastAsia="bg-BG"/>
        </w:rPr>
        <w:t>1/2</w:t>
      </w:r>
      <w:r w:rsidRPr="002E6951">
        <w:rPr>
          <w:rFonts w:eastAsia="Times New Roman" w:cs="Arial"/>
          <w:color w:val="000000"/>
          <w:lang w:eastAsia="bg-BG"/>
        </w:rPr>
        <w:t xml:space="preserve"> се удължава и при креатининов клирънс &lt; 30 е около 20 часа.</w:t>
      </w:r>
    </w:p>
    <w:p w14:paraId="0CD4F3DF" w14:textId="77777777" w:rsidR="002E6951" w:rsidRPr="002E6951" w:rsidRDefault="002E6951" w:rsidP="002E6951">
      <w:pPr>
        <w:spacing w:line="240" w:lineRule="auto"/>
        <w:rPr>
          <w:rFonts w:eastAsia="Times New Roman" w:cs="Arial"/>
          <w:sz w:val="24"/>
          <w:szCs w:val="24"/>
        </w:rPr>
      </w:pPr>
      <w:r w:rsidRPr="002E6951">
        <w:rPr>
          <w:rFonts w:eastAsia="Times New Roman" w:cs="Arial"/>
          <w:color w:val="000000"/>
          <w:lang w:eastAsia="bg-BG"/>
        </w:rPr>
        <w:t xml:space="preserve">При наличие на бъбречно увреждане, средните пикови плазмени нива и </w:t>
      </w:r>
      <w:r w:rsidRPr="002E6951">
        <w:rPr>
          <w:rFonts w:eastAsia="Times New Roman" w:cs="Arial"/>
          <w:color w:val="000000"/>
          <w:lang w:val="en-US"/>
        </w:rPr>
        <w:t>AUC</w:t>
      </w:r>
      <w:r w:rsidRPr="002E6951">
        <w:rPr>
          <w:rFonts w:eastAsia="Times New Roman" w:cs="Arial"/>
          <w:color w:val="000000"/>
          <w:lang w:val="ru-RU"/>
        </w:rPr>
        <w:t xml:space="preserve"> </w:t>
      </w:r>
      <w:r w:rsidRPr="002E6951">
        <w:rPr>
          <w:rFonts w:eastAsia="Times New Roman" w:cs="Arial"/>
          <w:color w:val="000000"/>
          <w:lang w:eastAsia="bg-BG"/>
        </w:rPr>
        <w:t xml:space="preserve">стойности на хидрохлоротиазид са увеличени, а скоростта на уринната екскреция е намалена. При пациенти с леко до умерено бъбречно увреждане се наблюдава 3 пъти увеличаване на </w:t>
      </w:r>
      <w:r w:rsidRPr="002E6951">
        <w:rPr>
          <w:rFonts w:eastAsia="Times New Roman" w:cs="Arial"/>
          <w:color w:val="000000"/>
          <w:lang w:val="en-US"/>
        </w:rPr>
        <w:t>AUC</w:t>
      </w:r>
      <w:r w:rsidRPr="002E6951">
        <w:rPr>
          <w:rFonts w:eastAsia="Times New Roman" w:cs="Arial"/>
          <w:color w:val="000000"/>
          <w:lang w:val="ru-RU"/>
        </w:rPr>
        <w:t xml:space="preserve"> </w:t>
      </w:r>
      <w:r w:rsidRPr="002E6951">
        <w:rPr>
          <w:rFonts w:eastAsia="Times New Roman" w:cs="Arial"/>
          <w:color w:val="000000"/>
          <w:lang w:eastAsia="bg-BG"/>
        </w:rPr>
        <w:t xml:space="preserve">за хидрохлоротиазид. При пациенти с тежко бъбречно увреждане се наблюдава 8 пъти увеличение на </w:t>
      </w:r>
      <w:r w:rsidRPr="002E6951">
        <w:rPr>
          <w:rFonts w:eastAsia="Times New Roman" w:cs="Arial"/>
          <w:color w:val="000000"/>
          <w:lang w:val="en-US"/>
        </w:rPr>
        <w:t>AUC</w:t>
      </w:r>
      <w:r w:rsidRPr="002E6951">
        <w:rPr>
          <w:rFonts w:eastAsia="Times New Roman" w:cs="Arial"/>
          <w:color w:val="000000"/>
          <w:lang w:val="ru-RU"/>
        </w:rPr>
        <w:t xml:space="preserve">. </w:t>
      </w:r>
      <w:r w:rsidRPr="002E6951">
        <w:rPr>
          <w:rFonts w:eastAsia="Times New Roman" w:cs="Arial"/>
          <w:color w:val="000000"/>
          <w:lang w:eastAsia="bg-BG"/>
        </w:rPr>
        <w:t>Хидрохлоротиазид е противопоказан при пациенти с тежко бъбречно увреждане, анурия или подложени на диализа (вж. точка 4.3).</w:t>
      </w:r>
    </w:p>
    <w:p w14:paraId="3EAA6CCF" w14:textId="77777777" w:rsidR="002E6951" w:rsidRPr="002E6951" w:rsidRDefault="002E6951" w:rsidP="002E6951"/>
    <w:p w14:paraId="4FB791BE" w14:textId="0DA2267D" w:rsidR="00B6672E" w:rsidRDefault="002C50EE" w:rsidP="00936AD0">
      <w:pPr>
        <w:pStyle w:val="Heading2"/>
      </w:pPr>
      <w:r>
        <w:t>5.3. Предклинични данни за безопасност</w:t>
      </w:r>
    </w:p>
    <w:p w14:paraId="20AB4BE0" w14:textId="668A8845" w:rsidR="002E6951" w:rsidRDefault="002E6951" w:rsidP="002E6951"/>
    <w:p w14:paraId="7E274EE9" w14:textId="77777777" w:rsidR="002E6951" w:rsidRPr="002E6951" w:rsidRDefault="002E6951" w:rsidP="002E6951">
      <w:pPr>
        <w:rPr>
          <w:sz w:val="24"/>
          <w:szCs w:val="24"/>
        </w:rPr>
      </w:pPr>
      <w:r w:rsidRPr="002E6951">
        <w:rPr>
          <w:lang w:val="en-US"/>
        </w:rPr>
        <w:t>LD</w:t>
      </w:r>
      <w:r w:rsidRPr="002E6951">
        <w:rPr>
          <w:vertAlign w:val="subscript"/>
          <w:lang w:val="ru-RU"/>
        </w:rPr>
        <w:t>50</w:t>
      </w:r>
      <w:r w:rsidRPr="002E6951">
        <w:rPr>
          <w:lang w:val="ru-RU"/>
        </w:rPr>
        <w:t xml:space="preserve"> </w:t>
      </w:r>
      <w:r w:rsidRPr="002E6951">
        <w:rPr>
          <w:lang w:eastAsia="bg-BG"/>
        </w:rPr>
        <w:t xml:space="preserve">при мишки и плъхове е 10 </w:t>
      </w:r>
      <w:r w:rsidRPr="002E6951">
        <w:rPr>
          <w:lang w:val="en-US"/>
        </w:rPr>
        <w:t>g</w:t>
      </w:r>
      <w:r w:rsidRPr="002E6951">
        <w:rPr>
          <w:lang w:val="ru-RU"/>
        </w:rPr>
        <w:t>/</w:t>
      </w:r>
      <w:r w:rsidRPr="002E6951">
        <w:rPr>
          <w:lang w:val="en-US"/>
        </w:rPr>
        <w:t>kg</w:t>
      </w:r>
      <w:r w:rsidRPr="002E6951">
        <w:rPr>
          <w:lang w:val="ru-RU"/>
        </w:rPr>
        <w:t>.</w:t>
      </w:r>
    </w:p>
    <w:p w14:paraId="450B4D96" w14:textId="77777777" w:rsidR="002E6951" w:rsidRPr="002E6951" w:rsidRDefault="002E6951" w:rsidP="002E6951">
      <w:pPr>
        <w:rPr>
          <w:sz w:val="24"/>
          <w:szCs w:val="24"/>
        </w:rPr>
      </w:pPr>
      <w:r w:rsidRPr="002E6951">
        <w:rPr>
          <w:lang w:eastAsia="bg-BG"/>
        </w:rPr>
        <w:t xml:space="preserve">Хидрохлоротиазид при изпитвания по </w:t>
      </w:r>
      <w:r w:rsidRPr="002E6951">
        <w:rPr>
          <w:lang w:val="en-US"/>
        </w:rPr>
        <w:t>Ames</w:t>
      </w:r>
      <w:r w:rsidRPr="002E6951">
        <w:rPr>
          <w:lang w:val="ru-RU"/>
        </w:rPr>
        <w:t xml:space="preserve"> </w:t>
      </w:r>
      <w:r w:rsidRPr="002E6951">
        <w:rPr>
          <w:lang w:eastAsia="bg-BG"/>
        </w:rPr>
        <w:t xml:space="preserve">тест, СХО тест в хамстсри не притежава генотоксичност. В изпитвания по теста СНО </w:t>
      </w:r>
      <w:r w:rsidRPr="002E6951">
        <w:rPr>
          <w:lang w:val="en-US"/>
        </w:rPr>
        <w:t>Sister</w:t>
      </w:r>
      <w:r w:rsidRPr="002E6951">
        <w:t xml:space="preserve"> </w:t>
      </w:r>
      <w:proofErr w:type="spellStart"/>
      <w:r w:rsidRPr="002E6951">
        <w:rPr>
          <w:lang w:val="en-US"/>
        </w:rPr>
        <w:t>Chromated</w:t>
      </w:r>
      <w:proofErr w:type="spellEnd"/>
      <w:r w:rsidRPr="002E6951">
        <w:t xml:space="preserve"> </w:t>
      </w:r>
      <w:r w:rsidRPr="002E6951">
        <w:rPr>
          <w:lang w:val="en-US"/>
        </w:rPr>
        <w:t>Exchange</w:t>
      </w:r>
      <w:r w:rsidRPr="002E6951">
        <w:t xml:space="preserve"> </w:t>
      </w:r>
      <w:r w:rsidRPr="002E6951">
        <w:rPr>
          <w:lang w:eastAsia="bg-BG"/>
        </w:rPr>
        <w:t xml:space="preserve">и </w:t>
      </w:r>
      <w:r w:rsidRPr="002E6951">
        <w:rPr>
          <w:lang w:val="en-US"/>
        </w:rPr>
        <w:t>Mouse</w:t>
      </w:r>
      <w:r w:rsidRPr="002E6951">
        <w:t xml:space="preserve"> </w:t>
      </w:r>
      <w:r w:rsidRPr="002E6951">
        <w:rPr>
          <w:lang w:val="en-US"/>
        </w:rPr>
        <w:t>Lymphoma</w:t>
      </w:r>
      <w:r w:rsidRPr="002E6951">
        <w:t xml:space="preserve"> </w:t>
      </w:r>
      <w:r w:rsidRPr="002E6951">
        <w:rPr>
          <w:lang w:val="en-US"/>
        </w:rPr>
        <w:t>Cell</w:t>
      </w:r>
      <w:r w:rsidRPr="002E6951">
        <w:t xml:space="preserve"> </w:t>
      </w:r>
      <w:r w:rsidRPr="002E6951">
        <w:rPr>
          <w:lang w:eastAsia="bg-BG"/>
        </w:rPr>
        <w:t xml:space="preserve">в концентрации </w:t>
      </w:r>
      <w:r w:rsidRPr="002E6951">
        <w:t xml:space="preserve">43 </w:t>
      </w:r>
      <w:r w:rsidRPr="002E6951">
        <w:rPr>
          <w:lang w:eastAsia="bg-BG"/>
        </w:rPr>
        <w:t xml:space="preserve">и </w:t>
      </w:r>
      <w:r w:rsidRPr="002E6951">
        <w:t xml:space="preserve">1300 </w:t>
      </w:r>
      <w:proofErr w:type="spellStart"/>
      <w:r w:rsidRPr="002E6951">
        <w:rPr>
          <w:lang w:val="en-US"/>
        </w:rPr>
        <w:t>pg</w:t>
      </w:r>
      <w:proofErr w:type="spellEnd"/>
      <w:r w:rsidRPr="002E6951">
        <w:t>/</w:t>
      </w:r>
      <w:r w:rsidRPr="002E6951">
        <w:rPr>
          <w:lang w:val="en-US"/>
        </w:rPr>
        <w:t>ml</w:t>
      </w:r>
      <w:r w:rsidRPr="002E6951">
        <w:t xml:space="preserve"> </w:t>
      </w:r>
      <w:r w:rsidRPr="002E6951">
        <w:rPr>
          <w:lang w:eastAsia="bg-BG"/>
        </w:rPr>
        <w:t xml:space="preserve">и по теста </w:t>
      </w:r>
      <w:r w:rsidRPr="002E6951">
        <w:rPr>
          <w:lang w:val="en-US"/>
        </w:rPr>
        <w:t>Aspergillus</w:t>
      </w:r>
      <w:r w:rsidRPr="002E6951">
        <w:t xml:space="preserve"> </w:t>
      </w:r>
      <w:proofErr w:type="spellStart"/>
      <w:r w:rsidRPr="002E6951">
        <w:rPr>
          <w:lang w:val="en-US"/>
        </w:rPr>
        <w:t>nidulans</w:t>
      </w:r>
      <w:proofErr w:type="spellEnd"/>
      <w:r w:rsidRPr="002E6951">
        <w:t xml:space="preserve"> </w:t>
      </w:r>
      <w:r w:rsidRPr="002E6951">
        <w:rPr>
          <w:lang w:eastAsia="bg-BG"/>
        </w:rPr>
        <w:t xml:space="preserve">тест има данни за мутагенност. Липсват данни за карциногенен ефект при изпитвания върху мишки в продължение на </w:t>
      </w:r>
      <w:r w:rsidRPr="002E6951">
        <w:rPr>
          <w:u w:val="single"/>
          <w:lang w:eastAsia="bg-BG"/>
        </w:rPr>
        <w:t>2 годи</w:t>
      </w:r>
      <w:r w:rsidRPr="002E6951">
        <w:rPr>
          <w:lang w:eastAsia="bg-BG"/>
        </w:rPr>
        <w:t xml:space="preserve">ни в дози 600 </w:t>
      </w:r>
      <w:r w:rsidRPr="002E6951">
        <w:rPr>
          <w:lang w:val="en-US"/>
        </w:rPr>
        <w:t>mg</w:t>
      </w:r>
      <w:r w:rsidRPr="002E6951">
        <w:rPr>
          <w:lang w:val="ru-RU"/>
        </w:rPr>
        <w:t>/</w:t>
      </w:r>
      <w:r w:rsidRPr="002E6951">
        <w:rPr>
          <w:lang w:val="en-US"/>
        </w:rPr>
        <w:t>kg</w:t>
      </w:r>
      <w:r w:rsidRPr="002E6951">
        <w:rPr>
          <w:lang w:val="ru-RU"/>
        </w:rPr>
        <w:t xml:space="preserve"> </w:t>
      </w:r>
      <w:r w:rsidRPr="002E6951">
        <w:rPr>
          <w:lang w:eastAsia="bg-BG"/>
        </w:rPr>
        <w:t xml:space="preserve">и на плъхове в дози 100 </w:t>
      </w:r>
      <w:r w:rsidRPr="002E6951">
        <w:rPr>
          <w:lang w:val="en-US"/>
        </w:rPr>
        <w:t>mg</w:t>
      </w:r>
      <w:r w:rsidRPr="002E6951">
        <w:rPr>
          <w:lang w:val="ru-RU"/>
        </w:rPr>
        <w:t>/</w:t>
      </w:r>
      <w:r w:rsidRPr="002E6951">
        <w:rPr>
          <w:lang w:val="en-US"/>
        </w:rPr>
        <w:t>kg</w:t>
      </w:r>
      <w:r w:rsidRPr="002E6951">
        <w:rPr>
          <w:lang w:val="ru-RU"/>
        </w:rPr>
        <w:t xml:space="preserve">. </w:t>
      </w:r>
      <w:r w:rsidRPr="002E6951">
        <w:rPr>
          <w:lang w:eastAsia="bg-BG"/>
        </w:rPr>
        <w:t>При женските мишки се развива хепатокарциногенност.</w:t>
      </w:r>
    </w:p>
    <w:p w14:paraId="5DAC4098" w14:textId="77777777" w:rsidR="002E6951" w:rsidRPr="002E6951" w:rsidRDefault="002E6951" w:rsidP="002E6951">
      <w:pPr>
        <w:rPr>
          <w:sz w:val="24"/>
          <w:szCs w:val="24"/>
        </w:rPr>
      </w:pPr>
      <w:r w:rsidRPr="002E6951">
        <w:rPr>
          <w:lang w:eastAsia="bg-BG"/>
        </w:rPr>
        <w:t>Няма данни за влошаване на фертилитета.</w:t>
      </w:r>
    </w:p>
    <w:p w14:paraId="6B9AAC3C" w14:textId="77777777" w:rsidR="002E6951" w:rsidRPr="002E6951" w:rsidRDefault="002E6951" w:rsidP="002E6951"/>
    <w:p w14:paraId="1BA6531D" w14:textId="3436DD8A" w:rsidR="00B6672E" w:rsidRDefault="002C50EE" w:rsidP="00936AD0">
      <w:pPr>
        <w:pStyle w:val="Heading1"/>
      </w:pPr>
      <w:r>
        <w:t>7. ПРИТЕЖАТЕЛ НА РАЗРЕШЕНИЕТО ЗА УПОТРЕБА</w:t>
      </w:r>
    </w:p>
    <w:p w14:paraId="37DDB433" w14:textId="4F56E3CA" w:rsidR="002E6951" w:rsidRDefault="002E6951" w:rsidP="002E6951"/>
    <w:p w14:paraId="4527D7E5" w14:textId="77777777" w:rsidR="002E6951" w:rsidRPr="002E6951" w:rsidRDefault="002E6951" w:rsidP="002E6951">
      <w:pPr>
        <w:rPr>
          <w:sz w:val="24"/>
          <w:szCs w:val="24"/>
        </w:rPr>
      </w:pPr>
      <w:r w:rsidRPr="002E6951">
        <w:rPr>
          <w:lang w:eastAsia="bg-BG"/>
        </w:rPr>
        <w:t>СОФАРМА АД</w:t>
      </w:r>
    </w:p>
    <w:p w14:paraId="249251DF" w14:textId="77777777" w:rsidR="002E6951" w:rsidRPr="002E6951" w:rsidRDefault="002E6951" w:rsidP="002E6951">
      <w:pPr>
        <w:rPr>
          <w:sz w:val="24"/>
          <w:szCs w:val="24"/>
        </w:rPr>
      </w:pPr>
      <w:r w:rsidRPr="002E6951">
        <w:rPr>
          <w:lang w:eastAsia="bg-BG"/>
        </w:rPr>
        <w:t>ул. Илиенско шосе 16, 1220 София, България</w:t>
      </w:r>
    </w:p>
    <w:p w14:paraId="536D9F5D" w14:textId="77777777" w:rsidR="002E6951" w:rsidRPr="002E6951" w:rsidRDefault="002E6951" w:rsidP="002E6951"/>
    <w:p w14:paraId="508F3A54" w14:textId="1C5B9E26" w:rsidR="00B6672E" w:rsidRDefault="00936AD0" w:rsidP="00936AD0">
      <w:pPr>
        <w:pStyle w:val="Heading1"/>
      </w:pPr>
      <w:r>
        <w:t>8.</w:t>
      </w:r>
      <w:r w:rsidR="002C50EE">
        <w:t>НОМЕР НА РАЗРЕШЕНИЕТО ЗА УПОТРЕБА</w:t>
      </w:r>
    </w:p>
    <w:p w14:paraId="01CECBE2" w14:textId="757059CA" w:rsidR="002E6951" w:rsidRDefault="002E6951" w:rsidP="002E6951"/>
    <w:p w14:paraId="72319F88" w14:textId="50538D2D" w:rsidR="002E6951" w:rsidRPr="002E6951" w:rsidRDefault="002E6951" w:rsidP="002E6951">
      <w:r>
        <w:t>20100547</w:t>
      </w:r>
    </w:p>
    <w:p w14:paraId="2CCB5832" w14:textId="305BCD97" w:rsidR="007C605B" w:rsidRDefault="002C50EE" w:rsidP="007C605B">
      <w:pPr>
        <w:pStyle w:val="Heading1"/>
      </w:pPr>
      <w:r>
        <w:t>9. ДАТА НА ПЪРВО РАЗРЕШАВАНЕ/ПОДНОВЯВАНЕ НА РАЗРЕШЕНИЕТО ЗА УПОТРЕБА</w:t>
      </w:r>
    </w:p>
    <w:p w14:paraId="4CEAF651" w14:textId="6CF860CF" w:rsidR="002E6951" w:rsidRDefault="002E6951" w:rsidP="002E6951"/>
    <w:p w14:paraId="0FA6C7CF" w14:textId="57CDDC6D" w:rsidR="002E6951" w:rsidRPr="002E6951" w:rsidRDefault="002E6951" w:rsidP="002E6951">
      <w:r>
        <w:t>23.08.2010</w:t>
      </w:r>
    </w:p>
    <w:p w14:paraId="0E9D0119" w14:textId="0245C6D7" w:rsidR="002C50EE" w:rsidRDefault="002C50EE" w:rsidP="002C50EE">
      <w:pPr>
        <w:pStyle w:val="Heading1"/>
      </w:pPr>
      <w:r>
        <w:lastRenderedPageBreak/>
        <w:t>10. ДАТА НА АКТУАЛИЗИРАНЕ НА ТЕКСТА</w:t>
      </w:r>
    </w:p>
    <w:bookmarkEnd w:id="0"/>
    <w:p w14:paraId="43FB38A2" w14:textId="5B60386E" w:rsidR="007C605B" w:rsidRPr="003E3126" w:rsidRDefault="002E6951" w:rsidP="002E6951">
      <w:r>
        <w:t>Декември 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F7CF9"/>
    <w:multiLevelType w:val="hybridMultilevel"/>
    <w:tmpl w:val="619CF3FC"/>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C7D1F"/>
    <w:multiLevelType w:val="hybridMultilevel"/>
    <w:tmpl w:val="A878963A"/>
    <w:lvl w:ilvl="0" w:tplc="DC02C498">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4"/>
  </w:num>
  <w:num w:numId="4">
    <w:abstractNumId w:val="3"/>
  </w:num>
  <w:num w:numId="5">
    <w:abstractNumId w:val="1"/>
  </w:num>
  <w:num w:numId="6">
    <w:abstractNumId w:val="19"/>
  </w:num>
  <w:num w:numId="7">
    <w:abstractNumId w:val="12"/>
  </w:num>
  <w:num w:numId="8">
    <w:abstractNumId w:val="18"/>
  </w:num>
  <w:num w:numId="9">
    <w:abstractNumId w:val="2"/>
  </w:num>
  <w:num w:numId="10">
    <w:abstractNumId w:val="4"/>
  </w:num>
  <w:num w:numId="11">
    <w:abstractNumId w:val="33"/>
  </w:num>
  <w:num w:numId="12">
    <w:abstractNumId w:val="17"/>
  </w:num>
  <w:num w:numId="13">
    <w:abstractNumId w:val="22"/>
  </w:num>
  <w:num w:numId="14">
    <w:abstractNumId w:val="13"/>
  </w:num>
  <w:num w:numId="15">
    <w:abstractNumId w:val="32"/>
  </w:num>
  <w:num w:numId="16">
    <w:abstractNumId w:val="11"/>
  </w:num>
  <w:num w:numId="17">
    <w:abstractNumId w:val="27"/>
  </w:num>
  <w:num w:numId="18">
    <w:abstractNumId w:val="8"/>
  </w:num>
  <w:num w:numId="19">
    <w:abstractNumId w:val="29"/>
  </w:num>
  <w:num w:numId="20">
    <w:abstractNumId w:val="26"/>
  </w:num>
  <w:num w:numId="21">
    <w:abstractNumId w:val="20"/>
  </w:num>
  <w:num w:numId="22">
    <w:abstractNumId w:val="28"/>
  </w:num>
  <w:num w:numId="23">
    <w:abstractNumId w:val="21"/>
  </w:num>
  <w:num w:numId="24">
    <w:abstractNumId w:val="9"/>
  </w:num>
  <w:num w:numId="25">
    <w:abstractNumId w:val="25"/>
  </w:num>
  <w:num w:numId="26">
    <w:abstractNumId w:val="24"/>
  </w:num>
  <w:num w:numId="27">
    <w:abstractNumId w:val="34"/>
  </w:num>
  <w:num w:numId="28">
    <w:abstractNumId w:val="6"/>
  </w:num>
  <w:num w:numId="29">
    <w:abstractNumId w:val="23"/>
  </w:num>
  <w:num w:numId="30">
    <w:abstractNumId w:val="37"/>
  </w:num>
  <w:num w:numId="31">
    <w:abstractNumId w:val="5"/>
  </w:num>
  <w:num w:numId="32">
    <w:abstractNumId w:val="36"/>
  </w:num>
  <w:num w:numId="33">
    <w:abstractNumId w:val="31"/>
  </w:num>
  <w:num w:numId="34">
    <w:abstractNumId w:val="35"/>
  </w:num>
  <w:num w:numId="35">
    <w:abstractNumId w:val="7"/>
  </w:num>
  <w:num w:numId="36">
    <w:abstractNumId w:val="10"/>
  </w:num>
  <w:num w:numId="37">
    <w:abstractNumId w:val="1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2E6951"/>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4211</Words>
  <Characters>24008</Characters>
  <Application>Microsoft Office Word</Application>
  <DocSecurity>0</DocSecurity>
  <Lines>200</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2022-07-11T10:14:00Z</dcterms:created>
  <dcterms:modified xsi:type="dcterms:W3CDTF">2022-07-11T10:14:00Z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