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  <w:rPr>
          <w:lang w:val="bg-BG"/>
        </w:rPr>
      </w:pPr>
      <w:bookmarkStart w:id="0" w:name="_Hlk63124480"/>
      <w:r>
        <w:rPr>
          <w:lang w:val="bg-BG"/>
        </w:rPr>
        <w:t>КРАТКА ХАРАКТЕРИСТИКА НА ПРОДУКТА</w:t>
      </w:r>
    </w:p>
    <w:p w14:paraId="1BBB3756" w14:textId="3079B125" w:rsidR="00C07B84" w:rsidRDefault="00DD466D" w:rsidP="00DD466D">
      <w:pPr>
        <w:pStyle w:val="Heading1"/>
        <w:rPr>
          <w:lang w:val="bg-BG"/>
        </w:rPr>
      </w:pPr>
      <w:r>
        <w:rPr>
          <w:lang w:val="bg-BG"/>
        </w:rPr>
        <w:t>1.ИМЕ НА ЛЕКАРСТВЕНИЯ ПРОДУКТ</w:t>
      </w:r>
    </w:p>
    <w:p w14:paraId="67BFCAF1" w14:textId="77777777" w:rsidR="00B5064A" w:rsidRPr="00B5064A" w:rsidRDefault="00B5064A" w:rsidP="00B5064A">
      <w:pPr>
        <w:rPr>
          <w:sz w:val="24"/>
          <w:szCs w:val="24"/>
          <w:lang w:val="bg-BG"/>
        </w:rPr>
      </w:pPr>
      <w:r w:rsidRPr="00B5064A">
        <w:rPr>
          <w:lang w:val="bg-BG" w:eastAsia="bg-BG"/>
        </w:rPr>
        <w:t xml:space="preserve">ДЕТРАЛЕКС 500 </w:t>
      </w:r>
      <w:r w:rsidRPr="00B5064A">
        <w:t xml:space="preserve">mg </w:t>
      </w:r>
      <w:r w:rsidRPr="00B5064A">
        <w:rPr>
          <w:lang w:val="bg-BG" w:eastAsia="bg-BG"/>
        </w:rPr>
        <w:t>филмирани таблетки.</w:t>
      </w:r>
    </w:p>
    <w:p w14:paraId="478DAE89" w14:textId="68218A71" w:rsidR="00B5064A" w:rsidRPr="00B5064A" w:rsidRDefault="00B5064A" w:rsidP="00B5064A">
      <w:pPr>
        <w:rPr>
          <w:sz w:val="24"/>
          <w:szCs w:val="24"/>
          <w:lang w:val="bg-BG"/>
        </w:rPr>
      </w:pPr>
      <w:r w:rsidRPr="00B5064A">
        <w:t xml:space="preserve">DETRALEX </w:t>
      </w:r>
      <w:r w:rsidRPr="00B5064A">
        <w:rPr>
          <w:lang w:val="bg-BG" w:eastAsia="bg-BG"/>
        </w:rPr>
        <w:t xml:space="preserve">500 </w:t>
      </w:r>
      <w:r w:rsidRPr="00B5064A">
        <w:t>mg film-coated tablets</w:t>
      </w:r>
    </w:p>
    <w:p w14:paraId="3A916BC0" w14:textId="69C8FCDF" w:rsidR="00DD466D" w:rsidRDefault="00DD466D" w:rsidP="00DD466D">
      <w:pPr>
        <w:pStyle w:val="Heading1"/>
        <w:rPr>
          <w:lang w:val="bg-BG"/>
        </w:rPr>
      </w:pPr>
      <w:r>
        <w:rPr>
          <w:lang w:val="bg-BG"/>
        </w:rPr>
        <w:t>2. КАЧЕСТВЕН И КОЛИЧЕСТВЕН СЪСТАВ</w:t>
      </w:r>
    </w:p>
    <w:p w14:paraId="1D246A9F" w14:textId="77777777" w:rsidR="00B5064A" w:rsidRPr="00B5064A" w:rsidRDefault="00B5064A" w:rsidP="00B5064A">
      <w:pPr>
        <w:rPr>
          <w:sz w:val="24"/>
          <w:szCs w:val="24"/>
          <w:lang w:val="bg-BG"/>
        </w:rPr>
      </w:pPr>
      <w:r w:rsidRPr="00B5064A">
        <w:rPr>
          <w:lang w:val="bg-BG" w:eastAsia="bg-BG"/>
        </w:rPr>
        <w:t xml:space="preserve">Една таблетка съдържа 500 </w:t>
      </w:r>
      <w:r w:rsidRPr="00B5064A">
        <w:t xml:space="preserve">mg </w:t>
      </w:r>
      <w:proofErr w:type="spellStart"/>
      <w:r w:rsidRPr="00B5064A">
        <w:rPr>
          <w:lang w:val="bg-BG" w:eastAsia="bg-BG"/>
        </w:rPr>
        <w:t>флавоноидна</w:t>
      </w:r>
      <w:proofErr w:type="spellEnd"/>
      <w:r w:rsidRPr="00B5064A">
        <w:rPr>
          <w:lang w:val="bg-BG" w:eastAsia="bg-BG"/>
        </w:rPr>
        <w:t xml:space="preserve"> фракция, пречистена и </w:t>
      </w:r>
      <w:proofErr w:type="spellStart"/>
      <w:r w:rsidRPr="00B5064A">
        <w:rPr>
          <w:lang w:val="bg-BG" w:eastAsia="bg-BG"/>
        </w:rPr>
        <w:t>микронизирана</w:t>
      </w:r>
      <w:proofErr w:type="spellEnd"/>
      <w:r w:rsidRPr="00B5064A">
        <w:rPr>
          <w:lang w:val="bg-BG" w:eastAsia="bg-BG"/>
        </w:rPr>
        <w:t>, количество, съответстващо на:</w:t>
      </w:r>
    </w:p>
    <w:p w14:paraId="191B190D" w14:textId="74CFE76E" w:rsidR="00B5064A" w:rsidRPr="00B5064A" w:rsidRDefault="00B5064A" w:rsidP="00B5064A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proofErr w:type="spellStart"/>
      <w:r w:rsidRPr="00B5064A">
        <w:rPr>
          <w:lang w:val="bg-BG" w:eastAsia="bg-BG"/>
        </w:rPr>
        <w:t>Диосмин</w:t>
      </w:r>
      <w:proofErr w:type="spellEnd"/>
      <w:r w:rsidRPr="00B5064A">
        <w:rPr>
          <w:lang w:val="bg-BG" w:eastAsia="bg-BG"/>
        </w:rPr>
        <w:t xml:space="preserve"> </w:t>
      </w:r>
      <w:r w:rsidRPr="00B5064A">
        <w:rPr>
          <w:i/>
          <w:iCs/>
        </w:rPr>
        <w:t>(</w:t>
      </w:r>
      <w:proofErr w:type="spellStart"/>
      <w:r w:rsidRPr="00B5064A">
        <w:rPr>
          <w:i/>
          <w:iCs/>
        </w:rPr>
        <w:t>Diosmin</w:t>
      </w:r>
      <w:proofErr w:type="spellEnd"/>
      <w:r w:rsidRPr="00B5064A">
        <w:rPr>
          <w:i/>
          <w:iCs/>
        </w:rPr>
        <w:t>):</w:t>
      </w:r>
      <w:r w:rsidRPr="00B5064A">
        <w:t xml:space="preserve"> </w:t>
      </w:r>
      <w:r w:rsidRPr="00B5064A">
        <w:rPr>
          <w:lang w:val="bg-BG" w:eastAsia="bg-BG"/>
        </w:rPr>
        <w:t>90%</w:t>
      </w:r>
      <w:r w:rsidRPr="00B5064A">
        <w:rPr>
          <w:lang w:val="bg-BG" w:eastAsia="bg-BG"/>
        </w:rPr>
        <w:tab/>
        <w:t xml:space="preserve">450 </w:t>
      </w:r>
      <w:r w:rsidRPr="00B5064A">
        <w:t>mg</w:t>
      </w:r>
    </w:p>
    <w:p w14:paraId="3F9CBF8B" w14:textId="27F074EC" w:rsidR="00B5064A" w:rsidRPr="00B5064A" w:rsidRDefault="00B5064A" w:rsidP="00B5064A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proofErr w:type="spellStart"/>
      <w:r w:rsidRPr="00B5064A">
        <w:rPr>
          <w:lang w:val="bg-BG" w:eastAsia="bg-BG"/>
        </w:rPr>
        <w:t>флавоноиди</w:t>
      </w:r>
      <w:proofErr w:type="spellEnd"/>
      <w:r w:rsidRPr="00B5064A">
        <w:rPr>
          <w:lang w:val="bg-BG" w:eastAsia="bg-BG"/>
        </w:rPr>
        <w:t xml:space="preserve">, изразени като </w:t>
      </w:r>
      <w:proofErr w:type="spellStart"/>
      <w:r w:rsidRPr="00B5064A">
        <w:rPr>
          <w:lang w:val="bg-BG" w:eastAsia="bg-BG"/>
        </w:rPr>
        <w:t>хесперидин</w:t>
      </w:r>
      <w:proofErr w:type="spellEnd"/>
      <w:r w:rsidRPr="00B5064A">
        <w:rPr>
          <w:lang w:val="bg-BG" w:eastAsia="bg-BG"/>
        </w:rPr>
        <w:t xml:space="preserve"> </w:t>
      </w:r>
      <w:r w:rsidRPr="00B5064A">
        <w:rPr>
          <w:i/>
          <w:iCs/>
        </w:rPr>
        <w:t xml:space="preserve">(flavonoids expressed as </w:t>
      </w:r>
      <w:proofErr w:type="spellStart"/>
      <w:r w:rsidRPr="00B5064A">
        <w:rPr>
          <w:i/>
          <w:iCs/>
        </w:rPr>
        <w:t>hesperidine</w:t>
      </w:r>
      <w:proofErr w:type="spellEnd"/>
      <w:r w:rsidRPr="00B5064A">
        <w:rPr>
          <w:i/>
          <w:iCs/>
        </w:rPr>
        <w:t>):</w:t>
      </w:r>
      <w:r w:rsidRPr="00B5064A">
        <w:t xml:space="preserve"> 10%</w:t>
      </w:r>
      <w:r w:rsidRPr="00B5064A">
        <w:tab/>
        <w:t>50 mg</w:t>
      </w:r>
    </w:p>
    <w:p w14:paraId="5E99DF76" w14:textId="77777777" w:rsidR="00B5064A" w:rsidRPr="00B5064A" w:rsidRDefault="00B5064A" w:rsidP="00B5064A">
      <w:pPr>
        <w:rPr>
          <w:lang w:val="bg-BG"/>
        </w:rPr>
      </w:pPr>
    </w:p>
    <w:p w14:paraId="74A1D0A0" w14:textId="72080268" w:rsidR="002B4DBB" w:rsidRDefault="00DD466D" w:rsidP="00C07B84">
      <w:pPr>
        <w:pStyle w:val="Heading1"/>
        <w:rPr>
          <w:lang w:val="bg-BG"/>
        </w:rPr>
      </w:pPr>
      <w:r>
        <w:rPr>
          <w:lang w:val="bg-BG"/>
        </w:rPr>
        <w:t>3. ЛЕКАРСТВЕНА ФОРМА</w:t>
      </w:r>
    </w:p>
    <w:p w14:paraId="5BDC413F" w14:textId="77777777" w:rsidR="00B5064A" w:rsidRPr="00B5064A" w:rsidRDefault="00B5064A" w:rsidP="00B5064A">
      <w:pPr>
        <w:rPr>
          <w:sz w:val="24"/>
          <w:szCs w:val="24"/>
          <w:lang w:val="bg-BG"/>
        </w:rPr>
      </w:pPr>
      <w:r w:rsidRPr="00B5064A">
        <w:rPr>
          <w:lang w:val="bg-BG" w:eastAsia="bg-BG"/>
        </w:rPr>
        <w:t>Филмирана таблетка.</w:t>
      </w:r>
    </w:p>
    <w:p w14:paraId="3851378F" w14:textId="2BBFEB40" w:rsidR="00B5064A" w:rsidRPr="00B5064A" w:rsidRDefault="00B5064A" w:rsidP="00B5064A">
      <w:pPr>
        <w:rPr>
          <w:lang w:val="bg-BG"/>
        </w:rPr>
      </w:pPr>
      <w:proofErr w:type="spellStart"/>
      <w:r w:rsidRPr="00B5064A">
        <w:rPr>
          <w:lang w:val="bg-BG" w:eastAsia="bg-BG"/>
        </w:rPr>
        <w:t>Розовооранжеви</w:t>
      </w:r>
      <w:proofErr w:type="spellEnd"/>
      <w:r w:rsidRPr="00B5064A">
        <w:rPr>
          <w:lang w:val="bg-BG" w:eastAsia="bg-BG"/>
        </w:rPr>
        <w:t>, овални филмирани таблетки.</w:t>
      </w:r>
    </w:p>
    <w:p w14:paraId="490FC2C4" w14:textId="77777777" w:rsidR="002C50EE" w:rsidRDefault="002C50EE" w:rsidP="002C50EE">
      <w:pPr>
        <w:pStyle w:val="Heading1"/>
      </w:pPr>
      <w:r>
        <w:t>4. КЛИНИЧНИ ДАННИ</w:t>
      </w:r>
    </w:p>
    <w:p w14:paraId="103298BB" w14:textId="7CB0B629" w:rsidR="002B4DBB" w:rsidRDefault="002C50EE" w:rsidP="00C07B84">
      <w:pPr>
        <w:pStyle w:val="Heading2"/>
      </w:pPr>
      <w:r>
        <w:t xml:space="preserve">4.1. </w:t>
      </w:r>
      <w:proofErr w:type="spellStart"/>
      <w:r>
        <w:t>Терапевтични</w:t>
      </w:r>
      <w:proofErr w:type="spellEnd"/>
      <w:r>
        <w:t xml:space="preserve"> </w:t>
      </w:r>
      <w:proofErr w:type="spellStart"/>
      <w:r>
        <w:t>показания</w:t>
      </w:r>
      <w:proofErr w:type="spellEnd"/>
    </w:p>
    <w:p w14:paraId="58554846" w14:textId="77777777" w:rsidR="00B5064A" w:rsidRDefault="00B5064A" w:rsidP="00B5064A">
      <w:pPr>
        <w:rPr>
          <w:lang w:val="bg-BG" w:eastAsia="bg-BG"/>
        </w:rPr>
      </w:pPr>
    </w:p>
    <w:p w14:paraId="5E0FE40A" w14:textId="4AF3C700" w:rsidR="00B5064A" w:rsidRPr="00B5064A" w:rsidRDefault="00B5064A" w:rsidP="00B5064A">
      <w:pPr>
        <w:pStyle w:val="ListParagraph"/>
        <w:numPr>
          <w:ilvl w:val="0"/>
          <w:numId w:val="18"/>
        </w:numPr>
        <w:rPr>
          <w:lang w:val="bg-BG" w:eastAsia="bg-BG"/>
        </w:rPr>
      </w:pPr>
      <w:r w:rsidRPr="00B5064A">
        <w:rPr>
          <w:lang w:val="bg-BG" w:eastAsia="bg-BG"/>
        </w:rPr>
        <w:t>Лечение на симптоми, свързани с венозно-лимфна недостатъчност:</w:t>
      </w:r>
      <w:r w:rsidRPr="00B5064A">
        <w:rPr>
          <w:lang w:val="bg-BG" w:eastAsia="bg-BG"/>
        </w:rPr>
        <w:tab/>
      </w:r>
    </w:p>
    <w:p w14:paraId="170D0835" w14:textId="4F17C5E6" w:rsidR="00B5064A" w:rsidRPr="00B5064A" w:rsidRDefault="00B5064A" w:rsidP="00B5064A">
      <w:pPr>
        <w:pStyle w:val="ListParagraph"/>
        <w:numPr>
          <w:ilvl w:val="0"/>
          <w:numId w:val="20"/>
        </w:numPr>
        <w:rPr>
          <w:sz w:val="24"/>
          <w:szCs w:val="24"/>
          <w:lang w:val="bg-BG"/>
        </w:rPr>
      </w:pPr>
      <w:r w:rsidRPr="00B5064A">
        <w:rPr>
          <w:lang w:val="bg-BG" w:eastAsia="bg-BG"/>
        </w:rPr>
        <w:t>тежест в краката</w:t>
      </w:r>
    </w:p>
    <w:p w14:paraId="6A00A60E" w14:textId="2055E894" w:rsidR="00B5064A" w:rsidRPr="00B5064A" w:rsidRDefault="00B5064A" w:rsidP="00B5064A">
      <w:pPr>
        <w:pStyle w:val="ListParagraph"/>
        <w:numPr>
          <w:ilvl w:val="0"/>
          <w:numId w:val="20"/>
        </w:numPr>
        <w:rPr>
          <w:sz w:val="24"/>
          <w:szCs w:val="24"/>
          <w:lang w:val="bg-BG"/>
        </w:rPr>
      </w:pPr>
      <w:r w:rsidRPr="00B5064A">
        <w:rPr>
          <w:lang w:val="bg-BG" w:eastAsia="bg-BG"/>
        </w:rPr>
        <w:t>болка</w:t>
      </w:r>
    </w:p>
    <w:p w14:paraId="35EF47E5" w14:textId="10E227A6" w:rsidR="00B5064A" w:rsidRPr="00B5064A" w:rsidRDefault="00B5064A" w:rsidP="00B5064A">
      <w:pPr>
        <w:pStyle w:val="ListParagraph"/>
        <w:numPr>
          <w:ilvl w:val="0"/>
          <w:numId w:val="20"/>
        </w:numPr>
        <w:rPr>
          <w:sz w:val="24"/>
          <w:szCs w:val="24"/>
          <w:lang w:val="bg-BG"/>
        </w:rPr>
      </w:pPr>
      <w:r w:rsidRPr="00B5064A">
        <w:rPr>
          <w:lang w:val="bg-BG" w:eastAsia="bg-BG"/>
        </w:rPr>
        <w:t>изморени крака рано сутрин</w:t>
      </w:r>
    </w:p>
    <w:p w14:paraId="37A5E9BE" w14:textId="2E551D51" w:rsidR="00B5064A" w:rsidRPr="00B5064A" w:rsidRDefault="00B5064A" w:rsidP="00B5064A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B5064A">
        <w:rPr>
          <w:lang w:val="bg-BG" w:eastAsia="bg-BG"/>
        </w:rPr>
        <w:t xml:space="preserve">Лечение на функционални симптоми, свързани с остри </w:t>
      </w:r>
      <w:proofErr w:type="spellStart"/>
      <w:r w:rsidRPr="00B5064A">
        <w:rPr>
          <w:lang w:val="bg-BG" w:eastAsia="bg-BG"/>
        </w:rPr>
        <w:t>хемороидални</w:t>
      </w:r>
      <w:proofErr w:type="spellEnd"/>
      <w:r w:rsidRPr="00B5064A">
        <w:rPr>
          <w:lang w:val="bg-BG" w:eastAsia="bg-BG"/>
        </w:rPr>
        <w:t xml:space="preserve"> кризи.</w:t>
      </w:r>
    </w:p>
    <w:p w14:paraId="624A5B10" w14:textId="77777777" w:rsidR="00B5064A" w:rsidRDefault="00B5064A" w:rsidP="00B5064A">
      <w:pPr>
        <w:rPr>
          <w:lang w:val="bg-BG" w:eastAsia="bg-BG"/>
        </w:rPr>
      </w:pPr>
    </w:p>
    <w:p w14:paraId="7304F7C9" w14:textId="7FCFCF22" w:rsidR="00B5064A" w:rsidRPr="00B5064A" w:rsidRDefault="00B5064A" w:rsidP="00B5064A">
      <w:pPr>
        <w:rPr>
          <w:sz w:val="24"/>
          <w:szCs w:val="24"/>
          <w:lang w:val="bg-BG"/>
        </w:rPr>
      </w:pPr>
      <w:r w:rsidRPr="00B5064A">
        <w:rPr>
          <w:lang w:val="bg-BG" w:eastAsia="bg-BG"/>
        </w:rPr>
        <w:t>ДЕТРАЛЕКС е показан при възрастни.</w:t>
      </w:r>
    </w:p>
    <w:p w14:paraId="224940C7" w14:textId="77777777" w:rsidR="00B5064A" w:rsidRPr="00B5064A" w:rsidRDefault="00B5064A" w:rsidP="00B5064A"/>
    <w:p w14:paraId="066B7133" w14:textId="77777777" w:rsidR="00B5064A" w:rsidRDefault="002C50EE" w:rsidP="00B5064A">
      <w:pPr>
        <w:pStyle w:val="Heading2"/>
      </w:pPr>
      <w:r>
        <w:t xml:space="preserve">4.2. </w:t>
      </w:r>
      <w:proofErr w:type="spellStart"/>
      <w:r>
        <w:t>Дозировка</w:t>
      </w:r>
      <w:proofErr w:type="spellEnd"/>
      <w:r>
        <w:t xml:space="preserve"> и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приложение</w:t>
      </w:r>
      <w:proofErr w:type="spellEnd"/>
    </w:p>
    <w:p w14:paraId="2CAFF92D" w14:textId="77777777" w:rsidR="003F6150" w:rsidRDefault="003F6150" w:rsidP="00B5064A">
      <w:pPr>
        <w:pStyle w:val="Heading2"/>
      </w:pPr>
    </w:p>
    <w:p w14:paraId="40A6D240" w14:textId="76FB95D5" w:rsidR="00B5064A" w:rsidRPr="003F6150" w:rsidRDefault="00B5064A" w:rsidP="003F6150">
      <w:pPr>
        <w:pStyle w:val="Heading3"/>
        <w:rPr>
          <w:sz w:val="26"/>
          <w:szCs w:val="26"/>
          <w:u w:val="single"/>
        </w:rPr>
      </w:pPr>
      <w:r w:rsidRPr="003F6150">
        <w:rPr>
          <w:rFonts w:eastAsia="Times New Roman"/>
          <w:u w:val="single"/>
          <w:lang w:val="bg-BG" w:eastAsia="bg-BG"/>
        </w:rPr>
        <w:t>Дозировка</w:t>
      </w:r>
    </w:p>
    <w:p w14:paraId="5ADCC0DB" w14:textId="74A5295F" w:rsidR="00B5064A" w:rsidRPr="00B5064A" w:rsidRDefault="00B5064A" w:rsidP="00B5064A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B5064A">
        <w:rPr>
          <w:lang w:val="bg-BG" w:eastAsia="bg-BG"/>
        </w:rPr>
        <w:t>При венозно-лимфна недостатъчност препоръчителната доза е 2 таблетки дневно, 1 таблетка на обяд и 1 таблетка вечер по време на хранене.</w:t>
      </w:r>
    </w:p>
    <w:p w14:paraId="61DF8911" w14:textId="0F778290" w:rsidR="00B5064A" w:rsidRPr="00B5064A" w:rsidRDefault="00B5064A" w:rsidP="00B5064A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B5064A">
        <w:rPr>
          <w:lang w:val="bg-BG" w:eastAsia="bg-BG"/>
        </w:rPr>
        <w:t xml:space="preserve">В случай на остра </w:t>
      </w:r>
      <w:proofErr w:type="spellStart"/>
      <w:r w:rsidRPr="00B5064A">
        <w:rPr>
          <w:lang w:val="bg-BG" w:eastAsia="bg-BG"/>
        </w:rPr>
        <w:t>хемороидална</w:t>
      </w:r>
      <w:proofErr w:type="spellEnd"/>
      <w:r w:rsidRPr="00B5064A">
        <w:rPr>
          <w:lang w:val="bg-BG" w:eastAsia="bg-BG"/>
        </w:rPr>
        <w:t xml:space="preserve"> криза: по 6 таблетки дневно през първите 4 дни, последвани от 4 таблетки дневно през следващите 3 дни.</w:t>
      </w:r>
    </w:p>
    <w:p w14:paraId="5E57B762" w14:textId="77777777" w:rsidR="00B5064A" w:rsidRDefault="00B5064A" w:rsidP="00B5064A">
      <w:pPr>
        <w:rPr>
          <w:i/>
          <w:iCs/>
          <w:lang w:val="bg-BG" w:eastAsia="bg-BG"/>
        </w:rPr>
      </w:pPr>
    </w:p>
    <w:p w14:paraId="579A4683" w14:textId="78A7F465" w:rsidR="00B5064A" w:rsidRPr="00B5064A" w:rsidRDefault="00B5064A" w:rsidP="00B5064A">
      <w:pPr>
        <w:rPr>
          <w:sz w:val="24"/>
          <w:szCs w:val="24"/>
          <w:lang w:val="bg-BG"/>
        </w:rPr>
      </w:pPr>
      <w:r w:rsidRPr="00B5064A">
        <w:rPr>
          <w:i/>
          <w:iCs/>
          <w:lang w:val="bg-BG" w:eastAsia="bg-BG"/>
        </w:rPr>
        <w:t>Педиатрична популация</w:t>
      </w:r>
    </w:p>
    <w:p w14:paraId="548FFAA9" w14:textId="77777777" w:rsidR="00B5064A" w:rsidRPr="00B5064A" w:rsidRDefault="00B5064A" w:rsidP="00B5064A">
      <w:pPr>
        <w:rPr>
          <w:sz w:val="24"/>
          <w:szCs w:val="24"/>
          <w:lang w:val="bg-BG"/>
        </w:rPr>
      </w:pPr>
      <w:r w:rsidRPr="00B5064A">
        <w:rPr>
          <w:lang w:val="bg-BG" w:eastAsia="bg-BG"/>
        </w:rPr>
        <w:t>Липсват данни.</w:t>
      </w:r>
    </w:p>
    <w:p w14:paraId="6982284E" w14:textId="77777777" w:rsidR="00B5064A" w:rsidRDefault="00B5064A" w:rsidP="00B5064A">
      <w:pPr>
        <w:rPr>
          <w:lang w:val="bg-BG" w:eastAsia="bg-BG"/>
        </w:rPr>
      </w:pPr>
    </w:p>
    <w:p w14:paraId="329014E4" w14:textId="66230BA2" w:rsidR="00B5064A" w:rsidRPr="003F6150" w:rsidRDefault="00B5064A" w:rsidP="003F6150">
      <w:pPr>
        <w:pStyle w:val="Heading3"/>
        <w:rPr>
          <w:rFonts w:eastAsia="Times New Roman"/>
          <w:u w:val="single"/>
          <w:lang w:val="bg-BG"/>
        </w:rPr>
      </w:pPr>
      <w:r w:rsidRPr="003F6150">
        <w:rPr>
          <w:rFonts w:eastAsia="Times New Roman"/>
          <w:u w:val="single"/>
          <w:lang w:val="bg-BG" w:eastAsia="bg-BG"/>
        </w:rPr>
        <w:t>Начин на приложение</w:t>
      </w:r>
    </w:p>
    <w:p w14:paraId="2BD9147A" w14:textId="5C7E2D18" w:rsidR="00B5064A" w:rsidRPr="00B5064A" w:rsidRDefault="00B5064A" w:rsidP="00B5064A">
      <w:r w:rsidRPr="00B5064A">
        <w:rPr>
          <w:lang w:val="bg-BG" w:eastAsia="bg-BG"/>
        </w:rPr>
        <w:t>Препоръчва се ДЕТРАЛЕКС да се приема по време на хранене.</w:t>
      </w:r>
    </w:p>
    <w:p w14:paraId="3194B1C9" w14:textId="75F7034B" w:rsidR="001915B6" w:rsidRDefault="002C50EE" w:rsidP="00C07B84">
      <w:pPr>
        <w:pStyle w:val="Heading2"/>
      </w:pPr>
      <w:r>
        <w:lastRenderedPageBreak/>
        <w:t xml:space="preserve">4.3. </w:t>
      </w:r>
      <w:proofErr w:type="spellStart"/>
      <w:r>
        <w:t>Противопоказания</w:t>
      </w:r>
      <w:proofErr w:type="spellEnd"/>
    </w:p>
    <w:p w14:paraId="3F13BFEF" w14:textId="77777777" w:rsidR="003F6150" w:rsidRDefault="003F6150" w:rsidP="003F6150">
      <w:pPr>
        <w:rPr>
          <w:lang w:val="bg-BG" w:eastAsia="bg-BG"/>
        </w:rPr>
      </w:pPr>
    </w:p>
    <w:p w14:paraId="5692947C" w14:textId="73B716E0" w:rsidR="003F6150" w:rsidRDefault="003F6150" w:rsidP="003F6150">
      <w:pPr>
        <w:rPr>
          <w:lang w:val="bg-BG" w:eastAsia="bg-BG"/>
        </w:rPr>
      </w:pPr>
      <w:r w:rsidRPr="003F6150">
        <w:rPr>
          <w:lang w:val="bg-BG" w:eastAsia="bg-BG"/>
        </w:rPr>
        <w:t>Свръхчувствителност към активното вещество или към някое от помощните вещества, изброени в точка 6.1.</w:t>
      </w:r>
    </w:p>
    <w:p w14:paraId="51F59486" w14:textId="77777777" w:rsidR="003F6150" w:rsidRPr="003F6150" w:rsidRDefault="003F6150" w:rsidP="003F6150">
      <w:pPr>
        <w:rPr>
          <w:sz w:val="24"/>
          <w:szCs w:val="24"/>
          <w:lang w:val="bg-BG"/>
        </w:rPr>
      </w:pPr>
    </w:p>
    <w:p w14:paraId="4B2B2AB1" w14:textId="554FA9FA" w:rsidR="00605BCA" w:rsidRDefault="002C50EE" w:rsidP="00C07B84">
      <w:pPr>
        <w:pStyle w:val="Heading2"/>
      </w:pPr>
      <w:r>
        <w:t xml:space="preserve">4.4. </w:t>
      </w:r>
      <w:proofErr w:type="spellStart"/>
      <w:r>
        <w:t>Специални</w:t>
      </w:r>
      <w:proofErr w:type="spellEnd"/>
      <w:r>
        <w:t xml:space="preserve"> </w:t>
      </w:r>
      <w:proofErr w:type="spellStart"/>
      <w:r>
        <w:t>предупреждения</w:t>
      </w:r>
      <w:proofErr w:type="spellEnd"/>
      <w:r>
        <w:t xml:space="preserve"> и </w:t>
      </w:r>
      <w:proofErr w:type="spellStart"/>
      <w:r>
        <w:t>предпазни</w:t>
      </w:r>
      <w:proofErr w:type="spellEnd"/>
      <w:r>
        <w:t xml:space="preserve"> </w:t>
      </w:r>
      <w:proofErr w:type="spellStart"/>
      <w:r>
        <w:t>мерки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употреба</w:t>
      </w:r>
      <w:proofErr w:type="spellEnd"/>
    </w:p>
    <w:p w14:paraId="02BF8DC6" w14:textId="77777777" w:rsidR="003F6150" w:rsidRDefault="003F6150" w:rsidP="003F6150">
      <w:pPr>
        <w:rPr>
          <w:lang w:val="bg-BG" w:eastAsia="bg-BG"/>
        </w:rPr>
      </w:pPr>
    </w:p>
    <w:p w14:paraId="260F1EFF" w14:textId="1D8989D8" w:rsidR="003F6150" w:rsidRPr="003F6150" w:rsidRDefault="003F6150" w:rsidP="003F6150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proofErr w:type="spellStart"/>
      <w:r w:rsidRPr="003F6150">
        <w:rPr>
          <w:lang w:val="bg-BG" w:eastAsia="bg-BG"/>
        </w:rPr>
        <w:t>Хемороидални</w:t>
      </w:r>
      <w:proofErr w:type="spellEnd"/>
      <w:r w:rsidRPr="003F6150">
        <w:rPr>
          <w:lang w:val="bg-BG" w:eastAsia="bg-BG"/>
        </w:rPr>
        <w:t xml:space="preserve"> епизоди</w:t>
      </w:r>
    </w:p>
    <w:p w14:paraId="2D24E4F2" w14:textId="77777777" w:rsidR="003F6150" w:rsidRPr="003F6150" w:rsidRDefault="003F6150" w:rsidP="003F6150">
      <w:pPr>
        <w:rPr>
          <w:sz w:val="24"/>
          <w:szCs w:val="24"/>
          <w:lang w:val="bg-BG"/>
        </w:rPr>
      </w:pPr>
      <w:r w:rsidRPr="003F6150">
        <w:rPr>
          <w:lang w:val="bg-BG" w:eastAsia="bg-BG"/>
        </w:rPr>
        <w:t xml:space="preserve">Прилагането на този продукт за симптоматично лечение на остри </w:t>
      </w:r>
      <w:proofErr w:type="spellStart"/>
      <w:r w:rsidRPr="003F6150">
        <w:rPr>
          <w:lang w:val="bg-BG" w:eastAsia="bg-BG"/>
        </w:rPr>
        <w:t>хемороидални</w:t>
      </w:r>
      <w:proofErr w:type="spellEnd"/>
      <w:r w:rsidRPr="003F6150">
        <w:rPr>
          <w:lang w:val="bg-BG" w:eastAsia="bg-BG"/>
        </w:rPr>
        <w:t xml:space="preserve"> кризи не изключва специфичното лечение на други анални заболявалия. Лечението трябва да бъде краткотрайно. Ако симптомите не отшумят бързо, терапията трябва да се преоцени след </w:t>
      </w:r>
      <w:proofErr w:type="spellStart"/>
      <w:r w:rsidRPr="003F6150">
        <w:rPr>
          <w:lang w:val="bg-BG" w:eastAsia="bg-BG"/>
        </w:rPr>
        <w:t>проктологично</w:t>
      </w:r>
      <w:proofErr w:type="spellEnd"/>
      <w:r w:rsidRPr="003F6150">
        <w:rPr>
          <w:lang w:val="bg-BG" w:eastAsia="bg-BG"/>
        </w:rPr>
        <w:t xml:space="preserve"> изследване.</w:t>
      </w:r>
    </w:p>
    <w:p w14:paraId="646EA5F5" w14:textId="77777777" w:rsidR="003F6150" w:rsidRDefault="003F6150" w:rsidP="003F6150">
      <w:pPr>
        <w:rPr>
          <w:lang w:val="bg-BG" w:eastAsia="bg-BG"/>
        </w:rPr>
      </w:pPr>
    </w:p>
    <w:p w14:paraId="7B6FD640" w14:textId="5983A9D3" w:rsidR="003F6150" w:rsidRPr="003F6150" w:rsidRDefault="003F6150" w:rsidP="003F6150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3F6150">
        <w:rPr>
          <w:lang w:val="bg-BG" w:eastAsia="bg-BG"/>
        </w:rPr>
        <w:t>Венозни заболявания</w:t>
      </w:r>
    </w:p>
    <w:p w14:paraId="3F572A7C" w14:textId="77777777" w:rsidR="003F6150" w:rsidRDefault="003F6150" w:rsidP="003F6150">
      <w:pPr>
        <w:rPr>
          <w:lang w:val="bg-BG" w:eastAsia="bg-BG"/>
        </w:rPr>
      </w:pPr>
      <w:r w:rsidRPr="003F6150">
        <w:rPr>
          <w:lang w:val="bg-BG" w:eastAsia="bg-BG"/>
        </w:rPr>
        <w:t>При пациенти със заболявания, засягащи венозната циркулация, лечението довежда до максимално добър резултат, ако се съчетава с добре балансиран начин на живот:</w:t>
      </w:r>
    </w:p>
    <w:p w14:paraId="0C7B5A40" w14:textId="547C84E8" w:rsidR="003F6150" w:rsidRPr="003F6150" w:rsidRDefault="003F6150" w:rsidP="003F6150">
      <w:pPr>
        <w:pStyle w:val="ListParagraph"/>
        <w:numPr>
          <w:ilvl w:val="0"/>
          <w:numId w:val="21"/>
        </w:numPr>
        <w:rPr>
          <w:sz w:val="24"/>
          <w:szCs w:val="24"/>
          <w:lang w:val="bg-BG"/>
        </w:rPr>
      </w:pPr>
      <w:r w:rsidRPr="003F6150">
        <w:rPr>
          <w:lang w:val="bg-BG" w:eastAsia="bg-BG"/>
        </w:rPr>
        <w:t>да се избягва излагане на слънце, продължително стоене на крака, наднормено тегло;</w:t>
      </w:r>
    </w:p>
    <w:p w14:paraId="47EAA1D3" w14:textId="25F4D606" w:rsidR="003F6150" w:rsidRPr="003F6150" w:rsidRDefault="003F6150" w:rsidP="003F6150">
      <w:pPr>
        <w:pStyle w:val="ListParagraph"/>
        <w:numPr>
          <w:ilvl w:val="0"/>
          <w:numId w:val="21"/>
        </w:numPr>
        <w:rPr>
          <w:sz w:val="24"/>
          <w:szCs w:val="24"/>
          <w:lang w:val="bg-BG"/>
        </w:rPr>
      </w:pPr>
      <w:r w:rsidRPr="003F6150">
        <w:rPr>
          <w:lang w:val="bg-BG" w:eastAsia="bg-BG"/>
        </w:rPr>
        <w:t>ходенето и при определени случаи, носенето на специални (компресиращи) чорапи</w:t>
      </w:r>
      <w:r>
        <w:rPr>
          <w:lang w:val="bg-BG" w:eastAsia="bg-BG"/>
        </w:rPr>
        <w:t xml:space="preserve"> </w:t>
      </w:r>
      <w:r w:rsidRPr="003F6150">
        <w:rPr>
          <w:lang w:val="bg-BG" w:eastAsia="bg-BG"/>
        </w:rPr>
        <w:t>подобрява циркулацията.</w:t>
      </w:r>
    </w:p>
    <w:p w14:paraId="6C38B8BB" w14:textId="77777777" w:rsidR="003F6150" w:rsidRPr="003F6150" w:rsidRDefault="003F6150" w:rsidP="003F6150"/>
    <w:p w14:paraId="78BEBB3D" w14:textId="3CC363DF" w:rsidR="002C50EE" w:rsidRDefault="002C50EE" w:rsidP="002C50EE">
      <w:pPr>
        <w:pStyle w:val="Heading2"/>
      </w:pPr>
      <w:r>
        <w:t xml:space="preserve">4.5. </w:t>
      </w:r>
      <w:proofErr w:type="spellStart"/>
      <w:r>
        <w:t>Взаимодействие</w:t>
      </w:r>
      <w:proofErr w:type="spellEnd"/>
      <w:r>
        <w:t xml:space="preserve"> с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лекарствени</w:t>
      </w:r>
      <w:proofErr w:type="spellEnd"/>
      <w:r>
        <w:t xml:space="preserve"> </w:t>
      </w:r>
      <w:proofErr w:type="spellStart"/>
      <w:r>
        <w:t>продукти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взаимодействие</w:t>
      </w:r>
      <w:proofErr w:type="spellEnd"/>
    </w:p>
    <w:p w14:paraId="7B78BBD0" w14:textId="77777777" w:rsidR="003F6150" w:rsidRDefault="003F6150" w:rsidP="003F6150">
      <w:pPr>
        <w:rPr>
          <w:sz w:val="42"/>
          <w:szCs w:val="42"/>
        </w:rPr>
      </w:pPr>
    </w:p>
    <w:p w14:paraId="2EDB24A0" w14:textId="7FC3834E" w:rsidR="003F6150" w:rsidRDefault="003F6150" w:rsidP="003F6150">
      <w:proofErr w:type="spellStart"/>
      <w:r>
        <w:t>Не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провеждани</w:t>
      </w:r>
      <w:proofErr w:type="spellEnd"/>
      <w:r>
        <w:t xml:space="preserve"> </w:t>
      </w:r>
      <w:proofErr w:type="spellStart"/>
      <w:r>
        <w:t>проучвания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взаимодействията</w:t>
      </w:r>
      <w:proofErr w:type="spellEnd"/>
      <w:r>
        <w:t xml:space="preserve">. </w:t>
      </w:r>
      <w:proofErr w:type="spellStart"/>
      <w:r>
        <w:t>Предвид</w:t>
      </w:r>
      <w:proofErr w:type="spellEnd"/>
      <w:r>
        <w:t xml:space="preserve"> </w:t>
      </w:r>
      <w:proofErr w:type="spellStart"/>
      <w:r>
        <w:t>големия</w:t>
      </w:r>
      <w:proofErr w:type="spellEnd"/>
      <w:r>
        <w:t xml:space="preserve"> </w:t>
      </w:r>
      <w:proofErr w:type="spellStart"/>
      <w:r>
        <w:t>пост</w:t>
      </w:r>
      <w:proofErr w:type="spellEnd"/>
      <w:r>
        <w:t xml:space="preserve"> </w:t>
      </w:r>
      <w:proofErr w:type="spellStart"/>
      <w:r>
        <w:t>маркетингов</w:t>
      </w:r>
      <w:proofErr w:type="spellEnd"/>
      <w:r>
        <w:t xml:space="preserve"> </w:t>
      </w:r>
      <w:proofErr w:type="spellStart"/>
      <w:r>
        <w:t>опит</w:t>
      </w:r>
      <w:proofErr w:type="spellEnd"/>
      <w:r>
        <w:t xml:space="preserve"> с </w:t>
      </w:r>
      <w:proofErr w:type="spellStart"/>
      <w:r>
        <w:t>продукта</w:t>
      </w:r>
      <w:proofErr w:type="spellEnd"/>
      <w:r>
        <w:t xml:space="preserve">, </w:t>
      </w:r>
      <w:proofErr w:type="spellStart"/>
      <w:r>
        <w:t>досега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съобщавани</w:t>
      </w:r>
      <w:proofErr w:type="spellEnd"/>
      <w:r>
        <w:t xml:space="preserve"> </w:t>
      </w:r>
      <w:proofErr w:type="spellStart"/>
      <w:r>
        <w:t>взаимодействия</w:t>
      </w:r>
      <w:proofErr w:type="spellEnd"/>
      <w:r>
        <w:t xml:space="preserve"> с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лекарствени</w:t>
      </w:r>
      <w:proofErr w:type="spellEnd"/>
      <w:r>
        <w:t xml:space="preserve"> </w:t>
      </w:r>
      <w:proofErr w:type="spellStart"/>
      <w:r>
        <w:t>продукти</w:t>
      </w:r>
      <w:proofErr w:type="spellEnd"/>
      <w:r>
        <w:t>.</w:t>
      </w:r>
    </w:p>
    <w:p w14:paraId="0A914166" w14:textId="77777777" w:rsidR="003F6150" w:rsidRPr="003F6150" w:rsidRDefault="003F6150" w:rsidP="003F6150"/>
    <w:p w14:paraId="48221AB5" w14:textId="61CA252E" w:rsidR="002C50EE" w:rsidRDefault="002C50EE" w:rsidP="002C50EE">
      <w:pPr>
        <w:pStyle w:val="Heading2"/>
      </w:pPr>
      <w:r>
        <w:t xml:space="preserve">4.6. </w:t>
      </w:r>
      <w:proofErr w:type="spellStart"/>
      <w:r>
        <w:t>Фертилитет</w:t>
      </w:r>
      <w:proofErr w:type="spellEnd"/>
      <w:r>
        <w:t xml:space="preserve">, </w:t>
      </w:r>
      <w:proofErr w:type="spellStart"/>
      <w:r>
        <w:t>бременност</w:t>
      </w:r>
      <w:proofErr w:type="spellEnd"/>
      <w:r>
        <w:t xml:space="preserve"> и </w:t>
      </w:r>
      <w:proofErr w:type="spellStart"/>
      <w:r>
        <w:t>кърмене</w:t>
      </w:r>
      <w:proofErr w:type="spellEnd"/>
    </w:p>
    <w:p w14:paraId="1E448FE5" w14:textId="77777777" w:rsidR="003F6150" w:rsidRDefault="003F6150" w:rsidP="003F6150">
      <w:pPr>
        <w:rPr>
          <w:lang w:val="bg-BG" w:eastAsia="bg-BG"/>
        </w:rPr>
      </w:pPr>
    </w:p>
    <w:p w14:paraId="5F55EB98" w14:textId="1E362560" w:rsidR="003F6150" w:rsidRPr="003F6150" w:rsidRDefault="003F6150" w:rsidP="003F6150">
      <w:pPr>
        <w:pStyle w:val="Heading3"/>
        <w:rPr>
          <w:rFonts w:eastAsia="Times New Roman"/>
          <w:u w:val="single"/>
          <w:lang w:val="bg-BG"/>
        </w:rPr>
      </w:pPr>
      <w:r w:rsidRPr="003F6150">
        <w:rPr>
          <w:rFonts w:eastAsia="Times New Roman"/>
          <w:u w:val="single"/>
          <w:lang w:val="bg-BG" w:eastAsia="bg-BG"/>
        </w:rPr>
        <w:t>Бременност</w:t>
      </w:r>
    </w:p>
    <w:p w14:paraId="7E3C1F26" w14:textId="77777777" w:rsidR="003F6150" w:rsidRPr="003F6150" w:rsidRDefault="003F6150" w:rsidP="003F6150">
      <w:pPr>
        <w:rPr>
          <w:sz w:val="24"/>
          <w:szCs w:val="24"/>
          <w:lang w:val="bg-BG"/>
        </w:rPr>
      </w:pPr>
      <w:r w:rsidRPr="003F6150">
        <w:rPr>
          <w:lang w:val="bg-BG" w:eastAsia="bg-BG"/>
        </w:rPr>
        <w:t>Не е установено тератогенно действие при проведените няколко проучвания и няма съобщения за нежелани ефекти при хора.</w:t>
      </w:r>
    </w:p>
    <w:p w14:paraId="48CA9154" w14:textId="77777777" w:rsidR="003F6150" w:rsidRDefault="003F6150" w:rsidP="003F6150">
      <w:pPr>
        <w:rPr>
          <w:lang w:val="bg-BG" w:eastAsia="bg-BG"/>
        </w:rPr>
      </w:pPr>
    </w:p>
    <w:p w14:paraId="6383FB73" w14:textId="0537CD45" w:rsidR="003F6150" w:rsidRPr="003F6150" w:rsidRDefault="003F6150" w:rsidP="003F6150">
      <w:pPr>
        <w:pStyle w:val="Heading3"/>
        <w:rPr>
          <w:rFonts w:eastAsia="Times New Roman"/>
          <w:u w:val="single"/>
          <w:lang w:val="bg-BG"/>
        </w:rPr>
      </w:pPr>
      <w:r w:rsidRPr="003F6150">
        <w:rPr>
          <w:rFonts w:eastAsia="Times New Roman"/>
          <w:u w:val="single"/>
          <w:lang w:val="bg-BG" w:eastAsia="bg-BG"/>
        </w:rPr>
        <w:t>Кърмене</w:t>
      </w:r>
    </w:p>
    <w:p w14:paraId="5952545A" w14:textId="77777777" w:rsidR="003F6150" w:rsidRPr="003F6150" w:rsidRDefault="003F6150" w:rsidP="003F6150">
      <w:pPr>
        <w:rPr>
          <w:sz w:val="24"/>
          <w:szCs w:val="24"/>
          <w:lang w:val="bg-BG"/>
        </w:rPr>
      </w:pPr>
      <w:r w:rsidRPr="003F6150">
        <w:rPr>
          <w:lang w:val="bg-BG" w:eastAsia="bg-BG"/>
        </w:rPr>
        <w:t>Поради липса на данни относно екскрецията на препарата в майчиното мляко, лечение по време на кърменето трябва да се избягва.</w:t>
      </w:r>
    </w:p>
    <w:p w14:paraId="0B116C14" w14:textId="77777777" w:rsidR="003F6150" w:rsidRDefault="003F6150" w:rsidP="003F6150">
      <w:pPr>
        <w:rPr>
          <w:lang w:val="bg-BG" w:eastAsia="bg-BG"/>
        </w:rPr>
      </w:pPr>
    </w:p>
    <w:p w14:paraId="467AD7E9" w14:textId="47510AA0" w:rsidR="003F6150" w:rsidRPr="003F6150" w:rsidRDefault="003F6150" w:rsidP="003F6150">
      <w:pPr>
        <w:pStyle w:val="Heading3"/>
        <w:rPr>
          <w:rFonts w:eastAsia="Times New Roman"/>
          <w:u w:val="single"/>
          <w:lang w:val="bg-BG"/>
        </w:rPr>
      </w:pPr>
      <w:proofErr w:type="spellStart"/>
      <w:r w:rsidRPr="003F6150">
        <w:rPr>
          <w:rFonts w:eastAsia="Times New Roman"/>
          <w:u w:val="single"/>
          <w:lang w:val="bg-BG" w:eastAsia="bg-BG"/>
        </w:rPr>
        <w:t>Фертилитет</w:t>
      </w:r>
      <w:proofErr w:type="spellEnd"/>
    </w:p>
    <w:p w14:paraId="71B9EFF7" w14:textId="77777777" w:rsidR="003F6150" w:rsidRPr="003F6150" w:rsidRDefault="003F6150" w:rsidP="003F6150">
      <w:pPr>
        <w:rPr>
          <w:sz w:val="24"/>
          <w:szCs w:val="24"/>
          <w:lang w:val="bg-BG"/>
        </w:rPr>
      </w:pPr>
      <w:r w:rsidRPr="003F6150">
        <w:rPr>
          <w:lang w:val="bg-BG" w:eastAsia="bg-BG"/>
        </w:rPr>
        <w:t xml:space="preserve">Проучванията върху репродуктивната токсичност не показват въздействие върху </w:t>
      </w:r>
      <w:proofErr w:type="spellStart"/>
      <w:r w:rsidRPr="003F6150">
        <w:rPr>
          <w:lang w:val="bg-BG" w:eastAsia="bg-BG"/>
        </w:rPr>
        <w:t>фертилитета</w:t>
      </w:r>
      <w:proofErr w:type="spellEnd"/>
      <w:r w:rsidRPr="003F6150">
        <w:rPr>
          <w:lang w:val="bg-BG" w:eastAsia="bg-BG"/>
        </w:rPr>
        <w:t xml:space="preserve"> при мъжки и женски плъхове (вж. точка 5.3).</w:t>
      </w:r>
    </w:p>
    <w:p w14:paraId="2301310D" w14:textId="77777777" w:rsidR="003F6150" w:rsidRPr="003F6150" w:rsidRDefault="003F6150" w:rsidP="003F6150"/>
    <w:p w14:paraId="5F675BDB" w14:textId="366BE779" w:rsidR="002C50EE" w:rsidRDefault="002C50EE" w:rsidP="002C50EE">
      <w:pPr>
        <w:pStyle w:val="Heading2"/>
      </w:pPr>
      <w:r>
        <w:t xml:space="preserve">4.7. </w:t>
      </w:r>
      <w:proofErr w:type="spellStart"/>
      <w:r>
        <w:t>Ефекти</w:t>
      </w:r>
      <w:proofErr w:type="spellEnd"/>
      <w:r>
        <w:t xml:space="preserve"> </w:t>
      </w:r>
      <w:proofErr w:type="spellStart"/>
      <w:r>
        <w:t>върху</w:t>
      </w:r>
      <w:proofErr w:type="spellEnd"/>
      <w:r>
        <w:t xml:space="preserve"> </w:t>
      </w:r>
      <w:proofErr w:type="spellStart"/>
      <w:r>
        <w:t>способността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шофиране</w:t>
      </w:r>
      <w:proofErr w:type="spellEnd"/>
      <w:r>
        <w:t xml:space="preserve"> и </w:t>
      </w:r>
      <w:proofErr w:type="spellStart"/>
      <w:r>
        <w:t>работа</w:t>
      </w:r>
      <w:proofErr w:type="spellEnd"/>
      <w:r>
        <w:t xml:space="preserve"> с </w:t>
      </w:r>
      <w:proofErr w:type="spellStart"/>
      <w:r>
        <w:t>машини</w:t>
      </w:r>
      <w:proofErr w:type="spellEnd"/>
    </w:p>
    <w:p w14:paraId="51CA8ED8" w14:textId="77777777" w:rsidR="003F6150" w:rsidRDefault="003F6150" w:rsidP="003F6150">
      <w:pPr>
        <w:rPr>
          <w:lang w:val="bg-BG" w:eastAsia="bg-BG"/>
        </w:rPr>
      </w:pPr>
    </w:p>
    <w:p w14:paraId="2EFF23FA" w14:textId="0D13F5D4" w:rsidR="003F6150" w:rsidRPr="003F6150" w:rsidRDefault="003F6150" w:rsidP="003F6150">
      <w:pPr>
        <w:rPr>
          <w:sz w:val="24"/>
          <w:szCs w:val="24"/>
          <w:lang w:val="bg-BG"/>
        </w:rPr>
      </w:pPr>
      <w:r w:rsidRPr="003F6150">
        <w:rPr>
          <w:lang w:val="bg-BG" w:eastAsia="bg-BG"/>
        </w:rPr>
        <w:lastRenderedPageBreak/>
        <w:t xml:space="preserve">Проучвания за ефекта на </w:t>
      </w:r>
      <w:proofErr w:type="spellStart"/>
      <w:r w:rsidRPr="003F6150">
        <w:rPr>
          <w:lang w:val="bg-BG" w:eastAsia="bg-BG"/>
        </w:rPr>
        <w:t>флавоноидната</w:t>
      </w:r>
      <w:proofErr w:type="spellEnd"/>
      <w:r w:rsidRPr="003F6150">
        <w:rPr>
          <w:lang w:val="bg-BG" w:eastAsia="bg-BG"/>
        </w:rPr>
        <w:t xml:space="preserve"> фракция върху способността за шофиране и работа с машини не са провеждани. Въпреки това на базата на профила на безопасност на </w:t>
      </w:r>
      <w:proofErr w:type="spellStart"/>
      <w:r w:rsidRPr="003F6150">
        <w:rPr>
          <w:lang w:val="bg-BG" w:eastAsia="bg-BG"/>
        </w:rPr>
        <w:t>флавоноидната</w:t>
      </w:r>
      <w:proofErr w:type="spellEnd"/>
      <w:r w:rsidRPr="003F6150">
        <w:rPr>
          <w:lang w:val="bg-BG" w:eastAsia="bg-BG"/>
        </w:rPr>
        <w:t xml:space="preserve"> фракция, ДЕТРАЛЕКС не </w:t>
      </w:r>
      <w:proofErr w:type="spellStart"/>
      <w:r w:rsidRPr="003F6150">
        <w:rPr>
          <w:lang w:val="bg-BG" w:eastAsia="bg-BG"/>
        </w:rPr>
        <w:t>повлява</w:t>
      </w:r>
      <w:proofErr w:type="spellEnd"/>
      <w:r w:rsidRPr="003F6150">
        <w:rPr>
          <w:lang w:val="bg-BG" w:eastAsia="bg-BG"/>
        </w:rPr>
        <w:t xml:space="preserve"> или </w:t>
      </w:r>
      <w:proofErr w:type="spellStart"/>
      <w:r w:rsidRPr="003F6150">
        <w:rPr>
          <w:lang w:val="bg-BG" w:eastAsia="bg-BG"/>
        </w:rPr>
        <w:t>повлява</w:t>
      </w:r>
      <w:proofErr w:type="spellEnd"/>
      <w:r w:rsidRPr="003F6150">
        <w:rPr>
          <w:lang w:val="bg-BG" w:eastAsia="bg-BG"/>
        </w:rPr>
        <w:t xml:space="preserve"> пренебрежимо тези способности.</w:t>
      </w:r>
    </w:p>
    <w:p w14:paraId="649BED3D" w14:textId="77777777" w:rsidR="003F6150" w:rsidRPr="003F6150" w:rsidRDefault="003F6150" w:rsidP="003F6150"/>
    <w:p w14:paraId="1B3BD30D" w14:textId="62D6E396" w:rsidR="002C50EE" w:rsidRDefault="002C50EE" w:rsidP="002C50EE">
      <w:pPr>
        <w:pStyle w:val="Heading2"/>
      </w:pPr>
      <w:r>
        <w:t xml:space="preserve">4.8. </w:t>
      </w:r>
      <w:proofErr w:type="spellStart"/>
      <w:r>
        <w:t>Нежелани</w:t>
      </w:r>
      <w:proofErr w:type="spellEnd"/>
      <w:r>
        <w:t xml:space="preserve"> </w:t>
      </w:r>
      <w:proofErr w:type="spellStart"/>
      <w:r>
        <w:t>лекарствени</w:t>
      </w:r>
      <w:proofErr w:type="spellEnd"/>
      <w:r>
        <w:t xml:space="preserve"> </w:t>
      </w:r>
      <w:proofErr w:type="spellStart"/>
      <w:r>
        <w:t>реакции</w:t>
      </w:r>
      <w:proofErr w:type="spellEnd"/>
    </w:p>
    <w:p w14:paraId="5FE4E2A9" w14:textId="77777777" w:rsidR="003F6150" w:rsidRPr="003F6150" w:rsidRDefault="003F6150" w:rsidP="003F6150">
      <w:pPr>
        <w:rPr>
          <w:sz w:val="24"/>
          <w:szCs w:val="24"/>
          <w:lang w:val="bg-BG"/>
        </w:rPr>
      </w:pPr>
      <w:r w:rsidRPr="003F6150">
        <w:rPr>
          <w:lang w:val="bg-BG" w:eastAsia="bg-BG"/>
        </w:rPr>
        <w:t>Обобщение на профила на безопасност.</w:t>
      </w:r>
    </w:p>
    <w:p w14:paraId="6AD846DC" w14:textId="77777777" w:rsidR="003F6150" w:rsidRPr="003F6150" w:rsidRDefault="003F6150" w:rsidP="003F6150">
      <w:pPr>
        <w:rPr>
          <w:sz w:val="24"/>
          <w:szCs w:val="24"/>
          <w:lang w:val="bg-BG"/>
        </w:rPr>
      </w:pPr>
      <w:r w:rsidRPr="003F6150">
        <w:rPr>
          <w:lang w:val="bg-BG" w:eastAsia="bg-BG"/>
        </w:rPr>
        <w:t xml:space="preserve">Нежеланите реакции, съобщени с ДЕТРАЛЕКС при клинични проучвания са със слаб интензитет. Те се състоят основно </w:t>
      </w:r>
      <w:r w:rsidRPr="003F6150">
        <w:rPr>
          <w:i/>
          <w:iCs/>
          <w:lang w:val="bg-BG" w:eastAsia="bg-BG"/>
        </w:rPr>
        <w:t>в</w:t>
      </w:r>
      <w:r w:rsidRPr="003F6150">
        <w:rPr>
          <w:lang w:val="bg-BG" w:eastAsia="bg-BG"/>
        </w:rPr>
        <w:t xml:space="preserve"> стомашно-чревни прояви (диария, диспепсия, гадене, повръщане).</w:t>
      </w:r>
    </w:p>
    <w:p w14:paraId="4B90EF4D" w14:textId="77777777" w:rsidR="003F6150" w:rsidRDefault="003F6150" w:rsidP="003F6150">
      <w:pPr>
        <w:rPr>
          <w:lang w:val="bg-BG" w:eastAsia="bg-BG"/>
        </w:rPr>
      </w:pPr>
    </w:p>
    <w:p w14:paraId="0623521F" w14:textId="586F9416" w:rsidR="003F6150" w:rsidRPr="003F6150" w:rsidRDefault="003F6150" w:rsidP="003F6150">
      <w:pPr>
        <w:rPr>
          <w:sz w:val="24"/>
          <w:szCs w:val="24"/>
          <w:lang w:val="bg-BG"/>
        </w:rPr>
      </w:pPr>
      <w:r w:rsidRPr="003F6150">
        <w:rPr>
          <w:lang w:val="bg-BG" w:eastAsia="bg-BG"/>
        </w:rPr>
        <w:t>Списък на нежеланите реакции в табличен вид.</w:t>
      </w:r>
    </w:p>
    <w:p w14:paraId="14122DD4" w14:textId="77777777" w:rsidR="003F6150" w:rsidRPr="003F6150" w:rsidRDefault="003F6150" w:rsidP="003F6150">
      <w:pPr>
        <w:rPr>
          <w:sz w:val="24"/>
          <w:szCs w:val="24"/>
          <w:lang w:val="bg-BG"/>
        </w:rPr>
      </w:pPr>
      <w:r w:rsidRPr="003F6150">
        <w:rPr>
          <w:lang w:val="bg-BG" w:eastAsia="bg-BG"/>
        </w:rPr>
        <w:t>Следните нежелани реакции или събития са били съобщени по време на лечението с ДЕТРАЛЕКС и те са подредени според тяхната честота:</w:t>
      </w:r>
    </w:p>
    <w:p w14:paraId="68E5D9A4" w14:textId="1239389D" w:rsidR="003F6150" w:rsidRDefault="003F6150" w:rsidP="003F6150">
      <w:pPr>
        <w:rPr>
          <w:lang w:val="bg-BG" w:eastAsia="bg-BG"/>
        </w:rPr>
      </w:pPr>
      <w:r w:rsidRPr="003F6150">
        <w:rPr>
          <w:lang w:val="bg-BG" w:eastAsia="bg-BG"/>
        </w:rPr>
        <w:t>Много чести (</w:t>
      </w:r>
      <w:r w:rsidRPr="003F6150">
        <w:t>≥</w:t>
      </w:r>
      <w:r w:rsidRPr="003F6150">
        <w:rPr>
          <w:lang w:val="bg-BG" w:eastAsia="bg-BG"/>
        </w:rPr>
        <w:t>1/10); чести (</w:t>
      </w:r>
      <w:r w:rsidRPr="003F6150">
        <w:t>≥</w:t>
      </w:r>
      <w:r w:rsidRPr="003F6150">
        <w:rPr>
          <w:lang w:val="bg-BG" w:eastAsia="bg-BG"/>
        </w:rPr>
        <w:t>1/100, &lt;1/10); не чести (</w:t>
      </w:r>
      <w:r w:rsidRPr="003F6150">
        <w:t>≥</w:t>
      </w:r>
      <w:r w:rsidRPr="003F6150">
        <w:rPr>
          <w:lang w:val="bg-BG" w:eastAsia="bg-BG"/>
        </w:rPr>
        <w:t xml:space="preserve">1/1000, </w:t>
      </w:r>
      <w:r w:rsidRPr="003F6150">
        <w:t>≤</w:t>
      </w:r>
      <w:r w:rsidRPr="003F6150">
        <w:rPr>
          <w:lang w:val="bg-BG" w:eastAsia="bg-BG"/>
        </w:rPr>
        <w:t>1/100); редки (</w:t>
      </w:r>
      <w:r w:rsidRPr="003F6150">
        <w:t>≥</w:t>
      </w:r>
      <w:r w:rsidRPr="003F6150">
        <w:rPr>
          <w:lang w:val="bg-BG" w:eastAsia="bg-BG"/>
        </w:rPr>
        <w:t xml:space="preserve">1/10000, </w:t>
      </w:r>
      <w:r w:rsidRPr="003F6150">
        <w:t>≤</w:t>
      </w:r>
      <w:r w:rsidRPr="003F6150">
        <w:rPr>
          <w:lang w:val="bg-BG" w:eastAsia="bg-BG"/>
        </w:rPr>
        <w:t>1/1000); много редки (</w:t>
      </w:r>
      <w:r w:rsidRPr="003F6150">
        <w:t>≤</w:t>
      </w:r>
      <w:r w:rsidRPr="003F6150">
        <w:rPr>
          <w:lang w:val="bg-BG" w:eastAsia="bg-BG"/>
        </w:rPr>
        <w:t xml:space="preserve">1/10000), с неизвестна честота (от наличните </w:t>
      </w:r>
      <w:proofErr w:type="spellStart"/>
      <w:r w:rsidRPr="003F6150">
        <w:rPr>
          <w:lang w:val="bg-BG" w:eastAsia="bg-BG"/>
        </w:rPr>
        <w:t>дани</w:t>
      </w:r>
      <w:proofErr w:type="spellEnd"/>
      <w:r w:rsidRPr="003F6150">
        <w:rPr>
          <w:lang w:val="bg-BG" w:eastAsia="bg-BG"/>
        </w:rPr>
        <w:t xml:space="preserve"> не може да бъде направена оценка).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F6150" w14:paraId="2FA10BB1" w14:textId="77777777" w:rsidTr="0001587B">
        <w:tc>
          <w:tcPr>
            <w:tcW w:w="3192" w:type="dxa"/>
            <w:vAlign w:val="bottom"/>
          </w:tcPr>
          <w:p w14:paraId="2E41FBDB" w14:textId="3AFF702F" w:rsidR="003F6150" w:rsidRDefault="003F6150" w:rsidP="003F6150">
            <w:proofErr w:type="spellStart"/>
            <w:r>
              <w:t>Системо-органна</w:t>
            </w:r>
            <w:proofErr w:type="spellEnd"/>
            <w:r>
              <w:t xml:space="preserve"> </w:t>
            </w:r>
            <w:proofErr w:type="spellStart"/>
            <w:r>
              <w:t>класификация</w:t>
            </w:r>
            <w:proofErr w:type="spellEnd"/>
          </w:p>
        </w:tc>
        <w:tc>
          <w:tcPr>
            <w:tcW w:w="3192" w:type="dxa"/>
            <w:vAlign w:val="bottom"/>
          </w:tcPr>
          <w:p w14:paraId="3467CEEF" w14:textId="747F9DC0" w:rsidR="003F6150" w:rsidRDefault="003F6150" w:rsidP="003F6150">
            <w:proofErr w:type="spellStart"/>
            <w:r>
              <w:t>Честота</w:t>
            </w:r>
            <w:proofErr w:type="spellEnd"/>
          </w:p>
        </w:tc>
        <w:tc>
          <w:tcPr>
            <w:tcW w:w="3192" w:type="dxa"/>
            <w:vAlign w:val="bottom"/>
          </w:tcPr>
          <w:p w14:paraId="0D7A8084" w14:textId="5ED3D76B" w:rsidR="003F6150" w:rsidRDefault="003F6150" w:rsidP="003F6150">
            <w:proofErr w:type="spellStart"/>
            <w:r>
              <w:t>Предпочитан</w:t>
            </w:r>
            <w:proofErr w:type="spellEnd"/>
            <w:r>
              <w:t xml:space="preserve"> </w:t>
            </w:r>
            <w:proofErr w:type="spellStart"/>
            <w:r>
              <w:t>термин</w:t>
            </w:r>
            <w:proofErr w:type="spellEnd"/>
          </w:p>
        </w:tc>
      </w:tr>
      <w:tr w:rsidR="003F6150" w14:paraId="5B016493" w14:textId="77777777" w:rsidTr="003F6150">
        <w:tc>
          <w:tcPr>
            <w:tcW w:w="3192" w:type="dxa"/>
            <w:vMerge w:val="restart"/>
          </w:tcPr>
          <w:p w14:paraId="504A4092" w14:textId="7FFC09B2" w:rsidR="003F6150" w:rsidRDefault="003F6150" w:rsidP="003F6150">
            <w:proofErr w:type="spellStart"/>
            <w:r>
              <w:t>Нарушения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нервната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</w:p>
        </w:tc>
        <w:tc>
          <w:tcPr>
            <w:tcW w:w="3192" w:type="dxa"/>
            <w:vMerge w:val="restart"/>
          </w:tcPr>
          <w:p w14:paraId="4B9BEE84" w14:textId="030CEC1A" w:rsidR="003F6150" w:rsidRDefault="003F6150" w:rsidP="003F6150">
            <w:proofErr w:type="spellStart"/>
            <w:r>
              <w:t>Редки</w:t>
            </w:r>
            <w:proofErr w:type="spellEnd"/>
          </w:p>
        </w:tc>
        <w:tc>
          <w:tcPr>
            <w:tcW w:w="3192" w:type="dxa"/>
          </w:tcPr>
          <w:p w14:paraId="381A10C0" w14:textId="21CA4D6E" w:rsidR="003F6150" w:rsidRDefault="003F6150" w:rsidP="003F6150">
            <w:proofErr w:type="spellStart"/>
            <w:r>
              <w:t>Главоболие</w:t>
            </w:r>
            <w:proofErr w:type="spellEnd"/>
          </w:p>
        </w:tc>
      </w:tr>
      <w:tr w:rsidR="003F6150" w14:paraId="186A7EBC" w14:textId="77777777" w:rsidTr="003F6150">
        <w:tc>
          <w:tcPr>
            <w:tcW w:w="3192" w:type="dxa"/>
            <w:vMerge/>
          </w:tcPr>
          <w:p w14:paraId="5F7C3889" w14:textId="77777777" w:rsidR="003F6150" w:rsidRDefault="003F6150" w:rsidP="003F6150"/>
        </w:tc>
        <w:tc>
          <w:tcPr>
            <w:tcW w:w="3192" w:type="dxa"/>
            <w:vMerge/>
          </w:tcPr>
          <w:p w14:paraId="3B91D781" w14:textId="77777777" w:rsidR="003F6150" w:rsidRDefault="003F6150" w:rsidP="003F6150"/>
        </w:tc>
        <w:tc>
          <w:tcPr>
            <w:tcW w:w="3192" w:type="dxa"/>
          </w:tcPr>
          <w:p w14:paraId="650553BE" w14:textId="4D0BD36C" w:rsidR="003F6150" w:rsidRDefault="003F6150" w:rsidP="003F6150">
            <w:proofErr w:type="spellStart"/>
            <w:r>
              <w:t>Замайване</w:t>
            </w:r>
            <w:proofErr w:type="spellEnd"/>
          </w:p>
        </w:tc>
      </w:tr>
      <w:tr w:rsidR="003F6150" w14:paraId="7740661B" w14:textId="77777777" w:rsidTr="003F6150">
        <w:tc>
          <w:tcPr>
            <w:tcW w:w="3192" w:type="dxa"/>
            <w:vMerge/>
          </w:tcPr>
          <w:p w14:paraId="488CBC8D" w14:textId="77777777" w:rsidR="003F6150" w:rsidRDefault="003F6150" w:rsidP="003F6150"/>
        </w:tc>
        <w:tc>
          <w:tcPr>
            <w:tcW w:w="3192" w:type="dxa"/>
            <w:vMerge/>
          </w:tcPr>
          <w:p w14:paraId="5A2A4749" w14:textId="77777777" w:rsidR="003F6150" w:rsidRDefault="003F6150" w:rsidP="003F6150"/>
        </w:tc>
        <w:tc>
          <w:tcPr>
            <w:tcW w:w="3192" w:type="dxa"/>
          </w:tcPr>
          <w:p w14:paraId="22FDA219" w14:textId="59BAC175" w:rsidR="003F6150" w:rsidRDefault="003F6150" w:rsidP="003F6150">
            <w:proofErr w:type="spellStart"/>
            <w:r>
              <w:t>Неразположение</w:t>
            </w:r>
            <w:proofErr w:type="spellEnd"/>
          </w:p>
        </w:tc>
      </w:tr>
      <w:tr w:rsidR="003F6150" w14:paraId="5E888308" w14:textId="77777777" w:rsidTr="003F6150">
        <w:tc>
          <w:tcPr>
            <w:tcW w:w="3192" w:type="dxa"/>
            <w:vMerge w:val="restart"/>
          </w:tcPr>
          <w:p w14:paraId="7C9A0F84" w14:textId="5321CF5E" w:rsidR="003F6150" w:rsidRDefault="003F6150" w:rsidP="003F6150">
            <w:proofErr w:type="spellStart"/>
            <w:r>
              <w:t>Стомашно-чревни</w:t>
            </w:r>
            <w:proofErr w:type="spellEnd"/>
            <w:r>
              <w:t xml:space="preserve"> </w:t>
            </w:r>
            <w:proofErr w:type="spellStart"/>
            <w:r>
              <w:t>нарушения</w:t>
            </w:r>
            <w:proofErr w:type="spellEnd"/>
          </w:p>
        </w:tc>
        <w:tc>
          <w:tcPr>
            <w:tcW w:w="3192" w:type="dxa"/>
            <w:vMerge w:val="restart"/>
          </w:tcPr>
          <w:p w14:paraId="3D5248F1" w14:textId="531D3305" w:rsidR="003F6150" w:rsidRDefault="003F6150" w:rsidP="003F6150">
            <w:proofErr w:type="spellStart"/>
            <w:r>
              <w:t>Чести</w:t>
            </w:r>
            <w:proofErr w:type="spellEnd"/>
          </w:p>
        </w:tc>
        <w:tc>
          <w:tcPr>
            <w:tcW w:w="3192" w:type="dxa"/>
          </w:tcPr>
          <w:p w14:paraId="18C5277C" w14:textId="223B39E9" w:rsidR="003F6150" w:rsidRDefault="003F6150" w:rsidP="003F6150">
            <w:proofErr w:type="spellStart"/>
            <w:r>
              <w:t>Диария</w:t>
            </w:r>
            <w:proofErr w:type="spellEnd"/>
          </w:p>
        </w:tc>
      </w:tr>
      <w:tr w:rsidR="003F6150" w14:paraId="5403AE7A" w14:textId="77777777" w:rsidTr="003F6150">
        <w:tc>
          <w:tcPr>
            <w:tcW w:w="3192" w:type="dxa"/>
            <w:vMerge/>
          </w:tcPr>
          <w:p w14:paraId="3617B295" w14:textId="77777777" w:rsidR="003F6150" w:rsidRDefault="003F6150" w:rsidP="003F6150"/>
        </w:tc>
        <w:tc>
          <w:tcPr>
            <w:tcW w:w="3192" w:type="dxa"/>
            <w:vMerge/>
          </w:tcPr>
          <w:p w14:paraId="462ACE74" w14:textId="77777777" w:rsidR="003F6150" w:rsidRDefault="003F6150" w:rsidP="003F6150"/>
        </w:tc>
        <w:tc>
          <w:tcPr>
            <w:tcW w:w="3192" w:type="dxa"/>
          </w:tcPr>
          <w:p w14:paraId="733F0730" w14:textId="5529531F" w:rsidR="003F6150" w:rsidRDefault="003F6150" w:rsidP="003F6150">
            <w:proofErr w:type="spellStart"/>
            <w:r>
              <w:t>Диспепсия</w:t>
            </w:r>
            <w:proofErr w:type="spellEnd"/>
          </w:p>
        </w:tc>
      </w:tr>
      <w:tr w:rsidR="003F6150" w14:paraId="20A0EC42" w14:textId="77777777" w:rsidTr="003F6150">
        <w:tc>
          <w:tcPr>
            <w:tcW w:w="3192" w:type="dxa"/>
            <w:vMerge/>
          </w:tcPr>
          <w:p w14:paraId="2C4969D8" w14:textId="77777777" w:rsidR="003F6150" w:rsidRDefault="003F6150" w:rsidP="003F6150"/>
        </w:tc>
        <w:tc>
          <w:tcPr>
            <w:tcW w:w="3192" w:type="dxa"/>
            <w:vMerge/>
          </w:tcPr>
          <w:p w14:paraId="176E500C" w14:textId="77777777" w:rsidR="003F6150" w:rsidRDefault="003F6150" w:rsidP="003F6150"/>
        </w:tc>
        <w:tc>
          <w:tcPr>
            <w:tcW w:w="3192" w:type="dxa"/>
          </w:tcPr>
          <w:p w14:paraId="7E01A842" w14:textId="2D669DEF" w:rsidR="003F6150" w:rsidRDefault="003F6150" w:rsidP="003F6150">
            <w:proofErr w:type="spellStart"/>
            <w:r>
              <w:t>Гадене</w:t>
            </w:r>
            <w:proofErr w:type="spellEnd"/>
          </w:p>
        </w:tc>
      </w:tr>
      <w:tr w:rsidR="003F6150" w14:paraId="761C799E" w14:textId="77777777" w:rsidTr="003F6150">
        <w:tc>
          <w:tcPr>
            <w:tcW w:w="3192" w:type="dxa"/>
            <w:vMerge/>
          </w:tcPr>
          <w:p w14:paraId="58945241" w14:textId="77777777" w:rsidR="003F6150" w:rsidRDefault="003F6150" w:rsidP="003F6150"/>
        </w:tc>
        <w:tc>
          <w:tcPr>
            <w:tcW w:w="3192" w:type="dxa"/>
            <w:vMerge/>
          </w:tcPr>
          <w:p w14:paraId="4D245CE2" w14:textId="77777777" w:rsidR="003F6150" w:rsidRDefault="003F6150" w:rsidP="003F6150"/>
        </w:tc>
        <w:tc>
          <w:tcPr>
            <w:tcW w:w="3192" w:type="dxa"/>
          </w:tcPr>
          <w:p w14:paraId="070C18B5" w14:textId="54C5B336" w:rsidR="003F6150" w:rsidRDefault="003F6150" w:rsidP="003F6150">
            <w:proofErr w:type="spellStart"/>
            <w:r>
              <w:t>Повръщане</w:t>
            </w:r>
            <w:proofErr w:type="spellEnd"/>
          </w:p>
        </w:tc>
      </w:tr>
      <w:tr w:rsidR="003F6150" w14:paraId="6F276D31" w14:textId="77777777" w:rsidTr="003F6150">
        <w:tc>
          <w:tcPr>
            <w:tcW w:w="3192" w:type="dxa"/>
            <w:vMerge/>
          </w:tcPr>
          <w:p w14:paraId="3D72A67F" w14:textId="77777777" w:rsidR="003F6150" w:rsidRDefault="003F6150" w:rsidP="003F6150"/>
        </w:tc>
        <w:tc>
          <w:tcPr>
            <w:tcW w:w="3192" w:type="dxa"/>
          </w:tcPr>
          <w:p w14:paraId="726A38F7" w14:textId="3F791335" w:rsidR="003F6150" w:rsidRDefault="003F6150" w:rsidP="003F6150">
            <w:proofErr w:type="spellStart"/>
            <w:r>
              <w:t>Нечести</w:t>
            </w:r>
            <w:proofErr w:type="spellEnd"/>
          </w:p>
        </w:tc>
        <w:tc>
          <w:tcPr>
            <w:tcW w:w="3192" w:type="dxa"/>
          </w:tcPr>
          <w:p w14:paraId="70184BF8" w14:textId="22E2A402" w:rsidR="003F6150" w:rsidRDefault="003F6150" w:rsidP="003F6150">
            <w:proofErr w:type="spellStart"/>
            <w:r>
              <w:t>Колит</w:t>
            </w:r>
            <w:proofErr w:type="spellEnd"/>
          </w:p>
        </w:tc>
      </w:tr>
      <w:tr w:rsidR="003F6150" w14:paraId="749D5306" w14:textId="77777777" w:rsidTr="003F6150">
        <w:tc>
          <w:tcPr>
            <w:tcW w:w="3192" w:type="dxa"/>
            <w:vMerge/>
          </w:tcPr>
          <w:p w14:paraId="5694D3A1" w14:textId="77777777" w:rsidR="003F6150" w:rsidRDefault="003F6150" w:rsidP="003F6150"/>
        </w:tc>
        <w:tc>
          <w:tcPr>
            <w:tcW w:w="3192" w:type="dxa"/>
          </w:tcPr>
          <w:p w14:paraId="2687B7CF" w14:textId="6BBAACB4" w:rsidR="003F6150" w:rsidRDefault="003F6150" w:rsidP="003F6150">
            <w:r>
              <w:t xml:space="preserve">С </w:t>
            </w:r>
            <w:proofErr w:type="spellStart"/>
            <w:r>
              <w:t>неизвестна</w:t>
            </w:r>
            <w:proofErr w:type="spellEnd"/>
            <w:r>
              <w:t xml:space="preserve"> </w:t>
            </w:r>
            <w:proofErr w:type="spellStart"/>
            <w:r>
              <w:t>честота</w:t>
            </w:r>
            <w:proofErr w:type="spellEnd"/>
            <w:r>
              <w:t>*</w:t>
            </w:r>
          </w:p>
        </w:tc>
        <w:tc>
          <w:tcPr>
            <w:tcW w:w="3192" w:type="dxa"/>
          </w:tcPr>
          <w:p w14:paraId="3FA33E64" w14:textId="73805645" w:rsidR="003F6150" w:rsidRDefault="003F6150" w:rsidP="003F6150">
            <w:proofErr w:type="spellStart"/>
            <w:r>
              <w:t>Болка</w:t>
            </w:r>
            <w:proofErr w:type="spellEnd"/>
            <w:r>
              <w:t xml:space="preserve"> в </w:t>
            </w:r>
            <w:proofErr w:type="spellStart"/>
            <w:r>
              <w:t>корема</w:t>
            </w:r>
            <w:proofErr w:type="spellEnd"/>
          </w:p>
        </w:tc>
      </w:tr>
      <w:tr w:rsidR="003F6150" w14:paraId="1F1B37CA" w14:textId="77777777" w:rsidTr="003F6150">
        <w:tc>
          <w:tcPr>
            <w:tcW w:w="3192" w:type="dxa"/>
            <w:vMerge w:val="restart"/>
          </w:tcPr>
          <w:p w14:paraId="5286FF12" w14:textId="2FC68383" w:rsidR="003F6150" w:rsidRDefault="003F6150" w:rsidP="003F6150">
            <w:proofErr w:type="spellStart"/>
            <w:r>
              <w:t>Нарушения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кожата</w:t>
            </w:r>
            <w:proofErr w:type="spellEnd"/>
            <w:r>
              <w:t xml:space="preserve"> и </w:t>
            </w:r>
            <w:proofErr w:type="spellStart"/>
            <w:r>
              <w:t>подкожната</w:t>
            </w:r>
            <w:proofErr w:type="spellEnd"/>
            <w:r>
              <w:t xml:space="preserve"> </w:t>
            </w:r>
            <w:proofErr w:type="spellStart"/>
            <w:r>
              <w:t>тъкан</w:t>
            </w:r>
            <w:proofErr w:type="spellEnd"/>
          </w:p>
        </w:tc>
        <w:tc>
          <w:tcPr>
            <w:tcW w:w="3192" w:type="dxa"/>
            <w:vMerge w:val="restart"/>
          </w:tcPr>
          <w:p w14:paraId="1FF432FA" w14:textId="6DB016EC" w:rsidR="003F6150" w:rsidRDefault="003F6150" w:rsidP="003F6150">
            <w:proofErr w:type="spellStart"/>
            <w:r>
              <w:t>Редки</w:t>
            </w:r>
            <w:proofErr w:type="spellEnd"/>
          </w:p>
        </w:tc>
        <w:tc>
          <w:tcPr>
            <w:tcW w:w="3192" w:type="dxa"/>
          </w:tcPr>
          <w:p w14:paraId="765467B3" w14:textId="176C4FE0" w:rsidR="003F6150" w:rsidRDefault="003F6150" w:rsidP="003F6150">
            <w:proofErr w:type="spellStart"/>
            <w:r>
              <w:t>Обрив</w:t>
            </w:r>
            <w:proofErr w:type="spellEnd"/>
          </w:p>
        </w:tc>
      </w:tr>
      <w:tr w:rsidR="003F6150" w14:paraId="31BFD056" w14:textId="77777777" w:rsidTr="003F6150">
        <w:tc>
          <w:tcPr>
            <w:tcW w:w="3192" w:type="dxa"/>
            <w:vMerge/>
          </w:tcPr>
          <w:p w14:paraId="7237FA4D" w14:textId="77777777" w:rsidR="003F6150" w:rsidRDefault="003F6150" w:rsidP="003F6150"/>
        </w:tc>
        <w:tc>
          <w:tcPr>
            <w:tcW w:w="3192" w:type="dxa"/>
            <w:vMerge/>
          </w:tcPr>
          <w:p w14:paraId="688A4578" w14:textId="77777777" w:rsidR="003F6150" w:rsidRDefault="003F6150" w:rsidP="003F6150"/>
        </w:tc>
        <w:tc>
          <w:tcPr>
            <w:tcW w:w="3192" w:type="dxa"/>
          </w:tcPr>
          <w:p w14:paraId="1B980335" w14:textId="31410CD5" w:rsidR="003F6150" w:rsidRDefault="003F6150" w:rsidP="003F6150">
            <w:proofErr w:type="spellStart"/>
            <w:r>
              <w:t>Пруритус</w:t>
            </w:r>
            <w:proofErr w:type="spellEnd"/>
          </w:p>
        </w:tc>
      </w:tr>
      <w:tr w:rsidR="003F6150" w14:paraId="5E0C29D7" w14:textId="77777777" w:rsidTr="003F6150">
        <w:tc>
          <w:tcPr>
            <w:tcW w:w="3192" w:type="dxa"/>
            <w:vMerge/>
          </w:tcPr>
          <w:p w14:paraId="26A8430B" w14:textId="77777777" w:rsidR="003F6150" w:rsidRDefault="003F6150" w:rsidP="003F6150"/>
        </w:tc>
        <w:tc>
          <w:tcPr>
            <w:tcW w:w="3192" w:type="dxa"/>
            <w:vMerge/>
          </w:tcPr>
          <w:p w14:paraId="2020C1A2" w14:textId="77777777" w:rsidR="003F6150" w:rsidRDefault="003F6150" w:rsidP="003F6150"/>
        </w:tc>
        <w:tc>
          <w:tcPr>
            <w:tcW w:w="3192" w:type="dxa"/>
          </w:tcPr>
          <w:p w14:paraId="23B12604" w14:textId="279613A8" w:rsidR="003F6150" w:rsidRDefault="003F6150" w:rsidP="003F6150">
            <w:proofErr w:type="spellStart"/>
            <w:r>
              <w:t>Уртикария</w:t>
            </w:r>
            <w:proofErr w:type="spellEnd"/>
          </w:p>
        </w:tc>
      </w:tr>
      <w:tr w:rsidR="003F6150" w14:paraId="12D37770" w14:textId="77777777" w:rsidTr="003F6150">
        <w:tc>
          <w:tcPr>
            <w:tcW w:w="3192" w:type="dxa"/>
            <w:vMerge/>
          </w:tcPr>
          <w:p w14:paraId="13ADF466" w14:textId="77777777" w:rsidR="003F6150" w:rsidRDefault="003F6150" w:rsidP="003F6150"/>
        </w:tc>
        <w:tc>
          <w:tcPr>
            <w:tcW w:w="3192" w:type="dxa"/>
          </w:tcPr>
          <w:p w14:paraId="1385B7FC" w14:textId="437CEA6C" w:rsidR="003F6150" w:rsidRDefault="003F6150" w:rsidP="003F6150">
            <w:r>
              <w:t xml:space="preserve">С </w:t>
            </w:r>
            <w:proofErr w:type="spellStart"/>
            <w:r>
              <w:t>неизвестна</w:t>
            </w:r>
            <w:proofErr w:type="spellEnd"/>
            <w:r>
              <w:t xml:space="preserve"> </w:t>
            </w:r>
            <w:proofErr w:type="spellStart"/>
            <w:r>
              <w:t>честота</w:t>
            </w:r>
            <w:proofErr w:type="spellEnd"/>
            <w:r>
              <w:t>*</w:t>
            </w:r>
          </w:p>
        </w:tc>
        <w:tc>
          <w:tcPr>
            <w:tcW w:w="3192" w:type="dxa"/>
          </w:tcPr>
          <w:p w14:paraId="0BF00A9A" w14:textId="2A3A1BA2" w:rsidR="003F6150" w:rsidRDefault="003F6150" w:rsidP="003F6150">
            <w:proofErr w:type="spellStart"/>
            <w:r>
              <w:t>Изолирани</w:t>
            </w:r>
            <w:proofErr w:type="spellEnd"/>
            <w:r>
              <w:t xml:space="preserve"> </w:t>
            </w:r>
            <w:proofErr w:type="spellStart"/>
            <w:r>
              <w:t>случаи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оток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лицето</w:t>
            </w:r>
            <w:proofErr w:type="spellEnd"/>
            <w:r>
              <w:t xml:space="preserve">, </w:t>
            </w:r>
            <w:proofErr w:type="spellStart"/>
            <w:r>
              <w:t>устните</w:t>
            </w:r>
            <w:proofErr w:type="spellEnd"/>
            <w:r>
              <w:t xml:space="preserve"> и </w:t>
            </w:r>
            <w:proofErr w:type="spellStart"/>
            <w:r>
              <w:t>клепачите</w:t>
            </w:r>
            <w:proofErr w:type="spellEnd"/>
            <w:r>
              <w:t xml:space="preserve">. В </w:t>
            </w:r>
            <w:proofErr w:type="spellStart"/>
            <w:r>
              <w:t>изключително</w:t>
            </w:r>
            <w:proofErr w:type="spellEnd"/>
            <w:r>
              <w:t xml:space="preserve"> </w:t>
            </w:r>
            <w:proofErr w:type="spellStart"/>
            <w:r>
              <w:t>редки</w:t>
            </w:r>
            <w:proofErr w:type="spellEnd"/>
            <w:r>
              <w:t xml:space="preserve"> </w:t>
            </w:r>
            <w:proofErr w:type="spellStart"/>
            <w:r>
              <w:t>случаи</w:t>
            </w:r>
            <w:proofErr w:type="spellEnd"/>
            <w:r>
              <w:t xml:space="preserve"> </w:t>
            </w:r>
            <w:proofErr w:type="spellStart"/>
            <w:r>
              <w:t>оток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Quincke</w:t>
            </w:r>
          </w:p>
        </w:tc>
      </w:tr>
    </w:tbl>
    <w:p w14:paraId="383D9822" w14:textId="0A4930F6" w:rsidR="003F6150" w:rsidRDefault="003F6150" w:rsidP="003F6150">
      <w:r>
        <w:rPr>
          <w:lang w:val="bg-BG"/>
        </w:rPr>
        <w:t>*</w:t>
      </w:r>
      <w:proofErr w:type="spellStart"/>
      <w:r>
        <w:t>Постмаркетингов</w:t>
      </w:r>
      <w:proofErr w:type="spellEnd"/>
      <w:r>
        <w:t xml:space="preserve"> </w:t>
      </w:r>
      <w:proofErr w:type="spellStart"/>
      <w:r>
        <w:t>опит</w:t>
      </w:r>
      <w:proofErr w:type="spellEnd"/>
    </w:p>
    <w:p w14:paraId="34E7F60E" w14:textId="41D742C4" w:rsidR="003F6150" w:rsidRDefault="003F6150" w:rsidP="003F6150"/>
    <w:p w14:paraId="5DA55D99" w14:textId="77777777" w:rsidR="003F6150" w:rsidRPr="003F6150" w:rsidRDefault="003F6150" w:rsidP="003F6150">
      <w:pPr>
        <w:pStyle w:val="Heading3"/>
        <w:rPr>
          <w:rFonts w:eastAsia="Times New Roman"/>
          <w:b/>
          <w:bCs/>
          <w:u w:val="single"/>
          <w:lang w:val="bg-BG"/>
        </w:rPr>
      </w:pPr>
      <w:bookmarkStart w:id="1" w:name="bookmark0"/>
      <w:r w:rsidRPr="003F6150">
        <w:rPr>
          <w:rFonts w:eastAsia="Times New Roman"/>
          <w:b/>
          <w:bCs/>
          <w:u w:val="single"/>
          <w:lang w:val="bg-BG" w:eastAsia="bg-BG"/>
        </w:rPr>
        <w:t xml:space="preserve">Съобщаване на подозирани нежелани </w:t>
      </w:r>
      <w:proofErr w:type="spellStart"/>
      <w:r w:rsidRPr="003F6150">
        <w:rPr>
          <w:rFonts w:eastAsia="Times New Roman"/>
          <w:b/>
          <w:bCs/>
          <w:u w:val="single"/>
          <w:lang w:val="bg-BG" w:eastAsia="bg-BG"/>
        </w:rPr>
        <w:t>реакии</w:t>
      </w:r>
      <w:bookmarkEnd w:id="1"/>
      <w:proofErr w:type="spellEnd"/>
    </w:p>
    <w:p w14:paraId="2C049ECF" w14:textId="77777777" w:rsidR="003F6150" w:rsidRPr="003F6150" w:rsidRDefault="003F6150" w:rsidP="003F6150">
      <w:pPr>
        <w:rPr>
          <w:sz w:val="24"/>
          <w:szCs w:val="24"/>
          <w:lang w:val="bg-BG"/>
        </w:rPr>
      </w:pPr>
      <w:r w:rsidRPr="003F6150">
        <w:rPr>
          <w:lang w:val="bg-BG"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национална система за съобщаване, посочена в:</w:t>
      </w:r>
    </w:p>
    <w:p w14:paraId="15ADB7E9" w14:textId="77777777" w:rsidR="003F6150" w:rsidRDefault="003F6150" w:rsidP="003F6150">
      <w:pPr>
        <w:rPr>
          <w:lang w:val="bg-BG" w:eastAsia="bg-BG"/>
        </w:rPr>
      </w:pPr>
      <w:bookmarkStart w:id="2" w:name="bookmark2"/>
    </w:p>
    <w:p w14:paraId="484D3813" w14:textId="0319F3E1" w:rsidR="003F6150" w:rsidRPr="003F6150" w:rsidRDefault="003F6150" w:rsidP="003F6150">
      <w:pPr>
        <w:rPr>
          <w:sz w:val="24"/>
          <w:szCs w:val="24"/>
          <w:lang w:val="bg-BG"/>
        </w:rPr>
      </w:pPr>
      <w:r w:rsidRPr="003F6150">
        <w:rPr>
          <w:lang w:val="bg-BG" w:eastAsia="bg-BG"/>
        </w:rPr>
        <w:t>България</w:t>
      </w:r>
      <w:bookmarkEnd w:id="2"/>
    </w:p>
    <w:p w14:paraId="556D18AD" w14:textId="77777777" w:rsidR="003F6150" w:rsidRPr="003F6150" w:rsidRDefault="003F6150" w:rsidP="003F6150">
      <w:pPr>
        <w:rPr>
          <w:sz w:val="24"/>
          <w:szCs w:val="24"/>
          <w:lang w:val="bg-BG"/>
        </w:rPr>
      </w:pPr>
      <w:r w:rsidRPr="003F6150">
        <w:rPr>
          <w:lang w:val="bg-BG" w:eastAsia="bg-BG"/>
        </w:rPr>
        <w:lastRenderedPageBreak/>
        <w:t>Изпълнителна агенция по лекарствата (ИАЛ)</w:t>
      </w:r>
    </w:p>
    <w:p w14:paraId="555894A4" w14:textId="77777777" w:rsidR="003F6150" w:rsidRPr="003F6150" w:rsidRDefault="003F6150" w:rsidP="003F6150">
      <w:pPr>
        <w:rPr>
          <w:sz w:val="24"/>
          <w:szCs w:val="24"/>
          <w:lang w:val="bg-BG"/>
        </w:rPr>
      </w:pPr>
      <w:proofErr w:type="spellStart"/>
      <w:r w:rsidRPr="003F6150">
        <w:rPr>
          <w:lang w:val="bg-BG" w:eastAsia="bg-BG"/>
        </w:rPr>
        <w:t>Ул.,Дамян</w:t>
      </w:r>
      <w:proofErr w:type="spellEnd"/>
      <w:r w:rsidRPr="003F6150">
        <w:rPr>
          <w:lang w:val="bg-BG" w:eastAsia="bg-BG"/>
        </w:rPr>
        <w:t xml:space="preserve"> Груев“ № 8</w:t>
      </w:r>
    </w:p>
    <w:p w14:paraId="424B31B8" w14:textId="77777777" w:rsidR="003F6150" w:rsidRPr="003F6150" w:rsidRDefault="003F6150" w:rsidP="003F6150">
      <w:pPr>
        <w:rPr>
          <w:sz w:val="24"/>
          <w:szCs w:val="24"/>
          <w:lang w:val="bg-BG"/>
        </w:rPr>
      </w:pPr>
      <w:r w:rsidRPr="003F6150">
        <w:rPr>
          <w:lang w:val="bg-BG" w:eastAsia="bg-BG"/>
        </w:rPr>
        <w:t>1303, гр. София</w:t>
      </w:r>
    </w:p>
    <w:p w14:paraId="59BF2706" w14:textId="77777777" w:rsidR="003F6150" w:rsidRPr="003F6150" w:rsidRDefault="003F6150" w:rsidP="003F6150">
      <w:pPr>
        <w:rPr>
          <w:sz w:val="24"/>
          <w:szCs w:val="24"/>
          <w:lang w:val="bg-BG"/>
        </w:rPr>
      </w:pPr>
      <w:r w:rsidRPr="003F6150">
        <w:rPr>
          <w:lang w:val="bg-BG" w:eastAsia="bg-BG"/>
        </w:rPr>
        <w:t>Тел.:+359 2 8903 417</w:t>
      </w:r>
    </w:p>
    <w:p w14:paraId="15490073" w14:textId="77777777" w:rsidR="003F6150" w:rsidRPr="003F6150" w:rsidRDefault="003F6150" w:rsidP="003F6150">
      <w:pPr>
        <w:rPr>
          <w:sz w:val="24"/>
          <w:szCs w:val="24"/>
          <w:lang w:val="bg-BG"/>
        </w:rPr>
      </w:pPr>
      <w:r w:rsidRPr="003F6150">
        <w:rPr>
          <w:lang w:val="bg-BG" w:eastAsia="bg-BG"/>
        </w:rPr>
        <w:t xml:space="preserve">уебсайт: </w:t>
      </w:r>
      <w:hyperlink r:id="rId5" w:history="1">
        <w:r w:rsidRPr="003F6150">
          <w:t>www.bda.bg</w:t>
        </w:r>
      </w:hyperlink>
    </w:p>
    <w:p w14:paraId="7A291E35" w14:textId="77777777" w:rsidR="003F6150" w:rsidRPr="003F6150" w:rsidRDefault="003F6150" w:rsidP="003F6150"/>
    <w:p w14:paraId="611C622D" w14:textId="44752FD3" w:rsidR="002C50EE" w:rsidRDefault="002C50EE" w:rsidP="002C50EE">
      <w:pPr>
        <w:pStyle w:val="Heading2"/>
      </w:pPr>
      <w:r>
        <w:t xml:space="preserve">4.9. </w:t>
      </w:r>
      <w:proofErr w:type="spellStart"/>
      <w:r>
        <w:t>Предозиране</w:t>
      </w:r>
      <w:proofErr w:type="spellEnd"/>
    </w:p>
    <w:p w14:paraId="5EB89BC0" w14:textId="4A27CC8B" w:rsidR="003F6150" w:rsidRPr="003F6150" w:rsidRDefault="003F6150" w:rsidP="003F6150">
      <w:proofErr w:type="spellStart"/>
      <w:r>
        <w:t>Няма</w:t>
      </w:r>
      <w:proofErr w:type="spellEnd"/>
      <w:r>
        <w:t xml:space="preserve"> </w:t>
      </w:r>
      <w:proofErr w:type="spellStart"/>
      <w:r>
        <w:t>съобщени</w:t>
      </w:r>
      <w:proofErr w:type="spellEnd"/>
      <w:r>
        <w:t xml:space="preserve"> </w:t>
      </w:r>
      <w:proofErr w:type="spellStart"/>
      <w:r>
        <w:t>случаи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предозиране</w:t>
      </w:r>
      <w:proofErr w:type="spellEnd"/>
      <w:r>
        <w:t xml:space="preserve"> с ДЕТРАЛЕКС.</w:t>
      </w:r>
    </w:p>
    <w:p w14:paraId="18EF4AFE" w14:textId="77777777" w:rsidR="002C50EE" w:rsidRDefault="002C50EE" w:rsidP="002C50EE">
      <w:pPr>
        <w:pStyle w:val="Heading1"/>
      </w:pPr>
      <w:r>
        <w:t>5. ФАРМАКОЛОГИЧНИ СВОЙСТВА</w:t>
      </w:r>
    </w:p>
    <w:p w14:paraId="2F1CA24E" w14:textId="73DEDF89" w:rsidR="002C50EE" w:rsidRDefault="002C50EE" w:rsidP="002C50EE">
      <w:pPr>
        <w:pStyle w:val="Heading2"/>
      </w:pPr>
      <w:r>
        <w:t xml:space="preserve">5.1. </w:t>
      </w:r>
      <w:proofErr w:type="spellStart"/>
      <w:r>
        <w:t>Фармакодинамични</w:t>
      </w:r>
      <w:proofErr w:type="spellEnd"/>
      <w:r>
        <w:t xml:space="preserve"> </w:t>
      </w:r>
      <w:proofErr w:type="spellStart"/>
      <w:r>
        <w:t>свойства</w:t>
      </w:r>
      <w:proofErr w:type="spellEnd"/>
    </w:p>
    <w:p w14:paraId="746B4D64" w14:textId="77777777" w:rsidR="003F6150" w:rsidRDefault="003F6150" w:rsidP="003F6150">
      <w:pPr>
        <w:spacing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  <w:lang w:val="bg-BG" w:eastAsia="bg-BG"/>
        </w:rPr>
      </w:pPr>
    </w:p>
    <w:p w14:paraId="75A43595" w14:textId="67B3B673" w:rsidR="003F6150" w:rsidRPr="003F6150" w:rsidRDefault="003F6150" w:rsidP="003F6150">
      <w:pPr>
        <w:rPr>
          <w:sz w:val="24"/>
          <w:szCs w:val="24"/>
          <w:lang w:val="bg-BG"/>
        </w:rPr>
      </w:pPr>
      <w:proofErr w:type="spellStart"/>
      <w:r w:rsidRPr="003F6150">
        <w:rPr>
          <w:lang w:val="bg-BG" w:eastAsia="bg-BG"/>
        </w:rPr>
        <w:t>Фармакотерапевтична</w:t>
      </w:r>
      <w:proofErr w:type="spellEnd"/>
      <w:r w:rsidRPr="003F6150">
        <w:rPr>
          <w:lang w:val="bg-BG" w:eastAsia="bg-BG"/>
        </w:rPr>
        <w:t xml:space="preserve"> група: </w:t>
      </w:r>
      <w:proofErr w:type="spellStart"/>
      <w:r w:rsidRPr="003F6150">
        <w:rPr>
          <w:lang w:val="bg-BG" w:eastAsia="bg-BG"/>
        </w:rPr>
        <w:t>Вазопротективен</w:t>
      </w:r>
      <w:proofErr w:type="spellEnd"/>
      <w:r w:rsidRPr="003F6150">
        <w:rPr>
          <w:lang w:val="bg-BG" w:eastAsia="bg-BG"/>
        </w:rPr>
        <w:t xml:space="preserve">, </w:t>
      </w:r>
      <w:proofErr w:type="spellStart"/>
      <w:r w:rsidRPr="003F6150">
        <w:rPr>
          <w:lang w:val="bg-BG" w:eastAsia="bg-BG"/>
        </w:rPr>
        <w:t>капиляростабилизиращ</w:t>
      </w:r>
      <w:proofErr w:type="spellEnd"/>
      <w:r w:rsidRPr="003F6150">
        <w:rPr>
          <w:lang w:val="bg-BG" w:eastAsia="bg-BG"/>
        </w:rPr>
        <w:t xml:space="preserve"> агент. </w:t>
      </w:r>
      <w:r w:rsidRPr="003F6150">
        <w:t xml:space="preserve">ATC: </w:t>
      </w:r>
      <w:r w:rsidRPr="003F6150">
        <w:rPr>
          <w:lang w:val="bg-BG" w:eastAsia="bg-BG"/>
        </w:rPr>
        <w:t>С05СА 53</w:t>
      </w:r>
    </w:p>
    <w:p w14:paraId="250C3F68" w14:textId="77777777" w:rsidR="003F6150" w:rsidRDefault="003F6150" w:rsidP="003F6150">
      <w:pPr>
        <w:rPr>
          <w:u w:val="single"/>
          <w:lang w:val="bg-BG" w:eastAsia="bg-BG"/>
        </w:rPr>
      </w:pPr>
    </w:p>
    <w:p w14:paraId="37A87929" w14:textId="3E64332E" w:rsidR="003F6150" w:rsidRPr="003F6150" w:rsidRDefault="003F6150" w:rsidP="003F6150">
      <w:pPr>
        <w:rPr>
          <w:sz w:val="24"/>
          <w:szCs w:val="24"/>
          <w:lang w:val="bg-BG"/>
        </w:rPr>
      </w:pPr>
      <w:r w:rsidRPr="003F6150">
        <w:rPr>
          <w:u w:val="single"/>
          <w:lang w:val="bg-BG" w:eastAsia="bg-BG"/>
        </w:rPr>
        <w:t>Механизъм на действие:</w:t>
      </w:r>
    </w:p>
    <w:p w14:paraId="553CE040" w14:textId="5423D659" w:rsidR="003F6150" w:rsidRPr="003F6150" w:rsidRDefault="003F6150" w:rsidP="003F6150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3F6150">
        <w:rPr>
          <w:lang w:val="bg-BG" w:eastAsia="bg-BG"/>
        </w:rPr>
        <w:t>на ниво венозни съдове намалява склонността на вените към разширяване и венозния застой.</w:t>
      </w:r>
    </w:p>
    <w:p w14:paraId="1B73E699" w14:textId="6410CD50" w:rsidR="003F6150" w:rsidRPr="003F6150" w:rsidRDefault="003F6150" w:rsidP="003F6150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3F6150">
        <w:rPr>
          <w:lang w:val="bg-BG" w:eastAsia="bg-BG"/>
        </w:rPr>
        <w:t xml:space="preserve">на ниво микроциркулация намалява капилярния </w:t>
      </w:r>
      <w:proofErr w:type="spellStart"/>
      <w:r w:rsidRPr="003F6150">
        <w:rPr>
          <w:lang w:val="bg-BG" w:eastAsia="bg-BG"/>
        </w:rPr>
        <w:t>пермеабилитет</w:t>
      </w:r>
      <w:proofErr w:type="spellEnd"/>
      <w:r w:rsidRPr="003F6150">
        <w:rPr>
          <w:lang w:val="bg-BG" w:eastAsia="bg-BG"/>
        </w:rPr>
        <w:t xml:space="preserve"> и повишава резистентността на капилярите.</w:t>
      </w:r>
    </w:p>
    <w:p w14:paraId="06860EBB" w14:textId="77777777" w:rsidR="003F6150" w:rsidRDefault="003F6150" w:rsidP="003F6150">
      <w:pPr>
        <w:rPr>
          <w:u w:val="single"/>
          <w:lang w:val="bg-BG" w:eastAsia="bg-BG"/>
        </w:rPr>
      </w:pPr>
    </w:p>
    <w:p w14:paraId="48622BE9" w14:textId="4E75568C" w:rsidR="003F6150" w:rsidRPr="003F6150" w:rsidRDefault="003F6150" w:rsidP="003F6150">
      <w:pPr>
        <w:rPr>
          <w:u w:val="single"/>
          <w:lang w:val="bg-BG" w:eastAsia="bg-BG"/>
        </w:rPr>
      </w:pPr>
      <w:proofErr w:type="spellStart"/>
      <w:r w:rsidRPr="003F6150">
        <w:rPr>
          <w:u w:val="single"/>
          <w:lang w:val="bg-BG" w:eastAsia="bg-BG"/>
        </w:rPr>
        <w:t>Фармакодинамични</w:t>
      </w:r>
      <w:proofErr w:type="spellEnd"/>
      <w:r w:rsidRPr="003F6150">
        <w:rPr>
          <w:u w:val="single"/>
          <w:lang w:val="bg-BG" w:eastAsia="bg-BG"/>
        </w:rPr>
        <w:t xml:space="preserve"> ефекти:</w:t>
      </w:r>
    </w:p>
    <w:p w14:paraId="4A68E1EF" w14:textId="77777777" w:rsidR="003F6150" w:rsidRPr="003F6150" w:rsidRDefault="003F6150" w:rsidP="003F6150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3F6150">
        <w:rPr>
          <w:lang w:val="bg-BG" w:eastAsia="bg-BG"/>
        </w:rPr>
        <w:t>фармакологичната активност на този препарат при хора е потвърдена при контролирани двойно-слепи клинични проучвания и при използването на обективни и количествени методи за</w:t>
      </w:r>
      <w:r w:rsidRPr="003F6150">
        <w:rPr>
          <w:u w:val="single"/>
          <w:lang w:val="bg-BG" w:eastAsia="bg-BG"/>
        </w:rPr>
        <w:t xml:space="preserve"> </w:t>
      </w:r>
      <w:r w:rsidRPr="003F6150">
        <w:rPr>
          <w:lang w:val="bg-BG" w:eastAsia="bg-BG"/>
        </w:rPr>
        <w:t>изследване влиянието на неговата активна субстанция върху венозната хемодинамика.</w:t>
      </w:r>
    </w:p>
    <w:p w14:paraId="48329251" w14:textId="34B06DA9" w:rsidR="003F6150" w:rsidRPr="003F6150" w:rsidRDefault="003F6150" w:rsidP="003F6150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3F6150">
        <w:rPr>
          <w:lang w:val="bg-BG" w:eastAsia="bg-BG"/>
        </w:rPr>
        <w:t>зависимост доза-ефект:</w:t>
      </w:r>
    </w:p>
    <w:p w14:paraId="6F6BAC15" w14:textId="26ED0592" w:rsidR="003F6150" w:rsidRDefault="003F6150" w:rsidP="003F6150">
      <w:pPr>
        <w:rPr>
          <w:sz w:val="24"/>
          <w:szCs w:val="24"/>
          <w:lang w:val="bg-BG"/>
        </w:rPr>
      </w:pPr>
    </w:p>
    <w:p w14:paraId="608B8052" w14:textId="122AC1E6" w:rsidR="003F6150" w:rsidRPr="003F6150" w:rsidRDefault="003F6150" w:rsidP="003F6150">
      <w:pPr>
        <w:rPr>
          <w:sz w:val="24"/>
          <w:szCs w:val="24"/>
          <w:lang w:val="bg-BG"/>
        </w:rPr>
      </w:pPr>
      <w:r>
        <w:rPr>
          <w:lang w:val="bg-BG" w:eastAsia="bg-BG"/>
        </w:rPr>
        <w:t>З</w:t>
      </w:r>
      <w:r w:rsidRPr="003F6150">
        <w:rPr>
          <w:lang w:val="bg-BG" w:eastAsia="bg-BG"/>
        </w:rPr>
        <w:t xml:space="preserve">а следните венозни </w:t>
      </w:r>
      <w:proofErr w:type="spellStart"/>
      <w:r w:rsidRPr="003F6150">
        <w:rPr>
          <w:lang w:val="bg-BG" w:eastAsia="bg-BG"/>
        </w:rPr>
        <w:t>плетизмографични</w:t>
      </w:r>
      <w:proofErr w:type="spellEnd"/>
      <w:r w:rsidRPr="003F6150">
        <w:rPr>
          <w:lang w:val="bg-BG" w:eastAsia="bg-BG"/>
        </w:rPr>
        <w:t xml:space="preserve"> параметри е установена статистически значима доза-ефект зависимост: венозен капацитет, разширяване на вените и време на изпразване на вените. Най-добро съотношение доза-ефект е установено след прилагане на 2 таблетки дневно.</w:t>
      </w:r>
    </w:p>
    <w:p w14:paraId="62C6A75F" w14:textId="1452E090" w:rsidR="003F6150" w:rsidRPr="003F6150" w:rsidRDefault="003F6150" w:rsidP="003F6150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proofErr w:type="spellStart"/>
      <w:r w:rsidRPr="003F6150">
        <w:rPr>
          <w:lang w:val="bg-BG" w:eastAsia="bg-BG"/>
        </w:rPr>
        <w:t>венотонична</w:t>
      </w:r>
      <w:proofErr w:type="spellEnd"/>
      <w:r w:rsidRPr="003F6150">
        <w:rPr>
          <w:lang w:val="bg-BG" w:eastAsia="bg-BG"/>
        </w:rPr>
        <w:t xml:space="preserve"> активност:</w:t>
      </w:r>
    </w:p>
    <w:p w14:paraId="7A0FE2B1" w14:textId="77777777" w:rsidR="003F6150" w:rsidRPr="003F6150" w:rsidRDefault="003F6150" w:rsidP="003F6150">
      <w:pPr>
        <w:rPr>
          <w:sz w:val="24"/>
          <w:szCs w:val="24"/>
          <w:lang w:val="bg-BG"/>
        </w:rPr>
      </w:pPr>
      <w:r w:rsidRPr="003F6150">
        <w:rPr>
          <w:lang w:val="bg-BG" w:eastAsia="bg-BG"/>
        </w:rPr>
        <w:t xml:space="preserve">Препаратът повишава венозния тонус: венозната </w:t>
      </w:r>
      <w:proofErr w:type="spellStart"/>
      <w:r w:rsidRPr="003F6150">
        <w:rPr>
          <w:lang w:val="bg-BG" w:eastAsia="bg-BG"/>
        </w:rPr>
        <w:t>оклузионна</w:t>
      </w:r>
      <w:proofErr w:type="spellEnd"/>
      <w:r w:rsidRPr="003F6150">
        <w:rPr>
          <w:lang w:val="bg-BG" w:eastAsia="bg-BG"/>
        </w:rPr>
        <w:t xml:space="preserve"> живачна </w:t>
      </w:r>
      <w:proofErr w:type="spellStart"/>
      <w:r w:rsidRPr="003F6150">
        <w:rPr>
          <w:lang w:val="bg-BG" w:eastAsia="bg-BG"/>
        </w:rPr>
        <w:t>плетизмография</w:t>
      </w:r>
      <w:proofErr w:type="spellEnd"/>
      <w:r w:rsidRPr="003F6150">
        <w:rPr>
          <w:lang w:val="bg-BG" w:eastAsia="bg-BG"/>
        </w:rPr>
        <w:t xml:space="preserve"> показва скъсяване на времето на изпразване на вените.</w:t>
      </w:r>
    </w:p>
    <w:p w14:paraId="42272560" w14:textId="77777777" w:rsidR="003F6150" w:rsidRDefault="003F6150" w:rsidP="003F6150">
      <w:pPr>
        <w:rPr>
          <w:lang w:val="bg-BG" w:eastAsia="bg-BG"/>
        </w:rPr>
      </w:pPr>
    </w:p>
    <w:p w14:paraId="4E7891D1" w14:textId="39AEF305" w:rsidR="003F6150" w:rsidRPr="003F6150" w:rsidRDefault="003F6150" w:rsidP="003F6150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3F6150">
        <w:rPr>
          <w:lang w:val="bg-BG" w:eastAsia="bg-BG"/>
        </w:rPr>
        <w:t>действие върху микроциркулацията:</w:t>
      </w:r>
    </w:p>
    <w:p w14:paraId="027EDFF6" w14:textId="77777777" w:rsidR="003F6150" w:rsidRPr="003F6150" w:rsidRDefault="003F6150" w:rsidP="003F6150">
      <w:pPr>
        <w:rPr>
          <w:sz w:val="24"/>
          <w:szCs w:val="24"/>
          <w:lang w:val="bg-BG"/>
        </w:rPr>
      </w:pPr>
      <w:r w:rsidRPr="003F6150">
        <w:rPr>
          <w:lang w:val="bg-BG" w:eastAsia="bg-BG"/>
        </w:rPr>
        <w:t xml:space="preserve">Контролирани двойно-слепи изследвания показват статистически значима разлика между </w:t>
      </w:r>
      <w:proofErr w:type="spellStart"/>
      <w:r w:rsidRPr="003F6150">
        <w:rPr>
          <w:lang w:val="bg-BG" w:eastAsia="bg-BG"/>
        </w:rPr>
        <w:t>Детралекс</w:t>
      </w:r>
      <w:proofErr w:type="spellEnd"/>
      <w:r w:rsidRPr="003F6150">
        <w:rPr>
          <w:lang w:val="bg-BG" w:eastAsia="bg-BG"/>
        </w:rPr>
        <w:t xml:space="preserve"> и плацебо. При пациенти с данни за капилярна чупливост терапията с </w:t>
      </w:r>
      <w:proofErr w:type="spellStart"/>
      <w:r w:rsidRPr="003F6150">
        <w:rPr>
          <w:lang w:val="bg-BG" w:eastAsia="bg-BG"/>
        </w:rPr>
        <w:t>Детралекс</w:t>
      </w:r>
      <w:proofErr w:type="spellEnd"/>
      <w:r w:rsidRPr="003F6150">
        <w:rPr>
          <w:lang w:val="bg-BG" w:eastAsia="bg-BG"/>
        </w:rPr>
        <w:t xml:space="preserve"> повишава капилярната резистентност, измервана чрез </w:t>
      </w:r>
      <w:proofErr w:type="spellStart"/>
      <w:r w:rsidRPr="003F6150">
        <w:rPr>
          <w:lang w:val="bg-BG" w:eastAsia="bg-BG"/>
        </w:rPr>
        <w:t>ангиостерометрия</w:t>
      </w:r>
      <w:proofErr w:type="spellEnd"/>
      <w:r w:rsidRPr="003F6150">
        <w:rPr>
          <w:lang w:val="bg-BG" w:eastAsia="bg-BG"/>
        </w:rPr>
        <w:t>.</w:t>
      </w:r>
    </w:p>
    <w:p w14:paraId="51FCA5E9" w14:textId="77777777" w:rsidR="003F6150" w:rsidRDefault="003F6150" w:rsidP="003F6150">
      <w:pPr>
        <w:rPr>
          <w:u w:val="single"/>
          <w:lang w:val="bg-BG" w:eastAsia="bg-BG"/>
        </w:rPr>
      </w:pPr>
    </w:p>
    <w:p w14:paraId="58629C75" w14:textId="0D5D5E70" w:rsidR="003F6150" w:rsidRPr="003F6150" w:rsidRDefault="003F6150" w:rsidP="003F6150">
      <w:pPr>
        <w:rPr>
          <w:sz w:val="24"/>
          <w:szCs w:val="24"/>
          <w:lang w:val="bg-BG"/>
        </w:rPr>
      </w:pPr>
      <w:r w:rsidRPr="003F6150">
        <w:rPr>
          <w:u w:val="single"/>
          <w:lang w:val="bg-BG" w:eastAsia="bg-BG"/>
        </w:rPr>
        <w:t>Клинична ефикасност и безопасност:</w:t>
      </w:r>
    </w:p>
    <w:p w14:paraId="5A192845" w14:textId="77777777" w:rsidR="003F6150" w:rsidRPr="003F6150" w:rsidRDefault="003F6150" w:rsidP="003F6150">
      <w:pPr>
        <w:rPr>
          <w:sz w:val="24"/>
          <w:szCs w:val="24"/>
          <w:lang w:val="bg-BG"/>
        </w:rPr>
      </w:pPr>
      <w:r w:rsidRPr="003F6150">
        <w:rPr>
          <w:lang w:val="bg-BG" w:eastAsia="bg-BG"/>
        </w:rPr>
        <w:t xml:space="preserve">Контролирани двойно-слепи клинични проучвания показват терапевтичната активност на препарата във </w:t>
      </w:r>
      <w:proofErr w:type="spellStart"/>
      <w:r w:rsidRPr="003F6150">
        <w:rPr>
          <w:lang w:val="bg-BG" w:eastAsia="bg-BG"/>
        </w:rPr>
        <w:t>флебологията</w:t>
      </w:r>
      <w:proofErr w:type="spellEnd"/>
      <w:r w:rsidRPr="003F6150">
        <w:rPr>
          <w:lang w:val="bg-BG" w:eastAsia="bg-BG"/>
        </w:rPr>
        <w:t xml:space="preserve"> при лечение на функционална и органична хронична венозна недостатъчност на долните крайници и в </w:t>
      </w:r>
      <w:proofErr w:type="spellStart"/>
      <w:r w:rsidRPr="003F6150">
        <w:rPr>
          <w:lang w:val="bg-BG" w:eastAsia="bg-BG"/>
        </w:rPr>
        <w:t>проктологията</w:t>
      </w:r>
      <w:proofErr w:type="spellEnd"/>
      <w:r w:rsidRPr="003F6150">
        <w:rPr>
          <w:lang w:val="bg-BG" w:eastAsia="bg-BG"/>
        </w:rPr>
        <w:t xml:space="preserve"> за лечение на </w:t>
      </w:r>
      <w:proofErr w:type="spellStart"/>
      <w:r w:rsidRPr="003F6150">
        <w:rPr>
          <w:lang w:val="bg-BG" w:eastAsia="bg-BG"/>
        </w:rPr>
        <w:t>хемороидална</w:t>
      </w:r>
      <w:proofErr w:type="spellEnd"/>
      <w:r w:rsidRPr="003F6150">
        <w:rPr>
          <w:lang w:val="bg-BG" w:eastAsia="bg-BG"/>
        </w:rPr>
        <w:t xml:space="preserve"> болест.</w:t>
      </w:r>
    </w:p>
    <w:p w14:paraId="6DFB7925" w14:textId="77777777" w:rsidR="003F6150" w:rsidRPr="003F6150" w:rsidRDefault="003F6150" w:rsidP="003F6150">
      <w:pPr>
        <w:rPr>
          <w:sz w:val="24"/>
          <w:szCs w:val="24"/>
          <w:lang w:val="bg-BG"/>
        </w:rPr>
      </w:pPr>
    </w:p>
    <w:p w14:paraId="788B4E5E" w14:textId="5CAF746B" w:rsidR="002C50EE" w:rsidRDefault="002C50EE" w:rsidP="002C50EE">
      <w:pPr>
        <w:pStyle w:val="Heading2"/>
      </w:pPr>
      <w:r>
        <w:t xml:space="preserve">5.2. </w:t>
      </w:r>
      <w:proofErr w:type="spellStart"/>
      <w:r>
        <w:t>Фармакокинетични</w:t>
      </w:r>
      <w:proofErr w:type="spellEnd"/>
      <w:r>
        <w:t xml:space="preserve"> </w:t>
      </w:r>
      <w:proofErr w:type="spellStart"/>
      <w:r>
        <w:t>свойства</w:t>
      </w:r>
      <w:proofErr w:type="spellEnd"/>
    </w:p>
    <w:p w14:paraId="264433DE" w14:textId="77777777" w:rsidR="003F6150" w:rsidRDefault="003F6150" w:rsidP="003F6150">
      <w:pPr>
        <w:rPr>
          <w:lang w:val="bg-BG" w:eastAsia="bg-BG"/>
        </w:rPr>
      </w:pPr>
    </w:p>
    <w:p w14:paraId="2C860ACD" w14:textId="726EF89A" w:rsidR="003F6150" w:rsidRPr="003F6150" w:rsidRDefault="003F6150" w:rsidP="003F6150">
      <w:pPr>
        <w:rPr>
          <w:sz w:val="24"/>
          <w:szCs w:val="24"/>
          <w:lang w:val="bg-BG"/>
        </w:rPr>
      </w:pPr>
      <w:r w:rsidRPr="003F6150">
        <w:rPr>
          <w:lang w:val="bg-BG" w:eastAsia="bg-BG"/>
        </w:rPr>
        <w:t xml:space="preserve">При хора, след орално приложение на препарата, включващо </w:t>
      </w:r>
      <w:proofErr w:type="spellStart"/>
      <w:r w:rsidRPr="003F6150">
        <w:rPr>
          <w:lang w:val="bg-BG" w:eastAsia="bg-BG"/>
        </w:rPr>
        <w:t>диосмин</w:t>
      </w:r>
      <w:proofErr w:type="spellEnd"/>
      <w:r w:rsidRPr="003F6150">
        <w:rPr>
          <w:lang w:val="bg-BG" w:eastAsia="bg-BG"/>
        </w:rPr>
        <w:t xml:space="preserve"> с белязан въглерод на 14 позиция:</w:t>
      </w:r>
    </w:p>
    <w:p w14:paraId="2D592148" w14:textId="289E8470" w:rsidR="003F6150" w:rsidRPr="003F6150" w:rsidRDefault="003F6150" w:rsidP="003F6150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3F6150">
        <w:rPr>
          <w:lang w:val="bg-BG" w:eastAsia="bg-BG"/>
        </w:rPr>
        <w:t xml:space="preserve">екскрецията е предимно с фекалиите, </w:t>
      </w:r>
      <w:proofErr w:type="spellStart"/>
      <w:r w:rsidRPr="003F6150">
        <w:rPr>
          <w:lang w:val="bg-BG" w:eastAsia="bg-BG"/>
        </w:rPr>
        <w:t>уринната</w:t>
      </w:r>
      <w:proofErr w:type="spellEnd"/>
      <w:r w:rsidRPr="003F6150">
        <w:rPr>
          <w:lang w:val="bg-BG" w:eastAsia="bg-BG"/>
        </w:rPr>
        <w:t xml:space="preserve"> екскреция е средно 14% от приложената доза, полуживотът на елиминиране е 11 часа.</w:t>
      </w:r>
    </w:p>
    <w:p w14:paraId="4F5E9395" w14:textId="7B08B46D" w:rsidR="003F6150" w:rsidRPr="003F6150" w:rsidRDefault="003F6150" w:rsidP="003F6150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3F6150">
        <w:rPr>
          <w:lang w:val="bg-BG" w:eastAsia="bg-BG"/>
        </w:rPr>
        <w:t xml:space="preserve">препаратът претърпява висока степен на метаболизъм, което се демонстрира от наличието на различни </w:t>
      </w:r>
      <w:proofErr w:type="spellStart"/>
      <w:r w:rsidRPr="003F6150">
        <w:rPr>
          <w:lang w:val="bg-BG" w:eastAsia="bg-BG"/>
        </w:rPr>
        <w:t>фенолни</w:t>
      </w:r>
      <w:proofErr w:type="spellEnd"/>
      <w:r w:rsidRPr="003F6150">
        <w:rPr>
          <w:lang w:val="bg-BG" w:eastAsia="bg-BG"/>
        </w:rPr>
        <w:t xml:space="preserve"> киселини в урината.</w:t>
      </w:r>
    </w:p>
    <w:p w14:paraId="52122402" w14:textId="77777777" w:rsidR="003F6150" w:rsidRPr="003F6150" w:rsidRDefault="003F6150" w:rsidP="003F6150"/>
    <w:p w14:paraId="134A69A8" w14:textId="2186924F" w:rsidR="002C50EE" w:rsidRDefault="002C50EE" w:rsidP="002C50EE">
      <w:pPr>
        <w:pStyle w:val="Heading2"/>
      </w:pPr>
      <w:r>
        <w:t xml:space="preserve">5.3. </w:t>
      </w:r>
      <w:proofErr w:type="spellStart"/>
      <w:r>
        <w:t>Предклинични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безопасност</w:t>
      </w:r>
      <w:proofErr w:type="spellEnd"/>
    </w:p>
    <w:p w14:paraId="106259CB" w14:textId="77777777" w:rsidR="003F6150" w:rsidRDefault="003F6150" w:rsidP="003F6150">
      <w:pPr>
        <w:rPr>
          <w:lang w:val="bg-BG" w:eastAsia="bg-BG"/>
        </w:rPr>
      </w:pPr>
    </w:p>
    <w:p w14:paraId="248CCFAF" w14:textId="6CBC56FF" w:rsidR="003F6150" w:rsidRPr="003F6150" w:rsidRDefault="003F6150" w:rsidP="003F6150">
      <w:pPr>
        <w:rPr>
          <w:sz w:val="24"/>
          <w:szCs w:val="24"/>
          <w:lang w:val="bg-BG"/>
        </w:rPr>
      </w:pPr>
      <w:r w:rsidRPr="003F6150">
        <w:rPr>
          <w:lang w:val="bg-BG" w:eastAsia="bg-BG"/>
        </w:rPr>
        <w:t>Перорално приложение при мишки, плъхове и маймуни на дози от 180 пъти по-високи от терапевтичната доза при човек нямат токсичен или летален ефект и не предизвикват поведенчески, биологични, анатомични или хистологични аномалии.</w:t>
      </w:r>
    </w:p>
    <w:p w14:paraId="490833FB" w14:textId="77777777" w:rsidR="003F6150" w:rsidRPr="003F6150" w:rsidRDefault="003F6150" w:rsidP="003F6150">
      <w:pPr>
        <w:rPr>
          <w:sz w:val="24"/>
          <w:szCs w:val="24"/>
          <w:lang w:val="bg-BG"/>
        </w:rPr>
      </w:pPr>
      <w:r w:rsidRPr="003F6150">
        <w:rPr>
          <w:lang w:val="bg-BG" w:eastAsia="bg-BG"/>
        </w:rPr>
        <w:t xml:space="preserve">Проучванията при плъхове и зайци не показват </w:t>
      </w:r>
      <w:proofErr w:type="spellStart"/>
      <w:r w:rsidRPr="003F6150">
        <w:rPr>
          <w:lang w:val="bg-BG" w:eastAsia="bg-BG"/>
        </w:rPr>
        <w:t>ембриотоксични</w:t>
      </w:r>
      <w:proofErr w:type="spellEnd"/>
      <w:r w:rsidRPr="003F6150">
        <w:rPr>
          <w:lang w:val="bg-BG" w:eastAsia="bg-BG"/>
        </w:rPr>
        <w:t xml:space="preserve"> или тератогенни ефекти. Не предизвиква промени в </w:t>
      </w:r>
      <w:proofErr w:type="spellStart"/>
      <w:r w:rsidRPr="003F6150">
        <w:rPr>
          <w:lang w:val="bg-BG" w:eastAsia="bg-BG"/>
        </w:rPr>
        <w:t>репродуктивността</w:t>
      </w:r>
      <w:proofErr w:type="spellEnd"/>
      <w:r w:rsidRPr="003F6150">
        <w:rPr>
          <w:lang w:val="bg-BG" w:eastAsia="bg-BG"/>
        </w:rPr>
        <w:t>.</w:t>
      </w:r>
    </w:p>
    <w:p w14:paraId="42A79F31" w14:textId="5ABF01FE" w:rsidR="003F6150" w:rsidRPr="003F6150" w:rsidRDefault="003F6150" w:rsidP="003F6150">
      <w:r w:rsidRPr="003F6150">
        <w:rPr>
          <w:lang w:val="bg-BG" w:eastAsia="bg-BG"/>
        </w:rPr>
        <w:t xml:space="preserve">Тестовете </w:t>
      </w:r>
      <w:r w:rsidRPr="003F6150">
        <w:t xml:space="preserve">in-vitro </w:t>
      </w:r>
      <w:r w:rsidRPr="003F6150">
        <w:rPr>
          <w:lang w:val="bg-BG" w:eastAsia="bg-BG"/>
        </w:rPr>
        <w:t xml:space="preserve">и </w:t>
      </w:r>
      <w:r w:rsidRPr="003F6150">
        <w:t xml:space="preserve">in-vivo </w:t>
      </w:r>
      <w:r w:rsidRPr="003F6150">
        <w:rPr>
          <w:lang w:val="bg-BG" w:eastAsia="bg-BG"/>
        </w:rPr>
        <w:t>не са показали мутагенен потенциал.</w:t>
      </w:r>
    </w:p>
    <w:p w14:paraId="28C40F19" w14:textId="281B7C9E" w:rsidR="002C50EE" w:rsidRDefault="002C50EE" w:rsidP="002C50EE">
      <w:pPr>
        <w:pStyle w:val="Heading1"/>
      </w:pPr>
      <w:r>
        <w:t>7. ПРИТЕЖАТЕЛ НА РАЗРЕШЕНИЕТО ЗА УПОТРЕБА</w:t>
      </w:r>
    </w:p>
    <w:p w14:paraId="4CC400FF" w14:textId="77777777" w:rsidR="003F6150" w:rsidRPr="003F6150" w:rsidRDefault="003F6150" w:rsidP="003F6150">
      <w:pPr>
        <w:rPr>
          <w:sz w:val="24"/>
          <w:szCs w:val="24"/>
        </w:rPr>
      </w:pPr>
      <w:r w:rsidRPr="003F6150">
        <w:t xml:space="preserve">Les </w:t>
      </w:r>
      <w:proofErr w:type="spellStart"/>
      <w:r w:rsidRPr="003F6150">
        <w:t>Laboratoires</w:t>
      </w:r>
      <w:proofErr w:type="spellEnd"/>
      <w:r w:rsidRPr="003F6150">
        <w:t xml:space="preserve"> </w:t>
      </w:r>
      <w:proofErr w:type="spellStart"/>
      <w:r w:rsidRPr="003F6150">
        <w:t>Servier</w:t>
      </w:r>
      <w:proofErr w:type="spellEnd"/>
    </w:p>
    <w:p w14:paraId="1E61B70E" w14:textId="77777777" w:rsidR="003F6150" w:rsidRDefault="003F6150" w:rsidP="003F6150">
      <w:r w:rsidRPr="003F6150">
        <w:rPr>
          <w:lang w:val="bg-BG" w:eastAsia="bg-BG"/>
        </w:rPr>
        <w:t xml:space="preserve">50, </w:t>
      </w:r>
      <w:r w:rsidRPr="003F6150">
        <w:t xml:space="preserve">rue Carnot, </w:t>
      </w:r>
    </w:p>
    <w:p w14:paraId="16670218" w14:textId="7C2123A7" w:rsidR="003F6150" w:rsidRPr="003F6150" w:rsidRDefault="003F6150" w:rsidP="003F6150">
      <w:pPr>
        <w:rPr>
          <w:sz w:val="24"/>
          <w:szCs w:val="24"/>
        </w:rPr>
      </w:pPr>
      <w:r w:rsidRPr="003F6150">
        <w:t xml:space="preserve">92284 Suresnes </w:t>
      </w:r>
      <w:proofErr w:type="spellStart"/>
      <w:r w:rsidRPr="003F6150">
        <w:t>cedex</w:t>
      </w:r>
      <w:proofErr w:type="spellEnd"/>
    </w:p>
    <w:p w14:paraId="418871E5" w14:textId="08C802D4" w:rsidR="003F6150" w:rsidRPr="003F6150" w:rsidRDefault="003F6150" w:rsidP="003F6150">
      <w:r w:rsidRPr="003F6150">
        <w:rPr>
          <w:lang w:val="bg-BG" w:eastAsia="bg-BG"/>
        </w:rPr>
        <w:t>Франция</w:t>
      </w:r>
    </w:p>
    <w:p w14:paraId="04840D59" w14:textId="25B85174" w:rsidR="002C50EE" w:rsidRDefault="002C50EE" w:rsidP="002C50EE">
      <w:pPr>
        <w:pStyle w:val="Heading1"/>
      </w:pPr>
      <w:r>
        <w:t>8. НОМЕР НА РАЗРЕШЕНИЕТО ЗА УПОТРЕБА</w:t>
      </w:r>
    </w:p>
    <w:p w14:paraId="2B199FEA" w14:textId="119849DF" w:rsidR="003F6150" w:rsidRPr="003F6150" w:rsidRDefault="003F6150" w:rsidP="003F6150">
      <w:r>
        <w:t>20020292</w:t>
      </w:r>
    </w:p>
    <w:p w14:paraId="5900CBF3" w14:textId="1A56A523" w:rsidR="002C50EE" w:rsidRDefault="002C50EE" w:rsidP="002C50EE">
      <w:pPr>
        <w:pStyle w:val="Heading1"/>
      </w:pPr>
      <w:r>
        <w:t>9. ДАТА НА ПЪРВО РАЗРЕШАВАНЕ/ПОДНОВЯВАНЕ НА РАЗРЕШЕНИЕТО ЗА УПОТРЕБА</w:t>
      </w:r>
    </w:p>
    <w:p w14:paraId="2A8538C0" w14:textId="77777777" w:rsidR="003F6150" w:rsidRPr="003F6150" w:rsidRDefault="003F6150" w:rsidP="003F6150">
      <w:pPr>
        <w:rPr>
          <w:sz w:val="24"/>
          <w:szCs w:val="24"/>
          <w:lang w:val="bg-BG"/>
        </w:rPr>
      </w:pPr>
      <w:r w:rsidRPr="003F6150">
        <w:rPr>
          <w:lang w:val="bg-BG" w:eastAsia="bg-BG"/>
        </w:rPr>
        <w:t>Дата на първо разрешаване: 25/11/1991</w:t>
      </w:r>
    </w:p>
    <w:p w14:paraId="090A013E" w14:textId="53DEE9BA" w:rsidR="003F6150" w:rsidRPr="003F6150" w:rsidRDefault="003F6150" w:rsidP="003F6150">
      <w:r w:rsidRPr="003F6150">
        <w:rPr>
          <w:lang w:val="bg-BG" w:eastAsia="bg-BG"/>
        </w:rPr>
        <w:t>Дата на последно подновяване: 28/08/2007</w:t>
      </w:r>
    </w:p>
    <w:p w14:paraId="0E9D0119" w14:textId="7777777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383FCB10" w14:textId="77777777" w:rsidR="002C50EE" w:rsidRDefault="002C50EE" w:rsidP="002C50EE">
      <w:pPr>
        <w:rPr>
          <w:rFonts w:cs="Arial"/>
          <w:b/>
          <w:bCs/>
          <w:sz w:val="26"/>
          <w:szCs w:val="26"/>
        </w:rPr>
      </w:pPr>
    </w:p>
    <w:p w14:paraId="423F4C2A" w14:textId="77777777" w:rsidR="00C87E90" w:rsidRPr="003E3126" w:rsidRDefault="00C87E90" w:rsidP="003E3126"/>
    <w:sectPr w:rsidR="00C87E90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067B2"/>
    <w:multiLevelType w:val="hybridMultilevel"/>
    <w:tmpl w:val="E618B9D8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21CE3"/>
    <w:multiLevelType w:val="hybridMultilevel"/>
    <w:tmpl w:val="AD1225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679F7"/>
    <w:multiLevelType w:val="hybridMultilevel"/>
    <w:tmpl w:val="35324FC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D6009"/>
    <w:multiLevelType w:val="hybridMultilevel"/>
    <w:tmpl w:val="24C63704"/>
    <w:lvl w:ilvl="0" w:tplc="86A882B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13"/>
  </w:num>
  <w:num w:numId="7">
    <w:abstractNumId w:val="7"/>
  </w:num>
  <w:num w:numId="8">
    <w:abstractNumId w:val="12"/>
  </w:num>
  <w:num w:numId="9">
    <w:abstractNumId w:val="3"/>
  </w:num>
  <w:num w:numId="10">
    <w:abstractNumId w:val="5"/>
  </w:num>
  <w:num w:numId="11">
    <w:abstractNumId w:val="19"/>
  </w:num>
  <w:num w:numId="12">
    <w:abstractNumId w:val="11"/>
  </w:num>
  <w:num w:numId="13">
    <w:abstractNumId w:val="14"/>
  </w:num>
  <w:num w:numId="14">
    <w:abstractNumId w:val="8"/>
  </w:num>
  <w:num w:numId="15">
    <w:abstractNumId w:val="18"/>
  </w:num>
  <w:num w:numId="16">
    <w:abstractNumId w:val="6"/>
  </w:num>
  <w:num w:numId="17">
    <w:abstractNumId w:val="15"/>
  </w:num>
  <w:num w:numId="18">
    <w:abstractNumId w:val="20"/>
  </w:num>
  <w:num w:numId="19">
    <w:abstractNumId w:val="16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A00"/>
    <w:rsid w:val="00185A46"/>
    <w:rsid w:val="001915B6"/>
    <w:rsid w:val="001D1B23"/>
    <w:rsid w:val="002B4DBB"/>
    <w:rsid w:val="002C50EE"/>
    <w:rsid w:val="00340A0A"/>
    <w:rsid w:val="003E3126"/>
    <w:rsid w:val="003F6150"/>
    <w:rsid w:val="00517A5B"/>
    <w:rsid w:val="00593A00"/>
    <w:rsid w:val="00605BCA"/>
    <w:rsid w:val="006158A1"/>
    <w:rsid w:val="00617B1F"/>
    <w:rsid w:val="00672487"/>
    <w:rsid w:val="00672600"/>
    <w:rsid w:val="00681D4A"/>
    <w:rsid w:val="00685882"/>
    <w:rsid w:val="0075649D"/>
    <w:rsid w:val="00814073"/>
    <w:rsid w:val="00826F0D"/>
    <w:rsid w:val="00893B92"/>
    <w:rsid w:val="008C70A2"/>
    <w:rsid w:val="009773E4"/>
    <w:rsid w:val="00A20351"/>
    <w:rsid w:val="00AC63CE"/>
    <w:rsid w:val="00AE2107"/>
    <w:rsid w:val="00B275A8"/>
    <w:rsid w:val="00B5064A"/>
    <w:rsid w:val="00BF2600"/>
    <w:rsid w:val="00C07B84"/>
    <w:rsid w:val="00C33464"/>
    <w:rsid w:val="00C83063"/>
    <w:rsid w:val="00C87E90"/>
    <w:rsid w:val="00DD466D"/>
    <w:rsid w:val="00EB6364"/>
    <w:rsid w:val="00F3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2021-05-25T18:32:00Z</dcterms:created>
  <dcterms:modified xsi:type="dcterms:W3CDTF">2021-05-25T18:32:00Z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