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360EFFF" w:rsidR="00C40420" w:rsidRDefault="00DD466D" w:rsidP="004A448E">
      <w:pPr>
        <w:pStyle w:val="Heading1"/>
      </w:pPr>
      <w:r>
        <w:t>1.ИМЕ НА ЛЕКАРСТВЕНИЯ ПРОДУКТ</w:t>
      </w:r>
    </w:p>
    <w:p w14:paraId="48E3E1FA" w14:textId="69611394" w:rsidR="00602A56" w:rsidRDefault="00602A56" w:rsidP="00602A56"/>
    <w:p w14:paraId="4FF82262" w14:textId="77777777" w:rsidR="00602A56" w:rsidRPr="00602A56" w:rsidRDefault="00602A56" w:rsidP="00602A56">
      <w:pPr>
        <w:rPr>
          <w:sz w:val="24"/>
          <w:szCs w:val="24"/>
          <w:lang w:val="en-US"/>
        </w:rPr>
      </w:pPr>
      <w:r w:rsidRPr="00602A56">
        <w:rPr>
          <w:lang w:val="en-US"/>
        </w:rPr>
        <w:t>DEXAMETHASONE SOPHARMA 4 mg/ml solution for injection</w:t>
      </w:r>
    </w:p>
    <w:p w14:paraId="4C38F3D9" w14:textId="7D4BDAE5" w:rsidR="00602A56" w:rsidRPr="00602A56" w:rsidRDefault="00602A56" w:rsidP="00602A56">
      <w:r w:rsidRPr="00602A56">
        <w:rPr>
          <w:lang w:eastAsia="bg-BG"/>
        </w:rPr>
        <w:t xml:space="preserve">ДЕКСАМЕТАЗОН СОФАРМА </w:t>
      </w:r>
      <w:r w:rsidRPr="00602A56">
        <w:rPr>
          <w:lang w:val="ru-RU"/>
        </w:rPr>
        <w:t xml:space="preserve">4 </w:t>
      </w:r>
      <w:r w:rsidRPr="00602A56">
        <w:rPr>
          <w:lang w:val="en-US"/>
        </w:rPr>
        <w:t>mg</w:t>
      </w:r>
      <w:r w:rsidRPr="00602A56">
        <w:rPr>
          <w:lang w:val="ru-RU"/>
        </w:rPr>
        <w:t>/</w:t>
      </w:r>
      <w:r w:rsidRPr="00602A56">
        <w:rPr>
          <w:lang w:val="en-US"/>
        </w:rPr>
        <w:t>ml</w:t>
      </w:r>
      <w:r w:rsidRPr="00602A56">
        <w:rPr>
          <w:lang w:val="ru-RU"/>
        </w:rPr>
        <w:t xml:space="preserve"> </w:t>
      </w:r>
      <w:r w:rsidRPr="00602A56">
        <w:rPr>
          <w:lang w:eastAsia="bg-BG"/>
        </w:rPr>
        <w:t>инжекционен</w:t>
      </w:r>
      <w:r w:rsidRPr="00602A56">
        <w:rPr>
          <w:lang w:val="ru-RU"/>
        </w:rPr>
        <w:t xml:space="preserve"> </w:t>
      </w:r>
      <w:r w:rsidRPr="00602A56">
        <w:rPr>
          <w:lang w:eastAsia="bg-BG"/>
        </w:rPr>
        <w:t>разтвор</w:t>
      </w:r>
    </w:p>
    <w:p w14:paraId="6920A680" w14:textId="62198677" w:rsidR="00C40420" w:rsidRDefault="00DD466D" w:rsidP="004A448E">
      <w:pPr>
        <w:pStyle w:val="Heading1"/>
      </w:pPr>
      <w:r>
        <w:t>2. КАЧЕСТВЕН И КОЛИЧЕСТВЕН СЪСТАВ</w:t>
      </w:r>
    </w:p>
    <w:p w14:paraId="08486611" w14:textId="5C803DB1" w:rsidR="00602A56" w:rsidRDefault="00602A56" w:rsidP="00602A56"/>
    <w:p w14:paraId="5EA2ECDB" w14:textId="77777777" w:rsidR="00602A56" w:rsidRPr="00602A56" w:rsidRDefault="00602A56" w:rsidP="00602A56">
      <w:pPr>
        <w:rPr>
          <w:sz w:val="24"/>
          <w:szCs w:val="24"/>
        </w:rPr>
      </w:pPr>
      <w:r w:rsidRPr="00602A56">
        <w:rPr>
          <w:lang w:eastAsia="bg-BG"/>
        </w:rPr>
        <w:t xml:space="preserve">Всяка ампула от 1 </w:t>
      </w:r>
      <w:r w:rsidRPr="00602A56">
        <w:rPr>
          <w:lang w:val="en-US"/>
        </w:rPr>
        <w:t>ml</w:t>
      </w:r>
      <w:r w:rsidRPr="00602A56">
        <w:rPr>
          <w:lang w:val="ru-RU"/>
        </w:rPr>
        <w:t xml:space="preserve"> </w:t>
      </w:r>
      <w:r w:rsidRPr="00602A56">
        <w:rPr>
          <w:lang w:eastAsia="bg-BG"/>
        </w:rPr>
        <w:t xml:space="preserve">инжекционен разтвор съдържа активно вещество дексаметазонов натриев фосфат, еквивалентен на 4 </w:t>
      </w:r>
      <w:r w:rsidRPr="00602A56">
        <w:rPr>
          <w:lang w:val="en-US"/>
        </w:rPr>
        <w:t>mg</w:t>
      </w:r>
      <w:r w:rsidRPr="00602A56">
        <w:rPr>
          <w:lang w:val="ru-RU"/>
        </w:rPr>
        <w:t xml:space="preserve"> </w:t>
      </w:r>
      <w:r w:rsidRPr="00602A56">
        <w:rPr>
          <w:lang w:eastAsia="bg-BG"/>
        </w:rPr>
        <w:t>дексаметазонов фосфат.</w:t>
      </w:r>
    </w:p>
    <w:p w14:paraId="2B657928" w14:textId="77777777" w:rsidR="00602A56" w:rsidRPr="00602A56" w:rsidRDefault="00602A56" w:rsidP="00602A56">
      <w:pPr>
        <w:rPr>
          <w:sz w:val="24"/>
          <w:szCs w:val="24"/>
        </w:rPr>
      </w:pPr>
      <w:r w:rsidRPr="00602A56">
        <w:rPr>
          <w:lang w:eastAsia="bg-BG"/>
        </w:rPr>
        <w:t xml:space="preserve">Всяка ампула от 2 </w:t>
      </w:r>
      <w:r w:rsidRPr="00602A56">
        <w:rPr>
          <w:lang w:val="en-US"/>
        </w:rPr>
        <w:t>ml</w:t>
      </w:r>
      <w:r w:rsidRPr="00602A56">
        <w:rPr>
          <w:lang w:val="ru-RU"/>
        </w:rPr>
        <w:t xml:space="preserve"> </w:t>
      </w:r>
      <w:r w:rsidRPr="00602A56">
        <w:rPr>
          <w:lang w:eastAsia="bg-BG"/>
        </w:rPr>
        <w:t xml:space="preserve">инжекционен разтвор съдържа активно вещество дексаметазонов натриев фосфат, еквивалентен на 8 </w:t>
      </w:r>
      <w:r w:rsidRPr="00602A56">
        <w:rPr>
          <w:lang w:val="en-US"/>
        </w:rPr>
        <w:t>mg</w:t>
      </w:r>
      <w:r w:rsidRPr="00602A56">
        <w:rPr>
          <w:lang w:val="ru-RU"/>
        </w:rPr>
        <w:t xml:space="preserve"> </w:t>
      </w:r>
      <w:r w:rsidRPr="00602A56">
        <w:rPr>
          <w:lang w:eastAsia="bg-BG"/>
        </w:rPr>
        <w:t>дексаметазонов фосфат.</w:t>
      </w:r>
    </w:p>
    <w:p w14:paraId="3ECB8CE3" w14:textId="77777777" w:rsidR="00602A56" w:rsidRPr="00602A56" w:rsidRDefault="00602A56" w:rsidP="00602A56"/>
    <w:p w14:paraId="614984C4" w14:textId="6EE5C713" w:rsidR="008A6AF2" w:rsidRDefault="00DD466D" w:rsidP="002C50EE">
      <w:pPr>
        <w:pStyle w:val="Heading1"/>
      </w:pPr>
      <w:r>
        <w:t>3. ЛЕКАРСТВЕНА ФОРМА</w:t>
      </w:r>
    </w:p>
    <w:p w14:paraId="0013120D" w14:textId="76A830CB" w:rsidR="00602A56" w:rsidRDefault="00602A56" w:rsidP="00602A56"/>
    <w:p w14:paraId="0B11D432" w14:textId="77777777" w:rsidR="00602A56" w:rsidRDefault="00602A56" w:rsidP="00602A56">
      <w:pPr>
        <w:rPr>
          <w:lang w:eastAsia="bg-BG"/>
        </w:rPr>
      </w:pPr>
      <w:r w:rsidRPr="00602A56">
        <w:rPr>
          <w:lang w:eastAsia="bg-BG"/>
        </w:rPr>
        <w:t xml:space="preserve">Инжекционен разтвор </w:t>
      </w:r>
    </w:p>
    <w:p w14:paraId="647D0E44" w14:textId="2C992AF5" w:rsidR="00602A56" w:rsidRPr="00602A56" w:rsidRDefault="00602A56" w:rsidP="00602A56">
      <w:pPr>
        <w:rPr>
          <w:sz w:val="24"/>
          <w:szCs w:val="24"/>
        </w:rPr>
      </w:pPr>
      <w:r w:rsidRPr="00602A56">
        <w:rPr>
          <w:lang w:eastAsia="bg-BG"/>
        </w:rPr>
        <w:t>Бистър, безцветен разтвор.</w:t>
      </w:r>
    </w:p>
    <w:p w14:paraId="2D64E52B" w14:textId="77777777" w:rsidR="00602A56" w:rsidRPr="00602A56" w:rsidRDefault="00602A56" w:rsidP="00602A56"/>
    <w:p w14:paraId="490FC2C4" w14:textId="32682B15" w:rsidR="002C50EE" w:rsidRDefault="002C50EE" w:rsidP="002C50EE">
      <w:pPr>
        <w:pStyle w:val="Heading1"/>
      </w:pPr>
      <w:r>
        <w:t>4. КЛИНИЧНИ ДАННИ</w:t>
      </w:r>
    </w:p>
    <w:p w14:paraId="0C8E6903" w14:textId="460637D0" w:rsidR="008134C8" w:rsidRDefault="002C50EE" w:rsidP="004A448E">
      <w:pPr>
        <w:pStyle w:val="Heading2"/>
      </w:pPr>
      <w:r>
        <w:t>4.1. Терапевтични показания</w:t>
      </w:r>
    </w:p>
    <w:p w14:paraId="7798027F" w14:textId="1DA4BD79" w:rsidR="00602A56" w:rsidRDefault="00602A56" w:rsidP="00602A56"/>
    <w:p w14:paraId="6C9D4FCC"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Дексаметазон Софарма инжекционен разтвор е показан при всички състояния, където е показано лечение с глюкокортикоиди.</w:t>
      </w:r>
    </w:p>
    <w:p w14:paraId="6A0B34FA"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Дексаметазон Софарма инжекционен разтвор се прилага за овладяване на спешни състояния и когато пероралното лечение с глюкокортикоиди е невъзможно:</w:t>
      </w:r>
    </w:p>
    <w:p w14:paraId="6FCE4ED8" w14:textId="77777777" w:rsidR="00602A56" w:rsidRPr="00602A56" w:rsidRDefault="00602A56" w:rsidP="00602A56">
      <w:pPr>
        <w:pStyle w:val="ListParagraph"/>
        <w:numPr>
          <w:ilvl w:val="0"/>
          <w:numId w:val="35"/>
        </w:numPr>
        <w:spacing w:line="240" w:lineRule="auto"/>
        <w:rPr>
          <w:rFonts w:eastAsia="Times New Roman" w:cs="Arial"/>
          <w:sz w:val="28"/>
          <w:szCs w:val="24"/>
        </w:rPr>
      </w:pPr>
      <w:r w:rsidRPr="00602A56">
        <w:rPr>
          <w:rFonts w:eastAsia="Times New Roman" w:cs="Arial"/>
          <w:color w:val="000000"/>
          <w:szCs w:val="20"/>
          <w:lang w:eastAsia="bg-BG"/>
        </w:rPr>
        <w:t>едематозни състояния, включително черепно-мозъчна травма, мозъчен оток;</w:t>
      </w:r>
    </w:p>
    <w:p w14:paraId="5C046C39" w14:textId="77777777" w:rsidR="00602A56" w:rsidRPr="00602A56" w:rsidRDefault="00602A56" w:rsidP="00602A56">
      <w:pPr>
        <w:pStyle w:val="ListParagraph"/>
        <w:numPr>
          <w:ilvl w:val="0"/>
          <w:numId w:val="35"/>
        </w:numPr>
        <w:spacing w:line="240" w:lineRule="auto"/>
        <w:rPr>
          <w:rFonts w:eastAsia="Times New Roman" w:cs="Arial"/>
          <w:sz w:val="28"/>
          <w:szCs w:val="24"/>
        </w:rPr>
      </w:pPr>
      <w:r w:rsidRPr="00602A56">
        <w:rPr>
          <w:rFonts w:eastAsia="Times New Roman" w:cs="Arial"/>
          <w:color w:val="000000"/>
          <w:szCs w:val="20"/>
          <w:lang w:eastAsia="bg-BG"/>
        </w:rPr>
        <w:t>шокови състояния, ако не се повлияват от конвенционалната терапия или когато адренокортикалната недостатъчност е налице или се очаква;</w:t>
      </w:r>
    </w:p>
    <w:p w14:paraId="70B9909E" w14:textId="77777777" w:rsidR="00602A56" w:rsidRPr="00602A56" w:rsidRDefault="00602A56" w:rsidP="00602A56">
      <w:pPr>
        <w:pStyle w:val="ListParagraph"/>
        <w:numPr>
          <w:ilvl w:val="0"/>
          <w:numId w:val="35"/>
        </w:numPr>
        <w:spacing w:line="240" w:lineRule="auto"/>
        <w:rPr>
          <w:rFonts w:eastAsia="Times New Roman" w:cs="Arial"/>
          <w:sz w:val="28"/>
          <w:szCs w:val="24"/>
        </w:rPr>
      </w:pPr>
      <w:r w:rsidRPr="00602A56">
        <w:rPr>
          <w:rFonts w:eastAsia="Times New Roman" w:cs="Arial"/>
          <w:color w:val="000000"/>
          <w:szCs w:val="20"/>
          <w:lang w:eastAsia="bg-BG"/>
        </w:rPr>
        <w:t>за краткотрайно лечение на тежки алергични и анафилактоидни реакции, астматичен статус, обостряне на хронични алергични заболявалия като серумна болест, бронхиална астма;</w:t>
      </w:r>
    </w:p>
    <w:p w14:paraId="023420CB" w14:textId="77777777" w:rsidR="00602A56" w:rsidRPr="00602A56" w:rsidRDefault="00602A56" w:rsidP="00602A56">
      <w:pPr>
        <w:pStyle w:val="ListParagraph"/>
        <w:numPr>
          <w:ilvl w:val="0"/>
          <w:numId w:val="35"/>
        </w:numPr>
        <w:spacing w:line="240" w:lineRule="auto"/>
        <w:rPr>
          <w:rFonts w:eastAsia="Times New Roman" w:cs="Arial"/>
          <w:sz w:val="28"/>
          <w:szCs w:val="24"/>
        </w:rPr>
      </w:pPr>
      <w:r w:rsidRPr="00602A56">
        <w:rPr>
          <w:rFonts w:eastAsia="Times New Roman" w:cs="Arial"/>
          <w:color w:val="000000"/>
          <w:szCs w:val="20"/>
          <w:lang w:eastAsia="bg-BG"/>
        </w:rPr>
        <w:t>като допълнително лечение за кратък период от време при неспецифични възпалителни заболявания на ставите и меките тъкани (синовиит и остеоартрит, ревматоиден артрит, остър и подостър бурсит, остър подагрозен артрит, постгравматичен остеоартрит, псориатичен артрит, анкилозиращ спондилит);</w:t>
      </w:r>
    </w:p>
    <w:p w14:paraId="54057DD5" w14:textId="56161922" w:rsidR="00602A56" w:rsidRPr="00602A56" w:rsidRDefault="00602A56" w:rsidP="00602A56">
      <w:pPr>
        <w:pStyle w:val="ListParagraph"/>
        <w:numPr>
          <w:ilvl w:val="0"/>
          <w:numId w:val="35"/>
        </w:numPr>
        <w:spacing w:line="240" w:lineRule="auto"/>
        <w:rPr>
          <w:rFonts w:eastAsia="Times New Roman" w:cs="Arial"/>
          <w:sz w:val="28"/>
          <w:szCs w:val="24"/>
        </w:rPr>
      </w:pPr>
      <w:r w:rsidRPr="00602A56">
        <w:rPr>
          <w:rFonts w:eastAsia="Times New Roman" w:cs="Arial"/>
          <w:color w:val="000000"/>
          <w:szCs w:val="20"/>
          <w:lang w:eastAsia="bg-BG"/>
        </w:rPr>
        <w:t xml:space="preserve">при лечението на заболяването от коронавирус 2019 </w:t>
      </w:r>
      <w:r w:rsidRPr="00602A56">
        <w:rPr>
          <w:rFonts w:eastAsia="Times New Roman" w:cs="Arial"/>
          <w:color w:val="000000"/>
          <w:szCs w:val="20"/>
          <w:lang w:val="ru-RU"/>
        </w:rPr>
        <w:t>(</w:t>
      </w:r>
      <w:r w:rsidRPr="00602A56">
        <w:rPr>
          <w:rFonts w:eastAsia="Times New Roman" w:cs="Arial"/>
          <w:color w:val="000000"/>
          <w:szCs w:val="20"/>
          <w:lang w:val="en-US"/>
        </w:rPr>
        <w:t>COVID</w:t>
      </w:r>
      <w:r w:rsidRPr="00602A56">
        <w:rPr>
          <w:rFonts w:eastAsia="Times New Roman" w:cs="Arial"/>
          <w:color w:val="000000"/>
          <w:szCs w:val="20"/>
          <w:lang w:val="ru-RU"/>
        </w:rPr>
        <w:t xml:space="preserve">-19) </w:t>
      </w:r>
      <w:r w:rsidRPr="00602A56">
        <w:rPr>
          <w:rFonts w:eastAsia="Times New Roman" w:cs="Arial"/>
          <w:color w:val="000000"/>
          <w:szCs w:val="20"/>
          <w:lang w:eastAsia="bg-BG"/>
        </w:rPr>
        <w:t xml:space="preserve">при възрастни пациенти и юноши (на възраст над 12 години и с телесно тегло най-малко 40 </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които се нуждаят от допълнителна кислородна терапия.</w:t>
      </w:r>
    </w:p>
    <w:p w14:paraId="28CEFE80" w14:textId="77777777" w:rsidR="00602A56" w:rsidRPr="00602A56" w:rsidRDefault="00602A56" w:rsidP="00602A56">
      <w:pPr>
        <w:spacing w:line="240" w:lineRule="auto"/>
        <w:rPr>
          <w:rFonts w:eastAsia="Times New Roman" w:cs="Arial"/>
          <w:sz w:val="28"/>
          <w:szCs w:val="24"/>
        </w:rPr>
      </w:pPr>
    </w:p>
    <w:p w14:paraId="30BE2C7B" w14:textId="24DAC19F" w:rsidR="008134C8" w:rsidRDefault="002C50EE" w:rsidP="004A448E">
      <w:pPr>
        <w:pStyle w:val="Heading2"/>
      </w:pPr>
      <w:r>
        <w:t>4.2. Дозировка и начин на приложение</w:t>
      </w:r>
    </w:p>
    <w:p w14:paraId="7742BB3D" w14:textId="60F07A1D" w:rsidR="00602A56" w:rsidRDefault="00602A56" w:rsidP="00602A56"/>
    <w:p w14:paraId="04898859" w14:textId="608A1B7C" w:rsidR="00602A56" w:rsidRPr="00602A56" w:rsidRDefault="00602A56" w:rsidP="00602A56">
      <w:pPr>
        <w:pStyle w:val="Heading3"/>
        <w:rPr>
          <w:u w:val="single"/>
        </w:rPr>
      </w:pPr>
      <w:r w:rsidRPr="00602A56">
        <w:rPr>
          <w:u w:val="single"/>
        </w:rPr>
        <w:lastRenderedPageBreak/>
        <w:t>Дозировка</w:t>
      </w:r>
    </w:p>
    <w:p w14:paraId="2B2918CE"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Дозата се определя в зависимост от показанията и терапевтичния отговор. Препоръчва се парентералното приложение да не е повече от 48-72 часа, като лечението след това да продължи с перорален прием.</w:t>
      </w:r>
    </w:p>
    <w:p w14:paraId="132FC9AA" w14:textId="77777777" w:rsidR="00602A56" w:rsidRPr="00602A56" w:rsidRDefault="00602A56" w:rsidP="00602A56">
      <w:pPr>
        <w:spacing w:line="240" w:lineRule="auto"/>
        <w:rPr>
          <w:rFonts w:eastAsia="Times New Roman" w:cs="Arial"/>
          <w:b/>
          <w:bCs/>
          <w:color w:val="000000"/>
          <w:szCs w:val="20"/>
          <w:u w:val="single"/>
          <w:lang w:eastAsia="bg-BG"/>
        </w:rPr>
      </w:pPr>
      <w:bookmarkStart w:id="1" w:name="bookmark0"/>
    </w:p>
    <w:p w14:paraId="62A94E82" w14:textId="22D652B6" w:rsidR="00602A56" w:rsidRPr="00602A56" w:rsidRDefault="00602A56" w:rsidP="00602A56">
      <w:pPr>
        <w:spacing w:line="240" w:lineRule="auto"/>
        <w:rPr>
          <w:rFonts w:eastAsia="Times New Roman" w:cs="Arial"/>
          <w:sz w:val="28"/>
          <w:szCs w:val="24"/>
        </w:rPr>
      </w:pPr>
      <w:r w:rsidRPr="00602A56">
        <w:rPr>
          <w:rFonts w:eastAsia="Times New Roman" w:cs="Arial"/>
          <w:b/>
          <w:bCs/>
          <w:color w:val="000000"/>
          <w:szCs w:val="20"/>
          <w:u w:val="single"/>
          <w:lang w:eastAsia="bg-BG"/>
        </w:rPr>
        <w:t>Интравенозно или интрамускулно приложение</w:t>
      </w:r>
      <w:bookmarkEnd w:id="1"/>
    </w:p>
    <w:p w14:paraId="2D4D40BC" w14:textId="2B58456B" w:rsidR="00602A56" w:rsidRPr="00602A56" w:rsidRDefault="00602A56" w:rsidP="00602A56">
      <w:pPr>
        <w:rPr>
          <w:rFonts w:eastAsia="Times New Roman" w:cs="Arial"/>
          <w:color w:val="000000"/>
          <w:szCs w:val="20"/>
          <w:lang w:eastAsia="bg-BG"/>
        </w:rPr>
      </w:pPr>
      <w:r w:rsidRPr="00602A56">
        <w:rPr>
          <w:rFonts w:eastAsia="Times New Roman" w:cs="Arial"/>
          <w:color w:val="000000"/>
          <w:szCs w:val="20"/>
          <w:lang w:eastAsia="bg-BG"/>
        </w:rPr>
        <w:t>Инжекционният разтвор може да се използва неразреден или разреден с разтвор на натриев</w:t>
      </w:r>
      <w:r w:rsidRPr="00602A56">
        <w:rPr>
          <w:rFonts w:eastAsia="Times New Roman" w:cs="Arial"/>
          <w:color w:val="000000"/>
          <w:szCs w:val="20"/>
          <w:vertAlign w:val="superscript"/>
          <w:lang w:eastAsia="bg-BG"/>
        </w:rPr>
        <w:t xml:space="preserve"> </w:t>
      </w:r>
      <w:r w:rsidRPr="00602A56">
        <w:rPr>
          <w:rFonts w:eastAsia="Times New Roman" w:cs="Arial"/>
          <w:color w:val="000000"/>
          <w:szCs w:val="20"/>
          <w:lang w:eastAsia="bg-BG"/>
        </w:rPr>
        <w:t>хлорид или глюкоза за интравенозно приложение. Дексаметазон може да се прибави и към кръв за трансфузия.</w:t>
      </w:r>
    </w:p>
    <w:p w14:paraId="746BD85C" w14:textId="68582DFE" w:rsidR="00602A56" w:rsidRPr="00602A56" w:rsidRDefault="00602A56" w:rsidP="00602A56">
      <w:pPr>
        <w:rPr>
          <w:rFonts w:eastAsia="Times New Roman" w:cs="Arial"/>
          <w:color w:val="000000"/>
          <w:szCs w:val="20"/>
          <w:lang w:eastAsia="bg-BG"/>
        </w:rPr>
      </w:pPr>
    </w:p>
    <w:p w14:paraId="08A0EE00" w14:textId="6E5EEA67" w:rsidR="00602A56" w:rsidRPr="00602A56" w:rsidRDefault="00602A56" w:rsidP="00602A56">
      <w:pPr>
        <w:spacing w:line="240" w:lineRule="auto"/>
        <w:rPr>
          <w:rFonts w:eastAsia="Times New Roman" w:cs="Arial"/>
          <w:color w:val="000000"/>
          <w:szCs w:val="20"/>
          <w:lang w:eastAsia="bg-BG"/>
        </w:rPr>
      </w:pPr>
      <w:r w:rsidRPr="00602A56">
        <w:rPr>
          <w:rFonts w:eastAsia="Times New Roman" w:cs="Arial"/>
          <w:color w:val="000000"/>
          <w:szCs w:val="20"/>
          <w:lang w:eastAsia="bg-BG"/>
        </w:rPr>
        <w:t xml:space="preserve">Началната доза може да варира от 0,5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до 20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дневно, в зависимост от заболяването. При остри, животозастрашаващи състояния, дозите могат да бъдат и по-високи. При такива случаи трябва да се има предвид по-бавната резорбция при интрамускулно приложение. При спешни състояния обичайната доза е от 4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до 20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v</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или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m</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(при шок се прилага само интравенозно). Тази доза може да се повтаря до получаване на адекватен отговор. След това могат да се прилагат единични дози от 2 до 4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при необходимост. Общата дневна доза не трябва да превишава 80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След постигане на достатъчен ефект състоянието се поддържа чрез бавна интравеиозна инфузия.</w:t>
      </w:r>
    </w:p>
    <w:p w14:paraId="197E304D" w14:textId="77777777" w:rsidR="00602A56" w:rsidRPr="00602A56" w:rsidRDefault="00602A56" w:rsidP="00602A56">
      <w:pPr>
        <w:pStyle w:val="ListParagraph"/>
        <w:numPr>
          <w:ilvl w:val="0"/>
          <w:numId w:val="37"/>
        </w:numPr>
        <w:spacing w:line="240" w:lineRule="auto"/>
        <w:rPr>
          <w:rFonts w:eastAsia="Times New Roman" w:cs="Arial"/>
          <w:b/>
          <w:bCs/>
          <w:color w:val="000000"/>
          <w:szCs w:val="20"/>
          <w:lang w:eastAsia="bg-BG"/>
        </w:rPr>
      </w:pPr>
      <w:r w:rsidRPr="00602A56">
        <w:rPr>
          <w:rFonts w:eastAsia="Times New Roman" w:cs="Arial"/>
          <w:b/>
          <w:bCs/>
          <w:color w:val="000000"/>
          <w:szCs w:val="20"/>
          <w:lang w:eastAsia="bg-BG"/>
        </w:rPr>
        <w:t>Шок</w:t>
      </w:r>
    </w:p>
    <w:p w14:paraId="7898A7EA" w14:textId="16C4BCFF" w:rsidR="00602A56" w:rsidRPr="00602A56" w:rsidRDefault="00602A56" w:rsidP="00602A56">
      <w:pPr>
        <w:spacing w:line="240" w:lineRule="auto"/>
        <w:rPr>
          <w:rFonts w:eastAsia="Times New Roman" w:cs="Arial"/>
          <w:color w:val="000000"/>
          <w:szCs w:val="20"/>
          <w:lang w:eastAsia="bg-BG"/>
        </w:rPr>
      </w:pPr>
      <w:r w:rsidRPr="00602A56">
        <w:rPr>
          <w:rFonts w:eastAsia="Times New Roman" w:cs="Arial"/>
          <w:color w:val="000000"/>
          <w:szCs w:val="20"/>
          <w:lang w:eastAsia="bg-BG"/>
        </w:rPr>
        <w:t xml:space="preserve">Обикновено се прилага в доза от 2 до 6 </w:t>
      </w:r>
      <w:r w:rsidRPr="00602A56">
        <w:rPr>
          <w:rFonts w:eastAsia="Times New Roman" w:cs="Arial"/>
          <w:color w:val="000000"/>
          <w:szCs w:val="20"/>
          <w:lang w:val="en-US"/>
        </w:rPr>
        <w:t>mg</w:t>
      </w:r>
      <w:r w:rsidRPr="00602A56">
        <w:rPr>
          <w:rFonts w:eastAsia="Times New Roman" w:cs="Arial"/>
          <w:color w:val="000000"/>
          <w:szCs w:val="20"/>
          <w:lang w:val="ru-RU"/>
        </w:rPr>
        <w:t>/</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еднократно интравенозно. Тя може да бъде повторена в интервал от 2 до 6 часа интравенозно или инфузионно, ако състоянието на пациента не се подобрява. Високи дози дексаметазон се прилагат до стабилизиране състоянието на пациента, обикновено не повече от 48-72 часа. Лечението може да бъде продължено инфузионно с 3 </w:t>
      </w:r>
      <w:r w:rsidRPr="00602A56">
        <w:rPr>
          <w:rFonts w:eastAsia="Times New Roman" w:cs="Arial"/>
          <w:color w:val="000000"/>
          <w:szCs w:val="20"/>
          <w:lang w:val="en-US"/>
        </w:rPr>
        <w:t>mg</w:t>
      </w:r>
      <w:r w:rsidRPr="00602A56">
        <w:rPr>
          <w:rFonts w:eastAsia="Times New Roman" w:cs="Arial"/>
          <w:color w:val="000000"/>
          <w:szCs w:val="20"/>
          <w:lang w:val="ru-RU"/>
        </w:rPr>
        <w:t>/</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г.т. за 24 часа.</w:t>
      </w:r>
    </w:p>
    <w:p w14:paraId="093049F2" w14:textId="77777777" w:rsidR="00602A56" w:rsidRPr="00602A56" w:rsidRDefault="00602A56" w:rsidP="00602A56">
      <w:pPr>
        <w:pStyle w:val="ListParagraph"/>
        <w:numPr>
          <w:ilvl w:val="0"/>
          <w:numId w:val="37"/>
        </w:numPr>
        <w:spacing w:line="240" w:lineRule="auto"/>
        <w:rPr>
          <w:rFonts w:eastAsia="Times New Roman" w:cs="Arial"/>
          <w:b/>
          <w:bCs/>
          <w:color w:val="000000"/>
          <w:szCs w:val="20"/>
          <w:lang w:eastAsia="bg-BG"/>
        </w:rPr>
      </w:pPr>
      <w:r w:rsidRPr="00602A56">
        <w:rPr>
          <w:rFonts w:eastAsia="Times New Roman" w:cs="Arial"/>
          <w:b/>
          <w:bCs/>
          <w:color w:val="000000"/>
          <w:szCs w:val="20"/>
          <w:lang w:eastAsia="bg-BG"/>
        </w:rPr>
        <w:t>Мозъчен оток</w:t>
      </w:r>
    </w:p>
    <w:p w14:paraId="1C91781F"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 xml:space="preserve">Началната доза е 10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v</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последвана от 4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m</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на всеки 6 часа до отзвучаване на симптомите. Ефект обикновено настъпва в първите 12 до 24 часа. След 2 до 4 дни дозата трябва да се намали и постепенно да се спре за период от 5-7 дни. При пациенти с рецидивиращ или неоперабилен мозъчен тумор поддържаща терапия от 2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r w:rsidRPr="00602A56">
        <w:rPr>
          <w:rFonts w:eastAsia="Times New Roman" w:cs="Arial"/>
          <w:color w:val="000000"/>
          <w:szCs w:val="20"/>
          <w:lang w:eastAsia="bg-BG"/>
        </w:rPr>
        <w:t>2-3 пъти дневно може да бъде ефективна.</w:t>
      </w:r>
    </w:p>
    <w:p w14:paraId="13BA0160"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При тежък животозастрашаващ мозъчен оток се прилага висока начална доза, след което дозата се намалява постепенно през следващите 7-10 дни на интензивно лечение и се спира постепенно за период от 7-10 дни.</w:t>
      </w:r>
    </w:p>
    <w:p w14:paraId="19E94AC2" w14:textId="10544B3A" w:rsidR="00602A56" w:rsidRDefault="00602A56" w:rsidP="00602A56"/>
    <w:p w14:paraId="0CD6B203" w14:textId="3653E3A5" w:rsidR="00602A56" w:rsidRDefault="00602A56" w:rsidP="00602A56">
      <w:r w:rsidRPr="00602A56">
        <w:t>Предлагана схема за високи дози при мозъчен оток</w:t>
      </w:r>
    </w:p>
    <w:tbl>
      <w:tblPr>
        <w:tblStyle w:val="TableGrid"/>
        <w:tblW w:w="0" w:type="auto"/>
        <w:tblLook w:val="04A0" w:firstRow="1" w:lastRow="0" w:firstColumn="1" w:lastColumn="0" w:noHBand="0" w:noVBand="1"/>
      </w:tblPr>
      <w:tblGrid>
        <w:gridCol w:w="2332"/>
        <w:gridCol w:w="2346"/>
        <w:gridCol w:w="2336"/>
        <w:gridCol w:w="2336"/>
      </w:tblGrid>
      <w:tr w:rsidR="00602A56" w14:paraId="1F98B326" w14:textId="77777777" w:rsidTr="00602A56">
        <w:tc>
          <w:tcPr>
            <w:tcW w:w="2394" w:type="dxa"/>
            <w:vMerge w:val="restart"/>
          </w:tcPr>
          <w:p w14:paraId="20389D03" w14:textId="728F54BE" w:rsidR="00602A56" w:rsidRPr="00602A56" w:rsidRDefault="00602A56" w:rsidP="00602A56">
            <w:pPr>
              <w:rPr>
                <w:b/>
              </w:rPr>
            </w:pPr>
            <w:r w:rsidRPr="00602A56">
              <w:rPr>
                <w:b/>
              </w:rPr>
              <w:t>Начална доза:</w:t>
            </w:r>
          </w:p>
        </w:tc>
        <w:tc>
          <w:tcPr>
            <w:tcW w:w="2394" w:type="dxa"/>
          </w:tcPr>
          <w:p w14:paraId="36EC4DC3" w14:textId="325EEE4E" w:rsidR="00602A56" w:rsidRPr="00602A56" w:rsidRDefault="00602A56" w:rsidP="00602A56">
            <w:r w:rsidRPr="00602A56">
              <w:rPr>
                <w:b/>
                <w:bCs/>
                <w:szCs w:val="20"/>
              </w:rPr>
              <w:t>Възрастни</w:t>
            </w:r>
          </w:p>
        </w:tc>
        <w:tc>
          <w:tcPr>
            <w:tcW w:w="2394" w:type="dxa"/>
          </w:tcPr>
          <w:p w14:paraId="22700B3B" w14:textId="7EE906B1" w:rsidR="00602A56" w:rsidRPr="00602A56" w:rsidRDefault="00602A56" w:rsidP="00602A56">
            <w:r w:rsidRPr="00602A56">
              <w:rPr>
                <w:b/>
                <w:bCs/>
                <w:szCs w:val="20"/>
              </w:rPr>
              <w:t xml:space="preserve">Деца с тегло над 35 </w:t>
            </w:r>
            <w:r w:rsidRPr="00602A56">
              <w:rPr>
                <w:b/>
                <w:bCs/>
                <w:szCs w:val="20"/>
                <w:lang w:val="en-US"/>
              </w:rPr>
              <w:t>kg</w:t>
            </w:r>
          </w:p>
        </w:tc>
        <w:tc>
          <w:tcPr>
            <w:tcW w:w="2394" w:type="dxa"/>
          </w:tcPr>
          <w:p w14:paraId="3F6BA4A9" w14:textId="4CB2A4C5" w:rsidR="00602A56" w:rsidRPr="00602A56" w:rsidRDefault="00602A56" w:rsidP="00602A56">
            <w:r w:rsidRPr="00602A56">
              <w:rPr>
                <w:b/>
                <w:bCs/>
                <w:szCs w:val="20"/>
              </w:rPr>
              <w:t xml:space="preserve">Деца с тегло под 35 </w:t>
            </w:r>
            <w:r w:rsidRPr="00602A56">
              <w:rPr>
                <w:b/>
                <w:bCs/>
                <w:szCs w:val="20"/>
                <w:lang w:val="en-US"/>
              </w:rPr>
              <w:t>kg</w:t>
            </w:r>
          </w:p>
        </w:tc>
      </w:tr>
      <w:tr w:rsidR="00602A56" w14:paraId="335DC737" w14:textId="77777777" w:rsidTr="00602A56">
        <w:tc>
          <w:tcPr>
            <w:tcW w:w="2394" w:type="dxa"/>
            <w:vMerge/>
          </w:tcPr>
          <w:p w14:paraId="401D84C8" w14:textId="77777777" w:rsidR="00602A56" w:rsidRDefault="00602A56" w:rsidP="00602A56"/>
        </w:tc>
        <w:tc>
          <w:tcPr>
            <w:tcW w:w="2394" w:type="dxa"/>
          </w:tcPr>
          <w:p w14:paraId="477BCD8A" w14:textId="7C67E5C4" w:rsidR="00602A56" w:rsidRPr="00602A56" w:rsidRDefault="00602A56" w:rsidP="00602A56">
            <w:r w:rsidRPr="00602A56">
              <w:rPr>
                <w:szCs w:val="20"/>
              </w:rPr>
              <w:t xml:space="preserve">50 </w:t>
            </w:r>
            <w:r w:rsidRPr="00602A56">
              <w:rPr>
                <w:szCs w:val="20"/>
                <w:lang w:val="en-US"/>
              </w:rPr>
              <w:t xml:space="preserve">mg </w:t>
            </w:r>
            <w:proofErr w:type="spellStart"/>
            <w:r w:rsidRPr="00602A56">
              <w:rPr>
                <w:szCs w:val="20"/>
                <w:lang w:val="en-US"/>
              </w:rPr>
              <w:t>i.v.</w:t>
            </w:r>
            <w:proofErr w:type="spellEnd"/>
          </w:p>
        </w:tc>
        <w:tc>
          <w:tcPr>
            <w:tcW w:w="2394" w:type="dxa"/>
          </w:tcPr>
          <w:p w14:paraId="7388FBA6" w14:textId="38E685FE" w:rsidR="00602A56" w:rsidRPr="00602A56" w:rsidRDefault="00602A56" w:rsidP="00602A56">
            <w:r w:rsidRPr="00602A56">
              <w:rPr>
                <w:szCs w:val="20"/>
              </w:rPr>
              <w:t xml:space="preserve">25 </w:t>
            </w:r>
            <w:r w:rsidRPr="00602A56">
              <w:rPr>
                <w:szCs w:val="20"/>
                <w:lang w:val="en-US"/>
              </w:rPr>
              <w:t xml:space="preserve">mg </w:t>
            </w:r>
            <w:proofErr w:type="spellStart"/>
            <w:r w:rsidRPr="00602A56">
              <w:rPr>
                <w:szCs w:val="20"/>
                <w:lang w:val="en-US"/>
              </w:rPr>
              <w:t>i.v.</w:t>
            </w:r>
            <w:proofErr w:type="spellEnd"/>
          </w:p>
        </w:tc>
        <w:tc>
          <w:tcPr>
            <w:tcW w:w="2394" w:type="dxa"/>
          </w:tcPr>
          <w:p w14:paraId="692B0B4F" w14:textId="7EAF296D" w:rsidR="00602A56" w:rsidRPr="00602A56" w:rsidRDefault="00602A56" w:rsidP="00602A56">
            <w:r w:rsidRPr="00602A56">
              <w:rPr>
                <w:szCs w:val="20"/>
              </w:rPr>
              <w:t xml:space="preserve">20 </w:t>
            </w:r>
            <w:r w:rsidRPr="00602A56">
              <w:rPr>
                <w:szCs w:val="20"/>
                <w:lang w:val="en-US"/>
              </w:rPr>
              <w:t xml:space="preserve">mg </w:t>
            </w:r>
            <w:proofErr w:type="spellStart"/>
            <w:r w:rsidRPr="00602A56">
              <w:rPr>
                <w:szCs w:val="20"/>
                <w:lang w:val="en-US"/>
              </w:rPr>
              <w:t>i.v.</w:t>
            </w:r>
            <w:proofErr w:type="spellEnd"/>
          </w:p>
        </w:tc>
      </w:tr>
      <w:tr w:rsidR="00602A56" w14:paraId="70076632" w14:textId="77777777" w:rsidTr="00602A56">
        <w:tc>
          <w:tcPr>
            <w:tcW w:w="2394" w:type="dxa"/>
          </w:tcPr>
          <w:p w14:paraId="2FB069F0" w14:textId="60ECAA6E" w:rsidR="00602A56" w:rsidRPr="00602A56" w:rsidRDefault="00602A56" w:rsidP="00602A56">
            <w:r w:rsidRPr="00602A56">
              <w:rPr>
                <w:szCs w:val="20"/>
              </w:rPr>
              <w:t>1-ви ден</w:t>
            </w:r>
          </w:p>
        </w:tc>
        <w:tc>
          <w:tcPr>
            <w:tcW w:w="2394" w:type="dxa"/>
          </w:tcPr>
          <w:p w14:paraId="1DDCF7AD" w14:textId="725337DE" w:rsidR="00602A56" w:rsidRPr="00602A56" w:rsidRDefault="00602A56" w:rsidP="00602A56">
            <w:r w:rsidRPr="00602A56">
              <w:rPr>
                <w:szCs w:val="20"/>
              </w:rPr>
              <w:t xml:space="preserve">8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4116795F" w14:textId="7D932DCA"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 xml:space="preserve">на всеки </w:t>
            </w:r>
            <w:r w:rsidRPr="00602A56">
              <w:rPr>
                <w:szCs w:val="20"/>
                <w:lang w:val="ru-RU"/>
              </w:rPr>
              <w:t xml:space="preserve">2 </w:t>
            </w:r>
            <w:r w:rsidRPr="00602A56">
              <w:rPr>
                <w:szCs w:val="20"/>
              </w:rPr>
              <w:t>часа</w:t>
            </w:r>
          </w:p>
        </w:tc>
        <w:tc>
          <w:tcPr>
            <w:tcW w:w="2394" w:type="dxa"/>
          </w:tcPr>
          <w:p w14:paraId="163AFCF8" w14:textId="12509F30"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 xml:space="preserve">на всеки </w:t>
            </w:r>
            <w:r w:rsidRPr="00602A56">
              <w:rPr>
                <w:szCs w:val="20"/>
                <w:lang w:val="ru-RU"/>
              </w:rPr>
              <w:t xml:space="preserve">3 </w:t>
            </w:r>
            <w:r w:rsidRPr="00602A56">
              <w:rPr>
                <w:szCs w:val="20"/>
              </w:rPr>
              <w:t>часа</w:t>
            </w:r>
          </w:p>
        </w:tc>
      </w:tr>
      <w:tr w:rsidR="00602A56" w14:paraId="224E84F4" w14:textId="77777777" w:rsidTr="00602A56">
        <w:tc>
          <w:tcPr>
            <w:tcW w:w="2394" w:type="dxa"/>
          </w:tcPr>
          <w:p w14:paraId="66E87D87" w14:textId="39F7B134" w:rsidR="00602A56" w:rsidRPr="00602A56" w:rsidRDefault="00602A56" w:rsidP="00602A56">
            <w:r w:rsidRPr="00602A56">
              <w:rPr>
                <w:szCs w:val="20"/>
              </w:rPr>
              <w:t>2-ри ден</w:t>
            </w:r>
          </w:p>
        </w:tc>
        <w:tc>
          <w:tcPr>
            <w:tcW w:w="2394" w:type="dxa"/>
          </w:tcPr>
          <w:p w14:paraId="00249D82" w14:textId="6E55FDA4" w:rsidR="00602A56" w:rsidRPr="00602A56" w:rsidRDefault="00602A56" w:rsidP="00602A56">
            <w:r w:rsidRPr="00602A56">
              <w:rPr>
                <w:szCs w:val="20"/>
              </w:rPr>
              <w:t xml:space="preserve">8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17BB2233" w14:textId="73F0700A"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011BCB2F" w14:textId="6A072C63"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3 часа</w:t>
            </w:r>
          </w:p>
        </w:tc>
      </w:tr>
      <w:tr w:rsidR="00602A56" w14:paraId="2DF10EA0" w14:textId="77777777" w:rsidTr="00602A56">
        <w:tc>
          <w:tcPr>
            <w:tcW w:w="2394" w:type="dxa"/>
          </w:tcPr>
          <w:p w14:paraId="394F3720" w14:textId="303EBC70" w:rsidR="00602A56" w:rsidRPr="00602A56" w:rsidRDefault="00602A56" w:rsidP="00602A56">
            <w:r w:rsidRPr="00602A56">
              <w:rPr>
                <w:szCs w:val="20"/>
              </w:rPr>
              <w:t>3-ти ден</w:t>
            </w:r>
          </w:p>
        </w:tc>
        <w:tc>
          <w:tcPr>
            <w:tcW w:w="2394" w:type="dxa"/>
          </w:tcPr>
          <w:p w14:paraId="2F029DC5" w14:textId="71CFF2CB" w:rsidR="00602A56" w:rsidRPr="00602A56" w:rsidRDefault="00602A56" w:rsidP="00602A56">
            <w:r w:rsidRPr="00602A56">
              <w:rPr>
                <w:szCs w:val="20"/>
              </w:rPr>
              <w:t xml:space="preserve">8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126B4B90" w14:textId="51A25B58"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393E813F" w14:textId="5C9713B6"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3 часа</w:t>
            </w:r>
          </w:p>
        </w:tc>
      </w:tr>
      <w:tr w:rsidR="00602A56" w14:paraId="7B64C68A" w14:textId="77777777" w:rsidTr="00602A56">
        <w:tc>
          <w:tcPr>
            <w:tcW w:w="2394" w:type="dxa"/>
          </w:tcPr>
          <w:p w14:paraId="13CAE792" w14:textId="2ADC17AB" w:rsidR="00602A56" w:rsidRPr="00602A56" w:rsidRDefault="00602A56" w:rsidP="00602A56">
            <w:r w:rsidRPr="00602A56">
              <w:rPr>
                <w:szCs w:val="20"/>
              </w:rPr>
              <w:t>4-ти ден</w:t>
            </w:r>
          </w:p>
        </w:tc>
        <w:tc>
          <w:tcPr>
            <w:tcW w:w="2394" w:type="dxa"/>
          </w:tcPr>
          <w:p w14:paraId="6A227E8A" w14:textId="5884B9D6"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2 часа</w:t>
            </w:r>
          </w:p>
        </w:tc>
        <w:tc>
          <w:tcPr>
            <w:tcW w:w="2394" w:type="dxa"/>
          </w:tcPr>
          <w:p w14:paraId="485D5E4E" w14:textId="76DA21DA"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4 часа</w:t>
            </w:r>
          </w:p>
        </w:tc>
        <w:tc>
          <w:tcPr>
            <w:tcW w:w="2394" w:type="dxa"/>
          </w:tcPr>
          <w:p w14:paraId="40F7BEF0" w14:textId="2951A39B"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6 часа</w:t>
            </w:r>
          </w:p>
        </w:tc>
      </w:tr>
      <w:tr w:rsidR="00602A56" w14:paraId="641F0B37" w14:textId="77777777" w:rsidTr="00602A56">
        <w:tc>
          <w:tcPr>
            <w:tcW w:w="2394" w:type="dxa"/>
          </w:tcPr>
          <w:p w14:paraId="642195AA" w14:textId="3BFE2B14" w:rsidR="00602A56" w:rsidRPr="00602A56" w:rsidRDefault="00602A56" w:rsidP="00602A56">
            <w:r w:rsidRPr="00602A56">
              <w:rPr>
                <w:szCs w:val="20"/>
              </w:rPr>
              <w:t>5-ти - 8-ми ден</w:t>
            </w:r>
          </w:p>
        </w:tc>
        <w:tc>
          <w:tcPr>
            <w:tcW w:w="2394" w:type="dxa"/>
          </w:tcPr>
          <w:p w14:paraId="77778C92" w14:textId="20C779D5"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4 часа</w:t>
            </w:r>
          </w:p>
        </w:tc>
        <w:tc>
          <w:tcPr>
            <w:tcW w:w="2394" w:type="dxa"/>
          </w:tcPr>
          <w:p w14:paraId="4058B9DF" w14:textId="1F999282" w:rsidR="00602A56" w:rsidRPr="00602A56" w:rsidRDefault="00602A56" w:rsidP="00602A56">
            <w:r w:rsidRPr="00602A56">
              <w:rPr>
                <w:szCs w:val="20"/>
              </w:rPr>
              <w:t xml:space="preserve">4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6 часа</w:t>
            </w:r>
          </w:p>
        </w:tc>
        <w:tc>
          <w:tcPr>
            <w:tcW w:w="2394" w:type="dxa"/>
          </w:tcPr>
          <w:p w14:paraId="26DF6B2B" w14:textId="61964C8E" w:rsidR="00602A56" w:rsidRPr="00602A56" w:rsidRDefault="00602A56" w:rsidP="00602A56">
            <w:r w:rsidRPr="00602A56">
              <w:rPr>
                <w:szCs w:val="20"/>
              </w:rPr>
              <w:t xml:space="preserve">2 </w:t>
            </w:r>
            <w:r w:rsidRPr="00602A56">
              <w:rPr>
                <w:szCs w:val="20"/>
                <w:lang w:val="en-US"/>
              </w:rPr>
              <w:t>mg</w:t>
            </w:r>
            <w:r w:rsidRPr="00602A56">
              <w:rPr>
                <w:szCs w:val="20"/>
                <w:lang w:val="ru-RU"/>
              </w:rPr>
              <w:t xml:space="preserve"> </w:t>
            </w:r>
            <w:proofErr w:type="spellStart"/>
            <w:r w:rsidRPr="00602A56">
              <w:rPr>
                <w:szCs w:val="20"/>
                <w:lang w:val="en-US"/>
              </w:rPr>
              <w:t>i</w:t>
            </w:r>
            <w:proofErr w:type="spellEnd"/>
            <w:r w:rsidRPr="00602A56">
              <w:rPr>
                <w:szCs w:val="20"/>
                <w:lang w:val="ru-RU"/>
              </w:rPr>
              <w:t>.</w:t>
            </w:r>
            <w:r w:rsidRPr="00602A56">
              <w:rPr>
                <w:szCs w:val="20"/>
                <w:lang w:val="en-US"/>
              </w:rPr>
              <w:t>v</w:t>
            </w:r>
            <w:r w:rsidRPr="00602A56">
              <w:rPr>
                <w:szCs w:val="20"/>
                <w:lang w:val="ru-RU"/>
              </w:rPr>
              <w:t xml:space="preserve">. </w:t>
            </w:r>
            <w:r w:rsidRPr="00602A56">
              <w:rPr>
                <w:szCs w:val="20"/>
              </w:rPr>
              <w:t>на всеки 6 часа</w:t>
            </w:r>
          </w:p>
        </w:tc>
      </w:tr>
      <w:tr w:rsidR="00602A56" w14:paraId="5505F043" w14:textId="77777777" w:rsidTr="00602A56">
        <w:tc>
          <w:tcPr>
            <w:tcW w:w="2394" w:type="dxa"/>
          </w:tcPr>
          <w:p w14:paraId="15FE1879" w14:textId="5E03E0CA" w:rsidR="00602A56" w:rsidRPr="00602A56" w:rsidRDefault="00602A56" w:rsidP="00602A56">
            <w:r w:rsidRPr="00602A56">
              <w:rPr>
                <w:szCs w:val="20"/>
              </w:rPr>
              <w:lastRenderedPageBreak/>
              <w:t>След 8-ия ден</w:t>
            </w:r>
          </w:p>
        </w:tc>
        <w:tc>
          <w:tcPr>
            <w:tcW w:w="2394" w:type="dxa"/>
          </w:tcPr>
          <w:p w14:paraId="4FFD851D" w14:textId="55D3933A" w:rsidR="00602A56" w:rsidRPr="00602A56" w:rsidRDefault="00602A56" w:rsidP="00602A56">
            <w:r w:rsidRPr="00602A56">
              <w:rPr>
                <w:szCs w:val="20"/>
              </w:rPr>
              <w:t xml:space="preserve">Дозата се редуцира с 4 </w:t>
            </w:r>
            <w:r w:rsidRPr="00602A56">
              <w:rPr>
                <w:szCs w:val="20"/>
                <w:u w:val="single"/>
                <w:lang w:val="en-US"/>
              </w:rPr>
              <w:t>mg</w:t>
            </w:r>
            <w:r w:rsidRPr="00602A56">
              <w:rPr>
                <w:szCs w:val="20"/>
                <w:u w:val="single"/>
                <w:lang w:val="ru-RU"/>
              </w:rPr>
              <w:t xml:space="preserve"> </w:t>
            </w:r>
            <w:r w:rsidRPr="00602A56">
              <w:rPr>
                <w:szCs w:val="20"/>
                <w:u w:val="single"/>
              </w:rPr>
              <w:t>дневно</w:t>
            </w:r>
            <w:r w:rsidRPr="00602A56">
              <w:rPr>
                <w:szCs w:val="20"/>
              </w:rPr>
              <w:tab/>
            </w:r>
          </w:p>
        </w:tc>
        <w:tc>
          <w:tcPr>
            <w:tcW w:w="2394" w:type="dxa"/>
          </w:tcPr>
          <w:p w14:paraId="4BE89B5A" w14:textId="30C3FCDA" w:rsidR="00602A56" w:rsidRPr="00602A56" w:rsidRDefault="00602A56" w:rsidP="00602A56">
            <w:r w:rsidRPr="00602A56">
              <w:rPr>
                <w:szCs w:val="20"/>
              </w:rPr>
              <w:t xml:space="preserve">Дозата се редуцира с 2 </w:t>
            </w:r>
            <w:r w:rsidRPr="00602A56">
              <w:rPr>
                <w:szCs w:val="20"/>
                <w:u w:val="single"/>
                <w:lang w:val="en-US"/>
              </w:rPr>
              <w:t>mg</w:t>
            </w:r>
            <w:r w:rsidRPr="00602A56">
              <w:rPr>
                <w:szCs w:val="20"/>
                <w:u w:val="single"/>
                <w:lang w:val="ru-RU"/>
              </w:rPr>
              <w:t xml:space="preserve"> </w:t>
            </w:r>
            <w:r w:rsidRPr="00602A56">
              <w:rPr>
                <w:szCs w:val="20"/>
                <w:u w:val="single"/>
              </w:rPr>
              <w:t>дневно</w:t>
            </w:r>
          </w:p>
        </w:tc>
        <w:tc>
          <w:tcPr>
            <w:tcW w:w="2394" w:type="dxa"/>
          </w:tcPr>
          <w:p w14:paraId="359CA22A" w14:textId="69C7F66F" w:rsidR="00602A56" w:rsidRPr="00602A56" w:rsidRDefault="00602A56" w:rsidP="00602A56">
            <w:r w:rsidRPr="00602A56">
              <w:rPr>
                <w:szCs w:val="20"/>
              </w:rPr>
              <w:t xml:space="preserve">Дозата се редуцира с 1 </w:t>
            </w:r>
            <w:r w:rsidRPr="00602A56">
              <w:rPr>
                <w:szCs w:val="20"/>
                <w:lang w:val="en-US"/>
              </w:rPr>
              <w:t>mg</w:t>
            </w:r>
            <w:r w:rsidRPr="00602A56">
              <w:rPr>
                <w:szCs w:val="20"/>
                <w:lang w:val="ru-RU"/>
              </w:rPr>
              <w:t xml:space="preserve"> </w:t>
            </w:r>
            <w:r w:rsidRPr="00602A56">
              <w:rPr>
                <w:szCs w:val="20"/>
                <w:u w:val="single"/>
              </w:rPr>
              <w:t>дневно</w:t>
            </w:r>
          </w:p>
        </w:tc>
      </w:tr>
    </w:tbl>
    <w:p w14:paraId="4B50F713" w14:textId="3745E5DA" w:rsidR="00602A56" w:rsidRDefault="00602A56" w:rsidP="00602A56"/>
    <w:p w14:paraId="43559AD9" w14:textId="77777777" w:rsidR="00602A56" w:rsidRPr="00602A56" w:rsidRDefault="00602A56" w:rsidP="00602A56">
      <w:pPr>
        <w:pStyle w:val="ListParagraph"/>
        <w:numPr>
          <w:ilvl w:val="0"/>
          <w:numId w:val="37"/>
        </w:numPr>
        <w:spacing w:line="240" w:lineRule="auto"/>
        <w:rPr>
          <w:rFonts w:eastAsia="Times New Roman" w:cs="Arial"/>
          <w:b/>
          <w:bCs/>
          <w:color w:val="000000"/>
          <w:szCs w:val="20"/>
          <w:lang w:eastAsia="bg-BG"/>
        </w:rPr>
      </w:pPr>
      <w:r w:rsidRPr="00602A56">
        <w:rPr>
          <w:rFonts w:eastAsia="Times New Roman" w:cs="Arial"/>
          <w:b/>
          <w:bCs/>
          <w:color w:val="000000"/>
          <w:szCs w:val="20"/>
          <w:lang w:eastAsia="bg-BG"/>
        </w:rPr>
        <w:t xml:space="preserve">За лечение на </w:t>
      </w:r>
      <w:r w:rsidRPr="00602A56">
        <w:rPr>
          <w:rFonts w:eastAsia="Times New Roman" w:cs="Arial"/>
          <w:b/>
          <w:bCs/>
          <w:color w:val="000000"/>
          <w:szCs w:val="20"/>
          <w:lang w:val="en-US"/>
        </w:rPr>
        <w:t>Covid-19</w:t>
      </w:r>
    </w:p>
    <w:p w14:paraId="46223DA4"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 xml:space="preserve">Възрастни пациенти: 6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v</w:t>
      </w:r>
      <w:r w:rsidRPr="00602A56">
        <w:rPr>
          <w:rFonts w:eastAsia="Times New Roman" w:cs="Arial"/>
          <w:color w:val="000000"/>
          <w:szCs w:val="20"/>
          <w:lang w:val="ru-RU"/>
        </w:rPr>
        <w:t xml:space="preserve">. </w:t>
      </w:r>
      <w:r w:rsidRPr="00602A56">
        <w:rPr>
          <w:rFonts w:eastAsia="Times New Roman" w:cs="Arial"/>
          <w:color w:val="000000"/>
          <w:szCs w:val="20"/>
          <w:lang w:eastAsia="bg-BG"/>
        </w:rPr>
        <w:t>веднъж дневно в продължение на/до 10 дни.</w:t>
      </w:r>
    </w:p>
    <w:p w14:paraId="2AA38902" w14:textId="77777777" w:rsidR="00602A56" w:rsidRPr="00602A56" w:rsidRDefault="00602A56" w:rsidP="00602A56">
      <w:pPr>
        <w:spacing w:line="240" w:lineRule="auto"/>
        <w:rPr>
          <w:rFonts w:eastAsia="Times New Roman" w:cs="Arial"/>
          <w:sz w:val="28"/>
          <w:szCs w:val="24"/>
        </w:rPr>
      </w:pPr>
      <w:r w:rsidRPr="00602A56">
        <w:rPr>
          <w:rFonts w:eastAsia="Times New Roman" w:cs="Arial"/>
          <w:i/>
          <w:iCs/>
          <w:color w:val="000000"/>
          <w:szCs w:val="20"/>
          <w:lang w:eastAsia="bg-BG"/>
        </w:rPr>
        <w:t>Педиатрична популация</w:t>
      </w:r>
    </w:p>
    <w:p w14:paraId="5ECBCFB1"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 xml:space="preserve">Препоръчва се педиатричните пациенти (юноши на възраст над 12 години) да приемат доза от 6 </w:t>
      </w:r>
      <w:r w:rsidRPr="00602A56">
        <w:rPr>
          <w:rFonts w:eastAsia="Times New Roman" w:cs="Arial"/>
          <w:color w:val="000000"/>
          <w:szCs w:val="20"/>
          <w:lang w:val="en-US"/>
        </w:rPr>
        <w:t>mg</w:t>
      </w:r>
      <w:r w:rsidRPr="00602A56">
        <w:rPr>
          <w:rFonts w:eastAsia="Times New Roman" w:cs="Arial"/>
          <w:color w:val="000000"/>
          <w:szCs w:val="20"/>
          <w:lang w:val="ru-RU"/>
        </w:rPr>
        <w:t xml:space="preserve"> </w:t>
      </w:r>
      <w:proofErr w:type="spellStart"/>
      <w:r w:rsidRPr="00602A56">
        <w:rPr>
          <w:rFonts w:eastAsia="Times New Roman" w:cs="Arial"/>
          <w:color w:val="000000"/>
          <w:szCs w:val="20"/>
          <w:lang w:val="en-US"/>
        </w:rPr>
        <w:t>i</w:t>
      </w:r>
      <w:proofErr w:type="spellEnd"/>
      <w:r w:rsidRPr="00602A56">
        <w:rPr>
          <w:rFonts w:eastAsia="Times New Roman" w:cs="Arial"/>
          <w:color w:val="000000"/>
          <w:szCs w:val="20"/>
          <w:lang w:val="ru-RU"/>
        </w:rPr>
        <w:t>.</w:t>
      </w:r>
      <w:r w:rsidRPr="00602A56">
        <w:rPr>
          <w:rFonts w:eastAsia="Times New Roman" w:cs="Arial"/>
          <w:color w:val="000000"/>
          <w:szCs w:val="20"/>
          <w:lang w:val="en-US"/>
        </w:rPr>
        <w:t>v</w:t>
      </w:r>
      <w:r w:rsidRPr="00602A56">
        <w:rPr>
          <w:rFonts w:eastAsia="Times New Roman" w:cs="Arial"/>
          <w:color w:val="000000"/>
          <w:szCs w:val="20"/>
          <w:lang w:val="ru-RU"/>
        </w:rPr>
        <w:t xml:space="preserve">. </w:t>
      </w:r>
      <w:r w:rsidRPr="00602A56">
        <w:rPr>
          <w:rFonts w:eastAsia="Times New Roman" w:cs="Arial"/>
          <w:color w:val="000000"/>
          <w:szCs w:val="20"/>
          <w:lang w:eastAsia="bg-BG"/>
        </w:rPr>
        <w:t>веднъж дневно в продължение на/до 10 дни.</w:t>
      </w:r>
    </w:p>
    <w:p w14:paraId="4BEB9B75"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Продължителността на лечението трябва да се определя от клиничния отговор и индивидуалните нужди на пациента.</w:t>
      </w:r>
    </w:p>
    <w:p w14:paraId="28B7AF66" w14:textId="77777777" w:rsidR="00602A56" w:rsidRPr="00602A56" w:rsidRDefault="00602A56" w:rsidP="00602A56">
      <w:pPr>
        <w:spacing w:line="240" w:lineRule="auto"/>
        <w:rPr>
          <w:rFonts w:eastAsia="Times New Roman" w:cs="Arial"/>
          <w:sz w:val="28"/>
          <w:szCs w:val="24"/>
        </w:rPr>
      </w:pPr>
      <w:r w:rsidRPr="00602A56">
        <w:rPr>
          <w:rFonts w:eastAsia="Times New Roman" w:cs="Arial"/>
          <w:i/>
          <w:iCs/>
          <w:color w:val="000000"/>
          <w:szCs w:val="20"/>
          <w:lang w:eastAsia="bg-BG"/>
        </w:rPr>
        <w:t xml:space="preserve">Пациенти в старческа възраст, бъбречно увреждане, чернодробно увреждане </w:t>
      </w:r>
      <w:r w:rsidRPr="00602A56">
        <w:rPr>
          <w:rFonts w:eastAsia="Times New Roman" w:cs="Arial"/>
          <w:color w:val="000000"/>
          <w:szCs w:val="20"/>
          <w:lang w:eastAsia="bg-BG"/>
        </w:rPr>
        <w:t>Не е необходимо коригиране на дозата.</w:t>
      </w:r>
    </w:p>
    <w:p w14:paraId="29A6D5FA" w14:textId="77777777" w:rsidR="00602A56" w:rsidRPr="00602A56" w:rsidRDefault="00602A56" w:rsidP="00602A56">
      <w:pPr>
        <w:spacing w:line="240" w:lineRule="auto"/>
        <w:rPr>
          <w:rFonts w:eastAsia="Times New Roman" w:cs="Arial"/>
          <w:b/>
          <w:bCs/>
          <w:color w:val="000000"/>
          <w:szCs w:val="20"/>
          <w:u w:val="single"/>
          <w:lang w:eastAsia="bg-BG"/>
        </w:rPr>
      </w:pPr>
      <w:bookmarkStart w:id="2" w:name="bookmark2"/>
    </w:p>
    <w:p w14:paraId="29D09201" w14:textId="23D7D22D" w:rsidR="00602A56" w:rsidRPr="00602A56" w:rsidRDefault="00602A56" w:rsidP="00602A56">
      <w:pPr>
        <w:spacing w:line="240" w:lineRule="auto"/>
        <w:rPr>
          <w:rFonts w:eastAsia="Times New Roman" w:cs="Arial"/>
          <w:sz w:val="28"/>
          <w:szCs w:val="24"/>
        </w:rPr>
      </w:pPr>
      <w:r w:rsidRPr="00602A56">
        <w:rPr>
          <w:rFonts w:eastAsia="Times New Roman" w:cs="Arial"/>
          <w:b/>
          <w:bCs/>
          <w:color w:val="000000"/>
          <w:szCs w:val="20"/>
          <w:u w:val="single"/>
          <w:lang w:eastAsia="bg-BG"/>
        </w:rPr>
        <w:t>Приложение в стави и меки тъкани</w:t>
      </w:r>
      <w:bookmarkEnd w:id="2"/>
    </w:p>
    <w:p w14:paraId="417E01D0"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Инжектиране в стави и меки тъкани се използва, когато засегнатите стави или области са ограничени на 1 или 2 места. Интервалите на инжектирането варират от еднократно на всеки</w:t>
      </w:r>
    </w:p>
    <w:p w14:paraId="1A184D0D"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5 дни до еднократно на всеки 2-3 седмици в зависимост от повлияването на симптомите на заболяването.</w:t>
      </w:r>
    </w:p>
    <w:p w14:paraId="481A2E0D" w14:textId="10FECC28" w:rsidR="00602A56" w:rsidRPr="00602A56" w:rsidRDefault="00602A56" w:rsidP="00602A56">
      <w:pPr>
        <w:rPr>
          <w:rFonts w:eastAsia="Times New Roman" w:cs="Arial"/>
          <w:color w:val="000000"/>
          <w:szCs w:val="20"/>
          <w:lang w:eastAsia="bg-BG"/>
        </w:rPr>
      </w:pPr>
      <w:r w:rsidRPr="00602A56">
        <w:rPr>
          <w:rFonts w:eastAsia="Times New Roman" w:cs="Arial"/>
          <w:color w:val="000000"/>
          <w:szCs w:val="20"/>
          <w:lang w:eastAsia="bg-BG"/>
        </w:rPr>
        <w:t>Препоръчваните еднократни дози са:</w:t>
      </w:r>
    </w:p>
    <w:p w14:paraId="78A86F77"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големи стави (като колянна) - от 2 до 4 </w:t>
      </w:r>
      <w:r w:rsidRPr="00602A56">
        <w:rPr>
          <w:rFonts w:eastAsia="Times New Roman" w:cs="Arial"/>
          <w:color w:val="000000"/>
          <w:szCs w:val="20"/>
          <w:lang w:val="en-US"/>
        </w:rPr>
        <w:t>mg</w:t>
      </w:r>
      <w:r w:rsidRPr="00602A56">
        <w:rPr>
          <w:rFonts w:eastAsia="Times New Roman" w:cs="Arial"/>
          <w:color w:val="000000"/>
          <w:szCs w:val="20"/>
          <w:lang w:val="ru-RU"/>
        </w:rPr>
        <w:t>;</w:t>
      </w:r>
    </w:p>
    <w:p w14:paraId="70C9219D"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малки стави (като интерфалангеални) - от 0,8 до 1 </w:t>
      </w:r>
      <w:r w:rsidRPr="00602A56">
        <w:rPr>
          <w:rFonts w:eastAsia="Times New Roman" w:cs="Arial"/>
          <w:color w:val="000000"/>
          <w:szCs w:val="20"/>
          <w:lang w:val="en-US"/>
        </w:rPr>
        <w:t>mg</w:t>
      </w:r>
      <w:r w:rsidRPr="00602A56">
        <w:rPr>
          <w:rFonts w:eastAsia="Times New Roman" w:cs="Arial"/>
          <w:color w:val="000000"/>
          <w:szCs w:val="20"/>
          <w:lang w:val="ru-RU"/>
        </w:rPr>
        <w:t>;</w:t>
      </w:r>
    </w:p>
    <w:p w14:paraId="6F1B67C3"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бурси - от 2 до 3 </w:t>
      </w:r>
      <w:r w:rsidRPr="00602A56">
        <w:rPr>
          <w:rFonts w:eastAsia="Times New Roman" w:cs="Arial"/>
          <w:color w:val="000000"/>
          <w:szCs w:val="20"/>
          <w:lang w:val="en-US"/>
        </w:rPr>
        <w:t>mg</w:t>
      </w:r>
      <w:r w:rsidRPr="00602A56">
        <w:rPr>
          <w:rFonts w:eastAsia="Times New Roman" w:cs="Arial"/>
          <w:color w:val="000000"/>
          <w:szCs w:val="20"/>
          <w:lang w:val="ru-RU"/>
        </w:rPr>
        <w:t>;</w:t>
      </w:r>
    </w:p>
    <w:p w14:paraId="09689B0E"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синовиални влагалища - от 0,4 до 1 </w:t>
      </w:r>
      <w:r w:rsidRPr="00602A56">
        <w:rPr>
          <w:rFonts w:eastAsia="Times New Roman" w:cs="Arial"/>
          <w:color w:val="000000"/>
          <w:szCs w:val="20"/>
          <w:lang w:val="en-US"/>
        </w:rPr>
        <w:t>mg</w:t>
      </w:r>
      <w:r w:rsidRPr="00602A56">
        <w:rPr>
          <w:rFonts w:eastAsia="Times New Roman" w:cs="Arial"/>
          <w:color w:val="000000"/>
          <w:szCs w:val="20"/>
          <w:lang w:val="ru-RU"/>
        </w:rPr>
        <w:t>;</w:t>
      </w:r>
    </w:p>
    <w:p w14:paraId="0D111B44"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инфилтрация на меки тъкани - 2 до 6 </w:t>
      </w:r>
      <w:r w:rsidRPr="00602A56">
        <w:rPr>
          <w:rFonts w:eastAsia="Times New Roman" w:cs="Arial"/>
          <w:color w:val="000000"/>
          <w:szCs w:val="20"/>
          <w:lang w:val="en-US"/>
        </w:rPr>
        <w:t>mg</w:t>
      </w:r>
      <w:r w:rsidRPr="00602A56">
        <w:rPr>
          <w:rFonts w:eastAsia="Times New Roman" w:cs="Arial"/>
          <w:color w:val="000000"/>
          <w:szCs w:val="20"/>
          <w:lang w:val="ru-RU"/>
        </w:rPr>
        <w:t>;</w:t>
      </w:r>
    </w:p>
    <w:p w14:paraId="644FB580" w14:textId="77777777" w:rsidR="00602A56" w:rsidRPr="00602A56" w:rsidRDefault="00602A56" w:rsidP="00602A56">
      <w:pPr>
        <w:pStyle w:val="ListParagraph"/>
        <w:numPr>
          <w:ilvl w:val="0"/>
          <w:numId w:val="38"/>
        </w:numPr>
        <w:spacing w:line="240" w:lineRule="auto"/>
        <w:rPr>
          <w:rFonts w:eastAsia="Times New Roman" w:cs="Arial"/>
          <w:sz w:val="28"/>
          <w:szCs w:val="24"/>
        </w:rPr>
      </w:pPr>
      <w:r w:rsidRPr="00602A56">
        <w:rPr>
          <w:rFonts w:eastAsia="Times New Roman" w:cs="Arial"/>
          <w:color w:val="000000"/>
          <w:szCs w:val="20"/>
          <w:lang w:eastAsia="bg-BG"/>
        </w:rPr>
        <w:t xml:space="preserve">ганглии - 1 до 2 </w:t>
      </w:r>
      <w:r w:rsidRPr="00602A56">
        <w:rPr>
          <w:rFonts w:eastAsia="Times New Roman" w:cs="Arial"/>
          <w:color w:val="000000"/>
          <w:szCs w:val="20"/>
          <w:lang w:val="en-US"/>
        </w:rPr>
        <w:t>mg</w:t>
      </w:r>
      <w:r w:rsidRPr="00602A56">
        <w:rPr>
          <w:rFonts w:eastAsia="Times New Roman" w:cs="Arial"/>
          <w:color w:val="000000"/>
          <w:szCs w:val="20"/>
          <w:lang w:val="ru-RU"/>
        </w:rPr>
        <w:t>.</w:t>
      </w:r>
    </w:p>
    <w:p w14:paraId="4DAB5067" w14:textId="77777777" w:rsidR="00602A56" w:rsidRPr="00602A56" w:rsidRDefault="00602A56" w:rsidP="00602A56">
      <w:pPr>
        <w:spacing w:line="240" w:lineRule="auto"/>
        <w:rPr>
          <w:rFonts w:eastAsia="Times New Roman" w:cs="Arial"/>
          <w:color w:val="000000"/>
          <w:szCs w:val="20"/>
          <w:u w:val="single"/>
          <w:lang w:eastAsia="bg-BG"/>
        </w:rPr>
      </w:pPr>
    </w:p>
    <w:p w14:paraId="60F2D95F" w14:textId="2C6C3148"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u w:val="single"/>
          <w:lang w:eastAsia="bg-BG"/>
        </w:rPr>
        <w:t>Педиатрична популация</w:t>
      </w:r>
    </w:p>
    <w:p w14:paraId="5F8A049A"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Дозите при деца варират индивидуално. Като правило се препоръчват по 200 μ</w:t>
      </w:r>
      <w:r w:rsidRPr="00602A56">
        <w:rPr>
          <w:rFonts w:eastAsia="Times New Roman" w:cs="Arial"/>
          <w:color w:val="000000"/>
          <w:szCs w:val="20"/>
          <w:lang w:val="en-US"/>
        </w:rPr>
        <w:t>g</w:t>
      </w:r>
      <w:r w:rsidRPr="00602A56">
        <w:rPr>
          <w:rFonts w:eastAsia="Times New Roman" w:cs="Arial"/>
          <w:color w:val="000000"/>
          <w:szCs w:val="20"/>
          <w:lang w:val="ru-RU"/>
        </w:rPr>
        <w:t>/</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до 400</w:t>
      </w:r>
    </w:p>
    <w:p w14:paraId="4CDF61C9"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μ</w:t>
      </w:r>
      <w:r w:rsidRPr="00602A56">
        <w:rPr>
          <w:rFonts w:eastAsia="Times New Roman" w:cs="Arial"/>
          <w:color w:val="000000"/>
          <w:szCs w:val="20"/>
          <w:lang w:val="en-US"/>
        </w:rPr>
        <w:t>g</w:t>
      </w:r>
      <w:r w:rsidRPr="00602A56">
        <w:rPr>
          <w:rFonts w:eastAsia="Times New Roman" w:cs="Arial"/>
          <w:color w:val="000000"/>
          <w:szCs w:val="20"/>
          <w:lang w:val="ru-RU"/>
        </w:rPr>
        <w:t>/</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телесно тегло дневно.</w:t>
      </w:r>
    </w:p>
    <w:p w14:paraId="30B72DB1"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Дозите трябва да се ограничат до еднократна доза през ден, с оглед намаляване на нежеланите реакции като забавяне на растежа и намаляване супресията на хипоталамо-хипофизо- надбъбречната ос.</w:t>
      </w:r>
    </w:p>
    <w:p w14:paraId="24A36BD3" w14:textId="77777777" w:rsidR="00602A56" w:rsidRPr="00602A56" w:rsidRDefault="00602A56" w:rsidP="00602A56">
      <w:pPr>
        <w:spacing w:line="240" w:lineRule="auto"/>
        <w:rPr>
          <w:rFonts w:eastAsia="Times New Roman" w:cs="Arial"/>
          <w:b/>
          <w:bCs/>
          <w:color w:val="000000"/>
          <w:szCs w:val="20"/>
          <w:lang w:eastAsia="bg-BG"/>
        </w:rPr>
      </w:pPr>
    </w:p>
    <w:p w14:paraId="7E60B8B0" w14:textId="16E9DBD6" w:rsidR="00602A56" w:rsidRPr="00602A56" w:rsidRDefault="00602A56" w:rsidP="00602A56">
      <w:pPr>
        <w:spacing w:line="240" w:lineRule="auto"/>
        <w:rPr>
          <w:rFonts w:eastAsia="Times New Roman" w:cs="Arial"/>
          <w:sz w:val="28"/>
          <w:szCs w:val="24"/>
        </w:rPr>
      </w:pPr>
      <w:r w:rsidRPr="00602A56">
        <w:rPr>
          <w:rFonts w:eastAsia="Times New Roman" w:cs="Arial"/>
          <w:b/>
          <w:bCs/>
          <w:color w:val="000000"/>
          <w:szCs w:val="20"/>
          <w:lang w:eastAsia="bg-BG"/>
        </w:rPr>
        <w:t>Възрастни (над 65 години)</w:t>
      </w:r>
    </w:p>
    <w:p w14:paraId="5F9A2C86"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Лечението на възрастни пациенти, особено за продължително време, трябва да се планира, като се имат предвид по-сериозните дългосрочни последици от нежелани реакции на кортикостероидите при възрастни, особено остеопороза, диабет, хипертония, хипокалиемия, предразположение към инфекции, изтъняване на кожата. Необходимо е внимателно клинично наблюдение с цел предотвратяване на животозастрашаващи реакции (виж т. 4.8).</w:t>
      </w:r>
    </w:p>
    <w:p w14:paraId="2CF039E5" w14:textId="77777777" w:rsidR="00602A56" w:rsidRPr="00602A56" w:rsidRDefault="00602A56" w:rsidP="00602A56">
      <w:pPr>
        <w:spacing w:line="240" w:lineRule="auto"/>
        <w:rPr>
          <w:rFonts w:eastAsia="Times New Roman" w:cs="Arial"/>
          <w:color w:val="000000"/>
          <w:szCs w:val="20"/>
          <w:u w:val="single"/>
          <w:lang w:eastAsia="bg-BG"/>
        </w:rPr>
      </w:pPr>
    </w:p>
    <w:p w14:paraId="38AB02CC" w14:textId="2683E4E0" w:rsidR="00602A56" w:rsidRPr="00602A56" w:rsidRDefault="00602A56" w:rsidP="00602A56">
      <w:pPr>
        <w:pStyle w:val="Heading3"/>
        <w:rPr>
          <w:rFonts w:eastAsia="Times New Roman"/>
          <w:sz w:val="28"/>
          <w:u w:val="single"/>
        </w:rPr>
      </w:pPr>
      <w:r w:rsidRPr="00602A56">
        <w:rPr>
          <w:rFonts w:eastAsia="Times New Roman"/>
          <w:u w:val="single"/>
          <w:lang w:eastAsia="bg-BG"/>
        </w:rPr>
        <w:t>Начин на приложение</w:t>
      </w:r>
    </w:p>
    <w:p w14:paraId="19EAE6D0" w14:textId="13971817" w:rsidR="00602A56" w:rsidRPr="00602A56" w:rsidRDefault="00602A56" w:rsidP="00602A56">
      <w:pPr>
        <w:rPr>
          <w:rFonts w:eastAsia="Times New Roman" w:cs="Arial"/>
          <w:color w:val="000000"/>
          <w:szCs w:val="20"/>
          <w:lang w:eastAsia="bg-BG"/>
        </w:rPr>
      </w:pPr>
      <w:r w:rsidRPr="00602A56">
        <w:rPr>
          <w:rFonts w:eastAsia="Times New Roman" w:cs="Arial"/>
          <w:color w:val="000000"/>
          <w:szCs w:val="20"/>
          <w:lang w:eastAsia="bg-BG"/>
        </w:rPr>
        <w:t>Дексаметазон Софарма инжекционен разтвор може да се прилага интравенозно, интрамускулно или вътреставно.</w:t>
      </w:r>
    </w:p>
    <w:p w14:paraId="39D42862" w14:textId="77777777" w:rsidR="00602A56" w:rsidRPr="00602A56" w:rsidRDefault="00602A56" w:rsidP="00602A56"/>
    <w:p w14:paraId="28C984E8" w14:textId="335E7180" w:rsidR="008134C8" w:rsidRDefault="002C50EE" w:rsidP="004A448E">
      <w:pPr>
        <w:pStyle w:val="Heading2"/>
      </w:pPr>
      <w:r>
        <w:lastRenderedPageBreak/>
        <w:t>4.3. Противопоказания</w:t>
      </w:r>
    </w:p>
    <w:p w14:paraId="49350681" w14:textId="124755E3" w:rsidR="00602A56" w:rsidRDefault="00602A56" w:rsidP="00602A56"/>
    <w:p w14:paraId="04CA67F0" w14:textId="77777777" w:rsidR="00602A56" w:rsidRDefault="00602A56" w:rsidP="00602A56">
      <w:pPr>
        <w:pStyle w:val="ListParagraph"/>
        <w:numPr>
          <w:ilvl w:val="0"/>
          <w:numId w:val="37"/>
        </w:numPr>
        <w:spacing w:line="240" w:lineRule="auto"/>
        <w:rPr>
          <w:rFonts w:ascii="Times New Roman" w:eastAsia="Times New Roman" w:hAnsi="Times New Roman" w:cs="Times New Roman"/>
          <w:color w:val="000000"/>
          <w:sz w:val="20"/>
          <w:szCs w:val="20"/>
          <w:lang w:eastAsia="bg-BG"/>
        </w:rPr>
      </w:pPr>
      <w:r w:rsidRPr="00602A56">
        <w:rPr>
          <w:rFonts w:ascii="Times New Roman" w:eastAsia="Times New Roman" w:hAnsi="Times New Roman" w:cs="Times New Roman"/>
          <w:color w:val="000000"/>
          <w:sz w:val="20"/>
          <w:szCs w:val="20"/>
          <w:lang w:eastAsia="bg-BG"/>
        </w:rPr>
        <w:t>При остри животозастрашаващи състояния противопоказание за употреба на продукта може да бъде само свръхчувствителност към активното или някое от помощните вещества.</w:t>
      </w:r>
    </w:p>
    <w:p w14:paraId="42CCCA4E" w14:textId="246D00F4" w:rsidR="00602A56" w:rsidRPr="00602A56" w:rsidRDefault="00602A56" w:rsidP="00602A56">
      <w:pPr>
        <w:pStyle w:val="ListParagraph"/>
        <w:numPr>
          <w:ilvl w:val="0"/>
          <w:numId w:val="37"/>
        </w:numPr>
        <w:spacing w:line="240" w:lineRule="auto"/>
        <w:rPr>
          <w:rFonts w:ascii="Times New Roman" w:eastAsia="Times New Roman" w:hAnsi="Times New Roman" w:cs="Times New Roman"/>
          <w:color w:val="000000"/>
          <w:sz w:val="20"/>
          <w:szCs w:val="20"/>
          <w:lang w:eastAsia="bg-BG"/>
        </w:rPr>
      </w:pPr>
      <w:r w:rsidRPr="00602A56">
        <w:rPr>
          <w:rFonts w:ascii="Times New Roman" w:eastAsia="Times New Roman" w:hAnsi="Times New Roman" w:cs="Times New Roman"/>
          <w:color w:val="000000"/>
          <w:sz w:val="20"/>
          <w:szCs w:val="20"/>
          <w:lang w:eastAsia="bg-BG"/>
        </w:rPr>
        <w:t>Във всички останали случаи важат следните относителни противопоказания:</w:t>
      </w:r>
    </w:p>
    <w:p w14:paraId="4579EA3A"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остри и хронични бактериални инфекции;</w:t>
      </w:r>
    </w:p>
    <w:p w14:paraId="21B32E00"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 xml:space="preserve">остри вирусни инфекции (херпес симплекс, херпес зостер, полиомиелит, варицела); </w:t>
      </w:r>
    </w:p>
    <w:p w14:paraId="711B8F61" w14:textId="2B922C1D"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 xml:space="preserve">хроничен активен хепатит с </w:t>
      </w:r>
      <w:proofErr w:type="spellStart"/>
      <w:r w:rsidRPr="00602A56">
        <w:rPr>
          <w:rFonts w:ascii="Times New Roman" w:eastAsia="Times New Roman" w:hAnsi="Times New Roman" w:cs="Times New Roman"/>
          <w:color w:val="000000"/>
          <w:sz w:val="20"/>
          <w:szCs w:val="20"/>
          <w:lang w:val="en-US"/>
        </w:rPr>
        <w:t>HbsAG</w:t>
      </w:r>
      <w:proofErr w:type="spellEnd"/>
      <w:r w:rsidRPr="00602A56">
        <w:rPr>
          <w:rFonts w:ascii="Times New Roman" w:eastAsia="Times New Roman" w:hAnsi="Times New Roman" w:cs="Times New Roman"/>
          <w:color w:val="000000"/>
          <w:sz w:val="20"/>
          <w:szCs w:val="20"/>
          <w:lang w:val="ru-RU"/>
        </w:rPr>
        <w:t>;</w:t>
      </w:r>
    </w:p>
    <w:p w14:paraId="4958740C"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системни микози;</w:t>
      </w:r>
    </w:p>
    <w:p w14:paraId="6168DB48"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доказани паразитози;</w:t>
      </w:r>
    </w:p>
    <w:p w14:paraId="0EB13AB7"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инфекция на мястото на инжектирането (септичен артрит в резултат на гонорея, туберкулоза), нестабилни стави (при вътреставно приложение);</w:t>
      </w:r>
    </w:p>
    <w:p w14:paraId="402644FD"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 xml:space="preserve">8 седмици преди и 2 седмици след профилактично ваксиниране, лимфаденит след ваксиниране с </w:t>
      </w:r>
      <w:r w:rsidRPr="00602A56">
        <w:rPr>
          <w:rFonts w:ascii="Times New Roman" w:eastAsia="Times New Roman" w:hAnsi="Times New Roman" w:cs="Times New Roman"/>
          <w:color w:val="000000"/>
          <w:sz w:val="20"/>
          <w:szCs w:val="20"/>
          <w:lang w:val="en-US"/>
        </w:rPr>
        <w:t>BCG</w:t>
      </w:r>
      <w:r w:rsidRPr="00602A56">
        <w:rPr>
          <w:rFonts w:ascii="Times New Roman" w:eastAsia="Times New Roman" w:hAnsi="Times New Roman" w:cs="Times New Roman"/>
          <w:color w:val="000000"/>
          <w:sz w:val="20"/>
          <w:szCs w:val="20"/>
          <w:lang w:val="ru-RU"/>
        </w:rPr>
        <w:t xml:space="preserve"> </w:t>
      </w:r>
      <w:r w:rsidRPr="00602A56">
        <w:rPr>
          <w:rFonts w:ascii="Times New Roman" w:eastAsia="Times New Roman" w:hAnsi="Times New Roman" w:cs="Times New Roman"/>
          <w:color w:val="000000"/>
          <w:sz w:val="20"/>
          <w:szCs w:val="20"/>
          <w:lang w:eastAsia="bg-BG"/>
        </w:rPr>
        <w:t>ваксина;</w:t>
      </w:r>
    </w:p>
    <w:p w14:paraId="173174D4"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язва на стомашно-чревния тракт;</w:t>
      </w:r>
    </w:p>
    <w:p w14:paraId="5F5BB777"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неконтролирана хипертония;</w:t>
      </w:r>
    </w:p>
    <w:p w14:paraId="5C9A30E3"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тежка сърдечна недостатъчност;</w:t>
      </w:r>
    </w:p>
    <w:p w14:paraId="22525A72"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захарен диабет;</w:t>
      </w:r>
    </w:p>
    <w:p w14:paraId="4C64830E" w14:textId="77777777" w:rsidR="00602A56" w:rsidRPr="00602A56" w:rsidRDefault="00602A56" w:rsidP="00602A56">
      <w:pPr>
        <w:pStyle w:val="ListParagraph"/>
        <w:numPr>
          <w:ilvl w:val="0"/>
          <w:numId w:val="40"/>
        </w:numPr>
        <w:spacing w:line="240" w:lineRule="auto"/>
        <w:rPr>
          <w:rFonts w:ascii="Times New Roman" w:eastAsia="Times New Roman" w:hAnsi="Times New Roman" w:cs="Times New Roman"/>
          <w:sz w:val="24"/>
          <w:szCs w:val="24"/>
        </w:rPr>
      </w:pPr>
      <w:r w:rsidRPr="00602A56">
        <w:rPr>
          <w:rFonts w:ascii="Times New Roman" w:eastAsia="Times New Roman" w:hAnsi="Times New Roman" w:cs="Times New Roman"/>
          <w:color w:val="000000"/>
          <w:sz w:val="20"/>
          <w:szCs w:val="20"/>
          <w:lang w:eastAsia="bg-BG"/>
        </w:rPr>
        <w:t>остеопороза;</w:t>
      </w:r>
    </w:p>
    <w:p w14:paraId="6700C4CB" w14:textId="77777777" w:rsidR="00602A56" w:rsidRPr="00602A56" w:rsidRDefault="00602A56" w:rsidP="00602A56">
      <w:pPr>
        <w:pStyle w:val="ListParagraph"/>
        <w:numPr>
          <w:ilvl w:val="0"/>
          <w:numId w:val="40"/>
        </w:numPr>
      </w:pPr>
      <w:r w:rsidRPr="00602A56">
        <w:rPr>
          <w:rFonts w:ascii="Times New Roman" w:eastAsia="Times New Roman" w:hAnsi="Times New Roman" w:cs="Times New Roman"/>
          <w:color w:val="000000"/>
          <w:sz w:val="20"/>
          <w:szCs w:val="20"/>
          <w:lang w:eastAsia="bg-BG"/>
        </w:rPr>
        <w:t xml:space="preserve">психиатрична анамнеза; </w:t>
      </w:r>
    </w:p>
    <w:p w14:paraId="55B6A2D5" w14:textId="238A9277" w:rsidR="00602A56" w:rsidRPr="00602A56" w:rsidRDefault="00602A56" w:rsidP="00602A56">
      <w:pPr>
        <w:pStyle w:val="ListParagraph"/>
        <w:numPr>
          <w:ilvl w:val="0"/>
          <w:numId w:val="40"/>
        </w:numPr>
      </w:pPr>
      <w:r w:rsidRPr="00602A56">
        <w:rPr>
          <w:rFonts w:ascii="Times New Roman" w:eastAsia="Times New Roman" w:hAnsi="Times New Roman" w:cs="Times New Roman"/>
          <w:color w:val="000000"/>
          <w:sz w:val="20"/>
          <w:szCs w:val="20"/>
          <w:lang w:eastAsia="bg-BG"/>
        </w:rPr>
        <w:t>глаукома.</w:t>
      </w:r>
    </w:p>
    <w:p w14:paraId="28110CD4" w14:textId="3125DEE8" w:rsidR="00602A56" w:rsidRPr="00602A56" w:rsidRDefault="00602A56" w:rsidP="00602A56"/>
    <w:p w14:paraId="212F509C" w14:textId="14E54579" w:rsidR="004F498A" w:rsidRDefault="002C50EE" w:rsidP="004A448E">
      <w:pPr>
        <w:pStyle w:val="Heading2"/>
      </w:pPr>
      <w:r>
        <w:t>4.4. Специални предупреждения и предпазни мерки при употреба</w:t>
      </w:r>
    </w:p>
    <w:p w14:paraId="3AA6E89B" w14:textId="30365E3F" w:rsidR="00602A56" w:rsidRDefault="00602A56" w:rsidP="00602A56"/>
    <w:p w14:paraId="49872381" w14:textId="77777777" w:rsidR="00602A56" w:rsidRPr="00602A56" w:rsidRDefault="00602A56" w:rsidP="00602A56">
      <w:pPr>
        <w:pStyle w:val="ListParagraph"/>
        <w:numPr>
          <w:ilvl w:val="0"/>
          <w:numId w:val="43"/>
        </w:numPr>
        <w:spacing w:line="240" w:lineRule="auto"/>
        <w:rPr>
          <w:rFonts w:eastAsia="Times New Roman" w:cs="Arial"/>
          <w:color w:val="000000"/>
          <w:szCs w:val="20"/>
          <w:lang w:eastAsia="bg-BG"/>
        </w:rPr>
      </w:pPr>
      <w:r w:rsidRPr="00602A56">
        <w:rPr>
          <w:rFonts w:eastAsia="Times New Roman" w:cs="Arial"/>
          <w:color w:val="000000"/>
          <w:szCs w:val="20"/>
          <w:lang w:eastAsia="bg-BG"/>
        </w:rPr>
        <w:t>Дексаметазон инжекционен разтвор е предназначен за краткотрайна употреба. П</w:t>
      </w:r>
      <w:r w:rsidRPr="00602A56">
        <w:rPr>
          <w:rFonts w:eastAsia="Times New Roman" w:cs="Arial"/>
          <w:color w:val="000000"/>
          <w:szCs w:val="20"/>
          <w:u w:val="single"/>
          <w:lang w:eastAsia="bg-BG"/>
        </w:rPr>
        <w:t xml:space="preserve">ри </w:t>
      </w:r>
      <w:r w:rsidRPr="00602A56">
        <w:rPr>
          <w:rFonts w:eastAsia="Times New Roman" w:cs="Arial"/>
          <w:color w:val="000000"/>
          <w:szCs w:val="20"/>
          <w:lang w:eastAsia="bg-BG"/>
        </w:rPr>
        <w:t>първа възможност трябва да се премине към перорално лечение.</w:t>
      </w:r>
    </w:p>
    <w:p w14:paraId="198FFEE9" w14:textId="3B30E3CA" w:rsidR="00602A56" w:rsidRPr="00602A56" w:rsidRDefault="00602A56" w:rsidP="00602A56">
      <w:pPr>
        <w:pStyle w:val="ListParagraph"/>
        <w:numPr>
          <w:ilvl w:val="0"/>
          <w:numId w:val="43"/>
        </w:numPr>
        <w:spacing w:line="240" w:lineRule="auto"/>
        <w:rPr>
          <w:rFonts w:eastAsia="Times New Roman" w:cs="Arial"/>
          <w:color w:val="000000"/>
          <w:szCs w:val="20"/>
          <w:lang w:eastAsia="bg-BG"/>
        </w:rPr>
      </w:pPr>
      <w:r w:rsidRPr="00602A56">
        <w:rPr>
          <w:rFonts w:eastAsia="Times New Roman" w:cs="Arial"/>
          <w:color w:val="000000"/>
          <w:szCs w:val="20"/>
          <w:lang w:eastAsia="bg-BG"/>
        </w:rPr>
        <w:t>Дексаметазон може да се използва при наличие на системна гъбична инфекция само за овладяване на нежелани реакции при приложение на амфотерицин В.</w:t>
      </w:r>
    </w:p>
    <w:p w14:paraId="2A5E9EBF"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По време на лечение с имуносупресивни дози кортикостероиди не трябва да се приемат живи вирусни ваксини. При прилагане на инактивирани вирусни или бактериални ваксини в такива случаи може да не се достигне до желания антитяло-отговор и очаквания профилактичен ефект. Въпреки това, имунизации могат да се провеждат на пациенти, които получават кортикостероиди като заместител на терапия, напр. при болест на Адисон.</w:t>
      </w:r>
    </w:p>
    <w:p w14:paraId="4C512F90"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Има данни за връзка между употребата на кортикостероиди и рупгура на стената на лявата камера след пресен инфаркт на миокарда, поради което при такива пациенти кортикостероидите трябва да се прилагат с повишено внимание.</w:t>
      </w:r>
    </w:p>
    <w:p w14:paraId="3AA7E381"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Хипертрофична кардиомиопатия се съобщава след системно приложение на кортикостероиди, включителнодексаметазон, за преждевременно родени бебета. В повечето съобщавани случаи това е обратимо при спиране на лечението. При недоносени новородени, лекувани със системен дексаметазон, трябва да се направи диагностична оценка и проследяване на сърдечната функция и структура (точка 4.8).</w:t>
      </w:r>
    </w:p>
    <w:p w14:paraId="692F67F0"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При активна белодробна туберкулоза дексаметазон може да се употребява само в случаите на фулминантна или дисеминирана форма, едновременно с противотуберкулозните средства. Ако се налага приложение на дексаметазон при пациенти с латентна туберкулоза или туберкулинова реактивност, е необходимо внимателно наблюдение поради риск от обостряне на заболяването.</w:t>
      </w:r>
    </w:p>
    <w:p w14:paraId="3C92D40C"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lastRenderedPageBreak/>
        <w:t>Средните и високи дози дексаметазон може да причинят повишаване на артериалното налягане, нарушен водноелектролитен баланс, повишена екскреция на калий. Може да се наложи ограничаване на солта чрез диета и допълнително внасяне на калий. Всички кортокостероиди повишават отделянето на калций.</w:t>
      </w:r>
    </w:p>
    <w:p w14:paraId="29BD8450"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Въпреки, че случаите на анафилактични реакции при пациенти на парентерална терапия с кортикостероиди са редки, трябва да бъдат взети подходящи предпазни мерки при прилагането им, особено при наличие в анамнезата на лекарствена алергия.</w:t>
      </w:r>
    </w:p>
    <w:p w14:paraId="62331A76"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Кортикостероидите могат да маскират съществуваща инфекция, а по време на тяхната употреба да се проявят и нови инфекции.</w:t>
      </w:r>
    </w:p>
    <w:p w14:paraId="30C634D0"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Кортикостероидите могат да предизвикат хипергликемия и поява на стероиден диабет при продължителното им приложение.</w:t>
      </w:r>
    </w:p>
    <w:p w14:paraId="7A177493"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Когато по време на бременността майката е била на кортикостероидна терапия, новороденото трябва да се наблюдава за симптоми на хипоадренализъм. Тъй като кортикостероидите се излъчват в майчиното мляко и могат да предизвикат нежелани ефекти у кърмачето, майките трябва да бъдат предупреждавани да не кърмят по време на лечението с дексаметазон.</w:t>
      </w:r>
    </w:p>
    <w:p w14:paraId="4F751F83"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Необходимо е внимателно проследяване на растежа и развитието на кърмачетата и малките деца, които са на продължителна кортикостероидна терапия.</w:t>
      </w:r>
    </w:p>
    <w:p w14:paraId="1330970E"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 xml:space="preserve">Кортикостероидите трябва да се избягват при пациенти с очен </w:t>
      </w:r>
      <w:r w:rsidRPr="00602A56">
        <w:rPr>
          <w:rFonts w:eastAsia="Times New Roman" w:cs="Arial"/>
          <w:i/>
          <w:iCs/>
          <w:color w:val="000000"/>
          <w:szCs w:val="20"/>
          <w:lang w:val="en-US"/>
        </w:rPr>
        <w:t>herpes</w:t>
      </w:r>
      <w:r w:rsidRPr="00602A56">
        <w:rPr>
          <w:rFonts w:eastAsia="Times New Roman" w:cs="Arial"/>
          <w:i/>
          <w:iCs/>
          <w:color w:val="000000"/>
          <w:szCs w:val="20"/>
          <w:lang w:val="ru-RU"/>
        </w:rPr>
        <w:t xml:space="preserve"> </w:t>
      </w:r>
      <w:r w:rsidRPr="00602A56">
        <w:rPr>
          <w:rFonts w:eastAsia="Times New Roman" w:cs="Arial"/>
          <w:i/>
          <w:iCs/>
          <w:color w:val="000000"/>
          <w:szCs w:val="20"/>
          <w:lang w:val="en-US"/>
        </w:rPr>
        <w:t>simplex</w:t>
      </w:r>
      <w:r w:rsidRPr="00602A56">
        <w:rPr>
          <w:rFonts w:eastAsia="Times New Roman" w:cs="Arial"/>
          <w:color w:val="000000"/>
          <w:szCs w:val="20"/>
          <w:lang w:val="ru-RU"/>
        </w:rPr>
        <w:t xml:space="preserve"> </w:t>
      </w:r>
      <w:r w:rsidRPr="00602A56">
        <w:rPr>
          <w:rFonts w:eastAsia="Times New Roman" w:cs="Arial"/>
          <w:color w:val="000000"/>
          <w:szCs w:val="20"/>
          <w:lang w:eastAsia="bg-BG"/>
        </w:rPr>
        <w:t>поради риск от корнеална перфорация.</w:t>
      </w:r>
    </w:p>
    <w:p w14:paraId="4FEF9FA4"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Терапията с кортикостероиди за системно приложение не трябва да се прекратява при пациенти, които вече са лекувани със системни (перорални) кортикостероиди по други причини (напр. пациенти с хронична обструктивна белодробна болест), но при които не се налага допълнителна кислородна терапия.</w:t>
      </w:r>
    </w:p>
    <w:p w14:paraId="70F4B654"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Вътреставното приложение на дексаметазон може да доведе до локални и системни ефекти, включително надбъбречна супресия. Честото вътреставно приложение за продължителен период може да предизвика лезии на ставния хрущял и костна некроза. Преди вътреставно приложение, за да се изключи септичен процес, е необходимо изследване на синовиалната течност. Прилагане на кортикостероиди в инфектирани стави трябва да се избягва. Ако след прилагането се получи инфектиране на ставата, трябва да се започне подходящо антибиотично лечение. Пациентите трябва да бъдат предупредени да избягват физическо натоварване на лекуваната става до отзвучаване на инфекцията.</w:t>
      </w:r>
    </w:p>
    <w:p w14:paraId="632E8A5D" w14:textId="77777777" w:rsidR="00602A56" w:rsidRPr="00602A56" w:rsidRDefault="00602A56" w:rsidP="00602A56">
      <w:pPr>
        <w:pStyle w:val="ListParagraph"/>
        <w:numPr>
          <w:ilvl w:val="0"/>
          <w:numId w:val="44"/>
        </w:numPr>
        <w:spacing w:line="240" w:lineRule="auto"/>
        <w:rPr>
          <w:rFonts w:eastAsia="Times New Roman" w:cs="Arial"/>
          <w:sz w:val="28"/>
          <w:szCs w:val="24"/>
        </w:rPr>
      </w:pPr>
      <w:r w:rsidRPr="00602A56">
        <w:rPr>
          <w:rFonts w:eastAsia="Times New Roman" w:cs="Arial"/>
          <w:color w:val="000000"/>
          <w:szCs w:val="20"/>
          <w:lang w:eastAsia="bg-BG"/>
        </w:rPr>
        <w:t>Пациенти на имуносупресивна терапия са по-податливи на инфекция в сравнение със здравите. Морбили и варицела могат да протекат много по-тежко и дори да завършат фатално при имуносупресирани деца и възрастни на кортикостероидна терапия. Тези пациенти, които не са преболедували, трябва да избягват контакт със заразоносители. Пациенти, били в контакт с болни от морбили, могат да бъдат подходящи за профилактика с имуноглобулин. При контак с варицела може да се проведе профилактика с варицела зостер имуноглобулин (</w:t>
      </w:r>
      <w:r w:rsidRPr="00602A56">
        <w:rPr>
          <w:rFonts w:eastAsia="Times New Roman" w:cs="Arial"/>
          <w:color w:val="000000"/>
          <w:szCs w:val="20"/>
          <w:lang w:val="en-US"/>
        </w:rPr>
        <w:t>VZIG</w:t>
      </w:r>
      <w:r w:rsidRPr="00602A56">
        <w:rPr>
          <w:rFonts w:eastAsia="Times New Roman" w:cs="Arial"/>
          <w:color w:val="000000"/>
          <w:szCs w:val="20"/>
          <w:lang w:val="ru-RU"/>
        </w:rPr>
        <w:t>).</w:t>
      </w:r>
    </w:p>
    <w:p w14:paraId="675BAF66" w14:textId="77777777" w:rsidR="00602A56" w:rsidRPr="00602A56" w:rsidRDefault="00602A56" w:rsidP="00602A56">
      <w:pPr>
        <w:pStyle w:val="ListParagraph"/>
        <w:numPr>
          <w:ilvl w:val="0"/>
          <w:numId w:val="44"/>
        </w:numPr>
        <w:spacing w:line="240" w:lineRule="auto"/>
        <w:rPr>
          <w:rFonts w:eastAsia="Times New Roman" w:cs="Arial"/>
          <w:sz w:val="32"/>
          <w:szCs w:val="24"/>
        </w:rPr>
      </w:pPr>
      <w:r w:rsidRPr="00602A56">
        <w:rPr>
          <w:rFonts w:eastAsia="Times New Roman" w:cs="Arial"/>
          <w:color w:val="000000"/>
          <w:szCs w:val="20"/>
          <w:lang w:eastAsia="bg-BG"/>
        </w:rPr>
        <w:t xml:space="preserve">Очаква се едновременното лечение с инхибитори на </w:t>
      </w:r>
      <w:r w:rsidRPr="00602A56">
        <w:rPr>
          <w:rFonts w:eastAsia="Times New Roman" w:cs="Arial"/>
          <w:color w:val="000000"/>
          <w:szCs w:val="20"/>
          <w:lang w:val="en-US"/>
        </w:rPr>
        <w:t>CYP</w:t>
      </w:r>
      <w:r w:rsidRPr="00602A56">
        <w:rPr>
          <w:rFonts w:eastAsia="Times New Roman" w:cs="Arial"/>
          <w:color w:val="000000"/>
          <w:szCs w:val="20"/>
          <w:lang w:val="ru-RU"/>
        </w:rPr>
        <w:t xml:space="preserve">3 </w:t>
      </w:r>
      <w:r w:rsidRPr="00602A56">
        <w:rPr>
          <w:rFonts w:eastAsia="Times New Roman" w:cs="Arial"/>
          <w:color w:val="000000"/>
          <w:szCs w:val="20"/>
          <w:lang w:eastAsia="bg-BG"/>
        </w:rPr>
        <w:t>А, включително продукти, съдържащи кобицистат, да увеличи риска от системни кортикостероидни нежелани реакции. Комбинирането трябва да се избягва, освен ако ползата надхвърля повишения риск от системни кортикостероидни нежелани реакции, при което пациентите трябва да бъдат проследявани за системни кортикостероидни нежелани реакции).</w:t>
      </w:r>
    </w:p>
    <w:p w14:paraId="2288BFA2" w14:textId="77777777" w:rsidR="00602A56" w:rsidRPr="00602A56" w:rsidRDefault="00602A56" w:rsidP="00602A56">
      <w:pPr>
        <w:pStyle w:val="ListParagraph"/>
        <w:numPr>
          <w:ilvl w:val="0"/>
          <w:numId w:val="44"/>
        </w:numPr>
        <w:spacing w:line="240" w:lineRule="auto"/>
        <w:rPr>
          <w:rFonts w:eastAsia="Times New Roman" w:cs="Arial"/>
          <w:sz w:val="32"/>
          <w:szCs w:val="24"/>
        </w:rPr>
      </w:pPr>
      <w:r w:rsidRPr="00602A56">
        <w:rPr>
          <w:rFonts w:eastAsia="Times New Roman" w:cs="Arial"/>
          <w:color w:val="000000"/>
          <w:szCs w:val="20"/>
          <w:lang w:eastAsia="bg-BG"/>
        </w:rPr>
        <w:lastRenderedPageBreak/>
        <w:t xml:space="preserve">Количеството на </w:t>
      </w:r>
      <w:r w:rsidRPr="00602A56">
        <w:rPr>
          <w:rFonts w:eastAsia="Times New Roman" w:cs="Arial"/>
          <w:color w:val="000000"/>
          <w:szCs w:val="20"/>
          <w:lang w:val="en-US"/>
        </w:rPr>
        <w:t>Na</w:t>
      </w:r>
      <w:r w:rsidRPr="00602A56">
        <w:rPr>
          <w:rFonts w:eastAsia="Times New Roman" w:cs="Arial"/>
          <w:color w:val="000000"/>
          <w:szCs w:val="20"/>
          <w:vertAlign w:val="superscript"/>
          <w:lang w:val="ru-RU"/>
        </w:rPr>
        <w:t>+</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в лекарствения продукт на доза е в прагова стойност (&lt;1 </w:t>
      </w:r>
      <w:proofErr w:type="spellStart"/>
      <w:r w:rsidRPr="00602A56">
        <w:rPr>
          <w:rFonts w:eastAsia="Times New Roman" w:cs="Arial"/>
          <w:color w:val="000000"/>
          <w:szCs w:val="20"/>
          <w:lang w:val="en-US"/>
        </w:rPr>
        <w:t>mmol</w:t>
      </w:r>
      <w:proofErr w:type="spellEnd"/>
      <w:r w:rsidRPr="00602A56">
        <w:rPr>
          <w:rFonts w:eastAsia="Times New Roman" w:cs="Arial"/>
          <w:color w:val="000000"/>
          <w:szCs w:val="20"/>
          <w:lang w:eastAsia="bg-BG"/>
        </w:rPr>
        <w:t>/доза).</w:t>
      </w:r>
    </w:p>
    <w:p w14:paraId="28CD4AFE" w14:textId="1BCD0014" w:rsidR="00602A56" w:rsidRPr="00602A56" w:rsidRDefault="00602A56" w:rsidP="00602A56">
      <w:pPr>
        <w:pStyle w:val="ListParagraph"/>
        <w:numPr>
          <w:ilvl w:val="0"/>
          <w:numId w:val="44"/>
        </w:numPr>
        <w:spacing w:line="240" w:lineRule="auto"/>
        <w:rPr>
          <w:rFonts w:eastAsia="Times New Roman" w:cs="Arial"/>
          <w:sz w:val="32"/>
          <w:szCs w:val="24"/>
        </w:rPr>
      </w:pPr>
      <w:r w:rsidRPr="00602A56">
        <w:rPr>
          <w:rFonts w:eastAsia="Times New Roman" w:cs="Arial"/>
          <w:color w:val="000000"/>
          <w:szCs w:val="20"/>
          <w:lang w:eastAsia="bg-BG"/>
        </w:rPr>
        <w:t>Недоносени новородени.</w:t>
      </w:r>
    </w:p>
    <w:p w14:paraId="66C2C1FF"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 xml:space="preserve">Наличните доказателства сочат, че ранното прилагане (преди 96-тия час) на дексаметазон при недоносени новородени с бронхопулмонална дисплазия в начални дози от 0,25 </w:t>
      </w:r>
      <w:r w:rsidRPr="00602A56">
        <w:rPr>
          <w:rFonts w:eastAsia="Times New Roman" w:cs="Arial"/>
          <w:color w:val="000000"/>
          <w:szCs w:val="20"/>
          <w:lang w:val="en-US"/>
        </w:rPr>
        <w:t>mg</w:t>
      </w:r>
      <w:r w:rsidRPr="00602A56">
        <w:rPr>
          <w:rFonts w:eastAsia="Times New Roman" w:cs="Arial"/>
          <w:color w:val="000000"/>
          <w:szCs w:val="20"/>
          <w:lang w:val="ru-RU"/>
        </w:rPr>
        <w:t>/</w:t>
      </w:r>
      <w:r w:rsidRPr="00602A56">
        <w:rPr>
          <w:rFonts w:eastAsia="Times New Roman" w:cs="Arial"/>
          <w:color w:val="000000"/>
          <w:szCs w:val="20"/>
          <w:lang w:val="en-US"/>
        </w:rPr>
        <w:t>kg</w:t>
      </w:r>
      <w:r w:rsidRPr="00602A56">
        <w:rPr>
          <w:rFonts w:eastAsia="Times New Roman" w:cs="Arial"/>
          <w:color w:val="000000"/>
          <w:szCs w:val="20"/>
          <w:lang w:val="ru-RU"/>
        </w:rPr>
        <w:t xml:space="preserve"> </w:t>
      </w:r>
      <w:r w:rsidRPr="00602A56">
        <w:rPr>
          <w:rFonts w:eastAsia="Times New Roman" w:cs="Arial"/>
          <w:color w:val="000000"/>
          <w:szCs w:val="20"/>
          <w:lang w:eastAsia="bg-BG"/>
        </w:rPr>
        <w:t>двукратно дневно води до дълготрайни нарушения на нервно-психичното развитие.</w:t>
      </w:r>
    </w:p>
    <w:p w14:paraId="08304F40" w14:textId="77777777" w:rsidR="00602A56" w:rsidRPr="00602A56" w:rsidRDefault="00602A56" w:rsidP="00602A56">
      <w:pPr>
        <w:spacing w:line="240" w:lineRule="auto"/>
        <w:rPr>
          <w:rFonts w:eastAsia="Times New Roman" w:cs="Arial"/>
          <w:b/>
          <w:bCs/>
          <w:color w:val="000000"/>
          <w:szCs w:val="20"/>
          <w:u w:val="single"/>
          <w:lang w:eastAsia="bg-BG"/>
        </w:rPr>
      </w:pPr>
    </w:p>
    <w:p w14:paraId="589937AA" w14:textId="732C5E73" w:rsidR="00602A56" w:rsidRPr="00602A56" w:rsidRDefault="00602A56" w:rsidP="00602A56">
      <w:pPr>
        <w:spacing w:line="240" w:lineRule="auto"/>
        <w:rPr>
          <w:rFonts w:eastAsia="Times New Roman" w:cs="Arial"/>
          <w:sz w:val="28"/>
          <w:szCs w:val="24"/>
        </w:rPr>
      </w:pPr>
      <w:r w:rsidRPr="00602A56">
        <w:rPr>
          <w:rFonts w:eastAsia="Times New Roman" w:cs="Arial"/>
          <w:b/>
          <w:bCs/>
          <w:color w:val="000000"/>
          <w:szCs w:val="20"/>
          <w:u w:val="single"/>
          <w:lang w:eastAsia="bg-BG"/>
        </w:rPr>
        <w:t>Прекъсване на терапията</w:t>
      </w:r>
    </w:p>
    <w:p w14:paraId="08F96168"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Рязкото намаляване на дозата или внезапно спиране на кортикостероида след продължително лечение може да доведе до остра адренална инсуфициенция, хипотензия и смърт. Синдромът на отнемане може също да включва треска, миалгия, артралгия, ринит, конюнктивит, болезнени сърбящи кожни възелчета и загуба на тегло. Тази инсуфициенция може да продължава месеци след прекъсване на употребата, поради което при поява на стресова ситуация в този период (травма, операция, тежко заболяване), кортикостероидната терапия трябва да бъде отново назначена или може да се наложи повишаване на прилаганата доза. Прекратяването на лечението с кортикостероиди, особено след продължителна терапия, трябва да става бавно с постепенно намаляване на дозата.</w:t>
      </w:r>
    </w:p>
    <w:p w14:paraId="621A94CB" w14:textId="77777777" w:rsidR="00602A56" w:rsidRPr="00602A56" w:rsidRDefault="00602A56" w:rsidP="00602A56">
      <w:pPr>
        <w:spacing w:line="240" w:lineRule="auto"/>
        <w:rPr>
          <w:rFonts w:eastAsia="Times New Roman" w:cs="Arial"/>
          <w:sz w:val="28"/>
          <w:szCs w:val="24"/>
        </w:rPr>
      </w:pPr>
      <w:r w:rsidRPr="00602A56">
        <w:rPr>
          <w:rFonts w:eastAsia="Times New Roman" w:cs="Arial"/>
          <w:color w:val="000000"/>
          <w:szCs w:val="20"/>
          <w:lang w:eastAsia="bg-BG"/>
        </w:rPr>
        <w:t>Особено внимание изискват пациенти от следните групи, дори ако са били на краткотрайна (по- малко от три седмици) терапия с дексаметазон:</w:t>
      </w:r>
    </w:p>
    <w:p w14:paraId="4BDC71BC" w14:textId="77777777" w:rsidR="00602A56" w:rsidRDefault="00602A56" w:rsidP="00602A56">
      <w:pPr>
        <w:pStyle w:val="ListParagraph"/>
        <w:numPr>
          <w:ilvl w:val="0"/>
          <w:numId w:val="2"/>
        </w:numPr>
        <w:spacing w:line="240" w:lineRule="auto"/>
        <w:rPr>
          <w:rFonts w:eastAsia="Times New Roman" w:cs="Arial"/>
          <w:color w:val="000000"/>
          <w:szCs w:val="20"/>
          <w:lang w:eastAsia="bg-BG"/>
        </w:rPr>
      </w:pPr>
      <w:r w:rsidRPr="00602A56">
        <w:rPr>
          <w:rFonts w:eastAsia="Times New Roman" w:cs="Arial"/>
          <w:color w:val="000000"/>
          <w:szCs w:val="20"/>
          <w:lang w:eastAsia="bg-BG"/>
        </w:rPr>
        <w:t>пациенти на повторен курс на лечение със системни кортикостероиди, особено ако е с продължителност повече от 3 седмици;</w:t>
      </w:r>
    </w:p>
    <w:p w14:paraId="2B83CEAC" w14:textId="77777777" w:rsidR="00602A56" w:rsidRDefault="00602A56" w:rsidP="00602A56">
      <w:pPr>
        <w:pStyle w:val="ListParagraph"/>
        <w:numPr>
          <w:ilvl w:val="0"/>
          <w:numId w:val="2"/>
        </w:numPr>
        <w:spacing w:line="240" w:lineRule="auto"/>
        <w:rPr>
          <w:rFonts w:eastAsia="Times New Roman" w:cs="Arial"/>
          <w:color w:val="000000"/>
          <w:szCs w:val="20"/>
          <w:lang w:eastAsia="bg-BG"/>
        </w:rPr>
      </w:pPr>
      <w:r w:rsidRPr="00602A56">
        <w:rPr>
          <w:rFonts w:eastAsia="Times New Roman" w:cs="Arial"/>
          <w:color w:val="000000"/>
          <w:szCs w:val="20"/>
          <w:lang w:eastAsia="bg-BG"/>
        </w:rPr>
        <w:t>при краткотраен курс на лечение, който се провежда в рамките на една година след прекратяване на дългосрочно лечение със системни кортикостероиди (месеци или години);</w:t>
      </w:r>
    </w:p>
    <w:p w14:paraId="658CBF61" w14:textId="77777777" w:rsidR="00602A56" w:rsidRDefault="00602A56" w:rsidP="00602A56">
      <w:pPr>
        <w:pStyle w:val="ListParagraph"/>
        <w:numPr>
          <w:ilvl w:val="0"/>
          <w:numId w:val="2"/>
        </w:numPr>
        <w:spacing w:line="240" w:lineRule="auto"/>
        <w:rPr>
          <w:rFonts w:eastAsia="Times New Roman" w:cs="Arial"/>
          <w:color w:val="000000"/>
          <w:szCs w:val="20"/>
          <w:lang w:eastAsia="bg-BG"/>
        </w:rPr>
      </w:pPr>
      <w:r w:rsidRPr="00602A56">
        <w:rPr>
          <w:rFonts w:eastAsia="Times New Roman" w:cs="Arial"/>
          <w:color w:val="000000"/>
          <w:szCs w:val="20"/>
          <w:lang w:eastAsia="bg-BG"/>
        </w:rPr>
        <w:t>пациенти с прояви на адренокортикална недостатъчност, която не е свързана с кортикостероидната терапия;</w:t>
      </w:r>
    </w:p>
    <w:p w14:paraId="1BF7843B" w14:textId="24EAFA30" w:rsidR="00602A56" w:rsidRPr="00602A56" w:rsidRDefault="00602A56" w:rsidP="00602A56">
      <w:pPr>
        <w:pStyle w:val="ListParagraph"/>
        <w:numPr>
          <w:ilvl w:val="0"/>
          <w:numId w:val="2"/>
        </w:numPr>
        <w:spacing w:line="240" w:lineRule="auto"/>
        <w:rPr>
          <w:rFonts w:eastAsia="Times New Roman" w:cs="Arial"/>
          <w:color w:val="000000"/>
          <w:szCs w:val="20"/>
          <w:lang w:eastAsia="bg-BG"/>
        </w:rPr>
      </w:pPr>
      <w:r w:rsidRPr="00602A56">
        <w:rPr>
          <w:rFonts w:eastAsia="Times New Roman" w:cs="Arial"/>
          <w:color w:val="000000"/>
          <w:szCs w:val="20"/>
          <w:lang w:eastAsia="bg-BG"/>
        </w:rPr>
        <w:t xml:space="preserve">пациенти, които са лекувани със системни кортикостероиди в дози, по-високи от 6 </w:t>
      </w:r>
      <w:r w:rsidRPr="00602A56">
        <w:rPr>
          <w:rFonts w:eastAsia="Times New Roman" w:cs="Arial"/>
          <w:color w:val="000000"/>
          <w:szCs w:val="20"/>
          <w:lang w:val="en-US"/>
        </w:rPr>
        <w:t>mg</w:t>
      </w:r>
      <w:r w:rsidRPr="00602A56">
        <w:rPr>
          <w:rFonts w:eastAsia="Times New Roman" w:cs="Arial"/>
          <w:color w:val="000000"/>
          <w:szCs w:val="20"/>
          <w:lang w:val="ru-RU"/>
        </w:rPr>
        <w:t>.</w:t>
      </w:r>
    </w:p>
    <w:p w14:paraId="4CAC4127" w14:textId="77777777" w:rsidR="00602A56" w:rsidRPr="00602A56" w:rsidRDefault="00602A56" w:rsidP="00602A56">
      <w:pPr>
        <w:spacing w:line="240" w:lineRule="auto"/>
        <w:rPr>
          <w:rFonts w:eastAsia="Times New Roman" w:cs="Arial"/>
          <w:sz w:val="28"/>
          <w:szCs w:val="24"/>
          <w:lang w:val="ru-RU"/>
        </w:rPr>
      </w:pPr>
    </w:p>
    <w:p w14:paraId="619DED1E" w14:textId="6396D21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C05AA3F" w14:textId="70610515" w:rsidR="00602A56" w:rsidRDefault="00602A56" w:rsidP="00602A56"/>
    <w:p w14:paraId="05EFA8C1"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Едновремената употреба с лекарства, индуктори на чернодробни ензими, като фенитоин, фенобарбитал, ефедрин, рифампицин, карбамазепин, аминоглутетимид, може да доведе до повишение на метаболитния клирънс на дексаметазон, понижение на плазмените му нива и намаляване на неговия ефект, което изисква съответно адаптиране на дозата му.</w:t>
      </w:r>
    </w:p>
    <w:p w14:paraId="31DA47D2"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 xml:space="preserve">Протромбиновото време или </w:t>
      </w:r>
      <w:r w:rsidRPr="00602A56">
        <w:rPr>
          <w:rFonts w:eastAsia="Times New Roman" w:cs="Arial"/>
          <w:color w:val="000000"/>
          <w:szCs w:val="20"/>
          <w:lang w:val="en-US"/>
        </w:rPr>
        <w:t>INR</w:t>
      </w:r>
      <w:r w:rsidRPr="00602A56">
        <w:rPr>
          <w:rFonts w:eastAsia="Times New Roman" w:cs="Arial"/>
          <w:color w:val="000000"/>
          <w:szCs w:val="20"/>
          <w:lang w:val="ru-RU"/>
        </w:rPr>
        <w:t xml:space="preserve"> </w:t>
      </w:r>
      <w:r w:rsidRPr="00602A56">
        <w:rPr>
          <w:rFonts w:eastAsia="Times New Roman" w:cs="Arial"/>
          <w:color w:val="000000"/>
          <w:szCs w:val="20"/>
          <w:lang w:eastAsia="bg-BG"/>
        </w:rPr>
        <w:t>трябва често да се контролира при пациенти, които се лекуват едновременно с дексаметазон и кумаринови антикоагуланти, поради инхибиране на адекватния отговор към кумариновите производни и риск от спонтанно кървене.</w:t>
      </w:r>
    </w:p>
    <w:p w14:paraId="1AA1DFC0"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Едновременно приложение на кортикостероиди със салидиуретици може да засили хипокалиемията.</w:t>
      </w:r>
    </w:p>
    <w:p w14:paraId="19A97C77"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При едновременно приложение на кортикостероиди със сърдечни глюкозиди може да се засили токсичността им поради предизвиканото от кортикостероидите увеличено излъчване на калий.</w:t>
      </w:r>
    </w:p>
    <w:p w14:paraId="3D3AF59E"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lastRenderedPageBreak/>
        <w:t>Едновременното приложение с АСЕ-инхибитори води до повишен риск от промени в кръвната картина.</w:t>
      </w:r>
    </w:p>
    <w:p w14:paraId="7459D7EF"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Ефектите на антихипертензивните лекарства се антагонизират от кортикостероидите.</w:t>
      </w:r>
    </w:p>
    <w:p w14:paraId="71C34027"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Едновременното приложение на 62-адренорецепторни агонисти и високи дози глюкокортикостероиди може да повиши риска от поява на хипокалиемия.</w:t>
      </w:r>
    </w:p>
    <w:p w14:paraId="3913CC96"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Кортикостероидите оказват влияние на глюкозния толеранс, при което се налага коригиране дозите на хипогликемичните лекарства (вкл. инсулин).</w:t>
      </w:r>
    </w:p>
    <w:p w14:paraId="5B858B4B"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При едновременно приложение с нестероидни противовъзпалителни средства се увеличава рискът от гастроинтестинални усложнения.</w:t>
      </w:r>
    </w:p>
    <w:p w14:paraId="3D913105"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Бъбречният клирънс на салицилатите се повишава от кортикостероидите и прекратяването на стероидната терапия може да предизвика интоксикация от салицилатите.</w:t>
      </w:r>
    </w:p>
    <w:p w14:paraId="3B783DCA" w14:textId="77777777"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 xml:space="preserve">Фалшиво-негативни резултати при дексаметазон-супресивния тест </w:t>
      </w:r>
      <w:r w:rsidRPr="00602A56">
        <w:rPr>
          <w:rFonts w:eastAsia="Times New Roman" w:cs="Arial"/>
          <w:color w:val="000000"/>
          <w:szCs w:val="20"/>
          <w:lang w:val="ru-RU"/>
        </w:rPr>
        <w:t>(</w:t>
      </w:r>
      <w:r w:rsidRPr="00602A56">
        <w:rPr>
          <w:rFonts w:eastAsia="Times New Roman" w:cs="Arial"/>
          <w:color w:val="000000"/>
          <w:szCs w:val="20"/>
          <w:lang w:val="en-US"/>
        </w:rPr>
        <w:t>DST</w:t>
      </w:r>
      <w:r w:rsidRPr="00602A56">
        <w:rPr>
          <w:rFonts w:eastAsia="Times New Roman" w:cs="Arial"/>
          <w:color w:val="000000"/>
          <w:szCs w:val="20"/>
          <w:lang w:val="ru-RU"/>
        </w:rPr>
        <w:t xml:space="preserve">) </w:t>
      </w:r>
      <w:r w:rsidRPr="00602A56">
        <w:rPr>
          <w:rFonts w:eastAsia="Times New Roman" w:cs="Arial"/>
          <w:color w:val="000000"/>
          <w:szCs w:val="20"/>
          <w:lang w:eastAsia="bg-BG"/>
        </w:rPr>
        <w:t xml:space="preserve">може да се наблюдава при пациенти, лекувани едновременно с индометацин. Поради това резултатите от </w:t>
      </w:r>
      <w:r w:rsidRPr="00602A56">
        <w:rPr>
          <w:rFonts w:eastAsia="Times New Roman" w:cs="Arial"/>
          <w:color w:val="000000"/>
          <w:szCs w:val="20"/>
          <w:lang w:val="en-US"/>
        </w:rPr>
        <w:t>DST</w:t>
      </w:r>
      <w:r w:rsidRPr="00602A56">
        <w:rPr>
          <w:rFonts w:eastAsia="Times New Roman" w:cs="Arial"/>
          <w:color w:val="000000"/>
          <w:szCs w:val="20"/>
          <w:lang w:val="ru-RU"/>
        </w:rPr>
        <w:t xml:space="preserve"> </w:t>
      </w:r>
      <w:r w:rsidRPr="00602A56">
        <w:rPr>
          <w:rFonts w:eastAsia="Times New Roman" w:cs="Arial"/>
          <w:color w:val="000000"/>
          <w:szCs w:val="20"/>
          <w:lang w:eastAsia="bg-BG"/>
        </w:rPr>
        <w:t>трябва да бъдат интерпретирани внимателно при такива пациенти.</w:t>
      </w:r>
    </w:p>
    <w:p w14:paraId="550CDA6F" w14:textId="0EE7418E" w:rsidR="00602A56" w:rsidRPr="00602A56" w:rsidRDefault="00602A56" w:rsidP="00602A56">
      <w:pPr>
        <w:pStyle w:val="ListParagraph"/>
        <w:numPr>
          <w:ilvl w:val="0"/>
          <w:numId w:val="45"/>
        </w:numPr>
        <w:spacing w:line="240" w:lineRule="auto"/>
        <w:rPr>
          <w:rFonts w:eastAsia="Times New Roman" w:cs="Arial"/>
          <w:color w:val="000000"/>
          <w:szCs w:val="20"/>
          <w:lang w:eastAsia="bg-BG"/>
        </w:rPr>
      </w:pPr>
      <w:r w:rsidRPr="00602A56">
        <w:rPr>
          <w:rFonts w:eastAsia="Times New Roman" w:cs="Arial"/>
          <w:color w:val="000000"/>
          <w:szCs w:val="20"/>
          <w:lang w:eastAsia="bg-BG"/>
        </w:rPr>
        <w:t>Едновременната употреба с перорални контрацептиви може да удължи времето на полуелиминиране на кортикостероидите, да усили биологичния им ефект и да се повиши рискът от възникване на нежелани реакции.</w:t>
      </w:r>
    </w:p>
    <w:p w14:paraId="58CAAFE3" w14:textId="77777777" w:rsidR="00602A56" w:rsidRPr="00602A56" w:rsidRDefault="00602A56" w:rsidP="00602A56">
      <w:pPr>
        <w:spacing w:line="240" w:lineRule="auto"/>
        <w:rPr>
          <w:rFonts w:ascii="Times New Roman" w:eastAsia="Times New Roman" w:hAnsi="Times New Roman" w:cs="Times New Roman"/>
          <w:color w:val="000000"/>
          <w:sz w:val="20"/>
          <w:szCs w:val="20"/>
          <w:lang w:eastAsia="bg-BG"/>
        </w:rPr>
      </w:pPr>
    </w:p>
    <w:p w14:paraId="394A7584" w14:textId="0F1D9D1B" w:rsidR="004F498A" w:rsidRDefault="002C50EE" w:rsidP="004A448E">
      <w:pPr>
        <w:pStyle w:val="Heading2"/>
      </w:pPr>
      <w:r>
        <w:t>4.6. Фертилитет, бременност и кърмене</w:t>
      </w:r>
    </w:p>
    <w:p w14:paraId="7E20D3D2" w14:textId="4C6B1646" w:rsidR="00602A56" w:rsidRDefault="00602A56" w:rsidP="00602A56"/>
    <w:p w14:paraId="2F46DCAE" w14:textId="77777777" w:rsidR="00602A56" w:rsidRPr="00602A56" w:rsidRDefault="00602A56" w:rsidP="00602A56">
      <w:pPr>
        <w:pStyle w:val="Heading3"/>
        <w:rPr>
          <w:rFonts w:eastAsia="Times New Roman"/>
          <w:u w:val="single"/>
        </w:rPr>
      </w:pPr>
      <w:r w:rsidRPr="00602A56">
        <w:rPr>
          <w:rFonts w:eastAsia="Times New Roman"/>
          <w:u w:val="single"/>
          <w:lang w:eastAsia="bg-BG"/>
        </w:rPr>
        <w:t>Бременност</w:t>
      </w:r>
    </w:p>
    <w:p w14:paraId="4C8CC57E" w14:textId="77777777" w:rsidR="00602A56" w:rsidRPr="00602A56" w:rsidRDefault="00602A56" w:rsidP="00602A56">
      <w:pPr>
        <w:rPr>
          <w:sz w:val="24"/>
          <w:szCs w:val="24"/>
        </w:rPr>
      </w:pPr>
      <w:r w:rsidRPr="00602A56">
        <w:rPr>
          <w:lang w:eastAsia="bg-BG"/>
        </w:rPr>
        <w:t>Изследвания при животни показват, че прилагането на високи дози дексаметазон може да доведе до нарушения в развитието на плода. Не са провеждани добре контролирани проучвания при достатъчен брой бременни жени.</w:t>
      </w:r>
    </w:p>
    <w:p w14:paraId="4F815B26" w14:textId="77777777" w:rsidR="00602A56" w:rsidRPr="00602A56" w:rsidRDefault="00602A56" w:rsidP="00602A56">
      <w:pPr>
        <w:rPr>
          <w:sz w:val="24"/>
          <w:szCs w:val="24"/>
        </w:rPr>
      </w:pPr>
      <w:r w:rsidRPr="00602A56">
        <w:rPr>
          <w:lang w:eastAsia="bg-BG"/>
        </w:rPr>
        <w:t>Прилагането на кортикостероиди при бременни животни може да причини аномалии в развитието на плода, включително цепнато небце, забавяне на интраутеринния растеж и ефекти върху растежа и развитието на мозъка. Няма доказателства, че приложението на кортикостероиди е причина за повишена честота на вродени аномалии, като цепнато небце/устна при хората (виж точка 5.3 ).</w:t>
      </w:r>
    </w:p>
    <w:p w14:paraId="30929B9E" w14:textId="77777777" w:rsidR="00602A56" w:rsidRPr="00602A56" w:rsidRDefault="00602A56" w:rsidP="00602A56">
      <w:pPr>
        <w:rPr>
          <w:sz w:val="24"/>
          <w:szCs w:val="24"/>
        </w:rPr>
      </w:pPr>
      <w:r w:rsidRPr="00602A56">
        <w:rPr>
          <w:lang w:eastAsia="bg-BG"/>
        </w:rPr>
        <w:t>Дексаметазон може да се използва по време на бременност само при спешни случаи, когато очаквания терапевтичен ефект за майката превишава потенциалния риск за плода. Деца, родени от майки, получавали кортикостероиди по време на бременността, трябва внимателно да се наблюдават за признаци на надбъбречна недостатъчност.</w:t>
      </w:r>
    </w:p>
    <w:p w14:paraId="0368DBF0" w14:textId="77777777" w:rsidR="00602A56" w:rsidRPr="00602A56" w:rsidRDefault="00602A56" w:rsidP="00602A56">
      <w:pPr>
        <w:rPr>
          <w:sz w:val="24"/>
          <w:szCs w:val="24"/>
        </w:rPr>
      </w:pPr>
      <w:r w:rsidRPr="00602A56">
        <w:rPr>
          <w:lang w:eastAsia="bg-BG"/>
        </w:rPr>
        <w:t>Проучванията показват повишен риск от неонатална хипогликемия след пренатално приложение на краткосрочни кортикостероиди, включително дексаметазон, при жени, изложени на риск от късно преждевременно раждане.</w:t>
      </w:r>
    </w:p>
    <w:p w14:paraId="2CFDB18B" w14:textId="77777777" w:rsidR="00602A56" w:rsidRDefault="00602A56" w:rsidP="00602A56">
      <w:pPr>
        <w:rPr>
          <w:lang w:eastAsia="bg-BG"/>
        </w:rPr>
      </w:pPr>
    </w:p>
    <w:p w14:paraId="68CA2A00" w14:textId="3987E234" w:rsidR="00602A56" w:rsidRPr="00602A56" w:rsidRDefault="00602A56" w:rsidP="00602A56">
      <w:pPr>
        <w:pStyle w:val="Heading3"/>
        <w:rPr>
          <w:rFonts w:eastAsia="Times New Roman"/>
          <w:u w:val="single"/>
        </w:rPr>
      </w:pPr>
      <w:r w:rsidRPr="00602A56">
        <w:rPr>
          <w:rFonts w:eastAsia="Times New Roman"/>
          <w:u w:val="single"/>
          <w:lang w:eastAsia="bg-BG"/>
        </w:rPr>
        <w:t>Кърмене</w:t>
      </w:r>
    </w:p>
    <w:p w14:paraId="2EBA3B76" w14:textId="77777777" w:rsidR="00602A56" w:rsidRPr="00602A56" w:rsidRDefault="00602A56" w:rsidP="00602A56">
      <w:pPr>
        <w:rPr>
          <w:sz w:val="24"/>
          <w:szCs w:val="24"/>
        </w:rPr>
      </w:pPr>
      <w:r w:rsidRPr="00602A56">
        <w:rPr>
          <w:lang w:eastAsia="bg-BG"/>
        </w:rPr>
        <w:t>Кортикостероидите се екскретират в майчината кърма и могат да потиснат растежа на кърмачето, да повлияят ендогенната кортикостероидна продукция или да предизвикат други нежелани реакции. Поради това, при лечение на майката с дексаметазон трябва да се прекрати кърменето.</w:t>
      </w:r>
    </w:p>
    <w:p w14:paraId="4342665A" w14:textId="77777777" w:rsidR="00602A56" w:rsidRPr="00602A56" w:rsidRDefault="00602A56" w:rsidP="00602A56"/>
    <w:p w14:paraId="064DF1DE" w14:textId="1B90F45F" w:rsidR="00CF77F7" w:rsidRDefault="002C50EE" w:rsidP="004A448E">
      <w:pPr>
        <w:pStyle w:val="Heading2"/>
      </w:pPr>
      <w:r>
        <w:lastRenderedPageBreak/>
        <w:t>4.7. Ефекти върху способността за шофиране и работа с машини</w:t>
      </w:r>
    </w:p>
    <w:p w14:paraId="22FB8FF2" w14:textId="27CDE991" w:rsidR="00602A56" w:rsidRDefault="00602A56" w:rsidP="00602A56"/>
    <w:p w14:paraId="2186316D" w14:textId="7DB432B0" w:rsidR="00602A56" w:rsidRPr="00602A56" w:rsidRDefault="00602A56" w:rsidP="00602A56">
      <w:r>
        <w:t>Дексаметазон Софарма не повлиява способността за шофиране и работа с машини.</w:t>
      </w:r>
    </w:p>
    <w:p w14:paraId="37A3FD9F" w14:textId="05097816" w:rsidR="00CF77F7" w:rsidRDefault="002C50EE" w:rsidP="004A448E">
      <w:pPr>
        <w:pStyle w:val="Heading2"/>
      </w:pPr>
      <w:r>
        <w:t>4.8. Нежелани лекарствени реакции</w:t>
      </w:r>
    </w:p>
    <w:p w14:paraId="57509811" w14:textId="49E6A73B" w:rsidR="00602A56" w:rsidRDefault="00602A56" w:rsidP="00602A56"/>
    <w:p w14:paraId="64744B3E" w14:textId="77777777" w:rsidR="00602A56" w:rsidRPr="00602A56" w:rsidRDefault="00602A56" w:rsidP="00602A56">
      <w:pPr>
        <w:rPr>
          <w:rFonts w:cs="Arial"/>
        </w:rPr>
      </w:pPr>
      <w:r w:rsidRPr="00602A56">
        <w:rPr>
          <w:rFonts w:cs="Arial"/>
          <w:lang w:eastAsia="bg-BG"/>
        </w:rPr>
        <w:t>Честотата на нежеланите реакции зависи от дозата и продължителността на лечение.</w:t>
      </w:r>
    </w:p>
    <w:p w14:paraId="5C776BE7" w14:textId="77777777" w:rsidR="00602A56" w:rsidRPr="00602A56" w:rsidRDefault="00602A56" w:rsidP="00602A56">
      <w:pPr>
        <w:rPr>
          <w:rFonts w:cs="Arial"/>
        </w:rPr>
      </w:pPr>
      <w:r w:rsidRPr="00602A56">
        <w:rPr>
          <w:rFonts w:cs="Arial"/>
          <w:lang w:eastAsia="bg-BG"/>
        </w:rPr>
        <w:t xml:space="preserve">Високи дози дексаметазон се прилагат обикновено за кратък период от време и поради това нежелани реакции се наблюдават рядко. С изключение на свръхчувствителността другите нежелани реакции се свързват с продължителната системна кортикостероидна терапия. Нежеланите реакции се класифицират по честота по следния начин: много чести (≥ 1/10), чести </w:t>
      </w:r>
      <w:r w:rsidRPr="00602A56">
        <w:rPr>
          <w:rFonts w:cs="Arial"/>
          <w:i/>
          <w:iCs/>
          <w:lang w:eastAsia="bg-BG"/>
        </w:rPr>
        <w:t>(≥ 1/100 и</w:t>
      </w:r>
      <w:r w:rsidRPr="00602A56">
        <w:rPr>
          <w:rFonts w:cs="Arial"/>
          <w:lang w:eastAsia="bg-BG"/>
        </w:rPr>
        <w:t xml:space="preserve"> &lt;1/10), нечести (≥ 1/1 000 и &lt;1/100), редки (≥ 1/10 000 и &lt;1/1 000) и много редки (&lt;1/10 000), включително единични съобщения, с неизвестна честота (от наличните данни не може да бъде направена оценка).</w:t>
      </w:r>
    </w:p>
    <w:p w14:paraId="6C7369B6" w14:textId="77777777" w:rsidR="00602A56" w:rsidRPr="00602A56" w:rsidRDefault="00602A56" w:rsidP="00602A56">
      <w:pPr>
        <w:rPr>
          <w:rFonts w:cs="Arial"/>
        </w:rPr>
      </w:pPr>
      <w:r w:rsidRPr="00602A56">
        <w:rPr>
          <w:rFonts w:cs="Arial"/>
          <w:lang w:eastAsia="bg-BG"/>
        </w:rPr>
        <w:t>Нежелани реакции по системата орган-клас:</w:t>
      </w:r>
    </w:p>
    <w:p w14:paraId="234C9D1A" w14:textId="77777777" w:rsidR="00602A56" w:rsidRDefault="00602A56" w:rsidP="00602A56">
      <w:pPr>
        <w:rPr>
          <w:rFonts w:cs="Arial"/>
          <w:u w:val="single"/>
          <w:lang w:eastAsia="bg-BG"/>
        </w:rPr>
      </w:pPr>
    </w:p>
    <w:p w14:paraId="4406DE70" w14:textId="2B5CD463" w:rsidR="00602A56" w:rsidRPr="00602A56" w:rsidRDefault="00602A56" w:rsidP="00602A56">
      <w:pPr>
        <w:rPr>
          <w:rFonts w:eastAsia="Times New Roman" w:cs="Arial"/>
        </w:rPr>
      </w:pPr>
      <w:r w:rsidRPr="00602A56">
        <w:rPr>
          <w:rFonts w:cs="Arial"/>
          <w:u w:val="single"/>
          <w:lang w:eastAsia="bg-BG"/>
        </w:rPr>
        <w:t>Сърдечни нарушения</w:t>
      </w:r>
      <w:r w:rsidRPr="00602A56">
        <w:rPr>
          <w:rFonts w:cs="Arial"/>
          <w:lang w:eastAsia="bg-BG"/>
        </w:rPr>
        <w:t xml:space="preserve">: хипертония, интермитентна брадикардия, мултифокална камерна екстрасистолия, руптура на свободната стена на лявата камера след пресен миокарден инфаркт </w:t>
      </w:r>
      <w:r w:rsidRPr="00602A56">
        <w:rPr>
          <w:rFonts w:eastAsia="Times New Roman" w:cs="Arial"/>
          <w:color w:val="000000"/>
          <w:lang w:eastAsia="bg-BG"/>
        </w:rPr>
        <w:t xml:space="preserve">тромбоемболии; с неизвестна честота - хипертрофична кардиомиопатия при преждевременно родени бебета (вж. точка </w:t>
      </w:r>
      <w:r w:rsidRPr="00602A56">
        <w:rPr>
          <w:rFonts w:eastAsia="Times New Roman" w:cs="Arial"/>
          <w:i/>
          <w:iCs/>
          <w:color w:val="000000"/>
          <w:lang w:eastAsia="bg-BG"/>
        </w:rPr>
        <w:t>4.4).</w:t>
      </w:r>
    </w:p>
    <w:p w14:paraId="1B190EE3" w14:textId="77777777" w:rsidR="00602A56" w:rsidRDefault="00602A56" w:rsidP="00602A56">
      <w:pPr>
        <w:spacing w:line="240" w:lineRule="auto"/>
        <w:rPr>
          <w:rFonts w:eastAsia="Times New Roman" w:cs="Arial"/>
          <w:color w:val="000000"/>
          <w:u w:val="single"/>
          <w:lang w:eastAsia="bg-BG"/>
        </w:rPr>
      </w:pPr>
    </w:p>
    <w:p w14:paraId="56904514" w14:textId="6AECD7A0"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кръвта и лимфната система:</w:t>
      </w:r>
      <w:r w:rsidRPr="00602A56">
        <w:rPr>
          <w:rFonts w:eastAsia="Times New Roman" w:cs="Arial"/>
          <w:color w:val="000000"/>
          <w:lang w:eastAsia="bg-BG"/>
        </w:rPr>
        <w:t xml:space="preserve"> умерена левкоцитоза, лимфопения, еозинофилия, тромбоцитопения и нетромбоцитопенична пурпура с левкоцитоза, полиглобулия.</w:t>
      </w:r>
    </w:p>
    <w:p w14:paraId="04C3E9CC" w14:textId="77777777" w:rsidR="00602A56" w:rsidRDefault="00602A56" w:rsidP="00602A56">
      <w:pPr>
        <w:spacing w:line="240" w:lineRule="auto"/>
        <w:rPr>
          <w:rFonts w:eastAsia="Times New Roman" w:cs="Arial"/>
          <w:color w:val="000000"/>
          <w:u w:val="single"/>
          <w:lang w:eastAsia="bg-BG"/>
        </w:rPr>
      </w:pPr>
    </w:p>
    <w:p w14:paraId="77B6FAA9" w14:textId="0ED46218"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нервната система:</w:t>
      </w:r>
      <w:r w:rsidRPr="00602A56">
        <w:rPr>
          <w:rFonts w:eastAsia="Times New Roman" w:cs="Arial"/>
          <w:color w:val="000000"/>
          <w:lang w:eastAsia="bg-BG"/>
        </w:rPr>
        <w:t xml:space="preserve"> световъртеж, главоболие, гърчове; повишено интракраниално налягане с едем на палилата </w:t>
      </w:r>
      <w:r w:rsidRPr="00602A56">
        <w:rPr>
          <w:rFonts w:eastAsia="Times New Roman" w:cs="Arial"/>
          <w:i/>
          <w:iCs/>
          <w:color w:val="000000"/>
          <w:lang w:val="ru-RU"/>
        </w:rPr>
        <w:t>(</w:t>
      </w:r>
      <w:proofErr w:type="spellStart"/>
      <w:r w:rsidRPr="00602A56">
        <w:rPr>
          <w:rFonts w:eastAsia="Times New Roman" w:cs="Arial"/>
          <w:i/>
          <w:iCs/>
          <w:color w:val="000000"/>
          <w:lang w:val="en-US"/>
        </w:rPr>
        <w:t>pseudotumor</w:t>
      </w:r>
      <w:proofErr w:type="spellEnd"/>
      <w:r w:rsidRPr="00602A56">
        <w:rPr>
          <w:rFonts w:eastAsia="Times New Roman" w:cs="Arial"/>
          <w:i/>
          <w:iCs/>
          <w:color w:val="000000"/>
          <w:lang w:val="ru-RU"/>
        </w:rPr>
        <w:t xml:space="preserve"> </w:t>
      </w:r>
      <w:proofErr w:type="spellStart"/>
      <w:r w:rsidRPr="00602A56">
        <w:rPr>
          <w:rFonts w:eastAsia="Times New Roman" w:cs="Arial"/>
          <w:i/>
          <w:iCs/>
          <w:color w:val="000000"/>
          <w:lang w:val="en-US"/>
        </w:rPr>
        <w:t>cerebri</w:t>
      </w:r>
      <w:proofErr w:type="spellEnd"/>
      <w:r w:rsidRPr="00602A56">
        <w:rPr>
          <w:rFonts w:eastAsia="Times New Roman" w:cs="Arial"/>
          <w:i/>
          <w:iCs/>
          <w:color w:val="000000"/>
          <w:lang w:val="ru-RU"/>
        </w:rPr>
        <w:t>),</w:t>
      </w:r>
      <w:r w:rsidRPr="00602A56">
        <w:rPr>
          <w:rFonts w:eastAsia="Times New Roman" w:cs="Arial"/>
          <w:color w:val="000000"/>
          <w:lang w:val="ru-RU"/>
        </w:rPr>
        <w:t xml:space="preserve"> </w:t>
      </w:r>
      <w:r w:rsidRPr="00602A56">
        <w:rPr>
          <w:rFonts w:eastAsia="Times New Roman" w:cs="Arial"/>
          <w:color w:val="000000"/>
          <w:lang w:eastAsia="bg-BG"/>
        </w:rPr>
        <w:t>обикновено след лечение; остра перинеална болка след интравенозно приложение.</w:t>
      </w:r>
    </w:p>
    <w:p w14:paraId="7C6376E0" w14:textId="77777777" w:rsidR="00602A56" w:rsidRDefault="00602A56" w:rsidP="00602A56">
      <w:pPr>
        <w:spacing w:line="240" w:lineRule="auto"/>
        <w:rPr>
          <w:rFonts w:eastAsia="Times New Roman" w:cs="Arial"/>
          <w:color w:val="000000"/>
          <w:u w:val="single"/>
          <w:lang w:eastAsia="bg-BG"/>
        </w:rPr>
      </w:pPr>
    </w:p>
    <w:p w14:paraId="2FA9C719" w14:textId="709E1A4A" w:rsidR="00602A56" w:rsidRDefault="00602A56" w:rsidP="00602A56">
      <w:pPr>
        <w:spacing w:line="240" w:lineRule="auto"/>
        <w:rPr>
          <w:rFonts w:eastAsia="Times New Roman" w:cs="Arial"/>
          <w:color w:val="000000"/>
          <w:lang w:eastAsia="bg-BG"/>
        </w:rPr>
      </w:pPr>
      <w:r w:rsidRPr="00602A56">
        <w:rPr>
          <w:rFonts w:eastAsia="Times New Roman" w:cs="Arial"/>
          <w:color w:val="000000"/>
          <w:u w:val="single"/>
          <w:lang w:eastAsia="bg-BG"/>
        </w:rPr>
        <w:t>Нарушения на очите:</w:t>
      </w:r>
      <w:r w:rsidRPr="00602A56">
        <w:rPr>
          <w:rFonts w:eastAsia="Times New Roman" w:cs="Arial"/>
          <w:color w:val="000000"/>
          <w:lang w:eastAsia="bg-BG"/>
        </w:rPr>
        <w:t xml:space="preserve"> повишено вътреочно налягане, глаукома, катаракта, екзофталм. </w:t>
      </w:r>
    </w:p>
    <w:p w14:paraId="22A6B5ED" w14:textId="77777777" w:rsidR="00602A56" w:rsidRDefault="00602A56" w:rsidP="00602A56">
      <w:pPr>
        <w:spacing w:line="240" w:lineRule="auto"/>
        <w:rPr>
          <w:rFonts w:eastAsia="Times New Roman" w:cs="Arial"/>
          <w:color w:val="000000"/>
          <w:lang w:eastAsia="bg-BG"/>
        </w:rPr>
      </w:pPr>
    </w:p>
    <w:p w14:paraId="41BB22E6" w14:textId="1F47DAEF"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Стомашно-чревни нарушения:</w:t>
      </w:r>
      <w:r w:rsidRPr="00602A56">
        <w:rPr>
          <w:rFonts w:eastAsia="Times New Roman" w:cs="Arial"/>
          <w:color w:val="000000"/>
          <w:lang w:eastAsia="bg-BG"/>
        </w:rPr>
        <w:t xml:space="preserve"> гадене, хълцане, пептична язва на стомаха или дуоденума, перфорации и кървене от стомаха или червата (хематемезис, медена), панкреатит, улцерозен езофагит.</w:t>
      </w:r>
    </w:p>
    <w:p w14:paraId="55277ABE" w14:textId="77777777" w:rsidR="00602A56" w:rsidRDefault="00602A56" w:rsidP="00602A56">
      <w:pPr>
        <w:spacing w:line="240" w:lineRule="auto"/>
        <w:rPr>
          <w:rFonts w:eastAsia="Times New Roman" w:cs="Arial"/>
          <w:color w:val="000000"/>
          <w:u w:val="single"/>
          <w:lang w:eastAsia="bg-BG"/>
        </w:rPr>
      </w:pPr>
    </w:p>
    <w:p w14:paraId="4336B4FC" w14:textId="4D33BEB1"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кожата и подкожната тъкан:</w:t>
      </w:r>
      <w:r w:rsidRPr="00602A56">
        <w:rPr>
          <w:rFonts w:eastAsia="Times New Roman" w:cs="Arial"/>
          <w:color w:val="000000"/>
          <w:lang w:eastAsia="bg-BG"/>
        </w:rPr>
        <w:t xml:space="preserve"> забавено зарастване на рани, петехии и екхимози, еритем, повишено потоотделяне, алергичен дерматиг, уртикария, акне, ангионевротичен едем. Възможно е потискане на реакциите към кожни тестове.</w:t>
      </w:r>
    </w:p>
    <w:p w14:paraId="26AC1313" w14:textId="77777777" w:rsidR="00602A56" w:rsidRDefault="00602A56" w:rsidP="00602A56">
      <w:pPr>
        <w:spacing w:line="240" w:lineRule="auto"/>
        <w:rPr>
          <w:rFonts w:eastAsia="Times New Roman" w:cs="Arial"/>
          <w:color w:val="000000"/>
          <w:u w:val="single"/>
          <w:lang w:eastAsia="bg-BG"/>
        </w:rPr>
      </w:pPr>
    </w:p>
    <w:p w14:paraId="24CA02D0" w14:textId="669CC12F"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мускулно-скелетната система и съединителната тъкан:</w:t>
      </w:r>
      <w:r w:rsidRPr="00602A56">
        <w:rPr>
          <w:rFonts w:eastAsia="Times New Roman" w:cs="Arial"/>
          <w:color w:val="000000"/>
          <w:lang w:eastAsia="bg-BG"/>
        </w:rPr>
        <w:t xml:space="preserve"> мускулна слабост, стероидна миопатия, загуба на мускулна маса, остеопороза, компресионни фрактури на прешлените, асептична некроза (най-често на главата на фемура и хумеруса), руптури на сухожилия.</w:t>
      </w:r>
    </w:p>
    <w:p w14:paraId="54DE8890" w14:textId="77777777" w:rsidR="00602A56" w:rsidRDefault="00602A56" w:rsidP="00602A56">
      <w:pPr>
        <w:spacing w:line="240" w:lineRule="auto"/>
        <w:rPr>
          <w:rFonts w:eastAsia="Times New Roman" w:cs="Arial"/>
          <w:color w:val="000000"/>
          <w:u w:val="single"/>
          <w:lang w:eastAsia="bg-BG"/>
        </w:rPr>
      </w:pPr>
    </w:p>
    <w:p w14:paraId="74DAA22D" w14:textId="32648211"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ендокринната система:</w:t>
      </w:r>
      <w:r w:rsidRPr="00602A56">
        <w:rPr>
          <w:rFonts w:eastAsia="Times New Roman" w:cs="Arial"/>
          <w:color w:val="000000"/>
          <w:lang w:eastAsia="bg-BG"/>
        </w:rPr>
        <w:t xml:space="preserve"> вторична адренокортикална и хипофизарна инсуфициенция, синдром на </w:t>
      </w:r>
      <w:r w:rsidRPr="00602A56">
        <w:rPr>
          <w:rFonts w:eastAsia="Times New Roman" w:cs="Arial"/>
          <w:i/>
          <w:iCs/>
          <w:color w:val="000000"/>
          <w:lang w:val="en-US"/>
        </w:rPr>
        <w:t>Cushing</w:t>
      </w:r>
      <w:r w:rsidRPr="00602A56">
        <w:rPr>
          <w:rFonts w:eastAsia="Times New Roman" w:cs="Arial"/>
          <w:i/>
          <w:iCs/>
          <w:color w:val="000000"/>
          <w:lang w:val="ru-RU"/>
        </w:rPr>
        <w:t>,</w:t>
      </w:r>
      <w:r w:rsidRPr="00602A56">
        <w:rPr>
          <w:rFonts w:eastAsia="Times New Roman" w:cs="Arial"/>
          <w:color w:val="000000"/>
          <w:lang w:val="ru-RU"/>
        </w:rPr>
        <w:t xml:space="preserve"> </w:t>
      </w:r>
      <w:r w:rsidRPr="00602A56">
        <w:rPr>
          <w:rFonts w:eastAsia="Times New Roman" w:cs="Arial"/>
          <w:color w:val="000000"/>
          <w:lang w:eastAsia="bg-BG"/>
        </w:rPr>
        <w:t>хирзутизъм, менструални нарушения, забавяне на растежа при деца и юноши, понижен толеранс към въглехидрати, поява на латентен диабет, повишена нужда от инсулин или перорални антидиабетични средства при пациенти със захарен диабет.</w:t>
      </w:r>
    </w:p>
    <w:p w14:paraId="77A7AC3C" w14:textId="77777777" w:rsidR="00602A56" w:rsidRDefault="00602A56" w:rsidP="00602A56">
      <w:pPr>
        <w:spacing w:line="240" w:lineRule="auto"/>
        <w:rPr>
          <w:rFonts w:eastAsia="Times New Roman" w:cs="Arial"/>
          <w:color w:val="000000"/>
          <w:u w:val="single"/>
          <w:lang w:eastAsia="bg-BG"/>
        </w:rPr>
      </w:pPr>
    </w:p>
    <w:p w14:paraId="028C9688" w14:textId="7829D39A"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lastRenderedPageBreak/>
        <w:t>Нарушения на метаболизма и храненето</w:t>
      </w:r>
      <w:r w:rsidRPr="00602A56">
        <w:rPr>
          <w:rFonts w:eastAsia="Times New Roman" w:cs="Arial"/>
          <w:color w:val="000000"/>
          <w:lang w:eastAsia="bg-BG"/>
        </w:rPr>
        <w:t>: задръжка на натрий и вода, загуба на калий, хипокалиемична алкалоза, отрицателен азотен баланс поради катаболизма на протеините, хипокалциемия.</w:t>
      </w:r>
    </w:p>
    <w:p w14:paraId="66778E62" w14:textId="77777777"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Общи нарушения и ефекти на мястото на приложение:</w:t>
      </w:r>
      <w:r w:rsidRPr="00602A56">
        <w:rPr>
          <w:rFonts w:eastAsia="Times New Roman" w:cs="Arial"/>
          <w:color w:val="000000"/>
          <w:lang w:eastAsia="bg-BG"/>
        </w:rPr>
        <w:t xml:space="preserve"> повишен апетит и повишаване на теглото, общо неразположение, зачервяване, подуване, болки и други признаци на инфекциозни или алергични реакции на мястото на приложение.</w:t>
      </w:r>
    </w:p>
    <w:p w14:paraId="444F3B8B" w14:textId="77777777" w:rsidR="00602A56" w:rsidRDefault="00602A56" w:rsidP="00602A56">
      <w:pPr>
        <w:spacing w:line="240" w:lineRule="auto"/>
        <w:rPr>
          <w:rFonts w:eastAsia="Times New Roman" w:cs="Arial"/>
          <w:color w:val="000000"/>
          <w:u w:val="single"/>
          <w:lang w:eastAsia="bg-BG"/>
        </w:rPr>
      </w:pPr>
    </w:p>
    <w:p w14:paraId="139E418A" w14:textId="76876C36"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Нарушения на имунната система:</w:t>
      </w:r>
      <w:r w:rsidRPr="00602A56">
        <w:rPr>
          <w:rFonts w:eastAsia="Times New Roman" w:cs="Arial"/>
          <w:color w:val="000000"/>
          <w:lang w:eastAsia="bg-BG"/>
        </w:rPr>
        <w:t xml:space="preserve"> анафилактоидни реакции или реакции на свръхчувствителност.</w:t>
      </w:r>
    </w:p>
    <w:p w14:paraId="1B92420E" w14:textId="77777777" w:rsidR="00602A56" w:rsidRDefault="00602A56" w:rsidP="00602A56">
      <w:pPr>
        <w:spacing w:line="240" w:lineRule="auto"/>
        <w:rPr>
          <w:rFonts w:eastAsia="Times New Roman" w:cs="Arial"/>
          <w:color w:val="000000"/>
          <w:u w:val="single"/>
          <w:lang w:eastAsia="bg-BG"/>
        </w:rPr>
      </w:pPr>
    </w:p>
    <w:p w14:paraId="3944FFE2" w14:textId="2EAC1AF0"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Психични нарушения:</w:t>
      </w:r>
      <w:r w:rsidRPr="00602A56">
        <w:rPr>
          <w:rFonts w:eastAsia="Times New Roman" w:cs="Arial"/>
          <w:color w:val="000000"/>
          <w:lang w:eastAsia="bg-BG"/>
        </w:rPr>
        <w:t xml:space="preserve"> еуфория, безсъние, промени в настроението, депресивни състояния, влошаване на шизофрения.</w:t>
      </w:r>
    </w:p>
    <w:p w14:paraId="56473D54" w14:textId="77777777" w:rsidR="00602A56" w:rsidRPr="00602A56" w:rsidRDefault="00602A56" w:rsidP="00602A56">
      <w:pPr>
        <w:spacing w:line="240" w:lineRule="auto"/>
        <w:rPr>
          <w:rFonts w:eastAsia="Times New Roman" w:cs="Arial"/>
          <w:color w:val="000000"/>
          <w:u w:val="single"/>
          <w:lang w:eastAsia="bg-BG"/>
        </w:rPr>
      </w:pPr>
    </w:p>
    <w:p w14:paraId="27195626" w14:textId="3E156818" w:rsidR="00602A56" w:rsidRPr="00602A56" w:rsidRDefault="00602A56" w:rsidP="00602A56">
      <w:pPr>
        <w:spacing w:line="240" w:lineRule="auto"/>
        <w:rPr>
          <w:rFonts w:eastAsia="Times New Roman" w:cs="Arial"/>
        </w:rPr>
      </w:pPr>
      <w:r w:rsidRPr="00602A56">
        <w:rPr>
          <w:rFonts w:eastAsia="Times New Roman" w:cs="Arial"/>
          <w:color w:val="000000"/>
          <w:u w:val="single"/>
          <w:lang w:eastAsia="bg-BG"/>
        </w:rPr>
        <w:t>Съобщаване на подозирани нежелани реакции</w:t>
      </w:r>
    </w:p>
    <w:p w14:paraId="30AA6138" w14:textId="120AA981" w:rsidR="00602A56" w:rsidRPr="00602A56" w:rsidRDefault="00602A56" w:rsidP="00602A56">
      <w:pPr>
        <w:rPr>
          <w:rFonts w:cs="Arial"/>
          <w:lang w:eastAsia="bg-BG"/>
        </w:rPr>
      </w:pPr>
      <w:r w:rsidRPr="00602A5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28903417, уебсайт: </w:t>
      </w:r>
      <w:r w:rsidRPr="00602A56">
        <w:rPr>
          <w:rFonts w:eastAsia="Times New Roman" w:cs="Arial"/>
        </w:rPr>
        <w:fldChar w:fldCharType="begin"/>
      </w:r>
      <w:r w:rsidRPr="00602A56">
        <w:rPr>
          <w:rFonts w:eastAsia="Times New Roman" w:cs="Arial"/>
        </w:rPr>
        <w:instrText xml:space="preserve"> HYPERLINK "http://www.bda.bg" </w:instrText>
      </w:r>
      <w:r w:rsidRPr="00602A56">
        <w:rPr>
          <w:rFonts w:eastAsia="Times New Roman" w:cs="Arial"/>
        </w:rPr>
      </w:r>
      <w:r w:rsidRPr="00602A56">
        <w:rPr>
          <w:rFonts w:eastAsia="Times New Roman" w:cs="Arial"/>
        </w:rPr>
        <w:fldChar w:fldCharType="separate"/>
      </w:r>
      <w:r w:rsidRPr="00602A56">
        <w:rPr>
          <w:rFonts w:eastAsia="Times New Roman" w:cs="Arial"/>
          <w:color w:val="000000"/>
          <w:u w:val="single"/>
          <w:lang w:val="en-US"/>
        </w:rPr>
        <w:t>www.bda.bg</w:t>
      </w:r>
      <w:r w:rsidRPr="00602A56">
        <w:rPr>
          <w:rFonts w:eastAsia="Times New Roman" w:cs="Arial"/>
        </w:rPr>
        <w:fldChar w:fldCharType="end"/>
      </w:r>
      <w:r w:rsidRPr="00602A56">
        <w:rPr>
          <w:rFonts w:eastAsia="Times New Roman" w:cs="Arial"/>
          <w:color w:val="000000"/>
          <w:lang w:val="en-US"/>
        </w:rPr>
        <w:t>.</w:t>
      </w:r>
    </w:p>
    <w:p w14:paraId="6C89A08F" w14:textId="77777777" w:rsidR="00602A56" w:rsidRPr="00602A56" w:rsidRDefault="00602A56" w:rsidP="00602A56"/>
    <w:p w14:paraId="0A023CE0" w14:textId="54FCD6E5" w:rsidR="00CF77F7" w:rsidRDefault="002C50EE" w:rsidP="004A448E">
      <w:pPr>
        <w:pStyle w:val="Heading2"/>
      </w:pPr>
      <w:r>
        <w:t>4.9. Предозиране</w:t>
      </w:r>
    </w:p>
    <w:p w14:paraId="02CCF7CC" w14:textId="0C4AF01B" w:rsidR="00602A56" w:rsidRDefault="00602A56" w:rsidP="00602A56"/>
    <w:p w14:paraId="26AFD6B9" w14:textId="57C540E3" w:rsidR="00602A56" w:rsidRPr="00602A56" w:rsidRDefault="00602A56" w:rsidP="00602A56">
      <w:r>
        <w:t>Съобщения за остро предозиране и/или смърт след предозиране с глюкокортикоиди са редки. В случай на предозиране няма специфичен антидот. Лечението е поддържащо и симптоматично.</w:t>
      </w:r>
    </w:p>
    <w:p w14:paraId="02081B24" w14:textId="1F46E296" w:rsidR="00395555" w:rsidRPr="00395555" w:rsidRDefault="002C50EE" w:rsidP="008A6AF2">
      <w:pPr>
        <w:pStyle w:val="Heading1"/>
      </w:pPr>
      <w:r>
        <w:t>5. ФАРМАКОЛОГИЧНИ СВОЙСТВА</w:t>
      </w:r>
    </w:p>
    <w:p w14:paraId="32B6DE66" w14:textId="455723C6" w:rsidR="00CF77F7" w:rsidRDefault="002C50EE" w:rsidP="004A448E">
      <w:pPr>
        <w:pStyle w:val="Heading2"/>
      </w:pPr>
      <w:r>
        <w:t>5.1. Фармакодинамични свойства</w:t>
      </w:r>
    </w:p>
    <w:p w14:paraId="3B043E91" w14:textId="2CE12023" w:rsidR="00602A56" w:rsidRDefault="00602A56" w:rsidP="00602A56"/>
    <w:p w14:paraId="539AA1ED" w14:textId="3C38D723" w:rsidR="00602A56" w:rsidRPr="00643746" w:rsidRDefault="00602A56" w:rsidP="00602A56">
      <w:pPr>
        <w:rPr>
          <w:rFonts w:cs="Arial"/>
        </w:rPr>
      </w:pPr>
      <w:r w:rsidRPr="00643746">
        <w:rPr>
          <w:rFonts w:cs="Arial"/>
        </w:rPr>
        <w:t>Фармакотерапевтична група: Кортикостероиди за системно приложение. Глюкокортикоиди АТС код: Н02АВ02.</w:t>
      </w:r>
    </w:p>
    <w:p w14:paraId="6BA23773" w14:textId="49361988" w:rsidR="00602A56" w:rsidRPr="00643746" w:rsidRDefault="00602A56" w:rsidP="00602A56">
      <w:pPr>
        <w:rPr>
          <w:rFonts w:cs="Arial"/>
        </w:rPr>
      </w:pPr>
    </w:p>
    <w:p w14:paraId="612F074D"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Дексаметазон е синтетичен глюкокортикостероид с удължено действие и много слаба минералкортикоидна активност. Притежава мощно имуносупресивно действие при бърз и бавен тип реакции на свръхчувствителност и неспецифично противовъзпалително действие. Имуносупресивното и противовъзпалително действие са резултат от потискане освобождаването на различни цитокини и на специфичните функции на левкоцитите. Фармакологичните ефекти на дексаметазон се осъществяват чрез свързване със специфични рецептори. Дексаметазон преминава през клетъчните мембрани и се свързва с цитоплазматичните глюкокортикоидни рецептори. Образувалият се стероид - рецепторен комплекс мигрира до ядрото, взаимодейства със специфичен акцептор в ядрения хроматин и стимулира сингезата на нова РНК. В резултат на този процес се синтезират регулаторни протеини, отговорни за биологичните и фармакологичните ефекти на глюкокортикоидите. Кортикостероидните продукти, в това число и дексаметазон, се намесват в трите основни вида на обмяна в организма и водят до:</w:t>
      </w:r>
    </w:p>
    <w:p w14:paraId="6437FD45"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Промени във въглехидратната обмяна - повишаване нивото на кръвната захар; активиране на гликонеогенезата; увеличаване на чернодробните гликогенови нива.</w:t>
      </w:r>
    </w:p>
    <w:p w14:paraId="52FC3A46"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lastRenderedPageBreak/>
        <w:t>Промени в белтъчната обмяна - повишаване нивата на аминокиселините в плазмата, вкл. прекурсори на гликонеогенезата.</w:t>
      </w:r>
    </w:p>
    <w:p w14:paraId="31547316"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Промени в мастната обмяна - увеличава се мобилизирането на свободни мастни киселини от адипозната тъкан и концентрацията им в плазмата.</w:t>
      </w:r>
    </w:p>
    <w:p w14:paraId="0FCFDCCD"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Дексаметазон потиска секрецията на хипофизните хормони АСТН, </w:t>
      </w:r>
      <w:r w:rsidRPr="00602A56">
        <w:rPr>
          <w:rFonts w:eastAsia="Times New Roman" w:cs="Arial"/>
          <w:color w:val="000000"/>
          <w:lang w:val="en-US"/>
        </w:rPr>
        <w:t>TSH</w:t>
      </w:r>
      <w:r w:rsidRPr="00602A56">
        <w:rPr>
          <w:rFonts w:eastAsia="Times New Roman" w:cs="Arial"/>
          <w:color w:val="000000"/>
          <w:lang w:val="ru-RU"/>
        </w:rPr>
        <w:t xml:space="preserve"> </w:t>
      </w:r>
      <w:r w:rsidRPr="00602A56">
        <w:rPr>
          <w:rFonts w:eastAsia="Times New Roman" w:cs="Arial"/>
          <w:color w:val="000000"/>
          <w:lang w:eastAsia="bg-BG"/>
        </w:rPr>
        <w:t xml:space="preserve">и </w:t>
      </w:r>
      <w:r w:rsidRPr="00602A56">
        <w:rPr>
          <w:rFonts w:eastAsia="Times New Roman" w:cs="Arial"/>
          <w:color w:val="000000"/>
          <w:lang w:val="en-US"/>
        </w:rPr>
        <w:t>FSH</w:t>
      </w:r>
      <w:r w:rsidRPr="00602A56">
        <w:rPr>
          <w:rFonts w:eastAsia="Times New Roman" w:cs="Arial"/>
          <w:color w:val="000000"/>
          <w:lang w:val="ru-RU"/>
        </w:rPr>
        <w:t xml:space="preserve">. </w:t>
      </w:r>
      <w:r w:rsidRPr="00602A56">
        <w:rPr>
          <w:rFonts w:eastAsia="Times New Roman" w:cs="Arial"/>
          <w:color w:val="000000"/>
          <w:lang w:eastAsia="bg-BG"/>
        </w:rPr>
        <w:t>Проявява индиректни ефекти върху ЦНС чрез повлияване на кръвното налягане, плазмените концентрации на глюкозата и електролитните концентрации, а също така проявява и директни ефекти чрез влияние върху синтезата на т. н. невростероиди в ЦНС.</w:t>
      </w:r>
    </w:p>
    <w:p w14:paraId="7823B7AB" w14:textId="77777777" w:rsidR="00602A56" w:rsidRPr="00643746" w:rsidRDefault="00602A56" w:rsidP="00602A56">
      <w:pPr>
        <w:spacing w:line="240" w:lineRule="auto"/>
        <w:rPr>
          <w:rFonts w:eastAsia="Times New Roman" w:cs="Arial"/>
          <w:color w:val="000000"/>
          <w:lang w:eastAsia="bg-BG"/>
        </w:rPr>
      </w:pPr>
    </w:p>
    <w:p w14:paraId="345654BA" w14:textId="2375C56D"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Проучването </w:t>
      </w:r>
      <w:r w:rsidRPr="00602A56">
        <w:rPr>
          <w:rFonts w:eastAsia="Times New Roman" w:cs="Arial"/>
          <w:color w:val="000000"/>
          <w:lang w:val="en-US"/>
        </w:rPr>
        <w:t>RECOVERY</w:t>
      </w:r>
      <w:r w:rsidRPr="00602A56">
        <w:rPr>
          <w:rFonts w:eastAsia="Times New Roman" w:cs="Arial"/>
          <w:color w:val="000000"/>
        </w:rPr>
        <w:t xml:space="preserve"> (</w:t>
      </w:r>
      <w:proofErr w:type="spellStart"/>
      <w:r w:rsidRPr="00602A56">
        <w:rPr>
          <w:rFonts w:eastAsia="Times New Roman" w:cs="Arial"/>
          <w:color w:val="000000"/>
          <w:lang w:val="en-US"/>
        </w:rPr>
        <w:t>Randomised</w:t>
      </w:r>
      <w:proofErr w:type="spellEnd"/>
      <w:r w:rsidRPr="00602A56">
        <w:rPr>
          <w:rFonts w:eastAsia="Times New Roman" w:cs="Arial"/>
          <w:color w:val="000000"/>
        </w:rPr>
        <w:t xml:space="preserve"> </w:t>
      </w:r>
      <w:r w:rsidRPr="00602A56">
        <w:rPr>
          <w:rFonts w:eastAsia="Times New Roman" w:cs="Arial"/>
          <w:color w:val="000000"/>
          <w:lang w:val="en-US"/>
        </w:rPr>
        <w:t>Evaluation</w:t>
      </w:r>
      <w:r w:rsidRPr="00602A56">
        <w:rPr>
          <w:rFonts w:eastAsia="Times New Roman" w:cs="Arial"/>
          <w:color w:val="000000"/>
        </w:rPr>
        <w:t xml:space="preserve"> </w:t>
      </w:r>
      <w:r w:rsidRPr="00602A56">
        <w:rPr>
          <w:rFonts w:eastAsia="Times New Roman" w:cs="Arial"/>
          <w:color w:val="000000"/>
          <w:lang w:val="en-US"/>
        </w:rPr>
        <w:t>of</w:t>
      </w:r>
      <w:r w:rsidRPr="00602A56">
        <w:rPr>
          <w:rFonts w:eastAsia="Times New Roman" w:cs="Arial"/>
          <w:color w:val="000000"/>
        </w:rPr>
        <w:t xml:space="preserve"> </w:t>
      </w:r>
      <w:proofErr w:type="spellStart"/>
      <w:r w:rsidRPr="00602A56">
        <w:rPr>
          <w:rFonts w:eastAsia="Times New Roman" w:cs="Arial"/>
          <w:color w:val="000000"/>
          <w:lang w:val="en-US"/>
        </w:rPr>
        <w:t>COVid</w:t>
      </w:r>
      <w:proofErr w:type="spellEnd"/>
      <w:r w:rsidRPr="00602A56">
        <w:rPr>
          <w:rFonts w:eastAsia="Times New Roman" w:cs="Arial"/>
          <w:color w:val="000000"/>
        </w:rPr>
        <w:t xml:space="preserve">-19 </w:t>
      </w:r>
      <w:proofErr w:type="spellStart"/>
      <w:r w:rsidRPr="00602A56">
        <w:rPr>
          <w:rFonts w:eastAsia="Times New Roman" w:cs="Arial"/>
          <w:color w:val="000000"/>
          <w:lang w:val="en-US"/>
        </w:rPr>
        <w:t>thERapY</w:t>
      </w:r>
      <w:proofErr w:type="spellEnd"/>
      <w:r w:rsidRPr="00602A56">
        <w:rPr>
          <w:rFonts w:eastAsia="Times New Roman" w:cs="Arial"/>
          <w:color w:val="000000"/>
        </w:rPr>
        <w:t>)</w:t>
      </w:r>
      <w:r w:rsidRPr="00602A56">
        <w:rPr>
          <w:rFonts w:eastAsia="Times New Roman" w:cs="Arial"/>
          <w:color w:val="000000"/>
          <w:vertAlign w:val="superscript"/>
        </w:rPr>
        <w:t>1</w:t>
      </w:r>
      <w:r w:rsidRPr="00602A56">
        <w:rPr>
          <w:rFonts w:eastAsia="Times New Roman" w:cs="Arial"/>
          <w:color w:val="000000"/>
        </w:rPr>
        <w:t xml:space="preserve"> </w:t>
      </w:r>
      <w:r w:rsidRPr="00602A56">
        <w:rPr>
          <w:rFonts w:eastAsia="Times New Roman" w:cs="Arial"/>
          <w:color w:val="000000"/>
          <w:lang w:eastAsia="bg-BG"/>
        </w:rPr>
        <w:t xml:space="preserve">е изследовател- инициирано, индивидуално рандомизирано, контролирано, отворено, с адаптивна платформа проучване за оценка на ефектите от потенциални лечения при пациенти, хоспитализирани с </w:t>
      </w:r>
      <w:r w:rsidRPr="00602A56">
        <w:rPr>
          <w:rFonts w:eastAsia="Times New Roman" w:cs="Arial"/>
          <w:color w:val="000000"/>
          <w:lang w:val="en-US"/>
        </w:rPr>
        <w:t>COVID</w:t>
      </w:r>
      <w:r w:rsidRPr="00602A56">
        <w:rPr>
          <w:rFonts w:eastAsia="Times New Roman" w:cs="Arial"/>
          <w:color w:val="000000"/>
        </w:rPr>
        <w:t xml:space="preserve">-19. </w:t>
      </w:r>
      <w:r w:rsidRPr="00602A56">
        <w:rPr>
          <w:rFonts w:eastAsia="Times New Roman" w:cs="Arial"/>
          <w:color w:val="000000"/>
          <w:lang w:eastAsia="bg-BG"/>
        </w:rPr>
        <w:t>Проуването е проведено в 176 болници във Великобритания.</w:t>
      </w:r>
    </w:p>
    <w:p w14:paraId="6EFD3C82"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Включени са 6425 пациенти, рандомизирани да получават или дексаметазон (2104 пациенти), или само обичайните грижи (4321 пациенти). 89% от пациентите са имали лабораторно потвърдена инфекция на </w:t>
      </w:r>
      <w:r w:rsidRPr="00602A56">
        <w:rPr>
          <w:rFonts w:eastAsia="Times New Roman" w:cs="Arial"/>
          <w:color w:val="000000"/>
          <w:lang w:val="en-US"/>
        </w:rPr>
        <w:t>SARS</w:t>
      </w:r>
      <w:r w:rsidRPr="00602A56">
        <w:rPr>
          <w:rFonts w:eastAsia="Times New Roman" w:cs="Arial"/>
          <w:color w:val="000000"/>
          <w:lang w:val="ru-RU"/>
        </w:rPr>
        <w:t>-</w:t>
      </w:r>
      <w:proofErr w:type="spellStart"/>
      <w:r w:rsidRPr="00602A56">
        <w:rPr>
          <w:rFonts w:eastAsia="Times New Roman" w:cs="Arial"/>
          <w:color w:val="000000"/>
          <w:lang w:val="en-US"/>
        </w:rPr>
        <w:t>CoV</w:t>
      </w:r>
      <w:proofErr w:type="spellEnd"/>
      <w:r w:rsidRPr="00602A56">
        <w:rPr>
          <w:rFonts w:eastAsia="Times New Roman" w:cs="Arial"/>
          <w:color w:val="000000"/>
          <w:lang w:val="ru-RU"/>
        </w:rPr>
        <w:t>-2.</w:t>
      </w:r>
    </w:p>
    <w:p w14:paraId="0407385F"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При рандомизацията 16% от пациентите получават инвазивна механична вентилация или екстракорпорална мембранна оксигенация, 60% получават само кислород (със или без неинвазивна вентилация), а 24% не получават нито едното, </w:t>
      </w:r>
      <w:r w:rsidRPr="00602A56">
        <w:rPr>
          <w:rFonts w:eastAsia="Times New Roman" w:cs="Arial"/>
          <w:i/>
          <w:iCs/>
          <w:color w:val="000000"/>
          <w:lang w:eastAsia="bg-BG"/>
        </w:rPr>
        <w:t>пито</w:t>
      </w:r>
      <w:r w:rsidRPr="00602A56">
        <w:rPr>
          <w:rFonts w:eastAsia="Times New Roman" w:cs="Arial"/>
          <w:color w:val="000000"/>
          <w:lang w:eastAsia="bg-BG"/>
        </w:rPr>
        <w:t xml:space="preserve"> другото.</w:t>
      </w:r>
    </w:p>
    <w:p w14:paraId="240A52C7"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Средната възраст на пациентите е 66,1 +/- 15,7 години. 36% от пациентите са жени. 24% от пациентите са имали анамнеза за диабет, 27% - за сърдечни заболявания и 21% - за хронични </w:t>
      </w:r>
      <w:r w:rsidRPr="00602A56">
        <w:rPr>
          <w:rFonts w:eastAsia="Times New Roman" w:cs="Arial"/>
          <w:color w:val="000000"/>
          <w:u w:val="single"/>
          <w:lang w:eastAsia="bg-BG"/>
        </w:rPr>
        <w:t>белодробни заболявания.</w:t>
      </w:r>
    </w:p>
    <w:p w14:paraId="3B1673F6" w14:textId="77777777" w:rsidR="00602A56" w:rsidRPr="00602A56" w:rsidRDefault="00602A56" w:rsidP="00602A56">
      <w:pPr>
        <w:spacing w:line="240" w:lineRule="auto"/>
        <w:rPr>
          <w:rFonts w:eastAsia="Times New Roman" w:cs="Arial"/>
        </w:rPr>
      </w:pPr>
      <w:r w:rsidRPr="00602A56">
        <w:rPr>
          <w:rFonts w:eastAsia="Times New Roman" w:cs="Arial"/>
          <w:color w:val="000000"/>
          <w:vertAlign w:val="superscript"/>
          <w:lang w:eastAsia="bg-BG"/>
        </w:rPr>
        <w:t>1</w:t>
      </w:r>
      <w:r w:rsidRPr="00602A56">
        <w:rPr>
          <w:rFonts w:eastAsia="Times New Roman" w:cs="Arial"/>
          <w:color w:val="000000"/>
          <w:lang w:eastAsia="bg-BG"/>
        </w:rPr>
        <w:t xml:space="preserve"> </w:t>
      </w:r>
      <w:hyperlink r:id="rId5" w:history="1">
        <w:r w:rsidRPr="00602A56">
          <w:rPr>
            <w:rFonts w:eastAsia="Times New Roman" w:cs="Arial"/>
            <w:color w:val="000000"/>
            <w:lang w:val="en-US"/>
          </w:rPr>
          <w:t>www</w:t>
        </w:r>
        <w:r w:rsidRPr="00602A56">
          <w:rPr>
            <w:rFonts w:eastAsia="Times New Roman" w:cs="Arial"/>
            <w:color w:val="000000"/>
            <w:lang w:val="ru-RU"/>
          </w:rPr>
          <w:t>.</w:t>
        </w:r>
        <w:proofErr w:type="spellStart"/>
        <w:r w:rsidRPr="00602A56">
          <w:rPr>
            <w:rFonts w:eastAsia="Times New Roman" w:cs="Arial"/>
            <w:color w:val="000000"/>
            <w:lang w:val="en-US"/>
          </w:rPr>
          <w:t>recoverytrial</w:t>
        </w:r>
        <w:proofErr w:type="spellEnd"/>
        <w:r w:rsidRPr="00602A56">
          <w:rPr>
            <w:rFonts w:eastAsia="Times New Roman" w:cs="Arial"/>
            <w:color w:val="000000"/>
            <w:lang w:val="ru-RU"/>
          </w:rPr>
          <w:t>.</w:t>
        </w:r>
        <w:r w:rsidRPr="00602A56">
          <w:rPr>
            <w:rFonts w:eastAsia="Times New Roman" w:cs="Arial"/>
            <w:color w:val="000000"/>
            <w:lang w:val="en-US"/>
          </w:rPr>
          <w:t>net</w:t>
        </w:r>
      </w:hyperlink>
    </w:p>
    <w:p w14:paraId="6C5AEFAD" w14:textId="77777777" w:rsidR="00602A56" w:rsidRPr="00643746" w:rsidRDefault="00602A56" w:rsidP="00602A56">
      <w:pPr>
        <w:spacing w:line="240" w:lineRule="auto"/>
        <w:rPr>
          <w:rFonts w:eastAsia="Times New Roman" w:cs="Arial"/>
          <w:b/>
          <w:bCs/>
          <w:color w:val="000000"/>
          <w:lang w:eastAsia="bg-BG"/>
        </w:rPr>
      </w:pPr>
    </w:p>
    <w:p w14:paraId="676B6BC6" w14:textId="0D4A097E" w:rsidR="00602A56" w:rsidRPr="00602A56" w:rsidRDefault="00602A56" w:rsidP="00602A56">
      <w:pPr>
        <w:spacing w:line="240" w:lineRule="auto"/>
        <w:rPr>
          <w:rFonts w:eastAsia="Times New Roman" w:cs="Arial"/>
        </w:rPr>
      </w:pPr>
      <w:r w:rsidRPr="00602A56">
        <w:rPr>
          <w:rFonts w:eastAsia="Times New Roman" w:cs="Arial"/>
          <w:b/>
          <w:bCs/>
          <w:color w:val="000000"/>
          <w:lang w:eastAsia="bg-BG"/>
        </w:rPr>
        <w:t>Първична крайна точка</w:t>
      </w:r>
    </w:p>
    <w:p w14:paraId="1F1268BE"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Смъртността през изследвания период от 28 дни е била значително по-ниска в групата на дексаметазон, отколкото в групата на обичайните грижи, като смъртни случаи са съобщени при съответно 482 от 2104 пациенти (22,9%) и при 1110 от 4321 пациенти (25,7%) (коефициент на съотношение е 0,83; 95% доверителен интервал </w:t>
      </w:r>
      <w:r w:rsidRPr="00602A56">
        <w:rPr>
          <w:rFonts w:eastAsia="Times New Roman" w:cs="Arial"/>
          <w:color w:val="000000"/>
          <w:lang w:val="ru-RU"/>
        </w:rPr>
        <w:t>[</w:t>
      </w:r>
      <w:r w:rsidRPr="00602A56">
        <w:rPr>
          <w:rFonts w:eastAsia="Times New Roman" w:cs="Arial"/>
          <w:color w:val="000000"/>
          <w:lang w:val="en-US"/>
        </w:rPr>
        <w:t>CI</w:t>
      </w:r>
      <w:r w:rsidRPr="00602A56">
        <w:rPr>
          <w:rFonts w:eastAsia="Times New Roman" w:cs="Arial"/>
          <w:color w:val="000000"/>
          <w:lang w:val="ru-RU"/>
        </w:rPr>
        <w:t xml:space="preserve">], </w:t>
      </w:r>
      <w:r w:rsidRPr="00602A56">
        <w:rPr>
          <w:rFonts w:eastAsia="Times New Roman" w:cs="Arial"/>
          <w:color w:val="000000"/>
          <w:lang w:eastAsia="bg-BG"/>
        </w:rPr>
        <w:t>0,75 до 0,93; Р &lt;0,001).</w:t>
      </w:r>
    </w:p>
    <w:p w14:paraId="20490463"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 xml:space="preserve">В групата на дексаметазон честотата на смъртността е по-ниска от тази в групата с обичайните грижи за пациентите, получаващи инвазивна механична вентилация (29,3% срещу 41,4%; коефициент на съотношение е 0,64; 95% доверителен интервал </w:t>
      </w:r>
      <w:r w:rsidRPr="00602A56">
        <w:rPr>
          <w:rFonts w:eastAsia="Times New Roman" w:cs="Arial"/>
          <w:color w:val="000000"/>
          <w:lang w:val="ru-RU"/>
        </w:rPr>
        <w:t>[</w:t>
      </w:r>
      <w:r w:rsidRPr="00602A56">
        <w:rPr>
          <w:rFonts w:eastAsia="Times New Roman" w:cs="Arial"/>
          <w:color w:val="000000"/>
          <w:lang w:val="en-US"/>
        </w:rPr>
        <w:t>CI</w:t>
      </w:r>
      <w:r w:rsidRPr="00602A56">
        <w:rPr>
          <w:rFonts w:eastAsia="Times New Roman" w:cs="Arial"/>
          <w:color w:val="000000"/>
          <w:lang w:val="ru-RU"/>
        </w:rPr>
        <w:t xml:space="preserve">], </w:t>
      </w:r>
      <w:r w:rsidRPr="00602A56">
        <w:rPr>
          <w:rFonts w:eastAsia="Times New Roman" w:cs="Arial"/>
          <w:color w:val="000000"/>
          <w:lang w:eastAsia="bg-BG"/>
        </w:rPr>
        <w:t xml:space="preserve">0,51 до 0,81) и при тези, получаващи допълнително кислород без инвазивна механична вентилация (23,3% срещу 26,2%; коефициент на съотношение е 0,82; 95% доверителен интервал </w:t>
      </w:r>
      <w:r w:rsidRPr="00602A56">
        <w:rPr>
          <w:rFonts w:eastAsia="Times New Roman" w:cs="Arial"/>
          <w:color w:val="000000"/>
          <w:lang w:val="ru-RU"/>
        </w:rPr>
        <w:t>[</w:t>
      </w:r>
      <w:r w:rsidRPr="00602A56">
        <w:rPr>
          <w:rFonts w:eastAsia="Times New Roman" w:cs="Arial"/>
          <w:color w:val="000000"/>
          <w:lang w:val="en-US"/>
        </w:rPr>
        <w:t>CI</w:t>
      </w:r>
      <w:r w:rsidRPr="00602A56">
        <w:rPr>
          <w:rFonts w:eastAsia="Times New Roman" w:cs="Arial"/>
          <w:color w:val="000000"/>
          <w:lang w:val="ru-RU"/>
        </w:rPr>
        <w:t xml:space="preserve">], </w:t>
      </w:r>
      <w:r w:rsidRPr="00602A56">
        <w:rPr>
          <w:rFonts w:eastAsia="Times New Roman" w:cs="Arial"/>
          <w:color w:val="000000"/>
          <w:lang w:eastAsia="bg-BG"/>
        </w:rPr>
        <w:t>0,72 до 0,94).</w:t>
      </w:r>
    </w:p>
    <w:p w14:paraId="2C3A08C2" w14:textId="77777777" w:rsidR="00602A56" w:rsidRPr="00602A56" w:rsidRDefault="00602A56" w:rsidP="00602A56">
      <w:pPr>
        <w:spacing w:line="240" w:lineRule="auto"/>
        <w:rPr>
          <w:rFonts w:eastAsia="Times New Roman" w:cs="Arial"/>
        </w:rPr>
      </w:pPr>
      <w:r w:rsidRPr="00602A56">
        <w:rPr>
          <w:rFonts w:eastAsia="Times New Roman" w:cs="Arial"/>
          <w:color w:val="000000"/>
          <w:lang w:eastAsia="bg-BG"/>
        </w:rPr>
        <w:t>Няма ясен ефект на дексаметазон сред пациенти, които към момента на рандомизация не са получавали никаква дихателна подкрепа при (17,8% срещу 14,0%; коефициент на съотношение</w:t>
      </w:r>
      <w:r w:rsidRPr="00602A56">
        <w:rPr>
          <w:rFonts w:eastAsia="Times New Roman" w:cs="Arial"/>
          <w:color w:val="000000"/>
          <w:u w:val="single"/>
          <w:lang w:eastAsia="bg-BG"/>
        </w:rPr>
        <w:t xml:space="preserve"> </w:t>
      </w:r>
      <w:r w:rsidRPr="00602A56">
        <w:rPr>
          <w:rFonts w:eastAsia="Times New Roman" w:cs="Arial"/>
          <w:color w:val="000000"/>
          <w:lang w:eastAsia="bg-BG"/>
        </w:rPr>
        <w:t xml:space="preserve">е 1,19; 95% доверителен интервал </w:t>
      </w:r>
      <w:r w:rsidRPr="00602A56">
        <w:rPr>
          <w:rFonts w:eastAsia="Times New Roman" w:cs="Arial"/>
          <w:color w:val="000000"/>
          <w:lang w:val="ru-RU"/>
        </w:rPr>
        <w:t>[</w:t>
      </w:r>
      <w:r w:rsidRPr="00602A56">
        <w:rPr>
          <w:rFonts w:eastAsia="Times New Roman" w:cs="Arial"/>
          <w:color w:val="000000"/>
          <w:lang w:val="en-US"/>
        </w:rPr>
        <w:t>CI</w:t>
      </w:r>
      <w:r w:rsidRPr="00602A56">
        <w:rPr>
          <w:rFonts w:eastAsia="Times New Roman" w:cs="Arial"/>
          <w:color w:val="000000"/>
          <w:lang w:val="ru-RU"/>
        </w:rPr>
        <w:t xml:space="preserve">], </w:t>
      </w:r>
      <w:r w:rsidRPr="00602A56">
        <w:rPr>
          <w:rFonts w:eastAsia="Times New Roman" w:cs="Arial"/>
          <w:color w:val="000000"/>
          <w:lang w:eastAsia="bg-BG"/>
        </w:rPr>
        <w:t>0,91 до 1,55).</w:t>
      </w:r>
    </w:p>
    <w:p w14:paraId="496EB632" w14:textId="77777777" w:rsidR="00602A56" w:rsidRPr="00602A56" w:rsidRDefault="00602A56" w:rsidP="00602A56">
      <w:pPr>
        <w:spacing w:line="240" w:lineRule="auto"/>
        <w:rPr>
          <w:rFonts w:eastAsia="Times New Roman" w:cs="Arial"/>
        </w:rPr>
      </w:pPr>
    </w:p>
    <w:p w14:paraId="3B7E5FD5" w14:textId="77A9B5EE" w:rsidR="00602A56" w:rsidRPr="00643746" w:rsidRDefault="00602A56" w:rsidP="00602A56">
      <w:pPr>
        <w:rPr>
          <w:rFonts w:eastAsia="Times New Roman" w:cs="Arial"/>
          <w:b/>
          <w:bCs/>
          <w:color w:val="000000"/>
          <w:lang w:eastAsia="bg-BG"/>
        </w:rPr>
      </w:pPr>
      <w:r w:rsidRPr="00643746">
        <w:rPr>
          <w:rFonts w:eastAsia="Times New Roman" w:cs="Arial"/>
          <w:b/>
          <w:bCs/>
          <w:color w:val="000000"/>
          <w:lang w:eastAsia="bg-BG"/>
        </w:rPr>
        <w:t>Вторични крайни точки</w:t>
      </w:r>
    </w:p>
    <w:p w14:paraId="47D228BC" w14:textId="77777777" w:rsidR="00643746" w:rsidRPr="00643746" w:rsidRDefault="00643746" w:rsidP="00643746">
      <w:pPr>
        <w:spacing w:line="240" w:lineRule="auto"/>
        <w:rPr>
          <w:rFonts w:eastAsia="Times New Roman" w:cs="Arial"/>
        </w:rPr>
      </w:pPr>
      <w:r w:rsidRPr="00643746">
        <w:rPr>
          <w:rFonts w:eastAsia="Times New Roman" w:cs="Arial"/>
          <w:color w:val="000000"/>
          <w:lang w:eastAsia="bg-BG"/>
        </w:rPr>
        <w:t>Пациентите от групата на дексаметазон са имали по-кратка продължителност на хоспитализация от тези в групата на обичайните грижи (медиана, 12 дни срещу 13 дни) и не</w:t>
      </w:r>
      <w:r w:rsidRPr="00643746">
        <w:rPr>
          <w:rFonts w:eastAsia="Times New Roman" w:cs="Arial"/>
          <w:color w:val="000000"/>
          <w:lang w:eastAsia="bg-BG"/>
        </w:rPr>
        <w:softHyphen/>
        <w:t xml:space="preserve">голяма вероятност да бъдат изписани живи в рамките на 28 дни (коефициент на съотношение 1,10; 95% доверителен интервал </w:t>
      </w:r>
      <w:r w:rsidRPr="00643746">
        <w:rPr>
          <w:rFonts w:eastAsia="Times New Roman" w:cs="Arial"/>
          <w:color w:val="000000"/>
          <w:lang w:val="ru-RU"/>
        </w:rPr>
        <w:t>[</w:t>
      </w:r>
      <w:r w:rsidRPr="00643746">
        <w:rPr>
          <w:rFonts w:eastAsia="Times New Roman" w:cs="Arial"/>
          <w:color w:val="000000"/>
          <w:lang w:val="en-US"/>
        </w:rPr>
        <w:t>CI</w:t>
      </w:r>
      <w:r w:rsidRPr="00643746">
        <w:rPr>
          <w:rFonts w:eastAsia="Times New Roman" w:cs="Arial"/>
          <w:color w:val="000000"/>
          <w:lang w:val="ru-RU"/>
        </w:rPr>
        <w:t xml:space="preserve">], </w:t>
      </w:r>
      <w:r w:rsidRPr="00643746">
        <w:rPr>
          <w:rFonts w:eastAsia="Times New Roman" w:cs="Arial"/>
          <w:color w:val="000000"/>
          <w:lang w:eastAsia="bg-BG"/>
        </w:rPr>
        <w:t>1,03 до 1,17).</w:t>
      </w:r>
    </w:p>
    <w:p w14:paraId="64719A1F" w14:textId="5DFB7ACD" w:rsidR="00643746" w:rsidRDefault="00643746" w:rsidP="00643746">
      <w:pPr>
        <w:spacing w:line="240" w:lineRule="auto"/>
        <w:rPr>
          <w:rFonts w:eastAsia="Times New Roman" w:cs="Arial"/>
          <w:color w:val="000000"/>
          <w:lang w:eastAsia="bg-BG"/>
        </w:rPr>
      </w:pPr>
      <w:r w:rsidRPr="00643746">
        <w:rPr>
          <w:rFonts w:eastAsia="Times New Roman" w:cs="Arial"/>
          <w:color w:val="000000"/>
          <w:lang w:eastAsia="bg-BG"/>
        </w:rPr>
        <w:t xml:space="preserve">В съответствие с първичната крайна точка най-голям ефект по отношение на изписването от болница в рамките на 28 дни се наблюдава при пациентите, които към момента на рандомизация са получавали инвазивна механична вентилация (коефициент на съотношение 1,48; 95% доверителен интервал </w:t>
      </w:r>
      <w:r w:rsidRPr="00643746">
        <w:rPr>
          <w:rFonts w:eastAsia="Times New Roman" w:cs="Arial"/>
          <w:color w:val="000000"/>
          <w:lang w:val="ru-RU"/>
        </w:rPr>
        <w:t>[</w:t>
      </w:r>
      <w:r w:rsidRPr="00643746">
        <w:rPr>
          <w:rFonts w:eastAsia="Times New Roman" w:cs="Arial"/>
          <w:color w:val="000000"/>
          <w:lang w:val="en-US"/>
        </w:rPr>
        <w:t>CI</w:t>
      </w:r>
      <w:r w:rsidRPr="00643746">
        <w:rPr>
          <w:rFonts w:eastAsia="Times New Roman" w:cs="Arial"/>
          <w:color w:val="000000"/>
          <w:lang w:val="ru-RU"/>
        </w:rPr>
        <w:t xml:space="preserve">] </w:t>
      </w:r>
      <w:r w:rsidRPr="00643746">
        <w:rPr>
          <w:rFonts w:eastAsia="Times New Roman" w:cs="Arial"/>
          <w:color w:val="000000"/>
          <w:lang w:eastAsia="bg-BG"/>
        </w:rPr>
        <w:t xml:space="preserve">1,16,1,90), последвано само от кислород (коефициент на съотношение 1,15; 95% доверителен интервал [СЦ, 1,06-1,24) </w:t>
      </w:r>
      <w:r w:rsidRPr="00643746">
        <w:rPr>
          <w:rFonts w:eastAsia="Times New Roman" w:cs="Arial"/>
          <w:color w:val="000000"/>
          <w:lang w:eastAsia="bg-BG"/>
        </w:rPr>
        <w:lastRenderedPageBreak/>
        <w:t xml:space="preserve">без благоприятен ефект при пациенти, които не получават кислород (коефициент на съотношение 0.96; 95% доверителен интервал </w:t>
      </w:r>
      <w:r w:rsidRPr="00643746">
        <w:rPr>
          <w:rFonts w:eastAsia="Times New Roman" w:cs="Arial"/>
          <w:color w:val="000000"/>
          <w:lang w:val="ru-RU"/>
        </w:rPr>
        <w:t>[</w:t>
      </w:r>
      <w:r w:rsidRPr="00643746">
        <w:rPr>
          <w:rFonts w:eastAsia="Times New Roman" w:cs="Arial"/>
          <w:color w:val="000000"/>
          <w:lang w:val="en-US"/>
        </w:rPr>
        <w:t>CI</w:t>
      </w:r>
      <w:r w:rsidRPr="00643746">
        <w:rPr>
          <w:rFonts w:eastAsia="Times New Roman" w:cs="Arial"/>
          <w:color w:val="000000"/>
          <w:lang w:val="ru-RU"/>
        </w:rPr>
        <w:t xml:space="preserve">] </w:t>
      </w:r>
      <w:r w:rsidRPr="00643746">
        <w:rPr>
          <w:rFonts w:eastAsia="Times New Roman" w:cs="Arial"/>
          <w:color w:val="000000"/>
          <w:lang w:eastAsia="bg-BG"/>
        </w:rPr>
        <w:t>0.85-1.08).</w:t>
      </w:r>
    </w:p>
    <w:tbl>
      <w:tblPr>
        <w:tblStyle w:val="TableGrid"/>
        <w:tblW w:w="0" w:type="auto"/>
        <w:tblLook w:val="04A0" w:firstRow="1" w:lastRow="0" w:firstColumn="1" w:lastColumn="0" w:noHBand="0" w:noVBand="1"/>
      </w:tblPr>
      <w:tblGrid>
        <w:gridCol w:w="2323"/>
        <w:gridCol w:w="2344"/>
        <w:gridCol w:w="2344"/>
        <w:gridCol w:w="2339"/>
      </w:tblGrid>
      <w:tr w:rsidR="00643746" w:rsidRPr="00643746" w14:paraId="20AB1B2E" w14:textId="77777777" w:rsidTr="00643746">
        <w:tc>
          <w:tcPr>
            <w:tcW w:w="2394" w:type="dxa"/>
          </w:tcPr>
          <w:p w14:paraId="0EF390C8" w14:textId="745123D4" w:rsidR="00643746" w:rsidRPr="00643746" w:rsidRDefault="00643746" w:rsidP="00643746">
            <w:pPr>
              <w:spacing w:line="240" w:lineRule="auto"/>
              <w:rPr>
                <w:rFonts w:eastAsia="Times New Roman" w:cs="Arial"/>
                <w:lang w:val="en-US"/>
              </w:rPr>
            </w:pPr>
            <w:r w:rsidRPr="00643746">
              <w:rPr>
                <w:szCs w:val="20"/>
              </w:rPr>
              <w:t>Изход</w:t>
            </w:r>
          </w:p>
        </w:tc>
        <w:tc>
          <w:tcPr>
            <w:tcW w:w="2394" w:type="dxa"/>
          </w:tcPr>
          <w:p w14:paraId="310614DC" w14:textId="67D88475" w:rsidR="00643746" w:rsidRPr="00643746" w:rsidRDefault="00643746" w:rsidP="00643746">
            <w:pPr>
              <w:spacing w:line="240" w:lineRule="auto"/>
              <w:rPr>
                <w:rFonts w:eastAsia="Times New Roman" w:cs="Arial"/>
                <w:lang w:val="en-US"/>
              </w:rPr>
            </w:pPr>
            <w:r w:rsidRPr="00643746">
              <w:rPr>
                <w:szCs w:val="20"/>
              </w:rPr>
              <w:t>Дексметзон (</w:t>
            </w:r>
            <w:r w:rsidRPr="00643746">
              <w:rPr>
                <w:szCs w:val="20"/>
                <w:lang w:val="en-US"/>
              </w:rPr>
              <w:t>n</w:t>
            </w:r>
            <w:r w:rsidRPr="00643746">
              <w:rPr>
                <w:szCs w:val="20"/>
              </w:rPr>
              <w:t xml:space="preserve"> = 2 104)</w:t>
            </w:r>
          </w:p>
        </w:tc>
        <w:tc>
          <w:tcPr>
            <w:tcW w:w="2394" w:type="dxa"/>
          </w:tcPr>
          <w:p w14:paraId="515B0B58" w14:textId="785E73DD" w:rsidR="00643746" w:rsidRPr="00643746" w:rsidRDefault="00643746" w:rsidP="00643746">
            <w:pPr>
              <w:spacing w:line="240" w:lineRule="auto"/>
              <w:rPr>
                <w:rFonts w:eastAsia="Times New Roman" w:cs="Arial"/>
                <w:lang w:val="en-US"/>
              </w:rPr>
            </w:pPr>
            <w:r w:rsidRPr="00643746">
              <w:rPr>
                <w:szCs w:val="20"/>
              </w:rPr>
              <w:t>Обичайни Грижи (</w:t>
            </w:r>
            <w:r w:rsidRPr="00643746">
              <w:rPr>
                <w:szCs w:val="20"/>
                <w:lang w:val="en-US"/>
              </w:rPr>
              <w:t>n</w:t>
            </w:r>
            <w:r w:rsidRPr="00643746">
              <w:rPr>
                <w:szCs w:val="20"/>
              </w:rPr>
              <w:t>= 4 321)</w:t>
            </w:r>
          </w:p>
        </w:tc>
        <w:tc>
          <w:tcPr>
            <w:tcW w:w="2394" w:type="dxa"/>
          </w:tcPr>
          <w:p w14:paraId="2CCF1D7D" w14:textId="5A8FCCAF" w:rsidR="00643746" w:rsidRPr="00643746" w:rsidRDefault="00643746" w:rsidP="00643746">
            <w:pPr>
              <w:spacing w:line="240" w:lineRule="auto"/>
              <w:rPr>
                <w:rFonts w:eastAsia="Times New Roman" w:cs="Arial"/>
                <w:lang w:val="ru-RU"/>
              </w:rPr>
            </w:pPr>
            <w:r w:rsidRPr="00643746">
              <w:rPr>
                <w:szCs w:val="20"/>
              </w:rPr>
              <w:t xml:space="preserve">Коефициент на Съотношение на Риска (95% </w:t>
            </w:r>
            <w:r w:rsidRPr="00643746">
              <w:rPr>
                <w:szCs w:val="20"/>
                <w:lang w:val="en-US"/>
              </w:rPr>
              <w:t>CI</w:t>
            </w:r>
            <w:r w:rsidRPr="00643746">
              <w:rPr>
                <w:szCs w:val="20"/>
                <w:lang w:val="ru-RU"/>
              </w:rPr>
              <w:t>)*</w:t>
            </w:r>
          </w:p>
        </w:tc>
      </w:tr>
      <w:tr w:rsidR="00643746" w:rsidRPr="00643746" w14:paraId="7D201EF5" w14:textId="77777777" w:rsidTr="00643746">
        <w:tc>
          <w:tcPr>
            <w:tcW w:w="2394" w:type="dxa"/>
          </w:tcPr>
          <w:p w14:paraId="5F3E7439" w14:textId="77777777" w:rsidR="00643746" w:rsidRPr="00643746" w:rsidRDefault="00643746" w:rsidP="00643746">
            <w:pPr>
              <w:spacing w:line="240" w:lineRule="auto"/>
              <w:rPr>
                <w:rFonts w:eastAsia="Times New Roman" w:cs="Arial"/>
                <w:lang w:val="ru-RU"/>
              </w:rPr>
            </w:pPr>
          </w:p>
        </w:tc>
        <w:tc>
          <w:tcPr>
            <w:tcW w:w="7182" w:type="dxa"/>
            <w:gridSpan w:val="3"/>
          </w:tcPr>
          <w:p w14:paraId="7D7142E4" w14:textId="01315737" w:rsidR="00643746" w:rsidRPr="00643746" w:rsidRDefault="00643746" w:rsidP="00643746">
            <w:pPr>
              <w:rPr>
                <w:rFonts w:eastAsia="Times New Roman" w:cs="Arial"/>
                <w:lang w:val="ru-RU"/>
              </w:rPr>
            </w:pPr>
            <w:r>
              <w:t>Брой/общ брой на пациенти (%)</w:t>
            </w:r>
          </w:p>
        </w:tc>
      </w:tr>
      <w:tr w:rsidR="00643746" w:rsidRPr="00643746" w14:paraId="2AF2F0EE" w14:textId="77777777" w:rsidTr="00643746">
        <w:tc>
          <w:tcPr>
            <w:tcW w:w="9576" w:type="dxa"/>
            <w:gridSpan w:val="4"/>
          </w:tcPr>
          <w:p w14:paraId="7773A7A2" w14:textId="1923A1BF" w:rsidR="00643746" w:rsidRPr="00643746" w:rsidRDefault="00643746" w:rsidP="00643746">
            <w:pPr>
              <w:rPr>
                <w:rFonts w:cs="Arial"/>
                <w:lang w:val="ru-RU"/>
              </w:rPr>
            </w:pPr>
            <w:r w:rsidRPr="00643746">
              <w:rPr>
                <w:lang w:eastAsia="bg-BG"/>
              </w:rPr>
              <w:t>Първични крайни точки</w:t>
            </w:r>
          </w:p>
        </w:tc>
      </w:tr>
      <w:tr w:rsidR="00643746" w:rsidRPr="00643746" w14:paraId="5F8E685E" w14:textId="77777777" w:rsidTr="00643746">
        <w:tc>
          <w:tcPr>
            <w:tcW w:w="2394" w:type="dxa"/>
          </w:tcPr>
          <w:p w14:paraId="4511B6B3" w14:textId="40FBF70C" w:rsidR="00643746" w:rsidRPr="00643746" w:rsidRDefault="00643746" w:rsidP="00643746">
            <w:pPr>
              <w:rPr>
                <w:rFonts w:eastAsia="Times New Roman" w:cs="Arial"/>
                <w:lang w:val="ru-RU"/>
              </w:rPr>
            </w:pPr>
            <w:r>
              <w:t>Смъртност за 28 дни</w:t>
            </w:r>
          </w:p>
        </w:tc>
        <w:tc>
          <w:tcPr>
            <w:tcW w:w="2394" w:type="dxa"/>
          </w:tcPr>
          <w:p w14:paraId="539ABB81" w14:textId="1D4170C9" w:rsidR="00643746" w:rsidRPr="00643746" w:rsidRDefault="00643746" w:rsidP="00643746">
            <w:pPr>
              <w:rPr>
                <w:rFonts w:eastAsia="Times New Roman" w:cs="Arial"/>
                <w:lang w:val="ru-RU"/>
              </w:rPr>
            </w:pPr>
            <w:r>
              <w:t>482/2104 (22,9)</w:t>
            </w:r>
          </w:p>
        </w:tc>
        <w:tc>
          <w:tcPr>
            <w:tcW w:w="2394" w:type="dxa"/>
          </w:tcPr>
          <w:p w14:paraId="721832D4" w14:textId="4FAE0002" w:rsidR="00643746" w:rsidRPr="00643746" w:rsidRDefault="00643746" w:rsidP="00643746">
            <w:pPr>
              <w:rPr>
                <w:rFonts w:eastAsia="Times New Roman" w:cs="Arial"/>
                <w:lang w:val="ru-RU"/>
              </w:rPr>
            </w:pPr>
            <w:r>
              <w:t>1110/4321 (25,7)</w:t>
            </w:r>
          </w:p>
        </w:tc>
        <w:tc>
          <w:tcPr>
            <w:tcW w:w="2394" w:type="dxa"/>
          </w:tcPr>
          <w:p w14:paraId="2562EF98" w14:textId="752A47B6" w:rsidR="00643746" w:rsidRPr="00643746" w:rsidRDefault="00643746" w:rsidP="00643746">
            <w:pPr>
              <w:rPr>
                <w:rFonts w:eastAsia="Times New Roman" w:cs="Arial"/>
                <w:lang w:val="ru-RU"/>
              </w:rPr>
            </w:pPr>
            <w:r>
              <w:t>0,83 (0,75-0,93)</w:t>
            </w:r>
          </w:p>
        </w:tc>
      </w:tr>
      <w:tr w:rsidR="00643746" w:rsidRPr="00643746" w14:paraId="72A00F60" w14:textId="77777777" w:rsidTr="00643746">
        <w:tc>
          <w:tcPr>
            <w:tcW w:w="9576" w:type="dxa"/>
            <w:gridSpan w:val="4"/>
          </w:tcPr>
          <w:p w14:paraId="5BB2BA40" w14:textId="0E06CD26" w:rsidR="00643746" w:rsidRPr="00643746" w:rsidRDefault="00643746" w:rsidP="00643746">
            <w:pPr>
              <w:rPr>
                <w:rFonts w:eastAsia="Times New Roman" w:cs="Arial"/>
                <w:lang w:val="ru-RU"/>
              </w:rPr>
            </w:pPr>
            <w:r>
              <w:t>Вторични крайни точки</w:t>
            </w:r>
          </w:p>
        </w:tc>
      </w:tr>
      <w:tr w:rsidR="00643746" w:rsidRPr="00643746" w14:paraId="5838FE92" w14:textId="77777777" w:rsidTr="00643746">
        <w:tc>
          <w:tcPr>
            <w:tcW w:w="2394" w:type="dxa"/>
          </w:tcPr>
          <w:p w14:paraId="017AC5D2" w14:textId="42B100FC" w:rsidR="00643746" w:rsidRPr="00643746" w:rsidRDefault="00643746" w:rsidP="00643746">
            <w:pPr>
              <w:spacing w:line="240" w:lineRule="auto"/>
              <w:rPr>
                <w:rFonts w:eastAsia="Times New Roman" w:cs="Arial"/>
                <w:lang w:val="ru-RU"/>
              </w:rPr>
            </w:pPr>
            <w:r w:rsidRPr="00643746">
              <w:rPr>
                <w:szCs w:val="20"/>
              </w:rPr>
              <w:t>Изписване от болница в рамките на 28 дни</w:t>
            </w:r>
          </w:p>
        </w:tc>
        <w:tc>
          <w:tcPr>
            <w:tcW w:w="2394" w:type="dxa"/>
          </w:tcPr>
          <w:p w14:paraId="1B7FA136" w14:textId="77777777" w:rsidR="00643746" w:rsidRPr="00643746" w:rsidRDefault="00643746" w:rsidP="00643746">
            <w:r w:rsidRPr="00643746">
              <w:rPr>
                <w:szCs w:val="20"/>
              </w:rPr>
              <w:t>1413/2104</w:t>
            </w:r>
          </w:p>
          <w:p w14:paraId="5E03CB26" w14:textId="0A584A0B" w:rsidR="00643746" w:rsidRPr="00643746" w:rsidRDefault="00643746" w:rsidP="00643746">
            <w:pPr>
              <w:spacing w:line="240" w:lineRule="auto"/>
              <w:rPr>
                <w:rFonts w:eastAsia="Times New Roman" w:cs="Arial"/>
                <w:lang w:val="ru-RU"/>
              </w:rPr>
            </w:pPr>
            <w:r w:rsidRPr="00643746">
              <w:rPr>
                <w:szCs w:val="20"/>
              </w:rPr>
              <w:t>(67,2)</w:t>
            </w:r>
          </w:p>
        </w:tc>
        <w:tc>
          <w:tcPr>
            <w:tcW w:w="2394" w:type="dxa"/>
          </w:tcPr>
          <w:p w14:paraId="5295640B" w14:textId="781D4F06" w:rsidR="00643746" w:rsidRPr="00643746" w:rsidRDefault="00643746" w:rsidP="00643746">
            <w:pPr>
              <w:spacing w:line="240" w:lineRule="auto"/>
              <w:rPr>
                <w:rFonts w:eastAsia="Times New Roman" w:cs="Arial"/>
                <w:lang w:val="ru-RU"/>
              </w:rPr>
            </w:pPr>
            <w:r w:rsidRPr="00643746">
              <w:rPr>
                <w:szCs w:val="20"/>
              </w:rPr>
              <w:t>2745/4321 (63,5)</w:t>
            </w:r>
          </w:p>
        </w:tc>
        <w:tc>
          <w:tcPr>
            <w:tcW w:w="2394" w:type="dxa"/>
          </w:tcPr>
          <w:p w14:paraId="482BED3C" w14:textId="176DA0E1" w:rsidR="00643746" w:rsidRPr="00643746" w:rsidRDefault="00643746" w:rsidP="00643746">
            <w:pPr>
              <w:spacing w:line="240" w:lineRule="auto"/>
              <w:rPr>
                <w:rFonts w:eastAsia="Times New Roman" w:cs="Arial"/>
                <w:lang w:val="ru-RU"/>
              </w:rPr>
            </w:pPr>
            <w:r w:rsidRPr="00643746">
              <w:rPr>
                <w:szCs w:val="20"/>
              </w:rPr>
              <w:t>1,10 (1,03-1,17)</w:t>
            </w:r>
          </w:p>
        </w:tc>
      </w:tr>
      <w:tr w:rsidR="00643746" w:rsidRPr="00643746" w14:paraId="66E6CC52" w14:textId="77777777" w:rsidTr="00643746">
        <w:tc>
          <w:tcPr>
            <w:tcW w:w="2394" w:type="dxa"/>
          </w:tcPr>
          <w:p w14:paraId="1D8B16D6" w14:textId="63C1896A" w:rsidR="00643746" w:rsidRPr="00643746" w:rsidRDefault="00643746" w:rsidP="00643746">
            <w:pPr>
              <w:spacing w:line="240" w:lineRule="auto"/>
              <w:rPr>
                <w:rFonts w:eastAsia="Times New Roman" w:cs="Arial"/>
                <w:lang w:val="ru-RU"/>
              </w:rPr>
            </w:pPr>
            <w:r w:rsidRPr="00643746">
              <w:rPr>
                <w:szCs w:val="20"/>
              </w:rPr>
              <w:t>Инвазивна механична вентилация или смърт+</w:t>
            </w:r>
          </w:p>
        </w:tc>
        <w:tc>
          <w:tcPr>
            <w:tcW w:w="2394" w:type="dxa"/>
          </w:tcPr>
          <w:p w14:paraId="7BF7C384" w14:textId="12C191C2" w:rsidR="00643746" w:rsidRPr="00643746" w:rsidRDefault="00643746" w:rsidP="00643746">
            <w:pPr>
              <w:spacing w:line="240" w:lineRule="auto"/>
              <w:rPr>
                <w:rFonts w:eastAsia="Times New Roman" w:cs="Arial"/>
                <w:lang w:val="ru-RU"/>
              </w:rPr>
            </w:pPr>
            <w:r w:rsidRPr="00643746">
              <w:rPr>
                <w:szCs w:val="20"/>
              </w:rPr>
              <w:t>456/1780(25,6)</w:t>
            </w:r>
          </w:p>
        </w:tc>
        <w:tc>
          <w:tcPr>
            <w:tcW w:w="2394" w:type="dxa"/>
          </w:tcPr>
          <w:p w14:paraId="6B148C7F" w14:textId="270188AF" w:rsidR="00643746" w:rsidRPr="00643746" w:rsidRDefault="00643746" w:rsidP="00643746">
            <w:pPr>
              <w:spacing w:line="240" w:lineRule="auto"/>
              <w:rPr>
                <w:rFonts w:eastAsia="Times New Roman" w:cs="Arial"/>
                <w:lang w:val="ru-RU"/>
              </w:rPr>
            </w:pPr>
            <w:r w:rsidRPr="00643746">
              <w:rPr>
                <w:szCs w:val="20"/>
              </w:rPr>
              <w:t>994/3638 (27,3)</w:t>
            </w:r>
          </w:p>
        </w:tc>
        <w:tc>
          <w:tcPr>
            <w:tcW w:w="2394" w:type="dxa"/>
          </w:tcPr>
          <w:p w14:paraId="0E5ED38F" w14:textId="00E566D0" w:rsidR="00643746" w:rsidRPr="00643746" w:rsidRDefault="00643746" w:rsidP="00643746">
            <w:pPr>
              <w:spacing w:line="240" w:lineRule="auto"/>
              <w:rPr>
                <w:rFonts w:eastAsia="Times New Roman" w:cs="Arial"/>
                <w:lang w:val="ru-RU"/>
              </w:rPr>
            </w:pPr>
            <w:r w:rsidRPr="00643746">
              <w:rPr>
                <w:szCs w:val="20"/>
              </w:rPr>
              <w:t>0,92 (0,84-1,01)</w:t>
            </w:r>
          </w:p>
        </w:tc>
      </w:tr>
      <w:tr w:rsidR="00643746" w:rsidRPr="00643746" w14:paraId="380F250D" w14:textId="77777777" w:rsidTr="00643746">
        <w:tc>
          <w:tcPr>
            <w:tcW w:w="2394" w:type="dxa"/>
          </w:tcPr>
          <w:p w14:paraId="3F39488C" w14:textId="7BA5E6BE" w:rsidR="00643746" w:rsidRPr="00643746" w:rsidRDefault="00643746" w:rsidP="00643746">
            <w:pPr>
              <w:spacing w:line="240" w:lineRule="auto"/>
              <w:rPr>
                <w:rFonts w:eastAsia="Times New Roman" w:cs="Arial"/>
                <w:lang w:val="ru-RU"/>
              </w:rPr>
            </w:pPr>
            <w:r w:rsidRPr="00643746">
              <w:rPr>
                <w:szCs w:val="20"/>
              </w:rPr>
              <w:t>Инвазивна механична вентилация</w:t>
            </w:r>
          </w:p>
        </w:tc>
        <w:tc>
          <w:tcPr>
            <w:tcW w:w="2394" w:type="dxa"/>
          </w:tcPr>
          <w:p w14:paraId="13A0E5C6" w14:textId="2691F52C" w:rsidR="00643746" w:rsidRPr="00643746" w:rsidRDefault="00643746" w:rsidP="00643746">
            <w:pPr>
              <w:spacing w:line="240" w:lineRule="auto"/>
              <w:rPr>
                <w:rFonts w:eastAsia="Times New Roman" w:cs="Arial"/>
                <w:lang w:val="ru-RU"/>
              </w:rPr>
            </w:pPr>
            <w:r w:rsidRPr="00643746">
              <w:rPr>
                <w:szCs w:val="20"/>
              </w:rPr>
              <w:t>102/1780 (5,7)</w:t>
            </w:r>
          </w:p>
        </w:tc>
        <w:tc>
          <w:tcPr>
            <w:tcW w:w="2394" w:type="dxa"/>
          </w:tcPr>
          <w:p w14:paraId="1E9B9846" w14:textId="48775873" w:rsidR="00643746" w:rsidRPr="00643746" w:rsidRDefault="00643746" w:rsidP="00643746">
            <w:pPr>
              <w:spacing w:line="240" w:lineRule="auto"/>
              <w:rPr>
                <w:rFonts w:eastAsia="Times New Roman" w:cs="Arial"/>
                <w:lang w:val="ru-RU"/>
              </w:rPr>
            </w:pPr>
            <w:r w:rsidRPr="00643746">
              <w:rPr>
                <w:szCs w:val="20"/>
              </w:rPr>
              <w:t>285/3638(7,8)</w:t>
            </w:r>
          </w:p>
        </w:tc>
        <w:tc>
          <w:tcPr>
            <w:tcW w:w="2394" w:type="dxa"/>
          </w:tcPr>
          <w:p w14:paraId="522D89E0" w14:textId="258907D9" w:rsidR="00643746" w:rsidRPr="00643746" w:rsidRDefault="00643746" w:rsidP="00643746">
            <w:pPr>
              <w:spacing w:line="240" w:lineRule="auto"/>
              <w:rPr>
                <w:rFonts w:eastAsia="Times New Roman" w:cs="Arial"/>
                <w:lang w:val="ru-RU"/>
              </w:rPr>
            </w:pPr>
            <w:r w:rsidRPr="00643746">
              <w:rPr>
                <w:szCs w:val="20"/>
              </w:rPr>
              <w:t>0,77 (0,62-0,95)</w:t>
            </w:r>
          </w:p>
        </w:tc>
      </w:tr>
      <w:tr w:rsidR="00643746" w:rsidRPr="00643746" w14:paraId="03B3EABD" w14:textId="77777777" w:rsidTr="00643746">
        <w:tc>
          <w:tcPr>
            <w:tcW w:w="2394" w:type="dxa"/>
          </w:tcPr>
          <w:p w14:paraId="380D32EC" w14:textId="14FEE208" w:rsidR="00643746" w:rsidRPr="00643746" w:rsidRDefault="00643746" w:rsidP="00643746">
            <w:pPr>
              <w:spacing w:line="240" w:lineRule="auto"/>
              <w:rPr>
                <w:rFonts w:eastAsia="Times New Roman" w:cs="Arial"/>
                <w:lang w:val="ru-RU"/>
              </w:rPr>
            </w:pPr>
            <w:r w:rsidRPr="00643746">
              <w:rPr>
                <w:szCs w:val="20"/>
              </w:rPr>
              <w:t>Смърт</w:t>
            </w:r>
          </w:p>
        </w:tc>
        <w:tc>
          <w:tcPr>
            <w:tcW w:w="2394" w:type="dxa"/>
          </w:tcPr>
          <w:p w14:paraId="6D676159" w14:textId="11320A5A" w:rsidR="00643746" w:rsidRPr="00643746" w:rsidRDefault="00643746" w:rsidP="00643746">
            <w:pPr>
              <w:spacing w:line="240" w:lineRule="auto"/>
              <w:rPr>
                <w:rFonts w:eastAsia="Times New Roman" w:cs="Arial"/>
                <w:lang w:val="ru-RU"/>
              </w:rPr>
            </w:pPr>
            <w:r w:rsidRPr="00643746">
              <w:rPr>
                <w:szCs w:val="20"/>
              </w:rPr>
              <w:t>387/1780 (21,7)</w:t>
            </w:r>
          </w:p>
        </w:tc>
        <w:tc>
          <w:tcPr>
            <w:tcW w:w="2394" w:type="dxa"/>
          </w:tcPr>
          <w:p w14:paraId="320E7677" w14:textId="47C3D013" w:rsidR="00643746" w:rsidRPr="00643746" w:rsidRDefault="00643746" w:rsidP="00643746">
            <w:pPr>
              <w:spacing w:line="240" w:lineRule="auto"/>
              <w:rPr>
                <w:rFonts w:eastAsia="Times New Roman" w:cs="Arial"/>
                <w:lang w:val="ru-RU"/>
              </w:rPr>
            </w:pPr>
            <w:r w:rsidRPr="00643746">
              <w:rPr>
                <w:szCs w:val="20"/>
              </w:rPr>
              <w:t>827/3638(22,7)</w:t>
            </w:r>
          </w:p>
        </w:tc>
        <w:tc>
          <w:tcPr>
            <w:tcW w:w="2394" w:type="dxa"/>
          </w:tcPr>
          <w:p w14:paraId="6FE372B1" w14:textId="3E123747" w:rsidR="00643746" w:rsidRPr="00643746" w:rsidRDefault="00643746" w:rsidP="00643746">
            <w:pPr>
              <w:spacing w:line="240" w:lineRule="auto"/>
              <w:rPr>
                <w:rFonts w:eastAsia="Times New Roman" w:cs="Arial"/>
                <w:lang w:val="ru-RU"/>
              </w:rPr>
            </w:pPr>
            <w:r w:rsidRPr="00643746">
              <w:rPr>
                <w:szCs w:val="20"/>
              </w:rPr>
              <w:t>0,93 (0,84-1,03)</w:t>
            </w:r>
          </w:p>
        </w:tc>
      </w:tr>
    </w:tbl>
    <w:p w14:paraId="035F564C" w14:textId="0AB639EE" w:rsidR="00643746" w:rsidRPr="00643746" w:rsidRDefault="00643746" w:rsidP="00643746">
      <w:pPr>
        <w:spacing w:line="240" w:lineRule="auto"/>
        <w:rPr>
          <w:rFonts w:eastAsia="Times New Roman" w:cs="Arial"/>
          <w:sz w:val="28"/>
          <w:szCs w:val="24"/>
        </w:rPr>
      </w:pPr>
      <w:r w:rsidRPr="00643746">
        <w:rPr>
          <w:rFonts w:eastAsia="Times New Roman" w:cs="Arial"/>
          <w:color w:val="000000"/>
          <w:szCs w:val="20"/>
          <w:lang w:eastAsia="bg-BG"/>
        </w:rPr>
        <w:t>*Коефициентите на съотношение са преизчислени за възрастта спрямо смъртността за 28 дни и изписването от болница. За резултата от инвазивна механична вентилация или смъртност и нейните подкатегории съотношенията на риска се коригират според възрастта.</w:t>
      </w:r>
    </w:p>
    <w:p w14:paraId="7B7E518F" w14:textId="77777777" w:rsidR="00643746" w:rsidRPr="00643746" w:rsidRDefault="00643746" w:rsidP="00643746">
      <w:pPr>
        <w:spacing w:line="240" w:lineRule="auto"/>
        <w:rPr>
          <w:rFonts w:eastAsia="Times New Roman" w:cs="Arial"/>
          <w:sz w:val="28"/>
          <w:szCs w:val="24"/>
        </w:rPr>
      </w:pPr>
      <w:r w:rsidRPr="00643746">
        <w:rPr>
          <w:rFonts w:eastAsia="Times New Roman" w:cs="Arial"/>
          <w:color w:val="000000"/>
          <w:szCs w:val="20"/>
          <w:lang w:eastAsia="bg-BG"/>
        </w:rPr>
        <w:t>+Пациентите на инвазивна механична вентилация към момента на рандомизация са изключени от тази категория.</w:t>
      </w:r>
    </w:p>
    <w:p w14:paraId="25C4D1ED" w14:textId="77777777" w:rsidR="00643746" w:rsidRPr="00643746" w:rsidRDefault="00643746" w:rsidP="00643746">
      <w:pPr>
        <w:spacing w:line="240" w:lineRule="auto"/>
        <w:rPr>
          <w:rFonts w:eastAsia="Times New Roman" w:cs="Arial"/>
          <w:b/>
          <w:bCs/>
          <w:color w:val="000000"/>
          <w:szCs w:val="20"/>
          <w:lang w:eastAsia="bg-BG"/>
        </w:rPr>
      </w:pPr>
    </w:p>
    <w:p w14:paraId="380BE4BE" w14:textId="0B3C5CE7" w:rsidR="00643746" w:rsidRPr="00643746" w:rsidRDefault="00643746" w:rsidP="00643746">
      <w:pPr>
        <w:spacing w:line="240" w:lineRule="auto"/>
        <w:rPr>
          <w:rFonts w:eastAsia="Times New Roman" w:cs="Arial"/>
          <w:sz w:val="28"/>
          <w:szCs w:val="24"/>
        </w:rPr>
      </w:pPr>
      <w:r w:rsidRPr="00643746">
        <w:rPr>
          <w:rFonts w:eastAsia="Times New Roman" w:cs="Arial"/>
          <w:b/>
          <w:bCs/>
          <w:color w:val="000000"/>
          <w:szCs w:val="20"/>
          <w:lang w:eastAsia="bg-BG"/>
        </w:rPr>
        <w:t>Безопасност</w:t>
      </w:r>
    </w:p>
    <w:p w14:paraId="3B53285D" w14:textId="77777777" w:rsidR="00643746" w:rsidRPr="00643746" w:rsidRDefault="00643746" w:rsidP="00643746">
      <w:pPr>
        <w:spacing w:line="240" w:lineRule="auto"/>
        <w:rPr>
          <w:rFonts w:eastAsia="Times New Roman" w:cs="Arial"/>
          <w:sz w:val="28"/>
          <w:szCs w:val="24"/>
        </w:rPr>
      </w:pPr>
      <w:r w:rsidRPr="00643746">
        <w:rPr>
          <w:rFonts w:eastAsia="Times New Roman" w:cs="Arial"/>
          <w:color w:val="000000"/>
          <w:szCs w:val="20"/>
          <w:lang w:eastAsia="bg-BG"/>
        </w:rPr>
        <w:t xml:space="preserve">Има съобщени четири сериозни нежелани събития </w:t>
      </w:r>
      <w:r w:rsidRPr="00643746">
        <w:rPr>
          <w:rFonts w:eastAsia="Times New Roman" w:cs="Arial"/>
          <w:color w:val="000000"/>
          <w:szCs w:val="20"/>
          <w:lang w:val="ru-RU"/>
        </w:rPr>
        <w:t>(</w:t>
      </w:r>
      <w:r w:rsidRPr="00643746">
        <w:rPr>
          <w:rFonts w:eastAsia="Times New Roman" w:cs="Arial"/>
          <w:color w:val="000000"/>
          <w:szCs w:val="20"/>
          <w:lang w:val="en-US"/>
        </w:rPr>
        <w:t>SAE</w:t>
      </w:r>
      <w:r w:rsidRPr="00643746">
        <w:rPr>
          <w:rFonts w:eastAsia="Times New Roman" w:cs="Arial"/>
          <w:color w:val="000000"/>
          <w:szCs w:val="20"/>
          <w:lang w:val="ru-RU"/>
        </w:rPr>
        <w:t xml:space="preserve">), </w:t>
      </w:r>
      <w:r w:rsidRPr="00643746">
        <w:rPr>
          <w:rFonts w:eastAsia="Times New Roman" w:cs="Arial"/>
          <w:color w:val="000000"/>
          <w:szCs w:val="20"/>
          <w:lang w:eastAsia="bg-BG"/>
        </w:rPr>
        <w:t>свързани с проучваното лечение: две сериозните нежелани реакции са хипергликемия, една е стероидно-индуцирана психоза и една е кървене от горната част на гастро-интестиналния тракт. При всички тези събития пациентите са се възстановили.</w:t>
      </w:r>
    </w:p>
    <w:p w14:paraId="0A8AD5E5" w14:textId="77777777" w:rsidR="00643746" w:rsidRPr="00643746" w:rsidRDefault="00643746" w:rsidP="00643746">
      <w:pPr>
        <w:spacing w:line="240" w:lineRule="auto"/>
        <w:rPr>
          <w:rFonts w:eastAsia="Times New Roman" w:cs="Arial"/>
          <w:b/>
          <w:bCs/>
          <w:color w:val="000000"/>
          <w:szCs w:val="20"/>
          <w:lang w:eastAsia="bg-BG"/>
        </w:rPr>
      </w:pPr>
    </w:p>
    <w:p w14:paraId="00403B60" w14:textId="1B46E9FA" w:rsidR="00643746" w:rsidRPr="00643746" w:rsidRDefault="00643746" w:rsidP="00643746">
      <w:pPr>
        <w:spacing w:line="240" w:lineRule="auto"/>
        <w:rPr>
          <w:rFonts w:eastAsia="Times New Roman" w:cs="Arial"/>
          <w:sz w:val="28"/>
          <w:szCs w:val="24"/>
        </w:rPr>
      </w:pPr>
      <w:r w:rsidRPr="00643746">
        <w:rPr>
          <w:rFonts w:eastAsia="Times New Roman" w:cs="Arial"/>
          <w:b/>
          <w:bCs/>
          <w:color w:val="000000"/>
          <w:szCs w:val="20"/>
          <w:lang w:eastAsia="bg-BG"/>
        </w:rPr>
        <w:t>Анализи на подгрупи</w:t>
      </w:r>
    </w:p>
    <w:p w14:paraId="271DF0C9" w14:textId="3B327F35" w:rsidR="00643746" w:rsidRPr="00643746" w:rsidRDefault="00643746" w:rsidP="00643746">
      <w:pPr>
        <w:spacing w:line="240" w:lineRule="auto"/>
        <w:rPr>
          <w:rFonts w:eastAsia="Times New Roman" w:cs="Arial"/>
          <w:sz w:val="24"/>
          <w:lang w:val="ru-RU"/>
        </w:rPr>
      </w:pPr>
      <w:r w:rsidRPr="00643746">
        <w:rPr>
          <w:rFonts w:eastAsia="Times New Roman" w:cs="Arial"/>
          <w:b/>
          <w:bCs/>
          <w:color w:val="000000"/>
          <w:szCs w:val="20"/>
          <w:lang w:eastAsia="bg-BG"/>
        </w:rPr>
        <w:t>Ефекти от разпределението на Дексаметазон върху смъртността за 28 дни по възраст и дихателна подкрепа, получена към момента на рандомизация.</w:t>
      </w:r>
      <w:r w:rsidRPr="00643746">
        <w:rPr>
          <w:rFonts w:eastAsia="Times New Roman" w:cs="Arial"/>
          <w:b/>
          <w:bCs/>
          <w:color w:val="000000"/>
          <w:szCs w:val="20"/>
          <w:vertAlign w:val="superscript"/>
          <w:lang w:eastAsia="bg-BG"/>
        </w:rPr>
        <w:t>2</w:t>
      </w:r>
    </w:p>
    <w:tbl>
      <w:tblPr>
        <w:tblStyle w:val="TableGrid"/>
        <w:tblW w:w="9812" w:type="dxa"/>
        <w:tblLook w:val="04A0" w:firstRow="1" w:lastRow="0" w:firstColumn="1" w:lastColumn="0" w:noHBand="0" w:noVBand="1"/>
      </w:tblPr>
      <w:tblGrid>
        <w:gridCol w:w="1377"/>
        <w:gridCol w:w="2133"/>
        <w:gridCol w:w="1985"/>
        <w:gridCol w:w="1191"/>
        <w:gridCol w:w="1334"/>
        <w:gridCol w:w="1792"/>
      </w:tblGrid>
      <w:tr w:rsidR="00A153F4" w14:paraId="1B72ED23" w14:textId="77777777" w:rsidTr="00643746">
        <w:tc>
          <w:tcPr>
            <w:tcW w:w="1377" w:type="dxa"/>
          </w:tcPr>
          <w:p w14:paraId="0713ECB6" w14:textId="77777777" w:rsidR="00A153F4" w:rsidRDefault="00A153F4" w:rsidP="00643746"/>
        </w:tc>
        <w:tc>
          <w:tcPr>
            <w:tcW w:w="2133" w:type="dxa"/>
          </w:tcPr>
          <w:p w14:paraId="226CBF69" w14:textId="1D9BA639" w:rsidR="00A153F4" w:rsidRPr="00643746" w:rsidRDefault="00A153F4" w:rsidP="00643746">
            <w:pPr>
              <w:rPr>
                <w:b/>
              </w:rPr>
            </w:pPr>
            <w:r w:rsidRPr="00643746">
              <w:rPr>
                <w:b/>
              </w:rPr>
              <w:t>Дексаметазон</w:t>
            </w:r>
          </w:p>
        </w:tc>
        <w:tc>
          <w:tcPr>
            <w:tcW w:w="1985" w:type="dxa"/>
            <w:vAlign w:val="bottom"/>
          </w:tcPr>
          <w:p w14:paraId="40F7E8F3" w14:textId="77449C97" w:rsidR="00A153F4" w:rsidRPr="00643746" w:rsidRDefault="00A153F4" w:rsidP="00643746">
            <w:pPr>
              <w:rPr>
                <w:b/>
              </w:rPr>
            </w:pPr>
            <w:r w:rsidRPr="00643746">
              <w:rPr>
                <w:b/>
              </w:rPr>
              <w:t>Обичайни грижи</w:t>
            </w:r>
          </w:p>
        </w:tc>
        <w:tc>
          <w:tcPr>
            <w:tcW w:w="2525" w:type="dxa"/>
            <w:gridSpan w:val="2"/>
            <w:vMerge w:val="restart"/>
          </w:tcPr>
          <w:p w14:paraId="01B088E6" w14:textId="066A803E" w:rsidR="00A153F4" w:rsidRPr="00643746" w:rsidRDefault="00A153F4" w:rsidP="00643746">
            <w:pPr>
              <w:rPr>
                <w:b/>
              </w:rPr>
            </w:pPr>
            <w:r>
              <w:rPr>
                <w:noProof/>
                <w:lang w:val="en-US"/>
              </w:rPr>
              <w:drawing>
                <wp:inline distT="0" distB="0" distL="0" distR="0" wp14:anchorId="3EC68EB5" wp14:editId="084216B7">
                  <wp:extent cx="1453487" cy="253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131" cy="2586215"/>
                          </a:xfrm>
                          <a:prstGeom prst="rect">
                            <a:avLst/>
                          </a:prstGeom>
                        </pic:spPr>
                      </pic:pic>
                    </a:graphicData>
                  </a:graphic>
                </wp:inline>
              </w:drawing>
            </w:r>
          </w:p>
        </w:tc>
        <w:tc>
          <w:tcPr>
            <w:tcW w:w="1792" w:type="dxa"/>
            <w:vAlign w:val="bottom"/>
          </w:tcPr>
          <w:p w14:paraId="6C809221" w14:textId="1E383C6D" w:rsidR="00A153F4" w:rsidRPr="00643746" w:rsidRDefault="00A153F4" w:rsidP="00643746">
            <w:pPr>
              <w:rPr>
                <w:b/>
              </w:rPr>
            </w:pPr>
            <w:r w:rsidRPr="00643746">
              <w:rPr>
                <w:b/>
              </w:rPr>
              <w:t xml:space="preserve">Относителен риск (95% </w:t>
            </w:r>
            <w:r w:rsidRPr="00643746">
              <w:rPr>
                <w:b/>
                <w:lang w:val="en-US"/>
              </w:rPr>
              <w:t>CI)</w:t>
            </w:r>
          </w:p>
        </w:tc>
      </w:tr>
      <w:tr w:rsidR="00A153F4" w14:paraId="502DD8E9" w14:textId="77777777" w:rsidTr="00643746">
        <w:tc>
          <w:tcPr>
            <w:tcW w:w="5495" w:type="dxa"/>
            <w:gridSpan w:val="3"/>
          </w:tcPr>
          <w:p w14:paraId="72A1DE1F" w14:textId="0A9C8AEE" w:rsidR="00A153F4" w:rsidRPr="00643746" w:rsidRDefault="00A153F4" w:rsidP="00643746">
            <w:pPr>
              <w:rPr>
                <w:b/>
              </w:rPr>
            </w:pPr>
            <w:r w:rsidRPr="00643746">
              <w:rPr>
                <w:b/>
                <w:lang w:eastAsia="bg-BG"/>
              </w:rPr>
              <w:t xml:space="preserve">Без кислород </w:t>
            </w:r>
            <w:r w:rsidRPr="00643746">
              <w:rPr>
                <w:b/>
              </w:rPr>
              <w:t>(x</w:t>
            </w:r>
            <w:r w:rsidRPr="00643746">
              <w:rPr>
                <w:b/>
                <w:vertAlign w:val="subscript"/>
              </w:rPr>
              <w:t>1</w:t>
            </w:r>
            <w:r w:rsidRPr="00643746">
              <w:rPr>
                <w:b/>
                <w:vertAlign w:val="superscript"/>
              </w:rPr>
              <w:t>2</w:t>
            </w:r>
            <w:r w:rsidRPr="00643746">
              <w:rPr>
                <w:b/>
              </w:rPr>
              <w:t>=0,70; p=0,40)</w:t>
            </w:r>
          </w:p>
        </w:tc>
        <w:tc>
          <w:tcPr>
            <w:tcW w:w="2525" w:type="dxa"/>
            <w:gridSpan w:val="2"/>
            <w:vMerge/>
          </w:tcPr>
          <w:p w14:paraId="46D34EFC" w14:textId="77777777" w:rsidR="00A153F4" w:rsidRDefault="00A153F4" w:rsidP="00602A56"/>
        </w:tc>
        <w:tc>
          <w:tcPr>
            <w:tcW w:w="1792" w:type="dxa"/>
          </w:tcPr>
          <w:p w14:paraId="3389FFFA" w14:textId="77777777" w:rsidR="00A153F4" w:rsidRDefault="00A153F4" w:rsidP="00602A56"/>
        </w:tc>
      </w:tr>
      <w:tr w:rsidR="00A153F4" w14:paraId="752BEC6C" w14:textId="77777777" w:rsidTr="00643746">
        <w:tc>
          <w:tcPr>
            <w:tcW w:w="1377" w:type="dxa"/>
            <w:vAlign w:val="bottom"/>
          </w:tcPr>
          <w:p w14:paraId="0EAC29DC" w14:textId="77777777" w:rsidR="00A153F4" w:rsidRPr="00643746" w:rsidRDefault="00A153F4" w:rsidP="00643746">
            <w:r w:rsidRPr="00643746">
              <w:rPr>
                <w:szCs w:val="20"/>
              </w:rPr>
              <w:t>&lt;70</w:t>
            </w:r>
          </w:p>
          <w:p w14:paraId="7DCE8BC0" w14:textId="77777777" w:rsidR="00A153F4" w:rsidRPr="00643746" w:rsidRDefault="00A153F4" w:rsidP="00643746">
            <w:r w:rsidRPr="00643746">
              <w:rPr>
                <w:szCs w:val="20"/>
              </w:rPr>
              <w:t>≥70&lt;80</w:t>
            </w:r>
          </w:p>
          <w:p w14:paraId="77D432BE" w14:textId="77777777" w:rsidR="00A153F4" w:rsidRPr="00643746" w:rsidRDefault="00A153F4" w:rsidP="00643746">
            <w:r w:rsidRPr="00643746">
              <w:rPr>
                <w:szCs w:val="20"/>
              </w:rPr>
              <w:t>≥80</w:t>
            </w:r>
          </w:p>
          <w:p w14:paraId="09E73A3D" w14:textId="22AB95BE" w:rsidR="00A153F4" w:rsidRPr="00643746" w:rsidRDefault="00A153F4" w:rsidP="00643746">
            <w:r w:rsidRPr="00643746">
              <w:rPr>
                <w:b/>
                <w:bCs/>
                <w:szCs w:val="20"/>
              </w:rPr>
              <w:t>Субтотал</w:t>
            </w:r>
          </w:p>
        </w:tc>
        <w:tc>
          <w:tcPr>
            <w:tcW w:w="2133" w:type="dxa"/>
            <w:vAlign w:val="bottom"/>
          </w:tcPr>
          <w:p w14:paraId="2B9C5119" w14:textId="77777777" w:rsidR="00A153F4" w:rsidRPr="00643746" w:rsidRDefault="00A153F4" w:rsidP="00643746">
            <w:r w:rsidRPr="00643746">
              <w:rPr>
                <w:szCs w:val="20"/>
              </w:rPr>
              <w:t>10/197 (5,1%) 25/114(21,9%)</w:t>
            </w:r>
          </w:p>
          <w:p w14:paraId="26DFF2F7" w14:textId="77777777" w:rsidR="00A153F4" w:rsidRPr="00643746" w:rsidRDefault="00A153F4" w:rsidP="00643746">
            <w:r w:rsidRPr="00643746">
              <w:rPr>
                <w:szCs w:val="20"/>
              </w:rPr>
              <w:t>54/190 (28,4%)</w:t>
            </w:r>
          </w:p>
          <w:p w14:paraId="06B1F69A" w14:textId="7878C11F" w:rsidR="00A153F4" w:rsidRPr="00643746" w:rsidRDefault="00A153F4" w:rsidP="00643746">
            <w:r w:rsidRPr="00643746">
              <w:rPr>
                <w:b/>
                <w:bCs/>
                <w:szCs w:val="20"/>
              </w:rPr>
              <w:t>89/501 (17,5%)</w:t>
            </w:r>
          </w:p>
        </w:tc>
        <w:tc>
          <w:tcPr>
            <w:tcW w:w="1985" w:type="dxa"/>
            <w:vAlign w:val="bottom"/>
          </w:tcPr>
          <w:p w14:paraId="4B95C8D5" w14:textId="77777777" w:rsidR="00A153F4" w:rsidRPr="00643746" w:rsidRDefault="00A153F4" w:rsidP="00643746">
            <w:r w:rsidRPr="00643746">
              <w:rPr>
                <w:szCs w:val="20"/>
              </w:rPr>
              <w:t>18/462 (3,9%)</w:t>
            </w:r>
          </w:p>
          <w:p w14:paraId="4C4675E9" w14:textId="77777777" w:rsidR="00A153F4" w:rsidRPr="00643746" w:rsidRDefault="00A153F4" w:rsidP="00643746">
            <w:r w:rsidRPr="00643746">
              <w:rPr>
                <w:szCs w:val="20"/>
              </w:rPr>
              <w:t>35/224 (15,6)</w:t>
            </w:r>
          </w:p>
          <w:p w14:paraId="744E2D83" w14:textId="46264004" w:rsidR="00A153F4" w:rsidRPr="00643746" w:rsidRDefault="00A153F4" w:rsidP="00643746">
            <w:r w:rsidRPr="00643746">
              <w:rPr>
                <w:szCs w:val="20"/>
              </w:rPr>
              <w:t xml:space="preserve">92/348(26,4) </w:t>
            </w:r>
            <w:r w:rsidRPr="00643746">
              <w:rPr>
                <w:b/>
                <w:bCs/>
                <w:szCs w:val="20"/>
              </w:rPr>
              <w:t>145/1034 (14,0%)</w:t>
            </w:r>
          </w:p>
        </w:tc>
        <w:tc>
          <w:tcPr>
            <w:tcW w:w="2525" w:type="dxa"/>
            <w:gridSpan w:val="2"/>
            <w:vMerge/>
          </w:tcPr>
          <w:p w14:paraId="7634E3F0" w14:textId="77777777" w:rsidR="00A153F4" w:rsidRPr="00643746" w:rsidRDefault="00A153F4" w:rsidP="00643746"/>
        </w:tc>
        <w:tc>
          <w:tcPr>
            <w:tcW w:w="1792" w:type="dxa"/>
            <w:vAlign w:val="bottom"/>
          </w:tcPr>
          <w:p w14:paraId="4472A129" w14:textId="77777777" w:rsidR="00A153F4" w:rsidRPr="00643746" w:rsidRDefault="00A153F4" w:rsidP="00643746">
            <w:r w:rsidRPr="00643746">
              <w:rPr>
                <w:szCs w:val="20"/>
              </w:rPr>
              <w:t>1,31 (0,60-283)</w:t>
            </w:r>
          </w:p>
          <w:p w14:paraId="7C9D7536" w14:textId="77777777" w:rsidR="00A153F4" w:rsidRPr="00643746" w:rsidRDefault="00A153F4" w:rsidP="00643746">
            <w:r w:rsidRPr="00643746">
              <w:rPr>
                <w:szCs w:val="20"/>
              </w:rPr>
              <w:t>1,46 (0,88-2,45)</w:t>
            </w:r>
          </w:p>
          <w:p w14:paraId="3FA69838" w14:textId="77777777" w:rsidR="00A153F4" w:rsidRPr="00643746" w:rsidRDefault="00A153F4" w:rsidP="00643746">
            <w:r w:rsidRPr="00643746">
              <w:rPr>
                <w:szCs w:val="20"/>
              </w:rPr>
              <w:t>1,06 (0,76-1,49)</w:t>
            </w:r>
          </w:p>
          <w:p w14:paraId="66195703" w14:textId="752A8311" w:rsidR="00A153F4" w:rsidRPr="00643746" w:rsidRDefault="00A153F4" w:rsidP="00643746">
            <w:r w:rsidRPr="00643746">
              <w:rPr>
                <w:b/>
                <w:bCs/>
                <w:szCs w:val="20"/>
              </w:rPr>
              <w:t>1,19 (0,91-155)</w:t>
            </w:r>
          </w:p>
        </w:tc>
      </w:tr>
      <w:tr w:rsidR="00A153F4" w14:paraId="5652C67E" w14:textId="77777777" w:rsidTr="00643746">
        <w:tc>
          <w:tcPr>
            <w:tcW w:w="5495" w:type="dxa"/>
            <w:gridSpan w:val="3"/>
          </w:tcPr>
          <w:p w14:paraId="044D3F29" w14:textId="10C3226A" w:rsidR="00A153F4" w:rsidRPr="00643746" w:rsidRDefault="00A153F4" w:rsidP="00643746">
            <w:pPr>
              <w:rPr>
                <w:b/>
                <w:lang w:val="en-US"/>
              </w:rPr>
            </w:pPr>
            <w:r w:rsidRPr="00643746">
              <w:rPr>
                <w:b/>
              </w:rPr>
              <w:t>Само кислород</w:t>
            </w:r>
            <w:r w:rsidRPr="00643746">
              <w:rPr>
                <w:b/>
                <w:lang w:val="en-US"/>
              </w:rPr>
              <w:t xml:space="preserve"> </w:t>
            </w:r>
            <w:r w:rsidRPr="00643746">
              <w:rPr>
                <w:b/>
                <w:lang w:eastAsia="bg-BG"/>
              </w:rPr>
              <w:t>(</w:t>
            </w:r>
            <w:r w:rsidRPr="00643746">
              <w:rPr>
                <w:b/>
              </w:rPr>
              <w:t>x</w:t>
            </w:r>
            <w:r w:rsidRPr="00643746">
              <w:rPr>
                <w:b/>
                <w:vertAlign w:val="subscript"/>
              </w:rPr>
              <w:t>1</w:t>
            </w:r>
            <w:r w:rsidRPr="00643746">
              <w:rPr>
                <w:b/>
                <w:vertAlign w:val="superscript"/>
              </w:rPr>
              <w:t>2</w:t>
            </w:r>
            <w:r w:rsidRPr="00643746">
              <w:rPr>
                <w:b/>
              </w:rPr>
              <w:t>=2,54; p=0,11</w:t>
            </w:r>
            <w:r>
              <w:rPr>
                <w:b/>
                <w:lang w:val="en-US"/>
              </w:rPr>
              <w:t>)</w:t>
            </w:r>
          </w:p>
        </w:tc>
        <w:tc>
          <w:tcPr>
            <w:tcW w:w="2525" w:type="dxa"/>
            <w:gridSpan w:val="2"/>
            <w:vMerge/>
          </w:tcPr>
          <w:p w14:paraId="227CB7ED" w14:textId="77777777" w:rsidR="00A153F4" w:rsidRDefault="00A153F4" w:rsidP="00602A56"/>
        </w:tc>
        <w:tc>
          <w:tcPr>
            <w:tcW w:w="1792" w:type="dxa"/>
          </w:tcPr>
          <w:p w14:paraId="25A8C322" w14:textId="77777777" w:rsidR="00A153F4" w:rsidRDefault="00A153F4" w:rsidP="00602A56"/>
        </w:tc>
      </w:tr>
      <w:tr w:rsidR="00A153F4" w14:paraId="20EA7879" w14:textId="77777777" w:rsidTr="00643746">
        <w:tc>
          <w:tcPr>
            <w:tcW w:w="1377" w:type="dxa"/>
            <w:vAlign w:val="bottom"/>
          </w:tcPr>
          <w:p w14:paraId="23F81844" w14:textId="77777777" w:rsidR="00A153F4" w:rsidRPr="00643746" w:rsidRDefault="00A153F4" w:rsidP="00643746">
            <w:r w:rsidRPr="00643746">
              <w:rPr>
                <w:szCs w:val="20"/>
              </w:rPr>
              <w:t>&lt;70</w:t>
            </w:r>
          </w:p>
          <w:p w14:paraId="7FC7B9B2" w14:textId="77777777" w:rsidR="00A153F4" w:rsidRPr="00643746" w:rsidRDefault="00A153F4" w:rsidP="00643746">
            <w:r w:rsidRPr="00643746">
              <w:rPr>
                <w:szCs w:val="20"/>
              </w:rPr>
              <w:t>≥70&lt;80</w:t>
            </w:r>
          </w:p>
          <w:p w14:paraId="2C2BEF6E" w14:textId="77777777" w:rsidR="00A153F4" w:rsidRPr="00643746" w:rsidRDefault="00A153F4" w:rsidP="00643746">
            <w:r w:rsidRPr="00643746">
              <w:rPr>
                <w:szCs w:val="20"/>
              </w:rPr>
              <w:t>≥80</w:t>
            </w:r>
          </w:p>
          <w:p w14:paraId="4095B321" w14:textId="2C8D1BEA" w:rsidR="00A153F4" w:rsidRPr="00643746" w:rsidRDefault="00A153F4" w:rsidP="00643746">
            <w:r w:rsidRPr="00643746">
              <w:rPr>
                <w:b/>
                <w:bCs/>
                <w:szCs w:val="20"/>
              </w:rPr>
              <w:t>Субтотал</w:t>
            </w:r>
          </w:p>
        </w:tc>
        <w:tc>
          <w:tcPr>
            <w:tcW w:w="2133" w:type="dxa"/>
            <w:vAlign w:val="bottom"/>
          </w:tcPr>
          <w:p w14:paraId="3C74A864" w14:textId="77777777" w:rsidR="00A153F4" w:rsidRPr="00643746" w:rsidRDefault="00A153F4" w:rsidP="00643746">
            <w:r w:rsidRPr="00643746">
              <w:t>53/675 (7,9%) 104/306 (34,0%)</w:t>
            </w:r>
          </w:p>
          <w:p w14:paraId="626CC9A3" w14:textId="77777777" w:rsidR="00A153F4" w:rsidRPr="00643746" w:rsidRDefault="00A153F4" w:rsidP="00643746">
            <w:r w:rsidRPr="00643746">
              <w:t>141/298 (47,3%)</w:t>
            </w:r>
          </w:p>
          <w:p w14:paraId="4A05CD48" w14:textId="47BC42CD" w:rsidR="00A153F4" w:rsidRPr="00643746" w:rsidRDefault="00A153F4" w:rsidP="00643746">
            <w:pPr>
              <w:rPr>
                <w:lang w:val="en-US"/>
              </w:rPr>
            </w:pPr>
            <w:r w:rsidRPr="00643746">
              <w:rPr>
                <w:b/>
                <w:bCs/>
              </w:rPr>
              <w:t>298/1279</w:t>
            </w:r>
            <w:r w:rsidRPr="00643746">
              <w:rPr>
                <w:b/>
                <w:bCs/>
                <w:lang w:val="en-US"/>
              </w:rPr>
              <w:t xml:space="preserve"> </w:t>
            </w:r>
            <w:r w:rsidRPr="00643746">
              <w:rPr>
                <w:b/>
                <w:bCs/>
              </w:rPr>
              <w:t>(23,3</w:t>
            </w:r>
            <w:r w:rsidRPr="00643746">
              <w:rPr>
                <w:b/>
                <w:bCs/>
              </w:rPr>
              <w:t>%)</w:t>
            </w:r>
          </w:p>
        </w:tc>
        <w:tc>
          <w:tcPr>
            <w:tcW w:w="1985" w:type="dxa"/>
            <w:vAlign w:val="bottom"/>
          </w:tcPr>
          <w:p w14:paraId="0F0C6599" w14:textId="77777777" w:rsidR="00A153F4" w:rsidRPr="00643746" w:rsidRDefault="00A153F4" w:rsidP="00643746">
            <w:r w:rsidRPr="00643746">
              <w:rPr>
                <w:szCs w:val="20"/>
              </w:rPr>
              <w:t>193/1473 (13,1%)</w:t>
            </w:r>
          </w:p>
          <w:p w14:paraId="69A252E2" w14:textId="77777777" w:rsidR="00A153F4" w:rsidRPr="00643746" w:rsidRDefault="00A153F4" w:rsidP="00643746">
            <w:r w:rsidRPr="00643746">
              <w:rPr>
                <w:szCs w:val="20"/>
              </w:rPr>
              <w:t>178/531 (33,5%)</w:t>
            </w:r>
          </w:p>
          <w:p w14:paraId="135290B4" w14:textId="77777777" w:rsidR="00A153F4" w:rsidRPr="00643746" w:rsidRDefault="00A153F4" w:rsidP="00643746">
            <w:r w:rsidRPr="00643746">
              <w:rPr>
                <w:szCs w:val="20"/>
              </w:rPr>
              <w:t>311/600 (51,8%)</w:t>
            </w:r>
          </w:p>
          <w:p w14:paraId="5BA12A42" w14:textId="618612BE" w:rsidR="00A153F4" w:rsidRPr="00643746" w:rsidRDefault="00A153F4" w:rsidP="00643746">
            <w:r w:rsidRPr="00643746">
              <w:rPr>
                <w:b/>
                <w:bCs/>
                <w:szCs w:val="20"/>
              </w:rPr>
              <w:t>682/2604 (26,2%)</w:t>
            </w:r>
          </w:p>
        </w:tc>
        <w:tc>
          <w:tcPr>
            <w:tcW w:w="2525" w:type="dxa"/>
            <w:gridSpan w:val="2"/>
            <w:vMerge/>
          </w:tcPr>
          <w:p w14:paraId="50DEFD6B" w14:textId="77777777" w:rsidR="00A153F4" w:rsidRPr="00643746" w:rsidRDefault="00A153F4" w:rsidP="00643746"/>
        </w:tc>
        <w:tc>
          <w:tcPr>
            <w:tcW w:w="1792" w:type="dxa"/>
          </w:tcPr>
          <w:p w14:paraId="6F89FC8E" w14:textId="77777777" w:rsidR="00A153F4" w:rsidRPr="00643746" w:rsidRDefault="00A153F4" w:rsidP="00643746">
            <w:r w:rsidRPr="00643746">
              <w:rPr>
                <w:szCs w:val="20"/>
                <w:lang w:val="en-US"/>
              </w:rPr>
              <w:t>0,58(0,43-0,78)</w:t>
            </w:r>
          </w:p>
          <w:p w14:paraId="1BAAC541" w14:textId="77777777" w:rsidR="00A153F4" w:rsidRPr="00643746" w:rsidRDefault="00A153F4" w:rsidP="00643746">
            <w:r w:rsidRPr="00643746">
              <w:rPr>
                <w:szCs w:val="20"/>
                <w:lang w:val="en-US"/>
              </w:rPr>
              <w:t>0,98 (0,77-1,25)</w:t>
            </w:r>
          </w:p>
          <w:p w14:paraId="015E1739" w14:textId="77777777" w:rsidR="00A153F4" w:rsidRPr="00643746" w:rsidRDefault="00A153F4" w:rsidP="00643746">
            <w:r w:rsidRPr="00643746">
              <w:rPr>
                <w:szCs w:val="20"/>
                <w:lang w:val="en-US"/>
              </w:rPr>
              <w:t>0,85 (0,70-1,04)</w:t>
            </w:r>
          </w:p>
          <w:p w14:paraId="15ACCABD" w14:textId="11AD9990" w:rsidR="00A153F4" w:rsidRPr="00643746" w:rsidRDefault="00A153F4" w:rsidP="00643746">
            <w:r w:rsidRPr="00643746">
              <w:rPr>
                <w:szCs w:val="20"/>
                <w:lang w:val="en-US"/>
              </w:rPr>
              <w:t>0,82 (0,72-0,94)</w:t>
            </w:r>
          </w:p>
        </w:tc>
      </w:tr>
      <w:tr w:rsidR="00A153F4" w14:paraId="252E4556" w14:textId="77777777" w:rsidTr="00643746">
        <w:tc>
          <w:tcPr>
            <w:tcW w:w="5495" w:type="dxa"/>
            <w:gridSpan w:val="3"/>
          </w:tcPr>
          <w:p w14:paraId="63F1E87C" w14:textId="5C52CC14" w:rsidR="00A153F4" w:rsidRPr="00643746" w:rsidRDefault="00A153F4" w:rsidP="00643746">
            <w:pPr>
              <w:rPr>
                <w:b/>
              </w:rPr>
            </w:pPr>
            <w:r w:rsidRPr="00643746">
              <w:rPr>
                <w:b/>
              </w:rPr>
              <w:lastRenderedPageBreak/>
              <w:t xml:space="preserve">Механична вентилация </w:t>
            </w:r>
            <w:r w:rsidRPr="00643746">
              <w:rPr>
                <w:b/>
                <w:lang w:val="en-US"/>
              </w:rPr>
              <w:t>(x</w:t>
            </w:r>
            <w:r w:rsidRPr="00643746">
              <w:rPr>
                <w:b/>
                <w:vertAlign w:val="subscript"/>
                <w:lang w:val="en-US"/>
              </w:rPr>
              <w:t>1</w:t>
            </w:r>
            <w:r w:rsidRPr="00643746">
              <w:rPr>
                <w:b/>
                <w:vertAlign w:val="superscript"/>
                <w:lang w:val="en-US"/>
              </w:rPr>
              <w:t>2</w:t>
            </w:r>
            <w:r w:rsidRPr="00643746">
              <w:rPr>
                <w:b/>
                <w:lang w:val="en-US"/>
              </w:rPr>
              <w:t>=0,28; p=0,60)</w:t>
            </w:r>
          </w:p>
        </w:tc>
        <w:tc>
          <w:tcPr>
            <w:tcW w:w="2525" w:type="dxa"/>
            <w:gridSpan w:val="2"/>
            <w:vMerge/>
          </w:tcPr>
          <w:p w14:paraId="5270CEB6" w14:textId="77777777" w:rsidR="00A153F4" w:rsidRDefault="00A153F4" w:rsidP="00602A56"/>
        </w:tc>
        <w:tc>
          <w:tcPr>
            <w:tcW w:w="1792" w:type="dxa"/>
          </w:tcPr>
          <w:p w14:paraId="4CB70B03" w14:textId="77777777" w:rsidR="00A153F4" w:rsidRDefault="00A153F4" w:rsidP="00602A56"/>
        </w:tc>
      </w:tr>
      <w:tr w:rsidR="00A153F4" w14:paraId="39DA1519" w14:textId="77777777" w:rsidTr="00643746">
        <w:tc>
          <w:tcPr>
            <w:tcW w:w="1377" w:type="dxa"/>
          </w:tcPr>
          <w:p w14:paraId="321C6E2E" w14:textId="77777777" w:rsidR="00A153F4" w:rsidRPr="00643746" w:rsidRDefault="00A153F4" w:rsidP="00643746">
            <w:r w:rsidRPr="00643746">
              <w:t>&lt;70 &gt;70&lt;80</w:t>
            </w:r>
          </w:p>
          <w:p w14:paraId="7B26C683" w14:textId="07BBAFE8" w:rsidR="00A153F4" w:rsidRPr="00643746" w:rsidRDefault="00A153F4" w:rsidP="00643746">
            <w:r w:rsidRPr="00643746">
              <w:t xml:space="preserve">&gt;80 </w:t>
            </w:r>
            <w:r w:rsidRPr="00643746">
              <w:rPr>
                <w:b/>
              </w:rPr>
              <w:t>Субтотал</w:t>
            </w:r>
          </w:p>
        </w:tc>
        <w:tc>
          <w:tcPr>
            <w:tcW w:w="2133" w:type="dxa"/>
          </w:tcPr>
          <w:p w14:paraId="3A562683" w14:textId="77777777" w:rsidR="00A153F4" w:rsidRPr="00643746" w:rsidRDefault="00A153F4" w:rsidP="00643746">
            <w:r w:rsidRPr="00643746">
              <w:t xml:space="preserve">66/269 (24,5%) 26/49 (53,1%) </w:t>
            </w:r>
          </w:p>
          <w:p w14:paraId="46581EEA" w14:textId="47D465E7" w:rsidR="00A153F4" w:rsidRPr="00643746" w:rsidRDefault="00A153F4" w:rsidP="00643746">
            <w:r w:rsidRPr="00643746">
              <w:t>3/6 (50,0%)</w:t>
            </w:r>
          </w:p>
          <w:p w14:paraId="199A7A5E" w14:textId="3DA6C35C" w:rsidR="00A153F4" w:rsidRPr="00643746" w:rsidRDefault="00A153F4" w:rsidP="00643746">
            <w:r w:rsidRPr="00643746">
              <w:rPr>
                <w:b/>
                <w:bCs/>
              </w:rPr>
              <w:t>95/324 (293%)</w:t>
            </w:r>
          </w:p>
        </w:tc>
        <w:tc>
          <w:tcPr>
            <w:tcW w:w="1985" w:type="dxa"/>
          </w:tcPr>
          <w:p w14:paraId="41A17DC8" w14:textId="77777777" w:rsidR="00A153F4" w:rsidRPr="00643746" w:rsidRDefault="00A153F4" w:rsidP="00643746">
            <w:r w:rsidRPr="00643746">
              <w:t>217/569 (38,1%) 58/104(55,8%)</w:t>
            </w:r>
          </w:p>
          <w:p w14:paraId="6B6347EE" w14:textId="77777777" w:rsidR="00A153F4" w:rsidRPr="00643746" w:rsidRDefault="00A153F4" w:rsidP="00643746">
            <w:r w:rsidRPr="00643746">
              <w:t>8/10(80,0%)</w:t>
            </w:r>
          </w:p>
          <w:p w14:paraId="5655157B" w14:textId="5ACB7357" w:rsidR="00A153F4" w:rsidRPr="00643746" w:rsidRDefault="00A153F4" w:rsidP="00643746">
            <w:r w:rsidRPr="00643746">
              <w:rPr>
                <w:b/>
                <w:bCs/>
              </w:rPr>
              <w:t>283/683 (41,4%)</w:t>
            </w:r>
          </w:p>
        </w:tc>
        <w:tc>
          <w:tcPr>
            <w:tcW w:w="2525" w:type="dxa"/>
            <w:gridSpan w:val="2"/>
            <w:vMerge/>
          </w:tcPr>
          <w:p w14:paraId="1925E567" w14:textId="77777777" w:rsidR="00A153F4" w:rsidRPr="00643746" w:rsidRDefault="00A153F4" w:rsidP="00643746"/>
        </w:tc>
        <w:tc>
          <w:tcPr>
            <w:tcW w:w="1792" w:type="dxa"/>
          </w:tcPr>
          <w:p w14:paraId="5DDE7277" w14:textId="42E4350F" w:rsidR="00A153F4" w:rsidRPr="00643746" w:rsidRDefault="00A153F4" w:rsidP="00643746">
            <w:r w:rsidRPr="00643746">
              <w:t xml:space="preserve">0,61 (0,46-0,81) 0,85 (0,53-1,34) 0,39 (0,10-1,47) </w:t>
            </w:r>
            <w:r w:rsidRPr="00643746">
              <w:rPr>
                <w:b/>
                <w:bCs/>
              </w:rPr>
              <w:t>0,64 (0,51-0,81)</w:t>
            </w:r>
          </w:p>
        </w:tc>
      </w:tr>
      <w:tr w:rsidR="00A153F4" w14:paraId="6B458EF7" w14:textId="77777777" w:rsidTr="00643746">
        <w:tc>
          <w:tcPr>
            <w:tcW w:w="1377" w:type="dxa"/>
          </w:tcPr>
          <w:p w14:paraId="7E684010" w14:textId="7B0AA7AB" w:rsidR="00643746" w:rsidRPr="00643746" w:rsidRDefault="00643746" w:rsidP="00643746">
            <w:pPr>
              <w:rPr>
                <w:b/>
              </w:rPr>
            </w:pPr>
            <w:r w:rsidRPr="00643746">
              <w:rPr>
                <w:b/>
              </w:rPr>
              <w:t>Всички участници</w:t>
            </w:r>
          </w:p>
        </w:tc>
        <w:tc>
          <w:tcPr>
            <w:tcW w:w="2133" w:type="dxa"/>
          </w:tcPr>
          <w:p w14:paraId="006E99CE" w14:textId="62CF536A" w:rsidR="00643746" w:rsidRPr="00643746" w:rsidRDefault="00643746" w:rsidP="00643746">
            <w:pPr>
              <w:rPr>
                <w:b/>
              </w:rPr>
            </w:pPr>
            <w:r w:rsidRPr="00643746">
              <w:rPr>
                <w:b/>
              </w:rPr>
              <w:t>482/2104 (22,9%)</w:t>
            </w:r>
          </w:p>
        </w:tc>
        <w:tc>
          <w:tcPr>
            <w:tcW w:w="1985" w:type="dxa"/>
          </w:tcPr>
          <w:p w14:paraId="46BFF2EF" w14:textId="77777777" w:rsidR="00643746" w:rsidRPr="00643746" w:rsidRDefault="00643746" w:rsidP="00643746">
            <w:pPr>
              <w:rPr>
                <w:b/>
              </w:rPr>
            </w:pPr>
            <w:r w:rsidRPr="00643746">
              <w:rPr>
                <w:b/>
              </w:rPr>
              <w:t>1110/4321</w:t>
            </w:r>
          </w:p>
          <w:p w14:paraId="2E0F2E35" w14:textId="4CD7841B" w:rsidR="00643746" w:rsidRPr="00643746" w:rsidRDefault="00643746" w:rsidP="00643746">
            <w:pPr>
              <w:rPr>
                <w:b/>
              </w:rPr>
            </w:pPr>
            <w:r w:rsidRPr="00643746">
              <w:rPr>
                <w:b/>
              </w:rPr>
              <w:t>(25,7%)</w:t>
            </w:r>
          </w:p>
        </w:tc>
        <w:tc>
          <w:tcPr>
            <w:tcW w:w="2525" w:type="dxa"/>
            <w:gridSpan w:val="2"/>
          </w:tcPr>
          <w:p w14:paraId="176C6DD7" w14:textId="77777777" w:rsidR="00643746" w:rsidRDefault="00643746" w:rsidP="00643746"/>
        </w:tc>
        <w:tc>
          <w:tcPr>
            <w:tcW w:w="1792" w:type="dxa"/>
          </w:tcPr>
          <w:p w14:paraId="35BE9421" w14:textId="680BBC03" w:rsidR="00643746" w:rsidRPr="00643746" w:rsidRDefault="00643746" w:rsidP="00643746">
            <w:pPr>
              <w:rPr>
                <w:b/>
                <w:sz w:val="24"/>
                <w:szCs w:val="24"/>
              </w:rPr>
            </w:pPr>
            <w:r w:rsidRPr="00643746">
              <w:rPr>
                <w:b/>
                <w:lang w:eastAsia="bg-BG"/>
              </w:rPr>
              <w:t>0,83 (0,75-0,93) Р &lt;0,001</w:t>
            </w:r>
          </w:p>
        </w:tc>
      </w:tr>
      <w:tr w:rsidR="00643746" w14:paraId="27FC90B9" w14:textId="77777777" w:rsidTr="0042047C">
        <w:tc>
          <w:tcPr>
            <w:tcW w:w="6686" w:type="dxa"/>
            <w:gridSpan w:val="4"/>
          </w:tcPr>
          <w:p w14:paraId="168717E5" w14:textId="76D3F3E8" w:rsidR="00643746" w:rsidRDefault="00643746" w:rsidP="00643746">
            <w:pPr>
              <w:jc w:val="right"/>
            </w:pPr>
            <w:r>
              <w:t>Дексаметазон подобрение</w:t>
            </w:r>
          </w:p>
        </w:tc>
        <w:tc>
          <w:tcPr>
            <w:tcW w:w="3126" w:type="dxa"/>
            <w:gridSpan w:val="2"/>
          </w:tcPr>
          <w:p w14:paraId="14915F2A" w14:textId="3DA0908C" w:rsidR="00643746" w:rsidRDefault="00643746" w:rsidP="00643746">
            <w:r>
              <w:t>Обичайни грижи подобрение</w:t>
            </w:r>
          </w:p>
        </w:tc>
      </w:tr>
    </w:tbl>
    <w:p w14:paraId="6213C464" w14:textId="77777777" w:rsidR="00A153F4" w:rsidRPr="00A153F4" w:rsidRDefault="00A153F4" w:rsidP="00A153F4">
      <w:pPr>
        <w:spacing w:line="240" w:lineRule="auto"/>
        <w:rPr>
          <w:rFonts w:eastAsia="Times New Roman" w:cs="Arial"/>
        </w:rPr>
      </w:pPr>
      <w:r w:rsidRPr="00A153F4">
        <w:rPr>
          <w:rFonts w:eastAsia="Times New Roman" w:cs="Arial"/>
          <w:color w:val="000000"/>
          <w:vertAlign w:val="superscript"/>
          <w:lang w:eastAsia="bg-BG"/>
        </w:rPr>
        <w:t>2</w:t>
      </w:r>
      <w:r w:rsidRPr="00A153F4">
        <w:rPr>
          <w:rFonts w:eastAsia="Times New Roman" w:cs="Arial"/>
          <w:color w:val="000000"/>
          <w:lang w:eastAsia="bg-BG"/>
        </w:rPr>
        <w:t xml:space="preserve"> източник: </w:t>
      </w:r>
      <w:proofErr w:type="spellStart"/>
      <w:r w:rsidRPr="00A153F4">
        <w:rPr>
          <w:rFonts w:eastAsia="Times New Roman" w:cs="Arial"/>
          <w:color w:val="000000"/>
          <w:lang w:val="en-US"/>
        </w:rPr>
        <w:t>Horby</w:t>
      </w:r>
      <w:proofErr w:type="spellEnd"/>
      <w:r w:rsidRPr="00A153F4">
        <w:rPr>
          <w:rFonts w:eastAsia="Times New Roman" w:cs="Arial"/>
          <w:color w:val="000000"/>
          <w:lang w:val="en-US"/>
        </w:rPr>
        <w:t xml:space="preserve"> </w:t>
      </w:r>
      <w:r w:rsidRPr="00A153F4">
        <w:rPr>
          <w:rFonts w:eastAsia="Times New Roman" w:cs="Arial"/>
          <w:color w:val="000000"/>
          <w:lang w:eastAsia="bg-BG"/>
        </w:rPr>
        <w:t xml:space="preserve">Р. </w:t>
      </w:r>
      <w:proofErr w:type="gramStart"/>
      <w:r w:rsidRPr="00A153F4">
        <w:rPr>
          <w:rFonts w:eastAsia="Times New Roman" w:cs="Arial"/>
          <w:color w:val="000000"/>
          <w:lang w:val="en-US"/>
        </w:rPr>
        <w:t>et</w:t>
      </w:r>
      <w:proofErr w:type="gramEnd"/>
      <w:r w:rsidRPr="00A153F4">
        <w:rPr>
          <w:rFonts w:eastAsia="Times New Roman" w:cs="Arial"/>
          <w:color w:val="000000"/>
          <w:lang w:val="en-US"/>
        </w:rPr>
        <w:t xml:space="preserve"> al., 2020; </w:t>
      </w:r>
      <w:r w:rsidRPr="00A153F4">
        <w:rPr>
          <w:rFonts w:eastAsia="Times New Roman" w:cs="Arial"/>
          <w:color w:val="000000"/>
          <w:u w:val="single"/>
          <w:lang w:val="en-US"/>
        </w:rPr>
        <w:t xml:space="preserve">https://www.medrxiv.0rg/content/lO.l </w:t>
      </w:r>
      <w:r w:rsidRPr="00A153F4">
        <w:rPr>
          <w:rFonts w:eastAsia="Times New Roman" w:cs="Arial"/>
          <w:color w:val="000000"/>
          <w:u w:val="single"/>
          <w:lang w:eastAsia="bg-BG"/>
        </w:rPr>
        <w:t>101/2020.06.22.20</w:t>
      </w:r>
      <w:r w:rsidRPr="00A153F4">
        <w:rPr>
          <w:rFonts w:eastAsia="Times New Roman" w:cs="Arial"/>
          <w:color w:val="000000"/>
          <w:u w:val="single"/>
          <w:lang w:val="en-US"/>
        </w:rPr>
        <w:t xml:space="preserve">137273vl; </w:t>
      </w:r>
      <w:hyperlink r:id="rId7" w:history="1">
        <w:r w:rsidRPr="00A153F4">
          <w:rPr>
            <w:rFonts w:eastAsia="Times New Roman" w:cs="Arial"/>
            <w:color w:val="000000"/>
            <w:lang w:val="en-US"/>
          </w:rPr>
          <w:t>https://doi.org/10.1101/2020.06.22.20137273</w:t>
        </w:r>
      </w:hyperlink>
      <w:r w:rsidRPr="00A153F4">
        <w:rPr>
          <w:rFonts w:eastAsia="Times New Roman" w:cs="Arial"/>
          <w:color w:val="000000"/>
          <w:lang w:val="en-US"/>
        </w:rPr>
        <w:t>)</w:t>
      </w:r>
    </w:p>
    <w:p w14:paraId="6CA52373" w14:textId="77777777" w:rsidR="00A153F4" w:rsidRPr="00A153F4" w:rsidRDefault="00A153F4" w:rsidP="00A153F4">
      <w:pPr>
        <w:rPr>
          <w:rFonts w:eastAsia="Times New Roman" w:cs="Arial"/>
          <w:b/>
          <w:bCs/>
          <w:color w:val="000000"/>
          <w:lang w:eastAsia="bg-BG"/>
        </w:rPr>
      </w:pPr>
    </w:p>
    <w:p w14:paraId="44B575DB" w14:textId="450D6DED" w:rsidR="00602A56" w:rsidRPr="00A153F4" w:rsidRDefault="00A153F4" w:rsidP="00A153F4">
      <w:pPr>
        <w:rPr>
          <w:rFonts w:eastAsia="Times New Roman" w:cs="Arial"/>
          <w:b/>
          <w:bCs/>
          <w:color w:val="000000"/>
          <w:lang w:val="ru-RU" w:eastAsia="bg-BG"/>
        </w:rPr>
      </w:pPr>
      <w:r w:rsidRPr="00A153F4">
        <w:rPr>
          <w:rFonts w:eastAsia="Times New Roman" w:cs="Arial"/>
          <w:b/>
          <w:bCs/>
          <w:color w:val="000000"/>
          <w:lang w:eastAsia="bg-BG"/>
        </w:rPr>
        <w:t>Ефекти от разпределението на Дексаметазон върху смъртността за 28 дни по дихателна подкрепа, получена към момента на рандомизация и анамнеза за хронично заболяване</w:t>
      </w:r>
      <w:r w:rsidRPr="00A153F4">
        <w:rPr>
          <w:rFonts w:eastAsia="Times New Roman" w:cs="Arial"/>
          <w:b/>
          <w:bCs/>
          <w:color w:val="000000"/>
          <w:lang w:val="ru-RU" w:eastAsia="bg-BG"/>
        </w:rPr>
        <w:t>.</w:t>
      </w:r>
      <w:r w:rsidRPr="00A153F4">
        <w:rPr>
          <w:rFonts w:eastAsia="Times New Roman" w:cs="Arial"/>
          <w:b/>
          <w:bCs/>
          <w:color w:val="000000"/>
          <w:vertAlign w:val="superscript"/>
          <w:lang w:val="ru-RU" w:eastAsia="bg-BG"/>
        </w:rPr>
        <w:t>2</w:t>
      </w:r>
    </w:p>
    <w:tbl>
      <w:tblPr>
        <w:tblStyle w:val="TableGrid"/>
        <w:tblW w:w="0" w:type="auto"/>
        <w:tblLook w:val="04A0" w:firstRow="1" w:lastRow="0" w:firstColumn="1" w:lastColumn="0" w:noHBand="0" w:noVBand="1"/>
      </w:tblPr>
      <w:tblGrid>
        <w:gridCol w:w="1545"/>
        <w:gridCol w:w="1752"/>
        <w:gridCol w:w="1752"/>
        <w:gridCol w:w="1502"/>
        <w:gridCol w:w="1313"/>
        <w:gridCol w:w="1486"/>
      </w:tblGrid>
      <w:tr w:rsidR="00A153F4" w14:paraId="0A5202F3" w14:textId="77777777" w:rsidTr="00A153F4">
        <w:tc>
          <w:tcPr>
            <w:tcW w:w="1592" w:type="dxa"/>
          </w:tcPr>
          <w:p w14:paraId="23CC5A58" w14:textId="77777777" w:rsidR="00A153F4" w:rsidRDefault="00A153F4" w:rsidP="00A153F4"/>
        </w:tc>
        <w:tc>
          <w:tcPr>
            <w:tcW w:w="1798" w:type="dxa"/>
          </w:tcPr>
          <w:p w14:paraId="71B298F7" w14:textId="433993F6" w:rsidR="00A153F4" w:rsidRPr="00A153F4" w:rsidRDefault="00A153F4" w:rsidP="00A153F4">
            <w:pPr>
              <w:rPr>
                <w:b/>
              </w:rPr>
            </w:pPr>
            <w:r w:rsidRPr="00A153F4">
              <w:rPr>
                <w:b/>
              </w:rPr>
              <w:t>Дексаметазон</w:t>
            </w:r>
          </w:p>
        </w:tc>
        <w:tc>
          <w:tcPr>
            <w:tcW w:w="1795" w:type="dxa"/>
            <w:vAlign w:val="bottom"/>
          </w:tcPr>
          <w:p w14:paraId="6BA32201" w14:textId="12EE0D47" w:rsidR="00A153F4" w:rsidRPr="00A153F4" w:rsidRDefault="00A153F4" w:rsidP="00A153F4">
            <w:pPr>
              <w:rPr>
                <w:b/>
              </w:rPr>
            </w:pPr>
            <w:r w:rsidRPr="00A153F4">
              <w:rPr>
                <w:b/>
              </w:rPr>
              <w:t>Обичайни грижи</w:t>
            </w:r>
          </w:p>
        </w:tc>
        <w:tc>
          <w:tcPr>
            <w:tcW w:w="2861" w:type="dxa"/>
            <w:gridSpan w:val="2"/>
            <w:vMerge w:val="restart"/>
          </w:tcPr>
          <w:p w14:paraId="6C5C7E51" w14:textId="21D579BB" w:rsidR="00A153F4" w:rsidRPr="00A153F4" w:rsidRDefault="00A153F4" w:rsidP="00A153F4">
            <w:pPr>
              <w:rPr>
                <w:b/>
              </w:rPr>
            </w:pPr>
            <w:r>
              <w:rPr>
                <w:noProof/>
                <w:lang w:val="en-US"/>
              </w:rPr>
              <w:drawing>
                <wp:inline distT="0" distB="0" distL="0" distR="0" wp14:anchorId="15ABD12E" wp14:editId="4688D295">
                  <wp:extent cx="1682151" cy="4342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9554" cy="4413366"/>
                          </a:xfrm>
                          <a:prstGeom prst="rect">
                            <a:avLst/>
                          </a:prstGeom>
                        </pic:spPr>
                      </pic:pic>
                    </a:graphicData>
                  </a:graphic>
                </wp:inline>
              </w:drawing>
            </w:r>
          </w:p>
        </w:tc>
        <w:tc>
          <w:tcPr>
            <w:tcW w:w="1530" w:type="dxa"/>
          </w:tcPr>
          <w:p w14:paraId="3366D04E" w14:textId="2DB05F53" w:rsidR="00A153F4" w:rsidRPr="00A153F4" w:rsidRDefault="00A153F4" w:rsidP="00A153F4">
            <w:pPr>
              <w:rPr>
                <w:rFonts w:ascii="Times New Roman" w:eastAsia="Times New Roman" w:hAnsi="Times New Roman" w:cs="Times New Roman"/>
                <w:b/>
                <w:sz w:val="24"/>
                <w:szCs w:val="24"/>
              </w:rPr>
            </w:pPr>
            <w:r w:rsidRPr="00A153F4">
              <w:rPr>
                <w:rFonts w:ascii="Times New Roman" w:eastAsia="Times New Roman" w:hAnsi="Times New Roman" w:cs="Times New Roman"/>
                <w:b/>
                <w:color w:val="000000"/>
                <w:lang w:eastAsia="bg-BG"/>
              </w:rPr>
              <w:t xml:space="preserve">Относителен риск (95% </w:t>
            </w:r>
            <w:r w:rsidRPr="00A153F4">
              <w:rPr>
                <w:rFonts w:ascii="Times New Roman" w:eastAsia="Times New Roman" w:hAnsi="Times New Roman" w:cs="Times New Roman"/>
                <w:b/>
                <w:color w:val="000000"/>
                <w:lang w:val="en-US"/>
              </w:rPr>
              <w:t>CI)</w:t>
            </w:r>
          </w:p>
        </w:tc>
      </w:tr>
      <w:tr w:rsidR="00A153F4" w14:paraId="29E94A8B" w14:textId="77777777" w:rsidTr="00A153F4">
        <w:tc>
          <w:tcPr>
            <w:tcW w:w="5185" w:type="dxa"/>
            <w:gridSpan w:val="3"/>
          </w:tcPr>
          <w:p w14:paraId="1E392B21" w14:textId="77777777" w:rsidR="00A153F4" w:rsidRPr="00A153F4" w:rsidRDefault="00A153F4" w:rsidP="00A153F4">
            <w:pPr>
              <w:rPr>
                <w:b/>
              </w:rPr>
            </w:pPr>
            <w:r w:rsidRPr="00A153F4">
              <w:rPr>
                <w:b/>
              </w:rPr>
              <w:t xml:space="preserve">Без кислород </w:t>
            </w:r>
            <w:r w:rsidRPr="00A153F4">
              <w:rPr>
                <w:b/>
                <w:lang w:val="en-US"/>
              </w:rPr>
              <w:t>(x</w:t>
            </w:r>
            <w:r w:rsidRPr="00A153F4">
              <w:rPr>
                <w:b/>
                <w:vertAlign w:val="subscript"/>
                <w:lang w:val="en-US"/>
              </w:rPr>
              <w:t>1</w:t>
            </w:r>
            <w:r w:rsidRPr="00A153F4">
              <w:rPr>
                <w:b/>
                <w:vertAlign w:val="superscript"/>
                <w:lang w:val="en-US"/>
              </w:rPr>
              <w:t>2</w:t>
            </w:r>
            <w:r w:rsidRPr="00A153F4">
              <w:rPr>
                <w:b/>
                <w:lang w:val="en-US"/>
              </w:rPr>
              <w:t xml:space="preserve">=0,08; </w:t>
            </w:r>
            <w:r w:rsidRPr="00A153F4">
              <w:rPr>
                <w:b/>
              </w:rPr>
              <w:t>р=0,78)</w:t>
            </w:r>
          </w:p>
        </w:tc>
        <w:tc>
          <w:tcPr>
            <w:tcW w:w="2861" w:type="dxa"/>
            <w:gridSpan w:val="2"/>
            <w:vMerge/>
          </w:tcPr>
          <w:p w14:paraId="37558958" w14:textId="77777777" w:rsidR="00A153F4" w:rsidRPr="00A153F4" w:rsidRDefault="00A153F4" w:rsidP="00A153F4">
            <w:pPr>
              <w:rPr>
                <w:b/>
              </w:rPr>
            </w:pPr>
          </w:p>
        </w:tc>
        <w:tc>
          <w:tcPr>
            <w:tcW w:w="1530" w:type="dxa"/>
          </w:tcPr>
          <w:p w14:paraId="425DF769" w14:textId="252C80CA" w:rsidR="00A153F4" w:rsidRPr="00A153F4" w:rsidRDefault="00A153F4" w:rsidP="00A153F4">
            <w:pPr>
              <w:rPr>
                <w:b/>
              </w:rPr>
            </w:pPr>
          </w:p>
        </w:tc>
      </w:tr>
      <w:tr w:rsidR="00A153F4" w14:paraId="62A873C6" w14:textId="77777777" w:rsidTr="00A153F4">
        <w:tc>
          <w:tcPr>
            <w:tcW w:w="1592" w:type="dxa"/>
            <w:vAlign w:val="bottom"/>
          </w:tcPr>
          <w:p w14:paraId="2B56DF44" w14:textId="77777777" w:rsidR="00A153F4" w:rsidRDefault="00A153F4" w:rsidP="00A153F4">
            <w:r>
              <w:t xml:space="preserve">Предходни Заболявания </w:t>
            </w:r>
          </w:p>
          <w:p w14:paraId="6217262A" w14:textId="38A69E07" w:rsidR="00A153F4" w:rsidRDefault="00A153F4" w:rsidP="00A153F4">
            <w:r>
              <w:t>Без предходни заболявания</w:t>
            </w:r>
          </w:p>
          <w:p w14:paraId="75DD7056" w14:textId="2D201198" w:rsidR="00A153F4" w:rsidRDefault="00A153F4" w:rsidP="00A153F4">
            <w:r>
              <w:rPr>
                <w:b/>
                <w:bCs/>
              </w:rPr>
              <w:t>Субтотал</w:t>
            </w:r>
          </w:p>
        </w:tc>
        <w:tc>
          <w:tcPr>
            <w:tcW w:w="1798" w:type="dxa"/>
            <w:vAlign w:val="bottom"/>
          </w:tcPr>
          <w:p w14:paraId="13EFDFE2" w14:textId="77777777" w:rsidR="00A153F4" w:rsidRPr="00A153F4" w:rsidRDefault="00A153F4" w:rsidP="00A153F4">
            <w:pPr>
              <w:rPr>
                <w:sz w:val="24"/>
                <w:szCs w:val="24"/>
              </w:rPr>
            </w:pPr>
            <w:r w:rsidRPr="00A153F4">
              <w:rPr>
                <w:lang w:eastAsia="bg-BG"/>
              </w:rPr>
              <w:t>65/313(20,8%)</w:t>
            </w:r>
          </w:p>
          <w:p w14:paraId="746C8E48" w14:textId="77777777" w:rsidR="00A153F4" w:rsidRPr="00A153F4" w:rsidRDefault="00A153F4" w:rsidP="00A153F4">
            <w:pPr>
              <w:rPr>
                <w:sz w:val="24"/>
                <w:szCs w:val="24"/>
              </w:rPr>
            </w:pPr>
            <w:r w:rsidRPr="00A153F4">
              <w:rPr>
                <w:lang w:eastAsia="bg-BG"/>
              </w:rPr>
              <w:t>24/188(12,8%)</w:t>
            </w:r>
          </w:p>
          <w:p w14:paraId="4B2B9C23" w14:textId="41573133" w:rsidR="00A153F4" w:rsidRPr="00A153F4" w:rsidRDefault="00A153F4" w:rsidP="00A153F4">
            <w:pPr>
              <w:rPr>
                <w:sz w:val="24"/>
                <w:szCs w:val="24"/>
              </w:rPr>
            </w:pPr>
            <w:r w:rsidRPr="00A153F4">
              <w:rPr>
                <w:b/>
                <w:bCs/>
                <w:lang w:eastAsia="bg-BG"/>
              </w:rPr>
              <w:t>89/501 (17,8%)</w:t>
            </w:r>
          </w:p>
        </w:tc>
        <w:tc>
          <w:tcPr>
            <w:tcW w:w="1795" w:type="dxa"/>
            <w:vAlign w:val="bottom"/>
          </w:tcPr>
          <w:p w14:paraId="238F3C4B" w14:textId="77777777" w:rsidR="00A153F4" w:rsidRDefault="00A153F4" w:rsidP="00A153F4">
            <w:r>
              <w:t>100/598 (16,7%)</w:t>
            </w:r>
          </w:p>
          <w:p w14:paraId="4908BE38" w14:textId="77777777" w:rsidR="00A153F4" w:rsidRDefault="00A153F4" w:rsidP="00A153F4">
            <w:r>
              <w:t>45/436(10,3%)</w:t>
            </w:r>
          </w:p>
          <w:p w14:paraId="6311BF28" w14:textId="6F76544A" w:rsidR="00A153F4" w:rsidRDefault="00A153F4" w:rsidP="00A153F4">
            <w:r>
              <w:t>145/1034 (14,0%)</w:t>
            </w:r>
          </w:p>
        </w:tc>
        <w:tc>
          <w:tcPr>
            <w:tcW w:w="2861" w:type="dxa"/>
            <w:gridSpan w:val="2"/>
            <w:vMerge/>
          </w:tcPr>
          <w:p w14:paraId="3ADF5692" w14:textId="77777777" w:rsidR="00A153F4" w:rsidRDefault="00A153F4" w:rsidP="00A153F4"/>
        </w:tc>
        <w:tc>
          <w:tcPr>
            <w:tcW w:w="1530" w:type="dxa"/>
          </w:tcPr>
          <w:p w14:paraId="74667021" w14:textId="77777777" w:rsidR="00A153F4" w:rsidRPr="00A153F4" w:rsidRDefault="00A153F4" w:rsidP="00A153F4">
            <w:pPr>
              <w:rPr>
                <w:sz w:val="24"/>
                <w:szCs w:val="24"/>
              </w:rPr>
            </w:pPr>
            <w:r w:rsidRPr="00A153F4">
              <w:rPr>
                <w:lang w:eastAsia="bg-BG"/>
              </w:rPr>
              <w:t>1,22 (0,89-1,66)</w:t>
            </w:r>
          </w:p>
          <w:p w14:paraId="18E88AAA" w14:textId="6E7DB8C7" w:rsidR="00A153F4" w:rsidRPr="00A153F4" w:rsidRDefault="00A153F4" w:rsidP="00A153F4">
            <w:pPr>
              <w:rPr>
                <w:sz w:val="24"/>
                <w:szCs w:val="24"/>
              </w:rPr>
            </w:pPr>
            <w:r w:rsidRPr="00A153F4">
              <w:rPr>
                <w:lang w:eastAsia="bg-BG"/>
              </w:rPr>
              <w:t>1,12(0.68-1,83)</w:t>
            </w:r>
          </w:p>
          <w:p w14:paraId="2C1C6C28" w14:textId="77777777" w:rsidR="00A153F4" w:rsidRPr="00A153F4" w:rsidRDefault="00A153F4" w:rsidP="00A153F4">
            <w:pPr>
              <w:rPr>
                <w:sz w:val="24"/>
                <w:szCs w:val="24"/>
              </w:rPr>
            </w:pPr>
            <w:r w:rsidRPr="00A153F4">
              <w:rPr>
                <w:b/>
                <w:bCs/>
                <w:lang w:eastAsia="bg-BG"/>
              </w:rPr>
              <w:t>1,19(0,91-1,55)</w:t>
            </w:r>
          </w:p>
          <w:p w14:paraId="2508EE3E" w14:textId="77777777" w:rsidR="00A153F4" w:rsidRDefault="00A153F4" w:rsidP="00A153F4"/>
        </w:tc>
      </w:tr>
      <w:tr w:rsidR="00A153F4" w14:paraId="742A05F2" w14:textId="77777777" w:rsidTr="00A153F4">
        <w:tc>
          <w:tcPr>
            <w:tcW w:w="5185" w:type="dxa"/>
            <w:gridSpan w:val="3"/>
            <w:vAlign w:val="bottom"/>
          </w:tcPr>
          <w:p w14:paraId="70328F24" w14:textId="0775A4D2" w:rsidR="00A153F4" w:rsidRPr="00A153F4" w:rsidRDefault="00A153F4" w:rsidP="00A153F4">
            <w:pPr>
              <w:rPr>
                <w:b/>
              </w:rPr>
            </w:pPr>
            <w:r w:rsidRPr="00A153F4">
              <w:rPr>
                <w:b/>
                <w:lang w:eastAsia="bg-BG"/>
              </w:rPr>
              <w:t>Само кислород</w:t>
            </w:r>
            <w:r w:rsidRPr="00A153F4">
              <w:rPr>
                <w:b/>
                <w:lang w:val="en-US"/>
              </w:rPr>
              <w:t xml:space="preserve"> </w:t>
            </w:r>
            <w:r w:rsidRPr="00A153F4">
              <w:rPr>
                <w:b/>
                <w:smallCaps/>
              </w:rPr>
              <w:t>(x</w:t>
            </w:r>
            <w:r w:rsidRPr="00A153F4">
              <w:rPr>
                <w:b/>
                <w:smallCaps/>
                <w:vertAlign w:val="subscript"/>
              </w:rPr>
              <w:t>1</w:t>
            </w:r>
            <w:r w:rsidRPr="00A153F4">
              <w:rPr>
                <w:b/>
                <w:smallCaps/>
                <w:vertAlign w:val="superscript"/>
              </w:rPr>
              <w:t>2</w:t>
            </w:r>
            <w:r w:rsidRPr="00A153F4">
              <w:rPr>
                <w:b/>
                <w:smallCaps/>
              </w:rPr>
              <w:t>=2,05; p=0,15)</w:t>
            </w:r>
          </w:p>
        </w:tc>
        <w:tc>
          <w:tcPr>
            <w:tcW w:w="2861" w:type="dxa"/>
            <w:gridSpan w:val="2"/>
            <w:vMerge/>
          </w:tcPr>
          <w:p w14:paraId="5EAA3C68" w14:textId="77777777" w:rsidR="00A153F4" w:rsidRDefault="00A153F4" w:rsidP="00A153F4"/>
        </w:tc>
        <w:tc>
          <w:tcPr>
            <w:tcW w:w="1530" w:type="dxa"/>
          </w:tcPr>
          <w:p w14:paraId="43DC4403" w14:textId="77777777" w:rsidR="00A153F4" w:rsidRDefault="00A153F4" w:rsidP="00A153F4"/>
        </w:tc>
      </w:tr>
      <w:tr w:rsidR="00A153F4" w14:paraId="0563A15C" w14:textId="77777777" w:rsidTr="00A153F4">
        <w:tc>
          <w:tcPr>
            <w:tcW w:w="1592" w:type="dxa"/>
          </w:tcPr>
          <w:p w14:paraId="035F7BC0" w14:textId="77777777" w:rsidR="00A153F4" w:rsidRDefault="00A153F4" w:rsidP="00A153F4">
            <w:r>
              <w:t>Предходни Заболявания Без предходни заболявания</w:t>
            </w:r>
          </w:p>
          <w:p w14:paraId="0B331379" w14:textId="011B1E57" w:rsidR="00A153F4" w:rsidRDefault="00A153F4" w:rsidP="00A153F4">
            <w:r>
              <w:rPr>
                <w:b/>
                <w:bCs/>
              </w:rPr>
              <w:t>Субтотал</w:t>
            </w:r>
          </w:p>
        </w:tc>
        <w:tc>
          <w:tcPr>
            <w:tcW w:w="1798" w:type="dxa"/>
            <w:vAlign w:val="bottom"/>
          </w:tcPr>
          <w:p w14:paraId="08679BD1" w14:textId="77777777" w:rsidR="00A153F4" w:rsidRDefault="00A153F4" w:rsidP="00A153F4">
            <w:r>
              <w:t>221/702(31,5%)</w:t>
            </w:r>
          </w:p>
          <w:p w14:paraId="09D15ADA" w14:textId="77777777" w:rsidR="00A153F4" w:rsidRDefault="00A153F4" w:rsidP="00A153F4">
            <w:r>
              <w:t>77/577(13,3%)</w:t>
            </w:r>
          </w:p>
          <w:p w14:paraId="417EB47E" w14:textId="3F970578" w:rsidR="00A153F4" w:rsidRDefault="00A153F4" w:rsidP="00A153F4">
            <w:r>
              <w:rPr>
                <w:b/>
                <w:bCs/>
              </w:rPr>
              <w:t>298/1279 (23,3%)</w:t>
            </w:r>
          </w:p>
        </w:tc>
        <w:tc>
          <w:tcPr>
            <w:tcW w:w="1795" w:type="dxa"/>
          </w:tcPr>
          <w:p w14:paraId="1FB9AB7E" w14:textId="77777777" w:rsidR="00A153F4" w:rsidRDefault="00A153F4" w:rsidP="00A153F4">
            <w:r>
              <w:t>481/1473 (32,7%)</w:t>
            </w:r>
          </w:p>
          <w:p w14:paraId="30F4C94E" w14:textId="77777777" w:rsidR="00A153F4" w:rsidRDefault="00A153F4" w:rsidP="00A153F4">
            <w:r>
              <w:t>201/1131 (17,8%)</w:t>
            </w:r>
          </w:p>
          <w:p w14:paraId="34DF0DB5" w14:textId="39DB8895" w:rsidR="00A153F4" w:rsidRDefault="00A153F4" w:rsidP="00A153F4">
            <w:r>
              <w:t>682/2604 (26,2%)</w:t>
            </w:r>
          </w:p>
        </w:tc>
        <w:tc>
          <w:tcPr>
            <w:tcW w:w="2861" w:type="dxa"/>
            <w:gridSpan w:val="2"/>
            <w:vMerge/>
          </w:tcPr>
          <w:p w14:paraId="6C1D9A9D" w14:textId="77777777" w:rsidR="00A153F4" w:rsidRDefault="00A153F4" w:rsidP="00A153F4"/>
        </w:tc>
        <w:tc>
          <w:tcPr>
            <w:tcW w:w="1530" w:type="dxa"/>
          </w:tcPr>
          <w:p w14:paraId="4F5037E5" w14:textId="77777777" w:rsidR="00A153F4" w:rsidRPr="00A153F4" w:rsidRDefault="00A153F4" w:rsidP="00A153F4">
            <w:pPr>
              <w:rPr>
                <w:sz w:val="24"/>
                <w:szCs w:val="24"/>
              </w:rPr>
            </w:pPr>
            <w:r w:rsidRPr="00A153F4">
              <w:rPr>
                <w:lang w:eastAsia="bg-BG"/>
              </w:rPr>
              <w:t>0,88 (0,75-1,03)</w:t>
            </w:r>
          </w:p>
          <w:p w14:paraId="537D2043" w14:textId="77777777" w:rsidR="00A153F4" w:rsidRPr="00A153F4" w:rsidRDefault="00A153F4" w:rsidP="00A153F4">
            <w:pPr>
              <w:rPr>
                <w:sz w:val="24"/>
                <w:szCs w:val="24"/>
              </w:rPr>
            </w:pPr>
            <w:r w:rsidRPr="00A153F4">
              <w:rPr>
                <w:lang w:eastAsia="bg-BG"/>
              </w:rPr>
              <w:t>0,70(0,54-0,91)</w:t>
            </w:r>
          </w:p>
          <w:p w14:paraId="46C16C46" w14:textId="024B7C8A" w:rsidR="00A153F4" w:rsidRDefault="00A153F4" w:rsidP="00A153F4">
            <w:r w:rsidRPr="00A153F4">
              <w:rPr>
                <w:b/>
                <w:bCs/>
                <w:lang w:eastAsia="bg-BG"/>
              </w:rPr>
              <w:t>0,82 (0,72-0,94)</w:t>
            </w:r>
          </w:p>
        </w:tc>
      </w:tr>
      <w:tr w:rsidR="00A153F4" w14:paraId="7C4A972B" w14:textId="77777777" w:rsidTr="00A153F4">
        <w:tc>
          <w:tcPr>
            <w:tcW w:w="5185" w:type="dxa"/>
            <w:gridSpan w:val="3"/>
          </w:tcPr>
          <w:p w14:paraId="4616EA11" w14:textId="046F346D" w:rsidR="00A153F4" w:rsidRPr="00A153F4" w:rsidRDefault="00A153F4" w:rsidP="00A153F4">
            <w:pPr>
              <w:rPr>
                <w:b/>
              </w:rPr>
            </w:pPr>
            <w:r w:rsidRPr="00A153F4">
              <w:rPr>
                <w:b/>
              </w:rPr>
              <w:t xml:space="preserve">Механична вентилация </w:t>
            </w:r>
            <w:r w:rsidRPr="00A153F4">
              <w:rPr>
                <w:b/>
                <w:lang w:val="en-US"/>
              </w:rPr>
              <w:t>(x</w:t>
            </w:r>
            <w:r w:rsidRPr="00A153F4">
              <w:rPr>
                <w:b/>
                <w:vertAlign w:val="subscript"/>
                <w:lang w:val="en-US"/>
              </w:rPr>
              <w:t>1</w:t>
            </w:r>
            <w:r w:rsidRPr="00A153F4">
              <w:rPr>
                <w:b/>
                <w:vertAlign w:val="superscript"/>
                <w:lang w:val="en-US"/>
              </w:rPr>
              <w:t>2</w:t>
            </w:r>
            <w:r w:rsidRPr="00A153F4">
              <w:rPr>
                <w:b/>
                <w:lang w:val="en-US"/>
              </w:rPr>
              <w:t>=1,52; p=0,22)</w:t>
            </w:r>
          </w:p>
        </w:tc>
        <w:tc>
          <w:tcPr>
            <w:tcW w:w="2861" w:type="dxa"/>
            <w:gridSpan w:val="2"/>
            <w:vMerge/>
          </w:tcPr>
          <w:p w14:paraId="781E7666" w14:textId="77777777" w:rsidR="00A153F4" w:rsidRDefault="00A153F4" w:rsidP="00A153F4"/>
        </w:tc>
        <w:tc>
          <w:tcPr>
            <w:tcW w:w="1530" w:type="dxa"/>
          </w:tcPr>
          <w:p w14:paraId="43B11A4B" w14:textId="77777777" w:rsidR="00A153F4" w:rsidRDefault="00A153F4" w:rsidP="00A153F4"/>
        </w:tc>
      </w:tr>
      <w:tr w:rsidR="00A153F4" w14:paraId="0F6BF70B" w14:textId="77777777" w:rsidTr="00A153F4">
        <w:tc>
          <w:tcPr>
            <w:tcW w:w="1592" w:type="dxa"/>
          </w:tcPr>
          <w:p w14:paraId="1316BFE3" w14:textId="77777777" w:rsidR="00A153F4" w:rsidRDefault="00A153F4" w:rsidP="00A153F4">
            <w:r>
              <w:lastRenderedPageBreak/>
              <w:t>Предходни Заболявания Без предходни заболявания</w:t>
            </w:r>
          </w:p>
          <w:p w14:paraId="54964A5A" w14:textId="6ACC3624" w:rsidR="00A153F4" w:rsidRDefault="00A153F4" w:rsidP="00A153F4">
            <w:r>
              <w:rPr>
                <w:b/>
                <w:bCs/>
              </w:rPr>
              <w:t>Субтотал</w:t>
            </w:r>
          </w:p>
        </w:tc>
        <w:tc>
          <w:tcPr>
            <w:tcW w:w="1798" w:type="dxa"/>
          </w:tcPr>
          <w:p w14:paraId="3745E948" w14:textId="77777777" w:rsidR="00A153F4" w:rsidRDefault="00A153F4" w:rsidP="00A153F4">
            <w:r>
              <w:t>51/159 (32,1%)</w:t>
            </w:r>
          </w:p>
          <w:p w14:paraId="10133FB5" w14:textId="77777777" w:rsidR="00A153F4" w:rsidRDefault="00A153F4" w:rsidP="00A153F4">
            <w:r>
              <w:t>44/165 (26,7%)</w:t>
            </w:r>
          </w:p>
          <w:p w14:paraId="24AF30BE" w14:textId="4D7FC058" w:rsidR="00A153F4" w:rsidRDefault="00A153F4" w:rsidP="00A153F4">
            <w:r>
              <w:rPr>
                <w:b/>
                <w:bCs/>
              </w:rPr>
              <w:t>95/324(293%)</w:t>
            </w:r>
          </w:p>
        </w:tc>
        <w:tc>
          <w:tcPr>
            <w:tcW w:w="1795" w:type="dxa"/>
          </w:tcPr>
          <w:p w14:paraId="3902D5A6" w14:textId="77777777" w:rsidR="00A153F4" w:rsidRDefault="00A153F4" w:rsidP="00A153F4">
            <w:r>
              <w:t>150/346 (43,4%)</w:t>
            </w:r>
          </w:p>
          <w:p w14:paraId="3CCB0770" w14:textId="77777777" w:rsidR="00A153F4" w:rsidRDefault="00A153F4" w:rsidP="00A153F4">
            <w:r>
              <w:t>133/337(39,5%)</w:t>
            </w:r>
          </w:p>
          <w:p w14:paraId="53E92E20" w14:textId="77777777" w:rsidR="00A153F4" w:rsidRDefault="00A153F4" w:rsidP="00A153F4"/>
          <w:p w14:paraId="6FEDBEE3" w14:textId="339B64AE" w:rsidR="00A153F4" w:rsidRDefault="00A153F4" w:rsidP="00A153F4">
            <w:r>
              <w:rPr>
                <w:b/>
                <w:bCs/>
              </w:rPr>
              <w:t>283/683 (41,4%)</w:t>
            </w:r>
          </w:p>
        </w:tc>
        <w:tc>
          <w:tcPr>
            <w:tcW w:w="2861" w:type="dxa"/>
            <w:gridSpan w:val="2"/>
            <w:vMerge/>
          </w:tcPr>
          <w:p w14:paraId="0EC110D1" w14:textId="77777777" w:rsidR="00A153F4" w:rsidRDefault="00A153F4" w:rsidP="00A153F4"/>
        </w:tc>
        <w:tc>
          <w:tcPr>
            <w:tcW w:w="1530" w:type="dxa"/>
          </w:tcPr>
          <w:p w14:paraId="220C0A02" w14:textId="77777777" w:rsidR="00A153F4" w:rsidRPr="00A153F4" w:rsidRDefault="00A153F4" w:rsidP="00A153F4">
            <w:pPr>
              <w:rPr>
                <w:sz w:val="24"/>
                <w:szCs w:val="24"/>
              </w:rPr>
            </w:pPr>
            <w:r w:rsidRPr="00A153F4">
              <w:rPr>
                <w:lang w:eastAsia="bg-BG"/>
              </w:rPr>
              <w:t>0,75 (0,54-1,02)</w:t>
            </w:r>
          </w:p>
          <w:p w14:paraId="42E8C1F9" w14:textId="77777777" w:rsidR="00A153F4" w:rsidRPr="00A153F4" w:rsidRDefault="00A153F4" w:rsidP="00A153F4">
            <w:pPr>
              <w:rPr>
                <w:sz w:val="24"/>
                <w:szCs w:val="24"/>
              </w:rPr>
            </w:pPr>
            <w:r w:rsidRPr="00A153F4">
              <w:rPr>
                <w:lang w:eastAsia="bg-BG"/>
              </w:rPr>
              <w:t>0,56 (0,40-0,78)</w:t>
            </w:r>
          </w:p>
          <w:p w14:paraId="1FAEC944" w14:textId="76663FBA" w:rsidR="00A153F4" w:rsidRDefault="00A153F4" w:rsidP="00A153F4">
            <w:r w:rsidRPr="00A153F4">
              <w:rPr>
                <w:b/>
                <w:bCs/>
                <w:lang w:eastAsia="bg-BG"/>
              </w:rPr>
              <w:t>0,64 (0,51-0,81)</w:t>
            </w:r>
          </w:p>
        </w:tc>
      </w:tr>
      <w:tr w:rsidR="00A153F4" w14:paraId="19B70A64" w14:textId="77777777" w:rsidTr="00A153F4">
        <w:tc>
          <w:tcPr>
            <w:tcW w:w="1592" w:type="dxa"/>
          </w:tcPr>
          <w:p w14:paraId="3BF12375" w14:textId="104E0DC2" w:rsidR="00A153F4" w:rsidRPr="00A153F4" w:rsidRDefault="00A153F4" w:rsidP="00A153F4">
            <w:r w:rsidRPr="00A153F4">
              <w:rPr>
                <w:b/>
                <w:bCs/>
                <w:szCs w:val="20"/>
              </w:rPr>
              <w:t>Всички участници</w:t>
            </w:r>
          </w:p>
        </w:tc>
        <w:tc>
          <w:tcPr>
            <w:tcW w:w="1798" w:type="dxa"/>
          </w:tcPr>
          <w:p w14:paraId="1D7296B5" w14:textId="77777777" w:rsidR="00A153F4" w:rsidRPr="00A153F4" w:rsidRDefault="00A153F4" w:rsidP="00A153F4">
            <w:r w:rsidRPr="00A153F4">
              <w:rPr>
                <w:b/>
                <w:bCs/>
                <w:szCs w:val="20"/>
              </w:rPr>
              <w:t>482/2104</w:t>
            </w:r>
          </w:p>
          <w:p w14:paraId="2CEA1DC4" w14:textId="500C5F51" w:rsidR="00A153F4" w:rsidRPr="00A153F4" w:rsidRDefault="00A153F4" w:rsidP="00A153F4">
            <w:r w:rsidRPr="00A153F4">
              <w:rPr>
                <w:b/>
                <w:bCs/>
                <w:szCs w:val="20"/>
              </w:rPr>
              <w:t>(22,9%)</w:t>
            </w:r>
          </w:p>
        </w:tc>
        <w:tc>
          <w:tcPr>
            <w:tcW w:w="1795" w:type="dxa"/>
            <w:vAlign w:val="bottom"/>
          </w:tcPr>
          <w:p w14:paraId="05B17DCC" w14:textId="77777777" w:rsidR="00A153F4" w:rsidRPr="00A153F4" w:rsidRDefault="00A153F4" w:rsidP="00A153F4">
            <w:r w:rsidRPr="00A153F4">
              <w:rPr>
                <w:b/>
                <w:bCs/>
                <w:szCs w:val="20"/>
              </w:rPr>
              <w:t>1110/4321</w:t>
            </w:r>
          </w:p>
          <w:p w14:paraId="2C84AF03" w14:textId="2AC4C348" w:rsidR="00A153F4" w:rsidRPr="00A153F4" w:rsidRDefault="00A153F4" w:rsidP="00A153F4">
            <w:pPr>
              <w:rPr>
                <w:lang w:val="en-US"/>
              </w:rPr>
            </w:pPr>
            <w:r w:rsidRPr="00A153F4">
              <w:rPr>
                <w:b/>
                <w:bCs/>
                <w:szCs w:val="20"/>
              </w:rPr>
              <w:t>(25,7%</w:t>
            </w:r>
            <w:r w:rsidRPr="00A153F4">
              <w:rPr>
                <w:b/>
                <w:bCs/>
                <w:szCs w:val="20"/>
                <w:lang w:val="en-US"/>
              </w:rPr>
              <w:t>)</w:t>
            </w:r>
          </w:p>
        </w:tc>
        <w:tc>
          <w:tcPr>
            <w:tcW w:w="2861" w:type="dxa"/>
            <w:gridSpan w:val="2"/>
          </w:tcPr>
          <w:p w14:paraId="793AD283" w14:textId="77777777" w:rsidR="00A153F4" w:rsidRPr="00A153F4" w:rsidRDefault="00A153F4" w:rsidP="00A153F4"/>
        </w:tc>
        <w:tc>
          <w:tcPr>
            <w:tcW w:w="1530" w:type="dxa"/>
          </w:tcPr>
          <w:p w14:paraId="60AAF648" w14:textId="5E9B6AB3" w:rsidR="00A153F4" w:rsidRPr="00A153F4" w:rsidRDefault="00A153F4" w:rsidP="00A153F4">
            <w:r w:rsidRPr="00A153F4">
              <w:rPr>
                <w:b/>
                <w:bCs/>
                <w:szCs w:val="20"/>
              </w:rPr>
              <w:t>0,83 (0,75-0,93) Р &lt;0,001</w:t>
            </w:r>
          </w:p>
        </w:tc>
      </w:tr>
      <w:tr w:rsidR="00A153F4" w14:paraId="519B7432" w14:textId="77777777" w:rsidTr="00533159">
        <w:tc>
          <w:tcPr>
            <w:tcW w:w="6712" w:type="dxa"/>
            <w:gridSpan w:val="4"/>
          </w:tcPr>
          <w:p w14:paraId="72B62977" w14:textId="24DAE910" w:rsidR="00A153F4" w:rsidRPr="00A153F4" w:rsidRDefault="00A153F4" w:rsidP="00A153F4">
            <w:pPr>
              <w:jc w:val="right"/>
            </w:pPr>
            <w:r>
              <w:rPr>
                <w:sz w:val="20"/>
                <w:szCs w:val="20"/>
              </w:rPr>
              <w:t>Дексаметазон подобрение</w:t>
            </w:r>
          </w:p>
        </w:tc>
        <w:tc>
          <w:tcPr>
            <w:tcW w:w="2864" w:type="dxa"/>
            <w:gridSpan w:val="2"/>
          </w:tcPr>
          <w:p w14:paraId="0AA0B063" w14:textId="6F653A85" w:rsidR="00A153F4" w:rsidRPr="00A153F4" w:rsidRDefault="00A153F4" w:rsidP="00A153F4">
            <w:pPr>
              <w:rPr>
                <w:b/>
                <w:bCs/>
                <w:szCs w:val="20"/>
              </w:rPr>
            </w:pPr>
            <w:r>
              <w:rPr>
                <w:sz w:val="20"/>
                <w:szCs w:val="20"/>
              </w:rPr>
              <w:t>Обичайни грижи подобрение</w:t>
            </w:r>
          </w:p>
        </w:tc>
      </w:tr>
    </w:tbl>
    <w:p w14:paraId="42B80F3F" w14:textId="77777777" w:rsidR="00A153F4" w:rsidRPr="00602A56" w:rsidRDefault="00A153F4" w:rsidP="00A153F4"/>
    <w:p w14:paraId="35F84B81" w14:textId="0E4566A2" w:rsidR="00CF77F7" w:rsidRDefault="002C50EE" w:rsidP="004A448E">
      <w:pPr>
        <w:pStyle w:val="Heading2"/>
      </w:pPr>
      <w:r>
        <w:t>5.2. Фармакокинетични свойства</w:t>
      </w:r>
    </w:p>
    <w:p w14:paraId="01EB7911" w14:textId="567FB0D9" w:rsidR="00900BB0" w:rsidRDefault="00900BB0" w:rsidP="00900BB0"/>
    <w:p w14:paraId="3888BAFA" w14:textId="77777777" w:rsidR="00900BB0" w:rsidRPr="00900BB0" w:rsidRDefault="00900BB0" w:rsidP="00900BB0">
      <w:pPr>
        <w:pStyle w:val="Heading3"/>
        <w:rPr>
          <w:rFonts w:eastAsia="Times New Roman"/>
          <w:u w:val="single"/>
        </w:rPr>
      </w:pPr>
      <w:r w:rsidRPr="00900BB0">
        <w:rPr>
          <w:rFonts w:eastAsia="Times New Roman"/>
          <w:u w:val="single"/>
          <w:lang w:eastAsia="bg-BG"/>
        </w:rPr>
        <w:t>Резорбция</w:t>
      </w:r>
    </w:p>
    <w:p w14:paraId="5CB7C9EE" w14:textId="77777777" w:rsidR="00900BB0" w:rsidRPr="00900BB0" w:rsidRDefault="00900BB0" w:rsidP="00900BB0">
      <w:pPr>
        <w:rPr>
          <w:sz w:val="24"/>
          <w:szCs w:val="24"/>
        </w:rPr>
      </w:pPr>
      <w:r w:rsidRPr="00900BB0">
        <w:rPr>
          <w:lang w:eastAsia="bg-BG"/>
        </w:rPr>
        <w:t>Максимални плазмени концентрации на дексаметазон се достигат 5 минути след интравенозно приложение и 1 час след интрамускулно приложение.</w:t>
      </w:r>
    </w:p>
    <w:p w14:paraId="0FD95052" w14:textId="77777777" w:rsidR="00900BB0" w:rsidRDefault="00900BB0" w:rsidP="00900BB0">
      <w:pPr>
        <w:rPr>
          <w:lang w:eastAsia="bg-BG"/>
        </w:rPr>
      </w:pPr>
    </w:p>
    <w:p w14:paraId="11CA9ECF" w14:textId="6C583AEC" w:rsidR="00900BB0" w:rsidRPr="00900BB0" w:rsidRDefault="00900BB0" w:rsidP="00900BB0">
      <w:pPr>
        <w:pStyle w:val="Heading3"/>
        <w:rPr>
          <w:rFonts w:eastAsia="Times New Roman"/>
          <w:u w:val="single"/>
        </w:rPr>
      </w:pPr>
      <w:r w:rsidRPr="00900BB0">
        <w:rPr>
          <w:rFonts w:eastAsia="Times New Roman"/>
          <w:u w:val="single"/>
          <w:lang w:eastAsia="bg-BG"/>
        </w:rPr>
        <w:t>Разпределение</w:t>
      </w:r>
    </w:p>
    <w:p w14:paraId="253B1B88" w14:textId="77777777" w:rsidR="00900BB0" w:rsidRPr="00900BB0" w:rsidRDefault="00900BB0" w:rsidP="00900BB0">
      <w:pPr>
        <w:rPr>
          <w:sz w:val="24"/>
          <w:szCs w:val="24"/>
        </w:rPr>
      </w:pPr>
      <w:r w:rsidRPr="00900BB0">
        <w:rPr>
          <w:lang w:eastAsia="bg-BG"/>
        </w:rPr>
        <w:t>След интравенозно или интрамускулно приложение дексаметазон бързо се разпределя в цялото тяло. Свързва се с плазмените протеини в около 77%, което е по-малко, отколкото при другите кортикостероиди. Дексаметазон преминава в тьканните и цереброспиналните течности. Преминава през плацентата и се екскретира в майчиното мляко в малки количества.</w:t>
      </w:r>
    </w:p>
    <w:p w14:paraId="580253DD" w14:textId="77777777" w:rsidR="00900BB0" w:rsidRDefault="00900BB0" w:rsidP="00900BB0">
      <w:pPr>
        <w:rPr>
          <w:lang w:eastAsia="bg-BG"/>
        </w:rPr>
      </w:pPr>
    </w:p>
    <w:p w14:paraId="679BE9F3" w14:textId="612EB5D3" w:rsidR="00900BB0" w:rsidRPr="00900BB0" w:rsidRDefault="00900BB0" w:rsidP="00900BB0">
      <w:pPr>
        <w:pStyle w:val="Heading3"/>
        <w:rPr>
          <w:rFonts w:eastAsia="Times New Roman"/>
          <w:u w:val="single"/>
        </w:rPr>
      </w:pPr>
      <w:r w:rsidRPr="00900BB0">
        <w:rPr>
          <w:rFonts w:eastAsia="Times New Roman"/>
          <w:u w:val="single"/>
          <w:lang w:eastAsia="bg-BG"/>
        </w:rPr>
        <w:lastRenderedPageBreak/>
        <w:t>Метаболизъм</w:t>
      </w:r>
    </w:p>
    <w:p w14:paraId="636AFC4C" w14:textId="77777777" w:rsidR="00900BB0" w:rsidRPr="00900BB0" w:rsidRDefault="00900BB0" w:rsidP="00900BB0">
      <w:pPr>
        <w:rPr>
          <w:sz w:val="24"/>
          <w:szCs w:val="24"/>
        </w:rPr>
      </w:pPr>
      <w:r w:rsidRPr="00900BB0">
        <w:rPr>
          <w:lang w:eastAsia="bg-BG"/>
        </w:rPr>
        <w:t>Дексаметазон се метаболизира предимно в черния дроб до неактивни метаболити. Времето на полуживот е приблизително 190 минути. Действието му продължава до 72 часа.</w:t>
      </w:r>
    </w:p>
    <w:p w14:paraId="71FF10A6" w14:textId="77777777" w:rsidR="00900BB0" w:rsidRDefault="00900BB0" w:rsidP="00900BB0">
      <w:pPr>
        <w:rPr>
          <w:lang w:eastAsia="bg-BG"/>
        </w:rPr>
      </w:pPr>
    </w:p>
    <w:p w14:paraId="1A5DD477" w14:textId="256D6D19" w:rsidR="00900BB0" w:rsidRPr="00900BB0" w:rsidRDefault="00900BB0" w:rsidP="00900BB0">
      <w:pPr>
        <w:pStyle w:val="Heading3"/>
        <w:rPr>
          <w:rFonts w:eastAsia="Times New Roman"/>
          <w:u w:val="single"/>
        </w:rPr>
      </w:pPr>
      <w:r w:rsidRPr="00900BB0">
        <w:rPr>
          <w:rFonts w:eastAsia="Times New Roman"/>
          <w:u w:val="single"/>
          <w:lang w:eastAsia="bg-BG"/>
        </w:rPr>
        <w:t>Екскреция</w:t>
      </w:r>
    </w:p>
    <w:p w14:paraId="1CAC9F71" w14:textId="77777777" w:rsidR="00900BB0" w:rsidRPr="00900BB0" w:rsidRDefault="00900BB0" w:rsidP="00900BB0">
      <w:pPr>
        <w:rPr>
          <w:sz w:val="24"/>
          <w:szCs w:val="24"/>
        </w:rPr>
      </w:pPr>
      <w:r w:rsidRPr="00900BB0">
        <w:rPr>
          <w:lang w:eastAsia="bg-BG"/>
        </w:rPr>
        <w:t>Повече от 65% от приетата доза се елиминира чрез бъбреците в рамките на 24 часа. Малки количества се екскретират чрез жлъчката.</w:t>
      </w:r>
    </w:p>
    <w:p w14:paraId="7BB05D47" w14:textId="7079E68E" w:rsidR="00900BB0" w:rsidRDefault="00900BB0" w:rsidP="00900BB0"/>
    <w:p w14:paraId="0F8EB858" w14:textId="77777777" w:rsidR="00900BB0" w:rsidRPr="00900BB0" w:rsidRDefault="00900BB0" w:rsidP="00900BB0"/>
    <w:p w14:paraId="648E39DA" w14:textId="1EEB1283" w:rsidR="00CF77F7" w:rsidRDefault="002C50EE" w:rsidP="004A448E">
      <w:pPr>
        <w:pStyle w:val="Heading2"/>
      </w:pPr>
      <w:r>
        <w:t>5.3. Предклинични данни за безопасност</w:t>
      </w:r>
    </w:p>
    <w:p w14:paraId="3B31F253" w14:textId="062A1F9D" w:rsidR="00900BB0" w:rsidRDefault="00900BB0" w:rsidP="00900BB0"/>
    <w:p w14:paraId="02F81819" w14:textId="77777777" w:rsidR="00900BB0" w:rsidRPr="00900BB0" w:rsidRDefault="00900BB0" w:rsidP="00900BB0">
      <w:pPr>
        <w:rPr>
          <w:sz w:val="24"/>
          <w:szCs w:val="24"/>
        </w:rPr>
      </w:pPr>
      <w:r w:rsidRPr="00900BB0">
        <w:rPr>
          <w:lang w:eastAsia="bg-BG"/>
        </w:rPr>
        <w:t xml:space="preserve">Изчислената </w:t>
      </w:r>
      <w:r w:rsidRPr="00900BB0">
        <w:rPr>
          <w:lang w:val="ru-RU"/>
        </w:rPr>
        <w:t>(</w:t>
      </w:r>
      <w:r w:rsidRPr="00900BB0">
        <w:rPr>
          <w:lang w:val="en-US"/>
        </w:rPr>
        <w:t>LD</w:t>
      </w:r>
      <w:r w:rsidRPr="00900BB0">
        <w:rPr>
          <w:vertAlign w:val="subscript"/>
          <w:lang w:val="ru-RU"/>
        </w:rPr>
        <w:t>50</w:t>
      </w:r>
      <w:r w:rsidRPr="00900BB0">
        <w:rPr>
          <w:lang w:val="ru-RU"/>
        </w:rPr>
        <w:t xml:space="preserve">) </w:t>
      </w:r>
      <w:r w:rsidRPr="00900BB0">
        <w:rPr>
          <w:lang w:eastAsia="bg-BG"/>
        </w:rPr>
        <w:t xml:space="preserve">след интраперитонеално приложение на мишки и плъхове е 410 и 54 </w:t>
      </w:r>
      <w:r w:rsidRPr="00900BB0">
        <w:rPr>
          <w:lang w:val="en-US"/>
        </w:rPr>
        <w:t>mg</w:t>
      </w:r>
      <w:r w:rsidRPr="00900BB0">
        <w:rPr>
          <w:lang w:val="ru-RU"/>
        </w:rPr>
        <w:t>/</w:t>
      </w:r>
      <w:r w:rsidRPr="00900BB0">
        <w:rPr>
          <w:lang w:val="en-US"/>
        </w:rPr>
        <w:t>kg</w:t>
      </w:r>
      <w:r w:rsidRPr="00900BB0">
        <w:rPr>
          <w:lang w:val="ru-RU"/>
        </w:rPr>
        <w:t xml:space="preserve"> </w:t>
      </w:r>
      <w:r w:rsidRPr="00900BB0">
        <w:rPr>
          <w:lang w:eastAsia="bg-BG"/>
        </w:rPr>
        <w:t>съответно.</w:t>
      </w:r>
    </w:p>
    <w:p w14:paraId="190B8C20" w14:textId="02C12671" w:rsidR="00900BB0" w:rsidRPr="00900BB0" w:rsidRDefault="00900BB0" w:rsidP="00900BB0">
      <w:r w:rsidRPr="00900BB0">
        <w:rPr>
          <w:lang w:eastAsia="bg-BG"/>
        </w:rPr>
        <w:t xml:space="preserve">При подкожно приложение при мишки </w:t>
      </w:r>
      <w:r w:rsidRPr="00900BB0">
        <w:rPr>
          <w:lang w:val="en-US"/>
        </w:rPr>
        <w:t>LD</w:t>
      </w:r>
      <w:r w:rsidRPr="00900BB0">
        <w:rPr>
          <w:vertAlign w:val="subscript"/>
          <w:lang w:val="ru-RU"/>
        </w:rPr>
        <w:t>50</w:t>
      </w:r>
      <w:r w:rsidRPr="00900BB0">
        <w:rPr>
          <w:lang w:val="ru-RU"/>
        </w:rPr>
        <w:t xml:space="preserve"> </w:t>
      </w:r>
      <w:r w:rsidRPr="00900BB0">
        <w:rPr>
          <w:lang w:eastAsia="bg-BG"/>
        </w:rPr>
        <w:t xml:space="preserve">е 4,4 </w:t>
      </w:r>
      <w:r w:rsidRPr="00900BB0">
        <w:rPr>
          <w:lang w:val="en-US"/>
        </w:rPr>
        <w:t>mg</w:t>
      </w:r>
      <w:r w:rsidRPr="00900BB0">
        <w:rPr>
          <w:lang w:val="ru-RU"/>
        </w:rPr>
        <w:t>/</w:t>
      </w:r>
      <w:r w:rsidRPr="00900BB0">
        <w:rPr>
          <w:lang w:val="en-US"/>
        </w:rPr>
        <w:t>kg</w:t>
      </w:r>
      <w:r w:rsidRPr="00900BB0">
        <w:rPr>
          <w:lang w:val="ru-RU"/>
        </w:rPr>
        <w:t xml:space="preserve">, </w:t>
      </w:r>
      <w:r w:rsidRPr="00900BB0">
        <w:rPr>
          <w:lang w:eastAsia="bg-BG"/>
        </w:rPr>
        <w:t xml:space="preserve">а при плъхове е около 10 </w:t>
      </w:r>
      <w:r w:rsidRPr="00900BB0">
        <w:rPr>
          <w:lang w:val="en-US"/>
        </w:rPr>
        <w:t>mg</w:t>
      </w:r>
      <w:r w:rsidRPr="00900BB0">
        <w:rPr>
          <w:lang w:val="ru-RU"/>
        </w:rPr>
        <w:t>/</w:t>
      </w:r>
      <w:r w:rsidRPr="00900BB0">
        <w:rPr>
          <w:lang w:val="en-US"/>
        </w:rPr>
        <w:t>kg</w:t>
      </w:r>
      <w:r w:rsidRPr="00900BB0">
        <w:rPr>
          <w:lang w:val="ru-RU"/>
        </w:rPr>
        <w:t xml:space="preserve"> </w:t>
      </w:r>
      <w:r w:rsidRPr="00900BB0">
        <w:rPr>
          <w:lang w:eastAsia="bg-BG"/>
        </w:rPr>
        <w:t xml:space="preserve">т. м. Изследванията за ембриотоксичност и тератогенност, проведени върху мишки и плъхове при субкутанно приложение, и върху зайци при мускулно и субкутанно приложение, показват данни за ембриотоксичен ефект (по-висока честота на резорбции и смъртност на фетуси) и тератогенен ефект (проява на малформации "вълча уста"). Цепнато небце е наблюдавано и при проучвания с хамстери, кучета и примати, но не и при коне и овце. В някои случаи тези отклонения са комбинирани с дефекти на централната нервна система и на сърцето. При приматите след експозицията са наблюдавани и ефекти върху мозъка, като при това може да се забави и интраутеринния растеж. Всички тези ефекти са наблюдавани при експозиция с високи дози. Дексаметазон, изпитван </w:t>
      </w:r>
      <w:r w:rsidRPr="00900BB0">
        <w:rPr>
          <w:i/>
          <w:iCs/>
          <w:lang w:val="en-US"/>
        </w:rPr>
        <w:t>in</w:t>
      </w:r>
      <w:r w:rsidRPr="00900BB0">
        <w:rPr>
          <w:i/>
          <w:iCs/>
        </w:rPr>
        <w:t xml:space="preserve"> </w:t>
      </w:r>
      <w:r w:rsidRPr="00900BB0">
        <w:rPr>
          <w:i/>
          <w:iCs/>
          <w:lang w:val="en-US"/>
        </w:rPr>
        <w:t>vitro</w:t>
      </w:r>
      <w:r w:rsidRPr="00900BB0">
        <w:rPr>
          <w:i/>
          <w:iCs/>
        </w:rPr>
        <w:t xml:space="preserve"> (</w:t>
      </w:r>
      <w:r w:rsidRPr="00900BB0">
        <w:rPr>
          <w:i/>
          <w:iCs/>
          <w:lang w:val="en-US"/>
        </w:rPr>
        <w:t>Ames</w:t>
      </w:r>
      <w:r w:rsidRPr="00900BB0">
        <w:t xml:space="preserve"> </w:t>
      </w:r>
      <w:r w:rsidRPr="00900BB0">
        <w:rPr>
          <w:lang w:eastAsia="bg-BG"/>
        </w:rPr>
        <w:t xml:space="preserve">тест и </w:t>
      </w:r>
      <w:r w:rsidRPr="00900BB0">
        <w:rPr>
          <w:i/>
          <w:iCs/>
          <w:lang w:val="en-US"/>
        </w:rPr>
        <w:t>Fluctuation</w:t>
      </w:r>
      <w:r w:rsidRPr="00900BB0">
        <w:t xml:space="preserve"> </w:t>
      </w:r>
      <w:r w:rsidRPr="00900BB0">
        <w:rPr>
          <w:lang w:eastAsia="bg-BG"/>
        </w:rPr>
        <w:t xml:space="preserve">тест) и </w:t>
      </w:r>
      <w:r w:rsidRPr="00900BB0">
        <w:rPr>
          <w:i/>
          <w:iCs/>
          <w:lang w:val="en-US"/>
        </w:rPr>
        <w:t>in</w:t>
      </w:r>
      <w:r w:rsidRPr="00900BB0">
        <w:rPr>
          <w:i/>
          <w:iCs/>
        </w:rPr>
        <w:t xml:space="preserve"> </w:t>
      </w:r>
      <w:r w:rsidRPr="00900BB0">
        <w:rPr>
          <w:i/>
          <w:iCs/>
          <w:lang w:val="en-US"/>
        </w:rPr>
        <w:t>vivo</w:t>
      </w:r>
      <w:r w:rsidRPr="00900BB0">
        <w:t xml:space="preserve"> </w:t>
      </w:r>
      <w:r w:rsidRPr="00900BB0">
        <w:rPr>
          <w:lang w:eastAsia="bg-BG"/>
        </w:rPr>
        <w:t>(микронуклеусен тест), не показва наличие на мутагенна, респ. канцерогенна активност.</w:t>
      </w:r>
    </w:p>
    <w:p w14:paraId="6A7820AB" w14:textId="46EC68BC" w:rsidR="008A6AF2" w:rsidRDefault="002C50EE" w:rsidP="00395555">
      <w:pPr>
        <w:pStyle w:val="Heading1"/>
      </w:pPr>
      <w:r>
        <w:t>7. ПРИТЕЖАТЕЛ НА РАЗРЕШЕНИЕТО ЗА УПОТРЕБА</w:t>
      </w:r>
    </w:p>
    <w:p w14:paraId="767AE129" w14:textId="631CD788" w:rsidR="00900BB0" w:rsidRDefault="00900BB0" w:rsidP="00900BB0"/>
    <w:p w14:paraId="6E20C940" w14:textId="77777777" w:rsidR="00900BB0" w:rsidRPr="00900BB0" w:rsidRDefault="00900BB0" w:rsidP="00900BB0">
      <w:pPr>
        <w:rPr>
          <w:sz w:val="24"/>
          <w:szCs w:val="24"/>
        </w:rPr>
      </w:pPr>
      <w:r w:rsidRPr="00900BB0">
        <w:rPr>
          <w:lang w:eastAsia="bg-BG"/>
        </w:rPr>
        <w:t>СОФАРМА АД</w:t>
      </w:r>
    </w:p>
    <w:p w14:paraId="7AD59BDA" w14:textId="77777777" w:rsidR="00900BB0" w:rsidRPr="00900BB0" w:rsidRDefault="00900BB0" w:rsidP="00900BB0">
      <w:pPr>
        <w:rPr>
          <w:sz w:val="24"/>
          <w:szCs w:val="24"/>
        </w:rPr>
      </w:pPr>
      <w:r w:rsidRPr="00900BB0">
        <w:rPr>
          <w:lang w:eastAsia="bg-BG"/>
        </w:rPr>
        <w:t>ул. Илиенско шосе 16,1220 София, България</w:t>
      </w:r>
    </w:p>
    <w:p w14:paraId="64855D23" w14:textId="77777777" w:rsidR="00900BB0" w:rsidRPr="00900BB0" w:rsidRDefault="00900BB0" w:rsidP="00900BB0"/>
    <w:p w14:paraId="7BA1BA64" w14:textId="6FC8E0EB" w:rsidR="00CF77F7" w:rsidRDefault="002C50EE" w:rsidP="004A448E">
      <w:pPr>
        <w:pStyle w:val="Heading1"/>
      </w:pPr>
      <w:r>
        <w:t>8. НОМЕР НА РАЗРЕШЕНИЕТО ЗА УПОТРЕБА</w:t>
      </w:r>
    </w:p>
    <w:p w14:paraId="086998C7" w14:textId="6C2533C6" w:rsidR="00900BB0" w:rsidRPr="00900BB0" w:rsidRDefault="00900BB0" w:rsidP="00900BB0">
      <w:r>
        <w:t>№20040494/02.11.2004</w:t>
      </w:r>
    </w:p>
    <w:p w14:paraId="2CCB5832" w14:textId="6A401F6C" w:rsidR="007C605B" w:rsidRDefault="002C50EE" w:rsidP="007C605B">
      <w:pPr>
        <w:pStyle w:val="Heading1"/>
      </w:pPr>
      <w:r>
        <w:t>9. ДАТА НА ПЪРВО РАЗРЕШАВАНЕ/ПОДНОВЯВАНЕ НА РАЗРЕШЕНИЕТО ЗА УПОТРЕБА</w:t>
      </w:r>
    </w:p>
    <w:p w14:paraId="39027309" w14:textId="189ED4ED" w:rsidR="00900BB0" w:rsidRPr="00900BB0" w:rsidRDefault="00900BB0" w:rsidP="00900BB0">
      <w:r>
        <w:t>02.11.2004/25.02.2010</w:t>
      </w:r>
    </w:p>
    <w:p w14:paraId="0E9D0119" w14:textId="0245C6D7" w:rsidR="002C50EE" w:rsidRDefault="002C50EE" w:rsidP="002C50EE">
      <w:pPr>
        <w:pStyle w:val="Heading1"/>
      </w:pPr>
      <w:r>
        <w:t>10. ДАТА НА АКТУАЛИЗИРАНЕ НА ТЕКСТА</w:t>
      </w:r>
    </w:p>
    <w:bookmarkEnd w:id="0"/>
    <w:p w14:paraId="43FB38A2" w14:textId="0C17158E" w:rsidR="007C605B" w:rsidRPr="003E3126" w:rsidRDefault="00900BB0" w:rsidP="00900BB0">
      <w:r>
        <w:t>Декември 2021</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7D2D73"/>
    <w:multiLevelType w:val="hybridMultilevel"/>
    <w:tmpl w:val="AEF8D8F2"/>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7675B"/>
    <w:multiLevelType w:val="hybridMultilevel"/>
    <w:tmpl w:val="A23C7DFE"/>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D3696"/>
    <w:multiLevelType w:val="hybridMultilevel"/>
    <w:tmpl w:val="9F1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78A358F"/>
    <w:multiLevelType w:val="hybridMultilevel"/>
    <w:tmpl w:val="D9923E46"/>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686B"/>
    <w:multiLevelType w:val="hybridMultilevel"/>
    <w:tmpl w:val="0F4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16B8B"/>
    <w:multiLevelType w:val="hybridMultilevel"/>
    <w:tmpl w:val="F5BC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718D"/>
    <w:multiLevelType w:val="hybridMultilevel"/>
    <w:tmpl w:val="EE48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854"/>
    <w:multiLevelType w:val="hybridMultilevel"/>
    <w:tmpl w:val="53A673F6"/>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7D28"/>
    <w:multiLevelType w:val="hybridMultilevel"/>
    <w:tmpl w:val="8174B69A"/>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9"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9646D"/>
    <w:multiLevelType w:val="hybridMultilevel"/>
    <w:tmpl w:val="E0443136"/>
    <w:lvl w:ilvl="0" w:tplc="4C783144">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41CC6"/>
    <w:multiLevelType w:val="hybridMultilevel"/>
    <w:tmpl w:val="23D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6"/>
  </w:num>
  <w:num w:numId="2">
    <w:abstractNumId w:val="0"/>
  </w:num>
  <w:num w:numId="3">
    <w:abstractNumId w:val="18"/>
  </w:num>
  <w:num w:numId="4">
    <w:abstractNumId w:val="3"/>
  </w:num>
  <w:num w:numId="5">
    <w:abstractNumId w:val="1"/>
  </w:num>
  <w:num w:numId="6">
    <w:abstractNumId w:val="21"/>
  </w:num>
  <w:num w:numId="7">
    <w:abstractNumId w:val="16"/>
  </w:num>
  <w:num w:numId="8">
    <w:abstractNumId w:val="20"/>
  </w:num>
  <w:num w:numId="9">
    <w:abstractNumId w:val="2"/>
  </w:num>
  <w:num w:numId="10">
    <w:abstractNumId w:val="4"/>
  </w:num>
  <w:num w:numId="11">
    <w:abstractNumId w:val="40"/>
  </w:num>
  <w:num w:numId="12">
    <w:abstractNumId w:val="19"/>
  </w:num>
  <w:num w:numId="13">
    <w:abstractNumId w:val="24"/>
  </w:num>
  <w:num w:numId="14">
    <w:abstractNumId w:val="17"/>
  </w:num>
  <w:num w:numId="15">
    <w:abstractNumId w:val="39"/>
  </w:num>
  <w:num w:numId="16">
    <w:abstractNumId w:val="15"/>
  </w:num>
  <w:num w:numId="17">
    <w:abstractNumId w:val="32"/>
  </w:num>
  <w:num w:numId="18">
    <w:abstractNumId w:val="12"/>
  </w:num>
  <w:num w:numId="19">
    <w:abstractNumId w:val="34"/>
  </w:num>
  <w:num w:numId="20">
    <w:abstractNumId w:val="31"/>
  </w:num>
  <w:num w:numId="21">
    <w:abstractNumId w:val="22"/>
  </w:num>
  <w:num w:numId="22">
    <w:abstractNumId w:val="33"/>
  </w:num>
  <w:num w:numId="23">
    <w:abstractNumId w:val="23"/>
  </w:num>
  <w:num w:numId="24">
    <w:abstractNumId w:val="13"/>
  </w:num>
  <w:num w:numId="25">
    <w:abstractNumId w:val="30"/>
  </w:num>
  <w:num w:numId="26">
    <w:abstractNumId w:val="29"/>
  </w:num>
  <w:num w:numId="27">
    <w:abstractNumId w:val="41"/>
  </w:num>
  <w:num w:numId="28">
    <w:abstractNumId w:val="9"/>
  </w:num>
  <w:num w:numId="29">
    <w:abstractNumId w:val="28"/>
  </w:num>
  <w:num w:numId="30">
    <w:abstractNumId w:val="44"/>
  </w:num>
  <w:num w:numId="31">
    <w:abstractNumId w:val="6"/>
  </w:num>
  <w:num w:numId="32">
    <w:abstractNumId w:val="43"/>
  </w:num>
  <w:num w:numId="33">
    <w:abstractNumId w:val="37"/>
  </w:num>
  <w:num w:numId="34">
    <w:abstractNumId w:val="42"/>
  </w:num>
  <w:num w:numId="35">
    <w:abstractNumId w:val="26"/>
  </w:num>
  <w:num w:numId="36">
    <w:abstractNumId w:val="27"/>
  </w:num>
  <w:num w:numId="37">
    <w:abstractNumId w:val="11"/>
  </w:num>
  <w:num w:numId="38">
    <w:abstractNumId w:val="7"/>
  </w:num>
  <w:num w:numId="39">
    <w:abstractNumId w:val="10"/>
  </w:num>
  <w:num w:numId="40">
    <w:abstractNumId w:val="35"/>
  </w:num>
  <w:num w:numId="41">
    <w:abstractNumId w:val="5"/>
  </w:num>
  <w:num w:numId="42">
    <w:abstractNumId w:val="14"/>
  </w:num>
  <w:num w:numId="43">
    <w:abstractNumId w:val="8"/>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2A56"/>
    <w:rsid w:val="00605BCA"/>
    <w:rsid w:val="006158A1"/>
    <w:rsid w:val="00617B1F"/>
    <w:rsid w:val="00643746"/>
    <w:rsid w:val="00672487"/>
    <w:rsid w:val="00672600"/>
    <w:rsid w:val="00681D4A"/>
    <w:rsid w:val="00685882"/>
    <w:rsid w:val="0075649D"/>
    <w:rsid w:val="007C605B"/>
    <w:rsid w:val="008134C8"/>
    <w:rsid w:val="00814073"/>
    <w:rsid w:val="00826F0D"/>
    <w:rsid w:val="00893B92"/>
    <w:rsid w:val="008A6AF2"/>
    <w:rsid w:val="008C70A2"/>
    <w:rsid w:val="00900BB0"/>
    <w:rsid w:val="009773E4"/>
    <w:rsid w:val="009B171C"/>
    <w:rsid w:val="009F1313"/>
    <w:rsid w:val="00A153F4"/>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i.org/10.1101/2020.06.22.20137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coveiytri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27375</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2022-02-24T19:34:00Z</dcterms:created>
  <dcterms:modified xsi:type="dcterms:W3CDTF">2022-02-24T19:34:00Z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