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5F8A8073" w:rsidR="00AA23EC" w:rsidRDefault="00DD466D" w:rsidP="00DD466D">
      <w:pPr>
        <w:pStyle w:val="Heading1"/>
      </w:pPr>
      <w:r>
        <w:t>1.ИМЕ НА ЛЕКАРСТВЕНИЯ ПРОДУКТ</w:t>
      </w:r>
    </w:p>
    <w:p w14:paraId="5F6EA7AC" w14:textId="332360E7" w:rsidR="00464F28" w:rsidRDefault="00464F28" w:rsidP="00464F28"/>
    <w:p w14:paraId="4CB816B7" w14:textId="77777777" w:rsidR="00464F28" w:rsidRPr="00464F28" w:rsidRDefault="00464F28" w:rsidP="00464F28">
      <w:pPr>
        <w:rPr>
          <w:sz w:val="24"/>
          <w:szCs w:val="24"/>
          <w:lang w:val="ru-RU"/>
        </w:rPr>
      </w:pPr>
      <w:r w:rsidRPr="00464F28">
        <w:rPr>
          <w:lang w:eastAsia="bg-BG"/>
        </w:rPr>
        <w:t xml:space="preserve">Декскетопрофен Ромфарм 50 </w:t>
      </w:r>
      <w:r w:rsidRPr="00464F28">
        <w:rPr>
          <w:lang w:val="en-US"/>
        </w:rPr>
        <w:t>mg</w:t>
      </w:r>
      <w:r w:rsidRPr="00464F28">
        <w:rPr>
          <w:lang w:val="ru-RU"/>
        </w:rPr>
        <w:t xml:space="preserve">/2 </w:t>
      </w:r>
      <w:r w:rsidRPr="00464F28">
        <w:rPr>
          <w:lang w:val="en-US"/>
        </w:rPr>
        <w:t>ml</w:t>
      </w:r>
      <w:r w:rsidRPr="00464F28">
        <w:rPr>
          <w:lang w:val="ru-RU"/>
        </w:rPr>
        <w:t xml:space="preserve"> </w:t>
      </w:r>
      <w:r w:rsidRPr="00464F28">
        <w:rPr>
          <w:lang w:eastAsia="bg-BG"/>
        </w:rPr>
        <w:t>инжекционен разтвор или концентрат за инфузионен разтвор</w:t>
      </w:r>
    </w:p>
    <w:p w14:paraId="6F495B93" w14:textId="2F0E5E01" w:rsidR="00464F28" w:rsidRPr="00464F28" w:rsidRDefault="00464F28" w:rsidP="00464F28">
      <w:proofErr w:type="spellStart"/>
      <w:r w:rsidRPr="00464F28">
        <w:rPr>
          <w:lang w:val="en-US"/>
        </w:rPr>
        <w:t>Dexketoprofen</w:t>
      </w:r>
      <w:proofErr w:type="spellEnd"/>
      <w:r w:rsidRPr="00464F28">
        <w:rPr>
          <w:lang w:val="en-US"/>
        </w:rPr>
        <w:t xml:space="preserve"> </w:t>
      </w:r>
      <w:proofErr w:type="spellStart"/>
      <w:r w:rsidRPr="00464F28">
        <w:rPr>
          <w:lang w:val="en-US"/>
        </w:rPr>
        <w:t>Rompharm</w:t>
      </w:r>
      <w:proofErr w:type="spellEnd"/>
      <w:r w:rsidRPr="00464F28">
        <w:rPr>
          <w:lang w:val="en-US"/>
        </w:rPr>
        <w:t xml:space="preserve"> </w:t>
      </w:r>
      <w:r w:rsidRPr="00464F28">
        <w:rPr>
          <w:lang w:eastAsia="bg-BG"/>
        </w:rPr>
        <w:t xml:space="preserve">50 </w:t>
      </w:r>
      <w:r>
        <w:rPr>
          <w:lang w:val="en-US"/>
        </w:rPr>
        <w:t>mg/</w:t>
      </w:r>
      <w:proofErr w:type="gramStart"/>
      <w:r>
        <w:rPr>
          <w:lang w:val="en-US"/>
        </w:rPr>
        <w:t>2</w:t>
      </w:r>
      <w:proofErr w:type="gramEnd"/>
      <w:r>
        <w:t xml:space="preserve"> </w:t>
      </w:r>
      <w:r w:rsidRPr="00464F28">
        <w:rPr>
          <w:lang w:val="en-US"/>
        </w:rPr>
        <w:t>ml solution for injection or concentrate for solution for infusion</w:t>
      </w:r>
    </w:p>
    <w:p w14:paraId="0A368469" w14:textId="04BA2EE0" w:rsidR="00C0049F" w:rsidRDefault="00DD466D" w:rsidP="009F1313">
      <w:pPr>
        <w:pStyle w:val="Heading1"/>
      </w:pPr>
      <w:r>
        <w:t>2. КАЧЕСТВЕН И КОЛИЧЕСТВЕН СЪСТАВ</w:t>
      </w:r>
    </w:p>
    <w:p w14:paraId="75A4F7B3" w14:textId="54BF944C" w:rsidR="00464F28" w:rsidRDefault="00464F28" w:rsidP="00464F28"/>
    <w:p w14:paraId="4440BAD9" w14:textId="77777777" w:rsidR="00464F28" w:rsidRPr="00464F28" w:rsidRDefault="00464F28" w:rsidP="00464F28">
      <w:pPr>
        <w:rPr>
          <w:sz w:val="24"/>
          <w:szCs w:val="24"/>
        </w:rPr>
      </w:pPr>
      <w:r w:rsidRPr="00464F28">
        <w:rPr>
          <w:lang w:eastAsia="bg-BG"/>
        </w:rPr>
        <w:t xml:space="preserve">Всяка ампула от 2 </w:t>
      </w:r>
      <w:r w:rsidRPr="00464F28">
        <w:rPr>
          <w:lang w:val="en-US"/>
        </w:rPr>
        <w:t>ml</w:t>
      </w:r>
      <w:r w:rsidRPr="00464F28">
        <w:t xml:space="preserve"> </w:t>
      </w:r>
      <w:r w:rsidRPr="00464F28">
        <w:rPr>
          <w:lang w:eastAsia="bg-BG"/>
        </w:rPr>
        <w:t xml:space="preserve">съдържа 50 </w:t>
      </w:r>
      <w:r w:rsidRPr="00464F28">
        <w:rPr>
          <w:lang w:val="en-US"/>
        </w:rPr>
        <w:t>mg</w:t>
      </w:r>
      <w:r w:rsidRPr="00464F28">
        <w:t xml:space="preserve"> </w:t>
      </w:r>
      <w:r w:rsidRPr="00464F28">
        <w:rPr>
          <w:lang w:eastAsia="bg-BG"/>
        </w:rPr>
        <w:t xml:space="preserve">декскетопрофен </w:t>
      </w:r>
      <w:r w:rsidRPr="00464F28">
        <w:t>(</w:t>
      </w:r>
      <w:proofErr w:type="spellStart"/>
      <w:r w:rsidRPr="00464F28">
        <w:rPr>
          <w:lang w:val="en-US"/>
        </w:rPr>
        <w:t>dexketoprofen</w:t>
      </w:r>
      <w:proofErr w:type="spellEnd"/>
      <w:r w:rsidRPr="00464F28">
        <w:t xml:space="preserve">) </w:t>
      </w:r>
      <w:r w:rsidRPr="00464F28">
        <w:rPr>
          <w:lang w:eastAsia="bg-BG"/>
        </w:rPr>
        <w:t xml:space="preserve">(като декскетопрофен трометамол, </w:t>
      </w:r>
      <w:proofErr w:type="spellStart"/>
      <w:r w:rsidRPr="00464F28">
        <w:rPr>
          <w:lang w:val="en-US"/>
        </w:rPr>
        <w:t>dexketoprofen</w:t>
      </w:r>
      <w:proofErr w:type="spellEnd"/>
      <w:r w:rsidRPr="00464F28">
        <w:t xml:space="preserve"> </w:t>
      </w:r>
      <w:r w:rsidRPr="00464F28">
        <w:rPr>
          <w:lang w:val="en-US"/>
        </w:rPr>
        <w:t>trometamol</w:t>
      </w:r>
      <w:r w:rsidRPr="00464F28">
        <w:t>).</w:t>
      </w:r>
    </w:p>
    <w:p w14:paraId="024CDCE5" w14:textId="77777777" w:rsidR="00464F28" w:rsidRPr="00464F28" w:rsidRDefault="00464F28" w:rsidP="00464F28">
      <w:pPr>
        <w:rPr>
          <w:sz w:val="24"/>
          <w:szCs w:val="24"/>
        </w:rPr>
      </w:pPr>
      <w:r w:rsidRPr="00464F28">
        <w:rPr>
          <w:lang w:eastAsia="bg-BG"/>
        </w:rPr>
        <w:t xml:space="preserve">Всеки </w:t>
      </w:r>
      <w:r w:rsidRPr="00464F28">
        <w:rPr>
          <w:lang w:val="en-US"/>
        </w:rPr>
        <w:t>ml</w:t>
      </w:r>
      <w:r w:rsidRPr="00464F28">
        <w:t xml:space="preserve"> </w:t>
      </w:r>
      <w:r w:rsidRPr="00464F28">
        <w:rPr>
          <w:lang w:eastAsia="bg-BG"/>
        </w:rPr>
        <w:t xml:space="preserve">от разтвора съдържа 25 </w:t>
      </w:r>
      <w:r w:rsidRPr="00464F28">
        <w:rPr>
          <w:lang w:val="en-US"/>
        </w:rPr>
        <w:t>mg</w:t>
      </w:r>
      <w:r w:rsidRPr="00464F28">
        <w:t xml:space="preserve"> </w:t>
      </w:r>
      <w:r w:rsidRPr="00464F28">
        <w:rPr>
          <w:lang w:eastAsia="bg-BG"/>
        </w:rPr>
        <w:t xml:space="preserve">декскетопрофен </w:t>
      </w:r>
      <w:r w:rsidRPr="00464F28">
        <w:t>(</w:t>
      </w:r>
      <w:proofErr w:type="spellStart"/>
      <w:r w:rsidRPr="00464F28">
        <w:rPr>
          <w:lang w:val="en-US"/>
        </w:rPr>
        <w:t>dexketoprofen</w:t>
      </w:r>
      <w:proofErr w:type="spellEnd"/>
      <w:r w:rsidRPr="00464F28">
        <w:t xml:space="preserve">) </w:t>
      </w:r>
      <w:r w:rsidRPr="00464F28">
        <w:rPr>
          <w:lang w:eastAsia="bg-BG"/>
        </w:rPr>
        <w:t xml:space="preserve">(като декскетопрофен трометамол, </w:t>
      </w:r>
      <w:proofErr w:type="spellStart"/>
      <w:r w:rsidRPr="00464F28">
        <w:rPr>
          <w:lang w:val="en-US"/>
        </w:rPr>
        <w:t>dexketoprofen</w:t>
      </w:r>
      <w:proofErr w:type="spellEnd"/>
      <w:r w:rsidRPr="00464F28">
        <w:t xml:space="preserve"> </w:t>
      </w:r>
      <w:r w:rsidRPr="00464F28">
        <w:rPr>
          <w:lang w:val="en-US"/>
        </w:rPr>
        <w:t>trometamol</w:t>
      </w:r>
      <w:r w:rsidRPr="00464F28">
        <w:t>).</w:t>
      </w:r>
    </w:p>
    <w:p w14:paraId="59C2EA4C" w14:textId="77777777" w:rsidR="00464F28" w:rsidRPr="00464F28" w:rsidRDefault="00464F28" w:rsidP="00464F28">
      <w:pPr>
        <w:rPr>
          <w:sz w:val="24"/>
          <w:szCs w:val="24"/>
        </w:rPr>
      </w:pPr>
      <w:r w:rsidRPr="00464F28">
        <w:rPr>
          <w:lang w:eastAsia="bg-BG"/>
        </w:rPr>
        <w:t xml:space="preserve">Помощни вещества с известно действие: Всеки </w:t>
      </w:r>
      <w:r w:rsidRPr="00464F28">
        <w:rPr>
          <w:lang w:val="en-US"/>
        </w:rPr>
        <w:t>ml</w:t>
      </w:r>
      <w:r w:rsidRPr="00464F28">
        <w:rPr>
          <w:lang w:val="ru-RU"/>
        </w:rPr>
        <w:t xml:space="preserve"> </w:t>
      </w:r>
      <w:r w:rsidRPr="00464F28">
        <w:rPr>
          <w:lang w:eastAsia="bg-BG"/>
        </w:rPr>
        <w:t xml:space="preserve">от разтвора съдържа 100 </w:t>
      </w:r>
      <w:r w:rsidRPr="00464F28">
        <w:rPr>
          <w:lang w:val="en-US"/>
        </w:rPr>
        <w:t>mg</w:t>
      </w:r>
      <w:r w:rsidRPr="00464F28">
        <w:rPr>
          <w:lang w:val="ru-RU"/>
        </w:rPr>
        <w:t xml:space="preserve"> </w:t>
      </w:r>
      <w:r w:rsidRPr="00464F28">
        <w:rPr>
          <w:lang w:eastAsia="bg-BG"/>
        </w:rPr>
        <w:t xml:space="preserve">етанол (96 процентен) и 0,08 </w:t>
      </w:r>
      <w:proofErr w:type="spellStart"/>
      <w:r w:rsidRPr="00464F28">
        <w:rPr>
          <w:lang w:val="en-US"/>
        </w:rPr>
        <w:t>mmol</w:t>
      </w:r>
      <w:proofErr w:type="spellEnd"/>
      <w:r w:rsidRPr="00464F28">
        <w:rPr>
          <w:lang w:val="ru-RU"/>
        </w:rPr>
        <w:t xml:space="preserve"> </w:t>
      </w:r>
      <w:r w:rsidRPr="00464F28">
        <w:rPr>
          <w:lang w:eastAsia="bg-BG"/>
        </w:rPr>
        <w:t>натрий.</w:t>
      </w:r>
    </w:p>
    <w:p w14:paraId="54A914A1" w14:textId="77777777" w:rsidR="00464F28" w:rsidRPr="00464F28" w:rsidRDefault="00464F28" w:rsidP="00464F28"/>
    <w:p w14:paraId="614984C4" w14:textId="5539115F" w:rsidR="008A6AF2" w:rsidRDefault="00DD466D" w:rsidP="002C50EE">
      <w:pPr>
        <w:pStyle w:val="Heading1"/>
      </w:pPr>
      <w:r>
        <w:t>3. ЛЕКАРСТВЕНА ФОРМА</w:t>
      </w:r>
    </w:p>
    <w:p w14:paraId="095C4E85" w14:textId="353CF219" w:rsidR="00464F28" w:rsidRDefault="00464F28" w:rsidP="00464F28"/>
    <w:p w14:paraId="54CC7B71" w14:textId="77777777" w:rsidR="00464F28" w:rsidRPr="00464F28" w:rsidRDefault="00464F28" w:rsidP="00464F28">
      <w:pPr>
        <w:rPr>
          <w:sz w:val="24"/>
          <w:szCs w:val="24"/>
        </w:rPr>
      </w:pPr>
      <w:r w:rsidRPr="00464F28">
        <w:rPr>
          <w:lang w:eastAsia="bg-BG"/>
        </w:rPr>
        <w:t xml:space="preserve">Инжекционен разтвор или концентрат за инфузионен разтвор Бистър и безцветен разтвор свободен от видими частици </w:t>
      </w:r>
      <w:r w:rsidRPr="00464F28">
        <w:rPr>
          <w:lang w:val="en-US"/>
        </w:rPr>
        <w:t>pH</w:t>
      </w:r>
      <w:r w:rsidRPr="00464F28">
        <w:rPr>
          <w:lang w:val="ru-RU"/>
        </w:rPr>
        <w:t xml:space="preserve"> </w:t>
      </w:r>
      <w:r w:rsidRPr="00464F28">
        <w:rPr>
          <w:lang w:eastAsia="bg-BG"/>
        </w:rPr>
        <w:t>(6,5-8,5)</w:t>
      </w:r>
    </w:p>
    <w:p w14:paraId="43A86EC0" w14:textId="77777777" w:rsidR="00464F28" w:rsidRPr="00464F28" w:rsidRDefault="00464F28" w:rsidP="00464F28">
      <w:pPr>
        <w:rPr>
          <w:sz w:val="24"/>
          <w:szCs w:val="24"/>
        </w:rPr>
      </w:pPr>
      <w:r w:rsidRPr="00464F28">
        <w:rPr>
          <w:lang w:eastAsia="bg-BG"/>
        </w:rPr>
        <w:t xml:space="preserve">Осмолалитет (270-330 </w:t>
      </w:r>
      <w:proofErr w:type="spellStart"/>
      <w:r w:rsidRPr="00464F28">
        <w:rPr>
          <w:lang w:val="en-US"/>
        </w:rPr>
        <w:t>mOsmoI</w:t>
      </w:r>
      <w:proofErr w:type="spellEnd"/>
      <w:r w:rsidRPr="00464F28">
        <w:rPr>
          <w:lang w:val="en-US"/>
        </w:rPr>
        <w:t>/kg).</w:t>
      </w:r>
    </w:p>
    <w:p w14:paraId="7E20823E" w14:textId="77777777" w:rsidR="00464F28" w:rsidRPr="00464F28" w:rsidRDefault="00464F28" w:rsidP="00464F28"/>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2FAD8747" w:rsidR="00395555" w:rsidRDefault="00395555" w:rsidP="00395555"/>
    <w:p w14:paraId="1CC0FAB9" w14:textId="77777777" w:rsidR="00464F28" w:rsidRPr="00464F28" w:rsidRDefault="00464F28" w:rsidP="00464F28">
      <w:pPr>
        <w:rPr>
          <w:sz w:val="24"/>
          <w:szCs w:val="24"/>
        </w:rPr>
      </w:pPr>
      <w:r w:rsidRPr="00464F28">
        <w:rPr>
          <w:lang w:eastAsia="bg-BG"/>
        </w:rPr>
        <w:t>Симптоматично лечение на остра, умерена до силна болка, например постоперативна болка, бъбречна колика, болки в гърба, когато пероралното приложение не е подходящо.</w:t>
      </w:r>
    </w:p>
    <w:p w14:paraId="2F2B8C3B" w14:textId="77777777" w:rsidR="00464F28" w:rsidRPr="00395555" w:rsidRDefault="00464F28" w:rsidP="00395555"/>
    <w:p w14:paraId="7C0CA5EB" w14:textId="325F57A3" w:rsidR="00C0049F" w:rsidRDefault="002C50EE" w:rsidP="009F1313">
      <w:pPr>
        <w:pStyle w:val="Heading2"/>
      </w:pPr>
      <w:r>
        <w:t>4.2. Дозировка и начин на приложение</w:t>
      </w:r>
    </w:p>
    <w:p w14:paraId="0EB1C62F" w14:textId="550CB4DE" w:rsidR="00464F28" w:rsidRDefault="00464F28" w:rsidP="00464F28"/>
    <w:p w14:paraId="10646591" w14:textId="77777777" w:rsidR="00464F28" w:rsidRPr="00464F28" w:rsidRDefault="00464F28" w:rsidP="00464F28">
      <w:pPr>
        <w:pStyle w:val="Heading3"/>
        <w:rPr>
          <w:rFonts w:eastAsia="Times New Roman"/>
          <w:sz w:val="12"/>
          <w:u w:val="single"/>
        </w:rPr>
      </w:pPr>
      <w:r w:rsidRPr="00464F28">
        <w:rPr>
          <w:rFonts w:eastAsia="Times New Roman"/>
          <w:u w:val="single"/>
          <w:lang w:eastAsia="bg-BG"/>
        </w:rPr>
        <w:t>Дозировка</w:t>
      </w:r>
    </w:p>
    <w:p w14:paraId="76991D33"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 xml:space="preserve">Препоръчителната доза е 50 </w:t>
      </w:r>
      <w:r w:rsidRPr="00464F28">
        <w:rPr>
          <w:rFonts w:eastAsia="Times New Roman" w:cs="Arial"/>
          <w:color w:val="000000"/>
          <w:szCs w:val="42"/>
          <w:lang w:val="en-US"/>
        </w:rPr>
        <w:t>mg</w:t>
      </w:r>
      <w:r w:rsidRPr="00464F28">
        <w:rPr>
          <w:rFonts w:eastAsia="Times New Roman" w:cs="Arial"/>
          <w:color w:val="000000"/>
          <w:szCs w:val="42"/>
          <w:lang w:val="ru-RU"/>
        </w:rPr>
        <w:t xml:space="preserve"> </w:t>
      </w:r>
      <w:r w:rsidRPr="00464F28">
        <w:rPr>
          <w:rFonts w:eastAsia="Times New Roman" w:cs="Arial"/>
          <w:color w:val="000000"/>
          <w:szCs w:val="42"/>
          <w:lang w:eastAsia="bg-BG"/>
        </w:rPr>
        <w:t xml:space="preserve">на всеки 8-12 часа. При необходимост приложението може да се повтори след 6 часа. Общата дневна доза не трябва да надвишава 150 </w:t>
      </w:r>
      <w:r w:rsidRPr="00464F28">
        <w:rPr>
          <w:rFonts w:eastAsia="Times New Roman" w:cs="Arial"/>
          <w:color w:val="000000"/>
          <w:szCs w:val="42"/>
          <w:lang w:val="en-US"/>
        </w:rPr>
        <w:t>mg</w:t>
      </w:r>
      <w:r w:rsidRPr="00464F28">
        <w:rPr>
          <w:rFonts w:eastAsia="Times New Roman" w:cs="Arial"/>
          <w:color w:val="000000"/>
          <w:szCs w:val="42"/>
          <w:lang w:val="ru-RU"/>
        </w:rPr>
        <w:t>.</w:t>
      </w:r>
    </w:p>
    <w:p w14:paraId="43640E95" w14:textId="77777777" w:rsidR="00464F28" w:rsidRPr="00464F28" w:rsidRDefault="00464F28" w:rsidP="00464F28">
      <w:pPr>
        <w:spacing w:line="240" w:lineRule="auto"/>
        <w:rPr>
          <w:rFonts w:eastAsia="Times New Roman" w:cs="Arial"/>
          <w:color w:val="000000"/>
          <w:szCs w:val="42"/>
          <w:lang w:eastAsia="bg-BG"/>
        </w:rPr>
      </w:pPr>
    </w:p>
    <w:p w14:paraId="6B023033" w14:textId="02EC6ED2"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 xml:space="preserve">Декскетопрофен Ромфарм 50 </w:t>
      </w:r>
      <w:r w:rsidRPr="00464F28">
        <w:rPr>
          <w:rFonts w:eastAsia="Times New Roman" w:cs="Arial"/>
          <w:color w:val="000000"/>
          <w:szCs w:val="42"/>
          <w:lang w:val="en-US"/>
        </w:rPr>
        <w:t>mg</w:t>
      </w:r>
      <w:r w:rsidRPr="00464F28">
        <w:rPr>
          <w:rFonts w:eastAsia="Times New Roman" w:cs="Arial"/>
          <w:color w:val="000000"/>
          <w:szCs w:val="42"/>
          <w:lang w:val="ru-RU"/>
        </w:rPr>
        <w:t xml:space="preserve">/2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инжекционен разтвор или концентрат за инфузионен разтвор е предназначен за краткосрочно лечение и приложението му трябва да се ограничи само в острия симптоматичен период (не повече от два дни). При възможност трябва да се премине на перорална аналгетична терапия.</w:t>
      </w:r>
    </w:p>
    <w:p w14:paraId="4E000C56"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lastRenderedPageBreak/>
        <w:t>Нежеланите лекарствени реакции могат да бъдат намалени, като за контролиране на симптомите се използва възможно най-ниската ефективна доза за най-кратък период от време (вж. точка 4.4).</w:t>
      </w:r>
    </w:p>
    <w:p w14:paraId="6B32F6C1" w14:textId="77777777" w:rsidR="00464F28" w:rsidRPr="00464F28" w:rsidRDefault="00464F28" w:rsidP="00464F28">
      <w:pPr>
        <w:spacing w:line="240" w:lineRule="auto"/>
        <w:rPr>
          <w:rFonts w:eastAsia="Times New Roman" w:cs="Arial"/>
          <w:color w:val="000000"/>
          <w:szCs w:val="42"/>
          <w:lang w:eastAsia="bg-BG"/>
        </w:rPr>
      </w:pPr>
    </w:p>
    <w:p w14:paraId="18D8D823" w14:textId="77777777" w:rsidR="00464F28" w:rsidRPr="00464F28" w:rsidRDefault="00464F28" w:rsidP="00464F28">
      <w:pPr>
        <w:rPr>
          <w:rFonts w:eastAsia="Times New Roman" w:cs="Arial"/>
          <w:sz w:val="12"/>
          <w:szCs w:val="24"/>
        </w:rPr>
      </w:pPr>
      <w:r w:rsidRPr="00464F28">
        <w:rPr>
          <w:rFonts w:eastAsia="Times New Roman" w:cs="Arial"/>
          <w:color w:val="000000"/>
          <w:szCs w:val="42"/>
          <w:lang w:eastAsia="bg-BG"/>
        </w:rPr>
        <w:t xml:space="preserve">При умерена до силна постоперативна болка, Декскетопрофен Ромфарм 50 </w:t>
      </w:r>
      <w:r w:rsidRPr="00464F28">
        <w:rPr>
          <w:rFonts w:eastAsia="Times New Roman" w:cs="Arial"/>
          <w:color w:val="000000"/>
          <w:szCs w:val="42"/>
          <w:lang w:val="en-US"/>
        </w:rPr>
        <w:t>mg</w:t>
      </w:r>
      <w:r w:rsidRPr="00464F28">
        <w:rPr>
          <w:rFonts w:eastAsia="Times New Roman" w:cs="Arial"/>
          <w:color w:val="000000"/>
          <w:szCs w:val="42"/>
          <w:lang w:val="ru-RU"/>
        </w:rPr>
        <w:t>/2</w:t>
      </w:r>
      <w:r w:rsidRPr="00464F28">
        <w:rPr>
          <w:rFonts w:eastAsia="Times New Roman" w:cs="Arial"/>
          <w:color w:val="000000"/>
          <w:szCs w:val="42"/>
          <w:lang w:val="en-US"/>
        </w:rPr>
        <w:t>ml</w:t>
      </w:r>
      <w:r w:rsidRPr="00464F28">
        <w:rPr>
          <w:rFonts w:eastAsia="Times New Roman" w:cs="Arial"/>
          <w:color w:val="000000"/>
          <w:szCs w:val="42"/>
          <w:lang w:eastAsia="bg-BG"/>
        </w:rPr>
        <w:t xml:space="preserve"> инжекционен разтвор или концентрат за инфузионен разтвор може да</w:t>
      </w:r>
      <w:r w:rsidRPr="00464F28">
        <w:rPr>
          <w:rFonts w:eastAsia="Times New Roman" w:cs="Arial"/>
          <w:color w:val="000000"/>
          <w:szCs w:val="42"/>
          <w:lang w:val="ru-RU"/>
        </w:rPr>
        <w:t xml:space="preserve"> </w:t>
      </w:r>
      <w:r w:rsidRPr="00464F28">
        <w:rPr>
          <w:rFonts w:eastAsia="Times New Roman" w:cs="Arial"/>
          <w:color w:val="000000"/>
          <w:szCs w:val="42"/>
          <w:lang w:eastAsia="bg-BG"/>
        </w:rPr>
        <w:t>се комбинира с опиоиден аналгетик, ако е показан, в същата дозировка, която се препоръчва и за възрастни пациенти (вж. точка 5.1).</w:t>
      </w:r>
    </w:p>
    <w:p w14:paraId="25055643" w14:textId="77777777" w:rsidR="00464F28" w:rsidRPr="00464F28" w:rsidRDefault="00464F28" w:rsidP="00464F28">
      <w:pPr>
        <w:spacing w:line="240" w:lineRule="auto"/>
        <w:rPr>
          <w:rFonts w:eastAsia="Times New Roman" w:cs="Arial"/>
          <w:color w:val="000000"/>
          <w:szCs w:val="42"/>
          <w:u w:val="single"/>
          <w:lang w:eastAsia="bg-BG"/>
        </w:rPr>
      </w:pPr>
    </w:p>
    <w:p w14:paraId="51E878F3" w14:textId="61D78B3C"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u w:val="single"/>
          <w:lang w:eastAsia="bg-BG"/>
        </w:rPr>
        <w:t>Нарушена чернодробна функция</w:t>
      </w:r>
    </w:p>
    <w:p w14:paraId="5E74F1FE" w14:textId="36D2B3C5"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 xml:space="preserve">При пациенти с леко до умерено чернодробно увреждане (резултат от 5 до 9 по </w:t>
      </w:r>
      <w:r w:rsidRPr="00464F28">
        <w:rPr>
          <w:rFonts w:eastAsia="Times New Roman" w:cs="Arial"/>
          <w:color w:val="000000"/>
          <w:szCs w:val="42"/>
          <w:lang w:val="en-US"/>
        </w:rPr>
        <w:t>Child</w:t>
      </w:r>
      <w:r w:rsidRPr="00464F28">
        <w:rPr>
          <w:rFonts w:eastAsia="Times New Roman" w:cs="Arial"/>
          <w:color w:val="000000"/>
          <w:szCs w:val="42"/>
          <w:lang w:val="ru-RU"/>
        </w:rPr>
        <w:t>-</w:t>
      </w:r>
      <w:r w:rsidRPr="00464F28">
        <w:rPr>
          <w:rFonts w:eastAsia="Times New Roman" w:cs="Arial"/>
          <w:color w:val="000000"/>
          <w:szCs w:val="42"/>
          <w:lang w:val="en-US"/>
        </w:rPr>
        <w:t>Pugh</w:t>
      </w:r>
      <w:r w:rsidRPr="00464F28">
        <w:rPr>
          <w:rFonts w:eastAsia="Times New Roman" w:cs="Arial"/>
          <w:color w:val="000000"/>
          <w:szCs w:val="42"/>
          <w:lang w:val="ru-RU"/>
        </w:rPr>
        <w:t xml:space="preserve">), </w:t>
      </w:r>
      <w:r w:rsidRPr="00464F28">
        <w:rPr>
          <w:rFonts w:eastAsia="Times New Roman" w:cs="Arial"/>
          <w:color w:val="000000"/>
          <w:szCs w:val="42"/>
          <w:lang w:eastAsia="bg-BG"/>
        </w:rPr>
        <w:t xml:space="preserve">дозата трябва да се намали до 50 </w:t>
      </w:r>
      <w:r w:rsidRPr="00464F28">
        <w:rPr>
          <w:rFonts w:eastAsia="Times New Roman" w:cs="Arial"/>
          <w:color w:val="000000"/>
          <w:szCs w:val="42"/>
          <w:lang w:val="en-US"/>
        </w:rPr>
        <w:t>mg</w:t>
      </w:r>
      <w:r w:rsidRPr="00464F28">
        <w:rPr>
          <w:rFonts w:eastAsia="Times New Roman" w:cs="Arial"/>
          <w:color w:val="000000"/>
          <w:szCs w:val="42"/>
          <w:lang w:val="ru-RU"/>
        </w:rPr>
        <w:t xml:space="preserve"> </w:t>
      </w:r>
      <w:r w:rsidRPr="00464F28">
        <w:rPr>
          <w:rFonts w:eastAsia="Times New Roman" w:cs="Arial"/>
          <w:color w:val="000000"/>
          <w:szCs w:val="42"/>
          <w:lang w:eastAsia="bg-BG"/>
        </w:rPr>
        <w:t xml:space="preserve">обща дневна доза при редовно проследяване на чернодробната функция (вж. точка 4.4). Декскетопрофен Ромфарм 50 </w:t>
      </w:r>
      <w:r w:rsidRPr="00464F28">
        <w:rPr>
          <w:rFonts w:eastAsia="Times New Roman" w:cs="Arial"/>
          <w:color w:val="000000"/>
          <w:szCs w:val="42"/>
          <w:lang w:val="en-US"/>
        </w:rPr>
        <w:t>mg</w:t>
      </w:r>
      <w:r w:rsidRPr="00464F28">
        <w:rPr>
          <w:rFonts w:eastAsia="Times New Roman" w:cs="Arial"/>
          <w:color w:val="000000"/>
          <w:szCs w:val="42"/>
          <w:lang w:val="ru-RU"/>
        </w:rPr>
        <w:t xml:space="preserve">/2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 xml:space="preserve">инжекционен разтвор или концентрат за инфузионен разтвор не трябва да се използва при пациенти с тежко нарушена чернодробна функция (резултат от 10 до 15 по </w:t>
      </w:r>
      <w:r w:rsidRPr="00464F28">
        <w:rPr>
          <w:rFonts w:eastAsia="Times New Roman" w:cs="Arial"/>
          <w:color w:val="000000"/>
          <w:szCs w:val="42"/>
          <w:lang w:val="en-US"/>
        </w:rPr>
        <w:t>Child</w:t>
      </w:r>
      <w:r w:rsidRPr="00464F28">
        <w:rPr>
          <w:rFonts w:eastAsia="Times New Roman" w:cs="Arial"/>
          <w:color w:val="000000"/>
          <w:szCs w:val="42"/>
          <w:lang w:val="ru-RU"/>
        </w:rPr>
        <w:t>-</w:t>
      </w:r>
      <w:r w:rsidRPr="00464F28">
        <w:rPr>
          <w:rFonts w:eastAsia="Times New Roman" w:cs="Arial"/>
          <w:color w:val="000000"/>
          <w:szCs w:val="42"/>
          <w:lang w:val="en-US"/>
        </w:rPr>
        <w:t>Pugh</w:t>
      </w:r>
      <w:r w:rsidRPr="00464F28">
        <w:rPr>
          <w:rFonts w:eastAsia="Times New Roman" w:cs="Arial"/>
          <w:color w:val="000000"/>
          <w:szCs w:val="42"/>
          <w:lang w:val="ru-RU"/>
        </w:rPr>
        <w:t xml:space="preserve">) </w:t>
      </w:r>
      <w:r w:rsidRPr="00464F28">
        <w:rPr>
          <w:rFonts w:eastAsia="Times New Roman" w:cs="Arial"/>
          <w:color w:val="000000"/>
          <w:szCs w:val="42"/>
          <w:lang w:eastAsia="bg-BG"/>
        </w:rPr>
        <w:t>(вж. точка 4.3).</w:t>
      </w:r>
    </w:p>
    <w:p w14:paraId="2CEED7BF" w14:textId="77777777" w:rsidR="00464F28" w:rsidRPr="00464F28" w:rsidRDefault="00464F28" w:rsidP="00464F28">
      <w:pPr>
        <w:spacing w:line="240" w:lineRule="auto"/>
        <w:rPr>
          <w:rFonts w:eastAsia="Times New Roman" w:cs="Arial"/>
          <w:color w:val="000000"/>
          <w:szCs w:val="42"/>
          <w:u w:val="single"/>
          <w:lang w:eastAsia="bg-BG"/>
        </w:rPr>
      </w:pPr>
    </w:p>
    <w:p w14:paraId="477496CF" w14:textId="1393ECC4"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u w:val="single"/>
          <w:lang w:eastAsia="bg-BG"/>
        </w:rPr>
        <w:t>Нарушена бъбречна функция</w:t>
      </w:r>
    </w:p>
    <w:p w14:paraId="6AB7A660" w14:textId="77777777" w:rsidR="00464F28" w:rsidRPr="00464F28" w:rsidRDefault="00464F28" w:rsidP="00464F28">
      <w:pPr>
        <w:spacing w:line="240" w:lineRule="auto"/>
        <w:rPr>
          <w:rFonts w:eastAsia="Times New Roman" w:cs="Arial"/>
          <w:color w:val="000000"/>
          <w:szCs w:val="42"/>
          <w:lang w:eastAsia="bg-BG"/>
        </w:rPr>
      </w:pPr>
    </w:p>
    <w:p w14:paraId="5ECA4E80" w14:textId="4C4769EE"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 xml:space="preserve">При пациенти с леко нарушена бъбречна функция (креатининов клирънс </w:t>
      </w:r>
      <w:r w:rsidRPr="00464F28">
        <w:rPr>
          <w:rFonts w:eastAsia="Times New Roman" w:cs="Arial"/>
          <w:color w:val="000000"/>
          <w:szCs w:val="42"/>
          <w:lang w:val="ru-RU"/>
        </w:rPr>
        <w:t>50-80</w:t>
      </w:r>
      <w:r w:rsidRPr="00464F28">
        <w:rPr>
          <w:rFonts w:eastAsia="Times New Roman" w:cs="Arial"/>
          <w:color w:val="000000"/>
          <w:szCs w:val="42"/>
          <w:lang w:val="en-US"/>
        </w:rPr>
        <w:t>ml</w:t>
      </w:r>
      <w:r w:rsidRPr="00464F28">
        <w:rPr>
          <w:rFonts w:eastAsia="Times New Roman" w:cs="Arial"/>
          <w:color w:val="000000"/>
          <w:szCs w:val="42"/>
          <w:lang w:val="ru-RU"/>
        </w:rPr>
        <w:t>/</w:t>
      </w:r>
      <w:r w:rsidRPr="00464F28">
        <w:rPr>
          <w:rFonts w:eastAsia="Times New Roman" w:cs="Arial"/>
          <w:color w:val="000000"/>
          <w:szCs w:val="42"/>
          <w:lang w:val="en-US"/>
        </w:rPr>
        <w:t>min</w:t>
      </w:r>
      <w:r w:rsidRPr="00464F28">
        <w:rPr>
          <w:rFonts w:eastAsia="Times New Roman" w:cs="Arial"/>
          <w:color w:val="000000"/>
          <w:szCs w:val="42"/>
          <w:lang w:val="ru-RU"/>
        </w:rPr>
        <w:t xml:space="preserve">), </w:t>
      </w:r>
      <w:r w:rsidRPr="00464F28">
        <w:rPr>
          <w:rFonts w:eastAsia="Times New Roman" w:cs="Arial"/>
          <w:color w:val="000000"/>
          <w:szCs w:val="42"/>
          <w:lang w:eastAsia="bg-BG"/>
        </w:rPr>
        <w:t xml:space="preserve">началната доза трябва да се намали до 50 </w:t>
      </w:r>
      <w:r w:rsidRPr="00464F28">
        <w:rPr>
          <w:rFonts w:eastAsia="Times New Roman" w:cs="Arial"/>
          <w:color w:val="000000"/>
          <w:szCs w:val="42"/>
          <w:lang w:val="en-US"/>
        </w:rPr>
        <w:t>mg</w:t>
      </w:r>
      <w:r w:rsidRPr="00464F28">
        <w:rPr>
          <w:rFonts w:eastAsia="Times New Roman" w:cs="Arial"/>
          <w:color w:val="000000"/>
          <w:szCs w:val="42"/>
          <w:lang w:val="ru-RU"/>
        </w:rPr>
        <w:t xml:space="preserve"> </w:t>
      </w:r>
      <w:r w:rsidRPr="00464F28">
        <w:rPr>
          <w:rFonts w:eastAsia="Times New Roman" w:cs="Arial"/>
          <w:color w:val="000000"/>
          <w:szCs w:val="42"/>
          <w:lang w:eastAsia="bg-BG"/>
        </w:rPr>
        <w:t xml:space="preserve">обща дневна доза (вж. точка 4.4). Декскетопрофен Ромфарм 50 </w:t>
      </w:r>
      <w:r w:rsidRPr="00464F28">
        <w:rPr>
          <w:rFonts w:eastAsia="Times New Roman" w:cs="Arial"/>
          <w:color w:val="000000"/>
          <w:szCs w:val="42"/>
          <w:lang w:val="en-US"/>
        </w:rPr>
        <w:t>mg</w:t>
      </w:r>
      <w:r w:rsidRPr="00464F28">
        <w:rPr>
          <w:rFonts w:eastAsia="Times New Roman" w:cs="Arial"/>
          <w:color w:val="000000"/>
          <w:szCs w:val="42"/>
          <w:lang w:val="ru-RU"/>
        </w:rPr>
        <w:t xml:space="preserve">/2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proofErr w:type="spellStart"/>
      <w:r w:rsidRPr="00464F28">
        <w:rPr>
          <w:rFonts w:eastAsia="Times New Roman" w:cs="Arial"/>
          <w:color w:val="000000"/>
          <w:szCs w:val="42"/>
          <w:lang w:val="en-US"/>
        </w:rPr>
        <w:t>ml</w:t>
      </w:r>
      <w:proofErr w:type="spellEnd"/>
      <w:r w:rsidRPr="00464F28">
        <w:rPr>
          <w:rFonts w:eastAsia="Times New Roman" w:cs="Arial"/>
          <w:color w:val="000000"/>
          <w:szCs w:val="42"/>
          <w:lang w:val="ru-RU"/>
        </w:rPr>
        <w:t xml:space="preserve"> </w:t>
      </w:r>
      <w:r w:rsidRPr="00464F28">
        <w:rPr>
          <w:rFonts w:eastAsia="Times New Roman" w:cs="Arial"/>
          <w:color w:val="000000"/>
          <w:szCs w:val="42"/>
          <w:lang w:eastAsia="bg-BG"/>
        </w:rPr>
        <w:t xml:space="preserve">инжекционен разтвор или концентрат за инфузионен разтвор не трябва да се прилага при пациенти с умерено до тежко нарушена бъбречна функция (креатининов клирънс &lt;50 </w:t>
      </w:r>
      <w:r w:rsidRPr="00464F28">
        <w:rPr>
          <w:rFonts w:eastAsia="Times New Roman" w:cs="Arial"/>
          <w:color w:val="000000"/>
          <w:szCs w:val="42"/>
          <w:lang w:val="en-US"/>
        </w:rPr>
        <w:t>ml</w:t>
      </w:r>
      <w:r w:rsidRPr="00464F28">
        <w:rPr>
          <w:rFonts w:eastAsia="Times New Roman" w:cs="Arial"/>
          <w:color w:val="000000"/>
          <w:szCs w:val="42"/>
          <w:lang w:val="ru-RU"/>
        </w:rPr>
        <w:t>/</w:t>
      </w:r>
      <w:r w:rsidRPr="00464F28">
        <w:rPr>
          <w:rFonts w:eastAsia="Times New Roman" w:cs="Arial"/>
          <w:color w:val="000000"/>
          <w:szCs w:val="42"/>
          <w:lang w:val="en-US"/>
        </w:rPr>
        <w:t>min</w:t>
      </w:r>
      <w:r w:rsidRPr="00464F28">
        <w:rPr>
          <w:rFonts w:eastAsia="Times New Roman" w:cs="Arial"/>
          <w:color w:val="000000"/>
          <w:szCs w:val="42"/>
          <w:lang w:val="ru-RU"/>
        </w:rPr>
        <w:t xml:space="preserve">) </w:t>
      </w:r>
      <w:r w:rsidRPr="00464F28">
        <w:rPr>
          <w:rFonts w:eastAsia="Times New Roman" w:cs="Arial"/>
          <w:color w:val="000000"/>
          <w:szCs w:val="42"/>
          <w:lang w:eastAsia="bg-BG"/>
        </w:rPr>
        <w:t>(вж. точка 4.3).</w:t>
      </w:r>
    </w:p>
    <w:p w14:paraId="31B54E91" w14:textId="77777777" w:rsidR="00464F28" w:rsidRPr="00464F28" w:rsidRDefault="00464F28" w:rsidP="00464F28">
      <w:pPr>
        <w:spacing w:line="240" w:lineRule="auto"/>
        <w:rPr>
          <w:rFonts w:eastAsia="Times New Roman" w:cs="Arial"/>
          <w:color w:val="000000"/>
          <w:szCs w:val="42"/>
          <w:u w:val="single"/>
          <w:lang w:eastAsia="bg-BG"/>
        </w:rPr>
      </w:pPr>
    </w:p>
    <w:p w14:paraId="12327366" w14:textId="761228D4"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u w:val="single"/>
          <w:lang w:eastAsia="bg-BG"/>
        </w:rPr>
        <w:t>Пациенти в старческа възраст</w:t>
      </w:r>
    </w:p>
    <w:p w14:paraId="3481BCF0"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 xml:space="preserve">По принцип не се налага коригиране на дозата при пациенти в старческа възраст. Въпреки това, поради физиологично понижената бъбречна функция при пациенти в старческа възраст, при леко бъбречно увреждане се препоръчва по-ниска доза: 50 </w:t>
      </w:r>
      <w:r w:rsidRPr="00464F28">
        <w:rPr>
          <w:rFonts w:eastAsia="Times New Roman" w:cs="Arial"/>
          <w:color w:val="000000"/>
          <w:szCs w:val="42"/>
          <w:lang w:val="en-US"/>
        </w:rPr>
        <w:t>mg</w:t>
      </w:r>
      <w:r w:rsidRPr="00464F28">
        <w:rPr>
          <w:rFonts w:eastAsia="Times New Roman" w:cs="Arial"/>
          <w:color w:val="000000"/>
          <w:szCs w:val="42"/>
          <w:lang w:val="ru-RU"/>
        </w:rPr>
        <w:t xml:space="preserve"> </w:t>
      </w:r>
      <w:r w:rsidRPr="00464F28">
        <w:rPr>
          <w:rFonts w:eastAsia="Times New Roman" w:cs="Arial"/>
          <w:color w:val="000000"/>
          <w:szCs w:val="42"/>
          <w:lang w:eastAsia="bg-BG"/>
        </w:rPr>
        <w:t>обща дневна доза (вж. точка 4.4).</w:t>
      </w:r>
    </w:p>
    <w:p w14:paraId="6A5265A4" w14:textId="77777777" w:rsidR="00464F28" w:rsidRPr="00464F28" w:rsidRDefault="00464F28" w:rsidP="00464F28">
      <w:pPr>
        <w:spacing w:line="240" w:lineRule="auto"/>
        <w:rPr>
          <w:rFonts w:eastAsia="Times New Roman" w:cs="Arial"/>
          <w:color w:val="000000"/>
          <w:szCs w:val="42"/>
          <w:u w:val="single"/>
          <w:lang w:eastAsia="bg-BG"/>
        </w:rPr>
      </w:pPr>
    </w:p>
    <w:p w14:paraId="703A1575" w14:textId="4E0D2BB4"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u w:val="single"/>
          <w:lang w:eastAsia="bg-BG"/>
        </w:rPr>
        <w:t>Педиатрична популация</w:t>
      </w:r>
    </w:p>
    <w:p w14:paraId="7F561446"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 xml:space="preserve">Безопасността и ефикасността на Декскетопрофен Ромфарм 50 </w:t>
      </w:r>
      <w:r w:rsidRPr="00464F28">
        <w:rPr>
          <w:rFonts w:eastAsia="Times New Roman" w:cs="Arial"/>
          <w:color w:val="000000"/>
          <w:szCs w:val="42"/>
          <w:lang w:val="en-US"/>
        </w:rPr>
        <w:t>mg</w:t>
      </w:r>
      <w:r w:rsidRPr="00464F28">
        <w:rPr>
          <w:rFonts w:eastAsia="Times New Roman" w:cs="Arial"/>
          <w:color w:val="000000"/>
          <w:szCs w:val="42"/>
          <w:lang w:val="ru-RU"/>
        </w:rPr>
        <w:t xml:space="preserve">/2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инжекционен разтвор или концентрат за инфузионен разтвор не е доказана при деца и юноши. Ето защо, лекарството не трябва да се прилага при деца и юноши.</w:t>
      </w:r>
    </w:p>
    <w:p w14:paraId="7262A97E" w14:textId="77777777" w:rsidR="00464F28" w:rsidRPr="00464F28" w:rsidRDefault="00464F28" w:rsidP="00464F28">
      <w:pPr>
        <w:spacing w:line="240" w:lineRule="auto"/>
        <w:rPr>
          <w:rFonts w:eastAsia="Times New Roman" w:cs="Arial"/>
          <w:color w:val="000000"/>
          <w:szCs w:val="42"/>
          <w:u w:val="single"/>
          <w:lang w:eastAsia="bg-BG"/>
        </w:rPr>
      </w:pPr>
    </w:p>
    <w:p w14:paraId="2454BB7D" w14:textId="1D44C5BD" w:rsidR="00464F28" w:rsidRPr="00464F28" w:rsidRDefault="00464F28" w:rsidP="00464F28">
      <w:pPr>
        <w:pStyle w:val="Heading3"/>
        <w:rPr>
          <w:rFonts w:eastAsia="Times New Roman"/>
          <w:sz w:val="12"/>
          <w:u w:val="single"/>
        </w:rPr>
      </w:pPr>
      <w:r w:rsidRPr="00464F28">
        <w:rPr>
          <w:rFonts w:eastAsia="Times New Roman"/>
          <w:u w:val="single"/>
          <w:lang w:eastAsia="bg-BG"/>
        </w:rPr>
        <w:t>Начин на приложение</w:t>
      </w:r>
    </w:p>
    <w:p w14:paraId="61A98034"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 xml:space="preserve">Декскетопрофен Ромфарм 50 </w:t>
      </w:r>
      <w:r w:rsidRPr="00464F28">
        <w:rPr>
          <w:rFonts w:eastAsia="Times New Roman" w:cs="Arial"/>
          <w:color w:val="000000"/>
          <w:szCs w:val="42"/>
          <w:lang w:val="en-US"/>
        </w:rPr>
        <w:t>mg</w:t>
      </w:r>
      <w:r w:rsidRPr="00464F28">
        <w:rPr>
          <w:rFonts w:eastAsia="Times New Roman" w:cs="Arial"/>
          <w:color w:val="000000"/>
          <w:szCs w:val="42"/>
          <w:lang w:val="ru-RU"/>
        </w:rPr>
        <w:t xml:space="preserve">/2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инжекционен разтвор или концентрат за инфузионен разтвор може да се прилага интрамускуно или интравенозно:</w:t>
      </w:r>
    </w:p>
    <w:p w14:paraId="3EA823E8" w14:textId="77777777" w:rsidR="00464F28" w:rsidRPr="00464F28" w:rsidRDefault="00464F28" w:rsidP="00464F28">
      <w:pPr>
        <w:pStyle w:val="ListParagraph"/>
        <w:numPr>
          <w:ilvl w:val="0"/>
          <w:numId w:val="32"/>
        </w:numPr>
        <w:spacing w:line="240" w:lineRule="auto"/>
        <w:rPr>
          <w:rFonts w:eastAsia="Times New Roman" w:cs="Arial"/>
          <w:color w:val="000000"/>
          <w:szCs w:val="42"/>
          <w:lang w:eastAsia="bg-BG"/>
        </w:rPr>
      </w:pPr>
      <w:r w:rsidRPr="00464F28">
        <w:rPr>
          <w:rFonts w:eastAsia="Times New Roman" w:cs="Arial"/>
          <w:color w:val="000000"/>
          <w:szCs w:val="42"/>
          <w:lang w:eastAsia="bg-BG"/>
        </w:rPr>
        <w:t xml:space="preserve">интрамускулно приложение: съдържанието на една ампула (2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 xml:space="preserve">Декскетопрофен Ромфарм 50 </w:t>
      </w:r>
      <w:r w:rsidRPr="00464F28">
        <w:rPr>
          <w:rFonts w:eastAsia="Times New Roman" w:cs="Arial"/>
          <w:color w:val="000000"/>
          <w:szCs w:val="42"/>
          <w:lang w:val="en-US"/>
        </w:rPr>
        <w:t>mg</w:t>
      </w:r>
      <w:r w:rsidRPr="00464F28">
        <w:rPr>
          <w:rFonts w:eastAsia="Times New Roman" w:cs="Arial"/>
          <w:color w:val="000000"/>
          <w:szCs w:val="42"/>
          <w:lang w:val="ru-RU"/>
        </w:rPr>
        <w:t xml:space="preserve">/2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инжекционен разтвор или концентрат за инфузионен разтвор се прилага бавно, дълбоко мускулно;</w:t>
      </w:r>
    </w:p>
    <w:p w14:paraId="53764D07" w14:textId="77777777" w:rsidR="00464F28" w:rsidRPr="00464F28" w:rsidRDefault="00464F28" w:rsidP="00464F28">
      <w:pPr>
        <w:pStyle w:val="ListParagraph"/>
        <w:numPr>
          <w:ilvl w:val="0"/>
          <w:numId w:val="32"/>
        </w:numPr>
        <w:spacing w:line="240" w:lineRule="auto"/>
        <w:rPr>
          <w:rFonts w:eastAsia="Times New Roman" w:cs="Arial"/>
          <w:color w:val="000000"/>
          <w:szCs w:val="42"/>
          <w:lang w:eastAsia="bg-BG"/>
        </w:rPr>
      </w:pPr>
      <w:r w:rsidRPr="00464F28">
        <w:rPr>
          <w:rFonts w:eastAsia="Times New Roman" w:cs="Arial"/>
          <w:color w:val="000000"/>
          <w:szCs w:val="42"/>
          <w:lang w:eastAsia="bg-BG"/>
        </w:rPr>
        <w:t>интравенозно приложение:</w:t>
      </w:r>
    </w:p>
    <w:p w14:paraId="7C75E5E6" w14:textId="6FC09F56" w:rsidR="00464F28" w:rsidRPr="00464F28" w:rsidRDefault="00464F28" w:rsidP="00464F28">
      <w:pPr>
        <w:pStyle w:val="ListParagraph"/>
        <w:numPr>
          <w:ilvl w:val="0"/>
          <w:numId w:val="2"/>
        </w:numPr>
        <w:spacing w:line="240" w:lineRule="auto"/>
        <w:rPr>
          <w:rFonts w:eastAsia="Times New Roman" w:cs="Arial"/>
          <w:color w:val="000000"/>
          <w:szCs w:val="42"/>
          <w:lang w:eastAsia="bg-BG"/>
        </w:rPr>
      </w:pPr>
      <w:r w:rsidRPr="00464F28">
        <w:rPr>
          <w:rFonts w:eastAsia="Times New Roman" w:cs="Arial"/>
          <w:color w:val="000000"/>
          <w:szCs w:val="42"/>
          <w:lang w:eastAsia="bg-BG"/>
        </w:rPr>
        <w:t>интравенозна инфузия: разтворът се разрежда, както е описано в точка 6.6 и се прилага като бавна интравенозна инфузия с продължителност 10-30 минути. Разтворът трябва винаги да се пази от естествена дневна светлина.</w:t>
      </w:r>
    </w:p>
    <w:p w14:paraId="3692E028" w14:textId="77777777" w:rsidR="00464F28" w:rsidRPr="00464F28" w:rsidRDefault="00464F28" w:rsidP="00464F28">
      <w:pPr>
        <w:pStyle w:val="ListParagraph"/>
        <w:numPr>
          <w:ilvl w:val="0"/>
          <w:numId w:val="2"/>
        </w:numPr>
        <w:spacing w:line="240" w:lineRule="auto"/>
        <w:rPr>
          <w:rFonts w:eastAsia="Times New Roman" w:cs="Arial"/>
          <w:color w:val="000000"/>
          <w:szCs w:val="42"/>
          <w:lang w:eastAsia="bg-BG"/>
        </w:rPr>
      </w:pPr>
      <w:r w:rsidRPr="00464F28">
        <w:rPr>
          <w:rFonts w:eastAsia="Times New Roman" w:cs="Arial"/>
          <w:color w:val="000000"/>
          <w:szCs w:val="42"/>
          <w:lang w:eastAsia="bg-BG"/>
        </w:rPr>
        <w:t xml:space="preserve">интравенозно болус приложение: ако е необходимо, съдържанието на една ампула (2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p>
    <w:p w14:paraId="52019905" w14:textId="29EAFA59" w:rsidR="00464F28" w:rsidRPr="00464F28" w:rsidRDefault="00464F28" w:rsidP="00464F28">
      <w:pPr>
        <w:pStyle w:val="ListParagraph"/>
        <w:spacing w:line="240" w:lineRule="auto"/>
        <w:rPr>
          <w:rFonts w:eastAsia="Times New Roman" w:cs="Arial"/>
          <w:color w:val="000000"/>
          <w:szCs w:val="42"/>
          <w:lang w:eastAsia="bg-BG"/>
        </w:rPr>
      </w:pPr>
      <w:r w:rsidRPr="00464F28">
        <w:rPr>
          <w:rFonts w:eastAsia="Times New Roman" w:cs="Arial"/>
          <w:color w:val="000000"/>
          <w:szCs w:val="42"/>
          <w:lang w:eastAsia="bg-BG"/>
        </w:rPr>
        <w:lastRenderedPageBreak/>
        <w:t xml:space="preserve">Декскетопрофен Ромфарм 50 </w:t>
      </w:r>
      <w:r w:rsidRPr="00464F28">
        <w:rPr>
          <w:rFonts w:eastAsia="Times New Roman" w:cs="Arial"/>
          <w:color w:val="000000"/>
          <w:szCs w:val="42"/>
          <w:lang w:val="en-US"/>
        </w:rPr>
        <w:t>mg</w:t>
      </w:r>
      <w:r w:rsidRPr="00464F28">
        <w:rPr>
          <w:rFonts w:eastAsia="Times New Roman" w:cs="Arial"/>
          <w:color w:val="000000"/>
          <w:szCs w:val="42"/>
          <w:lang w:val="ru-RU"/>
        </w:rPr>
        <w:t xml:space="preserve">/2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инжекционен разтвор или концентрат за инфузионен разтвор може да се приложи бавно интравенозно болус в продължение не по-малко от 15 секунди.</w:t>
      </w:r>
    </w:p>
    <w:p w14:paraId="196D9DA0" w14:textId="77777777" w:rsidR="00464F28" w:rsidRPr="00464F28" w:rsidRDefault="00464F28" w:rsidP="00464F28">
      <w:pPr>
        <w:spacing w:line="240" w:lineRule="auto"/>
        <w:rPr>
          <w:rFonts w:eastAsia="Times New Roman" w:cs="Arial"/>
          <w:color w:val="000000"/>
          <w:szCs w:val="42"/>
          <w:u w:val="single"/>
          <w:lang w:eastAsia="bg-BG"/>
        </w:rPr>
      </w:pPr>
    </w:p>
    <w:p w14:paraId="22584762" w14:textId="7B30C7CB"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u w:val="single"/>
          <w:lang w:eastAsia="bg-BG"/>
        </w:rPr>
        <w:t>Инструкции за правилна употреба</w:t>
      </w:r>
    </w:p>
    <w:p w14:paraId="2FB74A07"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 xml:space="preserve">При интрамускулно или интравенозно болус приложение на Декскетопрофен Ромфарм 50 </w:t>
      </w:r>
      <w:r w:rsidRPr="00464F28">
        <w:rPr>
          <w:rFonts w:eastAsia="Times New Roman" w:cs="Arial"/>
          <w:color w:val="000000"/>
          <w:szCs w:val="42"/>
          <w:lang w:val="en-US"/>
        </w:rPr>
        <w:t>mg</w:t>
      </w:r>
      <w:r w:rsidRPr="00464F28">
        <w:rPr>
          <w:rFonts w:eastAsia="Times New Roman" w:cs="Arial"/>
          <w:color w:val="000000"/>
          <w:szCs w:val="42"/>
          <w:lang w:val="ru-RU"/>
        </w:rPr>
        <w:t xml:space="preserve">/2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инжекционен разтвор или концентрат за инфузионен разтвор, разтворът трябва да се приложи веднага след аспирирането му от цветната ампула (вж. също точка 6.2 и 6.6).</w:t>
      </w:r>
    </w:p>
    <w:p w14:paraId="259FB6B3"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При интравенозна инфузия, разтворът трябва да се разреди, като се спазват правилата на антисептиката и се пази от естествена дневна светлина (вж. точка 6.3 и 6.6).</w:t>
      </w:r>
    </w:p>
    <w:p w14:paraId="72E62A29" w14:textId="1D3148D2" w:rsidR="00464F28" w:rsidRPr="00464F28" w:rsidRDefault="00464F28" w:rsidP="00464F28">
      <w:pPr>
        <w:spacing w:line="240" w:lineRule="auto"/>
        <w:rPr>
          <w:rFonts w:ascii="Times New Roman" w:eastAsia="Times New Roman" w:hAnsi="Times New Roman" w:cs="Times New Roman"/>
          <w:sz w:val="24"/>
          <w:szCs w:val="24"/>
        </w:rPr>
      </w:pPr>
    </w:p>
    <w:p w14:paraId="6383808A" w14:textId="77777777" w:rsidR="00464F28" w:rsidRPr="00464F28" w:rsidRDefault="00464F28" w:rsidP="00464F28"/>
    <w:p w14:paraId="62B13D0B" w14:textId="3BAE1E5F" w:rsidR="00395555" w:rsidRDefault="002C50EE" w:rsidP="008A6AF2">
      <w:pPr>
        <w:pStyle w:val="Heading2"/>
      </w:pPr>
      <w:r>
        <w:t>4.3. Противопоказания</w:t>
      </w:r>
    </w:p>
    <w:p w14:paraId="21CFF310" w14:textId="41AC6A67" w:rsidR="00464F28" w:rsidRDefault="00464F28" w:rsidP="00464F28"/>
    <w:p w14:paraId="6F9365E2"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 xml:space="preserve">Декскетопрофен Ромфарм 50 </w:t>
      </w:r>
      <w:r w:rsidRPr="00464F28">
        <w:rPr>
          <w:rFonts w:eastAsia="Times New Roman" w:cs="Arial"/>
          <w:color w:val="000000"/>
          <w:szCs w:val="42"/>
          <w:lang w:val="en-US"/>
        </w:rPr>
        <w:t>mg</w:t>
      </w:r>
      <w:r w:rsidRPr="00464F28">
        <w:rPr>
          <w:rFonts w:eastAsia="Times New Roman" w:cs="Arial"/>
          <w:color w:val="000000"/>
          <w:szCs w:val="42"/>
          <w:lang w:val="ru-RU"/>
        </w:rPr>
        <w:t xml:space="preserve">/2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инжекционен разтвор или концентрат за инфузионен разтвор не трябва да се прилага при следните случаи:</w:t>
      </w:r>
    </w:p>
    <w:p w14:paraId="0E7AD719" w14:textId="3741B660" w:rsidR="00464F28" w:rsidRPr="00464F28" w:rsidRDefault="00464F28" w:rsidP="00464F28">
      <w:pPr>
        <w:pStyle w:val="ListParagraph"/>
        <w:numPr>
          <w:ilvl w:val="0"/>
          <w:numId w:val="33"/>
        </w:numPr>
        <w:rPr>
          <w:rFonts w:eastAsia="Times New Roman" w:cs="Arial"/>
          <w:color w:val="000000"/>
          <w:szCs w:val="42"/>
          <w:lang w:eastAsia="bg-BG"/>
        </w:rPr>
      </w:pPr>
      <w:r w:rsidRPr="00464F28">
        <w:rPr>
          <w:rFonts w:eastAsia="Times New Roman" w:cs="Arial"/>
          <w:color w:val="000000"/>
          <w:szCs w:val="42"/>
          <w:lang w:eastAsia="bg-BG"/>
        </w:rPr>
        <w:t>свръхчувствителност към декскетопрофен, или към някое от помощните вещества на лекарствения продукт, изброени в точка 6.1;</w:t>
      </w:r>
    </w:p>
    <w:p w14:paraId="78E5EFF5" w14:textId="77777777" w:rsidR="00464F28" w:rsidRDefault="00464F28" w:rsidP="00464F28">
      <w:pPr>
        <w:pStyle w:val="ListParagraph"/>
        <w:numPr>
          <w:ilvl w:val="0"/>
          <w:numId w:val="33"/>
        </w:numPr>
        <w:spacing w:line="240" w:lineRule="auto"/>
        <w:rPr>
          <w:rFonts w:eastAsia="Times New Roman" w:cs="Arial"/>
          <w:color w:val="000000"/>
          <w:szCs w:val="42"/>
          <w:lang w:eastAsia="bg-BG"/>
        </w:rPr>
      </w:pPr>
      <w:r w:rsidRPr="00464F28">
        <w:rPr>
          <w:rFonts w:eastAsia="Times New Roman" w:cs="Arial"/>
          <w:color w:val="000000"/>
          <w:szCs w:val="42"/>
          <w:lang w:eastAsia="bg-BG"/>
        </w:rPr>
        <w:t>пациенти, при които вещества с подобно действие (напр. ацетилсалицилова киселина или други НСПВС) предизвикват астматични пристъпи, бронхоспазъм, остър ринит или причиняват назална полипоза, уртикария или ангионевротичен едем;</w:t>
      </w:r>
    </w:p>
    <w:p w14:paraId="7C60CDE3" w14:textId="77777777" w:rsidR="00464F28" w:rsidRDefault="00464F28" w:rsidP="00464F28">
      <w:pPr>
        <w:pStyle w:val="ListParagraph"/>
        <w:numPr>
          <w:ilvl w:val="0"/>
          <w:numId w:val="33"/>
        </w:numPr>
        <w:spacing w:line="240" w:lineRule="auto"/>
        <w:rPr>
          <w:rFonts w:eastAsia="Times New Roman" w:cs="Arial"/>
          <w:color w:val="000000"/>
          <w:szCs w:val="42"/>
          <w:lang w:eastAsia="bg-BG"/>
        </w:rPr>
      </w:pPr>
      <w:r w:rsidRPr="00464F28">
        <w:rPr>
          <w:rFonts w:eastAsia="Times New Roman" w:cs="Arial"/>
          <w:color w:val="000000"/>
          <w:szCs w:val="42"/>
          <w:lang w:eastAsia="bg-BG"/>
        </w:rPr>
        <w:t>пациенти с активна или суспектна пептична язва/кръвоизлив, анамнеза за рекурентна пептична язва/кръвоизлив (два или повече отделни епизода на доказана язва или кръвоизлив) или хронична диспепсия;</w:t>
      </w:r>
    </w:p>
    <w:p w14:paraId="5B13756E" w14:textId="148CE603" w:rsidR="00464F28" w:rsidRDefault="00464F28" w:rsidP="00464F28">
      <w:pPr>
        <w:pStyle w:val="ListParagraph"/>
        <w:numPr>
          <w:ilvl w:val="0"/>
          <w:numId w:val="33"/>
        </w:numPr>
        <w:spacing w:line="240" w:lineRule="auto"/>
        <w:rPr>
          <w:rFonts w:eastAsia="Times New Roman" w:cs="Arial"/>
          <w:color w:val="000000"/>
          <w:szCs w:val="42"/>
          <w:lang w:eastAsia="bg-BG"/>
        </w:rPr>
      </w:pPr>
      <w:r w:rsidRPr="00464F28">
        <w:rPr>
          <w:rFonts w:eastAsia="Times New Roman" w:cs="Arial"/>
          <w:color w:val="000000"/>
          <w:szCs w:val="42"/>
          <w:lang w:eastAsia="bg-BG"/>
        </w:rPr>
        <w:t>пациенти със стомашно-чревен кръвоизлив, кръвоизлив от друг произход или други заболявания, свързани с кървене;</w:t>
      </w:r>
    </w:p>
    <w:p w14:paraId="14C2A677" w14:textId="0A78E5C5" w:rsidR="00464F28" w:rsidRDefault="00464F28" w:rsidP="00464F28">
      <w:pPr>
        <w:pStyle w:val="ListParagraph"/>
        <w:numPr>
          <w:ilvl w:val="0"/>
          <w:numId w:val="33"/>
        </w:numPr>
        <w:spacing w:line="240" w:lineRule="auto"/>
        <w:rPr>
          <w:rFonts w:eastAsia="Times New Roman" w:cs="Arial"/>
          <w:color w:val="000000"/>
          <w:szCs w:val="42"/>
          <w:lang w:eastAsia="bg-BG"/>
        </w:rPr>
      </w:pPr>
      <w:r w:rsidRPr="00464F28">
        <w:rPr>
          <w:rFonts w:eastAsia="Times New Roman" w:cs="Arial"/>
          <w:color w:val="000000"/>
          <w:szCs w:val="42"/>
          <w:lang w:eastAsia="bg-BG"/>
        </w:rPr>
        <w:t>пациенти с анамнеза за стомашно-чревен кръвоизлив или перфорация, в резултат на предшестващо лечение с НСПВС;</w:t>
      </w:r>
    </w:p>
    <w:p w14:paraId="24BB902B" w14:textId="77777777" w:rsidR="00464F28" w:rsidRDefault="00464F28" w:rsidP="00464F28">
      <w:pPr>
        <w:pStyle w:val="ListParagraph"/>
        <w:numPr>
          <w:ilvl w:val="0"/>
          <w:numId w:val="33"/>
        </w:numPr>
        <w:spacing w:line="240" w:lineRule="auto"/>
        <w:rPr>
          <w:rFonts w:eastAsia="Times New Roman" w:cs="Arial"/>
          <w:color w:val="000000"/>
          <w:szCs w:val="42"/>
          <w:lang w:eastAsia="bg-BG"/>
        </w:rPr>
      </w:pPr>
      <w:r w:rsidRPr="00464F28">
        <w:rPr>
          <w:rFonts w:eastAsia="Times New Roman" w:cs="Arial"/>
          <w:color w:val="000000"/>
          <w:szCs w:val="42"/>
          <w:lang w:eastAsia="bg-BG"/>
        </w:rPr>
        <w:t xml:space="preserve">пациенти с болест на </w:t>
      </w:r>
      <w:r w:rsidRPr="00464F28">
        <w:rPr>
          <w:rFonts w:eastAsia="Times New Roman" w:cs="Arial"/>
          <w:color w:val="000000"/>
          <w:szCs w:val="42"/>
          <w:lang w:val="en-US"/>
        </w:rPr>
        <w:t>Crohn</w:t>
      </w:r>
      <w:r w:rsidRPr="00464F28">
        <w:rPr>
          <w:rFonts w:eastAsia="Times New Roman" w:cs="Arial"/>
          <w:color w:val="000000"/>
          <w:szCs w:val="42"/>
          <w:lang w:val="ru-RU"/>
        </w:rPr>
        <w:t xml:space="preserve"> </w:t>
      </w:r>
      <w:r w:rsidRPr="00464F28">
        <w:rPr>
          <w:rFonts w:eastAsia="Times New Roman" w:cs="Arial"/>
          <w:color w:val="000000"/>
          <w:szCs w:val="42"/>
          <w:lang w:eastAsia="bg-BG"/>
        </w:rPr>
        <w:t>или улцерозен колит;</w:t>
      </w:r>
    </w:p>
    <w:p w14:paraId="59134BEC" w14:textId="77777777" w:rsidR="00464F28" w:rsidRDefault="00464F28" w:rsidP="00464F28">
      <w:pPr>
        <w:pStyle w:val="ListParagraph"/>
        <w:numPr>
          <w:ilvl w:val="0"/>
          <w:numId w:val="33"/>
        </w:numPr>
        <w:spacing w:line="240" w:lineRule="auto"/>
        <w:rPr>
          <w:rFonts w:eastAsia="Times New Roman" w:cs="Arial"/>
          <w:color w:val="000000"/>
          <w:szCs w:val="42"/>
          <w:lang w:eastAsia="bg-BG"/>
        </w:rPr>
      </w:pPr>
      <w:r w:rsidRPr="00464F28">
        <w:rPr>
          <w:rFonts w:eastAsia="Times New Roman" w:cs="Arial"/>
          <w:color w:val="000000"/>
          <w:szCs w:val="42"/>
          <w:lang w:eastAsia="bg-BG"/>
        </w:rPr>
        <w:t>пациенти с анамнеза за бронхиална астма;</w:t>
      </w:r>
    </w:p>
    <w:p w14:paraId="41CEA433" w14:textId="77777777" w:rsidR="00464F28" w:rsidRDefault="00464F28" w:rsidP="00464F28">
      <w:pPr>
        <w:pStyle w:val="ListParagraph"/>
        <w:numPr>
          <w:ilvl w:val="0"/>
          <w:numId w:val="33"/>
        </w:numPr>
        <w:spacing w:line="240" w:lineRule="auto"/>
        <w:rPr>
          <w:rFonts w:eastAsia="Times New Roman" w:cs="Arial"/>
          <w:color w:val="000000"/>
          <w:szCs w:val="42"/>
          <w:lang w:eastAsia="bg-BG"/>
        </w:rPr>
      </w:pPr>
      <w:r w:rsidRPr="00464F28">
        <w:rPr>
          <w:rFonts w:eastAsia="Times New Roman" w:cs="Arial"/>
          <w:color w:val="000000"/>
          <w:szCs w:val="42"/>
          <w:lang w:eastAsia="bg-BG"/>
        </w:rPr>
        <w:t>пациенти с тежка сърдечна недостатъчност;</w:t>
      </w:r>
    </w:p>
    <w:p w14:paraId="0006F89D" w14:textId="77777777" w:rsidR="00464F28" w:rsidRPr="00464F28" w:rsidRDefault="00464F28" w:rsidP="00464F28">
      <w:pPr>
        <w:pStyle w:val="ListParagraph"/>
        <w:numPr>
          <w:ilvl w:val="0"/>
          <w:numId w:val="33"/>
        </w:numPr>
        <w:spacing w:line="240" w:lineRule="auto"/>
        <w:rPr>
          <w:rFonts w:eastAsia="Times New Roman" w:cs="Arial"/>
          <w:color w:val="000000"/>
          <w:szCs w:val="42"/>
          <w:lang w:eastAsia="bg-BG"/>
        </w:rPr>
      </w:pPr>
      <w:r w:rsidRPr="00464F28">
        <w:rPr>
          <w:rFonts w:eastAsia="Times New Roman" w:cs="Arial"/>
          <w:color w:val="000000"/>
          <w:szCs w:val="42"/>
          <w:lang w:eastAsia="bg-BG"/>
        </w:rPr>
        <w:t xml:space="preserve">пациенти с умерено до тежко нарушена бъбречна функция (креатининов клирънс &lt;50 </w:t>
      </w:r>
      <w:r w:rsidRPr="00464F28">
        <w:rPr>
          <w:rFonts w:eastAsia="Times New Roman" w:cs="Arial"/>
          <w:color w:val="000000"/>
          <w:szCs w:val="42"/>
          <w:lang w:val="en-US"/>
        </w:rPr>
        <w:t>ml</w:t>
      </w:r>
      <w:r w:rsidRPr="00464F28">
        <w:rPr>
          <w:rFonts w:eastAsia="Times New Roman" w:cs="Arial"/>
          <w:color w:val="000000"/>
          <w:szCs w:val="42"/>
          <w:lang w:val="ru-RU"/>
        </w:rPr>
        <w:t>/</w:t>
      </w:r>
      <w:r w:rsidRPr="00464F28">
        <w:rPr>
          <w:rFonts w:eastAsia="Times New Roman" w:cs="Arial"/>
          <w:color w:val="000000"/>
          <w:szCs w:val="42"/>
          <w:lang w:val="en-US"/>
        </w:rPr>
        <w:t>min</w:t>
      </w:r>
      <w:r w:rsidRPr="00464F28">
        <w:rPr>
          <w:rFonts w:eastAsia="Times New Roman" w:cs="Arial"/>
          <w:color w:val="000000"/>
          <w:szCs w:val="42"/>
          <w:lang w:val="ru-RU"/>
        </w:rPr>
        <w:t>);</w:t>
      </w:r>
    </w:p>
    <w:p w14:paraId="1B724269" w14:textId="77777777" w:rsidR="00464F28" w:rsidRDefault="00464F28" w:rsidP="00464F28">
      <w:pPr>
        <w:pStyle w:val="ListParagraph"/>
        <w:numPr>
          <w:ilvl w:val="0"/>
          <w:numId w:val="33"/>
        </w:numPr>
        <w:spacing w:line="240" w:lineRule="auto"/>
        <w:rPr>
          <w:rFonts w:eastAsia="Times New Roman" w:cs="Arial"/>
          <w:color w:val="000000"/>
          <w:szCs w:val="42"/>
          <w:lang w:eastAsia="bg-BG"/>
        </w:rPr>
      </w:pPr>
      <w:r w:rsidRPr="00464F28">
        <w:rPr>
          <w:rFonts w:eastAsia="Times New Roman" w:cs="Arial"/>
          <w:color w:val="000000"/>
          <w:szCs w:val="42"/>
          <w:lang w:eastAsia="bg-BG"/>
        </w:rPr>
        <w:t xml:space="preserve">пациенти с тежко нарушена чернодробна функция </w:t>
      </w:r>
      <w:r w:rsidRPr="00464F28">
        <w:rPr>
          <w:rFonts w:eastAsia="Times New Roman" w:cs="Arial"/>
          <w:color w:val="000000"/>
          <w:szCs w:val="42"/>
          <w:lang w:val="ru-RU"/>
        </w:rPr>
        <w:t>(</w:t>
      </w:r>
      <w:r w:rsidRPr="00464F28">
        <w:rPr>
          <w:rFonts w:eastAsia="Times New Roman" w:cs="Arial"/>
          <w:color w:val="000000"/>
          <w:szCs w:val="42"/>
          <w:lang w:val="en-US"/>
        </w:rPr>
        <w:t>Child</w:t>
      </w:r>
      <w:r w:rsidRPr="00464F28">
        <w:rPr>
          <w:rFonts w:eastAsia="Times New Roman" w:cs="Arial"/>
          <w:color w:val="000000"/>
          <w:szCs w:val="42"/>
          <w:lang w:val="ru-RU"/>
        </w:rPr>
        <w:t>-</w:t>
      </w:r>
      <w:r w:rsidRPr="00464F28">
        <w:rPr>
          <w:rFonts w:eastAsia="Times New Roman" w:cs="Arial"/>
          <w:color w:val="000000"/>
          <w:szCs w:val="42"/>
          <w:lang w:val="en-US"/>
        </w:rPr>
        <w:t>Pugh</w:t>
      </w:r>
      <w:r w:rsidRPr="00464F28">
        <w:rPr>
          <w:rFonts w:eastAsia="Times New Roman" w:cs="Arial"/>
          <w:color w:val="000000"/>
          <w:szCs w:val="42"/>
          <w:lang w:val="ru-RU"/>
        </w:rPr>
        <w:t xml:space="preserve"> </w:t>
      </w:r>
      <w:r w:rsidRPr="00464F28">
        <w:rPr>
          <w:rFonts w:eastAsia="Times New Roman" w:cs="Arial"/>
          <w:color w:val="000000"/>
          <w:szCs w:val="42"/>
          <w:lang w:eastAsia="bg-BG"/>
        </w:rPr>
        <w:t>резултат 10-15);</w:t>
      </w:r>
    </w:p>
    <w:p w14:paraId="0B726853" w14:textId="77777777" w:rsidR="00464F28" w:rsidRDefault="00464F28" w:rsidP="00464F28">
      <w:pPr>
        <w:pStyle w:val="ListParagraph"/>
        <w:numPr>
          <w:ilvl w:val="0"/>
          <w:numId w:val="33"/>
        </w:numPr>
        <w:spacing w:line="240" w:lineRule="auto"/>
        <w:rPr>
          <w:rFonts w:eastAsia="Times New Roman" w:cs="Arial"/>
          <w:color w:val="000000"/>
          <w:szCs w:val="42"/>
          <w:lang w:eastAsia="bg-BG"/>
        </w:rPr>
      </w:pPr>
      <w:r w:rsidRPr="00464F28">
        <w:rPr>
          <w:rFonts w:eastAsia="Times New Roman" w:cs="Arial"/>
          <w:color w:val="000000"/>
          <w:szCs w:val="42"/>
          <w:lang w:eastAsia="bg-BG"/>
        </w:rPr>
        <w:t>пациенти с хеморагична диатеза и други коагулационни нарушения;</w:t>
      </w:r>
    </w:p>
    <w:p w14:paraId="2292B67E" w14:textId="77777777" w:rsidR="00464F28" w:rsidRDefault="00464F28" w:rsidP="00464F28">
      <w:pPr>
        <w:pStyle w:val="ListParagraph"/>
        <w:numPr>
          <w:ilvl w:val="0"/>
          <w:numId w:val="33"/>
        </w:numPr>
        <w:spacing w:line="240" w:lineRule="auto"/>
        <w:rPr>
          <w:rFonts w:eastAsia="Times New Roman" w:cs="Arial"/>
          <w:color w:val="000000"/>
          <w:szCs w:val="42"/>
          <w:lang w:eastAsia="bg-BG"/>
        </w:rPr>
      </w:pPr>
      <w:r w:rsidRPr="00464F28">
        <w:rPr>
          <w:rFonts w:eastAsia="Times New Roman" w:cs="Arial"/>
          <w:color w:val="000000"/>
          <w:szCs w:val="42"/>
          <w:lang w:eastAsia="bg-BG"/>
        </w:rPr>
        <w:t>по време на трети триместьр на бременността и по време на кърмене (вж. точка 4.6).</w:t>
      </w:r>
    </w:p>
    <w:p w14:paraId="2E314319" w14:textId="4C9C4869" w:rsidR="00464F28" w:rsidRPr="00464F28" w:rsidRDefault="00464F28" w:rsidP="00464F28">
      <w:pPr>
        <w:pStyle w:val="ListParagraph"/>
        <w:numPr>
          <w:ilvl w:val="0"/>
          <w:numId w:val="33"/>
        </w:numPr>
        <w:spacing w:line="240" w:lineRule="auto"/>
        <w:rPr>
          <w:rFonts w:eastAsia="Times New Roman" w:cs="Arial"/>
          <w:color w:val="000000"/>
          <w:szCs w:val="42"/>
          <w:lang w:eastAsia="bg-BG"/>
        </w:rPr>
      </w:pPr>
      <w:r w:rsidRPr="00464F28">
        <w:rPr>
          <w:rFonts w:eastAsia="Times New Roman" w:cs="Arial"/>
          <w:color w:val="000000"/>
          <w:szCs w:val="42"/>
          <w:lang w:eastAsia="bg-BG"/>
        </w:rPr>
        <w:t>при невроаксиално (интратекално или епидурално) приложение,тъй като съдържа етанол</w:t>
      </w:r>
    </w:p>
    <w:p w14:paraId="6EFE6414" w14:textId="77777777" w:rsidR="00464F28" w:rsidRPr="00464F28" w:rsidRDefault="00464F28" w:rsidP="00464F28"/>
    <w:p w14:paraId="5A4AC413" w14:textId="716FD69D" w:rsidR="00395555" w:rsidRDefault="002C50EE" w:rsidP="008A6AF2">
      <w:pPr>
        <w:pStyle w:val="Heading2"/>
      </w:pPr>
      <w:r>
        <w:t>4.4. Специални предупреждения и предпазни мерки при употреба</w:t>
      </w:r>
    </w:p>
    <w:p w14:paraId="6A8932E1" w14:textId="2C71C6AB" w:rsidR="00464F28" w:rsidRDefault="00464F28" w:rsidP="00464F28"/>
    <w:p w14:paraId="289C3282" w14:textId="77777777" w:rsidR="00464F28" w:rsidRPr="00464F28" w:rsidRDefault="00464F28" w:rsidP="00464F28">
      <w:pPr>
        <w:rPr>
          <w:sz w:val="24"/>
          <w:szCs w:val="24"/>
        </w:rPr>
      </w:pPr>
      <w:r w:rsidRPr="00464F28">
        <w:rPr>
          <w:lang w:eastAsia="bg-BG"/>
        </w:rPr>
        <w:t>При деца и юноши безопасността не е установена.</w:t>
      </w:r>
    </w:p>
    <w:p w14:paraId="0B4A79F9" w14:textId="77777777" w:rsidR="00464F28" w:rsidRPr="00464F28" w:rsidRDefault="00464F28" w:rsidP="00464F28">
      <w:pPr>
        <w:spacing w:line="240" w:lineRule="auto"/>
        <w:rPr>
          <w:rFonts w:eastAsia="Times New Roman" w:cs="Arial"/>
          <w:sz w:val="14"/>
          <w:szCs w:val="24"/>
        </w:rPr>
      </w:pPr>
      <w:r w:rsidRPr="00464F28">
        <w:rPr>
          <w:rFonts w:eastAsia="Times New Roman" w:cs="Arial"/>
          <w:color w:val="000000"/>
          <w:szCs w:val="42"/>
          <w:lang w:eastAsia="bg-BG"/>
        </w:rPr>
        <w:t>При пациенти с анамнеза за алергични състояния трябва да се прилага с внимание.</w:t>
      </w:r>
    </w:p>
    <w:p w14:paraId="433609A4" w14:textId="77777777" w:rsidR="00464F28" w:rsidRPr="00464F28" w:rsidRDefault="00464F28" w:rsidP="00464F28">
      <w:pPr>
        <w:spacing w:line="240" w:lineRule="auto"/>
        <w:rPr>
          <w:rFonts w:eastAsia="Times New Roman" w:cs="Arial"/>
          <w:sz w:val="14"/>
          <w:szCs w:val="24"/>
        </w:rPr>
      </w:pPr>
      <w:r w:rsidRPr="00464F28">
        <w:rPr>
          <w:rFonts w:eastAsia="Times New Roman" w:cs="Arial"/>
          <w:color w:val="000000"/>
          <w:szCs w:val="42"/>
          <w:lang w:eastAsia="bg-BG"/>
        </w:rPr>
        <w:t xml:space="preserve">Трябва да се избягва едновременно приложение на Декскетопрофен Ромфарм 50 </w:t>
      </w:r>
      <w:r w:rsidRPr="00464F28">
        <w:rPr>
          <w:rFonts w:eastAsia="Times New Roman" w:cs="Arial"/>
          <w:color w:val="000000"/>
          <w:szCs w:val="42"/>
          <w:lang w:val="en-US"/>
        </w:rPr>
        <w:t>mg</w:t>
      </w:r>
      <w:r w:rsidRPr="00464F28">
        <w:rPr>
          <w:rFonts w:eastAsia="Times New Roman" w:cs="Arial"/>
          <w:color w:val="000000"/>
          <w:szCs w:val="42"/>
          <w:lang w:val="ru-RU"/>
        </w:rPr>
        <w:t xml:space="preserve">/2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с други НСПВС лекарства, включително селективни инхибитори на циклооксигеназа-2.</w:t>
      </w:r>
    </w:p>
    <w:p w14:paraId="0B1CBDA9" w14:textId="77777777" w:rsidR="00464F28" w:rsidRPr="00464F28" w:rsidRDefault="00464F28" w:rsidP="00464F28">
      <w:pPr>
        <w:spacing w:line="240" w:lineRule="auto"/>
        <w:rPr>
          <w:rFonts w:eastAsia="Times New Roman" w:cs="Arial"/>
          <w:sz w:val="14"/>
          <w:szCs w:val="24"/>
        </w:rPr>
      </w:pPr>
      <w:r w:rsidRPr="00464F28">
        <w:rPr>
          <w:rFonts w:eastAsia="Times New Roman" w:cs="Arial"/>
          <w:color w:val="000000"/>
          <w:szCs w:val="42"/>
          <w:lang w:eastAsia="bg-BG"/>
        </w:rPr>
        <w:lastRenderedPageBreak/>
        <w:t>Нежеланите лекарствени реакции могат да бъдат намалени като за контролиране на симптомите се употребява възможно най-ниската ефективна доза за възможно най-кратък период от време (вж. т. 4.2 и по-долу посочените гастро-интестинални и сърдечно-съдови рискове).</w:t>
      </w:r>
    </w:p>
    <w:p w14:paraId="68A4B124" w14:textId="77777777" w:rsidR="00464F28" w:rsidRPr="00464F28" w:rsidRDefault="00464F28" w:rsidP="00464F28">
      <w:pPr>
        <w:spacing w:line="240" w:lineRule="auto"/>
        <w:rPr>
          <w:rFonts w:eastAsia="Times New Roman" w:cs="Arial"/>
          <w:sz w:val="14"/>
          <w:szCs w:val="24"/>
        </w:rPr>
      </w:pPr>
      <w:r w:rsidRPr="00464F28">
        <w:rPr>
          <w:rFonts w:eastAsia="Times New Roman" w:cs="Arial"/>
          <w:color w:val="000000"/>
          <w:szCs w:val="42"/>
          <w:lang w:eastAsia="bg-BG"/>
        </w:rPr>
        <w:t xml:space="preserve">Стомашно-чревен кръвоизлив, язва или перфорация, които може да са фатални, са съобщавани при всички НСПВС по всяко време на лечението, с или без предупредителни симптоми или предшестваща анамнеза за сериозни стомашно-чревни нарушения. Ако при приложение на Декскетопрофен Ромфарм 50 </w:t>
      </w:r>
      <w:r w:rsidRPr="00464F28">
        <w:rPr>
          <w:rFonts w:eastAsia="Times New Roman" w:cs="Arial"/>
          <w:color w:val="000000"/>
          <w:szCs w:val="42"/>
          <w:lang w:val="en-US"/>
        </w:rPr>
        <w:t>mg</w:t>
      </w:r>
      <w:r w:rsidRPr="00464F28">
        <w:rPr>
          <w:rFonts w:eastAsia="Times New Roman" w:cs="Arial"/>
          <w:color w:val="000000"/>
          <w:szCs w:val="42"/>
          <w:lang w:val="ru-RU"/>
        </w:rPr>
        <w:t xml:space="preserve">/2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възникне стомашно-чревен кръвоизлив или язва, лечението трябва да се преустанови.</w:t>
      </w:r>
    </w:p>
    <w:p w14:paraId="112CAD7D" w14:textId="77777777" w:rsidR="00464F28" w:rsidRPr="00464F28" w:rsidRDefault="00464F28" w:rsidP="00464F28">
      <w:pPr>
        <w:spacing w:line="240" w:lineRule="auto"/>
        <w:rPr>
          <w:rFonts w:eastAsia="Times New Roman" w:cs="Arial"/>
          <w:sz w:val="14"/>
          <w:szCs w:val="24"/>
        </w:rPr>
      </w:pPr>
      <w:r w:rsidRPr="00464F28">
        <w:rPr>
          <w:rFonts w:eastAsia="Times New Roman" w:cs="Arial"/>
          <w:color w:val="000000"/>
          <w:szCs w:val="42"/>
          <w:lang w:eastAsia="bg-BG"/>
        </w:rPr>
        <w:t>Рискът от стомашно-чревен кръвоизлив, язва или перфорация е по-висок при увеличаване дозата на НСПВС, при пациенти с анамнеза за язва, особено ако е усложнена с кръвоизлив или перфорация (вж. т. 4.3) и в старческа възраст.</w:t>
      </w:r>
    </w:p>
    <w:p w14:paraId="262C2EE6" w14:textId="77777777" w:rsidR="00464F28" w:rsidRPr="00464F28" w:rsidRDefault="00464F28" w:rsidP="00464F28">
      <w:pPr>
        <w:spacing w:line="240" w:lineRule="auto"/>
        <w:rPr>
          <w:rFonts w:eastAsia="Times New Roman" w:cs="Arial"/>
          <w:color w:val="000000"/>
          <w:szCs w:val="42"/>
          <w:lang w:eastAsia="bg-BG"/>
        </w:rPr>
      </w:pPr>
    </w:p>
    <w:p w14:paraId="7A084E1A" w14:textId="0605C390" w:rsidR="00464F28" w:rsidRPr="00464F28" w:rsidRDefault="00464F28" w:rsidP="00464F28">
      <w:pPr>
        <w:spacing w:line="240" w:lineRule="auto"/>
        <w:rPr>
          <w:rFonts w:eastAsia="Times New Roman" w:cs="Arial"/>
          <w:sz w:val="14"/>
          <w:szCs w:val="24"/>
        </w:rPr>
      </w:pPr>
      <w:r w:rsidRPr="00464F28">
        <w:rPr>
          <w:rFonts w:eastAsia="Times New Roman" w:cs="Arial"/>
          <w:color w:val="000000"/>
          <w:szCs w:val="42"/>
          <w:lang w:eastAsia="bg-BG"/>
        </w:rPr>
        <w:t>Пациенти в старческа възраст: пациентите в старческа възраст са с по-висок риск за нежелани реакции към НСПВС, особено стомашно-чревен кръвоизлив и перфорация, които може да са фатални (вж, т. 4.2).</w:t>
      </w:r>
    </w:p>
    <w:p w14:paraId="2BA93667" w14:textId="77777777" w:rsidR="00464F28" w:rsidRPr="00464F28" w:rsidRDefault="00464F28" w:rsidP="00464F28">
      <w:pPr>
        <w:spacing w:line="240" w:lineRule="auto"/>
        <w:rPr>
          <w:rFonts w:eastAsia="Times New Roman" w:cs="Arial"/>
          <w:sz w:val="14"/>
          <w:szCs w:val="24"/>
        </w:rPr>
      </w:pPr>
      <w:r w:rsidRPr="00464F28">
        <w:rPr>
          <w:rFonts w:eastAsia="Times New Roman" w:cs="Arial"/>
          <w:color w:val="000000"/>
          <w:szCs w:val="42"/>
          <w:lang w:eastAsia="bg-BG"/>
        </w:rPr>
        <w:t>Тези пациенти трябва да започнат лечението с възможно най-ниска доза.</w:t>
      </w:r>
    </w:p>
    <w:p w14:paraId="55C8738D" w14:textId="77777777" w:rsidR="00464F28" w:rsidRPr="00464F28" w:rsidRDefault="00464F28" w:rsidP="00464F28">
      <w:pPr>
        <w:spacing w:line="240" w:lineRule="auto"/>
        <w:rPr>
          <w:rFonts w:eastAsia="Times New Roman" w:cs="Arial"/>
          <w:color w:val="000000"/>
          <w:szCs w:val="42"/>
          <w:lang w:eastAsia="bg-BG"/>
        </w:rPr>
      </w:pPr>
    </w:p>
    <w:p w14:paraId="1598EA1B" w14:textId="7C54A199" w:rsidR="00464F28" w:rsidRPr="00464F28" w:rsidRDefault="00464F28" w:rsidP="00464F28">
      <w:pPr>
        <w:spacing w:line="240" w:lineRule="auto"/>
        <w:rPr>
          <w:rFonts w:eastAsia="Times New Roman" w:cs="Arial"/>
          <w:sz w:val="14"/>
          <w:szCs w:val="24"/>
        </w:rPr>
      </w:pPr>
      <w:r w:rsidRPr="00464F28">
        <w:rPr>
          <w:rFonts w:eastAsia="Times New Roman" w:cs="Arial"/>
          <w:color w:val="000000"/>
          <w:szCs w:val="42"/>
          <w:lang w:eastAsia="bg-BG"/>
        </w:rPr>
        <w:t>НСПВС трябва да се прилагат внимателно при пациенти с анамнеза за стомашно-чревни заболявания (улцеративен колит, болест на Крон), тъй като тяхното заболяване може да се изостри (вж. точка 4.8).</w:t>
      </w:r>
    </w:p>
    <w:p w14:paraId="678F3798" w14:textId="77777777" w:rsidR="00464F28" w:rsidRPr="00464F28" w:rsidRDefault="00464F28" w:rsidP="00464F28">
      <w:pPr>
        <w:rPr>
          <w:rFonts w:eastAsia="Times New Roman" w:cs="Arial"/>
          <w:color w:val="000000"/>
          <w:szCs w:val="42"/>
          <w:lang w:eastAsia="bg-BG"/>
        </w:rPr>
      </w:pPr>
    </w:p>
    <w:p w14:paraId="23DF5B4D" w14:textId="2AAD0124" w:rsidR="00464F28" w:rsidRDefault="00464F28" w:rsidP="00464F28">
      <w:pPr>
        <w:rPr>
          <w:rFonts w:eastAsia="Times New Roman" w:cs="Arial"/>
          <w:color w:val="000000"/>
          <w:szCs w:val="42"/>
          <w:lang w:eastAsia="bg-BG"/>
        </w:rPr>
      </w:pPr>
      <w:r w:rsidRPr="00464F28">
        <w:rPr>
          <w:rFonts w:eastAsia="Times New Roman" w:cs="Arial"/>
          <w:color w:val="000000"/>
          <w:szCs w:val="42"/>
          <w:lang w:eastAsia="bg-BG"/>
        </w:rPr>
        <w:t>Както при всички НСПВС, трябва внимателно да се търси анамнеза за езофагит, гастрит и/или пептична язва, с цел тяхното напълно излекуване преди започване на лечение с декскетопрофен трометамол. Пациентите със стомашно-чревни симптоми или с анамнеза за стомашно-чревно заболяване трябва да се наблюдават за храносмилателни нарушения, особено за стомашно- чревно кървене.</w:t>
      </w:r>
    </w:p>
    <w:p w14:paraId="4A1197F2" w14:textId="1FFEFEE6" w:rsidR="00464F28" w:rsidRDefault="00464F28" w:rsidP="00464F28">
      <w:pPr>
        <w:rPr>
          <w:rFonts w:eastAsia="Times New Roman" w:cs="Arial"/>
          <w:color w:val="000000"/>
          <w:szCs w:val="42"/>
          <w:lang w:eastAsia="bg-BG"/>
        </w:rPr>
      </w:pPr>
    </w:p>
    <w:p w14:paraId="424985B5"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При тези пациенти, както и при пациенти, при които трябва едновременно да се прилагат ниски дози аспирин или други лекарства, които могат да увеличат стомашно-чревния риск, трябва да се има предвид комбинирано лечение с протективни агенти (напр. мизопростол или инхибитори на протонната помпа) (вж. по-долу и т. 4.5).</w:t>
      </w:r>
    </w:p>
    <w:p w14:paraId="199B431A"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Пациенти с анамнеза за стомашно-чревна токсичност, особено в старческа възраст, трябва да съобщават всички необичайни коремни симптоми (особено стомашно-чревен кръвоизлив), особено в началните етапи на лечение.</w:t>
      </w:r>
    </w:p>
    <w:p w14:paraId="0E2147AD" w14:textId="77777777" w:rsidR="00464F28" w:rsidRPr="00464F28" w:rsidRDefault="00464F28" w:rsidP="00464F28">
      <w:pPr>
        <w:spacing w:line="240" w:lineRule="auto"/>
        <w:rPr>
          <w:rFonts w:eastAsia="Times New Roman" w:cs="Arial"/>
          <w:color w:val="000000"/>
          <w:szCs w:val="42"/>
          <w:lang w:eastAsia="bg-BG"/>
        </w:rPr>
      </w:pPr>
    </w:p>
    <w:p w14:paraId="746A07D2" w14:textId="29C538D0"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Препоръчва се внимание при пациенти, които приемат едновременно лекарства, които могат да увеличат риска от улцерация или кървене, като перорални кортикостероиди, антикоагуланти, напр. варфарин, селективни инхибитори на обратното захващане на серотонина или антитромбоцитни лекарства, като аспирин (вж. точка 4.5). Всички неселективни НСПВС могат да инхибират тромбоцитната агрегация и да удължат времето на кървене чрез инхибиране простагландиновата синтеза. В контролирани клинични изпитвания е проучено едновременното приложение на декскетопрофен трометамол и профилактични дози нискомолекулен хепарин в постоперативния период, при което не са наблюдавани ефекти върху коагулационните параметри. Независимо от това, пациенти, приемащи лекарства, които повлияват хемостазата, напр. варфарин или други кумарини или хепарини, трябва внимателно да се проследяват при приложение на декскетопрофен трометамол (вж. т. 4.5).</w:t>
      </w:r>
    </w:p>
    <w:p w14:paraId="17A18057" w14:textId="77777777" w:rsidR="00464F28" w:rsidRPr="00464F28" w:rsidRDefault="00464F28" w:rsidP="00464F28">
      <w:pPr>
        <w:spacing w:line="240" w:lineRule="auto"/>
        <w:rPr>
          <w:rFonts w:eastAsia="Times New Roman" w:cs="Arial"/>
          <w:color w:val="000000"/>
          <w:szCs w:val="42"/>
          <w:lang w:eastAsia="bg-BG"/>
        </w:rPr>
      </w:pPr>
    </w:p>
    <w:p w14:paraId="22BAF927" w14:textId="3522EB16"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lastRenderedPageBreak/>
        <w:t>Необходимо е да се осигурят подходящо наблюдение и съвет за пациенти с анамнеза за хипертония и/или лека до умерена застойна сърдечна недостатъчност, тъй като има съобщения за задръжка на течности и отоци, свързани с лечението с НСПВС.</w:t>
      </w:r>
    </w:p>
    <w:p w14:paraId="54680209" w14:textId="77777777" w:rsidR="00464F28" w:rsidRPr="00464F28" w:rsidRDefault="00464F28" w:rsidP="00464F28">
      <w:pPr>
        <w:spacing w:line="240" w:lineRule="auto"/>
        <w:rPr>
          <w:rFonts w:eastAsia="Times New Roman" w:cs="Arial"/>
          <w:color w:val="000000"/>
          <w:szCs w:val="42"/>
          <w:lang w:eastAsia="bg-BG"/>
        </w:rPr>
      </w:pPr>
    </w:p>
    <w:p w14:paraId="79F51C5D" w14:textId="6351CE66"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Клинични проучвания и епидемиологични данни показват, че употребата на някои НСПВС (особено във високи дози и при продължително приложение) може да бъде свързана с леко повишен риск от артериални тромботични събития (например миокарден инфаркт или инсулт). Няма достатъчно данни, за да се изключи такъв риск при декскетопрофен трометамол.</w:t>
      </w:r>
    </w:p>
    <w:p w14:paraId="3AA4E77F" w14:textId="77777777" w:rsidR="00464F28" w:rsidRPr="00464F28" w:rsidRDefault="00464F28" w:rsidP="00464F28">
      <w:pPr>
        <w:spacing w:line="240" w:lineRule="auto"/>
        <w:rPr>
          <w:rFonts w:eastAsia="Times New Roman" w:cs="Arial"/>
          <w:color w:val="000000"/>
          <w:szCs w:val="42"/>
          <w:lang w:eastAsia="bg-BG"/>
        </w:rPr>
      </w:pPr>
    </w:p>
    <w:p w14:paraId="4B4E1BC3" w14:textId="0DEF9146"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Пациенти с неконтролирана хипертония, застойна сърдечна недостатъчност, исхемична болест на сърцето, заболяване на периферните артериии и/или мозъчно-съдова болест, трябва да се лекуват с декскетопрофен трометамол само след внимателно обмисляне. Такова обмисляне трябва да се прави и преди започване на дългосрочно лечение на пациенти с рискови фактори за сърдечно-съдови заболявания (напр. хипертония, хиперлипидемия, захарен диабет, тютюнопушене).</w:t>
      </w:r>
    </w:p>
    <w:p w14:paraId="77AB9E94" w14:textId="77777777" w:rsidR="00464F28" w:rsidRPr="00464F28" w:rsidRDefault="00464F28" w:rsidP="00464F28">
      <w:pPr>
        <w:spacing w:line="240" w:lineRule="auto"/>
        <w:rPr>
          <w:rFonts w:eastAsia="Times New Roman" w:cs="Arial"/>
          <w:color w:val="000000"/>
          <w:szCs w:val="42"/>
          <w:lang w:eastAsia="bg-BG"/>
        </w:rPr>
      </w:pPr>
    </w:p>
    <w:p w14:paraId="0E8BEAF9" w14:textId="796A221D"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 xml:space="preserve">Сериозни кожни реакции (някои от тях фатални), включително ексфолиативен дерматит, синдром на Стивънс-Джонсън и токсична епидермална некролиза, са съобщавани много рядко във връзка с приложението на НСПВС (вж. т. 4.8). Рискът за тези реакции е най-висок рано в курса на лечението, като в по-голяма част от случаите началото на реакциите е през първия месец от лечението. Декскетопрофен Ромфарм 50 </w:t>
      </w:r>
      <w:r w:rsidRPr="00464F28">
        <w:rPr>
          <w:rFonts w:eastAsia="Times New Roman" w:cs="Arial"/>
          <w:color w:val="000000"/>
          <w:szCs w:val="42"/>
          <w:lang w:val="en-US"/>
        </w:rPr>
        <w:t>mg</w:t>
      </w:r>
      <w:r w:rsidRPr="00464F28">
        <w:rPr>
          <w:rFonts w:eastAsia="Times New Roman" w:cs="Arial"/>
          <w:color w:val="000000"/>
          <w:szCs w:val="42"/>
          <w:lang w:val="ru-RU"/>
        </w:rPr>
        <w:t>/</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трябва да се преустанови при първата проява на кожен обрив, мукозни лезии или друг признак на свръхчувствителност.</w:t>
      </w:r>
    </w:p>
    <w:p w14:paraId="67DBE196" w14:textId="77777777" w:rsidR="00464F28" w:rsidRPr="00464F28" w:rsidRDefault="00464F28" w:rsidP="00464F28">
      <w:pPr>
        <w:spacing w:line="240" w:lineRule="auto"/>
        <w:rPr>
          <w:rFonts w:eastAsia="Times New Roman" w:cs="Arial"/>
          <w:color w:val="000000"/>
          <w:szCs w:val="42"/>
          <w:lang w:eastAsia="bg-BG"/>
        </w:rPr>
      </w:pPr>
    </w:p>
    <w:p w14:paraId="28C211D9" w14:textId="6EEBD1C8"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Както всички НСПВС, може да се повишат плазмените нива на уреята и креатинина. Както при други инхибитори на простагландиновата синтеза, това може да е свързано с нежелани реакции от страна на бъбреците, които да доведат до гломерулонефрит, интерстициален нефрит, бъбречна папиларна некроза, нефротичен синдром и остра бъбречна недостатъчност.</w:t>
      </w:r>
    </w:p>
    <w:p w14:paraId="46A62525" w14:textId="77777777" w:rsidR="00464F28" w:rsidRPr="00464F28" w:rsidRDefault="00464F28" w:rsidP="00464F28">
      <w:pPr>
        <w:spacing w:line="240" w:lineRule="auto"/>
        <w:rPr>
          <w:rFonts w:eastAsia="Times New Roman" w:cs="Arial"/>
          <w:color w:val="000000"/>
          <w:szCs w:val="42"/>
          <w:lang w:eastAsia="bg-BG"/>
        </w:rPr>
      </w:pPr>
    </w:p>
    <w:p w14:paraId="38337EEF" w14:textId="444C8564"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 xml:space="preserve">Подобно на другите НСПВС, може да се наблюдава преходно леко повишение на някои чернодробни параметри и значимо повишение на </w:t>
      </w:r>
      <w:r w:rsidRPr="00464F28">
        <w:rPr>
          <w:rFonts w:eastAsia="Times New Roman" w:cs="Arial"/>
          <w:color w:val="000000"/>
          <w:szCs w:val="42"/>
          <w:lang w:val="en-US"/>
        </w:rPr>
        <w:t>SGOT</w:t>
      </w:r>
      <w:r w:rsidRPr="00464F28">
        <w:rPr>
          <w:rFonts w:eastAsia="Times New Roman" w:cs="Arial"/>
          <w:color w:val="000000"/>
          <w:szCs w:val="42"/>
          <w:lang w:val="ru-RU"/>
        </w:rPr>
        <w:t xml:space="preserve"> </w:t>
      </w:r>
      <w:r w:rsidRPr="00464F28">
        <w:rPr>
          <w:rFonts w:eastAsia="Times New Roman" w:cs="Arial"/>
          <w:color w:val="000000"/>
          <w:szCs w:val="42"/>
          <w:lang w:eastAsia="bg-BG"/>
        </w:rPr>
        <w:t xml:space="preserve">и </w:t>
      </w:r>
      <w:r w:rsidRPr="00464F28">
        <w:rPr>
          <w:rFonts w:eastAsia="Times New Roman" w:cs="Arial"/>
          <w:color w:val="000000"/>
          <w:szCs w:val="42"/>
          <w:lang w:val="en-US"/>
        </w:rPr>
        <w:t>SGPT</w:t>
      </w:r>
      <w:r w:rsidRPr="00464F28">
        <w:rPr>
          <w:rFonts w:eastAsia="Times New Roman" w:cs="Arial"/>
          <w:color w:val="000000"/>
          <w:szCs w:val="42"/>
          <w:lang w:val="ru-RU"/>
        </w:rPr>
        <w:t xml:space="preserve">. </w:t>
      </w:r>
      <w:r w:rsidRPr="00464F28">
        <w:rPr>
          <w:rFonts w:eastAsia="Times New Roman" w:cs="Arial"/>
          <w:color w:val="000000"/>
          <w:szCs w:val="42"/>
          <w:lang w:eastAsia="bg-BG"/>
        </w:rPr>
        <w:t>В случай на значително повишение на тези параметри, лечението трябва да се преустанови.</w:t>
      </w:r>
    </w:p>
    <w:p w14:paraId="3264137E" w14:textId="77777777" w:rsidR="00464F28" w:rsidRPr="00464F28" w:rsidRDefault="00464F28" w:rsidP="00464F28">
      <w:pPr>
        <w:spacing w:line="240" w:lineRule="auto"/>
        <w:rPr>
          <w:rFonts w:eastAsia="Times New Roman" w:cs="Arial"/>
          <w:color w:val="000000"/>
          <w:szCs w:val="42"/>
          <w:lang w:eastAsia="bg-BG"/>
        </w:rPr>
      </w:pPr>
    </w:p>
    <w:p w14:paraId="4D8F225C" w14:textId="77777777" w:rsidR="00464F28" w:rsidRPr="00464F28" w:rsidRDefault="00464F28" w:rsidP="00464F28">
      <w:pPr>
        <w:rPr>
          <w:rFonts w:eastAsia="Times New Roman" w:cs="Arial"/>
          <w:sz w:val="12"/>
          <w:szCs w:val="24"/>
        </w:rPr>
      </w:pPr>
      <w:r w:rsidRPr="00464F28">
        <w:rPr>
          <w:rFonts w:eastAsia="Times New Roman" w:cs="Arial"/>
          <w:color w:val="000000"/>
          <w:szCs w:val="42"/>
          <w:lang w:eastAsia="bg-BG"/>
        </w:rPr>
        <w:t>Внимание се изисква при пациенти с нарушена чернодробна и/или бъбречна функция, анамнеза за хипертония и/или сърдечна нед</w:t>
      </w:r>
      <w:r>
        <w:rPr>
          <w:rFonts w:eastAsia="Times New Roman" w:cs="Arial"/>
          <w:color w:val="000000"/>
          <w:szCs w:val="42"/>
          <w:lang w:eastAsia="bg-BG"/>
        </w:rPr>
        <w:t>остатъчност. При тези пациенти п</w:t>
      </w:r>
      <w:r w:rsidRPr="00464F28">
        <w:rPr>
          <w:rFonts w:eastAsia="Times New Roman" w:cs="Arial"/>
          <w:color w:val="000000"/>
          <w:szCs w:val="42"/>
          <w:lang w:eastAsia="bg-BG"/>
        </w:rPr>
        <w:t>риложението на НСПВС</w:t>
      </w:r>
      <w:r>
        <w:rPr>
          <w:rFonts w:eastAsia="Times New Roman" w:cs="Arial"/>
          <w:color w:val="000000"/>
          <w:szCs w:val="42"/>
          <w:lang w:eastAsia="bg-BG"/>
        </w:rPr>
        <w:t xml:space="preserve"> </w:t>
      </w:r>
      <w:r w:rsidRPr="00464F28">
        <w:rPr>
          <w:rFonts w:eastAsia="Times New Roman" w:cs="Arial"/>
          <w:color w:val="000000"/>
          <w:szCs w:val="42"/>
          <w:lang w:eastAsia="bg-BG"/>
        </w:rPr>
        <w:t>може да доведе до нарушение на бъбречната функция, задръжка на течности и отоци. Внимание се налага и при пациенти на диуретична терапия или при тези, които може да получат хиповолемия поради повишен риск от нефротоксичност. Особено внимание е необходимо при пациенти с анамнеза за сърдечно заболяване, особено при тези с предшестващи епизоди на сърдечна недостатъчност, тъй като е налице повишен риск от предизвикване на сърдечна недостатъчност.</w:t>
      </w:r>
    </w:p>
    <w:p w14:paraId="0725F3C0"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Пациентите в старческа възраст често страдат от нарушена бъбречна, сърдечно-съдова или чернодробна функция (вж. т. 4.2).</w:t>
      </w:r>
    </w:p>
    <w:p w14:paraId="4958DD59" w14:textId="77777777" w:rsidR="00464F28" w:rsidRPr="00464F28" w:rsidRDefault="00464F28" w:rsidP="00464F28">
      <w:pPr>
        <w:spacing w:line="240" w:lineRule="auto"/>
        <w:rPr>
          <w:rFonts w:eastAsia="Times New Roman" w:cs="Arial"/>
          <w:color w:val="000000"/>
          <w:szCs w:val="42"/>
          <w:lang w:eastAsia="bg-BG"/>
        </w:rPr>
      </w:pPr>
    </w:p>
    <w:p w14:paraId="5604B56F" w14:textId="1F458700"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 xml:space="preserve">Декскетопрофен Ромфарм 50 </w:t>
      </w:r>
      <w:r w:rsidRPr="00464F28">
        <w:rPr>
          <w:rFonts w:eastAsia="Times New Roman" w:cs="Arial"/>
          <w:color w:val="000000"/>
          <w:szCs w:val="42"/>
          <w:lang w:val="en-US"/>
        </w:rPr>
        <w:t>mg</w:t>
      </w:r>
      <w:r w:rsidRPr="00464F28">
        <w:rPr>
          <w:rFonts w:eastAsia="Times New Roman" w:cs="Arial"/>
          <w:color w:val="000000"/>
          <w:szCs w:val="42"/>
          <w:lang w:val="ru-RU"/>
        </w:rPr>
        <w:t xml:space="preserve">/2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инжекционен разтвор или концентрат за инфузионен разтвор трябва да се прилага внимателно при пациенти с хемопоетични нарушения, системен лупус еритематодес или смесена съединително-тъканна болест.</w:t>
      </w:r>
    </w:p>
    <w:p w14:paraId="303C95A4" w14:textId="77777777" w:rsidR="00464F28" w:rsidRPr="00464F28" w:rsidRDefault="00464F28" w:rsidP="00464F28">
      <w:pPr>
        <w:spacing w:line="240" w:lineRule="auto"/>
        <w:rPr>
          <w:rFonts w:eastAsia="Times New Roman" w:cs="Arial"/>
          <w:color w:val="000000"/>
          <w:szCs w:val="42"/>
          <w:lang w:eastAsia="bg-BG"/>
        </w:rPr>
      </w:pPr>
    </w:p>
    <w:p w14:paraId="0DB1555E" w14:textId="619F1D86"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lastRenderedPageBreak/>
        <w:t>Подобно на други НСПВС, декскетопрофен може да маскира симптомите на инфекциозни заболявания. В изолирани случаи е описано утежняване на мекотъканни инфекции в преходна връзка с приложението на НСПВС. Ето защо на пациента се препоръчва незабавно да се консултира с лекар при симптоми на бактериална инфекция или влошаване на състоянието по време на лечението.</w:t>
      </w:r>
    </w:p>
    <w:p w14:paraId="38EFC681" w14:textId="77777777" w:rsidR="00464F28" w:rsidRPr="00464F28" w:rsidRDefault="00464F28" w:rsidP="00464F28">
      <w:pPr>
        <w:spacing w:line="240" w:lineRule="auto"/>
        <w:rPr>
          <w:rFonts w:eastAsia="Times New Roman" w:cs="Arial"/>
          <w:color w:val="000000"/>
          <w:szCs w:val="42"/>
          <w:lang w:eastAsia="bg-BG"/>
        </w:rPr>
      </w:pPr>
    </w:p>
    <w:p w14:paraId="6724BC28" w14:textId="1B8E30B8"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Подобно на другите НСПВС, приложението на декскетопрофен трометамол може да наруши фертилитета на жената и не се препоръчва при жени, които се опитват да забременеят. При жени, които имат проблеми със забременяването или които се изследват за безплодие, трябва да се има предвид преустановяване на лечението с декскетопрофен трометамол. Декскетопрофен не трябва да се прилага по време на първи и втори триместър на бременността, освен ако не е абсолютно необходимо.</w:t>
      </w:r>
    </w:p>
    <w:p w14:paraId="7C9281E5" w14:textId="77777777" w:rsidR="00464F28" w:rsidRPr="00464F28" w:rsidRDefault="00464F28" w:rsidP="00464F28">
      <w:pPr>
        <w:spacing w:line="240" w:lineRule="auto"/>
        <w:rPr>
          <w:rFonts w:eastAsia="Times New Roman" w:cs="Arial"/>
          <w:color w:val="000000"/>
          <w:szCs w:val="42"/>
          <w:lang w:eastAsia="bg-BG"/>
        </w:rPr>
      </w:pPr>
    </w:p>
    <w:p w14:paraId="07532F8A" w14:textId="041D8C0D"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Педиатрична популация</w:t>
      </w:r>
    </w:p>
    <w:p w14:paraId="1D536EEB"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Не е установена безопасна употреба при деца и юноши.</w:t>
      </w:r>
    </w:p>
    <w:p w14:paraId="329B1FBE" w14:textId="77777777" w:rsidR="00464F28" w:rsidRPr="00464F28" w:rsidRDefault="00464F28" w:rsidP="00464F28">
      <w:pPr>
        <w:spacing w:line="240" w:lineRule="auto"/>
        <w:rPr>
          <w:rFonts w:eastAsia="Times New Roman" w:cs="Arial"/>
          <w:color w:val="000000"/>
          <w:szCs w:val="42"/>
          <w:lang w:eastAsia="bg-BG"/>
        </w:rPr>
      </w:pPr>
    </w:p>
    <w:p w14:paraId="24D2E02D" w14:textId="2CED9C8A"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 xml:space="preserve">Този лекарствен продукт съдържа по-малко от 1 </w:t>
      </w:r>
      <w:proofErr w:type="spellStart"/>
      <w:r w:rsidRPr="00464F28">
        <w:rPr>
          <w:rFonts w:eastAsia="Times New Roman" w:cs="Arial"/>
          <w:color w:val="000000"/>
          <w:szCs w:val="42"/>
          <w:lang w:val="en-US"/>
        </w:rPr>
        <w:t>mmol</w:t>
      </w:r>
      <w:proofErr w:type="spellEnd"/>
      <w:r w:rsidRPr="00464F28">
        <w:rPr>
          <w:rFonts w:eastAsia="Times New Roman" w:cs="Arial"/>
          <w:color w:val="000000"/>
          <w:szCs w:val="42"/>
          <w:lang w:val="ru-RU"/>
        </w:rPr>
        <w:t xml:space="preserve"> </w:t>
      </w:r>
      <w:r w:rsidRPr="00464F28">
        <w:rPr>
          <w:rFonts w:eastAsia="Times New Roman" w:cs="Arial"/>
          <w:color w:val="000000"/>
          <w:szCs w:val="42"/>
          <w:lang w:eastAsia="bg-BG"/>
        </w:rPr>
        <w:t xml:space="preserve">натрий (23 </w:t>
      </w:r>
      <w:r w:rsidRPr="00464F28">
        <w:rPr>
          <w:rFonts w:eastAsia="Times New Roman" w:cs="Arial"/>
          <w:color w:val="000000"/>
          <w:szCs w:val="42"/>
          <w:lang w:val="en-US"/>
        </w:rPr>
        <w:t>mg</w:t>
      </w:r>
      <w:r w:rsidRPr="00464F28">
        <w:rPr>
          <w:rFonts w:eastAsia="Times New Roman" w:cs="Arial"/>
          <w:color w:val="000000"/>
          <w:szCs w:val="42"/>
          <w:lang w:val="ru-RU"/>
        </w:rPr>
        <w:t xml:space="preserve">) </w:t>
      </w:r>
      <w:r w:rsidRPr="00464F28">
        <w:rPr>
          <w:rFonts w:eastAsia="Times New Roman" w:cs="Arial"/>
          <w:color w:val="000000"/>
          <w:szCs w:val="42"/>
          <w:lang w:eastAsia="bg-BG"/>
        </w:rPr>
        <w:t>за една доза, по същество е „несъдържащ натрий“.</w:t>
      </w:r>
    </w:p>
    <w:p w14:paraId="48EED7AB"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 xml:space="preserve">Този лекарствен продукт съдържа 12,4 </w:t>
      </w:r>
      <w:proofErr w:type="spellStart"/>
      <w:r w:rsidRPr="00464F28">
        <w:rPr>
          <w:rFonts w:eastAsia="Times New Roman" w:cs="Arial"/>
          <w:color w:val="000000"/>
          <w:szCs w:val="42"/>
          <w:lang w:val="en-US"/>
        </w:rPr>
        <w:t>vol</w:t>
      </w:r>
      <w:proofErr w:type="spellEnd"/>
      <w:r w:rsidRPr="00464F28">
        <w:rPr>
          <w:rFonts w:eastAsia="Times New Roman" w:cs="Arial"/>
          <w:color w:val="000000"/>
          <w:szCs w:val="42"/>
          <w:lang w:val="ru-RU"/>
        </w:rPr>
        <w:t xml:space="preserve"> </w:t>
      </w:r>
      <w:r w:rsidRPr="00464F28">
        <w:rPr>
          <w:rFonts w:eastAsia="Times New Roman" w:cs="Arial"/>
          <w:color w:val="000000"/>
          <w:szCs w:val="42"/>
          <w:lang w:eastAsia="bg-BG"/>
        </w:rPr>
        <w:t xml:space="preserve">% етанол (алкохол), което е до 200 </w:t>
      </w:r>
      <w:r w:rsidRPr="00464F28">
        <w:rPr>
          <w:rFonts w:eastAsia="Times New Roman" w:cs="Arial"/>
          <w:color w:val="000000"/>
          <w:szCs w:val="42"/>
          <w:lang w:val="en-US"/>
        </w:rPr>
        <w:t>mg</w:t>
      </w:r>
      <w:r w:rsidRPr="00464F28">
        <w:rPr>
          <w:rFonts w:eastAsia="Times New Roman" w:cs="Arial"/>
          <w:color w:val="000000"/>
          <w:szCs w:val="42"/>
          <w:lang w:val="ru-RU"/>
        </w:rPr>
        <w:t xml:space="preserve"> </w:t>
      </w:r>
      <w:r w:rsidRPr="00464F28">
        <w:rPr>
          <w:rFonts w:eastAsia="Times New Roman" w:cs="Arial"/>
          <w:color w:val="000000"/>
          <w:szCs w:val="42"/>
          <w:lang w:eastAsia="bg-BG"/>
        </w:rPr>
        <w:t xml:space="preserve">за една доза, еквивалентно на 5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 xml:space="preserve">бира или 2,08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вино за доза.</w:t>
      </w:r>
    </w:p>
    <w:p w14:paraId="0DD4933D"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Вреден е за тези, които страдат от алкохолизъм.</w:t>
      </w:r>
    </w:p>
    <w:p w14:paraId="2F215604"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Да се има предвид при бременни и кърмещи жени, деца и високо-рискови групи като напр. при пациенти с чернодробно заболявания или епилепсия.</w:t>
      </w:r>
    </w:p>
    <w:p w14:paraId="2A996D25" w14:textId="506818D5" w:rsidR="00464F28" w:rsidRPr="00464F28" w:rsidRDefault="00464F28" w:rsidP="00464F28">
      <w:pPr>
        <w:spacing w:line="240" w:lineRule="auto"/>
        <w:rPr>
          <w:rFonts w:eastAsia="Times New Roman" w:cs="Arial"/>
          <w:sz w:val="12"/>
          <w:szCs w:val="24"/>
        </w:rPr>
      </w:pPr>
    </w:p>
    <w:p w14:paraId="14858B2F" w14:textId="77777777" w:rsidR="00464F28" w:rsidRPr="00464F28" w:rsidRDefault="00464F28" w:rsidP="00464F28">
      <w:pPr>
        <w:rPr>
          <w:rFonts w:cs="Arial"/>
          <w:sz w:val="12"/>
        </w:rPr>
      </w:pPr>
    </w:p>
    <w:p w14:paraId="1244F76A" w14:textId="542BFB4B" w:rsidR="00395555" w:rsidRDefault="002C50EE" w:rsidP="008A6AF2">
      <w:pPr>
        <w:pStyle w:val="Heading2"/>
      </w:pPr>
      <w:r>
        <w:t>4.5. Взаимодействие с други лекарствени продукти и други форми на взаимодействие</w:t>
      </w:r>
    </w:p>
    <w:p w14:paraId="36545200" w14:textId="5BDA971A" w:rsidR="00464F28" w:rsidRDefault="00464F28" w:rsidP="00464F28"/>
    <w:p w14:paraId="71BC0FCB"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По принцип за НСПВС са характерни следните взаимодействия:</w:t>
      </w:r>
    </w:p>
    <w:p w14:paraId="3189843B" w14:textId="77777777" w:rsidR="00464F28" w:rsidRPr="00464F28" w:rsidRDefault="00464F28" w:rsidP="00464F28">
      <w:pPr>
        <w:spacing w:line="240" w:lineRule="auto"/>
        <w:rPr>
          <w:rFonts w:eastAsia="Times New Roman" w:cs="Arial"/>
          <w:color w:val="000000"/>
          <w:szCs w:val="42"/>
          <w:u w:val="single"/>
          <w:lang w:eastAsia="bg-BG"/>
        </w:rPr>
      </w:pPr>
    </w:p>
    <w:p w14:paraId="56B6E4A4" w14:textId="1A405855"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u w:val="single"/>
          <w:lang w:eastAsia="bg-BG"/>
        </w:rPr>
        <w:t>Комбинации, които не се препоръчват:</w:t>
      </w:r>
    </w:p>
    <w:p w14:paraId="416E5832" w14:textId="77777777" w:rsidR="00464F28" w:rsidRP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rFonts w:eastAsia="Times New Roman" w:cs="Arial"/>
          <w:color w:val="000000"/>
          <w:szCs w:val="42"/>
          <w:lang w:eastAsia="bg-BG"/>
        </w:rPr>
        <w:t>други НСПВС, включително високи дози салицилати (</w:t>
      </w:r>
      <w:r w:rsidRPr="00464F28">
        <w:rPr>
          <w:rFonts w:eastAsia="Times New Roman" w:cs="Arial"/>
          <w:color w:val="000000"/>
          <w:szCs w:val="42"/>
          <w:lang w:val="ru-RU"/>
        </w:rPr>
        <w:t>≥</w:t>
      </w:r>
      <w:r w:rsidRPr="00464F28">
        <w:rPr>
          <w:rFonts w:eastAsia="Times New Roman" w:cs="Arial"/>
          <w:color w:val="000000"/>
          <w:szCs w:val="42"/>
          <w:lang w:eastAsia="bg-BG"/>
        </w:rPr>
        <w:t xml:space="preserve">3 </w:t>
      </w:r>
      <w:r w:rsidRPr="00464F28">
        <w:rPr>
          <w:rFonts w:eastAsia="Times New Roman" w:cs="Arial"/>
          <w:color w:val="000000"/>
          <w:szCs w:val="42"/>
          <w:lang w:val="en-US"/>
        </w:rPr>
        <w:t>g</w:t>
      </w:r>
      <w:r w:rsidRPr="00464F28">
        <w:rPr>
          <w:rFonts w:eastAsia="Times New Roman" w:cs="Arial"/>
          <w:color w:val="000000"/>
          <w:szCs w:val="42"/>
          <w:lang w:eastAsia="bg-BG"/>
        </w:rPr>
        <w:t>/ден): едновременното приложение на няколко НСПВС може да увеличи риска от стомашно-чревна язва или кръвоизлив посредством синергичен ефект;</w:t>
      </w:r>
    </w:p>
    <w:p w14:paraId="413A503A" w14:textId="77777777" w:rsidR="00464F28" w:rsidRP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rFonts w:eastAsia="Times New Roman" w:cs="Arial"/>
          <w:color w:val="000000"/>
          <w:szCs w:val="42"/>
          <w:lang w:eastAsia="bg-BG"/>
        </w:rPr>
        <w:t>антикоагуланти: НСПВС могат да усилят ефектите на антикоагулантите, напр. варфарин (вж. т. 4.4), поради висока степен на свързване с плазмените протеини на декскетопрофен и инхибиране на тромбоцитната функция и увреждане на стомашно- чревната лигавица. Ако комбинираното лечение не може да се избегне е необходимо стриктно клинично наблюдение и проследяване на клиничните параметри;</w:t>
      </w:r>
    </w:p>
    <w:p w14:paraId="5ED5B7F8" w14:textId="77777777" w:rsid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rFonts w:eastAsia="Times New Roman" w:cs="Arial"/>
          <w:color w:val="000000"/>
          <w:szCs w:val="42"/>
          <w:lang w:eastAsia="bg-BG"/>
        </w:rPr>
        <w:t>Хепарини: повишен риск от кървене (поради инхибиране на тромбоцитната функция и увреждане на стомашно-чревната лигавица). Ако комбинираното лечени</w:t>
      </w:r>
      <w:r w:rsidRPr="00464F28">
        <w:rPr>
          <w:rFonts w:eastAsia="Times New Roman" w:cs="Arial"/>
          <w:color w:val="000000"/>
          <w:szCs w:val="42"/>
          <w:u w:val="single"/>
          <w:lang w:eastAsia="bg-BG"/>
        </w:rPr>
        <w:t>е не м</w:t>
      </w:r>
      <w:r w:rsidRPr="00464F28">
        <w:rPr>
          <w:rFonts w:eastAsia="Times New Roman" w:cs="Arial"/>
          <w:color w:val="000000"/>
          <w:szCs w:val="42"/>
          <w:lang w:eastAsia="bg-BG"/>
        </w:rPr>
        <w:t>оже да се избегне, е необходимо стриктно клинично наблюдение и прослевяване на клиничните параметри;</w:t>
      </w:r>
    </w:p>
    <w:p w14:paraId="7F3EE367" w14:textId="77777777" w:rsid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rFonts w:eastAsia="Times New Roman" w:cs="Arial"/>
          <w:color w:val="000000"/>
          <w:szCs w:val="42"/>
          <w:lang w:eastAsia="bg-BG"/>
        </w:rPr>
        <w:t>кортикостероиди: налице е повишен риск от стомашно-чревна язва или кръвоизлив (вж. т. 4.4);</w:t>
      </w:r>
    </w:p>
    <w:p w14:paraId="5951349D" w14:textId="77777777" w:rsid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rFonts w:eastAsia="Times New Roman" w:cs="Arial"/>
          <w:color w:val="000000"/>
          <w:szCs w:val="42"/>
          <w:lang w:eastAsia="bg-BG"/>
        </w:rPr>
        <w:t>литий (описано е с няколко НСПВС): НСПВС повишават нивата на литий в кръвта, които могат да достигнат токсични стойности (понижена бъбречна екскреция на литий). Следователно този параметър трябва да се проследява при започване, адаптиране и преустановяване на лечението с декскетопрофен;</w:t>
      </w:r>
    </w:p>
    <w:p w14:paraId="2E12BCE7" w14:textId="77777777" w:rsid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rFonts w:eastAsia="Times New Roman" w:cs="Arial"/>
          <w:color w:val="000000"/>
          <w:szCs w:val="42"/>
          <w:lang w:eastAsia="bg-BG"/>
        </w:rPr>
        <w:lastRenderedPageBreak/>
        <w:t xml:space="preserve">метотрексат, използван във високи дози от 15 </w:t>
      </w:r>
      <w:r w:rsidRPr="00464F28">
        <w:rPr>
          <w:rFonts w:eastAsia="Times New Roman" w:cs="Arial"/>
          <w:color w:val="000000"/>
          <w:szCs w:val="42"/>
          <w:lang w:val="en-US"/>
        </w:rPr>
        <w:t>mg</w:t>
      </w:r>
      <w:r w:rsidRPr="00464F28">
        <w:rPr>
          <w:rFonts w:eastAsia="Times New Roman" w:cs="Arial"/>
          <w:color w:val="000000"/>
          <w:szCs w:val="42"/>
          <w:lang w:eastAsia="bg-BG"/>
        </w:rPr>
        <w:t>/седмица или повече: засилена хематологична токсичност на метотрексат посредством понижение на бъбречния му клирънс от противовъзпалителни средства по принцип;</w:t>
      </w:r>
    </w:p>
    <w:p w14:paraId="710EB223" w14:textId="5BD4EEAF" w:rsid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rFonts w:eastAsia="Times New Roman" w:cs="Arial"/>
          <w:color w:val="000000"/>
          <w:szCs w:val="42"/>
          <w:lang w:eastAsia="bg-BG"/>
        </w:rPr>
        <w:t>хидантоини и сулфонамиди; токсичните ефекти на тези вещества може да се засилят.</w:t>
      </w:r>
    </w:p>
    <w:p w14:paraId="12D5A717" w14:textId="427ED0EA" w:rsidR="00464F28" w:rsidRDefault="00464F28" w:rsidP="00464F28">
      <w:pPr>
        <w:spacing w:line="240" w:lineRule="auto"/>
        <w:rPr>
          <w:rFonts w:eastAsia="Times New Roman" w:cs="Arial"/>
          <w:color w:val="000000"/>
          <w:szCs w:val="42"/>
          <w:lang w:eastAsia="bg-BG"/>
        </w:rPr>
      </w:pPr>
    </w:p>
    <w:p w14:paraId="16216678" w14:textId="1A64CBAF" w:rsidR="00464F28" w:rsidRDefault="00464F28" w:rsidP="00464F28">
      <w:pPr>
        <w:spacing w:line="240" w:lineRule="auto"/>
        <w:rPr>
          <w:rFonts w:eastAsia="Times New Roman" w:cs="Arial"/>
          <w:color w:val="000000"/>
          <w:szCs w:val="42"/>
          <w:lang w:eastAsia="bg-BG"/>
        </w:rPr>
      </w:pPr>
    </w:p>
    <w:p w14:paraId="5893F2AF" w14:textId="77777777" w:rsidR="00464F28" w:rsidRDefault="00464F28" w:rsidP="00464F28">
      <w:pPr>
        <w:spacing w:line="240" w:lineRule="auto"/>
        <w:rPr>
          <w:rFonts w:eastAsia="Times New Roman" w:cs="Arial"/>
          <w:color w:val="000000"/>
          <w:szCs w:val="42"/>
          <w:u w:val="single"/>
          <w:lang w:eastAsia="bg-BG"/>
        </w:rPr>
      </w:pPr>
      <w:r w:rsidRPr="00464F28">
        <w:rPr>
          <w:rFonts w:eastAsia="Times New Roman" w:cs="Arial"/>
          <w:color w:val="000000"/>
          <w:szCs w:val="42"/>
          <w:u w:val="single"/>
          <w:lang w:eastAsia="bg-BG"/>
        </w:rPr>
        <w:t>Комбинации, които изискват предпазни мерки:</w:t>
      </w:r>
    </w:p>
    <w:p w14:paraId="27E6B3FF" w14:textId="77777777" w:rsidR="00464F28" w:rsidRPr="00464F28" w:rsidRDefault="00464F28" w:rsidP="00464F28">
      <w:pPr>
        <w:spacing w:line="240" w:lineRule="auto"/>
        <w:rPr>
          <w:rFonts w:eastAsia="Times New Roman" w:cs="Arial"/>
          <w:color w:val="000000"/>
          <w:szCs w:val="42"/>
          <w:lang w:eastAsia="bg-BG"/>
        </w:rPr>
      </w:pPr>
    </w:p>
    <w:p w14:paraId="5BC33382" w14:textId="77777777" w:rsid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rFonts w:eastAsia="Times New Roman" w:cs="Arial"/>
          <w:color w:val="000000"/>
          <w:szCs w:val="42"/>
          <w:lang w:eastAsia="bg-BG"/>
        </w:rPr>
        <w:t>диуретици, АСЕ-инхибитори, антибактериални аминогликозиди и антагонисти на ангиотензин II рецептор: декскетопрофен може да понижи ефектите на диуретиците и на други антихипертензивни лекарства. При някои пациенти с нарушена бъбречна функция (напр. дехидратирани пациенти или пациенти в старческа възраст с нарушена бъбречна функция), едновременното приложение на вещества, които инхибират циклооксигеназата и АСЕ-инхибитори, ангиотензин II рецепторни антагонисти или антибактериални аминогликозиди може да доведе до допълнително нарушение на бъбречна функция, което обикновено е обратимо. В случай на комбинирано предписване на декскетопрофен и диуретик е важно да се осигури адекватно хидратиране на пациента и да се изследва бъбречната функция при започване на лечението (вж. т. 4.4 Специални предупреждения и предпазни мерки при употреба);</w:t>
      </w:r>
    </w:p>
    <w:p w14:paraId="4DFA53AB" w14:textId="77777777" w:rsid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rFonts w:eastAsia="Times New Roman" w:cs="Arial"/>
          <w:color w:val="000000"/>
          <w:szCs w:val="42"/>
          <w:lang w:eastAsia="bg-BG"/>
        </w:rPr>
        <w:t xml:space="preserve">метотрексат, използван в ниски дози, по-малко от 15 </w:t>
      </w:r>
      <w:r w:rsidRPr="00464F28">
        <w:rPr>
          <w:rFonts w:eastAsia="Times New Roman" w:cs="Arial"/>
          <w:color w:val="000000"/>
          <w:szCs w:val="42"/>
          <w:lang w:val="en-US"/>
        </w:rPr>
        <w:t>mg</w:t>
      </w:r>
      <w:r w:rsidRPr="00464F28">
        <w:rPr>
          <w:rFonts w:eastAsia="Times New Roman" w:cs="Arial"/>
          <w:color w:val="000000"/>
          <w:szCs w:val="42"/>
          <w:lang w:eastAsia="bg-BG"/>
        </w:rPr>
        <w:t>/седмица: хематологичната токсичност на метотрексат по принцип се засилва посредством понижението на бъбречния му клирънс от противовъзпалителните средства. Ежеседмично изследване на кръвната картина през първите седмици от комбинираното лечение. Внимателно наблюдение при наличие дори и на леко увреждане на бъбречната функция, както и при пациенти в старческа възраст;</w:t>
      </w:r>
    </w:p>
    <w:p w14:paraId="530144CF" w14:textId="77777777" w:rsid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rFonts w:eastAsia="Times New Roman" w:cs="Arial"/>
          <w:color w:val="000000"/>
          <w:szCs w:val="42"/>
          <w:lang w:eastAsia="bg-BG"/>
        </w:rPr>
        <w:t>пентоксифилин: повишен риск от кървене. По-активно клинично наблюдение и по- често изследване на времето на кървене;</w:t>
      </w:r>
    </w:p>
    <w:p w14:paraId="74F92441" w14:textId="77777777" w:rsid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rFonts w:eastAsia="Times New Roman" w:cs="Arial"/>
          <w:color w:val="000000"/>
          <w:szCs w:val="42"/>
          <w:lang w:eastAsia="bg-BG"/>
        </w:rPr>
        <w:t>зидовудин: риск от засилване на токсичността върху еритроцитната редица посредством</w:t>
      </w:r>
      <w:r>
        <w:rPr>
          <w:rFonts w:eastAsia="Times New Roman" w:cs="Arial"/>
          <w:color w:val="000000"/>
          <w:szCs w:val="42"/>
          <w:lang w:eastAsia="bg-BG"/>
        </w:rPr>
        <w:t xml:space="preserve"> </w:t>
      </w:r>
      <w:r w:rsidRPr="00464F28">
        <w:rPr>
          <w:rFonts w:eastAsia="Times New Roman" w:cs="Arial"/>
          <w:color w:val="000000"/>
          <w:szCs w:val="42"/>
          <w:lang w:eastAsia="bg-BG"/>
        </w:rPr>
        <w:t>действие върху ретикулоцитите с възникване на тежка анемия една седмица след започване на лечението с НСПВС. Проверка на пълната кръвна картина и броя на ретикулоцитите една или две седмици след започване на лечението с НСПВС;</w:t>
      </w:r>
    </w:p>
    <w:p w14:paraId="0064B807" w14:textId="32F49685" w:rsid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rFonts w:eastAsia="Times New Roman" w:cs="Arial"/>
          <w:color w:val="000000"/>
          <w:szCs w:val="42"/>
          <w:lang w:eastAsia="bg-BG"/>
        </w:rPr>
        <w:t>сулфанилурейни лекарства: НСПВС могат да засилят хипогликемичния ефект на сулфанилурейните лекарства посредством изместването им от местата за свързване плазмените протеини.</w:t>
      </w:r>
    </w:p>
    <w:p w14:paraId="6C3F4C13" w14:textId="4883B3C3" w:rsidR="00464F28" w:rsidRDefault="00464F28" w:rsidP="00464F28">
      <w:pPr>
        <w:spacing w:line="240" w:lineRule="auto"/>
        <w:rPr>
          <w:rFonts w:eastAsia="Times New Roman" w:cs="Arial"/>
          <w:color w:val="000000"/>
          <w:szCs w:val="42"/>
          <w:lang w:eastAsia="bg-BG"/>
        </w:rPr>
      </w:pPr>
    </w:p>
    <w:p w14:paraId="6E28CB36" w14:textId="77777777" w:rsidR="00464F28" w:rsidRPr="00464F28" w:rsidRDefault="00464F28" w:rsidP="00464F28">
      <w:pPr>
        <w:pStyle w:val="ListParagraph"/>
        <w:spacing w:line="240" w:lineRule="auto"/>
        <w:rPr>
          <w:rFonts w:eastAsia="Times New Roman" w:cs="Arial"/>
          <w:color w:val="000000"/>
          <w:szCs w:val="42"/>
          <w:u w:val="single"/>
          <w:lang w:eastAsia="bg-BG"/>
        </w:rPr>
      </w:pPr>
      <w:r w:rsidRPr="00464F28">
        <w:rPr>
          <w:rFonts w:eastAsia="Times New Roman" w:cs="Arial"/>
          <w:color w:val="000000"/>
          <w:szCs w:val="42"/>
          <w:u w:val="single"/>
          <w:lang w:eastAsia="bg-BG"/>
        </w:rPr>
        <w:t>Комбинации, които трябва да се имат предвид:</w:t>
      </w:r>
    </w:p>
    <w:p w14:paraId="7F940FA3" w14:textId="77777777" w:rsidR="00464F28" w:rsidRPr="00464F28" w:rsidRDefault="00464F28" w:rsidP="00464F28">
      <w:pPr>
        <w:spacing w:line="240" w:lineRule="auto"/>
        <w:rPr>
          <w:rFonts w:eastAsia="Times New Roman" w:cs="Arial"/>
          <w:color w:val="000000"/>
          <w:szCs w:val="42"/>
          <w:lang w:eastAsia="bg-BG"/>
        </w:rPr>
      </w:pPr>
    </w:p>
    <w:p w14:paraId="39E84AA9" w14:textId="77777777" w:rsid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rFonts w:eastAsia="Times New Roman" w:cs="Arial"/>
          <w:color w:val="000000"/>
          <w:szCs w:val="42"/>
          <w:lang w:eastAsia="bg-BG"/>
        </w:rPr>
        <w:t>бета-блокери: лечението с НСПВС може да понижи антихипертензивното им действие посредством инхибиране синтезата на простагландините;</w:t>
      </w:r>
    </w:p>
    <w:p w14:paraId="45054392" w14:textId="77777777" w:rsid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rFonts w:eastAsia="Times New Roman" w:cs="Arial"/>
          <w:color w:val="000000"/>
          <w:szCs w:val="42"/>
          <w:lang w:eastAsia="bg-BG"/>
        </w:rPr>
        <w:t>циклоспорин и такролимус: нефротоксичността може да се засили от НСПВС, посредством медииран от простагландините ефект върху бъбреците. По време на комбинирано лечение трябва да се изследва бъбречната функция;</w:t>
      </w:r>
    </w:p>
    <w:p w14:paraId="60967DCF" w14:textId="77777777" w:rsid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rFonts w:eastAsia="Times New Roman" w:cs="Arial"/>
          <w:color w:val="000000"/>
          <w:szCs w:val="42"/>
          <w:lang w:eastAsia="bg-BG"/>
        </w:rPr>
        <w:t>тромболитици: повишен риск от кървене;</w:t>
      </w:r>
    </w:p>
    <w:p w14:paraId="3B4DA457" w14:textId="77777777" w:rsid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rFonts w:eastAsia="Times New Roman" w:cs="Arial"/>
          <w:color w:val="000000"/>
          <w:szCs w:val="42"/>
          <w:lang w:eastAsia="bg-BG"/>
        </w:rPr>
        <w:t xml:space="preserve">антитромбоцитни лекарства и селективни инхибитори на обратното захващане на серотонина </w:t>
      </w:r>
      <w:r w:rsidRPr="00464F28">
        <w:rPr>
          <w:rFonts w:eastAsia="Times New Roman" w:cs="Arial"/>
          <w:color w:val="000000"/>
          <w:szCs w:val="42"/>
          <w:lang w:val="ru-RU"/>
        </w:rPr>
        <w:t>(</w:t>
      </w:r>
      <w:r w:rsidRPr="00464F28">
        <w:rPr>
          <w:rFonts w:eastAsia="Times New Roman" w:cs="Arial"/>
          <w:color w:val="000000"/>
          <w:szCs w:val="42"/>
          <w:lang w:val="en-US"/>
        </w:rPr>
        <w:t>SSRI</w:t>
      </w:r>
      <w:r w:rsidRPr="00464F28">
        <w:rPr>
          <w:rFonts w:eastAsia="Times New Roman" w:cs="Arial"/>
          <w:color w:val="000000"/>
          <w:szCs w:val="42"/>
          <w:lang w:val="ru-RU"/>
        </w:rPr>
        <w:t xml:space="preserve">): </w:t>
      </w:r>
      <w:r w:rsidRPr="00464F28">
        <w:rPr>
          <w:rFonts w:eastAsia="Times New Roman" w:cs="Arial"/>
          <w:color w:val="000000"/>
          <w:szCs w:val="42"/>
          <w:lang w:eastAsia="bg-BG"/>
        </w:rPr>
        <w:t>повишен риск от стомашно-чревно кървене (вж. т. 4.4).</w:t>
      </w:r>
    </w:p>
    <w:p w14:paraId="1EFEB6E5" w14:textId="77777777" w:rsid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rFonts w:eastAsia="Times New Roman" w:cs="Arial"/>
          <w:color w:val="000000"/>
          <w:szCs w:val="42"/>
          <w:lang w:eastAsia="bg-BG"/>
        </w:rPr>
        <w:t xml:space="preserve">пробенецид: плазмените концентрации на декскетопрофен може да се повишат; това взаимодействие може да се дължи на инхибиране на мястото на бъбречна </w:t>
      </w:r>
      <w:r w:rsidRPr="00464F28">
        <w:rPr>
          <w:rFonts w:eastAsia="Times New Roman" w:cs="Arial"/>
          <w:color w:val="000000"/>
          <w:szCs w:val="42"/>
          <w:lang w:eastAsia="bg-BG"/>
        </w:rPr>
        <w:lastRenderedPageBreak/>
        <w:t>тубулна секреция и на глюкуроновата конюгация и се изисква адаптиране на дозата на декскетопрофен;</w:t>
      </w:r>
    </w:p>
    <w:p w14:paraId="31381DD5" w14:textId="77777777" w:rsidR="00464F28" w:rsidRP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lang w:eastAsia="bg-BG"/>
        </w:rPr>
        <w:t>сърдечни гликозиди: НСПВС могат да увеличат плазмената концентрация на гликозилите;</w:t>
      </w:r>
    </w:p>
    <w:p w14:paraId="7FFE62C2" w14:textId="77777777" w:rsidR="00464F28" w:rsidRP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lang w:eastAsia="bg-BG"/>
        </w:rPr>
        <w:t>мифепристон: поради теоретичния риск за промяна в ефективността на мифепристон от инхибиторите на простагландиновата синтеза, НСПВС не трябва да се използват за повече от 8-12 дни след приложението на мифепристон;</w:t>
      </w:r>
    </w:p>
    <w:p w14:paraId="5464E4F6" w14:textId="60783E64" w:rsidR="00464F28" w:rsidRPr="00464F28" w:rsidRDefault="00464F28" w:rsidP="00464F28">
      <w:pPr>
        <w:pStyle w:val="ListParagraph"/>
        <w:numPr>
          <w:ilvl w:val="0"/>
          <w:numId w:val="34"/>
        </w:numPr>
        <w:spacing w:line="240" w:lineRule="auto"/>
        <w:rPr>
          <w:rFonts w:eastAsia="Times New Roman" w:cs="Arial"/>
          <w:color w:val="000000"/>
          <w:szCs w:val="42"/>
          <w:lang w:eastAsia="bg-BG"/>
        </w:rPr>
      </w:pPr>
      <w:r w:rsidRPr="00464F28">
        <w:rPr>
          <w:lang w:eastAsia="bg-BG"/>
        </w:rPr>
        <w:t>хинолонови антибиотици: опитите при животни показват, че високи дози хинолони в комбинация с НСПВС могат да увеличат риска от проява на конвулсии.</w:t>
      </w:r>
    </w:p>
    <w:p w14:paraId="08300E60" w14:textId="77777777" w:rsidR="00464F28" w:rsidRPr="00464F28" w:rsidRDefault="00464F28" w:rsidP="00464F28">
      <w:pPr>
        <w:spacing w:line="240" w:lineRule="auto"/>
        <w:rPr>
          <w:rFonts w:eastAsia="Times New Roman" w:cs="Arial"/>
          <w:color w:val="000000"/>
          <w:szCs w:val="42"/>
          <w:lang w:eastAsia="bg-BG"/>
        </w:rPr>
      </w:pPr>
    </w:p>
    <w:p w14:paraId="6BE396C3" w14:textId="77777777" w:rsidR="00464F28" w:rsidRPr="00464F28" w:rsidRDefault="00464F28" w:rsidP="00464F28"/>
    <w:p w14:paraId="6EADE4D6" w14:textId="5D1FA3E9" w:rsidR="00395555" w:rsidRDefault="002C50EE" w:rsidP="008A6AF2">
      <w:pPr>
        <w:pStyle w:val="Heading2"/>
      </w:pPr>
      <w:r>
        <w:t>4.6. Фертилитет, бременност и кърмене</w:t>
      </w:r>
    </w:p>
    <w:p w14:paraId="21E0102A" w14:textId="2BD8F207" w:rsidR="00464F28" w:rsidRDefault="00464F28" w:rsidP="00464F28"/>
    <w:p w14:paraId="4B1DE3DA"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 xml:space="preserve">Декскетопрофен Ромфарм 50 </w:t>
      </w:r>
      <w:r w:rsidRPr="00464F28">
        <w:rPr>
          <w:rFonts w:eastAsia="Times New Roman" w:cs="Arial"/>
          <w:color w:val="000000"/>
          <w:szCs w:val="42"/>
          <w:lang w:val="en-US"/>
        </w:rPr>
        <w:t>mg</w:t>
      </w:r>
      <w:r w:rsidRPr="00464F28">
        <w:rPr>
          <w:rFonts w:eastAsia="Times New Roman" w:cs="Arial"/>
          <w:color w:val="000000"/>
          <w:szCs w:val="42"/>
          <w:lang w:val="ru-RU"/>
        </w:rPr>
        <w:t xml:space="preserve">/2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инжекционен разтвор или концентрат за инфузионен разтвор е противопоказан през трети триместър на бременността и по време на кърмене (вж. т, 4.3).</w:t>
      </w:r>
    </w:p>
    <w:p w14:paraId="6739D151" w14:textId="77777777" w:rsidR="00464F28" w:rsidRDefault="00464F28" w:rsidP="00464F28">
      <w:pPr>
        <w:spacing w:line="240" w:lineRule="auto"/>
        <w:rPr>
          <w:rFonts w:eastAsia="Times New Roman" w:cs="Arial"/>
          <w:color w:val="000000"/>
          <w:szCs w:val="42"/>
          <w:u w:val="single"/>
          <w:lang w:eastAsia="bg-BG"/>
        </w:rPr>
      </w:pPr>
    </w:p>
    <w:p w14:paraId="54BAEE2C" w14:textId="33628FF7" w:rsidR="00464F28" w:rsidRPr="00464F28" w:rsidRDefault="00464F28" w:rsidP="00464F28">
      <w:pPr>
        <w:pStyle w:val="Heading3"/>
        <w:rPr>
          <w:rFonts w:eastAsia="Times New Roman"/>
          <w:sz w:val="12"/>
          <w:u w:val="single"/>
        </w:rPr>
      </w:pPr>
      <w:r w:rsidRPr="00464F28">
        <w:rPr>
          <w:rFonts w:eastAsia="Times New Roman"/>
          <w:u w:val="single"/>
          <w:lang w:eastAsia="bg-BG"/>
        </w:rPr>
        <w:t>Бременност</w:t>
      </w:r>
    </w:p>
    <w:p w14:paraId="224FEEDE"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Инхибирането на простагландиновата синтеза може да повлияе неблагоприятно бременността и/или ембрио/феталното развитие. Данни от епидемиологични проучвания повдигат съмнение за повишен риск от аборти и сърдечна малформация или гастросхизис след приложение на инхибитори на простагландиновата синтеза при ранна бременност. Абсолютният риск за сърдечносъдови малформации се увеличава от по-малко от 1 % до около 1,5 %. Счита се, че рискът се повишава с увеличение на дозата и продължителността на лечението. При животни е демонстрирано, че инхибиторите на простагландиновата синтеза водят до увеличени пре- и постимплантационни загуби и ембрио-фетален леталитет. В допълнение към това при приложение на инхибитори на простагландиновата синтеза при животни по време на органогенезата се наблюдават различни малформации, включително и сърдечно-съдови. Независимо от това, проучванията при животни с декскетопрофен трометамол не са показали репродуктивна токсичност (вж. т. 5.3). По време на първия и втория триместьр от бременността, декскетопрофен трометамол не трябва да се прилага, освен ако няма категорична необходимост. Ако декскетопрофен трометамол се използва от жени, които се опитват да забременеят или по време на първи или втори триместьр на бременността, дозата трябва да се поддържа ниска и продължителността на лечение трябва да е възможно най-кратка.</w:t>
      </w:r>
    </w:p>
    <w:p w14:paraId="36163194" w14:textId="77777777" w:rsidR="00464F28" w:rsidRPr="00464F28" w:rsidRDefault="00464F28" w:rsidP="00464F28">
      <w:pPr>
        <w:spacing w:line="240" w:lineRule="auto"/>
        <w:rPr>
          <w:rFonts w:eastAsia="Times New Roman" w:cs="Arial"/>
          <w:color w:val="000000"/>
          <w:szCs w:val="42"/>
          <w:lang w:eastAsia="bg-BG"/>
        </w:rPr>
      </w:pPr>
    </w:p>
    <w:p w14:paraId="6F8B8F2A" w14:textId="560FC570"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По време на трети триместьр на бременността, всички инхибитори на простагландиновата синтеза може да излагат плода на:</w:t>
      </w:r>
    </w:p>
    <w:p w14:paraId="37B640B2" w14:textId="77777777" w:rsidR="00464F28" w:rsidRDefault="00464F28" w:rsidP="00464F28">
      <w:pPr>
        <w:pStyle w:val="ListParagraph"/>
        <w:numPr>
          <w:ilvl w:val="0"/>
          <w:numId w:val="41"/>
        </w:numPr>
        <w:spacing w:line="240" w:lineRule="auto"/>
        <w:rPr>
          <w:rFonts w:eastAsia="Times New Roman" w:cs="Arial"/>
          <w:color w:val="000000"/>
          <w:szCs w:val="42"/>
          <w:lang w:eastAsia="bg-BG"/>
        </w:rPr>
      </w:pPr>
      <w:r w:rsidRPr="00464F28">
        <w:rPr>
          <w:rFonts w:eastAsia="Times New Roman" w:cs="Arial"/>
          <w:color w:val="000000"/>
          <w:szCs w:val="42"/>
          <w:lang w:eastAsia="bg-BG"/>
        </w:rPr>
        <w:t>кардиопулмонарна токсичност (с преждевременно затваряне на дуктус артериозус и белодробна хипертония);</w:t>
      </w:r>
    </w:p>
    <w:p w14:paraId="5FE168C0" w14:textId="77777777" w:rsidR="00464F28" w:rsidRDefault="00464F28" w:rsidP="00464F28">
      <w:pPr>
        <w:pStyle w:val="ListParagraph"/>
        <w:numPr>
          <w:ilvl w:val="0"/>
          <w:numId w:val="41"/>
        </w:numPr>
        <w:spacing w:line="240" w:lineRule="auto"/>
        <w:rPr>
          <w:rFonts w:eastAsia="Times New Roman" w:cs="Arial"/>
          <w:color w:val="000000"/>
          <w:szCs w:val="42"/>
          <w:lang w:eastAsia="bg-BG"/>
        </w:rPr>
      </w:pPr>
      <w:r w:rsidRPr="00464F28">
        <w:rPr>
          <w:rFonts w:eastAsia="Times New Roman" w:cs="Arial"/>
          <w:color w:val="000000"/>
          <w:szCs w:val="42"/>
          <w:lang w:eastAsia="bg-BG"/>
        </w:rPr>
        <w:t>нарушена бъбречна функция, която може да прогресира до бъбречна недостатъчност олигохидрамнион;</w:t>
      </w:r>
    </w:p>
    <w:p w14:paraId="4D46A747" w14:textId="77777777" w:rsidR="00464F28" w:rsidRPr="00464F28" w:rsidRDefault="00464F28" w:rsidP="00464F28">
      <w:pPr>
        <w:spacing w:line="240" w:lineRule="auto"/>
        <w:rPr>
          <w:rFonts w:eastAsia="Times New Roman" w:cs="Arial"/>
          <w:color w:val="000000"/>
          <w:szCs w:val="42"/>
          <w:lang w:eastAsia="bg-BG"/>
        </w:rPr>
      </w:pPr>
      <w:r w:rsidRPr="00464F28">
        <w:rPr>
          <w:rFonts w:eastAsia="Times New Roman" w:cs="Arial"/>
          <w:color w:val="000000"/>
          <w:szCs w:val="42"/>
          <w:lang w:eastAsia="bg-BG"/>
        </w:rPr>
        <w:t>а майката и новороденото в края на бременността до:</w:t>
      </w:r>
    </w:p>
    <w:p w14:paraId="39A570E9" w14:textId="77777777" w:rsidR="00464F28" w:rsidRDefault="00464F28" w:rsidP="00464F28">
      <w:pPr>
        <w:pStyle w:val="ListParagraph"/>
        <w:numPr>
          <w:ilvl w:val="0"/>
          <w:numId w:val="41"/>
        </w:numPr>
        <w:spacing w:line="240" w:lineRule="auto"/>
        <w:rPr>
          <w:rFonts w:eastAsia="Times New Roman" w:cs="Arial"/>
          <w:color w:val="000000"/>
          <w:szCs w:val="42"/>
          <w:lang w:eastAsia="bg-BG"/>
        </w:rPr>
      </w:pPr>
      <w:r w:rsidRPr="00464F28">
        <w:rPr>
          <w:rFonts w:eastAsia="Times New Roman" w:cs="Arial"/>
          <w:color w:val="000000"/>
          <w:szCs w:val="42"/>
          <w:lang w:eastAsia="bg-BG"/>
        </w:rPr>
        <w:t>възможно удължаване на времето на кървене и антиагрегантен ефект се наблюдава дори при много ниски дози</w:t>
      </w:r>
    </w:p>
    <w:p w14:paraId="3B85FA93" w14:textId="49AAD475" w:rsidR="00464F28" w:rsidRPr="00464F28" w:rsidRDefault="00464F28" w:rsidP="00464F28">
      <w:pPr>
        <w:pStyle w:val="ListParagraph"/>
        <w:numPr>
          <w:ilvl w:val="0"/>
          <w:numId w:val="41"/>
        </w:numPr>
        <w:spacing w:line="240" w:lineRule="auto"/>
        <w:rPr>
          <w:rFonts w:eastAsia="Times New Roman" w:cs="Arial"/>
          <w:color w:val="000000"/>
          <w:szCs w:val="42"/>
          <w:lang w:eastAsia="bg-BG"/>
        </w:rPr>
      </w:pPr>
      <w:r w:rsidRPr="00464F28">
        <w:rPr>
          <w:rFonts w:eastAsia="Times New Roman" w:cs="Arial"/>
          <w:color w:val="000000"/>
          <w:szCs w:val="42"/>
          <w:lang w:eastAsia="bg-BG"/>
        </w:rPr>
        <w:t>подтискане на маточните контракции, което води до забавено или удължено раждане</w:t>
      </w:r>
    </w:p>
    <w:p w14:paraId="6B05BC25" w14:textId="77777777" w:rsidR="00464F28" w:rsidRPr="00464F28" w:rsidRDefault="00464F28" w:rsidP="00464F28">
      <w:pPr>
        <w:spacing w:line="240" w:lineRule="auto"/>
        <w:rPr>
          <w:rFonts w:eastAsia="Times New Roman" w:cs="Arial"/>
          <w:color w:val="000000"/>
          <w:szCs w:val="42"/>
          <w:lang w:eastAsia="bg-BG"/>
        </w:rPr>
      </w:pPr>
    </w:p>
    <w:p w14:paraId="1DEAA4DC" w14:textId="0109AB85" w:rsidR="00464F28" w:rsidRPr="00464F28" w:rsidRDefault="00464F28" w:rsidP="00464F28">
      <w:pPr>
        <w:pStyle w:val="Heading3"/>
        <w:rPr>
          <w:rFonts w:eastAsia="Times New Roman"/>
          <w:sz w:val="12"/>
          <w:u w:val="single"/>
        </w:rPr>
      </w:pPr>
      <w:r w:rsidRPr="00464F28">
        <w:rPr>
          <w:rFonts w:eastAsia="Times New Roman"/>
          <w:u w:val="single"/>
          <w:lang w:eastAsia="bg-BG"/>
        </w:rPr>
        <w:lastRenderedPageBreak/>
        <w:t>Фертилитет</w:t>
      </w:r>
    </w:p>
    <w:p w14:paraId="4DC33C06"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 xml:space="preserve">Употребата на Декскетопрофен Ромфарм 50 </w:t>
      </w:r>
      <w:r w:rsidRPr="00464F28">
        <w:rPr>
          <w:rFonts w:eastAsia="Times New Roman" w:cs="Arial"/>
          <w:color w:val="000000"/>
          <w:szCs w:val="42"/>
          <w:lang w:val="en-US"/>
        </w:rPr>
        <w:t>mg</w:t>
      </w:r>
      <w:r w:rsidRPr="00464F28">
        <w:rPr>
          <w:rFonts w:eastAsia="Times New Roman" w:cs="Arial"/>
          <w:color w:val="000000"/>
          <w:szCs w:val="42"/>
          <w:lang w:val="ru-RU"/>
        </w:rPr>
        <w:t xml:space="preserve">/2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може да увреди фертилитета и не трябва да бъде прилаган на жени в детеродна възраст. При жени, които имат проблем със забременяването или са подложени на изследвания за стерилитет, трябва да се преустанови приложението на декскетопрофен.</w:t>
      </w:r>
    </w:p>
    <w:p w14:paraId="30B73F71" w14:textId="77777777" w:rsidR="00464F28" w:rsidRPr="00464F28" w:rsidRDefault="00464F28" w:rsidP="00464F28">
      <w:pPr>
        <w:spacing w:line="240" w:lineRule="auto"/>
        <w:rPr>
          <w:rFonts w:eastAsia="Times New Roman" w:cs="Arial"/>
          <w:color w:val="000000"/>
          <w:szCs w:val="42"/>
          <w:lang w:eastAsia="bg-BG"/>
        </w:rPr>
      </w:pPr>
    </w:p>
    <w:p w14:paraId="55E2A38C" w14:textId="592D0F77" w:rsidR="00464F28" w:rsidRPr="00464F28" w:rsidRDefault="00464F28" w:rsidP="00464F28">
      <w:pPr>
        <w:pStyle w:val="Heading3"/>
        <w:rPr>
          <w:rFonts w:eastAsia="Times New Roman"/>
          <w:sz w:val="12"/>
          <w:u w:val="single"/>
        </w:rPr>
      </w:pPr>
      <w:r w:rsidRPr="00464F28">
        <w:rPr>
          <w:rFonts w:eastAsia="Times New Roman"/>
          <w:u w:val="single"/>
          <w:lang w:eastAsia="bg-BG"/>
        </w:rPr>
        <w:t>Кърмене</w:t>
      </w:r>
    </w:p>
    <w:p w14:paraId="72A904E1" w14:textId="77777777" w:rsidR="00464F28" w:rsidRPr="00464F28" w:rsidRDefault="00464F28" w:rsidP="00464F28">
      <w:pPr>
        <w:spacing w:line="240" w:lineRule="auto"/>
        <w:rPr>
          <w:rFonts w:eastAsia="Times New Roman" w:cs="Arial"/>
          <w:sz w:val="12"/>
          <w:szCs w:val="24"/>
        </w:rPr>
      </w:pPr>
      <w:r w:rsidRPr="00464F28">
        <w:rPr>
          <w:rFonts w:eastAsia="Times New Roman" w:cs="Arial"/>
          <w:color w:val="000000"/>
          <w:szCs w:val="42"/>
          <w:lang w:eastAsia="bg-BG"/>
        </w:rPr>
        <w:t xml:space="preserve">Не е известно дали декскетопрофен се излъчва с кърмата. Декскетопрофен Ромфарм 50 </w:t>
      </w:r>
      <w:r w:rsidRPr="00464F28">
        <w:rPr>
          <w:rFonts w:eastAsia="Times New Roman" w:cs="Arial"/>
          <w:color w:val="000000"/>
          <w:szCs w:val="42"/>
          <w:lang w:val="en-US"/>
        </w:rPr>
        <w:t>mg</w:t>
      </w:r>
      <w:r w:rsidRPr="00464F28">
        <w:rPr>
          <w:rFonts w:eastAsia="Times New Roman" w:cs="Arial"/>
          <w:color w:val="000000"/>
          <w:szCs w:val="42"/>
          <w:lang w:val="ru-RU"/>
        </w:rPr>
        <w:t xml:space="preserve">/2 </w:t>
      </w:r>
      <w:r w:rsidRPr="00464F28">
        <w:rPr>
          <w:rFonts w:eastAsia="Times New Roman" w:cs="Arial"/>
          <w:color w:val="000000"/>
          <w:szCs w:val="42"/>
          <w:lang w:val="en-US"/>
        </w:rPr>
        <w:t>ml</w:t>
      </w:r>
      <w:r w:rsidRPr="00464F28">
        <w:rPr>
          <w:rFonts w:eastAsia="Times New Roman" w:cs="Arial"/>
          <w:color w:val="000000"/>
          <w:szCs w:val="42"/>
          <w:lang w:val="ru-RU"/>
        </w:rPr>
        <w:t xml:space="preserve"> </w:t>
      </w:r>
      <w:r w:rsidRPr="00464F28">
        <w:rPr>
          <w:rFonts w:eastAsia="Times New Roman" w:cs="Arial"/>
          <w:color w:val="000000"/>
          <w:szCs w:val="42"/>
          <w:lang w:eastAsia="bg-BG"/>
        </w:rPr>
        <w:t>е противопоказан по време на кърмене (вж. т.4.3).</w:t>
      </w:r>
    </w:p>
    <w:p w14:paraId="3CC9B70F" w14:textId="77777777" w:rsidR="00464F28" w:rsidRPr="00464F28" w:rsidRDefault="00464F28" w:rsidP="00464F28"/>
    <w:p w14:paraId="5766770B" w14:textId="46475C9E" w:rsidR="00395555" w:rsidRDefault="002C50EE" w:rsidP="008A6AF2">
      <w:pPr>
        <w:pStyle w:val="Heading2"/>
      </w:pPr>
      <w:r>
        <w:t>4.7. Ефекти върху способността за шофиране и работа с машини</w:t>
      </w:r>
    </w:p>
    <w:p w14:paraId="3AB8F8EF" w14:textId="6532B300" w:rsidR="00464F28" w:rsidRDefault="00464F28" w:rsidP="00464F28"/>
    <w:p w14:paraId="10DD1086" w14:textId="77777777" w:rsidR="00464F28" w:rsidRPr="00464F28" w:rsidRDefault="00464F28" w:rsidP="00464F28">
      <w:pPr>
        <w:rPr>
          <w:sz w:val="24"/>
          <w:szCs w:val="24"/>
        </w:rPr>
      </w:pPr>
      <w:r w:rsidRPr="00464F28">
        <w:rPr>
          <w:lang w:eastAsia="bg-BG"/>
        </w:rPr>
        <w:t xml:space="preserve">Декскетопрофен Ромфарм 50 </w:t>
      </w:r>
      <w:r w:rsidRPr="00464F28">
        <w:rPr>
          <w:lang w:val="en-US"/>
        </w:rPr>
        <w:t>mg</w:t>
      </w:r>
      <w:r w:rsidRPr="00464F28">
        <w:rPr>
          <w:lang w:val="ru-RU"/>
        </w:rPr>
        <w:t>/</w:t>
      </w:r>
      <w:r w:rsidRPr="00464F28">
        <w:rPr>
          <w:lang w:val="en-US"/>
        </w:rPr>
        <w:t>ml</w:t>
      </w:r>
      <w:r w:rsidRPr="00464F28">
        <w:rPr>
          <w:lang w:val="ru-RU"/>
        </w:rPr>
        <w:t xml:space="preserve"> </w:t>
      </w:r>
      <w:r w:rsidRPr="00464F28">
        <w:rPr>
          <w:lang w:eastAsia="bg-BG"/>
        </w:rPr>
        <w:t>инжекционен разтвор или концентрат за инфузионен разтвор може леко до умерено да повлияе способността за шофиране и работа с машини, тъй като може да доведе до замаяност и сънливост.</w:t>
      </w:r>
    </w:p>
    <w:p w14:paraId="650A0075" w14:textId="77777777" w:rsidR="00464F28" w:rsidRPr="00464F28" w:rsidRDefault="00464F28" w:rsidP="00464F28"/>
    <w:p w14:paraId="4FE16E21" w14:textId="0BCF9251" w:rsidR="00395555" w:rsidRDefault="002C50EE" w:rsidP="008A6AF2">
      <w:pPr>
        <w:pStyle w:val="Heading2"/>
      </w:pPr>
      <w:r>
        <w:t>4.8. Нежелани лекарствени реакции</w:t>
      </w:r>
    </w:p>
    <w:p w14:paraId="352CD24B" w14:textId="138C48D0" w:rsidR="00464F28" w:rsidRDefault="00464F28" w:rsidP="00464F28"/>
    <w:p w14:paraId="11DF6E20" w14:textId="4390879C" w:rsidR="00464F28" w:rsidRDefault="00464F28" w:rsidP="00464F28">
      <w:pPr>
        <w:rPr>
          <w:lang w:eastAsia="bg-BG"/>
        </w:rPr>
      </w:pPr>
      <w:r w:rsidRPr="00464F28">
        <w:rPr>
          <w:lang w:eastAsia="bg-BG"/>
        </w:rPr>
        <w:t xml:space="preserve">Нежеланите лекарствени реакции са изброени в таблица 1 съгласно класификацията по </w:t>
      </w:r>
      <w:proofErr w:type="spellStart"/>
      <w:r w:rsidRPr="00464F28">
        <w:rPr>
          <w:lang w:val="en-US"/>
        </w:rPr>
        <w:t>MedRA</w:t>
      </w:r>
      <w:proofErr w:type="spellEnd"/>
      <w:r w:rsidRPr="00464F28">
        <w:rPr>
          <w:lang w:val="ru-RU"/>
        </w:rPr>
        <w:t xml:space="preserve"> </w:t>
      </w:r>
      <w:r w:rsidRPr="00464F28">
        <w:rPr>
          <w:lang w:eastAsia="bg-BG"/>
        </w:rPr>
        <w:t>по системо-органни класове. Честота е представена съгласно следната конвенция: Много чести (</w:t>
      </w:r>
      <w:r w:rsidRPr="00464F28">
        <w:rPr>
          <w:lang w:val="ru-RU"/>
        </w:rPr>
        <w:t>≥</w:t>
      </w:r>
      <w:r w:rsidRPr="00464F28">
        <w:rPr>
          <w:lang w:eastAsia="bg-BG"/>
        </w:rPr>
        <w:t xml:space="preserve"> 1 /10), Чести (</w:t>
      </w:r>
      <w:r w:rsidRPr="00464F28">
        <w:rPr>
          <w:lang w:val="ru-RU"/>
        </w:rPr>
        <w:t>≥</w:t>
      </w:r>
      <w:r w:rsidRPr="00464F28">
        <w:rPr>
          <w:lang w:eastAsia="bg-BG"/>
        </w:rPr>
        <w:t>1/100 до &lt;1/10)Нечести (</w:t>
      </w:r>
      <w:r w:rsidRPr="00464F28">
        <w:rPr>
          <w:lang w:val="ru-RU"/>
        </w:rPr>
        <w:t>≥</w:t>
      </w:r>
      <w:r w:rsidRPr="00464F28">
        <w:rPr>
          <w:lang w:eastAsia="bg-BG"/>
        </w:rPr>
        <w:t>1/1 000 до &lt;1/100), Редки (</w:t>
      </w:r>
      <w:r w:rsidRPr="00464F28">
        <w:rPr>
          <w:lang w:val="ru-RU"/>
        </w:rPr>
        <w:t>≥</w:t>
      </w:r>
      <w:r w:rsidRPr="00464F28">
        <w:rPr>
          <w:lang w:eastAsia="bg-BG"/>
        </w:rPr>
        <w:t>1/10 000 до &lt;1/1 000), Много редки (&lt;1/10 000), с неизвестна честота (от наличните данни не може да бъде направена оценка. Във всяка група, честотата е представена в низходящ ред.</w:t>
      </w:r>
    </w:p>
    <w:p w14:paraId="1AAF382D" w14:textId="4F0ADB48" w:rsidR="00464F28" w:rsidRDefault="00464F28" w:rsidP="00464F28">
      <w:pPr>
        <w:rPr>
          <w:lang w:eastAsia="bg-BG"/>
        </w:rPr>
      </w:pPr>
    </w:p>
    <w:tbl>
      <w:tblPr>
        <w:tblStyle w:val="TableGrid"/>
        <w:tblW w:w="0" w:type="auto"/>
        <w:tblLook w:val="04A0" w:firstRow="1" w:lastRow="0" w:firstColumn="1" w:lastColumn="0" w:noHBand="0" w:noVBand="1"/>
      </w:tblPr>
      <w:tblGrid>
        <w:gridCol w:w="2062"/>
        <w:gridCol w:w="1678"/>
        <w:gridCol w:w="1470"/>
        <w:gridCol w:w="1990"/>
        <w:gridCol w:w="2150"/>
      </w:tblGrid>
      <w:tr w:rsidR="00464F28" w14:paraId="6339B9EE" w14:textId="77777777" w:rsidTr="00464F28">
        <w:tc>
          <w:tcPr>
            <w:tcW w:w="2113" w:type="dxa"/>
            <w:vAlign w:val="bottom"/>
          </w:tcPr>
          <w:p w14:paraId="136F0A5E" w14:textId="04B5D04F" w:rsidR="00464F28" w:rsidRPr="00464F28" w:rsidRDefault="00464F28" w:rsidP="00464F28">
            <w:pPr>
              <w:rPr>
                <w:szCs w:val="24"/>
              </w:rPr>
            </w:pPr>
            <w:r w:rsidRPr="00464F28">
              <w:rPr>
                <w:b/>
                <w:bCs/>
                <w:szCs w:val="42"/>
              </w:rPr>
              <w:t>Системо-органни класове</w:t>
            </w:r>
          </w:p>
        </w:tc>
        <w:tc>
          <w:tcPr>
            <w:tcW w:w="1718" w:type="dxa"/>
          </w:tcPr>
          <w:p w14:paraId="25ED7D02" w14:textId="4E051202" w:rsidR="00464F28" w:rsidRPr="00464F28" w:rsidRDefault="00464F28" w:rsidP="00464F28">
            <w:pPr>
              <w:rPr>
                <w:szCs w:val="24"/>
              </w:rPr>
            </w:pPr>
            <w:r w:rsidRPr="00464F28">
              <w:rPr>
                <w:b/>
                <w:bCs/>
                <w:szCs w:val="42"/>
              </w:rPr>
              <w:t>Чести</w:t>
            </w:r>
          </w:p>
        </w:tc>
        <w:tc>
          <w:tcPr>
            <w:tcW w:w="1504" w:type="dxa"/>
          </w:tcPr>
          <w:p w14:paraId="22E18CCC" w14:textId="3390B01E" w:rsidR="00464F28" w:rsidRPr="00464F28" w:rsidRDefault="00464F28" w:rsidP="00464F28">
            <w:pPr>
              <w:rPr>
                <w:szCs w:val="24"/>
              </w:rPr>
            </w:pPr>
            <w:r w:rsidRPr="00464F28">
              <w:rPr>
                <w:b/>
                <w:bCs/>
                <w:szCs w:val="42"/>
              </w:rPr>
              <w:t>Нечести</w:t>
            </w:r>
          </w:p>
        </w:tc>
        <w:tc>
          <w:tcPr>
            <w:tcW w:w="2038" w:type="dxa"/>
          </w:tcPr>
          <w:p w14:paraId="41E32422" w14:textId="50C13D1F" w:rsidR="00464F28" w:rsidRPr="00464F28" w:rsidRDefault="00464F28" w:rsidP="00464F28">
            <w:pPr>
              <w:rPr>
                <w:szCs w:val="24"/>
              </w:rPr>
            </w:pPr>
            <w:r w:rsidRPr="00464F28">
              <w:rPr>
                <w:b/>
                <w:bCs/>
                <w:szCs w:val="42"/>
              </w:rPr>
              <w:t>Редки</w:t>
            </w:r>
          </w:p>
        </w:tc>
        <w:tc>
          <w:tcPr>
            <w:tcW w:w="2203" w:type="dxa"/>
          </w:tcPr>
          <w:p w14:paraId="41EE04C4" w14:textId="2052C061" w:rsidR="00464F28" w:rsidRPr="00464F28" w:rsidRDefault="00464F28" w:rsidP="00464F28">
            <w:pPr>
              <w:rPr>
                <w:szCs w:val="24"/>
              </w:rPr>
            </w:pPr>
            <w:r w:rsidRPr="00464F28">
              <w:rPr>
                <w:b/>
                <w:bCs/>
                <w:szCs w:val="42"/>
              </w:rPr>
              <w:t>Много редки</w:t>
            </w:r>
          </w:p>
        </w:tc>
      </w:tr>
      <w:tr w:rsidR="00464F28" w14:paraId="15B5F90A" w14:textId="77777777" w:rsidTr="00464F28">
        <w:tc>
          <w:tcPr>
            <w:tcW w:w="2113" w:type="dxa"/>
          </w:tcPr>
          <w:p w14:paraId="389EBA6D" w14:textId="21AB1538" w:rsidR="00464F28" w:rsidRPr="00464F28" w:rsidRDefault="00464F28" w:rsidP="00464F28">
            <w:pPr>
              <w:rPr>
                <w:szCs w:val="24"/>
              </w:rPr>
            </w:pPr>
            <w:r w:rsidRPr="00464F28">
              <w:rPr>
                <w:szCs w:val="42"/>
              </w:rPr>
              <w:t>Нарушения на кръвта и лимфната система</w:t>
            </w:r>
          </w:p>
        </w:tc>
        <w:tc>
          <w:tcPr>
            <w:tcW w:w="1718" w:type="dxa"/>
          </w:tcPr>
          <w:p w14:paraId="3C62AEB5" w14:textId="77777777" w:rsidR="00464F28" w:rsidRPr="00464F28" w:rsidRDefault="00464F28" w:rsidP="00464F28">
            <w:pPr>
              <w:rPr>
                <w:szCs w:val="24"/>
              </w:rPr>
            </w:pPr>
          </w:p>
        </w:tc>
        <w:tc>
          <w:tcPr>
            <w:tcW w:w="1504" w:type="dxa"/>
          </w:tcPr>
          <w:p w14:paraId="30D517B1" w14:textId="3B59BFDD" w:rsidR="00464F28" w:rsidRPr="00464F28" w:rsidRDefault="00464F28" w:rsidP="00464F28">
            <w:pPr>
              <w:rPr>
                <w:szCs w:val="24"/>
              </w:rPr>
            </w:pPr>
            <w:r w:rsidRPr="00464F28">
              <w:rPr>
                <w:szCs w:val="42"/>
              </w:rPr>
              <w:t>Анемия</w:t>
            </w:r>
          </w:p>
        </w:tc>
        <w:tc>
          <w:tcPr>
            <w:tcW w:w="2038" w:type="dxa"/>
          </w:tcPr>
          <w:p w14:paraId="79FAB524" w14:textId="77777777" w:rsidR="00464F28" w:rsidRPr="00464F28" w:rsidRDefault="00464F28" w:rsidP="00464F28">
            <w:pPr>
              <w:rPr>
                <w:szCs w:val="24"/>
              </w:rPr>
            </w:pPr>
          </w:p>
        </w:tc>
        <w:tc>
          <w:tcPr>
            <w:tcW w:w="2203" w:type="dxa"/>
          </w:tcPr>
          <w:p w14:paraId="22043019" w14:textId="7D2255CD" w:rsidR="00464F28" w:rsidRPr="00464F28" w:rsidRDefault="00464F28" w:rsidP="00464F28">
            <w:pPr>
              <w:rPr>
                <w:szCs w:val="24"/>
              </w:rPr>
            </w:pPr>
            <w:r w:rsidRPr="00464F28">
              <w:rPr>
                <w:szCs w:val="42"/>
              </w:rPr>
              <w:t>Неутропения, тромбоцито- пения</w:t>
            </w:r>
          </w:p>
        </w:tc>
      </w:tr>
      <w:tr w:rsidR="00464F28" w14:paraId="5F5BCFD1" w14:textId="77777777" w:rsidTr="00464F28">
        <w:tc>
          <w:tcPr>
            <w:tcW w:w="2113" w:type="dxa"/>
          </w:tcPr>
          <w:p w14:paraId="011FB2D4" w14:textId="2942957B" w:rsidR="00464F28" w:rsidRPr="00464F28" w:rsidRDefault="00464F28" w:rsidP="00464F28">
            <w:pPr>
              <w:rPr>
                <w:szCs w:val="24"/>
              </w:rPr>
            </w:pPr>
            <w:r w:rsidRPr="00464F28">
              <w:rPr>
                <w:szCs w:val="42"/>
              </w:rPr>
              <w:t>Нарушения на имунната система</w:t>
            </w:r>
          </w:p>
        </w:tc>
        <w:tc>
          <w:tcPr>
            <w:tcW w:w="1718" w:type="dxa"/>
          </w:tcPr>
          <w:p w14:paraId="381C195A" w14:textId="77777777" w:rsidR="00464F28" w:rsidRPr="00464F28" w:rsidRDefault="00464F28" w:rsidP="00464F28">
            <w:pPr>
              <w:rPr>
                <w:szCs w:val="24"/>
              </w:rPr>
            </w:pPr>
          </w:p>
        </w:tc>
        <w:tc>
          <w:tcPr>
            <w:tcW w:w="1504" w:type="dxa"/>
          </w:tcPr>
          <w:p w14:paraId="29055D3A" w14:textId="77777777" w:rsidR="00464F28" w:rsidRPr="00464F28" w:rsidRDefault="00464F28" w:rsidP="00464F28">
            <w:pPr>
              <w:rPr>
                <w:szCs w:val="24"/>
              </w:rPr>
            </w:pPr>
          </w:p>
        </w:tc>
        <w:tc>
          <w:tcPr>
            <w:tcW w:w="2038" w:type="dxa"/>
          </w:tcPr>
          <w:p w14:paraId="4DD63C9B" w14:textId="7A6D5AD5" w:rsidR="00464F28" w:rsidRPr="00464F28" w:rsidRDefault="00464F28" w:rsidP="00464F28">
            <w:pPr>
              <w:rPr>
                <w:szCs w:val="24"/>
              </w:rPr>
            </w:pPr>
            <w:r w:rsidRPr="00464F28">
              <w:rPr>
                <w:szCs w:val="42"/>
              </w:rPr>
              <w:t>Оток на ларинкса</w:t>
            </w:r>
          </w:p>
        </w:tc>
        <w:tc>
          <w:tcPr>
            <w:tcW w:w="2203" w:type="dxa"/>
          </w:tcPr>
          <w:p w14:paraId="2EDFEB8A" w14:textId="5042A4B3" w:rsidR="00464F28" w:rsidRPr="00464F28" w:rsidRDefault="00464F28" w:rsidP="00464F28">
            <w:pPr>
              <w:rPr>
                <w:szCs w:val="24"/>
              </w:rPr>
            </w:pPr>
            <w:r w:rsidRPr="00464F28">
              <w:rPr>
                <w:szCs w:val="42"/>
              </w:rPr>
              <w:t>Анафилактична реакция, включително анафилактичен шок</w:t>
            </w:r>
          </w:p>
        </w:tc>
      </w:tr>
      <w:tr w:rsidR="00464F28" w14:paraId="02C7F6D7" w14:textId="77777777" w:rsidTr="00464F28">
        <w:tc>
          <w:tcPr>
            <w:tcW w:w="2113" w:type="dxa"/>
          </w:tcPr>
          <w:p w14:paraId="60407817" w14:textId="27B542AB" w:rsidR="00464F28" w:rsidRPr="00464F28" w:rsidRDefault="00464F28" w:rsidP="00464F28">
            <w:pPr>
              <w:rPr>
                <w:szCs w:val="24"/>
              </w:rPr>
            </w:pPr>
            <w:r w:rsidRPr="00464F28">
              <w:rPr>
                <w:szCs w:val="42"/>
              </w:rPr>
              <w:t>Нарушения на метаболизма и храненето</w:t>
            </w:r>
          </w:p>
        </w:tc>
        <w:tc>
          <w:tcPr>
            <w:tcW w:w="1718" w:type="dxa"/>
          </w:tcPr>
          <w:p w14:paraId="244BEB2A" w14:textId="77777777" w:rsidR="00464F28" w:rsidRPr="00464F28" w:rsidRDefault="00464F28" w:rsidP="00464F28">
            <w:pPr>
              <w:rPr>
                <w:szCs w:val="24"/>
              </w:rPr>
            </w:pPr>
          </w:p>
        </w:tc>
        <w:tc>
          <w:tcPr>
            <w:tcW w:w="1504" w:type="dxa"/>
          </w:tcPr>
          <w:p w14:paraId="0F8977D0" w14:textId="77777777" w:rsidR="00464F28" w:rsidRPr="00464F28" w:rsidRDefault="00464F28" w:rsidP="00464F28">
            <w:pPr>
              <w:rPr>
                <w:szCs w:val="24"/>
              </w:rPr>
            </w:pPr>
          </w:p>
        </w:tc>
        <w:tc>
          <w:tcPr>
            <w:tcW w:w="2038" w:type="dxa"/>
            <w:vAlign w:val="bottom"/>
          </w:tcPr>
          <w:p w14:paraId="27C619F7" w14:textId="6FCB5337" w:rsidR="00464F28" w:rsidRPr="00464F28" w:rsidRDefault="00464F28" w:rsidP="00464F28">
            <w:pPr>
              <w:rPr>
                <w:szCs w:val="24"/>
              </w:rPr>
            </w:pPr>
            <w:r w:rsidRPr="00464F28">
              <w:rPr>
                <w:szCs w:val="42"/>
              </w:rPr>
              <w:t>Хипергликемия, хипогликемия, хипергриглицерид- емия, анорексия</w:t>
            </w:r>
          </w:p>
        </w:tc>
        <w:tc>
          <w:tcPr>
            <w:tcW w:w="2203" w:type="dxa"/>
          </w:tcPr>
          <w:p w14:paraId="75DEE36E" w14:textId="77777777" w:rsidR="00464F28" w:rsidRPr="00464F28" w:rsidRDefault="00464F28" w:rsidP="00464F28">
            <w:pPr>
              <w:rPr>
                <w:szCs w:val="24"/>
              </w:rPr>
            </w:pPr>
          </w:p>
        </w:tc>
      </w:tr>
      <w:tr w:rsidR="00464F28" w14:paraId="373ADD2A" w14:textId="77777777" w:rsidTr="00464F28">
        <w:tc>
          <w:tcPr>
            <w:tcW w:w="2113" w:type="dxa"/>
            <w:vAlign w:val="bottom"/>
          </w:tcPr>
          <w:p w14:paraId="4C553D98" w14:textId="66444E8D" w:rsidR="00464F28" w:rsidRPr="00464F28" w:rsidRDefault="00464F28" w:rsidP="00464F28">
            <w:pPr>
              <w:rPr>
                <w:szCs w:val="24"/>
              </w:rPr>
            </w:pPr>
            <w:r w:rsidRPr="00464F28">
              <w:rPr>
                <w:szCs w:val="42"/>
              </w:rPr>
              <w:t>Психични нарушения</w:t>
            </w:r>
          </w:p>
        </w:tc>
        <w:tc>
          <w:tcPr>
            <w:tcW w:w="1718" w:type="dxa"/>
          </w:tcPr>
          <w:p w14:paraId="7D28BF7E" w14:textId="77777777" w:rsidR="00464F28" w:rsidRPr="00464F28" w:rsidRDefault="00464F28" w:rsidP="00464F28">
            <w:pPr>
              <w:rPr>
                <w:szCs w:val="24"/>
              </w:rPr>
            </w:pPr>
          </w:p>
        </w:tc>
        <w:tc>
          <w:tcPr>
            <w:tcW w:w="1504" w:type="dxa"/>
          </w:tcPr>
          <w:p w14:paraId="1F473C5C" w14:textId="658674E0" w:rsidR="00464F28" w:rsidRPr="00464F28" w:rsidRDefault="00464F28" w:rsidP="00464F28">
            <w:pPr>
              <w:rPr>
                <w:szCs w:val="24"/>
              </w:rPr>
            </w:pPr>
            <w:r w:rsidRPr="00464F28">
              <w:rPr>
                <w:szCs w:val="42"/>
              </w:rPr>
              <w:t>Безсъние</w:t>
            </w:r>
          </w:p>
        </w:tc>
        <w:tc>
          <w:tcPr>
            <w:tcW w:w="2038" w:type="dxa"/>
          </w:tcPr>
          <w:p w14:paraId="0AE36B5E" w14:textId="77777777" w:rsidR="00464F28" w:rsidRPr="00464F28" w:rsidRDefault="00464F28" w:rsidP="00464F28">
            <w:pPr>
              <w:rPr>
                <w:szCs w:val="24"/>
              </w:rPr>
            </w:pPr>
          </w:p>
        </w:tc>
        <w:tc>
          <w:tcPr>
            <w:tcW w:w="2203" w:type="dxa"/>
          </w:tcPr>
          <w:p w14:paraId="519AB5BC" w14:textId="77777777" w:rsidR="00464F28" w:rsidRPr="00464F28" w:rsidRDefault="00464F28" w:rsidP="00464F28">
            <w:pPr>
              <w:rPr>
                <w:szCs w:val="24"/>
              </w:rPr>
            </w:pPr>
          </w:p>
        </w:tc>
      </w:tr>
      <w:tr w:rsidR="00464F28" w14:paraId="61ED6BDA" w14:textId="77777777" w:rsidTr="00464F28">
        <w:tc>
          <w:tcPr>
            <w:tcW w:w="2113" w:type="dxa"/>
          </w:tcPr>
          <w:p w14:paraId="6843755D" w14:textId="2DDCAB87" w:rsidR="00464F28" w:rsidRPr="00464F28" w:rsidRDefault="00464F28" w:rsidP="00464F28">
            <w:pPr>
              <w:rPr>
                <w:szCs w:val="24"/>
              </w:rPr>
            </w:pPr>
            <w:r w:rsidRPr="00464F28">
              <w:rPr>
                <w:szCs w:val="42"/>
              </w:rPr>
              <w:t>Нарушения на нервната система</w:t>
            </w:r>
          </w:p>
        </w:tc>
        <w:tc>
          <w:tcPr>
            <w:tcW w:w="1718" w:type="dxa"/>
          </w:tcPr>
          <w:p w14:paraId="7EFA5A35" w14:textId="77777777" w:rsidR="00464F28" w:rsidRPr="00464F28" w:rsidRDefault="00464F28" w:rsidP="00464F28">
            <w:pPr>
              <w:rPr>
                <w:szCs w:val="24"/>
              </w:rPr>
            </w:pPr>
          </w:p>
        </w:tc>
        <w:tc>
          <w:tcPr>
            <w:tcW w:w="1504" w:type="dxa"/>
            <w:vAlign w:val="bottom"/>
          </w:tcPr>
          <w:p w14:paraId="656392E5" w14:textId="05AD3682" w:rsidR="00464F28" w:rsidRPr="00464F28" w:rsidRDefault="00464F28" w:rsidP="00464F28">
            <w:pPr>
              <w:rPr>
                <w:szCs w:val="24"/>
              </w:rPr>
            </w:pPr>
            <w:r w:rsidRPr="00464F28">
              <w:rPr>
                <w:szCs w:val="42"/>
              </w:rPr>
              <w:t>Главоболие, замаяност, сънливост</w:t>
            </w:r>
          </w:p>
        </w:tc>
        <w:tc>
          <w:tcPr>
            <w:tcW w:w="2038" w:type="dxa"/>
          </w:tcPr>
          <w:p w14:paraId="38074DE8" w14:textId="6110D23F" w:rsidR="00464F28" w:rsidRPr="00464F28" w:rsidRDefault="00464F28" w:rsidP="00464F28">
            <w:pPr>
              <w:rPr>
                <w:szCs w:val="24"/>
              </w:rPr>
            </w:pPr>
            <w:r w:rsidRPr="00464F28">
              <w:rPr>
                <w:szCs w:val="42"/>
              </w:rPr>
              <w:t>Парастезии, синкоп</w:t>
            </w:r>
          </w:p>
        </w:tc>
        <w:tc>
          <w:tcPr>
            <w:tcW w:w="2203" w:type="dxa"/>
          </w:tcPr>
          <w:p w14:paraId="0B449AA5" w14:textId="77777777" w:rsidR="00464F28" w:rsidRPr="00464F28" w:rsidRDefault="00464F28" w:rsidP="00464F28">
            <w:pPr>
              <w:rPr>
                <w:szCs w:val="24"/>
              </w:rPr>
            </w:pPr>
          </w:p>
        </w:tc>
      </w:tr>
      <w:tr w:rsidR="00464F28" w14:paraId="42E5F347" w14:textId="77777777" w:rsidTr="00464F28">
        <w:tc>
          <w:tcPr>
            <w:tcW w:w="2113" w:type="dxa"/>
            <w:vAlign w:val="bottom"/>
          </w:tcPr>
          <w:p w14:paraId="6C4F8813" w14:textId="5D5E9D7E" w:rsidR="00464F28" w:rsidRPr="00464F28" w:rsidRDefault="00464F28" w:rsidP="00464F28">
            <w:pPr>
              <w:rPr>
                <w:szCs w:val="24"/>
              </w:rPr>
            </w:pPr>
            <w:r w:rsidRPr="00464F28">
              <w:rPr>
                <w:szCs w:val="42"/>
              </w:rPr>
              <w:lastRenderedPageBreak/>
              <w:t>Нарушения на очите</w:t>
            </w:r>
          </w:p>
        </w:tc>
        <w:tc>
          <w:tcPr>
            <w:tcW w:w="1718" w:type="dxa"/>
          </w:tcPr>
          <w:p w14:paraId="422420BC" w14:textId="77777777" w:rsidR="00464F28" w:rsidRPr="00464F28" w:rsidRDefault="00464F28" w:rsidP="00464F28">
            <w:pPr>
              <w:rPr>
                <w:szCs w:val="24"/>
              </w:rPr>
            </w:pPr>
          </w:p>
        </w:tc>
        <w:tc>
          <w:tcPr>
            <w:tcW w:w="1504" w:type="dxa"/>
            <w:vAlign w:val="bottom"/>
          </w:tcPr>
          <w:p w14:paraId="7F08B26C" w14:textId="11CCC61D" w:rsidR="00464F28" w:rsidRPr="00464F28" w:rsidRDefault="00464F28" w:rsidP="00464F28">
            <w:pPr>
              <w:rPr>
                <w:szCs w:val="24"/>
              </w:rPr>
            </w:pPr>
            <w:r w:rsidRPr="00464F28">
              <w:rPr>
                <w:szCs w:val="42"/>
              </w:rPr>
              <w:t>Замъглено виждане</w:t>
            </w:r>
          </w:p>
        </w:tc>
        <w:tc>
          <w:tcPr>
            <w:tcW w:w="2038" w:type="dxa"/>
          </w:tcPr>
          <w:p w14:paraId="0BB1C92E" w14:textId="77777777" w:rsidR="00464F28" w:rsidRPr="00464F28" w:rsidRDefault="00464F28" w:rsidP="00464F28">
            <w:pPr>
              <w:rPr>
                <w:szCs w:val="24"/>
              </w:rPr>
            </w:pPr>
          </w:p>
        </w:tc>
        <w:tc>
          <w:tcPr>
            <w:tcW w:w="2203" w:type="dxa"/>
          </w:tcPr>
          <w:p w14:paraId="3E7FAB93" w14:textId="77777777" w:rsidR="00464F28" w:rsidRPr="00464F28" w:rsidRDefault="00464F28" w:rsidP="00464F28">
            <w:pPr>
              <w:rPr>
                <w:szCs w:val="24"/>
              </w:rPr>
            </w:pPr>
          </w:p>
        </w:tc>
      </w:tr>
      <w:tr w:rsidR="00464F28" w14:paraId="6FAB9394" w14:textId="77777777" w:rsidTr="00464F28">
        <w:tc>
          <w:tcPr>
            <w:tcW w:w="2113" w:type="dxa"/>
            <w:vAlign w:val="bottom"/>
          </w:tcPr>
          <w:p w14:paraId="0AB2D292" w14:textId="77D90A1E" w:rsidR="00464F28" w:rsidRPr="00464F28" w:rsidRDefault="00464F28" w:rsidP="00464F28">
            <w:pPr>
              <w:rPr>
                <w:szCs w:val="24"/>
              </w:rPr>
            </w:pPr>
            <w:r w:rsidRPr="00464F28">
              <w:rPr>
                <w:szCs w:val="42"/>
              </w:rPr>
              <w:t>Нарушения на ухото и лабиринта</w:t>
            </w:r>
          </w:p>
        </w:tc>
        <w:tc>
          <w:tcPr>
            <w:tcW w:w="1718" w:type="dxa"/>
          </w:tcPr>
          <w:p w14:paraId="0944F479" w14:textId="77777777" w:rsidR="00464F28" w:rsidRPr="00464F28" w:rsidRDefault="00464F28" w:rsidP="00464F28">
            <w:pPr>
              <w:rPr>
                <w:szCs w:val="24"/>
              </w:rPr>
            </w:pPr>
          </w:p>
        </w:tc>
        <w:tc>
          <w:tcPr>
            <w:tcW w:w="1504" w:type="dxa"/>
          </w:tcPr>
          <w:p w14:paraId="356379BC" w14:textId="77777777" w:rsidR="00464F28" w:rsidRPr="00464F28" w:rsidRDefault="00464F28" w:rsidP="00464F28">
            <w:pPr>
              <w:rPr>
                <w:szCs w:val="24"/>
              </w:rPr>
            </w:pPr>
          </w:p>
        </w:tc>
        <w:tc>
          <w:tcPr>
            <w:tcW w:w="2038" w:type="dxa"/>
          </w:tcPr>
          <w:p w14:paraId="4441E87B" w14:textId="5C661AF5" w:rsidR="00464F28" w:rsidRPr="00464F28" w:rsidRDefault="00464F28" w:rsidP="00464F28">
            <w:pPr>
              <w:rPr>
                <w:szCs w:val="24"/>
              </w:rPr>
            </w:pPr>
            <w:r w:rsidRPr="00464F28">
              <w:rPr>
                <w:szCs w:val="42"/>
              </w:rPr>
              <w:t>Тинигус</w:t>
            </w:r>
          </w:p>
        </w:tc>
        <w:tc>
          <w:tcPr>
            <w:tcW w:w="2203" w:type="dxa"/>
          </w:tcPr>
          <w:p w14:paraId="2F807F97" w14:textId="77777777" w:rsidR="00464F28" w:rsidRPr="00464F28" w:rsidRDefault="00464F28" w:rsidP="00464F28">
            <w:pPr>
              <w:rPr>
                <w:szCs w:val="24"/>
              </w:rPr>
            </w:pPr>
          </w:p>
        </w:tc>
      </w:tr>
      <w:tr w:rsidR="00464F28" w14:paraId="67DF9125" w14:textId="77777777" w:rsidTr="00464F28">
        <w:tc>
          <w:tcPr>
            <w:tcW w:w="2113" w:type="dxa"/>
            <w:vAlign w:val="bottom"/>
          </w:tcPr>
          <w:p w14:paraId="244978CC" w14:textId="5424FECC" w:rsidR="00464F28" w:rsidRPr="00464F28" w:rsidRDefault="00464F28" w:rsidP="00464F28">
            <w:pPr>
              <w:rPr>
                <w:szCs w:val="24"/>
              </w:rPr>
            </w:pPr>
            <w:r w:rsidRPr="00464F28">
              <w:rPr>
                <w:szCs w:val="42"/>
              </w:rPr>
              <w:t>Сърдечни нарушения</w:t>
            </w:r>
          </w:p>
        </w:tc>
        <w:tc>
          <w:tcPr>
            <w:tcW w:w="1718" w:type="dxa"/>
          </w:tcPr>
          <w:p w14:paraId="31ABF078" w14:textId="77777777" w:rsidR="00464F28" w:rsidRPr="00464F28" w:rsidRDefault="00464F28" w:rsidP="00464F28">
            <w:pPr>
              <w:rPr>
                <w:szCs w:val="24"/>
              </w:rPr>
            </w:pPr>
          </w:p>
        </w:tc>
        <w:tc>
          <w:tcPr>
            <w:tcW w:w="1504" w:type="dxa"/>
          </w:tcPr>
          <w:p w14:paraId="2C34F493" w14:textId="77777777" w:rsidR="00464F28" w:rsidRPr="00464F28" w:rsidRDefault="00464F28" w:rsidP="00464F28">
            <w:pPr>
              <w:rPr>
                <w:szCs w:val="24"/>
              </w:rPr>
            </w:pPr>
          </w:p>
        </w:tc>
        <w:tc>
          <w:tcPr>
            <w:tcW w:w="2038" w:type="dxa"/>
            <w:vAlign w:val="bottom"/>
          </w:tcPr>
          <w:p w14:paraId="06978219" w14:textId="2A4FB120" w:rsidR="00464F28" w:rsidRPr="00464F28" w:rsidRDefault="00464F28" w:rsidP="00464F28">
            <w:pPr>
              <w:rPr>
                <w:szCs w:val="24"/>
              </w:rPr>
            </w:pPr>
            <w:r w:rsidRPr="00464F28">
              <w:rPr>
                <w:szCs w:val="42"/>
              </w:rPr>
              <w:t>Екстрасистоли, тахикардия</w:t>
            </w:r>
          </w:p>
        </w:tc>
        <w:tc>
          <w:tcPr>
            <w:tcW w:w="2203" w:type="dxa"/>
          </w:tcPr>
          <w:p w14:paraId="7D66B2A0" w14:textId="77777777" w:rsidR="00464F28" w:rsidRPr="00464F28" w:rsidRDefault="00464F28" w:rsidP="00464F28">
            <w:pPr>
              <w:rPr>
                <w:szCs w:val="24"/>
              </w:rPr>
            </w:pPr>
          </w:p>
        </w:tc>
      </w:tr>
      <w:tr w:rsidR="00464F28" w14:paraId="77BED9B4" w14:textId="77777777" w:rsidTr="00464F28">
        <w:tc>
          <w:tcPr>
            <w:tcW w:w="2113" w:type="dxa"/>
          </w:tcPr>
          <w:p w14:paraId="06D01D60" w14:textId="4E4AEA5F" w:rsidR="00464F28" w:rsidRPr="00464F28" w:rsidRDefault="00464F28" w:rsidP="00464F28">
            <w:pPr>
              <w:rPr>
                <w:szCs w:val="24"/>
              </w:rPr>
            </w:pPr>
            <w:r w:rsidRPr="00464F28">
              <w:rPr>
                <w:szCs w:val="42"/>
              </w:rPr>
              <w:t>Съдови нарушения</w:t>
            </w:r>
          </w:p>
        </w:tc>
        <w:tc>
          <w:tcPr>
            <w:tcW w:w="1718" w:type="dxa"/>
          </w:tcPr>
          <w:p w14:paraId="790392AF" w14:textId="77777777" w:rsidR="00464F28" w:rsidRPr="00464F28" w:rsidRDefault="00464F28" w:rsidP="00464F28">
            <w:pPr>
              <w:rPr>
                <w:szCs w:val="24"/>
              </w:rPr>
            </w:pPr>
          </w:p>
        </w:tc>
        <w:tc>
          <w:tcPr>
            <w:tcW w:w="1504" w:type="dxa"/>
          </w:tcPr>
          <w:p w14:paraId="191F473A" w14:textId="2B0E1EDF" w:rsidR="00464F28" w:rsidRPr="00464F28" w:rsidRDefault="00464F28" w:rsidP="00464F28">
            <w:pPr>
              <w:rPr>
                <w:szCs w:val="24"/>
              </w:rPr>
            </w:pPr>
            <w:r w:rsidRPr="00464F28">
              <w:rPr>
                <w:szCs w:val="42"/>
              </w:rPr>
              <w:t>Хипотония, горещи вълни</w:t>
            </w:r>
          </w:p>
        </w:tc>
        <w:tc>
          <w:tcPr>
            <w:tcW w:w="2038" w:type="dxa"/>
            <w:vAlign w:val="bottom"/>
          </w:tcPr>
          <w:p w14:paraId="5FFC3517" w14:textId="57C31B1D" w:rsidR="00464F28" w:rsidRPr="00464F28" w:rsidRDefault="00464F28" w:rsidP="00464F28">
            <w:pPr>
              <w:rPr>
                <w:szCs w:val="24"/>
              </w:rPr>
            </w:pPr>
            <w:r w:rsidRPr="00464F28">
              <w:rPr>
                <w:szCs w:val="42"/>
              </w:rPr>
              <w:t>Хипертония, повърхностен тромбофлебит</w:t>
            </w:r>
          </w:p>
        </w:tc>
        <w:tc>
          <w:tcPr>
            <w:tcW w:w="2203" w:type="dxa"/>
          </w:tcPr>
          <w:p w14:paraId="698D95F5" w14:textId="77777777" w:rsidR="00464F28" w:rsidRPr="00464F28" w:rsidRDefault="00464F28" w:rsidP="00464F28">
            <w:pPr>
              <w:rPr>
                <w:szCs w:val="24"/>
              </w:rPr>
            </w:pPr>
          </w:p>
        </w:tc>
      </w:tr>
      <w:tr w:rsidR="00464F28" w14:paraId="2AD73774" w14:textId="77777777" w:rsidTr="00464F28">
        <w:tc>
          <w:tcPr>
            <w:tcW w:w="2113" w:type="dxa"/>
            <w:vAlign w:val="bottom"/>
          </w:tcPr>
          <w:p w14:paraId="6FB2B856" w14:textId="05A47466" w:rsidR="00464F28" w:rsidRPr="00464F28" w:rsidRDefault="00464F28" w:rsidP="00464F28">
            <w:pPr>
              <w:rPr>
                <w:szCs w:val="24"/>
              </w:rPr>
            </w:pPr>
            <w:r w:rsidRPr="00464F28">
              <w:rPr>
                <w:szCs w:val="42"/>
              </w:rPr>
              <w:t>Респираторни, гръдни и медиастинални нарушения</w:t>
            </w:r>
          </w:p>
        </w:tc>
        <w:tc>
          <w:tcPr>
            <w:tcW w:w="1718" w:type="dxa"/>
          </w:tcPr>
          <w:p w14:paraId="3656B573" w14:textId="77777777" w:rsidR="00464F28" w:rsidRPr="00464F28" w:rsidRDefault="00464F28" w:rsidP="00464F28">
            <w:pPr>
              <w:rPr>
                <w:szCs w:val="24"/>
              </w:rPr>
            </w:pPr>
          </w:p>
        </w:tc>
        <w:tc>
          <w:tcPr>
            <w:tcW w:w="1504" w:type="dxa"/>
          </w:tcPr>
          <w:p w14:paraId="377BE082" w14:textId="77777777" w:rsidR="00464F28" w:rsidRPr="00464F28" w:rsidRDefault="00464F28" w:rsidP="00464F28">
            <w:pPr>
              <w:rPr>
                <w:szCs w:val="24"/>
              </w:rPr>
            </w:pPr>
          </w:p>
        </w:tc>
        <w:tc>
          <w:tcPr>
            <w:tcW w:w="2038" w:type="dxa"/>
          </w:tcPr>
          <w:p w14:paraId="2660AC00" w14:textId="11122182" w:rsidR="00464F28" w:rsidRPr="00464F28" w:rsidRDefault="00464F28" w:rsidP="00464F28">
            <w:pPr>
              <w:rPr>
                <w:szCs w:val="24"/>
              </w:rPr>
            </w:pPr>
            <w:r w:rsidRPr="00464F28">
              <w:rPr>
                <w:szCs w:val="42"/>
              </w:rPr>
              <w:t>Брадипнея</w:t>
            </w:r>
          </w:p>
        </w:tc>
        <w:tc>
          <w:tcPr>
            <w:tcW w:w="2203" w:type="dxa"/>
          </w:tcPr>
          <w:p w14:paraId="65B34E7E" w14:textId="7F9C3165" w:rsidR="00464F28" w:rsidRPr="00464F28" w:rsidRDefault="00464F28" w:rsidP="00464F28">
            <w:pPr>
              <w:rPr>
                <w:szCs w:val="24"/>
              </w:rPr>
            </w:pPr>
            <w:r w:rsidRPr="00464F28">
              <w:rPr>
                <w:szCs w:val="42"/>
              </w:rPr>
              <w:t>Бронхоспазъм, диспнея</w:t>
            </w:r>
          </w:p>
        </w:tc>
      </w:tr>
      <w:tr w:rsidR="00464F28" w14:paraId="15E9C879" w14:textId="77777777" w:rsidTr="00464F28">
        <w:tc>
          <w:tcPr>
            <w:tcW w:w="2113" w:type="dxa"/>
          </w:tcPr>
          <w:p w14:paraId="1D772466" w14:textId="261FE03C" w:rsidR="00464F28" w:rsidRPr="00464F28" w:rsidRDefault="00464F28" w:rsidP="00464F28">
            <w:pPr>
              <w:rPr>
                <w:szCs w:val="24"/>
              </w:rPr>
            </w:pPr>
            <w:r w:rsidRPr="00464F28">
              <w:rPr>
                <w:szCs w:val="42"/>
              </w:rPr>
              <w:t>Стомашно-чревни нарушения</w:t>
            </w:r>
          </w:p>
        </w:tc>
        <w:tc>
          <w:tcPr>
            <w:tcW w:w="1718" w:type="dxa"/>
          </w:tcPr>
          <w:p w14:paraId="7EBC2CED" w14:textId="2FEA310B" w:rsidR="00464F28" w:rsidRPr="00464F28" w:rsidRDefault="00464F28" w:rsidP="00464F28">
            <w:pPr>
              <w:rPr>
                <w:szCs w:val="24"/>
              </w:rPr>
            </w:pPr>
            <w:r w:rsidRPr="00464F28">
              <w:rPr>
                <w:szCs w:val="42"/>
              </w:rPr>
              <w:t>Гадене, повръщане</w:t>
            </w:r>
          </w:p>
        </w:tc>
        <w:tc>
          <w:tcPr>
            <w:tcW w:w="1504" w:type="dxa"/>
            <w:vAlign w:val="bottom"/>
          </w:tcPr>
          <w:p w14:paraId="14147211" w14:textId="46684544" w:rsidR="00464F28" w:rsidRPr="00464F28" w:rsidRDefault="00464F28" w:rsidP="00464F28">
            <w:pPr>
              <w:rPr>
                <w:szCs w:val="24"/>
              </w:rPr>
            </w:pPr>
            <w:r w:rsidRPr="00464F28">
              <w:rPr>
                <w:szCs w:val="42"/>
              </w:rPr>
              <w:t>Коремна болка, диспепсия, диария, констипация, хематемеза, сухота в устата</w:t>
            </w:r>
          </w:p>
        </w:tc>
        <w:tc>
          <w:tcPr>
            <w:tcW w:w="2038" w:type="dxa"/>
            <w:vAlign w:val="bottom"/>
          </w:tcPr>
          <w:p w14:paraId="6F68B44A" w14:textId="29362C7A" w:rsidR="00464F28" w:rsidRPr="00464F28" w:rsidRDefault="00464F28" w:rsidP="00464F28">
            <w:pPr>
              <w:rPr>
                <w:szCs w:val="24"/>
              </w:rPr>
            </w:pPr>
            <w:r w:rsidRPr="00464F28">
              <w:rPr>
                <w:szCs w:val="42"/>
              </w:rPr>
              <w:t>Пептична язва, кръвоизлив от пептична язва или перфорация на пептична язва (вж. точка 4.4.)</w:t>
            </w:r>
          </w:p>
        </w:tc>
        <w:tc>
          <w:tcPr>
            <w:tcW w:w="2203" w:type="dxa"/>
          </w:tcPr>
          <w:p w14:paraId="1ED96AFA" w14:textId="1E5517F1" w:rsidR="00464F28" w:rsidRPr="00464F28" w:rsidRDefault="00464F28" w:rsidP="00464F28">
            <w:pPr>
              <w:rPr>
                <w:szCs w:val="24"/>
              </w:rPr>
            </w:pPr>
            <w:r w:rsidRPr="00464F28">
              <w:rPr>
                <w:szCs w:val="42"/>
              </w:rPr>
              <w:t>Панкреагит</w:t>
            </w:r>
          </w:p>
        </w:tc>
      </w:tr>
      <w:tr w:rsidR="00464F28" w14:paraId="0598D5BF" w14:textId="77777777" w:rsidTr="00464F28">
        <w:tc>
          <w:tcPr>
            <w:tcW w:w="2113" w:type="dxa"/>
          </w:tcPr>
          <w:p w14:paraId="44BC80A8" w14:textId="4184474D" w:rsidR="00464F28" w:rsidRPr="00464F28" w:rsidRDefault="00464F28" w:rsidP="00464F28">
            <w:pPr>
              <w:rPr>
                <w:szCs w:val="24"/>
              </w:rPr>
            </w:pPr>
            <w:r w:rsidRPr="00464F28">
              <w:rPr>
                <w:szCs w:val="42"/>
              </w:rPr>
              <w:t>Хепаго-бипиарни нарушения</w:t>
            </w:r>
          </w:p>
        </w:tc>
        <w:tc>
          <w:tcPr>
            <w:tcW w:w="1718" w:type="dxa"/>
          </w:tcPr>
          <w:p w14:paraId="0EA07770" w14:textId="77777777" w:rsidR="00464F28" w:rsidRPr="00464F28" w:rsidRDefault="00464F28" w:rsidP="00464F28">
            <w:pPr>
              <w:rPr>
                <w:szCs w:val="24"/>
              </w:rPr>
            </w:pPr>
          </w:p>
        </w:tc>
        <w:tc>
          <w:tcPr>
            <w:tcW w:w="1504" w:type="dxa"/>
          </w:tcPr>
          <w:p w14:paraId="3D12C553" w14:textId="77777777" w:rsidR="00464F28" w:rsidRPr="00464F28" w:rsidRDefault="00464F28" w:rsidP="00464F28">
            <w:pPr>
              <w:rPr>
                <w:szCs w:val="24"/>
              </w:rPr>
            </w:pPr>
          </w:p>
        </w:tc>
        <w:tc>
          <w:tcPr>
            <w:tcW w:w="2038" w:type="dxa"/>
          </w:tcPr>
          <w:p w14:paraId="1428DF7D" w14:textId="0AB02B25" w:rsidR="00464F28" w:rsidRPr="00464F28" w:rsidRDefault="00464F28" w:rsidP="00464F28">
            <w:pPr>
              <w:rPr>
                <w:szCs w:val="24"/>
              </w:rPr>
            </w:pPr>
            <w:r w:rsidRPr="00464F28">
              <w:rPr>
                <w:szCs w:val="42"/>
              </w:rPr>
              <w:t>Хепатит, жълтеница</w:t>
            </w:r>
          </w:p>
        </w:tc>
        <w:tc>
          <w:tcPr>
            <w:tcW w:w="2203" w:type="dxa"/>
            <w:vAlign w:val="center"/>
          </w:tcPr>
          <w:p w14:paraId="2373D993" w14:textId="77777777" w:rsidR="00464F28" w:rsidRPr="00464F28" w:rsidRDefault="00464F28" w:rsidP="00464F28">
            <w:r w:rsidRPr="00464F28">
              <w:rPr>
                <w:szCs w:val="42"/>
              </w:rPr>
              <w:t>Хепатоцелуларно</w:t>
            </w:r>
          </w:p>
          <w:p w14:paraId="7F128C2F" w14:textId="2E6E998C" w:rsidR="00464F28" w:rsidRPr="00464F28" w:rsidRDefault="00464F28" w:rsidP="00464F28">
            <w:pPr>
              <w:rPr>
                <w:szCs w:val="24"/>
              </w:rPr>
            </w:pPr>
            <w:r w:rsidRPr="00464F28">
              <w:rPr>
                <w:szCs w:val="42"/>
              </w:rPr>
              <w:t>увреждане</w:t>
            </w:r>
          </w:p>
        </w:tc>
      </w:tr>
      <w:tr w:rsidR="00464F28" w14:paraId="76FCECF1" w14:textId="77777777" w:rsidTr="00464F28">
        <w:tc>
          <w:tcPr>
            <w:tcW w:w="2113" w:type="dxa"/>
            <w:vAlign w:val="bottom"/>
          </w:tcPr>
          <w:p w14:paraId="534CBECD" w14:textId="7293BF50" w:rsidR="00464F28" w:rsidRPr="00464F28" w:rsidRDefault="00464F28" w:rsidP="00464F28">
            <w:pPr>
              <w:rPr>
                <w:rFonts w:cs="Arial"/>
              </w:rPr>
            </w:pPr>
            <w:r w:rsidRPr="00464F28">
              <w:rPr>
                <w:rFonts w:cs="Arial"/>
              </w:rPr>
              <w:t xml:space="preserve">Нарушения на </w:t>
            </w:r>
            <w:r w:rsidRPr="00464F28">
              <w:rPr>
                <w:rFonts w:cs="Arial"/>
              </w:rPr>
              <w:t>кожата и подкожната тъкан</w:t>
            </w:r>
          </w:p>
        </w:tc>
        <w:tc>
          <w:tcPr>
            <w:tcW w:w="1718" w:type="dxa"/>
          </w:tcPr>
          <w:p w14:paraId="4240A413" w14:textId="77777777" w:rsidR="00464F28" w:rsidRPr="00464F28" w:rsidRDefault="00464F28" w:rsidP="00464F28">
            <w:pPr>
              <w:rPr>
                <w:rFonts w:cs="Arial"/>
              </w:rPr>
            </w:pPr>
          </w:p>
        </w:tc>
        <w:tc>
          <w:tcPr>
            <w:tcW w:w="1504" w:type="dxa"/>
            <w:vAlign w:val="bottom"/>
          </w:tcPr>
          <w:p w14:paraId="44E3526E" w14:textId="143208E0" w:rsidR="00464F28" w:rsidRPr="00464F28" w:rsidRDefault="00464F28" w:rsidP="00464F28">
            <w:pPr>
              <w:rPr>
                <w:rFonts w:cs="Arial"/>
              </w:rPr>
            </w:pPr>
            <w:r w:rsidRPr="00464F28">
              <w:rPr>
                <w:rFonts w:cs="Arial"/>
              </w:rPr>
              <w:t xml:space="preserve">Дерматиг, </w:t>
            </w:r>
            <w:r w:rsidRPr="00464F28">
              <w:rPr>
                <w:rFonts w:cs="Arial"/>
              </w:rPr>
              <w:t>сърбеж, кожен сбрив, повишено изпотяване</w:t>
            </w:r>
          </w:p>
        </w:tc>
        <w:tc>
          <w:tcPr>
            <w:tcW w:w="2038" w:type="dxa"/>
            <w:vAlign w:val="bottom"/>
          </w:tcPr>
          <w:p w14:paraId="5FDE2485" w14:textId="6AA53D26" w:rsidR="00464F28" w:rsidRPr="00464F28" w:rsidRDefault="00464F28" w:rsidP="00464F28">
            <w:pPr>
              <w:rPr>
                <w:rFonts w:cs="Arial"/>
              </w:rPr>
            </w:pPr>
            <w:r w:rsidRPr="00464F28">
              <w:rPr>
                <w:rFonts w:cs="Arial"/>
              </w:rPr>
              <w:t>Ургикария, акне</w:t>
            </w:r>
          </w:p>
        </w:tc>
        <w:tc>
          <w:tcPr>
            <w:tcW w:w="2203" w:type="dxa"/>
          </w:tcPr>
          <w:p w14:paraId="67DDA996" w14:textId="77777777" w:rsidR="00464F28" w:rsidRPr="00464F28" w:rsidRDefault="00464F28" w:rsidP="00464F28">
            <w:pPr>
              <w:rPr>
                <w:rFonts w:eastAsia="Times New Roman" w:cs="Arial"/>
              </w:rPr>
            </w:pPr>
            <w:r w:rsidRPr="00464F28">
              <w:rPr>
                <w:rFonts w:cs="Arial"/>
              </w:rPr>
              <w:t xml:space="preserve">Синдрома на </w:t>
            </w:r>
            <w:r w:rsidRPr="00464F28">
              <w:rPr>
                <w:rFonts w:cs="Arial"/>
                <w:lang w:val="en-US"/>
              </w:rPr>
              <w:t>Stevens</w:t>
            </w:r>
            <w:r w:rsidRPr="00464F28">
              <w:rPr>
                <w:rFonts w:cs="Arial"/>
              </w:rPr>
              <w:t xml:space="preserve"> </w:t>
            </w:r>
            <w:proofErr w:type="spellStart"/>
            <w:r w:rsidRPr="00464F28">
              <w:rPr>
                <w:rFonts w:eastAsia="Times New Roman" w:cs="Arial"/>
                <w:color w:val="000000"/>
                <w:lang w:val="en-US"/>
              </w:rPr>
              <w:t>ohnson</w:t>
            </w:r>
            <w:proofErr w:type="spellEnd"/>
            <w:r w:rsidRPr="00464F28">
              <w:rPr>
                <w:rFonts w:eastAsia="Times New Roman" w:cs="Arial"/>
                <w:color w:val="000000"/>
                <w:lang w:val="ru-RU"/>
              </w:rPr>
              <w:t xml:space="preserve">, </w:t>
            </w:r>
            <w:r w:rsidRPr="00464F28">
              <w:rPr>
                <w:rFonts w:eastAsia="Times New Roman" w:cs="Arial"/>
                <w:color w:val="000000"/>
                <w:lang w:eastAsia="bg-BG"/>
              </w:rPr>
              <w:t>токсична епидермална некролиза (синдром на Лайел), ангиоедем, фаниален оток, реакции на фоточувствителност</w:t>
            </w:r>
          </w:p>
          <w:p w14:paraId="682BE4FF" w14:textId="5E8B4427" w:rsidR="00464F28" w:rsidRPr="00464F28" w:rsidRDefault="00464F28" w:rsidP="00464F28">
            <w:pPr>
              <w:rPr>
                <w:rFonts w:cs="Arial"/>
              </w:rPr>
            </w:pPr>
          </w:p>
        </w:tc>
      </w:tr>
      <w:tr w:rsidR="00464F28" w14:paraId="66E0F4C3" w14:textId="77777777" w:rsidTr="00464F28">
        <w:tc>
          <w:tcPr>
            <w:tcW w:w="2113" w:type="dxa"/>
          </w:tcPr>
          <w:p w14:paraId="601ABF60" w14:textId="09354426" w:rsidR="00464F28" w:rsidRPr="00464F28" w:rsidRDefault="00464F28" w:rsidP="00464F28">
            <w:pPr>
              <w:rPr>
                <w:szCs w:val="24"/>
              </w:rPr>
            </w:pPr>
            <w:r w:rsidRPr="00464F28">
              <w:rPr>
                <w:szCs w:val="42"/>
              </w:rPr>
              <w:t>Нарушения на мускулно скелетната система и съединителната тъкан</w:t>
            </w:r>
          </w:p>
        </w:tc>
        <w:tc>
          <w:tcPr>
            <w:tcW w:w="1718" w:type="dxa"/>
          </w:tcPr>
          <w:p w14:paraId="7D2CC061" w14:textId="77777777" w:rsidR="00464F28" w:rsidRPr="00464F28" w:rsidRDefault="00464F28" w:rsidP="00464F28">
            <w:pPr>
              <w:rPr>
                <w:szCs w:val="24"/>
              </w:rPr>
            </w:pPr>
          </w:p>
        </w:tc>
        <w:tc>
          <w:tcPr>
            <w:tcW w:w="1504" w:type="dxa"/>
          </w:tcPr>
          <w:p w14:paraId="38DD48C4" w14:textId="77777777" w:rsidR="00464F28" w:rsidRPr="00464F28" w:rsidRDefault="00464F28" w:rsidP="00464F28">
            <w:pPr>
              <w:rPr>
                <w:szCs w:val="24"/>
              </w:rPr>
            </w:pPr>
          </w:p>
        </w:tc>
        <w:tc>
          <w:tcPr>
            <w:tcW w:w="2038" w:type="dxa"/>
          </w:tcPr>
          <w:p w14:paraId="1C3D670A" w14:textId="5B841CF3" w:rsidR="00464F28" w:rsidRPr="00464F28" w:rsidRDefault="00464F28" w:rsidP="00464F28">
            <w:pPr>
              <w:rPr>
                <w:szCs w:val="24"/>
              </w:rPr>
            </w:pPr>
            <w:r w:rsidRPr="00464F28">
              <w:rPr>
                <w:szCs w:val="42"/>
              </w:rPr>
              <w:t>Мускулна скованост, ставна скованост, мускулни крампи, болки в гърба</w:t>
            </w:r>
          </w:p>
        </w:tc>
        <w:tc>
          <w:tcPr>
            <w:tcW w:w="2203" w:type="dxa"/>
          </w:tcPr>
          <w:p w14:paraId="7AA6AA52" w14:textId="0110EEE7" w:rsidR="00464F28" w:rsidRPr="00464F28" w:rsidRDefault="00464F28" w:rsidP="00464F28">
            <w:pPr>
              <w:rPr>
                <w:szCs w:val="24"/>
              </w:rPr>
            </w:pPr>
            <w:r w:rsidRPr="00464F28">
              <w:rPr>
                <w:szCs w:val="42"/>
              </w:rPr>
              <w:t>Нарушения на мускулно скелетната система и съединителната тъкан</w:t>
            </w:r>
          </w:p>
        </w:tc>
      </w:tr>
      <w:tr w:rsidR="00464F28" w14:paraId="71C72726" w14:textId="77777777" w:rsidTr="00464F28">
        <w:tc>
          <w:tcPr>
            <w:tcW w:w="2113" w:type="dxa"/>
          </w:tcPr>
          <w:p w14:paraId="5F1AC91C" w14:textId="76578A7D" w:rsidR="00464F28" w:rsidRPr="00464F28" w:rsidRDefault="00464F28" w:rsidP="00464F28">
            <w:pPr>
              <w:rPr>
                <w:szCs w:val="24"/>
              </w:rPr>
            </w:pPr>
            <w:r w:rsidRPr="00464F28">
              <w:rPr>
                <w:szCs w:val="42"/>
              </w:rPr>
              <w:lastRenderedPageBreak/>
              <w:t>Нарушения на бъбреците и пикочните пътища</w:t>
            </w:r>
          </w:p>
        </w:tc>
        <w:tc>
          <w:tcPr>
            <w:tcW w:w="1718" w:type="dxa"/>
          </w:tcPr>
          <w:p w14:paraId="21A22312" w14:textId="77777777" w:rsidR="00464F28" w:rsidRPr="00464F28" w:rsidRDefault="00464F28" w:rsidP="00464F28">
            <w:pPr>
              <w:rPr>
                <w:szCs w:val="24"/>
              </w:rPr>
            </w:pPr>
          </w:p>
        </w:tc>
        <w:tc>
          <w:tcPr>
            <w:tcW w:w="1504" w:type="dxa"/>
          </w:tcPr>
          <w:p w14:paraId="64283298" w14:textId="77777777" w:rsidR="00464F28" w:rsidRPr="00464F28" w:rsidRDefault="00464F28" w:rsidP="00464F28">
            <w:pPr>
              <w:rPr>
                <w:szCs w:val="24"/>
              </w:rPr>
            </w:pPr>
          </w:p>
        </w:tc>
        <w:tc>
          <w:tcPr>
            <w:tcW w:w="2038" w:type="dxa"/>
          </w:tcPr>
          <w:p w14:paraId="7529CEE0" w14:textId="1768D30D" w:rsidR="00464F28" w:rsidRPr="00464F28" w:rsidRDefault="00464F28" w:rsidP="00464F28">
            <w:pPr>
              <w:rPr>
                <w:szCs w:val="24"/>
              </w:rPr>
            </w:pPr>
            <w:r w:rsidRPr="00464F28">
              <w:rPr>
                <w:szCs w:val="42"/>
              </w:rPr>
              <w:t>Остра бъбречна недостатъчност, полиурия, болка в бъбреците, кегонурия, полиурия</w:t>
            </w:r>
          </w:p>
        </w:tc>
        <w:tc>
          <w:tcPr>
            <w:tcW w:w="2203" w:type="dxa"/>
          </w:tcPr>
          <w:p w14:paraId="5FF26986" w14:textId="01A9CA52" w:rsidR="00464F28" w:rsidRPr="00464F28" w:rsidRDefault="00464F28" w:rsidP="00464F28">
            <w:pPr>
              <w:rPr>
                <w:szCs w:val="24"/>
              </w:rPr>
            </w:pPr>
            <w:r w:rsidRPr="00464F28">
              <w:rPr>
                <w:szCs w:val="42"/>
              </w:rPr>
              <w:t>Нарушения на бъбреците и пикочните пътища</w:t>
            </w:r>
          </w:p>
        </w:tc>
      </w:tr>
      <w:tr w:rsidR="00464F28" w14:paraId="544513B5" w14:textId="77777777" w:rsidTr="00464F28">
        <w:tc>
          <w:tcPr>
            <w:tcW w:w="2113" w:type="dxa"/>
          </w:tcPr>
          <w:p w14:paraId="0035C51C" w14:textId="2B755418" w:rsidR="00464F28" w:rsidRPr="00464F28" w:rsidRDefault="00464F28" w:rsidP="00464F28">
            <w:pPr>
              <w:rPr>
                <w:szCs w:val="24"/>
              </w:rPr>
            </w:pPr>
            <w:r w:rsidRPr="00464F28">
              <w:rPr>
                <w:szCs w:val="42"/>
              </w:rPr>
              <w:t>Нарушения на възпроизводителна та система и гърдата</w:t>
            </w:r>
          </w:p>
        </w:tc>
        <w:tc>
          <w:tcPr>
            <w:tcW w:w="1718" w:type="dxa"/>
          </w:tcPr>
          <w:p w14:paraId="29D770A8" w14:textId="77777777" w:rsidR="00464F28" w:rsidRPr="00464F28" w:rsidRDefault="00464F28" w:rsidP="00464F28">
            <w:pPr>
              <w:rPr>
                <w:szCs w:val="24"/>
              </w:rPr>
            </w:pPr>
          </w:p>
        </w:tc>
        <w:tc>
          <w:tcPr>
            <w:tcW w:w="1504" w:type="dxa"/>
          </w:tcPr>
          <w:p w14:paraId="49099A53" w14:textId="77777777" w:rsidR="00464F28" w:rsidRPr="00464F28" w:rsidRDefault="00464F28" w:rsidP="00464F28">
            <w:pPr>
              <w:rPr>
                <w:szCs w:val="24"/>
              </w:rPr>
            </w:pPr>
          </w:p>
        </w:tc>
        <w:tc>
          <w:tcPr>
            <w:tcW w:w="2038" w:type="dxa"/>
          </w:tcPr>
          <w:p w14:paraId="10723A59" w14:textId="4F27E34D" w:rsidR="00464F28" w:rsidRPr="00464F28" w:rsidRDefault="00464F28" w:rsidP="00464F28">
            <w:pPr>
              <w:rPr>
                <w:szCs w:val="24"/>
              </w:rPr>
            </w:pPr>
            <w:r w:rsidRPr="00464F28">
              <w:rPr>
                <w:szCs w:val="42"/>
              </w:rPr>
              <w:t>Менструални нарушения, засягане на простатата</w:t>
            </w:r>
          </w:p>
        </w:tc>
        <w:tc>
          <w:tcPr>
            <w:tcW w:w="2203" w:type="dxa"/>
          </w:tcPr>
          <w:p w14:paraId="093513CB" w14:textId="69C35A52" w:rsidR="00464F28" w:rsidRPr="00464F28" w:rsidRDefault="00464F28" w:rsidP="00464F28">
            <w:pPr>
              <w:rPr>
                <w:szCs w:val="24"/>
              </w:rPr>
            </w:pPr>
            <w:r w:rsidRPr="00464F28">
              <w:rPr>
                <w:szCs w:val="42"/>
              </w:rPr>
              <w:t>Нарушения на възпроизводителна та система и гърдата</w:t>
            </w:r>
          </w:p>
        </w:tc>
      </w:tr>
      <w:tr w:rsidR="00464F28" w14:paraId="311F5FD1" w14:textId="77777777" w:rsidTr="00464F28">
        <w:tc>
          <w:tcPr>
            <w:tcW w:w="2113" w:type="dxa"/>
          </w:tcPr>
          <w:p w14:paraId="7911F319" w14:textId="4847DEDC" w:rsidR="00464F28" w:rsidRPr="00464F28" w:rsidRDefault="00464F28" w:rsidP="00464F28">
            <w:pPr>
              <w:rPr>
                <w:szCs w:val="24"/>
              </w:rPr>
            </w:pPr>
            <w:r w:rsidRPr="00464F28">
              <w:rPr>
                <w:szCs w:val="42"/>
              </w:rPr>
              <w:t>Общи нарушения и ефекти на мястото на приложение</w:t>
            </w:r>
          </w:p>
        </w:tc>
        <w:tc>
          <w:tcPr>
            <w:tcW w:w="1718" w:type="dxa"/>
          </w:tcPr>
          <w:p w14:paraId="40A7F8F3" w14:textId="083D6841" w:rsidR="00464F28" w:rsidRPr="00464F28" w:rsidRDefault="00464F28" w:rsidP="00464F28">
            <w:pPr>
              <w:rPr>
                <w:szCs w:val="24"/>
              </w:rPr>
            </w:pPr>
            <w:r w:rsidRPr="00464F28">
              <w:rPr>
                <w:szCs w:val="42"/>
              </w:rPr>
              <w:t>Болка в мястото на инжектирането, реакции на мястото на инжектирането, включително възпаление, посиняване иди кръвоизлив</w:t>
            </w:r>
          </w:p>
        </w:tc>
        <w:tc>
          <w:tcPr>
            <w:tcW w:w="1504" w:type="dxa"/>
          </w:tcPr>
          <w:p w14:paraId="0706474A" w14:textId="36D54048" w:rsidR="00464F28" w:rsidRPr="00464F28" w:rsidRDefault="00464F28" w:rsidP="00464F28">
            <w:pPr>
              <w:rPr>
                <w:szCs w:val="24"/>
              </w:rPr>
            </w:pPr>
            <w:r w:rsidRPr="00464F28">
              <w:rPr>
                <w:szCs w:val="42"/>
              </w:rPr>
              <w:t>Висока температура, отпадналост, болки, студени тръпки.</w:t>
            </w:r>
          </w:p>
        </w:tc>
        <w:tc>
          <w:tcPr>
            <w:tcW w:w="2038" w:type="dxa"/>
          </w:tcPr>
          <w:p w14:paraId="16E9A087" w14:textId="2E0FEC9D" w:rsidR="00464F28" w:rsidRPr="00464F28" w:rsidRDefault="00464F28" w:rsidP="00464F28">
            <w:pPr>
              <w:rPr>
                <w:szCs w:val="24"/>
              </w:rPr>
            </w:pPr>
            <w:r w:rsidRPr="00464F28">
              <w:rPr>
                <w:szCs w:val="42"/>
              </w:rPr>
              <w:t>Втрисане, периферен оток</w:t>
            </w:r>
          </w:p>
        </w:tc>
        <w:tc>
          <w:tcPr>
            <w:tcW w:w="2203" w:type="dxa"/>
          </w:tcPr>
          <w:p w14:paraId="1BC008D4" w14:textId="066CD96A" w:rsidR="00464F28" w:rsidRPr="00464F28" w:rsidRDefault="00464F28" w:rsidP="00464F28">
            <w:pPr>
              <w:rPr>
                <w:szCs w:val="24"/>
              </w:rPr>
            </w:pPr>
            <w:r w:rsidRPr="00464F28">
              <w:rPr>
                <w:szCs w:val="42"/>
              </w:rPr>
              <w:t>Общи нарушения и ефекти на мястото на приложение</w:t>
            </w:r>
          </w:p>
        </w:tc>
      </w:tr>
      <w:tr w:rsidR="00464F28" w14:paraId="2C051329" w14:textId="77777777" w:rsidTr="00464F28">
        <w:tc>
          <w:tcPr>
            <w:tcW w:w="2113" w:type="dxa"/>
          </w:tcPr>
          <w:p w14:paraId="1BABB49D" w14:textId="33F51070" w:rsidR="00464F28" w:rsidRPr="00464F28" w:rsidRDefault="00464F28" w:rsidP="00464F28">
            <w:pPr>
              <w:rPr>
                <w:szCs w:val="24"/>
              </w:rPr>
            </w:pPr>
            <w:r w:rsidRPr="00464F28">
              <w:rPr>
                <w:szCs w:val="42"/>
              </w:rPr>
              <w:t>Изследвания</w:t>
            </w:r>
          </w:p>
        </w:tc>
        <w:tc>
          <w:tcPr>
            <w:tcW w:w="1718" w:type="dxa"/>
          </w:tcPr>
          <w:p w14:paraId="253C9CCA" w14:textId="77777777" w:rsidR="00464F28" w:rsidRPr="00464F28" w:rsidRDefault="00464F28" w:rsidP="00464F28">
            <w:pPr>
              <w:rPr>
                <w:szCs w:val="24"/>
              </w:rPr>
            </w:pPr>
          </w:p>
        </w:tc>
        <w:tc>
          <w:tcPr>
            <w:tcW w:w="1504" w:type="dxa"/>
          </w:tcPr>
          <w:p w14:paraId="2157BC3D" w14:textId="77777777" w:rsidR="00464F28" w:rsidRPr="00464F28" w:rsidRDefault="00464F28" w:rsidP="00464F28">
            <w:pPr>
              <w:rPr>
                <w:szCs w:val="24"/>
              </w:rPr>
            </w:pPr>
          </w:p>
        </w:tc>
        <w:tc>
          <w:tcPr>
            <w:tcW w:w="2038" w:type="dxa"/>
          </w:tcPr>
          <w:p w14:paraId="3DDD353F" w14:textId="5B846483" w:rsidR="00464F28" w:rsidRPr="00464F28" w:rsidRDefault="00464F28" w:rsidP="00464F28">
            <w:pPr>
              <w:rPr>
                <w:szCs w:val="24"/>
              </w:rPr>
            </w:pPr>
            <w:r w:rsidRPr="00464F28">
              <w:rPr>
                <w:szCs w:val="42"/>
              </w:rPr>
              <w:t>Абнормни чернодробни функционални проби</w:t>
            </w:r>
          </w:p>
        </w:tc>
        <w:tc>
          <w:tcPr>
            <w:tcW w:w="2203" w:type="dxa"/>
          </w:tcPr>
          <w:p w14:paraId="6A50777E" w14:textId="18DD65AB" w:rsidR="00464F28" w:rsidRPr="00464F28" w:rsidRDefault="00464F28" w:rsidP="00464F28">
            <w:pPr>
              <w:rPr>
                <w:szCs w:val="24"/>
              </w:rPr>
            </w:pPr>
            <w:r w:rsidRPr="00464F28">
              <w:rPr>
                <w:szCs w:val="42"/>
              </w:rPr>
              <w:t>Изследвания</w:t>
            </w:r>
          </w:p>
        </w:tc>
      </w:tr>
    </w:tbl>
    <w:p w14:paraId="7FEC955B" w14:textId="77777777" w:rsidR="00464F28" w:rsidRPr="00464F28" w:rsidRDefault="00464F28" w:rsidP="00464F28">
      <w:pPr>
        <w:rPr>
          <w:sz w:val="24"/>
          <w:szCs w:val="24"/>
        </w:rPr>
      </w:pPr>
      <w:r w:rsidRPr="00464F28">
        <w:rPr>
          <w:lang w:eastAsia="bg-BG"/>
        </w:rPr>
        <w:t>Стомашно-чревни: най-честите наблюдавани нежелани реакции са стомашно-чревни. Може да се наблюдават пептична язва, перфорация или стомашно-чревен кръвоизлив, понякога фатални, особено в старческа възраст (вж. точка 4.4). След приложение са съобщавани гадене,повръщане, диария, флатуленция, констипация, диспепсия, коремна болка, медена, хематемеза, улцеративен стоматит, екзацербация на колит или болест на Крон (вж. точка 4.4 Специални предупреждения и предпазни мерки при употреба).</w:t>
      </w:r>
    </w:p>
    <w:p w14:paraId="322AB2E1" w14:textId="77777777" w:rsidR="00464F28" w:rsidRPr="00464F28" w:rsidRDefault="00464F28" w:rsidP="00464F28">
      <w:pPr>
        <w:rPr>
          <w:sz w:val="24"/>
          <w:szCs w:val="24"/>
        </w:rPr>
      </w:pPr>
      <w:r w:rsidRPr="00464F28">
        <w:rPr>
          <w:lang w:eastAsia="bg-BG"/>
        </w:rPr>
        <w:t>По-рядко е наблюдаван гастрит. Има съобщения за отоци, хипертония и сърдечна недостатъчност, свързани с употребата на НСПВС.</w:t>
      </w:r>
    </w:p>
    <w:p w14:paraId="69DDC1DC" w14:textId="77777777" w:rsidR="00464F28" w:rsidRDefault="00464F28" w:rsidP="00464F28">
      <w:pPr>
        <w:rPr>
          <w:lang w:eastAsia="bg-BG"/>
        </w:rPr>
      </w:pPr>
    </w:p>
    <w:p w14:paraId="2B1D2E18" w14:textId="0993101C" w:rsidR="00464F28" w:rsidRPr="00464F28" w:rsidRDefault="00464F28" w:rsidP="00464F28">
      <w:pPr>
        <w:rPr>
          <w:sz w:val="24"/>
          <w:szCs w:val="24"/>
        </w:rPr>
      </w:pPr>
      <w:r w:rsidRPr="00464F28">
        <w:rPr>
          <w:lang w:eastAsia="bg-BG"/>
        </w:rPr>
        <w:t>Подобно на други НСПВС, могат да се появят и следните нежелани лекарствени реакции: асептичен менингит, който се проявява най-вече при пациенти със системен лупус еритематодес или смесена съединително-тъканна болест; хематологични реакции (пурпура, апластична и хемолитична анемия, рядко агранулоцитоза или костно-мозъчна хипоплазия).</w:t>
      </w:r>
    </w:p>
    <w:p w14:paraId="3D9EA0FE" w14:textId="77777777" w:rsidR="00464F28" w:rsidRDefault="00464F28" w:rsidP="00464F28">
      <w:pPr>
        <w:rPr>
          <w:lang w:eastAsia="bg-BG"/>
        </w:rPr>
      </w:pPr>
    </w:p>
    <w:p w14:paraId="6E8B3730" w14:textId="12AE23C3" w:rsidR="00464F28" w:rsidRPr="00464F28" w:rsidRDefault="00464F28" w:rsidP="00464F28">
      <w:pPr>
        <w:rPr>
          <w:sz w:val="24"/>
          <w:szCs w:val="24"/>
        </w:rPr>
      </w:pPr>
      <w:r w:rsidRPr="00464F28">
        <w:rPr>
          <w:lang w:eastAsia="bg-BG"/>
        </w:rPr>
        <w:t xml:space="preserve">Булозни реакции, включително синдром на </w:t>
      </w:r>
      <w:r w:rsidRPr="00464F28">
        <w:rPr>
          <w:lang w:val="en-US"/>
        </w:rPr>
        <w:t>Stevens</w:t>
      </w:r>
      <w:r w:rsidRPr="00464F28">
        <w:rPr>
          <w:lang w:val="ru-RU"/>
        </w:rPr>
        <w:t xml:space="preserve"> </w:t>
      </w:r>
      <w:r w:rsidRPr="00464F28">
        <w:rPr>
          <w:lang w:val="en-US"/>
        </w:rPr>
        <w:t>Johnson</w:t>
      </w:r>
      <w:r w:rsidRPr="00464F28">
        <w:rPr>
          <w:lang w:val="ru-RU"/>
        </w:rPr>
        <w:t xml:space="preserve"> </w:t>
      </w:r>
      <w:r w:rsidRPr="00464F28">
        <w:rPr>
          <w:lang w:eastAsia="bg-BG"/>
        </w:rPr>
        <w:t>и токсична</w:t>
      </w:r>
      <w:r w:rsidRPr="00464F28">
        <w:rPr>
          <w:lang w:val="ru-RU"/>
        </w:rPr>
        <w:t xml:space="preserve"> </w:t>
      </w:r>
      <w:r w:rsidRPr="00464F28">
        <w:rPr>
          <w:lang w:eastAsia="bg-BG"/>
        </w:rPr>
        <w:t>епидермална некролиза (много рядко) са съобщавани.</w:t>
      </w:r>
    </w:p>
    <w:p w14:paraId="07D20492" w14:textId="7B62FDE5" w:rsidR="00464F28" w:rsidRDefault="00464F28" w:rsidP="00464F28"/>
    <w:p w14:paraId="100744E1" w14:textId="77777777" w:rsidR="00464F28" w:rsidRPr="00464F28" w:rsidRDefault="00464F28" w:rsidP="00464F28">
      <w:pPr>
        <w:spacing w:line="240" w:lineRule="auto"/>
        <w:rPr>
          <w:rFonts w:eastAsia="Times New Roman" w:cs="Arial"/>
        </w:rPr>
      </w:pPr>
      <w:r w:rsidRPr="00464F28">
        <w:rPr>
          <w:rFonts w:eastAsia="Times New Roman" w:cs="Arial"/>
          <w:color w:val="000000"/>
          <w:lang w:eastAsia="bg-BG"/>
        </w:rPr>
        <w:t>Клинични проучвания и епидемиологични данни показват, че употребата на някои НСПВС (особено във високи дози и при продължително приложение) може да се свърже с леко повишен риск от артериални тромботични събития (например миокарден инфаркт или инсулт) (вж. т. 4.4).</w:t>
      </w:r>
    </w:p>
    <w:p w14:paraId="2C889F66" w14:textId="77777777" w:rsidR="00464F28" w:rsidRPr="00464F28" w:rsidRDefault="00464F28" w:rsidP="00464F28">
      <w:pPr>
        <w:spacing w:line="240" w:lineRule="auto"/>
        <w:rPr>
          <w:rFonts w:eastAsia="Times New Roman" w:cs="Arial"/>
          <w:color w:val="000000"/>
          <w:u w:val="single"/>
          <w:lang w:eastAsia="bg-BG"/>
        </w:rPr>
      </w:pPr>
    </w:p>
    <w:p w14:paraId="01EA169A" w14:textId="5283FCDE" w:rsidR="00464F28" w:rsidRPr="00464F28" w:rsidRDefault="00464F28" w:rsidP="00464F28">
      <w:pPr>
        <w:spacing w:line="240" w:lineRule="auto"/>
        <w:rPr>
          <w:rFonts w:eastAsia="Times New Roman" w:cs="Arial"/>
        </w:rPr>
      </w:pPr>
      <w:r w:rsidRPr="00464F28">
        <w:rPr>
          <w:rFonts w:eastAsia="Times New Roman" w:cs="Arial"/>
          <w:color w:val="000000"/>
          <w:u w:val="single"/>
          <w:lang w:eastAsia="bg-BG"/>
        </w:rPr>
        <w:t>Съобщаване на подозирани нежелани реакции</w:t>
      </w:r>
    </w:p>
    <w:p w14:paraId="0C71C187" w14:textId="77777777" w:rsidR="00464F28" w:rsidRPr="00464F28" w:rsidRDefault="00464F28" w:rsidP="00464F28">
      <w:pPr>
        <w:spacing w:line="240" w:lineRule="auto"/>
        <w:rPr>
          <w:rFonts w:eastAsia="Times New Roman" w:cs="Arial"/>
        </w:rPr>
      </w:pPr>
      <w:r w:rsidRPr="00464F28">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168E7A34" w14:textId="77777777" w:rsidR="00464F28" w:rsidRPr="00464F28" w:rsidRDefault="00464F28" w:rsidP="00464F28">
      <w:pPr>
        <w:spacing w:line="240" w:lineRule="auto"/>
        <w:rPr>
          <w:rFonts w:eastAsia="Times New Roman" w:cs="Arial"/>
          <w:color w:val="000000"/>
          <w:lang w:eastAsia="bg-BG"/>
        </w:rPr>
      </w:pPr>
    </w:p>
    <w:p w14:paraId="031A18A3" w14:textId="1057E23A" w:rsidR="00464F28" w:rsidRPr="00464F28" w:rsidRDefault="00464F28" w:rsidP="00464F28">
      <w:pPr>
        <w:spacing w:line="240" w:lineRule="auto"/>
        <w:rPr>
          <w:rFonts w:eastAsia="Times New Roman" w:cs="Arial"/>
        </w:rPr>
      </w:pPr>
      <w:r w:rsidRPr="00464F28">
        <w:rPr>
          <w:rFonts w:eastAsia="Times New Roman" w:cs="Arial"/>
          <w:color w:val="000000"/>
          <w:lang w:eastAsia="bg-BG"/>
        </w:rPr>
        <w:t>Изпълнителна агенция по лекарствата</w:t>
      </w:r>
    </w:p>
    <w:p w14:paraId="1B2FDF5A" w14:textId="77777777" w:rsidR="00464F28" w:rsidRPr="00464F28" w:rsidRDefault="00464F28" w:rsidP="00464F28">
      <w:pPr>
        <w:spacing w:line="240" w:lineRule="auto"/>
        <w:rPr>
          <w:rFonts w:eastAsia="Times New Roman" w:cs="Arial"/>
        </w:rPr>
      </w:pPr>
      <w:r w:rsidRPr="00464F28">
        <w:rPr>
          <w:rFonts w:eastAsia="Times New Roman" w:cs="Arial"/>
          <w:color w:val="000000"/>
          <w:lang w:eastAsia="bg-BG"/>
        </w:rPr>
        <w:t>ул. „Дамян Груев” № 8</w:t>
      </w:r>
    </w:p>
    <w:p w14:paraId="1698487C" w14:textId="77777777" w:rsidR="00464F28" w:rsidRPr="00464F28" w:rsidRDefault="00464F28" w:rsidP="00464F28">
      <w:pPr>
        <w:spacing w:line="240" w:lineRule="auto"/>
        <w:rPr>
          <w:rFonts w:eastAsia="Times New Roman" w:cs="Arial"/>
        </w:rPr>
      </w:pPr>
      <w:r w:rsidRPr="00464F28">
        <w:rPr>
          <w:rFonts w:eastAsia="Times New Roman" w:cs="Arial"/>
          <w:color w:val="000000"/>
          <w:lang w:eastAsia="bg-BG"/>
        </w:rPr>
        <w:t>1303 София</w:t>
      </w:r>
    </w:p>
    <w:p w14:paraId="6B2176E4" w14:textId="77777777" w:rsidR="00464F28" w:rsidRPr="00464F28" w:rsidRDefault="00464F28" w:rsidP="00464F28">
      <w:pPr>
        <w:spacing w:line="240" w:lineRule="auto"/>
        <w:rPr>
          <w:rFonts w:eastAsia="Times New Roman" w:cs="Arial"/>
        </w:rPr>
      </w:pPr>
      <w:r w:rsidRPr="00464F28">
        <w:rPr>
          <w:rFonts w:eastAsia="Times New Roman" w:cs="Arial"/>
          <w:color w:val="000000"/>
          <w:lang w:eastAsia="bg-BG"/>
        </w:rPr>
        <w:t>Тел.:+359 2 8903417</w:t>
      </w:r>
    </w:p>
    <w:p w14:paraId="7DDAEB5B" w14:textId="77777777" w:rsidR="00464F28" w:rsidRPr="00464F28" w:rsidRDefault="00464F28" w:rsidP="00464F28">
      <w:pPr>
        <w:spacing w:line="240" w:lineRule="auto"/>
        <w:rPr>
          <w:rFonts w:eastAsia="Times New Roman" w:cs="Arial"/>
        </w:rPr>
      </w:pPr>
      <w:r w:rsidRPr="00464F28">
        <w:rPr>
          <w:rFonts w:eastAsia="Times New Roman" w:cs="Arial"/>
          <w:color w:val="000000"/>
          <w:lang w:eastAsia="bg-BG"/>
        </w:rPr>
        <w:t xml:space="preserve">уебсайт: </w:t>
      </w:r>
      <w:r w:rsidRPr="00464F28">
        <w:rPr>
          <w:rFonts w:eastAsia="Times New Roman" w:cs="Arial"/>
        </w:rPr>
        <w:fldChar w:fldCharType="begin"/>
      </w:r>
      <w:r w:rsidRPr="00464F28">
        <w:rPr>
          <w:rFonts w:eastAsia="Times New Roman" w:cs="Arial"/>
        </w:rPr>
        <w:instrText xml:space="preserve"> HYPERLINK "http://www.bda.bg" </w:instrText>
      </w:r>
      <w:r w:rsidRPr="00464F28">
        <w:rPr>
          <w:rFonts w:eastAsia="Times New Roman" w:cs="Arial"/>
        </w:rPr>
      </w:r>
      <w:r w:rsidRPr="00464F28">
        <w:rPr>
          <w:rFonts w:eastAsia="Times New Roman" w:cs="Arial"/>
        </w:rPr>
        <w:fldChar w:fldCharType="separate"/>
      </w:r>
      <w:r w:rsidRPr="00464F28">
        <w:rPr>
          <w:rFonts w:eastAsia="Times New Roman" w:cs="Arial"/>
          <w:color w:val="000000"/>
          <w:u w:val="single"/>
          <w:lang w:val="en-US"/>
        </w:rPr>
        <w:t>www</w:t>
      </w:r>
      <w:r w:rsidRPr="00464F28">
        <w:rPr>
          <w:rFonts w:eastAsia="Times New Roman" w:cs="Arial"/>
          <w:color w:val="000000"/>
          <w:u w:val="single"/>
          <w:lang w:val="ru-RU"/>
        </w:rPr>
        <w:t>.</w:t>
      </w:r>
      <w:proofErr w:type="spellStart"/>
      <w:r w:rsidRPr="00464F28">
        <w:rPr>
          <w:rFonts w:eastAsia="Times New Roman" w:cs="Arial"/>
          <w:color w:val="000000"/>
          <w:u w:val="single"/>
          <w:lang w:val="en-US"/>
        </w:rPr>
        <w:t>bda</w:t>
      </w:r>
      <w:proofErr w:type="spellEnd"/>
      <w:r w:rsidRPr="00464F28">
        <w:rPr>
          <w:rFonts w:eastAsia="Times New Roman" w:cs="Arial"/>
          <w:color w:val="000000"/>
          <w:u w:val="single"/>
          <w:lang w:val="ru-RU"/>
        </w:rPr>
        <w:t>.</w:t>
      </w:r>
      <w:proofErr w:type="spellStart"/>
      <w:r w:rsidRPr="00464F28">
        <w:rPr>
          <w:rFonts w:eastAsia="Times New Roman" w:cs="Arial"/>
          <w:color w:val="000000"/>
          <w:u w:val="single"/>
          <w:lang w:val="en-US"/>
        </w:rPr>
        <w:t>bg</w:t>
      </w:r>
      <w:proofErr w:type="spellEnd"/>
      <w:r w:rsidRPr="00464F28">
        <w:rPr>
          <w:rFonts w:eastAsia="Times New Roman" w:cs="Arial"/>
        </w:rPr>
        <w:fldChar w:fldCharType="end"/>
      </w:r>
    </w:p>
    <w:p w14:paraId="1FB32664" w14:textId="77777777" w:rsidR="00464F28" w:rsidRPr="00464F28" w:rsidRDefault="00464F28" w:rsidP="00464F28"/>
    <w:p w14:paraId="4ED30546" w14:textId="37ECE8A6" w:rsidR="007C605B" w:rsidRDefault="002C50EE" w:rsidP="009F1313">
      <w:pPr>
        <w:pStyle w:val="Heading2"/>
      </w:pPr>
      <w:r>
        <w:t>4.9. Предозиране</w:t>
      </w:r>
    </w:p>
    <w:p w14:paraId="16A60777" w14:textId="7A792DEE" w:rsidR="00464F28" w:rsidRDefault="00464F28" w:rsidP="00464F28"/>
    <w:p w14:paraId="327F4176" w14:textId="77777777" w:rsidR="00464F28" w:rsidRPr="00464F28" w:rsidRDefault="00464F28" w:rsidP="00464F28">
      <w:pPr>
        <w:rPr>
          <w:sz w:val="24"/>
          <w:szCs w:val="24"/>
        </w:rPr>
      </w:pPr>
      <w:r w:rsidRPr="00464F28">
        <w:rPr>
          <w:lang w:eastAsia="bg-BG"/>
        </w:rPr>
        <w:t>Не са известни симптомите при предозиране. Подобни лекарствени продукти водят до стомашно-чревни (повръщане, анорексия, коремна болка) и неврологични (сънливост, вертиго, дезориентация, главоболие) нарушения.</w:t>
      </w:r>
    </w:p>
    <w:p w14:paraId="56FF0868" w14:textId="77777777" w:rsidR="00464F28" w:rsidRPr="00464F28" w:rsidRDefault="00464F28" w:rsidP="00464F28">
      <w:pPr>
        <w:rPr>
          <w:sz w:val="24"/>
          <w:szCs w:val="24"/>
        </w:rPr>
      </w:pPr>
      <w:r w:rsidRPr="00464F28">
        <w:rPr>
          <w:lang w:eastAsia="bg-BG"/>
        </w:rPr>
        <w:t>В случай на непредумишлено предозиране или приложение на по-висока доза се налага незабавно симптоматично лечение в зависимост от клиничното състояние на пациента.</w:t>
      </w:r>
    </w:p>
    <w:p w14:paraId="15E3EB2A" w14:textId="10F274FF" w:rsidR="00464F28" w:rsidRPr="00464F28" w:rsidRDefault="00464F28" w:rsidP="00464F28">
      <w:r w:rsidRPr="00464F28">
        <w:rPr>
          <w:lang w:eastAsia="bg-BG"/>
        </w:rPr>
        <w:t>Декскетопрофен трометамол може да се елиминира с днализа.</w:t>
      </w:r>
    </w:p>
    <w:p w14:paraId="02081B24" w14:textId="1F46E296" w:rsidR="00395555" w:rsidRPr="00395555" w:rsidRDefault="002C50EE" w:rsidP="008A6AF2">
      <w:pPr>
        <w:pStyle w:val="Heading1"/>
      </w:pPr>
      <w:r>
        <w:t>5. ФАРМАКОЛОГИЧНИ СВОЙСТВА</w:t>
      </w:r>
    </w:p>
    <w:p w14:paraId="5350637D" w14:textId="407F0DBD" w:rsidR="00395555" w:rsidRDefault="002C50EE" w:rsidP="008A6AF2">
      <w:pPr>
        <w:pStyle w:val="Heading2"/>
      </w:pPr>
      <w:r>
        <w:t>5.1. Фармакодинамични свойства</w:t>
      </w:r>
    </w:p>
    <w:p w14:paraId="653EE0DA" w14:textId="3844F931" w:rsidR="00464F28" w:rsidRDefault="00464F28" w:rsidP="00464F28"/>
    <w:p w14:paraId="69842DDB" w14:textId="77777777" w:rsidR="00464F28" w:rsidRPr="00464F28" w:rsidRDefault="00464F28" w:rsidP="00464F28">
      <w:pPr>
        <w:spacing w:line="240" w:lineRule="auto"/>
        <w:rPr>
          <w:rFonts w:eastAsia="Times New Roman" w:cs="Arial"/>
        </w:rPr>
      </w:pPr>
      <w:r w:rsidRPr="00464F28">
        <w:rPr>
          <w:rFonts w:eastAsia="Times New Roman" w:cs="Arial"/>
          <w:color w:val="000000"/>
          <w:lang w:eastAsia="bg-BG"/>
        </w:rPr>
        <w:t xml:space="preserve">Фармакотерапевтичен клас: пропионова киселина и производни АТС код: </w:t>
      </w:r>
      <w:r w:rsidRPr="00464F28">
        <w:rPr>
          <w:rFonts w:eastAsia="Times New Roman" w:cs="Arial"/>
          <w:color w:val="000000"/>
          <w:lang w:val="en-US"/>
        </w:rPr>
        <w:t>M</w:t>
      </w:r>
      <w:r w:rsidRPr="00464F28">
        <w:rPr>
          <w:rFonts w:eastAsia="Times New Roman" w:cs="Arial"/>
          <w:color w:val="000000"/>
          <w:lang w:val="ru-RU"/>
        </w:rPr>
        <w:t xml:space="preserve">01 </w:t>
      </w:r>
      <w:r w:rsidRPr="00464F28">
        <w:rPr>
          <w:rFonts w:eastAsia="Times New Roman" w:cs="Arial"/>
          <w:color w:val="000000"/>
          <w:lang w:eastAsia="bg-BG"/>
        </w:rPr>
        <w:t>АЕ17</w:t>
      </w:r>
    </w:p>
    <w:p w14:paraId="2F9352F9" w14:textId="77777777" w:rsidR="00464F28" w:rsidRDefault="00464F28" w:rsidP="00464F28">
      <w:pPr>
        <w:spacing w:line="240" w:lineRule="auto"/>
        <w:rPr>
          <w:rFonts w:ascii="Times New Roman" w:eastAsia="Times New Roman" w:hAnsi="Times New Roman" w:cs="Times New Roman"/>
          <w:color w:val="000000"/>
          <w:sz w:val="42"/>
          <w:szCs w:val="42"/>
          <w:u w:val="single"/>
          <w:lang w:eastAsia="bg-BG"/>
        </w:rPr>
      </w:pPr>
    </w:p>
    <w:p w14:paraId="0EE01B7B" w14:textId="01F5037C" w:rsidR="00464F28" w:rsidRPr="00464F28" w:rsidRDefault="00464F28" w:rsidP="00464F28">
      <w:pPr>
        <w:spacing w:line="240" w:lineRule="auto"/>
        <w:rPr>
          <w:rFonts w:eastAsia="Times New Roman" w:cs="Arial"/>
        </w:rPr>
      </w:pPr>
      <w:r w:rsidRPr="00464F28">
        <w:rPr>
          <w:rFonts w:eastAsia="Times New Roman" w:cs="Arial"/>
          <w:color w:val="000000"/>
          <w:u w:val="single"/>
          <w:lang w:eastAsia="bg-BG"/>
        </w:rPr>
        <w:t>Механизъм на действие</w:t>
      </w:r>
    </w:p>
    <w:p w14:paraId="468AE6E5" w14:textId="77777777" w:rsidR="00464F28" w:rsidRPr="00464F28" w:rsidRDefault="00464F28" w:rsidP="00464F28">
      <w:pPr>
        <w:spacing w:line="240" w:lineRule="auto"/>
        <w:rPr>
          <w:rFonts w:eastAsia="Times New Roman" w:cs="Arial"/>
        </w:rPr>
      </w:pPr>
      <w:r w:rsidRPr="00464F28">
        <w:rPr>
          <w:rFonts w:eastAsia="Times New Roman" w:cs="Arial"/>
          <w:color w:val="000000"/>
          <w:lang w:eastAsia="bg-BG"/>
        </w:rPr>
        <w:t xml:space="preserve">Декскетопрофен трометамол е трометаминова сол на </w:t>
      </w:r>
      <w:r w:rsidRPr="00464F28">
        <w:rPr>
          <w:rFonts w:eastAsia="Times New Roman" w:cs="Arial"/>
          <w:color w:val="000000"/>
          <w:lang w:val="en-US"/>
        </w:rPr>
        <w:t>S</w:t>
      </w:r>
      <w:r w:rsidRPr="00464F28">
        <w:rPr>
          <w:rFonts w:eastAsia="Times New Roman" w:cs="Arial"/>
          <w:color w:val="000000"/>
          <w:lang w:val="ru-RU"/>
        </w:rPr>
        <w:t>-(+)-2-(3-</w:t>
      </w:r>
      <w:proofErr w:type="spellStart"/>
      <w:r w:rsidRPr="00464F28">
        <w:rPr>
          <w:rFonts w:eastAsia="Times New Roman" w:cs="Arial"/>
          <w:color w:val="000000"/>
          <w:lang w:val="en-US"/>
        </w:rPr>
        <w:t>benzoylphenyl</w:t>
      </w:r>
      <w:proofErr w:type="spellEnd"/>
      <w:r w:rsidRPr="00464F28">
        <w:rPr>
          <w:rFonts w:eastAsia="Times New Roman" w:cs="Arial"/>
          <w:color w:val="000000"/>
          <w:lang w:val="ru-RU"/>
        </w:rPr>
        <w:t>)</w:t>
      </w:r>
      <w:r w:rsidRPr="00464F28">
        <w:rPr>
          <w:rFonts w:eastAsia="Times New Roman" w:cs="Arial"/>
          <w:color w:val="000000"/>
          <w:lang w:val="en-US"/>
        </w:rPr>
        <w:t>propionic</w:t>
      </w:r>
      <w:r w:rsidRPr="00464F28">
        <w:rPr>
          <w:rFonts w:eastAsia="Times New Roman" w:cs="Arial"/>
          <w:color w:val="000000"/>
          <w:lang w:val="ru-RU"/>
        </w:rPr>
        <w:t xml:space="preserve"> </w:t>
      </w:r>
      <w:r w:rsidRPr="00464F28">
        <w:rPr>
          <w:rFonts w:eastAsia="Times New Roman" w:cs="Arial"/>
          <w:color w:val="000000"/>
          <w:lang w:val="en-US"/>
        </w:rPr>
        <w:t>acid</w:t>
      </w:r>
      <w:r w:rsidRPr="00464F28">
        <w:rPr>
          <w:rFonts w:eastAsia="Times New Roman" w:cs="Arial"/>
          <w:color w:val="000000"/>
          <w:lang w:val="ru-RU"/>
        </w:rPr>
        <w:t xml:space="preserve"> </w:t>
      </w:r>
      <w:r w:rsidRPr="00464F28">
        <w:rPr>
          <w:rFonts w:eastAsia="Times New Roman" w:cs="Arial"/>
          <w:color w:val="000000"/>
          <w:lang w:eastAsia="bg-BG"/>
        </w:rPr>
        <w:t xml:space="preserve">- лекарствен продукт с аналгетични, противовъзпалителни и антипиретични свойства, който принадлежи към нестероидните противовъзпалителни средства </w:t>
      </w:r>
      <w:r w:rsidRPr="00464F28">
        <w:rPr>
          <w:rFonts w:eastAsia="Times New Roman" w:cs="Arial"/>
          <w:color w:val="000000"/>
          <w:lang w:val="ru-RU"/>
        </w:rPr>
        <w:t>(</w:t>
      </w:r>
      <w:r w:rsidRPr="00464F28">
        <w:rPr>
          <w:rFonts w:eastAsia="Times New Roman" w:cs="Arial"/>
          <w:color w:val="000000"/>
          <w:lang w:val="en-US"/>
        </w:rPr>
        <w:t>M</w:t>
      </w:r>
      <w:r w:rsidRPr="00464F28">
        <w:rPr>
          <w:rFonts w:eastAsia="Times New Roman" w:cs="Arial"/>
          <w:color w:val="000000"/>
          <w:lang w:val="ru-RU"/>
        </w:rPr>
        <w:t xml:space="preserve">01 </w:t>
      </w:r>
      <w:r w:rsidRPr="00464F28">
        <w:rPr>
          <w:rFonts w:eastAsia="Times New Roman" w:cs="Arial"/>
          <w:color w:val="000000"/>
          <w:lang w:eastAsia="bg-BG"/>
        </w:rPr>
        <w:t>АЕ).</w:t>
      </w:r>
    </w:p>
    <w:p w14:paraId="0E8AE80D" w14:textId="77777777" w:rsidR="00464F28" w:rsidRPr="00464F28" w:rsidRDefault="00464F28" w:rsidP="00464F28">
      <w:pPr>
        <w:spacing w:line="240" w:lineRule="auto"/>
        <w:rPr>
          <w:rFonts w:eastAsia="Times New Roman" w:cs="Arial"/>
          <w:color w:val="000000"/>
          <w:lang w:eastAsia="bg-BG"/>
        </w:rPr>
      </w:pPr>
    </w:p>
    <w:p w14:paraId="59C8B548" w14:textId="00DF3899" w:rsidR="00464F28" w:rsidRPr="00464F28" w:rsidRDefault="00464F28" w:rsidP="00464F28">
      <w:pPr>
        <w:spacing w:line="240" w:lineRule="auto"/>
        <w:rPr>
          <w:rFonts w:eastAsia="Times New Roman" w:cs="Arial"/>
        </w:rPr>
      </w:pPr>
      <w:r w:rsidRPr="00464F28">
        <w:rPr>
          <w:rFonts w:eastAsia="Times New Roman" w:cs="Arial"/>
          <w:color w:val="000000"/>
          <w:lang w:eastAsia="bg-BG"/>
        </w:rPr>
        <w:t xml:space="preserve">Механизмът на действие на нестероидните противовъзпалителни средства се свързва с намаление на простагландиновата синтеза чрез инхибиране на циклооксигеназата. По- специално е налице инхибиране на превръщането на арахидонова киселина в циклични ендопероксидази, </w:t>
      </w:r>
      <w:proofErr w:type="spellStart"/>
      <w:r w:rsidRPr="00464F28">
        <w:rPr>
          <w:rFonts w:eastAsia="Times New Roman" w:cs="Arial"/>
          <w:color w:val="000000"/>
          <w:lang w:val="en-US"/>
        </w:rPr>
        <w:t>PgG</w:t>
      </w:r>
      <w:proofErr w:type="spellEnd"/>
      <w:r w:rsidRPr="00464F28">
        <w:rPr>
          <w:rFonts w:eastAsia="Times New Roman" w:cs="Arial"/>
          <w:color w:val="000000"/>
          <w:lang w:val="ru-RU"/>
        </w:rPr>
        <w:t xml:space="preserve">2 </w:t>
      </w:r>
      <w:r w:rsidRPr="00464F28">
        <w:rPr>
          <w:rFonts w:eastAsia="Times New Roman" w:cs="Arial"/>
          <w:color w:val="000000"/>
          <w:lang w:eastAsia="bg-BG"/>
        </w:rPr>
        <w:t xml:space="preserve">и </w:t>
      </w:r>
      <w:proofErr w:type="spellStart"/>
      <w:r w:rsidRPr="00464F28">
        <w:rPr>
          <w:rFonts w:eastAsia="Times New Roman" w:cs="Arial"/>
          <w:color w:val="000000"/>
          <w:lang w:val="en-US"/>
        </w:rPr>
        <w:t>PgH</w:t>
      </w:r>
      <w:proofErr w:type="spellEnd"/>
      <w:r w:rsidRPr="00464F28">
        <w:rPr>
          <w:rFonts w:eastAsia="Times New Roman" w:cs="Arial"/>
          <w:color w:val="000000"/>
          <w:lang w:val="ru-RU"/>
        </w:rPr>
        <w:t xml:space="preserve">2, </w:t>
      </w:r>
      <w:r w:rsidRPr="00464F28">
        <w:rPr>
          <w:rFonts w:eastAsia="Times New Roman" w:cs="Arial"/>
          <w:color w:val="000000"/>
          <w:lang w:eastAsia="bg-BG"/>
        </w:rPr>
        <w:t xml:space="preserve">които образуват </w:t>
      </w:r>
      <w:proofErr w:type="spellStart"/>
      <w:r w:rsidRPr="00464F28">
        <w:rPr>
          <w:rFonts w:eastAsia="Times New Roman" w:cs="Arial"/>
          <w:color w:val="000000"/>
          <w:lang w:val="en-US"/>
        </w:rPr>
        <w:t>PgE</w:t>
      </w:r>
      <w:proofErr w:type="spellEnd"/>
      <w:r w:rsidRPr="00464F28">
        <w:rPr>
          <w:rFonts w:eastAsia="Times New Roman" w:cs="Arial"/>
          <w:color w:val="000000"/>
          <w:lang w:val="ru-RU"/>
        </w:rPr>
        <w:t xml:space="preserve">1, </w:t>
      </w:r>
      <w:proofErr w:type="spellStart"/>
      <w:r w:rsidRPr="00464F28">
        <w:rPr>
          <w:rFonts w:eastAsia="Times New Roman" w:cs="Arial"/>
          <w:color w:val="000000"/>
          <w:lang w:val="en-US"/>
        </w:rPr>
        <w:t>PgE</w:t>
      </w:r>
      <w:proofErr w:type="spellEnd"/>
      <w:r w:rsidRPr="00464F28">
        <w:rPr>
          <w:rFonts w:eastAsia="Times New Roman" w:cs="Arial"/>
          <w:color w:val="000000"/>
          <w:lang w:val="ru-RU"/>
        </w:rPr>
        <w:t xml:space="preserve">2, </w:t>
      </w:r>
      <w:proofErr w:type="spellStart"/>
      <w:r w:rsidRPr="00464F28">
        <w:rPr>
          <w:rFonts w:eastAsia="Times New Roman" w:cs="Arial"/>
          <w:color w:val="000000"/>
          <w:lang w:val="en-US"/>
        </w:rPr>
        <w:t>PgF</w:t>
      </w:r>
      <w:proofErr w:type="spellEnd"/>
      <w:r w:rsidRPr="00464F28">
        <w:rPr>
          <w:rFonts w:eastAsia="Times New Roman" w:cs="Arial"/>
          <w:color w:val="000000"/>
          <w:lang w:val="ru-RU"/>
        </w:rPr>
        <w:t>2</w:t>
      </w:r>
      <w:r w:rsidRPr="00464F28">
        <w:rPr>
          <w:rFonts w:eastAsia="Times New Roman" w:cs="Arial"/>
          <w:color w:val="000000"/>
          <w:lang w:val="en-US"/>
        </w:rPr>
        <w:t>a</w:t>
      </w:r>
      <w:r w:rsidRPr="00464F28">
        <w:rPr>
          <w:rFonts w:eastAsia="Times New Roman" w:cs="Arial"/>
          <w:color w:val="000000"/>
          <w:lang w:val="ru-RU"/>
        </w:rPr>
        <w:t xml:space="preserve"> </w:t>
      </w:r>
      <w:r w:rsidRPr="00464F28">
        <w:rPr>
          <w:rFonts w:eastAsia="Times New Roman" w:cs="Arial"/>
          <w:color w:val="000000"/>
          <w:lang w:eastAsia="bg-BG"/>
        </w:rPr>
        <w:t xml:space="preserve">и </w:t>
      </w:r>
      <w:proofErr w:type="spellStart"/>
      <w:r w:rsidRPr="00464F28">
        <w:rPr>
          <w:rFonts w:eastAsia="Times New Roman" w:cs="Arial"/>
          <w:color w:val="000000"/>
          <w:lang w:val="en-US"/>
        </w:rPr>
        <w:t>PgD</w:t>
      </w:r>
      <w:proofErr w:type="spellEnd"/>
      <w:r w:rsidRPr="00464F28">
        <w:rPr>
          <w:rFonts w:eastAsia="Times New Roman" w:cs="Arial"/>
          <w:color w:val="000000"/>
          <w:lang w:val="ru-RU"/>
        </w:rPr>
        <w:t xml:space="preserve">2 </w:t>
      </w:r>
      <w:r w:rsidRPr="00464F28">
        <w:rPr>
          <w:rFonts w:eastAsia="Times New Roman" w:cs="Arial"/>
          <w:color w:val="000000"/>
          <w:lang w:eastAsia="bg-BG"/>
        </w:rPr>
        <w:t xml:space="preserve">и също простациклини </w:t>
      </w:r>
      <w:proofErr w:type="spellStart"/>
      <w:r w:rsidRPr="00464F28">
        <w:rPr>
          <w:rFonts w:eastAsia="Times New Roman" w:cs="Arial"/>
          <w:color w:val="000000"/>
          <w:lang w:val="en-US"/>
        </w:rPr>
        <w:t>PgI</w:t>
      </w:r>
      <w:proofErr w:type="spellEnd"/>
      <w:r w:rsidRPr="00464F28">
        <w:rPr>
          <w:rFonts w:eastAsia="Times New Roman" w:cs="Arial"/>
          <w:color w:val="000000"/>
          <w:lang w:val="ru-RU"/>
        </w:rPr>
        <w:t xml:space="preserve">2 </w:t>
      </w:r>
      <w:r w:rsidRPr="00464F28">
        <w:rPr>
          <w:rFonts w:eastAsia="Times New Roman" w:cs="Arial"/>
          <w:color w:val="000000"/>
          <w:lang w:eastAsia="bg-BG"/>
        </w:rPr>
        <w:t>и тромбоксани (ТхА2 и ТхВ2). Освен това, инхибирането на простагландиновата синтеза може да повлияе и други медиатори на възпалението, като кинините. Това е един индиректен ефект, който допълва директното действие.</w:t>
      </w:r>
    </w:p>
    <w:p w14:paraId="336D3D8E" w14:textId="77777777" w:rsidR="00464F28" w:rsidRPr="00464F28" w:rsidRDefault="00464F28" w:rsidP="00464F28">
      <w:pPr>
        <w:spacing w:line="240" w:lineRule="auto"/>
        <w:rPr>
          <w:rFonts w:eastAsia="Times New Roman" w:cs="Arial"/>
          <w:color w:val="000000"/>
          <w:u w:val="single"/>
          <w:lang w:eastAsia="bg-BG"/>
        </w:rPr>
      </w:pPr>
    </w:p>
    <w:p w14:paraId="03DF800C" w14:textId="4B0900B7" w:rsidR="00464F28" w:rsidRPr="00464F28" w:rsidRDefault="00464F28" w:rsidP="00464F28">
      <w:pPr>
        <w:spacing w:line="240" w:lineRule="auto"/>
        <w:rPr>
          <w:rFonts w:eastAsia="Times New Roman" w:cs="Arial"/>
        </w:rPr>
      </w:pPr>
      <w:r w:rsidRPr="00464F28">
        <w:rPr>
          <w:rFonts w:eastAsia="Times New Roman" w:cs="Arial"/>
          <w:color w:val="000000"/>
          <w:u w:val="single"/>
          <w:lang w:eastAsia="bg-BG"/>
        </w:rPr>
        <w:t>Фармакодинамнчни ефекти</w:t>
      </w:r>
    </w:p>
    <w:p w14:paraId="30400DA0" w14:textId="77777777" w:rsidR="00464F28" w:rsidRPr="00464F28" w:rsidRDefault="00464F28" w:rsidP="00464F28">
      <w:pPr>
        <w:spacing w:line="240" w:lineRule="auto"/>
        <w:rPr>
          <w:rFonts w:eastAsia="Times New Roman" w:cs="Arial"/>
        </w:rPr>
      </w:pPr>
      <w:r w:rsidRPr="00464F28">
        <w:rPr>
          <w:rFonts w:eastAsia="Times New Roman" w:cs="Arial"/>
          <w:color w:val="000000"/>
          <w:lang w:eastAsia="bg-BG"/>
        </w:rPr>
        <w:t xml:space="preserve">В проучвания при животни и хора е доказано, че декскетопрофен инхибира активността на </w:t>
      </w:r>
      <w:r w:rsidRPr="00464F28">
        <w:rPr>
          <w:rFonts w:eastAsia="Times New Roman" w:cs="Arial"/>
          <w:color w:val="000000"/>
          <w:lang w:val="en-US"/>
        </w:rPr>
        <w:t>COX</w:t>
      </w:r>
      <w:r w:rsidRPr="00464F28">
        <w:rPr>
          <w:rFonts w:eastAsia="Times New Roman" w:cs="Arial"/>
          <w:color w:val="000000"/>
          <w:lang w:val="ru-RU"/>
        </w:rPr>
        <w:t xml:space="preserve"> </w:t>
      </w:r>
      <w:r w:rsidRPr="00464F28">
        <w:rPr>
          <w:rFonts w:eastAsia="Times New Roman" w:cs="Arial"/>
          <w:color w:val="000000"/>
          <w:lang w:eastAsia="bg-BG"/>
        </w:rPr>
        <w:t>1 и СОХ-2.</w:t>
      </w:r>
    </w:p>
    <w:p w14:paraId="4B710CE8" w14:textId="77777777" w:rsidR="00464F28" w:rsidRPr="00464F28" w:rsidRDefault="00464F28" w:rsidP="00464F28">
      <w:pPr>
        <w:spacing w:line="240" w:lineRule="auto"/>
        <w:rPr>
          <w:rFonts w:eastAsia="Times New Roman" w:cs="Arial"/>
          <w:color w:val="000000"/>
          <w:u w:val="single"/>
          <w:lang w:eastAsia="bg-BG"/>
        </w:rPr>
      </w:pPr>
    </w:p>
    <w:p w14:paraId="24576E9F" w14:textId="7DDE124D" w:rsidR="00464F28" w:rsidRPr="00464F28" w:rsidRDefault="00464F28" w:rsidP="00464F28">
      <w:pPr>
        <w:spacing w:line="240" w:lineRule="auto"/>
        <w:rPr>
          <w:rFonts w:eastAsia="Times New Roman" w:cs="Arial"/>
        </w:rPr>
      </w:pPr>
      <w:r w:rsidRPr="00464F28">
        <w:rPr>
          <w:rFonts w:eastAsia="Times New Roman" w:cs="Arial"/>
          <w:color w:val="000000"/>
          <w:u w:val="single"/>
          <w:lang w:eastAsia="bg-BG"/>
        </w:rPr>
        <w:t>Клиничен ефект</w:t>
      </w:r>
    </w:p>
    <w:p w14:paraId="493B85C7" w14:textId="77777777" w:rsidR="00464F28" w:rsidRPr="00464F28" w:rsidRDefault="00464F28" w:rsidP="00464F28">
      <w:pPr>
        <w:spacing w:line="240" w:lineRule="auto"/>
        <w:rPr>
          <w:rFonts w:eastAsia="Times New Roman" w:cs="Arial"/>
        </w:rPr>
      </w:pPr>
      <w:r w:rsidRPr="00464F28">
        <w:rPr>
          <w:rFonts w:eastAsia="Times New Roman" w:cs="Arial"/>
          <w:color w:val="000000"/>
          <w:lang w:eastAsia="bg-BG"/>
        </w:rPr>
        <w:t>Клинични проучвания върху различни болкови модели демонстрират ефективна аналгетична активност на декскетопрофен трометамол.</w:t>
      </w:r>
    </w:p>
    <w:p w14:paraId="54713A9C" w14:textId="77777777" w:rsidR="00464F28" w:rsidRPr="00464F28" w:rsidRDefault="00464F28" w:rsidP="00464F28">
      <w:pPr>
        <w:rPr>
          <w:rFonts w:eastAsia="Times New Roman" w:cs="Arial"/>
        </w:rPr>
      </w:pPr>
      <w:r w:rsidRPr="00464F28">
        <w:rPr>
          <w:rFonts w:eastAsia="Times New Roman" w:cs="Arial"/>
          <w:color w:val="000000"/>
          <w:lang w:eastAsia="bg-BG"/>
        </w:rPr>
        <w:lastRenderedPageBreak/>
        <w:t>Аналгетичният ефект на декскетопрофен трометамол, приложен интрамускулно или интравенозно при умерена до силна болка, е доказан в няколко проучвания - хирургични болкови модели (ортопедични, гинекологични/коремни хирургични операции), както и при мускулно-скелетна болка (модели при остра болка в кръста) и бъбречна колика.</w:t>
      </w:r>
    </w:p>
    <w:p w14:paraId="7BF8D595" w14:textId="77777777" w:rsidR="00464F28" w:rsidRPr="00464F28" w:rsidRDefault="00464F28" w:rsidP="00464F28">
      <w:pPr>
        <w:spacing w:line="240" w:lineRule="auto"/>
        <w:rPr>
          <w:rFonts w:eastAsia="Times New Roman" w:cs="Arial"/>
          <w:color w:val="000000"/>
          <w:lang w:eastAsia="bg-BG"/>
        </w:rPr>
      </w:pPr>
    </w:p>
    <w:p w14:paraId="56932042" w14:textId="33CDDF35" w:rsidR="00464F28" w:rsidRPr="00464F28" w:rsidRDefault="00464F28" w:rsidP="00464F28">
      <w:pPr>
        <w:spacing w:line="240" w:lineRule="auto"/>
        <w:rPr>
          <w:rFonts w:eastAsia="Times New Roman" w:cs="Arial"/>
          <w:color w:val="000000"/>
          <w:lang w:eastAsia="bg-BG"/>
        </w:rPr>
      </w:pPr>
      <w:r w:rsidRPr="00464F28">
        <w:rPr>
          <w:rFonts w:eastAsia="Times New Roman" w:cs="Arial"/>
          <w:color w:val="000000"/>
          <w:lang w:eastAsia="bg-BG"/>
        </w:rPr>
        <w:t xml:space="preserve">В проучванията началото на аналгетичното действие е бързо, като в рамките на първите 45 минути се достига максимален аналгетичен ефект. </w:t>
      </w:r>
    </w:p>
    <w:p w14:paraId="16E25F8C" w14:textId="72E41A32" w:rsidR="00464F28" w:rsidRPr="00464F28" w:rsidRDefault="00464F28" w:rsidP="00464F28">
      <w:pPr>
        <w:spacing w:line="240" w:lineRule="auto"/>
        <w:rPr>
          <w:rFonts w:eastAsia="Times New Roman" w:cs="Arial"/>
        </w:rPr>
      </w:pPr>
      <w:r w:rsidRPr="00464F28">
        <w:rPr>
          <w:rFonts w:eastAsia="Times New Roman" w:cs="Arial"/>
          <w:color w:val="000000"/>
          <w:lang w:eastAsia="bg-BG"/>
        </w:rPr>
        <w:t xml:space="preserve">Продължителността на аналгетичния ефект при приложение на 50 </w:t>
      </w:r>
      <w:r w:rsidRPr="00464F28">
        <w:rPr>
          <w:rFonts w:eastAsia="Times New Roman" w:cs="Arial"/>
          <w:color w:val="000000"/>
          <w:lang w:val="en-US"/>
        </w:rPr>
        <w:t>mg</w:t>
      </w:r>
      <w:r w:rsidRPr="00464F28">
        <w:rPr>
          <w:rFonts w:eastAsia="Times New Roman" w:cs="Arial"/>
          <w:color w:val="000000"/>
          <w:lang w:val="ru-RU"/>
        </w:rPr>
        <w:t xml:space="preserve"> </w:t>
      </w:r>
      <w:r w:rsidRPr="00464F28">
        <w:rPr>
          <w:rFonts w:eastAsia="Times New Roman" w:cs="Arial"/>
          <w:color w:val="000000"/>
          <w:lang w:eastAsia="bg-BG"/>
        </w:rPr>
        <w:t>декскетопрофен обикновено е 8 часа.</w:t>
      </w:r>
    </w:p>
    <w:p w14:paraId="0E0FA5AA" w14:textId="77777777" w:rsidR="00464F28" w:rsidRPr="00464F28" w:rsidRDefault="00464F28" w:rsidP="00464F28">
      <w:pPr>
        <w:spacing w:line="240" w:lineRule="auto"/>
        <w:rPr>
          <w:rFonts w:eastAsia="Times New Roman" w:cs="Arial"/>
          <w:color w:val="000000"/>
          <w:lang w:eastAsia="bg-BG"/>
        </w:rPr>
      </w:pPr>
    </w:p>
    <w:p w14:paraId="05782E6B" w14:textId="6E9966F5" w:rsidR="00464F28" w:rsidRPr="00464F28" w:rsidRDefault="00464F28" w:rsidP="00464F28">
      <w:pPr>
        <w:spacing w:line="240" w:lineRule="auto"/>
        <w:rPr>
          <w:rFonts w:eastAsia="Times New Roman" w:cs="Arial"/>
        </w:rPr>
      </w:pPr>
      <w:r w:rsidRPr="00464F28">
        <w:rPr>
          <w:rFonts w:eastAsia="Times New Roman" w:cs="Arial"/>
          <w:color w:val="000000"/>
          <w:lang w:eastAsia="bg-BG"/>
        </w:rPr>
        <w:t>Клинични проучвания за лечение на постоперативна болка демонстрират, че комбинираното приложение на декскетопрофен трометамол и опиоиди сигнификантно намалява дозата на опиоида. При проучвания при постоперативна болка пациентите получават морфин чрез апарат за контролирана от пациента аналгезия. Пациентите, лекувани с декскетопрофен, се нуждаят от значително по-малко морфин (между 30-45 % по-малко), в сравнение с пациентите от плацебо- групата.</w:t>
      </w:r>
    </w:p>
    <w:p w14:paraId="49189927" w14:textId="41E2EF04" w:rsidR="00464F28" w:rsidRPr="00464F28" w:rsidRDefault="00464F28" w:rsidP="00464F28"/>
    <w:p w14:paraId="26535098" w14:textId="54E72446" w:rsidR="00395555" w:rsidRDefault="002C50EE" w:rsidP="008A6AF2">
      <w:pPr>
        <w:pStyle w:val="Heading2"/>
      </w:pPr>
      <w:r>
        <w:t>5.2. Фармакокинетични свойства</w:t>
      </w:r>
    </w:p>
    <w:p w14:paraId="426766C6" w14:textId="13DE8F80" w:rsidR="00464F28" w:rsidRDefault="00464F28" w:rsidP="00464F28"/>
    <w:p w14:paraId="3D524EE5" w14:textId="77777777" w:rsidR="00464F28" w:rsidRPr="00464F28" w:rsidRDefault="00464F28" w:rsidP="00464F28">
      <w:pPr>
        <w:spacing w:line="240" w:lineRule="auto"/>
        <w:rPr>
          <w:rFonts w:eastAsia="Times New Roman" w:cs="Arial"/>
        </w:rPr>
      </w:pPr>
      <w:r w:rsidRPr="00464F28">
        <w:rPr>
          <w:rFonts w:eastAsia="Times New Roman" w:cs="Arial"/>
          <w:color w:val="000000"/>
          <w:u w:val="single"/>
          <w:lang w:eastAsia="bg-BG"/>
        </w:rPr>
        <w:t>Абсообция и разпределение</w:t>
      </w:r>
    </w:p>
    <w:p w14:paraId="19A969BB" w14:textId="77777777" w:rsidR="00464F28" w:rsidRPr="00464F28" w:rsidRDefault="00464F28" w:rsidP="00464F28">
      <w:pPr>
        <w:spacing w:line="240" w:lineRule="auto"/>
        <w:rPr>
          <w:rFonts w:eastAsia="Times New Roman" w:cs="Arial"/>
        </w:rPr>
      </w:pPr>
      <w:r w:rsidRPr="00464F28">
        <w:rPr>
          <w:rFonts w:eastAsia="Times New Roman" w:cs="Arial"/>
          <w:color w:val="000000"/>
          <w:lang w:eastAsia="bg-BG"/>
        </w:rPr>
        <w:t xml:space="preserve">При интрамускулно приложение на декскетопрофен трометамол на хора, максимални концентрации се достигат на 20-та минута (от 10 до 45 минути). За еднократни дози от 25 </w:t>
      </w:r>
      <w:r w:rsidRPr="00464F28">
        <w:rPr>
          <w:rFonts w:eastAsia="Times New Roman" w:cs="Arial"/>
          <w:color w:val="000000"/>
          <w:lang w:val="en-US"/>
        </w:rPr>
        <w:t>mg</w:t>
      </w:r>
      <w:r w:rsidRPr="00464F28">
        <w:rPr>
          <w:rFonts w:eastAsia="Times New Roman" w:cs="Arial"/>
          <w:color w:val="000000"/>
          <w:lang w:val="ru-RU"/>
        </w:rPr>
        <w:t xml:space="preserve"> </w:t>
      </w:r>
      <w:r w:rsidRPr="00464F28">
        <w:rPr>
          <w:rFonts w:eastAsia="Times New Roman" w:cs="Arial"/>
          <w:color w:val="000000"/>
          <w:lang w:eastAsia="bg-BG"/>
        </w:rPr>
        <w:t xml:space="preserve">и 50 </w:t>
      </w:r>
      <w:r w:rsidRPr="00464F28">
        <w:rPr>
          <w:rFonts w:eastAsia="Times New Roman" w:cs="Arial"/>
          <w:color w:val="000000"/>
          <w:lang w:val="en-US"/>
        </w:rPr>
        <w:t>mg</w:t>
      </w:r>
      <w:r w:rsidRPr="00464F28">
        <w:rPr>
          <w:rFonts w:eastAsia="Times New Roman" w:cs="Arial"/>
          <w:color w:val="000000"/>
          <w:lang w:val="ru-RU"/>
        </w:rPr>
        <w:t xml:space="preserve">, </w:t>
      </w:r>
      <w:r w:rsidRPr="00464F28">
        <w:rPr>
          <w:rFonts w:eastAsia="Times New Roman" w:cs="Arial"/>
          <w:color w:val="000000"/>
          <w:lang w:eastAsia="bg-BG"/>
        </w:rPr>
        <w:t xml:space="preserve">площта под кривата </w:t>
      </w:r>
      <w:r w:rsidRPr="00464F28">
        <w:rPr>
          <w:rFonts w:eastAsia="Times New Roman" w:cs="Arial"/>
          <w:color w:val="000000"/>
          <w:lang w:val="ru-RU"/>
        </w:rPr>
        <w:t>(</w:t>
      </w:r>
      <w:r w:rsidRPr="00464F28">
        <w:rPr>
          <w:rFonts w:eastAsia="Times New Roman" w:cs="Arial"/>
          <w:color w:val="000000"/>
          <w:lang w:val="en-US"/>
        </w:rPr>
        <w:t>AUC</w:t>
      </w:r>
      <w:r w:rsidRPr="00464F28">
        <w:rPr>
          <w:rFonts w:eastAsia="Times New Roman" w:cs="Arial"/>
          <w:color w:val="000000"/>
          <w:lang w:val="ru-RU"/>
        </w:rPr>
        <w:t xml:space="preserve">, </w:t>
      </w:r>
      <w:r w:rsidRPr="00464F28">
        <w:rPr>
          <w:rFonts w:eastAsia="Times New Roman" w:cs="Arial"/>
          <w:color w:val="000000"/>
          <w:lang w:val="en-US"/>
        </w:rPr>
        <w:t>area</w:t>
      </w:r>
      <w:r w:rsidRPr="00464F28">
        <w:rPr>
          <w:rFonts w:eastAsia="Times New Roman" w:cs="Arial"/>
          <w:color w:val="000000"/>
          <w:lang w:val="ru-RU"/>
        </w:rPr>
        <w:t xml:space="preserve"> </w:t>
      </w:r>
      <w:r w:rsidRPr="00464F28">
        <w:rPr>
          <w:rFonts w:eastAsia="Times New Roman" w:cs="Arial"/>
          <w:color w:val="000000"/>
          <w:lang w:val="en-US"/>
        </w:rPr>
        <w:t>under</w:t>
      </w:r>
      <w:r w:rsidRPr="00464F28">
        <w:rPr>
          <w:rFonts w:eastAsia="Times New Roman" w:cs="Arial"/>
          <w:color w:val="000000"/>
          <w:lang w:val="ru-RU"/>
        </w:rPr>
        <w:t xml:space="preserve"> </w:t>
      </w:r>
      <w:r w:rsidRPr="00464F28">
        <w:rPr>
          <w:rFonts w:eastAsia="Times New Roman" w:cs="Arial"/>
          <w:color w:val="000000"/>
          <w:lang w:val="en-US"/>
        </w:rPr>
        <w:t>the</w:t>
      </w:r>
      <w:r w:rsidRPr="00464F28">
        <w:rPr>
          <w:rFonts w:eastAsia="Times New Roman" w:cs="Arial"/>
          <w:color w:val="000000"/>
          <w:lang w:val="ru-RU"/>
        </w:rPr>
        <w:t xml:space="preserve"> </w:t>
      </w:r>
      <w:r w:rsidRPr="00464F28">
        <w:rPr>
          <w:rFonts w:eastAsia="Times New Roman" w:cs="Arial"/>
          <w:color w:val="000000"/>
          <w:lang w:val="en-US"/>
        </w:rPr>
        <w:t>curve</w:t>
      </w:r>
      <w:r w:rsidRPr="00464F28">
        <w:rPr>
          <w:rFonts w:eastAsia="Times New Roman" w:cs="Arial"/>
          <w:color w:val="000000"/>
          <w:lang w:val="ru-RU"/>
        </w:rPr>
        <w:t xml:space="preserve">) </w:t>
      </w:r>
      <w:r w:rsidRPr="00464F28">
        <w:rPr>
          <w:rFonts w:eastAsia="Times New Roman" w:cs="Arial"/>
          <w:color w:val="000000"/>
          <w:lang w:eastAsia="bg-BG"/>
        </w:rPr>
        <w:t>е пропорционална на приложената доза както при интрамускулно, така и при интравенозно приложение.</w:t>
      </w:r>
    </w:p>
    <w:p w14:paraId="63D1ADBA" w14:textId="77777777" w:rsidR="00464F28" w:rsidRPr="00464F28" w:rsidRDefault="00464F28" w:rsidP="00464F28">
      <w:pPr>
        <w:spacing w:line="240" w:lineRule="auto"/>
        <w:rPr>
          <w:rFonts w:eastAsia="Times New Roman" w:cs="Arial"/>
          <w:color w:val="000000"/>
          <w:lang w:eastAsia="bg-BG"/>
        </w:rPr>
      </w:pPr>
    </w:p>
    <w:p w14:paraId="1349E9CD" w14:textId="51707F55" w:rsidR="00464F28" w:rsidRPr="00464F28" w:rsidRDefault="00464F28" w:rsidP="00464F28">
      <w:pPr>
        <w:spacing w:line="240" w:lineRule="auto"/>
        <w:rPr>
          <w:rFonts w:eastAsia="Times New Roman" w:cs="Arial"/>
        </w:rPr>
      </w:pPr>
      <w:r w:rsidRPr="00464F28">
        <w:rPr>
          <w:rFonts w:eastAsia="Times New Roman" w:cs="Arial"/>
          <w:color w:val="000000"/>
          <w:lang w:eastAsia="bg-BG"/>
        </w:rPr>
        <w:t>Във фармакокинетични проучвания с приложение на многократни дози е наблюдавано, че С</w:t>
      </w:r>
      <w:r w:rsidRPr="00464F28">
        <w:rPr>
          <w:rFonts w:eastAsia="Times New Roman" w:cs="Arial"/>
          <w:color w:val="000000"/>
          <w:vertAlign w:val="subscript"/>
          <w:lang w:val="en-US"/>
        </w:rPr>
        <w:t>max</w:t>
      </w:r>
      <w:r w:rsidRPr="00464F28">
        <w:rPr>
          <w:rFonts w:eastAsia="Times New Roman" w:cs="Arial"/>
          <w:color w:val="000000"/>
          <w:lang w:eastAsia="bg-BG"/>
        </w:rPr>
        <w:t xml:space="preserve"> и </w:t>
      </w:r>
      <w:r w:rsidRPr="00464F28">
        <w:rPr>
          <w:rFonts w:eastAsia="Times New Roman" w:cs="Arial"/>
          <w:color w:val="000000"/>
          <w:lang w:val="en-US"/>
        </w:rPr>
        <w:t>AUC</w:t>
      </w:r>
      <w:r w:rsidRPr="00464F28">
        <w:rPr>
          <w:rFonts w:eastAsia="Times New Roman" w:cs="Arial"/>
          <w:color w:val="000000"/>
          <w:lang w:val="ru-RU"/>
        </w:rPr>
        <w:t xml:space="preserve"> </w:t>
      </w:r>
      <w:r w:rsidRPr="00464F28">
        <w:rPr>
          <w:rFonts w:eastAsia="Times New Roman" w:cs="Arial"/>
          <w:color w:val="000000"/>
          <w:lang w:eastAsia="bg-BG"/>
        </w:rPr>
        <w:t>след последното интрамускулно или интравенозно приложение не се различават от тези, получени след еднократна доза, което показва, че лекарството не кумулира.</w:t>
      </w:r>
    </w:p>
    <w:p w14:paraId="47E207D6" w14:textId="77777777" w:rsidR="00464F28" w:rsidRPr="00464F28" w:rsidRDefault="00464F28" w:rsidP="00464F28">
      <w:pPr>
        <w:spacing w:line="240" w:lineRule="auto"/>
        <w:rPr>
          <w:rFonts w:eastAsia="Times New Roman" w:cs="Arial"/>
          <w:color w:val="000000"/>
          <w:lang w:eastAsia="bg-BG"/>
        </w:rPr>
      </w:pPr>
    </w:p>
    <w:p w14:paraId="159B2029" w14:textId="7E02AE34" w:rsidR="00464F28" w:rsidRPr="00464F28" w:rsidRDefault="00464F28" w:rsidP="00464F28">
      <w:pPr>
        <w:spacing w:line="240" w:lineRule="auto"/>
        <w:rPr>
          <w:rFonts w:eastAsia="Times New Roman" w:cs="Arial"/>
        </w:rPr>
      </w:pPr>
      <w:r w:rsidRPr="00464F28">
        <w:rPr>
          <w:rFonts w:eastAsia="Times New Roman" w:cs="Arial"/>
          <w:color w:val="000000"/>
          <w:lang w:eastAsia="bg-BG"/>
        </w:rPr>
        <w:t xml:space="preserve">Подобно на други лекарства с висока степен на свързване с плазмените протеини (99 %), обемът на разпределение има средна стойност под 0,25 </w:t>
      </w:r>
      <w:r w:rsidRPr="00464F28">
        <w:rPr>
          <w:rFonts w:eastAsia="Times New Roman" w:cs="Arial"/>
          <w:color w:val="000000"/>
          <w:lang w:val="ru-RU"/>
        </w:rPr>
        <w:t>1/</w:t>
      </w:r>
      <w:r w:rsidRPr="00464F28">
        <w:rPr>
          <w:rFonts w:eastAsia="Times New Roman" w:cs="Arial"/>
          <w:color w:val="000000"/>
          <w:lang w:val="en-US"/>
        </w:rPr>
        <w:t>kg</w:t>
      </w:r>
      <w:r w:rsidRPr="00464F28">
        <w:rPr>
          <w:rFonts w:eastAsia="Times New Roman" w:cs="Arial"/>
          <w:color w:val="000000"/>
          <w:lang w:val="ru-RU"/>
        </w:rPr>
        <w:t xml:space="preserve">. </w:t>
      </w:r>
      <w:r w:rsidRPr="00464F28">
        <w:rPr>
          <w:rFonts w:eastAsia="Times New Roman" w:cs="Arial"/>
          <w:color w:val="000000"/>
          <w:lang w:eastAsia="bg-BG"/>
        </w:rPr>
        <w:t xml:space="preserve">Времето за полуразпределение </w:t>
      </w:r>
      <w:r w:rsidRPr="00464F28">
        <w:rPr>
          <w:rFonts w:eastAsia="Times New Roman" w:cs="Arial"/>
          <w:b/>
          <w:bCs/>
          <w:color w:val="000000"/>
          <w:lang w:eastAsia="bg-BG"/>
        </w:rPr>
        <w:t xml:space="preserve">е </w:t>
      </w:r>
      <w:r w:rsidRPr="00464F28">
        <w:rPr>
          <w:rFonts w:eastAsia="Times New Roman" w:cs="Arial"/>
          <w:color w:val="000000"/>
          <w:lang w:eastAsia="bg-BG"/>
        </w:rPr>
        <w:t>средно 0,35 часа, а времето на полуживот е средно 1-2,7 часа.</w:t>
      </w:r>
    </w:p>
    <w:p w14:paraId="051FE2B5" w14:textId="77777777" w:rsidR="00464F28" w:rsidRPr="00464F28" w:rsidRDefault="00464F28" w:rsidP="00464F28">
      <w:pPr>
        <w:spacing w:line="240" w:lineRule="auto"/>
        <w:rPr>
          <w:rFonts w:eastAsia="Times New Roman" w:cs="Arial"/>
          <w:color w:val="000000"/>
          <w:u w:val="single"/>
          <w:lang w:eastAsia="bg-BG"/>
        </w:rPr>
      </w:pPr>
    </w:p>
    <w:p w14:paraId="7B2D91B1" w14:textId="6C549D35" w:rsidR="00464F28" w:rsidRPr="00464F28" w:rsidRDefault="00464F28" w:rsidP="00464F28">
      <w:pPr>
        <w:spacing w:line="240" w:lineRule="auto"/>
        <w:rPr>
          <w:rFonts w:eastAsia="Times New Roman" w:cs="Arial"/>
        </w:rPr>
      </w:pPr>
      <w:r w:rsidRPr="00464F28">
        <w:rPr>
          <w:rFonts w:eastAsia="Times New Roman" w:cs="Arial"/>
          <w:color w:val="000000"/>
          <w:u w:val="single"/>
          <w:lang w:eastAsia="bg-BG"/>
        </w:rPr>
        <w:t>Биотрансформаци</w:t>
      </w:r>
      <w:r w:rsidRPr="00464F28">
        <w:rPr>
          <w:rFonts w:eastAsia="Times New Roman" w:cs="Arial"/>
          <w:color w:val="000000"/>
          <w:lang w:eastAsia="bg-BG"/>
        </w:rPr>
        <w:t>я</w:t>
      </w:r>
    </w:p>
    <w:p w14:paraId="1E3B3A79" w14:textId="77777777" w:rsidR="00464F28" w:rsidRPr="00464F28" w:rsidRDefault="00464F28" w:rsidP="00464F28">
      <w:pPr>
        <w:spacing w:line="240" w:lineRule="auto"/>
        <w:rPr>
          <w:rFonts w:eastAsia="Times New Roman" w:cs="Arial"/>
        </w:rPr>
      </w:pPr>
      <w:r w:rsidRPr="00464F28">
        <w:rPr>
          <w:rFonts w:eastAsia="Times New Roman" w:cs="Arial"/>
          <w:color w:val="000000"/>
          <w:lang w:eastAsia="bg-BG"/>
        </w:rPr>
        <w:t>Основният път на елиминиране на декскетопрофен е глюкуронова конюгация и последваща бъбречна екскреция.</w:t>
      </w:r>
    </w:p>
    <w:p w14:paraId="2EC23AC0" w14:textId="77777777" w:rsidR="00464F28" w:rsidRPr="00464F28" w:rsidRDefault="00464F28" w:rsidP="00464F28">
      <w:pPr>
        <w:spacing w:line="240" w:lineRule="auto"/>
        <w:rPr>
          <w:rFonts w:eastAsia="Times New Roman" w:cs="Arial"/>
          <w:color w:val="000000"/>
          <w:u w:val="single"/>
          <w:lang w:eastAsia="bg-BG"/>
        </w:rPr>
      </w:pPr>
    </w:p>
    <w:p w14:paraId="613F0182" w14:textId="45537BD4" w:rsidR="00464F28" w:rsidRPr="00464F28" w:rsidRDefault="00464F28" w:rsidP="00464F28">
      <w:pPr>
        <w:spacing w:line="240" w:lineRule="auto"/>
        <w:rPr>
          <w:rFonts w:eastAsia="Times New Roman" w:cs="Arial"/>
        </w:rPr>
      </w:pPr>
      <w:r w:rsidRPr="00464F28">
        <w:rPr>
          <w:rFonts w:eastAsia="Times New Roman" w:cs="Arial"/>
          <w:color w:val="000000"/>
          <w:u w:val="single"/>
          <w:lang w:eastAsia="bg-BG"/>
        </w:rPr>
        <w:t>Елиминиране</w:t>
      </w:r>
    </w:p>
    <w:p w14:paraId="4929B1FE" w14:textId="77777777" w:rsidR="00464F28" w:rsidRPr="00464F28" w:rsidRDefault="00464F28" w:rsidP="00464F28">
      <w:pPr>
        <w:spacing w:line="240" w:lineRule="auto"/>
        <w:rPr>
          <w:rFonts w:eastAsia="Times New Roman" w:cs="Arial"/>
        </w:rPr>
      </w:pPr>
      <w:r w:rsidRPr="00464F28">
        <w:rPr>
          <w:rFonts w:eastAsia="Times New Roman" w:cs="Arial"/>
          <w:color w:val="000000"/>
          <w:lang w:eastAsia="bg-BG"/>
        </w:rPr>
        <w:t xml:space="preserve">След приложението на декскетопрофен трометамол, в урината се отделя само </w:t>
      </w:r>
      <w:r w:rsidRPr="00464F28">
        <w:rPr>
          <w:rFonts w:eastAsia="Times New Roman" w:cs="Arial"/>
          <w:color w:val="000000"/>
          <w:lang w:val="en-US"/>
        </w:rPr>
        <w:t>S</w:t>
      </w:r>
      <w:r w:rsidRPr="00464F28">
        <w:rPr>
          <w:rFonts w:eastAsia="Times New Roman" w:cs="Arial"/>
          <w:color w:val="000000"/>
          <w:lang w:val="ru-RU"/>
        </w:rPr>
        <w:t xml:space="preserve">-(+)- </w:t>
      </w:r>
      <w:r w:rsidRPr="00464F28">
        <w:rPr>
          <w:rFonts w:eastAsia="Times New Roman" w:cs="Arial"/>
          <w:color w:val="000000"/>
          <w:lang w:eastAsia="bg-BG"/>
        </w:rPr>
        <w:t xml:space="preserve">енантиомера, което демонстрира, че при хората няма конверсия в </w:t>
      </w:r>
      <w:r w:rsidRPr="00464F28">
        <w:rPr>
          <w:rFonts w:eastAsia="Times New Roman" w:cs="Arial"/>
          <w:color w:val="000000"/>
          <w:lang w:val="en-US"/>
        </w:rPr>
        <w:t>R</w:t>
      </w:r>
      <w:r w:rsidRPr="00464F28">
        <w:rPr>
          <w:rFonts w:eastAsia="Times New Roman" w:cs="Arial"/>
          <w:color w:val="000000"/>
          <w:lang w:eastAsia="bg-BG"/>
        </w:rPr>
        <w:t>-(-)-енантиомер.</w:t>
      </w:r>
    </w:p>
    <w:p w14:paraId="10F83424" w14:textId="77777777" w:rsidR="00464F28" w:rsidRPr="00464F28" w:rsidRDefault="00464F28" w:rsidP="00464F28">
      <w:pPr>
        <w:rPr>
          <w:rFonts w:eastAsia="Times New Roman" w:cs="Arial"/>
          <w:color w:val="000000"/>
          <w:lang w:eastAsia="bg-BG"/>
        </w:rPr>
      </w:pPr>
    </w:p>
    <w:p w14:paraId="5C33E59C" w14:textId="1F677CB9" w:rsidR="00464F28" w:rsidRDefault="00464F28" w:rsidP="00464F28">
      <w:pPr>
        <w:rPr>
          <w:rFonts w:eastAsia="Times New Roman" w:cs="Arial"/>
          <w:color w:val="000000"/>
          <w:lang w:eastAsia="bg-BG"/>
        </w:rPr>
      </w:pPr>
      <w:r w:rsidRPr="00464F28">
        <w:rPr>
          <w:rFonts w:eastAsia="Times New Roman" w:cs="Arial"/>
          <w:color w:val="000000"/>
          <w:lang w:eastAsia="bg-BG"/>
        </w:rPr>
        <w:t>При здрави хора в старческа възраст (&gt;65 години и по-възрастни), експозицията на лекарството е значително по-висока, в сравнение с млади доброволци, след еднократно и многократно перорално приложение (до 55%), докато в максималните плазмени концентрации и времето за достигането им липсват статистически значими разлики. Средното време на полуживот се удължава след еднократно и многократно приложение (до 48%) и общият клирънс намалява.</w:t>
      </w:r>
    </w:p>
    <w:p w14:paraId="60287649" w14:textId="77777777" w:rsidR="00464F28" w:rsidRPr="00464F28" w:rsidRDefault="00464F28" w:rsidP="00464F28">
      <w:pPr>
        <w:rPr>
          <w:rFonts w:cs="Arial"/>
        </w:rPr>
      </w:pPr>
    </w:p>
    <w:p w14:paraId="028E658A" w14:textId="61A93F2C" w:rsidR="00395555" w:rsidRDefault="002C50EE" w:rsidP="008A6AF2">
      <w:pPr>
        <w:pStyle w:val="Heading2"/>
      </w:pPr>
      <w:r>
        <w:lastRenderedPageBreak/>
        <w:t>5.3. Предклинични данни за безопасност</w:t>
      </w:r>
    </w:p>
    <w:p w14:paraId="34E978A4" w14:textId="7BC5F681" w:rsidR="00464F28" w:rsidRDefault="00464F28" w:rsidP="00464F28"/>
    <w:p w14:paraId="637844C6" w14:textId="42C7CF03" w:rsidR="00464F28" w:rsidRDefault="00464F28" w:rsidP="00464F28">
      <w:r>
        <w:t xml:space="preserve">Предклиничните данни при конвенционалните фармакологични изпитвания за безопасност, токсичност при многократно прилагане, генотоксичност, репродуктивна токсичност и имуно- фармакологична токсичност не показват особен риск за хората, освен вече споменатите в другите раздели на кратката характеристика на продукта. Проучванията за хронична токсичност при мишки и маймуни показват липса на нежелани лекарствени реакции </w:t>
      </w:r>
      <w:r w:rsidRPr="00464F28">
        <w:t>(</w:t>
      </w:r>
      <w:r>
        <w:rPr>
          <w:lang w:val="en-US"/>
        </w:rPr>
        <w:t>No</w:t>
      </w:r>
      <w:r w:rsidRPr="00464F28">
        <w:t xml:space="preserve"> </w:t>
      </w:r>
      <w:r>
        <w:rPr>
          <w:lang w:val="en-US"/>
        </w:rPr>
        <w:t>Observed</w:t>
      </w:r>
      <w:r w:rsidRPr="00464F28">
        <w:t xml:space="preserve"> </w:t>
      </w:r>
      <w:r>
        <w:rPr>
          <w:lang w:val="en-US"/>
        </w:rPr>
        <w:t>Adverse</w:t>
      </w:r>
      <w:r w:rsidRPr="00464F28">
        <w:t xml:space="preserve"> </w:t>
      </w:r>
      <w:r>
        <w:rPr>
          <w:lang w:val="en-US"/>
        </w:rPr>
        <w:t>Effect</w:t>
      </w:r>
      <w:r w:rsidRPr="00464F28">
        <w:t xml:space="preserve"> </w:t>
      </w:r>
      <w:r>
        <w:rPr>
          <w:lang w:val="en-US"/>
        </w:rPr>
        <w:t>Level</w:t>
      </w:r>
      <w:r w:rsidRPr="00464F28">
        <w:t xml:space="preserve">, </w:t>
      </w:r>
      <w:r>
        <w:rPr>
          <w:lang w:val="en-US"/>
        </w:rPr>
        <w:t>NOAEL</w:t>
      </w:r>
      <w:r w:rsidRPr="00464F28">
        <w:t xml:space="preserve">) </w:t>
      </w:r>
      <w:r>
        <w:t xml:space="preserve">на </w:t>
      </w:r>
      <w:r w:rsidRPr="00464F28">
        <w:t xml:space="preserve">3 </w:t>
      </w:r>
      <w:r>
        <w:rPr>
          <w:lang w:val="en-US"/>
        </w:rPr>
        <w:t>mg</w:t>
      </w:r>
      <w:r w:rsidRPr="00464F28">
        <w:t>/</w:t>
      </w:r>
      <w:r>
        <w:rPr>
          <w:lang w:val="en-US"/>
        </w:rPr>
        <w:t>kg</w:t>
      </w:r>
      <w:r>
        <w:t>/ден. Основните нежелани лекарствени реакции, наблюдавани при високи дози, са стомашно-чревни ерози</w:t>
      </w:r>
      <w:r>
        <w:t>и и язви, които са дозозависими.</w:t>
      </w:r>
    </w:p>
    <w:p w14:paraId="065D7F69" w14:textId="4BED800A" w:rsidR="00464F28" w:rsidRDefault="00464F28" w:rsidP="00464F28"/>
    <w:p w14:paraId="3B9EC76D" w14:textId="77777777" w:rsidR="00464F28" w:rsidRPr="00464F28" w:rsidRDefault="00464F28" w:rsidP="00464F28">
      <w:pPr>
        <w:rPr>
          <w:rFonts w:ascii="Times New Roman" w:eastAsia="Times New Roman" w:hAnsi="Times New Roman" w:cs="Times New Roman"/>
          <w:sz w:val="24"/>
          <w:szCs w:val="24"/>
        </w:rPr>
      </w:pPr>
      <w:r w:rsidRPr="00464F28">
        <w:rPr>
          <w:rFonts w:ascii="Times New Roman" w:eastAsia="Times New Roman" w:hAnsi="Times New Roman" w:cs="Times New Roman"/>
          <w:color w:val="000000"/>
          <w:lang w:eastAsia="bg-BG"/>
        </w:rPr>
        <w:t>Подобно на целия фармакологичен клас НСПВС, декскетопрофен трометамол може да причини промени в ембрио-феталната преживяемост при животински модели, като действа както индиректно, чрез стомашно-чревна токсичност при бременните майки, така и директно върху развитието на плода.</w:t>
      </w:r>
    </w:p>
    <w:p w14:paraId="7155CF81" w14:textId="77777777" w:rsidR="00464F28" w:rsidRPr="00464F28" w:rsidRDefault="00464F28" w:rsidP="00464F28"/>
    <w:p w14:paraId="6A7820AB" w14:textId="55556DC6" w:rsidR="008A6AF2" w:rsidRDefault="002C50EE" w:rsidP="00395555">
      <w:pPr>
        <w:pStyle w:val="Heading1"/>
      </w:pPr>
      <w:r>
        <w:t>7. ПРИТЕЖАТЕЛ НА РАЗРЕШЕНИЕТО ЗА УПОТРЕБА</w:t>
      </w:r>
    </w:p>
    <w:p w14:paraId="49612237" w14:textId="2E6A774A" w:rsidR="00464F28" w:rsidRDefault="00464F28" w:rsidP="00464F28"/>
    <w:p w14:paraId="2E5633F1" w14:textId="77777777" w:rsidR="00464F28" w:rsidRPr="00464F28" w:rsidRDefault="00464F28" w:rsidP="00464F28">
      <w:pPr>
        <w:rPr>
          <w:sz w:val="24"/>
          <w:szCs w:val="24"/>
          <w:lang w:val="en-US"/>
        </w:rPr>
      </w:pPr>
      <w:r w:rsidRPr="00464F28">
        <w:rPr>
          <w:lang w:val="en-US"/>
        </w:rPr>
        <w:t xml:space="preserve">S.C. </w:t>
      </w:r>
      <w:proofErr w:type="spellStart"/>
      <w:r w:rsidRPr="00464F28">
        <w:rPr>
          <w:lang w:val="en-US"/>
        </w:rPr>
        <w:t>Rompharm</w:t>
      </w:r>
      <w:proofErr w:type="spellEnd"/>
      <w:r w:rsidRPr="00464F28">
        <w:rPr>
          <w:lang w:val="en-US"/>
        </w:rPr>
        <w:t xml:space="preserve"> Company S.R.L</w:t>
      </w:r>
    </w:p>
    <w:p w14:paraId="3C13807D" w14:textId="77777777" w:rsidR="00464F28" w:rsidRPr="00464F28" w:rsidRDefault="00464F28" w:rsidP="00464F28">
      <w:pPr>
        <w:rPr>
          <w:sz w:val="24"/>
          <w:szCs w:val="24"/>
          <w:lang w:val="en-US"/>
        </w:rPr>
      </w:pPr>
      <w:r w:rsidRPr="00464F28">
        <w:rPr>
          <w:lang w:eastAsia="bg-BG"/>
        </w:rPr>
        <w:t>1</w:t>
      </w:r>
      <w:r w:rsidRPr="00464F28">
        <w:rPr>
          <w:lang w:val="en-US"/>
        </w:rPr>
        <w:t xml:space="preserve">A </w:t>
      </w:r>
      <w:proofErr w:type="spellStart"/>
      <w:r w:rsidRPr="00464F28">
        <w:rPr>
          <w:lang w:val="en-US"/>
        </w:rPr>
        <w:t>Eroilor</w:t>
      </w:r>
      <w:proofErr w:type="spellEnd"/>
      <w:r w:rsidRPr="00464F28">
        <w:rPr>
          <w:lang w:val="en-US"/>
        </w:rPr>
        <w:t xml:space="preserve"> Street, </w:t>
      </w:r>
      <w:proofErr w:type="spellStart"/>
      <w:r w:rsidRPr="00464F28">
        <w:rPr>
          <w:lang w:val="en-US"/>
        </w:rPr>
        <w:t>Otopeni</w:t>
      </w:r>
      <w:proofErr w:type="spellEnd"/>
      <w:r w:rsidRPr="00464F28">
        <w:rPr>
          <w:lang w:val="en-US"/>
        </w:rPr>
        <w:t xml:space="preserve">, </w:t>
      </w:r>
      <w:proofErr w:type="spellStart"/>
      <w:r w:rsidRPr="00464F28">
        <w:rPr>
          <w:lang w:val="en-US"/>
        </w:rPr>
        <w:t>Ilfov</w:t>
      </w:r>
      <w:proofErr w:type="spellEnd"/>
      <w:r w:rsidRPr="00464F28">
        <w:rPr>
          <w:lang w:val="en-US"/>
        </w:rPr>
        <w:t xml:space="preserve"> 075100</w:t>
      </w:r>
    </w:p>
    <w:p w14:paraId="456F2D85" w14:textId="53351061" w:rsidR="00464F28" w:rsidRPr="00464F28" w:rsidRDefault="00464F28" w:rsidP="00464F28">
      <w:r w:rsidRPr="00464F28">
        <w:rPr>
          <w:lang w:eastAsia="bg-BG"/>
        </w:rPr>
        <w:t>Румъния</w:t>
      </w:r>
    </w:p>
    <w:p w14:paraId="04840D59" w14:textId="35C23254" w:rsidR="002C50EE" w:rsidRDefault="002C50EE" w:rsidP="00395555">
      <w:pPr>
        <w:pStyle w:val="Heading1"/>
      </w:pPr>
      <w:r>
        <w:t>8. НОМЕР НА РАЗРЕШЕНИЕТО ЗА УПОТРЕБА</w:t>
      </w:r>
    </w:p>
    <w:p w14:paraId="7611993A" w14:textId="1C3048AC" w:rsidR="00464F28" w:rsidRDefault="00464F28" w:rsidP="00464F28"/>
    <w:p w14:paraId="0360B90B" w14:textId="640248A1" w:rsidR="00464F28" w:rsidRPr="00464F28" w:rsidRDefault="00464F28" w:rsidP="00464F28">
      <w:r>
        <w:t>per. № 20140260</w:t>
      </w:r>
    </w:p>
    <w:p w14:paraId="2CCB5832" w14:textId="46A92E2A" w:rsidR="007C605B" w:rsidRDefault="002C50EE" w:rsidP="007C605B">
      <w:pPr>
        <w:pStyle w:val="Heading1"/>
      </w:pPr>
      <w:r>
        <w:t>9. ДАТА НА ПЪРВО РАЗРЕШАВАНЕ/ПОДНОВЯВАНЕ НА РАЗРЕШЕНИЕТО ЗА УПОТРЕБА</w:t>
      </w:r>
    </w:p>
    <w:p w14:paraId="635CEDC1" w14:textId="7F19DF8C" w:rsidR="00464F28" w:rsidRDefault="00464F28" w:rsidP="00464F28"/>
    <w:p w14:paraId="1EA20748" w14:textId="3D656B0C" w:rsidR="00464F28" w:rsidRPr="00464F28" w:rsidRDefault="00464F28" w:rsidP="00464F28">
      <w:r>
        <w:t>28/08/2014</w:t>
      </w:r>
    </w:p>
    <w:p w14:paraId="0E9D0119" w14:textId="0245C6D7" w:rsidR="002C50EE" w:rsidRDefault="002C50EE" w:rsidP="002C50EE">
      <w:pPr>
        <w:pStyle w:val="Heading1"/>
      </w:pPr>
      <w:r>
        <w:t>10. ДАТА НА АКТУАЛИЗИРАНЕ НА ТЕКСТА</w:t>
      </w:r>
    </w:p>
    <w:bookmarkEnd w:id="0"/>
    <w:p w14:paraId="045DF12B" w14:textId="77777777" w:rsidR="00464F28" w:rsidRPr="00464F28" w:rsidRDefault="00464F28" w:rsidP="00464F28">
      <w:pPr>
        <w:rPr>
          <w:sz w:val="24"/>
          <w:szCs w:val="24"/>
        </w:rPr>
      </w:pPr>
      <w:r w:rsidRPr="00464F28">
        <w:rPr>
          <w:lang w:eastAsia="bg-BG"/>
        </w:rPr>
        <w:t>Септември 2018</w:t>
      </w:r>
      <w:bookmarkStart w:id="1" w:name="_GoBack"/>
      <w:bookmarkEnd w:id="1"/>
    </w:p>
    <w:p w14:paraId="43FB38A2" w14:textId="1D8A3B61" w:rsidR="007C605B" w:rsidRPr="003E3126" w:rsidRDefault="007C605B" w:rsidP="00395555"/>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6F2294E"/>
    <w:multiLevelType w:val="hybridMultilevel"/>
    <w:tmpl w:val="F0EC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C6776"/>
    <w:multiLevelType w:val="hybridMultilevel"/>
    <w:tmpl w:val="BDD6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69C0F26"/>
    <w:multiLevelType w:val="hybridMultilevel"/>
    <w:tmpl w:val="E87A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412BF"/>
    <w:multiLevelType w:val="hybridMultilevel"/>
    <w:tmpl w:val="C8E0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B022179"/>
    <w:multiLevelType w:val="hybridMultilevel"/>
    <w:tmpl w:val="2612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F56E2"/>
    <w:multiLevelType w:val="hybridMultilevel"/>
    <w:tmpl w:val="CD20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3E8708C9"/>
    <w:multiLevelType w:val="hybridMultilevel"/>
    <w:tmpl w:val="549E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7"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F6043"/>
    <w:multiLevelType w:val="hybridMultilevel"/>
    <w:tmpl w:val="6AFC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C55AAB"/>
    <w:multiLevelType w:val="hybridMultilevel"/>
    <w:tmpl w:val="5BD2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2A0D91"/>
    <w:multiLevelType w:val="hybridMultilevel"/>
    <w:tmpl w:val="6028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D0D89"/>
    <w:multiLevelType w:val="hybridMultilevel"/>
    <w:tmpl w:val="D1A8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E0856"/>
    <w:multiLevelType w:val="hybridMultilevel"/>
    <w:tmpl w:val="336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5"/>
  </w:num>
  <w:num w:numId="2">
    <w:abstractNumId w:val="0"/>
  </w:num>
  <w:num w:numId="3">
    <w:abstractNumId w:val="17"/>
  </w:num>
  <w:num w:numId="4">
    <w:abstractNumId w:val="3"/>
  </w:num>
  <w:num w:numId="5">
    <w:abstractNumId w:val="1"/>
  </w:num>
  <w:num w:numId="6">
    <w:abstractNumId w:val="22"/>
  </w:num>
  <w:num w:numId="7">
    <w:abstractNumId w:val="14"/>
  </w:num>
  <w:num w:numId="8">
    <w:abstractNumId w:val="20"/>
  </w:num>
  <w:num w:numId="9">
    <w:abstractNumId w:val="2"/>
  </w:num>
  <w:num w:numId="10">
    <w:abstractNumId w:val="4"/>
  </w:num>
  <w:num w:numId="11">
    <w:abstractNumId w:val="37"/>
  </w:num>
  <w:num w:numId="12">
    <w:abstractNumId w:val="19"/>
  </w:num>
  <w:num w:numId="13">
    <w:abstractNumId w:val="25"/>
  </w:num>
  <w:num w:numId="14">
    <w:abstractNumId w:val="16"/>
  </w:num>
  <w:num w:numId="15">
    <w:abstractNumId w:val="36"/>
  </w:num>
  <w:num w:numId="16">
    <w:abstractNumId w:val="13"/>
  </w:num>
  <w:num w:numId="17">
    <w:abstractNumId w:val="31"/>
  </w:num>
  <w:num w:numId="18">
    <w:abstractNumId w:val="10"/>
  </w:num>
  <w:num w:numId="19">
    <w:abstractNumId w:val="34"/>
  </w:num>
  <w:num w:numId="20">
    <w:abstractNumId w:val="29"/>
  </w:num>
  <w:num w:numId="21">
    <w:abstractNumId w:val="23"/>
  </w:num>
  <w:num w:numId="22">
    <w:abstractNumId w:val="32"/>
  </w:num>
  <w:num w:numId="23">
    <w:abstractNumId w:val="24"/>
  </w:num>
  <w:num w:numId="24">
    <w:abstractNumId w:val="12"/>
  </w:num>
  <w:num w:numId="25">
    <w:abstractNumId w:val="28"/>
  </w:num>
  <w:num w:numId="26">
    <w:abstractNumId w:val="27"/>
  </w:num>
  <w:num w:numId="27">
    <w:abstractNumId w:val="40"/>
  </w:num>
  <w:num w:numId="28">
    <w:abstractNumId w:val="8"/>
  </w:num>
  <w:num w:numId="29">
    <w:abstractNumId w:val="26"/>
  </w:num>
  <w:num w:numId="30">
    <w:abstractNumId w:val="42"/>
  </w:num>
  <w:num w:numId="31">
    <w:abstractNumId w:val="6"/>
  </w:num>
  <w:num w:numId="32">
    <w:abstractNumId w:val="15"/>
  </w:num>
  <w:num w:numId="33">
    <w:abstractNumId w:val="41"/>
  </w:num>
  <w:num w:numId="34">
    <w:abstractNumId w:val="5"/>
  </w:num>
  <w:num w:numId="35">
    <w:abstractNumId w:val="11"/>
  </w:num>
  <w:num w:numId="36">
    <w:abstractNumId w:val="30"/>
  </w:num>
  <w:num w:numId="37">
    <w:abstractNumId w:val="21"/>
  </w:num>
  <w:num w:numId="38">
    <w:abstractNumId w:val="39"/>
  </w:num>
  <w:num w:numId="39">
    <w:abstractNumId w:val="38"/>
  </w:num>
  <w:num w:numId="40">
    <w:abstractNumId w:val="9"/>
  </w:num>
  <w:num w:numId="41">
    <w:abstractNumId w:val="18"/>
  </w:num>
  <w:num w:numId="42">
    <w:abstractNumId w:val="3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64F28"/>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4757</Words>
  <Characters>27117</Characters>
  <Application>Microsoft Office Word</Application>
  <DocSecurity>0</DocSecurity>
  <Lines>225</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2021-12-01T12:24:00Z</dcterms:created>
  <dcterms:modified xsi:type="dcterms:W3CDTF">2021-12-01T12:24:00Z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