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4AA3969" w:rsidR="00C40420" w:rsidRDefault="00DD466D" w:rsidP="004A448E">
      <w:pPr>
        <w:pStyle w:val="Heading1"/>
      </w:pPr>
      <w:r>
        <w:t>1.ИМЕ НА ЛЕКАРСТВЕНИЯ ПРОДУКТ</w:t>
      </w:r>
    </w:p>
    <w:p w14:paraId="216943CB" w14:textId="5E5A83A2" w:rsidR="0083138C" w:rsidRDefault="0083138C" w:rsidP="0083138C"/>
    <w:p w14:paraId="616CF6A8" w14:textId="77777777" w:rsidR="0083138C" w:rsidRPr="0083138C" w:rsidRDefault="0083138C" w:rsidP="0083138C">
      <w:pPr>
        <w:rPr>
          <w:sz w:val="24"/>
          <w:szCs w:val="24"/>
          <w:lang w:val="ru-RU"/>
        </w:rPr>
      </w:pPr>
      <w:r w:rsidRPr="0083138C">
        <w:rPr>
          <w:lang w:eastAsia="bg-BG"/>
        </w:rPr>
        <w:t xml:space="preserve">Дексофен инжект 50 </w:t>
      </w:r>
      <w:r w:rsidRPr="0083138C">
        <w:rPr>
          <w:lang w:val="en-US"/>
        </w:rPr>
        <w:t>mg</w:t>
      </w:r>
      <w:r w:rsidRPr="0083138C">
        <w:rPr>
          <w:lang w:val="ru-RU"/>
        </w:rPr>
        <w:t xml:space="preserve">/2 </w:t>
      </w:r>
      <w:r w:rsidRPr="0083138C">
        <w:rPr>
          <w:lang w:val="en-US"/>
        </w:rPr>
        <w:t>ml</w:t>
      </w:r>
      <w:r w:rsidRPr="0083138C">
        <w:rPr>
          <w:lang w:val="ru-RU"/>
        </w:rPr>
        <w:t xml:space="preserve"> </w:t>
      </w:r>
      <w:r w:rsidRPr="0083138C">
        <w:rPr>
          <w:lang w:eastAsia="bg-BG"/>
        </w:rPr>
        <w:t>инжекционен/инфузионен разтвор</w:t>
      </w:r>
    </w:p>
    <w:p w14:paraId="5178C33B" w14:textId="2C3F66AC" w:rsidR="0083138C" w:rsidRPr="0083138C" w:rsidRDefault="0083138C" w:rsidP="0083138C">
      <w:proofErr w:type="spellStart"/>
      <w:r w:rsidRPr="0083138C">
        <w:rPr>
          <w:lang w:val="en-US"/>
        </w:rPr>
        <w:t>Dexofen</w:t>
      </w:r>
      <w:proofErr w:type="spellEnd"/>
      <w:r w:rsidRPr="0083138C">
        <w:rPr>
          <w:lang w:val="en-US"/>
        </w:rPr>
        <w:t xml:space="preserve"> inject </w:t>
      </w:r>
      <w:r w:rsidRPr="0083138C">
        <w:rPr>
          <w:lang w:eastAsia="bg-BG"/>
        </w:rPr>
        <w:t xml:space="preserve">50 </w:t>
      </w:r>
      <w:r w:rsidRPr="0083138C">
        <w:rPr>
          <w:lang w:val="en-US"/>
        </w:rPr>
        <w:t>mg/2 ml solution for injection/infusion</w:t>
      </w:r>
    </w:p>
    <w:p w14:paraId="6920A680" w14:textId="17528D95" w:rsidR="00C40420" w:rsidRDefault="00DD466D" w:rsidP="004A448E">
      <w:pPr>
        <w:pStyle w:val="Heading1"/>
      </w:pPr>
      <w:r>
        <w:t>2. КАЧЕСТВЕН И КОЛИЧЕСТВЕН СЪСТАВ</w:t>
      </w:r>
    </w:p>
    <w:p w14:paraId="550E5057" w14:textId="212CF0D3" w:rsidR="0083138C" w:rsidRDefault="0083138C" w:rsidP="0083138C"/>
    <w:p w14:paraId="7C43EFBC" w14:textId="77777777" w:rsidR="0083138C" w:rsidRPr="0083138C" w:rsidRDefault="0083138C" w:rsidP="0083138C">
      <w:pPr>
        <w:rPr>
          <w:sz w:val="24"/>
          <w:szCs w:val="24"/>
        </w:rPr>
      </w:pPr>
      <w:r w:rsidRPr="0083138C">
        <w:rPr>
          <w:lang w:eastAsia="bg-BG"/>
        </w:rPr>
        <w:t xml:space="preserve">Всяка ампула от 2 </w:t>
      </w:r>
      <w:r w:rsidRPr="0083138C">
        <w:rPr>
          <w:lang w:val="en-US"/>
        </w:rPr>
        <w:t>ml</w:t>
      </w:r>
      <w:r w:rsidRPr="0083138C">
        <w:t xml:space="preserve"> </w:t>
      </w:r>
      <w:r w:rsidRPr="0083138C">
        <w:rPr>
          <w:lang w:eastAsia="bg-BG"/>
        </w:rPr>
        <w:t xml:space="preserve">съдържа: декскетопрофен </w:t>
      </w:r>
      <w:r w:rsidRPr="0083138C">
        <w:t>(</w:t>
      </w:r>
      <w:proofErr w:type="spellStart"/>
      <w:r w:rsidRPr="0083138C">
        <w:rPr>
          <w:lang w:val="en-US"/>
        </w:rPr>
        <w:t>dexketoprofen</w:t>
      </w:r>
      <w:proofErr w:type="spellEnd"/>
      <w:r w:rsidRPr="0083138C">
        <w:t xml:space="preserve">) </w:t>
      </w:r>
      <w:r w:rsidRPr="0083138C">
        <w:rPr>
          <w:lang w:eastAsia="bg-BG"/>
        </w:rPr>
        <w:t xml:space="preserve">50 </w:t>
      </w:r>
      <w:r w:rsidRPr="0083138C">
        <w:rPr>
          <w:lang w:val="en-US"/>
        </w:rPr>
        <w:t>mg</w:t>
      </w:r>
      <w:r w:rsidRPr="0083138C">
        <w:t xml:space="preserve"> </w:t>
      </w:r>
      <w:r w:rsidRPr="0083138C">
        <w:rPr>
          <w:lang w:eastAsia="bg-BG"/>
        </w:rPr>
        <w:t xml:space="preserve">(като декскетопрофен трометамол, </w:t>
      </w:r>
      <w:proofErr w:type="spellStart"/>
      <w:r w:rsidRPr="0083138C">
        <w:rPr>
          <w:lang w:val="en-US"/>
        </w:rPr>
        <w:t>dexketoprofen</w:t>
      </w:r>
      <w:proofErr w:type="spellEnd"/>
      <w:r w:rsidRPr="0083138C">
        <w:t xml:space="preserve"> </w:t>
      </w:r>
      <w:r w:rsidRPr="0083138C">
        <w:rPr>
          <w:lang w:val="en-US"/>
        </w:rPr>
        <w:t>trometamol</w:t>
      </w:r>
      <w:r w:rsidRPr="0083138C">
        <w:t>).</w:t>
      </w:r>
    </w:p>
    <w:p w14:paraId="5551087D" w14:textId="77777777" w:rsidR="0083138C" w:rsidRPr="0083138C" w:rsidRDefault="0083138C" w:rsidP="0083138C">
      <w:pPr>
        <w:rPr>
          <w:sz w:val="24"/>
          <w:szCs w:val="24"/>
        </w:rPr>
      </w:pPr>
      <w:r w:rsidRPr="0083138C">
        <w:rPr>
          <w:lang w:eastAsia="bg-BG"/>
        </w:rPr>
        <w:t xml:space="preserve">Всеки </w:t>
      </w:r>
      <w:r w:rsidRPr="0083138C">
        <w:rPr>
          <w:lang w:val="en-US"/>
        </w:rPr>
        <w:t>ml</w:t>
      </w:r>
      <w:r w:rsidRPr="0083138C">
        <w:rPr>
          <w:lang w:val="ru-RU"/>
        </w:rPr>
        <w:t xml:space="preserve"> </w:t>
      </w:r>
      <w:r w:rsidRPr="0083138C">
        <w:rPr>
          <w:lang w:eastAsia="bg-BG"/>
        </w:rPr>
        <w:t xml:space="preserve">от инжекционния/инфузионния разтвор съдържа декскетопрофен </w:t>
      </w:r>
      <w:r w:rsidRPr="0083138C">
        <w:rPr>
          <w:lang w:val="ru-RU"/>
        </w:rPr>
        <w:t>(</w:t>
      </w:r>
      <w:proofErr w:type="spellStart"/>
      <w:r w:rsidRPr="0083138C">
        <w:rPr>
          <w:lang w:val="en-US"/>
        </w:rPr>
        <w:t>dexketoprofen</w:t>
      </w:r>
      <w:proofErr w:type="spellEnd"/>
      <w:r w:rsidRPr="0083138C">
        <w:rPr>
          <w:lang w:val="ru-RU"/>
        </w:rPr>
        <w:t xml:space="preserve">) </w:t>
      </w:r>
      <w:r w:rsidRPr="0083138C">
        <w:rPr>
          <w:lang w:eastAsia="bg-BG"/>
        </w:rPr>
        <w:t xml:space="preserve">25 </w:t>
      </w:r>
      <w:r w:rsidRPr="0083138C">
        <w:rPr>
          <w:lang w:val="en-US"/>
        </w:rPr>
        <w:t>mg</w:t>
      </w:r>
      <w:r w:rsidRPr="0083138C">
        <w:rPr>
          <w:lang w:val="ru-RU"/>
        </w:rPr>
        <w:t xml:space="preserve"> </w:t>
      </w:r>
      <w:r w:rsidRPr="0083138C">
        <w:rPr>
          <w:lang w:eastAsia="bg-BG"/>
        </w:rPr>
        <w:t>(като декскетопрофен трометамол).</w:t>
      </w:r>
    </w:p>
    <w:p w14:paraId="20BF93BB" w14:textId="77777777" w:rsidR="0083138C" w:rsidRPr="0083138C" w:rsidRDefault="0083138C" w:rsidP="0083138C">
      <w:pPr>
        <w:rPr>
          <w:sz w:val="24"/>
          <w:szCs w:val="24"/>
        </w:rPr>
      </w:pPr>
      <w:r w:rsidRPr="0083138C">
        <w:rPr>
          <w:lang w:eastAsia="bg-BG"/>
        </w:rPr>
        <w:t xml:space="preserve">Помощни вещества с известно действие: всяка ампула от 2 </w:t>
      </w:r>
      <w:r w:rsidRPr="0083138C">
        <w:rPr>
          <w:lang w:val="en-US"/>
        </w:rPr>
        <w:t>ml</w:t>
      </w:r>
      <w:r w:rsidRPr="0083138C">
        <w:rPr>
          <w:lang w:val="ru-RU"/>
        </w:rPr>
        <w:t xml:space="preserve"> </w:t>
      </w:r>
      <w:r w:rsidRPr="0083138C">
        <w:rPr>
          <w:lang w:eastAsia="bg-BG"/>
        </w:rPr>
        <w:t xml:space="preserve">съдържа 200 </w:t>
      </w:r>
      <w:r w:rsidRPr="0083138C">
        <w:rPr>
          <w:lang w:val="en-US"/>
        </w:rPr>
        <w:t>mg</w:t>
      </w:r>
      <w:r w:rsidRPr="0083138C">
        <w:rPr>
          <w:lang w:val="ru-RU"/>
        </w:rPr>
        <w:t xml:space="preserve"> </w:t>
      </w:r>
      <w:r w:rsidRPr="0083138C">
        <w:rPr>
          <w:lang w:eastAsia="bg-BG"/>
        </w:rPr>
        <w:t xml:space="preserve">етанол (96 процентен) и 8,0 </w:t>
      </w:r>
      <w:r w:rsidRPr="0083138C">
        <w:rPr>
          <w:lang w:val="en-US"/>
        </w:rPr>
        <w:t>mg</w:t>
      </w:r>
      <w:r w:rsidRPr="0083138C">
        <w:rPr>
          <w:lang w:val="ru-RU"/>
        </w:rPr>
        <w:t xml:space="preserve"> </w:t>
      </w:r>
      <w:r w:rsidRPr="0083138C">
        <w:rPr>
          <w:lang w:eastAsia="bg-BG"/>
        </w:rPr>
        <w:t>натриев хлорид.</w:t>
      </w:r>
    </w:p>
    <w:p w14:paraId="541F929D" w14:textId="77777777" w:rsidR="0083138C" w:rsidRPr="0083138C" w:rsidRDefault="0083138C" w:rsidP="0083138C"/>
    <w:p w14:paraId="614984C4" w14:textId="70932B1F" w:rsidR="008A6AF2" w:rsidRDefault="00DD466D" w:rsidP="002C50EE">
      <w:pPr>
        <w:pStyle w:val="Heading1"/>
      </w:pPr>
      <w:r>
        <w:t>3. ЛЕКАРСТВЕНА ФОРМА</w:t>
      </w:r>
    </w:p>
    <w:p w14:paraId="58EA3B52" w14:textId="2CF2AAC2" w:rsidR="0083138C" w:rsidRDefault="0083138C" w:rsidP="0083138C"/>
    <w:p w14:paraId="384924B3" w14:textId="77777777" w:rsidR="0083138C" w:rsidRPr="0083138C" w:rsidRDefault="0083138C" w:rsidP="0083138C">
      <w:pPr>
        <w:rPr>
          <w:sz w:val="24"/>
          <w:szCs w:val="24"/>
        </w:rPr>
      </w:pPr>
      <w:r w:rsidRPr="0083138C">
        <w:rPr>
          <w:lang w:eastAsia="bg-BG"/>
        </w:rPr>
        <w:t>Инжекционен/инфузионен разтвор</w:t>
      </w:r>
    </w:p>
    <w:p w14:paraId="0A42772F" w14:textId="77777777" w:rsidR="0083138C" w:rsidRDefault="0083138C" w:rsidP="0083138C">
      <w:pPr>
        <w:rPr>
          <w:lang w:eastAsia="bg-BG"/>
        </w:rPr>
      </w:pPr>
      <w:r w:rsidRPr="0083138C">
        <w:rPr>
          <w:lang w:eastAsia="bg-BG"/>
        </w:rPr>
        <w:t xml:space="preserve">Бистър и безцветен разтвор </w:t>
      </w:r>
    </w:p>
    <w:p w14:paraId="6911B1CE" w14:textId="1681BD28" w:rsidR="0083138C" w:rsidRPr="0083138C" w:rsidRDefault="0083138C" w:rsidP="0083138C">
      <w:pPr>
        <w:rPr>
          <w:sz w:val="24"/>
          <w:szCs w:val="24"/>
        </w:rPr>
      </w:pPr>
      <w:proofErr w:type="gramStart"/>
      <w:r w:rsidRPr="0083138C">
        <w:rPr>
          <w:lang w:val="en-US"/>
        </w:rPr>
        <w:t>pH</w:t>
      </w:r>
      <w:proofErr w:type="gramEnd"/>
      <w:r w:rsidRPr="0083138C">
        <w:rPr>
          <w:lang w:val="ru-RU"/>
        </w:rPr>
        <w:t xml:space="preserve"> </w:t>
      </w:r>
      <w:r w:rsidRPr="0083138C">
        <w:rPr>
          <w:lang w:eastAsia="bg-BG"/>
        </w:rPr>
        <w:t>(7,0-8,00)</w:t>
      </w:r>
    </w:p>
    <w:p w14:paraId="748D9284" w14:textId="66DF1050" w:rsidR="0083138C" w:rsidRPr="0083138C" w:rsidRDefault="0083138C" w:rsidP="0083138C">
      <w:r w:rsidRPr="0083138C">
        <w:rPr>
          <w:lang w:eastAsia="bg-BG"/>
        </w:rPr>
        <w:t xml:space="preserve">Осмоларитет (270-328 </w:t>
      </w:r>
      <w:proofErr w:type="spellStart"/>
      <w:r w:rsidRPr="0083138C">
        <w:rPr>
          <w:lang w:val="en-US"/>
        </w:rPr>
        <w:t>mOsmol</w:t>
      </w:r>
      <w:proofErr w:type="spellEnd"/>
      <w:r w:rsidRPr="0083138C">
        <w:rPr>
          <w:lang w:val="ru-RU"/>
        </w:rPr>
        <w:t>/1)</w:t>
      </w:r>
    </w:p>
    <w:p w14:paraId="490FC2C4" w14:textId="32682B15" w:rsidR="002C50EE" w:rsidRDefault="002C50EE" w:rsidP="002C50EE">
      <w:pPr>
        <w:pStyle w:val="Heading1"/>
      </w:pPr>
      <w:r>
        <w:t>4. КЛИНИЧНИ ДАННИ</w:t>
      </w:r>
    </w:p>
    <w:p w14:paraId="0C8E6903" w14:textId="32E2FCC6" w:rsidR="008134C8" w:rsidRDefault="002C50EE" w:rsidP="004A448E">
      <w:pPr>
        <w:pStyle w:val="Heading2"/>
      </w:pPr>
      <w:r>
        <w:t>4.1. Терапевтични показания</w:t>
      </w:r>
    </w:p>
    <w:p w14:paraId="49080255" w14:textId="534E5EE1" w:rsidR="0083138C" w:rsidRDefault="0083138C" w:rsidP="0083138C"/>
    <w:p w14:paraId="3084476E" w14:textId="77777777" w:rsidR="0083138C" w:rsidRPr="0083138C" w:rsidRDefault="0083138C" w:rsidP="0083138C">
      <w:pPr>
        <w:rPr>
          <w:sz w:val="24"/>
          <w:szCs w:val="24"/>
        </w:rPr>
      </w:pPr>
      <w:r w:rsidRPr="0083138C">
        <w:rPr>
          <w:lang w:eastAsia="bg-BG"/>
        </w:rPr>
        <w:t>Симптоматично лечение на остра, умерена до силна болка, например постоперативна болка, бъбречна колика, болки в гърба, когато пероралното приложение не е подходящо.</w:t>
      </w:r>
    </w:p>
    <w:p w14:paraId="009ABC14" w14:textId="77777777" w:rsidR="0083138C" w:rsidRPr="0083138C" w:rsidRDefault="0083138C" w:rsidP="0083138C"/>
    <w:p w14:paraId="30BE2C7B" w14:textId="5DB52166" w:rsidR="008134C8" w:rsidRDefault="002C50EE" w:rsidP="004A448E">
      <w:pPr>
        <w:pStyle w:val="Heading2"/>
      </w:pPr>
      <w:r>
        <w:t>4.2. Дозировка и начин на приложение</w:t>
      </w:r>
    </w:p>
    <w:p w14:paraId="08CF291D" w14:textId="0E68F5F6" w:rsidR="0083138C" w:rsidRDefault="0083138C" w:rsidP="0083138C"/>
    <w:p w14:paraId="6D4BC301" w14:textId="77777777" w:rsidR="0083138C" w:rsidRPr="0083138C" w:rsidRDefault="0083138C" w:rsidP="0083138C">
      <w:pPr>
        <w:pStyle w:val="Heading3"/>
        <w:rPr>
          <w:rFonts w:eastAsia="Times New Roman"/>
          <w:u w:val="single"/>
        </w:rPr>
      </w:pPr>
      <w:r w:rsidRPr="0083138C">
        <w:rPr>
          <w:rFonts w:eastAsia="Times New Roman"/>
          <w:u w:val="single"/>
          <w:lang w:eastAsia="bg-BG"/>
        </w:rPr>
        <w:t>Дозировка</w:t>
      </w:r>
    </w:p>
    <w:p w14:paraId="4B29A814" w14:textId="77777777" w:rsidR="0083138C" w:rsidRPr="0083138C" w:rsidRDefault="0083138C" w:rsidP="0083138C">
      <w:pPr>
        <w:spacing w:line="240" w:lineRule="auto"/>
        <w:rPr>
          <w:rFonts w:eastAsia="Times New Roman" w:cs="Arial"/>
          <w:color w:val="000000"/>
          <w:lang w:eastAsia="bg-BG"/>
        </w:rPr>
      </w:pPr>
    </w:p>
    <w:p w14:paraId="51158DFD" w14:textId="42F4FA0D" w:rsidR="0083138C" w:rsidRPr="0083138C" w:rsidRDefault="0083138C" w:rsidP="0083138C">
      <w:pPr>
        <w:spacing w:line="240" w:lineRule="auto"/>
        <w:rPr>
          <w:rFonts w:eastAsia="Times New Roman" w:cs="Arial"/>
          <w:color w:val="000000"/>
          <w:lang w:eastAsia="bg-BG"/>
        </w:rPr>
      </w:pPr>
      <w:r w:rsidRPr="0083138C">
        <w:rPr>
          <w:rFonts w:eastAsia="Times New Roman" w:cs="Arial"/>
          <w:color w:val="000000"/>
          <w:lang w:eastAsia="bg-BG"/>
        </w:rPr>
        <w:t xml:space="preserve">Най-ниската ефективна доза трябва да се използва за възможно най-краткото време, необходимо </w:t>
      </w:r>
    </w:p>
    <w:p w14:paraId="0E84E0F2" w14:textId="6834EA83"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за облекчаване на симптомите (вж. точка 4.4).</w:t>
      </w:r>
    </w:p>
    <w:p w14:paraId="65F0E40C" w14:textId="77777777" w:rsidR="0083138C" w:rsidRPr="0083138C" w:rsidRDefault="0083138C" w:rsidP="0083138C">
      <w:pPr>
        <w:spacing w:line="240" w:lineRule="auto"/>
        <w:rPr>
          <w:rFonts w:eastAsia="Times New Roman" w:cs="Arial"/>
          <w:i/>
          <w:iCs/>
          <w:color w:val="000000"/>
          <w:lang w:eastAsia="bg-BG"/>
        </w:rPr>
      </w:pPr>
    </w:p>
    <w:p w14:paraId="1AB666D4" w14:textId="1821DB90" w:rsidR="0083138C" w:rsidRPr="0083138C" w:rsidRDefault="0083138C" w:rsidP="0083138C">
      <w:pPr>
        <w:spacing w:line="240" w:lineRule="auto"/>
        <w:rPr>
          <w:rFonts w:eastAsia="Times New Roman" w:cs="Arial"/>
          <w:sz w:val="24"/>
          <w:szCs w:val="24"/>
        </w:rPr>
      </w:pPr>
      <w:r w:rsidRPr="0083138C">
        <w:rPr>
          <w:rFonts w:eastAsia="Times New Roman" w:cs="Arial"/>
          <w:i/>
          <w:iCs/>
          <w:color w:val="000000"/>
          <w:lang w:eastAsia="bg-BG"/>
        </w:rPr>
        <w:t>Възрастни</w:t>
      </w:r>
    </w:p>
    <w:p w14:paraId="62938E5B"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 xml:space="preserve">Препоръчителната доза е 50 </w:t>
      </w:r>
      <w:r w:rsidRPr="0083138C">
        <w:rPr>
          <w:rFonts w:eastAsia="Times New Roman" w:cs="Arial"/>
          <w:color w:val="000000"/>
          <w:lang w:val="en-US"/>
        </w:rPr>
        <w:t>mg</w:t>
      </w:r>
      <w:r w:rsidRPr="0083138C">
        <w:rPr>
          <w:rFonts w:eastAsia="Times New Roman" w:cs="Arial"/>
          <w:color w:val="000000"/>
          <w:lang w:val="ru-RU"/>
        </w:rPr>
        <w:t xml:space="preserve"> </w:t>
      </w:r>
      <w:r w:rsidRPr="0083138C">
        <w:rPr>
          <w:rFonts w:eastAsia="Times New Roman" w:cs="Arial"/>
          <w:color w:val="000000"/>
          <w:lang w:eastAsia="bg-BG"/>
        </w:rPr>
        <w:t xml:space="preserve">на всеки 8-12 часа. При необходимост приложението може да се повтори след 6 часа. Общата дневна доза не трябва да надвишава 150 </w:t>
      </w:r>
      <w:r w:rsidRPr="0083138C">
        <w:rPr>
          <w:rFonts w:eastAsia="Times New Roman" w:cs="Arial"/>
          <w:color w:val="000000"/>
          <w:lang w:val="en-US"/>
        </w:rPr>
        <w:t>mg</w:t>
      </w:r>
      <w:r w:rsidRPr="0083138C">
        <w:rPr>
          <w:rFonts w:eastAsia="Times New Roman" w:cs="Arial"/>
          <w:color w:val="000000"/>
          <w:lang w:val="ru-RU"/>
        </w:rPr>
        <w:t>.</w:t>
      </w:r>
    </w:p>
    <w:p w14:paraId="51C933DE"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Дексофен инжект е предназначен за краткосрочно лечение и приложението му трябва да се ограничи само в острия симптоматичен период (не повече от два дни). При възможност трябва да се премине на перорална аналгетична терапия.</w:t>
      </w:r>
    </w:p>
    <w:p w14:paraId="1FE58A20" w14:textId="77777777" w:rsidR="0083138C" w:rsidRPr="0083138C" w:rsidRDefault="0083138C" w:rsidP="0083138C">
      <w:pPr>
        <w:spacing w:line="240" w:lineRule="auto"/>
        <w:rPr>
          <w:rFonts w:eastAsia="Times New Roman" w:cs="Arial"/>
          <w:color w:val="000000"/>
          <w:lang w:eastAsia="bg-BG"/>
        </w:rPr>
      </w:pPr>
    </w:p>
    <w:p w14:paraId="2ED79A53" w14:textId="65699E29"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lastRenderedPageBreak/>
        <w:t>При умерена до силна постоперативна болка, Дексофен инжект може да се комбинира с опиоиден аналгетик, ако е показан, в същата дозировка, която се препоръчва и за възрастни пациенти (вж. точка 5.1).</w:t>
      </w:r>
    </w:p>
    <w:p w14:paraId="03D3D7EE" w14:textId="77777777" w:rsidR="0083138C" w:rsidRPr="0083138C" w:rsidRDefault="0083138C" w:rsidP="0083138C">
      <w:pPr>
        <w:spacing w:line="240" w:lineRule="auto"/>
        <w:rPr>
          <w:rFonts w:eastAsia="Times New Roman" w:cs="Arial"/>
          <w:i/>
          <w:iCs/>
          <w:color w:val="000000"/>
          <w:lang w:eastAsia="bg-BG"/>
        </w:rPr>
      </w:pPr>
    </w:p>
    <w:p w14:paraId="2048315B" w14:textId="43F0B16F" w:rsidR="0083138C" w:rsidRPr="0083138C" w:rsidRDefault="0083138C" w:rsidP="0083138C">
      <w:pPr>
        <w:spacing w:line="240" w:lineRule="auto"/>
        <w:rPr>
          <w:rFonts w:eastAsia="Times New Roman" w:cs="Arial"/>
          <w:sz w:val="24"/>
          <w:szCs w:val="24"/>
        </w:rPr>
      </w:pPr>
      <w:r w:rsidRPr="0083138C">
        <w:rPr>
          <w:rFonts w:eastAsia="Times New Roman" w:cs="Arial"/>
          <w:i/>
          <w:iCs/>
          <w:color w:val="000000"/>
          <w:lang w:eastAsia="bg-BG"/>
        </w:rPr>
        <w:t>Старческа възраст</w:t>
      </w:r>
    </w:p>
    <w:p w14:paraId="2CF904AB" w14:textId="21BF2471"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По принцип не се налага коригиране на дозата при пациенти в старческа възраст. Въпреки това,</w:t>
      </w:r>
      <w:r>
        <w:rPr>
          <w:rFonts w:eastAsia="Times New Roman" w:cs="Arial"/>
          <w:sz w:val="24"/>
          <w:szCs w:val="24"/>
        </w:rPr>
        <w:t xml:space="preserve"> </w:t>
      </w:r>
      <w:r w:rsidRPr="0083138C">
        <w:rPr>
          <w:rFonts w:eastAsia="Times New Roman" w:cs="Arial"/>
          <w:color w:val="000000"/>
          <w:lang w:eastAsia="bg-BG"/>
        </w:rPr>
        <w:t>поради физиологично понижената бъбречна функция при пациенти в старческа възраст, при</w:t>
      </w:r>
      <w:r>
        <w:rPr>
          <w:rFonts w:eastAsia="Times New Roman" w:cs="Arial"/>
          <w:sz w:val="24"/>
          <w:szCs w:val="24"/>
        </w:rPr>
        <w:t xml:space="preserve"> </w:t>
      </w:r>
      <w:r w:rsidRPr="0083138C">
        <w:rPr>
          <w:rFonts w:eastAsia="Times New Roman" w:cs="Arial"/>
          <w:color w:val="000000"/>
          <w:lang w:eastAsia="bg-BG"/>
        </w:rPr>
        <w:t xml:space="preserve">леко бъбречно увреждане се препоръчва по-ниска доза - 50 </w:t>
      </w:r>
      <w:r w:rsidRPr="0083138C">
        <w:rPr>
          <w:rFonts w:eastAsia="Times New Roman" w:cs="Arial"/>
          <w:color w:val="000000"/>
          <w:lang w:val="en-US"/>
        </w:rPr>
        <w:t>mg</w:t>
      </w:r>
      <w:r w:rsidRPr="0083138C">
        <w:rPr>
          <w:rFonts w:eastAsia="Times New Roman" w:cs="Arial"/>
          <w:color w:val="000000"/>
          <w:lang w:val="ru-RU"/>
        </w:rPr>
        <w:t xml:space="preserve"> </w:t>
      </w:r>
      <w:r w:rsidRPr="0083138C">
        <w:rPr>
          <w:rFonts w:eastAsia="Times New Roman" w:cs="Arial"/>
          <w:color w:val="000000"/>
          <w:lang w:eastAsia="bg-BG"/>
        </w:rPr>
        <w:t>обща дневна доза (вж. точка</w:t>
      </w:r>
      <w:r>
        <w:rPr>
          <w:rFonts w:eastAsia="Times New Roman" w:cs="Arial"/>
          <w:sz w:val="24"/>
          <w:szCs w:val="24"/>
        </w:rPr>
        <w:t xml:space="preserve"> </w:t>
      </w:r>
      <w:r w:rsidRPr="0083138C">
        <w:rPr>
          <w:rFonts w:eastAsia="Times New Roman" w:cs="Arial"/>
          <w:color w:val="000000"/>
          <w:lang w:eastAsia="bg-BG"/>
        </w:rPr>
        <w:t>4.4).</w:t>
      </w:r>
    </w:p>
    <w:p w14:paraId="6BB08939" w14:textId="710F6873" w:rsidR="0083138C" w:rsidRPr="0083138C" w:rsidRDefault="0083138C" w:rsidP="0083138C">
      <w:pPr>
        <w:rPr>
          <w:rFonts w:cs="Arial"/>
        </w:rPr>
      </w:pPr>
    </w:p>
    <w:p w14:paraId="1812192F" w14:textId="77777777" w:rsidR="0083138C" w:rsidRPr="0083138C" w:rsidRDefault="0083138C" w:rsidP="0083138C">
      <w:pPr>
        <w:spacing w:line="240" w:lineRule="auto"/>
        <w:rPr>
          <w:rFonts w:eastAsia="Times New Roman" w:cs="Arial"/>
          <w:sz w:val="24"/>
          <w:szCs w:val="24"/>
        </w:rPr>
      </w:pPr>
      <w:r w:rsidRPr="0083138C">
        <w:rPr>
          <w:rFonts w:eastAsia="Times New Roman" w:cs="Arial"/>
          <w:i/>
          <w:iCs/>
          <w:color w:val="000000"/>
          <w:lang w:eastAsia="bg-BG"/>
        </w:rPr>
        <w:t>Чернодробно увреждане</w:t>
      </w:r>
    </w:p>
    <w:p w14:paraId="095CEC94"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 xml:space="preserve">При пациенти с леко до умерено чернодробно увреждане (резултат от 5 до 9 по </w:t>
      </w:r>
      <w:r w:rsidRPr="0083138C">
        <w:rPr>
          <w:rFonts w:eastAsia="Times New Roman" w:cs="Arial"/>
          <w:color w:val="000000"/>
          <w:lang w:val="en-US"/>
        </w:rPr>
        <w:t>Child</w:t>
      </w:r>
      <w:r w:rsidRPr="0083138C">
        <w:rPr>
          <w:rFonts w:eastAsia="Times New Roman" w:cs="Arial"/>
          <w:color w:val="000000"/>
          <w:lang w:val="ru-RU"/>
        </w:rPr>
        <w:t>-</w:t>
      </w:r>
      <w:r w:rsidRPr="0083138C">
        <w:rPr>
          <w:rFonts w:eastAsia="Times New Roman" w:cs="Arial"/>
          <w:color w:val="000000"/>
          <w:lang w:val="en-US"/>
        </w:rPr>
        <w:t>Pugh</w:t>
      </w:r>
      <w:r w:rsidRPr="0083138C">
        <w:rPr>
          <w:rFonts w:eastAsia="Times New Roman" w:cs="Arial"/>
          <w:color w:val="000000"/>
          <w:lang w:val="ru-RU"/>
        </w:rPr>
        <w:t xml:space="preserve">), </w:t>
      </w:r>
      <w:r w:rsidRPr="0083138C">
        <w:rPr>
          <w:rFonts w:eastAsia="Times New Roman" w:cs="Arial"/>
          <w:color w:val="000000"/>
          <w:lang w:eastAsia="bg-BG"/>
        </w:rPr>
        <w:t xml:space="preserve">дозата трябва да се намали до 50 </w:t>
      </w:r>
      <w:r w:rsidRPr="0083138C">
        <w:rPr>
          <w:rFonts w:eastAsia="Times New Roman" w:cs="Arial"/>
          <w:color w:val="000000"/>
          <w:lang w:val="en-US"/>
        </w:rPr>
        <w:t>mg</w:t>
      </w:r>
      <w:r w:rsidRPr="0083138C">
        <w:rPr>
          <w:rFonts w:eastAsia="Times New Roman" w:cs="Arial"/>
          <w:color w:val="000000"/>
          <w:lang w:val="ru-RU"/>
        </w:rPr>
        <w:t xml:space="preserve"> </w:t>
      </w:r>
      <w:r w:rsidRPr="0083138C">
        <w:rPr>
          <w:rFonts w:eastAsia="Times New Roman" w:cs="Arial"/>
          <w:color w:val="000000"/>
          <w:lang w:eastAsia="bg-BG"/>
        </w:rPr>
        <w:t xml:space="preserve">обща дневна доза при редовно проследяване на чернодробната функция (вж. точка 4.4). Дексофен инжекг не трябва да се използва при пациенти с тежко нарушена чернодробна функция (резултат от 10 до 15 по </w:t>
      </w:r>
      <w:r w:rsidRPr="0083138C">
        <w:rPr>
          <w:rFonts w:eastAsia="Times New Roman" w:cs="Arial"/>
          <w:color w:val="000000"/>
          <w:lang w:val="en-US"/>
        </w:rPr>
        <w:t>Child</w:t>
      </w:r>
      <w:r w:rsidRPr="0083138C">
        <w:rPr>
          <w:rFonts w:eastAsia="Times New Roman" w:cs="Arial"/>
          <w:color w:val="000000"/>
          <w:lang w:val="ru-RU"/>
        </w:rPr>
        <w:t>-</w:t>
      </w:r>
      <w:r w:rsidRPr="0083138C">
        <w:rPr>
          <w:rFonts w:eastAsia="Times New Roman" w:cs="Arial"/>
          <w:color w:val="000000"/>
          <w:lang w:val="en-US"/>
        </w:rPr>
        <w:t>Pugh</w:t>
      </w:r>
      <w:r w:rsidRPr="0083138C">
        <w:rPr>
          <w:rFonts w:eastAsia="Times New Roman" w:cs="Arial"/>
          <w:color w:val="000000"/>
          <w:lang w:val="ru-RU"/>
        </w:rPr>
        <w:t xml:space="preserve">) </w:t>
      </w:r>
      <w:r w:rsidRPr="0083138C">
        <w:rPr>
          <w:rFonts w:eastAsia="Times New Roman" w:cs="Arial"/>
          <w:color w:val="000000"/>
          <w:lang w:eastAsia="bg-BG"/>
        </w:rPr>
        <w:t>(вж. точка 4.3).</w:t>
      </w:r>
    </w:p>
    <w:p w14:paraId="02D7ABD1" w14:textId="77777777" w:rsidR="0083138C" w:rsidRPr="0083138C" w:rsidRDefault="0083138C" w:rsidP="0083138C">
      <w:pPr>
        <w:spacing w:line="240" w:lineRule="auto"/>
        <w:rPr>
          <w:rFonts w:eastAsia="Times New Roman" w:cs="Arial"/>
          <w:i/>
          <w:iCs/>
          <w:color w:val="000000"/>
          <w:lang w:eastAsia="bg-BG"/>
        </w:rPr>
      </w:pPr>
    </w:p>
    <w:p w14:paraId="4CECAEB3" w14:textId="6B8906D3" w:rsidR="0083138C" w:rsidRPr="0083138C" w:rsidRDefault="0083138C" w:rsidP="0083138C">
      <w:pPr>
        <w:spacing w:line="240" w:lineRule="auto"/>
        <w:rPr>
          <w:rFonts w:eastAsia="Times New Roman" w:cs="Arial"/>
          <w:sz w:val="24"/>
          <w:szCs w:val="24"/>
        </w:rPr>
      </w:pPr>
      <w:r w:rsidRPr="0083138C">
        <w:rPr>
          <w:rFonts w:eastAsia="Times New Roman" w:cs="Arial"/>
          <w:i/>
          <w:iCs/>
          <w:color w:val="000000"/>
          <w:lang w:eastAsia="bg-BG"/>
        </w:rPr>
        <w:t>Бъбречно увреждане</w:t>
      </w:r>
    </w:p>
    <w:p w14:paraId="2EF6E710"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 xml:space="preserve">При пациенти с леко нарушена бъбречна функция (креатининов клирънс 60-89 </w:t>
      </w:r>
      <w:r w:rsidRPr="0083138C">
        <w:rPr>
          <w:rFonts w:eastAsia="Times New Roman" w:cs="Arial"/>
          <w:color w:val="000000"/>
          <w:lang w:val="en-US"/>
        </w:rPr>
        <w:t>ml</w:t>
      </w:r>
      <w:r w:rsidRPr="0083138C">
        <w:rPr>
          <w:rFonts w:eastAsia="Times New Roman" w:cs="Arial"/>
          <w:color w:val="000000"/>
          <w:lang w:val="ru-RU"/>
        </w:rPr>
        <w:t>/</w:t>
      </w:r>
      <w:r w:rsidRPr="0083138C">
        <w:rPr>
          <w:rFonts w:eastAsia="Times New Roman" w:cs="Arial"/>
          <w:color w:val="000000"/>
          <w:lang w:val="en-US"/>
        </w:rPr>
        <w:t>min</w:t>
      </w:r>
      <w:r w:rsidRPr="0083138C">
        <w:rPr>
          <w:rFonts w:eastAsia="Times New Roman" w:cs="Arial"/>
          <w:color w:val="000000"/>
          <w:lang w:val="ru-RU"/>
        </w:rPr>
        <w:t xml:space="preserve">), </w:t>
      </w:r>
      <w:r w:rsidRPr="0083138C">
        <w:rPr>
          <w:rFonts w:eastAsia="Times New Roman" w:cs="Arial"/>
          <w:color w:val="000000"/>
          <w:lang w:eastAsia="bg-BG"/>
        </w:rPr>
        <w:t xml:space="preserve">началната доза трябва да се намали до 50 </w:t>
      </w:r>
      <w:r w:rsidRPr="0083138C">
        <w:rPr>
          <w:rFonts w:eastAsia="Times New Roman" w:cs="Arial"/>
          <w:color w:val="000000"/>
          <w:lang w:val="en-US"/>
        </w:rPr>
        <w:t>mg</w:t>
      </w:r>
      <w:r w:rsidRPr="0083138C">
        <w:rPr>
          <w:rFonts w:eastAsia="Times New Roman" w:cs="Arial"/>
          <w:color w:val="000000"/>
          <w:lang w:val="ru-RU"/>
        </w:rPr>
        <w:t xml:space="preserve"> </w:t>
      </w:r>
      <w:r w:rsidRPr="0083138C">
        <w:rPr>
          <w:rFonts w:eastAsia="Times New Roman" w:cs="Arial"/>
          <w:color w:val="000000"/>
          <w:lang w:eastAsia="bg-BG"/>
        </w:rPr>
        <w:t xml:space="preserve">обща дневна доза (вж. точка 4.4). Дексофен инжект не трябва да се прилага при пациенти е умерено до тежко нарушена бъбречна функция (креатининов клирънс &lt;59 </w:t>
      </w:r>
      <w:r w:rsidRPr="0083138C">
        <w:rPr>
          <w:rFonts w:eastAsia="Times New Roman" w:cs="Arial"/>
          <w:color w:val="000000"/>
          <w:lang w:val="en-US"/>
        </w:rPr>
        <w:t>ml</w:t>
      </w:r>
      <w:r w:rsidRPr="0083138C">
        <w:rPr>
          <w:rFonts w:eastAsia="Times New Roman" w:cs="Arial"/>
          <w:color w:val="000000"/>
          <w:lang w:val="ru-RU"/>
        </w:rPr>
        <w:t>/</w:t>
      </w:r>
      <w:r w:rsidRPr="0083138C">
        <w:rPr>
          <w:rFonts w:eastAsia="Times New Roman" w:cs="Arial"/>
          <w:color w:val="000000"/>
          <w:lang w:val="en-US"/>
        </w:rPr>
        <w:t>min</w:t>
      </w:r>
      <w:r w:rsidRPr="0083138C">
        <w:rPr>
          <w:rFonts w:eastAsia="Times New Roman" w:cs="Arial"/>
          <w:color w:val="000000"/>
          <w:lang w:val="ru-RU"/>
        </w:rPr>
        <w:t xml:space="preserve">) </w:t>
      </w:r>
      <w:r w:rsidRPr="0083138C">
        <w:rPr>
          <w:rFonts w:eastAsia="Times New Roman" w:cs="Arial"/>
          <w:color w:val="000000"/>
          <w:lang w:eastAsia="bg-BG"/>
        </w:rPr>
        <w:t>(вж. точка 4.3).</w:t>
      </w:r>
    </w:p>
    <w:p w14:paraId="0AA069CA" w14:textId="77777777" w:rsidR="0083138C" w:rsidRPr="0083138C" w:rsidRDefault="0083138C" w:rsidP="0083138C">
      <w:pPr>
        <w:spacing w:line="240" w:lineRule="auto"/>
        <w:rPr>
          <w:rFonts w:eastAsia="Times New Roman" w:cs="Arial"/>
          <w:i/>
          <w:iCs/>
          <w:color w:val="000000"/>
          <w:lang w:eastAsia="bg-BG"/>
        </w:rPr>
      </w:pPr>
    </w:p>
    <w:p w14:paraId="510B2914" w14:textId="26E7186A" w:rsidR="0083138C" w:rsidRPr="0083138C" w:rsidRDefault="0083138C" w:rsidP="0083138C">
      <w:pPr>
        <w:spacing w:line="240" w:lineRule="auto"/>
        <w:rPr>
          <w:rFonts w:eastAsia="Times New Roman" w:cs="Arial"/>
          <w:sz w:val="24"/>
          <w:szCs w:val="24"/>
        </w:rPr>
      </w:pPr>
      <w:r w:rsidRPr="0083138C">
        <w:rPr>
          <w:rFonts w:eastAsia="Times New Roman" w:cs="Arial"/>
          <w:i/>
          <w:iCs/>
          <w:color w:val="000000"/>
          <w:lang w:eastAsia="bg-BG"/>
        </w:rPr>
        <w:t>Педиатрична популация</w:t>
      </w:r>
    </w:p>
    <w:p w14:paraId="3433BD0F"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Дексофен инжект не е проучен при деца и юноши. Ето защо безопасността и ефикасността на Дексофен инжект при деца и юноши не са установени и продуктът не трябва да се използва при тях.</w:t>
      </w:r>
    </w:p>
    <w:p w14:paraId="75C6C177" w14:textId="77777777" w:rsidR="0083138C" w:rsidRPr="0083138C" w:rsidRDefault="0083138C" w:rsidP="0083138C">
      <w:pPr>
        <w:spacing w:line="240" w:lineRule="auto"/>
        <w:rPr>
          <w:rFonts w:eastAsia="Times New Roman" w:cs="Arial"/>
          <w:color w:val="000000"/>
          <w:u w:val="single"/>
          <w:lang w:eastAsia="bg-BG"/>
        </w:rPr>
      </w:pPr>
    </w:p>
    <w:p w14:paraId="3FE8A54B" w14:textId="4707153E" w:rsidR="0083138C" w:rsidRPr="0083138C" w:rsidRDefault="0083138C" w:rsidP="0083138C">
      <w:pPr>
        <w:pStyle w:val="Heading3"/>
        <w:rPr>
          <w:rFonts w:eastAsia="Times New Roman"/>
          <w:u w:val="single"/>
        </w:rPr>
      </w:pPr>
      <w:r w:rsidRPr="0083138C">
        <w:rPr>
          <w:rFonts w:eastAsia="Times New Roman"/>
          <w:u w:val="single"/>
          <w:lang w:eastAsia="bg-BG"/>
        </w:rPr>
        <w:t>Начин на приложение</w:t>
      </w:r>
    </w:p>
    <w:p w14:paraId="5B19F49A"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Дексофен инжект може да се прилага интрамускулно или интравенозно:</w:t>
      </w:r>
    </w:p>
    <w:p w14:paraId="126380B5" w14:textId="77777777" w:rsidR="0083138C" w:rsidRPr="0083138C" w:rsidRDefault="0083138C" w:rsidP="0083138C">
      <w:pPr>
        <w:pStyle w:val="ListParagraph"/>
        <w:numPr>
          <w:ilvl w:val="0"/>
          <w:numId w:val="35"/>
        </w:numPr>
        <w:spacing w:line="240" w:lineRule="auto"/>
        <w:rPr>
          <w:rFonts w:eastAsia="Times New Roman" w:cs="Arial"/>
          <w:sz w:val="24"/>
          <w:szCs w:val="24"/>
        </w:rPr>
      </w:pPr>
      <w:r w:rsidRPr="0083138C">
        <w:rPr>
          <w:rFonts w:eastAsia="Times New Roman" w:cs="Arial"/>
          <w:color w:val="000000"/>
          <w:lang w:eastAsia="bg-BG"/>
        </w:rPr>
        <w:t xml:space="preserve">интрамускулно приложение: съдържанието на една ампула (2 </w:t>
      </w:r>
      <w:r w:rsidRPr="0083138C">
        <w:rPr>
          <w:rFonts w:eastAsia="Times New Roman" w:cs="Arial"/>
          <w:color w:val="000000"/>
          <w:lang w:val="en-US"/>
        </w:rPr>
        <w:t>ml</w:t>
      </w:r>
      <w:r w:rsidRPr="0083138C">
        <w:rPr>
          <w:rFonts w:eastAsia="Times New Roman" w:cs="Arial"/>
          <w:color w:val="000000"/>
          <w:lang w:val="ru-RU"/>
        </w:rPr>
        <w:t xml:space="preserve">) </w:t>
      </w:r>
      <w:r w:rsidRPr="0083138C">
        <w:rPr>
          <w:rFonts w:eastAsia="Times New Roman" w:cs="Arial"/>
          <w:color w:val="000000"/>
          <w:lang w:eastAsia="bg-BG"/>
        </w:rPr>
        <w:t>Дексофен инжект се прилага бавно, дълбоко мускулно;</w:t>
      </w:r>
    </w:p>
    <w:p w14:paraId="0C239894" w14:textId="385E3D54" w:rsidR="0083138C" w:rsidRPr="0083138C" w:rsidRDefault="0083138C" w:rsidP="0083138C">
      <w:pPr>
        <w:pStyle w:val="ListParagraph"/>
        <w:numPr>
          <w:ilvl w:val="0"/>
          <w:numId w:val="35"/>
        </w:numPr>
        <w:spacing w:line="240" w:lineRule="auto"/>
        <w:rPr>
          <w:rFonts w:eastAsia="Times New Roman" w:cs="Arial"/>
          <w:sz w:val="24"/>
          <w:szCs w:val="24"/>
        </w:rPr>
      </w:pPr>
      <w:r w:rsidRPr="0083138C">
        <w:rPr>
          <w:rFonts w:eastAsia="Times New Roman" w:cs="Arial"/>
          <w:color w:val="000000"/>
          <w:lang w:eastAsia="bg-BG"/>
        </w:rPr>
        <w:t>интравенозно приложение:</w:t>
      </w:r>
    </w:p>
    <w:p w14:paraId="28DE74FA" w14:textId="77777777" w:rsidR="0083138C" w:rsidRDefault="0083138C" w:rsidP="0083138C">
      <w:pPr>
        <w:pStyle w:val="ListParagraph"/>
        <w:numPr>
          <w:ilvl w:val="0"/>
          <w:numId w:val="2"/>
        </w:numPr>
        <w:spacing w:line="240" w:lineRule="auto"/>
        <w:rPr>
          <w:rFonts w:eastAsia="Times New Roman" w:cs="Arial"/>
          <w:color w:val="000000"/>
          <w:lang w:eastAsia="bg-BG"/>
        </w:rPr>
      </w:pPr>
      <w:r w:rsidRPr="0083138C">
        <w:rPr>
          <w:rFonts w:eastAsia="Times New Roman" w:cs="Arial"/>
          <w:color w:val="000000"/>
          <w:lang w:eastAsia="bg-BG"/>
        </w:rPr>
        <w:t>интравенозна инфузия: разтворът се разрежда, както е описано в точка 6.6 и се прилага като бавна интравенозна инфузия с продължителност 10-30 минути. Разтворът трябва да се пази от естествена дневна светлина.</w:t>
      </w:r>
    </w:p>
    <w:p w14:paraId="5C3B06B8" w14:textId="621709C3" w:rsidR="0083138C" w:rsidRPr="0083138C" w:rsidRDefault="0083138C" w:rsidP="0083138C">
      <w:pPr>
        <w:pStyle w:val="ListParagraph"/>
        <w:numPr>
          <w:ilvl w:val="0"/>
          <w:numId w:val="2"/>
        </w:numPr>
        <w:spacing w:line="240" w:lineRule="auto"/>
        <w:rPr>
          <w:rFonts w:eastAsia="Times New Roman" w:cs="Arial"/>
          <w:color w:val="000000"/>
          <w:lang w:eastAsia="bg-BG"/>
        </w:rPr>
      </w:pPr>
      <w:r w:rsidRPr="0083138C">
        <w:rPr>
          <w:rFonts w:eastAsia="Times New Roman" w:cs="Arial"/>
          <w:color w:val="000000"/>
          <w:lang w:eastAsia="bg-BG"/>
        </w:rPr>
        <w:t xml:space="preserve">интравенозно болус приложение: при необходимост съдържанието на една ампула (2 </w:t>
      </w:r>
      <w:r w:rsidRPr="0083138C">
        <w:rPr>
          <w:rFonts w:eastAsia="Times New Roman" w:cs="Arial"/>
          <w:color w:val="000000"/>
          <w:lang w:val="en-US"/>
        </w:rPr>
        <w:t>ml</w:t>
      </w:r>
      <w:r w:rsidRPr="0083138C">
        <w:rPr>
          <w:rFonts w:eastAsia="Times New Roman" w:cs="Arial"/>
          <w:color w:val="000000"/>
          <w:lang w:val="ru-RU"/>
        </w:rPr>
        <w:t xml:space="preserve">) </w:t>
      </w:r>
      <w:r w:rsidRPr="0083138C">
        <w:rPr>
          <w:rFonts w:eastAsia="Times New Roman" w:cs="Arial"/>
          <w:color w:val="000000"/>
          <w:lang w:eastAsia="bg-BG"/>
        </w:rPr>
        <w:t>Дексофен инжект може да се приложи бавно интравенозно болус в продължение на не по-малко от 15 секунди.</w:t>
      </w:r>
    </w:p>
    <w:p w14:paraId="39B0A9BB" w14:textId="77777777" w:rsidR="0083138C" w:rsidRPr="0083138C" w:rsidRDefault="0083138C" w:rsidP="0083138C">
      <w:pPr>
        <w:spacing w:line="240" w:lineRule="auto"/>
        <w:rPr>
          <w:rFonts w:eastAsia="Times New Roman" w:cs="Arial"/>
          <w:color w:val="000000"/>
          <w:u w:val="single"/>
          <w:lang w:eastAsia="bg-BG"/>
        </w:rPr>
      </w:pPr>
    </w:p>
    <w:p w14:paraId="5F7DA5B2" w14:textId="64F8D92E" w:rsidR="0083138C" w:rsidRPr="0083138C" w:rsidRDefault="0083138C" w:rsidP="0083138C">
      <w:pPr>
        <w:spacing w:line="240" w:lineRule="auto"/>
        <w:rPr>
          <w:rFonts w:eastAsia="Times New Roman" w:cs="Arial"/>
          <w:sz w:val="24"/>
          <w:szCs w:val="24"/>
        </w:rPr>
      </w:pPr>
      <w:r w:rsidRPr="0083138C">
        <w:rPr>
          <w:rFonts w:eastAsia="Times New Roman" w:cs="Arial"/>
          <w:color w:val="000000"/>
          <w:u w:val="single"/>
          <w:lang w:eastAsia="bg-BG"/>
        </w:rPr>
        <w:t>Инструкции за правилна употреба</w:t>
      </w:r>
    </w:p>
    <w:p w14:paraId="724A8A3B"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При интрамускулно или интравенозно болус приложение на Дексофен инжект, разтворът трябва да се приложи веднага след аспирирането му от цветната ампула (вж. също точка 6.2 и 6.6).</w:t>
      </w:r>
    </w:p>
    <w:p w14:paraId="7726FD4F" w14:textId="30A60134" w:rsidR="0083138C" w:rsidRPr="0083138C" w:rsidRDefault="0083138C" w:rsidP="0083138C">
      <w:pPr>
        <w:rPr>
          <w:rFonts w:cs="Arial"/>
        </w:rPr>
      </w:pPr>
      <w:r w:rsidRPr="0083138C">
        <w:rPr>
          <w:rFonts w:eastAsia="Times New Roman" w:cs="Arial"/>
          <w:color w:val="000000"/>
          <w:lang w:eastAsia="bg-BG"/>
        </w:rPr>
        <w:t>При интравенозна инфузия, разтворът трябва да се разреди, като се спазват правилата на антисептиката и се пази от естествена дневна светлина (вж. точка 6.3 и 6.6). За указания относно разреждането на лекарствения продукт преди приложение вижте точка 6.6.</w:t>
      </w:r>
    </w:p>
    <w:p w14:paraId="28C984E8" w14:textId="3CE5B4F4" w:rsidR="008134C8" w:rsidRDefault="002C50EE" w:rsidP="004A448E">
      <w:pPr>
        <w:pStyle w:val="Heading2"/>
      </w:pPr>
      <w:r>
        <w:lastRenderedPageBreak/>
        <w:t>4.3. Противопоказания</w:t>
      </w:r>
    </w:p>
    <w:p w14:paraId="535BCD6E" w14:textId="03E4D82C" w:rsidR="0083138C" w:rsidRDefault="0083138C" w:rsidP="0083138C"/>
    <w:p w14:paraId="12BBDD8F"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Дексофен инжект не трябва да се прилага при следните случаи:</w:t>
      </w:r>
    </w:p>
    <w:p w14:paraId="2D470639"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пациенти със свръхчувствителност към активното вещество, към някое друго НСПВС или към някое от помощните вещества, изброени в точка 6.1;</w:t>
      </w:r>
    </w:p>
    <w:p w14:paraId="3D152E0C"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пациенти, при които вещества с подобно действие (напр. ацетилсалицилова киселина или други НСПВС) предизвикват астматични пристъпи, бронхоспазъм, остър ринит или причиняват назална полипоза, уртикария или ангионевротичен едем;</w:t>
      </w:r>
    </w:p>
    <w:p w14:paraId="31E2C3BB"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данни за реакции на фотоалергия или фоточувствителност по време на лечение с кетопрофен или фибрати;</w:t>
      </w:r>
    </w:p>
    <w:p w14:paraId="06187092"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пациенти с анамнеза за стомашно-чревен кръвоизлив или перфорация, в резултат на предшестващо лечение с НСПВС;</w:t>
      </w:r>
    </w:p>
    <w:p w14:paraId="3CFC8DC2"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пациенти с активна пептична язва/стомашно-чревен кръвоизлив или анамнеза за стомашно-чревно кървене, язва или перфорация;</w:t>
      </w:r>
    </w:p>
    <w:p w14:paraId="3D6DC0AC"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пациенти с хронична диспепсия;</w:t>
      </w:r>
    </w:p>
    <w:p w14:paraId="3190D0CA"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пациенти, които имат някакво друго кървене или нарушения в кръвосъсирването,</w:t>
      </w:r>
    </w:p>
    <w:p w14:paraId="5E55EEFA"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пациенти с болест на </w:t>
      </w:r>
      <w:r w:rsidRPr="0083138C">
        <w:rPr>
          <w:rFonts w:eastAsia="Times New Roman" w:cs="Arial"/>
          <w:color w:val="000000"/>
          <w:lang w:val="en-US"/>
        </w:rPr>
        <w:t>Crohn</w:t>
      </w:r>
      <w:r w:rsidRPr="0083138C">
        <w:rPr>
          <w:rFonts w:eastAsia="Times New Roman" w:cs="Arial"/>
          <w:color w:val="000000"/>
          <w:lang w:val="ru-RU"/>
        </w:rPr>
        <w:t xml:space="preserve"> </w:t>
      </w:r>
      <w:r w:rsidRPr="0083138C">
        <w:rPr>
          <w:rFonts w:eastAsia="Times New Roman" w:cs="Arial"/>
          <w:color w:val="000000"/>
          <w:lang w:eastAsia="bg-BG"/>
        </w:rPr>
        <w:t>или улцерозен колит;</w:t>
      </w:r>
    </w:p>
    <w:p w14:paraId="70CC8B88"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пациенти с тежка сърдечна недостатъчност; &lt;59 </w:t>
      </w:r>
      <w:r w:rsidRPr="0083138C">
        <w:rPr>
          <w:rFonts w:eastAsia="Times New Roman" w:cs="Arial"/>
          <w:color w:val="000000"/>
          <w:lang w:val="en-US"/>
        </w:rPr>
        <w:t>ml</w:t>
      </w:r>
      <w:r w:rsidRPr="0083138C">
        <w:rPr>
          <w:rFonts w:eastAsia="Times New Roman" w:cs="Arial"/>
          <w:color w:val="000000"/>
          <w:lang w:val="ru-RU"/>
        </w:rPr>
        <w:t>/</w:t>
      </w:r>
      <w:r w:rsidRPr="0083138C">
        <w:rPr>
          <w:rFonts w:eastAsia="Times New Roman" w:cs="Arial"/>
          <w:color w:val="000000"/>
          <w:lang w:val="en-US"/>
        </w:rPr>
        <w:t>min</w:t>
      </w:r>
      <w:r w:rsidRPr="0083138C">
        <w:rPr>
          <w:rFonts w:eastAsia="Times New Roman" w:cs="Arial"/>
          <w:color w:val="000000"/>
          <w:lang w:val="ru-RU"/>
        </w:rPr>
        <w:t>);</w:t>
      </w:r>
    </w:p>
    <w:p w14:paraId="42D3B02D"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пациенти с тежко нарушена чернодробна функция </w:t>
      </w:r>
      <w:r w:rsidRPr="0083138C">
        <w:rPr>
          <w:rFonts w:eastAsia="Times New Roman" w:cs="Arial"/>
          <w:color w:val="000000"/>
          <w:lang w:val="ru-RU"/>
        </w:rPr>
        <w:t>(</w:t>
      </w:r>
      <w:r w:rsidRPr="0083138C">
        <w:rPr>
          <w:rFonts w:eastAsia="Times New Roman" w:cs="Arial"/>
          <w:color w:val="000000"/>
          <w:lang w:val="en-US"/>
        </w:rPr>
        <w:t>Child</w:t>
      </w:r>
      <w:r w:rsidRPr="0083138C">
        <w:rPr>
          <w:rFonts w:eastAsia="Times New Roman" w:cs="Arial"/>
          <w:color w:val="000000"/>
          <w:lang w:val="ru-RU"/>
        </w:rPr>
        <w:t>-</w:t>
      </w:r>
      <w:r w:rsidRPr="0083138C">
        <w:rPr>
          <w:rFonts w:eastAsia="Times New Roman" w:cs="Arial"/>
          <w:color w:val="000000"/>
          <w:lang w:val="en-US"/>
        </w:rPr>
        <w:t>Pugh</w:t>
      </w:r>
      <w:r w:rsidRPr="0083138C">
        <w:rPr>
          <w:rFonts w:eastAsia="Times New Roman" w:cs="Arial"/>
          <w:color w:val="000000"/>
          <w:lang w:val="ru-RU"/>
        </w:rPr>
        <w:t xml:space="preserve"> </w:t>
      </w:r>
      <w:r w:rsidRPr="0083138C">
        <w:rPr>
          <w:rFonts w:eastAsia="Times New Roman" w:cs="Arial"/>
          <w:color w:val="000000"/>
          <w:lang w:val="en-US"/>
        </w:rPr>
        <w:t>score</w:t>
      </w:r>
      <w:r w:rsidRPr="0083138C">
        <w:rPr>
          <w:rFonts w:eastAsia="Times New Roman" w:cs="Arial"/>
          <w:color w:val="000000"/>
          <w:lang w:val="ru-RU"/>
        </w:rPr>
        <w:t xml:space="preserve"> </w:t>
      </w:r>
      <w:r w:rsidRPr="0083138C">
        <w:rPr>
          <w:rFonts w:eastAsia="Times New Roman" w:cs="Arial"/>
          <w:color w:val="000000"/>
          <w:lang w:eastAsia="bg-BG"/>
        </w:rPr>
        <w:t>10-15);</w:t>
      </w:r>
    </w:p>
    <w:p w14:paraId="3AE20B30"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пациенти с хеморагична диатеза и други коагулационни нарушения; </w:t>
      </w:r>
    </w:p>
    <w:p w14:paraId="5838E3A7" w14:textId="19826825"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пациенти с тежка дехидратация (предизвикана от повръщане, диария или недостатъчен прием на течности); </w:t>
      </w:r>
    </w:p>
    <w:p w14:paraId="76157E22" w14:textId="16A8790F"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по време на трети триместьр на бременността и по време на кърмене (вж. точка 4.6).</w:t>
      </w:r>
    </w:p>
    <w:p w14:paraId="457FCA14" w14:textId="77777777" w:rsidR="0083138C" w:rsidRPr="0083138C" w:rsidRDefault="0083138C" w:rsidP="0083138C">
      <w:pPr>
        <w:spacing w:line="240" w:lineRule="auto"/>
        <w:rPr>
          <w:rFonts w:eastAsia="Times New Roman" w:cs="Arial"/>
          <w:color w:val="000000"/>
          <w:lang w:eastAsia="bg-BG"/>
        </w:rPr>
      </w:pPr>
    </w:p>
    <w:p w14:paraId="3194C5E7" w14:textId="0031ACE5"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Дексофен инжект е противопоказан за невроаксиално (интратекално или епидурално) приложение, тъй като съдържа етанол.</w:t>
      </w:r>
    </w:p>
    <w:p w14:paraId="61D8B5EC" w14:textId="77777777" w:rsidR="0083138C" w:rsidRPr="0083138C" w:rsidRDefault="0083138C" w:rsidP="0083138C"/>
    <w:p w14:paraId="212F509C" w14:textId="05ADD1C0" w:rsidR="004F498A" w:rsidRDefault="002C50EE" w:rsidP="004A448E">
      <w:pPr>
        <w:pStyle w:val="Heading2"/>
      </w:pPr>
      <w:r>
        <w:t>4.4. Специални предупреждения и предпазни мерки при употреба</w:t>
      </w:r>
    </w:p>
    <w:p w14:paraId="78547595" w14:textId="5B2FD63B" w:rsidR="0083138C" w:rsidRDefault="0083138C" w:rsidP="0083138C"/>
    <w:p w14:paraId="011D813D"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При пациенти с анамнеза за алергични състояния трябва да се прилага с внимание.</w:t>
      </w:r>
    </w:p>
    <w:p w14:paraId="16EA17EA" w14:textId="77777777" w:rsidR="0083138C" w:rsidRPr="0083138C" w:rsidRDefault="0083138C" w:rsidP="0083138C">
      <w:pPr>
        <w:spacing w:line="240" w:lineRule="auto"/>
        <w:rPr>
          <w:rFonts w:eastAsia="Times New Roman" w:cs="Arial"/>
          <w:color w:val="000000"/>
          <w:lang w:eastAsia="bg-BG"/>
        </w:rPr>
      </w:pPr>
    </w:p>
    <w:p w14:paraId="63F3BC80" w14:textId="35FF1C36" w:rsidR="0083138C" w:rsidRPr="0083138C" w:rsidRDefault="0083138C" w:rsidP="0083138C">
      <w:pPr>
        <w:spacing w:line="240" w:lineRule="auto"/>
        <w:rPr>
          <w:rFonts w:eastAsia="Times New Roman" w:cs="Arial"/>
        </w:rPr>
      </w:pPr>
      <w:r w:rsidRPr="0083138C">
        <w:rPr>
          <w:rFonts w:eastAsia="Times New Roman" w:cs="Arial"/>
          <w:color w:val="000000"/>
          <w:lang w:eastAsia="bg-BG"/>
        </w:rPr>
        <w:t>Трябва да се избягва едновременно приложение на Дексофен инжект с други НСПВС, включително селективни инхибитори на циклооксигеназа-2.</w:t>
      </w:r>
    </w:p>
    <w:p w14:paraId="0E5572D5" w14:textId="77777777" w:rsidR="0083138C" w:rsidRPr="0083138C" w:rsidRDefault="0083138C" w:rsidP="0083138C">
      <w:pPr>
        <w:spacing w:line="240" w:lineRule="auto"/>
        <w:rPr>
          <w:rFonts w:eastAsia="Times New Roman" w:cs="Arial"/>
          <w:color w:val="000000"/>
          <w:lang w:eastAsia="bg-BG"/>
        </w:rPr>
      </w:pPr>
    </w:p>
    <w:p w14:paraId="18937550" w14:textId="2DA42CBF" w:rsidR="0083138C" w:rsidRPr="0083138C" w:rsidRDefault="0083138C" w:rsidP="0083138C">
      <w:pPr>
        <w:spacing w:line="240" w:lineRule="auto"/>
        <w:rPr>
          <w:rFonts w:eastAsia="Times New Roman" w:cs="Arial"/>
        </w:rPr>
      </w:pPr>
      <w:r w:rsidRPr="0083138C">
        <w:rPr>
          <w:rFonts w:eastAsia="Times New Roman" w:cs="Arial"/>
          <w:color w:val="000000"/>
          <w:lang w:eastAsia="bg-BG"/>
        </w:rPr>
        <w:t>Нежеланите лекарствени реакции могат да бъдат намалени като за контролиране на симптомите се употребява възможно най-ниската ефективна доза за възможно най-кратък период от време (вж. т. 4.2 и по-долу посочените гастро-интестинални и сърдечно-съдови рискове).</w:t>
      </w:r>
    </w:p>
    <w:p w14:paraId="7DF22CE9" w14:textId="77777777" w:rsidR="0083138C" w:rsidRPr="0083138C" w:rsidRDefault="0083138C" w:rsidP="0083138C">
      <w:pPr>
        <w:spacing w:line="240" w:lineRule="auto"/>
        <w:rPr>
          <w:rFonts w:eastAsia="Times New Roman" w:cs="Arial"/>
          <w:color w:val="000000"/>
          <w:u w:val="single"/>
          <w:lang w:eastAsia="bg-BG"/>
        </w:rPr>
      </w:pPr>
    </w:p>
    <w:p w14:paraId="6C0831D6" w14:textId="7F2307E1" w:rsidR="0083138C" w:rsidRPr="0083138C" w:rsidRDefault="0083138C" w:rsidP="0083138C">
      <w:pPr>
        <w:spacing w:line="240" w:lineRule="auto"/>
        <w:rPr>
          <w:rFonts w:eastAsia="Times New Roman" w:cs="Arial"/>
        </w:rPr>
      </w:pPr>
      <w:r w:rsidRPr="0083138C">
        <w:rPr>
          <w:rFonts w:eastAsia="Times New Roman" w:cs="Arial"/>
          <w:color w:val="000000"/>
          <w:u w:val="single"/>
          <w:lang w:eastAsia="bg-BG"/>
        </w:rPr>
        <w:t>Стомашно-чревна безопасност</w:t>
      </w:r>
    </w:p>
    <w:p w14:paraId="116CCC4A"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 xml:space="preserve">Стомашно-чревен кръвоизлив, язва или перфорация, които може да са фатални, са съобщавани при всички НСПВС по всяко време на лечението, с или без предупредителни симптоми или предшестваща анамнеза за сериозни стомашно-чревни нарушения. Ако </w:t>
      </w:r>
      <w:r w:rsidRPr="0083138C">
        <w:rPr>
          <w:rFonts w:eastAsia="Times New Roman" w:cs="Arial"/>
          <w:color w:val="000000"/>
          <w:lang w:eastAsia="bg-BG"/>
        </w:rPr>
        <w:lastRenderedPageBreak/>
        <w:t>при приложение на Дексофен инжект възникне стомашно-чревен кръвоизлив или язва, лечението трябва да се преустанови.</w:t>
      </w:r>
    </w:p>
    <w:p w14:paraId="15E5FBF1"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Рискът от стомашно-чревен кръвоизлив, язва или перфорация е по-висок при увеличаване дозата на НСПВС, при пациенти с анамнеза за язва, особено ако е усложнена с кръвоизлив или перфорация (вж. т. 4.3) и в старческа възраст.</w:t>
      </w:r>
    </w:p>
    <w:p w14:paraId="32FF03D9"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Старческа възраст: в старческа възраст пациентите са с по-висок риск за нежелани реакции към НСПВС, особено стомашно-чревен кръвоизлив и перфорация, които може да са фатални (вж. т. 4.2). Тези пациенти трябва да започнат лечението с възможно най-ниска доза.</w:t>
      </w:r>
    </w:p>
    <w:p w14:paraId="7C43779E"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Както при всички НСПВС, трябва внимателно да се търси анамнеза за езофагит, гастрит и/или пептична язва, с цел тяхното пълно излекуване преди започване на лечение с декскетопрофен трометамол. Пациентите със стомашно-чревни симптоми или с анамнеза за стомашно-чревно заболяване трябва да се наблюдават за храносмилателни нарушения, особено за стомашно- чревно кървене.</w:t>
      </w:r>
    </w:p>
    <w:p w14:paraId="4350D5CB"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НСПВС трябва да се прилагат внимателно при пациенти с анамнеза за стомашно-чревно заболяване (улцерозен колит, болест на Крон), тъй като тяхното заболяване може да се обостри (вж. точка 4.8).</w:t>
      </w:r>
    </w:p>
    <w:p w14:paraId="0F26AE15"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При тези пациенти, както и при пациенти, при които трябва едновременно да се прилагат ниски дози ацетилсалицилова киселина или други лекарства, които могат да увеличат стомашно- чревния риск, трябва да се обмисли комбинирано лечение с протективни агенти (напр. мизопростол или инхибитори на протонната помпа) (вж. по-долу и точка 4.5).</w:t>
      </w:r>
    </w:p>
    <w:p w14:paraId="59F10D3B"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Пациенти с анамнеза за стомашно-чревна токсичност, особено в старческа възраст, трябва да съобщават всички необичайни коремни симптоми (особено стомашно-чревен кръвоизлив), особено в началните етапи на лечение.</w:t>
      </w:r>
    </w:p>
    <w:p w14:paraId="0F9573B8"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Препоръчва се внимание при пациенти, които приемат едновременно лекарства, които могат да увеличат риска от улцерация или кървене, като перорални кортикостероиди, антикоагуланти, напр. варфарин, селективни инхибитори на обратното захващане на серотонина или антитромбоцитни лекарства, като ацетилсалицилова кислеина (вж. точка 4.5).</w:t>
      </w:r>
    </w:p>
    <w:p w14:paraId="166B4D31" w14:textId="77777777" w:rsidR="0083138C" w:rsidRPr="0083138C" w:rsidRDefault="0083138C" w:rsidP="0083138C">
      <w:pPr>
        <w:spacing w:line="240" w:lineRule="auto"/>
        <w:rPr>
          <w:rFonts w:eastAsia="Times New Roman" w:cs="Arial"/>
          <w:color w:val="000000"/>
          <w:u w:val="single"/>
          <w:lang w:eastAsia="bg-BG"/>
        </w:rPr>
      </w:pPr>
    </w:p>
    <w:p w14:paraId="738500CE" w14:textId="4EB1CF52" w:rsidR="0083138C" w:rsidRPr="0083138C" w:rsidRDefault="0083138C" w:rsidP="0083138C">
      <w:pPr>
        <w:spacing w:line="240" w:lineRule="auto"/>
        <w:rPr>
          <w:rFonts w:eastAsia="Times New Roman" w:cs="Arial"/>
        </w:rPr>
      </w:pPr>
      <w:r w:rsidRPr="0083138C">
        <w:rPr>
          <w:rFonts w:eastAsia="Times New Roman" w:cs="Arial"/>
          <w:color w:val="000000"/>
          <w:u w:val="single"/>
          <w:lang w:eastAsia="bg-BG"/>
        </w:rPr>
        <w:t>Бъбречна безопасност</w:t>
      </w:r>
    </w:p>
    <w:p w14:paraId="507CCA0F"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Изисква се внимание при пациентите с нарушена бъбречна функция. При тях, употребата на</w:t>
      </w:r>
    </w:p>
    <w:p w14:paraId="5E607897" w14:textId="1746CEA6" w:rsidR="0083138C" w:rsidRPr="0083138C" w:rsidRDefault="0083138C" w:rsidP="0083138C">
      <w:pPr>
        <w:spacing w:line="240" w:lineRule="auto"/>
        <w:rPr>
          <w:rFonts w:eastAsia="Times New Roman" w:cs="Arial"/>
          <w:color w:val="000000"/>
          <w:lang w:eastAsia="bg-BG"/>
        </w:rPr>
      </w:pPr>
      <w:r w:rsidRPr="0083138C">
        <w:rPr>
          <w:rFonts w:eastAsia="Times New Roman" w:cs="Arial"/>
          <w:color w:val="000000"/>
          <w:lang w:eastAsia="bg-BG"/>
        </w:rPr>
        <w:t>НСПВС може да доведе до влошаване на бъбречната функция, задържане на течности и отоци.</w:t>
      </w:r>
    </w:p>
    <w:p w14:paraId="127275EC" w14:textId="4C229A60" w:rsidR="0083138C" w:rsidRPr="0083138C" w:rsidRDefault="0083138C" w:rsidP="0083138C">
      <w:pPr>
        <w:spacing w:line="240" w:lineRule="auto"/>
        <w:rPr>
          <w:rFonts w:eastAsia="Times New Roman" w:cs="Arial"/>
          <w:color w:val="000000"/>
          <w:lang w:eastAsia="bg-BG"/>
        </w:rPr>
      </w:pPr>
    </w:p>
    <w:p w14:paraId="3B68F5C7"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Внимание се изисква също и при пациенти, които получават диуретична терапия или тези, които могат да развият хиповолемия, тъй като при тях има повишен риск от нефротоксичност. Трябва да се осигури адекватен прием на течности по време на лечението, за да се предотврати дехидратацията и евентуално повишен риск от токсичност за бъбреците.</w:t>
      </w:r>
    </w:p>
    <w:p w14:paraId="44A9A0FE"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Както при всички НСПВС, може да се повишат плазмените нива на уреята и креатинина. Както при други инхибитори на простагландиновата синтеза, това може да е свързано с нежелани реакции от страна на бъбреците, които да доведат до гломерулонефрит, интерстициален нефрит, бъбречна папиларна некроза, нефротичен синдром и остра бъбречна недостатъчност. Пациентите в старческа възраст е по-вероятно да страдат от нарушена бъбречна функция (вж. т. 4.2).</w:t>
      </w:r>
    </w:p>
    <w:p w14:paraId="706720E3" w14:textId="77777777" w:rsidR="0083138C" w:rsidRPr="0083138C" w:rsidRDefault="0083138C" w:rsidP="0083138C">
      <w:pPr>
        <w:spacing w:line="240" w:lineRule="auto"/>
        <w:rPr>
          <w:rFonts w:eastAsia="Times New Roman" w:cs="Arial"/>
          <w:color w:val="000000"/>
          <w:u w:val="single"/>
          <w:lang w:eastAsia="bg-BG"/>
        </w:rPr>
      </w:pPr>
    </w:p>
    <w:p w14:paraId="3A9217FA" w14:textId="1E384977" w:rsidR="0083138C" w:rsidRPr="0083138C" w:rsidRDefault="0083138C" w:rsidP="0083138C">
      <w:pPr>
        <w:spacing w:line="240" w:lineRule="auto"/>
        <w:rPr>
          <w:rFonts w:eastAsia="Times New Roman" w:cs="Arial"/>
        </w:rPr>
      </w:pPr>
      <w:r w:rsidRPr="0083138C">
        <w:rPr>
          <w:rFonts w:eastAsia="Times New Roman" w:cs="Arial"/>
          <w:color w:val="000000"/>
          <w:u w:val="single"/>
          <w:lang w:eastAsia="bg-BG"/>
        </w:rPr>
        <w:t>Чернодробна безопасност</w:t>
      </w:r>
    </w:p>
    <w:p w14:paraId="11AE9449"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lastRenderedPageBreak/>
        <w:t xml:space="preserve">Внимание се изисква при пациенти с нарушена чернодробна функция. Подобно на другите НСПВС, може да се наблюдава преходно леко повишение на някои чернодробни параметри и значимо повишение на </w:t>
      </w:r>
      <w:r w:rsidRPr="0083138C">
        <w:rPr>
          <w:rFonts w:eastAsia="Times New Roman" w:cs="Arial"/>
          <w:color w:val="000000"/>
          <w:lang w:val="en-US"/>
        </w:rPr>
        <w:t>SGOT</w:t>
      </w:r>
      <w:r w:rsidRPr="0083138C">
        <w:rPr>
          <w:rFonts w:eastAsia="Times New Roman" w:cs="Arial"/>
          <w:color w:val="000000"/>
          <w:lang w:val="ru-RU"/>
        </w:rPr>
        <w:t xml:space="preserve"> </w:t>
      </w:r>
      <w:r w:rsidRPr="0083138C">
        <w:rPr>
          <w:rFonts w:eastAsia="Times New Roman" w:cs="Arial"/>
          <w:color w:val="000000"/>
          <w:lang w:eastAsia="bg-BG"/>
        </w:rPr>
        <w:t xml:space="preserve">и </w:t>
      </w:r>
      <w:r w:rsidRPr="0083138C">
        <w:rPr>
          <w:rFonts w:eastAsia="Times New Roman" w:cs="Arial"/>
          <w:color w:val="000000"/>
          <w:lang w:val="en-US"/>
        </w:rPr>
        <w:t>SGPT</w:t>
      </w:r>
      <w:r w:rsidRPr="0083138C">
        <w:rPr>
          <w:rFonts w:eastAsia="Times New Roman" w:cs="Arial"/>
          <w:color w:val="000000"/>
          <w:lang w:val="ru-RU"/>
        </w:rPr>
        <w:t xml:space="preserve">. </w:t>
      </w:r>
      <w:r w:rsidRPr="0083138C">
        <w:rPr>
          <w:rFonts w:eastAsia="Times New Roman" w:cs="Arial"/>
          <w:color w:val="000000"/>
          <w:lang w:eastAsia="bg-BG"/>
        </w:rPr>
        <w:t>В случай на значително повишение на тези параметри, лечението трябва да се преустанови.</w:t>
      </w:r>
    </w:p>
    <w:p w14:paraId="717B6C6A"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Пациентите в старческа възраст често страдат от нарушена чернодробна функция (вж. т. 4.2).</w:t>
      </w:r>
    </w:p>
    <w:p w14:paraId="52799AE6" w14:textId="77777777" w:rsidR="0083138C" w:rsidRPr="0083138C" w:rsidRDefault="0083138C" w:rsidP="0083138C">
      <w:pPr>
        <w:spacing w:line="240" w:lineRule="auto"/>
        <w:rPr>
          <w:rFonts w:eastAsia="Times New Roman" w:cs="Arial"/>
          <w:color w:val="000000"/>
          <w:u w:val="single"/>
          <w:lang w:eastAsia="bg-BG"/>
        </w:rPr>
      </w:pPr>
    </w:p>
    <w:p w14:paraId="26FB0BAE" w14:textId="120E87BA" w:rsidR="0083138C" w:rsidRPr="0083138C" w:rsidRDefault="0083138C" w:rsidP="0083138C">
      <w:pPr>
        <w:spacing w:line="240" w:lineRule="auto"/>
        <w:rPr>
          <w:rFonts w:eastAsia="Times New Roman" w:cs="Arial"/>
        </w:rPr>
      </w:pPr>
      <w:r w:rsidRPr="0083138C">
        <w:rPr>
          <w:rFonts w:eastAsia="Times New Roman" w:cs="Arial"/>
          <w:color w:val="000000"/>
          <w:u w:val="single"/>
          <w:lang w:eastAsia="bg-BG"/>
        </w:rPr>
        <w:t>Сърдечно-съдова и мозъчно-съдова безопасност</w:t>
      </w:r>
    </w:p>
    <w:p w14:paraId="07FBDEB7"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Необходимо е да се осигурят подходящо наблюдение и съвет при пациенти с анамнеза за хипертония и/или лека до умерена застойна сърдечна недостатъчност. Особено внимание е необходимо при пациента с анамнеза за сърдечно заболяване, особено при тези с предшестващи епизоди на сърдечна недостатъчност, тъй като е налице повишен риск от предизвикване на сърдечна недостатъчност, тъй като има съобщения за задръжка на течности и отоци, свързани с лечението с НСПВС.</w:t>
      </w:r>
    </w:p>
    <w:p w14:paraId="255391D6" w14:textId="77777777" w:rsidR="0083138C" w:rsidRPr="0083138C" w:rsidRDefault="0083138C" w:rsidP="0083138C">
      <w:pPr>
        <w:spacing w:line="240" w:lineRule="auto"/>
        <w:rPr>
          <w:rFonts w:eastAsia="Times New Roman" w:cs="Arial"/>
          <w:color w:val="000000"/>
          <w:lang w:eastAsia="bg-BG"/>
        </w:rPr>
      </w:pPr>
    </w:p>
    <w:p w14:paraId="649BD76A" w14:textId="57A30DC1" w:rsidR="0083138C" w:rsidRPr="0083138C" w:rsidRDefault="0083138C" w:rsidP="0083138C">
      <w:pPr>
        <w:spacing w:line="240" w:lineRule="auto"/>
        <w:rPr>
          <w:rFonts w:eastAsia="Times New Roman" w:cs="Arial"/>
        </w:rPr>
      </w:pPr>
      <w:r w:rsidRPr="0083138C">
        <w:rPr>
          <w:rFonts w:eastAsia="Times New Roman" w:cs="Arial"/>
          <w:color w:val="000000"/>
          <w:lang w:eastAsia="bg-BG"/>
        </w:rPr>
        <w:t>Клинични проучвания и епидемиологични данни показват, че употребата на някои НСПВС (особено във високи дози и при продължително приложение) може да бъде свързана с леко повишен риск от артериални тромботични събития (например миокарден инфаркт или инсулт). Няма достатъчно данни, за да се изключи такъв риск при декскетопрофен трометамол.</w:t>
      </w:r>
    </w:p>
    <w:p w14:paraId="750B9013" w14:textId="77777777" w:rsidR="0083138C" w:rsidRPr="0083138C" w:rsidRDefault="0083138C" w:rsidP="0083138C">
      <w:pPr>
        <w:spacing w:line="240" w:lineRule="auto"/>
        <w:rPr>
          <w:rFonts w:eastAsia="Times New Roman" w:cs="Arial"/>
          <w:color w:val="000000"/>
          <w:lang w:eastAsia="bg-BG"/>
        </w:rPr>
      </w:pPr>
    </w:p>
    <w:p w14:paraId="49A3DB8B" w14:textId="4CC32266" w:rsidR="0083138C" w:rsidRPr="0083138C" w:rsidRDefault="0083138C" w:rsidP="0083138C">
      <w:pPr>
        <w:spacing w:line="240" w:lineRule="auto"/>
        <w:rPr>
          <w:rFonts w:eastAsia="Times New Roman" w:cs="Arial"/>
        </w:rPr>
      </w:pPr>
      <w:r w:rsidRPr="0083138C">
        <w:rPr>
          <w:rFonts w:eastAsia="Times New Roman" w:cs="Arial"/>
          <w:color w:val="000000"/>
          <w:lang w:eastAsia="bg-BG"/>
        </w:rPr>
        <w:t>Пациенти с неконтролирана хипертония, застойна сърдечна недостатъчност, доказана исхемична болест на сърцето, заболяване на периферните артерии и/или мозъчно-съдова болест трябва да се лекуват с декскетопрофен трометамол само след внимателна оценка. Такава оценка трябва да се прави и преди започване на дългосрочно лечение при пациенти с рискови фактори за сърдечно-съдови заболявания (напр. хипертония, хиперлипидемия, захарен диабет, тютюнопушене).</w:t>
      </w:r>
    </w:p>
    <w:p w14:paraId="2E2A3BC3"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Всички неселективни НСПВС могат да инхибират тромбоцитната агрегация и да удължат времето на кървене чрез инхибиране простагландиновата синтеза. В контролирани клинични изпитвания е проучено едновременното приложение на декскетопрофен трометамол и профилактични дози нискомолекулен хепарин в постоперативния период, при което не са наблюдавани ефекти върху коагулационните параметри. Независимо от това, пациенти, приемащи лекарства, които повлияват хемостазата, напр. варфарин или други кумарини или хепарини, трябва внимателно да се проследяват при приложение на декскетопрофен трометамол (вж. т. 4.5).</w:t>
      </w:r>
    </w:p>
    <w:p w14:paraId="254380A2"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Пациентите в старческа възраст е по-вероятно да страдат от нарушена сърдечно-съдова функция (вж. т. 4.2).</w:t>
      </w:r>
    </w:p>
    <w:p w14:paraId="35926896" w14:textId="77777777" w:rsidR="0083138C" w:rsidRPr="0083138C" w:rsidRDefault="0083138C" w:rsidP="0083138C">
      <w:pPr>
        <w:spacing w:line="240" w:lineRule="auto"/>
        <w:rPr>
          <w:rFonts w:eastAsia="Times New Roman" w:cs="Arial"/>
          <w:color w:val="000000"/>
          <w:u w:val="single"/>
          <w:lang w:eastAsia="bg-BG"/>
        </w:rPr>
      </w:pPr>
    </w:p>
    <w:p w14:paraId="29AA83B2" w14:textId="2A0C5129" w:rsidR="0083138C" w:rsidRPr="0083138C" w:rsidRDefault="0083138C" w:rsidP="0083138C">
      <w:pPr>
        <w:spacing w:line="240" w:lineRule="auto"/>
        <w:rPr>
          <w:rFonts w:eastAsia="Times New Roman" w:cs="Arial"/>
        </w:rPr>
      </w:pPr>
      <w:r w:rsidRPr="0083138C">
        <w:rPr>
          <w:rFonts w:eastAsia="Times New Roman" w:cs="Arial"/>
          <w:color w:val="000000"/>
          <w:u w:val="single"/>
          <w:lang w:eastAsia="bg-BG"/>
        </w:rPr>
        <w:t>Кожни реакции</w:t>
      </w:r>
    </w:p>
    <w:p w14:paraId="66894531" w14:textId="0D8B0A06" w:rsidR="0083138C" w:rsidRPr="0083138C" w:rsidRDefault="0083138C" w:rsidP="0083138C">
      <w:pPr>
        <w:spacing w:line="240" w:lineRule="auto"/>
        <w:rPr>
          <w:rFonts w:eastAsia="Times New Roman" w:cs="Arial"/>
        </w:rPr>
      </w:pPr>
      <w:r w:rsidRPr="0083138C">
        <w:rPr>
          <w:rFonts w:eastAsia="Times New Roman" w:cs="Arial"/>
          <w:color w:val="000000"/>
          <w:lang w:eastAsia="bg-BG"/>
        </w:rPr>
        <w:t>Сериозни кожни реакции (някои от тях фатални), включително ексфолиативен дерматит, синдром на Стивънс-Джонсън и токсична епидермална некролиза, са съобщавани много рядко във връзка с приложението на НСПВС. Рискът от тези реакции е най-висок рано в курса на лечението, като в по-голямата част от случаите началото на реакциите е през първия месец от терапията. Дексофен инжект трябва да се преустанови при първата проява на кожен обрив мукозни лезии или друг признак на свръхчувствителност.</w:t>
      </w:r>
    </w:p>
    <w:p w14:paraId="3551D526" w14:textId="4DB61A06" w:rsidR="0083138C" w:rsidRPr="0083138C" w:rsidRDefault="0083138C" w:rsidP="0083138C">
      <w:pPr>
        <w:rPr>
          <w:rFonts w:cs="Arial"/>
        </w:rPr>
      </w:pPr>
    </w:p>
    <w:p w14:paraId="5BDA7E25" w14:textId="77777777" w:rsidR="0083138C" w:rsidRPr="0083138C" w:rsidRDefault="0083138C" w:rsidP="0083138C">
      <w:pPr>
        <w:spacing w:line="240" w:lineRule="auto"/>
        <w:rPr>
          <w:rFonts w:eastAsia="Times New Roman" w:cs="Arial"/>
        </w:rPr>
      </w:pPr>
      <w:r w:rsidRPr="0083138C">
        <w:rPr>
          <w:rFonts w:eastAsia="Times New Roman" w:cs="Arial"/>
          <w:color w:val="000000"/>
          <w:u w:val="single"/>
          <w:lang w:eastAsia="bg-BG"/>
        </w:rPr>
        <w:t>Маскиране на симптомите на подлежащите инфекции</w:t>
      </w:r>
    </w:p>
    <w:p w14:paraId="68263BD6"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 xml:space="preserve">Декскетопрофен може да маскира симптомите на инфекция, което може да доведе до забавяне на започване на подходящо лечение и по този начин да влоши изхода от инфекцията. Това се наблюдава при бактериална пневмония, придобита в обществото, както и при бактериалните усложнения на варицела. Когато декскетопрофен се прилага </w:t>
      </w:r>
      <w:r w:rsidRPr="0083138C">
        <w:rPr>
          <w:rFonts w:eastAsia="Times New Roman" w:cs="Arial"/>
          <w:color w:val="000000"/>
          <w:lang w:eastAsia="bg-BG"/>
        </w:rPr>
        <w:lastRenderedPageBreak/>
        <w:t>за лечение на повишена температура или за облекчаване на болката във връзка с инфекция, се препоръчва наблюдение на инфекцията. При извънболнични условия пациентът трябва да се консултира с лекар, ако симптомите персистират или се влошават.</w:t>
      </w:r>
    </w:p>
    <w:p w14:paraId="32442B86" w14:textId="77777777" w:rsidR="0083138C" w:rsidRPr="0083138C" w:rsidRDefault="0083138C" w:rsidP="0083138C">
      <w:pPr>
        <w:spacing w:line="240" w:lineRule="auto"/>
        <w:rPr>
          <w:rFonts w:eastAsia="Times New Roman" w:cs="Arial"/>
          <w:color w:val="000000"/>
          <w:u w:val="single"/>
          <w:lang w:eastAsia="bg-BG"/>
        </w:rPr>
      </w:pPr>
    </w:p>
    <w:p w14:paraId="1DD27E40" w14:textId="3F30128B" w:rsidR="0083138C" w:rsidRPr="0083138C" w:rsidRDefault="0083138C" w:rsidP="0083138C">
      <w:pPr>
        <w:spacing w:line="240" w:lineRule="auto"/>
        <w:rPr>
          <w:rFonts w:eastAsia="Times New Roman" w:cs="Arial"/>
        </w:rPr>
      </w:pPr>
      <w:r w:rsidRPr="0083138C">
        <w:rPr>
          <w:rFonts w:eastAsia="Times New Roman" w:cs="Arial"/>
          <w:color w:val="000000"/>
          <w:u w:val="single"/>
          <w:lang w:eastAsia="bg-BG"/>
        </w:rPr>
        <w:t>Друга информация</w:t>
      </w:r>
    </w:p>
    <w:p w14:paraId="2F421A3E"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Специално внимание се изисква при пациенти:</w:t>
      </w:r>
    </w:p>
    <w:p w14:paraId="45067CC8" w14:textId="77777777" w:rsidR="0083138C" w:rsidRPr="0083138C" w:rsidRDefault="0083138C" w:rsidP="0083138C">
      <w:pPr>
        <w:pStyle w:val="ListParagraph"/>
        <w:numPr>
          <w:ilvl w:val="0"/>
          <w:numId w:val="2"/>
        </w:numPr>
        <w:spacing w:line="240" w:lineRule="auto"/>
        <w:rPr>
          <w:rFonts w:eastAsia="Times New Roman" w:cs="Arial"/>
        </w:rPr>
      </w:pPr>
      <w:r w:rsidRPr="0083138C">
        <w:rPr>
          <w:rFonts w:eastAsia="Times New Roman" w:cs="Arial"/>
          <w:color w:val="000000"/>
          <w:lang w:eastAsia="bg-BG"/>
        </w:rPr>
        <w:t>с вродени заболявания, свързани с метаболизма на порфирин (напр. интермитентна порфирия);</w:t>
      </w:r>
    </w:p>
    <w:p w14:paraId="6CBDDE33" w14:textId="77777777" w:rsidR="0083138C" w:rsidRPr="0083138C" w:rsidRDefault="0083138C" w:rsidP="0083138C">
      <w:pPr>
        <w:pStyle w:val="ListParagraph"/>
        <w:numPr>
          <w:ilvl w:val="0"/>
          <w:numId w:val="2"/>
        </w:numPr>
        <w:spacing w:line="240" w:lineRule="auto"/>
        <w:rPr>
          <w:rFonts w:eastAsia="Times New Roman" w:cs="Arial"/>
        </w:rPr>
      </w:pPr>
      <w:r w:rsidRPr="0083138C">
        <w:rPr>
          <w:rFonts w:eastAsia="Times New Roman" w:cs="Arial"/>
          <w:color w:val="000000"/>
          <w:lang w:eastAsia="bg-BG"/>
        </w:rPr>
        <w:t>с дехидратация;</w:t>
      </w:r>
    </w:p>
    <w:p w14:paraId="03B2A8FD" w14:textId="019C8599" w:rsidR="0083138C" w:rsidRPr="0083138C" w:rsidRDefault="0083138C" w:rsidP="0083138C">
      <w:pPr>
        <w:pStyle w:val="ListParagraph"/>
        <w:numPr>
          <w:ilvl w:val="0"/>
          <w:numId w:val="2"/>
        </w:numPr>
        <w:spacing w:line="240" w:lineRule="auto"/>
        <w:rPr>
          <w:rFonts w:eastAsia="Times New Roman" w:cs="Arial"/>
        </w:rPr>
      </w:pPr>
      <w:r w:rsidRPr="0083138C">
        <w:rPr>
          <w:rFonts w:eastAsia="Times New Roman" w:cs="Arial"/>
          <w:color w:val="000000"/>
          <w:lang w:eastAsia="bg-BG"/>
        </w:rPr>
        <w:t>непосредствено след голяма хирургична операция.</w:t>
      </w:r>
    </w:p>
    <w:p w14:paraId="2FFA1C3E" w14:textId="77777777" w:rsidR="0083138C" w:rsidRPr="0083138C" w:rsidRDefault="0083138C" w:rsidP="0083138C">
      <w:pPr>
        <w:spacing w:line="240" w:lineRule="auto"/>
        <w:rPr>
          <w:rFonts w:eastAsia="Times New Roman" w:cs="Arial"/>
          <w:color w:val="000000"/>
          <w:lang w:eastAsia="bg-BG"/>
        </w:rPr>
      </w:pPr>
    </w:p>
    <w:p w14:paraId="7809A469" w14:textId="4B023D65" w:rsidR="0083138C" w:rsidRPr="0083138C" w:rsidRDefault="0083138C" w:rsidP="0083138C">
      <w:pPr>
        <w:spacing w:line="240" w:lineRule="auto"/>
        <w:rPr>
          <w:rFonts w:eastAsia="Times New Roman" w:cs="Arial"/>
        </w:rPr>
      </w:pPr>
      <w:r w:rsidRPr="0083138C">
        <w:rPr>
          <w:rFonts w:eastAsia="Times New Roman" w:cs="Arial"/>
          <w:color w:val="000000"/>
          <w:lang w:eastAsia="bg-BG"/>
        </w:rPr>
        <w:t>Ако лекуващият лекар счита за наложителна продължителната терапия с декскетопрофен, необходимо е да се проследяват периодично чернодробната и бъбречната функция, както и кръвната картина.</w:t>
      </w:r>
    </w:p>
    <w:p w14:paraId="6D4E2236" w14:textId="77777777" w:rsidR="0083138C" w:rsidRPr="0083138C" w:rsidRDefault="0083138C" w:rsidP="0083138C">
      <w:pPr>
        <w:spacing w:line="240" w:lineRule="auto"/>
        <w:rPr>
          <w:rFonts w:eastAsia="Times New Roman" w:cs="Arial"/>
          <w:color w:val="000000"/>
          <w:lang w:eastAsia="bg-BG"/>
        </w:rPr>
      </w:pPr>
    </w:p>
    <w:p w14:paraId="24F53A52" w14:textId="291A341E" w:rsidR="0083138C" w:rsidRPr="0083138C" w:rsidRDefault="0083138C" w:rsidP="0083138C">
      <w:pPr>
        <w:spacing w:line="240" w:lineRule="auto"/>
        <w:rPr>
          <w:rFonts w:eastAsia="Times New Roman" w:cs="Arial"/>
        </w:rPr>
      </w:pPr>
      <w:r w:rsidRPr="0083138C">
        <w:rPr>
          <w:rFonts w:eastAsia="Times New Roman" w:cs="Arial"/>
          <w:color w:val="000000"/>
          <w:lang w:eastAsia="bg-BG"/>
        </w:rPr>
        <w:t>Тежки остри реакции на свръхчувствителност (напр. анафилакгичен шок) са наблюдавани в много редки случаи. Лечението трябва да се преустанови при първите признаци на реакции на свръхчувствителност, получени след прилагане на Дексофен инжект. В зависимост от симптомите, трябва да се започнат съответните необходими медицински процедури от медицински специалист.</w:t>
      </w:r>
    </w:p>
    <w:p w14:paraId="6FBE58F9" w14:textId="77777777" w:rsidR="0083138C" w:rsidRPr="0083138C" w:rsidRDefault="0083138C" w:rsidP="0083138C">
      <w:pPr>
        <w:spacing w:line="240" w:lineRule="auto"/>
        <w:rPr>
          <w:rFonts w:eastAsia="Times New Roman" w:cs="Arial"/>
          <w:color w:val="000000"/>
          <w:lang w:eastAsia="bg-BG"/>
        </w:rPr>
      </w:pPr>
    </w:p>
    <w:p w14:paraId="6ECB1E19" w14:textId="69835E1C" w:rsidR="0083138C" w:rsidRPr="0083138C" w:rsidRDefault="0083138C" w:rsidP="0083138C">
      <w:pPr>
        <w:spacing w:line="240" w:lineRule="auto"/>
        <w:rPr>
          <w:rFonts w:eastAsia="Times New Roman" w:cs="Arial"/>
        </w:rPr>
      </w:pPr>
      <w:r w:rsidRPr="0083138C">
        <w:rPr>
          <w:rFonts w:eastAsia="Times New Roman" w:cs="Arial"/>
          <w:color w:val="000000"/>
          <w:lang w:eastAsia="bg-BG"/>
        </w:rPr>
        <w:t>Пациенти с астма, комбинирана с хроничен ринит, хроничен синузит и/или назална полипоза имат по-висок риск от алергия към ацетилсалицилова киселина и/или НСПВС, в сравнение с общата популация. Прилагането на този лекарствен продукт може да предизвика астматичен пристъп или бронхоспазъм, особено при хора, алергични към ацетилсалицилова киселина или НСПВС (вж. т. 4.3).</w:t>
      </w:r>
    </w:p>
    <w:p w14:paraId="5B5A1F86" w14:textId="77777777" w:rsidR="0083138C" w:rsidRPr="0083138C" w:rsidRDefault="0083138C" w:rsidP="0083138C">
      <w:pPr>
        <w:spacing w:line="240" w:lineRule="auto"/>
        <w:rPr>
          <w:rFonts w:eastAsia="Times New Roman" w:cs="Arial"/>
          <w:color w:val="000000"/>
          <w:lang w:eastAsia="bg-BG"/>
        </w:rPr>
      </w:pPr>
    </w:p>
    <w:p w14:paraId="3DDF83AD" w14:textId="77777777" w:rsidR="0083138C" w:rsidRPr="0083138C" w:rsidRDefault="0083138C" w:rsidP="0083138C">
      <w:pPr>
        <w:spacing w:line="240" w:lineRule="auto"/>
        <w:rPr>
          <w:rFonts w:eastAsia="Times New Roman" w:cs="Arial"/>
          <w:color w:val="000000"/>
          <w:lang w:eastAsia="bg-BG"/>
        </w:rPr>
      </w:pPr>
      <w:r w:rsidRPr="0083138C">
        <w:rPr>
          <w:rFonts w:eastAsia="Times New Roman" w:cs="Arial"/>
          <w:color w:val="000000"/>
          <w:lang w:eastAsia="bg-BG"/>
        </w:rPr>
        <w:t xml:space="preserve">По изключение, варицелата може да бъде в основата на сериозни инфекциозни усложнения на кожата и меките тъкани. Към днешна дата, не може да се изключи приносът на НСПВС към влошаването на тези инфекции. Поради това е препоръчително да се избягва използването на </w:t>
      </w:r>
    </w:p>
    <w:p w14:paraId="014E9BC6" w14:textId="41BDD1D9" w:rsidR="0083138C" w:rsidRPr="0083138C" w:rsidRDefault="0083138C" w:rsidP="0083138C">
      <w:pPr>
        <w:spacing w:line="240" w:lineRule="auto"/>
        <w:rPr>
          <w:rFonts w:eastAsia="Times New Roman" w:cs="Arial"/>
        </w:rPr>
      </w:pPr>
      <w:r w:rsidRPr="0083138C">
        <w:rPr>
          <w:rFonts w:eastAsia="Times New Roman" w:cs="Arial"/>
          <w:color w:val="000000"/>
          <w:lang w:eastAsia="bg-BG"/>
        </w:rPr>
        <w:t>Дексофен инжект в случай на варицела.</w:t>
      </w:r>
    </w:p>
    <w:p w14:paraId="66BAF95A" w14:textId="77777777" w:rsidR="0083138C" w:rsidRPr="0083138C" w:rsidRDefault="0083138C" w:rsidP="0083138C">
      <w:pPr>
        <w:spacing w:line="240" w:lineRule="auto"/>
        <w:rPr>
          <w:rFonts w:eastAsia="Times New Roman" w:cs="Arial"/>
          <w:color w:val="000000"/>
          <w:lang w:eastAsia="bg-BG"/>
        </w:rPr>
      </w:pPr>
    </w:p>
    <w:p w14:paraId="3FBAA39E" w14:textId="2A284A66" w:rsidR="0083138C" w:rsidRPr="0083138C" w:rsidRDefault="0083138C" w:rsidP="0083138C">
      <w:pPr>
        <w:spacing w:line="240" w:lineRule="auto"/>
        <w:rPr>
          <w:rFonts w:eastAsia="Times New Roman" w:cs="Arial"/>
        </w:rPr>
      </w:pPr>
      <w:r w:rsidRPr="0083138C">
        <w:rPr>
          <w:rFonts w:eastAsia="Times New Roman" w:cs="Arial"/>
          <w:color w:val="000000"/>
          <w:lang w:eastAsia="bg-BG"/>
        </w:rPr>
        <w:t>Дексофен инжект трябва да се прилага внимателно при пациенти с хемопоетични нарушения, системен лупус еритематодес или смесена съединително-тьканна болест.</w:t>
      </w:r>
    </w:p>
    <w:p w14:paraId="5AC7C283" w14:textId="77777777" w:rsidR="0083138C" w:rsidRPr="0083138C" w:rsidRDefault="0083138C" w:rsidP="0083138C">
      <w:pPr>
        <w:spacing w:line="240" w:lineRule="auto"/>
        <w:rPr>
          <w:rFonts w:eastAsia="Times New Roman" w:cs="Arial"/>
          <w:color w:val="000000"/>
          <w:lang w:eastAsia="bg-BG"/>
        </w:rPr>
      </w:pPr>
    </w:p>
    <w:p w14:paraId="7623B013" w14:textId="2DFCEAC8" w:rsidR="0083138C" w:rsidRPr="0083138C" w:rsidRDefault="0083138C" w:rsidP="0083138C">
      <w:pPr>
        <w:spacing w:line="240" w:lineRule="auto"/>
        <w:rPr>
          <w:rFonts w:eastAsia="Times New Roman" w:cs="Arial"/>
        </w:rPr>
      </w:pPr>
      <w:r w:rsidRPr="0083138C">
        <w:rPr>
          <w:rFonts w:eastAsia="Times New Roman" w:cs="Arial"/>
          <w:color w:val="000000"/>
          <w:lang w:eastAsia="bg-BG"/>
        </w:rPr>
        <w:t>Подобно на други НСПВС, декскетопрофен може да маскира симптомите на инфекциозни заболявания. В изолирани случаи е описано утежняване на мекотъканни инфекции в преходна връзка с приложението на НСПВС. Ето защо на пациента се препоръчва незабавно да се консултира с лекар при поява на симптоми на бактериална инфекция или влошаване на състоянието по време на лечението.</w:t>
      </w:r>
    </w:p>
    <w:p w14:paraId="5226BFBD"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 xml:space="preserve">Всяка ампула Дексофен инжект съдържа 12,35 об. % етанол (алкохол), т.е. до 200 </w:t>
      </w:r>
      <w:r w:rsidRPr="0083138C">
        <w:rPr>
          <w:rFonts w:eastAsia="Times New Roman" w:cs="Arial"/>
          <w:color w:val="000000"/>
          <w:lang w:val="en-US"/>
        </w:rPr>
        <w:t>mg</w:t>
      </w:r>
      <w:r w:rsidRPr="0083138C">
        <w:rPr>
          <w:rFonts w:eastAsia="Times New Roman" w:cs="Arial"/>
          <w:color w:val="000000"/>
          <w:lang w:val="ru-RU"/>
        </w:rPr>
        <w:t xml:space="preserve"> </w:t>
      </w:r>
      <w:r w:rsidRPr="0083138C">
        <w:rPr>
          <w:rFonts w:eastAsia="Times New Roman" w:cs="Arial"/>
          <w:color w:val="000000"/>
          <w:lang w:eastAsia="bg-BG"/>
        </w:rPr>
        <w:t xml:space="preserve">на доза, което е еквивалентно на 5 </w:t>
      </w:r>
      <w:r w:rsidRPr="0083138C">
        <w:rPr>
          <w:rFonts w:eastAsia="Times New Roman" w:cs="Arial"/>
          <w:color w:val="000000"/>
          <w:lang w:val="en-US"/>
        </w:rPr>
        <w:t>ml</w:t>
      </w:r>
      <w:r w:rsidRPr="0083138C">
        <w:rPr>
          <w:rFonts w:eastAsia="Times New Roman" w:cs="Arial"/>
          <w:color w:val="000000"/>
          <w:lang w:val="ru-RU"/>
        </w:rPr>
        <w:t xml:space="preserve"> </w:t>
      </w:r>
      <w:r w:rsidRPr="0083138C">
        <w:rPr>
          <w:rFonts w:eastAsia="Times New Roman" w:cs="Arial"/>
          <w:color w:val="000000"/>
          <w:lang w:eastAsia="bg-BG"/>
        </w:rPr>
        <w:t xml:space="preserve">бира или 2,08 </w:t>
      </w:r>
      <w:r w:rsidRPr="0083138C">
        <w:rPr>
          <w:rFonts w:eastAsia="Times New Roman" w:cs="Arial"/>
          <w:color w:val="000000"/>
          <w:lang w:val="en-US"/>
        </w:rPr>
        <w:t>ml</w:t>
      </w:r>
      <w:r w:rsidRPr="0083138C">
        <w:rPr>
          <w:rFonts w:eastAsia="Times New Roman" w:cs="Arial"/>
          <w:color w:val="000000"/>
          <w:lang w:val="ru-RU"/>
        </w:rPr>
        <w:t xml:space="preserve"> </w:t>
      </w:r>
      <w:r w:rsidRPr="0083138C">
        <w:rPr>
          <w:rFonts w:eastAsia="Times New Roman" w:cs="Arial"/>
          <w:color w:val="000000"/>
          <w:lang w:eastAsia="bg-BG"/>
        </w:rPr>
        <w:t>вино за доза.</w:t>
      </w:r>
    </w:p>
    <w:p w14:paraId="339692CC"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Вреден е за тези, които страдат от алкохолизъм.</w:t>
      </w:r>
    </w:p>
    <w:p w14:paraId="328A6D7C" w14:textId="77777777" w:rsidR="0083138C" w:rsidRPr="0083138C" w:rsidRDefault="0083138C" w:rsidP="0083138C">
      <w:pPr>
        <w:spacing w:line="240" w:lineRule="auto"/>
        <w:rPr>
          <w:rFonts w:eastAsia="Times New Roman" w:cs="Arial"/>
        </w:rPr>
      </w:pPr>
      <w:r w:rsidRPr="0083138C">
        <w:rPr>
          <w:rFonts w:eastAsia="Times New Roman" w:cs="Arial"/>
          <w:color w:val="000000"/>
          <w:lang w:eastAsia="bg-BG"/>
        </w:rPr>
        <w:t>Да се има предвид при бременни и кърмещи жени, деца и високо-рискови групи, като напр. при пациенти с чернодробно заболяване или епилепсия.</w:t>
      </w:r>
    </w:p>
    <w:p w14:paraId="4859E1D4" w14:textId="77777777" w:rsidR="0083138C" w:rsidRPr="0083138C" w:rsidRDefault="0083138C" w:rsidP="0083138C">
      <w:pPr>
        <w:spacing w:line="240" w:lineRule="auto"/>
        <w:rPr>
          <w:rFonts w:eastAsia="Times New Roman" w:cs="Arial"/>
          <w:color w:val="000000"/>
          <w:lang w:eastAsia="bg-BG"/>
        </w:rPr>
      </w:pPr>
    </w:p>
    <w:p w14:paraId="4FD7D205" w14:textId="2EB5AF5B" w:rsidR="0083138C" w:rsidRPr="0083138C" w:rsidRDefault="0083138C" w:rsidP="0083138C">
      <w:pPr>
        <w:spacing w:line="240" w:lineRule="auto"/>
        <w:rPr>
          <w:rFonts w:eastAsia="Times New Roman" w:cs="Arial"/>
        </w:rPr>
      </w:pPr>
      <w:r w:rsidRPr="0083138C">
        <w:rPr>
          <w:rFonts w:eastAsia="Times New Roman" w:cs="Arial"/>
          <w:color w:val="000000"/>
          <w:lang w:eastAsia="bg-BG"/>
        </w:rPr>
        <w:t xml:space="preserve">Този лекарствен продукт съдържа по-малко от 1 </w:t>
      </w:r>
      <w:proofErr w:type="spellStart"/>
      <w:r w:rsidRPr="0083138C">
        <w:rPr>
          <w:rFonts w:eastAsia="Times New Roman" w:cs="Arial"/>
          <w:color w:val="000000"/>
          <w:lang w:val="en-US"/>
        </w:rPr>
        <w:t>mmol</w:t>
      </w:r>
      <w:proofErr w:type="spellEnd"/>
      <w:r w:rsidRPr="0083138C">
        <w:rPr>
          <w:rFonts w:eastAsia="Times New Roman" w:cs="Arial"/>
          <w:color w:val="000000"/>
          <w:lang w:val="ru-RU"/>
        </w:rPr>
        <w:t xml:space="preserve"> </w:t>
      </w:r>
      <w:r w:rsidRPr="0083138C">
        <w:rPr>
          <w:rFonts w:eastAsia="Times New Roman" w:cs="Arial"/>
          <w:color w:val="000000"/>
          <w:lang w:eastAsia="bg-BG"/>
        </w:rPr>
        <w:t xml:space="preserve">натрий (23 </w:t>
      </w:r>
      <w:r w:rsidRPr="0083138C">
        <w:rPr>
          <w:rFonts w:eastAsia="Times New Roman" w:cs="Arial"/>
          <w:color w:val="000000"/>
          <w:lang w:val="en-US"/>
        </w:rPr>
        <w:t>mg</w:t>
      </w:r>
      <w:r w:rsidRPr="0083138C">
        <w:rPr>
          <w:rFonts w:eastAsia="Times New Roman" w:cs="Arial"/>
          <w:color w:val="000000"/>
          <w:lang w:val="ru-RU"/>
        </w:rPr>
        <w:t xml:space="preserve">) </w:t>
      </w:r>
      <w:r w:rsidRPr="0083138C">
        <w:rPr>
          <w:rFonts w:eastAsia="Times New Roman" w:cs="Arial"/>
          <w:color w:val="000000"/>
          <w:lang w:eastAsia="bg-BG"/>
        </w:rPr>
        <w:t>на доза, т.е. по същество е “без натрий”.</w:t>
      </w:r>
    </w:p>
    <w:p w14:paraId="0B1500B1" w14:textId="77777777" w:rsidR="0083138C" w:rsidRPr="0083138C" w:rsidRDefault="0083138C" w:rsidP="0083138C">
      <w:pPr>
        <w:spacing w:line="240" w:lineRule="auto"/>
        <w:rPr>
          <w:rFonts w:eastAsia="Times New Roman" w:cs="Arial"/>
        </w:rPr>
      </w:pPr>
    </w:p>
    <w:p w14:paraId="25A0FA70" w14:textId="77777777" w:rsidR="0083138C" w:rsidRPr="0083138C" w:rsidRDefault="0083138C" w:rsidP="0083138C">
      <w:pPr>
        <w:spacing w:line="240" w:lineRule="auto"/>
        <w:rPr>
          <w:rFonts w:eastAsia="Times New Roman" w:cs="Arial"/>
        </w:rPr>
      </w:pPr>
      <w:r w:rsidRPr="0083138C">
        <w:rPr>
          <w:rFonts w:eastAsia="Times New Roman" w:cs="Arial"/>
          <w:color w:val="000000"/>
          <w:u w:val="single"/>
          <w:lang w:eastAsia="bg-BG"/>
        </w:rPr>
        <w:t>Педиатрична популация</w:t>
      </w:r>
    </w:p>
    <w:p w14:paraId="5E114533" w14:textId="62C866CC" w:rsidR="0083138C" w:rsidRDefault="0083138C" w:rsidP="0083138C">
      <w:pPr>
        <w:rPr>
          <w:rFonts w:eastAsia="Times New Roman" w:cs="Arial"/>
          <w:color w:val="000000"/>
          <w:lang w:eastAsia="bg-BG"/>
        </w:rPr>
      </w:pPr>
      <w:r w:rsidRPr="0083138C">
        <w:rPr>
          <w:rFonts w:eastAsia="Times New Roman" w:cs="Arial"/>
          <w:color w:val="000000"/>
          <w:lang w:eastAsia="bg-BG"/>
        </w:rPr>
        <w:t>Безопасната употреба при деца и юноши не е установена.</w:t>
      </w:r>
    </w:p>
    <w:p w14:paraId="41A0727C" w14:textId="4354C661" w:rsidR="0083138C" w:rsidRPr="0083138C" w:rsidRDefault="0083138C" w:rsidP="0083138C">
      <w:pPr>
        <w:rPr>
          <w:rFonts w:cs="Arial"/>
        </w:rPr>
      </w:pPr>
    </w:p>
    <w:p w14:paraId="619DED1E" w14:textId="264B4E15"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1FF431D" w14:textId="28BE6DF4" w:rsidR="0083138C" w:rsidRDefault="0083138C" w:rsidP="0083138C"/>
    <w:p w14:paraId="6F5CF717" w14:textId="3D7574CF" w:rsidR="0083138C" w:rsidRPr="0083138C" w:rsidRDefault="0083138C" w:rsidP="0083138C">
      <w:pPr>
        <w:spacing w:line="240" w:lineRule="auto"/>
        <w:rPr>
          <w:rFonts w:eastAsia="Times New Roman" w:cs="Arial"/>
          <w:color w:val="000000"/>
          <w:lang w:eastAsia="bg-BG"/>
        </w:rPr>
      </w:pPr>
      <w:r w:rsidRPr="0083138C">
        <w:rPr>
          <w:rFonts w:eastAsia="Times New Roman" w:cs="Arial"/>
          <w:color w:val="000000"/>
          <w:lang w:eastAsia="bg-BG"/>
        </w:rPr>
        <w:t>По принцип за НСПВС са характерни следните взаимодействия:</w:t>
      </w:r>
    </w:p>
    <w:p w14:paraId="5E0F0BCE" w14:textId="77777777" w:rsidR="0083138C" w:rsidRPr="0083138C" w:rsidRDefault="0083138C" w:rsidP="0083138C">
      <w:pPr>
        <w:spacing w:line="240" w:lineRule="auto"/>
        <w:rPr>
          <w:rFonts w:eastAsia="Times New Roman" w:cs="Arial"/>
          <w:sz w:val="24"/>
          <w:szCs w:val="24"/>
        </w:rPr>
      </w:pPr>
    </w:p>
    <w:p w14:paraId="5C80222B"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Комбинации, които не се препоръчват:</w:t>
      </w:r>
    </w:p>
    <w:p w14:paraId="28F82514"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други НСПВС (включително селективно циклооксигеназа-2 инхибитори) и високи дози салицилати (≥3 </w:t>
      </w:r>
      <w:r w:rsidRPr="0083138C">
        <w:rPr>
          <w:rFonts w:eastAsia="Times New Roman" w:cs="Arial"/>
          <w:color w:val="000000"/>
          <w:lang w:val="en-US"/>
        </w:rPr>
        <w:t>g</w:t>
      </w:r>
      <w:r w:rsidRPr="0083138C">
        <w:rPr>
          <w:rFonts w:eastAsia="Times New Roman" w:cs="Arial"/>
          <w:color w:val="000000"/>
          <w:lang w:eastAsia="bg-BG"/>
        </w:rPr>
        <w:t xml:space="preserve">/ден): едновременното приложение на няколко НСПВС може да увеличи риска от стомашно-чревна язва или кръвоизлив посредством синергичен ефект; </w:t>
      </w:r>
    </w:p>
    <w:p w14:paraId="3E9154A2"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антикоагуланти: НСПВС могат да усилят ефектите на антикоагулантите, напр. варфарин (вж. т. 4.4), поради високата степен на свързване с плазмените протеини на декскетопрофен, както и поради инхибиране на тромбоцитната функция и увреждане на стомашно-чревната лигавица. Ако комбинираното лечение не може да се избегне е необходимо стриктно клинично наблюдение и проследяване на клиничните параметри; </w:t>
      </w:r>
    </w:p>
    <w:p w14:paraId="5BBD42C1"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хепарини: повишен риск от кървене (поради инхибиране на тромбоцитната функция и увреждане на стомашно-чревната лигавица). Ако комбинираното лечение не може да се избегне, е необходимо стриктно клинично наблюдение и проследяване на клиничните параметри;</w:t>
      </w:r>
    </w:p>
    <w:p w14:paraId="239B2E1D"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кортикостероиди: налице е повишен риск от стомашно-чревна язва или кръвоизлив (вж. т. 4.4);</w:t>
      </w:r>
    </w:p>
    <w:p w14:paraId="21CA0BF6"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литий (описано е с няколко НСПВС): НСПВС повишават нивата на литий в кръвта, които могат да достигнат токсични стойности (понижена бъбречна екскреция на литий). Следователно този параметър трябва да се проследява при започване, адаптиране и преустановяване на лечението с декскетопрофен;</w:t>
      </w:r>
    </w:p>
    <w:p w14:paraId="43FEF01F"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метотрексат, използван във високи дози от 15 </w:t>
      </w:r>
      <w:r w:rsidRPr="0083138C">
        <w:rPr>
          <w:rFonts w:eastAsia="Times New Roman" w:cs="Arial"/>
          <w:color w:val="000000"/>
          <w:lang w:val="en-US"/>
        </w:rPr>
        <w:t>mg</w:t>
      </w:r>
      <w:r w:rsidRPr="0083138C">
        <w:rPr>
          <w:rFonts w:eastAsia="Times New Roman" w:cs="Arial"/>
          <w:color w:val="000000"/>
          <w:lang w:eastAsia="bg-BG"/>
        </w:rPr>
        <w:t>/седмица или повече: засилена хематологична токсичност на метотрексат посредством понижение на бъбречния му клирънс от противовъзпалителни средства по принцип;</w:t>
      </w:r>
    </w:p>
    <w:p w14:paraId="719643FB" w14:textId="67946BF8"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хидантоини и сулфонамиди: токсичните ефекти на тези вещества може да се засилят.</w:t>
      </w:r>
    </w:p>
    <w:p w14:paraId="3238FA49" w14:textId="77777777" w:rsidR="0083138C" w:rsidRPr="0083138C" w:rsidRDefault="0083138C" w:rsidP="0083138C">
      <w:pPr>
        <w:spacing w:line="240" w:lineRule="auto"/>
        <w:rPr>
          <w:rFonts w:eastAsia="Times New Roman" w:cs="Arial"/>
          <w:color w:val="000000"/>
          <w:lang w:eastAsia="bg-BG"/>
        </w:rPr>
      </w:pPr>
    </w:p>
    <w:p w14:paraId="2CBAEDA5" w14:textId="264EA5BD"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Комбинации, които изискват предпазни мерки:</w:t>
      </w:r>
    </w:p>
    <w:p w14:paraId="312A0187" w14:textId="1FD48D0E"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диуретици, АСЕ-инхибитори, антибактериални аминогликозиди и антагонисти на ангиотензин </w:t>
      </w:r>
      <w:r w:rsidRPr="0083138C">
        <w:rPr>
          <w:rFonts w:eastAsia="Times New Roman" w:cs="Arial"/>
          <w:color w:val="000000"/>
          <w:lang w:val="en-US"/>
        </w:rPr>
        <w:t>II</w:t>
      </w:r>
      <w:r w:rsidRPr="0083138C">
        <w:rPr>
          <w:rFonts w:eastAsia="Times New Roman" w:cs="Arial"/>
          <w:color w:val="000000"/>
          <w:lang w:eastAsia="bg-BG"/>
        </w:rPr>
        <w:t xml:space="preserve"> рецептор: декскетопрофен може да понижи ефектите на диуретиците и на други антихипертензивни лекарства. При някои пациенти с нарушена бъбречна функция (напр. дехидратирани пациенти или пациенти в старческа възраст с нарушена бъбречна функция) едновременното приложение на вещества, които инхибират циклооксигеназата и АСЕ-инхибитори, ангиотензин </w:t>
      </w:r>
      <w:r w:rsidRPr="0083138C">
        <w:rPr>
          <w:rFonts w:eastAsia="Times New Roman" w:cs="Arial"/>
          <w:color w:val="000000"/>
          <w:lang w:val="en-US" w:eastAsia="bg-BG"/>
        </w:rPr>
        <w:t>II</w:t>
      </w:r>
      <w:r w:rsidRPr="0083138C">
        <w:rPr>
          <w:rFonts w:eastAsia="Times New Roman" w:cs="Arial"/>
          <w:color w:val="000000"/>
          <w:lang w:eastAsia="bg-BG"/>
        </w:rPr>
        <w:t xml:space="preserve"> рецепторни антагонисти или антибактериални аминогликозиди може да доведе до допълнително нарушение на бъбречна функция, което обикновено е обратимо. В случай на комбинирано предписване на декскетопрофен и диуретик е важно да се осигури адекватно хидратиране на пациента и да се изследва </w:t>
      </w:r>
      <w:r w:rsidRPr="0083138C">
        <w:rPr>
          <w:rFonts w:eastAsia="Times New Roman" w:cs="Arial"/>
          <w:color w:val="000000"/>
          <w:lang w:eastAsia="bg-BG"/>
        </w:rPr>
        <w:lastRenderedPageBreak/>
        <w:t>бъбречната функция при започване на лечението (вж. т. 4.4 Специални предупреждения и предпазни мерки при употреба);</w:t>
      </w:r>
    </w:p>
    <w:p w14:paraId="0672F32E"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метотрексат, използван в ниски дози, по-малко от 15 </w:t>
      </w:r>
      <w:r w:rsidRPr="0083138C">
        <w:rPr>
          <w:rFonts w:eastAsia="Times New Roman" w:cs="Arial"/>
          <w:color w:val="000000"/>
          <w:lang w:val="en-US"/>
        </w:rPr>
        <w:t>mg</w:t>
      </w:r>
      <w:r w:rsidRPr="0083138C">
        <w:rPr>
          <w:rFonts w:eastAsia="Times New Roman" w:cs="Arial"/>
          <w:color w:val="000000"/>
          <w:lang w:eastAsia="bg-BG"/>
        </w:rPr>
        <w:t>/седмица: хемат</w:t>
      </w:r>
      <w:r w:rsidRPr="0083138C">
        <w:rPr>
          <w:rFonts w:eastAsia="Times New Roman" w:cs="Arial"/>
          <w:color w:val="000000"/>
          <w:lang w:val="en-US"/>
        </w:rPr>
        <w:t>o</w:t>
      </w:r>
      <w:r w:rsidRPr="0083138C">
        <w:rPr>
          <w:rFonts w:eastAsia="Times New Roman" w:cs="Arial"/>
          <w:color w:val="000000"/>
          <w:lang w:eastAsia="bg-BG"/>
        </w:rPr>
        <w:t>логичната токсичност на метотрексат по принцип се засилва посредством понижението на бъбречния му клирънс от противовъзпалителни средства. Ежеседмично изследване на кръвната картина през първите седмици от комбинираното лечение. Внимателно наблюдение при наличие дори и на леко увреждане на бъбречната функция, както и при пациенти в старческа възраст;</w:t>
      </w:r>
    </w:p>
    <w:p w14:paraId="7B698BA3"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пентоксифилин: повишен риск от кървене. По-активно клинично наблюдение и по-често изследване на времето на кървене;</w:t>
      </w:r>
    </w:p>
    <w:p w14:paraId="450E8247"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зидовудин: риск от засилване на токсичността върху еритроцитната редица посредством действие върху ретикулоцитите с възникване на тежка анемия една седмица след започване на НСПВС. Проверка на пълната кръвна картина и броя на ретикулоциттите една до две седмици след започване на лечението с НСПВС;</w:t>
      </w:r>
    </w:p>
    <w:p w14:paraId="2C8CE8E2" w14:textId="58A8C352"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сулфанилурейни лекарства: НСПВС могат да засилят хипогликемичния ефект на сулфанилурейните лекарства посредством изместването им от местата за свързване с плазмените протеини.</w:t>
      </w:r>
    </w:p>
    <w:p w14:paraId="5D59FF59" w14:textId="30FF9BB3" w:rsidR="0083138C" w:rsidRPr="0083138C" w:rsidRDefault="0083138C" w:rsidP="0083138C">
      <w:pPr>
        <w:spacing w:line="240" w:lineRule="auto"/>
        <w:rPr>
          <w:rFonts w:eastAsia="Times New Roman" w:cs="Arial"/>
          <w:sz w:val="24"/>
          <w:szCs w:val="24"/>
        </w:rPr>
      </w:pPr>
    </w:p>
    <w:p w14:paraId="21EE8466"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Комбинации, които трябва да се имат предвид:</w:t>
      </w:r>
    </w:p>
    <w:p w14:paraId="3A44A1EF"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бета-блокери: лечението с НСПВС може да понижи антихипертензивното им действие посредством инхибиране на синтезата на простагландините;</w:t>
      </w:r>
    </w:p>
    <w:p w14:paraId="6A2FFA8B"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циклоспорин и такролимус: нефротоксичността може да се засили от НСПВС, посредством медииран от простагландините ефект върху бъбреците. По време на комбинирано лечение трябва да се изследва бъбречната функция;</w:t>
      </w:r>
    </w:p>
    <w:p w14:paraId="759372AF"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тромболитици: повишен риск от кървене;</w:t>
      </w:r>
    </w:p>
    <w:p w14:paraId="74B231B1"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антитромбоцитни лекарства и селективни инхибитори на обратното захващане на серотонина </w:t>
      </w:r>
      <w:r w:rsidRPr="0083138C">
        <w:rPr>
          <w:rFonts w:eastAsia="Times New Roman" w:cs="Arial"/>
          <w:color w:val="000000"/>
          <w:lang w:val="ru-RU"/>
        </w:rPr>
        <w:t>(</w:t>
      </w:r>
      <w:r w:rsidRPr="0083138C">
        <w:rPr>
          <w:rFonts w:eastAsia="Times New Roman" w:cs="Arial"/>
          <w:color w:val="000000"/>
          <w:lang w:val="en-US"/>
        </w:rPr>
        <w:t>SSRI</w:t>
      </w:r>
      <w:r w:rsidRPr="0083138C">
        <w:rPr>
          <w:rFonts w:eastAsia="Times New Roman" w:cs="Arial"/>
          <w:color w:val="000000"/>
          <w:lang w:val="ru-RU"/>
        </w:rPr>
        <w:t xml:space="preserve">): </w:t>
      </w:r>
      <w:r w:rsidRPr="0083138C">
        <w:rPr>
          <w:rFonts w:eastAsia="Times New Roman" w:cs="Arial"/>
          <w:color w:val="000000"/>
          <w:lang w:eastAsia="bg-BG"/>
        </w:rPr>
        <w:t xml:space="preserve">повишен риск от стомашно-чревно кървене (вж. т. 4.4). </w:t>
      </w:r>
    </w:p>
    <w:p w14:paraId="09B5A10D" w14:textId="0AF5044A"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пробенецид: плазмените концентрации на декскетопрофен може да се повишат; това взаимодействие може да се дължи на инхибиране на мястото на бъбречната тубулна секреция и на глюкуроновата конюгация и изисква адаптиране на дозата на декскетопрофен;</w:t>
      </w:r>
    </w:p>
    <w:p w14:paraId="3AEDE8CA"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сърдечни гликозиди: НСПВС могат да увеличат плазмената концентрация на гликозидите;</w:t>
      </w:r>
    </w:p>
    <w:p w14:paraId="6B148D89"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мифепристон: съществува теоретичен риск от промяна в ефективността на мифепристон от инхибиторите на простагландиновата синтеза. Ограничените данни сочат, че едновременното приложение на НСПВС и простагландини в един и същи ден не влияе неблагоприятно върху ефектите на мифепристон или на простагландините върху узряването на цервикса или контрактилитета на матката и не намалява клиничната ефикасност на прекратяването на бременността по медицински причини;</w:t>
      </w:r>
    </w:p>
    <w:p w14:paraId="1F2196A5"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хинолонови антибиотици: опитите при животни показват, че високи дози хинолони в комбинация с НСПВС могат да увеличат риска от проява на конвулсии;</w:t>
      </w:r>
    </w:p>
    <w:p w14:paraId="6970A38E"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тенофовир: едновременната употреба с НСПВС може да повиши плазмения уреен азот и креатинина. Бъбречната функция трябва да се проследява, за да се контролира потенциалното синергично въздействие върху бъбречната функция.</w:t>
      </w:r>
    </w:p>
    <w:p w14:paraId="0C329118"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lastRenderedPageBreak/>
        <w:t>деферазирокс: едновременната употреба с НСПВС може да увеличи риска от гастроинтестинална токсичност. Необходимо е внимателно клинично наблюдение, когато деферазирокс се комбинира с тези вещества.</w:t>
      </w:r>
    </w:p>
    <w:p w14:paraId="580C116D" w14:textId="74A58029"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 xml:space="preserve">пеметрексед: едновременната употреба с НСПВС може да намали елиминирането на пеметрексед, поради което трябва да се внимава при прилагане на по-високи дози НСПВС. При пациенти с лека до умерена бъбречна недостатъчност (креатининов клирънс от 45 до 79 </w:t>
      </w:r>
      <w:r w:rsidRPr="0083138C">
        <w:rPr>
          <w:rFonts w:eastAsia="Times New Roman" w:cs="Arial"/>
          <w:color w:val="000000"/>
          <w:lang w:val="en-US"/>
        </w:rPr>
        <w:t>ml</w:t>
      </w:r>
      <w:r w:rsidRPr="0083138C">
        <w:rPr>
          <w:rFonts w:eastAsia="Times New Roman" w:cs="Arial"/>
          <w:color w:val="000000"/>
          <w:lang w:val="ru-RU"/>
        </w:rPr>
        <w:t>/</w:t>
      </w:r>
      <w:r w:rsidRPr="0083138C">
        <w:rPr>
          <w:rFonts w:eastAsia="Times New Roman" w:cs="Arial"/>
          <w:color w:val="000000"/>
          <w:lang w:val="en-US"/>
        </w:rPr>
        <w:t>mm</w:t>
      </w:r>
      <w:r w:rsidRPr="0083138C">
        <w:rPr>
          <w:rFonts w:eastAsia="Times New Roman" w:cs="Arial"/>
          <w:color w:val="000000"/>
          <w:lang w:val="ru-RU"/>
        </w:rPr>
        <w:t xml:space="preserve">) </w:t>
      </w:r>
      <w:r w:rsidRPr="0083138C">
        <w:rPr>
          <w:rFonts w:eastAsia="Times New Roman" w:cs="Arial"/>
          <w:color w:val="000000"/>
          <w:lang w:eastAsia="bg-BG"/>
        </w:rPr>
        <w:t>едновременното приложение на пеметрексед с дози от нестероидни противовъзпалителни средства трябва да се избягва 2 дни преди и 2 дни след приложението на пеметрексед.</w:t>
      </w:r>
    </w:p>
    <w:p w14:paraId="5904F9C4" w14:textId="77777777" w:rsidR="0083138C" w:rsidRPr="0083138C" w:rsidRDefault="0083138C" w:rsidP="0083138C">
      <w:pPr>
        <w:spacing w:line="240" w:lineRule="auto"/>
        <w:rPr>
          <w:rFonts w:ascii="Times New Roman" w:eastAsia="Times New Roman" w:hAnsi="Times New Roman" w:cs="Times New Roman"/>
          <w:sz w:val="24"/>
          <w:szCs w:val="24"/>
        </w:rPr>
      </w:pPr>
    </w:p>
    <w:p w14:paraId="394A7584" w14:textId="072BD856" w:rsidR="004F498A" w:rsidRDefault="002C50EE" w:rsidP="004A448E">
      <w:pPr>
        <w:pStyle w:val="Heading2"/>
      </w:pPr>
      <w:r>
        <w:t>4.6. Фертилитет, бременност и кърмене</w:t>
      </w:r>
    </w:p>
    <w:p w14:paraId="38170341" w14:textId="65E4AE4D" w:rsidR="0083138C" w:rsidRDefault="0083138C" w:rsidP="0083138C"/>
    <w:p w14:paraId="34241ABE"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Дексофен инжект е противопоказан през трети триместьр на бременността и по време на кърмене (вж. т. 4.3).</w:t>
      </w:r>
    </w:p>
    <w:p w14:paraId="34947649" w14:textId="77777777" w:rsidR="0083138C" w:rsidRPr="0083138C" w:rsidRDefault="0083138C" w:rsidP="0083138C">
      <w:pPr>
        <w:spacing w:line="240" w:lineRule="auto"/>
        <w:rPr>
          <w:rFonts w:eastAsia="Times New Roman" w:cs="Arial"/>
          <w:color w:val="000000"/>
          <w:u w:val="single"/>
          <w:lang w:eastAsia="bg-BG"/>
        </w:rPr>
      </w:pPr>
    </w:p>
    <w:p w14:paraId="6822BDF8" w14:textId="023E8C2E" w:rsidR="0083138C" w:rsidRPr="0083138C" w:rsidRDefault="0083138C" w:rsidP="0083138C">
      <w:pPr>
        <w:pStyle w:val="Heading3"/>
        <w:rPr>
          <w:rFonts w:eastAsia="Times New Roman"/>
          <w:u w:val="single"/>
        </w:rPr>
      </w:pPr>
      <w:r w:rsidRPr="0083138C">
        <w:rPr>
          <w:rFonts w:eastAsia="Times New Roman"/>
          <w:u w:val="single"/>
          <w:lang w:eastAsia="bg-BG"/>
        </w:rPr>
        <w:t>Бременност</w:t>
      </w:r>
    </w:p>
    <w:p w14:paraId="17DEAFDC"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Инхибирането на простагландиновата синтеза може да повлияе неблагоприятно бременността и/или емрбио-феталното развитие. Данни от епидемиологични проучвания пораждат опасения за повишен риск от аборти и сърдечна малформация или гастросхизис след приложение на инхибитори на простагландиновата синтеза при ранна бременност. Абсолютният риск за сърдечно-съдови малформации се увеличава от под 1 % до около 1,5 %. Счита се, че рискът се увеличава с увеличаване на дозата и продължителността на лечението. При животни е демонстрирано, че инхибиторите на простагландиновата синтеза водят до увеличени пре- и постимплантационни загуби и ембрио-фетален леталитет. В допълнение при приложение на инхибитори на простагландиновата синтеза при животни по време на органогенезата се</w:t>
      </w:r>
    </w:p>
    <w:p w14:paraId="550D3974"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наблюдават различни малформации, включително и сърдечно-съдови. Независимо от това проучванията при животни с декскетопрофен не са показали репродуктивна токсичност (вж. т.</w:t>
      </w:r>
    </w:p>
    <w:p w14:paraId="7FC29E0C" w14:textId="77777777" w:rsidR="0083138C" w:rsidRPr="0083138C" w:rsidRDefault="0083138C" w:rsidP="0083138C">
      <w:pPr>
        <w:rPr>
          <w:rFonts w:eastAsia="Times New Roman" w:cs="Arial"/>
          <w:sz w:val="24"/>
          <w:szCs w:val="24"/>
        </w:rPr>
      </w:pPr>
      <w:r w:rsidRPr="0083138C">
        <w:rPr>
          <w:rFonts w:eastAsia="Times New Roman" w:cs="Arial"/>
          <w:color w:val="000000"/>
          <w:lang w:eastAsia="bg-BG"/>
        </w:rPr>
        <w:t>5.3). По време на първия и втория триместьр от бременността, декскетопрофен не трябва да се</w:t>
      </w:r>
      <w:r w:rsidRPr="0083138C">
        <w:rPr>
          <w:rFonts w:eastAsia="Times New Roman" w:cs="Arial"/>
          <w:color w:val="000000"/>
          <w:vertAlign w:val="superscript"/>
          <w:lang w:eastAsia="bg-BG"/>
        </w:rPr>
        <w:t xml:space="preserve"> </w:t>
      </w:r>
      <w:r w:rsidRPr="0083138C">
        <w:rPr>
          <w:rFonts w:eastAsia="Times New Roman" w:cs="Arial"/>
          <w:color w:val="000000"/>
          <w:lang w:eastAsia="bg-BG"/>
        </w:rPr>
        <w:t>прилага, освен ако няма категорична необходимост. Ако декскетопрофен се използва от жени, които се опитват да забременеят или по време на първи или втори триместьр на бременността, дозата трябва да се поддържа ниска и продължителността на лечение трябва да е възможно най-кратка.</w:t>
      </w:r>
    </w:p>
    <w:p w14:paraId="40C9DC57" w14:textId="77777777" w:rsidR="0083138C" w:rsidRPr="0083138C" w:rsidRDefault="0083138C" w:rsidP="0083138C">
      <w:pPr>
        <w:spacing w:line="240" w:lineRule="auto"/>
        <w:rPr>
          <w:rFonts w:eastAsia="Times New Roman" w:cs="Arial"/>
          <w:color w:val="000000"/>
          <w:lang w:eastAsia="bg-BG"/>
        </w:rPr>
      </w:pPr>
    </w:p>
    <w:p w14:paraId="68363EFF" w14:textId="120EB2B1"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По време на трети триместьр на бременността, всички инхибитори на простагландиновата синтеза може да излагат плода на:</w:t>
      </w:r>
    </w:p>
    <w:p w14:paraId="33F2A09D"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кардиопулмонарна токсичност (с преждевременно затваряне на дуктус артериозус и белодробна хипертония);</w:t>
      </w:r>
    </w:p>
    <w:p w14:paraId="36D219A8" w14:textId="5FED76C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нарушена бъбречна функция, която може да прогресира до бъбречна недостатъчност с олиго-хидрамнион;</w:t>
      </w:r>
    </w:p>
    <w:p w14:paraId="32A86CE7" w14:textId="77777777" w:rsidR="0083138C" w:rsidRPr="0083138C" w:rsidRDefault="0083138C" w:rsidP="0083138C">
      <w:pPr>
        <w:spacing w:line="240" w:lineRule="auto"/>
        <w:rPr>
          <w:rFonts w:eastAsia="Times New Roman" w:cs="Arial"/>
          <w:color w:val="000000"/>
          <w:lang w:eastAsia="bg-BG"/>
        </w:rPr>
      </w:pPr>
    </w:p>
    <w:p w14:paraId="352F23F7" w14:textId="3D81ABCB"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а майката и плодът в края на бременността до:</w:t>
      </w:r>
    </w:p>
    <w:p w14:paraId="1ABC5F85" w14:textId="77777777"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възможно удължаване на времето на кървене, антиагрегантен ефект, който може да се наблюдава дори при много ниски дози;</w:t>
      </w:r>
    </w:p>
    <w:p w14:paraId="0B7ABE29" w14:textId="29FE457C" w:rsidR="0083138C" w:rsidRPr="0083138C" w:rsidRDefault="0083138C" w:rsidP="0083138C">
      <w:pPr>
        <w:pStyle w:val="ListParagraph"/>
        <w:numPr>
          <w:ilvl w:val="0"/>
          <w:numId w:val="2"/>
        </w:numPr>
        <w:spacing w:line="240" w:lineRule="auto"/>
        <w:rPr>
          <w:rFonts w:eastAsia="Times New Roman" w:cs="Arial"/>
          <w:sz w:val="24"/>
          <w:szCs w:val="24"/>
        </w:rPr>
      </w:pPr>
      <w:r w:rsidRPr="0083138C">
        <w:rPr>
          <w:rFonts w:eastAsia="Times New Roman" w:cs="Arial"/>
          <w:color w:val="000000"/>
          <w:lang w:eastAsia="bg-BG"/>
        </w:rPr>
        <w:t>потискане на маточните контракции, което води до забавено или удължено раждане.</w:t>
      </w:r>
    </w:p>
    <w:p w14:paraId="614DA8BE" w14:textId="77777777" w:rsidR="0083138C" w:rsidRPr="0083138C" w:rsidRDefault="0083138C" w:rsidP="0083138C">
      <w:pPr>
        <w:spacing w:line="240" w:lineRule="auto"/>
        <w:rPr>
          <w:rFonts w:eastAsia="Times New Roman" w:cs="Arial"/>
          <w:color w:val="000000"/>
          <w:u w:val="single"/>
          <w:lang w:eastAsia="bg-BG"/>
        </w:rPr>
      </w:pPr>
    </w:p>
    <w:p w14:paraId="7EDDD4ED" w14:textId="182512C4" w:rsidR="0083138C" w:rsidRPr="0083138C" w:rsidRDefault="0083138C" w:rsidP="0083138C">
      <w:pPr>
        <w:pStyle w:val="Heading3"/>
        <w:rPr>
          <w:rFonts w:eastAsia="Times New Roman"/>
          <w:u w:val="single"/>
        </w:rPr>
      </w:pPr>
      <w:r w:rsidRPr="0083138C">
        <w:rPr>
          <w:rFonts w:eastAsia="Times New Roman"/>
          <w:u w:val="single"/>
          <w:lang w:eastAsia="bg-BG"/>
        </w:rPr>
        <w:lastRenderedPageBreak/>
        <w:t>Кърмене</w:t>
      </w:r>
    </w:p>
    <w:p w14:paraId="1F3E847B"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Не е известно дали декскетопрофен се излъчва с кърмата. Дексофен инжект е противопоказан по време на кърмене (вж. точка 4.3).</w:t>
      </w:r>
    </w:p>
    <w:p w14:paraId="2E8B9FE4" w14:textId="77777777" w:rsidR="0083138C" w:rsidRPr="0083138C" w:rsidRDefault="0083138C" w:rsidP="0083138C">
      <w:pPr>
        <w:spacing w:line="240" w:lineRule="auto"/>
        <w:rPr>
          <w:rFonts w:eastAsia="Times New Roman" w:cs="Arial"/>
          <w:color w:val="000000"/>
          <w:u w:val="single"/>
          <w:lang w:eastAsia="bg-BG"/>
        </w:rPr>
      </w:pPr>
    </w:p>
    <w:p w14:paraId="3C6D2A3E" w14:textId="7B4F5C0F" w:rsidR="0083138C" w:rsidRPr="0083138C" w:rsidRDefault="0083138C" w:rsidP="0083138C">
      <w:pPr>
        <w:pStyle w:val="Heading3"/>
        <w:rPr>
          <w:rFonts w:eastAsia="Times New Roman"/>
          <w:u w:val="single"/>
        </w:rPr>
      </w:pPr>
      <w:r w:rsidRPr="0083138C">
        <w:rPr>
          <w:rFonts w:eastAsia="Times New Roman"/>
          <w:u w:val="single"/>
          <w:lang w:eastAsia="bg-BG"/>
        </w:rPr>
        <w:t>Фертилитет</w:t>
      </w:r>
    </w:p>
    <w:p w14:paraId="7761E942" w14:textId="232032C5"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Подобно на другите НСПВС, приложението на Дексофен инжект може да наруши фертилитета на жената и не се препоръчва при жени, които се опитват да забременеят. При жени, които имат проблеми със забременяването или които се изследват за безплодие, трябва да се има предвид преустановяване на лечението с декскетопрофен.</w:t>
      </w:r>
    </w:p>
    <w:p w14:paraId="10FFAA13" w14:textId="77777777" w:rsidR="0083138C" w:rsidRPr="0083138C" w:rsidRDefault="0083138C" w:rsidP="0083138C"/>
    <w:p w14:paraId="064DF1DE" w14:textId="75757C7E" w:rsidR="00CF77F7" w:rsidRDefault="002C50EE" w:rsidP="004A448E">
      <w:pPr>
        <w:pStyle w:val="Heading2"/>
      </w:pPr>
      <w:r>
        <w:t>4.7. Ефекти върху способността за шофиране и работа с машини</w:t>
      </w:r>
    </w:p>
    <w:p w14:paraId="3735E210" w14:textId="292E560F" w:rsidR="0083138C" w:rsidRDefault="0083138C" w:rsidP="0083138C"/>
    <w:p w14:paraId="27D62BDA" w14:textId="77777777" w:rsidR="0083138C" w:rsidRPr="0083138C" w:rsidRDefault="0083138C" w:rsidP="0083138C">
      <w:pPr>
        <w:rPr>
          <w:sz w:val="24"/>
          <w:szCs w:val="24"/>
        </w:rPr>
      </w:pPr>
      <w:r w:rsidRPr="0083138C">
        <w:rPr>
          <w:lang w:eastAsia="bg-BG"/>
        </w:rPr>
        <w:t>Дексофен инжект може да причини нежелани реакции като замайване, зрителни нарушения или сънливост. Възможността за реагиране и способността за активно участие в движението по пътищата и за работа с машини може да бъде нарушена в тези случаи.</w:t>
      </w:r>
    </w:p>
    <w:p w14:paraId="71A8338B" w14:textId="77777777" w:rsidR="0083138C" w:rsidRPr="0083138C" w:rsidRDefault="0083138C" w:rsidP="0083138C"/>
    <w:p w14:paraId="37A3FD9F" w14:textId="5E5D254E" w:rsidR="00CF77F7" w:rsidRDefault="002C50EE" w:rsidP="004A448E">
      <w:pPr>
        <w:pStyle w:val="Heading2"/>
      </w:pPr>
      <w:r>
        <w:t>4.8. Нежелани лекарствени реакции</w:t>
      </w:r>
    </w:p>
    <w:p w14:paraId="366D1CBE" w14:textId="12F48516" w:rsidR="0083138C" w:rsidRDefault="0083138C" w:rsidP="0083138C"/>
    <w:p w14:paraId="00AA0E7F" w14:textId="16FAE060" w:rsidR="0083138C" w:rsidRDefault="0083138C" w:rsidP="0083138C">
      <w:pPr>
        <w:rPr>
          <w:lang w:eastAsia="bg-BG"/>
        </w:rPr>
      </w:pPr>
      <w:r w:rsidRPr="0083138C">
        <w:rPr>
          <w:lang w:eastAsia="bg-BG"/>
        </w:rPr>
        <w:t>В таблицата са описани нежеланите реакции, които са поне вероятно свързани с декскетопрофен трометамол, както и нежеланите реакции, докладвани след пускане на пазара на Дексофен инжект, подредени по системи, органи и класове и по честота.</w:t>
      </w:r>
    </w:p>
    <w:p w14:paraId="317E8C3B" w14:textId="5ED6921B" w:rsidR="0083138C" w:rsidRDefault="0083138C" w:rsidP="0083138C">
      <w:pPr>
        <w:rPr>
          <w:lang w:eastAsia="bg-BG"/>
        </w:rPr>
      </w:pPr>
    </w:p>
    <w:tbl>
      <w:tblPr>
        <w:tblStyle w:val="TableGrid"/>
        <w:tblW w:w="0" w:type="auto"/>
        <w:tblLook w:val="04A0" w:firstRow="1" w:lastRow="0" w:firstColumn="1" w:lastColumn="0" w:noHBand="0" w:noVBand="1"/>
      </w:tblPr>
      <w:tblGrid>
        <w:gridCol w:w="2497"/>
        <w:gridCol w:w="1464"/>
        <w:gridCol w:w="1499"/>
        <w:gridCol w:w="2050"/>
        <w:gridCol w:w="1840"/>
      </w:tblGrid>
      <w:tr w:rsidR="0083138C" w14:paraId="3892C077" w14:textId="77777777" w:rsidTr="0083138C">
        <w:tc>
          <w:tcPr>
            <w:tcW w:w="2560" w:type="dxa"/>
          </w:tcPr>
          <w:p w14:paraId="20AED4DC" w14:textId="71B0AE9C" w:rsidR="0083138C" w:rsidRDefault="0083138C" w:rsidP="0083138C">
            <w:pPr>
              <w:rPr>
                <w:sz w:val="24"/>
                <w:szCs w:val="24"/>
              </w:rPr>
            </w:pPr>
            <w:r>
              <w:rPr>
                <w:b/>
                <w:bCs/>
              </w:rPr>
              <w:t>Снстемо-органни класове</w:t>
            </w:r>
          </w:p>
        </w:tc>
        <w:tc>
          <w:tcPr>
            <w:tcW w:w="1498" w:type="dxa"/>
          </w:tcPr>
          <w:p w14:paraId="22279561" w14:textId="77777777" w:rsidR="0083138C" w:rsidRDefault="0083138C" w:rsidP="0083138C">
            <w:r>
              <w:rPr>
                <w:b/>
                <w:bCs/>
              </w:rPr>
              <w:t>Чести</w:t>
            </w:r>
          </w:p>
          <w:p w14:paraId="639A63B5" w14:textId="77777777" w:rsidR="0083138C" w:rsidRDefault="0083138C" w:rsidP="0083138C">
            <w:r>
              <w:rPr>
                <w:b/>
                <w:bCs/>
              </w:rPr>
              <w:t>(≥1/100 до</w:t>
            </w:r>
          </w:p>
          <w:p w14:paraId="6E28B2FE" w14:textId="34EFFCCF" w:rsidR="0083138C" w:rsidRDefault="0083138C" w:rsidP="0083138C">
            <w:pPr>
              <w:rPr>
                <w:sz w:val="24"/>
                <w:szCs w:val="24"/>
              </w:rPr>
            </w:pPr>
            <w:r>
              <w:rPr>
                <w:b/>
                <w:bCs/>
              </w:rPr>
              <w:t>&lt;1/10)</w:t>
            </w:r>
          </w:p>
        </w:tc>
        <w:tc>
          <w:tcPr>
            <w:tcW w:w="1534" w:type="dxa"/>
          </w:tcPr>
          <w:p w14:paraId="2A67A785" w14:textId="75C253CF" w:rsidR="0083138C" w:rsidRDefault="0083138C" w:rsidP="0083138C">
            <w:pPr>
              <w:rPr>
                <w:sz w:val="24"/>
                <w:szCs w:val="24"/>
              </w:rPr>
            </w:pPr>
            <w:r>
              <w:rPr>
                <w:b/>
                <w:bCs/>
              </w:rPr>
              <w:t>Нечести (≥1/1000 до &lt;1/100)</w:t>
            </w:r>
          </w:p>
        </w:tc>
        <w:tc>
          <w:tcPr>
            <w:tcW w:w="2100" w:type="dxa"/>
          </w:tcPr>
          <w:p w14:paraId="65926CDC" w14:textId="3B161865" w:rsidR="0083138C" w:rsidRDefault="0083138C" w:rsidP="0083138C">
            <w:pPr>
              <w:rPr>
                <w:sz w:val="24"/>
                <w:szCs w:val="24"/>
              </w:rPr>
            </w:pPr>
            <w:r>
              <w:rPr>
                <w:b/>
                <w:bCs/>
              </w:rPr>
              <w:t>Редки (≥1/10 000 до &lt;1/1 000)</w:t>
            </w:r>
          </w:p>
        </w:tc>
        <w:tc>
          <w:tcPr>
            <w:tcW w:w="1884" w:type="dxa"/>
          </w:tcPr>
          <w:p w14:paraId="3D672211" w14:textId="59B2BF9E" w:rsidR="0083138C" w:rsidRDefault="0083138C" w:rsidP="0083138C">
            <w:pPr>
              <w:rPr>
                <w:sz w:val="24"/>
                <w:szCs w:val="24"/>
              </w:rPr>
            </w:pPr>
            <w:r>
              <w:rPr>
                <w:b/>
                <w:bCs/>
              </w:rPr>
              <w:t>Много редки (&lt;1/10 000)</w:t>
            </w:r>
          </w:p>
        </w:tc>
      </w:tr>
      <w:tr w:rsidR="0083138C" w14:paraId="4607D9C4" w14:textId="77777777" w:rsidTr="0083138C">
        <w:tc>
          <w:tcPr>
            <w:tcW w:w="2560" w:type="dxa"/>
          </w:tcPr>
          <w:p w14:paraId="70EE6A59" w14:textId="396E03F0" w:rsidR="0083138C" w:rsidRDefault="0083138C" w:rsidP="0083138C">
            <w:pPr>
              <w:rPr>
                <w:sz w:val="24"/>
                <w:szCs w:val="24"/>
              </w:rPr>
            </w:pPr>
            <w:r>
              <w:rPr>
                <w:b/>
                <w:bCs/>
              </w:rPr>
              <w:t>Нарушения на кръвта и лимфната система</w:t>
            </w:r>
          </w:p>
        </w:tc>
        <w:tc>
          <w:tcPr>
            <w:tcW w:w="1498" w:type="dxa"/>
          </w:tcPr>
          <w:p w14:paraId="0572BF5D" w14:textId="77777777" w:rsidR="0083138C" w:rsidRDefault="0083138C" w:rsidP="0083138C">
            <w:pPr>
              <w:rPr>
                <w:sz w:val="24"/>
                <w:szCs w:val="24"/>
              </w:rPr>
            </w:pPr>
          </w:p>
        </w:tc>
        <w:tc>
          <w:tcPr>
            <w:tcW w:w="1534" w:type="dxa"/>
          </w:tcPr>
          <w:p w14:paraId="1E23FCF9" w14:textId="4C99EB79" w:rsidR="0083138C" w:rsidRDefault="0083138C" w:rsidP="0083138C">
            <w:pPr>
              <w:rPr>
                <w:sz w:val="24"/>
                <w:szCs w:val="24"/>
              </w:rPr>
            </w:pPr>
            <w:r>
              <w:t>Анемия</w:t>
            </w:r>
          </w:p>
        </w:tc>
        <w:tc>
          <w:tcPr>
            <w:tcW w:w="2100" w:type="dxa"/>
          </w:tcPr>
          <w:p w14:paraId="65AC9A0C" w14:textId="77777777" w:rsidR="0083138C" w:rsidRDefault="0083138C" w:rsidP="0083138C">
            <w:pPr>
              <w:rPr>
                <w:sz w:val="24"/>
                <w:szCs w:val="24"/>
              </w:rPr>
            </w:pPr>
          </w:p>
        </w:tc>
        <w:tc>
          <w:tcPr>
            <w:tcW w:w="1884" w:type="dxa"/>
          </w:tcPr>
          <w:p w14:paraId="299EA40A" w14:textId="47EB6044" w:rsidR="0083138C" w:rsidRDefault="0083138C" w:rsidP="0083138C">
            <w:pPr>
              <w:rPr>
                <w:sz w:val="24"/>
                <w:szCs w:val="24"/>
              </w:rPr>
            </w:pPr>
            <w:r>
              <w:t>Неутропения, тромбоцито- пения</w:t>
            </w:r>
          </w:p>
        </w:tc>
      </w:tr>
      <w:tr w:rsidR="0083138C" w14:paraId="3B5D8A55" w14:textId="77777777" w:rsidTr="0083138C">
        <w:tc>
          <w:tcPr>
            <w:tcW w:w="2560" w:type="dxa"/>
          </w:tcPr>
          <w:p w14:paraId="363A0EA4" w14:textId="2BD8EC58" w:rsidR="0083138C" w:rsidRDefault="0083138C" w:rsidP="0083138C">
            <w:pPr>
              <w:rPr>
                <w:sz w:val="24"/>
                <w:szCs w:val="24"/>
              </w:rPr>
            </w:pPr>
            <w:r>
              <w:rPr>
                <w:b/>
                <w:bCs/>
              </w:rPr>
              <w:t>Нарушения на имунната система</w:t>
            </w:r>
          </w:p>
        </w:tc>
        <w:tc>
          <w:tcPr>
            <w:tcW w:w="1498" w:type="dxa"/>
          </w:tcPr>
          <w:p w14:paraId="6C508CA2" w14:textId="77777777" w:rsidR="0083138C" w:rsidRDefault="0083138C" w:rsidP="0083138C">
            <w:pPr>
              <w:rPr>
                <w:sz w:val="24"/>
                <w:szCs w:val="24"/>
              </w:rPr>
            </w:pPr>
          </w:p>
        </w:tc>
        <w:tc>
          <w:tcPr>
            <w:tcW w:w="1534" w:type="dxa"/>
          </w:tcPr>
          <w:p w14:paraId="693001A2" w14:textId="77777777" w:rsidR="0083138C" w:rsidRDefault="0083138C" w:rsidP="0083138C">
            <w:pPr>
              <w:rPr>
                <w:sz w:val="24"/>
                <w:szCs w:val="24"/>
              </w:rPr>
            </w:pPr>
          </w:p>
        </w:tc>
        <w:tc>
          <w:tcPr>
            <w:tcW w:w="2100" w:type="dxa"/>
          </w:tcPr>
          <w:p w14:paraId="71BB9B82" w14:textId="3BEFA511" w:rsidR="0083138C" w:rsidRDefault="0083138C" w:rsidP="0083138C">
            <w:pPr>
              <w:rPr>
                <w:sz w:val="24"/>
                <w:szCs w:val="24"/>
              </w:rPr>
            </w:pPr>
            <w:r>
              <w:t>Оток на ларинкса</w:t>
            </w:r>
          </w:p>
        </w:tc>
        <w:tc>
          <w:tcPr>
            <w:tcW w:w="1884" w:type="dxa"/>
          </w:tcPr>
          <w:p w14:paraId="4549CD80" w14:textId="739C4062" w:rsidR="0083138C" w:rsidRDefault="0083138C" w:rsidP="0083138C">
            <w:pPr>
              <w:rPr>
                <w:sz w:val="24"/>
                <w:szCs w:val="24"/>
              </w:rPr>
            </w:pPr>
            <w:r>
              <w:t>Анафилактична реакция, включително анафилактичен шок</w:t>
            </w:r>
          </w:p>
        </w:tc>
      </w:tr>
      <w:tr w:rsidR="0083138C" w14:paraId="28F86C47" w14:textId="77777777" w:rsidTr="0083138C">
        <w:tc>
          <w:tcPr>
            <w:tcW w:w="2560" w:type="dxa"/>
          </w:tcPr>
          <w:p w14:paraId="0E90A8C3" w14:textId="4C5EED2E" w:rsidR="0083138C" w:rsidRDefault="0083138C" w:rsidP="0083138C">
            <w:pPr>
              <w:rPr>
                <w:sz w:val="24"/>
                <w:szCs w:val="24"/>
              </w:rPr>
            </w:pPr>
            <w:r>
              <w:rPr>
                <w:b/>
                <w:bCs/>
              </w:rPr>
              <w:t>Нарушения на метаболизма и храненето</w:t>
            </w:r>
          </w:p>
        </w:tc>
        <w:tc>
          <w:tcPr>
            <w:tcW w:w="1498" w:type="dxa"/>
          </w:tcPr>
          <w:p w14:paraId="5EA6F80F" w14:textId="77777777" w:rsidR="0083138C" w:rsidRDefault="0083138C" w:rsidP="0083138C">
            <w:pPr>
              <w:rPr>
                <w:sz w:val="24"/>
                <w:szCs w:val="24"/>
              </w:rPr>
            </w:pPr>
          </w:p>
        </w:tc>
        <w:tc>
          <w:tcPr>
            <w:tcW w:w="1534" w:type="dxa"/>
          </w:tcPr>
          <w:p w14:paraId="468752A2" w14:textId="77777777" w:rsidR="0083138C" w:rsidRDefault="0083138C" w:rsidP="0083138C">
            <w:pPr>
              <w:rPr>
                <w:sz w:val="24"/>
                <w:szCs w:val="24"/>
              </w:rPr>
            </w:pPr>
          </w:p>
        </w:tc>
        <w:tc>
          <w:tcPr>
            <w:tcW w:w="2100" w:type="dxa"/>
          </w:tcPr>
          <w:p w14:paraId="5079DC01" w14:textId="70BDE808" w:rsidR="0083138C" w:rsidRDefault="0083138C" w:rsidP="0083138C">
            <w:pPr>
              <w:rPr>
                <w:sz w:val="24"/>
                <w:szCs w:val="24"/>
              </w:rPr>
            </w:pPr>
            <w:r>
              <w:t>Хипергликемия, хипогликемия, хипертриглицерид- емия, анорексия</w:t>
            </w:r>
          </w:p>
        </w:tc>
        <w:tc>
          <w:tcPr>
            <w:tcW w:w="1884" w:type="dxa"/>
          </w:tcPr>
          <w:p w14:paraId="6DF9F351" w14:textId="77777777" w:rsidR="0083138C" w:rsidRDefault="0083138C" w:rsidP="0083138C">
            <w:pPr>
              <w:rPr>
                <w:sz w:val="24"/>
                <w:szCs w:val="24"/>
              </w:rPr>
            </w:pPr>
          </w:p>
        </w:tc>
      </w:tr>
      <w:tr w:rsidR="0083138C" w14:paraId="108C0847" w14:textId="77777777" w:rsidTr="0083138C">
        <w:tc>
          <w:tcPr>
            <w:tcW w:w="2560" w:type="dxa"/>
          </w:tcPr>
          <w:p w14:paraId="5D5EB163" w14:textId="407B7171" w:rsidR="0083138C" w:rsidRDefault="0083138C" w:rsidP="0083138C">
            <w:pPr>
              <w:rPr>
                <w:sz w:val="24"/>
                <w:szCs w:val="24"/>
              </w:rPr>
            </w:pPr>
            <w:r>
              <w:rPr>
                <w:b/>
                <w:bCs/>
              </w:rPr>
              <w:t>Психични нарушения</w:t>
            </w:r>
          </w:p>
        </w:tc>
        <w:tc>
          <w:tcPr>
            <w:tcW w:w="1498" w:type="dxa"/>
          </w:tcPr>
          <w:p w14:paraId="14C81BC1" w14:textId="77777777" w:rsidR="0083138C" w:rsidRDefault="0083138C" w:rsidP="0083138C">
            <w:pPr>
              <w:rPr>
                <w:sz w:val="24"/>
                <w:szCs w:val="24"/>
              </w:rPr>
            </w:pPr>
          </w:p>
        </w:tc>
        <w:tc>
          <w:tcPr>
            <w:tcW w:w="1534" w:type="dxa"/>
          </w:tcPr>
          <w:p w14:paraId="5BDD6718" w14:textId="5ABBE3AD" w:rsidR="0083138C" w:rsidRDefault="0083138C" w:rsidP="0083138C">
            <w:pPr>
              <w:rPr>
                <w:sz w:val="24"/>
                <w:szCs w:val="24"/>
              </w:rPr>
            </w:pPr>
            <w:r>
              <w:t>Безсъние</w:t>
            </w:r>
          </w:p>
        </w:tc>
        <w:tc>
          <w:tcPr>
            <w:tcW w:w="2100" w:type="dxa"/>
          </w:tcPr>
          <w:p w14:paraId="57C8F575" w14:textId="77777777" w:rsidR="0083138C" w:rsidRDefault="0083138C" w:rsidP="0083138C">
            <w:pPr>
              <w:rPr>
                <w:sz w:val="24"/>
                <w:szCs w:val="24"/>
              </w:rPr>
            </w:pPr>
          </w:p>
        </w:tc>
        <w:tc>
          <w:tcPr>
            <w:tcW w:w="1884" w:type="dxa"/>
          </w:tcPr>
          <w:p w14:paraId="537D7F5E" w14:textId="77777777" w:rsidR="0083138C" w:rsidRDefault="0083138C" w:rsidP="0083138C">
            <w:pPr>
              <w:rPr>
                <w:sz w:val="24"/>
                <w:szCs w:val="24"/>
              </w:rPr>
            </w:pPr>
          </w:p>
        </w:tc>
      </w:tr>
      <w:tr w:rsidR="0083138C" w14:paraId="51C81CDD" w14:textId="77777777" w:rsidTr="0083138C">
        <w:tc>
          <w:tcPr>
            <w:tcW w:w="2560" w:type="dxa"/>
          </w:tcPr>
          <w:p w14:paraId="67263813" w14:textId="751A45B3" w:rsidR="0083138C" w:rsidRDefault="0083138C" w:rsidP="0083138C">
            <w:pPr>
              <w:rPr>
                <w:sz w:val="24"/>
                <w:szCs w:val="24"/>
              </w:rPr>
            </w:pPr>
            <w:r>
              <w:rPr>
                <w:b/>
                <w:bCs/>
              </w:rPr>
              <w:t>Нарушения на нервната система</w:t>
            </w:r>
          </w:p>
        </w:tc>
        <w:tc>
          <w:tcPr>
            <w:tcW w:w="1498" w:type="dxa"/>
          </w:tcPr>
          <w:p w14:paraId="40421827" w14:textId="77777777" w:rsidR="0083138C" w:rsidRDefault="0083138C" w:rsidP="0083138C">
            <w:pPr>
              <w:rPr>
                <w:sz w:val="24"/>
                <w:szCs w:val="24"/>
              </w:rPr>
            </w:pPr>
          </w:p>
        </w:tc>
        <w:tc>
          <w:tcPr>
            <w:tcW w:w="1534" w:type="dxa"/>
          </w:tcPr>
          <w:p w14:paraId="42A5758C" w14:textId="0BF0ECC6" w:rsidR="0083138C" w:rsidRDefault="0083138C" w:rsidP="0083138C">
            <w:pPr>
              <w:rPr>
                <w:sz w:val="24"/>
                <w:szCs w:val="24"/>
              </w:rPr>
            </w:pPr>
            <w:r>
              <w:t>Главоболие, замаяност, сънливост</w:t>
            </w:r>
          </w:p>
        </w:tc>
        <w:tc>
          <w:tcPr>
            <w:tcW w:w="2100" w:type="dxa"/>
          </w:tcPr>
          <w:p w14:paraId="34B82E70" w14:textId="77777777" w:rsidR="0083138C" w:rsidRDefault="0083138C" w:rsidP="0083138C">
            <w:r>
              <w:t>Парестезии,</w:t>
            </w:r>
          </w:p>
          <w:p w14:paraId="609B4C7B" w14:textId="18DA559B" w:rsidR="0083138C" w:rsidRDefault="0083138C" w:rsidP="0083138C">
            <w:pPr>
              <w:rPr>
                <w:sz w:val="24"/>
                <w:szCs w:val="24"/>
              </w:rPr>
            </w:pPr>
            <w:r>
              <w:t>синкоп</w:t>
            </w:r>
          </w:p>
        </w:tc>
        <w:tc>
          <w:tcPr>
            <w:tcW w:w="1884" w:type="dxa"/>
          </w:tcPr>
          <w:p w14:paraId="40D1F59B" w14:textId="77777777" w:rsidR="0083138C" w:rsidRDefault="0083138C" w:rsidP="0083138C">
            <w:pPr>
              <w:rPr>
                <w:sz w:val="24"/>
                <w:szCs w:val="24"/>
              </w:rPr>
            </w:pPr>
          </w:p>
        </w:tc>
      </w:tr>
      <w:tr w:rsidR="0083138C" w14:paraId="03A348DF" w14:textId="77777777" w:rsidTr="0083138C">
        <w:tc>
          <w:tcPr>
            <w:tcW w:w="2560" w:type="dxa"/>
          </w:tcPr>
          <w:p w14:paraId="05083729" w14:textId="0B12E9C3" w:rsidR="0083138C" w:rsidRDefault="0083138C" w:rsidP="0083138C">
            <w:pPr>
              <w:rPr>
                <w:sz w:val="24"/>
                <w:szCs w:val="24"/>
              </w:rPr>
            </w:pPr>
            <w:r>
              <w:rPr>
                <w:b/>
                <w:bCs/>
              </w:rPr>
              <w:t>Нарушения на очите</w:t>
            </w:r>
          </w:p>
        </w:tc>
        <w:tc>
          <w:tcPr>
            <w:tcW w:w="1498" w:type="dxa"/>
          </w:tcPr>
          <w:p w14:paraId="2738D073" w14:textId="77777777" w:rsidR="0083138C" w:rsidRDefault="0083138C" w:rsidP="0083138C">
            <w:pPr>
              <w:rPr>
                <w:sz w:val="24"/>
                <w:szCs w:val="24"/>
              </w:rPr>
            </w:pPr>
          </w:p>
        </w:tc>
        <w:tc>
          <w:tcPr>
            <w:tcW w:w="1534" w:type="dxa"/>
          </w:tcPr>
          <w:p w14:paraId="49A19A3A" w14:textId="6F9E9822" w:rsidR="0083138C" w:rsidRDefault="0083138C" w:rsidP="0083138C">
            <w:pPr>
              <w:rPr>
                <w:sz w:val="24"/>
                <w:szCs w:val="24"/>
              </w:rPr>
            </w:pPr>
            <w:r>
              <w:t>Замъглено виждане</w:t>
            </w:r>
          </w:p>
        </w:tc>
        <w:tc>
          <w:tcPr>
            <w:tcW w:w="2100" w:type="dxa"/>
          </w:tcPr>
          <w:p w14:paraId="57A683BA" w14:textId="77777777" w:rsidR="0083138C" w:rsidRDefault="0083138C" w:rsidP="0083138C">
            <w:pPr>
              <w:rPr>
                <w:sz w:val="24"/>
                <w:szCs w:val="24"/>
              </w:rPr>
            </w:pPr>
          </w:p>
        </w:tc>
        <w:tc>
          <w:tcPr>
            <w:tcW w:w="1884" w:type="dxa"/>
          </w:tcPr>
          <w:p w14:paraId="2A185C8D" w14:textId="77777777" w:rsidR="0083138C" w:rsidRDefault="0083138C" w:rsidP="0083138C">
            <w:pPr>
              <w:rPr>
                <w:sz w:val="24"/>
                <w:szCs w:val="24"/>
              </w:rPr>
            </w:pPr>
          </w:p>
        </w:tc>
      </w:tr>
      <w:tr w:rsidR="0083138C" w14:paraId="42710474" w14:textId="77777777" w:rsidTr="0083138C">
        <w:tc>
          <w:tcPr>
            <w:tcW w:w="2560" w:type="dxa"/>
            <w:vAlign w:val="bottom"/>
          </w:tcPr>
          <w:p w14:paraId="2A2F369B" w14:textId="659038CB" w:rsidR="0083138C" w:rsidRDefault="0083138C" w:rsidP="0083138C">
            <w:pPr>
              <w:rPr>
                <w:sz w:val="24"/>
                <w:szCs w:val="24"/>
              </w:rPr>
            </w:pPr>
            <w:r>
              <w:rPr>
                <w:b/>
                <w:bCs/>
              </w:rPr>
              <w:lastRenderedPageBreak/>
              <w:t>Нарушения на ухото и лабиринта</w:t>
            </w:r>
          </w:p>
        </w:tc>
        <w:tc>
          <w:tcPr>
            <w:tcW w:w="1498" w:type="dxa"/>
          </w:tcPr>
          <w:p w14:paraId="704E967F" w14:textId="77777777" w:rsidR="0083138C" w:rsidRDefault="0083138C" w:rsidP="0083138C">
            <w:pPr>
              <w:rPr>
                <w:sz w:val="24"/>
                <w:szCs w:val="24"/>
              </w:rPr>
            </w:pPr>
          </w:p>
        </w:tc>
        <w:tc>
          <w:tcPr>
            <w:tcW w:w="1534" w:type="dxa"/>
          </w:tcPr>
          <w:p w14:paraId="11F07D33" w14:textId="77777777" w:rsidR="0083138C" w:rsidRDefault="0083138C" w:rsidP="0083138C">
            <w:pPr>
              <w:rPr>
                <w:sz w:val="24"/>
                <w:szCs w:val="24"/>
              </w:rPr>
            </w:pPr>
          </w:p>
        </w:tc>
        <w:tc>
          <w:tcPr>
            <w:tcW w:w="2100" w:type="dxa"/>
          </w:tcPr>
          <w:p w14:paraId="51FFD921" w14:textId="68DFC332" w:rsidR="0083138C" w:rsidRDefault="0083138C" w:rsidP="0083138C">
            <w:pPr>
              <w:rPr>
                <w:sz w:val="24"/>
                <w:szCs w:val="24"/>
              </w:rPr>
            </w:pPr>
            <w:r>
              <w:t>Тинит</w:t>
            </w:r>
          </w:p>
        </w:tc>
        <w:tc>
          <w:tcPr>
            <w:tcW w:w="1884" w:type="dxa"/>
          </w:tcPr>
          <w:p w14:paraId="5F39AB64" w14:textId="77777777" w:rsidR="0083138C" w:rsidRDefault="0083138C" w:rsidP="0083138C">
            <w:pPr>
              <w:rPr>
                <w:sz w:val="24"/>
                <w:szCs w:val="24"/>
              </w:rPr>
            </w:pPr>
          </w:p>
        </w:tc>
      </w:tr>
      <w:tr w:rsidR="0083138C" w14:paraId="27EE08F5" w14:textId="77777777" w:rsidTr="0083138C">
        <w:tc>
          <w:tcPr>
            <w:tcW w:w="2560" w:type="dxa"/>
          </w:tcPr>
          <w:p w14:paraId="04C4A9EA" w14:textId="6B50543D" w:rsidR="0083138C" w:rsidRDefault="0083138C" w:rsidP="0083138C">
            <w:pPr>
              <w:rPr>
                <w:sz w:val="24"/>
                <w:szCs w:val="24"/>
              </w:rPr>
            </w:pPr>
            <w:r>
              <w:rPr>
                <w:b/>
                <w:bCs/>
              </w:rPr>
              <w:t>Сърдечни нарушения</w:t>
            </w:r>
          </w:p>
        </w:tc>
        <w:tc>
          <w:tcPr>
            <w:tcW w:w="1498" w:type="dxa"/>
          </w:tcPr>
          <w:p w14:paraId="07B72C56" w14:textId="77777777" w:rsidR="0083138C" w:rsidRDefault="0083138C" w:rsidP="0083138C">
            <w:pPr>
              <w:rPr>
                <w:sz w:val="24"/>
                <w:szCs w:val="24"/>
              </w:rPr>
            </w:pPr>
          </w:p>
        </w:tc>
        <w:tc>
          <w:tcPr>
            <w:tcW w:w="1534" w:type="dxa"/>
          </w:tcPr>
          <w:p w14:paraId="192C86CF" w14:textId="77777777" w:rsidR="0083138C" w:rsidRDefault="0083138C" w:rsidP="0083138C">
            <w:pPr>
              <w:rPr>
                <w:sz w:val="24"/>
                <w:szCs w:val="24"/>
              </w:rPr>
            </w:pPr>
          </w:p>
        </w:tc>
        <w:tc>
          <w:tcPr>
            <w:tcW w:w="2100" w:type="dxa"/>
            <w:vAlign w:val="bottom"/>
          </w:tcPr>
          <w:p w14:paraId="5C3C6314" w14:textId="03BCAAC4" w:rsidR="0083138C" w:rsidRDefault="0083138C" w:rsidP="0083138C">
            <w:pPr>
              <w:rPr>
                <w:sz w:val="24"/>
                <w:szCs w:val="24"/>
              </w:rPr>
            </w:pPr>
            <w:r>
              <w:t>Екстрасистоли, тахикардия</w:t>
            </w:r>
          </w:p>
        </w:tc>
        <w:tc>
          <w:tcPr>
            <w:tcW w:w="1884" w:type="dxa"/>
          </w:tcPr>
          <w:p w14:paraId="13B1D2BB" w14:textId="77777777" w:rsidR="0083138C" w:rsidRDefault="0083138C" w:rsidP="0083138C">
            <w:pPr>
              <w:rPr>
                <w:sz w:val="24"/>
                <w:szCs w:val="24"/>
              </w:rPr>
            </w:pPr>
          </w:p>
        </w:tc>
      </w:tr>
      <w:tr w:rsidR="0083138C" w14:paraId="7DAF8921" w14:textId="77777777" w:rsidTr="0083138C">
        <w:tc>
          <w:tcPr>
            <w:tcW w:w="2560" w:type="dxa"/>
          </w:tcPr>
          <w:p w14:paraId="71DA5B3E" w14:textId="77EFC564" w:rsidR="0083138C" w:rsidRDefault="0083138C" w:rsidP="0083138C">
            <w:pPr>
              <w:rPr>
                <w:sz w:val="24"/>
                <w:szCs w:val="24"/>
              </w:rPr>
            </w:pPr>
            <w:r>
              <w:rPr>
                <w:b/>
                <w:bCs/>
              </w:rPr>
              <w:t>Съдови нарушения</w:t>
            </w:r>
          </w:p>
        </w:tc>
        <w:tc>
          <w:tcPr>
            <w:tcW w:w="1498" w:type="dxa"/>
          </w:tcPr>
          <w:p w14:paraId="60EB5B39" w14:textId="77777777" w:rsidR="0083138C" w:rsidRDefault="0083138C" w:rsidP="0083138C">
            <w:pPr>
              <w:rPr>
                <w:sz w:val="24"/>
                <w:szCs w:val="24"/>
              </w:rPr>
            </w:pPr>
          </w:p>
        </w:tc>
        <w:tc>
          <w:tcPr>
            <w:tcW w:w="1534" w:type="dxa"/>
          </w:tcPr>
          <w:p w14:paraId="401783BB" w14:textId="44748344" w:rsidR="0083138C" w:rsidRDefault="0083138C" w:rsidP="0083138C">
            <w:pPr>
              <w:rPr>
                <w:sz w:val="24"/>
                <w:szCs w:val="24"/>
              </w:rPr>
            </w:pPr>
            <w:r>
              <w:t>Хипотония, горещи вълни</w:t>
            </w:r>
          </w:p>
        </w:tc>
        <w:tc>
          <w:tcPr>
            <w:tcW w:w="2100" w:type="dxa"/>
            <w:vAlign w:val="bottom"/>
          </w:tcPr>
          <w:p w14:paraId="61257798" w14:textId="44DC9DF2" w:rsidR="0083138C" w:rsidRDefault="0083138C" w:rsidP="0083138C">
            <w:pPr>
              <w:rPr>
                <w:sz w:val="24"/>
                <w:szCs w:val="24"/>
              </w:rPr>
            </w:pPr>
            <w:r>
              <w:t>Хипертония, повърхностен тромбофлебит</w:t>
            </w:r>
          </w:p>
        </w:tc>
        <w:tc>
          <w:tcPr>
            <w:tcW w:w="1884" w:type="dxa"/>
          </w:tcPr>
          <w:p w14:paraId="7569FA2D" w14:textId="77777777" w:rsidR="0083138C" w:rsidRDefault="0083138C" w:rsidP="0083138C">
            <w:pPr>
              <w:rPr>
                <w:sz w:val="24"/>
                <w:szCs w:val="24"/>
              </w:rPr>
            </w:pPr>
          </w:p>
        </w:tc>
      </w:tr>
      <w:tr w:rsidR="0083138C" w14:paraId="7A491DF6" w14:textId="77777777" w:rsidTr="0083138C">
        <w:tc>
          <w:tcPr>
            <w:tcW w:w="2560" w:type="dxa"/>
            <w:vAlign w:val="bottom"/>
          </w:tcPr>
          <w:p w14:paraId="522CAFB2" w14:textId="5EA42960" w:rsidR="0083138C" w:rsidRDefault="0083138C" w:rsidP="0083138C">
            <w:pPr>
              <w:rPr>
                <w:sz w:val="24"/>
                <w:szCs w:val="24"/>
              </w:rPr>
            </w:pPr>
            <w:r>
              <w:rPr>
                <w:b/>
                <w:bCs/>
              </w:rPr>
              <w:t>Респираторни, гръдни и медиастннални нарушения</w:t>
            </w:r>
          </w:p>
        </w:tc>
        <w:tc>
          <w:tcPr>
            <w:tcW w:w="1498" w:type="dxa"/>
          </w:tcPr>
          <w:p w14:paraId="175D317C" w14:textId="77777777" w:rsidR="0083138C" w:rsidRDefault="0083138C" w:rsidP="0083138C">
            <w:pPr>
              <w:rPr>
                <w:sz w:val="24"/>
                <w:szCs w:val="24"/>
              </w:rPr>
            </w:pPr>
          </w:p>
        </w:tc>
        <w:tc>
          <w:tcPr>
            <w:tcW w:w="1534" w:type="dxa"/>
          </w:tcPr>
          <w:p w14:paraId="6D401226" w14:textId="77777777" w:rsidR="0083138C" w:rsidRDefault="0083138C" w:rsidP="0083138C">
            <w:pPr>
              <w:rPr>
                <w:sz w:val="24"/>
                <w:szCs w:val="24"/>
              </w:rPr>
            </w:pPr>
          </w:p>
        </w:tc>
        <w:tc>
          <w:tcPr>
            <w:tcW w:w="2100" w:type="dxa"/>
          </w:tcPr>
          <w:p w14:paraId="4E052D2C" w14:textId="5AD42742" w:rsidR="0083138C" w:rsidRDefault="0083138C" w:rsidP="0083138C">
            <w:pPr>
              <w:rPr>
                <w:sz w:val="24"/>
                <w:szCs w:val="24"/>
              </w:rPr>
            </w:pPr>
            <w:r>
              <w:t>Брадипнея</w:t>
            </w:r>
          </w:p>
        </w:tc>
        <w:tc>
          <w:tcPr>
            <w:tcW w:w="1884" w:type="dxa"/>
          </w:tcPr>
          <w:p w14:paraId="37A2C415" w14:textId="17F2F196" w:rsidR="0083138C" w:rsidRDefault="0083138C" w:rsidP="0083138C">
            <w:pPr>
              <w:rPr>
                <w:sz w:val="24"/>
                <w:szCs w:val="24"/>
              </w:rPr>
            </w:pPr>
            <w:r>
              <w:t>Бронхоспазъм, диспнея</w:t>
            </w:r>
          </w:p>
        </w:tc>
      </w:tr>
      <w:tr w:rsidR="0083138C" w14:paraId="01F2724E" w14:textId="77777777" w:rsidTr="0083138C">
        <w:tc>
          <w:tcPr>
            <w:tcW w:w="2560" w:type="dxa"/>
          </w:tcPr>
          <w:p w14:paraId="620F5961" w14:textId="5E2ABC77" w:rsidR="0083138C" w:rsidRDefault="0083138C" w:rsidP="0083138C">
            <w:pPr>
              <w:rPr>
                <w:sz w:val="24"/>
                <w:szCs w:val="24"/>
              </w:rPr>
            </w:pPr>
            <w:r>
              <w:rPr>
                <w:b/>
                <w:bCs/>
              </w:rPr>
              <w:t>Стомашно-чревни нарушения</w:t>
            </w:r>
          </w:p>
        </w:tc>
        <w:tc>
          <w:tcPr>
            <w:tcW w:w="1498" w:type="dxa"/>
          </w:tcPr>
          <w:p w14:paraId="01E4D78D" w14:textId="288D0B2E" w:rsidR="0083138C" w:rsidRDefault="0083138C" w:rsidP="0083138C">
            <w:pPr>
              <w:rPr>
                <w:sz w:val="24"/>
                <w:szCs w:val="24"/>
              </w:rPr>
            </w:pPr>
            <w:r>
              <w:t>Гадене, повръщане</w:t>
            </w:r>
          </w:p>
        </w:tc>
        <w:tc>
          <w:tcPr>
            <w:tcW w:w="1534" w:type="dxa"/>
          </w:tcPr>
          <w:p w14:paraId="432DF29F" w14:textId="45F2B768" w:rsidR="0083138C" w:rsidRDefault="0083138C" w:rsidP="0083138C">
            <w:pPr>
              <w:rPr>
                <w:sz w:val="24"/>
                <w:szCs w:val="24"/>
              </w:rPr>
            </w:pPr>
            <w:r>
              <w:t>Коремна болка, диспепсия, диария, констипация, хематемеза, сухота в устата</w:t>
            </w:r>
          </w:p>
        </w:tc>
        <w:tc>
          <w:tcPr>
            <w:tcW w:w="2100" w:type="dxa"/>
            <w:vAlign w:val="bottom"/>
          </w:tcPr>
          <w:p w14:paraId="54C192A8" w14:textId="0B72E681" w:rsidR="0083138C" w:rsidRDefault="0083138C" w:rsidP="0083138C">
            <w:pPr>
              <w:rPr>
                <w:sz w:val="24"/>
                <w:szCs w:val="24"/>
              </w:rPr>
            </w:pPr>
            <w:r>
              <w:t>Пептична язва, кръвоизлив от пептична язва или перфорация на пептична язва (вж. точка 4.4.)</w:t>
            </w:r>
          </w:p>
        </w:tc>
        <w:tc>
          <w:tcPr>
            <w:tcW w:w="1884" w:type="dxa"/>
          </w:tcPr>
          <w:p w14:paraId="21242028" w14:textId="52018E8C" w:rsidR="0083138C" w:rsidRDefault="0083138C" w:rsidP="0083138C">
            <w:pPr>
              <w:rPr>
                <w:sz w:val="24"/>
                <w:szCs w:val="24"/>
              </w:rPr>
            </w:pPr>
            <w:r>
              <w:t>Панкреатит</w:t>
            </w:r>
          </w:p>
        </w:tc>
      </w:tr>
      <w:tr w:rsidR="0083138C" w14:paraId="1E9F3B22" w14:textId="77777777" w:rsidTr="0083138C">
        <w:tc>
          <w:tcPr>
            <w:tcW w:w="2560" w:type="dxa"/>
          </w:tcPr>
          <w:p w14:paraId="4D17D0A9" w14:textId="20C666BB" w:rsidR="0083138C" w:rsidRDefault="0083138C" w:rsidP="0083138C">
            <w:pPr>
              <w:rPr>
                <w:sz w:val="24"/>
                <w:szCs w:val="24"/>
              </w:rPr>
            </w:pPr>
            <w:r>
              <w:rPr>
                <w:b/>
                <w:bCs/>
              </w:rPr>
              <w:t>Хепато-билиарни нарушения</w:t>
            </w:r>
          </w:p>
        </w:tc>
        <w:tc>
          <w:tcPr>
            <w:tcW w:w="1498" w:type="dxa"/>
          </w:tcPr>
          <w:p w14:paraId="25ACB153" w14:textId="77777777" w:rsidR="0083138C" w:rsidRDefault="0083138C" w:rsidP="0083138C">
            <w:pPr>
              <w:rPr>
                <w:sz w:val="24"/>
                <w:szCs w:val="24"/>
              </w:rPr>
            </w:pPr>
          </w:p>
        </w:tc>
        <w:tc>
          <w:tcPr>
            <w:tcW w:w="1534" w:type="dxa"/>
          </w:tcPr>
          <w:p w14:paraId="6D1B8408" w14:textId="77777777" w:rsidR="0083138C" w:rsidRDefault="0083138C" w:rsidP="0083138C">
            <w:pPr>
              <w:rPr>
                <w:sz w:val="24"/>
                <w:szCs w:val="24"/>
              </w:rPr>
            </w:pPr>
          </w:p>
        </w:tc>
        <w:tc>
          <w:tcPr>
            <w:tcW w:w="2100" w:type="dxa"/>
            <w:vAlign w:val="bottom"/>
          </w:tcPr>
          <w:p w14:paraId="53A520AA" w14:textId="765FCD8D" w:rsidR="0083138C" w:rsidRDefault="0083138C" w:rsidP="0083138C">
            <w:pPr>
              <w:rPr>
                <w:sz w:val="24"/>
                <w:szCs w:val="24"/>
              </w:rPr>
            </w:pPr>
            <w:r>
              <w:t>Хепатоцелуларно увреждане, жълтеница</w:t>
            </w:r>
          </w:p>
        </w:tc>
        <w:tc>
          <w:tcPr>
            <w:tcW w:w="1884" w:type="dxa"/>
          </w:tcPr>
          <w:p w14:paraId="00E2FA0B" w14:textId="77777777" w:rsidR="0083138C" w:rsidRDefault="0083138C" w:rsidP="0083138C">
            <w:pPr>
              <w:rPr>
                <w:sz w:val="24"/>
                <w:szCs w:val="24"/>
              </w:rPr>
            </w:pPr>
          </w:p>
        </w:tc>
      </w:tr>
      <w:tr w:rsidR="0083138C" w14:paraId="324C5241" w14:textId="77777777" w:rsidTr="0083138C">
        <w:tc>
          <w:tcPr>
            <w:tcW w:w="2560" w:type="dxa"/>
          </w:tcPr>
          <w:p w14:paraId="5DAC5799" w14:textId="7C5E6537" w:rsidR="0083138C" w:rsidRDefault="0083138C" w:rsidP="0083138C">
            <w:pPr>
              <w:rPr>
                <w:sz w:val="24"/>
                <w:szCs w:val="24"/>
              </w:rPr>
            </w:pPr>
            <w:r>
              <w:rPr>
                <w:b/>
                <w:bCs/>
              </w:rPr>
              <w:t>Нарушения на кожата и подкожната тъкан</w:t>
            </w:r>
          </w:p>
        </w:tc>
        <w:tc>
          <w:tcPr>
            <w:tcW w:w="1498" w:type="dxa"/>
          </w:tcPr>
          <w:p w14:paraId="37A98287" w14:textId="77777777" w:rsidR="0083138C" w:rsidRDefault="0083138C" w:rsidP="0083138C">
            <w:pPr>
              <w:rPr>
                <w:sz w:val="24"/>
                <w:szCs w:val="24"/>
              </w:rPr>
            </w:pPr>
          </w:p>
        </w:tc>
        <w:tc>
          <w:tcPr>
            <w:tcW w:w="1534" w:type="dxa"/>
          </w:tcPr>
          <w:p w14:paraId="7D015373" w14:textId="4C5DD94E" w:rsidR="0083138C" w:rsidRDefault="0083138C" w:rsidP="0083138C">
            <w:pPr>
              <w:rPr>
                <w:sz w:val="24"/>
                <w:szCs w:val="24"/>
              </w:rPr>
            </w:pPr>
            <w:r>
              <w:t>Дерматит, сърбеж, кожен обрив, повишено изпотяване</w:t>
            </w:r>
          </w:p>
        </w:tc>
        <w:tc>
          <w:tcPr>
            <w:tcW w:w="2100" w:type="dxa"/>
          </w:tcPr>
          <w:p w14:paraId="36EB5DE3" w14:textId="47665596" w:rsidR="0083138C" w:rsidRDefault="0083138C" w:rsidP="0083138C">
            <w:pPr>
              <w:rPr>
                <w:sz w:val="24"/>
                <w:szCs w:val="24"/>
              </w:rPr>
            </w:pPr>
            <w:r>
              <w:t>Уртикария, акне</w:t>
            </w:r>
          </w:p>
        </w:tc>
        <w:tc>
          <w:tcPr>
            <w:tcW w:w="1884" w:type="dxa"/>
            <w:vAlign w:val="bottom"/>
          </w:tcPr>
          <w:p w14:paraId="7E7D91B9" w14:textId="3BEE2393" w:rsidR="0083138C" w:rsidRDefault="0083138C" w:rsidP="0083138C">
            <w:pPr>
              <w:rPr>
                <w:sz w:val="24"/>
                <w:szCs w:val="24"/>
              </w:rPr>
            </w:pPr>
            <w:r>
              <w:t xml:space="preserve">Синдром на </w:t>
            </w:r>
            <w:r>
              <w:rPr>
                <w:lang w:val="en-US"/>
              </w:rPr>
              <w:t>Stevens</w:t>
            </w:r>
            <w:r w:rsidRPr="0083138C">
              <w:rPr>
                <w:lang w:val="ru-RU"/>
              </w:rPr>
              <w:t>-</w:t>
            </w:r>
            <w:r>
              <w:rPr>
                <w:lang w:val="en-US"/>
              </w:rPr>
              <w:t>Johnson</w:t>
            </w:r>
            <w:r w:rsidRPr="0083138C">
              <w:rPr>
                <w:lang w:val="ru-RU"/>
              </w:rPr>
              <w:t xml:space="preserve">, </w:t>
            </w:r>
            <w:r>
              <w:t>токсична епидермална некролиза (синдром на Лайел), ангиоедем, фациален оток, реакции на фоточувствител- ност</w:t>
            </w:r>
          </w:p>
        </w:tc>
      </w:tr>
      <w:tr w:rsidR="0083138C" w14:paraId="4509F4C3" w14:textId="77777777" w:rsidTr="0083138C">
        <w:tc>
          <w:tcPr>
            <w:tcW w:w="2560" w:type="dxa"/>
            <w:vAlign w:val="bottom"/>
          </w:tcPr>
          <w:p w14:paraId="34FC5EC2" w14:textId="39D78E34" w:rsidR="0083138C" w:rsidRDefault="0083138C" w:rsidP="0083138C">
            <w:pPr>
              <w:rPr>
                <w:sz w:val="24"/>
                <w:szCs w:val="24"/>
              </w:rPr>
            </w:pPr>
            <w:r>
              <w:rPr>
                <w:b/>
                <w:bCs/>
              </w:rPr>
              <w:t>Нарушения на мускулно-скелетната система и съединителната тъкан</w:t>
            </w:r>
          </w:p>
        </w:tc>
        <w:tc>
          <w:tcPr>
            <w:tcW w:w="1498" w:type="dxa"/>
          </w:tcPr>
          <w:p w14:paraId="50CBF578" w14:textId="77777777" w:rsidR="0083138C" w:rsidRDefault="0083138C" w:rsidP="0083138C">
            <w:pPr>
              <w:rPr>
                <w:sz w:val="24"/>
                <w:szCs w:val="24"/>
              </w:rPr>
            </w:pPr>
          </w:p>
        </w:tc>
        <w:tc>
          <w:tcPr>
            <w:tcW w:w="1534" w:type="dxa"/>
          </w:tcPr>
          <w:p w14:paraId="3B94D0E4" w14:textId="77777777" w:rsidR="0083138C" w:rsidRDefault="0083138C" w:rsidP="0083138C">
            <w:pPr>
              <w:rPr>
                <w:sz w:val="24"/>
                <w:szCs w:val="24"/>
              </w:rPr>
            </w:pPr>
          </w:p>
        </w:tc>
        <w:tc>
          <w:tcPr>
            <w:tcW w:w="2100" w:type="dxa"/>
            <w:vAlign w:val="bottom"/>
          </w:tcPr>
          <w:p w14:paraId="571E7B91" w14:textId="1D772587" w:rsidR="0083138C" w:rsidRDefault="0083138C" w:rsidP="0083138C">
            <w:pPr>
              <w:rPr>
                <w:sz w:val="24"/>
                <w:szCs w:val="24"/>
              </w:rPr>
            </w:pPr>
            <w:r>
              <w:t>Мускулна скованост, ставна скованост, мускулни крампи, болки в гърба</w:t>
            </w:r>
          </w:p>
        </w:tc>
        <w:tc>
          <w:tcPr>
            <w:tcW w:w="1884" w:type="dxa"/>
          </w:tcPr>
          <w:p w14:paraId="4777411E" w14:textId="77777777" w:rsidR="0083138C" w:rsidRDefault="0083138C" w:rsidP="0083138C">
            <w:pPr>
              <w:rPr>
                <w:sz w:val="24"/>
                <w:szCs w:val="24"/>
              </w:rPr>
            </w:pPr>
          </w:p>
        </w:tc>
      </w:tr>
      <w:tr w:rsidR="0083138C" w14:paraId="0898D5C6" w14:textId="77777777" w:rsidTr="0083138C">
        <w:tc>
          <w:tcPr>
            <w:tcW w:w="2560" w:type="dxa"/>
          </w:tcPr>
          <w:p w14:paraId="29FFC704" w14:textId="7EE76E33" w:rsidR="0083138C" w:rsidRDefault="0083138C" w:rsidP="0083138C">
            <w:pPr>
              <w:rPr>
                <w:sz w:val="24"/>
                <w:szCs w:val="24"/>
              </w:rPr>
            </w:pPr>
            <w:r>
              <w:rPr>
                <w:b/>
                <w:bCs/>
              </w:rPr>
              <w:t>Нарушения на бъбреците и пикочните пътища</w:t>
            </w:r>
          </w:p>
        </w:tc>
        <w:tc>
          <w:tcPr>
            <w:tcW w:w="1498" w:type="dxa"/>
          </w:tcPr>
          <w:p w14:paraId="5482A6B0" w14:textId="77777777" w:rsidR="0083138C" w:rsidRDefault="0083138C" w:rsidP="0083138C">
            <w:pPr>
              <w:rPr>
                <w:sz w:val="24"/>
                <w:szCs w:val="24"/>
              </w:rPr>
            </w:pPr>
          </w:p>
        </w:tc>
        <w:tc>
          <w:tcPr>
            <w:tcW w:w="1534" w:type="dxa"/>
          </w:tcPr>
          <w:p w14:paraId="33419DA8" w14:textId="77777777" w:rsidR="0083138C" w:rsidRDefault="0083138C" w:rsidP="0083138C">
            <w:pPr>
              <w:rPr>
                <w:sz w:val="24"/>
                <w:szCs w:val="24"/>
              </w:rPr>
            </w:pPr>
          </w:p>
        </w:tc>
        <w:tc>
          <w:tcPr>
            <w:tcW w:w="2100" w:type="dxa"/>
            <w:vAlign w:val="bottom"/>
          </w:tcPr>
          <w:p w14:paraId="774A0933" w14:textId="0F7BA9A5" w:rsidR="0083138C" w:rsidRDefault="0083138C" w:rsidP="0083138C">
            <w:pPr>
              <w:rPr>
                <w:sz w:val="24"/>
                <w:szCs w:val="24"/>
              </w:rPr>
            </w:pPr>
            <w:r>
              <w:t xml:space="preserve">Остра бъбречна недостатъчност, полиурия, болка в бъбреците, </w:t>
            </w:r>
            <w:r>
              <w:lastRenderedPageBreak/>
              <w:t>кетонурия, протеинурия</w:t>
            </w:r>
          </w:p>
        </w:tc>
        <w:tc>
          <w:tcPr>
            <w:tcW w:w="1884" w:type="dxa"/>
          </w:tcPr>
          <w:p w14:paraId="6E4FDB31" w14:textId="1627D006" w:rsidR="0083138C" w:rsidRDefault="0083138C" w:rsidP="0083138C">
            <w:pPr>
              <w:rPr>
                <w:sz w:val="24"/>
                <w:szCs w:val="24"/>
              </w:rPr>
            </w:pPr>
            <w:r>
              <w:lastRenderedPageBreak/>
              <w:t>Нефрит или нефротичен синдром</w:t>
            </w:r>
          </w:p>
        </w:tc>
      </w:tr>
      <w:tr w:rsidR="0083138C" w14:paraId="41B906BA" w14:textId="77777777" w:rsidTr="0083138C">
        <w:tc>
          <w:tcPr>
            <w:tcW w:w="2560" w:type="dxa"/>
          </w:tcPr>
          <w:p w14:paraId="6A4DC0DA" w14:textId="106428AF" w:rsidR="0083138C" w:rsidRDefault="0083138C" w:rsidP="0083138C">
            <w:pPr>
              <w:rPr>
                <w:sz w:val="24"/>
                <w:szCs w:val="24"/>
              </w:rPr>
            </w:pPr>
            <w:r>
              <w:rPr>
                <w:b/>
                <w:bCs/>
              </w:rPr>
              <w:t>Нарушения на възпроизводителната система и гърдата</w:t>
            </w:r>
          </w:p>
        </w:tc>
        <w:tc>
          <w:tcPr>
            <w:tcW w:w="1498" w:type="dxa"/>
          </w:tcPr>
          <w:p w14:paraId="43EC66AD" w14:textId="77777777" w:rsidR="0083138C" w:rsidRDefault="0083138C" w:rsidP="0083138C">
            <w:pPr>
              <w:rPr>
                <w:sz w:val="24"/>
                <w:szCs w:val="24"/>
              </w:rPr>
            </w:pPr>
          </w:p>
        </w:tc>
        <w:tc>
          <w:tcPr>
            <w:tcW w:w="1534" w:type="dxa"/>
          </w:tcPr>
          <w:p w14:paraId="5F2BE1DF" w14:textId="77777777" w:rsidR="0083138C" w:rsidRDefault="0083138C" w:rsidP="0083138C">
            <w:pPr>
              <w:rPr>
                <w:sz w:val="24"/>
                <w:szCs w:val="24"/>
              </w:rPr>
            </w:pPr>
          </w:p>
        </w:tc>
        <w:tc>
          <w:tcPr>
            <w:tcW w:w="2100" w:type="dxa"/>
            <w:vAlign w:val="bottom"/>
          </w:tcPr>
          <w:p w14:paraId="31851ED9" w14:textId="6D798562" w:rsidR="0083138C" w:rsidRDefault="0083138C" w:rsidP="0083138C">
            <w:pPr>
              <w:rPr>
                <w:sz w:val="24"/>
                <w:szCs w:val="24"/>
              </w:rPr>
            </w:pPr>
            <w:r>
              <w:t>Менструални нарушения, засягане на простатата</w:t>
            </w:r>
          </w:p>
        </w:tc>
        <w:tc>
          <w:tcPr>
            <w:tcW w:w="1884" w:type="dxa"/>
          </w:tcPr>
          <w:p w14:paraId="5AFD47D1" w14:textId="77777777" w:rsidR="0083138C" w:rsidRDefault="0083138C" w:rsidP="0083138C">
            <w:pPr>
              <w:rPr>
                <w:sz w:val="24"/>
                <w:szCs w:val="24"/>
              </w:rPr>
            </w:pPr>
          </w:p>
        </w:tc>
      </w:tr>
      <w:tr w:rsidR="0083138C" w14:paraId="3218A26F" w14:textId="77777777" w:rsidTr="0083138C">
        <w:tc>
          <w:tcPr>
            <w:tcW w:w="2560" w:type="dxa"/>
          </w:tcPr>
          <w:p w14:paraId="7243D353" w14:textId="1D8DCF24" w:rsidR="0083138C" w:rsidRDefault="0083138C" w:rsidP="0083138C">
            <w:pPr>
              <w:rPr>
                <w:sz w:val="24"/>
                <w:szCs w:val="24"/>
              </w:rPr>
            </w:pPr>
            <w:r>
              <w:rPr>
                <w:b/>
                <w:bCs/>
              </w:rPr>
              <w:t>Общи нарушения и ефекти на мястото на приложение</w:t>
            </w:r>
          </w:p>
        </w:tc>
        <w:tc>
          <w:tcPr>
            <w:tcW w:w="1498" w:type="dxa"/>
          </w:tcPr>
          <w:p w14:paraId="2F0F1B7A" w14:textId="64505059" w:rsidR="0083138C" w:rsidRDefault="0083138C" w:rsidP="0083138C">
            <w:pPr>
              <w:rPr>
                <w:sz w:val="24"/>
                <w:szCs w:val="24"/>
              </w:rPr>
            </w:pPr>
            <w:r>
              <w:t>Болка в мястото на инжектиране то, реакции на мястото на инжектиране то, включително възпаление, посиняване или кръвоизлив</w:t>
            </w:r>
          </w:p>
        </w:tc>
        <w:tc>
          <w:tcPr>
            <w:tcW w:w="1534" w:type="dxa"/>
          </w:tcPr>
          <w:p w14:paraId="719DE8C4" w14:textId="78274FFA" w:rsidR="0083138C" w:rsidRDefault="0083138C" w:rsidP="0083138C">
            <w:pPr>
              <w:rPr>
                <w:sz w:val="24"/>
                <w:szCs w:val="24"/>
              </w:rPr>
            </w:pPr>
            <w:r>
              <w:t>Висока температура, отпадналост, болки, студени тръпки.</w:t>
            </w:r>
          </w:p>
        </w:tc>
        <w:tc>
          <w:tcPr>
            <w:tcW w:w="2100" w:type="dxa"/>
          </w:tcPr>
          <w:p w14:paraId="51F7920D" w14:textId="17342E5F" w:rsidR="0083138C" w:rsidRDefault="0083138C" w:rsidP="0083138C">
            <w:pPr>
              <w:rPr>
                <w:sz w:val="24"/>
                <w:szCs w:val="24"/>
              </w:rPr>
            </w:pPr>
            <w:r>
              <w:t>Втрисане, периферен оток</w:t>
            </w:r>
          </w:p>
        </w:tc>
        <w:tc>
          <w:tcPr>
            <w:tcW w:w="1884" w:type="dxa"/>
          </w:tcPr>
          <w:p w14:paraId="21AAD777" w14:textId="77777777" w:rsidR="0083138C" w:rsidRDefault="0083138C" w:rsidP="0083138C">
            <w:pPr>
              <w:rPr>
                <w:sz w:val="24"/>
                <w:szCs w:val="24"/>
              </w:rPr>
            </w:pPr>
          </w:p>
        </w:tc>
      </w:tr>
      <w:tr w:rsidR="0083138C" w14:paraId="31E6524C" w14:textId="77777777" w:rsidTr="0083138C">
        <w:tc>
          <w:tcPr>
            <w:tcW w:w="2560" w:type="dxa"/>
          </w:tcPr>
          <w:p w14:paraId="761C4A9F" w14:textId="47E3B26D" w:rsidR="0083138C" w:rsidRDefault="0083138C" w:rsidP="0083138C">
            <w:pPr>
              <w:rPr>
                <w:sz w:val="24"/>
                <w:szCs w:val="24"/>
              </w:rPr>
            </w:pPr>
            <w:r>
              <w:rPr>
                <w:b/>
                <w:bCs/>
              </w:rPr>
              <w:t>Изследвания</w:t>
            </w:r>
          </w:p>
        </w:tc>
        <w:tc>
          <w:tcPr>
            <w:tcW w:w="1498" w:type="dxa"/>
          </w:tcPr>
          <w:p w14:paraId="3667AED9" w14:textId="77777777" w:rsidR="0083138C" w:rsidRDefault="0083138C" w:rsidP="0083138C">
            <w:pPr>
              <w:rPr>
                <w:sz w:val="24"/>
                <w:szCs w:val="24"/>
              </w:rPr>
            </w:pPr>
          </w:p>
        </w:tc>
        <w:tc>
          <w:tcPr>
            <w:tcW w:w="1534" w:type="dxa"/>
          </w:tcPr>
          <w:p w14:paraId="42AB82B0" w14:textId="2B634481" w:rsidR="0083138C" w:rsidRDefault="0083138C" w:rsidP="0083138C">
            <w:pPr>
              <w:rPr>
                <w:sz w:val="24"/>
                <w:szCs w:val="24"/>
              </w:rPr>
            </w:pPr>
          </w:p>
        </w:tc>
        <w:tc>
          <w:tcPr>
            <w:tcW w:w="2100" w:type="dxa"/>
          </w:tcPr>
          <w:p w14:paraId="48C17B32" w14:textId="2389535F" w:rsidR="0083138C" w:rsidRDefault="0083138C" w:rsidP="0083138C">
            <w:pPr>
              <w:rPr>
                <w:sz w:val="24"/>
                <w:szCs w:val="24"/>
              </w:rPr>
            </w:pPr>
            <w:r>
              <w:t>Абнормни чернодробни функционални проби</w:t>
            </w:r>
          </w:p>
        </w:tc>
        <w:tc>
          <w:tcPr>
            <w:tcW w:w="1884" w:type="dxa"/>
          </w:tcPr>
          <w:p w14:paraId="419FFE29" w14:textId="77777777" w:rsidR="0083138C" w:rsidRDefault="0083138C" w:rsidP="0083138C">
            <w:pPr>
              <w:rPr>
                <w:sz w:val="24"/>
                <w:szCs w:val="24"/>
              </w:rPr>
            </w:pPr>
          </w:p>
        </w:tc>
      </w:tr>
    </w:tbl>
    <w:p w14:paraId="2A15ACDB" w14:textId="77777777" w:rsidR="0083138C" w:rsidRDefault="0083138C" w:rsidP="0083138C">
      <w:pPr>
        <w:spacing w:line="240" w:lineRule="auto"/>
        <w:rPr>
          <w:rFonts w:ascii="Times New Roman" w:eastAsia="Times New Roman" w:hAnsi="Times New Roman" w:cs="Times New Roman"/>
          <w:color w:val="000000"/>
          <w:lang w:eastAsia="bg-BG"/>
        </w:rPr>
      </w:pPr>
    </w:p>
    <w:p w14:paraId="52B92680" w14:textId="2F56A571" w:rsidR="0083138C" w:rsidRPr="0083138C" w:rsidRDefault="0083138C" w:rsidP="0083138C">
      <w:pPr>
        <w:rPr>
          <w:sz w:val="24"/>
          <w:szCs w:val="24"/>
        </w:rPr>
      </w:pPr>
      <w:r w:rsidRPr="0083138C">
        <w:rPr>
          <w:lang w:eastAsia="bg-BG"/>
        </w:rPr>
        <w:t>Най-често наблюдаваните нежелани реакции са стомашно-чревни. Може да се наблюдават пептична язва, перфорация или стомашно-чревен кръвоизлив, понякога фатални, особено в старческа възраст (вж. точка 4.4). След приложение са съобщавани гадене, повръщане, диария, флатуленция, констипация, диспепсия, коремна болка, мелена, хематемеза, улцеративен стоматит, екзацербация на колит или болест на Крон (вж. точка 4.4 Специални предупреждения и предпазни мерки при употреба). По-рядко е наблюдаван гастрит. Има съобщения за отоци, хипертония и сърдечна недостатъчност, свързани с употребата на НСПВС.</w:t>
      </w:r>
    </w:p>
    <w:p w14:paraId="2406E9D3" w14:textId="77777777" w:rsidR="0083138C" w:rsidRPr="0083138C" w:rsidRDefault="0083138C" w:rsidP="0083138C">
      <w:pPr>
        <w:rPr>
          <w:sz w:val="24"/>
          <w:szCs w:val="24"/>
        </w:rPr>
      </w:pPr>
      <w:r w:rsidRPr="0083138C">
        <w:rPr>
          <w:lang w:eastAsia="bg-BG"/>
        </w:rPr>
        <w:t>Както и при други НСПВС, могат да се появят и следните нежелани лекарствени реакции: асептичен менингит, който се проявява най-вече при пациенти със системен лупус еритематодес или смесена съединително-тъканна болест; хематологични реакции (пурпура, апластична и хемолитична анемия, рядко агранулоцитоза или костно-мозъчна хипоплазия).</w:t>
      </w:r>
    </w:p>
    <w:p w14:paraId="1C60DBEB" w14:textId="77777777" w:rsidR="0083138C" w:rsidRDefault="0083138C" w:rsidP="0083138C">
      <w:pPr>
        <w:rPr>
          <w:lang w:eastAsia="bg-BG"/>
        </w:rPr>
      </w:pPr>
    </w:p>
    <w:p w14:paraId="3844F7A7" w14:textId="1C950801" w:rsidR="0083138C" w:rsidRPr="0083138C" w:rsidRDefault="0083138C" w:rsidP="0083138C">
      <w:pPr>
        <w:rPr>
          <w:sz w:val="24"/>
          <w:szCs w:val="24"/>
        </w:rPr>
      </w:pPr>
      <w:r w:rsidRPr="0083138C">
        <w:rPr>
          <w:lang w:eastAsia="bg-BG"/>
        </w:rPr>
        <w:t xml:space="preserve">Булозни реакции, включително синдром на </w:t>
      </w:r>
      <w:r w:rsidRPr="0083138C">
        <w:rPr>
          <w:lang w:val="en-US"/>
        </w:rPr>
        <w:t>Stevens</w:t>
      </w:r>
      <w:r w:rsidRPr="0083138C">
        <w:rPr>
          <w:lang w:val="ru-RU"/>
        </w:rPr>
        <w:t>-</w:t>
      </w:r>
      <w:r w:rsidRPr="0083138C">
        <w:rPr>
          <w:lang w:val="en-US"/>
        </w:rPr>
        <w:t>Johnson</w:t>
      </w:r>
      <w:r w:rsidRPr="0083138C">
        <w:rPr>
          <w:lang w:val="ru-RU"/>
        </w:rPr>
        <w:t xml:space="preserve"> </w:t>
      </w:r>
      <w:r w:rsidRPr="0083138C">
        <w:rPr>
          <w:lang w:eastAsia="bg-BG"/>
        </w:rPr>
        <w:t>и токсична епидермална некролиза (много рядко).</w:t>
      </w:r>
    </w:p>
    <w:p w14:paraId="47096BA2" w14:textId="77777777" w:rsidR="0083138C" w:rsidRDefault="0083138C" w:rsidP="0083138C">
      <w:pPr>
        <w:rPr>
          <w:lang w:eastAsia="bg-BG"/>
        </w:rPr>
      </w:pPr>
    </w:p>
    <w:p w14:paraId="48DD9DC1" w14:textId="4AE179C6" w:rsidR="0083138C" w:rsidRPr="0083138C" w:rsidRDefault="0083138C" w:rsidP="0083138C">
      <w:pPr>
        <w:rPr>
          <w:sz w:val="24"/>
          <w:szCs w:val="24"/>
        </w:rPr>
      </w:pPr>
      <w:r w:rsidRPr="0083138C">
        <w:rPr>
          <w:lang w:eastAsia="bg-BG"/>
        </w:rPr>
        <w:t>Клинични проучвания и епидемиологични данни показват, че употребата на някои НСПВС (особено във високи дози и при продължително приложение) може да е свързана с леко повишен риск от артериални тромботични събития (например миокарден инфаркт или инсулт) (вж. т. 4.4).</w:t>
      </w:r>
    </w:p>
    <w:p w14:paraId="0A54D4A4" w14:textId="77777777" w:rsidR="0083138C" w:rsidRDefault="0083138C" w:rsidP="0083138C">
      <w:pPr>
        <w:rPr>
          <w:u w:val="single"/>
          <w:lang w:eastAsia="bg-BG"/>
        </w:rPr>
      </w:pPr>
    </w:p>
    <w:p w14:paraId="78F9D804" w14:textId="4F73035D" w:rsidR="0083138C" w:rsidRPr="0083138C" w:rsidRDefault="0083138C" w:rsidP="0083138C">
      <w:pPr>
        <w:rPr>
          <w:sz w:val="24"/>
          <w:szCs w:val="24"/>
        </w:rPr>
      </w:pPr>
      <w:r w:rsidRPr="0083138C">
        <w:rPr>
          <w:u w:val="single"/>
          <w:lang w:eastAsia="bg-BG"/>
        </w:rPr>
        <w:t>Съобщаване на подозирани нежелани реакции</w:t>
      </w:r>
    </w:p>
    <w:p w14:paraId="23E108AB" w14:textId="77777777" w:rsidR="0083138C" w:rsidRPr="0083138C" w:rsidRDefault="0083138C" w:rsidP="0083138C">
      <w:pPr>
        <w:rPr>
          <w:sz w:val="24"/>
          <w:szCs w:val="24"/>
        </w:rPr>
      </w:pPr>
      <w:r w:rsidRPr="0083138C">
        <w:rPr>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Изпълнителна агенция по лекарствата ул. „Дамян Груев” № 8 1303 София</w:t>
      </w:r>
    </w:p>
    <w:p w14:paraId="0B163B4D" w14:textId="77777777" w:rsidR="0083138C" w:rsidRPr="0083138C" w:rsidRDefault="0083138C" w:rsidP="0083138C">
      <w:pPr>
        <w:rPr>
          <w:sz w:val="24"/>
          <w:szCs w:val="24"/>
        </w:rPr>
      </w:pPr>
      <w:r w:rsidRPr="0083138C">
        <w:rPr>
          <w:lang w:eastAsia="bg-BG"/>
        </w:rPr>
        <w:t>тел.: +359 28903417</w:t>
      </w:r>
    </w:p>
    <w:p w14:paraId="68AFEFC2" w14:textId="67ACDBFE" w:rsidR="0083138C" w:rsidRPr="0083138C" w:rsidRDefault="0083138C" w:rsidP="0083138C">
      <w:pPr>
        <w:rPr>
          <w:sz w:val="24"/>
          <w:szCs w:val="24"/>
        </w:rPr>
      </w:pPr>
      <w:r w:rsidRPr="0083138C">
        <w:rPr>
          <w:lang w:eastAsia="bg-BG"/>
        </w:rPr>
        <w:t xml:space="preserve">уебсайт: </w:t>
      </w:r>
      <w:hyperlink r:id="rId5" w:history="1">
        <w:r w:rsidRPr="0083138C">
          <w:rPr>
            <w:lang w:val="en-US"/>
          </w:rPr>
          <w:t>www.bda.bg</w:t>
        </w:r>
      </w:hyperlink>
    </w:p>
    <w:p w14:paraId="49A24B39" w14:textId="77777777" w:rsidR="0083138C" w:rsidRPr="0083138C" w:rsidRDefault="0083138C" w:rsidP="0083138C"/>
    <w:p w14:paraId="0A023CE0" w14:textId="6D807E5B" w:rsidR="00CF77F7" w:rsidRDefault="002C50EE" w:rsidP="004A448E">
      <w:pPr>
        <w:pStyle w:val="Heading2"/>
      </w:pPr>
      <w:r>
        <w:t>4.9. Предозиране</w:t>
      </w:r>
    </w:p>
    <w:p w14:paraId="757C5627" w14:textId="3E0201FD" w:rsidR="0083138C" w:rsidRDefault="0083138C" w:rsidP="0083138C"/>
    <w:p w14:paraId="6E132F6F" w14:textId="4B435DD7" w:rsidR="0083138C" w:rsidRPr="0083138C" w:rsidRDefault="0083138C" w:rsidP="0083138C">
      <w:pPr>
        <w:rPr>
          <w:rFonts w:cs="Arial"/>
        </w:rPr>
      </w:pPr>
      <w:r w:rsidRPr="0083138C">
        <w:rPr>
          <w:rFonts w:cs="Arial"/>
        </w:rPr>
        <w:t>Не са известни симптомите при предозиране. Подобни лекарствени продукти водят до</w:t>
      </w:r>
      <w:r w:rsidRPr="0083138C">
        <w:rPr>
          <w:rFonts w:cs="Arial"/>
          <w:u w:val="single"/>
        </w:rPr>
        <w:t xml:space="preserve"> </w:t>
      </w:r>
      <w:r w:rsidRPr="0083138C">
        <w:rPr>
          <w:rFonts w:cs="Arial"/>
        </w:rPr>
        <w:t>стомашно-чревни (повръщане, анорексия, коремна болка) и неврологични (сънливост, вертиго, дезориентация, главоболие) нарушения.</w:t>
      </w:r>
    </w:p>
    <w:p w14:paraId="7273DC84" w14:textId="61DFA4DE" w:rsidR="0083138C" w:rsidRPr="0083138C" w:rsidRDefault="0083138C" w:rsidP="0083138C">
      <w:pPr>
        <w:rPr>
          <w:rFonts w:cs="Arial"/>
        </w:rPr>
      </w:pPr>
    </w:p>
    <w:p w14:paraId="1FB492A7" w14:textId="77777777" w:rsidR="0083138C" w:rsidRPr="0083138C" w:rsidRDefault="0083138C" w:rsidP="0083138C">
      <w:pPr>
        <w:rPr>
          <w:rFonts w:eastAsia="Times New Roman" w:cs="Arial"/>
          <w:sz w:val="24"/>
          <w:szCs w:val="24"/>
        </w:rPr>
      </w:pPr>
      <w:r w:rsidRPr="0083138C">
        <w:rPr>
          <w:rFonts w:eastAsia="Times New Roman" w:cs="Arial"/>
          <w:color w:val="000000"/>
          <w:lang w:eastAsia="bg-BG"/>
        </w:rPr>
        <w:t>В случай на непредумишлено предозиране или прием се налага незабавно симптоматично лечение в зависимост от клиничното състояние на пациента.</w:t>
      </w:r>
    </w:p>
    <w:p w14:paraId="6D6AD91F" w14:textId="77777777" w:rsidR="0083138C" w:rsidRPr="0083138C" w:rsidRDefault="0083138C" w:rsidP="0083138C">
      <w:pPr>
        <w:rPr>
          <w:rFonts w:eastAsia="Times New Roman" w:cs="Arial"/>
          <w:sz w:val="24"/>
          <w:szCs w:val="24"/>
        </w:rPr>
      </w:pPr>
      <w:r w:rsidRPr="0083138C">
        <w:rPr>
          <w:rFonts w:eastAsia="Times New Roman" w:cs="Arial"/>
          <w:color w:val="000000"/>
          <w:lang w:eastAsia="bg-BG"/>
        </w:rPr>
        <w:t>Декскетопрофен трометамол може да се елиминира с диализа.</w:t>
      </w:r>
    </w:p>
    <w:p w14:paraId="5BC4CEA9" w14:textId="77777777" w:rsidR="0083138C" w:rsidRPr="0083138C" w:rsidRDefault="0083138C" w:rsidP="0083138C"/>
    <w:p w14:paraId="02081B24" w14:textId="1F46E296" w:rsidR="00395555" w:rsidRPr="00395555" w:rsidRDefault="002C50EE" w:rsidP="008A6AF2">
      <w:pPr>
        <w:pStyle w:val="Heading1"/>
      </w:pPr>
      <w:r>
        <w:t>5. ФАРМАКОЛОГИЧНИ СВОЙСТВА</w:t>
      </w:r>
    </w:p>
    <w:p w14:paraId="32B6DE66" w14:textId="647C70D6" w:rsidR="00CF77F7" w:rsidRDefault="002C50EE" w:rsidP="004A448E">
      <w:pPr>
        <w:pStyle w:val="Heading2"/>
      </w:pPr>
      <w:r>
        <w:t>5.1. Фармакодинамични свойства</w:t>
      </w:r>
    </w:p>
    <w:p w14:paraId="1501B702" w14:textId="7DD68577" w:rsidR="0083138C" w:rsidRDefault="0083138C" w:rsidP="0083138C"/>
    <w:p w14:paraId="1EF5A011"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Фармакотерапевтичен клас: пропионова киселина и производни АТС код: М01АЕ17</w:t>
      </w:r>
    </w:p>
    <w:p w14:paraId="500A7A07" w14:textId="780A664E"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 xml:space="preserve">Декскетопрофен трометамол е трометаминова сол на </w:t>
      </w:r>
      <w:r w:rsidRPr="0083138C">
        <w:rPr>
          <w:rFonts w:eastAsia="Times New Roman" w:cs="Arial"/>
          <w:color w:val="000000"/>
          <w:lang w:val="en-US"/>
        </w:rPr>
        <w:t>S</w:t>
      </w:r>
      <w:r w:rsidRPr="0083138C">
        <w:rPr>
          <w:rFonts w:eastAsia="Times New Roman" w:cs="Arial"/>
          <w:color w:val="000000"/>
          <w:lang w:val="ru-RU"/>
        </w:rPr>
        <w:t>-(+)-2-(3-</w:t>
      </w:r>
      <w:proofErr w:type="spellStart"/>
      <w:r w:rsidRPr="0083138C">
        <w:rPr>
          <w:rFonts w:eastAsia="Times New Roman" w:cs="Arial"/>
          <w:color w:val="000000"/>
          <w:lang w:val="en-US"/>
        </w:rPr>
        <w:t>benzoylphenyl</w:t>
      </w:r>
      <w:proofErr w:type="spellEnd"/>
      <w:r w:rsidRPr="0083138C">
        <w:rPr>
          <w:rFonts w:eastAsia="Times New Roman" w:cs="Arial"/>
          <w:color w:val="000000"/>
          <w:lang w:val="ru-RU"/>
        </w:rPr>
        <w:t>)</w:t>
      </w:r>
      <w:r w:rsidRPr="0083138C">
        <w:rPr>
          <w:rFonts w:eastAsia="Times New Roman" w:cs="Arial"/>
          <w:color w:val="000000"/>
          <w:lang w:val="en-US"/>
        </w:rPr>
        <w:t>propionic</w:t>
      </w:r>
      <w:r w:rsidRPr="0083138C">
        <w:rPr>
          <w:rFonts w:eastAsia="Times New Roman" w:cs="Arial"/>
          <w:color w:val="000000"/>
          <w:lang w:val="ru-RU"/>
        </w:rPr>
        <w:t xml:space="preserve"> </w:t>
      </w:r>
      <w:r w:rsidRPr="0083138C">
        <w:rPr>
          <w:rFonts w:eastAsia="Times New Roman" w:cs="Arial"/>
          <w:color w:val="000000"/>
          <w:lang w:val="en-US"/>
        </w:rPr>
        <w:t>acid</w:t>
      </w:r>
      <w:r w:rsidRPr="0083138C">
        <w:rPr>
          <w:rFonts w:eastAsia="Times New Roman" w:cs="Arial"/>
          <w:color w:val="000000"/>
          <w:lang w:val="ru-RU"/>
        </w:rPr>
        <w:t xml:space="preserve"> </w:t>
      </w:r>
      <w:r w:rsidRPr="0083138C">
        <w:rPr>
          <w:rFonts w:eastAsia="Times New Roman" w:cs="Arial"/>
          <w:color w:val="000000"/>
          <w:lang w:eastAsia="bg-BG"/>
        </w:rPr>
        <w:t>- лекарствен продукт с аналгетични, противовъзпалителни и антипиретични свойства, който принадлежи към нестероидните противовъзпалителни средства (М01АЕ).</w:t>
      </w:r>
    </w:p>
    <w:p w14:paraId="6CE52AE8" w14:textId="77777777" w:rsidR="0083138C" w:rsidRPr="0083138C" w:rsidRDefault="0083138C" w:rsidP="0083138C">
      <w:pPr>
        <w:spacing w:line="240" w:lineRule="auto"/>
        <w:rPr>
          <w:rFonts w:eastAsia="Times New Roman" w:cs="Arial"/>
          <w:color w:val="000000"/>
          <w:u w:val="single"/>
          <w:lang w:eastAsia="bg-BG"/>
        </w:rPr>
      </w:pPr>
    </w:p>
    <w:p w14:paraId="3CF82DD1" w14:textId="1C726DA6" w:rsidR="0083138C" w:rsidRPr="0083138C" w:rsidRDefault="0083138C" w:rsidP="0083138C">
      <w:pPr>
        <w:spacing w:line="240" w:lineRule="auto"/>
        <w:rPr>
          <w:rFonts w:eastAsia="Times New Roman" w:cs="Arial"/>
          <w:sz w:val="24"/>
          <w:szCs w:val="24"/>
        </w:rPr>
      </w:pPr>
      <w:r w:rsidRPr="0083138C">
        <w:rPr>
          <w:rFonts w:eastAsia="Times New Roman" w:cs="Arial"/>
          <w:color w:val="000000"/>
          <w:u w:val="single"/>
          <w:lang w:eastAsia="bg-BG"/>
        </w:rPr>
        <w:t>Механизмът на действие</w:t>
      </w:r>
    </w:p>
    <w:p w14:paraId="18028B83"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 xml:space="preserve">Механизмът на действие на нестероидните противовъзпалителни средства се свързва с намаляване на простагландиновата синтеза чрез инхибиране на циклооксигеназата. По- специално е налице инхибиране на превръщането на арахидонова киселина в циклични ендопероксидази, </w:t>
      </w:r>
      <w:proofErr w:type="spellStart"/>
      <w:r w:rsidRPr="0083138C">
        <w:rPr>
          <w:rFonts w:eastAsia="Times New Roman" w:cs="Arial"/>
          <w:color w:val="000000"/>
          <w:lang w:val="en-US"/>
        </w:rPr>
        <w:t>PgG</w:t>
      </w:r>
      <w:proofErr w:type="spellEnd"/>
      <w:r w:rsidRPr="0083138C">
        <w:rPr>
          <w:rFonts w:eastAsia="Times New Roman" w:cs="Arial"/>
          <w:color w:val="000000"/>
          <w:lang w:val="ru-RU"/>
        </w:rPr>
        <w:t xml:space="preserve">2 </w:t>
      </w:r>
      <w:r w:rsidRPr="0083138C">
        <w:rPr>
          <w:rFonts w:eastAsia="Times New Roman" w:cs="Arial"/>
          <w:color w:val="000000"/>
          <w:lang w:eastAsia="bg-BG"/>
        </w:rPr>
        <w:t xml:space="preserve">и </w:t>
      </w:r>
      <w:proofErr w:type="spellStart"/>
      <w:r w:rsidRPr="0083138C">
        <w:rPr>
          <w:rFonts w:eastAsia="Times New Roman" w:cs="Arial"/>
          <w:color w:val="000000"/>
          <w:lang w:val="en-US"/>
        </w:rPr>
        <w:t>PgH</w:t>
      </w:r>
      <w:proofErr w:type="spellEnd"/>
      <w:r w:rsidRPr="0083138C">
        <w:rPr>
          <w:rFonts w:eastAsia="Times New Roman" w:cs="Arial"/>
          <w:color w:val="000000"/>
          <w:lang w:val="ru-RU"/>
        </w:rPr>
        <w:t xml:space="preserve">2, </w:t>
      </w:r>
      <w:r w:rsidRPr="0083138C">
        <w:rPr>
          <w:rFonts w:eastAsia="Times New Roman" w:cs="Arial"/>
          <w:color w:val="000000"/>
          <w:lang w:eastAsia="bg-BG"/>
        </w:rPr>
        <w:t xml:space="preserve">които образуват </w:t>
      </w:r>
      <w:proofErr w:type="spellStart"/>
      <w:r w:rsidRPr="0083138C">
        <w:rPr>
          <w:rFonts w:eastAsia="Times New Roman" w:cs="Arial"/>
          <w:color w:val="000000"/>
          <w:lang w:val="en-US"/>
        </w:rPr>
        <w:t>PgEl</w:t>
      </w:r>
      <w:proofErr w:type="spellEnd"/>
      <w:r w:rsidRPr="0083138C">
        <w:rPr>
          <w:rFonts w:eastAsia="Times New Roman" w:cs="Arial"/>
          <w:color w:val="000000"/>
          <w:lang w:eastAsia="bg-BG"/>
        </w:rPr>
        <w:t xml:space="preserve">, </w:t>
      </w:r>
      <w:proofErr w:type="spellStart"/>
      <w:r w:rsidRPr="0083138C">
        <w:rPr>
          <w:rFonts w:eastAsia="Times New Roman" w:cs="Arial"/>
          <w:color w:val="000000"/>
          <w:lang w:val="en-US"/>
        </w:rPr>
        <w:t>PgE</w:t>
      </w:r>
      <w:proofErr w:type="spellEnd"/>
      <w:r w:rsidRPr="0083138C">
        <w:rPr>
          <w:rFonts w:eastAsia="Times New Roman" w:cs="Arial"/>
          <w:color w:val="000000"/>
          <w:lang w:val="ru-RU"/>
        </w:rPr>
        <w:t xml:space="preserve">2, </w:t>
      </w:r>
      <w:proofErr w:type="spellStart"/>
      <w:r w:rsidRPr="0083138C">
        <w:rPr>
          <w:rFonts w:eastAsia="Times New Roman" w:cs="Arial"/>
          <w:color w:val="000000"/>
          <w:lang w:val="en-US"/>
        </w:rPr>
        <w:t>PgF</w:t>
      </w:r>
      <w:proofErr w:type="spellEnd"/>
      <w:r w:rsidRPr="0083138C">
        <w:rPr>
          <w:rFonts w:eastAsia="Times New Roman" w:cs="Arial"/>
          <w:color w:val="000000"/>
          <w:lang w:val="ru-RU"/>
        </w:rPr>
        <w:t>2</w:t>
      </w:r>
      <w:r w:rsidRPr="0083138C">
        <w:rPr>
          <w:rFonts w:eastAsia="Times New Roman" w:cs="Arial"/>
          <w:color w:val="000000"/>
          <w:lang w:val="en-US"/>
        </w:rPr>
        <w:t>a</w:t>
      </w:r>
      <w:r w:rsidRPr="0083138C">
        <w:rPr>
          <w:rFonts w:eastAsia="Times New Roman" w:cs="Arial"/>
          <w:color w:val="000000"/>
          <w:lang w:val="ru-RU"/>
        </w:rPr>
        <w:t xml:space="preserve"> </w:t>
      </w:r>
      <w:r w:rsidRPr="0083138C">
        <w:rPr>
          <w:rFonts w:eastAsia="Times New Roman" w:cs="Arial"/>
          <w:color w:val="000000"/>
          <w:lang w:eastAsia="bg-BG"/>
        </w:rPr>
        <w:t xml:space="preserve">и </w:t>
      </w:r>
      <w:proofErr w:type="spellStart"/>
      <w:r w:rsidRPr="0083138C">
        <w:rPr>
          <w:rFonts w:eastAsia="Times New Roman" w:cs="Arial"/>
          <w:color w:val="000000"/>
          <w:lang w:val="en-US"/>
        </w:rPr>
        <w:t>PgD</w:t>
      </w:r>
      <w:proofErr w:type="spellEnd"/>
      <w:r w:rsidRPr="0083138C">
        <w:rPr>
          <w:rFonts w:eastAsia="Times New Roman" w:cs="Arial"/>
          <w:color w:val="000000"/>
          <w:lang w:val="ru-RU"/>
        </w:rPr>
        <w:t xml:space="preserve">2 </w:t>
      </w:r>
      <w:r w:rsidRPr="0083138C">
        <w:rPr>
          <w:rFonts w:eastAsia="Times New Roman" w:cs="Arial"/>
          <w:color w:val="000000"/>
          <w:lang w:eastAsia="bg-BG"/>
        </w:rPr>
        <w:t xml:space="preserve">и също простациклини </w:t>
      </w:r>
      <w:proofErr w:type="spellStart"/>
      <w:r w:rsidRPr="0083138C">
        <w:rPr>
          <w:rFonts w:eastAsia="Times New Roman" w:cs="Arial"/>
          <w:color w:val="000000"/>
          <w:lang w:val="en-US"/>
        </w:rPr>
        <w:t>PgI</w:t>
      </w:r>
      <w:proofErr w:type="spellEnd"/>
      <w:r w:rsidRPr="0083138C">
        <w:rPr>
          <w:rFonts w:eastAsia="Times New Roman" w:cs="Arial"/>
          <w:color w:val="000000"/>
          <w:lang w:val="ru-RU"/>
        </w:rPr>
        <w:t xml:space="preserve">2 </w:t>
      </w:r>
      <w:r w:rsidRPr="0083138C">
        <w:rPr>
          <w:rFonts w:eastAsia="Times New Roman" w:cs="Arial"/>
          <w:color w:val="000000"/>
          <w:lang w:eastAsia="bg-BG"/>
        </w:rPr>
        <w:t>и тромбоксани (ТхА2 и ТхВ2). Освен това, инхибирането на простагландиновата синтеза може да повлияе и други медиатори на възпалението, като кинините. Това е един индиректен ефект, който допълва директното действие.</w:t>
      </w:r>
    </w:p>
    <w:p w14:paraId="23A911C8" w14:textId="77777777" w:rsidR="0083138C" w:rsidRPr="0083138C" w:rsidRDefault="0083138C" w:rsidP="0083138C">
      <w:pPr>
        <w:spacing w:line="240" w:lineRule="auto"/>
        <w:rPr>
          <w:rFonts w:eastAsia="Times New Roman" w:cs="Arial"/>
          <w:color w:val="000000"/>
          <w:u w:val="single"/>
          <w:lang w:eastAsia="bg-BG"/>
        </w:rPr>
      </w:pPr>
    </w:p>
    <w:p w14:paraId="34AED93D" w14:textId="4203B7A5" w:rsidR="0083138C" w:rsidRPr="0083138C" w:rsidRDefault="0083138C" w:rsidP="0083138C">
      <w:pPr>
        <w:spacing w:line="240" w:lineRule="auto"/>
        <w:rPr>
          <w:rFonts w:eastAsia="Times New Roman" w:cs="Arial"/>
          <w:sz w:val="24"/>
          <w:szCs w:val="24"/>
        </w:rPr>
      </w:pPr>
      <w:r w:rsidRPr="0083138C">
        <w:rPr>
          <w:rFonts w:eastAsia="Times New Roman" w:cs="Arial"/>
          <w:color w:val="000000"/>
          <w:u w:val="single"/>
          <w:lang w:eastAsia="bg-BG"/>
        </w:rPr>
        <w:t>Фармакодннамични ефекти</w:t>
      </w:r>
    </w:p>
    <w:p w14:paraId="32D0B8ED"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В проучвания при животни и хора е доказано, че декскетопрофен инхибира активността на СОХ-1 и СОХ-2.</w:t>
      </w:r>
    </w:p>
    <w:p w14:paraId="4FB35B88" w14:textId="77777777" w:rsidR="0083138C" w:rsidRPr="0083138C" w:rsidRDefault="0083138C" w:rsidP="0083138C">
      <w:pPr>
        <w:spacing w:line="240" w:lineRule="auto"/>
        <w:rPr>
          <w:rFonts w:eastAsia="Times New Roman" w:cs="Arial"/>
          <w:color w:val="000000"/>
          <w:u w:val="single"/>
          <w:lang w:eastAsia="bg-BG"/>
        </w:rPr>
      </w:pPr>
    </w:p>
    <w:p w14:paraId="0C5325AE" w14:textId="281BDB28" w:rsidR="0083138C" w:rsidRPr="0083138C" w:rsidRDefault="0083138C" w:rsidP="0083138C">
      <w:pPr>
        <w:spacing w:line="240" w:lineRule="auto"/>
        <w:rPr>
          <w:rFonts w:eastAsia="Times New Roman" w:cs="Arial"/>
          <w:sz w:val="24"/>
          <w:szCs w:val="24"/>
        </w:rPr>
      </w:pPr>
      <w:r w:rsidRPr="0083138C">
        <w:rPr>
          <w:rFonts w:eastAsia="Times New Roman" w:cs="Arial"/>
          <w:color w:val="000000"/>
          <w:u w:val="single"/>
          <w:lang w:eastAsia="bg-BG"/>
        </w:rPr>
        <w:t>Клинична ефикасност и безопасност</w:t>
      </w:r>
    </w:p>
    <w:p w14:paraId="6CD945EC"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Клинични проучвания върху различни болкови модели демонстрират ефективна аналгетична активност на декскетопрофен.</w:t>
      </w:r>
    </w:p>
    <w:p w14:paraId="665C5409"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 xml:space="preserve">Аналгетичният ефект на декскетопрофен, приложен интрамускулно или интравенозно при умерена до силна болка, е доказан в няколко проучвания - хирургични болкови модели </w:t>
      </w:r>
      <w:r w:rsidRPr="0083138C">
        <w:rPr>
          <w:rFonts w:eastAsia="Times New Roman" w:cs="Arial"/>
          <w:color w:val="000000"/>
          <w:lang w:eastAsia="bg-BG"/>
        </w:rPr>
        <w:lastRenderedPageBreak/>
        <w:t>(ортопедични, гинекологични/коремни хирургични операции), както и при мускулно-скелетна болка (модели при остра болка в кръста) и бъбречна колика.</w:t>
      </w:r>
    </w:p>
    <w:p w14:paraId="486D7EBD" w14:textId="77777777" w:rsidR="0083138C" w:rsidRPr="0083138C" w:rsidRDefault="0083138C" w:rsidP="0083138C">
      <w:pPr>
        <w:spacing w:line="240" w:lineRule="auto"/>
        <w:rPr>
          <w:rFonts w:eastAsia="Times New Roman" w:cs="Arial"/>
          <w:color w:val="000000"/>
          <w:lang w:eastAsia="bg-BG"/>
        </w:rPr>
      </w:pPr>
    </w:p>
    <w:p w14:paraId="7F10CD49" w14:textId="2ECB4D9E"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 xml:space="preserve">В проведените проучвания, началото на аналгетичното действие е бързо, като в рамките на първите 45 минути се достига максимален аналгетичен ефект. Продължителността на аналгетичния ефект при приложение на 50 </w:t>
      </w:r>
      <w:r w:rsidRPr="0083138C">
        <w:rPr>
          <w:rFonts w:eastAsia="Times New Roman" w:cs="Arial"/>
          <w:color w:val="000000"/>
          <w:lang w:val="en-US"/>
        </w:rPr>
        <w:t>mg</w:t>
      </w:r>
      <w:r w:rsidRPr="0083138C">
        <w:rPr>
          <w:rFonts w:eastAsia="Times New Roman" w:cs="Arial"/>
          <w:color w:val="000000"/>
          <w:lang w:val="ru-RU"/>
        </w:rPr>
        <w:t xml:space="preserve"> </w:t>
      </w:r>
      <w:r w:rsidRPr="0083138C">
        <w:rPr>
          <w:rFonts w:eastAsia="Times New Roman" w:cs="Arial"/>
          <w:color w:val="000000"/>
          <w:lang w:eastAsia="bg-BG"/>
        </w:rPr>
        <w:t>декскетопрофен обикновено е 8 часа.</w:t>
      </w:r>
    </w:p>
    <w:p w14:paraId="4C7DFFF4" w14:textId="77777777" w:rsidR="0083138C" w:rsidRPr="0083138C" w:rsidRDefault="0083138C" w:rsidP="0083138C">
      <w:pPr>
        <w:spacing w:line="240" w:lineRule="auto"/>
        <w:rPr>
          <w:rFonts w:eastAsia="Times New Roman" w:cs="Arial"/>
          <w:color w:val="000000"/>
          <w:lang w:eastAsia="bg-BG"/>
        </w:rPr>
      </w:pPr>
    </w:p>
    <w:p w14:paraId="42A05890" w14:textId="2BA3F86C" w:rsidR="0083138C" w:rsidRPr="0083138C" w:rsidRDefault="0083138C" w:rsidP="0083138C">
      <w:pPr>
        <w:spacing w:line="240" w:lineRule="auto"/>
        <w:rPr>
          <w:rFonts w:ascii="Times New Roman" w:eastAsia="Times New Roman" w:hAnsi="Times New Roman" w:cs="Times New Roman"/>
          <w:sz w:val="24"/>
          <w:szCs w:val="24"/>
        </w:rPr>
      </w:pPr>
      <w:r w:rsidRPr="0083138C">
        <w:rPr>
          <w:rFonts w:eastAsia="Times New Roman" w:cs="Arial"/>
          <w:color w:val="000000"/>
          <w:lang w:eastAsia="bg-BG"/>
        </w:rPr>
        <w:t>Клинични проучвания за лечение на постоперативна болка демонстрират, че комбинираното приложение на Дексофен инжект и опиоиди сигнификантно намалява дозата на опиоида. В проучвания при постоперативна болка пациентите получават морфин чрез апарат за контролирана от пациента аналгезия. Пациентите, лекувани с декскетопрофен, се нуждаят от значително по-малко морфин (между 30-45 % по-малко), в сравнение с пациентите от плацебо- групата.</w:t>
      </w:r>
    </w:p>
    <w:p w14:paraId="29CB19D9" w14:textId="77777777" w:rsidR="0083138C" w:rsidRPr="0083138C" w:rsidRDefault="0083138C" w:rsidP="0083138C"/>
    <w:p w14:paraId="35F84B81" w14:textId="53613F59" w:rsidR="00CF77F7" w:rsidRDefault="002C50EE" w:rsidP="004A448E">
      <w:pPr>
        <w:pStyle w:val="Heading2"/>
      </w:pPr>
      <w:r>
        <w:t>5.2. Фармакокинетични свойства</w:t>
      </w:r>
    </w:p>
    <w:p w14:paraId="54C81B1D" w14:textId="1BC502F3" w:rsidR="0083138C" w:rsidRDefault="0083138C" w:rsidP="0083138C"/>
    <w:p w14:paraId="36621B23" w14:textId="77777777" w:rsidR="0083138C" w:rsidRPr="0083138C" w:rsidRDefault="0083138C" w:rsidP="0083138C">
      <w:pPr>
        <w:pStyle w:val="Heading3"/>
        <w:rPr>
          <w:rFonts w:eastAsia="Times New Roman"/>
          <w:u w:val="single"/>
        </w:rPr>
      </w:pPr>
      <w:r w:rsidRPr="0083138C">
        <w:rPr>
          <w:rFonts w:eastAsia="Times New Roman"/>
          <w:u w:val="single"/>
          <w:lang w:eastAsia="bg-BG"/>
        </w:rPr>
        <w:t>Абсорбция</w:t>
      </w:r>
    </w:p>
    <w:p w14:paraId="700EEED4" w14:textId="66BF3E4F" w:rsidR="0083138C" w:rsidRPr="0083138C" w:rsidRDefault="0083138C" w:rsidP="0083138C">
      <w:pPr>
        <w:rPr>
          <w:rFonts w:eastAsia="Times New Roman" w:cs="Arial"/>
          <w:color w:val="000000"/>
          <w:lang w:eastAsia="bg-BG"/>
        </w:rPr>
      </w:pPr>
      <w:r w:rsidRPr="0083138C">
        <w:rPr>
          <w:rFonts w:eastAsia="Times New Roman" w:cs="Arial"/>
          <w:color w:val="000000"/>
          <w:lang w:eastAsia="bg-BG"/>
        </w:rPr>
        <w:t xml:space="preserve">При интрамускулно приложение на декскетопрофен на хора, максимални концентрации се достигат на 20-та минута (от 10 до 45 минути). За еднократни дози от 25 </w:t>
      </w:r>
      <w:r w:rsidRPr="0083138C">
        <w:rPr>
          <w:rFonts w:eastAsia="Times New Roman" w:cs="Arial"/>
          <w:color w:val="000000"/>
          <w:lang w:val="en-US"/>
        </w:rPr>
        <w:t>mg</w:t>
      </w:r>
      <w:r w:rsidRPr="0083138C">
        <w:rPr>
          <w:rFonts w:eastAsia="Times New Roman" w:cs="Arial"/>
          <w:color w:val="000000"/>
          <w:lang w:val="ru-RU"/>
        </w:rPr>
        <w:t xml:space="preserve"> </w:t>
      </w:r>
      <w:r w:rsidRPr="0083138C">
        <w:rPr>
          <w:rFonts w:eastAsia="Times New Roman" w:cs="Arial"/>
          <w:color w:val="000000"/>
          <w:lang w:eastAsia="bg-BG"/>
        </w:rPr>
        <w:t>до 50</w:t>
      </w:r>
      <w:r w:rsidRPr="0083138C">
        <w:rPr>
          <w:rFonts w:eastAsia="Times New Roman" w:cs="Arial"/>
          <w:color w:val="000000"/>
          <w:lang w:val="ru-RU"/>
        </w:rPr>
        <w:t xml:space="preserve"> </w:t>
      </w:r>
      <w:r w:rsidRPr="0083138C">
        <w:rPr>
          <w:rFonts w:eastAsia="Times New Roman" w:cs="Arial"/>
          <w:color w:val="000000"/>
          <w:lang w:val="en-US"/>
        </w:rPr>
        <w:t>mg</w:t>
      </w:r>
      <w:r w:rsidRPr="0083138C">
        <w:rPr>
          <w:rFonts w:eastAsia="Times New Roman" w:cs="Arial"/>
          <w:color w:val="000000"/>
          <w:lang w:val="ru-RU"/>
        </w:rPr>
        <w:t xml:space="preserve">, </w:t>
      </w:r>
      <w:r w:rsidRPr="0083138C">
        <w:rPr>
          <w:rFonts w:eastAsia="Times New Roman" w:cs="Arial"/>
          <w:color w:val="000000"/>
          <w:lang w:eastAsia="bg-BG"/>
        </w:rPr>
        <w:t xml:space="preserve">площта под кривата </w:t>
      </w:r>
      <w:r w:rsidRPr="0083138C">
        <w:rPr>
          <w:rFonts w:eastAsia="Times New Roman" w:cs="Arial"/>
          <w:color w:val="000000"/>
          <w:lang w:val="ru-RU"/>
        </w:rPr>
        <w:t>(</w:t>
      </w:r>
      <w:r w:rsidRPr="0083138C">
        <w:rPr>
          <w:rFonts w:eastAsia="Times New Roman" w:cs="Arial"/>
          <w:color w:val="000000"/>
          <w:lang w:val="en-US"/>
        </w:rPr>
        <w:t>AUC</w:t>
      </w:r>
      <w:r w:rsidRPr="0083138C">
        <w:rPr>
          <w:rFonts w:eastAsia="Times New Roman" w:cs="Arial"/>
          <w:color w:val="000000"/>
          <w:lang w:val="ru-RU"/>
        </w:rPr>
        <w:t xml:space="preserve">, </w:t>
      </w:r>
      <w:r w:rsidRPr="0083138C">
        <w:rPr>
          <w:rFonts w:eastAsia="Times New Roman" w:cs="Arial"/>
          <w:color w:val="000000"/>
          <w:lang w:val="en-US"/>
        </w:rPr>
        <w:t>area</w:t>
      </w:r>
      <w:r w:rsidRPr="0083138C">
        <w:rPr>
          <w:rFonts w:eastAsia="Times New Roman" w:cs="Arial"/>
          <w:color w:val="000000"/>
          <w:lang w:val="ru-RU"/>
        </w:rPr>
        <w:t xml:space="preserve"> </w:t>
      </w:r>
      <w:r w:rsidRPr="0083138C">
        <w:rPr>
          <w:rFonts w:eastAsia="Times New Roman" w:cs="Arial"/>
          <w:color w:val="000000"/>
          <w:lang w:val="en-US"/>
        </w:rPr>
        <w:t>under</w:t>
      </w:r>
      <w:r w:rsidRPr="0083138C">
        <w:rPr>
          <w:rFonts w:eastAsia="Times New Roman" w:cs="Arial"/>
          <w:color w:val="000000"/>
          <w:lang w:val="ru-RU"/>
        </w:rPr>
        <w:t xml:space="preserve"> </w:t>
      </w:r>
      <w:r w:rsidRPr="0083138C">
        <w:rPr>
          <w:rFonts w:eastAsia="Times New Roman" w:cs="Arial"/>
          <w:color w:val="000000"/>
          <w:lang w:val="en-US"/>
        </w:rPr>
        <w:t>the</w:t>
      </w:r>
      <w:r w:rsidRPr="0083138C">
        <w:rPr>
          <w:rFonts w:eastAsia="Times New Roman" w:cs="Arial"/>
          <w:color w:val="000000"/>
          <w:lang w:val="ru-RU"/>
        </w:rPr>
        <w:t xml:space="preserve"> </w:t>
      </w:r>
      <w:r w:rsidRPr="0083138C">
        <w:rPr>
          <w:rFonts w:eastAsia="Times New Roman" w:cs="Arial"/>
          <w:color w:val="000000"/>
          <w:lang w:val="en-US"/>
        </w:rPr>
        <w:t>curve</w:t>
      </w:r>
      <w:r w:rsidRPr="0083138C">
        <w:rPr>
          <w:rFonts w:eastAsia="Times New Roman" w:cs="Arial"/>
          <w:color w:val="000000"/>
          <w:lang w:val="ru-RU"/>
        </w:rPr>
        <w:t xml:space="preserve">) </w:t>
      </w:r>
      <w:r w:rsidRPr="0083138C">
        <w:rPr>
          <w:rFonts w:eastAsia="Times New Roman" w:cs="Arial"/>
          <w:color w:val="000000"/>
          <w:lang w:eastAsia="bg-BG"/>
        </w:rPr>
        <w:t>е пропорционална на приложената доза както при интрамускулно, така и при интравенозно приложение.</w:t>
      </w:r>
    </w:p>
    <w:p w14:paraId="51C63856" w14:textId="3C6C1AB4" w:rsidR="0083138C" w:rsidRPr="0083138C" w:rsidRDefault="0083138C" w:rsidP="0083138C">
      <w:pPr>
        <w:rPr>
          <w:rFonts w:eastAsia="Times New Roman" w:cs="Arial"/>
          <w:color w:val="000000"/>
          <w:lang w:eastAsia="bg-BG"/>
        </w:rPr>
      </w:pPr>
    </w:p>
    <w:p w14:paraId="4DD152DF" w14:textId="77777777" w:rsidR="0083138C" w:rsidRPr="0083138C" w:rsidRDefault="0083138C" w:rsidP="0083138C">
      <w:pPr>
        <w:pStyle w:val="Heading3"/>
        <w:rPr>
          <w:rFonts w:eastAsia="Times New Roman"/>
          <w:u w:val="single"/>
        </w:rPr>
      </w:pPr>
      <w:r w:rsidRPr="0083138C">
        <w:rPr>
          <w:rFonts w:eastAsia="Times New Roman"/>
          <w:u w:val="single"/>
          <w:lang w:eastAsia="bg-BG"/>
        </w:rPr>
        <w:t>Разпределение</w:t>
      </w:r>
    </w:p>
    <w:p w14:paraId="7265245A"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 xml:space="preserve">Подобно на други лекарства с висока степен на свързване с плазмените протеини (99 %), обемът на разпределение има средна стойност под 0,25 </w:t>
      </w:r>
      <w:r w:rsidRPr="0083138C">
        <w:rPr>
          <w:rFonts w:eastAsia="Times New Roman" w:cs="Arial"/>
          <w:color w:val="000000"/>
          <w:lang w:val="ru-RU"/>
        </w:rPr>
        <w:t>1/</w:t>
      </w:r>
      <w:r w:rsidRPr="0083138C">
        <w:rPr>
          <w:rFonts w:eastAsia="Times New Roman" w:cs="Arial"/>
          <w:color w:val="000000"/>
          <w:lang w:val="en-US"/>
        </w:rPr>
        <w:t>kg</w:t>
      </w:r>
      <w:r w:rsidRPr="0083138C">
        <w:rPr>
          <w:rFonts w:eastAsia="Times New Roman" w:cs="Arial"/>
          <w:color w:val="000000"/>
          <w:lang w:val="ru-RU"/>
        </w:rPr>
        <w:t xml:space="preserve">. </w:t>
      </w:r>
      <w:r w:rsidRPr="0083138C">
        <w:rPr>
          <w:rFonts w:eastAsia="Times New Roman" w:cs="Arial"/>
          <w:color w:val="000000"/>
          <w:lang w:eastAsia="bg-BG"/>
        </w:rPr>
        <w:t>Времето за полуразпределение е средно 0,35 часа, а времето на полуживот е средно 1-2,7 часа.</w:t>
      </w:r>
    </w:p>
    <w:p w14:paraId="2D308DC1"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В многодозови фармакокинетични изпитвания е наблюдавано, че С</w:t>
      </w:r>
      <w:r w:rsidRPr="0083138C">
        <w:rPr>
          <w:rFonts w:eastAsia="Times New Roman" w:cs="Arial"/>
          <w:color w:val="000000"/>
          <w:vertAlign w:val="subscript"/>
          <w:lang w:val="en-US"/>
        </w:rPr>
        <w:t>max</w:t>
      </w:r>
      <w:r w:rsidRPr="0083138C">
        <w:rPr>
          <w:rFonts w:eastAsia="Times New Roman" w:cs="Arial"/>
          <w:color w:val="000000"/>
          <w:lang w:eastAsia="bg-BG"/>
        </w:rPr>
        <w:t xml:space="preserve"> и </w:t>
      </w:r>
      <w:r w:rsidRPr="0083138C">
        <w:rPr>
          <w:rFonts w:eastAsia="Times New Roman" w:cs="Arial"/>
          <w:color w:val="000000"/>
          <w:lang w:val="en-US"/>
        </w:rPr>
        <w:t>AUC</w:t>
      </w:r>
      <w:r w:rsidRPr="0083138C">
        <w:rPr>
          <w:rFonts w:eastAsia="Times New Roman" w:cs="Arial"/>
          <w:color w:val="000000"/>
          <w:lang w:val="ru-RU"/>
        </w:rPr>
        <w:t xml:space="preserve"> </w:t>
      </w:r>
      <w:r w:rsidRPr="0083138C">
        <w:rPr>
          <w:rFonts w:eastAsia="Times New Roman" w:cs="Arial"/>
          <w:color w:val="000000"/>
          <w:lang w:eastAsia="bg-BG"/>
        </w:rPr>
        <w:t>след интрамускулно и интравенозно приложение не се различават от тези, получени след прилагане на единична доза, което показва че не настъпва акумулиране на лекарството.</w:t>
      </w:r>
    </w:p>
    <w:p w14:paraId="31C8CB20" w14:textId="77777777" w:rsidR="0083138C" w:rsidRPr="0083138C" w:rsidRDefault="0083138C" w:rsidP="0083138C">
      <w:pPr>
        <w:spacing w:line="240" w:lineRule="auto"/>
        <w:rPr>
          <w:rFonts w:eastAsia="Times New Roman" w:cs="Arial"/>
          <w:color w:val="000000"/>
          <w:u w:val="single"/>
          <w:lang w:eastAsia="bg-BG"/>
        </w:rPr>
      </w:pPr>
    </w:p>
    <w:p w14:paraId="3ABADEBC" w14:textId="65E8DF3B" w:rsidR="0083138C" w:rsidRPr="0083138C" w:rsidRDefault="0083138C" w:rsidP="0083138C">
      <w:pPr>
        <w:pStyle w:val="Heading3"/>
        <w:rPr>
          <w:rFonts w:eastAsia="Times New Roman"/>
          <w:u w:val="single"/>
        </w:rPr>
      </w:pPr>
      <w:r w:rsidRPr="0083138C">
        <w:rPr>
          <w:rFonts w:eastAsia="Times New Roman"/>
          <w:u w:val="single"/>
          <w:lang w:eastAsia="bg-BG"/>
        </w:rPr>
        <w:t>Биотрансформация и елиминиране</w:t>
      </w:r>
    </w:p>
    <w:p w14:paraId="2DFF9FED"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 xml:space="preserve">След приложението на декскетопрофен трометамол, в урината се отделя само </w:t>
      </w:r>
      <w:r w:rsidRPr="0083138C">
        <w:rPr>
          <w:rFonts w:eastAsia="Times New Roman" w:cs="Arial"/>
          <w:color w:val="000000"/>
          <w:lang w:val="en-US"/>
        </w:rPr>
        <w:t>S</w:t>
      </w:r>
      <w:r w:rsidRPr="0083138C">
        <w:rPr>
          <w:rFonts w:eastAsia="Times New Roman" w:cs="Arial"/>
          <w:color w:val="000000"/>
          <w:lang w:val="ru-RU"/>
        </w:rPr>
        <w:t xml:space="preserve">-(+)- </w:t>
      </w:r>
      <w:r w:rsidRPr="0083138C">
        <w:rPr>
          <w:rFonts w:eastAsia="Times New Roman" w:cs="Arial"/>
          <w:color w:val="000000"/>
          <w:lang w:eastAsia="bg-BG"/>
        </w:rPr>
        <w:t xml:space="preserve">енантиомера, което демонстрира, че при хората няма конверсия в </w:t>
      </w:r>
      <w:r w:rsidRPr="0083138C">
        <w:rPr>
          <w:rFonts w:eastAsia="Times New Roman" w:cs="Arial"/>
          <w:color w:val="000000"/>
          <w:lang w:val="en-US"/>
        </w:rPr>
        <w:t>R</w:t>
      </w:r>
      <w:r w:rsidRPr="0083138C">
        <w:rPr>
          <w:rFonts w:eastAsia="Times New Roman" w:cs="Arial"/>
          <w:color w:val="000000"/>
          <w:lang w:eastAsia="bg-BG"/>
        </w:rPr>
        <w:t>-(-)-енантиомер. Основният път на елиминиране на декскетопрофен е глюкуронова конюгация и последваща бъбречна екскреция.</w:t>
      </w:r>
    </w:p>
    <w:p w14:paraId="35951299" w14:textId="77777777" w:rsidR="0083138C" w:rsidRPr="0083138C" w:rsidRDefault="0083138C" w:rsidP="0083138C">
      <w:pPr>
        <w:spacing w:line="240" w:lineRule="auto"/>
        <w:rPr>
          <w:rFonts w:eastAsia="Times New Roman" w:cs="Arial"/>
          <w:color w:val="000000"/>
          <w:u w:val="single"/>
          <w:lang w:eastAsia="bg-BG"/>
        </w:rPr>
      </w:pPr>
    </w:p>
    <w:p w14:paraId="42A70178" w14:textId="4484CC0E" w:rsidR="0083138C" w:rsidRPr="0083138C" w:rsidRDefault="0083138C" w:rsidP="0083138C">
      <w:pPr>
        <w:pStyle w:val="Heading3"/>
        <w:rPr>
          <w:rFonts w:eastAsia="Times New Roman"/>
          <w:u w:val="single"/>
        </w:rPr>
      </w:pPr>
      <w:r w:rsidRPr="0083138C">
        <w:rPr>
          <w:rFonts w:eastAsia="Times New Roman"/>
          <w:u w:val="single"/>
          <w:lang w:eastAsia="bg-BG"/>
        </w:rPr>
        <w:t>Старческа възраст</w:t>
      </w:r>
    </w:p>
    <w:p w14:paraId="1BF01F2E" w14:textId="77777777" w:rsidR="0083138C" w:rsidRPr="0083138C" w:rsidRDefault="0083138C" w:rsidP="0083138C">
      <w:pPr>
        <w:spacing w:line="240" w:lineRule="auto"/>
        <w:rPr>
          <w:rFonts w:eastAsia="Times New Roman" w:cs="Arial"/>
          <w:sz w:val="24"/>
          <w:szCs w:val="24"/>
        </w:rPr>
      </w:pPr>
      <w:r w:rsidRPr="0083138C">
        <w:rPr>
          <w:rFonts w:eastAsia="Times New Roman" w:cs="Arial"/>
          <w:color w:val="000000"/>
          <w:lang w:eastAsia="bg-BG"/>
        </w:rPr>
        <w:t>При здрави хора в старческа възраст (65 години и по-възрастни), експозицията на лекарството е значително по-висока, в сравнение с млади доброволци, след еднократно и многократно перорално приложение (до 55%), докато в максималните плазмени концентрации и времето за достигането им липсват статистически значими разлики. Средното време на полуживот се удължава след еднократно и многократно приложение (до 48%) и общият клирънс намалява.</w:t>
      </w:r>
    </w:p>
    <w:p w14:paraId="1A492E9B" w14:textId="77777777" w:rsidR="0083138C" w:rsidRPr="0083138C" w:rsidRDefault="0083138C" w:rsidP="0083138C"/>
    <w:p w14:paraId="648E39DA" w14:textId="60B2082A" w:rsidR="00CF77F7" w:rsidRDefault="002C50EE" w:rsidP="004A448E">
      <w:pPr>
        <w:pStyle w:val="Heading2"/>
      </w:pPr>
      <w:r>
        <w:t>5.3. Предклинични данни за безопасност</w:t>
      </w:r>
    </w:p>
    <w:p w14:paraId="28F01245" w14:textId="1CF9A0D5" w:rsidR="0083138C" w:rsidRDefault="0083138C" w:rsidP="0083138C"/>
    <w:p w14:paraId="048F39C1" w14:textId="77777777" w:rsidR="0083138C" w:rsidRPr="0083138C" w:rsidRDefault="0083138C" w:rsidP="0083138C">
      <w:pPr>
        <w:rPr>
          <w:sz w:val="24"/>
          <w:szCs w:val="24"/>
        </w:rPr>
      </w:pPr>
      <w:r w:rsidRPr="0083138C">
        <w:rPr>
          <w:lang w:eastAsia="bg-BG"/>
        </w:rPr>
        <w:t xml:space="preserve">Неклиничните данни не показват специфичен риск за хора, като се основават на конвенционални изследвания за безопасност, генотоксичност и имунофармакология. </w:t>
      </w:r>
      <w:r w:rsidRPr="0083138C">
        <w:rPr>
          <w:lang w:eastAsia="bg-BG"/>
        </w:rPr>
        <w:lastRenderedPageBreak/>
        <w:t xml:space="preserve">Проведените върху мишки и маймуни изследвания за хронична токсичност са показали ниво на липса на нежелани ефекти </w:t>
      </w:r>
      <w:r w:rsidRPr="0083138C">
        <w:rPr>
          <w:lang w:val="ru-RU"/>
        </w:rPr>
        <w:t>(</w:t>
      </w:r>
      <w:r w:rsidRPr="0083138C">
        <w:rPr>
          <w:lang w:val="en-US"/>
        </w:rPr>
        <w:t>NOAEL</w:t>
      </w:r>
      <w:r w:rsidRPr="0083138C">
        <w:rPr>
          <w:lang w:val="ru-RU"/>
        </w:rPr>
        <w:t xml:space="preserve">, </w:t>
      </w:r>
      <w:r w:rsidRPr="0083138C">
        <w:rPr>
          <w:lang w:val="en-US"/>
        </w:rPr>
        <w:t>No</w:t>
      </w:r>
      <w:r w:rsidRPr="0083138C">
        <w:rPr>
          <w:lang w:val="ru-RU"/>
        </w:rPr>
        <w:t xml:space="preserve"> </w:t>
      </w:r>
      <w:r w:rsidRPr="0083138C">
        <w:rPr>
          <w:lang w:val="en-US"/>
        </w:rPr>
        <w:t>Observed</w:t>
      </w:r>
      <w:r w:rsidRPr="0083138C">
        <w:rPr>
          <w:lang w:val="ru-RU"/>
        </w:rPr>
        <w:t xml:space="preserve"> </w:t>
      </w:r>
      <w:r w:rsidRPr="0083138C">
        <w:rPr>
          <w:lang w:val="en-US"/>
        </w:rPr>
        <w:t>Adverse</w:t>
      </w:r>
      <w:r w:rsidRPr="0083138C">
        <w:rPr>
          <w:lang w:val="ru-RU"/>
        </w:rPr>
        <w:t xml:space="preserve"> </w:t>
      </w:r>
      <w:r w:rsidRPr="0083138C">
        <w:rPr>
          <w:lang w:val="en-US"/>
        </w:rPr>
        <w:t>Effect</w:t>
      </w:r>
      <w:r w:rsidRPr="0083138C">
        <w:rPr>
          <w:lang w:val="ru-RU"/>
        </w:rPr>
        <w:t xml:space="preserve"> </w:t>
      </w:r>
      <w:r w:rsidRPr="0083138C">
        <w:rPr>
          <w:lang w:val="en-US"/>
        </w:rPr>
        <w:t>Level</w:t>
      </w:r>
      <w:r w:rsidRPr="0083138C">
        <w:rPr>
          <w:lang w:val="ru-RU"/>
        </w:rPr>
        <w:t xml:space="preserve">) </w:t>
      </w:r>
      <w:r w:rsidRPr="0083138C">
        <w:rPr>
          <w:lang w:eastAsia="bg-BG"/>
        </w:rPr>
        <w:t xml:space="preserve">при дози </w:t>
      </w:r>
      <w:r w:rsidRPr="0083138C">
        <w:rPr>
          <w:lang w:val="ru-RU"/>
        </w:rPr>
        <w:t xml:space="preserve">2 </w:t>
      </w:r>
      <w:r w:rsidRPr="0083138C">
        <w:rPr>
          <w:lang w:eastAsia="bg-BG"/>
        </w:rPr>
        <w:t>пъти по- високи от максималната препоръчвана доза при хора. Основните нежелани реакции наблюдавани при маймуни, при по-високи дози са кръв в изпражненията и намалено телесно тегло, а при най-високата доза - ерозивни гастроинтестинални лезии. Тези ефекти се появяват при дози, определящи експозиция на лекарството 14-18 пъти по-висока от тази при максималната препоръчвана доза при хора.</w:t>
      </w:r>
    </w:p>
    <w:p w14:paraId="05A758B7" w14:textId="77777777" w:rsidR="0083138C" w:rsidRPr="0083138C" w:rsidRDefault="0083138C" w:rsidP="0083138C">
      <w:pPr>
        <w:rPr>
          <w:sz w:val="24"/>
          <w:szCs w:val="24"/>
        </w:rPr>
      </w:pPr>
      <w:r w:rsidRPr="0083138C">
        <w:rPr>
          <w:lang w:eastAsia="bg-BG"/>
        </w:rPr>
        <w:t>Няма проучвания за канцерогенния потенциал при животните.</w:t>
      </w:r>
    </w:p>
    <w:p w14:paraId="2F9BD4F6" w14:textId="03E77219" w:rsidR="0083138C" w:rsidRDefault="0083138C" w:rsidP="0083138C">
      <w:pPr>
        <w:rPr>
          <w:lang w:eastAsia="bg-BG"/>
        </w:rPr>
      </w:pPr>
      <w:r w:rsidRPr="0083138C">
        <w:rPr>
          <w:lang w:eastAsia="bg-BG"/>
        </w:rPr>
        <w:t>Както е установено за целия фармакологичен клас на НСПВС, дексекетопрофен може да предизвика промени в ембрио-феталната преживяемост при животински модели, както косвено, така и чрез гастроинтестинална токсичност при бременни майки и директно върху развитието на плода.</w:t>
      </w:r>
    </w:p>
    <w:p w14:paraId="6110E0CA" w14:textId="77777777" w:rsidR="0083138C" w:rsidRPr="0083138C" w:rsidRDefault="0083138C" w:rsidP="0083138C">
      <w:pPr>
        <w:rPr>
          <w:sz w:val="24"/>
          <w:szCs w:val="24"/>
        </w:rPr>
      </w:pPr>
    </w:p>
    <w:p w14:paraId="6A7820AB" w14:textId="5F8C9450" w:rsidR="008A6AF2" w:rsidRDefault="002C50EE" w:rsidP="00395555">
      <w:pPr>
        <w:pStyle w:val="Heading1"/>
      </w:pPr>
      <w:r>
        <w:t>7. ПРИТЕЖАТЕЛ НА РАЗРЕШЕНИЕТО ЗА УПОТРЕБА</w:t>
      </w:r>
    </w:p>
    <w:p w14:paraId="3C791C88" w14:textId="77777777" w:rsidR="0083138C" w:rsidRDefault="0083138C" w:rsidP="0083138C">
      <w:pPr>
        <w:rPr>
          <w:lang w:val="en-US"/>
        </w:rPr>
      </w:pPr>
    </w:p>
    <w:p w14:paraId="793617B3" w14:textId="26B9AEF1" w:rsidR="0083138C" w:rsidRPr="0083138C" w:rsidRDefault="0083138C" w:rsidP="0083138C">
      <w:pPr>
        <w:rPr>
          <w:sz w:val="24"/>
          <w:szCs w:val="24"/>
          <w:lang w:val="en-US"/>
        </w:rPr>
      </w:pPr>
      <w:r w:rsidRPr="0083138C">
        <w:rPr>
          <w:lang w:val="en-US"/>
        </w:rPr>
        <w:t>Berlin-</w:t>
      </w:r>
      <w:proofErr w:type="spellStart"/>
      <w:r w:rsidRPr="0083138C">
        <w:rPr>
          <w:lang w:val="en-US"/>
        </w:rPr>
        <w:t>Chemie</w:t>
      </w:r>
      <w:proofErr w:type="spellEnd"/>
      <w:r w:rsidRPr="0083138C">
        <w:rPr>
          <w:lang w:val="en-US"/>
        </w:rPr>
        <w:t xml:space="preserve"> AG (MENARINI GROUP)</w:t>
      </w:r>
    </w:p>
    <w:p w14:paraId="2F22AB03" w14:textId="2B383799" w:rsidR="0083138C" w:rsidRPr="0083138C" w:rsidRDefault="0083138C" w:rsidP="0083138C">
      <w:proofErr w:type="spellStart"/>
      <w:r w:rsidRPr="0083138C">
        <w:rPr>
          <w:lang w:val="en-US"/>
        </w:rPr>
        <w:t>Glienicker</w:t>
      </w:r>
      <w:proofErr w:type="spellEnd"/>
      <w:r w:rsidRPr="0083138C">
        <w:rPr>
          <w:lang w:val="ru-RU"/>
        </w:rPr>
        <w:t xml:space="preserve"> </w:t>
      </w:r>
      <w:proofErr w:type="spellStart"/>
      <w:r w:rsidRPr="0083138C">
        <w:rPr>
          <w:lang w:val="en-US"/>
        </w:rPr>
        <w:t>Weg</w:t>
      </w:r>
      <w:proofErr w:type="spellEnd"/>
      <w:r w:rsidRPr="0083138C">
        <w:rPr>
          <w:lang w:val="ru-RU"/>
        </w:rPr>
        <w:t xml:space="preserve"> 125</w:t>
      </w:r>
      <w:proofErr w:type="gramStart"/>
      <w:r w:rsidRPr="0083138C">
        <w:rPr>
          <w:lang w:val="ru-RU"/>
        </w:rPr>
        <w:t>,12489</w:t>
      </w:r>
      <w:proofErr w:type="gramEnd"/>
      <w:r w:rsidRPr="0083138C">
        <w:rPr>
          <w:lang w:val="ru-RU"/>
        </w:rPr>
        <w:t xml:space="preserve"> </w:t>
      </w:r>
      <w:r w:rsidRPr="0083138C">
        <w:rPr>
          <w:lang w:val="en-US"/>
        </w:rPr>
        <w:t>Berlin</w:t>
      </w:r>
      <w:r w:rsidRPr="0083138C">
        <w:rPr>
          <w:lang w:val="ru-RU"/>
        </w:rPr>
        <w:t xml:space="preserve">, </w:t>
      </w:r>
      <w:r w:rsidRPr="0083138C">
        <w:rPr>
          <w:lang w:eastAsia="bg-BG"/>
        </w:rPr>
        <w:t>Германия</w:t>
      </w:r>
    </w:p>
    <w:p w14:paraId="7BA1BA64" w14:textId="0D48641A" w:rsidR="00CF77F7" w:rsidRDefault="002C50EE" w:rsidP="004A448E">
      <w:pPr>
        <w:pStyle w:val="Heading1"/>
      </w:pPr>
      <w:r>
        <w:t>8. НОМЕР НА РАЗРЕШЕНИЕТО ЗА УПОТРЕБА</w:t>
      </w:r>
    </w:p>
    <w:p w14:paraId="2D34F2FE" w14:textId="635AC0EE" w:rsidR="0083138C" w:rsidRDefault="0083138C" w:rsidP="0083138C"/>
    <w:p w14:paraId="2BA84F51" w14:textId="409153F4" w:rsidR="0083138C" w:rsidRPr="0083138C" w:rsidRDefault="0083138C" w:rsidP="0083138C">
      <w:r>
        <w:t>20050451</w:t>
      </w:r>
    </w:p>
    <w:p w14:paraId="2CCB5832" w14:textId="224EA15E" w:rsidR="007C605B" w:rsidRDefault="002C50EE" w:rsidP="007C605B">
      <w:pPr>
        <w:pStyle w:val="Heading1"/>
      </w:pPr>
      <w:r>
        <w:t>9. ДАТА НА ПЪРВО РАЗРЕШАВАНЕ/ПОДНОВЯВАНЕ НА РАЗРЕШЕНИЕТО ЗА УПОТРЕБА</w:t>
      </w:r>
    </w:p>
    <w:p w14:paraId="06B7E3CD" w14:textId="77777777" w:rsidR="0083138C" w:rsidRPr="0083138C" w:rsidRDefault="0083138C" w:rsidP="0083138C">
      <w:pPr>
        <w:rPr>
          <w:sz w:val="24"/>
          <w:szCs w:val="24"/>
        </w:rPr>
      </w:pPr>
      <w:r w:rsidRPr="0083138C">
        <w:rPr>
          <w:lang w:eastAsia="bg-BG"/>
        </w:rPr>
        <w:t>Дата на първо разрешаване: 08.09.2005</w:t>
      </w:r>
    </w:p>
    <w:p w14:paraId="3D9151F0" w14:textId="57AAE425" w:rsidR="0083138C" w:rsidRPr="0083138C" w:rsidRDefault="0083138C" w:rsidP="0083138C">
      <w:r w:rsidRPr="0083138C">
        <w:rPr>
          <w:lang w:eastAsia="bg-BG"/>
        </w:rPr>
        <w:t>Дата на последно подновяване: 11.01.2011</w:t>
      </w:r>
    </w:p>
    <w:p w14:paraId="0E9D0119" w14:textId="0245C6D7" w:rsidR="002C50EE" w:rsidRDefault="002C50EE" w:rsidP="002C50EE">
      <w:pPr>
        <w:pStyle w:val="Heading1"/>
      </w:pPr>
      <w:r>
        <w:t>10. ДАТА НА АКТУАЛИЗИРАНЕ НА ТЕКСТА</w:t>
      </w:r>
    </w:p>
    <w:bookmarkEnd w:id="0"/>
    <w:p w14:paraId="43FB38A2" w14:textId="39490B21" w:rsidR="007C605B" w:rsidRPr="003E3126" w:rsidRDefault="0083138C" w:rsidP="0083138C">
      <w:r>
        <w:t>04/2021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D496E"/>
    <w:multiLevelType w:val="hybridMultilevel"/>
    <w:tmpl w:val="8E40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9560A"/>
    <w:multiLevelType w:val="hybridMultilevel"/>
    <w:tmpl w:val="027CC4F2"/>
    <w:lvl w:ilvl="0" w:tplc="FE7460DA">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2"/>
  </w:num>
  <w:num w:numId="15">
    <w:abstractNumId w:val="30"/>
  </w:num>
  <w:num w:numId="16">
    <w:abstractNumId w:val="10"/>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3138C"/>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5069</Words>
  <Characters>28899</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2022-02-25T00:00:00Z</dcterms:created>
  <dcterms:modified xsi:type="dcterms:W3CDTF">2022-02-25T00:00:00Z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