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0A9EBC20" w14:textId="2BDEBDA5" w:rsidR="009F77A4" w:rsidRDefault="00DD466D" w:rsidP="00387A66">
      <w:pPr>
        <w:pStyle w:val="Heading1"/>
      </w:pPr>
      <w:r>
        <w:t>1.ИМЕ НА ЛЕКАРСТВЕНИЯ ПРОДУКТ</w:t>
      </w:r>
    </w:p>
    <w:p w14:paraId="1B1E39DC" w14:textId="719E7B5E" w:rsidR="00D34BA2" w:rsidRDefault="00D34BA2" w:rsidP="00D34BA2"/>
    <w:p w14:paraId="06C3159E" w14:textId="77777777" w:rsidR="00D34BA2" w:rsidRDefault="00D34BA2" w:rsidP="00D34BA2">
      <w:pPr>
        <w:rPr>
          <w:lang w:eastAsia="bg-BG"/>
        </w:rPr>
      </w:pPr>
      <w:r w:rsidRPr="00D34BA2">
        <w:rPr>
          <w:lang w:eastAsia="bg-BG"/>
        </w:rPr>
        <w:t xml:space="preserve">Диане 35 0,035 </w:t>
      </w:r>
      <w:r w:rsidRPr="00D34BA2">
        <w:rPr>
          <w:lang w:val="en-US"/>
        </w:rPr>
        <w:t xml:space="preserve">mg/2,0 mg </w:t>
      </w:r>
      <w:r w:rsidRPr="00D34BA2">
        <w:rPr>
          <w:lang w:eastAsia="bg-BG"/>
        </w:rPr>
        <w:t xml:space="preserve">обвити таблетки </w:t>
      </w:r>
    </w:p>
    <w:p w14:paraId="0D9485E7" w14:textId="08CEF614" w:rsidR="00D34BA2" w:rsidRPr="00D34BA2" w:rsidRDefault="00D34BA2" w:rsidP="00D34BA2">
      <w:pPr>
        <w:rPr>
          <w:sz w:val="24"/>
          <w:szCs w:val="24"/>
          <w:lang w:eastAsia="bg-BG"/>
        </w:rPr>
      </w:pPr>
      <w:r w:rsidRPr="00D34BA2">
        <w:rPr>
          <w:lang w:val="en-US"/>
        </w:rPr>
        <w:t xml:space="preserve">Diane </w:t>
      </w:r>
      <w:r w:rsidRPr="00D34BA2">
        <w:rPr>
          <w:lang w:eastAsia="bg-BG"/>
        </w:rPr>
        <w:t xml:space="preserve">35 0,035 </w:t>
      </w:r>
      <w:r w:rsidRPr="00D34BA2">
        <w:rPr>
          <w:lang w:val="en-US"/>
        </w:rPr>
        <w:t>mg/2,0 mg coated tablets</w:t>
      </w:r>
    </w:p>
    <w:p w14:paraId="67EFCC2B" w14:textId="77777777" w:rsidR="00D34BA2" w:rsidRPr="00D34BA2" w:rsidRDefault="00D34BA2" w:rsidP="00D34BA2"/>
    <w:p w14:paraId="0DF202EC" w14:textId="012E185D" w:rsidR="00F53FB7" w:rsidRDefault="00DD466D" w:rsidP="00A93499">
      <w:pPr>
        <w:pStyle w:val="Heading1"/>
      </w:pPr>
      <w:r>
        <w:t>2. КАЧЕСТВЕН И КОЛИЧЕСТВЕН СЪСТАВ</w:t>
      </w:r>
    </w:p>
    <w:p w14:paraId="60694D79" w14:textId="42CE02CF" w:rsidR="00D34BA2" w:rsidRDefault="00D34BA2" w:rsidP="00D34BA2"/>
    <w:p w14:paraId="5E2C0AC4" w14:textId="77777777" w:rsidR="00D34BA2" w:rsidRPr="00D34BA2" w:rsidRDefault="00D34BA2" w:rsidP="00D34BA2">
      <w:pPr>
        <w:rPr>
          <w:sz w:val="24"/>
          <w:szCs w:val="24"/>
          <w:lang w:eastAsia="bg-BG"/>
        </w:rPr>
      </w:pPr>
      <w:r w:rsidRPr="00D34BA2">
        <w:rPr>
          <w:lang w:eastAsia="bg-BG"/>
        </w:rPr>
        <w:t>21 съдържащи хормон бежови обвити таблетки:</w:t>
      </w:r>
    </w:p>
    <w:p w14:paraId="5AA5EBC0" w14:textId="77777777" w:rsidR="00D34BA2" w:rsidRPr="00D34BA2" w:rsidRDefault="00D34BA2" w:rsidP="00D34BA2">
      <w:pPr>
        <w:rPr>
          <w:sz w:val="24"/>
          <w:szCs w:val="24"/>
          <w:lang w:eastAsia="bg-BG"/>
        </w:rPr>
      </w:pPr>
      <w:r w:rsidRPr="00D34BA2">
        <w:rPr>
          <w:lang w:eastAsia="bg-BG"/>
        </w:rPr>
        <w:t xml:space="preserve">Всяка таблетка съдържа 0,035 </w:t>
      </w:r>
      <w:r w:rsidRPr="00D34BA2">
        <w:rPr>
          <w:lang w:val="en-US"/>
        </w:rPr>
        <w:t xml:space="preserve">mg </w:t>
      </w:r>
      <w:r w:rsidRPr="00D34BA2">
        <w:rPr>
          <w:lang w:eastAsia="bg-BG"/>
        </w:rPr>
        <w:t xml:space="preserve">етинилестрадиол </w:t>
      </w:r>
      <w:r w:rsidRPr="00D34BA2">
        <w:rPr>
          <w:i/>
          <w:iCs/>
          <w:lang w:val="en-US"/>
        </w:rPr>
        <w:t>(</w:t>
      </w:r>
      <w:proofErr w:type="spellStart"/>
      <w:r w:rsidRPr="00D34BA2">
        <w:rPr>
          <w:i/>
          <w:iCs/>
          <w:lang w:val="en-US"/>
        </w:rPr>
        <w:t>ethinylestradiol</w:t>
      </w:r>
      <w:proofErr w:type="spellEnd"/>
      <w:r w:rsidRPr="00D34BA2">
        <w:rPr>
          <w:i/>
          <w:iCs/>
          <w:lang w:val="en-US"/>
        </w:rPr>
        <w:t>)</w:t>
      </w:r>
      <w:r w:rsidRPr="00D34BA2">
        <w:rPr>
          <w:lang w:val="en-US"/>
        </w:rPr>
        <w:t xml:space="preserve"> </w:t>
      </w:r>
      <w:r w:rsidRPr="00D34BA2">
        <w:rPr>
          <w:lang w:eastAsia="bg-BG"/>
        </w:rPr>
        <w:t xml:space="preserve">и 2,0 </w:t>
      </w:r>
      <w:r w:rsidRPr="00D34BA2">
        <w:rPr>
          <w:lang w:val="en-US"/>
        </w:rPr>
        <w:t xml:space="preserve">mg </w:t>
      </w:r>
      <w:r w:rsidRPr="00D34BA2">
        <w:rPr>
          <w:lang w:eastAsia="bg-BG"/>
        </w:rPr>
        <w:t xml:space="preserve">ципротеронов ацетат </w:t>
      </w:r>
      <w:r w:rsidRPr="00D34BA2">
        <w:rPr>
          <w:i/>
          <w:iCs/>
          <w:lang w:val="en-US"/>
        </w:rPr>
        <w:t>(cyproterone acetate).</w:t>
      </w:r>
    </w:p>
    <w:p w14:paraId="07141C85" w14:textId="77777777" w:rsidR="00D34BA2" w:rsidRDefault="00D34BA2" w:rsidP="00D34BA2">
      <w:pPr>
        <w:rPr>
          <w:u w:val="single"/>
          <w:lang w:eastAsia="bg-BG"/>
        </w:rPr>
      </w:pPr>
    </w:p>
    <w:p w14:paraId="2A5209D4" w14:textId="4BB8AEBB" w:rsidR="00D34BA2" w:rsidRPr="00D34BA2" w:rsidRDefault="00D34BA2" w:rsidP="00D34BA2">
      <w:pPr>
        <w:rPr>
          <w:sz w:val="24"/>
          <w:szCs w:val="24"/>
          <w:lang w:eastAsia="bg-BG"/>
        </w:rPr>
      </w:pPr>
      <w:r w:rsidRPr="00D34BA2">
        <w:rPr>
          <w:u w:val="single"/>
          <w:lang w:eastAsia="bg-BG"/>
        </w:rPr>
        <w:t>Помощно(и) вешество(а) с известно действие:</w:t>
      </w:r>
      <w:r w:rsidRPr="00D34BA2">
        <w:rPr>
          <w:lang w:eastAsia="bg-BG"/>
        </w:rPr>
        <w:t xml:space="preserve"> лактоза монохидрат 31,115 </w:t>
      </w:r>
      <w:r w:rsidRPr="00D34BA2">
        <w:rPr>
          <w:lang w:val="en-US"/>
        </w:rPr>
        <w:t xml:space="preserve">mg </w:t>
      </w:r>
      <w:r w:rsidRPr="00D34BA2">
        <w:rPr>
          <w:lang w:eastAsia="bg-BG"/>
        </w:rPr>
        <w:t xml:space="preserve">и захароза </w:t>
      </w:r>
      <w:r w:rsidRPr="00D34BA2">
        <w:rPr>
          <w:lang w:val="en-US"/>
        </w:rPr>
        <w:t>19,371.mg.</w:t>
      </w:r>
    </w:p>
    <w:p w14:paraId="744E9B0F" w14:textId="77777777" w:rsidR="00D34BA2" w:rsidRPr="00D34BA2" w:rsidRDefault="00D34BA2" w:rsidP="00D34BA2"/>
    <w:p w14:paraId="4CABB9ED" w14:textId="1F4A2116" w:rsidR="00F53FB7" w:rsidRDefault="00DD466D" w:rsidP="00A93499">
      <w:pPr>
        <w:pStyle w:val="Heading1"/>
      </w:pPr>
      <w:r>
        <w:t>3. ЛЕКАРСТВЕНА ФОРМА</w:t>
      </w:r>
    </w:p>
    <w:p w14:paraId="717965F0" w14:textId="77777777" w:rsidR="00D34BA2" w:rsidRDefault="00D34BA2" w:rsidP="00D34BA2">
      <w:pPr>
        <w:spacing w:line="240" w:lineRule="auto"/>
        <w:rPr>
          <w:rFonts w:ascii="Times New Roman" w:eastAsia="Times New Roman" w:hAnsi="Times New Roman" w:cs="Times New Roman"/>
          <w:color w:val="000000"/>
          <w:sz w:val="20"/>
          <w:szCs w:val="20"/>
          <w:lang w:eastAsia="bg-BG"/>
        </w:rPr>
      </w:pPr>
    </w:p>
    <w:p w14:paraId="4BC49061" w14:textId="7E648619" w:rsidR="00D34BA2" w:rsidRPr="00D34BA2" w:rsidRDefault="00D34BA2" w:rsidP="00D34BA2">
      <w:pPr>
        <w:rPr>
          <w:sz w:val="24"/>
          <w:szCs w:val="24"/>
          <w:lang w:eastAsia="bg-BG"/>
        </w:rPr>
      </w:pPr>
      <w:r w:rsidRPr="00D34BA2">
        <w:rPr>
          <w:lang w:eastAsia="bg-BG"/>
        </w:rPr>
        <w:t>Обвита таблетка</w:t>
      </w:r>
    </w:p>
    <w:p w14:paraId="535F96DA" w14:textId="77777777" w:rsidR="00D34BA2" w:rsidRDefault="00D34BA2" w:rsidP="00D34BA2">
      <w:pPr>
        <w:rPr>
          <w:lang w:eastAsia="bg-BG"/>
        </w:rPr>
      </w:pPr>
    </w:p>
    <w:p w14:paraId="35651046" w14:textId="0B5F3756" w:rsidR="00D34BA2" w:rsidRPr="00D34BA2" w:rsidRDefault="00D34BA2" w:rsidP="00D34BA2">
      <w:pPr>
        <w:rPr>
          <w:sz w:val="24"/>
          <w:szCs w:val="24"/>
          <w:lang w:eastAsia="bg-BG"/>
        </w:rPr>
      </w:pPr>
      <w:r w:rsidRPr="00D34BA2">
        <w:rPr>
          <w:lang w:eastAsia="bg-BG"/>
        </w:rPr>
        <w:t>Таблетките са бежови на цвят, обвити, кръгли с конвексни повърхности.</w:t>
      </w:r>
    </w:p>
    <w:p w14:paraId="490FC2C4" w14:textId="6899DE43" w:rsidR="002C50EE" w:rsidRDefault="002C50EE" w:rsidP="002C50EE">
      <w:pPr>
        <w:pStyle w:val="Heading1"/>
      </w:pPr>
      <w:r>
        <w:t>4. КЛИНИЧНИ ДАННИ</w:t>
      </w:r>
    </w:p>
    <w:p w14:paraId="461901E4" w14:textId="52DBCAE0" w:rsidR="009F77A4" w:rsidRDefault="002C50EE" w:rsidP="00387A66">
      <w:pPr>
        <w:pStyle w:val="Heading2"/>
      </w:pPr>
      <w:r>
        <w:t>4.1. Терапевтични показания</w:t>
      </w:r>
    </w:p>
    <w:p w14:paraId="5502D9A7" w14:textId="6964B32F" w:rsidR="00D34BA2" w:rsidRDefault="00D34BA2" w:rsidP="00D34BA2"/>
    <w:p w14:paraId="6B75A1DF" w14:textId="77777777" w:rsidR="00D34BA2" w:rsidRPr="00D34BA2" w:rsidRDefault="00D34BA2" w:rsidP="00D34BA2">
      <w:pPr>
        <w:rPr>
          <w:sz w:val="24"/>
          <w:szCs w:val="24"/>
          <w:lang w:eastAsia="bg-BG"/>
        </w:rPr>
      </w:pPr>
      <w:r w:rsidRPr="00D34BA2">
        <w:rPr>
          <w:lang w:eastAsia="bg-BG"/>
        </w:rPr>
        <w:t xml:space="preserve">Лечение на умерено до тежко акне, свързано с чувствителност към андрогени (със или без себорея) </w:t>
      </w:r>
      <w:r w:rsidRPr="00D34BA2">
        <w:rPr>
          <w:i/>
          <w:iCs/>
          <w:lang w:eastAsia="bg-BG"/>
        </w:rPr>
        <w:t>и/или</w:t>
      </w:r>
      <w:r w:rsidRPr="00D34BA2">
        <w:rPr>
          <w:lang w:eastAsia="bg-BG"/>
        </w:rPr>
        <w:t xml:space="preserve"> хирзутизъм при жени в репродуктивна възраст.</w:t>
      </w:r>
    </w:p>
    <w:p w14:paraId="1ACFCA78" w14:textId="77777777" w:rsidR="00D34BA2" w:rsidRPr="00D34BA2" w:rsidRDefault="00D34BA2" w:rsidP="00D34BA2">
      <w:pPr>
        <w:rPr>
          <w:sz w:val="24"/>
          <w:szCs w:val="24"/>
          <w:lang w:eastAsia="bg-BG"/>
        </w:rPr>
      </w:pPr>
      <w:r w:rsidRPr="00D34BA2">
        <w:rPr>
          <w:lang w:eastAsia="bg-BG"/>
        </w:rPr>
        <w:t>За лечение на акне Диане 35 трябва да се използва само след като локалната терапия или лечението със системни антибиотици са били неуспешни.</w:t>
      </w:r>
    </w:p>
    <w:p w14:paraId="573AF1E8" w14:textId="1A807A9F" w:rsidR="00D34BA2" w:rsidRDefault="00D34BA2" w:rsidP="00D34BA2">
      <w:pPr>
        <w:rPr>
          <w:lang w:eastAsia="bg-BG"/>
        </w:rPr>
      </w:pPr>
      <w:r w:rsidRPr="00D34BA2">
        <w:rPr>
          <w:lang w:eastAsia="bg-BG"/>
        </w:rPr>
        <w:t>Тъй като Диане 35 е също и хормонален контрацептив, той не трябва да се използва в комбинация с други хормонални контрацептиви (вж. точка 4.3).</w:t>
      </w:r>
    </w:p>
    <w:p w14:paraId="4DECDA96" w14:textId="77777777" w:rsidR="00D34BA2" w:rsidRPr="00D34BA2" w:rsidRDefault="00D34BA2" w:rsidP="00D34BA2">
      <w:pPr>
        <w:rPr>
          <w:sz w:val="24"/>
          <w:szCs w:val="24"/>
          <w:lang w:eastAsia="bg-BG"/>
        </w:rPr>
      </w:pPr>
    </w:p>
    <w:p w14:paraId="31744E5A" w14:textId="47011FB5" w:rsidR="009F77A4" w:rsidRDefault="002C50EE" w:rsidP="00387A66">
      <w:pPr>
        <w:pStyle w:val="Heading2"/>
      </w:pPr>
      <w:r>
        <w:t>4.2. Дозировка и начин на приложение</w:t>
      </w:r>
    </w:p>
    <w:p w14:paraId="112A3002" w14:textId="128A8882" w:rsidR="00D34BA2" w:rsidRDefault="00D34BA2" w:rsidP="00D34BA2"/>
    <w:p w14:paraId="6C6B06E9" w14:textId="77777777" w:rsidR="00D34BA2" w:rsidRPr="003125A3" w:rsidRDefault="00D34BA2" w:rsidP="003125A3">
      <w:pPr>
        <w:pStyle w:val="Heading3"/>
        <w:rPr>
          <w:rFonts w:eastAsia="Times New Roman"/>
          <w:u w:val="single"/>
          <w:lang w:eastAsia="bg-BG"/>
        </w:rPr>
      </w:pPr>
      <w:r w:rsidRPr="003125A3">
        <w:rPr>
          <w:rFonts w:eastAsia="Times New Roman"/>
          <w:u w:val="single"/>
          <w:lang w:eastAsia="bg-BG"/>
        </w:rPr>
        <w:t>Дозировка</w:t>
      </w:r>
    </w:p>
    <w:p w14:paraId="3E8F8273" w14:textId="77777777" w:rsidR="00D34BA2" w:rsidRPr="003125A3" w:rsidRDefault="00D34BA2" w:rsidP="00D34BA2">
      <w:pPr>
        <w:spacing w:line="240" w:lineRule="auto"/>
        <w:rPr>
          <w:rFonts w:eastAsia="Times New Roman" w:cs="Arial"/>
          <w:i/>
          <w:iCs/>
          <w:color w:val="000000"/>
          <w:lang w:eastAsia="bg-BG"/>
        </w:rPr>
      </w:pPr>
    </w:p>
    <w:p w14:paraId="60F4FBEC" w14:textId="76629232" w:rsidR="00D34BA2" w:rsidRPr="00D34BA2" w:rsidRDefault="00D34BA2" w:rsidP="00D34BA2">
      <w:pPr>
        <w:spacing w:line="240" w:lineRule="auto"/>
        <w:rPr>
          <w:rFonts w:eastAsia="Times New Roman" w:cs="Arial"/>
          <w:lang w:eastAsia="bg-BG"/>
        </w:rPr>
      </w:pPr>
      <w:r w:rsidRPr="00D34BA2">
        <w:rPr>
          <w:rFonts w:eastAsia="Times New Roman" w:cs="Arial"/>
          <w:i/>
          <w:iCs/>
          <w:color w:val="000000"/>
          <w:lang w:eastAsia="bg-BG"/>
        </w:rPr>
        <w:t>Как да приемате Диане 35</w:t>
      </w:r>
    </w:p>
    <w:p w14:paraId="789B5750" w14:textId="77777777" w:rsidR="00D34BA2" w:rsidRPr="003125A3" w:rsidRDefault="00D34BA2" w:rsidP="00D34BA2">
      <w:pPr>
        <w:spacing w:line="240" w:lineRule="auto"/>
        <w:rPr>
          <w:rFonts w:eastAsia="Times New Roman" w:cs="Arial"/>
          <w:color w:val="000000"/>
          <w:lang w:eastAsia="bg-BG"/>
        </w:rPr>
      </w:pPr>
    </w:p>
    <w:p w14:paraId="31718080" w14:textId="228C3A0A" w:rsidR="00D34BA2" w:rsidRPr="00D34BA2" w:rsidRDefault="00D34BA2" w:rsidP="00D34BA2">
      <w:pPr>
        <w:spacing w:line="240" w:lineRule="auto"/>
        <w:rPr>
          <w:rFonts w:eastAsia="Times New Roman" w:cs="Arial"/>
          <w:lang w:eastAsia="bg-BG"/>
        </w:rPr>
      </w:pPr>
      <w:r w:rsidRPr="00D34BA2">
        <w:rPr>
          <w:rFonts w:eastAsia="Times New Roman" w:cs="Arial"/>
          <w:color w:val="000000"/>
          <w:lang w:eastAsia="bg-BG"/>
        </w:rPr>
        <w:t xml:space="preserve">Диане 35 трява да се приема редовно, за да се постигне терапевтичния ефект и желаната контрацептивна защита. Използваната преди това хормонална контрацепция трябва да бъде преустановена. Схемата за дозиране на Диане 35 е подобна на обичайната схема за прием на повечето комбинирани перорални контрацептиви. Ето защо, трябва да се </w:t>
      </w:r>
      <w:r w:rsidRPr="00D34BA2">
        <w:rPr>
          <w:rFonts w:eastAsia="Times New Roman" w:cs="Arial"/>
          <w:color w:val="000000"/>
          <w:lang w:eastAsia="bg-BG"/>
        </w:rPr>
        <w:lastRenderedPageBreak/>
        <w:t>спазват същите правила за приложение. Когато се приемат правилно, комбинираните перорални контрацептиви имат честота на неуспех на метода приблизително 1 % годишно. Нередовният прием на Диане 35 може да предизвика интерменструално кървене и да намали лечебния и контрацептивен ефект.</w:t>
      </w:r>
    </w:p>
    <w:p w14:paraId="727DFF5D" w14:textId="77777777" w:rsidR="00D34BA2" w:rsidRPr="003125A3" w:rsidRDefault="00D34BA2" w:rsidP="00D34BA2">
      <w:pPr>
        <w:spacing w:line="240" w:lineRule="auto"/>
        <w:rPr>
          <w:rFonts w:eastAsia="Times New Roman" w:cs="Arial"/>
          <w:color w:val="000000"/>
          <w:lang w:eastAsia="bg-BG"/>
        </w:rPr>
      </w:pPr>
    </w:p>
    <w:p w14:paraId="42A45F19" w14:textId="77777777" w:rsidR="00D34BA2" w:rsidRPr="003125A3" w:rsidRDefault="00D34BA2" w:rsidP="00D34BA2">
      <w:pPr>
        <w:rPr>
          <w:rFonts w:eastAsia="Times New Roman" w:cs="Arial"/>
          <w:lang w:eastAsia="bg-BG"/>
        </w:rPr>
      </w:pPr>
      <w:r w:rsidRPr="00D34BA2">
        <w:rPr>
          <w:rFonts w:eastAsia="Times New Roman" w:cs="Arial"/>
          <w:color w:val="000000"/>
          <w:lang w:eastAsia="bg-BG"/>
        </w:rPr>
        <w:t>Таблетките трябва да се вземат в последователността, която е посочена върху опаковката, всеки ден по едно и също време с малко количество течност. Приема се по 1 таблетка дневно 21 последователни дни. След 7 дни, в които не се взимат таблетките, се започва следващата опаковка. Поради спиране приема на таблетки в тези дни обикновено се появяв отпадно</w:t>
      </w:r>
      <w:r w:rsidRPr="003125A3">
        <w:rPr>
          <w:rFonts w:eastAsia="Times New Roman" w:cs="Arial"/>
          <w:color w:val="000000"/>
          <w:lang w:eastAsia="bg-BG"/>
        </w:rPr>
        <w:t xml:space="preserve"> </w:t>
      </w:r>
      <w:r w:rsidRPr="003125A3">
        <w:rPr>
          <w:rFonts w:eastAsia="Times New Roman" w:cs="Arial"/>
          <w:color w:val="000000"/>
          <w:lang w:eastAsia="bg-BG"/>
        </w:rPr>
        <w:t>кървене. То започва на 2-3 ден след последната обвита таблетка и може да не е свършило преди започване на следващата опаковка.</w:t>
      </w:r>
    </w:p>
    <w:p w14:paraId="19A33E51" w14:textId="77777777" w:rsidR="00D34BA2" w:rsidRPr="003125A3" w:rsidRDefault="00D34BA2" w:rsidP="00D34BA2">
      <w:pPr>
        <w:spacing w:line="240" w:lineRule="auto"/>
        <w:rPr>
          <w:rFonts w:eastAsia="Times New Roman" w:cs="Arial"/>
          <w:i/>
          <w:iCs/>
          <w:color w:val="000000"/>
          <w:lang w:eastAsia="bg-BG"/>
        </w:rPr>
      </w:pPr>
    </w:p>
    <w:p w14:paraId="36E10D50" w14:textId="7B8432F1" w:rsidR="00D34BA2" w:rsidRPr="00D34BA2" w:rsidRDefault="00D34BA2" w:rsidP="00D34BA2">
      <w:pPr>
        <w:spacing w:line="240" w:lineRule="auto"/>
        <w:rPr>
          <w:rFonts w:eastAsia="Times New Roman" w:cs="Arial"/>
          <w:lang w:eastAsia="bg-BG"/>
        </w:rPr>
      </w:pPr>
      <w:r w:rsidRPr="00D34BA2">
        <w:rPr>
          <w:rFonts w:eastAsia="Times New Roman" w:cs="Arial"/>
          <w:i/>
          <w:iCs/>
          <w:color w:val="000000"/>
          <w:lang w:eastAsia="bg-BG"/>
        </w:rPr>
        <w:t>Как да започнем употребата на Диане 35</w:t>
      </w:r>
    </w:p>
    <w:p w14:paraId="7142D9F9" w14:textId="77777777" w:rsidR="00D34BA2" w:rsidRPr="003125A3" w:rsidRDefault="00D34BA2" w:rsidP="00D34BA2">
      <w:pPr>
        <w:spacing w:line="240" w:lineRule="auto"/>
        <w:rPr>
          <w:rFonts w:eastAsia="Times New Roman" w:cs="Arial"/>
          <w:i/>
          <w:iCs/>
          <w:color w:val="000000"/>
          <w:lang w:eastAsia="bg-BG"/>
        </w:rPr>
      </w:pPr>
    </w:p>
    <w:p w14:paraId="72C8779F" w14:textId="65365AB6" w:rsidR="00D34BA2" w:rsidRPr="003125A3" w:rsidRDefault="00D34BA2" w:rsidP="00D34BA2">
      <w:pPr>
        <w:pStyle w:val="ListParagraph"/>
        <w:numPr>
          <w:ilvl w:val="0"/>
          <w:numId w:val="40"/>
        </w:numPr>
        <w:spacing w:line="240" w:lineRule="auto"/>
        <w:rPr>
          <w:rFonts w:eastAsia="Times New Roman" w:cs="Arial"/>
          <w:lang w:eastAsia="bg-BG"/>
        </w:rPr>
      </w:pPr>
      <w:r w:rsidRPr="003125A3">
        <w:rPr>
          <w:rFonts w:eastAsia="Times New Roman" w:cs="Arial"/>
          <w:i/>
          <w:iCs/>
          <w:color w:val="000000"/>
          <w:lang w:eastAsia="bg-BG"/>
        </w:rPr>
        <w:t>Преди това не е използван хормонален контрацептивен метод (в предишния месец)</w:t>
      </w:r>
    </w:p>
    <w:p w14:paraId="4DCD6B57" w14:textId="77777777" w:rsidR="00D34BA2" w:rsidRPr="003125A3" w:rsidRDefault="00D34BA2" w:rsidP="00D34BA2">
      <w:pPr>
        <w:spacing w:line="240" w:lineRule="auto"/>
        <w:rPr>
          <w:rFonts w:eastAsia="Times New Roman" w:cs="Arial"/>
          <w:color w:val="000000"/>
          <w:lang w:eastAsia="bg-BG"/>
        </w:rPr>
      </w:pPr>
    </w:p>
    <w:p w14:paraId="0FA20C7F" w14:textId="6AE42788" w:rsidR="00D34BA2" w:rsidRPr="00D34BA2" w:rsidRDefault="00D34BA2" w:rsidP="00D34BA2">
      <w:pPr>
        <w:spacing w:line="240" w:lineRule="auto"/>
        <w:rPr>
          <w:rFonts w:eastAsia="Times New Roman" w:cs="Arial"/>
          <w:lang w:eastAsia="bg-BG"/>
        </w:rPr>
      </w:pPr>
      <w:r w:rsidRPr="00D34BA2">
        <w:rPr>
          <w:rFonts w:eastAsia="Times New Roman" w:cs="Arial"/>
          <w:color w:val="000000"/>
          <w:lang w:eastAsia="bg-BG"/>
        </w:rPr>
        <w:t>Приемът на таблетки трябва да започне от първия ден на естествения цикъл (т.е първия ден на менструалното кървене). Възможно е да се започне от 2-5 ден, но по време на първия цикъл трябва да се използва допълнителен бариерен метод за предпазване от бременност в първите 7 дни от приема на таблетките.</w:t>
      </w:r>
    </w:p>
    <w:p w14:paraId="5E8DA66D" w14:textId="77777777" w:rsidR="00D34BA2" w:rsidRPr="003125A3" w:rsidRDefault="00D34BA2" w:rsidP="00D34BA2">
      <w:pPr>
        <w:spacing w:line="240" w:lineRule="auto"/>
        <w:rPr>
          <w:rFonts w:eastAsia="Times New Roman" w:cs="Arial"/>
          <w:i/>
          <w:iCs/>
          <w:color w:val="000000"/>
          <w:lang w:eastAsia="bg-BG"/>
        </w:rPr>
      </w:pPr>
    </w:p>
    <w:p w14:paraId="56C60FD2" w14:textId="5B8A2A82" w:rsidR="00D34BA2" w:rsidRPr="003125A3" w:rsidRDefault="00D34BA2" w:rsidP="00D34BA2">
      <w:pPr>
        <w:pStyle w:val="ListParagraph"/>
        <w:numPr>
          <w:ilvl w:val="0"/>
          <w:numId w:val="40"/>
        </w:numPr>
        <w:spacing w:line="240" w:lineRule="auto"/>
        <w:rPr>
          <w:rFonts w:eastAsia="Times New Roman" w:cs="Arial"/>
          <w:lang w:eastAsia="bg-BG"/>
        </w:rPr>
      </w:pPr>
      <w:r w:rsidRPr="003125A3">
        <w:rPr>
          <w:rFonts w:eastAsia="Times New Roman" w:cs="Arial"/>
          <w:i/>
          <w:iCs/>
          <w:color w:val="000000"/>
          <w:lang w:eastAsia="bg-BG"/>
        </w:rPr>
        <w:t>Преминаване от други комбинирани хормонални контрацептиви (комбинирани перорални контрацептиви, КОК), вагинален пръстен или трансдермален пластир</w:t>
      </w:r>
    </w:p>
    <w:p w14:paraId="44455F4E" w14:textId="77777777" w:rsidR="00D34BA2" w:rsidRPr="003125A3" w:rsidRDefault="00D34BA2" w:rsidP="00D34BA2">
      <w:pPr>
        <w:spacing w:line="240" w:lineRule="auto"/>
        <w:rPr>
          <w:rFonts w:eastAsia="Times New Roman" w:cs="Arial"/>
          <w:color w:val="000000"/>
          <w:lang w:eastAsia="bg-BG"/>
        </w:rPr>
      </w:pPr>
    </w:p>
    <w:p w14:paraId="0759C129" w14:textId="646CFD7C" w:rsidR="00D34BA2" w:rsidRPr="00D34BA2" w:rsidRDefault="00D34BA2" w:rsidP="00D34BA2">
      <w:pPr>
        <w:spacing w:line="240" w:lineRule="auto"/>
        <w:rPr>
          <w:rFonts w:eastAsia="Times New Roman" w:cs="Arial"/>
          <w:lang w:eastAsia="bg-BG"/>
        </w:rPr>
      </w:pPr>
      <w:r w:rsidRPr="00D34BA2">
        <w:rPr>
          <w:rFonts w:eastAsia="Times New Roman" w:cs="Arial"/>
          <w:color w:val="000000"/>
          <w:lang w:eastAsia="bg-BG"/>
        </w:rPr>
        <w:t>Пациентката трябва да започне приема на Диане 35 за предпочитане в деня след последната хормон-съдържаща таблетка от предишният КОК и най-късно в деня след обичайния интервал без прием на таблетки или с прием на таблетки, които не съдържат хормон от предишният КОК. В случай, че пациентката е използвала вагинален пръстен или трансдермален пластир, тя трябва да започне да приема Диане 35, за предпочитане в деня на отстраняването на последния пръстен или пластир от опаковката предназначена за един цикъл, но не по-късно от деня на следващо планирано приложение.</w:t>
      </w:r>
    </w:p>
    <w:p w14:paraId="0960AD8E" w14:textId="77777777" w:rsidR="00D34BA2" w:rsidRPr="003125A3" w:rsidRDefault="00D34BA2" w:rsidP="00D34BA2">
      <w:pPr>
        <w:spacing w:line="240" w:lineRule="auto"/>
        <w:rPr>
          <w:rFonts w:eastAsia="Times New Roman" w:cs="Arial"/>
          <w:i/>
          <w:iCs/>
          <w:color w:val="000000"/>
          <w:lang w:eastAsia="bg-BG"/>
        </w:rPr>
      </w:pPr>
    </w:p>
    <w:p w14:paraId="1953FB84" w14:textId="32CD4F1C" w:rsidR="00D34BA2" w:rsidRPr="003125A3" w:rsidRDefault="00D34BA2" w:rsidP="00D34BA2">
      <w:pPr>
        <w:pStyle w:val="ListParagraph"/>
        <w:numPr>
          <w:ilvl w:val="0"/>
          <w:numId w:val="40"/>
        </w:numPr>
        <w:spacing w:line="240" w:lineRule="auto"/>
        <w:rPr>
          <w:rFonts w:eastAsia="Times New Roman" w:cs="Arial"/>
          <w:lang w:eastAsia="bg-BG"/>
        </w:rPr>
      </w:pPr>
      <w:r w:rsidRPr="003125A3">
        <w:rPr>
          <w:rFonts w:eastAsia="Times New Roman" w:cs="Arial"/>
          <w:i/>
          <w:iCs/>
          <w:color w:val="000000"/>
          <w:lang w:eastAsia="bg-BG"/>
        </w:rPr>
        <w:t xml:space="preserve">Преминаване от съдържащ само прогестоген метод (минитаблетки, инжекции, имплантати) или от прогестоген освобождаваща интраутеринна система </w:t>
      </w:r>
      <w:r w:rsidRPr="003125A3">
        <w:rPr>
          <w:rFonts w:eastAsia="Times New Roman" w:cs="Arial"/>
          <w:i/>
          <w:iCs/>
          <w:color w:val="000000"/>
          <w:lang w:val="en-US"/>
        </w:rPr>
        <w:t>(IUS)</w:t>
      </w:r>
    </w:p>
    <w:p w14:paraId="33E066E1" w14:textId="77777777" w:rsidR="00D34BA2" w:rsidRPr="003125A3" w:rsidRDefault="00D34BA2" w:rsidP="00D34BA2">
      <w:pPr>
        <w:spacing w:line="240" w:lineRule="auto"/>
        <w:rPr>
          <w:rFonts w:eastAsia="Times New Roman" w:cs="Arial"/>
          <w:color w:val="000000"/>
          <w:lang w:eastAsia="bg-BG"/>
        </w:rPr>
      </w:pPr>
    </w:p>
    <w:p w14:paraId="45E4C494" w14:textId="603A33C1" w:rsidR="00D34BA2" w:rsidRPr="00D34BA2" w:rsidRDefault="00D34BA2" w:rsidP="00D34BA2">
      <w:pPr>
        <w:spacing w:line="240" w:lineRule="auto"/>
        <w:rPr>
          <w:rFonts w:eastAsia="Times New Roman" w:cs="Arial"/>
          <w:lang w:eastAsia="bg-BG"/>
        </w:rPr>
      </w:pPr>
      <w:r w:rsidRPr="00D34BA2">
        <w:rPr>
          <w:rFonts w:eastAsia="Times New Roman" w:cs="Arial"/>
          <w:color w:val="000000"/>
          <w:lang w:eastAsia="bg-BG"/>
        </w:rPr>
        <w:t xml:space="preserve">Пациентката може да премине, в който и да е ден от приема на минитаблетките (от имплантата или от </w:t>
      </w:r>
      <w:r w:rsidRPr="00D34BA2">
        <w:rPr>
          <w:rFonts w:eastAsia="Times New Roman" w:cs="Arial"/>
          <w:color w:val="000000"/>
          <w:lang w:val="en-US"/>
        </w:rPr>
        <w:t xml:space="preserve">IUS </w:t>
      </w:r>
      <w:r w:rsidRPr="00D34BA2">
        <w:rPr>
          <w:rFonts w:eastAsia="Times New Roman" w:cs="Arial"/>
          <w:color w:val="000000"/>
          <w:lang w:eastAsia="bg-BG"/>
        </w:rPr>
        <w:t>в деня на отстраняването им, от инжекцията в деня, в който е трябвало да се постави следващата инжекция), но във всички случаи трябва да се използва допълнително друг бариерен метод в първите 7 дни от приема на таблетките.</w:t>
      </w:r>
    </w:p>
    <w:p w14:paraId="274C6393" w14:textId="77777777" w:rsidR="00D34BA2" w:rsidRPr="003125A3" w:rsidRDefault="00D34BA2" w:rsidP="00D34BA2">
      <w:pPr>
        <w:spacing w:line="240" w:lineRule="auto"/>
        <w:rPr>
          <w:rFonts w:eastAsia="Times New Roman" w:cs="Arial"/>
          <w:i/>
          <w:iCs/>
          <w:color w:val="000000"/>
          <w:lang w:eastAsia="bg-BG"/>
        </w:rPr>
      </w:pPr>
    </w:p>
    <w:p w14:paraId="7456427F" w14:textId="67EDC285" w:rsidR="00D34BA2" w:rsidRPr="003125A3" w:rsidRDefault="00D34BA2" w:rsidP="00D34BA2">
      <w:pPr>
        <w:pStyle w:val="ListParagraph"/>
        <w:numPr>
          <w:ilvl w:val="0"/>
          <w:numId w:val="40"/>
        </w:numPr>
        <w:spacing w:line="240" w:lineRule="auto"/>
        <w:rPr>
          <w:rFonts w:eastAsia="Times New Roman" w:cs="Arial"/>
          <w:lang w:eastAsia="bg-BG"/>
        </w:rPr>
      </w:pPr>
      <w:r w:rsidRPr="003125A3">
        <w:rPr>
          <w:rFonts w:eastAsia="Times New Roman" w:cs="Arial"/>
          <w:i/>
          <w:iCs/>
          <w:color w:val="000000"/>
          <w:lang w:eastAsia="bg-BG"/>
        </w:rPr>
        <w:t>След аборт в първото тримесечие на бременността</w:t>
      </w:r>
    </w:p>
    <w:p w14:paraId="2C41EF16" w14:textId="77777777" w:rsidR="00D34BA2" w:rsidRPr="00D34BA2" w:rsidRDefault="00D34BA2" w:rsidP="00D34BA2">
      <w:pPr>
        <w:spacing w:line="240" w:lineRule="auto"/>
        <w:rPr>
          <w:rFonts w:eastAsia="Times New Roman" w:cs="Arial"/>
          <w:lang w:eastAsia="bg-BG"/>
        </w:rPr>
      </w:pPr>
      <w:r w:rsidRPr="00D34BA2">
        <w:rPr>
          <w:rFonts w:eastAsia="Times New Roman" w:cs="Arial"/>
          <w:color w:val="000000"/>
          <w:lang w:eastAsia="bg-BG"/>
        </w:rPr>
        <w:t>Пациентката може да започне приема на таблетки веднага. В такъв случай тя не се нуждае от допълнителни контрацептивни мерки.</w:t>
      </w:r>
    </w:p>
    <w:p w14:paraId="2D3FA808" w14:textId="77777777" w:rsidR="00D34BA2" w:rsidRPr="003125A3" w:rsidRDefault="00D34BA2" w:rsidP="00D34BA2">
      <w:pPr>
        <w:spacing w:line="240" w:lineRule="auto"/>
        <w:rPr>
          <w:rFonts w:eastAsia="Times New Roman" w:cs="Arial"/>
          <w:i/>
          <w:iCs/>
          <w:color w:val="000000"/>
          <w:lang w:eastAsia="bg-BG"/>
        </w:rPr>
      </w:pPr>
    </w:p>
    <w:p w14:paraId="787DD6A9" w14:textId="1F702B73" w:rsidR="00D34BA2" w:rsidRPr="003125A3" w:rsidRDefault="00D34BA2" w:rsidP="00D34BA2">
      <w:pPr>
        <w:pStyle w:val="ListParagraph"/>
        <w:numPr>
          <w:ilvl w:val="0"/>
          <w:numId w:val="40"/>
        </w:numPr>
        <w:spacing w:line="240" w:lineRule="auto"/>
        <w:rPr>
          <w:rFonts w:eastAsia="Times New Roman" w:cs="Arial"/>
          <w:lang w:eastAsia="bg-BG"/>
        </w:rPr>
      </w:pPr>
      <w:r w:rsidRPr="003125A3">
        <w:rPr>
          <w:rFonts w:eastAsia="Times New Roman" w:cs="Arial"/>
          <w:i/>
          <w:iCs/>
          <w:color w:val="000000"/>
          <w:lang w:eastAsia="bg-BG"/>
        </w:rPr>
        <w:t>След раждане или аборт във второто тримесечие</w:t>
      </w:r>
    </w:p>
    <w:p w14:paraId="14B1268B" w14:textId="77777777" w:rsidR="00D34BA2" w:rsidRPr="003125A3" w:rsidRDefault="00D34BA2" w:rsidP="00D34BA2">
      <w:pPr>
        <w:spacing w:line="240" w:lineRule="auto"/>
        <w:rPr>
          <w:rFonts w:eastAsia="Times New Roman" w:cs="Arial"/>
          <w:color w:val="000000"/>
          <w:lang w:eastAsia="bg-BG"/>
        </w:rPr>
      </w:pPr>
    </w:p>
    <w:p w14:paraId="0EA11007" w14:textId="3B2EFD1D" w:rsidR="00D34BA2" w:rsidRPr="00D34BA2" w:rsidRDefault="00D34BA2" w:rsidP="00D34BA2">
      <w:pPr>
        <w:spacing w:line="240" w:lineRule="auto"/>
        <w:rPr>
          <w:rFonts w:eastAsia="Times New Roman" w:cs="Arial"/>
          <w:lang w:eastAsia="bg-BG"/>
        </w:rPr>
      </w:pPr>
      <w:r w:rsidRPr="00D34BA2">
        <w:rPr>
          <w:rFonts w:eastAsia="Times New Roman" w:cs="Arial"/>
          <w:color w:val="000000"/>
          <w:lang w:eastAsia="bg-BG"/>
        </w:rPr>
        <w:lastRenderedPageBreak/>
        <w:t>За кърмачки вж точка 4.6 „Бременност и кърмене”.</w:t>
      </w:r>
    </w:p>
    <w:p w14:paraId="51B48CF5" w14:textId="77777777" w:rsidR="00D34BA2" w:rsidRPr="003125A3" w:rsidRDefault="00D34BA2" w:rsidP="00D34BA2">
      <w:pPr>
        <w:spacing w:line="240" w:lineRule="auto"/>
        <w:rPr>
          <w:rFonts w:eastAsia="Times New Roman" w:cs="Arial"/>
          <w:color w:val="000000"/>
          <w:lang w:eastAsia="bg-BG"/>
        </w:rPr>
      </w:pPr>
    </w:p>
    <w:p w14:paraId="53F08F1E" w14:textId="6B205046" w:rsidR="00D34BA2" w:rsidRPr="00D34BA2" w:rsidRDefault="00D34BA2" w:rsidP="00D34BA2">
      <w:pPr>
        <w:spacing w:line="240" w:lineRule="auto"/>
        <w:rPr>
          <w:rFonts w:eastAsia="Times New Roman" w:cs="Arial"/>
          <w:lang w:eastAsia="bg-BG"/>
        </w:rPr>
      </w:pPr>
      <w:r w:rsidRPr="00D34BA2">
        <w:rPr>
          <w:rFonts w:eastAsia="Times New Roman" w:cs="Arial"/>
          <w:color w:val="000000"/>
          <w:lang w:eastAsia="bg-BG"/>
        </w:rPr>
        <w:t>Пациентките трябва да започнат приема на 21-ия до 28-ия ден след раждането или аборта. Ако започне приема по-късно, жената трябва да бъде посъветвана да използва друг бариерен метод през първите 7 дни от приема на таблетките. Въпреки това, ако вече е имало сношение, трябва да се изключи бременност преди започване на употребата на Диане 35 или да се изчака до първия менструален цикъл.</w:t>
      </w:r>
    </w:p>
    <w:p w14:paraId="79E92C09" w14:textId="77777777" w:rsidR="00D34BA2" w:rsidRPr="003125A3" w:rsidRDefault="00D34BA2" w:rsidP="00D34BA2">
      <w:pPr>
        <w:spacing w:line="240" w:lineRule="auto"/>
        <w:rPr>
          <w:rFonts w:eastAsia="Times New Roman" w:cs="Arial"/>
          <w:i/>
          <w:iCs/>
          <w:color w:val="000000"/>
          <w:lang w:eastAsia="bg-BG"/>
        </w:rPr>
      </w:pPr>
    </w:p>
    <w:p w14:paraId="4EAF630A" w14:textId="10BE91B9" w:rsidR="00D34BA2" w:rsidRPr="00D34BA2" w:rsidRDefault="00D34BA2" w:rsidP="00D34BA2">
      <w:pPr>
        <w:spacing w:line="240" w:lineRule="auto"/>
        <w:rPr>
          <w:rFonts w:eastAsia="Times New Roman" w:cs="Arial"/>
          <w:lang w:eastAsia="bg-BG"/>
        </w:rPr>
      </w:pPr>
      <w:r w:rsidRPr="00D34BA2">
        <w:rPr>
          <w:rFonts w:eastAsia="Times New Roman" w:cs="Arial"/>
          <w:i/>
          <w:iCs/>
          <w:color w:val="000000"/>
          <w:lang w:eastAsia="bg-BG"/>
        </w:rPr>
        <w:t>Пропускане прием на таблетки</w:t>
      </w:r>
    </w:p>
    <w:p w14:paraId="3E9261CC" w14:textId="77777777" w:rsidR="00D34BA2" w:rsidRPr="003125A3" w:rsidRDefault="00D34BA2" w:rsidP="00D34BA2">
      <w:pPr>
        <w:spacing w:line="240" w:lineRule="auto"/>
        <w:rPr>
          <w:rFonts w:eastAsia="Times New Roman" w:cs="Arial"/>
          <w:color w:val="000000"/>
          <w:lang w:eastAsia="bg-BG"/>
        </w:rPr>
      </w:pPr>
    </w:p>
    <w:p w14:paraId="39775B1D" w14:textId="169072D7" w:rsidR="00D34BA2" w:rsidRPr="00D34BA2" w:rsidRDefault="00D34BA2" w:rsidP="00D34BA2">
      <w:pPr>
        <w:spacing w:line="240" w:lineRule="auto"/>
        <w:rPr>
          <w:rFonts w:eastAsia="Times New Roman" w:cs="Arial"/>
          <w:lang w:eastAsia="bg-BG"/>
        </w:rPr>
      </w:pPr>
      <w:r w:rsidRPr="00D34BA2">
        <w:rPr>
          <w:rFonts w:eastAsia="Times New Roman" w:cs="Arial"/>
          <w:color w:val="000000"/>
          <w:lang w:eastAsia="bg-BG"/>
        </w:rPr>
        <w:t>Ако пациентката е закъсняла с по-малко от 12 часа, контрацептивната защита не отслабва. Тя трябва да вземе таблетката веднага щом си спомни и да продължи приема на следващите таблетки в обичайното време.</w:t>
      </w:r>
    </w:p>
    <w:p w14:paraId="2C8C4254" w14:textId="77777777" w:rsidR="00D34BA2" w:rsidRPr="003125A3" w:rsidRDefault="00D34BA2" w:rsidP="00D34BA2">
      <w:pPr>
        <w:spacing w:line="240" w:lineRule="auto"/>
        <w:rPr>
          <w:rFonts w:eastAsia="Times New Roman" w:cs="Arial"/>
          <w:color w:val="000000"/>
          <w:lang w:eastAsia="bg-BG"/>
        </w:rPr>
      </w:pPr>
    </w:p>
    <w:p w14:paraId="43C44190" w14:textId="5B141591" w:rsidR="00D34BA2" w:rsidRPr="003125A3" w:rsidRDefault="00D34BA2" w:rsidP="00D34BA2">
      <w:pPr>
        <w:spacing w:line="240" w:lineRule="auto"/>
        <w:rPr>
          <w:rFonts w:eastAsia="Times New Roman" w:cs="Arial"/>
          <w:color w:val="000000"/>
          <w:lang w:eastAsia="bg-BG"/>
        </w:rPr>
      </w:pPr>
      <w:r w:rsidRPr="00D34BA2">
        <w:rPr>
          <w:rFonts w:eastAsia="Times New Roman" w:cs="Arial"/>
          <w:color w:val="000000"/>
          <w:lang w:eastAsia="bg-BG"/>
        </w:rPr>
        <w:t xml:space="preserve">Ако е закъсняла повече от 12 часа, контрацептивната защита може да отслабне. В такъв случай са валидни </w:t>
      </w:r>
    </w:p>
    <w:p w14:paraId="32EF3144" w14:textId="014B6091" w:rsidR="00D34BA2" w:rsidRPr="00D34BA2" w:rsidRDefault="00D34BA2" w:rsidP="00D34BA2">
      <w:pPr>
        <w:spacing w:line="240" w:lineRule="auto"/>
        <w:rPr>
          <w:rFonts w:eastAsia="Times New Roman" w:cs="Arial"/>
          <w:lang w:eastAsia="bg-BG"/>
        </w:rPr>
      </w:pPr>
      <w:r w:rsidRPr="00D34BA2">
        <w:rPr>
          <w:rFonts w:eastAsia="Times New Roman" w:cs="Arial"/>
          <w:color w:val="000000"/>
          <w:lang w:eastAsia="bg-BG"/>
        </w:rPr>
        <w:t>следните основни правила:</w:t>
      </w:r>
    </w:p>
    <w:p w14:paraId="4F841C35" w14:textId="3A799025" w:rsidR="003125A3" w:rsidRPr="003125A3" w:rsidRDefault="003125A3" w:rsidP="003125A3">
      <w:pPr>
        <w:pStyle w:val="ListParagraph"/>
        <w:spacing w:line="240" w:lineRule="auto"/>
        <w:rPr>
          <w:rFonts w:eastAsia="Times New Roman" w:cs="Arial"/>
          <w:color w:val="000000"/>
          <w:lang w:eastAsia="bg-BG"/>
        </w:rPr>
      </w:pPr>
      <w:r w:rsidRPr="003125A3">
        <w:rPr>
          <w:rFonts w:eastAsia="Times New Roman" w:cs="Arial"/>
          <w:color w:val="000000"/>
          <w:lang w:eastAsia="bg-BG"/>
        </w:rPr>
        <w:t xml:space="preserve">1. </w:t>
      </w:r>
      <w:r w:rsidRPr="003125A3">
        <w:rPr>
          <w:rFonts w:eastAsia="Times New Roman" w:cs="Arial"/>
          <w:color w:val="000000"/>
          <w:lang w:eastAsia="bg-BG"/>
        </w:rPr>
        <w:t>Приемът на таблетки може да се прекратява за не повече от 7 дни;</w:t>
      </w:r>
    </w:p>
    <w:p w14:paraId="4C009191" w14:textId="649BBC79" w:rsidR="003125A3" w:rsidRPr="003125A3" w:rsidRDefault="003125A3" w:rsidP="003125A3">
      <w:pPr>
        <w:pStyle w:val="ListParagraph"/>
        <w:spacing w:line="240" w:lineRule="auto"/>
        <w:rPr>
          <w:rFonts w:eastAsia="Times New Roman" w:cs="Arial"/>
          <w:color w:val="000000"/>
          <w:lang w:eastAsia="bg-BG"/>
        </w:rPr>
      </w:pPr>
      <w:r w:rsidRPr="003125A3">
        <w:rPr>
          <w:rFonts w:eastAsia="Times New Roman" w:cs="Arial"/>
          <w:color w:val="000000"/>
          <w:lang w:eastAsia="bg-BG"/>
        </w:rPr>
        <w:t xml:space="preserve">2. </w:t>
      </w:r>
      <w:r w:rsidRPr="003125A3">
        <w:rPr>
          <w:rFonts w:eastAsia="Times New Roman" w:cs="Arial"/>
          <w:color w:val="000000"/>
          <w:lang w:eastAsia="bg-BG"/>
        </w:rPr>
        <w:t>Необходими са 7 последователни дни на прием, за да се постигне необходимата супресия на хипоталамо-хипофизо-овариалната ос.</w:t>
      </w:r>
    </w:p>
    <w:p w14:paraId="4E9949C6" w14:textId="77777777" w:rsidR="003125A3" w:rsidRPr="003125A3" w:rsidRDefault="003125A3" w:rsidP="003125A3">
      <w:pPr>
        <w:spacing w:line="240" w:lineRule="auto"/>
        <w:rPr>
          <w:rFonts w:eastAsia="Times New Roman" w:cs="Arial"/>
          <w:color w:val="000000"/>
          <w:lang w:eastAsia="bg-BG"/>
        </w:rPr>
      </w:pPr>
    </w:p>
    <w:p w14:paraId="4CDD335A" w14:textId="31E58E85" w:rsidR="003125A3" w:rsidRPr="003125A3" w:rsidRDefault="003125A3" w:rsidP="003125A3">
      <w:pPr>
        <w:spacing w:line="240" w:lineRule="auto"/>
        <w:rPr>
          <w:rFonts w:eastAsia="Times New Roman" w:cs="Arial"/>
          <w:lang w:eastAsia="bg-BG"/>
        </w:rPr>
      </w:pPr>
      <w:r w:rsidRPr="003125A3">
        <w:rPr>
          <w:rFonts w:eastAsia="Times New Roman" w:cs="Arial"/>
          <w:color w:val="000000"/>
          <w:lang w:eastAsia="bg-BG"/>
        </w:rPr>
        <w:t>В зависимост от тези правила се дават следните съвети за ежедневната практика:</w:t>
      </w:r>
    </w:p>
    <w:p w14:paraId="3DD49DBE" w14:textId="77777777" w:rsidR="003125A3" w:rsidRPr="003125A3" w:rsidRDefault="003125A3" w:rsidP="003125A3">
      <w:pPr>
        <w:spacing w:line="240" w:lineRule="auto"/>
        <w:rPr>
          <w:rFonts w:eastAsia="Times New Roman" w:cs="Arial"/>
          <w:i/>
          <w:iCs/>
          <w:color w:val="000000"/>
          <w:lang w:eastAsia="bg-BG"/>
        </w:rPr>
      </w:pPr>
    </w:p>
    <w:p w14:paraId="5D07EF11" w14:textId="09B9F40F" w:rsidR="003125A3" w:rsidRPr="003125A3" w:rsidRDefault="003125A3" w:rsidP="003125A3">
      <w:pPr>
        <w:pStyle w:val="ListParagraph"/>
        <w:numPr>
          <w:ilvl w:val="0"/>
          <w:numId w:val="40"/>
        </w:numPr>
        <w:spacing w:line="240" w:lineRule="auto"/>
        <w:rPr>
          <w:rFonts w:eastAsia="Times New Roman" w:cs="Arial"/>
          <w:i/>
          <w:iCs/>
          <w:color w:val="000000"/>
          <w:lang w:eastAsia="bg-BG"/>
        </w:rPr>
      </w:pPr>
      <w:r w:rsidRPr="003125A3">
        <w:rPr>
          <w:rFonts w:eastAsia="Times New Roman" w:cs="Arial"/>
          <w:i/>
          <w:iCs/>
          <w:color w:val="000000"/>
          <w:lang w:eastAsia="bg-BG"/>
        </w:rPr>
        <w:t>Първа седмица</w:t>
      </w:r>
    </w:p>
    <w:p w14:paraId="60419869" w14:textId="77777777" w:rsidR="003125A3" w:rsidRPr="003125A3" w:rsidRDefault="003125A3" w:rsidP="003125A3">
      <w:pPr>
        <w:spacing w:line="240" w:lineRule="auto"/>
        <w:rPr>
          <w:rFonts w:eastAsia="Times New Roman" w:cs="Arial"/>
          <w:color w:val="000000"/>
          <w:lang w:eastAsia="bg-BG"/>
        </w:rPr>
      </w:pPr>
    </w:p>
    <w:p w14:paraId="146B442F" w14:textId="5E8CF28B" w:rsidR="003125A3" w:rsidRPr="003125A3" w:rsidRDefault="003125A3" w:rsidP="003125A3">
      <w:pPr>
        <w:spacing w:line="240" w:lineRule="auto"/>
        <w:rPr>
          <w:rFonts w:eastAsia="Times New Roman" w:cs="Arial"/>
          <w:lang w:eastAsia="bg-BG"/>
        </w:rPr>
      </w:pPr>
      <w:r w:rsidRPr="003125A3">
        <w:rPr>
          <w:rFonts w:eastAsia="Times New Roman" w:cs="Arial"/>
          <w:color w:val="000000"/>
          <w:lang w:eastAsia="bg-BG"/>
        </w:rPr>
        <w:t xml:space="preserve">Жената трябва да вземе последната пропусната таблетка веднага щом си спомни, дори това да означава да вземе </w:t>
      </w:r>
      <w:r w:rsidRPr="003125A3">
        <w:rPr>
          <w:rFonts w:eastAsia="Times New Roman" w:cs="Arial"/>
          <w:i/>
          <w:iCs/>
          <w:color w:val="000000"/>
          <w:lang w:eastAsia="bg-BG"/>
        </w:rPr>
        <w:t>2</w:t>
      </w:r>
      <w:r w:rsidRPr="003125A3">
        <w:rPr>
          <w:rFonts w:eastAsia="Times New Roman" w:cs="Arial"/>
          <w:color w:val="000000"/>
          <w:lang w:eastAsia="bg-BG"/>
        </w:rPr>
        <w:t xml:space="preserve"> таблетки наведнъж. След това приемът продължава в обичайното време. Освен това, трябва да се използва бариерен метод, например презерватив през следващите 7 дни. Ако е имало сношение в предишните 7 дни, трябва да се има предвид възможността за забременяване. Рискът е толкова по-голям, колкото повече таблетки са пропуснати и когато дните, в които са пропуснати са близо до редовния интервал, в който не се вземат таблетките.</w:t>
      </w:r>
    </w:p>
    <w:p w14:paraId="525C4445" w14:textId="77777777" w:rsidR="003125A3" w:rsidRPr="003125A3" w:rsidRDefault="003125A3" w:rsidP="003125A3">
      <w:pPr>
        <w:spacing w:line="240" w:lineRule="auto"/>
        <w:rPr>
          <w:rFonts w:eastAsia="Times New Roman" w:cs="Arial"/>
          <w:i/>
          <w:iCs/>
          <w:color w:val="000000"/>
          <w:lang w:eastAsia="bg-BG"/>
        </w:rPr>
      </w:pPr>
    </w:p>
    <w:p w14:paraId="72236CDA" w14:textId="78CC5816" w:rsidR="003125A3" w:rsidRPr="003125A3" w:rsidRDefault="003125A3" w:rsidP="003125A3">
      <w:pPr>
        <w:pStyle w:val="ListParagraph"/>
        <w:numPr>
          <w:ilvl w:val="0"/>
          <w:numId w:val="40"/>
        </w:numPr>
        <w:spacing w:line="240" w:lineRule="auto"/>
        <w:rPr>
          <w:rFonts w:eastAsia="Times New Roman" w:cs="Arial"/>
          <w:i/>
          <w:iCs/>
          <w:color w:val="000000"/>
          <w:lang w:eastAsia="bg-BG"/>
        </w:rPr>
      </w:pPr>
      <w:r w:rsidRPr="003125A3">
        <w:rPr>
          <w:rFonts w:eastAsia="Times New Roman" w:cs="Arial"/>
          <w:i/>
          <w:iCs/>
          <w:color w:val="000000"/>
          <w:lang w:eastAsia="bg-BG"/>
        </w:rPr>
        <w:t>Втора седмица</w:t>
      </w:r>
    </w:p>
    <w:p w14:paraId="6F10AD2D" w14:textId="77777777" w:rsidR="003125A3" w:rsidRPr="003125A3" w:rsidRDefault="003125A3" w:rsidP="003125A3">
      <w:pPr>
        <w:spacing w:line="240" w:lineRule="auto"/>
        <w:rPr>
          <w:rFonts w:eastAsia="Times New Roman" w:cs="Arial"/>
          <w:color w:val="000000"/>
          <w:lang w:eastAsia="bg-BG"/>
        </w:rPr>
      </w:pPr>
    </w:p>
    <w:p w14:paraId="5413E6B9" w14:textId="5DBB21E8" w:rsidR="003125A3" w:rsidRPr="003125A3" w:rsidRDefault="003125A3" w:rsidP="003125A3">
      <w:pPr>
        <w:spacing w:line="240" w:lineRule="auto"/>
        <w:rPr>
          <w:rFonts w:eastAsia="Times New Roman" w:cs="Arial"/>
          <w:lang w:eastAsia="bg-BG"/>
        </w:rPr>
      </w:pPr>
      <w:r w:rsidRPr="003125A3">
        <w:rPr>
          <w:rFonts w:eastAsia="Times New Roman" w:cs="Arial"/>
          <w:color w:val="000000"/>
          <w:lang w:eastAsia="bg-BG"/>
        </w:rPr>
        <w:t>Жената трябва да вземе последната пропусната таблетка веднага щом си спомни, дори това да означава да вземе 2 таблетки наведнъж. След това приемът продължава в обичайното време. Ако тя е взимала правилно таблетките през 7-те дни преди първата пропусната таблетка, не е необходимо да се използват други контрацептивни методи. Обаче, ако не е така или ако е пропуснала повече от 1 таблетка, трябва да бъде посъветвана да вземе допълнителни мерки в следващите 7 дни.</w:t>
      </w:r>
    </w:p>
    <w:p w14:paraId="5C45DC7E" w14:textId="77777777" w:rsidR="003125A3" w:rsidRPr="003125A3" w:rsidRDefault="003125A3" w:rsidP="003125A3">
      <w:pPr>
        <w:spacing w:line="240" w:lineRule="auto"/>
        <w:rPr>
          <w:rFonts w:eastAsia="Times New Roman" w:cs="Arial"/>
          <w:i/>
          <w:iCs/>
          <w:color w:val="000000"/>
          <w:lang w:eastAsia="bg-BG"/>
        </w:rPr>
      </w:pPr>
    </w:p>
    <w:p w14:paraId="1A87270B" w14:textId="0CB6CF92" w:rsidR="003125A3" w:rsidRPr="003125A3" w:rsidRDefault="003125A3" w:rsidP="003125A3">
      <w:pPr>
        <w:pStyle w:val="ListParagraph"/>
        <w:numPr>
          <w:ilvl w:val="0"/>
          <w:numId w:val="40"/>
        </w:numPr>
        <w:spacing w:line="240" w:lineRule="auto"/>
        <w:rPr>
          <w:rFonts w:eastAsia="Times New Roman" w:cs="Arial"/>
          <w:i/>
          <w:iCs/>
          <w:color w:val="000000"/>
          <w:lang w:eastAsia="bg-BG"/>
        </w:rPr>
      </w:pPr>
      <w:r w:rsidRPr="003125A3">
        <w:rPr>
          <w:rFonts w:eastAsia="Times New Roman" w:cs="Arial"/>
          <w:i/>
          <w:iCs/>
          <w:color w:val="000000"/>
          <w:lang w:eastAsia="bg-BG"/>
        </w:rPr>
        <w:t>Трета седмица</w:t>
      </w:r>
    </w:p>
    <w:p w14:paraId="4E713CF3" w14:textId="77777777" w:rsidR="003125A3" w:rsidRPr="003125A3" w:rsidRDefault="003125A3" w:rsidP="003125A3">
      <w:pPr>
        <w:spacing w:line="240" w:lineRule="auto"/>
        <w:rPr>
          <w:rFonts w:eastAsia="Times New Roman" w:cs="Arial"/>
          <w:color w:val="000000"/>
          <w:lang w:eastAsia="bg-BG"/>
        </w:rPr>
      </w:pPr>
    </w:p>
    <w:p w14:paraId="4DF190AF" w14:textId="09C7BB83" w:rsidR="003125A3" w:rsidRPr="003125A3" w:rsidRDefault="003125A3" w:rsidP="003125A3">
      <w:pPr>
        <w:spacing w:line="240" w:lineRule="auto"/>
        <w:rPr>
          <w:rFonts w:eastAsia="Times New Roman" w:cs="Arial"/>
          <w:lang w:eastAsia="bg-BG"/>
        </w:rPr>
      </w:pPr>
      <w:r w:rsidRPr="003125A3">
        <w:rPr>
          <w:rFonts w:eastAsia="Times New Roman" w:cs="Arial"/>
          <w:color w:val="000000"/>
          <w:lang w:eastAsia="bg-BG"/>
        </w:rPr>
        <w:t xml:space="preserve">Рискът от намаляване ефективността е много висок поради близостта до интервала от време, през който не се взимат таблетките. Все пак, чрез адаптиране на схемата на приема, може да се предотврати намалената контрацептивна защита. Чрез спазване на една от двете опции не е необходима употребата на допълнителни контрацептивни мерки, ако всичките 7 дни преди първата пропусната таблетка жената е приела правилно всички таблетки. Ако обаче не е така трябва да бъде посъветвана да спази първата </w:t>
      </w:r>
      <w:r w:rsidRPr="003125A3">
        <w:rPr>
          <w:rFonts w:eastAsia="Times New Roman" w:cs="Arial"/>
          <w:color w:val="000000"/>
          <w:lang w:eastAsia="bg-BG"/>
        </w:rPr>
        <w:lastRenderedPageBreak/>
        <w:t>опция и същевременно да използва и допълнителни предпазни мерки в следващите 7 дни.</w:t>
      </w:r>
    </w:p>
    <w:p w14:paraId="41035BE5" w14:textId="77777777" w:rsidR="003125A3" w:rsidRPr="003125A3" w:rsidRDefault="003125A3" w:rsidP="003125A3">
      <w:pPr>
        <w:spacing w:line="240" w:lineRule="auto"/>
        <w:rPr>
          <w:rFonts w:eastAsia="Times New Roman" w:cs="Arial"/>
          <w:color w:val="000000"/>
          <w:lang w:eastAsia="bg-BG"/>
        </w:rPr>
      </w:pPr>
    </w:p>
    <w:p w14:paraId="15B7CBA1" w14:textId="77777777" w:rsidR="003125A3" w:rsidRPr="003125A3" w:rsidRDefault="003125A3" w:rsidP="003125A3">
      <w:pPr>
        <w:pStyle w:val="ListParagraph"/>
        <w:numPr>
          <w:ilvl w:val="0"/>
          <w:numId w:val="42"/>
        </w:numPr>
        <w:spacing w:line="240" w:lineRule="auto"/>
        <w:rPr>
          <w:rFonts w:eastAsia="Times New Roman" w:cs="Arial"/>
          <w:color w:val="000000"/>
          <w:lang w:eastAsia="bg-BG"/>
        </w:rPr>
      </w:pPr>
      <w:r w:rsidRPr="003125A3">
        <w:rPr>
          <w:rFonts w:eastAsia="Times New Roman" w:cs="Arial"/>
          <w:color w:val="000000"/>
          <w:lang w:eastAsia="bg-BG"/>
        </w:rPr>
        <w:t>Пациентката трябва да вземе последната пропусната таблетка веднага щом си спомни, дори това да означава да вземе 2 таблетки наведнъж. След това приемът трябва да продължи в обичайното време. Щом тази опаковка свърши, веднага се започва следващата, без интервал между тях. В този случай жената ще получи редовно кървене в края на втората опаковка, но може да има зацапващо или пробивно кървене в дните, в които приема таблетките.</w:t>
      </w:r>
    </w:p>
    <w:p w14:paraId="415F510E" w14:textId="6273F62B" w:rsidR="003125A3" w:rsidRPr="003125A3" w:rsidRDefault="003125A3" w:rsidP="003125A3">
      <w:pPr>
        <w:pStyle w:val="ListParagraph"/>
        <w:numPr>
          <w:ilvl w:val="0"/>
          <w:numId w:val="42"/>
        </w:numPr>
        <w:spacing w:line="240" w:lineRule="auto"/>
        <w:rPr>
          <w:rFonts w:eastAsia="Times New Roman" w:cs="Arial"/>
          <w:color w:val="000000"/>
          <w:lang w:eastAsia="bg-BG"/>
        </w:rPr>
      </w:pPr>
      <w:r w:rsidRPr="003125A3">
        <w:rPr>
          <w:rFonts w:eastAsia="Times New Roman" w:cs="Arial"/>
          <w:color w:val="000000"/>
          <w:lang w:eastAsia="bg-BG"/>
        </w:rPr>
        <w:t>Жената също може да бъде посъветвана да прекрати приема на таблетки от тази опаковка. След това не трябва да се взимат таблетки до 7 дни, включително деня в който е пропуснала таблетката и после да започне нова опаковка.</w:t>
      </w:r>
    </w:p>
    <w:p w14:paraId="259B56AB" w14:textId="77777777" w:rsidR="003125A3" w:rsidRPr="003125A3" w:rsidRDefault="003125A3" w:rsidP="003125A3">
      <w:pPr>
        <w:spacing w:line="240" w:lineRule="auto"/>
        <w:rPr>
          <w:rFonts w:eastAsia="Times New Roman" w:cs="Arial"/>
          <w:color w:val="000000"/>
          <w:lang w:eastAsia="bg-BG"/>
        </w:rPr>
      </w:pPr>
    </w:p>
    <w:p w14:paraId="00B56B05" w14:textId="470BAA91" w:rsidR="003125A3" w:rsidRPr="003125A3" w:rsidRDefault="003125A3" w:rsidP="003125A3">
      <w:pPr>
        <w:spacing w:line="240" w:lineRule="auto"/>
        <w:rPr>
          <w:rFonts w:eastAsia="Times New Roman" w:cs="Arial"/>
          <w:lang w:eastAsia="bg-BG"/>
        </w:rPr>
      </w:pPr>
      <w:r w:rsidRPr="003125A3">
        <w:rPr>
          <w:rFonts w:eastAsia="Times New Roman" w:cs="Arial"/>
          <w:color w:val="000000"/>
          <w:lang w:eastAsia="bg-BG"/>
        </w:rPr>
        <w:t>Ако жената е пропуснала таблетки и не получи кървене в първия нормален интервал без прием на таблетки, трябва да се мисли за забременяване.</w:t>
      </w:r>
    </w:p>
    <w:p w14:paraId="53B6BB33" w14:textId="77777777" w:rsidR="003125A3" w:rsidRPr="003125A3" w:rsidRDefault="003125A3" w:rsidP="003125A3">
      <w:pPr>
        <w:spacing w:line="240" w:lineRule="auto"/>
        <w:rPr>
          <w:rFonts w:eastAsia="Times New Roman" w:cs="Arial"/>
          <w:i/>
          <w:iCs/>
          <w:color w:val="000000"/>
          <w:lang w:eastAsia="bg-BG"/>
        </w:rPr>
      </w:pPr>
    </w:p>
    <w:p w14:paraId="4AD745A1" w14:textId="7331AC95" w:rsidR="003125A3" w:rsidRPr="003125A3" w:rsidRDefault="003125A3" w:rsidP="003125A3">
      <w:pPr>
        <w:spacing w:line="240" w:lineRule="auto"/>
        <w:rPr>
          <w:rFonts w:eastAsia="Times New Roman" w:cs="Arial"/>
          <w:lang w:eastAsia="bg-BG"/>
        </w:rPr>
      </w:pPr>
      <w:r w:rsidRPr="003125A3">
        <w:rPr>
          <w:rFonts w:eastAsia="Times New Roman" w:cs="Arial"/>
          <w:i/>
          <w:iCs/>
          <w:color w:val="000000"/>
          <w:lang w:eastAsia="bg-BG"/>
        </w:rPr>
        <w:t>Съвети в случай на гастро-интестинални смущения</w:t>
      </w:r>
    </w:p>
    <w:p w14:paraId="08B3C24D" w14:textId="77777777" w:rsidR="003125A3" w:rsidRPr="003125A3" w:rsidRDefault="003125A3" w:rsidP="003125A3">
      <w:pPr>
        <w:spacing w:line="240" w:lineRule="auto"/>
        <w:rPr>
          <w:rFonts w:eastAsia="Times New Roman" w:cs="Arial"/>
          <w:color w:val="000000"/>
          <w:lang w:eastAsia="bg-BG"/>
        </w:rPr>
      </w:pPr>
    </w:p>
    <w:p w14:paraId="20A30E29" w14:textId="459A506A" w:rsidR="003125A3" w:rsidRPr="003125A3" w:rsidRDefault="003125A3" w:rsidP="003125A3">
      <w:pPr>
        <w:spacing w:line="240" w:lineRule="auto"/>
        <w:rPr>
          <w:rFonts w:eastAsia="Times New Roman" w:cs="Arial"/>
          <w:color w:val="000000"/>
          <w:lang w:eastAsia="bg-BG"/>
        </w:rPr>
      </w:pPr>
      <w:r w:rsidRPr="003125A3">
        <w:rPr>
          <w:rFonts w:eastAsia="Times New Roman" w:cs="Arial"/>
          <w:color w:val="000000"/>
          <w:lang w:eastAsia="bg-BG"/>
        </w:rPr>
        <w:t>В случай на тежки гастро-интестинални смущения, абсорбцията може да  не е пълна и да трябва да се вземат допълнителни контрацептивни мерки.</w:t>
      </w:r>
    </w:p>
    <w:p w14:paraId="4C0BBFE9" w14:textId="79CE1978" w:rsidR="003125A3" w:rsidRPr="003125A3" w:rsidRDefault="003125A3" w:rsidP="003125A3">
      <w:pPr>
        <w:spacing w:line="240" w:lineRule="auto"/>
        <w:rPr>
          <w:rFonts w:eastAsia="Times New Roman" w:cs="Arial"/>
          <w:color w:val="000000"/>
          <w:lang w:eastAsia="bg-BG"/>
        </w:rPr>
      </w:pPr>
    </w:p>
    <w:p w14:paraId="6BAE6B26" w14:textId="77777777" w:rsidR="003125A3" w:rsidRPr="003125A3" w:rsidRDefault="003125A3" w:rsidP="003125A3">
      <w:pPr>
        <w:spacing w:line="240" w:lineRule="auto"/>
        <w:rPr>
          <w:rFonts w:eastAsia="Times New Roman" w:cs="Arial"/>
          <w:lang w:eastAsia="bg-BG"/>
        </w:rPr>
      </w:pPr>
      <w:r w:rsidRPr="003125A3">
        <w:rPr>
          <w:rFonts w:eastAsia="Times New Roman" w:cs="Arial"/>
          <w:color w:val="000000"/>
          <w:lang w:eastAsia="bg-BG"/>
        </w:rPr>
        <w:t xml:space="preserve">Ако повръщането е 3-4 часа след приема на таблетката, се прилага съвета, който се отнася за пропуснати таблетки, както е дадено в част </w:t>
      </w:r>
      <w:r w:rsidRPr="003125A3">
        <w:rPr>
          <w:rFonts w:eastAsia="Times New Roman" w:cs="Arial"/>
          <w:i/>
          <w:iCs/>
          <w:color w:val="000000"/>
          <w:lang w:eastAsia="bg-BG"/>
        </w:rPr>
        <w:t>"Пропускане прием на таблетки”.</w:t>
      </w:r>
      <w:r w:rsidRPr="003125A3">
        <w:rPr>
          <w:rFonts w:eastAsia="Times New Roman" w:cs="Arial"/>
          <w:color w:val="000000"/>
          <w:lang w:eastAsia="bg-BG"/>
        </w:rPr>
        <w:t xml:space="preserve"> Ако жената не иска да промени нормалната схема на прием на таблетките, тя може да вземе необходимата извънредна таблетка (таблетки от друга опаковка).</w:t>
      </w:r>
    </w:p>
    <w:p w14:paraId="7C8A9173" w14:textId="77777777" w:rsidR="003125A3" w:rsidRPr="003125A3" w:rsidRDefault="003125A3" w:rsidP="003125A3">
      <w:pPr>
        <w:spacing w:line="240" w:lineRule="auto"/>
        <w:rPr>
          <w:rFonts w:eastAsia="Times New Roman" w:cs="Arial"/>
          <w:b/>
          <w:bCs/>
          <w:color w:val="000000"/>
          <w:u w:val="single"/>
          <w:lang w:eastAsia="bg-BG"/>
        </w:rPr>
      </w:pPr>
      <w:bookmarkStart w:id="1" w:name="bookmark0"/>
    </w:p>
    <w:p w14:paraId="1D5188B1" w14:textId="15947CF5" w:rsidR="003125A3" w:rsidRPr="003125A3" w:rsidRDefault="003125A3" w:rsidP="003125A3">
      <w:pPr>
        <w:spacing w:line="240" w:lineRule="auto"/>
        <w:rPr>
          <w:rFonts w:eastAsia="Times New Roman" w:cs="Arial"/>
          <w:lang w:eastAsia="bg-BG"/>
        </w:rPr>
      </w:pPr>
      <w:r w:rsidRPr="003125A3">
        <w:rPr>
          <w:rFonts w:eastAsia="Times New Roman" w:cs="Arial"/>
          <w:b/>
          <w:bCs/>
          <w:color w:val="000000"/>
          <w:u w:val="single"/>
          <w:lang w:eastAsia="bg-BG"/>
        </w:rPr>
        <w:t>Продължителност на употреба</w:t>
      </w:r>
      <w:bookmarkEnd w:id="1"/>
    </w:p>
    <w:p w14:paraId="37CE4B3D" w14:textId="77777777" w:rsidR="003125A3" w:rsidRPr="003125A3" w:rsidRDefault="003125A3" w:rsidP="003125A3">
      <w:pPr>
        <w:spacing w:line="240" w:lineRule="auto"/>
        <w:rPr>
          <w:rFonts w:eastAsia="Times New Roman" w:cs="Arial"/>
          <w:color w:val="000000"/>
          <w:lang w:eastAsia="bg-BG"/>
        </w:rPr>
      </w:pPr>
    </w:p>
    <w:p w14:paraId="5BF5B9C1" w14:textId="6AFAEFCC" w:rsidR="003125A3" w:rsidRPr="003125A3" w:rsidRDefault="003125A3" w:rsidP="003125A3">
      <w:pPr>
        <w:spacing w:line="240" w:lineRule="auto"/>
        <w:rPr>
          <w:rFonts w:eastAsia="Times New Roman" w:cs="Arial"/>
          <w:lang w:eastAsia="bg-BG"/>
        </w:rPr>
      </w:pPr>
      <w:r w:rsidRPr="003125A3">
        <w:rPr>
          <w:rFonts w:eastAsia="Times New Roman" w:cs="Arial"/>
          <w:color w:val="000000"/>
          <w:lang w:eastAsia="bg-BG"/>
        </w:rPr>
        <w:t>Продължителността на употреба зависи от тежестта, симптомите на андрогенизация и отговора на лечението. Обикновено, лечението продължава няколко месеца. Акне и себорея обикновено се повлияват по-рано от хирзутизъм.</w:t>
      </w:r>
    </w:p>
    <w:p w14:paraId="46A9169B" w14:textId="77777777" w:rsidR="003125A3" w:rsidRPr="003125A3" w:rsidRDefault="003125A3" w:rsidP="003125A3">
      <w:pPr>
        <w:spacing w:line="240" w:lineRule="auto"/>
        <w:rPr>
          <w:rFonts w:eastAsia="Times New Roman" w:cs="Arial"/>
          <w:color w:val="000000"/>
          <w:lang w:eastAsia="bg-BG"/>
        </w:rPr>
      </w:pPr>
    </w:p>
    <w:p w14:paraId="7CE3F794" w14:textId="00292CD2" w:rsidR="003125A3" w:rsidRPr="003125A3" w:rsidRDefault="003125A3" w:rsidP="003125A3">
      <w:pPr>
        <w:spacing w:line="240" w:lineRule="auto"/>
        <w:rPr>
          <w:rFonts w:eastAsia="Times New Roman" w:cs="Arial"/>
          <w:lang w:eastAsia="bg-BG"/>
        </w:rPr>
      </w:pPr>
      <w:r w:rsidRPr="003125A3">
        <w:rPr>
          <w:rFonts w:eastAsia="Times New Roman" w:cs="Arial"/>
          <w:color w:val="000000"/>
          <w:lang w:eastAsia="bg-BG"/>
        </w:rPr>
        <w:t>Времето до облекчаването на симптомите е най-малко три месеца. Необходимостта от продължаване на лечението трябва да се оценява периодично от лекуващия лекар.</w:t>
      </w:r>
    </w:p>
    <w:p w14:paraId="0D3FCF31" w14:textId="77777777" w:rsidR="003125A3" w:rsidRPr="003125A3" w:rsidRDefault="003125A3" w:rsidP="003125A3">
      <w:pPr>
        <w:spacing w:line="240" w:lineRule="auto"/>
        <w:rPr>
          <w:rFonts w:eastAsia="Times New Roman" w:cs="Arial"/>
          <w:color w:val="000000"/>
          <w:lang w:eastAsia="bg-BG"/>
        </w:rPr>
      </w:pPr>
    </w:p>
    <w:p w14:paraId="509DDA22" w14:textId="5FD5197E" w:rsidR="003125A3" w:rsidRPr="003125A3" w:rsidRDefault="003125A3" w:rsidP="003125A3">
      <w:pPr>
        <w:spacing w:line="240" w:lineRule="auto"/>
        <w:rPr>
          <w:rFonts w:eastAsia="Times New Roman" w:cs="Arial"/>
          <w:lang w:eastAsia="bg-BG"/>
        </w:rPr>
      </w:pPr>
      <w:r w:rsidRPr="003125A3">
        <w:rPr>
          <w:rFonts w:eastAsia="Times New Roman" w:cs="Arial"/>
          <w:color w:val="000000"/>
          <w:lang w:eastAsia="bg-BG"/>
        </w:rPr>
        <w:t>Препоръчително е Диане 35 да се взима поне още 3-4 цикъла след отзвучаване на симптомите. Щом се появи рецидив, седмици или месеци след прекратяване на употребата, лечението с Диане 35 може да се възобнови. В случай на подновяване на приема на Диане 35 (след четириседмичен или по-голям период свободен от прием на таблетки) трябва да се има предвид повишеният риск от поява на ВТЕ (вж. точка 4.4 Специални предупреждения и предпазни мерки при употреба).</w:t>
      </w:r>
    </w:p>
    <w:p w14:paraId="60DC6538" w14:textId="77777777" w:rsidR="003125A3" w:rsidRPr="003125A3" w:rsidRDefault="003125A3" w:rsidP="003125A3">
      <w:pPr>
        <w:spacing w:line="240" w:lineRule="auto"/>
        <w:rPr>
          <w:rFonts w:eastAsia="Times New Roman" w:cs="Arial"/>
          <w:i/>
          <w:iCs/>
          <w:color w:val="000000"/>
          <w:lang w:eastAsia="bg-BG"/>
        </w:rPr>
      </w:pPr>
    </w:p>
    <w:p w14:paraId="52C61D72" w14:textId="63FC4B2A" w:rsidR="003125A3" w:rsidRPr="003125A3" w:rsidRDefault="003125A3" w:rsidP="003125A3">
      <w:pPr>
        <w:spacing w:line="240" w:lineRule="auto"/>
        <w:rPr>
          <w:rFonts w:eastAsia="Times New Roman" w:cs="Arial"/>
          <w:lang w:eastAsia="bg-BG"/>
        </w:rPr>
      </w:pPr>
      <w:r w:rsidRPr="003125A3">
        <w:rPr>
          <w:rFonts w:eastAsia="Times New Roman" w:cs="Arial"/>
          <w:i/>
          <w:iCs/>
          <w:color w:val="000000"/>
          <w:lang w:eastAsia="bg-BG"/>
        </w:rPr>
        <w:t>Допълнителна информация за специални групи пациенти</w:t>
      </w:r>
    </w:p>
    <w:p w14:paraId="3A8CCDDD" w14:textId="77777777" w:rsidR="003125A3" w:rsidRPr="003125A3" w:rsidRDefault="003125A3" w:rsidP="003125A3">
      <w:pPr>
        <w:spacing w:line="240" w:lineRule="auto"/>
        <w:rPr>
          <w:rFonts w:eastAsia="Times New Roman" w:cs="Arial"/>
          <w:i/>
          <w:iCs/>
          <w:color w:val="000000"/>
          <w:lang w:eastAsia="bg-BG"/>
        </w:rPr>
      </w:pPr>
    </w:p>
    <w:p w14:paraId="1564891D" w14:textId="022402D1" w:rsidR="003125A3" w:rsidRPr="003125A3" w:rsidRDefault="003125A3" w:rsidP="003125A3">
      <w:pPr>
        <w:spacing w:line="240" w:lineRule="auto"/>
        <w:rPr>
          <w:rFonts w:eastAsia="Times New Roman" w:cs="Arial"/>
          <w:lang w:eastAsia="bg-BG"/>
        </w:rPr>
      </w:pPr>
      <w:r w:rsidRPr="003125A3">
        <w:rPr>
          <w:rFonts w:eastAsia="Times New Roman" w:cs="Arial"/>
          <w:i/>
          <w:iCs/>
          <w:color w:val="000000"/>
          <w:lang w:eastAsia="bg-BG"/>
        </w:rPr>
        <w:t>Педиатрична популация</w:t>
      </w:r>
    </w:p>
    <w:p w14:paraId="4CECEA30" w14:textId="77777777" w:rsidR="003125A3" w:rsidRPr="003125A3" w:rsidRDefault="003125A3" w:rsidP="003125A3">
      <w:pPr>
        <w:spacing w:line="240" w:lineRule="auto"/>
        <w:rPr>
          <w:rFonts w:eastAsia="Times New Roman" w:cs="Arial"/>
          <w:lang w:eastAsia="bg-BG"/>
        </w:rPr>
      </w:pPr>
      <w:r w:rsidRPr="003125A3">
        <w:rPr>
          <w:rFonts w:eastAsia="Times New Roman" w:cs="Arial"/>
          <w:color w:val="000000"/>
          <w:lang w:eastAsia="bg-BG"/>
        </w:rPr>
        <w:t>Диане 35 се прилага само след менархе.</w:t>
      </w:r>
    </w:p>
    <w:p w14:paraId="2B94CBA6" w14:textId="77777777" w:rsidR="003125A3" w:rsidRPr="003125A3" w:rsidRDefault="003125A3" w:rsidP="003125A3">
      <w:pPr>
        <w:spacing w:line="240" w:lineRule="auto"/>
        <w:rPr>
          <w:rFonts w:eastAsia="Times New Roman" w:cs="Arial"/>
          <w:i/>
          <w:iCs/>
          <w:color w:val="000000"/>
          <w:lang w:eastAsia="bg-BG"/>
        </w:rPr>
      </w:pPr>
    </w:p>
    <w:p w14:paraId="37E1064F" w14:textId="46C26B22" w:rsidR="003125A3" w:rsidRPr="003125A3" w:rsidRDefault="003125A3" w:rsidP="003125A3">
      <w:pPr>
        <w:spacing w:line="240" w:lineRule="auto"/>
        <w:rPr>
          <w:rFonts w:eastAsia="Times New Roman" w:cs="Arial"/>
          <w:lang w:eastAsia="bg-BG"/>
        </w:rPr>
      </w:pPr>
      <w:r w:rsidRPr="003125A3">
        <w:rPr>
          <w:rFonts w:eastAsia="Times New Roman" w:cs="Arial"/>
          <w:i/>
          <w:iCs/>
          <w:color w:val="000000"/>
          <w:lang w:eastAsia="bg-BG"/>
        </w:rPr>
        <w:t>Пациенти в старческа възраст</w:t>
      </w:r>
    </w:p>
    <w:p w14:paraId="4EBBDA7E" w14:textId="77777777" w:rsidR="003125A3" w:rsidRPr="003125A3" w:rsidRDefault="003125A3" w:rsidP="003125A3">
      <w:pPr>
        <w:spacing w:line="240" w:lineRule="auto"/>
        <w:rPr>
          <w:rFonts w:eastAsia="Times New Roman" w:cs="Arial"/>
          <w:lang w:eastAsia="bg-BG"/>
        </w:rPr>
      </w:pPr>
      <w:r w:rsidRPr="003125A3">
        <w:rPr>
          <w:rFonts w:eastAsia="Times New Roman" w:cs="Arial"/>
          <w:color w:val="000000"/>
          <w:lang w:eastAsia="bg-BG"/>
        </w:rPr>
        <w:t>Неприложимо. Диане 35 не е показан след менопауза.</w:t>
      </w:r>
    </w:p>
    <w:p w14:paraId="14525D71" w14:textId="77777777" w:rsidR="003125A3" w:rsidRPr="003125A3" w:rsidRDefault="003125A3" w:rsidP="003125A3">
      <w:pPr>
        <w:spacing w:line="240" w:lineRule="auto"/>
        <w:rPr>
          <w:rFonts w:eastAsia="Times New Roman" w:cs="Arial"/>
          <w:i/>
          <w:iCs/>
          <w:color w:val="000000"/>
          <w:lang w:eastAsia="bg-BG"/>
        </w:rPr>
      </w:pPr>
    </w:p>
    <w:p w14:paraId="17B9ECCB" w14:textId="0655600C" w:rsidR="003125A3" w:rsidRPr="003125A3" w:rsidRDefault="003125A3" w:rsidP="003125A3">
      <w:pPr>
        <w:spacing w:line="240" w:lineRule="auto"/>
        <w:rPr>
          <w:rFonts w:eastAsia="Times New Roman" w:cs="Arial"/>
          <w:lang w:eastAsia="bg-BG"/>
        </w:rPr>
      </w:pPr>
      <w:r w:rsidRPr="003125A3">
        <w:rPr>
          <w:rFonts w:eastAsia="Times New Roman" w:cs="Arial"/>
          <w:i/>
          <w:iCs/>
          <w:color w:val="000000"/>
          <w:lang w:eastAsia="bg-BG"/>
        </w:rPr>
        <w:t>Пациенти с чернодробни увреждания</w:t>
      </w:r>
    </w:p>
    <w:p w14:paraId="52BDD321" w14:textId="18AB849F" w:rsidR="003125A3" w:rsidRPr="003125A3" w:rsidRDefault="003125A3" w:rsidP="003125A3">
      <w:pPr>
        <w:spacing w:line="240" w:lineRule="auto"/>
        <w:rPr>
          <w:rFonts w:eastAsia="Times New Roman" w:cs="Arial"/>
          <w:lang w:eastAsia="bg-BG"/>
        </w:rPr>
      </w:pPr>
      <w:r w:rsidRPr="003125A3">
        <w:rPr>
          <w:rFonts w:eastAsia="Times New Roman" w:cs="Arial"/>
          <w:i/>
          <w:iCs/>
          <w:color w:val="000000"/>
          <w:lang w:eastAsia="bg-BG"/>
        </w:rPr>
        <w:lastRenderedPageBreak/>
        <w:t>Диане</w:t>
      </w:r>
      <w:r w:rsidRPr="003125A3">
        <w:rPr>
          <w:rFonts w:eastAsia="Times New Roman" w:cs="Arial"/>
          <w:color w:val="000000"/>
          <w:lang w:eastAsia="bg-BG"/>
        </w:rPr>
        <w:t xml:space="preserve"> 35 е противопоказан при жени с тежки чернодробни заболявалия, при които функционалните чернодробни показатели не са се нормализирали. Вижте също точка 4.3 Противопоказания.</w:t>
      </w:r>
    </w:p>
    <w:p w14:paraId="011F8D66" w14:textId="77777777" w:rsidR="003125A3" w:rsidRPr="003125A3" w:rsidRDefault="003125A3" w:rsidP="003125A3">
      <w:pPr>
        <w:spacing w:line="240" w:lineRule="auto"/>
        <w:rPr>
          <w:rFonts w:eastAsia="Times New Roman" w:cs="Arial"/>
          <w:i/>
          <w:iCs/>
          <w:color w:val="000000"/>
          <w:lang w:eastAsia="bg-BG"/>
        </w:rPr>
      </w:pPr>
    </w:p>
    <w:p w14:paraId="57597958" w14:textId="36D76A8E" w:rsidR="003125A3" w:rsidRPr="003125A3" w:rsidRDefault="003125A3" w:rsidP="003125A3">
      <w:pPr>
        <w:spacing w:line="240" w:lineRule="auto"/>
        <w:rPr>
          <w:rFonts w:eastAsia="Times New Roman" w:cs="Arial"/>
          <w:lang w:eastAsia="bg-BG"/>
        </w:rPr>
      </w:pPr>
      <w:r w:rsidRPr="003125A3">
        <w:rPr>
          <w:rFonts w:eastAsia="Times New Roman" w:cs="Arial"/>
          <w:i/>
          <w:iCs/>
          <w:color w:val="000000"/>
          <w:lang w:eastAsia="bg-BG"/>
        </w:rPr>
        <w:t>Пациенти с бъбречни увреждания</w:t>
      </w:r>
    </w:p>
    <w:p w14:paraId="1E911570" w14:textId="77777777" w:rsidR="003125A3" w:rsidRPr="003125A3" w:rsidRDefault="003125A3" w:rsidP="003125A3">
      <w:pPr>
        <w:spacing w:line="240" w:lineRule="auto"/>
        <w:rPr>
          <w:rFonts w:eastAsia="Times New Roman" w:cs="Arial"/>
          <w:lang w:eastAsia="bg-BG"/>
        </w:rPr>
      </w:pPr>
      <w:r w:rsidRPr="003125A3">
        <w:rPr>
          <w:rFonts w:eastAsia="Times New Roman" w:cs="Arial"/>
          <w:color w:val="000000"/>
          <w:lang w:eastAsia="bg-BG"/>
        </w:rPr>
        <w:t>Не са правени специални проучвания на Диане 35 при пациенти с бъбречни увреждания. Наличните данни не предполагат промяна на лечението при тази група пациенти.</w:t>
      </w:r>
    </w:p>
    <w:p w14:paraId="7DC8BA99" w14:textId="77777777" w:rsidR="003125A3" w:rsidRPr="003125A3" w:rsidRDefault="003125A3" w:rsidP="003125A3">
      <w:pPr>
        <w:spacing w:line="240" w:lineRule="auto"/>
        <w:rPr>
          <w:rFonts w:eastAsia="Times New Roman" w:cs="Arial"/>
          <w:color w:val="000000"/>
          <w:u w:val="single"/>
          <w:lang w:eastAsia="bg-BG"/>
        </w:rPr>
      </w:pPr>
    </w:p>
    <w:p w14:paraId="3EF035D1" w14:textId="3280444B" w:rsidR="003125A3" w:rsidRPr="003125A3" w:rsidRDefault="003125A3" w:rsidP="003125A3">
      <w:pPr>
        <w:pStyle w:val="Heading3"/>
        <w:rPr>
          <w:rFonts w:eastAsia="Times New Roman"/>
          <w:u w:val="single"/>
          <w:lang w:eastAsia="bg-BG"/>
        </w:rPr>
      </w:pPr>
      <w:r w:rsidRPr="003125A3">
        <w:rPr>
          <w:rFonts w:eastAsia="Times New Roman"/>
          <w:u w:val="single"/>
          <w:lang w:eastAsia="bg-BG"/>
        </w:rPr>
        <w:t>Начин на приложение</w:t>
      </w:r>
    </w:p>
    <w:p w14:paraId="204D5B62" w14:textId="77777777" w:rsidR="003125A3" w:rsidRPr="003125A3" w:rsidRDefault="003125A3" w:rsidP="003125A3">
      <w:pPr>
        <w:spacing w:line="240" w:lineRule="auto"/>
        <w:rPr>
          <w:rFonts w:eastAsia="Times New Roman" w:cs="Arial"/>
          <w:lang w:eastAsia="bg-BG"/>
        </w:rPr>
      </w:pPr>
      <w:r w:rsidRPr="003125A3">
        <w:rPr>
          <w:rFonts w:eastAsia="Times New Roman" w:cs="Arial"/>
          <w:color w:val="000000"/>
          <w:lang w:eastAsia="bg-BG"/>
        </w:rPr>
        <w:t>Перорално приложение</w:t>
      </w:r>
    </w:p>
    <w:p w14:paraId="67A398CC" w14:textId="77777777" w:rsidR="00D34BA2" w:rsidRPr="00D34BA2" w:rsidRDefault="00D34BA2" w:rsidP="00D34BA2"/>
    <w:p w14:paraId="5D9E65DA" w14:textId="6E9DA065" w:rsidR="009F77A4" w:rsidRDefault="002C50EE" w:rsidP="00387A66">
      <w:pPr>
        <w:pStyle w:val="Heading2"/>
      </w:pPr>
      <w:r>
        <w:t>4.3. Противопоказания</w:t>
      </w:r>
    </w:p>
    <w:p w14:paraId="301F285F" w14:textId="365C8AB8" w:rsidR="003125A3" w:rsidRDefault="003125A3" w:rsidP="003125A3"/>
    <w:p w14:paraId="332B987B" w14:textId="77777777" w:rsidR="003125A3" w:rsidRPr="003125A3" w:rsidRDefault="003125A3" w:rsidP="003125A3">
      <w:pPr>
        <w:spacing w:line="240" w:lineRule="auto"/>
        <w:rPr>
          <w:rFonts w:eastAsia="Times New Roman" w:cs="Arial"/>
          <w:sz w:val="28"/>
          <w:szCs w:val="28"/>
          <w:lang w:eastAsia="bg-BG"/>
        </w:rPr>
      </w:pPr>
      <w:r w:rsidRPr="003125A3">
        <w:rPr>
          <w:rFonts w:eastAsia="Times New Roman" w:cs="Arial"/>
          <w:color w:val="000000"/>
          <w:lang w:eastAsia="bg-BG"/>
        </w:rPr>
        <w:t>Комбинираните перорални конрацептиви (КОК) съдържащи естроген/прогестерон не трябва да се използват при състоянията или обстоятелствата изброени по-долу. Ако някое от тях се появи за пръв път по време на употреба на КОК, тя трябва незабавно да се прекрати.</w:t>
      </w:r>
    </w:p>
    <w:p w14:paraId="01E4E1A6" w14:textId="77777777" w:rsidR="003125A3" w:rsidRPr="003125A3" w:rsidRDefault="003125A3" w:rsidP="003125A3">
      <w:pPr>
        <w:spacing w:line="240" w:lineRule="auto"/>
        <w:rPr>
          <w:rFonts w:eastAsia="Times New Roman" w:cs="Arial"/>
          <w:color w:val="000000"/>
          <w:lang w:eastAsia="bg-BG"/>
        </w:rPr>
      </w:pPr>
    </w:p>
    <w:p w14:paraId="60DB5659" w14:textId="77777777" w:rsidR="003125A3" w:rsidRPr="003125A3" w:rsidRDefault="003125A3" w:rsidP="003125A3">
      <w:pPr>
        <w:pStyle w:val="ListParagraph"/>
        <w:numPr>
          <w:ilvl w:val="0"/>
          <w:numId w:val="40"/>
        </w:numPr>
        <w:spacing w:line="240" w:lineRule="auto"/>
        <w:rPr>
          <w:rFonts w:eastAsia="Times New Roman" w:cs="Arial"/>
          <w:color w:val="000000"/>
          <w:lang w:eastAsia="bg-BG"/>
        </w:rPr>
      </w:pPr>
      <w:r w:rsidRPr="003125A3">
        <w:rPr>
          <w:rFonts w:eastAsia="Times New Roman" w:cs="Arial"/>
          <w:color w:val="000000"/>
          <w:lang w:eastAsia="bg-BG"/>
        </w:rPr>
        <w:t>Едновременна употреба с друго хормонално контрацептивно средство (вж. точка 4.1)</w:t>
      </w:r>
    </w:p>
    <w:p w14:paraId="251463D4" w14:textId="77777777" w:rsidR="003125A3" w:rsidRPr="003125A3" w:rsidRDefault="003125A3" w:rsidP="003125A3">
      <w:pPr>
        <w:pStyle w:val="ListParagraph"/>
        <w:numPr>
          <w:ilvl w:val="0"/>
          <w:numId w:val="40"/>
        </w:numPr>
        <w:spacing w:line="240" w:lineRule="auto"/>
        <w:rPr>
          <w:rFonts w:eastAsia="Times New Roman" w:cs="Arial"/>
          <w:color w:val="000000"/>
          <w:lang w:eastAsia="bg-BG"/>
        </w:rPr>
      </w:pPr>
      <w:r w:rsidRPr="003125A3">
        <w:rPr>
          <w:rFonts w:eastAsia="Times New Roman" w:cs="Arial"/>
          <w:color w:val="000000"/>
          <w:lang w:eastAsia="bg-BG"/>
        </w:rPr>
        <w:t>Настояща или минала венозна тромбоза (дълбока венозна тромбоза, белодробна емболия)</w:t>
      </w:r>
    </w:p>
    <w:p w14:paraId="4D0A890D" w14:textId="77777777" w:rsidR="003125A3" w:rsidRPr="003125A3" w:rsidRDefault="003125A3" w:rsidP="003125A3">
      <w:pPr>
        <w:pStyle w:val="ListParagraph"/>
        <w:numPr>
          <w:ilvl w:val="0"/>
          <w:numId w:val="40"/>
        </w:numPr>
        <w:spacing w:line="240" w:lineRule="auto"/>
        <w:rPr>
          <w:rFonts w:eastAsia="Times New Roman" w:cs="Arial"/>
          <w:color w:val="000000"/>
          <w:lang w:eastAsia="bg-BG"/>
        </w:rPr>
      </w:pPr>
      <w:r w:rsidRPr="003125A3">
        <w:rPr>
          <w:rFonts w:eastAsia="Times New Roman" w:cs="Arial"/>
          <w:color w:val="000000"/>
          <w:lang w:eastAsia="bg-BG"/>
        </w:rPr>
        <w:t>Настояща или минала артериална тромбоза (напр. инфаркт на миокарда) или продромални състояния (напр, стенокардия и преходен исхемичен пристъп).</w:t>
      </w:r>
    </w:p>
    <w:p w14:paraId="13C9228A" w14:textId="77777777" w:rsidR="003125A3" w:rsidRPr="003125A3" w:rsidRDefault="003125A3" w:rsidP="003125A3">
      <w:pPr>
        <w:pStyle w:val="ListParagraph"/>
        <w:numPr>
          <w:ilvl w:val="0"/>
          <w:numId w:val="40"/>
        </w:numPr>
        <w:spacing w:line="240" w:lineRule="auto"/>
        <w:rPr>
          <w:rFonts w:eastAsia="Times New Roman" w:cs="Arial"/>
          <w:color w:val="000000"/>
          <w:lang w:eastAsia="bg-BG"/>
        </w:rPr>
      </w:pPr>
      <w:r w:rsidRPr="003125A3">
        <w:rPr>
          <w:rFonts w:eastAsia="Times New Roman" w:cs="Arial"/>
          <w:color w:val="000000"/>
          <w:lang w:eastAsia="bg-BG"/>
        </w:rPr>
        <w:t>Наличие или анамнеза за мозъчно-съдов инцидент</w:t>
      </w:r>
    </w:p>
    <w:p w14:paraId="5A8339CB" w14:textId="440520D3" w:rsidR="003125A3" w:rsidRPr="003125A3" w:rsidRDefault="003125A3" w:rsidP="003125A3">
      <w:pPr>
        <w:pStyle w:val="ListParagraph"/>
        <w:numPr>
          <w:ilvl w:val="0"/>
          <w:numId w:val="40"/>
        </w:numPr>
        <w:spacing w:line="240" w:lineRule="auto"/>
        <w:rPr>
          <w:rFonts w:eastAsia="Times New Roman" w:cs="Arial"/>
          <w:color w:val="000000"/>
          <w:lang w:eastAsia="bg-BG"/>
        </w:rPr>
      </w:pPr>
      <w:r w:rsidRPr="003125A3">
        <w:rPr>
          <w:rFonts w:eastAsia="Times New Roman" w:cs="Arial"/>
          <w:color w:val="000000"/>
          <w:lang w:eastAsia="bg-BG"/>
        </w:rPr>
        <w:t>Наличие на тежки или множествени рискови фактори за развитие на венозна или артериална тромбоза (вж. точка 4.4) като:</w:t>
      </w:r>
    </w:p>
    <w:p w14:paraId="0E4DDAC6" w14:textId="77777777" w:rsidR="003125A3" w:rsidRPr="003125A3" w:rsidRDefault="003125A3" w:rsidP="003125A3">
      <w:pPr>
        <w:pStyle w:val="ListParagraph"/>
        <w:numPr>
          <w:ilvl w:val="0"/>
          <w:numId w:val="43"/>
        </w:numPr>
        <w:spacing w:line="240" w:lineRule="auto"/>
        <w:rPr>
          <w:rFonts w:eastAsia="Times New Roman" w:cs="Arial"/>
          <w:sz w:val="28"/>
          <w:szCs w:val="28"/>
          <w:lang w:eastAsia="bg-BG"/>
        </w:rPr>
      </w:pPr>
      <w:r w:rsidRPr="003125A3">
        <w:rPr>
          <w:rFonts w:eastAsia="Times New Roman" w:cs="Arial"/>
          <w:color w:val="000000"/>
          <w:lang w:eastAsia="bg-BG"/>
        </w:rPr>
        <w:t>захарен диабет със съдови симптоми</w:t>
      </w:r>
    </w:p>
    <w:p w14:paraId="23421825" w14:textId="77777777" w:rsidR="003125A3" w:rsidRPr="003125A3" w:rsidRDefault="003125A3" w:rsidP="003125A3">
      <w:pPr>
        <w:pStyle w:val="ListParagraph"/>
        <w:numPr>
          <w:ilvl w:val="0"/>
          <w:numId w:val="43"/>
        </w:numPr>
        <w:spacing w:line="240" w:lineRule="auto"/>
        <w:rPr>
          <w:rFonts w:eastAsia="Times New Roman" w:cs="Arial"/>
          <w:sz w:val="28"/>
          <w:szCs w:val="28"/>
          <w:lang w:eastAsia="bg-BG"/>
        </w:rPr>
      </w:pPr>
      <w:r w:rsidRPr="003125A3">
        <w:rPr>
          <w:rFonts w:eastAsia="Times New Roman" w:cs="Arial"/>
          <w:color w:val="000000"/>
          <w:lang w:eastAsia="bg-BG"/>
        </w:rPr>
        <w:t>тежка хипертония</w:t>
      </w:r>
    </w:p>
    <w:p w14:paraId="7FB28C66" w14:textId="12BACC73" w:rsidR="003125A3" w:rsidRPr="003125A3" w:rsidRDefault="003125A3" w:rsidP="003125A3">
      <w:pPr>
        <w:pStyle w:val="ListParagraph"/>
        <w:numPr>
          <w:ilvl w:val="0"/>
          <w:numId w:val="43"/>
        </w:numPr>
        <w:spacing w:line="240" w:lineRule="auto"/>
        <w:rPr>
          <w:rFonts w:eastAsia="Times New Roman" w:cs="Arial"/>
          <w:sz w:val="28"/>
          <w:szCs w:val="28"/>
          <w:lang w:eastAsia="bg-BG"/>
        </w:rPr>
      </w:pPr>
      <w:r w:rsidRPr="003125A3">
        <w:rPr>
          <w:rFonts w:eastAsia="Times New Roman" w:cs="Arial"/>
          <w:color w:val="000000"/>
          <w:lang w:eastAsia="bg-BG"/>
        </w:rPr>
        <w:t>тежка дислипопротеинемия</w:t>
      </w:r>
    </w:p>
    <w:p w14:paraId="520562CC" w14:textId="3CBA77BD" w:rsidR="003125A3" w:rsidRPr="003125A3" w:rsidRDefault="003125A3" w:rsidP="003125A3">
      <w:pPr>
        <w:pStyle w:val="ListParagraph"/>
        <w:numPr>
          <w:ilvl w:val="0"/>
          <w:numId w:val="44"/>
        </w:numPr>
        <w:spacing w:line="240" w:lineRule="auto"/>
        <w:rPr>
          <w:rFonts w:eastAsia="Times New Roman" w:cs="Arial"/>
          <w:sz w:val="28"/>
          <w:szCs w:val="28"/>
          <w:lang w:eastAsia="bg-BG"/>
        </w:rPr>
      </w:pPr>
      <w:r w:rsidRPr="003125A3">
        <w:rPr>
          <w:rFonts w:eastAsia="Times New Roman" w:cs="Arial"/>
          <w:color w:val="000000"/>
          <w:lang w:eastAsia="bg-BG"/>
        </w:rPr>
        <w:t xml:space="preserve">Наследствено или придобито предразположение към венозна и артериална тромбоза, като напр. резистентност към активиран протеин С (АРС), дефицит на антитромбин </w:t>
      </w:r>
      <w:r>
        <w:rPr>
          <w:rFonts w:eastAsia="Times New Roman" w:cs="Arial"/>
          <w:color w:val="000000"/>
          <w:lang w:val="en-US" w:eastAsia="bg-BG"/>
        </w:rPr>
        <w:t>III</w:t>
      </w:r>
      <w:r w:rsidRPr="003125A3">
        <w:rPr>
          <w:rFonts w:eastAsia="Times New Roman" w:cs="Arial"/>
          <w:color w:val="000000"/>
          <w:lang w:eastAsia="bg-BG"/>
        </w:rPr>
        <w:t xml:space="preserve">, дефицит на протеин С, дефицит на протеин </w:t>
      </w:r>
      <w:r w:rsidRPr="003125A3">
        <w:rPr>
          <w:rFonts w:eastAsia="Times New Roman" w:cs="Arial"/>
          <w:color w:val="000000"/>
          <w:lang w:val="en-US"/>
        </w:rPr>
        <w:t xml:space="preserve">S, </w:t>
      </w:r>
      <w:r w:rsidRPr="003125A3">
        <w:rPr>
          <w:rFonts w:eastAsia="Times New Roman" w:cs="Arial"/>
          <w:color w:val="000000"/>
          <w:lang w:eastAsia="bg-BG"/>
        </w:rPr>
        <w:t>хиперхомоцистеинемия, антифосфолипидни антитела (антикардиолипин антитела, лупус антикоагулант).</w:t>
      </w:r>
    </w:p>
    <w:p w14:paraId="31403984" w14:textId="77777777" w:rsidR="003125A3" w:rsidRPr="003125A3" w:rsidRDefault="003125A3" w:rsidP="003125A3">
      <w:pPr>
        <w:pStyle w:val="ListParagraph"/>
        <w:numPr>
          <w:ilvl w:val="0"/>
          <w:numId w:val="44"/>
        </w:numPr>
        <w:spacing w:line="240" w:lineRule="auto"/>
        <w:rPr>
          <w:rFonts w:eastAsia="Times New Roman" w:cs="Arial"/>
          <w:sz w:val="28"/>
          <w:szCs w:val="28"/>
          <w:lang w:eastAsia="bg-BG"/>
        </w:rPr>
      </w:pPr>
      <w:r w:rsidRPr="003125A3">
        <w:rPr>
          <w:rFonts w:eastAsia="Times New Roman" w:cs="Arial"/>
          <w:color w:val="000000"/>
          <w:lang w:eastAsia="bg-BG"/>
        </w:rPr>
        <w:t>Анамнеза за мигрена с фокални неврологични симптоми;</w:t>
      </w:r>
    </w:p>
    <w:p w14:paraId="5869BD7B" w14:textId="77777777" w:rsidR="003125A3" w:rsidRPr="003125A3" w:rsidRDefault="003125A3" w:rsidP="003125A3">
      <w:pPr>
        <w:pStyle w:val="ListParagraph"/>
        <w:numPr>
          <w:ilvl w:val="0"/>
          <w:numId w:val="44"/>
        </w:numPr>
        <w:spacing w:line="240" w:lineRule="auto"/>
        <w:rPr>
          <w:rFonts w:eastAsia="Times New Roman" w:cs="Arial"/>
          <w:sz w:val="28"/>
          <w:szCs w:val="28"/>
          <w:lang w:eastAsia="bg-BG"/>
        </w:rPr>
      </w:pPr>
      <w:r w:rsidRPr="003125A3">
        <w:rPr>
          <w:rFonts w:eastAsia="Times New Roman" w:cs="Arial"/>
          <w:color w:val="000000"/>
          <w:lang w:eastAsia="bg-BG"/>
        </w:rPr>
        <w:t>Тежко чернодробно заболяване или такова прекарано в миналото, при което функционалните чернодробни показатели не са се нормализирали;</w:t>
      </w:r>
    </w:p>
    <w:p w14:paraId="19ABDE6E" w14:textId="77777777" w:rsidR="003125A3" w:rsidRPr="003125A3" w:rsidRDefault="003125A3" w:rsidP="003125A3">
      <w:pPr>
        <w:pStyle w:val="ListParagraph"/>
        <w:numPr>
          <w:ilvl w:val="0"/>
          <w:numId w:val="44"/>
        </w:numPr>
        <w:spacing w:line="240" w:lineRule="auto"/>
        <w:rPr>
          <w:rFonts w:eastAsia="Times New Roman" w:cs="Arial"/>
          <w:sz w:val="28"/>
          <w:szCs w:val="28"/>
          <w:lang w:eastAsia="bg-BG"/>
        </w:rPr>
      </w:pPr>
      <w:r w:rsidRPr="003125A3">
        <w:rPr>
          <w:rFonts w:eastAsia="Times New Roman" w:cs="Arial"/>
          <w:color w:val="000000"/>
          <w:lang w:eastAsia="bg-BG"/>
        </w:rPr>
        <w:t>Наличие или анамнеза за тумори на черния дроб (доброкачествени или злокачествени);</w:t>
      </w:r>
    </w:p>
    <w:p w14:paraId="3005F2BD" w14:textId="77777777" w:rsidR="003125A3" w:rsidRPr="003125A3" w:rsidRDefault="003125A3" w:rsidP="003125A3">
      <w:pPr>
        <w:pStyle w:val="ListParagraph"/>
        <w:numPr>
          <w:ilvl w:val="0"/>
          <w:numId w:val="44"/>
        </w:numPr>
        <w:spacing w:line="240" w:lineRule="auto"/>
        <w:rPr>
          <w:rFonts w:eastAsia="Times New Roman" w:cs="Arial"/>
          <w:sz w:val="28"/>
          <w:szCs w:val="28"/>
          <w:lang w:eastAsia="bg-BG"/>
        </w:rPr>
      </w:pPr>
      <w:r w:rsidRPr="003125A3">
        <w:rPr>
          <w:rFonts w:eastAsia="Times New Roman" w:cs="Arial"/>
          <w:color w:val="000000"/>
          <w:lang w:eastAsia="bg-BG"/>
        </w:rPr>
        <w:t>Менингиом или анамнеза за менингиом</w:t>
      </w:r>
    </w:p>
    <w:p w14:paraId="41F5F050" w14:textId="77777777" w:rsidR="003125A3" w:rsidRPr="003125A3" w:rsidRDefault="003125A3" w:rsidP="003125A3">
      <w:pPr>
        <w:pStyle w:val="ListParagraph"/>
        <w:numPr>
          <w:ilvl w:val="0"/>
          <w:numId w:val="44"/>
        </w:numPr>
        <w:spacing w:line="240" w:lineRule="auto"/>
        <w:rPr>
          <w:rFonts w:eastAsia="Times New Roman" w:cs="Arial"/>
          <w:sz w:val="28"/>
          <w:szCs w:val="28"/>
          <w:lang w:eastAsia="bg-BG"/>
        </w:rPr>
      </w:pPr>
      <w:r w:rsidRPr="003125A3">
        <w:rPr>
          <w:rFonts w:eastAsia="Times New Roman" w:cs="Arial"/>
          <w:color w:val="000000"/>
          <w:lang w:eastAsia="bg-BG"/>
        </w:rPr>
        <w:t>Известни или подозирани повлияни от половите стероиди злокачествени състояния (например на гениталиите или на гърдата);</w:t>
      </w:r>
    </w:p>
    <w:p w14:paraId="0D4B87C5" w14:textId="77777777" w:rsidR="003125A3" w:rsidRPr="003125A3" w:rsidRDefault="003125A3" w:rsidP="003125A3">
      <w:pPr>
        <w:pStyle w:val="ListParagraph"/>
        <w:numPr>
          <w:ilvl w:val="0"/>
          <w:numId w:val="44"/>
        </w:numPr>
        <w:spacing w:line="240" w:lineRule="auto"/>
        <w:rPr>
          <w:rFonts w:eastAsia="Times New Roman" w:cs="Arial"/>
          <w:sz w:val="28"/>
          <w:szCs w:val="28"/>
          <w:lang w:eastAsia="bg-BG"/>
        </w:rPr>
      </w:pPr>
      <w:r w:rsidRPr="003125A3">
        <w:rPr>
          <w:rFonts w:eastAsia="Times New Roman" w:cs="Arial"/>
          <w:color w:val="000000"/>
          <w:lang w:eastAsia="bg-BG"/>
        </w:rPr>
        <w:t>Недиагностицирано вагинално кървене;</w:t>
      </w:r>
    </w:p>
    <w:p w14:paraId="50AE8875" w14:textId="77777777" w:rsidR="003125A3" w:rsidRPr="003125A3" w:rsidRDefault="003125A3" w:rsidP="003125A3">
      <w:pPr>
        <w:pStyle w:val="ListParagraph"/>
        <w:numPr>
          <w:ilvl w:val="0"/>
          <w:numId w:val="44"/>
        </w:numPr>
        <w:spacing w:line="240" w:lineRule="auto"/>
        <w:rPr>
          <w:rFonts w:eastAsia="Times New Roman" w:cs="Arial"/>
          <w:sz w:val="28"/>
          <w:szCs w:val="28"/>
          <w:lang w:eastAsia="bg-BG"/>
        </w:rPr>
      </w:pPr>
      <w:r w:rsidRPr="003125A3">
        <w:rPr>
          <w:rFonts w:eastAsia="Times New Roman" w:cs="Arial"/>
          <w:color w:val="000000"/>
          <w:lang w:eastAsia="bg-BG"/>
        </w:rPr>
        <w:t>Известна или подозирана бременност;</w:t>
      </w:r>
    </w:p>
    <w:p w14:paraId="3D18B16D" w14:textId="77777777" w:rsidR="003125A3" w:rsidRPr="003125A3" w:rsidRDefault="003125A3" w:rsidP="003125A3">
      <w:pPr>
        <w:pStyle w:val="ListParagraph"/>
        <w:numPr>
          <w:ilvl w:val="0"/>
          <w:numId w:val="44"/>
        </w:numPr>
        <w:spacing w:line="240" w:lineRule="auto"/>
        <w:rPr>
          <w:rFonts w:eastAsia="Times New Roman" w:cs="Arial"/>
          <w:sz w:val="28"/>
          <w:szCs w:val="28"/>
          <w:lang w:eastAsia="bg-BG"/>
        </w:rPr>
      </w:pPr>
      <w:r w:rsidRPr="003125A3">
        <w:rPr>
          <w:rFonts w:eastAsia="Times New Roman" w:cs="Arial"/>
          <w:color w:val="000000"/>
          <w:lang w:eastAsia="bg-BG"/>
        </w:rPr>
        <w:t>Кърмене;</w:t>
      </w:r>
    </w:p>
    <w:p w14:paraId="47E7A0D5" w14:textId="4EE4DDAA" w:rsidR="003125A3" w:rsidRPr="003125A3" w:rsidRDefault="003125A3" w:rsidP="003125A3">
      <w:pPr>
        <w:pStyle w:val="ListParagraph"/>
        <w:numPr>
          <w:ilvl w:val="0"/>
          <w:numId w:val="44"/>
        </w:numPr>
        <w:spacing w:line="240" w:lineRule="auto"/>
        <w:rPr>
          <w:rFonts w:eastAsia="Times New Roman" w:cs="Arial"/>
          <w:sz w:val="28"/>
          <w:szCs w:val="28"/>
          <w:lang w:eastAsia="bg-BG"/>
        </w:rPr>
      </w:pPr>
      <w:r w:rsidRPr="003125A3">
        <w:rPr>
          <w:rFonts w:eastAsia="Times New Roman" w:cs="Arial"/>
          <w:color w:val="000000"/>
          <w:lang w:eastAsia="bg-BG"/>
        </w:rPr>
        <w:lastRenderedPageBreak/>
        <w:t>Свръхчувствителност към активните вещества или към някое от помощните вещества, изброени в точка 6.1.</w:t>
      </w:r>
    </w:p>
    <w:p w14:paraId="0D62739C" w14:textId="77777777" w:rsidR="003125A3" w:rsidRPr="003125A3" w:rsidRDefault="003125A3" w:rsidP="003125A3">
      <w:pPr>
        <w:spacing w:line="240" w:lineRule="auto"/>
        <w:rPr>
          <w:rFonts w:eastAsia="Times New Roman" w:cs="Arial"/>
          <w:color w:val="000000"/>
          <w:lang w:eastAsia="bg-BG"/>
        </w:rPr>
      </w:pPr>
    </w:p>
    <w:p w14:paraId="1C11DA6E" w14:textId="775B874C" w:rsidR="003125A3" w:rsidRPr="003125A3" w:rsidRDefault="003125A3" w:rsidP="003125A3">
      <w:pPr>
        <w:spacing w:line="240" w:lineRule="auto"/>
        <w:rPr>
          <w:rFonts w:eastAsia="Times New Roman" w:cs="Arial"/>
          <w:sz w:val="28"/>
          <w:szCs w:val="28"/>
          <w:lang w:eastAsia="bg-BG"/>
        </w:rPr>
      </w:pPr>
      <w:r w:rsidRPr="003125A3">
        <w:rPr>
          <w:rFonts w:eastAsia="Times New Roman" w:cs="Arial"/>
          <w:color w:val="000000"/>
          <w:lang w:eastAsia="bg-BG"/>
        </w:rPr>
        <w:t>Диане 35 не трябва да се използва от мъже.</w:t>
      </w:r>
    </w:p>
    <w:p w14:paraId="3D48CB69" w14:textId="73F579A3" w:rsidR="003125A3" w:rsidRPr="003125A3" w:rsidRDefault="003125A3" w:rsidP="003125A3">
      <w:pPr>
        <w:rPr>
          <w:rFonts w:cs="Arial"/>
          <w:sz w:val="24"/>
          <w:szCs w:val="24"/>
        </w:rPr>
      </w:pPr>
      <w:r w:rsidRPr="003125A3">
        <w:rPr>
          <w:rFonts w:eastAsia="Times New Roman" w:cs="Arial"/>
          <w:color w:val="000000"/>
          <w:lang w:eastAsia="bg-BG"/>
        </w:rPr>
        <w:t xml:space="preserve">Употребата на Диане 35 (етинилестрадиол 0,035 </w:t>
      </w:r>
      <w:r w:rsidRPr="003125A3">
        <w:rPr>
          <w:rFonts w:eastAsia="Times New Roman" w:cs="Arial"/>
          <w:color w:val="000000"/>
          <w:lang w:val="en-US"/>
        </w:rPr>
        <w:t xml:space="preserve">mg </w:t>
      </w:r>
      <w:r w:rsidRPr="003125A3">
        <w:rPr>
          <w:rFonts w:eastAsia="Times New Roman" w:cs="Arial"/>
          <w:color w:val="000000"/>
          <w:lang w:eastAsia="bg-BG"/>
        </w:rPr>
        <w:t xml:space="preserve">и ципротеронов ацетат 2,0 </w:t>
      </w:r>
      <w:r w:rsidRPr="003125A3">
        <w:rPr>
          <w:rFonts w:eastAsia="Times New Roman" w:cs="Arial"/>
          <w:color w:val="000000"/>
          <w:lang w:val="en-US"/>
        </w:rPr>
        <w:t xml:space="preserve">mg) </w:t>
      </w:r>
      <w:r w:rsidRPr="003125A3">
        <w:rPr>
          <w:rFonts w:eastAsia="Times New Roman" w:cs="Arial"/>
          <w:color w:val="000000"/>
          <w:lang w:eastAsia="bg-BG"/>
        </w:rPr>
        <w:t>обвити таблетки е противопоказана едновременно с лекарствени продукти, съдържащи омбитасвир/паритапревир/ритонавир и дазабувир, лекарствени продукти, съдържащи глекапревир/пибрентасвир или софосбувир/велпатасвир/воксилапревир (вж. точка 4.5).</w:t>
      </w:r>
    </w:p>
    <w:p w14:paraId="1C27CE53" w14:textId="14F9EB09" w:rsidR="009F77A4" w:rsidRDefault="002C50EE" w:rsidP="00387A66">
      <w:pPr>
        <w:pStyle w:val="Heading2"/>
      </w:pPr>
      <w:r>
        <w:t>4.4. Специални предупреждения и предпазни мерки при употреба</w:t>
      </w:r>
    </w:p>
    <w:p w14:paraId="52BA770F" w14:textId="56765C88" w:rsidR="003125A3" w:rsidRDefault="003125A3" w:rsidP="003125A3"/>
    <w:p w14:paraId="2085ED59" w14:textId="77777777" w:rsidR="003125A3" w:rsidRPr="003125A3" w:rsidRDefault="003125A3" w:rsidP="003125A3">
      <w:pPr>
        <w:spacing w:line="240" w:lineRule="auto"/>
        <w:rPr>
          <w:rFonts w:eastAsia="Times New Roman" w:cs="Arial"/>
          <w:lang w:eastAsia="bg-BG"/>
        </w:rPr>
      </w:pPr>
      <w:r w:rsidRPr="003125A3">
        <w:rPr>
          <w:rFonts w:eastAsia="Times New Roman" w:cs="Arial"/>
          <w:color w:val="000000"/>
          <w:lang w:eastAsia="bg-BG"/>
        </w:rPr>
        <w:t>Диане 35 се състои от прогестогена ципротеронов ацетат и естрогена етинилестрадиол и се прилага в продължение на 21 дни от месечния цикъл. Той има състав, подобен на този на комбинираните перорални контрацептиви (КОК).</w:t>
      </w:r>
    </w:p>
    <w:p w14:paraId="4177D9D0" w14:textId="77777777" w:rsidR="003125A3" w:rsidRPr="003125A3" w:rsidRDefault="003125A3" w:rsidP="003125A3">
      <w:pPr>
        <w:spacing w:line="240" w:lineRule="auto"/>
        <w:rPr>
          <w:rFonts w:eastAsia="Times New Roman" w:cs="Arial"/>
          <w:b/>
          <w:bCs/>
          <w:color w:val="000000"/>
          <w:lang w:eastAsia="bg-BG"/>
        </w:rPr>
      </w:pPr>
    </w:p>
    <w:p w14:paraId="4CEF3949" w14:textId="273BF021" w:rsidR="003125A3" w:rsidRPr="003125A3" w:rsidRDefault="003125A3" w:rsidP="003125A3">
      <w:pPr>
        <w:spacing w:line="240" w:lineRule="auto"/>
        <w:rPr>
          <w:rFonts w:eastAsia="Times New Roman" w:cs="Arial"/>
          <w:lang w:eastAsia="bg-BG"/>
        </w:rPr>
      </w:pPr>
      <w:r w:rsidRPr="003125A3">
        <w:rPr>
          <w:rFonts w:eastAsia="Times New Roman" w:cs="Arial"/>
          <w:b/>
          <w:bCs/>
          <w:color w:val="000000"/>
          <w:lang w:eastAsia="bg-BG"/>
        </w:rPr>
        <w:t>Продължителност на употреба</w:t>
      </w:r>
    </w:p>
    <w:p w14:paraId="10758A14" w14:textId="77777777" w:rsidR="003125A3" w:rsidRPr="003125A3" w:rsidRDefault="003125A3" w:rsidP="003125A3">
      <w:pPr>
        <w:spacing w:line="240" w:lineRule="auto"/>
        <w:rPr>
          <w:rFonts w:eastAsia="Times New Roman" w:cs="Arial"/>
          <w:lang w:eastAsia="bg-BG"/>
        </w:rPr>
      </w:pPr>
      <w:r w:rsidRPr="003125A3">
        <w:rPr>
          <w:rFonts w:eastAsia="Times New Roman" w:cs="Arial"/>
          <w:color w:val="000000"/>
          <w:lang w:eastAsia="bg-BG"/>
        </w:rPr>
        <w:t>Времето до отзвучаване на симптомите е най-малко три месеца. Необходимостта от продължаване на лечението трябва да се оценява периодично от лекуващия лекар (вж. точка 4.2).</w:t>
      </w:r>
    </w:p>
    <w:p w14:paraId="49FA3C14" w14:textId="77777777" w:rsidR="003125A3" w:rsidRPr="003125A3" w:rsidRDefault="003125A3" w:rsidP="003125A3">
      <w:pPr>
        <w:spacing w:line="240" w:lineRule="auto"/>
        <w:rPr>
          <w:rFonts w:eastAsia="Times New Roman" w:cs="Arial"/>
          <w:color w:val="000000"/>
          <w:lang w:eastAsia="bg-BG"/>
        </w:rPr>
      </w:pPr>
    </w:p>
    <w:p w14:paraId="083ECB9B" w14:textId="2DEBCBE8" w:rsidR="003125A3" w:rsidRPr="003125A3" w:rsidRDefault="003125A3" w:rsidP="003125A3">
      <w:pPr>
        <w:spacing w:line="240" w:lineRule="auto"/>
        <w:rPr>
          <w:rFonts w:eastAsia="Times New Roman" w:cs="Arial"/>
          <w:lang w:eastAsia="bg-BG"/>
        </w:rPr>
      </w:pPr>
      <w:r w:rsidRPr="003125A3">
        <w:rPr>
          <w:rFonts w:eastAsia="Times New Roman" w:cs="Arial"/>
          <w:color w:val="000000"/>
          <w:lang w:eastAsia="bg-BG"/>
        </w:rPr>
        <w:t>Клиничният и епидемиологичен опит с комбинациите естроген/прогестоген подобни на Диане 35 се базира на комбинираните перорални конрацептиви (КОК). Затова предупрежденията, свързани с употребата на КОК, важат и за Диане 35.</w:t>
      </w:r>
    </w:p>
    <w:p w14:paraId="00D284C3" w14:textId="77777777" w:rsidR="003125A3" w:rsidRPr="003125A3" w:rsidRDefault="003125A3" w:rsidP="003125A3">
      <w:pPr>
        <w:spacing w:line="240" w:lineRule="auto"/>
        <w:rPr>
          <w:rFonts w:eastAsia="Times New Roman" w:cs="Arial"/>
          <w:b/>
          <w:bCs/>
          <w:color w:val="000000"/>
          <w:lang w:eastAsia="bg-BG"/>
        </w:rPr>
      </w:pPr>
      <w:bookmarkStart w:id="2" w:name="bookmark2"/>
    </w:p>
    <w:p w14:paraId="6C159E78" w14:textId="68B19CA0" w:rsidR="003125A3" w:rsidRPr="003125A3" w:rsidRDefault="003125A3" w:rsidP="003125A3">
      <w:pPr>
        <w:spacing w:line="240" w:lineRule="auto"/>
        <w:rPr>
          <w:rFonts w:eastAsia="Times New Roman" w:cs="Arial"/>
          <w:lang w:eastAsia="bg-BG"/>
        </w:rPr>
      </w:pPr>
      <w:r w:rsidRPr="003125A3">
        <w:rPr>
          <w:rFonts w:eastAsia="Times New Roman" w:cs="Arial"/>
          <w:b/>
          <w:bCs/>
          <w:color w:val="000000"/>
          <w:lang w:eastAsia="bg-BG"/>
        </w:rPr>
        <w:t>Менингиом</w:t>
      </w:r>
      <w:bookmarkEnd w:id="2"/>
    </w:p>
    <w:p w14:paraId="146D6565" w14:textId="77777777" w:rsidR="003125A3" w:rsidRPr="003125A3" w:rsidRDefault="003125A3" w:rsidP="003125A3">
      <w:pPr>
        <w:spacing w:line="240" w:lineRule="auto"/>
        <w:rPr>
          <w:rFonts w:eastAsia="Times New Roman" w:cs="Arial"/>
          <w:lang w:eastAsia="bg-BG"/>
        </w:rPr>
      </w:pPr>
      <w:r w:rsidRPr="003125A3">
        <w:rPr>
          <w:rFonts w:eastAsia="Times New Roman" w:cs="Arial"/>
          <w:color w:val="000000"/>
          <w:lang w:eastAsia="bg-BG"/>
        </w:rPr>
        <w:t xml:space="preserve">Съобщава се за поява на менингиом (единичен или множествен) във връзка с употреба на ципротеронов ацетат, предимно в дози 25 </w:t>
      </w:r>
      <w:r w:rsidRPr="003125A3">
        <w:rPr>
          <w:rFonts w:eastAsia="Times New Roman" w:cs="Arial"/>
          <w:color w:val="000000"/>
          <w:lang w:val="en-US"/>
        </w:rPr>
        <w:t xml:space="preserve">mg </w:t>
      </w:r>
      <w:r w:rsidRPr="003125A3">
        <w:rPr>
          <w:rFonts w:eastAsia="Times New Roman" w:cs="Arial"/>
          <w:color w:val="000000"/>
          <w:lang w:eastAsia="bg-BG"/>
        </w:rPr>
        <w:t>и по-високи и за продължителен период (вж. точка 5.1). Ако пациент е диагностициран с менингиом, всяко лечение, включващо ципротерон, включително Диане 35, трябва да се спре като предпазна мярка.</w:t>
      </w:r>
    </w:p>
    <w:p w14:paraId="2BD6C0DD" w14:textId="77777777" w:rsidR="003125A3" w:rsidRPr="003125A3" w:rsidRDefault="003125A3" w:rsidP="003125A3">
      <w:pPr>
        <w:spacing w:line="240" w:lineRule="auto"/>
        <w:rPr>
          <w:rFonts w:eastAsia="Times New Roman" w:cs="Arial"/>
          <w:i/>
          <w:iCs/>
          <w:color w:val="000000"/>
          <w:lang w:eastAsia="bg-BG"/>
        </w:rPr>
      </w:pPr>
    </w:p>
    <w:p w14:paraId="43D79AA6" w14:textId="5A167D6E" w:rsidR="003125A3" w:rsidRPr="003125A3" w:rsidRDefault="003125A3" w:rsidP="003125A3">
      <w:pPr>
        <w:spacing w:line="240" w:lineRule="auto"/>
        <w:rPr>
          <w:rFonts w:eastAsia="Times New Roman" w:cs="Arial"/>
          <w:lang w:eastAsia="bg-BG"/>
        </w:rPr>
      </w:pPr>
      <w:r w:rsidRPr="003125A3">
        <w:rPr>
          <w:rFonts w:eastAsia="Times New Roman" w:cs="Arial"/>
          <w:i/>
          <w:iCs/>
          <w:color w:val="000000"/>
          <w:lang w:eastAsia="bg-BG"/>
        </w:rPr>
        <w:t>Предупреждения</w:t>
      </w:r>
    </w:p>
    <w:p w14:paraId="57809A74" w14:textId="77777777" w:rsidR="003125A3" w:rsidRPr="003125A3" w:rsidRDefault="003125A3" w:rsidP="003125A3">
      <w:pPr>
        <w:rPr>
          <w:rFonts w:eastAsia="Times New Roman" w:cs="Arial"/>
          <w:lang w:eastAsia="bg-BG"/>
        </w:rPr>
      </w:pPr>
      <w:r w:rsidRPr="003125A3">
        <w:rPr>
          <w:rFonts w:eastAsia="Times New Roman" w:cs="Arial"/>
          <w:color w:val="000000"/>
          <w:lang w:eastAsia="bg-BG"/>
        </w:rPr>
        <w:t>Ако е налице някое от състоянията/рисковите фактори, изброени по-долу, трябва да се прецени ползата от употребата на Диане 35спрямо възможните рискове за всяка ж</w:t>
      </w:r>
      <w:r w:rsidRPr="003125A3">
        <w:rPr>
          <w:rFonts w:eastAsia="Times New Roman" w:cs="Arial"/>
          <w:color w:val="000000"/>
          <w:u w:val="single"/>
          <w:lang w:eastAsia="bg-BG"/>
        </w:rPr>
        <w:t>ена и д</w:t>
      </w:r>
      <w:r w:rsidRPr="003125A3">
        <w:rPr>
          <w:rFonts w:eastAsia="Times New Roman" w:cs="Arial"/>
          <w:color w:val="000000"/>
          <w:lang w:eastAsia="bg-BG"/>
        </w:rPr>
        <w:t>а се обсъди с нея преди тя да реши да започне да използва Диане 35. В случай на влошаване,</w:t>
      </w:r>
      <w:r w:rsidRPr="003125A3">
        <w:rPr>
          <w:rFonts w:eastAsia="Times New Roman" w:cs="Arial"/>
          <w:color w:val="000000"/>
          <w:lang w:val="en-US" w:eastAsia="bg-BG"/>
        </w:rPr>
        <w:t xml:space="preserve"> </w:t>
      </w:r>
      <w:r w:rsidRPr="003125A3">
        <w:rPr>
          <w:rFonts w:eastAsia="Times New Roman" w:cs="Arial"/>
          <w:color w:val="000000"/>
          <w:lang w:eastAsia="bg-BG"/>
        </w:rPr>
        <w:t>изостряне или. първа поява на тези състояния или рискови фактори, жената трябва да се свърже с лекаря си. Той трябва да реши дали употребата на Диане 35 трябва да се прекрати.</w:t>
      </w:r>
    </w:p>
    <w:p w14:paraId="483BEC6E" w14:textId="77777777" w:rsidR="003125A3" w:rsidRPr="003125A3" w:rsidRDefault="003125A3" w:rsidP="003125A3">
      <w:pPr>
        <w:spacing w:line="240" w:lineRule="auto"/>
        <w:rPr>
          <w:rFonts w:eastAsia="Times New Roman" w:cs="Arial"/>
          <w:b/>
          <w:bCs/>
          <w:color w:val="000000"/>
          <w:lang w:eastAsia="bg-BG"/>
        </w:rPr>
      </w:pPr>
    </w:p>
    <w:p w14:paraId="7BB24488" w14:textId="79D3AA5F" w:rsidR="003125A3" w:rsidRPr="003125A3" w:rsidRDefault="003125A3" w:rsidP="003125A3">
      <w:pPr>
        <w:spacing w:line="240" w:lineRule="auto"/>
        <w:rPr>
          <w:rFonts w:eastAsia="Times New Roman" w:cs="Arial"/>
          <w:lang w:eastAsia="bg-BG"/>
        </w:rPr>
      </w:pPr>
      <w:r w:rsidRPr="003125A3">
        <w:rPr>
          <w:rFonts w:eastAsia="Times New Roman" w:cs="Arial"/>
          <w:b/>
          <w:bCs/>
          <w:color w:val="000000"/>
          <w:lang w:eastAsia="bg-BG"/>
        </w:rPr>
        <w:t>Циркулаторни нарушения</w:t>
      </w:r>
    </w:p>
    <w:p w14:paraId="5A6B981B" w14:textId="77777777" w:rsidR="003125A3" w:rsidRPr="003125A3" w:rsidRDefault="003125A3" w:rsidP="003125A3">
      <w:pPr>
        <w:spacing w:line="240" w:lineRule="auto"/>
        <w:rPr>
          <w:rFonts w:eastAsia="Times New Roman" w:cs="Arial"/>
          <w:color w:val="000000"/>
          <w:lang w:eastAsia="bg-BG"/>
        </w:rPr>
      </w:pPr>
    </w:p>
    <w:p w14:paraId="2715D506" w14:textId="77777777" w:rsidR="003125A3" w:rsidRPr="003125A3" w:rsidRDefault="003125A3" w:rsidP="003125A3">
      <w:pPr>
        <w:pStyle w:val="ListParagraph"/>
        <w:numPr>
          <w:ilvl w:val="0"/>
          <w:numId w:val="45"/>
        </w:numPr>
        <w:spacing w:line="240" w:lineRule="auto"/>
        <w:rPr>
          <w:rFonts w:eastAsia="Times New Roman" w:cs="Arial"/>
          <w:color w:val="000000"/>
          <w:lang w:eastAsia="bg-BG"/>
        </w:rPr>
      </w:pPr>
      <w:r w:rsidRPr="003125A3">
        <w:rPr>
          <w:rFonts w:eastAsia="Times New Roman" w:cs="Arial"/>
          <w:color w:val="000000"/>
          <w:lang w:eastAsia="bg-BG"/>
        </w:rPr>
        <w:t>Употребата на Диане 35 носи повишен риск от венозна тромбоемболия (ВТЕ) в сравнение с неизползването му. Допълнителният риск от ВТЕ е най-висок през първата година на употреба на Диане 35 или при подновяване или преминаване към лечение след интервал без таблетки от поне един месец. Венозната тромбоемболия може да бъде фатална в 1 -2% от случаите.</w:t>
      </w:r>
    </w:p>
    <w:p w14:paraId="50208950" w14:textId="77777777" w:rsidR="003125A3" w:rsidRPr="003125A3" w:rsidRDefault="003125A3" w:rsidP="003125A3">
      <w:pPr>
        <w:pStyle w:val="ListParagraph"/>
        <w:numPr>
          <w:ilvl w:val="0"/>
          <w:numId w:val="45"/>
        </w:numPr>
        <w:spacing w:line="240" w:lineRule="auto"/>
        <w:rPr>
          <w:rFonts w:eastAsia="Times New Roman" w:cs="Arial"/>
          <w:color w:val="000000"/>
          <w:lang w:eastAsia="bg-BG"/>
        </w:rPr>
      </w:pPr>
      <w:r w:rsidRPr="003125A3">
        <w:rPr>
          <w:rFonts w:eastAsia="Times New Roman" w:cs="Arial"/>
          <w:color w:val="000000"/>
          <w:lang w:eastAsia="bg-BG"/>
        </w:rPr>
        <w:t>Епидемиологичните изследвания са показали, че честотата на ВТЕ е 1,5 до 2 пъти по- висока при жените, използващи Диане 35, в сравнение с тези, приемащи левоноргестрелсъдържащи комбинирани перорални контрацептиви (КОК) и може да бъде подобен на риска от КОК, съдържащи дезогестрел/гестоден/дроспиренон.</w:t>
      </w:r>
    </w:p>
    <w:p w14:paraId="7434A65A" w14:textId="77777777" w:rsidR="003125A3" w:rsidRPr="003125A3" w:rsidRDefault="003125A3" w:rsidP="003125A3">
      <w:pPr>
        <w:pStyle w:val="ListParagraph"/>
        <w:numPr>
          <w:ilvl w:val="0"/>
          <w:numId w:val="45"/>
        </w:numPr>
        <w:spacing w:line="240" w:lineRule="auto"/>
        <w:rPr>
          <w:rFonts w:eastAsia="Times New Roman" w:cs="Arial"/>
          <w:color w:val="000000"/>
          <w:lang w:eastAsia="bg-BG"/>
        </w:rPr>
      </w:pPr>
      <w:r w:rsidRPr="003125A3">
        <w:rPr>
          <w:rFonts w:eastAsia="Times New Roman" w:cs="Arial"/>
          <w:color w:val="000000"/>
          <w:lang w:eastAsia="bg-BG"/>
        </w:rPr>
        <w:lastRenderedPageBreak/>
        <w:t>Има вероятност групата потребители, използващи Диане 35, да включва пациентки с вътрешно присъщ повишен сърдечно-съдов риск както при поликистичен овариален синдром.</w:t>
      </w:r>
    </w:p>
    <w:p w14:paraId="3A65ACE2" w14:textId="77777777" w:rsidR="003125A3" w:rsidRPr="003125A3" w:rsidRDefault="003125A3" w:rsidP="003125A3">
      <w:pPr>
        <w:pStyle w:val="ListParagraph"/>
        <w:numPr>
          <w:ilvl w:val="0"/>
          <w:numId w:val="45"/>
        </w:numPr>
        <w:spacing w:line="240" w:lineRule="auto"/>
        <w:rPr>
          <w:rFonts w:eastAsia="Times New Roman" w:cs="Arial"/>
          <w:color w:val="000000"/>
          <w:lang w:eastAsia="bg-BG"/>
        </w:rPr>
      </w:pPr>
      <w:r w:rsidRPr="003125A3">
        <w:rPr>
          <w:rFonts w:eastAsia="Times New Roman" w:cs="Arial"/>
          <w:color w:val="000000"/>
          <w:lang w:eastAsia="bg-BG"/>
        </w:rPr>
        <w:t>Епидемиологичните проучвания също показват връзка между употребата на хормонални контрацептиви и повишен риск от артериален тромбоемболизъм (миокарден инфаркт, преходен исхемичен пристъп).</w:t>
      </w:r>
    </w:p>
    <w:p w14:paraId="642CB639" w14:textId="77777777" w:rsidR="003125A3" w:rsidRPr="003125A3" w:rsidRDefault="003125A3" w:rsidP="003125A3">
      <w:pPr>
        <w:pStyle w:val="ListParagraph"/>
        <w:numPr>
          <w:ilvl w:val="0"/>
          <w:numId w:val="45"/>
        </w:numPr>
        <w:spacing w:line="240" w:lineRule="auto"/>
        <w:rPr>
          <w:rFonts w:eastAsia="Times New Roman" w:cs="Arial"/>
          <w:color w:val="000000"/>
          <w:lang w:eastAsia="bg-BG"/>
        </w:rPr>
      </w:pPr>
      <w:r w:rsidRPr="003125A3">
        <w:rPr>
          <w:rFonts w:eastAsia="Times New Roman" w:cs="Arial"/>
          <w:color w:val="000000"/>
          <w:lang w:eastAsia="bg-BG"/>
        </w:rPr>
        <w:t>Извънредно редки са съобщенията за тромбоза в други кръвоносни съдове, например чернодробни, мезентериални, бъбречни, церебрални или в ретинални вени и артерии, при жени, използващи хормонални контрацептивни средства.</w:t>
      </w:r>
    </w:p>
    <w:p w14:paraId="1D9BF6A3" w14:textId="77777777" w:rsidR="003125A3" w:rsidRPr="003125A3" w:rsidRDefault="003125A3" w:rsidP="003125A3">
      <w:pPr>
        <w:pStyle w:val="ListParagraph"/>
        <w:numPr>
          <w:ilvl w:val="0"/>
          <w:numId w:val="45"/>
        </w:numPr>
        <w:spacing w:line="240" w:lineRule="auto"/>
        <w:rPr>
          <w:rFonts w:eastAsia="Times New Roman" w:cs="Arial"/>
          <w:color w:val="000000"/>
          <w:lang w:eastAsia="bg-BG"/>
        </w:rPr>
      </w:pPr>
      <w:r w:rsidRPr="003125A3">
        <w:rPr>
          <w:rFonts w:eastAsia="Times New Roman" w:cs="Arial"/>
          <w:color w:val="000000"/>
          <w:lang w:eastAsia="bg-BG"/>
        </w:rPr>
        <w:t>Симптомите на венозна или артериална тромбоза или на мозъчно-съдов инцидент могат да включват: необичайна едностранна болка в крака и/или подуване, внезапна силна болка в областта на гръдния кош, със или без ирадиация към лявата ръка; внезапен задух; внезапна поява на кашлица; всяко необичайно, силно, продължително главоболие; внезапна частична или пълна загуба на зрение; диплопия; неясен говор или афазия; световъртеж; колапс с или без фокални гърчове; слабост или силно изразено изтръпване, внезапно засягащо едната страна или част от тялото; моторни нарушения; "остър" корем</w:t>
      </w:r>
    </w:p>
    <w:p w14:paraId="0B3BBF90" w14:textId="0363901A" w:rsidR="003125A3" w:rsidRPr="003125A3" w:rsidRDefault="003125A3" w:rsidP="003125A3">
      <w:pPr>
        <w:pStyle w:val="ListParagraph"/>
        <w:numPr>
          <w:ilvl w:val="0"/>
          <w:numId w:val="45"/>
        </w:numPr>
        <w:spacing w:line="240" w:lineRule="auto"/>
        <w:rPr>
          <w:rFonts w:eastAsia="Times New Roman" w:cs="Arial"/>
          <w:color w:val="000000"/>
          <w:lang w:eastAsia="bg-BG"/>
        </w:rPr>
      </w:pPr>
      <w:r w:rsidRPr="003125A3">
        <w:rPr>
          <w:rFonts w:eastAsia="Times New Roman" w:cs="Arial"/>
          <w:color w:val="000000"/>
          <w:lang w:eastAsia="bg-BG"/>
        </w:rPr>
        <w:t>Рискът от венозна тромбоемболия се увеличава с:</w:t>
      </w:r>
    </w:p>
    <w:p w14:paraId="4BD6CB41" w14:textId="77777777" w:rsidR="003125A3" w:rsidRPr="003125A3" w:rsidRDefault="003125A3" w:rsidP="003125A3">
      <w:pPr>
        <w:pStyle w:val="ListParagraph"/>
        <w:numPr>
          <w:ilvl w:val="0"/>
          <w:numId w:val="46"/>
        </w:numPr>
        <w:spacing w:line="240" w:lineRule="auto"/>
        <w:rPr>
          <w:rFonts w:eastAsia="Times New Roman" w:cs="Arial"/>
          <w:lang w:eastAsia="bg-BG"/>
        </w:rPr>
      </w:pPr>
      <w:r w:rsidRPr="003125A3">
        <w:rPr>
          <w:rFonts w:eastAsia="Times New Roman" w:cs="Arial"/>
          <w:color w:val="000000"/>
          <w:lang w:eastAsia="bg-BG"/>
        </w:rPr>
        <w:t>напредване на възрастта;</w:t>
      </w:r>
    </w:p>
    <w:p w14:paraId="506CDAC4" w14:textId="77777777" w:rsidR="003125A3" w:rsidRPr="003125A3" w:rsidRDefault="003125A3" w:rsidP="003125A3">
      <w:pPr>
        <w:pStyle w:val="ListParagraph"/>
        <w:numPr>
          <w:ilvl w:val="0"/>
          <w:numId w:val="46"/>
        </w:numPr>
        <w:spacing w:line="240" w:lineRule="auto"/>
        <w:rPr>
          <w:rFonts w:eastAsia="Times New Roman" w:cs="Arial"/>
          <w:lang w:eastAsia="bg-BG"/>
        </w:rPr>
      </w:pPr>
      <w:r w:rsidRPr="003125A3">
        <w:rPr>
          <w:rFonts w:eastAsia="Times New Roman" w:cs="Arial"/>
          <w:color w:val="000000"/>
          <w:lang w:eastAsia="bg-BG"/>
        </w:rPr>
        <w:t>пушене (рискът допълнително нараства при употреба на повече цигари и увеличение на възрастта, особено при жени над 35 г. Жените над 35-годишна възраст трябва настойчиво да бъдат посъветвани да не пушат, ако искат да използват Диане 35);</w:t>
      </w:r>
    </w:p>
    <w:p w14:paraId="4679C2A9" w14:textId="77777777" w:rsidR="003125A3" w:rsidRPr="003125A3" w:rsidRDefault="003125A3" w:rsidP="003125A3">
      <w:pPr>
        <w:pStyle w:val="ListParagraph"/>
        <w:numPr>
          <w:ilvl w:val="0"/>
          <w:numId w:val="46"/>
        </w:numPr>
        <w:spacing w:line="240" w:lineRule="auto"/>
        <w:rPr>
          <w:rFonts w:eastAsia="Times New Roman" w:cs="Arial"/>
          <w:lang w:eastAsia="bg-BG"/>
        </w:rPr>
      </w:pPr>
      <w:r w:rsidRPr="003125A3">
        <w:rPr>
          <w:rFonts w:eastAsia="Times New Roman" w:cs="Arial"/>
          <w:color w:val="000000"/>
          <w:lang w:eastAsia="bg-BG"/>
        </w:rPr>
        <w:t>положителна фамилна анамнеза (напр. венозна тромбоемболия при брат, сестра или родител в относително ранна възраст). Ако се подозира наличие на наследствено предразположение, жената трябва да бъде насочена към специалист за съвет, преди да се вземе решение за употреба на хормонални контрацептивни средства;</w:t>
      </w:r>
    </w:p>
    <w:p w14:paraId="24F7CA59" w14:textId="77777777" w:rsidR="003125A3" w:rsidRPr="003125A3" w:rsidRDefault="003125A3" w:rsidP="003125A3">
      <w:pPr>
        <w:pStyle w:val="ListParagraph"/>
        <w:numPr>
          <w:ilvl w:val="0"/>
          <w:numId w:val="46"/>
        </w:numPr>
        <w:spacing w:line="240" w:lineRule="auto"/>
        <w:rPr>
          <w:rFonts w:eastAsia="Times New Roman" w:cs="Arial"/>
          <w:lang w:eastAsia="bg-BG"/>
        </w:rPr>
      </w:pPr>
      <w:r w:rsidRPr="003125A3">
        <w:rPr>
          <w:rFonts w:eastAsia="Times New Roman" w:cs="Arial"/>
          <w:color w:val="000000"/>
          <w:lang w:eastAsia="bg-BG"/>
        </w:rPr>
        <w:t>продължително обездвижване, големи операции, операции на долните крайници или тежки травми. В тези случаи се препоръчва да се прекрати употребата на КОК (в случай на планирана операция поне четири седмици преди датата) и да не се започва отново до 2 седмици след пълното възстановяване на движението. Трябва да се има предвид прилагане на антитромботично лечение, ако употребата на Диане 35 не е била преустановена предварително.</w:t>
      </w:r>
    </w:p>
    <w:p w14:paraId="749FE4FD" w14:textId="62EFCF7D" w:rsidR="003125A3" w:rsidRPr="003125A3" w:rsidRDefault="003125A3" w:rsidP="003125A3">
      <w:pPr>
        <w:pStyle w:val="ListParagraph"/>
        <w:numPr>
          <w:ilvl w:val="0"/>
          <w:numId w:val="46"/>
        </w:numPr>
        <w:spacing w:line="240" w:lineRule="auto"/>
        <w:rPr>
          <w:rFonts w:eastAsia="Times New Roman" w:cs="Arial"/>
          <w:lang w:eastAsia="bg-BG"/>
        </w:rPr>
      </w:pPr>
      <w:r w:rsidRPr="003125A3">
        <w:rPr>
          <w:rFonts w:eastAsia="Times New Roman" w:cs="Arial"/>
          <w:color w:val="000000"/>
          <w:lang w:eastAsia="bg-BG"/>
        </w:rPr>
        <w:t xml:space="preserve">затлъстяване (индекс на телесната маса над 30 </w:t>
      </w:r>
      <w:r w:rsidRPr="003125A3">
        <w:rPr>
          <w:rFonts w:eastAsia="Times New Roman" w:cs="Arial"/>
          <w:color w:val="000000"/>
          <w:lang w:val="en-US"/>
        </w:rPr>
        <w:t>kg/m</w:t>
      </w:r>
      <w:r w:rsidRPr="003125A3">
        <w:rPr>
          <w:rFonts w:eastAsia="Times New Roman" w:cs="Arial"/>
          <w:color w:val="000000"/>
          <w:vertAlign w:val="superscript"/>
          <w:lang w:val="en-US"/>
        </w:rPr>
        <w:t>2</w:t>
      </w:r>
      <w:r w:rsidRPr="003125A3">
        <w:rPr>
          <w:rFonts w:eastAsia="Times New Roman" w:cs="Arial"/>
          <w:color w:val="000000"/>
          <w:lang w:val="en-US"/>
        </w:rPr>
        <w:t>).</w:t>
      </w:r>
    </w:p>
    <w:p w14:paraId="02AB9C11" w14:textId="77777777" w:rsidR="003125A3" w:rsidRPr="003125A3" w:rsidRDefault="003125A3" w:rsidP="003125A3">
      <w:pPr>
        <w:spacing w:line="240" w:lineRule="auto"/>
        <w:rPr>
          <w:rFonts w:eastAsia="Times New Roman" w:cs="Arial"/>
          <w:color w:val="000000"/>
          <w:lang w:eastAsia="bg-BG"/>
        </w:rPr>
      </w:pPr>
    </w:p>
    <w:p w14:paraId="5C9A06B9" w14:textId="77777777" w:rsidR="003125A3" w:rsidRPr="003125A3" w:rsidRDefault="003125A3" w:rsidP="003125A3">
      <w:pPr>
        <w:rPr>
          <w:rFonts w:eastAsia="Times New Roman" w:cs="Arial"/>
          <w:lang w:eastAsia="bg-BG"/>
        </w:rPr>
      </w:pPr>
      <w:r w:rsidRPr="003125A3">
        <w:rPr>
          <w:rFonts w:eastAsia="Times New Roman" w:cs="Arial"/>
          <w:color w:val="000000"/>
          <w:lang w:eastAsia="bg-BG"/>
        </w:rPr>
        <w:t>Артериалните тромбоемболични събития може да бъдат животозастрашаващи или да имат фатален изход. Потенциалът за повишен синергичен риск от тромбоза трябва да се има предвид при жени с комбинация от рискови фактори или с по-голяма тежест на ня</w:t>
      </w:r>
      <w:r w:rsidRPr="003125A3">
        <w:rPr>
          <w:rFonts w:eastAsia="Times New Roman" w:cs="Arial"/>
          <w:color w:val="000000"/>
          <w:u w:val="single"/>
          <w:lang w:eastAsia="bg-BG"/>
        </w:rPr>
        <w:t xml:space="preserve">кой </w:t>
      </w:r>
      <w:r w:rsidRPr="003125A3">
        <w:rPr>
          <w:rFonts w:eastAsia="Times New Roman" w:cs="Arial"/>
          <w:color w:val="000000"/>
          <w:lang w:eastAsia="bg-BG"/>
        </w:rPr>
        <w:t>отделен рисков фактор. Този повишен риск може да е по-голям от обикновения кумулативен</w:t>
      </w:r>
      <w:r w:rsidRPr="003125A3">
        <w:rPr>
          <w:rFonts w:eastAsia="Times New Roman" w:cs="Arial"/>
          <w:color w:val="000000"/>
          <w:lang w:val="en-US" w:eastAsia="bg-BG"/>
        </w:rPr>
        <w:t xml:space="preserve"> </w:t>
      </w:r>
      <w:r w:rsidRPr="003125A3">
        <w:rPr>
          <w:rFonts w:eastAsia="Times New Roman" w:cs="Arial"/>
          <w:color w:val="000000"/>
          <w:lang w:eastAsia="bg-BG"/>
        </w:rPr>
        <w:t>риск от факторите. Диане 35 не трябва да се предписва при отрицателна оценка на съотношението риск-полза (виж Противопоказания”).</w:t>
      </w:r>
    </w:p>
    <w:p w14:paraId="522DDB2A" w14:textId="77777777" w:rsidR="003125A3" w:rsidRPr="003125A3" w:rsidRDefault="003125A3" w:rsidP="003125A3">
      <w:pPr>
        <w:spacing w:line="240" w:lineRule="auto"/>
        <w:rPr>
          <w:rFonts w:eastAsia="Times New Roman" w:cs="Arial"/>
          <w:color w:val="000000"/>
          <w:lang w:eastAsia="bg-BG"/>
        </w:rPr>
      </w:pPr>
    </w:p>
    <w:p w14:paraId="1C00C372" w14:textId="43DB613B" w:rsidR="003125A3" w:rsidRPr="003125A3" w:rsidRDefault="003125A3" w:rsidP="003125A3">
      <w:pPr>
        <w:pStyle w:val="ListParagraph"/>
        <w:numPr>
          <w:ilvl w:val="0"/>
          <w:numId w:val="48"/>
        </w:numPr>
        <w:spacing w:line="240" w:lineRule="auto"/>
        <w:rPr>
          <w:rFonts w:eastAsia="Times New Roman" w:cs="Arial"/>
          <w:color w:val="000000"/>
          <w:lang w:eastAsia="bg-BG"/>
        </w:rPr>
      </w:pPr>
      <w:r w:rsidRPr="003125A3">
        <w:rPr>
          <w:rFonts w:eastAsia="Times New Roman" w:cs="Arial"/>
          <w:color w:val="000000"/>
          <w:lang w:eastAsia="bg-BG"/>
        </w:rPr>
        <w:t>Рискът от артериални тромбоемболични усложнения или мозъчно-съдов инцидент се увеличава с:</w:t>
      </w:r>
    </w:p>
    <w:p w14:paraId="7E94205E" w14:textId="77777777" w:rsidR="003125A3" w:rsidRPr="003125A3" w:rsidRDefault="003125A3" w:rsidP="003125A3">
      <w:pPr>
        <w:pStyle w:val="ListParagraph"/>
        <w:numPr>
          <w:ilvl w:val="0"/>
          <w:numId w:val="46"/>
        </w:numPr>
        <w:spacing w:line="240" w:lineRule="auto"/>
        <w:rPr>
          <w:rFonts w:eastAsia="Times New Roman" w:cs="Arial"/>
          <w:lang w:eastAsia="bg-BG"/>
        </w:rPr>
      </w:pPr>
      <w:r w:rsidRPr="003125A3">
        <w:rPr>
          <w:rFonts w:eastAsia="Times New Roman" w:cs="Arial"/>
          <w:color w:val="000000"/>
          <w:lang w:eastAsia="bg-BG"/>
        </w:rPr>
        <w:t>напредване на възрастта;</w:t>
      </w:r>
    </w:p>
    <w:p w14:paraId="6C7FB33E" w14:textId="77777777" w:rsidR="003125A3" w:rsidRPr="003125A3" w:rsidRDefault="003125A3" w:rsidP="003125A3">
      <w:pPr>
        <w:pStyle w:val="ListParagraph"/>
        <w:numPr>
          <w:ilvl w:val="0"/>
          <w:numId w:val="46"/>
        </w:numPr>
        <w:spacing w:line="240" w:lineRule="auto"/>
        <w:rPr>
          <w:rFonts w:eastAsia="Times New Roman" w:cs="Arial"/>
          <w:lang w:eastAsia="bg-BG"/>
        </w:rPr>
      </w:pPr>
      <w:r w:rsidRPr="003125A3">
        <w:rPr>
          <w:rFonts w:eastAsia="Times New Roman" w:cs="Arial"/>
          <w:color w:val="000000"/>
          <w:lang w:eastAsia="bg-BG"/>
        </w:rPr>
        <w:t>пушене (рискът допълнително нараства при употреба на повече цигари и увеличение на възрастта, особено при жени над 35 г. Жените над 35-годишна възраст трябва настойчиво да бъдат посъветвани да не пушат, ако искат да използват Диане 35);</w:t>
      </w:r>
    </w:p>
    <w:p w14:paraId="4BAB0D54" w14:textId="77777777" w:rsidR="003125A3" w:rsidRPr="003125A3" w:rsidRDefault="003125A3" w:rsidP="003125A3">
      <w:pPr>
        <w:pStyle w:val="ListParagraph"/>
        <w:numPr>
          <w:ilvl w:val="0"/>
          <w:numId w:val="46"/>
        </w:numPr>
        <w:spacing w:line="240" w:lineRule="auto"/>
        <w:rPr>
          <w:rFonts w:eastAsia="Times New Roman" w:cs="Arial"/>
          <w:lang w:eastAsia="bg-BG"/>
        </w:rPr>
      </w:pPr>
      <w:r w:rsidRPr="003125A3">
        <w:rPr>
          <w:rFonts w:eastAsia="Times New Roman" w:cs="Arial"/>
          <w:color w:val="000000"/>
          <w:lang w:eastAsia="bg-BG"/>
        </w:rPr>
        <w:lastRenderedPageBreak/>
        <w:t>дислипопротеинемия;</w:t>
      </w:r>
    </w:p>
    <w:p w14:paraId="3A100389" w14:textId="77777777" w:rsidR="003125A3" w:rsidRPr="003125A3" w:rsidRDefault="003125A3" w:rsidP="003125A3">
      <w:pPr>
        <w:pStyle w:val="ListParagraph"/>
        <w:numPr>
          <w:ilvl w:val="0"/>
          <w:numId w:val="46"/>
        </w:numPr>
        <w:spacing w:line="240" w:lineRule="auto"/>
        <w:rPr>
          <w:rFonts w:eastAsia="Times New Roman" w:cs="Arial"/>
          <w:lang w:eastAsia="bg-BG"/>
        </w:rPr>
      </w:pPr>
      <w:r w:rsidRPr="003125A3">
        <w:rPr>
          <w:rFonts w:eastAsia="Times New Roman" w:cs="Arial"/>
          <w:color w:val="000000"/>
          <w:lang w:eastAsia="bg-BG"/>
        </w:rPr>
        <w:t xml:space="preserve">затлъстяване (индекс на телесната маса над 30 </w:t>
      </w:r>
      <w:r w:rsidRPr="003125A3">
        <w:rPr>
          <w:rFonts w:eastAsia="Times New Roman" w:cs="Arial"/>
          <w:color w:val="000000"/>
          <w:lang w:val="en-US"/>
        </w:rPr>
        <w:t>kg/m</w:t>
      </w:r>
      <w:r w:rsidRPr="003125A3">
        <w:rPr>
          <w:rFonts w:eastAsia="Times New Roman" w:cs="Arial"/>
          <w:color w:val="000000"/>
          <w:vertAlign w:val="superscript"/>
          <w:lang w:val="en-US"/>
        </w:rPr>
        <w:t>2</w:t>
      </w:r>
      <w:r w:rsidRPr="003125A3">
        <w:rPr>
          <w:rFonts w:eastAsia="Times New Roman" w:cs="Arial"/>
          <w:color w:val="000000"/>
          <w:lang w:val="en-US"/>
        </w:rPr>
        <w:t xml:space="preserve">). </w:t>
      </w:r>
    </w:p>
    <w:p w14:paraId="7DF7030B" w14:textId="3BF8277F" w:rsidR="003125A3" w:rsidRPr="003125A3" w:rsidRDefault="003125A3" w:rsidP="003125A3">
      <w:pPr>
        <w:pStyle w:val="ListParagraph"/>
        <w:numPr>
          <w:ilvl w:val="0"/>
          <w:numId w:val="46"/>
        </w:numPr>
        <w:spacing w:line="240" w:lineRule="auto"/>
        <w:rPr>
          <w:rFonts w:eastAsia="Times New Roman" w:cs="Arial"/>
          <w:lang w:eastAsia="bg-BG"/>
        </w:rPr>
      </w:pPr>
      <w:r w:rsidRPr="003125A3">
        <w:rPr>
          <w:rFonts w:eastAsia="Times New Roman" w:cs="Arial"/>
          <w:color w:val="000000"/>
          <w:lang w:eastAsia="bg-BG"/>
        </w:rPr>
        <w:t>хипертония;</w:t>
      </w:r>
    </w:p>
    <w:p w14:paraId="4D8A85E6" w14:textId="77777777" w:rsidR="003125A3" w:rsidRPr="003125A3" w:rsidRDefault="003125A3" w:rsidP="003125A3">
      <w:pPr>
        <w:pStyle w:val="ListParagraph"/>
        <w:numPr>
          <w:ilvl w:val="0"/>
          <w:numId w:val="46"/>
        </w:numPr>
        <w:spacing w:line="240" w:lineRule="auto"/>
        <w:rPr>
          <w:rFonts w:eastAsia="Times New Roman" w:cs="Arial"/>
          <w:lang w:eastAsia="bg-BG"/>
        </w:rPr>
      </w:pPr>
      <w:r w:rsidRPr="003125A3">
        <w:rPr>
          <w:rFonts w:eastAsia="Times New Roman" w:cs="Arial"/>
          <w:color w:val="000000"/>
          <w:lang w:eastAsia="bg-BG"/>
        </w:rPr>
        <w:t>мигрена;</w:t>
      </w:r>
    </w:p>
    <w:p w14:paraId="6EB46CA8" w14:textId="77777777" w:rsidR="003125A3" w:rsidRPr="003125A3" w:rsidRDefault="003125A3" w:rsidP="003125A3">
      <w:pPr>
        <w:pStyle w:val="ListParagraph"/>
        <w:numPr>
          <w:ilvl w:val="0"/>
          <w:numId w:val="46"/>
        </w:numPr>
        <w:spacing w:line="240" w:lineRule="auto"/>
        <w:rPr>
          <w:rFonts w:eastAsia="Times New Roman" w:cs="Arial"/>
          <w:lang w:eastAsia="bg-BG"/>
        </w:rPr>
      </w:pPr>
      <w:r w:rsidRPr="003125A3">
        <w:rPr>
          <w:rFonts w:eastAsia="Times New Roman" w:cs="Arial"/>
          <w:color w:val="000000"/>
          <w:lang w:eastAsia="bg-BG"/>
        </w:rPr>
        <w:t>клапна болест на сърцето;</w:t>
      </w:r>
    </w:p>
    <w:p w14:paraId="061A59EA" w14:textId="77777777" w:rsidR="003125A3" w:rsidRPr="003125A3" w:rsidRDefault="003125A3" w:rsidP="003125A3">
      <w:pPr>
        <w:pStyle w:val="ListParagraph"/>
        <w:numPr>
          <w:ilvl w:val="0"/>
          <w:numId w:val="46"/>
        </w:numPr>
        <w:spacing w:line="240" w:lineRule="auto"/>
        <w:rPr>
          <w:rFonts w:eastAsia="Times New Roman" w:cs="Arial"/>
          <w:lang w:eastAsia="bg-BG"/>
        </w:rPr>
      </w:pPr>
      <w:r w:rsidRPr="003125A3">
        <w:rPr>
          <w:rFonts w:eastAsia="Times New Roman" w:cs="Arial"/>
          <w:color w:val="000000"/>
          <w:lang w:eastAsia="bg-BG"/>
        </w:rPr>
        <w:t>предсърдно мъждене;</w:t>
      </w:r>
    </w:p>
    <w:p w14:paraId="4A2F0680" w14:textId="29CBAF8C" w:rsidR="003125A3" w:rsidRPr="003125A3" w:rsidRDefault="003125A3" w:rsidP="003125A3">
      <w:pPr>
        <w:pStyle w:val="ListParagraph"/>
        <w:numPr>
          <w:ilvl w:val="0"/>
          <w:numId w:val="46"/>
        </w:numPr>
        <w:spacing w:line="240" w:lineRule="auto"/>
        <w:rPr>
          <w:rFonts w:eastAsia="Times New Roman" w:cs="Arial"/>
          <w:lang w:eastAsia="bg-BG"/>
        </w:rPr>
      </w:pPr>
      <w:r w:rsidRPr="003125A3">
        <w:rPr>
          <w:rFonts w:eastAsia="Times New Roman" w:cs="Arial"/>
          <w:color w:val="000000"/>
          <w:lang w:eastAsia="bg-BG"/>
        </w:rPr>
        <w:t>положителна фамилна анамнеза (напр. артериална тромбоза при брат, сестра или родител в относително ранна възраст). Ако се подозира наличие на наследствено предразположение, жената трябва да бъде насочена към специалист за съвет, преди да се вземе решение за употреба на хормонални контрацептивни средства.</w:t>
      </w:r>
    </w:p>
    <w:p w14:paraId="59BDCF1C" w14:textId="77777777" w:rsidR="003125A3" w:rsidRPr="003125A3" w:rsidRDefault="003125A3" w:rsidP="003125A3">
      <w:pPr>
        <w:pStyle w:val="ListParagraph"/>
        <w:numPr>
          <w:ilvl w:val="0"/>
          <w:numId w:val="48"/>
        </w:numPr>
        <w:spacing w:line="240" w:lineRule="auto"/>
        <w:rPr>
          <w:rFonts w:eastAsia="Times New Roman" w:cs="Arial"/>
          <w:color w:val="000000"/>
          <w:lang w:eastAsia="bg-BG"/>
        </w:rPr>
      </w:pPr>
      <w:r w:rsidRPr="003125A3">
        <w:rPr>
          <w:rFonts w:eastAsia="Times New Roman" w:cs="Arial"/>
          <w:color w:val="000000"/>
          <w:lang w:eastAsia="bg-BG"/>
        </w:rPr>
        <w:t xml:space="preserve">Други медицински състояния, свързани с нежелани циркулаторни събития, включват захарен диабет, системен лупус еритематозус, хемолитичен уремичен синдром, хронично възпаление на дебелото черво (болест на </w:t>
      </w:r>
      <w:r w:rsidRPr="003125A3">
        <w:rPr>
          <w:rFonts w:eastAsia="Times New Roman" w:cs="Arial"/>
          <w:color w:val="000000"/>
          <w:lang w:val="en-US"/>
        </w:rPr>
        <w:t xml:space="preserve">Crohn </w:t>
      </w:r>
      <w:r w:rsidRPr="003125A3">
        <w:rPr>
          <w:rFonts w:eastAsia="Times New Roman" w:cs="Arial"/>
          <w:color w:val="000000"/>
          <w:lang w:eastAsia="bg-BG"/>
        </w:rPr>
        <w:t>или улцерозен колит) и сърповидно- клетъчна анемия.</w:t>
      </w:r>
    </w:p>
    <w:p w14:paraId="1CBDD586" w14:textId="77777777" w:rsidR="003125A3" w:rsidRPr="003125A3" w:rsidRDefault="003125A3" w:rsidP="003125A3">
      <w:pPr>
        <w:pStyle w:val="ListParagraph"/>
        <w:numPr>
          <w:ilvl w:val="0"/>
          <w:numId w:val="48"/>
        </w:numPr>
        <w:spacing w:line="240" w:lineRule="auto"/>
        <w:rPr>
          <w:rFonts w:eastAsia="Times New Roman" w:cs="Arial"/>
          <w:color w:val="000000"/>
          <w:lang w:eastAsia="bg-BG"/>
        </w:rPr>
      </w:pPr>
      <w:r w:rsidRPr="003125A3">
        <w:rPr>
          <w:rFonts w:eastAsia="Times New Roman" w:cs="Arial"/>
          <w:color w:val="000000"/>
          <w:lang w:eastAsia="bg-BG"/>
        </w:rPr>
        <w:t>Трябва да се има предвид увеличения риск от тромбоемболия в пуерпериума (за информация относно "Бременност и кърмене" вж. точка 4.6).</w:t>
      </w:r>
    </w:p>
    <w:p w14:paraId="2BE4083D" w14:textId="03DBA7B7" w:rsidR="003125A3" w:rsidRPr="003125A3" w:rsidRDefault="003125A3" w:rsidP="003125A3">
      <w:pPr>
        <w:pStyle w:val="ListParagraph"/>
        <w:numPr>
          <w:ilvl w:val="0"/>
          <w:numId w:val="48"/>
        </w:numPr>
        <w:spacing w:line="240" w:lineRule="auto"/>
        <w:rPr>
          <w:rFonts w:eastAsia="Times New Roman" w:cs="Arial"/>
          <w:color w:val="000000"/>
          <w:lang w:eastAsia="bg-BG"/>
        </w:rPr>
      </w:pPr>
      <w:r w:rsidRPr="003125A3">
        <w:rPr>
          <w:rFonts w:eastAsia="Times New Roman" w:cs="Arial"/>
          <w:color w:val="000000"/>
          <w:lang w:eastAsia="bg-BG"/>
        </w:rPr>
        <w:t>Увеличение на честотата или тежестта на мигрената по време на употреба на Диане 35 (което може да е признак на цереброваскуларен инцидент) може да бъде причина за незабавно прекратяване употребата на Диане 35.</w:t>
      </w:r>
    </w:p>
    <w:p w14:paraId="5E7E8CDD" w14:textId="77777777" w:rsidR="003125A3" w:rsidRPr="003125A3" w:rsidRDefault="003125A3" w:rsidP="003125A3">
      <w:pPr>
        <w:spacing w:line="240" w:lineRule="auto"/>
        <w:rPr>
          <w:rFonts w:eastAsia="Times New Roman" w:cs="Arial"/>
          <w:color w:val="000000"/>
          <w:lang w:eastAsia="bg-BG"/>
        </w:rPr>
      </w:pPr>
    </w:p>
    <w:p w14:paraId="661CDFB4" w14:textId="3DE6E8D2" w:rsidR="003125A3" w:rsidRPr="003125A3" w:rsidRDefault="003125A3" w:rsidP="003125A3">
      <w:pPr>
        <w:spacing w:line="240" w:lineRule="auto"/>
        <w:rPr>
          <w:rFonts w:eastAsia="Times New Roman" w:cs="Arial"/>
          <w:lang w:eastAsia="bg-BG"/>
        </w:rPr>
      </w:pPr>
      <w:r w:rsidRPr="003125A3">
        <w:rPr>
          <w:rFonts w:eastAsia="Times New Roman" w:cs="Arial"/>
          <w:color w:val="000000"/>
          <w:lang w:eastAsia="bg-BG"/>
        </w:rPr>
        <w:t>Жените, които използват Диане 35, следва изрично да бъдат инструктирани да се свържат със своя лекар в случай на възможни симптоми на тромбоза. В случай на подозирана или потвърдена тромбоза употребата на Диане 35 трябва да се преустанови. Необходимо е да се започне адекватна контрацепция, поради тератогенните ефекти на антикоагулантиата терапия (кумаринови продукти).</w:t>
      </w:r>
    </w:p>
    <w:p w14:paraId="63F5B722" w14:textId="77777777" w:rsidR="003125A3" w:rsidRPr="003125A3" w:rsidRDefault="003125A3" w:rsidP="003125A3">
      <w:pPr>
        <w:spacing w:line="240" w:lineRule="auto"/>
        <w:rPr>
          <w:rFonts w:eastAsia="Times New Roman" w:cs="Arial"/>
          <w:color w:val="000000"/>
          <w:lang w:eastAsia="bg-BG"/>
        </w:rPr>
      </w:pPr>
    </w:p>
    <w:p w14:paraId="7CBEEA88" w14:textId="667A9F1D" w:rsidR="003125A3" w:rsidRPr="003125A3" w:rsidRDefault="003125A3" w:rsidP="003125A3">
      <w:pPr>
        <w:pStyle w:val="ListParagraph"/>
        <w:numPr>
          <w:ilvl w:val="0"/>
          <w:numId w:val="46"/>
        </w:numPr>
        <w:spacing w:line="240" w:lineRule="auto"/>
        <w:rPr>
          <w:rFonts w:eastAsia="Times New Roman" w:cs="Arial"/>
          <w:lang w:eastAsia="bg-BG"/>
        </w:rPr>
      </w:pPr>
      <w:r w:rsidRPr="003125A3">
        <w:rPr>
          <w:rFonts w:eastAsia="Times New Roman" w:cs="Arial"/>
          <w:color w:val="000000"/>
          <w:lang w:eastAsia="bg-BG"/>
        </w:rPr>
        <w:t>Тумори</w:t>
      </w:r>
    </w:p>
    <w:p w14:paraId="61E2E967" w14:textId="77777777" w:rsidR="003125A3" w:rsidRPr="003125A3" w:rsidRDefault="003125A3" w:rsidP="003125A3">
      <w:pPr>
        <w:spacing w:line="240" w:lineRule="auto"/>
        <w:rPr>
          <w:rFonts w:eastAsia="Times New Roman" w:cs="Arial"/>
          <w:color w:val="000000"/>
          <w:lang w:eastAsia="bg-BG"/>
        </w:rPr>
      </w:pPr>
    </w:p>
    <w:p w14:paraId="4338640F" w14:textId="3F5603F7" w:rsidR="003125A3" w:rsidRPr="003125A3" w:rsidRDefault="003125A3" w:rsidP="003125A3">
      <w:pPr>
        <w:spacing w:line="240" w:lineRule="auto"/>
        <w:rPr>
          <w:rFonts w:eastAsia="Times New Roman" w:cs="Arial"/>
          <w:lang w:eastAsia="bg-BG"/>
        </w:rPr>
      </w:pPr>
      <w:r w:rsidRPr="003125A3">
        <w:rPr>
          <w:rFonts w:eastAsia="Times New Roman" w:cs="Arial"/>
          <w:color w:val="000000"/>
          <w:lang w:eastAsia="bg-BG"/>
        </w:rPr>
        <w:t xml:space="preserve">Най-важният рисков фактор за рак на шийката на матката е наличие на повтаряща се </w:t>
      </w:r>
      <w:r w:rsidRPr="003125A3">
        <w:rPr>
          <w:rFonts w:eastAsia="Times New Roman" w:cs="Arial"/>
          <w:color w:val="000000"/>
          <w:lang w:val="en-US"/>
        </w:rPr>
        <w:t xml:space="preserve">HPV </w:t>
      </w:r>
      <w:r w:rsidRPr="003125A3">
        <w:rPr>
          <w:rFonts w:eastAsia="Times New Roman" w:cs="Arial"/>
          <w:color w:val="000000"/>
          <w:lang w:eastAsia="bg-BG"/>
        </w:rPr>
        <w:t>инфекция. Някои епидемиологични проучвания сочат, че продължителната употреба на КОК може да допринесе за увеличаване на риска, но те продължават да са противоречиви по отношение на степента, до която тази находка може да се дължи на придружаващи фактори като цервикален скрининг и сексуално поведение, включващо употреба на бариерна контрацепция.</w:t>
      </w:r>
    </w:p>
    <w:p w14:paraId="6388BBCC" w14:textId="77777777" w:rsidR="003125A3" w:rsidRPr="003125A3" w:rsidRDefault="003125A3" w:rsidP="003125A3">
      <w:pPr>
        <w:spacing w:line="240" w:lineRule="auto"/>
        <w:rPr>
          <w:rFonts w:eastAsia="Times New Roman" w:cs="Arial"/>
          <w:color w:val="000000"/>
          <w:lang w:eastAsia="bg-BG"/>
        </w:rPr>
      </w:pPr>
    </w:p>
    <w:p w14:paraId="656368A4" w14:textId="592109FB" w:rsidR="003125A3" w:rsidRPr="003125A3" w:rsidRDefault="003125A3" w:rsidP="003125A3">
      <w:pPr>
        <w:spacing w:line="240" w:lineRule="auto"/>
        <w:rPr>
          <w:rFonts w:eastAsia="Times New Roman" w:cs="Arial"/>
          <w:lang w:eastAsia="bg-BG"/>
        </w:rPr>
      </w:pPr>
      <w:r w:rsidRPr="003125A3">
        <w:rPr>
          <w:rFonts w:eastAsia="Times New Roman" w:cs="Arial"/>
          <w:color w:val="000000"/>
          <w:lang w:eastAsia="bg-BG"/>
        </w:rPr>
        <w:t xml:space="preserve">Мета-анализ на 54 епидемиологични проучвания показва, че съществува леко увеличен относителен риск </w:t>
      </w:r>
      <w:r w:rsidRPr="003125A3">
        <w:rPr>
          <w:rFonts w:eastAsia="Times New Roman" w:cs="Arial"/>
          <w:color w:val="000000"/>
          <w:lang w:val="en-US"/>
        </w:rPr>
        <w:t xml:space="preserve">(RR </w:t>
      </w:r>
      <w:r w:rsidRPr="003125A3">
        <w:rPr>
          <w:rFonts w:eastAsia="Times New Roman" w:cs="Arial"/>
          <w:color w:val="000000"/>
          <w:lang w:eastAsia="bg-BG"/>
        </w:rPr>
        <w:t>= 1,24) за установяване рак на гърдата при жени, използващи КОК. Рискът постепенно изчезва в продължение на 10 години след прекратяване употребата на КОК. Тъй като рак на гърдата се среща рядко при жени под 40 години, увеличения брой на диагноза рак на гърдата при жени, употребяващи или употребявали КОК, е малък в сравнение с общия риск от рак на гърдата. Тези проучвания не дават доказателство за причинна връзка. Наблюдаваното увеличение на риска може да се дължи на по-ранна диагноза рак на гърдата при жени използващи КОК, на биологичните ефекти на КОК или на комбинация от двете. Ракът на гърдата, диагностициран при употребяващите КОК е в по- ранен стадий отколкото този диагностициран при жени, които никога не са използвали КОК.</w:t>
      </w:r>
    </w:p>
    <w:p w14:paraId="4154ACAB" w14:textId="0F99643E" w:rsidR="003125A3" w:rsidRPr="003125A3" w:rsidRDefault="003125A3" w:rsidP="003125A3">
      <w:pPr>
        <w:spacing w:line="240" w:lineRule="auto"/>
        <w:rPr>
          <w:rFonts w:eastAsia="Times New Roman" w:cs="Arial"/>
          <w:lang w:val="en-US" w:eastAsia="bg-BG"/>
        </w:rPr>
      </w:pPr>
    </w:p>
    <w:p w14:paraId="77A14975" w14:textId="77777777" w:rsidR="003125A3" w:rsidRPr="003125A3" w:rsidRDefault="003125A3" w:rsidP="003125A3">
      <w:pPr>
        <w:spacing w:line="240" w:lineRule="auto"/>
        <w:rPr>
          <w:rFonts w:eastAsia="Times New Roman" w:cs="Arial"/>
          <w:lang w:eastAsia="bg-BG"/>
        </w:rPr>
      </w:pPr>
      <w:r w:rsidRPr="003125A3">
        <w:rPr>
          <w:rFonts w:eastAsia="Times New Roman" w:cs="Arial"/>
          <w:color w:val="000000"/>
          <w:lang w:eastAsia="bg-BG"/>
        </w:rPr>
        <w:t xml:space="preserve">В редки случаи при употреба на КОК се наблюдават доброкачествени тумори на черния дроб, а в още по-редки случаи злокачествени. В изолирани случаи тези тумори са причинили животозастрашаващи интраабдоминални хеморагии. При диференциална диагноза трябва да се мисли за чернодробен тумор, когато при жени, приемащи КОК се </w:t>
      </w:r>
      <w:r w:rsidRPr="003125A3">
        <w:rPr>
          <w:rFonts w:eastAsia="Times New Roman" w:cs="Arial"/>
          <w:color w:val="000000"/>
          <w:lang w:eastAsia="bg-BG"/>
        </w:rPr>
        <w:lastRenderedPageBreak/>
        <w:t>появят силни болки в горната част на корема, увеличение на черния дроб или признаци на интраабдоминална хеморагия.</w:t>
      </w:r>
    </w:p>
    <w:p w14:paraId="7E7C2D87" w14:textId="77777777" w:rsidR="003125A3" w:rsidRPr="003125A3" w:rsidRDefault="003125A3" w:rsidP="003125A3">
      <w:pPr>
        <w:spacing w:line="240" w:lineRule="auto"/>
        <w:rPr>
          <w:rFonts w:eastAsia="Times New Roman" w:cs="Arial"/>
          <w:color w:val="000000"/>
          <w:lang w:eastAsia="bg-BG"/>
        </w:rPr>
      </w:pPr>
    </w:p>
    <w:p w14:paraId="018BF92E" w14:textId="3D3A3E7E" w:rsidR="003125A3" w:rsidRPr="003125A3" w:rsidRDefault="003125A3" w:rsidP="003125A3">
      <w:pPr>
        <w:spacing w:line="240" w:lineRule="auto"/>
        <w:rPr>
          <w:rFonts w:eastAsia="Times New Roman" w:cs="Arial"/>
          <w:lang w:eastAsia="bg-BG"/>
        </w:rPr>
      </w:pPr>
      <w:r w:rsidRPr="003125A3">
        <w:rPr>
          <w:rFonts w:eastAsia="Times New Roman" w:cs="Arial"/>
          <w:color w:val="000000"/>
          <w:lang w:eastAsia="bg-BG"/>
        </w:rPr>
        <w:t>Злокачествените заболявания може да бъдат животозастрашаващи или да имат фатален изход.</w:t>
      </w:r>
    </w:p>
    <w:p w14:paraId="03613599" w14:textId="77777777" w:rsidR="003125A3" w:rsidRPr="003125A3" w:rsidRDefault="003125A3" w:rsidP="003125A3">
      <w:pPr>
        <w:spacing w:line="240" w:lineRule="auto"/>
        <w:rPr>
          <w:rFonts w:eastAsia="Times New Roman" w:cs="Arial"/>
          <w:color w:val="000000"/>
          <w:lang w:eastAsia="bg-BG"/>
        </w:rPr>
      </w:pPr>
    </w:p>
    <w:p w14:paraId="71E30DEF" w14:textId="3CE68416" w:rsidR="003125A3" w:rsidRPr="003125A3" w:rsidRDefault="003125A3" w:rsidP="003125A3">
      <w:pPr>
        <w:pStyle w:val="ListParagraph"/>
        <w:numPr>
          <w:ilvl w:val="0"/>
          <w:numId w:val="46"/>
        </w:numPr>
        <w:spacing w:line="240" w:lineRule="auto"/>
        <w:rPr>
          <w:rFonts w:eastAsia="Times New Roman" w:cs="Arial"/>
          <w:lang w:eastAsia="bg-BG"/>
        </w:rPr>
      </w:pPr>
      <w:r w:rsidRPr="003125A3">
        <w:rPr>
          <w:rFonts w:eastAsia="Times New Roman" w:cs="Arial"/>
          <w:color w:val="000000"/>
          <w:lang w:eastAsia="bg-BG"/>
        </w:rPr>
        <w:t>Други състояния</w:t>
      </w:r>
    </w:p>
    <w:p w14:paraId="2A0FDA66" w14:textId="77777777" w:rsidR="003125A3" w:rsidRPr="003125A3" w:rsidRDefault="003125A3" w:rsidP="003125A3">
      <w:pPr>
        <w:spacing w:line="240" w:lineRule="auto"/>
        <w:rPr>
          <w:rFonts w:eastAsia="Times New Roman" w:cs="Arial"/>
          <w:color w:val="000000"/>
          <w:lang w:eastAsia="bg-BG"/>
        </w:rPr>
      </w:pPr>
    </w:p>
    <w:p w14:paraId="2E9A7AD2" w14:textId="36E92A7D" w:rsidR="003125A3" w:rsidRPr="003125A3" w:rsidRDefault="003125A3" w:rsidP="003125A3">
      <w:pPr>
        <w:spacing w:line="240" w:lineRule="auto"/>
        <w:rPr>
          <w:rFonts w:eastAsia="Times New Roman" w:cs="Arial"/>
          <w:lang w:eastAsia="bg-BG"/>
        </w:rPr>
      </w:pPr>
      <w:r w:rsidRPr="003125A3">
        <w:rPr>
          <w:rFonts w:eastAsia="Times New Roman" w:cs="Arial"/>
          <w:color w:val="000000"/>
          <w:lang w:eastAsia="bg-BG"/>
        </w:rPr>
        <w:t>Жените с хипертриглицеридемия или с фамилна обремененост са с повишен риск от поява на панкреатит, когато употребяват КОК.</w:t>
      </w:r>
    </w:p>
    <w:p w14:paraId="75411F98" w14:textId="77777777" w:rsidR="003125A3" w:rsidRPr="003125A3" w:rsidRDefault="003125A3" w:rsidP="003125A3">
      <w:pPr>
        <w:spacing w:line="240" w:lineRule="auto"/>
        <w:rPr>
          <w:rFonts w:eastAsia="Times New Roman" w:cs="Arial"/>
          <w:color w:val="000000"/>
          <w:lang w:eastAsia="bg-BG"/>
        </w:rPr>
      </w:pPr>
    </w:p>
    <w:p w14:paraId="77668601" w14:textId="7CEB985D" w:rsidR="003125A3" w:rsidRPr="003125A3" w:rsidRDefault="003125A3" w:rsidP="003125A3">
      <w:pPr>
        <w:spacing w:line="240" w:lineRule="auto"/>
        <w:rPr>
          <w:rFonts w:eastAsia="Times New Roman" w:cs="Arial"/>
          <w:lang w:eastAsia="bg-BG"/>
        </w:rPr>
      </w:pPr>
      <w:r w:rsidRPr="003125A3">
        <w:rPr>
          <w:rFonts w:eastAsia="Times New Roman" w:cs="Arial"/>
          <w:color w:val="000000"/>
          <w:lang w:eastAsia="bg-BG"/>
        </w:rPr>
        <w:t>Въпреки че при някои жени, приемащи КОК или</w:t>
      </w:r>
      <w:r w:rsidRPr="003125A3">
        <w:rPr>
          <w:rFonts w:eastAsia="Times New Roman" w:cs="Arial"/>
          <w:b/>
          <w:bCs/>
          <w:color w:val="000000"/>
          <w:lang w:eastAsia="bg-BG"/>
        </w:rPr>
        <w:t xml:space="preserve"> Диане </w:t>
      </w:r>
      <w:r w:rsidRPr="003125A3">
        <w:rPr>
          <w:rFonts w:eastAsia="Times New Roman" w:cs="Arial"/>
          <w:color w:val="000000"/>
          <w:lang w:eastAsia="bg-BG"/>
        </w:rPr>
        <w:t>35 има съобщения за повишени стойности на кръвното налягане, клинично значимите повишения се редки. Все пак, ако по време на употреба на КОК се развие продължителна клинично значима хипертония, лекарят трябва да препоръча прекъсване на КОК и да лекува хипертонията. Ако с антихипертензивна терапия се постигат нормални стойности, употребата на КОК може да се възобнови.</w:t>
      </w:r>
    </w:p>
    <w:p w14:paraId="52F14004" w14:textId="77777777" w:rsidR="003125A3" w:rsidRPr="003125A3" w:rsidRDefault="003125A3" w:rsidP="003125A3">
      <w:pPr>
        <w:spacing w:line="240" w:lineRule="auto"/>
        <w:rPr>
          <w:rFonts w:eastAsia="Times New Roman" w:cs="Arial"/>
          <w:color w:val="000000"/>
          <w:lang w:eastAsia="bg-BG"/>
        </w:rPr>
      </w:pPr>
    </w:p>
    <w:p w14:paraId="332FCBA6" w14:textId="561DDE98" w:rsidR="003125A3" w:rsidRPr="003125A3" w:rsidRDefault="003125A3" w:rsidP="003125A3">
      <w:pPr>
        <w:spacing w:line="240" w:lineRule="auto"/>
        <w:rPr>
          <w:rFonts w:eastAsia="Times New Roman" w:cs="Arial"/>
          <w:lang w:eastAsia="bg-BG"/>
        </w:rPr>
      </w:pPr>
      <w:r w:rsidRPr="003125A3">
        <w:rPr>
          <w:rFonts w:eastAsia="Times New Roman" w:cs="Arial"/>
          <w:color w:val="000000"/>
          <w:lang w:eastAsia="bg-BG"/>
        </w:rPr>
        <w:t xml:space="preserve">Следните състояния са свързани или се влошават при бременност или употребата на КОК, но връзката им с КОК не е доказана: жълтеница и/или пруритус, свързан с холестаза; образуване на жлъчни камъни; порфирия; системен лупус еритематозус; хемолитичен уремичен синдром; хорея на </w:t>
      </w:r>
      <w:r w:rsidRPr="003125A3">
        <w:rPr>
          <w:rFonts w:eastAsia="Times New Roman" w:cs="Arial"/>
          <w:color w:val="000000"/>
          <w:lang w:val="en-US"/>
        </w:rPr>
        <w:t xml:space="preserve">Sydenham; </w:t>
      </w:r>
      <w:r w:rsidRPr="003125A3">
        <w:rPr>
          <w:rFonts w:eastAsia="Times New Roman" w:cs="Arial"/>
          <w:color w:val="000000"/>
          <w:lang w:eastAsia="bg-BG"/>
        </w:rPr>
        <w:t>гестационен херпес; загуба на слуха, свързана с отосклероза.</w:t>
      </w:r>
    </w:p>
    <w:p w14:paraId="087A47B7" w14:textId="77777777" w:rsidR="003125A3" w:rsidRPr="003125A3" w:rsidRDefault="003125A3" w:rsidP="003125A3">
      <w:pPr>
        <w:spacing w:line="240" w:lineRule="auto"/>
        <w:rPr>
          <w:rFonts w:eastAsia="Times New Roman" w:cs="Arial"/>
          <w:color w:val="000000"/>
          <w:lang w:eastAsia="bg-BG"/>
        </w:rPr>
      </w:pPr>
    </w:p>
    <w:p w14:paraId="4BA47FBD" w14:textId="5E65F524" w:rsidR="003125A3" w:rsidRPr="003125A3" w:rsidRDefault="003125A3" w:rsidP="003125A3">
      <w:pPr>
        <w:spacing w:line="240" w:lineRule="auto"/>
        <w:rPr>
          <w:rFonts w:eastAsia="Times New Roman" w:cs="Arial"/>
          <w:lang w:eastAsia="bg-BG"/>
        </w:rPr>
      </w:pPr>
      <w:r w:rsidRPr="003125A3">
        <w:rPr>
          <w:rFonts w:eastAsia="Times New Roman" w:cs="Arial"/>
          <w:color w:val="000000"/>
          <w:lang w:eastAsia="bg-BG"/>
        </w:rPr>
        <w:t xml:space="preserve">Екзогенните естрогени могат да предизвикат поява на наследствен и придобит ангиоедем </w:t>
      </w:r>
      <w:r w:rsidRPr="003125A3">
        <w:rPr>
          <w:rFonts w:eastAsia="Times New Roman" w:cs="Arial"/>
          <w:i/>
          <w:iCs/>
          <w:color w:val="000000"/>
          <w:lang w:eastAsia="bg-BG"/>
        </w:rPr>
        <w:t>или да</w:t>
      </w:r>
      <w:r w:rsidRPr="003125A3">
        <w:rPr>
          <w:rFonts w:eastAsia="Times New Roman" w:cs="Arial"/>
          <w:color w:val="000000"/>
          <w:lang w:eastAsia="bg-BG"/>
        </w:rPr>
        <w:t xml:space="preserve"> влошат неговите симптоми.</w:t>
      </w:r>
    </w:p>
    <w:p w14:paraId="681188ED" w14:textId="77777777" w:rsidR="003125A3" w:rsidRPr="003125A3" w:rsidRDefault="003125A3" w:rsidP="003125A3">
      <w:pPr>
        <w:spacing w:line="240" w:lineRule="auto"/>
        <w:rPr>
          <w:rFonts w:eastAsia="Times New Roman" w:cs="Arial"/>
          <w:color w:val="000000"/>
          <w:lang w:eastAsia="bg-BG"/>
        </w:rPr>
      </w:pPr>
    </w:p>
    <w:p w14:paraId="00C546BD" w14:textId="0C31A848" w:rsidR="003125A3" w:rsidRPr="003125A3" w:rsidRDefault="003125A3" w:rsidP="003125A3">
      <w:pPr>
        <w:spacing w:line="240" w:lineRule="auto"/>
        <w:rPr>
          <w:rFonts w:eastAsia="Times New Roman" w:cs="Arial"/>
          <w:lang w:eastAsia="bg-BG"/>
        </w:rPr>
      </w:pPr>
      <w:r w:rsidRPr="003125A3">
        <w:rPr>
          <w:rFonts w:eastAsia="Times New Roman" w:cs="Arial"/>
          <w:color w:val="000000"/>
          <w:lang w:eastAsia="bg-BG"/>
        </w:rPr>
        <w:t>При остри или хронични чернодробни функционални смущения може да се наложи прекратяване употребата на КОК, докато се нормализират чернодробните проби. Рецидив на холестатична жълтеница, която за пръв път се е появила по време на бременност или при предишна употреба на полови хормони също налага да се прекрати употребата на КОК.</w:t>
      </w:r>
    </w:p>
    <w:p w14:paraId="4D374642" w14:textId="77777777" w:rsidR="003125A3" w:rsidRPr="003125A3" w:rsidRDefault="003125A3" w:rsidP="003125A3">
      <w:pPr>
        <w:spacing w:line="240" w:lineRule="auto"/>
        <w:rPr>
          <w:rFonts w:eastAsia="Times New Roman" w:cs="Arial"/>
          <w:color w:val="000000"/>
          <w:lang w:eastAsia="bg-BG"/>
        </w:rPr>
      </w:pPr>
    </w:p>
    <w:p w14:paraId="2B37624E" w14:textId="03BEE3D6" w:rsidR="003125A3" w:rsidRPr="003125A3" w:rsidRDefault="003125A3" w:rsidP="003125A3">
      <w:pPr>
        <w:spacing w:line="240" w:lineRule="auto"/>
        <w:rPr>
          <w:rFonts w:eastAsia="Times New Roman" w:cs="Arial"/>
          <w:lang w:eastAsia="bg-BG"/>
        </w:rPr>
      </w:pPr>
      <w:r w:rsidRPr="003125A3">
        <w:rPr>
          <w:rFonts w:eastAsia="Times New Roman" w:cs="Arial"/>
          <w:color w:val="000000"/>
          <w:lang w:eastAsia="bg-BG"/>
        </w:rPr>
        <w:t xml:space="preserve">Въпреки че КОК може да оказват ефект върху периферната резистенгност на инсулин и глюкозния толеранс, няма доказателства за необходимост от промяна на терапевтичния режим при диабетички, използващи ниско-дозови КОК (съдържащи &lt; 0,05 </w:t>
      </w:r>
      <w:r w:rsidRPr="003125A3">
        <w:rPr>
          <w:rFonts w:eastAsia="Times New Roman" w:cs="Arial"/>
          <w:color w:val="000000"/>
          <w:lang w:val="en-US"/>
        </w:rPr>
        <w:t xml:space="preserve">mg </w:t>
      </w:r>
      <w:r w:rsidRPr="003125A3">
        <w:rPr>
          <w:rFonts w:eastAsia="Times New Roman" w:cs="Arial"/>
          <w:color w:val="000000"/>
          <w:lang w:eastAsia="bg-BG"/>
        </w:rPr>
        <w:t>етинилестрадиол). Все пак диабетичките трябва внимателно да се наблюдават докато приемат КОК.</w:t>
      </w:r>
    </w:p>
    <w:p w14:paraId="7C4B9A30" w14:textId="77777777" w:rsidR="003125A3" w:rsidRPr="003125A3" w:rsidRDefault="003125A3" w:rsidP="003125A3">
      <w:pPr>
        <w:spacing w:line="240" w:lineRule="auto"/>
        <w:rPr>
          <w:rFonts w:eastAsia="Times New Roman" w:cs="Arial"/>
          <w:color w:val="000000"/>
          <w:lang w:eastAsia="bg-BG"/>
        </w:rPr>
      </w:pPr>
    </w:p>
    <w:p w14:paraId="06C3132C" w14:textId="5C8F30AF" w:rsidR="003125A3" w:rsidRPr="003125A3" w:rsidRDefault="003125A3" w:rsidP="003125A3">
      <w:pPr>
        <w:spacing w:line="240" w:lineRule="auto"/>
        <w:rPr>
          <w:rFonts w:eastAsia="Times New Roman" w:cs="Arial"/>
          <w:lang w:eastAsia="bg-BG"/>
        </w:rPr>
      </w:pPr>
      <w:r w:rsidRPr="003125A3">
        <w:rPr>
          <w:rFonts w:eastAsia="Times New Roman" w:cs="Arial"/>
          <w:color w:val="000000"/>
          <w:lang w:eastAsia="bg-BG"/>
        </w:rPr>
        <w:t>При употреба на КОК се съобщава за влошаване на ендогенна депресия, епилепсия, на болест на Крон и улцерозен колит.</w:t>
      </w:r>
    </w:p>
    <w:p w14:paraId="3ED7BC03" w14:textId="77777777" w:rsidR="003125A3" w:rsidRPr="003125A3" w:rsidRDefault="003125A3" w:rsidP="003125A3">
      <w:pPr>
        <w:spacing w:line="240" w:lineRule="auto"/>
        <w:rPr>
          <w:rFonts w:eastAsia="Times New Roman" w:cs="Arial"/>
          <w:color w:val="000000"/>
          <w:lang w:eastAsia="bg-BG"/>
        </w:rPr>
      </w:pPr>
    </w:p>
    <w:p w14:paraId="04C32CE2" w14:textId="7B6723DC" w:rsidR="003125A3" w:rsidRPr="003125A3" w:rsidRDefault="003125A3" w:rsidP="003125A3">
      <w:pPr>
        <w:spacing w:line="240" w:lineRule="auto"/>
        <w:rPr>
          <w:rFonts w:eastAsia="Times New Roman" w:cs="Arial"/>
          <w:lang w:eastAsia="bg-BG"/>
        </w:rPr>
      </w:pPr>
      <w:r w:rsidRPr="003125A3">
        <w:rPr>
          <w:rFonts w:eastAsia="Times New Roman" w:cs="Arial"/>
          <w:color w:val="000000"/>
          <w:lang w:eastAsia="bg-BG"/>
        </w:rPr>
        <w:t>Добре известни нежелани реакции при употребата на хормонални контрацептиви са депресивно настроение и депресия (вж. точка 4.8). Депресията може да бъде сериозна и е добре известен рисков фактор за суицидно поведение и самоубийство. Жените трябва да бъдат съветвани да се свържат с лекаря си в случай на промени в настроението и депресивни симптоми, включително и скоро след започване на лечението.</w:t>
      </w:r>
    </w:p>
    <w:p w14:paraId="49A9B210" w14:textId="77777777" w:rsidR="003125A3" w:rsidRPr="003125A3" w:rsidRDefault="003125A3" w:rsidP="003125A3">
      <w:pPr>
        <w:spacing w:line="240" w:lineRule="auto"/>
        <w:rPr>
          <w:rFonts w:eastAsia="Times New Roman" w:cs="Arial"/>
          <w:color w:val="000000"/>
          <w:lang w:eastAsia="bg-BG"/>
        </w:rPr>
      </w:pPr>
    </w:p>
    <w:p w14:paraId="0AA75DEB" w14:textId="0E20F425" w:rsidR="003125A3" w:rsidRPr="003125A3" w:rsidRDefault="003125A3" w:rsidP="003125A3">
      <w:pPr>
        <w:spacing w:line="240" w:lineRule="auto"/>
        <w:rPr>
          <w:rFonts w:eastAsia="Times New Roman" w:cs="Arial"/>
          <w:color w:val="000000"/>
          <w:lang w:eastAsia="bg-BG"/>
        </w:rPr>
      </w:pPr>
      <w:r w:rsidRPr="003125A3">
        <w:rPr>
          <w:rFonts w:eastAsia="Times New Roman" w:cs="Arial"/>
          <w:color w:val="000000"/>
          <w:lang w:eastAsia="bg-BG"/>
        </w:rPr>
        <w:t>Понякога може да се появи хлоазма, най-вече при жените, които имат анамнеза за хлоазма. Жените с предразположение към хлоазма трябва да избягват излагане на слънце или ултравиолетово облъчванне докато използват КОК.</w:t>
      </w:r>
    </w:p>
    <w:p w14:paraId="2142EB3D" w14:textId="1F4734B1" w:rsidR="003125A3" w:rsidRPr="003125A3" w:rsidRDefault="003125A3" w:rsidP="003125A3">
      <w:pPr>
        <w:spacing w:line="240" w:lineRule="auto"/>
        <w:rPr>
          <w:rFonts w:eastAsia="Times New Roman" w:cs="Arial"/>
          <w:color w:val="000000"/>
          <w:lang w:eastAsia="bg-BG"/>
        </w:rPr>
      </w:pPr>
    </w:p>
    <w:p w14:paraId="39183505" w14:textId="77777777" w:rsidR="003125A3" w:rsidRPr="003125A3" w:rsidRDefault="003125A3" w:rsidP="003125A3">
      <w:pPr>
        <w:spacing w:line="240" w:lineRule="auto"/>
        <w:rPr>
          <w:rFonts w:eastAsia="Times New Roman" w:cs="Arial"/>
          <w:lang w:eastAsia="bg-BG"/>
        </w:rPr>
      </w:pPr>
      <w:r w:rsidRPr="003125A3">
        <w:rPr>
          <w:rFonts w:eastAsia="Times New Roman" w:cs="Arial"/>
          <w:color w:val="000000"/>
          <w:lang w:eastAsia="bg-BG"/>
        </w:rPr>
        <w:t>Ако при жени, страдащи от хирзутизъм, внезапно се развият или се увеличат симптомите, причините за състоянието им (андроген-продуциращ тумор, надбъбречен ензимен дефект) трябва да бъдат изяснени чрез диференциално диагностициране.</w:t>
      </w:r>
    </w:p>
    <w:p w14:paraId="3573127D" w14:textId="77777777" w:rsidR="003125A3" w:rsidRPr="003125A3" w:rsidRDefault="003125A3" w:rsidP="003125A3">
      <w:pPr>
        <w:spacing w:line="240" w:lineRule="auto"/>
        <w:rPr>
          <w:rFonts w:eastAsia="Times New Roman" w:cs="Arial"/>
          <w:color w:val="000000"/>
          <w:lang w:eastAsia="bg-BG"/>
        </w:rPr>
      </w:pPr>
    </w:p>
    <w:p w14:paraId="70B6C992" w14:textId="0E001D5C" w:rsidR="003125A3" w:rsidRPr="003125A3" w:rsidRDefault="003125A3" w:rsidP="003125A3">
      <w:pPr>
        <w:spacing w:line="240" w:lineRule="auto"/>
        <w:rPr>
          <w:rFonts w:eastAsia="Times New Roman" w:cs="Arial"/>
          <w:lang w:eastAsia="bg-BG"/>
        </w:rPr>
      </w:pPr>
      <w:r w:rsidRPr="003125A3">
        <w:rPr>
          <w:rFonts w:eastAsia="Times New Roman" w:cs="Arial"/>
          <w:color w:val="000000"/>
          <w:lang w:eastAsia="bg-BG"/>
        </w:rPr>
        <w:t xml:space="preserve">Всяка обвита таблетка от този лекарствен продукт съдържа 31,115 </w:t>
      </w:r>
      <w:r w:rsidRPr="003125A3">
        <w:rPr>
          <w:rFonts w:eastAsia="Times New Roman" w:cs="Arial"/>
          <w:color w:val="000000"/>
          <w:lang w:val="en-US"/>
        </w:rPr>
        <w:t xml:space="preserve">mg </w:t>
      </w:r>
      <w:r w:rsidRPr="003125A3">
        <w:rPr>
          <w:rFonts w:eastAsia="Times New Roman" w:cs="Arial"/>
          <w:color w:val="000000"/>
          <w:lang w:eastAsia="bg-BG"/>
        </w:rPr>
        <w:t xml:space="preserve">лактоза монохидрат и 19,371 </w:t>
      </w:r>
      <w:r w:rsidRPr="003125A3">
        <w:rPr>
          <w:rFonts w:eastAsia="Times New Roman" w:cs="Arial"/>
          <w:color w:val="000000"/>
          <w:lang w:val="en-US"/>
        </w:rPr>
        <w:t xml:space="preserve">mg </w:t>
      </w:r>
      <w:r w:rsidRPr="003125A3">
        <w:rPr>
          <w:rFonts w:eastAsia="Times New Roman" w:cs="Arial"/>
          <w:color w:val="000000"/>
          <w:lang w:eastAsia="bg-BG"/>
        </w:rPr>
        <w:t>захароза. Пациенти с редки наследствени проблеми на непоносимост към фруктоза, галактозна непоносимост, пълна лактазна недостатъчност, глюкозо-галактозна малабсорбция, които са на диета без лактоза, трябва да имат това предвид.</w:t>
      </w:r>
    </w:p>
    <w:p w14:paraId="7B4E7A16" w14:textId="77777777" w:rsidR="003125A3" w:rsidRPr="003125A3" w:rsidRDefault="003125A3" w:rsidP="003125A3">
      <w:pPr>
        <w:spacing w:line="240" w:lineRule="auto"/>
        <w:rPr>
          <w:rFonts w:eastAsia="Times New Roman" w:cs="Arial"/>
          <w:i/>
          <w:iCs/>
          <w:color w:val="000000"/>
          <w:lang w:eastAsia="bg-BG"/>
        </w:rPr>
      </w:pPr>
    </w:p>
    <w:p w14:paraId="2F5FCE31" w14:textId="1A990481" w:rsidR="003125A3" w:rsidRPr="003125A3" w:rsidRDefault="003125A3" w:rsidP="003125A3">
      <w:pPr>
        <w:spacing w:line="240" w:lineRule="auto"/>
        <w:rPr>
          <w:rFonts w:eastAsia="Times New Roman" w:cs="Arial"/>
          <w:lang w:eastAsia="bg-BG"/>
        </w:rPr>
      </w:pPr>
      <w:r w:rsidRPr="003125A3">
        <w:rPr>
          <w:rFonts w:eastAsia="Times New Roman" w:cs="Arial"/>
          <w:i/>
          <w:iCs/>
          <w:color w:val="000000"/>
          <w:lang w:eastAsia="bg-BG"/>
        </w:rPr>
        <w:t>Медицински прегледи/консултация</w:t>
      </w:r>
    </w:p>
    <w:p w14:paraId="23E8FF77" w14:textId="77777777" w:rsidR="003125A3" w:rsidRPr="003125A3" w:rsidRDefault="003125A3" w:rsidP="003125A3">
      <w:pPr>
        <w:spacing w:line="240" w:lineRule="auto"/>
        <w:rPr>
          <w:rFonts w:eastAsia="Times New Roman" w:cs="Arial"/>
          <w:color w:val="000000"/>
          <w:lang w:eastAsia="bg-BG"/>
        </w:rPr>
      </w:pPr>
    </w:p>
    <w:p w14:paraId="0975F3DD" w14:textId="0CAEAB29" w:rsidR="003125A3" w:rsidRPr="003125A3" w:rsidRDefault="003125A3" w:rsidP="003125A3">
      <w:pPr>
        <w:spacing w:line="240" w:lineRule="auto"/>
        <w:rPr>
          <w:rFonts w:eastAsia="Times New Roman" w:cs="Arial"/>
          <w:lang w:eastAsia="bg-BG"/>
        </w:rPr>
      </w:pPr>
      <w:r w:rsidRPr="003125A3">
        <w:rPr>
          <w:rFonts w:eastAsia="Times New Roman" w:cs="Arial"/>
          <w:color w:val="000000"/>
          <w:lang w:eastAsia="bg-BG"/>
        </w:rPr>
        <w:t>Преди започване употреба на Диане 35 или преди възстановяването на приема, трябва да се снеме пълна анамнеза и да се извърши пълен преглед с оглед противопоказанията (вж. точка 4.3) и предупрежденията (вж. точка 4.4), който трябва да се провежда периодично. Периодичният медицински преглед е от значение поради противопоказанията (например преходен исхемичен пристъп и др.) или рисковите фактори (случаи на венозна или артериална тромбоза в семейството), които могат да се появят за пръв път по време на използване на Диане 35. Честотата и естеството на тези прегледи трябва да се основава на добре установената практика и да се адаптира към отделния случай, но най-общо трябва да се обръща внимание на кръвното налягане, гърдите, органите в коремната област и таза, като се включва цервикално цитологично изследване.</w:t>
      </w:r>
    </w:p>
    <w:p w14:paraId="76F595A7" w14:textId="77777777" w:rsidR="003125A3" w:rsidRPr="003125A3" w:rsidRDefault="003125A3" w:rsidP="003125A3">
      <w:pPr>
        <w:spacing w:line="240" w:lineRule="auto"/>
        <w:rPr>
          <w:rFonts w:eastAsia="Times New Roman" w:cs="Arial"/>
          <w:color w:val="000000"/>
          <w:lang w:eastAsia="bg-BG"/>
        </w:rPr>
      </w:pPr>
    </w:p>
    <w:p w14:paraId="0D191265" w14:textId="3C9D3B38" w:rsidR="003125A3" w:rsidRPr="003125A3" w:rsidRDefault="003125A3" w:rsidP="003125A3">
      <w:pPr>
        <w:spacing w:line="240" w:lineRule="auto"/>
        <w:rPr>
          <w:rFonts w:eastAsia="Times New Roman" w:cs="Arial"/>
          <w:lang w:eastAsia="bg-BG"/>
        </w:rPr>
      </w:pPr>
      <w:r w:rsidRPr="003125A3">
        <w:rPr>
          <w:rFonts w:eastAsia="Times New Roman" w:cs="Arial"/>
          <w:color w:val="000000"/>
          <w:lang w:eastAsia="bg-BG"/>
        </w:rPr>
        <w:t xml:space="preserve">Жените трябва да бъдат предупредени, че оралните контрацепгиви като Дине 35 не предпазват от </w:t>
      </w:r>
      <w:r w:rsidRPr="003125A3">
        <w:rPr>
          <w:rFonts w:eastAsia="Times New Roman" w:cs="Arial"/>
          <w:color w:val="000000"/>
          <w:lang w:val="en-US"/>
        </w:rPr>
        <w:t xml:space="preserve">HIV </w:t>
      </w:r>
      <w:r w:rsidRPr="003125A3">
        <w:rPr>
          <w:rFonts w:eastAsia="Times New Roman" w:cs="Arial"/>
          <w:color w:val="000000"/>
          <w:lang w:eastAsia="bg-BG"/>
        </w:rPr>
        <w:t>инфекции (СПИН) и от други болести, които се предават по полов път.</w:t>
      </w:r>
    </w:p>
    <w:p w14:paraId="7C48581B" w14:textId="77777777" w:rsidR="003125A3" w:rsidRPr="003125A3" w:rsidRDefault="003125A3" w:rsidP="003125A3">
      <w:pPr>
        <w:spacing w:line="240" w:lineRule="auto"/>
        <w:rPr>
          <w:rFonts w:eastAsia="Times New Roman" w:cs="Arial"/>
          <w:i/>
          <w:iCs/>
          <w:color w:val="000000"/>
          <w:lang w:eastAsia="bg-BG"/>
        </w:rPr>
      </w:pPr>
    </w:p>
    <w:p w14:paraId="15E36D82" w14:textId="467B1E5B" w:rsidR="003125A3" w:rsidRPr="003125A3" w:rsidRDefault="003125A3" w:rsidP="003125A3">
      <w:pPr>
        <w:spacing w:line="240" w:lineRule="auto"/>
        <w:rPr>
          <w:rFonts w:eastAsia="Times New Roman" w:cs="Arial"/>
          <w:lang w:eastAsia="bg-BG"/>
        </w:rPr>
      </w:pPr>
      <w:r w:rsidRPr="003125A3">
        <w:rPr>
          <w:rFonts w:eastAsia="Times New Roman" w:cs="Arial"/>
          <w:i/>
          <w:iCs/>
          <w:color w:val="000000"/>
          <w:lang w:eastAsia="bg-BG"/>
        </w:rPr>
        <w:t>Намалена ефективност</w:t>
      </w:r>
    </w:p>
    <w:p w14:paraId="1BAC715B" w14:textId="77777777" w:rsidR="003125A3" w:rsidRPr="003125A3" w:rsidRDefault="003125A3" w:rsidP="003125A3">
      <w:pPr>
        <w:spacing w:line="240" w:lineRule="auto"/>
        <w:rPr>
          <w:rFonts w:eastAsia="Times New Roman" w:cs="Arial"/>
          <w:color w:val="000000"/>
          <w:lang w:eastAsia="bg-BG"/>
        </w:rPr>
      </w:pPr>
    </w:p>
    <w:p w14:paraId="50ECCC46" w14:textId="7E68F5D9" w:rsidR="003125A3" w:rsidRPr="003125A3" w:rsidRDefault="003125A3" w:rsidP="003125A3">
      <w:pPr>
        <w:spacing w:line="240" w:lineRule="auto"/>
        <w:rPr>
          <w:rFonts w:eastAsia="Times New Roman" w:cs="Arial"/>
          <w:lang w:eastAsia="bg-BG"/>
        </w:rPr>
      </w:pPr>
      <w:r w:rsidRPr="003125A3">
        <w:rPr>
          <w:rFonts w:eastAsia="Times New Roman" w:cs="Arial"/>
          <w:color w:val="000000"/>
          <w:lang w:eastAsia="bg-BG"/>
        </w:rPr>
        <w:t xml:space="preserve">Контрацептивният ефект на Диане 35 може да се влоши в случаи например на пропускане прием на таблетки (вж. точка 4.2 </w:t>
      </w:r>
      <w:r w:rsidRPr="003125A3">
        <w:rPr>
          <w:rFonts w:eastAsia="Times New Roman" w:cs="Arial"/>
          <w:i/>
          <w:iCs/>
          <w:color w:val="000000"/>
          <w:lang w:eastAsia="bg-BG"/>
        </w:rPr>
        <w:t>Пропускане прием на таблетки),</w:t>
      </w:r>
      <w:r w:rsidRPr="003125A3">
        <w:rPr>
          <w:rFonts w:eastAsia="Times New Roman" w:cs="Arial"/>
          <w:color w:val="000000"/>
          <w:lang w:eastAsia="bg-BG"/>
        </w:rPr>
        <w:t xml:space="preserve"> гастро-ингестинални нарушения (вж. точка 4.2 </w:t>
      </w:r>
      <w:r w:rsidRPr="003125A3">
        <w:rPr>
          <w:rFonts w:eastAsia="Times New Roman" w:cs="Arial"/>
          <w:i/>
          <w:iCs/>
          <w:color w:val="000000"/>
          <w:lang w:eastAsia="bg-BG"/>
        </w:rPr>
        <w:t>Съвети в случай на гастро-интестинапни смущения)</w:t>
      </w:r>
      <w:r w:rsidRPr="003125A3">
        <w:rPr>
          <w:rFonts w:eastAsia="Times New Roman" w:cs="Arial"/>
          <w:color w:val="000000"/>
          <w:lang w:eastAsia="bg-BG"/>
        </w:rPr>
        <w:t xml:space="preserve"> по време на употребата на таблетките или едновременно прилагане с други лекарствени продукти (вж. точка 4.5 Взаимодействие с други лекарствени продукти и други форми на взаимодействие).</w:t>
      </w:r>
    </w:p>
    <w:p w14:paraId="390E24FD" w14:textId="77777777" w:rsidR="003125A3" w:rsidRPr="003125A3" w:rsidRDefault="003125A3" w:rsidP="003125A3">
      <w:pPr>
        <w:spacing w:line="240" w:lineRule="auto"/>
        <w:rPr>
          <w:rFonts w:eastAsia="Times New Roman" w:cs="Arial"/>
          <w:i/>
          <w:iCs/>
          <w:color w:val="000000"/>
          <w:lang w:eastAsia="bg-BG"/>
        </w:rPr>
      </w:pPr>
    </w:p>
    <w:p w14:paraId="27656E2D" w14:textId="41857CB6" w:rsidR="003125A3" w:rsidRPr="003125A3" w:rsidRDefault="003125A3" w:rsidP="003125A3">
      <w:pPr>
        <w:spacing w:line="240" w:lineRule="auto"/>
        <w:rPr>
          <w:rFonts w:eastAsia="Times New Roman" w:cs="Arial"/>
          <w:lang w:eastAsia="bg-BG"/>
        </w:rPr>
      </w:pPr>
      <w:r w:rsidRPr="003125A3">
        <w:rPr>
          <w:rFonts w:eastAsia="Times New Roman" w:cs="Arial"/>
          <w:i/>
          <w:iCs/>
          <w:color w:val="000000"/>
          <w:lang w:eastAsia="bg-BG"/>
        </w:rPr>
        <w:t>Влошен контрол на цикъла</w:t>
      </w:r>
    </w:p>
    <w:p w14:paraId="1D9F7968" w14:textId="77777777" w:rsidR="003125A3" w:rsidRPr="003125A3" w:rsidRDefault="003125A3" w:rsidP="003125A3">
      <w:pPr>
        <w:spacing w:line="240" w:lineRule="auto"/>
        <w:rPr>
          <w:rFonts w:eastAsia="Times New Roman" w:cs="Arial"/>
          <w:color w:val="000000"/>
          <w:lang w:eastAsia="bg-BG"/>
        </w:rPr>
      </w:pPr>
    </w:p>
    <w:p w14:paraId="79407887" w14:textId="6EADD3B3" w:rsidR="003125A3" w:rsidRPr="003125A3" w:rsidRDefault="003125A3" w:rsidP="003125A3">
      <w:pPr>
        <w:spacing w:line="240" w:lineRule="auto"/>
        <w:rPr>
          <w:rFonts w:eastAsia="Times New Roman" w:cs="Arial"/>
          <w:lang w:eastAsia="bg-BG"/>
        </w:rPr>
      </w:pPr>
      <w:r w:rsidRPr="003125A3">
        <w:rPr>
          <w:rFonts w:eastAsia="Times New Roman" w:cs="Arial"/>
          <w:color w:val="000000"/>
          <w:lang w:eastAsia="bg-BG"/>
        </w:rPr>
        <w:t>При естроген/прогестоген КОК може да се появи нередовно кървене (зацапващо или пробивно кървене), особено в първите месеци на употреба. Затова оценка на всяко нередовно кървене има смисъл едва след адаптационния интервал от около 3 цикъла.</w:t>
      </w:r>
    </w:p>
    <w:p w14:paraId="71478766" w14:textId="77777777" w:rsidR="003125A3" w:rsidRPr="003125A3" w:rsidRDefault="003125A3" w:rsidP="003125A3">
      <w:pPr>
        <w:spacing w:line="240" w:lineRule="auto"/>
        <w:rPr>
          <w:rFonts w:eastAsia="Times New Roman" w:cs="Arial"/>
          <w:color w:val="000000"/>
          <w:lang w:eastAsia="bg-BG"/>
        </w:rPr>
      </w:pPr>
    </w:p>
    <w:p w14:paraId="395CDE7C" w14:textId="0A015C88" w:rsidR="003125A3" w:rsidRPr="003125A3" w:rsidRDefault="003125A3" w:rsidP="003125A3">
      <w:pPr>
        <w:spacing w:line="240" w:lineRule="auto"/>
        <w:rPr>
          <w:rFonts w:eastAsia="Times New Roman" w:cs="Arial"/>
          <w:lang w:eastAsia="bg-BG"/>
        </w:rPr>
      </w:pPr>
      <w:r w:rsidRPr="003125A3">
        <w:rPr>
          <w:rFonts w:eastAsia="Times New Roman" w:cs="Arial"/>
          <w:color w:val="000000"/>
          <w:lang w:eastAsia="bg-BG"/>
        </w:rPr>
        <w:t>Ако нередовното кървене персистира или се появи след редовни цикли, трябва да се търсят причини, несвързани с хормоните и да се предприемат подходящи диагностични мерки, за да се изключи злокачественост или бременност. Може да се наложи и кюретаж.</w:t>
      </w:r>
    </w:p>
    <w:p w14:paraId="1DAB94E2" w14:textId="77777777" w:rsidR="003125A3" w:rsidRPr="003125A3" w:rsidRDefault="003125A3" w:rsidP="003125A3">
      <w:pPr>
        <w:spacing w:line="240" w:lineRule="auto"/>
        <w:rPr>
          <w:rFonts w:eastAsia="Times New Roman" w:cs="Arial"/>
          <w:color w:val="000000"/>
          <w:lang w:eastAsia="bg-BG"/>
        </w:rPr>
      </w:pPr>
    </w:p>
    <w:p w14:paraId="15C89E55" w14:textId="4CBF1033" w:rsidR="003125A3" w:rsidRPr="003125A3" w:rsidRDefault="003125A3" w:rsidP="003125A3">
      <w:pPr>
        <w:spacing w:line="240" w:lineRule="auto"/>
        <w:rPr>
          <w:rFonts w:eastAsia="Times New Roman" w:cs="Arial"/>
          <w:lang w:eastAsia="bg-BG"/>
        </w:rPr>
      </w:pPr>
      <w:r w:rsidRPr="003125A3">
        <w:rPr>
          <w:rFonts w:eastAsia="Times New Roman" w:cs="Arial"/>
          <w:color w:val="000000"/>
          <w:lang w:eastAsia="bg-BG"/>
        </w:rPr>
        <w:t xml:space="preserve">При някои жени след интервала, в който не се взимат таблетки, не се появява менструално кървене. Ако КОК е използван според указанията описани в точка </w:t>
      </w:r>
      <w:r w:rsidRPr="003125A3">
        <w:rPr>
          <w:rFonts w:eastAsia="Times New Roman" w:cs="Arial"/>
          <w:i/>
          <w:iCs/>
          <w:color w:val="000000"/>
          <w:lang w:eastAsia="bg-BG"/>
        </w:rPr>
        <w:t>4,2 Дозировка и начин на приложение,</w:t>
      </w:r>
      <w:r w:rsidRPr="003125A3">
        <w:rPr>
          <w:rFonts w:eastAsia="Times New Roman" w:cs="Arial"/>
          <w:color w:val="000000"/>
          <w:lang w:eastAsia="bg-BG"/>
        </w:rPr>
        <w:t xml:space="preserve"> малко вероятно е жената да е бременна. Въпреки това, ако указанията не са спазени преди първото липсващо редовно кръвотечение или </w:t>
      </w:r>
      <w:r w:rsidRPr="003125A3">
        <w:rPr>
          <w:rFonts w:eastAsia="Times New Roman" w:cs="Arial"/>
          <w:color w:val="000000"/>
          <w:lang w:eastAsia="bg-BG"/>
        </w:rPr>
        <w:lastRenderedPageBreak/>
        <w:t>ако 2 пъти не се появи такова кръвотечение, трябва да се изключи възможна бременност преди да се продължи използването на КОК.</w:t>
      </w:r>
    </w:p>
    <w:p w14:paraId="58DD4B4B" w14:textId="77777777" w:rsidR="003125A3" w:rsidRPr="003125A3" w:rsidRDefault="003125A3" w:rsidP="003125A3">
      <w:pPr>
        <w:spacing w:line="240" w:lineRule="auto"/>
        <w:rPr>
          <w:rFonts w:ascii="Times New Roman" w:eastAsia="Times New Roman" w:hAnsi="Times New Roman" w:cs="Times New Roman"/>
          <w:sz w:val="24"/>
          <w:szCs w:val="24"/>
          <w:lang w:eastAsia="bg-BG"/>
        </w:rPr>
      </w:pPr>
    </w:p>
    <w:p w14:paraId="1DA47448" w14:textId="4D262489" w:rsidR="009F77A4" w:rsidRDefault="002C50EE" w:rsidP="00387A66">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4B5484BE" w14:textId="04755939" w:rsidR="003125A3" w:rsidRDefault="003125A3" w:rsidP="003125A3"/>
    <w:p w14:paraId="23CE4927" w14:textId="77777777" w:rsidR="003125A3" w:rsidRPr="003125A3" w:rsidRDefault="003125A3" w:rsidP="003125A3">
      <w:pPr>
        <w:spacing w:line="240" w:lineRule="auto"/>
        <w:rPr>
          <w:rFonts w:eastAsia="Times New Roman" w:cs="Arial"/>
          <w:sz w:val="28"/>
          <w:szCs w:val="28"/>
          <w:lang w:eastAsia="bg-BG"/>
        </w:rPr>
      </w:pPr>
      <w:r w:rsidRPr="003125A3">
        <w:rPr>
          <w:rFonts w:eastAsia="Times New Roman" w:cs="Arial"/>
          <w:color w:val="000000"/>
          <w:lang w:eastAsia="bg-BG"/>
        </w:rPr>
        <w:t>Забележка: Следва да се направи справка с лекарствената информация за прилаганите едновременно лекарства, за да се установи възможността за евентуални взаимодействия.</w:t>
      </w:r>
    </w:p>
    <w:p w14:paraId="3457D3AA" w14:textId="77777777" w:rsidR="003125A3" w:rsidRPr="003125A3" w:rsidRDefault="003125A3" w:rsidP="003125A3">
      <w:pPr>
        <w:spacing w:line="240" w:lineRule="auto"/>
        <w:rPr>
          <w:rFonts w:eastAsia="Times New Roman" w:cs="Arial"/>
          <w:color w:val="000000"/>
          <w:lang w:eastAsia="bg-BG"/>
        </w:rPr>
      </w:pPr>
    </w:p>
    <w:p w14:paraId="3BD91A50" w14:textId="6757F4D1" w:rsidR="003125A3" w:rsidRPr="003125A3" w:rsidRDefault="003125A3" w:rsidP="003125A3">
      <w:pPr>
        <w:spacing w:line="240" w:lineRule="auto"/>
        <w:rPr>
          <w:rFonts w:eastAsia="Times New Roman" w:cs="Arial"/>
          <w:sz w:val="28"/>
          <w:szCs w:val="28"/>
          <w:lang w:eastAsia="bg-BG"/>
        </w:rPr>
      </w:pPr>
      <w:r w:rsidRPr="003125A3">
        <w:rPr>
          <w:rFonts w:eastAsia="Times New Roman" w:cs="Arial"/>
          <w:color w:val="000000"/>
          <w:lang w:eastAsia="bg-BG"/>
        </w:rPr>
        <w:t>Контрол</w:t>
      </w:r>
    </w:p>
    <w:p w14:paraId="00B3E415" w14:textId="77777777" w:rsidR="003125A3" w:rsidRPr="003125A3" w:rsidRDefault="003125A3" w:rsidP="003125A3">
      <w:pPr>
        <w:spacing w:line="240" w:lineRule="auto"/>
        <w:rPr>
          <w:rFonts w:eastAsia="Times New Roman" w:cs="Arial"/>
          <w:color w:val="000000"/>
          <w:lang w:eastAsia="bg-BG"/>
        </w:rPr>
      </w:pPr>
    </w:p>
    <w:p w14:paraId="12D3366F" w14:textId="285FDD27" w:rsidR="003125A3" w:rsidRPr="003125A3" w:rsidRDefault="003125A3" w:rsidP="003125A3">
      <w:pPr>
        <w:spacing w:line="240" w:lineRule="auto"/>
        <w:rPr>
          <w:rFonts w:eastAsia="Times New Roman" w:cs="Arial"/>
          <w:sz w:val="28"/>
          <w:szCs w:val="28"/>
          <w:lang w:eastAsia="bg-BG"/>
        </w:rPr>
      </w:pPr>
      <w:r w:rsidRPr="003125A3">
        <w:rPr>
          <w:rFonts w:eastAsia="Times New Roman" w:cs="Arial"/>
          <w:color w:val="000000"/>
          <w:lang w:eastAsia="bg-BG"/>
        </w:rPr>
        <w:t>Ензимна индукция може да се наблюдава след няколко дни лечение. Обикновено максималната ензимна индукция протича в рамките на няколко седмици. След спиране на лекарствената терапия ензимната индукция може да продължи до около 4 седмици.</w:t>
      </w:r>
    </w:p>
    <w:p w14:paraId="43C888E7" w14:textId="77777777" w:rsidR="003125A3" w:rsidRPr="003125A3" w:rsidRDefault="003125A3" w:rsidP="003125A3">
      <w:pPr>
        <w:spacing w:line="240" w:lineRule="auto"/>
        <w:rPr>
          <w:rFonts w:eastAsia="Times New Roman" w:cs="Arial"/>
          <w:i/>
          <w:iCs/>
          <w:color w:val="000000"/>
          <w:lang w:eastAsia="bg-BG"/>
        </w:rPr>
      </w:pPr>
    </w:p>
    <w:p w14:paraId="4BDC0781" w14:textId="1041B4FA" w:rsidR="003125A3" w:rsidRPr="003125A3" w:rsidRDefault="003125A3" w:rsidP="003125A3">
      <w:pPr>
        <w:spacing w:line="240" w:lineRule="auto"/>
        <w:rPr>
          <w:rFonts w:eastAsia="Times New Roman" w:cs="Arial"/>
          <w:sz w:val="28"/>
          <w:szCs w:val="28"/>
          <w:lang w:eastAsia="bg-BG"/>
        </w:rPr>
      </w:pPr>
      <w:r w:rsidRPr="003125A3">
        <w:rPr>
          <w:rFonts w:eastAsia="Times New Roman" w:cs="Arial"/>
          <w:i/>
          <w:iCs/>
          <w:color w:val="000000"/>
          <w:lang w:eastAsia="bg-BG"/>
        </w:rPr>
        <w:t>Ефекти на други лекарства върху Диане 35</w:t>
      </w:r>
    </w:p>
    <w:p w14:paraId="43F9D687" w14:textId="77777777" w:rsidR="003125A3" w:rsidRPr="003125A3" w:rsidRDefault="003125A3" w:rsidP="003125A3">
      <w:pPr>
        <w:spacing w:line="240" w:lineRule="auto"/>
        <w:rPr>
          <w:rFonts w:eastAsia="Times New Roman" w:cs="Arial"/>
          <w:color w:val="000000"/>
          <w:lang w:eastAsia="bg-BG"/>
        </w:rPr>
      </w:pPr>
    </w:p>
    <w:p w14:paraId="5318CF22" w14:textId="7F38E017" w:rsidR="003125A3" w:rsidRPr="003125A3" w:rsidRDefault="003125A3" w:rsidP="003125A3">
      <w:pPr>
        <w:spacing w:line="240" w:lineRule="auto"/>
        <w:rPr>
          <w:rFonts w:eastAsia="Times New Roman" w:cs="Arial"/>
          <w:sz w:val="28"/>
          <w:szCs w:val="28"/>
          <w:lang w:eastAsia="bg-BG"/>
        </w:rPr>
      </w:pPr>
      <w:r w:rsidRPr="003125A3">
        <w:rPr>
          <w:rFonts w:eastAsia="Times New Roman" w:cs="Arial"/>
          <w:color w:val="000000"/>
          <w:lang w:eastAsia="bg-BG"/>
        </w:rPr>
        <w:t>Може да възникнат взаимодействия с други лекарства, които индуцират микрозомални ензими, и това може да доведе до повишен клирънс на половите хормони, водещ до поява на кървене и/или намалена контрацептивна защита.</w:t>
      </w:r>
    </w:p>
    <w:p w14:paraId="5DB35E5B" w14:textId="77777777" w:rsidR="003125A3" w:rsidRPr="003125A3" w:rsidRDefault="003125A3" w:rsidP="003125A3">
      <w:pPr>
        <w:spacing w:line="240" w:lineRule="auto"/>
        <w:rPr>
          <w:rFonts w:eastAsia="Times New Roman" w:cs="Arial"/>
          <w:color w:val="000000"/>
          <w:lang w:eastAsia="bg-BG"/>
        </w:rPr>
      </w:pPr>
    </w:p>
    <w:p w14:paraId="79CF1B12" w14:textId="62A7E2C4" w:rsidR="003125A3" w:rsidRPr="003125A3" w:rsidRDefault="003125A3" w:rsidP="003125A3">
      <w:pPr>
        <w:spacing w:line="240" w:lineRule="auto"/>
        <w:rPr>
          <w:rFonts w:eastAsia="Times New Roman" w:cs="Arial"/>
          <w:sz w:val="28"/>
          <w:szCs w:val="28"/>
          <w:lang w:eastAsia="bg-BG"/>
        </w:rPr>
      </w:pPr>
      <w:r w:rsidRPr="003125A3">
        <w:rPr>
          <w:rFonts w:eastAsia="Times New Roman" w:cs="Arial"/>
          <w:color w:val="000000"/>
          <w:lang w:eastAsia="bg-BG"/>
        </w:rPr>
        <w:t>Ензимната индукция вече може да се наблюдава след няколко дни от лечението. Максималната индукция на ензимите обикновено се наблюдава в рамките на няколко седмици. След спиране на лекарствената терапия ензимната индукция може да бъде поддържана в продължение на около 4 седмици.</w:t>
      </w:r>
    </w:p>
    <w:p w14:paraId="03AD5501" w14:textId="77777777" w:rsidR="003125A3" w:rsidRPr="003125A3" w:rsidRDefault="003125A3" w:rsidP="003125A3">
      <w:pPr>
        <w:spacing w:line="240" w:lineRule="auto"/>
        <w:rPr>
          <w:rFonts w:eastAsia="Times New Roman" w:cs="Arial"/>
          <w:color w:val="000000"/>
          <w:lang w:eastAsia="bg-BG"/>
        </w:rPr>
      </w:pPr>
    </w:p>
    <w:p w14:paraId="194E8BEF" w14:textId="3C81D1D1" w:rsidR="003125A3" w:rsidRPr="003125A3" w:rsidRDefault="003125A3" w:rsidP="003125A3">
      <w:pPr>
        <w:spacing w:line="240" w:lineRule="auto"/>
        <w:rPr>
          <w:rFonts w:eastAsia="Times New Roman" w:cs="Arial"/>
          <w:sz w:val="28"/>
          <w:szCs w:val="28"/>
          <w:lang w:eastAsia="bg-BG"/>
        </w:rPr>
      </w:pPr>
      <w:r w:rsidRPr="003125A3">
        <w:rPr>
          <w:rFonts w:eastAsia="Times New Roman" w:cs="Arial"/>
          <w:color w:val="000000"/>
          <w:lang w:eastAsia="bg-BG"/>
        </w:rPr>
        <w:t>Жени, лекуващи се с някои от тези лекарствени продукти, трябва временно да използват допълнително с Диане 35 и бариерен метод или да изберат друг метод на контрацепция. Трябва да се използва бариерен метод за контрацепция по време на едновременното приложение на лекарствата и 28 дни след спирането му</w:t>
      </w:r>
      <w:r w:rsidRPr="003125A3">
        <w:rPr>
          <w:rFonts w:eastAsia="Times New Roman" w:cs="Arial"/>
          <w:color w:val="000000"/>
          <w:lang w:val="en-US" w:eastAsia="bg-BG"/>
        </w:rPr>
        <w:t xml:space="preserve">. </w:t>
      </w:r>
      <w:r w:rsidRPr="003125A3">
        <w:rPr>
          <w:rFonts w:eastAsia="Times New Roman" w:cs="Arial"/>
          <w:color w:val="000000"/>
          <w:lang w:eastAsia="bg-BG"/>
        </w:rPr>
        <w:t>Ако периода, по време на който е използван бариерен метод продължи и след приключване на таблетките от опаковката Диане 35, следващата опаковка трябва да бъде започната без обичайния период без прием на таблетки.</w:t>
      </w:r>
    </w:p>
    <w:p w14:paraId="1DE39066" w14:textId="77777777" w:rsidR="003125A3" w:rsidRPr="003125A3" w:rsidRDefault="003125A3" w:rsidP="003125A3">
      <w:pPr>
        <w:spacing w:line="240" w:lineRule="auto"/>
        <w:rPr>
          <w:rFonts w:eastAsia="Times New Roman" w:cs="Arial"/>
          <w:i/>
          <w:iCs/>
          <w:color w:val="000000"/>
          <w:lang w:eastAsia="bg-BG"/>
        </w:rPr>
      </w:pPr>
    </w:p>
    <w:p w14:paraId="755B162E" w14:textId="2BA2C16F" w:rsidR="003125A3" w:rsidRPr="003125A3" w:rsidRDefault="003125A3" w:rsidP="003125A3">
      <w:pPr>
        <w:spacing w:line="240" w:lineRule="auto"/>
        <w:rPr>
          <w:rFonts w:eastAsia="Times New Roman" w:cs="Arial"/>
          <w:sz w:val="28"/>
          <w:szCs w:val="28"/>
          <w:lang w:eastAsia="bg-BG"/>
        </w:rPr>
      </w:pPr>
      <w:r w:rsidRPr="003125A3">
        <w:rPr>
          <w:rFonts w:eastAsia="Times New Roman" w:cs="Arial"/>
          <w:i/>
          <w:iCs/>
          <w:color w:val="000000"/>
          <w:lang w:eastAsia="bg-BG"/>
        </w:rPr>
        <w:t>Вещества, увеличаващи клирънса на Диане 35 (намалена ефикасност на Диане 35 чрез ензимна индукция) напр.</w:t>
      </w:r>
    </w:p>
    <w:p w14:paraId="4DDB0B04" w14:textId="77777777" w:rsidR="003125A3" w:rsidRPr="003125A3" w:rsidRDefault="003125A3" w:rsidP="003125A3">
      <w:pPr>
        <w:spacing w:line="240" w:lineRule="auto"/>
        <w:rPr>
          <w:rFonts w:eastAsia="Times New Roman" w:cs="Arial"/>
          <w:color w:val="000000"/>
          <w:lang w:eastAsia="bg-BG"/>
        </w:rPr>
      </w:pPr>
    </w:p>
    <w:p w14:paraId="426ED20E" w14:textId="5B5B04FB" w:rsidR="003125A3" w:rsidRPr="003125A3" w:rsidRDefault="003125A3" w:rsidP="003125A3">
      <w:pPr>
        <w:spacing w:line="240" w:lineRule="auto"/>
        <w:rPr>
          <w:rFonts w:eastAsia="Times New Roman" w:cs="Arial"/>
          <w:sz w:val="28"/>
          <w:szCs w:val="28"/>
          <w:lang w:eastAsia="bg-BG"/>
        </w:rPr>
      </w:pPr>
      <w:r w:rsidRPr="003125A3">
        <w:rPr>
          <w:rFonts w:eastAsia="Times New Roman" w:cs="Arial"/>
          <w:color w:val="000000"/>
          <w:lang w:eastAsia="bg-BG"/>
        </w:rPr>
        <w:t>Фенитоин, барбитурати, примидон, карбамазепин, рифампицин, а също така е възможно и окскарбазепин, топирамат, фелбамат, гризеофулвин и продукти, съдържащи билката жълт кантарион).</w:t>
      </w:r>
    </w:p>
    <w:p w14:paraId="7D2721E5" w14:textId="77777777" w:rsidR="003125A3" w:rsidRPr="003125A3" w:rsidRDefault="003125A3" w:rsidP="003125A3">
      <w:pPr>
        <w:spacing w:line="240" w:lineRule="auto"/>
        <w:rPr>
          <w:rFonts w:eastAsia="Times New Roman" w:cs="Arial"/>
          <w:i/>
          <w:iCs/>
          <w:color w:val="000000"/>
          <w:lang w:eastAsia="bg-BG"/>
        </w:rPr>
      </w:pPr>
    </w:p>
    <w:p w14:paraId="307D39EE" w14:textId="67427FA1" w:rsidR="003125A3" w:rsidRPr="003125A3" w:rsidRDefault="003125A3" w:rsidP="003125A3">
      <w:pPr>
        <w:spacing w:line="240" w:lineRule="auto"/>
        <w:rPr>
          <w:rFonts w:eastAsia="Times New Roman" w:cs="Arial"/>
          <w:sz w:val="28"/>
          <w:szCs w:val="28"/>
          <w:lang w:eastAsia="bg-BG"/>
        </w:rPr>
      </w:pPr>
      <w:r w:rsidRPr="003125A3">
        <w:rPr>
          <w:rFonts w:eastAsia="Times New Roman" w:cs="Arial"/>
          <w:i/>
          <w:iCs/>
          <w:color w:val="000000"/>
          <w:lang w:eastAsia="bg-BG"/>
        </w:rPr>
        <w:t>Вещества с различен ефект върху клирънса на Диане 35, напр.</w:t>
      </w:r>
    </w:p>
    <w:p w14:paraId="4F2426F1" w14:textId="77777777" w:rsidR="003125A3" w:rsidRPr="003125A3" w:rsidRDefault="003125A3" w:rsidP="003125A3">
      <w:pPr>
        <w:spacing w:line="240" w:lineRule="auto"/>
        <w:rPr>
          <w:rFonts w:eastAsia="Times New Roman" w:cs="Arial"/>
          <w:sz w:val="28"/>
          <w:szCs w:val="28"/>
          <w:lang w:eastAsia="bg-BG"/>
        </w:rPr>
      </w:pPr>
      <w:r w:rsidRPr="003125A3">
        <w:rPr>
          <w:rFonts w:eastAsia="Times New Roman" w:cs="Arial"/>
          <w:color w:val="000000"/>
          <w:lang w:eastAsia="bg-BG"/>
        </w:rPr>
        <w:t xml:space="preserve">При едновременно приложение с Диане 35 много </w:t>
      </w:r>
      <w:r w:rsidRPr="003125A3">
        <w:rPr>
          <w:rFonts w:eastAsia="Times New Roman" w:cs="Arial"/>
          <w:color w:val="000000"/>
          <w:lang w:val="en-US"/>
        </w:rPr>
        <w:t xml:space="preserve">HIV/HCV </w:t>
      </w:r>
      <w:r w:rsidRPr="003125A3">
        <w:rPr>
          <w:rFonts w:eastAsia="Times New Roman" w:cs="Arial"/>
          <w:color w:val="000000"/>
          <w:lang w:eastAsia="bg-BG"/>
        </w:rPr>
        <w:t>протеазни инхибитори и ненуклеозндни инхибитори на обратната транскриптаза може да повишат или намалят плазмените концентрации на естрогена или прогестина. Тези промени може да бъдат клинично значими в някои случаи.</w:t>
      </w:r>
    </w:p>
    <w:p w14:paraId="46A4D33B" w14:textId="77777777" w:rsidR="003125A3" w:rsidRPr="003125A3" w:rsidRDefault="003125A3" w:rsidP="003125A3">
      <w:pPr>
        <w:spacing w:line="240" w:lineRule="auto"/>
        <w:rPr>
          <w:rFonts w:eastAsia="Times New Roman" w:cs="Arial"/>
          <w:i/>
          <w:iCs/>
          <w:color w:val="000000"/>
          <w:lang w:eastAsia="bg-BG"/>
        </w:rPr>
      </w:pPr>
    </w:p>
    <w:p w14:paraId="38F6D055" w14:textId="614C494C" w:rsidR="003125A3" w:rsidRPr="003125A3" w:rsidRDefault="003125A3" w:rsidP="003125A3">
      <w:pPr>
        <w:spacing w:line="240" w:lineRule="auto"/>
        <w:rPr>
          <w:rFonts w:eastAsia="Times New Roman" w:cs="Arial"/>
          <w:sz w:val="28"/>
          <w:szCs w:val="28"/>
          <w:lang w:eastAsia="bg-BG"/>
        </w:rPr>
      </w:pPr>
      <w:r w:rsidRPr="003125A3">
        <w:rPr>
          <w:rFonts w:eastAsia="Times New Roman" w:cs="Arial"/>
          <w:i/>
          <w:iCs/>
          <w:color w:val="000000"/>
          <w:lang w:eastAsia="bg-BG"/>
        </w:rPr>
        <w:t>Веществата, намаляващи клирънса на комбининраните хормонални контрацептиви, КХК (ензимни инхибитори)</w:t>
      </w:r>
    </w:p>
    <w:p w14:paraId="4129C7AD" w14:textId="77777777" w:rsidR="003125A3" w:rsidRPr="003125A3" w:rsidRDefault="003125A3" w:rsidP="003125A3">
      <w:pPr>
        <w:spacing w:line="240" w:lineRule="auto"/>
        <w:rPr>
          <w:rFonts w:eastAsia="Times New Roman" w:cs="Arial"/>
          <w:color w:val="000000"/>
          <w:lang w:eastAsia="bg-BG"/>
        </w:rPr>
      </w:pPr>
    </w:p>
    <w:p w14:paraId="6FA30C1E" w14:textId="3C486A7B" w:rsidR="003125A3" w:rsidRPr="003125A3" w:rsidRDefault="003125A3" w:rsidP="003125A3">
      <w:pPr>
        <w:spacing w:line="240" w:lineRule="auto"/>
        <w:rPr>
          <w:rFonts w:eastAsia="Times New Roman" w:cs="Arial"/>
          <w:sz w:val="28"/>
          <w:szCs w:val="28"/>
          <w:lang w:eastAsia="bg-BG"/>
        </w:rPr>
      </w:pPr>
      <w:r w:rsidRPr="003125A3">
        <w:rPr>
          <w:rFonts w:eastAsia="Times New Roman" w:cs="Arial"/>
          <w:color w:val="000000"/>
          <w:lang w:eastAsia="bg-BG"/>
        </w:rPr>
        <w:t>Клиничното значение на потенциалните взаимодействия с ензимните инхибитори остава неизвестно.</w:t>
      </w:r>
    </w:p>
    <w:p w14:paraId="33AFC63E" w14:textId="77777777" w:rsidR="003125A3" w:rsidRPr="003125A3" w:rsidRDefault="003125A3" w:rsidP="003125A3">
      <w:pPr>
        <w:spacing w:line="240" w:lineRule="auto"/>
        <w:rPr>
          <w:rFonts w:eastAsia="Times New Roman" w:cs="Arial"/>
          <w:color w:val="000000"/>
          <w:lang w:eastAsia="bg-BG"/>
        </w:rPr>
      </w:pPr>
    </w:p>
    <w:p w14:paraId="5D14C06D" w14:textId="7ADE0D43" w:rsidR="003125A3" w:rsidRPr="003125A3" w:rsidRDefault="003125A3" w:rsidP="003125A3">
      <w:pPr>
        <w:spacing w:line="240" w:lineRule="auto"/>
        <w:rPr>
          <w:rFonts w:eastAsia="Times New Roman" w:cs="Arial"/>
          <w:sz w:val="28"/>
          <w:szCs w:val="28"/>
          <w:lang w:eastAsia="bg-BG"/>
        </w:rPr>
      </w:pPr>
      <w:r w:rsidRPr="003125A3">
        <w:rPr>
          <w:rFonts w:eastAsia="Times New Roman" w:cs="Arial"/>
          <w:color w:val="000000"/>
          <w:lang w:eastAsia="bg-BG"/>
        </w:rPr>
        <w:t xml:space="preserve">Едновременното приложение на силни инхибитори на </w:t>
      </w:r>
      <w:r w:rsidRPr="003125A3">
        <w:rPr>
          <w:rFonts w:eastAsia="Times New Roman" w:cs="Arial"/>
          <w:color w:val="000000"/>
          <w:lang w:val="en-US"/>
        </w:rPr>
        <w:t>CYP3</w:t>
      </w:r>
      <w:r w:rsidRPr="003125A3">
        <w:rPr>
          <w:rFonts w:eastAsia="Times New Roman" w:cs="Arial"/>
          <w:color w:val="000000"/>
          <w:lang w:eastAsia="bg-BG"/>
        </w:rPr>
        <w:t>А4 може да увеличи плазмените концентрации на естроген или на прогестин, или и на двете.</w:t>
      </w:r>
    </w:p>
    <w:p w14:paraId="4BD177F2" w14:textId="77777777" w:rsidR="003125A3" w:rsidRPr="003125A3" w:rsidRDefault="003125A3" w:rsidP="003125A3">
      <w:pPr>
        <w:spacing w:line="240" w:lineRule="auto"/>
        <w:rPr>
          <w:rFonts w:eastAsia="Times New Roman" w:cs="Arial"/>
          <w:color w:val="000000"/>
          <w:lang w:eastAsia="bg-BG"/>
        </w:rPr>
      </w:pPr>
    </w:p>
    <w:p w14:paraId="0026F43C" w14:textId="3DF356A8" w:rsidR="003125A3" w:rsidRPr="003125A3" w:rsidRDefault="003125A3" w:rsidP="003125A3">
      <w:pPr>
        <w:spacing w:line="240" w:lineRule="auto"/>
        <w:rPr>
          <w:rFonts w:eastAsia="Times New Roman" w:cs="Arial"/>
          <w:color w:val="000000"/>
          <w:lang w:eastAsia="bg-BG"/>
        </w:rPr>
      </w:pPr>
      <w:r w:rsidRPr="003125A3">
        <w:rPr>
          <w:rFonts w:eastAsia="Times New Roman" w:cs="Arial"/>
          <w:color w:val="000000"/>
          <w:lang w:eastAsia="bg-BG"/>
        </w:rPr>
        <w:t xml:space="preserve">Доказано е, че дозите на еторикоксиб от 60 до 120 </w:t>
      </w:r>
      <w:r w:rsidRPr="003125A3">
        <w:rPr>
          <w:rFonts w:eastAsia="Times New Roman" w:cs="Arial"/>
          <w:color w:val="000000"/>
          <w:lang w:val="en-US"/>
        </w:rPr>
        <w:t xml:space="preserve">mg </w:t>
      </w:r>
      <w:r w:rsidRPr="003125A3">
        <w:rPr>
          <w:rFonts w:eastAsia="Times New Roman" w:cs="Arial"/>
          <w:color w:val="000000"/>
          <w:lang w:eastAsia="bg-BG"/>
        </w:rPr>
        <w:t xml:space="preserve">дневно повишават плазмените концентрации на етинилестрадиол съответно от 1,4 до 1,6 пъти, когато се приемат едновременно с комбиниран хормонален контрацептив, съдържащ </w:t>
      </w:r>
      <w:r w:rsidRPr="003125A3">
        <w:rPr>
          <w:rFonts w:eastAsia="Times New Roman" w:cs="Arial"/>
          <w:color w:val="000000"/>
          <w:u w:val="single"/>
          <w:lang w:eastAsia="bg-BG"/>
        </w:rPr>
        <w:t>0,035</w:t>
      </w:r>
      <w:r w:rsidRPr="003125A3">
        <w:rPr>
          <w:rFonts w:eastAsia="Times New Roman" w:cs="Arial"/>
          <w:color w:val="000000"/>
          <w:lang w:eastAsia="bg-BG"/>
        </w:rPr>
        <w:t xml:space="preserve"> </w:t>
      </w:r>
      <w:r w:rsidRPr="003125A3">
        <w:rPr>
          <w:rFonts w:eastAsia="Times New Roman" w:cs="Arial"/>
          <w:color w:val="000000"/>
          <w:lang w:val="en-US"/>
        </w:rPr>
        <w:t xml:space="preserve">mg </w:t>
      </w:r>
      <w:r w:rsidRPr="003125A3">
        <w:rPr>
          <w:rFonts w:eastAsia="Times New Roman" w:cs="Arial"/>
          <w:color w:val="000000"/>
          <w:lang w:eastAsia="bg-BG"/>
        </w:rPr>
        <w:t>етинилестрадиол.</w:t>
      </w:r>
    </w:p>
    <w:p w14:paraId="3B503968" w14:textId="0FB72479" w:rsidR="003125A3" w:rsidRPr="003125A3" w:rsidRDefault="003125A3" w:rsidP="003125A3">
      <w:pPr>
        <w:spacing w:line="240" w:lineRule="auto"/>
        <w:rPr>
          <w:rFonts w:eastAsia="Times New Roman" w:cs="Arial"/>
          <w:color w:val="000000"/>
          <w:lang w:eastAsia="bg-BG"/>
        </w:rPr>
      </w:pPr>
    </w:p>
    <w:p w14:paraId="70B4B2FC" w14:textId="77777777" w:rsidR="003125A3" w:rsidRPr="003125A3" w:rsidRDefault="003125A3" w:rsidP="003125A3">
      <w:pPr>
        <w:spacing w:line="240" w:lineRule="auto"/>
        <w:rPr>
          <w:rFonts w:eastAsia="Times New Roman" w:cs="Arial"/>
          <w:sz w:val="28"/>
          <w:szCs w:val="28"/>
          <w:lang w:eastAsia="bg-BG"/>
        </w:rPr>
      </w:pPr>
      <w:r w:rsidRPr="003125A3">
        <w:rPr>
          <w:rFonts w:eastAsia="Times New Roman" w:cs="Arial"/>
          <w:i/>
          <w:iCs/>
          <w:color w:val="000000"/>
          <w:lang w:eastAsia="bg-BG"/>
        </w:rPr>
        <w:t>Ефекти на естроген/прогестеронните КОК върху другите лекарствени продукти</w:t>
      </w:r>
    </w:p>
    <w:p w14:paraId="4BC44462" w14:textId="77777777" w:rsidR="003125A3" w:rsidRPr="003125A3" w:rsidRDefault="003125A3" w:rsidP="003125A3">
      <w:pPr>
        <w:spacing w:line="240" w:lineRule="auto"/>
        <w:rPr>
          <w:rFonts w:eastAsia="Times New Roman" w:cs="Arial"/>
          <w:color w:val="000000"/>
          <w:lang w:eastAsia="bg-BG"/>
        </w:rPr>
      </w:pPr>
    </w:p>
    <w:p w14:paraId="5F435924" w14:textId="3B0BB8FB" w:rsidR="003125A3" w:rsidRPr="003125A3" w:rsidRDefault="003125A3" w:rsidP="003125A3">
      <w:pPr>
        <w:spacing w:line="240" w:lineRule="auto"/>
        <w:rPr>
          <w:rFonts w:eastAsia="Times New Roman" w:cs="Arial"/>
          <w:sz w:val="28"/>
          <w:szCs w:val="28"/>
          <w:lang w:eastAsia="bg-BG"/>
        </w:rPr>
      </w:pPr>
      <w:r w:rsidRPr="003125A3">
        <w:rPr>
          <w:rFonts w:eastAsia="Times New Roman" w:cs="Arial"/>
          <w:color w:val="000000"/>
          <w:lang w:eastAsia="bg-BG"/>
        </w:rPr>
        <w:t>Естроген/прогестогенните КОК като Диане 35 могат да повлияят метаболизма на други лекарствени продукти. Съответно плазмената и тъканна концентрации могат да бъдат увеличени (например циклоспорин) или намалени (например ламотригин).</w:t>
      </w:r>
    </w:p>
    <w:p w14:paraId="29B94A1D" w14:textId="77777777" w:rsidR="003125A3" w:rsidRPr="003125A3" w:rsidRDefault="003125A3" w:rsidP="003125A3">
      <w:pPr>
        <w:spacing w:line="240" w:lineRule="auto"/>
        <w:rPr>
          <w:rFonts w:eastAsia="Times New Roman" w:cs="Arial"/>
          <w:color w:val="000000"/>
          <w:lang w:eastAsia="bg-BG"/>
        </w:rPr>
      </w:pPr>
    </w:p>
    <w:p w14:paraId="35BFB3FD" w14:textId="43803D37" w:rsidR="003125A3" w:rsidRPr="003125A3" w:rsidRDefault="003125A3" w:rsidP="003125A3">
      <w:pPr>
        <w:spacing w:line="240" w:lineRule="auto"/>
        <w:rPr>
          <w:rFonts w:eastAsia="Times New Roman" w:cs="Arial"/>
          <w:sz w:val="28"/>
          <w:szCs w:val="28"/>
          <w:lang w:eastAsia="bg-BG"/>
        </w:rPr>
      </w:pPr>
      <w:r w:rsidRPr="003125A3">
        <w:rPr>
          <w:rFonts w:eastAsia="Times New Roman" w:cs="Arial"/>
          <w:color w:val="000000"/>
          <w:lang w:eastAsia="bg-BG"/>
        </w:rPr>
        <w:t>Фармакодинамични взаимодействия</w:t>
      </w:r>
    </w:p>
    <w:p w14:paraId="3DECC633" w14:textId="77777777" w:rsidR="003125A3" w:rsidRPr="003125A3" w:rsidRDefault="003125A3" w:rsidP="003125A3">
      <w:pPr>
        <w:spacing w:line="240" w:lineRule="auto"/>
        <w:rPr>
          <w:rFonts w:eastAsia="Times New Roman" w:cs="Arial"/>
          <w:color w:val="000000"/>
          <w:lang w:eastAsia="bg-BG"/>
        </w:rPr>
      </w:pPr>
    </w:p>
    <w:p w14:paraId="1668B8B2" w14:textId="445CF9ED" w:rsidR="003125A3" w:rsidRPr="003125A3" w:rsidRDefault="003125A3" w:rsidP="003125A3">
      <w:pPr>
        <w:spacing w:line="240" w:lineRule="auto"/>
        <w:rPr>
          <w:rFonts w:eastAsia="Times New Roman" w:cs="Arial"/>
          <w:sz w:val="28"/>
          <w:szCs w:val="28"/>
          <w:lang w:eastAsia="bg-BG"/>
        </w:rPr>
      </w:pPr>
      <w:r w:rsidRPr="003125A3">
        <w:rPr>
          <w:rFonts w:eastAsia="Times New Roman" w:cs="Arial"/>
          <w:color w:val="000000"/>
          <w:lang w:eastAsia="bg-BG"/>
        </w:rPr>
        <w:t xml:space="preserve">По време на клинични изпитвания при пациенти, лекувани срещу инфекция с вируса на хепатит С </w:t>
      </w:r>
      <w:r w:rsidRPr="003125A3">
        <w:rPr>
          <w:rFonts w:eastAsia="Times New Roman" w:cs="Arial"/>
          <w:color w:val="000000"/>
          <w:lang w:val="en-US"/>
        </w:rPr>
        <w:t xml:space="preserve">(HCV) </w:t>
      </w:r>
      <w:r w:rsidRPr="003125A3">
        <w:rPr>
          <w:rFonts w:eastAsia="Times New Roman" w:cs="Arial"/>
          <w:color w:val="000000"/>
          <w:lang w:eastAsia="bg-BG"/>
        </w:rPr>
        <w:t>с лекарствени продукти, съдържащи омбитасвир/паритапревир/ритонавир и дазабувир, с или без рибавирин, повишения на грансаминазите (АЛТ) повече от 5 пъти горната граница на нормата (ГГН) се срещат значително по-често при жени, използващи лекарства с етинилестрадиол, като комбинирани хормонални контрацептиви (КХК). Също така, при пациенти, лекувани с глекапревир/пибренгасвир или софосбувир/велпатасвир/воксилапревир, се наблюдават повишения на АЛТ при жени, използващи лекарства, съдържащи етинилестрадиол, като КХК (вж. точка 43).</w:t>
      </w:r>
    </w:p>
    <w:p w14:paraId="4A823897" w14:textId="77777777" w:rsidR="003125A3" w:rsidRPr="003125A3" w:rsidRDefault="003125A3" w:rsidP="003125A3">
      <w:pPr>
        <w:spacing w:line="240" w:lineRule="auto"/>
        <w:rPr>
          <w:rFonts w:eastAsia="Times New Roman" w:cs="Arial"/>
          <w:sz w:val="28"/>
          <w:szCs w:val="28"/>
          <w:lang w:eastAsia="bg-BG"/>
        </w:rPr>
      </w:pPr>
      <w:r w:rsidRPr="003125A3">
        <w:rPr>
          <w:rFonts w:eastAsia="Times New Roman" w:cs="Arial"/>
          <w:color w:val="000000"/>
          <w:lang w:eastAsia="bg-BG"/>
        </w:rPr>
        <w:t xml:space="preserve">Поради това жените, използващиДиане 35 (етинилестрадиол 0,035 </w:t>
      </w:r>
      <w:r w:rsidRPr="003125A3">
        <w:rPr>
          <w:rFonts w:eastAsia="Times New Roman" w:cs="Arial"/>
          <w:color w:val="000000"/>
          <w:lang w:val="en-US"/>
        </w:rPr>
        <w:t xml:space="preserve">mg </w:t>
      </w:r>
      <w:r w:rsidRPr="003125A3">
        <w:rPr>
          <w:rFonts w:eastAsia="Times New Roman" w:cs="Arial"/>
          <w:color w:val="000000"/>
          <w:lang w:eastAsia="bg-BG"/>
        </w:rPr>
        <w:t xml:space="preserve">и ципротеронов ацетат 2,0 </w:t>
      </w:r>
      <w:r w:rsidRPr="003125A3">
        <w:rPr>
          <w:rFonts w:eastAsia="Times New Roman" w:cs="Arial"/>
          <w:color w:val="000000"/>
          <w:lang w:val="en-US"/>
        </w:rPr>
        <w:t xml:space="preserve">mg) </w:t>
      </w:r>
      <w:r w:rsidRPr="003125A3">
        <w:rPr>
          <w:rFonts w:eastAsia="Times New Roman" w:cs="Arial"/>
          <w:color w:val="000000"/>
          <w:lang w:eastAsia="bg-BG"/>
        </w:rPr>
        <w:t xml:space="preserve">обвити таблетки, трябва да преминат към алтернативен метод на контрацепция (напр. само с прогестаген или нехормонални методи) преди да започнат лечение с тези комбинации от лекарства. Може да се започне отново прием на Диане 35 (етинилестрадиол 0,035 </w:t>
      </w:r>
      <w:r w:rsidRPr="003125A3">
        <w:rPr>
          <w:rFonts w:eastAsia="Times New Roman" w:cs="Arial"/>
          <w:color w:val="000000"/>
          <w:lang w:val="en-US"/>
        </w:rPr>
        <w:t xml:space="preserve">mg </w:t>
      </w:r>
      <w:r w:rsidRPr="003125A3">
        <w:rPr>
          <w:rFonts w:eastAsia="Times New Roman" w:cs="Arial"/>
          <w:color w:val="000000"/>
          <w:lang w:eastAsia="bg-BG"/>
        </w:rPr>
        <w:t xml:space="preserve">и ципротеронов ацетат 2,0 </w:t>
      </w:r>
      <w:r w:rsidRPr="003125A3">
        <w:rPr>
          <w:rFonts w:eastAsia="Times New Roman" w:cs="Arial"/>
          <w:color w:val="000000"/>
          <w:lang w:val="en-US"/>
        </w:rPr>
        <w:t xml:space="preserve">mg) </w:t>
      </w:r>
      <w:r w:rsidRPr="003125A3">
        <w:rPr>
          <w:rFonts w:eastAsia="Times New Roman" w:cs="Arial"/>
          <w:color w:val="000000"/>
          <w:lang w:eastAsia="bg-BG"/>
        </w:rPr>
        <w:t>обвити таблетки 2 седмици след завършването на лечението с тези комбинации от лекарства.</w:t>
      </w:r>
    </w:p>
    <w:p w14:paraId="22CF09E7" w14:textId="77777777" w:rsidR="003125A3" w:rsidRPr="003125A3" w:rsidRDefault="003125A3" w:rsidP="003125A3">
      <w:pPr>
        <w:spacing w:line="240" w:lineRule="auto"/>
        <w:rPr>
          <w:rFonts w:eastAsia="Times New Roman" w:cs="Arial"/>
          <w:color w:val="000000"/>
          <w:lang w:eastAsia="bg-BG"/>
        </w:rPr>
      </w:pPr>
    </w:p>
    <w:p w14:paraId="00C1CDFA" w14:textId="3F7C68D8" w:rsidR="003125A3" w:rsidRPr="003125A3" w:rsidRDefault="003125A3" w:rsidP="003125A3">
      <w:pPr>
        <w:spacing w:line="240" w:lineRule="auto"/>
        <w:rPr>
          <w:rFonts w:eastAsia="Times New Roman" w:cs="Arial"/>
          <w:sz w:val="28"/>
          <w:szCs w:val="28"/>
          <w:lang w:eastAsia="bg-BG"/>
        </w:rPr>
      </w:pPr>
      <w:r w:rsidRPr="003125A3">
        <w:rPr>
          <w:rFonts w:eastAsia="Times New Roman" w:cs="Arial"/>
          <w:color w:val="000000"/>
          <w:lang w:eastAsia="bg-BG"/>
        </w:rPr>
        <w:t xml:space="preserve">Клиничните данни предполагат, че етинилестрадиол инхибира клирънса на субстратите на </w:t>
      </w:r>
      <w:r w:rsidRPr="003125A3">
        <w:rPr>
          <w:rFonts w:eastAsia="Times New Roman" w:cs="Arial"/>
          <w:color w:val="000000"/>
          <w:lang w:val="en-US"/>
        </w:rPr>
        <w:t xml:space="preserve">CYP1A2, </w:t>
      </w:r>
      <w:r w:rsidRPr="003125A3">
        <w:rPr>
          <w:rFonts w:eastAsia="Times New Roman" w:cs="Arial"/>
          <w:color w:val="000000"/>
          <w:lang w:eastAsia="bg-BG"/>
        </w:rPr>
        <w:t>водещи до слабо (например теофилин) или умерено (например тизанидин) повишаване на тяхната плазмена концентрация.</w:t>
      </w:r>
    </w:p>
    <w:p w14:paraId="66BC0FE7" w14:textId="77777777" w:rsidR="003125A3" w:rsidRPr="003125A3" w:rsidRDefault="003125A3" w:rsidP="003125A3">
      <w:pPr>
        <w:spacing w:line="240" w:lineRule="auto"/>
        <w:rPr>
          <w:rFonts w:eastAsia="Times New Roman" w:cs="Arial"/>
          <w:i/>
          <w:iCs/>
          <w:color w:val="000000"/>
          <w:lang w:eastAsia="bg-BG"/>
        </w:rPr>
      </w:pPr>
    </w:p>
    <w:p w14:paraId="2607B07C" w14:textId="7BBB97D0" w:rsidR="003125A3" w:rsidRPr="003125A3" w:rsidRDefault="003125A3" w:rsidP="003125A3">
      <w:pPr>
        <w:spacing w:line="240" w:lineRule="auto"/>
        <w:rPr>
          <w:rFonts w:eastAsia="Times New Roman" w:cs="Arial"/>
          <w:sz w:val="28"/>
          <w:szCs w:val="28"/>
          <w:lang w:eastAsia="bg-BG"/>
        </w:rPr>
      </w:pPr>
      <w:r w:rsidRPr="003125A3">
        <w:rPr>
          <w:rFonts w:eastAsia="Times New Roman" w:cs="Arial"/>
          <w:i/>
          <w:iCs/>
          <w:color w:val="000000"/>
          <w:lang w:eastAsia="bg-BG"/>
        </w:rPr>
        <w:t>Други форми на взаимодействие</w:t>
      </w:r>
    </w:p>
    <w:p w14:paraId="6D01A3EE" w14:textId="77777777" w:rsidR="003125A3" w:rsidRPr="003125A3" w:rsidRDefault="003125A3" w:rsidP="003125A3">
      <w:pPr>
        <w:spacing w:line="240" w:lineRule="auto"/>
        <w:rPr>
          <w:rFonts w:eastAsia="Times New Roman" w:cs="Arial"/>
          <w:i/>
          <w:iCs/>
          <w:color w:val="000000"/>
          <w:lang w:eastAsia="bg-BG"/>
        </w:rPr>
      </w:pPr>
    </w:p>
    <w:p w14:paraId="100A5586" w14:textId="01532010" w:rsidR="003125A3" w:rsidRPr="003125A3" w:rsidRDefault="003125A3" w:rsidP="003125A3">
      <w:pPr>
        <w:pStyle w:val="ListParagraph"/>
        <w:numPr>
          <w:ilvl w:val="0"/>
          <w:numId w:val="49"/>
        </w:numPr>
        <w:spacing w:line="240" w:lineRule="auto"/>
        <w:rPr>
          <w:rFonts w:eastAsia="Times New Roman" w:cs="Arial"/>
          <w:sz w:val="28"/>
          <w:szCs w:val="28"/>
          <w:lang w:eastAsia="bg-BG"/>
        </w:rPr>
      </w:pPr>
      <w:r w:rsidRPr="003125A3">
        <w:rPr>
          <w:rFonts w:eastAsia="Times New Roman" w:cs="Arial"/>
          <w:i/>
          <w:iCs/>
          <w:color w:val="000000"/>
          <w:lang w:eastAsia="bg-BG"/>
        </w:rPr>
        <w:t>Лабораторни тестове</w:t>
      </w:r>
    </w:p>
    <w:p w14:paraId="3E0AB2F0" w14:textId="77777777" w:rsidR="003125A3" w:rsidRPr="003125A3" w:rsidRDefault="003125A3" w:rsidP="003125A3">
      <w:pPr>
        <w:spacing w:line="240" w:lineRule="auto"/>
        <w:rPr>
          <w:rFonts w:eastAsia="Times New Roman" w:cs="Arial"/>
          <w:color w:val="000000"/>
          <w:lang w:eastAsia="bg-BG"/>
        </w:rPr>
      </w:pPr>
    </w:p>
    <w:p w14:paraId="777FB7CD" w14:textId="73772D1D" w:rsidR="003125A3" w:rsidRPr="003125A3" w:rsidRDefault="003125A3" w:rsidP="003125A3">
      <w:pPr>
        <w:spacing w:line="240" w:lineRule="auto"/>
        <w:rPr>
          <w:rFonts w:eastAsia="Times New Roman" w:cs="Arial"/>
          <w:sz w:val="28"/>
          <w:szCs w:val="28"/>
          <w:lang w:eastAsia="bg-BG"/>
        </w:rPr>
      </w:pPr>
      <w:r w:rsidRPr="003125A3">
        <w:rPr>
          <w:rFonts w:eastAsia="Times New Roman" w:cs="Arial"/>
          <w:color w:val="000000"/>
          <w:lang w:eastAsia="bg-BG"/>
        </w:rPr>
        <w:t>Употребата на продукти като Диане 35 може да повлияе върху резултатите от някои лабораторни тестове, включително биохимичните параметри на чернодробната, тироидната, надбъбречната и бъбречната функция, плазмената концентрация на протеините, например глобулин свързващ коргикостероиди и липидни/липопротеинни фракции, параметрите на обмяната на въглехидрати и параметри на кръвосъсирването и фибринолизата. Промените обикновено са в порядъка на нормата.</w:t>
      </w:r>
    </w:p>
    <w:p w14:paraId="22DF2164" w14:textId="77777777" w:rsidR="003125A3" w:rsidRPr="003125A3" w:rsidRDefault="003125A3" w:rsidP="003125A3">
      <w:pPr>
        <w:spacing w:line="240" w:lineRule="auto"/>
        <w:rPr>
          <w:rFonts w:eastAsia="Times New Roman" w:cs="Arial"/>
          <w:color w:val="000000"/>
          <w:lang w:eastAsia="bg-BG"/>
        </w:rPr>
      </w:pPr>
    </w:p>
    <w:p w14:paraId="79BB2BEB" w14:textId="3B7F6F57" w:rsidR="003125A3" w:rsidRPr="003125A3" w:rsidRDefault="003125A3" w:rsidP="003125A3">
      <w:pPr>
        <w:spacing w:line="240" w:lineRule="auto"/>
        <w:rPr>
          <w:rFonts w:eastAsia="Times New Roman" w:cs="Arial"/>
          <w:sz w:val="28"/>
          <w:szCs w:val="28"/>
          <w:lang w:eastAsia="bg-BG"/>
        </w:rPr>
      </w:pPr>
      <w:r w:rsidRPr="003125A3">
        <w:rPr>
          <w:rFonts w:eastAsia="Times New Roman" w:cs="Arial"/>
          <w:color w:val="000000"/>
          <w:lang w:eastAsia="bg-BG"/>
        </w:rPr>
        <w:t>Забележка: Лекарствената информация на съпътстващото лечение трябва да бъде консултирана с цел определяне на потенциални взаимодействия.</w:t>
      </w:r>
    </w:p>
    <w:p w14:paraId="24EC9E46" w14:textId="77777777" w:rsidR="003125A3" w:rsidRPr="003125A3" w:rsidRDefault="003125A3" w:rsidP="003125A3"/>
    <w:p w14:paraId="48846BBA" w14:textId="76468A51" w:rsidR="009F77A4" w:rsidRDefault="002C50EE" w:rsidP="00387A66">
      <w:pPr>
        <w:pStyle w:val="Heading2"/>
      </w:pPr>
      <w:r>
        <w:t>4.6. Фертилитет, бременност и кърмене</w:t>
      </w:r>
    </w:p>
    <w:p w14:paraId="0B3532C0" w14:textId="12E8A3D4" w:rsidR="003125A3" w:rsidRDefault="003125A3" w:rsidP="003125A3"/>
    <w:p w14:paraId="26F22C5F" w14:textId="77777777" w:rsidR="003125A3" w:rsidRPr="003125A3" w:rsidRDefault="003125A3" w:rsidP="003125A3">
      <w:pPr>
        <w:pStyle w:val="Heading3"/>
        <w:rPr>
          <w:rFonts w:eastAsia="Times New Roman"/>
          <w:sz w:val="28"/>
          <w:szCs w:val="28"/>
          <w:u w:val="single"/>
          <w:lang w:eastAsia="bg-BG"/>
        </w:rPr>
      </w:pPr>
      <w:r w:rsidRPr="003125A3">
        <w:rPr>
          <w:rFonts w:eastAsia="Times New Roman"/>
          <w:u w:val="single"/>
          <w:lang w:eastAsia="bg-BG"/>
        </w:rPr>
        <w:t>Бременност</w:t>
      </w:r>
    </w:p>
    <w:p w14:paraId="339D06BD" w14:textId="77777777" w:rsidR="003125A3" w:rsidRPr="003125A3" w:rsidRDefault="003125A3" w:rsidP="003125A3">
      <w:pPr>
        <w:spacing w:line="240" w:lineRule="auto"/>
        <w:rPr>
          <w:rFonts w:eastAsia="Times New Roman" w:cs="Arial"/>
          <w:sz w:val="28"/>
          <w:szCs w:val="28"/>
          <w:lang w:eastAsia="bg-BG"/>
        </w:rPr>
      </w:pPr>
      <w:r w:rsidRPr="003125A3">
        <w:rPr>
          <w:rFonts w:eastAsia="Times New Roman" w:cs="Arial"/>
          <w:color w:val="000000"/>
          <w:lang w:eastAsia="bg-BG"/>
        </w:rPr>
        <w:t>Употребата на Диане 35 е противопоказана по време на бременност. Ако по време на лечение с Диане 35 се установи бременност, приемът трябва незабавно да се прекрати, (вж. точка 5.2 Предклинични данни за безопасност).</w:t>
      </w:r>
    </w:p>
    <w:p w14:paraId="19E58BBF" w14:textId="77777777" w:rsidR="003125A3" w:rsidRPr="003125A3" w:rsidRDefault="003125A3" w:rsidP="003125A3">
      <w:pPr>
        <w:spacing w:line="240" w:lineRule="auto"/>
        <w:rPr>
          <w:rFonts w:eastAsia="Times New Roman" w:cs="Arial"/>
          <w:color w:val="000000"/>
          <w:u w:val="single"/>
          <w:lang w:eastAsia="bg-BG"/>
        </w:rPr>
      </w:pPr>
    </w:p>
    <w:p w14:paraId="2A184C6A" w14:textId="5AF8E7E8" w:rsidR="003125A3" w:rsidRPr="003125A3" w:rsidRDefault="003125A3" w:rsidP="003125A3">
      <w:pPr>
        <w:pStyle w:val="Heading3"/>
        <w:rPr>
          <w:rFonts w:eastAsia="Times New Roman"/>
          <w:sz w:val="28"/>
          <w:szCs w:val="28"/>
          <w:u w:val="single"/>
          <w:lang w:eastAsia="bg-BG"/>
        </w:rPr>
      </w:pPr>
      <w:r w:rsidRPr="003125A3">
        <w:rPr>
          <w:rFonts w:eastAsia="Times New Roman"/>
          <w:u w:val="single"/>
          <w:lang w:eastAsia="bg-BG"/>
        </w:rPr>
        <w:t>Кърмене</w:t>
      </w:r>
    </w:p>
    <w:p w14:paraId="01E1B8B6" w14:textId="50151547" w:rsidR="003125A3" w:rsidRPr="003125A3" w:rsidRDefault="003125A3" w:rsidP="003125A3">
      <w:pPr>
        <w:rPr>
          <w:rFonts w:eastAsia="Times New Roman" w:cs="Arial"/>
          <w:color w:val="000000"/>
          <w:lang w:eastAsia="bg-BG"/>
        </w:rPr>
      </w:pPr>
      <w:r w:rsidRPr="003125A3">
        <w:rPr>
          <w:rFonts w:eastAsia="Times New Roman" w:cs="Arial"/>
          <w:color w:val="000000"/>
          <w:lang w:eastAsia="bg-BG"/>
        </w:rPr>
        <w:t>Употребата на Диане 35 е противопоказана по време на кърмене. Ципротероновият ацетат преминава в кърмата. Около 0,2% от майчината доза ще достигне до новороденото чрез кърмата, което съответства на доза около 1 μ</w:t>
      </w:r>
      <w:r w:rsidRPr="003125A3">
        <w:rPr>
          <w:rFonts w:eastAsia="Times New Roman" w:cs="Arial"/>
          <w:color w:val="000000"/>
          <w:lang w:val="en-US"/>
        </w:rPr>
        <w:t xml:space="preserve">g/kg. </w:t>
      </w:r>
      <w:r w:rsidRPr="003125A3">
        <w:rPr>
          <w:rFonts w:eastAsia="Times New Roman" w:cs="Arial"/>
          <w:color w:val="000000"/>
          <w:lang w:eastAsia="bg-BG"/>
        </w:rPr>
        <w:t>0,02% от дневната м</w:t>
      </w:r>
      <w:r w:rsidRPr="003125A3">
        <w:rPr>
          <w:rFonts w:eastAsia="Times New Roman" w:cs="Arial"/>
          <w:color w:val="000000"/>
          <w:u w:val="single"/>
          <w:lang w:eastAsia="bg-BG"/>
        </w:rPr>
        <w:t>айчина</w:t>
      </w:r>
      <w:r w:rsidRPr="003125A3">
        <w:rPr>
          <w:rFonts w:eastAsia="Times New Roman" w:cs="Arial"/>
          <w:color w:val="000000"/>
          <w:lang w:eastAsia="bg-BG"/>
        </w:rPr>
        <w:t xml:space="preserve"> доза етинилестрадиол също може да премине в новороденото с кърмата по</w:t>
      </w:r>
      <w:r w:rsidRPr="003125A3">
        <w:rPr>
          <w:rFonts w:eastAsia="Times New Roman" w:cs="Arial"/>
          <w:color w:val="000000"/>
          <w:lang w:val="en-US" w:eastAsia="bg-BG"/>
        </w:rPr>
        <w:t xml:space="preserve"> </w:t>
      </w:r>
      <w:r w:rsidRPr="003125A3">
        <w:rPr>
          <w:rFonts w:eastAsia="Times New Roman" w:cs="Arial"/>
          <w:color w:val="000000"/>
          <w:lang w:eastAsia="bg-BG"/>
        </w:rPr>
        <w:t>време на кърмене.</w:t>
      </w:r>
    </w:p>
    <w:p w14:paraId="1E0A9364" w14:textId="77777777" w:rsidR="003125A3" w:rsidRPr="003125A3" w:rsidRDefault="003125A3" w:rsidP="003125A3"/>
    <w:p w14:paraId="321AAB00" w14:textId="1117358E" w:rsidR="009F77A4" w:rsidRDefault="002C50EE" w:rsidP="00387A66">
      <w:pPr>
        <w:pStyle w:val="Heading2"/>
      </w:pPr>
      <w:r>
        <w:t>4.7. Ефекти върху способността за шофиране и работа с машини</w:t>
      </w:r>
    </w:p>
    <w:p w14:paraId="426E44C1" w14:textId="1B50747C" w:rsidR="003125A3" w:rsidRDefault="003125A3" w:rsidP="003125A3"/>
    <w:p w14:paraId="7004EF44" w14:textId="77777777" w:rsidR="003125A3" w:rsidRPr="003125A3" w:rsidRDefault="003125A3" w:rsidP="003125A3">
      <w:pPr>
        <w:rPr>
          <w:sz w:val="24"/>
          <w:szCs w:val="24"/>
          <w:lang w:eastAsia="bg-BG"/>
        </w:rPr>
      </w:pPr>
      <w:r w:rsidRPr="003125A3">
        <w:rPr>
          <w:lang w:eastAsia="bg-BG"/>
        </w:rPr>
        <w:t>Не са провеждани проучвания за ефектите върху способността за шофиране и работа с машини. Не са били наблюдавани ефекти върху способността за шофиране и работа с машини при жени, приемащи Диане 35.</w:t>
      </w:r>
    </w:p>
    <w:p w14:paraId="789180C0" w14:textId="77777777" w:rsidR="003125A3" w:rsidRPr="003125A3" w:rsidRDefault="003125A3" w:rsidP="003125A3"/>
    <w:p w14:paraId="136C86B8" w14:textId="0EB30A3A" w:rsidR="009F77A4" w:rsidRDefault="002C50EE" w:rsidP="00387A66">
      <w:pPr>
        <w:pStyle w:val="Heading2"/>
      </w:pPr>
      <w:r>
        <w:t>4.8. Нежелани лекарствени реакции</w:t>
      </w:r>
    </w:p>
    <w:p w14:paraId="059C0DF8" w14:textId="4ED08DBA" w:rsidR="003125A3" w:rsidRDefault="003125A3" w:rsidP="003125A3"/>
    <w:p w14:paraId="1830167D" w14:textId="5374532D" w:rsidR="003125A3" w:rsidRPr="003125A3" w:rsidRDefault="003125A3" w:rsidP="003125A3">
      <w:pPr>
        <w:pStyle w:val="Heading3"/>
        <w:rPr>
          <w:sz w:val="26"/>
          <w:szCs w:val="26"/>
        </w:rPr>
      </w:pPr>
      <w:r w:rsidRPr="003125A3">
        <w:rPr>
          <w:sz w:val="26"/>
          <w:szCs w:val="26"/>
        </w:rPr>
        <w:t xml:space="preserve">4.8.1 </w:t>
      </w:r>
      <w:r w:rsidRPr="003125A3">
        <w:rPr>
          <w:sz w:val="26"/>
          <w:szCs w:val="26"/>
        </w:rPr>
        <w:t>Обобщение на профила на безопасност</w:t>
      </w:r>
    </w:p>
    <w:p w14:paraId="5371090C" w14:textId="77777777" w:rsidR="003125A3" w:rsidRDefault="003125A3" w:rsidP="003125A3">
      <w:pPr>
        <w:spacing w:line="240" w:lineRule="auto"/>
        <w:rPr>
          <w:rFonts w:ascii="Times New Roman" w:eastAsia="Times New Roman" w:hAnsi="Times New Roman" w:cs="Times New Roman"/>
          <w:color w:val="000000"/>
          <w:sz w:val="20"/>
          <w:szCs w:val="20"/>
          <w:lang w:eastAsia="bg-BG"/>
        </w:rPr>
      </w:pPr>
    </w:p>
    <w:p w14:paraId="07DB7582" w14:textId="3B840999" w:rsidR="003125A3" w:rsidRPr="003125A3" w:rsidRDefault="003125A3" w:rsidP="003125A3">
      <w:pPr>
        <w:rPr>
          <w:sz w:val="24"/>
          <w:szCs w:val="24"/>
          <w:lang w:eastAsia="bg-BG"/>
        </w:rPr>
      </w:pPr>
      <w:r w:rsidRPr="003125A3">
        <w:rPr>
          <w:lang w:eastAsia="bg-BG"/>
        </w:rPr>
        <w:t xml:space="preserve">Най-често съобщаваните нежелани реакции свързани </w:t>
      </w:r>
      <w:r w:rsidRPr="003125A3">
        <w:rPr>
          <w:i/>
          <w:iCs/>
          <w:lang w:eastAsia="bg-BG"/>
        </w:rPr>
        <w:t>с</w:t>
      </w:r>
      <w:r w:rsidRPr="003125A3">
        <w:rPr>
          <w:lang w:eastAsia="bg-BG"/>
        </w:rPr>
        <w:t xml:space="preserve"> Диане 35 са гадене, болка в корема, повишено тегло, главоболие, депресивно настроение, променени в настроението, болка в гърдите, чувствителност на гърдите. Те се проявяват при ≥ 1% от потребителите.</w:t>
      </w:r>
    </w:p>
    <w:p w14:paraId="31D9FFF9" w14:textId="4EB47B80" w:rsidR="003125A3" w:rsidRDefault="003125A3" w:rsidP="003125A3">
      <w:pPr>
        <w:rPr>
          <w:lang w:eastAsia="bg-BG"/>
        </w:rPr>
      </w:pPr>
      <w:r w:rsidRPr="003125A3">
        <w:rPr>
          <w:lang w:eastAsia="bg-BG"/>
        </w:rPr>
        <w:t>Съществува повишен риск от тромбоемболизъм при всички жени, които използват Диане 35 (вж. точка 4.4).</w:t>
      </w:r>
    </w:p>
    <w:p w14:paraId="7CF2B5D6" w14:textId="687E2626" w:rsidR="003125A3" w:rsidRDefault="003125A3" w:rsidP="003125A3"/>
    <w:p w14:paraId="4A8A736B" w14:textId="4D20BE17" w:rsidR="003125A3" w:rsidRDefault="003125A3" w:rsidP="003125A3">
      <w:pPr>
        <w:pStyle w:val="Heading3"/>
        <w:rPr>
          <w:sz w:val="28"/>
          <w:szCs w:val="28"/>
        </w:rPr>
      </w:pPr>
      <w:r w:rsidRPr="003125A3">
        <w:rPr>
          <w:sz w:val="28"/>
          <w:szCs w:val="28"/>
        </w:rPr>
        <w:t xml:space="preserve">4.8.2 </w:t>
      </w:r>
      <w:r w:rsidRPr="003125A3">
        <w:rPr>
          <w:sz w:val="28"/>
          <w:szCs w:val="28"/>
        </w:rPr>
        <w:t>Табличен списък на нежеланите реакции</w:t>
      </w:r>
    </w:p>
    <w:p w14:paraId="7C296440" w14:textId="5AF7DAAB" w:rsidR="003125A3" w:rsidRDefault="003125A3" w:rsidP="003125A3"/>
    <w:tbl>
      <w:tblPr>
        <w:tblStyle w:val="TableGrid"/>
        <w:tblW w:w="0" w:type="auto"/>
        <w:tblLook w:val="04A0" w:firstRow="1" w:lastRow="0" w:firstColumn="1" w:lastColumn="0" w:noHBand="0" w:noVBand="1"/>
      </w:tblPr>
      <w:tblGrid>
        <w:gridCol w:w="2395"/>
        <w:gridCol w:w="1582"/>
        <w:gridCol w:w="1507"/>
        <w:gridCol w:w="2387"/>
        <w:gridCol w:w="1479"/>
      </w:tblGrid>
      <w:tr w:rsidR="003125A3" w14:paraId="3FBF3468" w14:textId="77777777" w:rsidTr="0054589A">
        <w:tc>
          <w:tcPr>
            <w:tcW w:w="1900" w:type="dxa"/>
            <w:vAlign w:val="center"/>
          </w:tcPr>
          <w:p w14:paraId="7225CD20" w14:textId="624D98F2" w:rsidR="003125A3" w:rsidRPr="003125A3" w:rsidRDefault="003125A3" w:rsidP="003125A3">
            <w:pPr>
              <w:rPr>
                <w:rFonts w:cs="Arial"/>
              </w:rPr>
            </w:pPr>
            <w:r w:rsidRPr="003125A3">
              <w:rPr>
                <w:rFonts w:cs="Arial"/>
                <w:b/>
                <w:bCs/>
              </w:rPr>
              <w:t xml:space="preserve">Снстемно-органна класификация </w:t>
            </w:r>
            <w:r w:rsidRPr="003125A3">
              <w:rPr>
                <w:rFonts w:cs="Arial"/>
                <w:b/>
                <w:bCs/>
                <w:lang w:val="en-US"/>
              </w:rPr>
              <w:t>(MedDRA)</w:t>
            </w:r>
          </w:p>
        </w:tc>
        <w:tc>
          <w:tcPr>
            <w:tcW w:w="1900" w:type="dxa"/>
            <w:vAlign w:val="center"/>
          </w:tcPr>
          <w:p w14:paraId="2F3B45BA" w14:textId="55F16556" w:rsidR="003125A3" w:rsidRPr="003125A3" w:rsidRDefault="003125A3" w:rsidP="003125A3">
            <w:pPr>
              <w:rPr>
                <w:rFonts w:cs="Arial"/>
              </w:rPr>
            </w:pPr>
            <w:r w:rsidRPr="003125A3">
              <w:rPr>
                <w:rFonts w:cs="Arial"/>
                <w:b/>
                <w:bCs/>
              </w:rPr>
              <w:t xml:space="preserve">Чести (≥1/100 </w:t>
            </w:r>
            <w:r w:rsidRPr="003125A3">
              <w:rPr>
                <w:rFonts w:cs="Arial"/>
                <w:i/>
                <w:iCs/>
              </w:rPr>
              <w:t>до</w:t>
            </w:r>
            <w:r w:rsidRPr="003125A3">
              <w:rPr>
                <w:rFonts w:cs="Arial"/>
                <w:b/>
                <w:bCs/>
              </w:rPr>
              <w:t xml:space="preserve"> &lt;1/10)</w:t>
            </w:r>
          </w:p>
        </w:tc>
        <w:tc>
          <w:tcPr>
            <w:tcW w:w="1900" w:type="dxa"/>
            <w:vAlign w:val="center"/>
          </w:tcPr>
          <w:p w14:paraId="0FEEC937" w14:textId="28C983E3" w:rsidR="003125A3" w:rsidRPr="003125A3" w:rsidRDefault="003125A3" w:rsidP="003125A3">
            <w:pPr>
              <w:rPr>
                <w:rFonts w:cs="Arial"/>
              </w:rPr>
            </w:pPr>
            <w:r w:rsidRPr="003125A3">
              <w:rPr>
                <w:rFonts w:cs="Arial"/>
                <w:b/>
                <w:bCs/>
              </w:rPr>
              <w:t>Нечести (≥1/1000 до &lt;1/100)</w:t>
            </w:r>
          </w:p>
        </w:tc>
        <w:tc>
          <w:tcPr>
            <w:tcW w:w="1900" w:type="dxa"/>
            <w:vAlign w:val="center"/>
          </w:tcPr>
          <w:p w14:paraId="56A9F1E2" w14:textId="55D567AA" w:rsidR="003125A3" w:rsidRPr="003125A3" w:rsidRDefault="003125A3" w:rsidP="003125A3">
            <w:pPr>
              <w:rPr>
                <w:rFonts w:cs="Arial"/>
              </w:rPr>
            </w:pPr>
            <w:r w:rsidRPr="003125A3">
              <w:rPr>
                <w:rFonts w:cs="Arial"/>
                <w:b/>
                <w:bCs/>
              </w:rPr>
              <w:t>Редки (≥1/10 000 до &lt;1/1000)</w:t>
            </w:r>
          </w:p>
        </w:tc>
        <w:tc>
          <w:tcPr>
            <w:tcW w:w="1900" w:type="dxa"/>
            <w:vAlign w:val="bottom"/>
          </w:tcPr>
          <w:p w14:paraId="50B16010" w14:textId="76F6DA8B" w:rsidR="003125A3" w:rsidRPr="003125A3" w:rsidRDefault="003125A3" w:rsidP="003125A3">
            <w:pPr>
              <w:rPr>
                <w:rFonts w:cs="Arial"/>
              </w:rPr>
            </w:pPr>
            <w:r w:rsidRPr="003125A3">
              <w:rPr>
                <w:rFonts w:cs="Arial"/>
                <w:i/>
                <w:iCs/>
              </w:rPr>
              <w:t>С</w:t>
            </w:r>
            <w:r w:rsidRPr="003125A3">
              <w:rPr>
                <w:rFonts w:cs="Arial"/>
                <w:b/>
                <w:bCs/>
              </w:rPr>
              <w:t xml:space="preserve"> неизвестна честота (от наличните данни не може да бъде направена оценка)</w:t>
            </w:r>
          </w:p>
        </w:tc>
      </w:tr>
      <w:tr w:rsidR="003125A3" w14:paraId="626BBA56" w14:textId="77777777" w:rsidTr="0054589A">
        <w:tc>
          <w:tcPr>
            <w:tcW w:w="1900" w:type="dxa"/>
            <w:vAlign w:val="bottom"/>
          </w:tcPr>
          <w:p w14:paraId="254A5785" w14:textId="772AF503" w:rsidR="003125A3" w:rsidRPr="003125A3" w:rsidRDefault="003125A3" w:rsidP="003125A3">
            <w:pPr>
              <w:rPr>
                <w:rFonts w:cs="Arial"/>
              </w:rPr>
            </w:pPr>
            <w:r w:rsidRPr="003125A3">
              <w:rPr>
                <w:rFonts w:cs="Arial"/>
              </w:rPr>
              <w:t>Нарушения на очите</w:t>
            </w:r>
          </w:p>
        </w:tc>
        <w:tc>
          <w:tcPr>
            <w:tcW w:w="1900" w:type="dxa"/>
          </w:tcPr>
          <w:p w14:paraId="300C45B6" w14:textId="77777777" w:rsidR="003125A3" w:rsidRPr="003125A3" w:rsidRDefault="003125A3" w:rsidP="003125A3">
            <w:pPr>
              <w:rPr>
                <w:rFonts w:cs="Arial"/>
              </w:rPr>
            </w:pPr>
          </w:p>
        </w:tc>
        <w:tc>
          <w:tcPr>
            <w:tcW w:w="1900" w:type="dxa"/>
          </w:tcPr>
          <w:p w14:paraId="61DB1A07" w14:textId="77777777" w:rsidR="003125A3" w:rsidRPr="003125A3" w:rsidRDefault="003125A3" w:rsidP="003125A3">
            <w:pPr>
              <w:rPr>
                <w:rFonts w:cs="Arial"/>
              </w:rPr>
            </w:pPr>
          </w:p>
        </w:tc>
        <w:tc>
          <w:tcPr>
            <w:tcW w:w="1900" w:type="dxa"/>
          </w:tcPr>
          <w:p w14:paraId="2D826040" w14:textId="4606714C" w:rsidR="003125A3" w:rsidRPr="003125A3" w:rsidRDefault="003125A3" w:rsidP="003125A3">
            <w:pPr>
              <w:rPr>
                <w:rFonts w:cs="Arial"/>
              </w:rPr>
            </w:pPr>
            <w:r w:rsidRPr="003125A3">
              <w:rPr>
                <w:rFonts w:cs="Arial"/>
              </w:rPr>
              <w:t xml:space="preserve">Непоносимост към </w:t>
            </w:r>
            <w:r w:rsidRPr="003125A3">
              <w:rPr>
                <w:rFonts w:cs="Arial"/>
              </w:rPr>
              <w:lastRenderedPageBreak/>
              <w:t>контактни лещи</w:t>
            </w:r>
          </w:p>
        </w:tc>
        <w:tc>
          <w:tcPr>
            <w:tcW w:w="1900" w:type="dxa"/>
          </w:tcPr>
          <w:p w14:paraId="7DB34BB1" w14:textId="77777777" w:rsidR="003125A3" w:rsidRPr="003125A3" w:rsidRDefault="003125A3" w:rsidP="003125A3">
            <w:pPr>
              <w:rPr>
                <w:rFonts w:cs="Arial"/>
              </w:rPr>
            </w:pPr>
          </w:p>
        </w:tc>
      </w:tr>
      <w:tr w:rsidR="003125A3" w14:paraId="2E8FD0A5" w14:textId="77777777" w:rsidTr="0054589A">
        <w:tc>
          <w:tcPr>
            <w:tcW w:w="1900" w:type="dxa"/>
            <w:vAlign w:val="bottom"/>
          </w:tcPr>
          <w:p w14:paraId="59D86AF4" w14:textId="0035382C" w:rsidR="003125A3" w:rsidRPr="003125A3" w:rsidRDefault="003125A3" w:rsidP="003125A3">
            <w:pPr>
              <w:rPr>
                <w:rFonts w:cs="Arial"/>
              </w:rPr>
            </w:pPr>
            <w:r w:rsidRPr="003125A3">
              <w:rPr>
                <w:rFonts w:cs="Arial"/>
              </w:rPr>
              <w:t>Съдови нарушения</w:t>
            </w:r>
          </w:p>
        </w:tc>
        <w:tc>
          <w:tcPr>
            <w:tcW w:w="1900" w:type="dxa"/>
          </w:tcPr>
          <w:p w14:paraId="5E8BFA31" w14:textId="77777777" w:rsidR="003125A3" w:rsidRPr="003125A3" w:rsidRDefault="003125A3" w:rsidP="003125A3">
            <w:pPr>
              <w:rPr>
                <w:rFonts w:cs="Arial"/>
              </w:rPr>
            </w:pPr>
          </w:p>
        </w:tc>
        <w:tc>
          <w:tcPr>
            <w:tcW w:w="1900" w:type="dxa"/>
          </w:tcPr>
          <w:p w14:paraId="3B0A04B0" w14:textId="77777777" w:rsidR="003125A3" w:rsidRPr="003125A3" w:rsidRDefault="003125A3" w:rsidP="003125A3">
            <w:pPr>
              <w:rPr>
                <w:rFonts w:cs="Arial"/>
              </w:rPr>
            </w:pPr>
          </w:p>
        </w:tc>
        <w:tc>
          <w:tcPr>
            <w:tcW w:w="1900" w:type="dxa"/>
          </w:tcPr>
          <w:p w14:paraId="0A62BA71" w14:textId="77777777" w:rsidR="003125A3" w:rsidRPr="003125A3" w:rsidRDefault="003125A3" w:rsidP="003125A3">
            <w:pPr>
              <w:rPr>
                <w:rFonts w:cs="Arial"/>
              </w:rPr>
            </w:pPr>
          </w:p>
        </w:tc>
        <w:tc>
          <w:tcPr>
            <w:tcW w:w="1900" w:type="dxa"/>
          </w:tcPr>
          <w:p w14:paraId="0897471D" w14:textId="14B88F02" w:rsidR="003125A3" w:rsidRPr="003125A3" w:rsidRDefault="003125A3" w:rsidP="003125A3">
            <w:pPr>
              <w:rPr>
                <w:rFonts w:cs="Arial"/>
              </w:rPr>
            </w:pPr>
            <w:r w:rsidRPr="003125A3">
              <w:rPr>
                <w:rFonts w:cs="Arial"/>
              </w:rPr>
              <w:t>Повишаване на кръвното налягане</w:t>
            </w:r>
          </w:p>
        </w:tc>
      </w:tr>
      <w:tr w:rsidR="003125A3" w14:paraId="3F831473" w14:textId="77777777" w:rsidTr="0054589A">
        <w:tc>
          <w:tcPr>
            <w:tcW w:w="1900" w:type="dxa"/>
            <w:vAlign w:val="bottom"/>
          </w:tcPr>
          <w:p w14:paraId="5E440AC1" w14:textId="0752FADA" w:rsidR="003125A3" w:rsidRPr="003125A3" w:rsidRDefault="003125A3" w:rsidP="003125A3">
            <w:pPr>
              <w:rPr>
                <w:rFonts w:cs="Arial"/>
              </w:rPr>
            </w:pPr>
            <w:r w:rsidRPr="003125A3">
              <w:rPr>
                <w:rFonts w:cs="Arial"/>
              </w:rPr>
              <w:t>Стомашно-чревни нарушения</w:t>
            </w:r>
          </w:p>
        </w:tc>
        <w:tc>
          <w:tcPr>
            <w:tcW w:w="1900" w:type="dxa"/>
            <w:vAlign w:val="bottom"/>
          </w:tcPr>
          <w:p w14:paraId="156E24BE" w14:textId="77777777" w:rsidR="003125A3" w:rsidRPr="003125A3" w:rsidRDefault="003125A3" w:rsidP="003125A3">
            <w:pPr>
              <w:rPr>
                <w:rFonts w:cs="Arial"/>
              </w:rPr>
            </w:pPr>
            <w:r w:rsidRPr="003125A3">
              <w:rPr>
                <w:rFonts w:cs="Arial"/>
              </w:rPr>
              <w:t>Гадене</w:t>
            </w:r>
          </w:p>
          <w:p w14:paraId="735D6C85" w14:textId="3D8444C0" w:rsidR="003125A3" w:rsidRPr="003125A3" w:rsidRDefault="003125A3" w:rsidP="003125A3">
            <w:pPr>
              <w:rPr>
                <w:rFonts w:cs="Arial"/>
              </w:rPr>
            </w:pPr>
            <w:r w:rsidRPr="003125A3">
              <w:rPr>
                <w:rFonts w:cs="Arial"/>
              </w:rPr>
              <w:t>Коремна болка</w:t>
            </w:r>
          </w:p>
        </w:tc>
        <w:tc>
          <w:tcPr>
            <w:tcW w:w="1900" w:type="dxa"/>
            <w:vAlign w:val="bottom"/>
          </w:tcPr>
          <w:p w14:paraId="6219256C" w14:textId="164E60D6" w:rsidR="003125A3" w:rsidRPr="003125A3" w:rsidRDefault="003125A3" w:rsidP="003125A3">
            <w:pPr>
              <w:rPr>
                <w:rFonts w:cs="Arial"/>
              </w:rPr>
            </w:pPr>
            <w:r w:rsidRPr="003125A3">
              <w:rPr>
                <w:rFonts w:cs="Arial"/>
              </w:rPr>
              <w:t>Повръщане Диария</w:t>
            </w:r>
          </w:p>
        </w:tc>
        <w:tc>
          <w:tcPr>
            <w:tcW w:w="1900" w:type="dxa"/>
          </w:tcPr>
          <w:p w14:paraId="79BD8ADB" w14:textId="77777777" w:rsidR="003125A3" w:rsidRPr="003125A3" w:rsidRDefault="003125A3" w:rsidP="003125A3">
            <w:pPr>
              <w:rPr>
                <w:rFonts w:cs="Arial"/>
              </w:rPr>
            </w:pPr>
          </w:p>
        </w:tc>
        <w:tc>
          <w:tcPr>
            <w:tcW w:w="1900" w:type="dxa"/>
          </w:tcPr>
          <w:p w14:paraId="7784DF9A" w14:textId="77777777" w:rsidR="003125A3" w:rsidRPr="003125A3" w:rsidRDefault="003125A3" w:rsidP="003125A3">
            <w:pPr>
              <w:rPr>
                <w:rFonts w:cs="Arial"/>
              </w:rPr>
            </w:pPr>
          </w:p>
        </w:tc>
      </w:tr>
      <w:tr w:rsidR="003125A3" w14:paraId="18EED232" w14:textId="77777777" w:rsidTr="0054589A">
        <w:tc>
          <w:tcPr>
            <w:tcW w:w="1900" w:type="dxa"/>
            <w:vAlign w:val="center"/>
          </w:tcPr>
          <w:p w14:paraId="22B46336" w14:textId="57E5AAB0" w:rsidR="003125A3" w:rsidRPr="003125A3" w:rsidRDefault="003125A3" w:rsidP="003125A3">
            <w:pPr>
              <w:rPr>
                <w:rFonts w:cs="Arial"/>
              </w:rPr>
            </w:pPr>
            <w:r w:rsidRPr="003125A3">
              <w:rPr>
                <w:rFonts w:cs="Arial"/>
              </w:rPr>
              <w:t>Нарушения на имунната система</w:t>
            </w:r>
          </w:p>
        </w:tc>
        <w:tc>
          <w:tcPr>
            <w:tcW w:w="1900" w:type="dxa"/>
          </w:tcPr>
          <w:p w14:paraId="7D4EC383" w14:textId="77777777" w:rsidR="003125A3" w:rsidRPr="003125A3" w:rsidRDefault="003125A3" w:rsidP="003125A3">
            <w:pPr>
              <w:rPr>
                <w:rFonts w:cs="Arial"/>
              </w:rPr>
            </w:pPr>
          </w:p>
        </w:tc>
        <w:tc>
          <w:tcPr>
            <w:tcW w:w="1900" w:type="dxa"/>
          </w:tcPr>
          <w:p w14:paraId="51AF81EF" w14:textId="77777777" w:rsidR="003125A3" w:rsidRPr="003125A3" w:rsidRDefault="003125A3" w:rsidP="003125A3">
            <w:pPr>
              <w:rPr>
                <w:rFonts w:cs="Arial"/>
              </w:rPr>
            </w:pPr>
          </w:p>
        </w:tc>
        <w:tc>
          <w:tcPr>
            <w:tcW w:w="1900" w:type="dxa"/>
            <w:vAlign w:val="center"/>
          </w:tcPr>
          <w:p w14:paraId="551885B7" w14:textId="20D1FD94" w:rsidR="003125A3" w:rsidRPr="003125A3" w:rsidRDefault="003125A3" w:rsidP="003125A3">
            <w:pPr>
              <w:rPr>
                <w:rFonts w:cs="Arial"/>
              </w:rPr>
            </w:pPr>
            <w:r w:rsidRPr="003125A3">
              <w:rPr>
                <w:rFonts w:cs="Arial"/>
              </w:rPr>
              <w:t>Свръхчувствителност</w:t>
            </w:r>
          </w:p>
        </w:tc>
        <w:tc>
          <w:tcPr>
            <w:tcW w:w="1900" w:type="dxa"/>
            <w:vAlign w:val="bottom"/>
          </w:tcPr>
          <w:p w14:paraId="28CE99CB" w14:textId="32F9CFDD" w:rsidR="003125A3" w:rsidRPr="003125A3" w:rsidRDefault="003125A3" w:rsidP="003125A3">
            <w:pPr>
              <w:rPr>
                <w:rFonts w:cs="Arial"/>
              </w:rPr>
            </w:pPr>
            <w:r w:rsidRPr="003125A3">
              <w:rPr>
                <w:rFonts w:cs="Arial"/>
              </w:rPr>
              <w:t>Влошаване на симптомите на наследствен и придобит ангиоедем</w:t>
            </w:r>
          </w:p>
        </w:tc>
      </w:tr>
      <w:tr w:rsidR="003125A3" w14:paraId="6B9A2F98" w14:textId="77777777" w:rsidTr="0054589A">
        <w:tc>
          <w:tcPr>
            <w:tcW w:w="1900" w:type="dxa"/>
            <w:vAlign w:val="bottom"/>
          </w:tcPr>
          <w:p w14:paraId="1D028CA7" w14:textId="34A8147F" w:rsidR="003125A3" w:rsidRPr="003125A3" w:rsidRDefault="003125A3" w:rsidP="003125A3">
            <w:pPr>
              <w:rPr>
                <w:rFonts w:cs="Arial"/>
              </w:rPr>
            </w:pPr>
            <w:r w:rsidRPr="003125A3">
              <w:rPr>
                <w:rFonts w:cs="Arial"/>
              </w:rPr>
              <w:t>Изследвания</w:t>
            </w:r>
          </w:p>
        </w:tc>
        <w:tc>
          <w:tcPr>
            <w:tcW w:w="1900" w:type="dxa"/>
          </w:tcPr>
          <w:p w14:paraId="05DA96E6" w14:textId="2F27235B" w:rsidR="003125A3" w:rsidRPr="003125A3" w:rsidRDefault="003125A3" w:rsidP="003125A3">
            <w:pPr>
              <w:rPr>
                <w:rFonts w:cs="Arial"/>
              </w:rPr>
            </w:pPr>
            <w:r w:rsidRPr="003125A3">
              <w:rPr>
                <w:rFonts w:cs="Arial"/>
              </w:rPr>
              <w:t>Увеличение на теглото</w:t>
            </w:r>
          </w:p>
        </w:tc>
        <w:tc>
          <w:tcPr>
            <w:tcW w:w="1900" w:type="dxa"/>
          </w:tcPr>
          <w:p w14:paraId="2DDB99D2" w14:textId="77777777" w:rsidR="003125A3" w:rsidRPr="003125A3" w:rsidRDefault="003125A3" w:rsidP="003125A3">
            <w:pPr>
              <w:rPr>
                <w:rFonts w:cs="Arial"/>
              </w:rPr>
            </w:pPr>
          </w:p>
        </w:tc>
        <w:tc>
          <w:tcPr>
            <w:tcW w:w="1900" w:type="dxa"/>
          </w:tcPr>
          <w:p w14:paraId="5CA8E3D4" w14:textId="0B841E06" w:rsidR="003125A3" w:rsidRPr="003125A3" w:rsidRDefault="003125A3" w:rsidP="003125A3">
            <w:pPr>
              <w:rPr>
                <w:rFonts w:cs="Arial"/>
              </w:rPr>
            </w:pPr>
            <w:r w:rsidRPr="003125A3">
              <w:rPr>
                <w:rFonts w:cs="Arial"/>
              </w:rPr>
              <w:t>Намаляване на теглото</w:t>
            </w:r>
          </w:p>
        </w:tc>
        <w:tc>
          <w:tcPr>
            <w:tcW w:w="1900" w:type="dxa"/>
          </w:tcPr>
          <w:p w14:paraId="56393459" w14:textId="77777777" w:rsidR="003125A3" w:rsidRPr="003125A3" w:rsidRDefault="003125A3" w:rsidP="003125A3">
            <w:pPr>
              <w:rPr>
                <w:rFonts w:cs="Arial"/>
              </w:rPr>
            </w:pPr>
          </w:p>
        </w:tc>
      </w:tr>
      <w:tr w:rsidR="003125A3" w14:paraId="60C97912" w14:textId="77777777" w:rsidTr="0054589A">
        <w:tc>
          <w:tcPr>
            <w:tcW w:w="1900" w:type="dxa"/>
            <w:vAlign w:val="bottom"/>
          </w:tcPr>
          <w:p w14:paraId="1520BE53" w14:textId="668075FD" w:rsidR="003125A3" w:rsidRPr="003125A3" w:rsidRDefault="003125A3" w:rsidP="003125A3">
            <w:pPr>
              <w:rPr>
                <w:rFonts w:cs="Arial"/>
              </w:rPr>
            </w:pPr>
            <w:r w:rsidRPr="003125A3">
              <w:rPr>
                <w:rFonts w:cs="Arial"/>
              </w:rPr>
              <w:t>Нарушения на метаболизма и храненето</w:t>
            </w:r>
          </w:p>
        </w:tc>
        <w:tc>
          <w:tcPr>
            <w:tcW w:w="1900" w:type="dxa"/>
          </w:tcPr>
          <w:p w14:paraId="24324368" w14:textId="77777777" w:rsidR="003125A3" w:rsidRPr="003125A3" w:rsidRDefault="003125A3" w:rsidP="003125A3">
            <w:pPr>
              <w:rPr>
                <w:rFonts w:cs="Arial"/>
              </w:rPr>
            </w:pPr>
          </w:p>
        </w:tc>
        <w:tc>
          <w:tcPr>
            <w:tcW w:w="1900" w:type="dxa"/>
            <w:vAlign w:val="bottom"/>
          </w:tcPr>
          <w:p w14:paraId="3750AAAC" w14:textId="693B5262" w:rsidR="003125A3" w:rsidRPr="003125A3" w:rsidRDefault="003125A3" w:rsidP="003125A3">
            <w:pPr>
              <w:rPr>
                <w:rFonts w:cs="Arial"/>
              </w:rPr>
            </w:pPr>
            <w:r w:rsidRPr="003125A3">
              <w:rPr>
                <w:rFonts w:cs="Arial"/>
              </w:rPr>
              <w:t>Задръжка на течности</w:t>
            </w:r>
          </w:p>
        </w:tc>
        <w:tc>
          <w:tcPr>
            <w:tcW w:w="1900" w:type="dxa"/>
          </w:tcPr>
          <w:p w14:paraId="2CB063AC" w14:textId="77777777" w:rsidR="003125A3" w:rsidRPr="003125A3" w:rsidRDefault="003125A3" w:rsidP="003125A3">
            <w:pPr>
              <w:rPr>
                <w:rFonts w:cs="Arial"/>
              </w:rPr>
            </w:pPr>
          </w:p>
        </w:tc>
        <w:tc>
          <w:tcPr>
            <w:tcW w:w="1900" w:type="dxa"/>
          </w:tcPr>
          <w:p w14:paraId="05EC9980" w14:textId="77777777" w:rsidR="003125A3" w:rsidRPr="003125A3" w:rsidRDefault="003125A3" w:rsidP="003125A3">
            <w:pPr>
              <w:rPr>
                <w:rFonts w:cs="Arial"/>
              </w:rPr>
            </w:pPr>
          </w:p>
        </w:tc>
      </w:tr>
      <w:tr w:rsidR="003125A3" w14:paraId="4E51CAFC" w14:textId="77777777" w:rsidTr="0054589A">
        <w:tc>
          <w:tcPr>
            <w:tcW w:w="1900" w:type="dxa"/>
          </w:tcPr>
          <w:p w14:paraId="2C36A2DF" w14:textId="23D473E3" w:rsidR="003125A3" w:rsidRPr="003125A3" w:rsidRDefault="003125A3" w:rsidP="003125A3">
            <w:pPr>
              <w:rPr>
                <w:rFonts w:cs="Arial"/>
              </w:rPr>
            </w:pPr>
            <w:r w:rsidRPr="003125A3">
              <w:rPr>
                <w:rFonts w:cs="Arial"/>
              </w:rPr>
              <w:t>Нарушения на нервната система</w:t>
            </w:r>
          </w:p>
        </w:tc>
        <w:tc>
          <w:tcPr>
            <w:tcW w:w="1900" w:type="dxa"/>
            <w:vAlign w:val="bottom"/>
          </w:tcPr>
          <w:p w14:paraId="47131E1A" w14:textId="286E8FBA" w:rsidR="003125A3" w:rsidRPr="003125A3" w:rsidRDefault="003125A3" w:rsidP="003125A3">
            <w:pPr>
              <w:rPr>
                <w:rFonts w:cs="Arial"/>
              </w:rPr>
            </w:pPr>
            <w:r w:rsidRPr="003125A3">
              <w:rPr>
                <w:rFonts w:cs="Arial"/>
              </w:rPr>
              <w:t>Главоболие</w:t>
            </w:r>
          </w:p>
        </w:tc>
        <w:tc>
          <w:tcPr>
            <w:tcW w:w="1900" w:type="dxa"/>
            <w:vAlign w:val="bottom"/>
          </w:tcPr>
          <w:p w14:paraId="4376A429" w14:textId="348C9841" w:rsidR="003125A3" w:rsidRPr="003125A3" w:rsidRDefault="003125A3" w:rsidP="003125A3">
            <w:pPr>
              <w:rPr>
                <w:rFonts w:cs="Arial"/>
              </w:rPr>
            </w:pPr>
            <w:r w:rsidRPr="003125A3">
              <w:rPr>
                <w:rFonts w:cs="Arial"/>
              </w:rPr>
              <w:t>Мигрена</w:t>
            </w:r>
          </w:p>
        </w:tc>
        <w:tc>
          <w:tcPr>
            <w:tcW w:w="1900" w:type="dxa"/>
          </w:tcPr>
          <w:p w14:paraId="39849522" w14:textId="77777777" w:rsidR="003125A3" w:rsidRPr="003125A3" w:rsidRDefault="003125A3" w:rsidP="003125A3">
            <w:pPr>
              <w:rPr>
                <w:rFonts w:cs="Arial"/>
              </w:rPr>
            </w:pPr>
          </w:p>
        </w:tc>
        <w:tc>
          <w:tcPr>
            <w:tcW w:w="1900" w:type="dxa"/>
          </w:tcPr>
          <w:p w14:paraId="2E5A03D5" w14:textId="77777777" w:rsidR="003125A3" w:rsidRPr="003125A3" w:rsidRDefault="003125A3" w:rsidP="003125A3">
            <w:pPr>
              <w:rPr>
                <w:rFonts w:cs="Arial"/>
              </w:rPr>
            </w:pPr>
          </w:p>
        </w:tc>
      </w:tr>
      <w:tr w:rsidR="003125A3" w14:paraId="49354622" w14:textId="77777777" w:rsidTr="0054589A">
        <w:tc>
          <w:tcPr>
            <w:tcW w:w="1900" w:type="dxa"/>
            <w:vAlign w:val="center"/>
          </w:tcPr>
          <w:p w14:paraId="32E4FFC3" w14:textId="10B9CC9C" w:rsidR="003125A3" w:rsidRPr="003125A3" w:rsidRDefault="003125A3" w:rsidP="003125A3">
            <w:pPr>
              <w:rPr>
                <w:rFonts w:cs="Arial"/>
              </w:rPr>
            </w:pPr>
            <w:r w:rsidRPr="003125A3">
              <w:rPr>
                <w:rFonts w:cs="Arial"/>
              </w:rPr>
              <w:t>Психични нарушения</w:t>
            </w:r>
          </w:p>
        </w:tc>
        <w:tc>
          <w:tcPr>
            <w:tcW w:w="1900" w:type="dxa"/>
            <w:vAlign w:val="bottom"/>
          </w:tcPr>
          <w:p w14:paraId="1634A9FE" w14:textId="42EB2BBA" w:rsidR="003125A3" w:rsidRPr="003125A3" w:rsidRDefault="003125A3" w:rsidP="003125A3">
            <w:pPr>
              <w:rPr>
                <w:rFonts w:cs="Arial"/>
              </w:rPr>
            </w:pPr>
            <w:r w:rsidRPr="003125A3">
              <w:rPr>
                <w:rFonts w:cs="Arial"/>
              </w:rPr>
              <w:t>Депресивно настроение Промени в настроението</w:t>
            </w:r>
          </w:p>
        </w:tc>
        <w:tc>
          <w:tcPr>
            <w:tcW w:w="1900" w:type="dxa"/>
            <w:vAlign w:val="center"/>
          </w:tcPr>
          <w:p w14:paraId="7D6A3A0E" w14:textId="52F95B1B" w:rsidR="003125A3" w:rsidRPr="003125A3" w:rsidRDefault="003125A3" w:rsidP="003125A3">
            <w:pPr>
              <w:rPr>
                <w:rFonts w:cs="Arial"/>
              </w:rPr>
            </w:pPr>
            <w:r w:rsidRPr="003125A3">
              <w:rPr>
                <w:rFonts w:cs="Arial"/>
              </w:rPr>
              <w:t>Понижено либидо</w:t>
            </w:r>
          </w:p>
        </w:tc>
        <w:tc>
          <w:tcPr>
            <w:tcW w:w="1900" w:type="dxa"/>
            <w:vAlign w:val="center"/>
          </w:tcPr>
          <w:p w14:paraId="6F42218C" w14:textId="43290129" w:rsidR="003125A3" w:rsidRPr="003125A3" w:rsidRDefault="003125A3" w:rsidP="003125A3">
            <w:pPr>
              <w:rPr>
                <w:rFonts w:cs="Arial"/>
              </w:rPr>
            </w:pPr>
            <w:r w:rsidRPr="003125A3">
              <w:rPr>
                <w:rFonts w:cs="Arial"/>
              </w:rPr>
              <w:t>Повишено либидо</w:t>
            </w:r>
          </w:p>
        </w:tc>
        <w:tc>
          <w:tcPr>
            <w:tcW w:w="1900" w:type="dxa"/>
          </w:tcPr>
          <w:p w14:paraId="570DD871" w14:textId="77777777" w:rsidR="003125A3" w:rsidRPr="003125A3" w:rsidRDefault="003125A3" w:rsidP="003125A3">
            <w:pPr>
              <w:rPr>
                <w:rFonts w:cs="Arial"/>
              </w:rPr>
            </w:pPr>
          </w:p>
        </w:tc>
      </w:tr>
      <w:tr w:rsidR="003125A3" w14:paraId="24E30932" w14:textId="77777777" w:rsidTr="0054589A">
        <w:tc>
          <w:tcPr>
            <w:tcW w:w="1900" w:type="dxa"/>
            <w:vAlign w:val="bottom"/>
          </w:tcPr>
          <w:p w14:paraId="1BD07373" w14:textId="171E6062" w:rsidR="003125A3" w:rsidRPr="003125A3" w:rsidRDefault="003125A3" w:rsidP="003125A3">
            <w:pPr>
              <w:rPr>
                <w:rFonts w:cs="Arial"/>
              </w:rPr>
            </w:pPr>
            <w:r w:rsidRPr="003125A3">
              <w:rPr>
                <w:rFonts w:cs="Arial"/>
              </w:rPr>
              <w:t>Нарушения на възпроизводителната система и гърдата</w:t>
            </w:r>
          </w:p>
        </w:tc>
        <w:tc>
          <w:tcPr>
            <w:tcW w:w="1900" w:type="dxa"/>
            <w:vAlign w:val="bottom"/>
          </w:tcPr>
          <w:p w14:paraId="26E9C83D" w14:textId="036444F4" w:rsidR="003125A3" w:rsidRPr="003125A3" w:rsidRDefault="003125A3" w:rsidP="003125A3">
            <w:pPr>
              <w:rPr>
                <w:rFonts w:cs="Arial"/>
              </w:rPr>
            </w:pPr>
            <w:r w:rsidRPr="003125A3">
              <w:rPr>
                <w:rFonts w:cs="Arial"/>
              </w:rPr>
              <w:t>Болка в гърдите, Напрежение в гърдите</w:t>
            </w:r>
          </w:p>
        </w:tc>
        <w:tc>
          <w:tcPr>
            <w:tcW w:w="1900" w:type="dxa"/>
          </w:tcPr>
          <w:p w14:paraId="71B38E3F" w14:textId="38B604B5" w:rsidR="003125A3" w:rsidRPr="003125A3" w:rsidRDefault="003125A3" w:rsidP="003125A3">
            <w:pPr>
              <w:rPr>
                <w:rFonts w:cs="Arial"/>
              </w:rPr>
            </w:pPr>
            <w:r w:rsidRPr="003125A3">
              <w:rPr>
                <w:rFonts w:cs="Arial"/>
              </w:rPr>
              <w:t>Хипертофия на гърдите</w:t>
            </w:r>
          </w:p>
        </w:tc>
        <w:tc>
          <w:tcPr>
            <w:tcW w:w="1900" w:type="dxa"/>
            <w:vAlign w:val="bottom"/>
          </w:tcPr>
          <w:p w14:paraId="1064E8AC" w14:textId="39DF52D8" w:rsidR="003125A3" w:rsidRPr="003125A3" w:rsidRDefault="003125A3" w:rsidP="003125A3">
            <w:pPr>
              <w:rPr>
                <w:rFonts w:cs="Arial"/>
              </w:rPr>
            </w:pPr>
            <w:r w:rsidRPr="003125A3">
              <w:rPr>
                <w:rFonts w:cs="Arial"/>
              </w:rPr>
              <w:t>Вагинална секреция Секреция от гърдите</w:t>
            </w:r>
          </w:p>
        </w:tc>
        <w:tc>
          <w:tcPr>
            <w:tcW w:w="1900" w:type="dxa"/>
          </w:tcPr>
          <w:p w14:paraId="0A3EC39D" w14:textId="77777777" w:rsidR="003125A3" w:rsidRPr="003125A3" w:rsidRDefault="003125A3" w:rsidP="003125A3">
            <w:pPr>
              <w:rPr>
                <w:rFonts w:cs="Arial"/>
              </w:rPr>
            </w:pPr>
          </w:p>
        </w:tc>
      </w:tr>
      <w:tr w:rsidR="003125A3" w14:paraId="6349DCF8" w14:textId="77777777" w:rsidTr="0054589A">
        <w:tc>
          <w:tcPr>
            <w:tcW w:w="1900" w:type="dxa"/>
            <w:vAlign w:val="bottom"/>
          </w:tcPr>
          <w:p w14:paraId="34E48E9E" w14:textId="477A000F" w:rsidR="003125A3" w:rsidRPr="003125A3" w:rsidRDefault="003125A3" w:rsidP="003125A3">
            <w:pPr>
              <w:rPr>
                <w:rFonts w:cs="Arial"/>
              </w:rPr>
            </w:pPr>
            <w:r w:rsidRPr="003125A3">
              <w:rPr>
                <w:rFonts w:cs="Arial"/>
              </w:rPr>
              <w:t>Нарушения на кожата и подкожната тъкан</w:t>
            </w:r>
          </w:p>
        </w:tc>
        <w:tc>
          <w:tcPr>
            <w:tcW w:w="1900" w:type="dxa"/>
          </w:tcPr>
          <w:p w14:paraId="3F4019DE" w14:textId="77777777" w:rsidR="003125A3" w:rsidRPr="003125A3" w:rsidRDefault="003125A3" w:rsidP="003125A3">
            <w:pPr>
              <w:rPr>
                <w:rFonts w:cs="Arial"/>
              </w:rPr>
            </w:pPr>
          </w:p>
        </w:tc>
        <w:tc>
          <w:tcPr>
            <w:tcW w:w="1900" w:type="dxa"/>
            <w:vAlign w:val="bottom"/>
          </w:tcPr>
          <w:p w14:paraId="192D24A8" w14:textId="2E612641" w:rsidR="003125A3" w:rsidRPr="003125A3" w:rsidRDefault="003125A3" w:rsidP="003125A3">
            <w:pPr>
              <w:rPr>
                <w:rFonts w:cs="Arial"/>
              </w:rPr>
            </w:pPr>
            <w:r w:rsidRPr="003125A3">
              <w:rPr>
                <w:rFonts w:cs="Arial"/>
              </w:rPr>
              <w:t>Зачервяване Уртикария</w:t>
            </w:r>
          </w:p>
        </w:tc>
        <w:tc>
          <w:tcPr>
            <w:tcW w:w="1900" w:type="dxa"/>
            <w:vAlign w:val="bottom"/>
          </w:tcPr>
          <w:p w14:paraId="6005472E" w14:textId="77777777" w:rsidR="003125A3" w:rsidRPr="003125A3" w:rsidRDefault="003125A3" w:rsidP="003125A3">
            <w:pPr>
              <w:rPr>
                <w:rFonts w:cs="Arial"/>
              </w:rPr>
            </w:pPr>
            <w:r w:rsidRPr="003125A3">
              <w:rPr>
                <w:rFonts w:cs="Arial"/>
              </w:rPr>
              <w:t>Еритема нодозум</w:t>
            </w:r>
          </w:p>
          <w:p w14:paraId="73E3EDB0" w14:textId="4588990F" w:rsidR="003125A3" w:rsidRPr="003125A3" w:rsidRDefault="003125A3" w:rsidP="003125A3">
            <w:pPr>
              <w:rPr>
                <w:rFonts w:cs="Arial"/>
              </w:rPr>
            </w:pPr>
            <w:r w:rsidRPr="003125A3">
              <w:rPr>
                <w:rFonts w:cs="Arial"/>
              </w:rPr>
              <w:t>Еритема мултиформе</w:t>
            </w:r>
          </w:p>
        </w:tc>
        <w:tc>
          <w:tcPr>
            <w:tcW w:w="1900" w:type="dxa"/>
          </w:tcPr>
          <w:p w14:paraId="0A225CAC" w14:textId="77777777" w:rsidR="003125A3" w:rsidRPr="003125A3" w:rsidRDefault="003125A3" w:rsidP="003125A3">
            <w:pPr>
              <w:rPr>
                <w:rFonts w:cs="Arial"/>
              </w:rPr>
            </w:pPr>
          </w:p>
        </w:tc>
      </w:tr>
      <w:tr w:rsidR="003125A3" w14:paraId="37F64ABC" w14:textId="77777777" w:rsidTr="003125A3">
        <w:tc>
          <w:tcPr>
            <w:tcW w:w="1900" w:type="dxa"/>
          </w:tcPr>
          <w:p w14:paraId="23AEEF8F" w14:textId="2464BD20" w:rsidR="003125A3" w:rsidRPr="003125A3" w:rsidRDefault="003125A3" w:rsidP="003125A3">
            <w:pPr>
              <w:rPr>
                <w:rFonts w:cs="Arial"/>
              </w:rPr>
            </w:pPr>
            <w:r w:rsidRPr="003125A3">
              <w:rPr>
                <w:rFonts w:cs="Arial"/>
              </w:rPr>
              <w:t>Съдови нарушения</w:t>
            </w:r>
          </w:p>
        </w:tc>
        <w:tc>
          <w:tcPr>
            <w:tcW w:w="1900" w:type="dxa"/>
          </w:tcPr>
          <w:p w14:paraId="09291625" w14:textId="77777777" w:rsidR="003125A3" w:rsidRPr="003125A3" w:rsidRDefault="003125A3" w:rsidP="003125A3">
            <w:pPr>
              <w:rPr>
                <w:rFonts w:cs="Arial"/>
              </w:rPr>
            </w:pPr>
          </w:p>
        </w:tc>
        <w:tc>
          <w:tcPr>
            <w:tcW w:w="1900" w:type="dxa"/>
          </w:tcPr>
          <w:p w14:paraId="08435114" w14:textId="77777777" w:rsidR="003125A3" w:rsidRPr="003125A3" w:rsidRDefault="003125A3" w:rsidP="003125A3">
            <w:pPr>
              <w:rPr>
                <w:rFonts w:cs="Arial"/>
              </w:rPr>
            </w:pPr>
          </w:p>
        </w:tc>
        <w:tc>
          <w:tcPr>
            <w:tcW w:w="1900" w:type="dxa"/>
          </w:tcPr>
          <w:p w14:paraId="198A1242" w14:textId="47B844F3" w:rsidR="003125A3" w:rsidRPr="003125A3" w:rsidRDefault="003125A3" w:rsidP="003125A3">
            <w:pPr>
              <w:rPr>
                <w:rFonts w:cs="Arial"/>
              </w:rPr>
            </w:pPr>
            <w:r w:rsidRPr="003125A3">
              <w:rPr>
                <w:rFonts w:cs="Arial"/>
              </w:rPr>
              <w:t>Тромбоемболизъм</w:t>
            </w:r>
          </w:p>
        </w:tc>
        <w:tc>
          <w:tcPr>
            <w:tcW w:w="1900" w:type="dxa"/>
          </w:tcPr>
          <w:p w14:paraId="60EB24F9" w14:textId="77777777" w:rsidR="003125A3" w:rsidRPr="003125A3" w:rsidRDefault="003125A3" w:rsidP="003125A3">
            <w:pPr>
              <w:rPr>
                <w:rFonts w:cs="Arial"/>
              </w:rPr>
            </w:pPr>
          </w:p>
        </w:tc>
      </w:tr>
    </w:tbl>
    <w:p w14:paraId="026AFA81" w14:textId="77777777" w:rsidR="00C50FCA" w:rsidRPr="00C50FCA" w:rsidRDefault="00C50FCA" w:rsidP="00C50FCA">
      <w:pPr>
        <w:rPr>
          <w:sz w:val="24"/>
          <w:szCs w:val="24"/>
          <w:lang w:eastAsia="bg-BG"/>
        </w:rPr>
      </w:pPr>
      <w:r w:rsidRPr="00C50FCA">
        <w:rPr>
          <w:lang w:eastAsia="bg-BG"/>
        </w:rPr>
        <w:t xml:space="preserve">* Използвани са най-подходящите </w:t>
      </w:r>
      <w:r w:rsidRPr="00C50FCA">
        <w:rPr>
          <w:lang w:val="en-US"/>
        </w:rPr>
        <w:t xml:space="preserve">MedDRA </w:t>
      </w:r>
      <w:r w:rsidRPr="00C50FCA">
        <w:rPr>
          <w:lang w:eastAsia="bg-BG"/>
        </w:rPr>
        <w:t>термини (12.0 версия) за описване на определени нежелани реакции. Синоними или подобни състояния не са описани, но трябва да се имат предвид.</w:t>
      </w:r>
    </w:p>
    <w:p w14:paraId="49F17B81" w14:textId="6ACBC80E" w:rsidR="00C50FCA" w:rsidRDefault="00C50FCA" w:rsidP="003125A3"/>
    <w:p w14:paraId="2A03F0A0" w14:textId="75085A54" w:rsidR="00C50FCA" w:rsidRPr="00C50FCA" w:rsidRDefault="00C50FCA" w:rsidP="00C50FCA">
      <w:pPr>
        <w:pStyle w:val="Heading3"/>
        <w:rPr>
          <w:rFonts w:eastAsia="Times New Roman"/>
          <w:sz w:val="28"/>
          <w:szCs w:val="28"/>
          <w:lang w:eastAsia="bg-BG"/>
        </w:rPr>
      </w:pPr>
      <w:r w:rsidRPr="00C50FCA">
        <w:rPr>
          <w:rFonts w:eastAsia="Times New Roman"/>
          <w:sz w:val="28"/>
          <w:szCs w:val="28"/>
          <w:lang w:eastAsia="bg-BG"/>
        </w:rPr>
        <w:t xml:space="preserve">4.8.3 </w:t>
      </w:r>
      <w:r w:rsidRPr="00C50FCA">
        <w:rPr>
          <w:rFonts w:eastAsia="Times New Roman"/>
          <w:sz w:val="28"/>
          <w:szCs w:val="28"/>
          <w:lang w:eastAsia="bg-BG"/>
        </w:rPr>
        <w:t>Описание иа избраните нежелани реакции</w:t>
      </w:r>
    </w:p>
    <w:p w14:paraId="3BE30A6B" w14:textId="77777777" w:rsidR="00C50FCA" w:rsidRDefault="00C50FCA" w:rsidP="00C50FCA">
      <w:pPr>
        <w:spacing w:line="240" w:lineRule="auto"/>
        <w:rPr>
          <w:rFonts w:ascii="Times New Roman" w:eastAsia="Times New Roman" w:hAnsi="Times New Roman" w:cs="Times New Roman"/>
          <w:color w:val="000000"/>
          <w:sz w:val="20"/>
          <w:szCs w:val="20"/>
          <w:lang w:eastAsia="bg-BG"/>
        </w:rPr>
      </w:pPr>
    </w:p>
    <w:p w14:paraId="466E0F7E" w14:textId="43A213EC" w:rsidR="00C50FCA" w:rsidRPr="00C50FCA" w:rsidRDefault="00C50FCA" w:rsidP="00C50FCA">
      <w:pPr>
        <w:spacing w:line="240" w:lineRule="auto"/>
        <w:rPr>
          <w:rFonts w:eastAsia="Times New Roman" w:cs="Arial"/>
          <w:lang w:eastAsia="bg-BG"/>
        </w:rPr>
      </w:pPr>
      <w:r w:rsidRPr="00C50FCA">
        <w:rPr>
          <w:rFonts w:eastAsia="Times New Roman" w:cs="Arial"/>
          <w:color w:val="000000"/>
          <w:lang w:eastAsia="bg-BG"/>
        </w:rPr>
        <w:t>При жени, които използват КХК, е наблюдаван повишен риск от артериални и венозни тромботични и тромбоемболични събития, включително инфаркт на миокарда, инсулт, преходни исхемични пристъпи, венозна тромбоза и белодробна емболия, които са разгледани по-подробно в точка 4.4.</w:t>
      </w:r>
    </w:p>
    <w:p w14:paraId="5769D0B4" w14:textId="77777777" w:rsidR="00C50FCA" w:rsidRPr="00C50FCA" w:rsidRDefault="00C50FCA" w:rsidP="00C50FCA">
      <w:pPr>
        <w:spacing w:line="240" w:lineRule="auto"/>
        <w:rPr>
          <w:rFonts w:eastAsia="Times New Roman" w:cs="Arial"/>
          <w:color w:val="000000"/>
          <w:lang w:eastAsia="bg-BG"/>
        </w:rPr>
      </w:pPr>
    </w:p>
    <w:p w14:paraId="07552759" w14:textId="101381DE" w:rsidR="00C50FCA" w:rsidRPr="00C50FCA" w:rsidRDefault="00C50FCA" w:rsidP="00C50FCA">
      <w:pPr>
        <w:spacing w:line="240" w:lineRule="auto"/>
        <w:rPr>
          <w:rFonts w:eastAsia="Times New Roman" w:cs="Arial"/>
          <w:lang w:eastAsia="bg-BG"/>
        </w:rPr>
      </w:pPr>
      <w:r w:rsidRPr="00C50FCA">
        <w:rPr>
          <w:rFonts w:eastAsia="Times New Roman" w:cs="Arial"/>
          <w:color w:val="000000"/>
          <w:lang w:eastAsia="bg-BG"/>
        </w:rPr>
        <w:lastRenderedPageBreak/>
        <w:t>Следните сериозни нежелани реакции се съобщават при жени, използващи КХК, които се обсъждат в т. 4.4 „Специални предупреждения и предпазни мерки при употреба”:</w:t>
      </w:r>
    </w:p>
    <w:p w14:paraId="4140A469" w14:textId="77777777" w:rsidR="00C50FCA" w:rsidRPr="00C50FCA" w:rsidRDefault="00C50FCA" w:rsidP="00C50FCA">
      <w:pPr>
        <w:pStyle w:val="ListParagraph"/>
        <w:numPr>
          <w:ilvl w:val="0"/>
          <w:numId w:val="46"/>
        </w:numPr>
        <w:spacing w:line="240" w:lineRule="auto"/>
        <w:rPr>
          <w:rFonts w:eastAsia="Times New Roman" w:cs="Arial"/>
          <w:lang w:eastAsia="bg-BG"/>
        </w:rPr>
      </w:pPr>
      <w:r w:rsidRPr="00C50FCA">
        <w:rPr>
          <w:rFonts w:eastAsia="Times New Roman" w:cs="Arial"/>
          <w:color w:val="000000"/>
          <w:lang w:eastAsia="bg-BG"/>
        </w:rPr>
        <w:t>Венозни тромбоемболични нарушения;</w:t>
      </w:r>
    </w:p>
    <w:p w14:paraId="17A73369" w14:textId="77777777" w:rsidR="00C50FCA" w:rsidRPr="00C50FCA" w:rsidRDefault="00C50FCA" w:rsidP="00C50FCA">
      <w:pPr>
        <w:pStyle w:val="ListParagraph"/>
        <w:numPr>
          <w:ilvl w:val="0"/>
          <w:numId w:val="46"/>
        </w:numPr>
        <w:spacing w:line="240" w:lineRule="auto"/>
        <w:rPr>
          <w:rFonts w:eastAsia="Times New Roman" w:cs="Arial"/>
          <w:lang w:eastAsia="bg-BG"/>
        </w:rPr>
      </w:pPr>
      <w:r w:rsidRPr="00C50FCA">
        <w:rPr>
          <w:rFonts w:eastAsia="Times New Roman" w:cs="Arial"/>
          <w:color w:val="000000"/>
          <w:lang w:eastAsia="bg-BG"/>
        </w:rPr>
        <w:t>Артериални тромбоемболични нарушения;</w:t>
      </w:r>
    </w:p>
    <w:p w14:paraId="05BF234C" w14:textId="77777777" w:rsidR="00C50FCA" w:rsidRPr="00C50FCA" w:rsidRDefault="00C50FCA" w:rsidP="00C50FCA">
      <w:pPr>
        <w:pStyle w:val="ListParagraph"/>
        <w:numPr>
          <w:ilvl w:val="0"/>
          <w:numId w:val="46"/>
        </w:numPr>
        <w:spacing w:line="240" w:lineRule="auto"/>
        <w:rPr>
          <w:rFonts w:eastAsia="Times New Roman" w:cs="Arial"/>
          <w:lang w:eastAsia="bg-BG"/>
        </w:rPr>
      </w:pPr>
      <w:r w:rsidRPr="00C50FCA">
        <w:rPr>
          <w:rFonts w:eastAsia="Times New Roman" w:cs="Arial"/>
          <w:color w:val="000000"/>
          <w:lang w:eastAsia="bg-BG"/>
        </w:rPr>
        <w:t>Хипертония;</w:t>
      </w:r>
    </w:p>
    <w:p w14:paraId="74882B84" w14:textId="77777777" w:rsidR="00C50FCA" w:rsidRPr="00C50FCA" w:rsidRDefault="00C50FCA" w:rsidP="00C50FCA">
      <w:pPr>
        <w:pStyle w:val="ListParagraph"/>
        <w:numPr>
          <w:ilvl w:val="0"/>
          <w:numId w:val="46"/>
        </w:numPr>
        <w:spacing w:line="240" w:lineRule="auto"/>
        <w:rPr>
          <w:rFonts w:eastAsia="Times New Roman" w:cs="Arial"/>
          <w:lang w:eastAsia="bg-BG"/>
        </w:rPr>
      </w:pPr>
      <w:r w:rsidRPr="00C50FCA">
        <w:rPr>
          <w:rFonts w:eastAsia="Times New Roman" w:cs="Arial"/>
          <w:color w:val="000000"/>
          <w:lang w:eastAsia="bg-BG"/>
        </w:rPr>
        <w:t>Чернодробни тумори;</w:t>
      </w:r>
    </w:p>
    <w:p w14:paraId="37236D09" w14:textId="77777777" w:rsidR="00C50FCA" w:rsidRPr="00C50FCA" w:rsidRDefault="00C50FCA" w:rsidP="00C50FCA">
      <w:pPr>
        <w:pStyle w:val="ListParagraph"/>
        <w:numPr>
          <w:ilvl w:val="0"/>
          <w:numId w:val="46"/>
        </w:numPr>
        <w:spacing w:line="240" w:lineRule="auto"/>
        <w:rPr>
          <w:rFonts w:eastAsia="Times New Roman" w:cs="Arial"/>
          <w:lang w:eastAsia="bg-BG"/>
        </w:rPr>
      </w:pPr>
      <w:r w:rsidRPr="00C50FCA">
        <w:rPr>
          <w:rFonts w:eastAsia="Times New Roman" w:cs="Arial"/>
          <w:color w:val="000000"/>
          <w:lang w:eastAsia="bg-BG"/>
        </w:rPr>
        <w:t xml:space="preserve">Поява или влошаване на състоянията, при които едновременната употребата на КОК не е решаваща: болест на Крон, улцеративен колит, епилепсия, маточна миома, порфирия, системен лупус еритематозус, гестационен херпесхорея на </w:t>
      </w:r>
      <w:r w:rsidRPr="00C50FCA">
        <w:rPr>
          <w:rFonts w:eastAsia="Times New Roman" w:cs="Arial"/>
          <w:color w:val="000000"/>
          <w:lang w:val="en-US"/>
        </w:rPr>
        <w:t xml:space="preserve">Sydenham, </w:t>
      </w:r>
      <w:r w:rsidRPr="00C50FCA">
        <w:rPr>
          <w:rFonts w:eastAsia="Times New Roman" w:cs="Arial"/>
          <w:color w:val="000000"/>
          <w:lang w:eastAsia="bg-BG"/>
        </w:rPr>
        <w:t>хемолитичен уремичен синдром, холестатична жълтеница;</w:t>
      </w:r>
    </w:p>
    <w:p w14:paraId="04A7A540" w14:textId="77777777" w:rsidR="00C50FCA" w:rsidRPr="00C50FCA" w:rsidRDefault="00C50FCA" w:rsidP="00C50FCA">
      <w:pPr>
        <w:pStyle w:val="ListParagraph"/>
        <w:numPr>
          <w:ilvl w:val="0"/>
          <w:numId w:val="46"/>
        </w:numPr>
        <w:spacing w:line="240" w:lineRule="auto"/>
        <w:rPr>
          <w:rFonts w:eastAsia="Times New Roman" w:cs="Arial"/>
          <w:lang w:eastAsia="bg-BG"/>
        </w:rPr>
      </w:pPr>
      <w:r w:rsidRPr="00C50FCA">
        <w:rPr>
          <w:rFonts w:eastAsia="Times New Roman" w:cs="Arial"/>
          <w:color w:val="000000"/>
          <w:lang w:eastAsia="bg-BG"/>
        </w:rPr>
        <w:t>Хлоазма;</w:t>
      </w:r>
    </w:p>
    <w:p w14:paraId="3FDEEDBE" w14:textId="4ECC09FA" w:rsidR="00C50FCA" w:rsidRPr="00C50FCA" w:rsidRDefault="00C50FCA" w:rsidP="00C50FCA">
      <w:pPr>
        <w:pStyle w:val="ListParagraph"/>
        <w:numPr>
          <w:ilvl w:val="0"/>
          <w:numId w:val="46"/>
        </w:numPr>
        <w:spacing w:line="240" w:lineRule="auto"/>
        <w:rPr>
          <w:rFonts w:eastAsia="Times New Roman" w:cs="Arial"/>
          <w:lang w:eastAsia="bg-BG"/>
        </w:rPr>
      </w:pPr>
      <w:r w:rsidRPr="00C50FCA">
        <w:rPr>
          <w:rFonts w:eastAsia="Times New Roman" w:cs="Arial"/>
          <w:color w:val="000000"/>
          <w:lang w:eastAsia="bg-BG"/>
        </w:rPr>
        <w:t>Остро или хронично нарушение на чернодробната функция може да наложи спиране на употребата на КОК, докато маркерите на чернодробната функция се върнат към нормалното.</w:t>
      </w:r>
    </w:p>
    <w:p w14:paraId="4633DCD3" w14:textId="77777777" w:rsidR="00C50FCA" w:rsidRPr="00C50FCA" w:rsidRDefault="00C50FCA" w:rsidP="00C50FCA">
      <w:pPr>
        <w:spacing w:line="240" w:lineRule="auto"/>
        <w:rPr>
          <w:rFonts w:eastAsia="Times New Roman" w:cs="Arial"/>
          <w:color w:val="000000"/>
          <w:lang w:eastAsia="bg-BG"/>
        </w:rPr>
      </w:pPr>
    </w:p>
    <w:p w14:paraId="66537AC5" w14:textId="2E7B2B2B" w:rsidR="00C50FCA" w:rsidRPr="00C50FCA" w:rsidRDefault="00C50FCA" w:rsidP="00C50FCA">
      <w:pPr>
        <w:spacing w:line="240" w:lineRule="auto"/>
        <w:rPr>
          <w:rFonts w:eastAsia="Times New Roman" w:cs="Arial"/>
          <w:lang w:eastAsia="bg-BG"/>
        </w:rPr>
      </w:pPr>
      <w:r w:rsidRPr="00C50FCA">
        <w:rPr>
          <w:rFonts w:eastAsia="Times New Roman" w:cs="Arial"/>
          <w:color w:val="000000"/>
          <w:lang w:eastAsia="bg-BG"/>
        </w:rPr>
        <w:t>Честотата на диагноза на рак на гърдата е много леко повишена сред приемащите КОК. Тъй като рак на гърдата се среща рядко при жени под 40 години, увеличения брой на диагноза на рак на гърдата при жени, употребяващи или употребявали КОК, е малък в сравнение с общия риск от рак на гърдата. Причинно-следствената връзка с употребата на КОК е неизвестна. За повече информация вижте точка 4.3 и точка 4.4.</w:t>
      </w:r>
    </w:p>
    <w:p w14:paraId="1EAB796D" w14:textId="77777777" w:rsidR="00C50FCA" w:rsidRPr="00C50FCA" w:rsidRDefault="00C50FCA" w:rsidP="00C50FCA">
      <w:pPr>
        <w:spacing w:line="240" w:lineRule="auto"/>
        <w:rPr>
          <w:rFonts w:eastAsia="Times New Roman" w:cs="Arial"/>
          <w:i/>
          <w:iCs/>
          <w:color w:val="000000"/>
          <w:lang w:eastAsia="bg-BG"/>
        </w:rPr>
      </w:pPr>
    </w:p>
    <w:p w14:paraId="2B99D539" w14:textId="4EAB5A13" w:rsidR="00C50FCA" w:rsidRPr="00C50FCA" w:rsidRDefault="00C50FCA" w:rsidP="00C50FCA">
      <w:pPr>
        <w:spacing w:line="240" w:lineRule="auto"/>
        <w:rPr>
          <w:rFonts w:eastAsia="Times New Roman" w:cs="Arial"/>
          <w:lang w:eastAsia="bg-BG"/>
        </w:rPr>
      </w:pPr>
      <w:r w:rsidRPr="00C50FCA">
        <w:rPr>
          <w:rFonts w:eastAsia="Times New Roman" w:cs="Arial"/>
          <w:i/>
          <w:iCs/>
          <w:color w:val="000000"/>
          <w:lang w:eastAsia="bg-BG"/>
        </w:rPr>
        <w:t>Взаимодействия</w:t>
      </w:r>
    </w:p>
    <w:p w14:paraId="4795B6A3" w14:textId="77777777" w:rsidR="00C50FCA" w:rsidRPr="00C50FCA" w:rsidRDefault="00C50FCA" w:rsidP="00C50FCA">
      <w:pPr>
        <w:spacing w:line="240" w:lineRule="auto"/>
        <w:rPr>
          <w:rFonts w:eastAsia="Times New Roman" w:cs="Arial"/>
          <w:lang w:eastAsia="bg-BG"/>
        </w:rPr>
      </w:pPr>
      <w:r w:rsidRPr="00C50FCA">
        <w:rPr>
          <w:rFonts w:eastAsia="Times New Roman" w:cs="Arial"/>
          <w:color w:val="000000"/>
          <w:lang w:eastAsia="bg-BG"/>
        </w:rPr>
        <w:t>Пробивно кървене и/или неуспешна контрацепция може да са резултат от взаимодействия на други лекарства (ензимни индуктори) с перорални контрацепгиви (вж. точка 4.5).</w:t>
      </w:r>
    </w:p>
    <w:p w14:paraId="377315E1" w14:textId="77777777" w:rsidR="00C50FCA" w:rsidRPr="00C50FCA" w:rsidRDefault="00C50FCA" w:rsidP="00C50FCA">
      <w:pPr>
        <w:spacing w:line="240" w:lineRule="auto"/>
        <w:rPr>
          <w:rFonts w:eastAsia="Times New Roman" w:cs="Arial"/>
          <w:color w:val="000000"/>
          <w:u w:val="single"/>
          <w:lang w:eastAsia="bg-BG"/>
        </w:rPr>
      </w:pPr>
    </w:p>
    <w:p w14:paraId="558C5744" w14:textId="335DFB01" w:rsidR="00C50FCA" w:rsidRPr="00C50FCA" w:rsidRDefault="00C50FCA" w:rsidP="00C50FCA">
      <w:pPr>
        <w:spacing w:line="240" w:lineRule="auto"/>
        <w:rPr>
          <w:rFonts w:eastAsia="Times New Roman" w:cs="Arial"/>
          <w:lang w:eastAsia="bg-BG"/>
        </w:rPr>
      </w:pPr>
      <w:r w:rsidRPr="00C50FCA">
        <w:rPr>
          <w:rFonts w:eastAsia="Times New Roman" w:cs="Arial"/>
          <w:color w:val="000000"/>
          <w:u w:val="single"/>
          <w:lang w:eastAsia="bg-BG"/>
        </w:rPr>
        <w:t>Съобщаване на подозирани нежелани реакции</w:t>
      </w:r>
    </w:p>
    <w:p w14:paraId="03FCB38F" w14:textId="77777777" w:rsidR="00C50FCA" w:rsidRPr="00C50FCA" w:rsidRDefault="00C50FCA" w:rsidP="00C50FCA">
      <w:pPr>
        <w:spacing w:line="240" w:lineRule="auto"/>
        <w:rPr>
          <w:rFonts w:eastAsia="Times New Roman" w:cs="Arial"/>
          <w:lang w:eastAsia="bg-BG"/>
        </w:rPr>
      </w:pPr>
      <w:r w:rsidRPr="00C50FCA">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Изпълнителната агенция по лекарствата ул. „Дамян Груев” № 8 1303 София, България Тел.: +35 928903417 уебсайт: </w:t>
      </w:r>
      <w:r w:rsidRPr="00C50FCA">
        <w:rPr>
          <w:rFonts w:eastAsia="Times New Roman" w:cs="Arial"/>
          <w:lang w:eastAsia="bg-BG"/>
        </w:rPr>
        <w:fldChar w:fldCharType="begin"/>
      </w:r>
      <w:r w:rsidRPr="00C50FCA">
        <w:rPr>
          <w:rFonts w:eastAsia="Times New Roman" w:cs="Arial"/>
          <w:lang w:eastAsia="bg-BG"/>
        </w:rPr>
        <w:instrText xml:space="preserve"> HYPERLINK "http://www.bda.bg" </w:instrText>
      </w:r>
      <w:r w:rsidRPr="00C50FCA">
        <w:rPr>
          <w:rFonts w:eastAsia="Times New Roman" w:cs="Arial"/>
          <w:lang w:eastAsia="bg-BG"/>
        </w:rPr>
      </w:r>
      <w:r w:rsidRPr="00C50FCA">
        <w:rPr>
          <w:rFonts w:eastAsia="Times New Roman" w:cs="Arial"/>
          <w:lang w:eastAsia="bg-BG"/>
        </w:rPr>
        <w:fldChar w:fldCharType="separate"/>
      </w:r>
      <w:r w:rsidRPr="00C50FCA">
        <w:rPr>
          <w:rFonts w:eastAsia="Times New Roman" w:cs="Arial"/>
          <w:color w:val="000000"/>
          <w:u w:val="single"/>
          <w:lang w:val="en-US"/>
        </w:rPr>
        <w:t>www.bda.bg</w:t>
      </w:r>
      <w:r w:rsidRPr="00C50FCA">
        <w:rPr>
          <w:rFonts w:eastAsia="Times New Roman" w:cs="Arial"/>
          <w:lang w:eastAsia="bg-BG"/>
        </w:rPr>
        <w:fldChar w:fldCharType="end"/>
      </w:r>
    </w:p>
    <w:p w14:paraId="26C6A9B0" w14:textId="77777777" w:rsidR="00C50FCA" w:rsidRPr="003125A3" w:rsidRDefault="00C50FCA" w:rsidP="003125A3"/>
    <w:p w14:paraId="378A0F20" w14:textId="4633069D" w:rsidR="001D095A" w:rsidRDefault="002C50EE" w:rsidP="00340E8D">
      <w:pPr>
        <w:pStyle w:val="Heading2"/>
      </w:pPr>
      <w:r>
        <w:t>4.9. Предозиране</w:t>
      </w:r>
    </w:p>
    <w:p w14:paraId="2E918D3A" w14:textId="20E3BBE5" w:rsidR="00C50FCA" w:rsidRDefault="00C50FCA" w:rsidP="00C50FCA"/>
    <w:p w14:paraId="5BAC0127" w14:textId="36705F53" w:rsidR="00C50FCA" w:rsidRPr="00C50FCA" w:rsidRDefault="00C50FCA" w:rsidP="00C50FCA">
      <w:pPr>
        <w:rPr>
          <w:sz w:val="24"/>
          <w:szCs w:val="24"/>
          <w:lang w:eastAsia="bg-BG"/>
        </w:rPr>
      </w:pPr>
      <w:r w:rsidRPr="00C50FCA">
        <w:rPr>
          <w:lang w:eastAsia="bg-BG"/>
        </w:rPr>
        <w:t>Няма съобщения за сериозни увреждащи ефекти при предозиране. На базата на общия опит с комбинирани перорални контрацептиви, симптомите, които обикновено могат да се появят, включват: гадене, повръщане и отпадно кървене. Отпадното кървене може да се прояви дори при момичетата преди менархе, ако случайно приемат лекарствения продукт. Няма специални антидота и последващото лечение следва да бъде симтоматично.</w:t>
      </w:r>
    </w:p>
    <w:p w14:paraId="02081B24" w14:textId="3F76A8B5" w:rsidR="00395555" w:rsidRPr="00395555" w:rsidRDefault="002C50EE" w:rsidP="008A6AF2">
      <w:pPr>
        <w:pStyle w:val="Heading1"/>
      </w:pPr>
      <w:r>
        <w:t>5. ФАРМАКОЛОГИЧНИ СВОЙСТВА</w:t>
      </w:r>
    </w:p>
    <w:p w14:paraId="7F6CC5E1" w14:textId="00E9A7E2" w:rsidR="00F62E44" w:rsidRDefault="002C50EE" w:rsidP="00387A66">
      <w:pPr>
        <w:pStyle w:val="Heading2"/>
      </w:pPr>
      <w:r>
        <w:t>5.1. Фармакодинамични свойства</w:t>
      </w:r>
    </w:p>
    <w:p w14:paraId="1EDA3922" w14:textId="34CE9163" w:rsidR="00C50FCA" w:rsidRDefault="00C50FCA" w:rsidP="00C50FCA"/>
    <w:p w14:paraId="51DD40F4" w14:textId="77777777" w:rsidR="00C50FCA" w:rsidRPr="00C50FCA" w:rsidRDefault="00C50FCA" w:rsidP="00C50FCA">
      <w:pPr>
        <w:spacing w:line="240" w:lineRule="auto"/>
        <w:rPr>
          <w:rFonts w:eastAsia="Times New Roman" w:cs="Arial"/>
          <w:sz w:val="28"/>
          <w:szCs w:val="28"/>
          <w:lang w:eastAsia="bg-BG"/>
        </w:rPr>
      </w:pPr>
      <w:r w:rsidRPr="00C50FCA">
        <w:rPr>
          <w:rFonts w:eastAsia="Times New Roman" w:cs="Arial"/>
          <w:color w:val="000000"/>
          <w:lang w:eastAsia="bg-BG"/>
        </w:rPr>
        <w:t xml:space="preserve">Фармакотерапевтична група: Полови хормони и препарати, повлияващи половата система, антиандрогени, антиандрогени и естрогени, АТС код: </w:t>
      </w:r>
      <w:r w:rsidRPr="00C50FCA">
        <w:rPr>
          <w:rFonts w:eastAsia="Times New Roman" w:cs="Arial"/>
          <w:color w:val="000000"/>
          <w:lang w:val="en-US"/>
        </w:rPr>
        <w:t>G03HB01</w:t>
      </w:r>
    </w:p>
    <w:p w14:paraId="76900A2A" w14:textId="77777777" w:rsidR="00C50FCA" w:rsidRPr="00C50FCA" w:rsidRDefault="00C50FCA" w:rsidP="00C50FCA">
      <w:pPr>
        <w:spacing w:line="240" w:lineRule="auto"/>
        <w:rPr>
          <w:rFonts w:eastAsia="Times New Roman" w:cs="Arial"/>
          <w:color w:val="000000"/>
          <w:lang w:eastAsia="bg-BG"/>
        </w:rPr>
      </w:pPr>
    </w:p>
    <w:p w14:paraId="3011AFF3" w14:textId="5012A6A6" w:rsidR="00C50FCA" w:rsidRPr="00C50FCA" w:rsidRDefault="00C50FCA" w:rsidP="00C50FCA">
      <w:pPr>
        <w:spacing w:line="240" w:lineRule="auto"/>
        <w:rPr>
          <w:rFonts w:eastAsia="Times New Roman" w:cs="Arial"/>
          <w:sz w:val="28"/>
          <w:szCs w:val="28"/>
          <w:lang w:eastAsia="bg-BG"/>
        </w:rPr>
      </w:pPr>
      <w:r w:rsidRPr="00C50FCA">
        <w:rPr>
          <w:rFonts w:eastAsia="Times New Roman" w:cs="Arial"/>
          <w:color w:val="000000"/>
          <w:lang w:eastAsia="bg-BG"/>
        </w:rPr>
        <w:lastRenderedPageBreak/>
        <w:t xml:space="preserve">Космено-мастния фоликул, състоящ се от мастна жлеза и космен фоликул, е андрогенно чувствителна част на кожата. Акне, себорея, хирзутизъм и андрогенна алопеция са клинични състояния, резултат на отклонения на този таргетен орган, които може да са причинени от повишена чувствителност или високо плазмено ниво на андрогените. Двете активни вещества, съдържащи се в Диане 35, имат благоприятен ефект върху хиперандрогенното състояние: ципротероновият ацетат е конкурентен антагонист на андрогенните рецептори, инхибира андрогенната синтеза в таргетните клетки и намалява концентрацията на андроген в кръвта чрез антигонадотропния си ефект. Антигонадотропният ефект се подсилва от етинилестрадиола, който също така увеличава синтезата на свързващия полов хормон глобулин </w:t>
      </w:r>
      <w:r w:rsidRPr="00C50FCA">
        <w:rPr>
          <w:rFonts w:eastAsia="Times New Roman" w:cs="Arial"/>
          <w:color w:val="000000"/>
          <w:lang w:val="en-US"/>
        </w:rPr>
        <w:t xml:space="preserve">(SHBG) </w:t>
      </w:r>
      <w:r w:rsidRPr="00C50FCA">
        <w:rPr>
          <w:rFonts w:eastAsia="Times New Roman" w:cs="Arial"/>
          <w:color w:val="000000"/>
          <w:lang w:eastAsia="bg-BG"/>
        </w:rPr>
        <w:t>в плазмата. С това се редуцира свободния биологично активен андроген в кръвообращението.</w:t>
      </w:r>
    </w:p>
    <w:p w14:paraId="30F66E0C" w14:textId="77777777" w:rsidR="00C50FCA" w:rsidRPr="00C50FCA" w:rsidRDefault="00C50FCA" w:rsidP="00C50FCA">
      <w:pPr>
        <w:spacing w:line="240" w:lineRule="auto"/>
        <w:rPr>
          <w:rFonts w:eastAsia="Times New Roman" w:cs="Arial"/>
          <w:color w:val="000000"/>
          <w:lang w:eastAsia="bg-BG"/>
        </w:rPr>
      </w:pPr>
    </w:p>
    <w:p w14:paraId="3197D8EA" w14:textId="0EE2E1A0" w:rsidR="00C50FCA" w:rsidRPr="00C50FCA" w:rsidRDefault="00C50FCA" w:rsidP="00C50FCA">
      <w:pPr>
        <w:spacing w:line="240" w:lineRule="auto"/>
        <w:rPr>
          <w:rFonts w:eastAsia="Times New Roman" w:cs="Arial"/>
          <w:sz w:val="28"/>
          <w:szCs w:val="28"/>
          <w:lang w:eastAsia="bg-BG"/>
        </w:rPr>
      </w:pPr>
      <w:r w:rsidRPr="00C50FCA">
        <w:rPr>
          <w:rFonts w:eastAsia="Times New Roman" w:cs="Arial"/>
          <w:color w:val="000000"/>
          <w:lang w:eastAsia="bg-BG"/>
        </w:rPr>
        <w:t xml:space="preserve">Голямо, проспективно, с 3 групи кохоргно проучване показа, че честотата на диагностициране на </w:t>
      </w:r>
      <w:r w:rsidRPr="00C50FCA">
        <w:rPr>
          <w:rFonts w:eastAsia="Times New Roman" w:cs="Arial"/>
          <w:color w:val="000000"/>
          <w:lang w:val="en-US"/>
        </w:rPr>
        <w:t xml:space="preserve">VTE </w:t>
      </w:r>
      <w:r w:rsidRPr="00C50FCA">
        <w:rPr>
          <w:rFonts w:eastAsia="Times New Roman" w:cs="Arial"/>
          <w:color w:val="000000"/>
          <w:lang w:eastAsia="bg-BG"/>
        </w:rPr>
        <w:t xml:space="preserve">варира между 8 до 10 на </w:t>
      </w:r>
      <w:r w:rsidRPr="00C50FCA">
        <w:rPr>
          <w:rFonts w:eastAsia="Times New Roman" w:cs="Arial"/>
          <w:i/>
          <w:iCs/>
          <w:color w:val="000000"/>
          <w:lang w:eastAsia="bg-BG"/>
        </w:rPr>
        <w:t>10000</w:t>
      </w:r>
      <w:r w:rsidRPr="00C50FCA">
        <w:rPr>
          <w:rFonts w:eastAsia="Times New Roman" w:cs="Arial"/>
          <w:color w:val="000000"/>
          <w:lang w:eastAsia="bg-BG"/>
        </w:rPr>
        <w:t xml:space="preserve"> жени-години при приемане на КОК с ниски дози естроген (&lt;50 етинилестрадиол). Най-новите данни показват, че честотата на диагностициране на </w:t>
      </w:r>
      <w:r w:rsidRPr="00C50FCA">
        <w:rPr>
          <w:rFonts w:eastAsia="Times New Roman" w:cs="Arial"/>
          <w:color w:val="000000"/>
          <w:lang w:val="en-US"/>
        </w:rPr>
        <w:t xml:space="preserve">VTE </w:t>
      </w:r>
      <w:r w:rsidRPr="00C50FCA">
        <w:rPr>
          <w:rFonts w:eastAsia="Times New Roman" w:cs="Arial"/>
          <w:color w:val="000000"/>
          <w:lang w:eastAsia="bg-BG"/>
        </w:rPr>
        <w:t>е приблизително 4,4 на 10000 жени-години при приемане на КОК от жени, които не са бременни и варира между 20 до 30 на 10000 жени-години при бременни жени или такива след раждане.</w:t>
      </w:r>
    </w:p>
    <w:p w14:paraId="0F8EF8C3" w14:textId="77777777" w:rsidR="00C50FCA" w:rsidRPr="00C50FCA" w:rsidRDefault="00C50FCA" w:rsidP="00C50FCA">
      <w:pPr>
        <w:spacing w:line="240" w:lineRule="auto"/>
        <w:rPr>
          <w:rFonts w:eastAsia="Times New Roman" w:cs="Arial"/>
          <w:color w:val="000000"/>
          <w:lang w:eastAsia="bg-BG"/>
        </w:rPr>
      </w:pPr>
    </w:p>
    <w:p w14:paraId="29696878" w14:textId="78E8A1AA" w:rsidR="00C50FCA" w:rsidRPr="00C50FCA" w:rsidRDefault="00C50FCA" w:rsidP="00C50FCA">
      <w:pPr>
        <w:spacing w:line="240" w:lineRule="auto"/>
        <w:rPr>
          <w:rFonts w:eastAsia="Times New Roman" w:cs="Arial"/>
          <w:sz w:val="28"/>
          <w:szCs w:val="28"/>
          <w:lang w:eastAsia="bg-BG"/>
        </w:rPr>
      </w:pPr>
      <w:r w:rsidRPr="00C50FCA">
        <w:rPr>
          <w:rFonts w:eastAsia="Times New Roman" w:cs="Arial"/>
          <w:color w:val="000000"/>
          <w:lang w:eastAsia="bg-BG"/>
        </w:rPr>
        <w:t>Лечението с Диане 35 обикновено след 3 до 4 месеца води до оздравяване на съществуващото акне. Прекомерното омазняване на косата и кожата, обикновено изчезва по-рано. Опадането на косата, което често се среща при себорея, също намалява. При жени с лека форма на хирзутизъм, особено с леко увеличено окосмяване по лицето, резултатите се получават само след няколко месечна употреба.</w:t>
      </w:r>
    </w:p>
    <w:p w14:paraId="7F8EDF44" w14:textId="77777777" w:rsidR="00C50FCA" w:rsidRPr="00C50FCA" w:rsidRDefault="00C50FCA" w:rsidP="00C50FCA">
      <w:pPr>
        <w:spacing w:line="240" w:lineRule="auto"/>
        <w:rPr>
          <w:rFonts w:eastAsia="Times New Roman" w:cs="Arial"/>
          <w:color w:val="000000"/>
          <w:lang w:eastAsia="bg-BG"/>
        </w:rPr>
      </w:pPr>
    </w:p>
    <w:p w14:paraId="4BD986CE" w14:textId="7AEA0A02" w:rsidR="00C50FCA" w:rsidRPr="00C50FCA" w:rsidRDefault="00C50FCA" w:rsidP="00C50FCA">
      <w:pPr>
        <w:spacing w:line="240" w:lineRule="auto"/>
        <w:rPr>
          <w:rFonts w:eastAsia="Times New Roman" w:cs="Arial"/>
          <w:sz w:val="28"/>
          <w:szCs w:val="28"/>
          <w:lang w:eastAsia="bg-BG"/>
        </w:rPr>
      </w:pPr>
      <w:r w:rsidRPr="00C50FCA">
        <w:rPr>
          <w:rFonts w:eastAsia="Times New Roman" w:cs="Arial"/>
          <w:color w:val="000000"/>
          <w:lang w:eastAsia="bg-BG"/>
        </w:rPr>
        <w:t>Контрацептивният ефект на Диане 35 се базира на взаимодействиго на различни фактори, най-важни от които са инхибиране на овулацията и промяна на цервикалната секреция. В допълнение към предпазване от забременяване, комбинацията естроген/прогестоген има и други положителни качества, които са независими от отрицателните (вж. точка 4.4 Специални предупреждения и предпазни мерки при употреба, точка 4.8 Нежелани лекарствени реакции). Цикълът става по-редовен, менструацията често е по-малко болезнена, с по-малка загуба на кръв. Последното води до намаляване на появата на железен дефицит.</w:t>
      </w:r>
    </w:p>
    <w:p w14:paraId="658F2868" w14:textId="77777777" w:rsidR="00C50FCA" w:rsidRPr="00C50FCA" w:rsidRDefault="00C50FCA" w:rsidP="00C50FCA">
      <w:pPr>
        <w:spacing w:line="240" w:lineRule="auto"/>
        <w:rPr>
          <w:rFonts w:eastAsia="Times New Roman" w:cs="Arial"/>
          <w:color w:val="000000"/>
          <w:u w:val="single"/>
          <w:lang w:eastAsia="bg-BG"/>
        </w:rPr>
      </w:pPr>
    </w:p>
    <w:p w14:paraId="7315640D" w14:textId="27182D50" w:rsidR="00C50FCA" w:rsidRPr="00C50FCA" w:rsidRDefault="00C50FCA" w:rsidP="00C50FCA">
      <w:pPr>
        <w:spacing w:line="240" w:lineRule="auto"/>
        <w:rPr>
          <w:rFonts w:eastAsia="Times New Roman" w:cs="Arial"/>
          <w:sz w:val="28"/>
          <w:szCs w:val="28"/>
          <w:lang w:eastAsia="bg-BG"/>
        </w:rPr>
      </w:pPr>
      <w:r w:rsidRPr="00C50FCA">
        <w:rPr>
          <w:rFonts w:eastAsia="Times New Roman" w:cs="Arial"/>
          <w:color w:val="000000"/>
          <w:u w:val="single"/>
          <w:lang w:eastAsia="bg-BG"/>
        </w:rPr>
        <w:t>Менингиом</w:t>
      </w:r>
    </w:p>
    <w:p w14:paraId="73AC659B" w14:textId="400E0F86" w:rsidR="00C50FCA" w:rsidRDefault="00C50FCA" w:rsidP="00C50FCA">
      <w:pPr>
        <w:rPr>
          <w:rFonts w:ascii="Times New Roman" w:eastAsia="Times New Roman" w:hAnsi="Times New Roman" w:cs="Times New Roman"/>
          <w:color w:val="000000"/>
          <w:sz w:val="20"/>
          <w:szCs w:val="20"/>
          <w:u w:val="single"/>
          <w:lang w:eastAsia="bg-BG"/>
        </w:rPr>
      </w:pPr>
      <w:r w:rsidRPr="00C50FCA">
        <w:rPr>
          <w:rFonts w:eastAsia="Times New Roman" w:cs="Arial"/>
          <w:color w:val="000000"/>
          <w:lang w:eastAsia="bg-BG"/>
        </w:rPr>
        <w:t xml:space="preserve">Въз основа на резултати от кохортно епидемиологично проучване, проведено във Франция, се наблюдава връзка между ципротеронов ацетат и случаи на менингиом, която е в зависимост от кумулативната доза. Това проучване е базирано на данни от френския здравноосигурителен фонд </w:t>
      </w:r>
      <w:r w:rsidRPr="00C50FCA">
        <w:rPr>
          <w:rFonts w:eastAsia="Times New Roman" w:cs="Arial"/>
          <w:color w:val="000000"/>
          <w:lang w:val="en-US"/>
        </w:rPr>
        <w:t xml:space="preserve">(CNAM) </w:t>
      </w:r>
      <w:r w:rsidRPr="00C50FCA">
        <w:rPr>
          <w:rFonts w:eastAsia="Times New Roman" w:cs="Arial"/>
          <w:color w:val="000000"/>
          <w:lang w:eastAsia="bg-BG"/>
        </w:rPr>
        <w:t xml:space="preserve">и включва популация от 253 777 жени, използващи 50 - 100 </w:t>
      </w:r>
      <w:r w:rsidRPr="00C50FCA">
        <w:rPr>
          <w:rFonts w:eastAsia="Times New Roman" w:cs="Arial"/>
          <w:color w:val="000000"/>
          <w:lang w:val="en-US"/>
        </w:rPr>
        <w:t xml:space="preserve">mg </w:t>
      </w:r>
      <w:r w:rsidRPr="00C50FCA">
        <w:rPr>
          <w:rFonts w:eastAsia="Times New Roman" w:cs="Arial"/>
          <w:color w:val="000000"/>
          <w:lang w:eastAsia="bg-BG"/>
        </w:rPr>
        <w:t xml:space="preserve">таблетки ципротерон. Случаите на менингиом, лекувани хиургично или чрез лъчелечение, са сравнени между жени с експозиция на високи дози ципротеронов ацетат (кумулативна доза ≥3 </w:t>
      </w:r>
      <w:r w:rsidRPr="00C50FCA">
        <w:rPr>
          <w:rFonts w:eastAsia="Times New Roman" w:cs="Arial"/>
          <w:color w:val="000000"/>
          <w:lang w:val="en-US"/>
        </w:rPr>
        <w:t xml:space="preserve">g) </w:t>
      </w:r>
      <w:r w:rsidRPr="00C50FCA">
        <w:rPr>
          <w:rFonts w:eastAsia="Times New Roman" w:cs="Arial"/>
          <w:color w:val="000000"/>
          <w:lang w:eastAsia="bg-BG"/>
        </w:rPr>
        <w:t xml:space="preserve">и жени, които са имали ниска експозиция на ципротеронов ацетат </w:t>
      </w:r>
      <w:r w:rsidRPr="00C50FCA">
        <w:rPr>
          <w:rFonts w:eastAsia="Times New Roman" w:cs="Arial"/>
          <w:color w:val="000000"/>
          <w:u w:val="single"/>
          <w:lang w:eastAsia="bg-BG"/>
        </w:rPr>
        <w:t xml:space="preserve">(кумулативна доза&lt;3 </w:t>
      </w:r>
      <w:r w:rsidRPr="00C50FCA">
        <w:rPr>
          <w:rFonts w:eastAsia="Times New Roman" w:cs="Arial"/>
          <w:color w:val="000000"/>
          <w:u w:val="single"/>
          <w:lang w:val="en-US"/>
        </w:rPr>
        <w:t xml:space="preserve">g). </w:t>
      </w:r>
      <w:r w:rsidRPr="00C50FCA">
        <w:rPr>
          <w:rFonts w:eastAsia="Times New Roman" w:cs="Arial"/>
          <w:color w:val="000000"/>
          <w:u w:val="single"/>
          <w:lang w:eastAsia="bg-BG"/>
        </w:rPr>
        <w:t>Демонстрирана е връзка между кумулативната доза и отговора.</w:t>
      </w:r>
    </w:p>
    <w:tbl>
      <w:tblPr>
        <w:tblStyle w:val="TableGrid"/>
        <w:tblW w:w="0" w:type="auto"/>
        <w:tblLook w:val="04A0" w:firstRow="1" w:lastRow="0" w:firstColumn="1" w:lastColumn="0" w:noHBand="0" w:noVBand="1"/>
      </w:tblPr>
      <w:tblGrid>
        <w:gridCol w:w="3121"/>
        <w:gridCol w:w="3125"/>
        <w:gridCol w:w="3104"/>
      </w:tblGrid>
      <w:tr w:rsidR="00C50FCA" w14:paraId="41B091E2" w14:textId="77777777" w:rsidTr="00C50FCA">
        <w:tc>
          <w:tcPr>
            <w:tcW w:w="3166" w:type="dxa"/>
          </w:tcPr>
          <w:p w14:paraId="3B862835" w14:textId="45228717" w:rsidR="00C50FCA" w:rsidRPr="00C50FCA" w:rsidRDefault="00C50FCA" w:rsidP="00C50FCA">
            <w:r w:rsidRPr="00C50FCA">
              <w:rPr>
                <w:b/>
                <w:bCs/>
              </w:rPr>
              <w:t>Кумулативна доза ципротеронов ацетат</w:t>
            </w:r>
          </w:p>
        </w:tc>
        <w:tc>
          <w:tcPr>
            <w:tcW w:w="3167" w:type="dxa"/>
          </w:tcPr>
          <w:p w14:paraId="24C14755" w14:textId="58A54D87" w:rsidR="00C50FCA" w:rsidRPr="00C50FCA" w:rsidRDefault="00C50FCA" w:rsidP="00C50FCA">
            <w:r w:rsidRPr="00C50FCA">
              <w:rPr>
                <w:b/>
                <w:bCs/>
              </w:rPr>
              <w:t>Честота на заболеваемост (в пациент-години)</w:t>
            </w:r>
          </w:p>
        </w:tc>
        <w:tc>
          <w:tcPr>
            <w:tcW w:w="3167" w:type="dxa"/>
          </w:tcPr>
          <w:p w14:paraId="25DA45B2" w14:textId="589C1B85" w:rsidR="00C50FCA" w:rsidRPr="00C50FCA" w:rsidRDefault="00C50FCA" w:rsidP="00C50FCA">
            <w:proofErr w:type="spellStart"/>
            <w:r w:rsidRPr="00C50FCA">
              <w:rPr>
                <w:b/>
                <w:bCs/>
                <w:lang w:val="en-US"/>
              </w:rPr>
              <w:t>HR</w:t>
            </w:r>
            <w:r w:rsidRPr="00C50FCA">
              <w:rPr>
                <w:b/>
                <w:bCs/>
                <w:vertAlign w:val="subscript"/>
                <w:lang w:val="en-US"/>
              </w:rPr>
              <w:t>adj</w:t>
            </w:r>
            <w:proofErr w:type="spellEnd"/>
            <w:r w:rsidRPr="00C50FCA">
              <w:rPr>
                <w:b/>
                <w:bCs/>
                <w:lang w:val="en-US"/>
              </w:rPr>
              <w:t xml:space="preserve"> </w:t>
            </w:r>
            <w:r w:rsidRPr="00C50FCA">
              <w:rPr>
                <w:b/>
                <w:bCs/>
              </w:rPr>
              <w:t xml:space="preserve">(95% </w:t>
            </w:r>
            <w:proofErr w:type="gramStart"/>
            <w:r w:rsidRPr="00C50FCA">
              <w:rPr>
                <w:b/>
                <w:bCs/>
                <w:lang w:val="en-US"/>
              </w:rPr>
              <w:t>CI)</w:t>
            </w:r>
            <w:r w:rsidRPr="00C50FCA">
              <w:rPr>
                <w:b/>
                <w:bCs/>
                <w:vertAlign w:val="superscript"/>
              </w:rPr>
              <w:t>а</w:t>
            </w:r>
            <w:proofErr w:type="gramEnd"/>
          </w:p>
        </w:tc>
      </w:tr>
      <w:tr w:rsidR="00C50FCA" w14:paraId="25F5CD57" w14:textId="77777777" w:rsidTr="00C50FCA">
        <w:tc>
          <w:tcPr>
            <w:tcW w:w="3166" w:type="dxa"/>
          </w:tcPr>
          <w:p w14:paraId="2DD96B3C" w14:textId="77D8913C" w:rsidR="00C50FCA" w:rsidRPr="00C50FCA" w:rsidRDefault="00C50FCA" w:rsidP="00C50FCA">
            <w:r w:rsidRPr="00C50FCA">
              <w:t xml:space="preserve">Ниска експозиция (&lt;3 </w:t>
            </w:r>
            <w:r w:rsidRPr="00C50FCA">
              <w:rPr>
                <w:lang w:val="en-US"/>
              </w:rPr>
              <w:t>g)</w:t>
            </w:r>
          </w:p>
        </w:tc>
        <w:tc>
          <w:tcPr>
            <w:tcW w:w="3167" w:type="dxa"/>
          </w:tcPr>
          <w:p w14:paraId="08F3B85D" w14:textId="4A48956B" w:rsidR="00C50FCA" w:rsidRPr="00C50FCA" w:rsidRDefault="00C50FCA" w:rsidP="00C50FCA">
            <w:r w:rsidRPr="00C50FCA">
              <w:t>4,5/100 000</w:t>
            </w:r>
          </w:p>
        </w:tc>
        <w:tc>
          <w:tcPr>
            <w:tcW w:w="3167" w:type="dxa"/>
          </w:tcPr>
          <w:p w14:paraId="08F479EA" w14:textId="5D9915FE" w:rsidR="00C50FCA" w:rsidRPr="00C50FCA" w:rsidRDefault="00C50FCA" w:rsidP="00C50FCA">
            <w:r w:rsidRPr="00C50FCA">
              <w:rPr>
                <w:lang w:val="en-US"/>
              </w:rPr>
              <w:t>Ref.</w:t>
            </w:r>
          </w:p>
        </w:tc>
      </w:tr>
      <w:tr w:rsidR="00C50FCA" w14:paraId="659091B7" w14:textId="77777777" w:rsidTr="00C50FCA">
        <w:tc>
          <w:tcPr>
            <w:tcW w:w="3166" w:type="dxa"/>
          </w:tcPr>
          <w:p w14:paraId="61D35972" w14:textId="1429AC10" w:rsidR="00C50FCA" w:rsidRPr="00C50FCA" w:rsidRDefault="00C50FCA" w:rsidP="00C50FCA">
            <w:r w:rsidRPr="00C50FCA">
              <w:t xml:space="preserve">Експозиция ≥3 </w:t>
            </w:r>
            <w:r w:rsidRPr="00C50FCA">
              <w:rPr>
                <w:lang w:val="en-US"/>
              </w:rPr>
              <w:t>g</w:t>
            </w:r>
          </w:p>
        </w:tc>
        <w:tc>
          <w:tcPr>
            <w:tcW w:w="3167" w:type="dxa"/>
          </w:tcPr>
          <w:p w14:paraId="041B5843" w14:textId="1DBAAEB1" w:rsidR="00C50FCA" w:rsidRPr="00C50FCA" w:rsidRDefault="00C50FCA" w:rsidP="00C50FCA">
            <w:r w:rsidRPr="00C50FCA">
              <w:t>23,8/100 000</w:t>
            </w:r>
          </w:p>
        </w:tc>
        <w:tc>
          <w:tcPr>
            <w:tcW w:w="3167" w:type="dxa"/>
          </w:tcPr>
          <w:p w14:paraId="2815C0C2" w14:textId="1DCC7DB7" w:rsidR="00C50FCA" w:rsidRPr="00C50FCA" w:rsidRDefault="00C50FCA" w:rsidP="00C50FCA">
            <w:r w:rsidRPr="00C50FCA">
              <w:t>6,6(4,0-11,1]</w:t>
            </w:r>
          </w:p>
        </w:tc>
      </w:tr>
      <w:tr w:rsidR="00C50FCA" w14:paraId="5A60AB93" w14:textId="77777777" w:rsidTr="00C50FCA">
        <w:tc>
          <w:tcPr>
            <w:tcW w:w="3166" w:type="dxa"/>
          </w:tcPr>
          <w:p w14:paraId="7632FF01" w14:textId="48FF9EE9" w:rsidR="00C50FCA" w:rsidRPr="00C50FCA" w:rsidRDefault="00C50FCA" w:rsidP="00C50FCA">
            <w:r w:rsidRPr="00C50FCA">
              <w:t xml:space="preserve">12 до 36 </w:t>
            </w:r>
            <w:r w:rsidRPr="00C50FCA">
              <w:rPr>
                <w:lang w:val="en-US"/>
              </w:rPr>
              <w:t>g</w:t>
            </w:r>
          </w:p>
        </w:tc>
        <w:tc>
          <w:tcPr>
            <w:tcW w:w="3167" w:type="dxa"/>
          </w:tcPr>
          <w:p w14:paraId="1D6DCE4A" w14:textId="11802AC9" w:rsidR="00C50FCA" w:rsidRPr="00C50FCA" w:rsidRDefault="00C50FCA" w:rsidP="00C50FCA">
            <w:r w:rsidRPr="00C50FCA">
              <w:t>26/100 000</w:t>
            </w:r>
          </w:p>
        </w:tc>
        <w:tc>
          <w:tcPr>
            <w:tcW w:w="3167" w:type="dxa"/>
          </w:tcPr>
          <w:p w14:paraId="188FA95A" w14:textId="7CF62833" w:rsidR="00C50FCA" w:rsidRPr="00C50FCA" w:rsidRDefault="00C50FCA" w:rsidP="00C50FCA">
            <w:r w:rsidRPr="00C50FCA">
              <w:t>6,4(3,6-11,5]</w:t>
            </w:r>
          </w:p>
        </w:tc>
      </w:tr>
      <w:tr w:rsidR="00C50FCA" w14:paraId="5E8E56F3" w14:textId="77777777" w:rsidTr="00C50FCA">
        <w:tc>
          <w:tcPr>
            <w:tcW w:w="3166" w:type="dxa"/>
          </w:tcPr>
          <w:p w14:paraId="49A303FD" w14:textId="0A711BCD" w:rsidR="00C50FCA" w:rsidRPr="00C50FCA" w:rsidRDefault="00C50FCA" w:rsidP="00C50FCA">
            <w:r w:rsidRPr="00C50FCA">
              <w:t xml:space="preserve">36 до 60 </w:t>
            </w:r>
            <w:r w:rsidRPr="00C50FCA">
              <w:rPr>
                <w:lang w:val="en-US"/>
              </w:rPr>
              <w:t>g</w:t>
            </w:r>
          </w:p>
        </w:tc>
        <w:tc>
          <w:tcPr>
            <w:tcW w:w="3167" w:type="dxa"/>
          </w:tcPr>
          <w:p w14:paraId="0DDCD5BB" w14:textId="304430E9" w:rsidR="00C50FCA" w:rsidRPr="00C50FCA" w:rsidRDefault="00C50FCA" w:rsidP="00C50FCA">
            <w:r w:rsidRPr="00C50FCA">
              <w:t>54,4/100 000</w:t>
            </w:r>
          </w:p>
        </w:tc>
        <w:tc>
          <w:tcPr>
            <w:tcW w:w="3167" w:type="dxa"/>
          </w:tcPr>
          <w:p w14:paraId="6C003216" w14:textId="43151F47" w:rsidR="00C50FCA" w:rsidRPr="00C50FCA" w:rsidRDefault="00C50FCA" w:rsidP="00C50FCA">
            <w:r w:rsidRPr="00C50FCA">
              <w:t>11,3 [5,8-22,2]</w:t>
            </w:r>
          </w:p>
        </w:tc>
      </w:tr>
      <w:tr w:rsidR="00C50FCA" w14:paraId="6E0ABB0D" w14:textId="77777777" w:rsidTr="00C50FCA">
        <w:tc>
          <w:tcPr>
            <w:tcW w:w="3166" w:type="dxa"/>
          </w:tcPr>
          <w:p w14:paraId="15AA83EB" w14:textId="1C5DCF52" w:rsidR="00C50FCA" w:rsidRPr="00C50FCA" w:rsidRDefault="00C50FCA" w:rsidP="00C50FCA">
            <w:r w:rsidRPr="00C50FCA">
              <w:lastRenderedPageBreak/>
              <w:t xml:space="preserve">повече от 60 </w:t>
            </w:r>
            <w:r w:rsidRPr="00C50FCA">
              <w:rPr>
                <w:lang w:val="en-US"/>
              </w:rPr>
              <w:t>g</w:t>
            </w:r>
          </w:p>
        </w:tc>
        <w:tc>
          <w:tcPr>
            <w:tcW w:w="3167" w:type="dxa"/>
          </w:tcPr>
          <w:p w14:paraId="49938777" w14:textId="55E73F2D" w:rsidR="00C50FCA" w:rsidRPr="00C50FCA" w:rsidRDefault="00C50FCA" w:rsidP="00C50FCA">
            <w:r w:rsidRPr="00C50FCA">
              <w:t>129,1/100 000</w:t>
            </w:r>
          </w:p>
        </w:tc>
        <w:tc>
          <w:tcPr>
            <w:tcW w:w="3167" w:type="dxa"/>
          </w:tcPr>
          <w:p w14:paraId="3BC0C9CE" w14:textId="236F78A4" w:rsidR="00C50FCA" w:rsidRPr="00C50FCA" w:rsidRDefault="00C50FCA" w:rsidP="00C50FCA">
            <w:r w:rsidRPr="00C50FCA">
              <w:t>21,7(10,8-43,5]</w:t>
            </w:r>
          </w:p>
        </w:tc>
      </w:tr>
    </w:tbl>
    <w:p w14:paraId="10DDF7F3" w14:textId="7CF694EC" w:rsidR="00C50FCA" w:rsidRPr="00C50FCA" w:rsidRDefault="00C50FCA" w:rsidP="00C50FCA">
      <w:pPr>
        <w:rPr>
          <w:sz w:val="24"/>
          <w:szCs w:val="24"/>
          <w:lang w:eastAsia="bg-BG"/>
        </w:rPr>
      </w:pPr>
      <w:r w:rsidRPr="00C50FCA">
        <w:rPr>
          <w:vertAlign w:val="superscript"/>
          <w:lang w:eastAsia="bg-BG"/>
        </w:rPr>
        <w:t>а</w:t>
      </w:r>
      <w:r w:rsidRPr="00C50FCA">
        <w:rPr>
          <w:lang w:eastAsia="bg-BG"/>
        </w:rPr>
        <w:t>Коригирана въз основа на възрастта, като зависима от времето променлива и наличието на естроген при включване</w:t>
      </w:r>
    </w:p>
    <w:p w14:paraId="2E7DD263" w14:textId="77777777" w:rsidR="00C50FCA" w:rsidRPr="00C50FCA" w:rsidRDefault="00C50FCA" w:rsidP="00C50FCA">
      <w:pPr>
        <w:rPr>
          <w:sz w:val="24"/>
          <w:szCs w:val="24"/>
          <w:lang w:eastAsia="bg-BG"/>
        </w:rPr>
      </w:pPr>
      <w:r w:rsidRPr="00C50FCA">
        <w:rPr>
          <w:lang w:eastAsia="bg-BG"/>
        </w:rPr>
        <w:t xml:space="preserve">Кумулативна доза 12 </w:t>
      </w:r>
      <w:r w:rsidRPr="00C50FCA">
        <w:rPr>
          <w:lang w:val="en-US"/>
        </w:rPr>
        <w:t xml:space="preserve">g </w:t>
      </w:r>
      <w:r w:rsidRPr="00C50FCA">
        <w:rPr>
          <w:lang w:eastAsia="bg-BG"/>
        </w:rPr>
        <w:t xml:space="preserve">например може да отговаря на една година лечение с 50 </w:t>
      </w:r>
      <w:r w:rsidRPr="00C50FCA">
        <w:rPr>
          <w:lang w:val="en-US"/>
        </w:rPr>
        <w:t>mg</w:t>
      </w:r>
      <w:r w:rsidRPr="00C50FCA">
        <w:rPr>
          <w:lang w:eastAsia="bg-BG"/>
        </w:rPr>
        <w:t>/ден за 20 дни всеки месец.</w:t>
      </w:r>
    </w:p>
    <w:p w14:paraId="7676572D" w14:textId="77777777" w:rsidR="00C50FCA" w:rsidRPr="00C50FCA" w:rsidRDefault="00C50FCA" w:rsidP="00C50FCA"/>
    <w:p w14:paraId="544FFDAF" w14:textId="1ABC2F6D" w:rsidR="00F62E44" w:rsidRDefault="002C50EE" w:rsidP="00387A66">
      <w:pPr>
        <w:pStyle w:val="Heading2"/>
      </w:pPr>
      <w:r>
        <w:t>5.2. Фармакокинетични свойства</w:t>
      </w:r>
    </w:p>
    <w:p w14:paraId="40742EA8" w14:textId="442EB680" w:rsidR="00C50FCA" w:rsidRDefault="00C50FCA" w:rsidP="00C50FCA"/>
    <w:p w14:paraId="548D8F2F" w14:textId="77777777" w:rsidR="00C50FCA" w:rsidRPr="00C50FCA" w:rsidRDefault="00C50FCA" w:rsidP="00C50FCA">
      <w:pPr>
        <w:spacing w:line="240" w:lineRule="auto"/>
        <w:rPr>
          <w:rFonts w:eastAsia="Times New Roman" w:cs="Arial"/>
          <w:sz w:val="28"/>
          <w:szCs w:val="28"/>
          <w:lang w:eastAsia="bg-BG"/>
        </w:rPr>
      </w:pPr>
      <w:r w:rsidRPr="00C50FCA">
        <w:rPr>
          <w:rFonts w:eastAsia="Times New Roman" w:cs="Arial"/>
          <w:i/>
          <w:iCs/>
          <w:color w:val="000000"/>
          <w:lang w:eastAsia="bg-BG"/>
        </w:rPr>
        <w:t>Ципротеронов ацетат</w:t>
      </w:r>
    </w:p>
    <w:p w14:paraId="2C53890E" w14:textId="77777777" w:rsidR="00C50FCA" w:rsidRPr="00C50FCA" w:rsidRDefault="00C50FCA" w:rsidP="00C50FCA">
      <w:pPr>
        <w:spacing w:line="240" w:lineRule="auto"/>
        <w:rPr>
          <w:rFonts w:eastAsia="Times New Roman" w:cs="Arial"/>
          <w:color w:val="000000"/>
          <w:u w:val="single"/>
          <w:lang w:eastAsia="bg-BG"/>
        </w:rPr>
      </w:pPr>
    </w:p>
    <w:p w14:paraId="55BAE95F" w14:textId="78C157D5" w:rsidR="00C50FCA" w:rsidRPr="00C50FCA" w:rsidRDefault="00C50FCA" w:rsidP="00C50FCA">
      <w:pPr>
        <w:spacing w:line="240" w:lineRule="auto"/>
        <w:rPr>
          <w:rFonts w:eastAsia="Times New Roman" w:cs="Arial"/>
          <w:sz w:val="28"/>
          <w:szCs w:val="28"/>
          <w:lang w:eastAsia="bg-BG"/>
        </w:rPr>
      </w:pPr>
      <w:r w:rsidRPr="00C50FCA">
        <w:rPr>
          <w:rFonts w:eastAsia="Times New Roman" w:cs="Arial"/>
          <w:color w:val="000000"/>
          <w:u w:val="single"/>
          <w:lang w:eastAsia="bg-BG"/>
        </w:rPr>
        <w:t>Абсорбция</w:t>
      </w:r>
    </w:p>
    <w:p w14:paraId="7E97BF8B" w14:textId="77777777" w:rsidR="00C50FCA" w:rsidRPr="00C50FCA" w:rsidRDefault="00C50FCA" w:rsidP="00C50FCA">
      <w:pPr>
        <w:spacing w:line="240" w:lineRule="auto"/>
        <w:rPr>
          <w:rFonts w:eastAsia="Times New Roman" w:cs="Arial"/>
          <w:sz w:val="28"/>
          <w:szCs w:val="28"/>
          <w:lang w:eastAsia="bg-BG"/>
        </w:rPr>
      </w:pPr>
      <w:r w:rsidRPr="00C50FCA">
        <w:rPr>
          <w:rFonts w:eastAsia="Times New Roman" w:cs="Arial"/>
          <w:color w:val="000000"/>
          <w:lang w:eastAsia="bg-BG"/>
        </w:rPr>
        <w:t xml:space="preserve">След перорално приложение, абсорбцията на ципротеронов ацетат е бърза и пълна. Максимална серумна концентрация от 15 </w:t>
      </w:r>
      <w:r w:rsidRPr="00C50FCA">
        <w:rPr>
          <w:rFonts w:eastAsia="Times New Roman" w:cs="Arial"/>
          <w:color w:val="000000"/>
          <w:lang w:val="en-US"/>
        </w:rPr>
        <w:t xml:space="preserve">ng/ml </w:t>
      </w:r>
      <w:r w:rsidRPr="00C50FCA">
        <w:rPr>
          <w:rFonts w:eastAsia="Times New Roman" w:cs="Arial"/>
          <w:color w:val="000000"/>
          <w:lang w:eastAsia="bg-BG"/>
        </w:rPr>
        <w:t>се достига след единичен прием за 1,6 часа. Бионаличностга е около 88 %.</w:t>
      </w:r>
    </w:p>
    <w:p w14:paraId="5B86E485" w14:textId="77777777" w:rsidR="00C50FCA" w:rsidRPr="00C50FCA" w:rsidRDefault="00C50FCA" w:rsidP="00C50FCA">
      <w:pPr>
        <w:spacing w:line="240" w:lineRule="auto"/>
        <w:rPr>
          <w:rFonts w:eastAsia="Times New Roman" w:cs="Arial"/>
          <w:color w:val="000000"/>
          <w:u w:val="single"/>
          <w:lang w:eastAsia="bg-BG"/>
        </w:rPr>
      </w:pPr>
    </w:p>
    <w:p w14:paraId="1E9C3621" w14:textId="4A989B34" w:rsidR="00C50FCA" w:rsidRPr="00C50FCA" w:rsidRDefault="00C50FCA" w:rsidP="00C50FCA">
      <w:pPr>
        <w:spacing w:line="240" w:lineRule="auto"/>
        <w:rPr>
          <w:rFonts w:eastAsia="Times New Roman" w:cs="Arial"/>
          <w:sz w:val="28"/>
          <w:szCs w:val="28"/>
          <w:lang w:eastAsia="bg-BG"/>
        </w:rPr>
      </w:pPr>
      <w:r w:rsidRPr="00C50FCA">
        <w:rPr>
          <w:rFonts w:eastAsia="Times New Roman" w:cs="Arial"/>
          <w:color w:val="000000"/>
          <w:u w:val="single"/>
          <w:lang w:eastAsia="bg-BG"/>
        </w:rPr>
        <w:t>Разпределение</w:t>
      </w:r>
    </w:p>
    <w:p w14:paraId="69D54290" w14:textId="77777777" w:rsidR="00C50FCA" w:rsidRPr="00C50FCA" w:rsidRDefault="00C50FCA" w:rsidP="00C50FCA">
      <w:pPr>
        <w:spacing w:line="240" w:lineRule="auto"/>
        <w:rPr>
          <w:rFonts w:eastAsia="Times New Roman" w:cs="Arial"/>
          <w:sz w:val="28"/>
          <w:szCs w:val="28"/>
          <w:lang w:eastAsia="bg-BG"/>
        </w:rPr>
      </w:pPr>
      <w:r w:rsidRPr="00C50FCA">
        <w:rPr>
          <w:rFonts w:eastAsia="Times New Roman" w:cs="Arial"/>
          <w:color w:val="000000"/>
          <w:lang w:eastAsia="bg-BG"/>
        </w:rPr>
        <w:t xml:space="preserve">Ципротеронов ацетат е почти изцяло свързан със серумния албумин. Само 3,5-4,0 % от общата серумна концентрация е представена като свободен стероид. Предизвиканото от етинилестрадиол увеличение на </w:t>
      </w:r>
      <w:r w:rsidRPr="00C50FCA">
        <w:rPr>
          <w:rFonts w:eastAsia="Times New Roman" w:cs="Arial"/>
          <w:color w:val="000000"/>
          <w:lang w:val="en-US"/>
        </w:rPr>
        <w:t xml:space="preserve">SHBG </w:t>
      </w:r>
      <w:r w:rsidRPr="00C50FCA">
        <w:rPr>
          <w:rFonts w:eastAsia="Times New Roman" w:cs="Arial"/>
          <w:color w:val="000000"/>
          <w:lang w:eastAsia="bg-BG"/>
        </w:rPr>
        <w:t>не влияе върху серумното протеинно свързване на ципротеронов ацетат. Истинският обем на разпределение на ципротеронов ацетат е около 986 ±4371.</w:t>
      </w:r>
    </w:p>
    <w:p w14:paraId="5703DF41" w14:textId="77777777" w:rsidR="00C50FCA" w:rsidRPr="00C50FCA" w:rsidRDefault="00C50FCA" w:rsidP="00C50FCA">
      <w:pPr>
        <w:spacing w:line="240" w:lineRule="auto"/>
        <w:rPr>
          <w:rFonts w:eastAsia="Times New Roman" w:cs="Arial"/>
          <w:color w:val="000000"/>
          <w:u w:val="single"/>
          <w:lang w:eastAsia="bg-BG"/>
        </w:rPr>
      </w:pPr>
    </w:p>
    <w:p w14:paraId="35677F75" w14:textId="1BBDAF89" w:rsidR="00C50FCA" w:rsidRPr="00C50FCA" w:rsidRDefault="00C50FCA" w:rsidP="00C50FCA">
      <w:pPr>
        <w:spacing w:line="240" w:lineRule="auto"/>
        <w:rPr>
          <w:rFonts w:eastAsia="Times New Roman" w:cs="Arial"/>
          <w:sz w:val="28"/>
          <w:szCs w:val="28"/>
          <w:lang w:eastAsia="bg-BG"/>
        </w:rPr>
      </w:pPr>
      <w:r w:rsidRPr="00C50FCA">
        <w:rPr>
          <w:rFonts w:eastAsia="Times New Roman" w:cs="Arial"/>
          <w:color w:val="000000"/>
          <w:u w:val="single"/>
          <w:lang w:eastAsia="bg-BG"/>
        </w:rPr>
        <w:t>Биотрансформация</w:t>
      </w:r>
    </w:p>
    <w:p w14:paraId="5E91699E" w14:textId="77777777" w:rsidR="00C50FCA" w:rsidRPr="00C50FCA" w:rsidRDefault="00C50FCA" w:rsidP="00C50FCA">
      <w:pPr>
        <w:spacing w:line="240" w:lineRule="auto"/>
        <w:rPr>
          <w:rFonts w:eastAsia="Times New Roman" w:cs="Arial"/>
          <w:sz w:val="28"/>
          <w:szCs w:val="28"/>
          <w:lang w:eastAsia="bg-BG"/>
        </w:rPr>
      </w:pPr>
      <w:r w:rsidRPr="00C50FCA">
        <w:rPr>
          <w:rFonts w:eastAsia="Times New Roman" w:cs="Arial"/>
          <w:color w:val="000000"/>
          <w:lang w:eastAsia="bg-BG"/>
        </w:rPr>
        <w:t xml:space="preserve">Ципротеронов ацетат се метаболизира почти напълно. Основният метаболит в плазмата е дефиниран като 15А-ОН-СРА, който се образува чрез цитохром Р450 ензим </w:t>
      </w:r>
      <w:r w:rsidRPr="00C50FCA">
        <w:rPr>
          <w:rFonts w:eastAsia="Times New Roman" w:cs="Arial"/>
          <w:color w:val="000000"/>
          <w:lang w:val="en-US"/>
        </w:rPr>
        <w:t xml:space="preserve">CYP3A4. </w:t>
      </w:r>
      <w:r w:rsidRPr="00C50FCA">
        <w:rPr>
          <w:rFonts w:eastAsia="Times New Roman" w:cs="Arial"/>
          <w:color w:val="000000"/>
          <w:lang w:eastAsia="bg-BG"/>
        </w:rPr>
        <w:t xml:space="preserve">Нивото на клирънса в серума е около 3,6 </w:t>
      </w:r>
      <w:r w:rsidRPr="00C50FCA">
        <w:rPr>
          <w:rFonts w:eastAsia="Times New Roman" w:cs="Arial"/>
          <w:color w:val="000000"/>
          <w:lang w:val="en-US"/>
        </w:rPr>
        <w:t>ml/min/kg.</w:t>
      </w:r>
    </w:p>
    <w:p w14:paraId="626A01E4" w14:textId="77777777" w:rsidR="00C50FCA" w:rsidRPr="00C50FCA" w:rsidRDefault="00C50FCA" w:rsidP="00C50FCA">
      <w:pPr>
        <w:spacing w:line="240" w:lineRule="auto"/>
        <w:rPr>
          <w:rFonts w:eastAsia="Times New Roman" w:cs="Arial"/>
          <w:color w:val="000000"/>
          <w:u w:val="single"/>
          <w:lang w:eastAsia="bg-BG"/>
        </w:rPr>
      </w:pPr>
    </w:p>
    <w:p w14:paraId="0B8DC27F" w14:textId="60F998DB" w:rsidR="00C50FCA" w:rsidRPr="00C50FCA" w:rsidRDefault="00C50FCA" w:rsidP="00C50FCA">
      <w:pPr>
        <w:spacing w:line="240" w:lineRule="auto"/>
        <w:rPr>
          <w:rFonts w:eastAsia="Times New Roman" w:cs="Arial"/>
          <w:sz w:val="28"/>
          <w:szCs w:val="28"/>
          <w:lang w:eastAsia="bg-BG"/>
        </w:rPr>
      </w:pPr>
      <w:r w:rsidRPr="00C50FCA">
        <w:rPr>
          <w:rFonts w:eastAsia="Times New Roman" w:cs="Arial"/>
          <w:color w:val="000000"/>
          <w:u w:val="single"/>
          <w:lang w:eastAsia="bg-BG"/>
        </w:rPr>
        <w:t>Едиминиране</w:t>
      </w:r>
    </w:p>
    <w:p w14:paraId="586B2B6C" w14:textId="77777777" w:rsidR="00C50FCA" w:rsidRPr="00C50FCA" w:rsidRDefault="00C50FCA" w:rsidP="00C50FCA">
      <w:pPr>
        <w:spacing w:line="240" w:lineRule="auto"/>
        <w:rPr>
          <w:rFonts w:eastAsia="Times New Roman" w:cs="Arial"/>
          <w:sz w:val="28"/>
          <w:szCs w:val="28"/>
          <w:lang w:eastAsia="bg-BG"/>
        </w:rPr>
      </w:pPr>
      <w:r w:rsidRPr="00C50FCA">
        <w:rPr>
          <w:rFonts w:eastAsia="Times New Roman" w:cs="Arial"/>
          <w:color w:val="000000"/>
          <w:lang w:eastAsia="bg-BG"/>
        </w:rPr>
        <w:t xml:space="preserve">Серумните нива на ципротеронов ацетат намаляват в две фази, което е характерно за полуживот от около 0,8 </w:t>
      </w:r>
      <w:r w:rsidRPr="00C50FCA">
        <w:rPr>
          <w:rFonts w:eastAsia="Times New Roman" w:cs="Arial"/>
          <w:color w:val="000000"/>
          <w:lang w:val="en-US"/>
        </w:rPr>
        <w:t xml:space="preserve">h </w:t>
      </w:r>
      <w:r w:rsidRPr="00C50FCA">
        <w:rPr>
          <w:rFonts w:eastAsia="Times New Roman" w:cs="Arial"/>
          <w:color w:val="000000"/>
          <w:lang w:eastAsia="bg-BG"/>
        </w:rPr>
        <w:t>и около 2,3 - 3,3 дни. Ципротеронов ацетат частично се екскретира в непроменена форма. Неговите матаболити се ексретират в уринарно/билиарно съотношение от около 1:2. Полуживотьт на метаболитната екскреция е около 1,8 дни.</w:t>
      </w:r>
    </w:p>
    <w:p w14:paraId="40E6BF76" w14:textId="77777777" w:rsidR="00C50FCA" w:rsidRPr="00C50FCA" w:rsidRDefault="00C50FCA" w:rsidP="00C50FCA">
      <w:pPr>
        <w:spacing w:line="240" w:lineRule="auto"/>
        <w:rPr>
          <w:rFonts w:eastAsia="Times New Roman" w:cs="Arial"/>
          <w:color w:val="000000"/>
          <w:u w:val="single"/>
          <w:lang w:eastAsia="bg-BG"/>
        </w:rPr>
      </w:pPr>
    </w:p>
    <w:p w14:paraId="226DAB4C" w14:textId="17D77D18" w:rsidR="00C50FCA" w:rsidRPr="00C50FCA" w:rsidRDefault="00C50FCA" w:rsidP="00C50FCA">
      <w:pPr>
        <w:spacing w:line="240" w:lineRule="auto"/>
        <w:rPr>
          <w:rFonts w:eastAsia="Times New Roman" w:cs="Arial"/>
          <w:sz w:val="28"/>
          <w:szCs w:val="28"/>
          <w:lang w:eastAsia="bg-BG"/>
        </w:rPr>
      </w:pPr>
      <w:r w:rsidRPr="00C50FCA">
        <w:rPr>
          <w:rFonts w:eastAsia="Times New Roman" w:cs="Arial"/>
          <w:color w:val="000000"/>
          <w:u w:val="single"/>
          <w:lang w:eastAsia="bg-BG"/>
        </w:rPr>
        <w:t>Състояние на стабилност</w:t>
      </w:r>
    </w:p>
    <w:p w14:paraId="64514D03" w14:textId="77777777" w:rsidR="00C50FCA" w:rsidRPr="00C50FCA" w:rsidRDefault="00C50FCA" w:rsidP="00C50FCA">
      <w:pPr>
        <w:spacing w:line="240" w:lineRule="auto"/>
        <w:rPr>
          <w:rFonts w:eastAsia="Times New Roman" w:cs="Arial"/>
          <w:sz w:val="28"/>
          <w:szCs w:val="28"/>
          <w:lang w:eastAsia="bg-BG"/>
        </w:rPr>
      </w:pPr>
      <w:r w:rsidRPr="00C50FCA">
        <w:rPr>
          <w:rFonts w:eastAsia="Times New Roman" w:cs="Arial"/>
          <w:color w:val="000000"/>
          <w:lang w:eastAsia="bg-BG"/>
        </w:rPr>
        <w:t xml:space="preserve">Фармакокинетиката на ципротеронов ацетат не се влияе от нивата на </w:t>
      </w:r>
      <w:r w:rsidRPr="00C50FCA">
        <w:rPr>
          <w:rFonts w:eastAsia="Times New Roman" w:cs="Arial"/>
          <w:color w:val="000000"/>
          <w:lang w:val="en-US"/>
        </w:rPr>
        <w:t xml:space="preserve">SHBG. </w:t>
      </w:r>
      <w:r w:rsidRPr="00C50FCA">
        <w:rPr>
          <w:rFonts w:eastAsia="Times New Roman" w:cs="Arial"/>
          <w:color w:val="000000"/>
          <w:lang w:eastAsia="bg-BG"/>
        </w:rPr>
        <w:t>В резултат на ежедневния прием серумните нива на лекарството се увеличават около 2,5 пъти достигайки състояние на стабилност по време на втората половина от цикъла.</w:t>
      </w:r>
    </w:p>
    <w:p w14:paraId="4CBB6627" w14:textId="77777777" w:rsidR="00C50FCA" w:rsidRPr="00C50FCA" w:rsidRDefault="00C50FCA" w:rsidP="00C50FCA">
      <w:pPr>
        <w:spacing w:line="240" w:lineRule="auto"/>
        <w:rPr>
          <w:rFonts w:eastAsia="Times New Roman" w:cs="Arial"/>
          <w:i/>
          <w:iCs/>
          <w:color w:val="000000"/>
          <w:lang w:eastAsia="bg-BG"/>
        </w:rPr>
      </w:pPr>
    </w:p>
    <w:p w14:paraId="1E045418" w14:textId="6F4BDF1E" w:rsidR="00C50FCA" w:rsidRPr="00C50FCA" w:rsidRDefault="00C50FCA" w:rsidP="00C50FCA">
      <w:pPr>
        <w:spacing w:line="240" w:lineRule="auto"/>
        <w:rPr>
          <w:rFonts w:eastAsia="Times New Roman" w:cs="Arial"/>
          <w:sz w:val="28"/>
          <w:szCs w:val="28"/>
          <w:lang w:eastAsia="bg-BG"/>
        </w:rPr>
      </w:pPr>
      <w:r w:rsidRPr="00C50FCA">
        <w:rPr>
          <w:rFonts w:eastAsia="Times New Roman" w:cs="Arial"/>
          <w:i/>
          <w:iCs/>
          <w:color w:val="000000"/>
          <w:lang w:eastAsia="bg-BG"/>
        </w:rPr>
        <w:t>Етинилестрадиол</w:t>
      </w:r>
    </w:p>
    <w:p w14:paraId="7D30D2DF" w14:textId="77777777" w:rsidR="00C50FCA" w:rsidRPr="00C50FCA" w:rsidRDefault="00C50FCA" w:rsidP="00C50FCA">
      <w:pPr>
        <w:spacing w:line="240" w:lineRule="auto"/>
        <w:rPr>
          <w:rFonts w:eastAsia="Times New Roman" w:cs="Arial"/>
          <w:i/>
          <w:iCs/>
          <w:color w:val="000000"/>
          <w:lang w:val="en-US"/>
        </w:rPr>
      </w:pPr>
    </w:p>
    <w:p w14:paraId="271AD4B1" w14:textId="326F9195" w:rsidR="00C50FCA" w:rsidRPr="00C50FCA" w:rsidRDefault="00C50FCA" w:rsidP="00C50FCA">
      <w:pPr>
        <w:spacing w:line="240" w:lineRule="auto"/>
        <w:rPr>
          <w:rFonts w:eastAsia="Times New Roman" w:cs="Arial"/>
          <w:sz w:val="28"/>
          <w:szCs w:val="28"/>
          <w:lang w:eastAsia="bg-BG"/>
        </w:rPr>
      </w:pPr>
      <w:r w:rsidRPr="00C50FCA">
        <w:rPr>
          <w:rFonts w:eastAsia="Times New Roman" w:cs="Arial"/>
          <w:i/>
          <w:iCs/>
          <w:color w:val="000000"/>
          <w:lang w:val="en-US"/>
        </w:rPr>
        <w:t>In vitro,</w:t>
      </w:r>
      <w:r w:rsidRPr="00C50FCA">
        <w:rPr>
          <w:rFonts w:eastAsia="Times New Roman" w:cs="Arial"/>
          <w:color w:val="000000"/>
          <w:lang w:val="en-US"/>
        </w:rPr>
        <w:t xml:space="preserve"> </w:t>
      </w:r>
      <w:r w:rsidRPr="00C50FCA">
        <w:rPr>
          <w:rFonts w:eastAsia="Times New Roman" w:cs="Arial"/>
          <w:color w:val="000000"/>
          <w:lang w:eastAsia="bg-BG"/>
        </w:rPr>
        <w:t xml:space="preserve">етинилестрадиол е обратим инхибитор на </w:t>
      </w:r>
      <w:r w:rsidRPr="00C50FCA">
        <w:rPr>
          <w:rFonts w:eastAsia="Times New Roman" w:cs="Arial"/>
          <w:color w:val="000000"/>
          <w:lang w:val="en-US"/>
        </w:rPr>
        <w:t xml:space="preserve">CYP2C19, CYP1A1 </w:t>
      </w:r>
      <w:r w:rsidRPr="00C50FCA">
        <w:rPr>
          <w:rFonts w:eastAsia="Times New Roman" w:cs="Arial"/>
          <w:color w:val="000000"/>
          <w:lang w:eastAsia="bg-BG"/>
        </w:rPr>
        <w:t xml:space="preserve">и </w:t>
      </w:r>
      <w:r w:rsidRPr="00C50FCA">
        <w:rPr>
          <w:rFonts w:eastAsia="Times New Roman" w:cs="Arial"/>
          <w:color w:val="000000"/>
          <w:lang w:val="en-US"/>
        </w:rPr>
        <w:t xml:space="preserve">CYP1A2, </w:t>
      </w:r>
      <w:r w:rsidRPr="00C50FCA">
        <w:rPr>
          <w:rFonts w:eastAsia="Times New Roman" w:cs="Arial"/>
          <w:color w:val="000000"/>
          <w:lang w:eastAsia="bg-BG"/>
        </w:rPr>
        <w:t xml:space="preserve">както и инхибитор на </w:t>
      </w:r>
      <w:r w:rsidRPr="00C50FCA">
        <w:rPr>
          <w:rFonts w:eastAsia="Times New Roman" w:cs="Arial"/>
          <w:color w:val="000000"/>
          <w:lang w:val="en-US"/>
        </w:rPr>
        <w:t xml:space="preserve">CYP3A4/5, CYP2C8 </w:t>
      </w:r>
      <w:r w:rsidRPr="00C50FCA">
        <w:rPr>
          <w:rFonts w:eastAsia="Times New Roman" w:cs="Arial"/>
          <w:color w:val="000000"/>
          <w:lang w:eastAsia="bg-BG"/>
        </w:rPr>
        <w:t xml:space="preserve">и </w:t>
      </w:r>
      <w:r w:rsidRPr="00C50FCA">
        <w:rPr>
          <w:rFonts w:eastAsia="Times New Roman" w:cs="Arial"/>
          <w:color w:val="000000"/>
          <w:lang w:val="en-US"/>
        </w:rPr>
        <w:t xml:space="preserve">CYP2J2 </w:t>
      </w:r>
      <w:r w:rsidRPr="00C50FCA">
        <w:rPr>
          <w:rFonts w:eastAsia="Times New Roman" w:cs="Arial"/>
          <w:color w:val="000000"/>
          <w:lang w:eastAsia="bg-BG"/>
        </w:rPr>
        <w:t>на механизъм.</w:t>
      </w:r>
    </w:p>
    <w:p w14:paraId="6AEE5BCF" w14:textId="77777777" w:rsidR="00C50FCA" w:rsidRPr="00C50FCA" w:rsidRDefault="00C50FCA" w:rsidP="00C50FCA">
      <w:pPr>
        <w:spacing w:line="240" w:lineRule="auto"/>
        <w:rPr>
          <w:rFonts w:eastAsia="Times New Roman" w:cs="Arial"/>
          <w:color w:val="000000"/>
          <w:u w:val="single"/>
          <w:lang w:eastAsia="bg-BG"/>
        </w:rPr>
      </w:pPr>
    </w:p>
    <w:p w14:paraId="4B5E5813" w14:textId="4C4AC181" w:rsidR="00C50FCA" w:rsidRPr="00C50FCA" w:rsidRDefault="00C50FCA" w:rsidP="00C50FCA">
      <w:pPr>
        <w:spacing w:line="240" w:lineRule="auto"/>
        <w:rPr>
          <w:rFonts w:eastAsia="Times New Roman" w:cs="Arial"/>
          <w:sz w:val="28"/>
          <w:szCs w:val="28"/>
          <w:lang w:eastAsia="bg-BG"/>
        </w:rPr>
      </w:pPr>
      <w:r w:rsidRPr="00C50FCA">
        <w:rPr>
          <w:rFonts w:eastAsia="Times New Roman" w:cs="Arial"/>
          <w:color w:val="000000"/>
          <w:u w:val="single"/>
          <w:lang w:eastAsia="bg-BG"/>
        </w:rPr>
        <w:t>Абсорбция</w:t>
      </w:r>
    </w:p>
    <w:p w14:paraId="7D65BF91" w14:textId="77777777" w:rsidR="00C50FCA" w:rsidRPr="00C50FCA" w:rsidRDefault="00C50FCA" w:rsidP="00C50FCA">
      <w:pPr>
        <w:spacing w:line="240" w:lineRule="auto"/>
        <w:rPr>
          <w:rFonts w:eastAsia="Times New Roman" w:cs="Arial"/>
          <w:sz w:val="28"/>
          <w:szCs w:val="28"/>
          <w:lang w:eastAsia="bg-BG"/>
        </w:rPr>
      </w:pPr>
      <w:r w:rsidRPr="00C50FCA">
        <w:rPr>
          <w:rFonts w:eastAsia="Times New Roman" w:cs="Arial"/>
          <w:color w:val="000000"/>
          <w:lang w:eastAsia="bg-BG"/>
        </w:rPr>
        <w:t xml:space="preserve">Перорално приложеният етинилестрадиол се абсорбира бързо и напълно. Максималната серумна концентрация от 71 </w:t>
      </w:r>
      <w:proofErr w:type="spellStart"/>
      <w:r w:rsidRPr="00C50FCA">
        <w:rPr>
          <w:rFonts w:eastAsia="Times New Roman" w:cs="Arial"/>
          <w:color w:val="000000"/>
          <w:lang w:val="en-US"/>
        </w:rPr>
        <w:t>pg</w:t>
      </w:r>
      <w:proofErr w:type="spellEnd"/>
      <w:r w:rsidRPr="00C50FCA">
        <w:rPr>
          <w:rFonts w:eastAsia="Times New Roman" w:cs="Arial"/>
          <w:color w:val="000000"/>
          <w:lang w:val="en-US"/>
        </w:rPr>
        <w:t xml:space="preserve">/ml </w:t>
      </w:r>
      <w:r w:rsidRPr="00C50FCA">
        <w:rPr>
          <w:rFonts w:eastAsia="Times New Roman" w:cs="Arial"/>
          <w:color w:val="000000"/>
          <w:lang w:eastAsia="bg-BG"/>
        </w:rPr>
        <w:t>се достига на 1,6 час. По време на абсорбцията и първото чернодробно преминаване, етинилестрадиол претърпява удължено метаболизиране, достигайки средна орална бионаличност от около 45 % с големи интериндивидуални различия от около 20 - 65 %.</w:t>
      </w:r>
    </w:p>
    <w:p w14:paraId="5540CFC5" w14:textId="77777777" w:rsidR="00C50FCA" w:rsidRPr="00C50FCA" w:rsidRDefault="00C50FCA" w:rsidP="00C50FCA">
      <w:pPr>
        <w:spacing w:line="240" w:lineRule="auto"/>
        <w:rPr>
          <w:rFonts w:eastAsia="Times New Roman" w:cs="Arial"/>
          <w:color w:val="000000"/>
          <w:u w:val="single"/>
          <w:lang w:eastAsia="bg-BG"/>
        </w:rPr>
      </w:pPr>
    </w:p>
    <w:p w14:paraId="437328BE" w14:textId="55450E42" w:rsidR="00C50FCA" w:rsidRPr="00C50FCA" w:rsidRDefault="00C50FCA" w:rsidP="00C50FCA">
      <w:pPr>
        <w:spacing w:line="240" w:lineRule="auto"/>
        <w:rPr>
          <w:rFonts w:eastAsia="Times New Roman" w:cs="Arial"/>
          <w:sz w:val="28"/>
          <w:szCs w:val="28"/>
          <w:lang w:eastAsia="bg-BG"/>
        </w:rPr>
      </w:pPr>
      <w:r w:rsidRPr="00C50FCA">
        <w:rPr>
          <w:rFonts w:eastAsia="Times New Roman" w:cs="Arial"/>
          <w:color w:val="000000"/>
          <w:u w:val="single"/>
          <w:lang w:eastAsia="bg-BG"/>
        </w:rPr>
        <w:t>Разпределение</w:t>
      </w:r>
    </w:p>
    <w:p w14:paraId="1C01AB12" w14:textId="77777777" w:rsidR="00C50FCA" w:rsidRPr="00C50FCA" w:rsidRDefault="00C50FCA" w:rsidP="00C50FCA">
      <w:pPr>
        <w:spacing w:line="240" w:lineRule="auto"/>
        <w:rPr>
          <w:rFonts w:eastAsia="Times New Roman" w:cs="Arial"/>
          <w:sz w:val="28"/>
          <w:szCs w:val="28"/>
          <w:lang w:eastAsia="bg-BG"/>
        </w:rPr>
      </w:pPr>
      <w:r w:rsidRPr="00C50FCA">
        <w:rPr>
          <w:rFonts w:eastAsia="Times New Roman" w:cs="Arial"/>
          <w:color w:val="000000"/>
          <w:lang w:eastAsia="bg-BG"/>
        </w:rPr>
        <w:t xml:space="preserve">Етинилестрадиол е значително, но неспецифично свързан със серумния албумин (около 98 %) и предизвиква увеличение на серумната концентрация на </w:t>
      </w:r>
      <w:r w:rsidRPr="00C50FCA">
        <w:rPr>
          <w:rFonts w:eastAsia="Times New Roman" w:cs="Arial"/>
          <w:color w:val="000000"/>
          <w:lang w:val="en-US"/>
        </w:rPr>
        <w:t xml:space="preserve">SHBG. </w:t>
      </w:r>
      <w:r w:rsidRPr="00C50FCA">
        <w:rPr>
          <w:rFonts w:eastAsia="Times New Roman" w:cs="Arial"/>
          <w:color w:val="000000"/>
          <w:lang w:eastAsia="bg-BG"/>
        </w:rPr>
        <w:t>Обемът на разпределение е около 2,8 - 8,6</w:t>
      </w:r>
      <w:r w:rsidRPr="00C50FCA">
        <w:rPr>
          <w:rFonts w:eastAsia="Times New Roman" w:cs="Arial"/>
          <w:color w:val="000000"/>
          <w:lang w:val="en-US"/>
        </w:rPr>
        <w:t xml:space="preserve"> l/kg.</w:t>
      </w:r>
    </w:p>
    <w:p w14:paraId="28FAF8BA" w14:textId="77777777" w:rsidR="00C50FCA" w:rsidRPr="00C50FCA" w:rsidRDefault="00C50FCA" w:rsidP="00C50FCA">
      <w:pPr>
        <w:spacing w:line="240" w:lineRule="auto"/>
        <w:rPr>
          <w:rFonts w:eastAsia="Times New Roman" w:cs="Arial"/>
          <w:color w:val="000000"/>
          <w:u w:val="single"/>
          <w:lang w:eastAsia="bg-BG"/>
        </w:rPr>
      </w:pPr>
    </w:p>
    <w:p w14:paraId="070C8BB0" w14:textId="42E36733" w:rsidR="00C50FCA" w:rsidRPr="00C50FCA" w:rsidRDefault="00C50FCA" w:rsidP="00C50FCA">
      <w:pPr>
        <w:spacing w:line="240" w:lineRule="auto"/>
        <w:rPr>
          <w:rFonts w:eastAsia="Times New Roman" w:cs="Arial"/>
          <w:sz w:val="28"/>
          <w:szCs w:val="28"/>
          <w:lang w:eastAsia="bg-BG"/>
        </w:rPr>
      </w:pPr>
      <w:r w:rsidRPr="00C50FCA">
        <w:rPr>
          <w:rFonts w:eastAsia="Times New Roman" w:cs="Arial"/>
          <w:color w:val="000000"/>
          <w:u w:val="single"/>
          <w:lang w:eastAsia="bg-BG"/>
        </w:rPr>
        <w:t>Биотрансформация</w:t>
      </w:r>
    </w:p>
    <w:p w14:paraId="0757909E" w14:textId="77777777" w:rsidR="00C50FCA" w:rsidRPr="00C50FCA" w:rsidRDefault="00C50FCA" w:rsidP="00C50FCA">
      <w:pPr>
        <w:spacing w:line="240" w:lineRule="auto"/>
        <w:rPr>
          <w:rFonts w:eastAsia="Times New Roman" w:cs="Arial"/>
          <w:sz w:val="28"/>
          <w:szCs w:val="28"/>
          <w:lang w:eastAsia="bg-BG"/>
        </w:rPr>
      </w:pPr>
      <w:r w:rsidRPr="00C50FCA">
        <w:rPr>
          <w:rFonts w:eastAsia="Times New Roman" w:cs="Arial"/>
          <w:color w:val="000000"/>
          <w:lang w:eastAsia="bg-BG"/>
        </w:rPr>
        <w:t xml:space="preserve">Етинилестрадиол е обект на пресистемно конюгиране в тънкочревната мукоза и черния дроб. Етинилестрадиол първично се метаболизира чрез ароматно хидроксилиране, но се формира и голямо разнообразие от хидроксилирани и метилирани метаболити, които са представени като свободни метаболити и като глюкуронидазно и сулфатно свързани. Клирънса е около 2,3 - 7 </w:t>
      </w:r>
      <w:r w:rsidRPr="00C50FCA">
        <w:rPr>
          <w:rFonts w:eastAsia="Times New Roman" w:cs="Arial"/>
          <w:color w:val="000000"/>
          <w:lang w:val="en-US"/>
        </w:rPr>
        <w:t>ml/min/kg.</w:t>
      </w:r>
    </w:p>
    <w:p w14:paraId="02A4F945" w14:textId="77777777" w:rsidR="00C50FCA" w:rsidRPr="00C50FCA" w:rsidRDefault="00C50FCA" w:rsidP="00C50FCA">
      <w:pPr>
        <w:spacing w:line="240" w:lineRule="auto"/>
        <w:rPr>
          <w:rFonts w:eastAsia="Times New Roman" w:cs="Arial"/>
          <w:color w:val="000000"/>
          <w:u w:val="single"/>
          <w:lang w:eastAsia="bg-BG"/>
        </w:rPr>
      </w:pPr>
    </w:p>
    <w:p w14:paraId="4553C149" w14:textId="3F24D24F" w:rsidR="00C50FCA" w:rsidRPr="00C50FCA" w:rsidRDefault="00C50FCA" w:rsidP="00C50FCA">
      <w:pPr>
        <w:spacing w:line="240" w:lineRule="auto"/>
        <w:rPr>
          <w:rFonts w:eastAsia="Times New Roman" w:cs="Arial"/>
          <w:sz w:val="28"/>
          <w:szCs w:val="28"/>
          <w:lang w:eastAsia="bg-BG"/>
        </w:rPr>
      </w:pPr>
      <w:r w:rsidRPr="00C50FCA">
        <w:rPr>
          <w:rFonts w:eastAsia="Times New Roman" w:cs="Arial"/>
          <w:color w:val="000000"/>
          <w:u w:val="single"/>
          <w:lang w:eastAsia="bg-BG"/>
        </w:rPr>
        <w:t>Елиминиране</w:t>
      </w:r>
    </w:p>
    <w:p w14:paraId="392AD6BA" w14:textId="77777777" w:rsidR="00C50FCA" w:rsidRPr="00C50FCA" w:rsidRDefault="00C50FCA" w:rsidP="00C50FCA">
      <w:pPr>
        <w:spacing w:line="240" w:lineRule="auto"/>
        <w:rPr>
          <w:rFonts w:eastAsia="Times New Roman" w:cs="Arial"/>
          <w:sz w:val="28"/>
          <w:szCs w:val="28"/>
          <w:lang w:eastAsia="bg-BG"/>
        </w:rPr>
      </w:pPr>
      <w:r w:rsidRPr="00C50FCA">
        <w:rPr>
          <w:rFonts w:eastAsia="Times New Roman" w:cs="Arial"/>
          <w:color w:val="000000"/>
          <w:lang w:eastAsia="bg-BG"/>
        </w:rPr>
        <w:t xml:space="preserve">Серумните нива на етинилестрадиол намаляват в две фази, което е характерно за полуживот от около 1 </w:t>
      </w:r>
      <w:r w:rsidRPr="00C50FCA">
        <w:rPr>
          <w:rFonts w:eastAsia="Times New Roman" w:cs="Arial"/>
          <w:color w:val="000000"/>
          <w:lang w:val="en-US"/>
        </w:rPr>
        <w:t xml:space="preserve">h </w:t>
      </w:r>
      <w:r w:rsidRPr="00C50FCA">
        <w:rPr>
          <w:rFonts w:eastAsia="Times New Roman" w:cs="Arial"/>
          <w:color w:val="000000"/>
          <w:lang w:eastAsia="bg-BG"/>
        </w:rPr>
        <w:t xml:space="preserve">и съответно около 10 - 20 </w:t>
      </w:r>
      <w:r w:rsidRPr="00C50FCA">
        <w:rPr>
          <w:rFonts w:eastAsia="Times New Roman" w:cs="Arial"/>
          <w:color w:val="000000"/>
          <w:lang w:val="en-US"/>
        </w:rPr>
        <w:t xml:space="preserve">h. </w:t>
      </w:r>
      <w:r w:rsidRPr="00C50FCA">
        <w:rPr>
          <w:rFonts w:eastAsia="Times New Roman" w:cs="Arial"/>
          <w:color w:val="000000"/>
          <w:lang w:eastAsia="bg-BG"/>
        </w:rPr>
        <w:t>Непроменен лекарственият продукт не се екскретира, като метаболитите на етинилестрадиол се ексретират в уринарно/билиарно съотношение от 4:6. Полуживотът на метаболитната екскреция е около 1 ден.</w:t>
      </w:r>
    </w:p>
    <w:p w14:paraId="029E1D17" w14:textId="77777777" w:rsidR="00C50FCA" w:rsidRPr="00C50FCA" w:rsidRDefault="00C50FCA" w:rsidP="00C50FCA">
      <w:pPr>
        <w:spacing w:line="240" w:lineRule="auto"/>
        <w:rPr>
          <w:rFonts w:eastAsia="Times New Roman" w:cs="Arial"/>
          <w:color w:val="000000"/>
          <w:u w:val="single"/>
          <w:lang w:eastAsia="bg-BG"/>
        </w:rPr>
      </w:pPr>
    </w:p>
    <w:p w14:paraId="3B7C62CE" w14:textId="0DFB7402" w:rsidR="00C50FCA" w:rsidRPr="00C50FCA" w:rsidRDefault="00C50FCA" w:rsidP="00C50FCA">
      <w:pPr>
        <w:spacing w:line="240" w:lineRule="auto"/>
        <w:rPr>
          <w:rFonts w:eastAsia="Times New Roman" w:cs="Arial"/>
          <w:sz w:val="28"/>
          <w:szCs w:val="28"/>
          <w:lang w:eastAsia="bg-BG"/>
        </w:rPr>
      </w:pPr>
      <w:r w:rsidRPr="00C50FCA">
        <w:rPr>
          <w:rFonts w:eastAsia="Times New Roman" w:cs="Arial"/>
          <w:color w:val="000000"/>
          <w:u w:val="single"/>
          <w:lang w:eastAsia="bg-BG"/>
        </w:rPr>
        <w:t>Състояние на стабилност</w:t>
      </w:r>
    </w:p>
    <w:p w14:paraId="2DE74C62" w14:textId="77777777" w:rsidR="00C50FCA" w:rsidRPr="00C50FCA" w:rsidRDefault="00C50FCA" w:rsidP="00C50FCA">
      <w:pPr>
        <w:spacing w:line="240" w:lineRule="auto"/>
        <w:rPr>
          <w:rFonts w:eastAsia="Times New Roman" w:cs="Arial"/>
          <w:sz w:val="28"/>
          <w:szCs w:val="28"/>
          <w:lang w:eastAsia="bg-BG"/>
        </w:rPr>
      </w:pPr>
      <w:r w:rsidRPr="00C50FCA">
        <w:rPr>
          <w:rFonts w:eastAsia="Times New Roman" w:cs="Arial"/>
          <w:color w:val="000000"/>
          <w:lang w:eastAsia="bg-BG"/>
        </w:rPr>
        <w:t>Състояние на стабилност се постига по време на втората половина от цикъла, когато серумните лекарствени нива са по-високи с 60% в сравнение с еднократна доза.</w:t>
      </w:r>
    </w:p>
    <w:p w14:paraId="4F1C33AD" w14:textId="77777777" w:rsidR="00C50FCA" w:rsidRPr="00C50FCA" w:rsidRDefault="00C50FCA" w:rsidP="00C50FCA"/>
    <w:p w14:paraId="6925FEB0" w14:textId="4059A48A" w:rsidR="00F62E44" w:rsidRDefault="002C50EE" w:rsidP="00387A66">
      <w:pPr>
        <w:pStyle w:val="Heading2"/>
      </w:pPr>
      <w:r>
        <w:t>5.3. Предклинични данни за безопасност</w:t>
      </w:r>
    </w:p>
    <w:p w14:paraId="4A0A23C4" w14:textId="020AE3AF" w:rsidR="00C50FCA" w:rsidRDefault="00C50FCA" w:rsidP="00C50FCA"/>
    <w:p w14:paraId="0612B88D" w14:textId="77777777" w:rsidR="00C50FCA" w:rsidRPr="00C50FCA" w:rsidRDefault="00C50FCA" w:rsidP="00C50FCA">
      <w:pPr>
        <w:spacing w:line="240" w:lineRule="auto"/>
        <w:rPr>
          <w:rFonts w:eastAsia="Times New Roman" w:cs="Arial"/>
          <w:sz w:val="28"/>
          <w:szCs w:val="28"/>
          <w:lang w:eastAsia="bg-BG"/>
        </w:rPr>
      </w:pPr>
      <w:r w:rsidRPr="00C50FCA">
        <w:rPr>
          <w:rFonts w:eastAsia="Times New Roman" w:cs="Arial"/>
          <w:i/>
          <w:iCs/>
          <w:color w:val="000000"/>
          <w:lang w:eastAsia="bg-BG"/>
        </w:rPr>
        <w:t>Етинилестрадиол</w:t>
      </w:r>
    </w:p>
    <w:p w14:paraId="135E5CE3" w14:textId="77777777" w:rsidR="00C50FCA" w:rsidRPr="00C50FCA" w:rsidRDefault="00C50FCA" w:rsidP="00C50FCA">
      <w:pPr>
        <w:spacing w:line="240" w:lineRule="auto"/>
        <w:rPr>
          <w:rFonts w:eastAsia="Times New Roman" w:cs="Arial"/>
          <w:color w:val="000000"/>
          <w:lang w:eastAsia="bg-BG"/>
        </w:rPr>
      </w:pPr>
    </w:p>
    <w:p w14:paraId="173EB924" w14:textId="526F5009" w:rsidR="00C50FCA" w:rsidRPr="00C50FCA" w:rsidRDefault="00C50FCA" w:rsidP="00C50FCA">
      <w:pPr>
        <w:spacing w:line="240" w:lineRule="auto"/>
        <w:rPr>
          <w:rFonts w:eastAsia="Times New Roman" w:cs="Arial"/>
          <w:sz w:val="28"/>
          <w:szCs w:val="28"/>
          <w:lang w:eastAsia="bg-BG"/>
        </w:rPr>
      </w:pPr>
      <w:r w:rsidRPr="00C50FCA">
        <w:rPr>
          <w:rFonts w:eastAsia="Times New Roman" w:cs="Arial"/>
          <w:color w:val="000000"/>
          <w:lang w:eastAsia="bg-BG"/>
        </w:rPr>
        <w:t>Токсичният профил на етинилестрадиол е добре известен. Няма предклинични данни, които да предоставят допълнителна информация за безопасността към тази, която е вече включена в други точки на информацията за продукта.</w:t>
      </w:r>
    </w:p>
    <w:p w14:paraId="526D9EBB" w14:textId="77777777" w:rsidR="00C50FCA" w:rsidRPr="00C50FCA" w:rsidRDefault="00C50FCA" w:rsidP="00C50FCA">
      <w:pPr>
        <w:spacing w:line="240" w:lineRule="auto"/>
        <w:rPr>
          <w:rFonts w:eastAsia="Times New Roman" w:cs="Arial"/>
          <w:i/>
          <w:iCs/>
          <w:color w:val="000000"/>
          <w:lang w:eastAsia="bg-BG"/>
        </w:rPr>
      </w:pPr>
    </w:p>
    <w:p w14:paraId="5C514B3B" w14:textId="4C46C7D9" w:rsidR="00C50FCA" w:rsidRPr="00C50FCA" w:rsidRDefault="00C50FCA" w:rsidP="00C50FCA">
      <w:pPr>
        <w:spacing w:line="240" w:lineRule="auto"/>
        <w:rPr>
          <w:rFonts w:eastAsia="Times New Roman" w:cs="Arial"/>
          <w:sz w:val="28"/>
          <w:szCs w:val="28"/>
          <w:lang w:eastAsia="bg-BG"/>
        </w:rPr>
      </w:pPr>
      <w:r w:rsidRPr="00C50FCA">
        <w:rPr>
          <w:rFonts w:eastAsia="Times New Roman" w:cs="Arial"/>
          <w:i/>
          <w:iCs/>
          <w:color w:val="000000"/>
          <w:lang w:eastAsia="bg-BG"/>
        </w:rPr>
        <w:t>Ципротеронов ацетат</w:t>
      </w:r>
    </w:p>
    <w:p w14:paraId="6EE5343E" w14:textId="77777777" w:rsidR="00C50FCA" w:rsidRPr="00C50FCA" w:rsidRDefault="00C50FCA" w:rsidP="00C50FCA">
      <w:pPr>
        <w:spacing w:line="240" w:lineRule="auto"/>
        <w:rPr>
          <w:rFonts w:eastAsia="Times New Roman" w:cs="Arial"/>
          <w:i/>
          <w:iCs/>
          <w:color w:val="000000"/>
          <w:lang w:eastAsia="bg-BG"/>
        </w:rPr>
      </w:pPr>
    </w:p>
    <w:p w14:paraId="35BFF645" w14:textId="261E2E5C" w:rsidR="00C50FCA" w:rsidRPr="00C50FCA" w:rsidRDefault="00C50FCA" w:rsidP="00C50FCA">
      <w:pPr>
        <w:spacing w:line="240" w:lineRule="auto"/>
        <w:rPr>
          <w:rFonts w:eastAsia="Times New Roman" w:cs="Arial"/>
          <w:sz w:val="28"/>
          <w:szCs w:val="28"/>
          <w:lang w:eastAsia="bg-BG"/>
        </w:rPr>
      </w:pPr>
      <w:r w:rsidRPr="00C50FCA">
        <w:rPr>
          <w:rFonts w:eastAsia="Times New Roman" w:cs="Arial"/>
          <w:i/>
          <w:iCs/>
          <w:color w:val="000000"/>
          <w:lang w:eastAsia="bg-BG"/>
        </w:rPr>
        <w:t>Системна токсичност</w:t>
      </w:r>
    </w:p>
    <w:p w14:paraId="205774C2" w14:textId="77777777" w:rsidR="00C50FCA" w:rsidRPr="00C50FCA" w:rsidRDefault="00C50FCA" w:rsidP="00C50FCA">
      <w:pPr>
        <w:spacing w:line="240" w:lineRule="auto"/>
        <w:rPr>
          <w:rFonts w:eastAsia="Times New Roman" w:cs="Arial"/>
          <w:sz w:val="28"/>
          <w:szCs w:val="28"/>
          <w:lang w:eastAsia="bg-BG"/>
        </w:rPr>
      </w:pPr>
      <w:r w:rsidRPr="00C50FCA">
        <w:rPr>
          <w:rFonts w:eastAsia="Times New Roman" w:cs="Arial"/>
          <w:color w:val="000000"/>
          <w:lang w:eastAsia="bg-BG"/>
        </w:rPr>
        <w:t>Предклиничните данни не разкриват специален риск при хора, базирайки се на конвенционални проучвания с многократна дозова токсичност.</w:t>
      </w:r>
    </w:p>
    <w:p w14:paraId="56EAC37E" w14:textId="77777777" w:rsidR="00C50FCA" w:rsidRPr="00C50FCA" w:rsidRDefault="00C50FCA" w:rsidP="00C50FCA">
      <w:pPr>
        <w:spacing w:line="240" w:lineRule="auto"/>
        <w:rPr>
          <w:rFonts w:eastAsia="Times New Roman" w:cs="Arial"/>
          <w:i/>
          <w:iCs/>
          <w:color w:val="000000"/>
          <w:lang w:eastAsia="bg-BG"/>
        </w:rPr>
      </w:pPr>
    </w:p>
    <w:p w14:paraId="5626F916" w14:textId="6A1230E5" w:rsidR="00C50FCA" w:rsidRPr="00C50FCA" w:rsidRDefault="00C50FCA" w:rsidP="00C50FCA">
      <w:pPr>
        <w:spacing w:line="240" w:lineRule="auto"/>
        <w:rPr>
          <w:rFonts w:eastAsia="Times New Roman" w:cs="Arial"/>
          <w:sz w:val="28"/>
          <w:szCs w:val="28"/>
          <w:lang w:eastAsia="bg-BG"/>
        </w:rPr>
      </w:pPr>
      <w:r w:rsidRPr="00C50FCA">
        <w:rPr>
          <w:rFonts w:eastAsia="Times New Roman" w:cs="Arial"/>
          <w:i/>
          <w:iCs/>
          <w:color w:val="000000"/>
          <w:lang w:eastAsia="bg-BG"/>
        </w:rPr>
        <w:t>Ембриотоксичност/тератогенност</w:t>
      </w:r>
    </w:p>
    <w:p w14:paraId="302EAD31" w14:textId="77777777" w:rsidR="00C50FCA" w:rsidRPr="00C50FCA" w:rsidRDefault="00C50FCA" w:rsidP="00C50FCA">
      <w:pPr>
        <w:spacing w:line="240" w:lineRule="auto"/>
        <w:rPr>
          <w:rFonts w:eastAsia="Times New Roman" w:cs="Arial"/>
          <w:sz w:val="28"/>
          <w:szCs w:val="28"/>
          <w:lang w:eastAsia="bg-BG"/>
        </w:rPr>
      </w:pPr>
      <w:r w:rsidRPr="00C50FCA">
        <w:rPr>
          <w:rFonts w:eastAsia="Times New Roman" w:cs="Arial"/>
          <w:color w:val="000000"/>
          <w:lang w:eastAsia="bg-BG"/>
        </w:rPr>
        <w:t xml:space="preserve">Изследванията за ембриотоксичност на комбинацията от двете лекарствени вещества не установяват ефекти показателни за общ тератогенен ефект след третиране по време на органогенезата преди развитието на външните полови органи. Прилагането </w:t>
      </w:r>
      <w:r w:rsidRPr="00C50FCA">
        <w:rPr>
          <w:rFonts w:eastAsia="Times New Roman" w:cs="Arial"/>
          <w:i/>
          <w:iCs/>
          <w:color w:val="000000"/>
          <w:lang w:eastAsia="bg-BG"/>
        </w:rPr>
        <w:t>на.</w:t>
      </w:r>
      <w:r w:rsidRPr="00C50FCA">
        <w:rPr>
          <w:rFonts w:eastAsia="Times New Roman" w:cs="Arial"/>
          <w:color w:val="000000"/>
          <w:lang w:eastAsia="bg-BG"/>
        </w:rPr>
        <w:t xml:space="preserve"> ципротеронов ацетат в по-високи дози по време на фазата на диференциране на половите органи, чувствителна към хормони може да предизвика поява на признаци на феминизация у мъжките фетуси. Наблюденията на новородени деца от мъжки пол, изложени на действието на ципротеронов ацетат в матката не показват никакви признаци на феминизация. Все пак употребата на Диане 35 е противопоказана по време на бременност.</w:t>
      </w:r>
    </w:p>
    <w:p w14:paraId="37FC8B1D" w14:textId="77777777" w:rsidR="00C50FCA" w:rsidRPr="00C50FCA" w:rsidRDefault="00C50FCA" w:rsidP="00C50FCA">
      <w:pPr>
        <w:spacing w:line="240" w:lineRule="auto"/>
        <w:rPr>
          <w:rFonts w:eastAsia="Times New Roman" w:cs="Arial"/>
          <w:i/>
          <w:iCs/>
          <w:color w:val="000000"/>
          <w:lang w:eastAsia="bg-BG"/>
        </w:rPr>
      </w:pPr>
    </w:p>
    <w:p w14:paraId="09B6EF5F" w14:textId="075A8DBF" w:rsidR="00C50FCA" w:rsidRPr="00C50FCA" w:rsidRDefault="00C50FCA" w:rsidP="00C50FCA">
      <w:pPr>
        <w:spacing w:line="240" w:lineRule="auto"/>
        <w:rPr>
          <w:rFonts w:eastAsia="Times New Roman" w:cs="Arial"/>
          <w:sz w:val="28"/>
          <w:szCs w:val="28"/>
          <w:lang w:eastAsia="bg-BG"/>
        </w:rPr>
      </w:pPr>
      <w:r w:rsidRPr="00C50FCA">
        <w:rPr>
          <w:rFonts w:eastAsia="Times New Roman" w:cs="Arial"/>
          <w:i/>
          <w:iCs/>
          <w:color w:val="000000"/>
          <w:lang w:eastAsia="bg-BG"/>
        </w:rPr>
        <w:t>Генотоксичност/канцерогенност</w:t>
      </w:r>
    </w:p>
    <w:p w14:paraId="4A09B653" w14:textId="77777777" w:rsidR="00C50FCA" w:rsidRPr="00C50FCA" w:rsidRDefault="00C50FCA" w:rsidP="00C50FCA">
      <w:pPr>
        <w:spacing w:line="240" w:lineRule="auto"/>
        <w:rPr>
          <w:rFonts w:eastAsia="Times New Roman" w:cs="Arial"/>
          <w:sz w:val="28"/>
          <w:szCs w:val="28"/>
          <w:lang w:eastAsia="bg-BG"/>
        </w:rPr>
      </w:pPr>
      <w:r w:rsidRPr="00C50FCA">
        <w:rPr>
          <w:rFonts w:eastAsia="Times New Roman" w:cs="Arial"/>
          <w:color w:val="000000"/>
          <w:lang w:eastAsia="bg-BG"/>
        </w:rPr>
        <w:lastRenderedPageBreak/>
        <w:t>Признатите първи тестове за генотоксичност проведени с ципротеронов ацетат са отрицателни, но по-нататъшните тестове показват, че той може да предизвика отклонения в ДНК (и увеличение на репарационната активност на ДНК) в чернодробните клетки от плъхове и маймуни, какго и в прясно изолирани човешки хепатоцитн, докато от друга страна ДНК отклоненията в чернодробни клетки на кучета са изключително редки.</w:t>
      </w:r>
    </w:p>
    <w:p w14:paraId="1A83637D" w14:textId="77777777" w:rsidR="00C50FCA" w:rsidRPr="00C50FCA" w:rsidRDefault="00C50FCA" w:rsidP="00C50FCA">
      <w:pPr>
        <w:rPr>
          <w:rFonts w:eastAsia="Times New Roman" w:cs="Arial"/>
          <w:color w:val="000000"/>
          <w:lang w:eastAsia="bg-BG"/>
        </w:rPr>
      </w:pPr>
    </w:p>
    <w:p w14:paraId="45147DF3" w14:textId="77777777" w:rsidR="00C50FCA" w:rsidRPr="00C50FCA" w:rsidRDefault="00C50FCA" w:rsidP="00C50FCA">
      <w:pPr>
        <w:rPr>
          <w:rFonts w:eastAsia="Times New Roman" w:cs="Arial"/>
          <w:sz w:val="28"/>
          <w:szCs w:val="28"/>
          <w:lang w:eastAsia="bg-BG"/>
        </w:rPr>
      </w:pPr>
      <w:r w:rsidRPr="00C50FCA">
        <w:rPr>
          <w:rFonts w:eastAsia="Times New Roman" w:cs="Arial"/>
          <w:color w:val="000000"/>
          <w:lang w:eastAsia="bg-BG"/>
        </w:rPr>
        <w:t xml:space="preserve">Образуването на отклонения в ДНК при системно излагане се получава при концентрации, които могат да се получат при прием на препоръчаната доза ципротерон ацетат Последствие от третирането с ципротеронов ацетат </w:t>
      </w:r>
      <w:r w:rsidRPr="00C50FCA">
        <w:rPr>
          <w:rFonts w:eastAsia="Times New Roman" w:cs="Arial"/>
          <w:i/>
          <w:iCs/>
          <w:color w:val="000000"/>
          <w:lang w:val="en-US"/>
        </w:rPr>
        <w:t>“in vivo”</w:t>
      </w:r>
      <w:r w:rsidRPr="00C50FCA">
        <w:rPr>
          <w:rFonts w:eastAsia="Times New Roman" w:cs="Arial"/>
          <w:color w:val="000000"/>
          <w:lang w:val="en-US"/>
        </w:rPr>
        <w:t xml:space="preserve"> </w:t>
      </w:r>
      <w:r w:rsidRPr="00C50FCA">
        <w:rPr>
          <w:rFonts w:eastAsia="Times New Roman" w:cs="Arial"/>
          <w:color w:val="000000"/>
          <w:lang w:eastAsia="bg-BG"/>
        </w:rPr>
        <w:t>е увеличената честота на</w:t>
      </w:r>
      <w:r w:rsidRPr="00C50FCA">
        <w:rPr>
          <w:rFonts w:eastAsia="Times New Roman" w:cs="Arial"/>
          <w:color w:val="000000"/>
          <w:lang w:eastAsia="bg-BG"/>
        </w:rPr>
        <w:t xml:space="preserve"> </w:t>
      </w:r>
      <w:r w:rsidRPr="00C50FCA">
        <w:rPr>
          <w:rFonts w:eastAsia="Times New Roman" w:cs="Arial"/>
          <w:color w:val="000000"/>
          <w:lang w:eastAsia="bg-BG"/>
        </w:rPr>
        <w:t>фокални, възможни пренеопластични чернодробни лезии, с промяна на клетъчните ензими у женски плъхове, както и увеличение на мутационната честота в трансгенни плъхове е бактериален ген като таргетен за мутации.</w:t>
      </w:r>
    </w:p>
    <w:p w14:paraId="3E309BBC" w14:textId="77777777" w:rsidR="00C50FCA" w:rsidRPr="00C50FCA" w:rsidRDefault="00C50FCA" w:rsidP="00C50FCA">
      <w:pPr>
        <w:spacing w:line="240" w:lineRule="auto"/>
        <w:rPr>
          <w:rFonts w:eastAsia="Times New Roman" w:cs="Arial"/>
          <w:sz w:val="28"/>
          <w:szCs w:val="28"/>
          <w:lang w:eastAsia="bg-BG"/>
        </w:rPr>
      </w:pPr>
      <w:r w:rsidRPr="00C50FCA">
        <w:rPr>
          <w:rFonts w:eastAsia="Times New Roman" w:cs="Arial"/>
          <w:color w:val="000000"/>
          <w:lang w:eastAsia="bg-BG"/>
        </w:rPr>
        <w:t>Клиничният опит и проведените епидемиологични изпитвания досега не потвърждават увеличената честота на поява на чернодробни тумори при хора, както и изследванията за канцерогенност на ципротеронов ацетат, проведени с гризачи, не показват признаци на специфичен канцерогенен потенциал.</w:t>
      </w:r>
    </w:p>
    <w:p w14:paraId="23248768" w14:textId="77777777" w:rsidR="00C50FCA" w:rsidRPr="00C50FCA" w:rsidRDefault="00C50FCA" w:rsidP="00C50FCA">
      <w:pPr>
        <w:spacing w:line="240" w:lineRule="auto"/>
        <w:rPr>
          <w:rFonts w:eastAsia="Times New Roman" w:cs="Arial"/>
          <w:color w:val="000000"/>
          <w:lang w:eastAsia="bg-BG"/>
        </w:rPr>
      </w:pPr>
    </w:p>
    <w:p w14:paraId="69D34792" w14:textId="6EC1FD6F" w:rsidR="00C50FCA" w:rsidRPr="00C50FCA" w:rsidRDefault="00C50FCA" w:rsidP="00C50FCA">
      <w:pPr>
        <w:spacing w:line="240" w:lineRule="auto"/>
        <w:rPr>
          <w:rFonts w:eastAsia="Times New Roman" w:cs="Arial"/>
          <w:sz w:val="28"/>
          <w:szCs w:val="28"/>
          <w:lang w:eastAsia="bg-BG"/>
        </w:rPr>
      </w:pPr>
      <w:r w:rsidRPr="00C50FCA">
        <w:rPr>
          <w:rFonts w:eastAsia="Times New Roman" w:cs="Arial"/>
          <w:color w:val="000000"/>
          <w:lang w:eastAsia="bg-BG"/>
        </w:rPr>
        <w:t>Въпреки това, трябва да се има предвид, че половите стероидни хормони могат да предизвикат растеж на някои хормонално зависими тъкани и тумори,</w:t>
      </w:r>
    </w:p>
    <w:p w14:paraId="4B67F8D6" w14:textId="77777777" w:rsidR="00C50FCA" w:rsidRPr="00C50FCA" w:rsidRDefault="00C50FCA" w:rsidP="00C50FCA">
      <w:pPr>
        <w:spacing w:line="240" w:lineRule="auto"/>
        <w:rPr>
          <w:rFonts w:eastAsia="Times New Roman" w:cs="Arial"/>
          <w:color w:val="000000"/>
          <w:lang w:eastAsia="bg-BG"/>
        </w:rPr>
      </w:pPr>
    </w:p>
    <w:p w14:paraId="696DA8CB" w14:textId="11823640" w:rsidR="00C50FCA" w:rsidRPr="00C50FCA" w:rsidRDefault="00C50FCA" w:rsidP="00C50FCA">
      <w:pPr>
        <w:spacing w:line="240" w:lineRule="auto"/>
        <w:rPr>
          <w:rFonts w:eastAsia="Times New Roman" w:cs="Arial"/>
          <w:sz w:val="28"/>
          <w:szCs w:val="28"/>
          <w:lang w:eastAsia="bg-BG"/>
        </w:rPr>
      </w:pPr>
      <w:r w:rsidRPr="00C50FCA">
        <w:rPr>
          <w:rFonts w:eastAsia="Times New Roman" w:cs="Arial"/>
          <w:color w:val="000000"/>
          <w:lang w:eastAsia="bg-BG"/>
        </w:rPr>
        <w:t>В заключение, досегашните находки не предизвикват възражение срещу употребата на Диане 35 при хора, при съответното показание и в препоръчаната доза.</w:t>
      </w:r>
    </w:p>
    <w:p w14:paraId="76CD5D01" w14:textId="2EF15E25" w:rsidR="00C50FCA" w:rsidRPr="00C50FCA" w:rsidRDefault="00C50FCA" w:rsidP="00C50FCA"/>
    <w:p w14:paraId="357049A8" w14:textId="560D4C5D" w:rsidR="00BB22B4" w:rsidRDefault="002C50EE" w:rsidP="00471F10">
      <w:pPr>
        <w:pStyle w:val="Heading1"/>
      </w:pPr>
      <w:r>
        <w:t>7. ПРИТЕЖАТЕЛ НА РАЗРЕШЕНИЕТО ЗА УПОТРЕБА</w:t>
      </w:r>
    </w:p>
    <w:p w14:paraId="57376E2A" w14:textId="048A2E0F" w:rsidR="00C50FCA" w:rsidRDefault="00C50FCA" w:rsidP="00C50FCA"/>
    <w:p w14:paraId="5061824D" w14:textId="77777777" w:rsidR="00C50FCA" w:rsidRPr="00C50FCA" w:rsidRDefault="00C50FCA" w:rsidP="00C50FCA">
      <w:pPr>
        <w:rPr>
          <w:sz w:val="24"/>
          <w:szCs w:val="24"/>
          <w:lang w:val="en-US" w:eastAsia="bg-BG"/>
        </w:rPr>
      </w:pPr>
      <w:r w:rsidRPr="00C50FCA">
        <w:rPr>
          <w:lang w:val="en-US"/>
        </w:rPr>
        <w:t>Bayer AG</w:t>
      </w:r>
    </w:p>
    <w:p w14:paraId="47D0A9A6" w14:textId="77777777" w:rsidR="00C50FCA" w:rsidRPr="00C50FCA" w:rsidRDefault="00C50FCA" w:rsidP="00C50FCA">
      <w:pPr>
        <w:rPr>
          <w:sz w:val="24"/>
          <w:szCs w:val="24"/>
          <w:lang w:val="en-US" w:eastAsia="bg-BG"/>
        </w:rPr>
      </w:pPr>
      <w:r w:rsidRPr="00C50FCA">
        <w:rPr>
          <w:lang w:val="en-US"/>
        </w:rPr>
        <w:t xml:space="preserve">Kaiser-Wilhelm-Allee </w:t>
      </w:r>
      <w:r w:rsidRPr="00C50FCA">
        <w:rPr>
          <w:lang w:eastAsia="bg-BG"/>
        </w:rPr>
        <w:t>1</w:t>
      </w:r>
    </w:p>
    <w:p w14:paraId="44159F09" w14:textId="7D2B9F2A" w:rsidR="00C50FCA" w:rsidRPr="00C50FCA" w:rsidRDefault="00C50FCA" w:rsidP="00C50FCA">
      <w:pPr>
        <w:rPr>
          <w:sz w:val="24"/>
          <w:szCs w:val="24"/>
          <w:lang w:val="en-US" w:eastAsia="bg-BG"/>
        </w:rPr>
      </w:pPr>
      <w:r w:rsidRPr="00C50FCA">
        <w:rPr>
          <w:lang w:eastAsia="bg-BG"/>
        </w:rPr>
        <w:t xml:space="preserve">51373 </w:t>
      </w:r>
      <w:r w:rsidRPr="00C50FCA">
        <w:rPr>
          <w:lang w:val="en-US"/>
        </w:rPr>
        <w:t xml:space="preserve">Leverkusen, </w:t>
      </w:r>
      <w:r w:rsidRPr="00C50FCA">
        <w:rPr>
          <w:lang w:eastAsia="bg-BG"/>
        </w:rPr>
        <w:t>Германия</w:t>
      </w:r>
    </w:p>
    <w:p w14:paraId="0A53321D" w14:textId="7DA35703" w:rsidR="00EE6C97" w:rsidRDefault="00936AD0" w:rsidP="00A93499">
      <w:pPr>
        <w:pStyle w:val="Heading1"/>
      </w:pPr>
      <w:r>
        <w:t>8.</w:t>
      </w:r>
      <w:r w:rsidR="002C50EE">
        <w:t>НОМЕР НА РАЗРЕШЕНИЕТО ЗА УПОТРЕБА</w:t>
      </w:r>
    </w:p>
    <w:p w14:paraId="7E4E11BC" w14:textId="140B5F0C" w:rsidR="00C50FCA" w:rsidRDefault="00C50FCA" w:rsidP="00C50FCA"/>
    <w:p w14:paraId="134A0BAE" w14:textId="1D8806CF" w:rsidR="00C50FCA" w:rsidRPr="00C50FCA" w:rsidRDefault="00C50FCA" w:rsidP="00C50FCA">
      <w:pPr>
        <w:rPr>
          <w:sz w:val="24"/>
          <w:szCs w:val="24"/>
          <w:lang w:eastAsia="bg-BG"/>
        </w:rPr>
      </w:pPr>
      <w:r w:rsidRPr="00C50FCA">
        <w:rPr>
          <w:lang w:eastAsia="bg-BG"/>
        </w:rPr>
        <w:t>Регистрационен номер: 20000493</w:t>
      </w:r>
    </w:p>
    <w:p w14:paraId="7C2688F5" w14:textId="6D610EDF" w:rsidR="00F62E44" w:rsidRDefault="00F62E44" w:rsidP="00F62E44"/>
    <w:p w14:paraId="00481C21" w14:textId="2E9854A2" w:rsidR="00F62E44" w:rsidRDefault="002C50EE" w:rsidP="00387A66">
      <w:pPr>
        <w:pStyle w:val="Heading1"/>
      </w:pPr>
      <w:r>
        <w:t>9. ДАТА НА ПЪРВО РАЗРЕШАВАНЕ/ПОДНОВЯВАНЕ НА РАЗРЕШЕНИЕТО ЗА УПОТРЕБА</w:t>
      </w:r>
    </w:p>
    <w:p w14:paraId="24F39868" w14:textId="302A812F" w:rsidR="00C50FCA" w:rsidRDefault="00C50FCA" w:rsidP="00C50FCA"/>
    <w:p w14:paraId="47F6A273" w14:textId="77777777" w:rsidR="00C50FCA" w:rsidRPr="00C50FCA" w:rsidRDefault="00C50FCA" w:rsidP="00C50FCA">
      <w:pPr>
        <w:rPr>
          <w:sz w:val="24"/>
          <w:szCs w:val="24"/>
          <w:lang w:eastAsia="bg-BG"/>
        </w:rPr>
      </w:pPr>
      <w:r w:rsidRPr="00C50FCA">
        <w:rPr>
          <w:lang w:eastAsia="bg-BG"/>
        </w:rPr>
        <w:t>Първо разрешаване за употреба: 15.08.2000 г.</w:t>
      </w:r>
    </w:p>
    <w:p w14:paraId="69AAB2C7" w14:textId="5BC2F024" w:rsidR="00C50FCA" w:rsidRPr="00C50FCA" w:rsidRDefault="00C50FCA" w:rsidP="00C50FCA">
      <w:r w:rsidRPr="00C50FCA">
        <w:rPr>
          <w:lang w:eastAsia="bg-BG"/>
        </w:rPr>
        <w:t>Подновяване на разрешението за употреба: 11.11.2011 г.</w:t>
      </w:r>
    </w:p>
    <w:p w14:paraId="43FB38A2" w14:textId="0C18A683" w:rsidR="007C605B" w:rsidRDefault="002C50EE" w:rsidP="005726E3">
      <w:pPr>
        <w:pStyle w:val="Heading1"/>
      </w:pPr>
      <w:r>
        <w:t>10. ДАТА НА АКТУАЛИЗИРАНЕ НА ТЕКСТА</w:t>
      </w:r>
      <w:bookmarkEnd w:id="0"/>
    </w:p>
    <w:p w14:paraId="472617BD" w14:textId="350470DE" w:rsidR="00BB22B4" w:rsidRPr="00BB22B4" w:rsidRDefault="00C50FCA" w:rsidP="00C50FCA">
      <w:r>
        <w:t>10/2022</w:t>
      </w:r>
    </w:p>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9DCBA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00000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1FB6B29"/>
    <w:multiLevelType w:val="hybridMultilevel"/>
    <w:tmpl w:val="C78E0B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B7C16"/>
    <w:multiLevelType w:val="hybridMultilevel"/>
    <w:tmpl w:val="4868169A"/>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5"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3E481C51"/>
    <w:multiLevelType w:val="hybridMultilevel"/>
    <w:tmpl w:val="9E0A97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8"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46478E"/>
    <w:multiLevelType w:val="hybridMultilevel"/>
    <w:tmpl w:val="83AA77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544F22D0"/>
    <w:multiLevelType w:val="hybridMultilevel"/>
    <w:tmpl w:val="9E2C6904"/>
    <w:lvl w:ilvl="0" w:tplc="77464836">
      <w:start w:val="4"/>
      <w:numFmt w:val="bullet"/>
      <w:lvlText w:val="-"/>
      <w:lvlJc w:val="left"/>
      <w:pPr>
        <w:ind w:left="720" w:hanging="360"/>
      </w:pPr>
      <w:rPr>
        <w:rFonts w:ascii="Times New Roman" w:eastAsia="Times New Roman" w:hAnsi="Times New Roman" w:cs="Times New Roman" w:hint="default"/>
        <w:color w:val="000000"/>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890FBC"/>
    <w:multiLevelType w:val="hybridMultilevel"/>
    <w:tmpl w:val="959C13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5A6B12"/>
    <w:multiLevelType w:val="hybridMultilevel"/>
    <w:tmpl w:val="A53EC4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6DE96543"/>
    <w:multiLevelType w:val="hybridMultilevel"/>
    <w:tmpl w:val="16424268"/>
    <w:lvl w:ilvl="0" w:tplc="77464836">
      <w:start w:val="4"/>
      <w:numFmt w:val="bullet"/>
      <w:lvlText w:val="-"/>
      <w:lvlJc w:val="left"/>
      <w:pPr>
        <w:ind w:left="720" w:hanging="360"/>
      </w:pPr>
      <w:rPr>
        <w:rFonts w:ascii="Times New Roman" w:eastAsia="Times New Roman" w:hAnsi="Times New Roman" w:cs="Times New Roman" w:hint="default"/>
        <w:color w:val="000000"/>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72F3296D"/>
    <w:multiLevelType w:val="hybridMultilevel"/>
    <w:tmpl w:val="917A85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6"/>
  </w:num>
  <w:num w:numId="2" w16cid:durableId="1612932146">
    <w:abstractNumId w:val="0"/>
  </w:num>
  <w:num w:numId="3" w16cid:durableId="1810323821">
    <w:abstractNumId w:val="18"/>
  </w:num>
  <w:num w:numId="4" w16cid:durableId="2135319613">
    <w:abstractNumId w:val="4"/>
  </w:num>
  <w:num w:numId="5" w16cid:durableId="740105516">
    <w:abstractNumId w:val="1"/>
  </w:num>
  <w:num w:numId="6" w16cid:durableId="1668363208">
    <w:abstractNumId w:val="23"/>
  </w:num>
  <w:num w:numId="7" w16cid:durableId="1241988161">
    <w:abstractNumId w:val="15"/>
  </w:num>
  <w:num w:numId="8" w16cid:durableId="2102022361">
    <w:abstractNumId w:val="21"/>
  </w:num>
  <w:num w:numId="9" w16cid:durableId="1154613663">
    <w:abstractNumId w:val="3"/>
  </w:num>
  <w:num w:numId="10" w16cid:durableId="1733848127">
    <w:abstractNumId w:val="5"/>
  </w:num>
  <w:num w:numId="11" w16cid:durableId="1861704680">
    <w:abstractNumId w:val="40"/>
  </w:num>
  <w:num w:numId="12" w16cid:durableId="1434934028">
    <w:abstractNumId w:val="19"/>
  </w:num>
  <w:num w:numId="13" w16cid:durableId="479157895">
    <w:abstractNumId w:val="26"/>
  </w:num>
  <w:num w:numId="14" w16cid:durableId="1670476636">
    <w:abstractNumId w:val="17"/>
  </w:num>
  <w:num w:numId="15" w16cid:durableId="1000155783">
    <w:abstractNumId w:val="39"/>
  </w:num>
  <w:num w:numId="16" w16cid:durableId="2056420707">
    <w:abstractNumId w:val="14"/>
  </w:num>
  <w:num w:numId="17" w16cid:durableId="1787119182">
    <w:abstractNumId w:val="31"/>
  </w:num>
  <w:num w:numId="18" w16cid:durableId="722945139">
    <w:abstractNumId w:val="11"/>
  </w:num>
  <w:num w:numId="19" w16cid:durableId="1678728408">
    <w:abstractNumId w:val="35"/>
  </w:num>
  <w:num w:numId="20" w16cid:durableId="1970816657">
    <w:abstractNumId w:val="30"/>
  </w:num>
  <w:num w:numId="21" w16cid:durableId="1531146514">
    <w:abstractNumId w:val="24"/>
  </w:num>
  <w:num w:numId="22" w16cid:durableId="1276465">
    <w:abstractNumId w:val="32"/>
  </w:num>
  <w:num w:numId="23" w16cid:durableId="1624310558">
    <w:abstractNumId w:val="25"/>
  </w:num>
  <w:num w:numId="24" w16cid:durableId="1692877547">
    <w:abstractNumId w:val="12"/>
  </w:num>
  <w:num w:numId="25" w16cid:durableId="50930855">
    <w:abstractNumId w:val="29"/>
  </w:num>
  <w:num w:numId="26" w16cid:durableId="176701536">
    <w:abstractNumId w:val="28"/>
  </w:num>
  <w:num w:numId="27" w16cid:durableId="2050564750">
    <w:abstractNumId w:val="44"/>
  </w:num>
  <w:num w:numId="28" w16cid:durableId="1820733422">
    <w:abstractNumId w:val="7"/>
  </w:num>
  <w:num w:numId="29" w16cid:durableId="973678124">
    <w:abstractNumId w:val="27"/>
  </w:num>
  <w:num w:numId="30" w16cid:durableId="154884452">
    <w:abstractNumId w:val="48"/>
  </w:num>
  <w:num w:numId="31" w16cid:durableId="1053964910">
    <w:abstractNumId w:val="6"/>
  </w:num>
  <w:num w:numId="32" w16cid:durableId="2073575793">
    <w:abstractNumId w:val="46"/>
  </w:num>
  <w:num w:numId="33" w16cid:durableId="1566643170">
    <w:abstractNumId w:val="38"/>
  </w:num>
  <w:num w:numId="34" w16cid:durableId="2060787732">
    <w:abstractNumId w:val="45"/>
  </w:num>
  <w:num w:numId="35" w16cid:durableId="34161354">
    <w:abstractNumId w:val="9"/>
  </w:num>
  <w:num w:numId="36" w16cid:durableId="1976908676">
    <w:abstractNumId w:val="13"/>
  </w:num>
  <w:num w:numId="37" w16cid:durableId="758528303">
    <w:abstractNumId w:val="20"/>
  </w:num>
  <w:num w:numId="38" w16cid:durableId="178396561">
    <w:abstractNumId w:val="47"/>
  </w:num>
  <w:num w:numId="39" w16cid:durableId="934825996">
    <w:abstractNumId w:val="16"/>
  </w:num>
  <w:num w:numId="40" w16cid:durableId="397367927">
    <w:abstractNumId w:val="33"/>
  </w:num>
  <w:num w:numId="41" w16cid:durableId="488061319">
    <w:abstractNumId w:val="2"/>
  </w:num>
  <w:num w:numId="42" w16cid:durableId="893734855">
    <w:abstractNumId w:val="43"/>
  </w:num>
  <w:num w:numId="43" w16cid:durableId="1231698084">
    <w:abstractNumId w:val="10"/>
  </w:num>
  <w:num w:numId="44" w16cid:durableId="7604728">
    <w:abstractNumId w:val="8"/>
  </w:num>
  <w:num w:numId="45" w16cid:durableId="1214926505">
    <w:abstractNumId w:val="37"/>
  </w:num>
  <w:num w:numId="46" w16cid:durableId="393354312">
    <w:abstractNumId w:val="42"/>
  </w:num>
  <w:num w:numId="47" w16cid:durableId="1649169105">
    <w:abstractNumId w:val="34"/>
  </w:num>
  <w:num w:numId="48" w16cid:durableId="51933209">
    <w:abstractNumId w:val="22"/>
  </w:num>
  <w:num w:numId="49" w16cid:durableId="89909401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85A46"/>
    <w:rsid w:val="001915B6"/>
    <w:rsid w:val="001A6EBD"/>
    <w:rsid w:val="001D095A"/>
    <w:rsid w:val="001D1B23"/>
    <w:rsid w:val="002B3C38"/>
    <w:rsid w:val="002B4DBB"/>
    <w:rsid w:val="002C50EE"/>
    <w:rsid w:val="003125A3"/>
    <w:rsid w:val="00340A0A"/>
    <w:rsid w:val="00340E8D"/>
    <w:rsid w:val="003765DC"/>
    <w:rsid w:val="00387A66"/>
    <w:rsid w:val="00395555"/>
    <w:rsid w:val="003E3126"/>
    <w:rsid w:val="00426E5F"/>
    <w:rsid w:val="00471F10"/>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8F7F23"/>
    <w:rsid w:val="00936AD0"/>
    <w:rsid w:val="00954129"/>
    <w:rsid w:val="009773E4"/>
    <w:rsid w:val="009B171C"/>
    <w:rsid w:val="009F1313"/>
    <w:rsid w:val="009F77A4"/>
    <w:rsid w:val="00A20351"/>
    <w:rsid w:val="00A428B7"/>
    <w:rsid w:val="00A65A81"/>
    <w:rsid w:val="00A71DCF"/>
    <w:rsid w:val="00A93499"/>
    <w:rsid w:val="00AA23EC"/>
    <w:rsid w:val="00AC63CE"/>
    <w:rsid w:val="00AE2107"/>
    <w:rsid w:val="00B275A8"/>
    <w:rsid w:val="00B6672E"/>
    <w:rsid w:val="00BA5B74"/>
    <w:rsid w:val="00BB22B4"/>
    <w:rsid w:val="00BF2600"/>
    <w:rsid w:val="00C0049F"/>
    <w:rsid w:val="00C07B84"/>
    <w:rsid w:val="00C33464"/>
    <w:rsid w:val="00C40420"/>
    <w:rsid w:val="00C50FCA"/>
    <w:rsid w:val="00C809A7"/>
    <w:rsid w:val="00C83063"/>
    <w:rsid w:val="00C87E90"/>
    <w:rsid w:val="00CA1B57"/>
    <w:rsid w:val="00CF77F7"/>
    <w:rsid w:val="00D34BA2"/>
    <w:rsid w:val="00D86297"/>
    <w:rsid w:val="00DB32D3"/>
    <w:rsid w:val="00DD466D"/>
    <w:rsid w:val="00E9184E"/>
    <w:rsid w:val="00EB6364"/>
    <w:rsid w:val="00EE6C97"/>
    <w:rsid w:val="00F37B64"/>
    <w:rsid w:val="00F53FB7"/>
    <w:rsid w:val="00F62E4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6788</Words>
  <Characters>38697</Characters>
  <Application>Microsoft Office Word</Application>
  <DocSecurity>0</DocSecurity>
  <Lines>322</Lines>
  <Paragraphs>90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2023-03-04T19:26:00Z</dcterms:created>
  <dcterms:modified xsi:type="dcterms:W3CDTF">2023-03-04T19:26:00Z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