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3B239815" w14:textId="73413960" w:rsidR="00AA23EC" w:rsidRDefault="00DD466D" w:rsidP="00DD466D">
      <w:pPr>
        <w:pStyle w:val="Heading1"/>
      </w:pPr>
      <w:r>
        <w:t>1.ИМЕ НА ЛЕКАРСТВЕНИЯ ПРОДУКТ</w:t>
      </w:r>
    </w:p>
    <w:p w14:paraId="2843080B" w14:textId="2E9864B1" w:rsidR="004D7A51" w:rsidRDefault="004D7A51" w:rsidP="004D7A51"/>
    <w:p w14:paraId="0B2E51DD" w14:textId="77777777" w:rsidR="004D7A51" w:rsidRPr="004D7A51" w:rsidRDefault="004D7A51" w:rsidP="004D7A51">
      <w:pPr>
        <w:rPr>
          <w:sz w:val="24"/>
          <w:szCs w:val="24"/>
        </w:rPr>
      </w:pPr>
      <w:r w:rsidRPr="004D7A51">
        <w:rPr>
          <w:lang w:eastAsia="bg-BG"/>
        </w:rPr>
        <w:t>Диклак 1% гел</w:t>
      </w:r>
    </w:p>
    <w:p w14:paraId="275B93D9" w14:textId="0B074BBA" w:rsidR="004D7A51" w:rsidRPr="004D7A51" w:rsidRDefault="004D7A51" w:rsidP="004D7A51">
      <w:proofErr w:type="spellStart"/>
      <w:r w:rsidRPr="004D7A51">
        <w:rPr>
          <w:lang w:val="en-US"/>
        </w:rPr>
        <w:t>Diclac</w:t>
      </w:r>
      <w:proofErr w:type="spellEnd"/>
      <w:r w:rsidRPr="004D7A51">
        <w:rPr>
          <w:lang w:val="en-US"/>
        </w:rPr>
        <w:t xml:space="preserve"> </w:t>
      </w:r>
      <w:r w:rsidRPr="004D7A51">
        <w:rPr>
          <w:lang w:eastAsia="bg-BG"/>
        </w:rPr>
        <w:t xml:space="preserve">1% </w:t>
      </w:r>
      <w:r w:rsidRPr="004D7A51">
        <w:rPr>
          <w:lang w:val="en-US"/>
        </w:rPr>
        <w:t>gel</w:t>
      </w:r>
    </w:p>
    <w:p w14:paraId="0A368469" w14:textId="31F0DA24" w:rsidR="00C0049F" w:rsidRDefault="00DD466D" w:rsidP="009F1313">
      <w:pPr>
        <w:pStyle w:val="Heading1"/>
      </w:pPr>
      <w:r>
        <w:t>2. КАЧЕСТВЕН И КОЛИЧЕСТВЕН СЪСТАВ</w:t>
      </w:r>
    </w:p>
    <w:p w14:paraId="7FED5A0F" w14:textId="4FA5007D" w:rsidR="004D7A51" w:rsidRDefault="004D7A51" w:rsidP="004D7A51"/>
    <w:p w14:paraId="5BADC591" w14:textId="77777777" w:rsidR="004D7A51" w:rsidRPr="004D7A51" w:rsidRDefault="004D7A51" w:rsidP="004D7A51">
      <w:pPr>
        <w:spacing w:line="240" w:lineRule="auto"/>
        <w:rPr>
          <w:rFonts w:eastAsia="Times New Roman" w:cs="Arial"/>
          <w:sz w:val="24"/>
          <w:szCs w:val="24"/>
        </w:rPr>
      </w:pPr>
      <w:r w:rsidRPr="004D7A51">
        <w:rPr>
          <w:rFonts w:eastAsia="Times New Roman" w:cs="Arial"/>
          <w:color w:val="000000"/>
          <w:lang w:eastAsia="bg-BG"/>
        </w:rPr>
        <w:t xml:space="preserve">1 </w:t>
      </w:r>
      <w:r w:rsidRPr="004D7A51">
        <w:rPr>
          <w:rFonts w:eastAsia="Times New Roman" w:cs="Arial"/>
          <w:color w:val="000000"/>
          <w:lang w:val="en-US"/>
        </w:rPr>
        <w:t>g</w:t>
      </w:r>
      <w:r w:rsidRPr="004D7A51">
        <w:rPr>
          <w:rFonts w:eastAsia="Times New Roman" w:cs="Arial"/>
          <w:color w:val="000000"/>
        </w:rPr>
        <w:t xml:space="preserve"> </w:t>
      </w:r>
      <w:r w:rsidRPr="004D7A51">
        <w:rPr>
          <w:rFonts w:eastAsia="Times New Roman" w:cs="Arial"/>
          <w:color w:val="000000"/>
          <w:lang w:eastAsia="bg-BG"/>
        </w:rPr>
        <w:t xml:space="preserve">гел съдържа 10 </w:t>
      </w:r>
      <w:r w:rsidRPr="004D7A51">
        <w:rPr>
          <w:rFonts w:eastAsia="Times New Roman" w:cs="Arial"/>
          <w:color w:val="000000"/>
          <w:lang w:val="en-US"/>
        </w:rPr>
        <w:t>mg</w:t>
      </w:r>
      <w:r w:rsidRPr="004D7A51">
        <w:rPr>
          <w:rFonts w:eastAsia="Times New Roman" w:cs="Arial"/>
          <w:color w:val="000000"/>
        </w:rPr>
        <w:t xml:space="preserve"> </w:t>
      </w:r>
      <w:r w:rsidRPr="004D7A51">
        <w:rPr>
          <w:rFonts w:eastAsia="Times New Roman" w:cs="Arial"/>
          <w:color w:val="000000"/>
          <w:lang w:eastAsia="bg-BG"/>
        </w:rPr>
        <w:t xml:space="preserve">диклофенак натрий </w:t>
      </w:r>
      <w:r w:rsidRPr="004D7A51">
        <w:rPr>
          <w:rFonts w:eastAsia="Times New Roman" w:cs="Arial"/>
          <w:color w:val="000000"/>
        </w:rPr>
        <w:t>(</w:t>
      </w:r>
      <w:r w:rsidRPr="004D7A51">
        <w:rPr>
          <w:rFonts w:eastAsia="Times New Roman" w:cs="Arial"/>
          <w:color w:val="000000"/>
          <w:lang w:val="en-US"/>
        </w:rPr>
        <w:t>diclofenac</w:t>
      </w:r>
      <w:r w:rsidRPr="004D7A51">
        <w:rPr>
          <w:rFonts w:eastAsia="Times New Roman" w:cs="Arial"/>
          <w:color w:val="000000"/>
        </w:rPr>
        <w:t xml:space="preserve"> </w:t>
      </w:r>
      <w:r w:rsidRPr="004D7A51">
        <w:rPr>
          <w:rFonts w:eastAsia="Times New Roman" w:cs="Arial"/>
          <w:color w:val="000000"/>
          <w:lang w:val="en-US"/>
        </w:rPr>
        <w:t>sodium</w:t>
      </w:r>
      <w:r w:rsidRPr="004D7A51">
        <w:rPr>
          <w:rFonts w:eastAsia="Times New Roman" w:cs="Arial"/>
          <w:color w:val="000000"/>
        </w:rPr>
        <w:t>).</w:t>
      </w:r>
    </w:p>
    <w:p w14:paraId="2EB554F3" w14:textId="77777777" w:rsidR="004D7A51" w:rsidRPr="004D7A51" w:rsidRDefault="004D7A51" w:rsidP="004D7A51">
      <w:pPr>
        <w:spacing w:line="240" w:lineRule="auto"/>
        <w:rPr>
          <w:rFonts w:eastAsia="Times New Roman" w:cs="Arial"/>
          <w:color w:val="000000"/>
          <w:u w:val="single"/>
          <w:lang w:eastAsia="bg-BG"/>
        </w:rPr>
      </w:pPr>
    </w:p>
    <w:p w14:paraId="3481206C" w14:textId="58C5936B" w:rsidR="004D7A51" w:rsidRPr="004D7A51" w:rsidRDefault="004D7A51" w:rsidP="004D7A51">
      <w:pPr>
        <w:spacing w:line="240" w:lineRule="auto"/>
        <w:rPr>
          <w:rFonts w:eastAsia="Times New Roman" w:cs="Arial"/>
          <w:sz w:val="24"/>
          <w:szCs w:val="24"/>
        </w:rPr>
      </w:pPr>
      <w:r w:rsidRPr="004D7A51">
        <w:rPr>
          <w:rFonts w:eastAsia="Times New Roman" w:cs="Arial"/>
          <w:color w:val="000000"/>
          <w:u w:val="single"/>
          <w:lang w:eastAsia="bg-BG"/>
        </w:rPr>
        <w:t xml:space="preserve">Помощни вещества с известно действие (в състава на ароматни субстанции) </w:t>
      </w:r>
      <w:r w:rsidRPr="004D7A51">
        <w:rPr>
          <w:rFonts w:eastAsia="Times New Roman" w:cs="Arial"/>
          <w:color w:val="000000"/>
          <w:lang w:eastAsia="bg-BG"/>
        </w:rPr>
        <w:t>Бензил бензоат 0,2 %Бензилов алкохол 0,02 %</w:t>
      </w:r>
    </w:p>
    <w:p w14:paraId="08108BD0" w14:textId="77777777" w:rsidR="004D7A51" w:rsidRPr="004D7A51" w:rsidRDefault="004D7A51" w:rsidP="004D7A51"/>
    <w:p w14:paraId="614984C4" w14:textId="36FEC781" w:rsidR="008A6AF2" w:rsidRDefault="00DD466D" w:rsidP="002C50EE">
      <w:pPr>
        <w:pStyle w:val="Heading1"/>
      </w:pPr>
      <w:r>
        <w:t>3. ЛЕКАРСТВЕНА ФОРМА</w:t>
      </w:r>
    </w:p>
    <w:p w14:paraId="6738785A" w14:textId="7C6E0263" w:rsidR="004D7A51" w:rsidRDefault="004D7A51" w:rsidP="004D7A51"/>
    <w:p w14:paraId="235E8D2C" w14:textId="74E1A00A" w:rsidR="004D7A51" w:rsidRPr="004D7A51" w:rsidRDefault="004D7A51" w:rsidP="004D7A51">
      <w:r>
        <w:t>Гел.</w:t>
      </w:r>
    </w:p>
    <w:p w14:paraId="490FC2C4" w14:textId="32682B15" w:rsidR="002C50EE" w:rsidRDefault="002C50EE" w:rsidP="002C50EE">
      <w:pPr>
        <w:pStyle w:val="Heading1"/>
      </w:pPr>
      <w:r>
        <w:t>4. КЛИНИЧНИ ДАННИ</w:t>
      </w:r>
    </w:p>
    <w:p w14:paraId="754A29C8" w14:textId="34304510" w:rsidR="00C0049F" w:rsidRDefault="002C50EE" w:rsidP="009F1313">
      <w:pPr>
        <w:pStyle w:val="Heading2"/>
      </w:pPr>
      <w:r>
        <w:t>4.1. Терапевтични показания</w:t>
      </w:r>
    </w:p>
    <w:p w14:paraId="1A864943" w14:textId="0EC5841D" w:rsidR="00395555" w:rsidRDefault="00395555" w:rsidP="00395555"/>
    <w:p w14:paraId="0C1513EA" w14:textId="77777777" w:rsidR="004D7A51" w:rsidRPr="004D7A51" w:rsidRDefault="004D7A51" w:rsidP="004D7A51">
      <w:pPr>
        <w:rPr>
          <w:sz w:val="24"/>
          <w:szCs w:val="24"/>
        </w:rPr>
      </w:pPr>
      <w:r w:rsidRPr="004D7A51">
        <w:rPr>
          <w:lang w:eastAsia="bg-BG"/>
        </w:rPr>
        <w:t>За локално приложение при болка, възпаление и оток при:</w:t>
      </w:r>
    </w:p>
    <w:p w14:paraId="1FA9A019" w14:textId="77777777" w:rsidR="004D7A51" w:rsidRPr="004D7A51" w:rsidRDefault="004D7A51" w:rsidP="004D7A51">
      <w:pPr>
        <w:pStyle w:val="ListParagraph"/>
        <w:numPr>
          <w:ilvl w:val="0"/>
          <w:numId w:val="32"/>
        </w:numPr>
        <w:rPr>
          <w:sz w:val="24"/>
          <w:szCs w:val="24"/>
        </w:rPr>
      </w:pPr>
      <w:r w:rsidRPr="004D7A51">
        <w:rPr>
          <w:lang w:eastAsia="bg-BG"/>
        </w:rPr>
        <w:t>ревматични заболявания на меките тъкани (възпаление на сухожилията и лигаментите - тендинити, тендовагинити и бурсити, болезнена неподвижност на рамото, възпаление на мускулите и ставите);</w:t>
      </w:r>
    </w:p>
    <w:p w14:paraId="496F9960" w14:textId="77777777" w:rsidR="004D7A51" w:rsidRPr="004D7A51" w:rsidRDefault="004D7A51" w:rsidP="004D7A51">
      <w:pPr>
        <w:pStyle w:val="ListParagraph"/>
        <w:numPr>
          <w:ilvl w:val="0"/>
          <w:numId w:val="32"/>
        </w:numPr>
        <w:rPr>
          <w:sz w:val="24"/>
          <w:szCs w:val="24"/>
        </w:rPr>
      </w:pPr>
      <w:r w:rsidRPr="004D7A51">
        <w:rPr>
          <w:lang w:eastAsia="bg-BG"/>
        </w:rPr>
        <w:t>дегенеративни ставни заболявания (артроза на големите и малки стави) на крайниците и в областта на гръбначния стълб;</w:t>
      </w:r>
    </w:p>
    <w:p w14:paraId="595BDDDA" w14:textId="77777777" w:rsidR="004D7A51" w:rsidRPr="004D7A51" w:rsidRDefault="004D7A51" w:rsidP="004D7A51">
      <w:pPr>
        <w:pStyle w:val="ListParagraph"/>
        <w:numPr>
          <w:ilvl w:val="0"/>
          <w:numId w:val="32"/>
        </w:numPr>
        <w:rPr>
          <w:sz w:val="24"/>
          <w:szCs w:val="24"/>
        </w:rPr>
      </w:pPr>
      <w:r w:rsidRPr="004D7A51">
        <w:rPr>
          <w:lang w:eastAsia="bg-BG"/>
        </w:rPr>
        <w:t>спортни и битови травми (навяхвания, контузии, разтягания).</w:t>
      </w:r>
    </w:p>
    <w:p w14:paraId="4A6A1657" w14:textId="77777777" w:rsidR="004D7A51" w:rsidRPr="00395555" w:rsidRDefault="004D7A51" w:rsidP="00395555"/>
    <w:p w14:paraId="7C0CA5EB" w14:textId="6F8C82DA" w:rsidR="00C0049F" w:rsidRDefault="002C50EE" w:rsidP="009F1313">
      <w:pPr>
        <w:pStyle w:val="Heading2"/>
      </w:pPr>
      <w:r>
        <w:t>4.2. Дозировка и начин на приложение</w:t>
      </w:r>
    </w:p>
    <w:p w14:paraId="7C84E4CB" w14:textId="114A4CD7" w:rsidR="004D7A51" w:rsidRDefault="004D7A51" w:rsidP="004D7A51"/>
    <w:p w14:paraId="18F70978" w14:textId="77777777" w:rsidR="004D7A51" w:rsidRPr="004D7A51" w:rsidRDefault="004D7A51" w:rsidP="004D7A51">
      <w:pPr>
        <w:spacing w:line="240" w:lineRule="auto"/>
        <w:rPr>
          <w:rFonts w:eastAsia="Times New Roman" w:cs="Arial"/>
          <w:sz w:val="24"/>
          <w:szCs w:val="24"/>
        </w:rPr>
      </w:pPr>
      <w:r w:rsidRPr="004D7A51">
        <w:rPr>
          <w:rFonts w:eastAsia="Times New Roman" w:cs="Arial"/>
          <w:color w:val="000000"/>
          <w:lang w:eastAsia="bg-BG"/>
        </w:rPr>
        <w:t xml:space="preserve">Диклак гел се прилага 3 пъти дневно. Трябва да се изстискат около 11 </w:t>
      </w:r>
      <w:r w:rsidRPr="004D7A51">
        <w:rPr>
          <w:rFonts w:eastAsia="Times New Roman" w:cs="Arial"/>
          <w:color w:val="000000"/>
          <w:lang w:val="en-US"/>
        </w:rPr>
        <w:t>cm</w:t>
      </w:r>
      <w:r w:rsidRPr="004D7A51">
        <w:rPr>
          <w:rFonts w:eastAsia="Times New Roman" w:cs="Arial"/>
          <w:color w:val="000000"/>
          <w:lang w:val="ru-RU"/>
        </w:rPr>
        <w:t xml:space="preserve"> </w:t>
      </w:r>
      <w:r w:rsidRPr="004D7A51">
        <w:rPr>
          <w:rFonts w:eastAsia="Times New Roman" w:cs="Arial"/>
          <w:color w:val="000000"/>
          <w:lang w:eastAsia="bg-BG"/>
        </w:rPr>
        <w:t xml:space="preserve">от тела, съответстващи на 3 </w:t>
      </w:r>
      <w:r w:rsidRPr="004D7A51">
        <w:rPr>
          <w:rFonts w:eastAsia="Times New Roman" w:cs="Arial"/>
          <w:color w:val="000000"/>
          <w:lang w:val="en-US"/>
        </w:rPr>
        <w:t>g</w:t>
      </w:r>
      <w:r w:rsidRPr="004D7A51">
        <w:rPr>
          <w:rFonts w:eastAsia="Times New Roman" w:cs="Arial"/>
          <w:color w:val="000000"/>
          <w:lang w:val="ru-RU"/>
        </w:rPr>
        <w:t xml:space="preserve"> </w:t>
      </w:r>
      <w:r w:rsidRPr="004D7A51">
        <w:rPr>
          <w:rFonts w:eastAsia="Times New Roman" w:cs="Arial"/>
          <w:color w:val="000000"/>
          <w:lang w:eastAsia="bg-BG"/>
        </w:rPr>
        <w:t xml:space="preserve">гел (30 </w:t>
      </w:r>
      <w:r w:rsidRPr="004D7A51">
        <w:rPr>
          <w:rFonts w:eastAsia="Times New Roman" w:cs="Arial"/>
          <w:color w:val="000000"/>
          <w:lang w:val="en-US"/>
        </w:rPr>
        <w:t>mg</w:t>
      </w:r>
      <w:r w:rsidRPr="004D7A51">
        <w:rPr>
          <w:rFonts w:eastAsia="Times New Roman" w:cs="Arial"/>
          <w:color w:val="000000"/>
          <w:lang w:val="ru-RU"/>
        </w:rPr>
        <w:t xml:space="preserve"> </w:t>
      </w:r>
      <w:r w:rsidRPr="004D7A51">
        <w:rPr>
          <w:rFonts w:eastAsia="Times New Roman" w:cs="Arial"/>
          <w:color w:val="000000"/>
          <w:lang w:eastAsia="bg-BG"/>
        </w:rPr>
        <w:t xml:space="preserve">диклофенак натрий) и да се нанесат върху болезнената област. Максималната обща дневна доза е 9 </w:t>
      </w:r>
      <w:r w:rsidRPr="004D7A51">
        <w:rPr>
          <w:rFonts w:eastAsia="Times New Roman" w:cs="Arial"/>
          <w:color w:val="000000"/>
          <w:lang w:val="en-US"/>
        </w:rPr>
        <w:t>g</w:t>
      </w:r>
      <w:r w:rsidRPr="004D7A51">
        <w:rPr>
          <w:rFonts w:eastAsia="Times New Roman" w:cs="Arial"/>
          <w:color w:val="000000"/>
          <w:lang w:val="ru-RU"/>
        </w:rPr>
        <w:t xml:space="preserve"> </w:t>
      </w:r>
      <w:r w:rsidRPr="004D7A51">
        <w:rPr>
          <w:rFonts w:eastAsia="Times New Roman" w:cs="Arial"/>
          <w:color w:val="000000"/>
          <w:lang w:eastAsia="bg-BG"/>
        </w:rPr>
        <w:t xml:space="preserve">гел, сътветстващи на 90 </w:t>
      </w:r>
      <w:r w:rsidRPr="004D7A51">
        <w:rPr>
          <w:rFonts w:eastAsia="Times New Roman" w:cs="Arial"/>
          <w:color w:val="000000"/>
          <w:lang w:val="en-US"/>
        </w:rPr>
        <w:t>mg</w:t>
      </w:r>
      <w:r w:rsidRPr="004D7A51">
        <w:rPr>
          <w:rFonts w:eastAsia="Times New Roman" w:cs="Arial"/>
          <w:color w:val="000000"/>
          <w:lang w:val="ru-RU"/>
        </w:rPr>
        <w:t xml:space="preserve"> </w:t>
      </w:r>
      <w:r w:rsidRPr="004D7A51">
        <w:rPr>
          <w:rFonts w:eastAsia="Times New Roman" w:cs="Arial"/>
          <w:color w:val="000000"/>
          <w:lang w:eastAsia="bg-BG"/>
        </w:rPr>
        <w:t>диклофенак натрий.</w:t>
      </w:r>
    </w:p>
    <w:p w14:paraId="323C1F0E" w14:textId="77777777" w:rsidR="004D7A51" w:rsidRPr="004D7A51" w:rsidRDefault="004D7A51" w:rsidP="004D7A51">
      <w:pPr>
        <w:spacing w:line="240" w:lineRule="auto"/>
        <w:rPr>
          <w:rFonts w:eastAsia="Times New Roman" w:cs="Arial"/>
          <w:color w:val="000000"/>
          <w:u w:val="single"/>
          <w:lang w:eastAsia="bg-BG"/>
        </w:rPr>
      </w:pPr>
    </w:p>
    <w:p w14:paraId="5832F2F2" w14:textId="5D94D855" w:rsidR="004D7A51" w:rsidRPr="004D7A51" w:rsidRDefault="004D7A51" w:rsidP="004D7A51">
      <w:pPr>
        <w:spacing w:line="240" w:lineRule="auto"/>
        <w:rPr>
          <w:rFonts w:eastAsia="Times New Roman" w:cs="Arial"/>
          <w:sz w:val="24"/>
          <w:szCs w:val="24"/>
        </w:rPr>
      </w:pPr>
      <w:r w:rsidRPr="004D7A51">
        <w:rPr>
          <w:rFonts w:eastAsia="Times New Roman" w:cs="Arial"/>
          <w:color w:val="000000"/>
          <w:u w:val="single"/>
          <w:lang w:eastAsia="bg-BG"/>
        </w:rPr>
        <w:t>Специални популации</w:t>
      </w:r>
    </w:p>
    <w:p w14:paraId="19181F83" w14:textId="77777777" w:rsidR="004D7A51" w:rsidRPr="004D7A51" w:rsidRDefault="004D7A51" w:rsidP="004D7A51">
      <w:pPr>
        <w:spacing w:line="240" w:lineRule="auto"/>
        <w:rPr>
          <w:rFonts w:eastAsia="Times New Roman" w:cs="Arial"/>
          <w:i/>
          <w:iCs/>
          <w:color w:val="000000"/>
          <w:lang w:eastAsia="bg-BG"/>
        </w:rPr>
      </w:pPr>
    </w:p>
    <w:p w14:paraId="359F0A27" w14:textId="47801E53" w:rsidR="004D7A51" w:rsidRPr="004D7A51" w:rsidRDefault="004D7A51" w:rsidP="004D7A51">
      <w:pPr>
        <w:spacing w:line="240" w:lineRule="auto"/>
        <w:rPr>
          <w:rFonts w:eastAsia="Times New Roman" w:cs="Arial"/>
          <w:sz w:val="24"/>
          <w:szCs w:val="24"/>
        </w:rPr>
      </w:pPr>
      <w:r w:rsidRPr="004D7A51">
        <w:rPr>
          <w:rFonts w:eastAsia="Times New Roman" w:cs="Arial"/>
          <w:i/>
          <w:iCs/>
          <w:color w:val="000000"/>
          <w:lang w:eastAsia="bg-BG"/>
        </w:rPr>
        <w:t>Деца и юноши под 14 години</w:t>
      </w:r>
      <w:r w:rsidRPr="004D7A51">
        <w:rPr>
          <w:rFonts w:eastAsia="Times New Roman" w:cs="Arial"/>
          <w:color w:val="000000"/>
          <w:lang w:eastAsia="bg-BG"/>
        </w:rPr>
        <w:t>:Няма достатъчно данни за ефикасността и безопасността при деца и юноши под 14 годишна възраст (вижте точка 4.3 „Противопоказания“).</w:t>
      </w:r>
    </w:p>
    <w:p w14:paraId="042A15D9" w14:textId="77777777" w:rsidR="004D7A51" w:rsidRPr="004D7A51" w:rsidRDefault="004D7A51" w:rsidP="004D7A51">
      <w:pPr>
        <w:spacing w:line="240" w:lineRule="auto"/>
        <w:rPr>
          <w:rFonts w:eastAsia="Times New Roman" w:cs="Arial"/>
          <w:color w:val="000000"/>
          <w:u w:val="single"/>
          <w:lang w:eastAsia="bg-BG"/>
        </w:rPr>
      </w:pPr>
    </w:p>
    <w:p w14:paraId="315544A6" w14:textId="1562A394" w:rsidR="004D7A51" w:rsidRPr="004D7A51" w:rsidRDefault="004D7A51" w:rsidP="004D7A51">
      <w:pPr>
        <w:spacing w:line="240" w:lineRule="auto"/>
        <w:rPr>
          <w:rFonts w:eastAsia="Times New Roman" w:cs="Arial"/>
          <w:sz w:val="24"/>
          <w:szCs w:val="24"/>
        </w:rPr>
      </w:pPr>
      <w:r w:rsidRPr="004D7A51">
        <w:rPr>
          <w:rFonts w:eastAsia="Times New Roman" w:cs="Arial"/>
          <w:color w:val="000000"/>
          <w:u w:val="single"/>
          <w:lang w:eastAsia="bg-BG"/>
        </w:rPr>
        <w:t>Начин и продържителност на приложение:</w:t>
      </w:r>
    </w:p>
    <w:p w14:paraId="2F375CE9" w14:textId="77777777" w:rsidR="004D7A51" w:rsidRPr="004D7A51" w:rsidRDefault="004D7A51" w:rsidP="004D7A51">
      <w:pPr>
        <w:spacing w:line="240" w:lineRule="auto"/>
        <w:rPr>
          <w:rFonts w:eastAsia="Times New Roman" w:cs="Arial"/>
          <w:sz w:val="24"/>
          <w:szCs w:val="24"/>
        </w:rPr>
      </w:pPr>
      <w:r w:rsidRPr="004D7A51">
        <w:rPr>
          <w:rFonts w:eastAsia="Times New Roman" w:cs="Arial"/>
          <w:color w:val="000000"/>
          <w:lang w:eastAsia="bg-BG"/>
        </w:rPr>
        <w:t>Само за външна употреба. Да не се приема през устата.</w:t>
      </w:r>
    </w:p>
    <w:p w14:paraId="79F430DB" w14:textId="77777777" w:rsidR="004D7A51" w:rsidRPr="004D7A51" w:rsidRDefault="004D7A51" w:rsidP="004D7A51">
      <w:pPr>
        <w:spacing w:line="240" w:lineRule="auto"/>
        <w:rPr>
          <w:rFonts w:eastAsia="Times New Roman" w:cs="Arial"/>
          <w:sz w:val="24"/>
          <w:szCs w:val="24"/>
        </w:rPr>
      </w:pPr>
      <w:r w:rsidRPr="004D7A51">
        <w:rPr>
          <w:rFonts w:eastAsia="Times New Roman" w:cs="Arial"/>
          <w:color w:val="000000"/>
          <w:lang w:eastAsia="bg-BG"/>
        </w:rPr>
        <w:lastRenderedPageBreak/>
        <w:t>След приложение, ръцете трябва да бъдат измити, освен в случаите, когато те са обект на лечението.</w:t>
      </w:r>
    </w:p>
    <w:p w14:paraId="791AD4CD" w14:textId="77777777" w:rsidR="004D7A51" w:rsidRPr="004D7A51" w:rsidRDefault="004D7A51" w:rsidP="004D7A51">
      <w:pPr>
        <w:spacing w:line="240" w:lineRule="auto"/>
        <w:rPr>
          <w:rFonts w:eastAsia="Times New Roman" w:cs="Arial"/>
          <w:color w:val="000000"/>
          <w:lang w:eastAsia="bg-BG"/>
        </w:rPr>
      </w:pPr>
    </w:p>
    <w:p w14:paraId="28033613" w14:textId="3218B66A" w:rsidR="004D7A51" w:rsidRPr="004D7A51" w:rsidRDefault="004D7A51" w:rsidP="004D7A51">
      <w:pPr>
        <w:spacing w:line="240" w:lineRule="auto"/>
        <w:rPr>
          <w:rFonts w:eastAsia="Times New Roman" w:cs="Arial"/>
          <w:sz w:val="24"/>
          <w:szCs w:val="24"/>
        </w:rPr>
      </w:pPr>
      <w:r w:rsidRPr="004D7A51">
        <w:rPr>
          <w:rFonts w:eastAsia="Times New Roman" w:cs="Arial"/>
          <w:color w:val="000000"/>
          <w:lang w:eastAsia="bg-BG"/>
        </w:rPr>
        <w:t>Диклак гел се нанася в тънък слой към засегнатата част от тялото и леко се втрива.</w:t>
      </w:r>
    </w:p>
    <w:p w14:paraId="1E3E3BC4" w14:textId="7D89FF6B" w:rsidR="004D7A51" w:rsidRPr="004D7A51" w:rsidRDefault="004D7A51" w:rsidP="004D7A51">
      <w:pPr>
        <w:spacing w:line="240" w:lineRule="auto"/>
        <w:rPr>
          <w:rFonts w:eastAsia="Times New Roman" w:cs="Arial"/>
          <w:sz w:val="24"/>
          <w:szCs w:val="24"/>
        </w:rPr>
      </w:pPr>
      <w:r w:rsidRPr="004D7A51">
        <w:rPr>
          <w:rFonts w:eastAsia="Times New Roman" w:cs="Arial"/>
          <w:color w:val="000000"/>
          <w:lang w:eastAsia="bg-BG"/>
        </w:rPr>
        <w:t>Диклак трябва се остави за няколко минути да попие преди да се облекат дрехите.</w:t>
      </w:r>
      <w:r w:rsidRPr="004D7A51">
        <w:rPr>
          <w:rFonts w:eastAsia="Times New Roman" w:cs="Arial"/>
          <w:color w:val="000000"/>
          <w:lang w:val="ru-RU"/>
        </w:rPr>
        <w:t xml:space="preserve"> </w:t>
      </w:r>
      <w:r w:rsidRPr="004D7A51">
        <w:rPr>
          <w:rFonts w:eastAsia="Times New Roman" w:cs="Arial"/>
          <w:color w:val="000000"/>
          <w:lang w:eastAsia="bg-BG"/>
        </w:rPr>
        <w:t>Не се препоръчва използването на оклузивна превръзка.</w:t>
      </w:r>
    </w:p>
    <w:p w14:paraId="6A7288C7" w14:textId="4D7D9165" w:rsidR="004D7A51" w:rsidRPr="004D7A51" w:rsidRDefault="004D7A51" w:rsidP="004D7A51">
      <w:pPr>
        <w:rPr>
          <w:rFonts w:eastAsia="Times New Roman" w:cs="Arial"/>
          <w:color w:val="000000"/>
          <w:lang w:eastAsia="bg-BG"/>
        </w:rPr>
      </w:pPr>
      <w:r w:rsidRPr="004D7A51">
        <w:rPr>
          <w:rFonts w:eastAsia="Times New Roman" w:cs="Arial"/>
          <w:color w:val="000000"/>
          <w:lang w:eastAsia="bg-BG"/>
        </w:rPr>
        <w:t>Диклак може да се прилага като допълнителна терапия заедно с други лекарствени форми съдържащи диклофенак.</w:t>
      </w:r>
    </w:p>
    <w:p w14:paraId="653FC15B" w14:textId="59E9AEF4" w:rsidR="004D7A51" w:rsidRPr="004D7A51" w:rsidRDefault="004D7A51" w:rsidP="004D7A51">
      <w:pPr>
        <w:rPr>
          <w:rFonts w:eastAsia="Times New Roman" w:cs="Arial"/>
          <w:color w:val="000000"/>
          <w:lang w:eastAsia="bg-BG"/>
        </w:rPr>
      </w:pPr>
    </w:p>
    <w:p w14:paraId="67757C63" w14:textId="77777777" w:rsidR="004D7A51" w:rsidRPr="004D7A51" w:rsidRDefault="004D7A51" w:rsidP="004D7A51">
      <w:pPr>
        <w:spacing w:line="240" w:lineRule="auto"/>
        <w:rPr>
          <w:rFonts w:eastAsia="Times New Roman" w:cs="Arial"/>
          <w:sz w:val="24"/>
          <w:szCs w:val="24"/>
        </w:rPr>
      </w:pPr>
      <w:r w:rsidRPr="004D7A51">
        <w:rPr>
          <w:rFonts w:eastAsia="Times New Roman" w:cs="Arial"/>
          <w:color w:val="000000"/>
          <w:lang w:eastAsia="bg-BG"/>
        </w:rPr>
        <w:t>Диклак 1% гел може да се прилага при провеждане на йонофореза. Тази форма на електротерапия засилва кожната пенетрация. Диклак 1% гел трябва да се нанася при отрицателния полюс (катод).</w:t>
      </w:r>
    </w:p>
    <w:p w14:paraId="60384B99" w14:textId="77777777" w:rsidR="004D7A51" w:rsidRPr="004D7A51" w:rsidRDefault="004D7A51" w:rsidP="004D7A51">
      <w:pPr>
        <w:spacing w:line="240" w:lineRule="auto"/>
        <w:rPr>
          <w:rFonts w:eastAsia="Times New Roman" w:cs="Arial"/>
          <w:color w:val="000000"/>
          <w:lang w:eastAsia="bg-BG"/>
        </w:rPr>
      </w:pPr>
    </w:p>
    <w:p w14:paraId="2131CBEA" w14:textId="7E536435" w:rsidR="004D7A51" w:rsidRPr="004D7A51" w:rsidRDefault="004D7A51" w:rsidP="004D7A51">
      <w:pPr>
        <w:spacing w:line="240" w:lineRule="auto"/>
        <w:rPr>
          <w:rFonts w:eastAsia="Times New Roman" w:cs="Arial"/>
          <w:sz w:val="24"/>
          <w:szCs w:val="24"/>
        </w:rPr>
      </w:pPr>
      <w:r w:rsidRPr="004D7A51">
        <w:rPr>
          <w:rFonts w:eastAsia="Times New Roman" w:cs="Arial"/>
          <w:color w:val="000000"/>
          <w:lang w:eastAsia="bg-BG"/>
        </w:rPr>
        <w:t>Продължителността на приложение зависи от показанията и клиничния отговор. Препоръчва се лечението да се преразгледа след 2 седмици.</w:t>
      </w:r>
    </w:p>
    <w:p w14:paraId="0EC03239" w14:textId="77777777" w:rsidR="004D7A51" w:rsidRPr="004D7A51" w:rsidRDefault="004D7A51" w:rsidP="004D7A51">
      <w:pPr>
        <w:spacing w:line="240" w:lineRule="auto"/>
        <w:rPr>
          <w:rFonts w:eastAsia="Times New Roman" w:cs="Arial"/>
          <w:color w:val="000000"/>
          <w:lang w:eastAsia="bg-BG"/>
        </w:rPr>
      </w:pPr>
    </w:p>
    <w:p w14:paraId="0E68A3B5" w14:textId="5F5D061B" w:rsidR="004D7A51" w:rsidRPr="004D7A51" w:rsidRDefault="004D7A51" w:rsidP="004D7A51">
      <w:pPr>
        <w:spacing w:line="240" w:lineRule="auto"/>
        <w:rPr>
          <w:rFonts w:ascii="Times New Roman" w:eastAsia="Times New Roman" w:hAnsi="Times New Roman" w:cs="Times New Roman"/>
          <w:sz w:val="24"/>
          <w:szCs w:val="24"/>
        </w:rPr>
      </w:pPr>
      <w:r w:rsidRPr="004D7A51">
        <w:rPr>
          <w:rFonts w:eastAsia="Times New Roman" w:cs="Arial"/>
          <w:color w:val="000000"/>
          <w:lang w:eastAsia="bg-BG"/>
        </w:rPr>
        <w:t>Ако се налага продуктът да се прилага за повече от 7 дни при юноши над 14 години за облекчаване на болките или ако симптомите се влошат, пациентите или техните родители трябва да се консултират с лекар.</w:t>
      </w:r>
    </w:p>
    <w:p w14:paraId="74E999E2" w14:textId="77777777" w:rsidR="004D7A51" w:rsidRDefault="004D7A51" w:rsidP="004D7A51">
      <w:pPr>
        <w:rPr>
          <w:rFonts w:ascii="Times New Roman" w:eastAsia="Times New Roman" w:hAnsi="Times New Roman" w:cs="Times New Roman"/>
          <w:color w:val="000000"/>
          <w:lang w:eastAsia="bg-BG"/>
        </w:rPr>
      </w:pPr>
    </w:p>
    <w:p w14:paraId="759B8689" w14:textId="77777777" w:rsidR="004D7A51" w:rsidRPr="004D7A51" w:rsidRDefault="004D7A51" w:rsidP="004D7A51"/>
    <w:p w14:paraId="62B13D0B" w14:textId="19971EDB" w:rsidR="00395555" w:rsidRDefault="002C50EE" w:rsidP="008A6AF2">
      <w:pPr>
        <w:pStyle w:val="Heading2"/>
      </w:pPr>
      <w:r>
        <w:t>4.3. Противопоказания</w:t>
      </w:r>
    </w:p>
    <w:p w14:paraId="5587735A" w14:textId="48611B96" w:rsidR="004D7A51" w:rsidRDefault="004D7A51" w:rsidP="004D7A51"/>
    <w:p w14:paraId="72DEB6D3" w14:textId="77777777" w:rsidR="004D7A51" w:rsidRPr="004D7A51" w:rsidRDefault="004D7A51" w:rsidP="004D7A51">
      <w:pPr>
        <w:pStyle w:val="ListParagraph"/>
        <w:numPr>
          <w:ilvl w:val="0"/>
          <w:numId w:val="33"/>
        </w:numPr>
        <w:rPr>
          <w:lang w:eastAsia="bg-BG"/>
        </w:rPr>
      </w:pPr>
      <w:r w:rsidRPr="004D7A51">
        <w:rPr>
          <w:lang w:eastAsia="bg-BG"/>
        </w:rPr>
        <w:t>Свръхчувствителност към активното вещество или към някое от помощните вещества, изброени в точка 6.1;</w:t>
      </w:r>
    </w:p>
    <w:p w14:paraId="6518ACAB" w14:textId="77777777" w:rsidR="004D7A51" w:rsidRPr="004D7A51" w:rsidRDefault="004D7A51" w:rsidP="004D7A51">
      <w:pPr>
        <w:pStyle w:val="ListParagraph"/>
        <w:numPr>
          <w:ilvl w:val="0"/>
          <w:numId w:val="33"/>
        </w:numPr>
        <w:rPr>
          <w:lang w:eastAsia="bg-BG"/>
        </w:rPr>
      </w:pPr>
      <w:r w:rsidRPr="004D7A51">
        <w:rPr>
          <w:lang w:eastAsia="bg-BG"/>
        </w:rPr>
        <w:t>Диклак гел е противопоказан също при пациенти, при които ацетилсалициловата киселина или други нестероидни противовъзпалителни средства (НСПВС) провокират астматични пристъпи, уртикария или остър ри нит (вж. точка 4.4., 4.8);</w:t>
      </w:r>
    </w:p>
    <w:p w14:paraId="7EA50B3C" w14:textId="77777777" w:rsidR="004D7A51" w:rsidRPr="004D7A51" w:rsidRDefault="004D7A51" w:rsidP="004D7A51">
      <w:pPr>
        <w:pStyle w:val="ListParagraph"/>
        <w:numPr>
          <w:ilvl w:val="0"/>
          <w:numId w:val="33"/>
        </w:numPr>
        <w:rPr>
          <w:lang w:eastAsia="bg-BG"/>
        </w:rPr>
      </w:pPr>
      <w:r w:rsidRPr="004D7A51">
        <w:rPr>
          <w:lang w:eastAsia="bg-BG"/>
        </w:rPr>
        <w:t>През последния триместър на бременността, вж. точка 4.6</w:t>
      </w:r>
    </w:p>
    <w:p w14:paraId="1CAD0B50" w14:textId="77777777" w:rsidR="004D7A51" w:rsidRPr="004D7A51" w:rsidRDefault="004D7A51" w:rsidP="004D7A51">
      <w:pPr>
        <w:pStyle w:val="ListParagraph"/>
        <w:numPr>
          <w:ilvl w:val="0"/>
          <w:numId w:val="33"/>
        </w:numPr>
        <w:rPr>
          <w:lang w:eastAsia="bg-BG"/>
        </w:rPr>
      </w:pPr>
      <w:r w:rsidRPr="004D7A51">
        <w:rPr>
          <w:lang w:eastAsia="bg-BG"/>
        </w:rPr>
        <w:t>Употребата при деца и юноши под 14 годишна възраст е противопоказана.</w:t>
      </w:r>
    </w:p>
    <w:p w14:paraId="506C25CE" w14:textId="77777777" w:rsidR="004D7A51" w:rsidRPr="004D7A51" w:rsidRDefault="004D7A51" w:rsidP="004D7A51"/>
    <w:p w14:paraId="5A4AC413" w14:textId="7A09EF49" w:rsidR="00395555" w:rsidRDefault="002C50EE" w:rsidP="008A6AF2">
      <w:pPr>
        <w:pStyle w:val="Heading2"/>
      </w:pPr>
      <w:r>
        <w:t>4.4. Специални предупреждения и предпазни мерки при употреба</w:t>
      </w:r>
    </w:p>
    <w:p w14:paraId="6A2DBA5B" w14:textId="77531231" w:rsidR="004D7A51" w:rsidRDefault="004D7A51" w:rsidP="004D7A51"/>
    <w:p w14:paraId="4E47124B" w14:textId="77777777" w:rsidR="004D7A51" w:rsidRPr="004D7A51" w:rsidRDefault="004D7A51" w:rsidP="004D7A51">
      <w:pPr>
        <w:spacing w:line="240" w:lineRule="auto"/>
        <w:rPr>
          <w:rFonts w:eastAsia="Times New Roman" w:cs="Arial"/>
          <w:sz w:val="24"/>
          <w:szCs w:val="24"/>
        </w:rPr>
      </w:pPr>
      <w:r w:rsidRPr="004D7A51">
        <w:rPr>
          <w:rFonts w:eastAsia="Times New Roman" w:cs="Arial"/>
          <w:color w:val="000000"/>
          <w:lang w:eastAsia="bg-BG"/>
        </w:rPr>
        <w:t>Общи препоръки</w:t>
      </w:r>
    </w:p>
    <w:p w14:paraId="1795B133" w14:textId="77777777" w:rsidR="004D7A51" w:rsidRPr="004D7A51" w:rsidRDefault="004D7A51" w:rsidP="004D7A51">
      <w:pPr>
        <w:spacing w:line="240" w:lineRule="auto"/>
        <w:rPr>
          <w:rFonts w:eastAsia="Times New Roman" w:cs="Arial"/>
          <w:sz w:val="24"/>
          <w:szCs w:val="24"/>
        </w:rPr>
      </w:pPr>
      <w:r w:rsidRPr="004D7A51">
        <w:rPr>
          <w:rFonts w:eastAsia="Times New Roman" w:cs="Arial"/>
          <w:color w:val="000000"/>
          <w:lang w:eastAsia="bg-BG"/>
        </w:rPr>
        <w:t>Вероятността за системни странични ефекти от локално приложен диклофенак е малка, в сравнение с честотата на страничните ефекти при пациенти, използващи диклофенак перорално. Въпреки това, когато Диклак гел се прилага върху сравнително обширни части от кожата за продължителен период от време, вероятността от системни нежелани реакции не може да се изключи. В случай на такава планирана употреба продуктовата информация за системните форми на диклофенак е необходимо да бъде разгледана..</w:t>
      </w:r>
    </w:p>
    <w:p w14:paraId="2D340B88" w14:textId="77777777" w:rsidR="004D7A51" w:rsidRPr="004D7A51" w:rsidRDefault="004D7A51" w:rsidP="004D7A51">
      <w:pPr>
        <w:spacing w:line="240" w:lineRule="auto"/>
        <w:rPr>
          <w:rFonts w:eastAsia="Times New Roman" w:cs="Arial"/>
          <w:color w:val="000000"/>
          <w:lang w:eastAsia="bg-BG"/>
        </w:rPr>
      </w:pPr>
    </w:p>
    <w:p w14:paraId="64BB9EDB" w14:textId="6AD94B8B" w:rsidR="004D7A51" w:rsidRPr="004D7A51" w:rsidRDefault="004D7A51" w:rsidP="004D7A51">
      <w:pPr>
        <w:spacing w:line="240" w:lineRule="auto"/>
        <w:rPr>
          <w:rFonts w:eastAsia="Times New Roman" w:cs="Arial"/>
          <w:sz w:val="24"/>
          <w:szCs w:val="24"/>
        </w:rPr>
      </w:pPr>
      <w:r w:rsidRPr="004D7A51">
        <w:rPr>
          <w:rFonts w:eastAsia="Times New Roman" w:cs="Arial"/>
          <w:color w:val="000000"/>
          <w:lang w:eastAsia="bg-BG"/>
        </w:rPr>
        <w:t>Диклофенак гел се нанася само върху здрава и неувредена кожна повърхност (такава без открити рани и открити наранявания). Трябва да се избягва контакт с очите или лигавиците.</w:t>
      </w:r>
    </w:p>
    <w:p w14:paraId="509B24A2" w14:textId="77777777" w:rsidR="004D7A51" w:rsidRPr="004D7A51" w:rsidRDefault="004D7A51" w:rsidP="004D7A51">
      <w:pPr>
        <w:spacing w:line="240" w:lineRule="auto"/>
        <w:rPr>
          <w:rFonts w:eastAsia="Times New Roman" w:cs="Arial"/>
          <w:color w:val="000000"/>
          <w:lang w:eastAsia="bg-BG"/>
        </w:rPr>
      </w:pPr>
    </w:p>
    <w:p w14:paraId="0CCA33A5" w14:textId="02FD75C1" w:rsidR="004D7A51" w:rsidRPr="004D7A51" w:rsidRDefault="004D7A51" w:rsidP="004D7A51">
      <w:pPr>
        <w:spacing w:line="240" w:lineRule="auto"/>
        <w:rPr>
          <w:rFonts w:eastAsia="Times New Roman" w:cs="Arial"/>
          <w:sz w:val="24"/>
          <w:szCs w:val="24"/>
        </w:rPr>
      </w:pPr>
      <w:r w:rsidRPr="004D7A51">
        <w:rPr>
          <w:rFonts w:eastAsia="Times New Roman" w:cs="Arial"/>
          <w:color w:val="000000"/>
          <w:lang w:eastAsia="bg-BG"/>
        </w:rPr>
        <w:t>В случай на поява на обрив след приложение на продукта, лечението трябва да бъде прекъснато.</w:t>
      </w:r>
    </w:p>
    <w:p w14:paraId="265AC327" w14:textId="77777777" w:rsidR="004D7A51" w:rsidRPr="004D7A51" w:rsidRDefault="004D7A51" w:rsidP="004D7A51">
      <w:pPr>
        <w:spacing w:line="240" w:lineRule="auto"/>
        <w:rPr>
          <w:rFonts w:eastAsia="Times New Roman" w:cs="Arial"/>
          <w:color w:val="000000"/>
          <w:lang w:eastAsia="bg-BG"/>
        </w:rPr>
      </w:pPr>
    </w:p>
    <w:p w14:paraId="442BECA0" w14:textId="3F0B0F67" w:rsidR="004D7A51" w:rsidRPr="004D7A51" w:rsidRDefault="004D7A51" w:rsidP="004D7A51">
      <w:pPr>
        <w:spacing w:line="240" w:lineRule="auto"/>
        <w:rPr>
          <w:rFonts w:eastAsia="Times New Roman" w:cs="Arial"/>
          <w:sz w:val="24"/>
          <w:szCs w:val="24"/>
        </w:rPr>
      </w:pPr>
      <w:r w:rsidRPr="004D7A51">
        <w:rPr>
          <w:rFonts w:eastAsia="Times New Roman" w:cs="Arial"/>
          <w:color w:val="000000"/>
          <w:lang w:eastAsia="bg-BG"/>
        </w:rPr>
        <w:lastRenderedPageBreak/>
        <w:t>Диклофенак гел може да се използва с пропусклива превръзка, но не бива да се допуска стегнато, непропускащо въздух превързване.</w:t>
      </w:r>
    </w:p>
    <w:p w14:paraId="7FB0DC94" w14:textId="77777777" w:rsidR="004D7A51" w:rsidRPr="004D7A51" w:rsidRDefault="004D7A51" w:rsidP="004D7A51">
      <w:pPr>
        <w:spacing w:line="240" w:lineRule="auto"/>
        <w:rPr>
          <w:rFonts w:eastAsia="Times New Roman" w:cs="Arial"/>
          <w:color w:val="000000"/>
          <w:lang w:eastAsia="bg-BG"/>
        </w:rPr>
      </w:pPr>
    </w:p>
    <w:p w14:paraId="64218BFE" w14:textId="051487F8" w:rsidR="004D7A51" w:rsidRPr="004D7A51" w:rsidRDefault="004D7A51" w:rsidP="004D7A51">
      <w:pPr>
        <w:spacing w:line="240" w:lineRule="auto"/>
        <w:rPr>
          <w:rFonts w:eastAsia="Times New Roman" w:cs="Arial"/>
          <w:sz w:val="24"/>
          <w:szCs w:val="24"/>
        </w:rPr>
      </w:pPr>
      <w:r w:rsidRPr="004D7A51">
        <w:rPr>
          <w:rFonts w:eastAsia="Times New Roman" w:cs="Arial"/>
          <w:color w:val="000000"/>
          <w:lang w:eastAsia="bg-BG"/>
        </w:rPr>
        <w:t>Диклак гел не трябва да се поглъща.</w:t>
      </w:r>
    </w:p>
    <w:p w14:paraId="3B57F33C" w14:textId="77777777" w:rsidR="004D7A51" w:rsidRPr="004D7A51" w:rsidRDefault="004D7A51" w:rsidP="004D7A51">
      <w:pPr>
        <w:spacing w:line="240" w:lineRule="auto"/>
        <w:rPr>
          <w:rFonts w:eastAsia="Times New Roman" w:cs="Arial"/>
          <w:b/>
          <w:bCs/>
          <w:color w:val="000000"/>
          <w:lang w:eastAsia="bg-BG"/>
        </w:rPr>
      </w:pPr>
      <w:bookmarkStart w:id="1" w:name="bookmark0"/>
    </w:p>
    <w:p w14:paraId="76046F41" w14:textId="2342237B" w:rsidR="004D7A51" w:rsidRPr="004D7A51" w:rsidRDefault="004D7A51" w:rsidP="004D7A51">
      <w:pPr>
        <w:spacing w:line="240" w:lineRule="auto"/>
        <w:rPr>
          <w:rFonts w:eastAsia="Times New Roman" w:cs="Arial"/>
          <w:sz w:val="24"/>
          <w:szCs w:val="24"/>
        </w:rPr>
      </w:pPr>
      <w:r w:rsidRPr="004D7A51">
        <w:rPr>
          <w:rFonts w:eastAsia="Times New Roman" w:cs="Arial"/>
          <w:b/>
          <w:bCs/>
          <w:color w:val="000000"/>
          <w:lang w:eastAsia="bg-BG"/>
        </w:rPr>
        <w:t>Това лекарство съдържа бензилов алкохол и бензил бензоат.</w:t>
      </w:r>
      <w:bookmarkEnd w:id="1"/>
    </w:p>
    <w:p w14:paraId="232D049B" w14:textId="77777777" w:rsidR="004D7A51" w:rsidRPr="004D7A51" w:rsidRDefault="004D7A51" w:rsidP="004D7A51">
      <w:pPr>
        <w:spacing w:line="240" w:lineRule="auto"/>
        <w:rPr>
          <w:rFonts w:eastAsia="Times New Roman" w:cs="Arial"/>
          <w:sz w:val="24"/>
          <w:szCs w:val="24"/>
        </w:rPr>
      </w:pPr>
      <w:r w:rsidRPr="004D7A51">
        <w:rPr>
          <w:rFonts w:eastAsia="Times New Roman" w:cs="Arial"/>
          <w:color w:val="000000"/>
          <w:lang w:eastAsia="bg-BG"/>
        </w:rPr>
        <w:t>Това лекарство съдържа 0,2 % бензил бензоат. Може да причини локално дразнене.</w:t>
      </w:r>
    </w:p>
    <w:p w14:paraId="03704505" w14:textId="77777777" w:rsidR="004D7A51" w:rsidRPr="004D7A51" w:rsidRDefault="004D7A51" w:rsidP="004D7A51">
      <w:pPr>
        <w:spacing w:line="240" w:lineRule="auto"/>
        <w:rPr>
          <w:rFonts w:eastAsia="Times New Roman" w:cs="Arial"/>
          <w:color w:val="000000"/>
          <w:lang w:eastAsia="bg-BG"/>
        </w:rPr>
      </w:pPr>
    </w:p>
    <w:p w14:paraId="111668AE" w14:textId="381B1E90" w:rsidR="004D7A51" w:rsidRPr="004D7A51" w:rsidRDefault="004D7A51" w:rsidP="004D7A51">
      <w:pPr>
        <w:spacing w:line="240" w:lineRule="auto"/>
        <w:rPr>
          <w:rFonts w:eastAsia="Times New Roman" w:cs="Arial"/>
          <w:sz w:val="24"/>
          <w:szCs w:val="24"/>
        </w:rPr>
      </w:pPr>
      <w:r w:rsidRPr="004D7A51">
        <w:rPr>
          <w:rFonts w:eastAsia="Times New Roman" w:cs="Arial"/>
          <w:color w:val="000000"/>
          <w:lang w:eastAsia="bg-BG"/>
        </w:rPr>
        <w:t>Това лекарство съдържа 0,02 % бензилов алкохол. Може да причини алергични реакции, Бензиловият алкохол може да причини леко локално дразнене.</w:t>
      </w:r>
    </w:p>
    <w:p w14:paraId="48EDD989" w14:textId="77777777" w:rsidR="004D7A51" w:rsidRPr="004D7A51" w:rsidRDefault="004D7A51" w:rsidP="004D7A51"/>
    <w:p w14:paraId="1244F76A" w14:textId="7D2D23C6" w:rsidR="00395555" w:rsidRDefault="002C50EE" w:rsidP="008A6AF2">
      <w:pPr>
        <w:pStyle w:val="Heading2"/>
      </w:pPr>
      <w:r>
        <w:t>4.5. Взаимодействие с други лекарствени продукти и други форми на взаимодействие</w:t>
      </w:r>
    </w:p>
    <w:p w14:paraId="47C25605" w14:textId="056AD7A9" w:rsidR="004D7A51" w:rsidRDefault="004D7A51" w:rsidP="004D7A51"/>
    <w:p w14:paraId="7DB3E021" w14:textId="77777777" w:rsidR="004D7A51" w:rsidRPr="004D7A51" w:rsidRDefault="004D7A51" w:rsidP="004D7A51">
      <w:pPr>
        <w:rPr>
          <w:sz w:val="24"/>
          <w:szCs w:val="24"/>
        </w:rPr>
      </w:pPr>
      <w:r w:rsidRPr="004D7A51">
        <w:rPr>
          <w:lang w:eastAsia="bg-BG"/>
        </w:rPr>
        <w:t>Тъй като системната абсорбция на диклофенак при локално приложение е много малка, взаимодействия са много малко вероятни.</w:t>
      </w:r>
    </w:p>
    <w:p w14:paraId="6EE019B3" w14:textId="77777777" w:rsidR="004D7A51" w:rsidRPr="004D7A51" w:rsidRDefault="004D7A51" w:rsidP="004D7A51"/>
    <w:p w14:paraId="6EADE4D6" w14:textId="78AA4766" w:rsidR="00395555" w:rsidRDefault="002C50EE" w:rsidP="008A6AF2">
      <w:pPr>
        <w:pStyle w:val="Heading2"/>
      </w:pPr>
      <w:r>
        <w:t>4.6. Фертилитет, бременност и кърмене</w:t>
      </w:r>
    </w:p>
    <w:p w14:paraId="3782062C" w14:textId="1233920A" w:rsidR="004D7A51" w:rsidRDefault="004D7A51" w:rsidP="004D7A51"/>
    <w:p w14:paraId="5CFDA5F0" w14:textId="77777777" w:rsidR="004D7A51" w:rsidRPr="004D7A51" w:rsidRDefault="004D7A51" w:rsidP="004D7A51">
      <w:pPr>
        <w:spacing w:line="240" w:lineRule="auto"/>
        <w:rPr>
          <w:rFonts w:eastAsia="Times New Roman" w:cs="Arial"/>
          <w:sz w:val="24"/>
          <w:szCs w:val="24"/>
        </w:rPr>
      </w:pPr>
      <w:r w:rsidRPr="004D7A51">
        <w:rPr>
          <w:rFonts w:eastAsia="Times New Roman" w:cs="Arial"/>
          <w:color w:val="000000"/>
          <w:u w:val="single"/>
          <w:lang w:eastAsia="bg-BG"/>
        </w:rPr>
        <w:t>Жени с детероден потенциал</w:t>
      </w:r>
    </w:p>
    <w:p w14:paraId="09D3BDE9" w14:textId="77777777" w:rsidR="004D7A51" w:rsidRPr="004D7A51" w:rsidRDefault="004D7A51" w:rsidP="004D7A51">
      <w:pPr>
        <w:spacing w:line="240" w:lineRule="auto"/>
        <w:rPr>
          <w:rFonts w:eastAsia="Times New Roman" w:cs="Arial"/>
          <w:sz w:val="24"/>
          <w:szCs w:val="24"/>
        </w:rPr>
      </w:pPr>
      <w:r w:rsidRPr="004D7A51">
        <w:rPr>
          <w:rFonts w:eastAsia="Times New Roman" w:cs="Arial"/>
          <w:color w:val="000000"/>
          <w:lang w:eastAsia="bg-BG"/>
        </w:rPr>
        <w:t>Няма данни, които да предполагат някакви препоръки за жени с детероден потенциал.</w:t>
      </w:r>
    </w:p>
    <w:p w14:paraId="5F764B1E" w14:textId="1B293F55" w:rsidR="004D7A51" w:rsidRPr="004D7A51" w:rsidRDefault="004D7A51" w:rsidP="004D7A51">
      <w:pPr>
        <w:rPr>
          <w:rFonts w:cs="Arial"/>
        </w:rPr>
      </w:pPr>
    </w:p>
    <w:p w14:paraId="2FF3FE27" w14:textId="77777777" w:rsidR="004D7A51" w:rsidRPr="004D7A51" w:rsidRDefault="004D7A51" w:rsidP="004D7A51">
      <w:pPr>
        <w:pStyle w:val="Heading3"/>
        <w:rPr>
          <w:rFonts w:eastAsia="Times New Roman"/>
          <w:u w:val="single"/>
        </w:rPr>
      </w:pPr>
      <w:r w:rsidRPr="004D7A51">
        <w:rPr>
          <w:rFonts w:eastAsia="Times New Roman"/>
          <w:u w:val="single"/>
          <w:lang w:eastAsia="bg-BG"/>
        </w:rPr>
        <w:t>Бременност</w:t>
      </w:r>
    </w:p>
    <w:p w14:paraId="3E69E6D9" w14:textId="77777777" w:rsidR="004D7A51" w:rsidRPr="004D7A51" w:rsidRDefault="004D7A51" w:rsidP="004D7A51">
      <w:pPr>
        <w:spacing w:line="240" w:lineRule="auto"/>
        <w:rPr>
          <w:rFonts w:eastAsia="Times New Roman" w:cs="Arial"/>
          <w:sz w:val="24"/>
          <w:szCs w:val="24"/>
        </w:rPr>
      </w:pPr>
      <w:r w:rsidRPr="004D7A51">
        <w:rPr>
          <w:rFonts w:eastAsia="Times New Roman" w:cs="Arial"/>
          <w:color w:val="000000"/>
          <w:lang w:eastAsia="bg-BG"/>
        </w:rPr>
        <w:t>Липсват достатъчно данни от приложението на диклофенак при бременни жени. Затова диклофенак гел не трябва да се използва по време на бременността, Диклофенак е противопоказан през третия триместър от бременността поради възможността да доведе до маточна инертност, фетално бъбречно увреждане с последващ олигохидрамнион и/или преждевременно затваряне на дуктус артериозус (вж. точки 4.3 и 5.3).</w:t>
      </w:r>
    </w:p>
    <w:p w14:paraId="18B2A0C9" w14:textId="77777777" w:rsidR="004D7A51" w:rsidRPr="004D7A51" w:rsidRDefault="004D7A51" w:rsidP="004D7A51">
      <w:pPr>
        <w:spacing w:line="240" w:lineRule="auto"/>
        <w:rPr>
          <w:rFonts w:eastAsia="Times New Roman" w:cs="Arial"/>
          <w:color w:val="000000"/>
          <w:u w:val="single"/>
          <w:lang w:eastAsia="bg-BG"/>
        </w:rPr>
      </w:pPr>
    </w:p>
    <w:p w14:paraId="7FC9F403" w14:textId="423F7D31" w:rsidR="004D7A51" w:rsidRPr="004D7A51" w:rsidRDefault="004D7A51" w:rsidP="004D7A51">
      <w:pPr>
        <w:pStyle w:val="Heading3"/>
        <w:rPr>
          <w:rFonts w:eastAsia="Times New Roman"/>
          <w:u w:val="single"/>
        </w:rPr>
      </w:pPr>
      <w:r w:rsidRPr="004D7A51">
        <w:rPr>
          <w:rFonts w:eastAsia="Times New Roman"/>
          <w:u w:val="single"/>
          <w:lang w:eastAsia="bg-BG"/>
        </w:rPr>
        <w:t>Кърмене</w:t>
      </w:r>
    </w:p>
    <w:p w14:paraId="01A3077D" w14:textId="77777777" w:rsidR="004D7A51" w:rsidRPr="004D7A51" w:rsidRDefault="004D7A51" w:rsidP="004D7A51">
      <w:pPr>
        <w:spacing w:line="240" w:lineRule="auto"/>
        <w:rPr>
          <w:rFonts w:eastAsia="Times New Roman" w:cs="Arial"/>
          <w:sz w:val="24"/>
          <w:szCs w:val="24"/>
        </w:rPr>
      </w:pPr>
      <w:r w:rsidRPr="004D7A51">
        <w:rPr>
          <w:rFonts w:eastAsia="Times New Roman" w:cs="Arial"/>
          <w:color w:val="000000"/>
          <w:lang w:eastAsia="bg-BG"/>
        </w:rPr>
        <w:t>Не е известно дали локално прилагания диклофенак се излъчва с майчиното мляко. Затова не се препоръчва употребата на диклофенак в периода на кърмене. Ако са налице непреодолими причини за употребата му в периода на кърменето, той не трябва да се нанася върху гърдите или върху обширни кожни участъци, както и не бива да се прилага продължително време.</w:t>
      </w:r>
    </w:p>
    <w:p w14:paraId="36DFC96F" w14:textId="77777777" w:rsidR="004D7A51" w:rsidRPr="004D7A51" w:rsidRDefault="004D7A51" w:rsidP="004D7A51">
      <w:pPr>
        <w:spacing w:line="240" w:lineRule="auto"/>
        <w:rPr>
          <w:rFonts w:eastAsia="Times New Roman" w:cs="Arial"/>
          <w:color w:val="000000"/>
          <w:u w:val="single"/>
          <w:lang w:eastAsia="bg-BG"/>
        </w:rPr>
      </w:pPr>
    </w:p>
    <w:p w14:paraId="6662E534" w14:textId="477A38BF" w:rsidR="004D7A51" w:rsidRPr="004D7A51" w:rsidRDefault="004D7A51" w:rsidP="004D7A51">
      <w:pPr>
        <w:pStyle w:val="Heading3"/>
        <w:rPr>
          <w:rFonts w:eastAsia="Times New Roman"/>
          <w:u w:val="single"/>
        </w:rPr>
      </w:pPr>
      <w:r w:rsidRPr="004D7A51">
        <w:rPr>
          <w:rFonts w:eastAsia="Times New Roman"/>
          <w:u w:val="single"/>
          <w:lang w:eastAsia="bg-BG"/>
        </w:rPr>
        <w:t>Фертилитет</w:t>
      </w:r>
    </w:p>
    <w:p w14:paraId="7AFFEED4" w14:textId="77777777" w:rsidR="004D7A51" w:rsidRPr="004D7A51" w:rsidRDefault="004D7A51" w:rsidP="004D7A51">
      <w:pPr>
        <w:spacing w:line="240" w:lineRule="auto"/>
        <w:rPr>
          <w:rFonts w:eastAsia="Times New Roman" w:cs="Arial"/>
          <w:sz w:val="24"/>
          <w:szCs w:val="24"/>
        </w:rPr>
      </w:pPr>
      <w:r w:rsidRPr="004D7A51">
        <w:rPr>
          <w:rFonts w:eastAsia="Times New Roman" w:cs="Arial"/>
          <w:color w:val="000000"/>
          <w:lang w:eastAsia="bg-BG"/>
        </w:rPr>
        <w:t>Няма данни за употребата на локалните лекарствени форми на диклофенак и неговите ефекти върху фертилитета при хора.</w:t>
      </w:r>
    </w:p>
    <w:p w14:paraId="186F4F63" w14:textId="77777777" w:rsidR="004D7A51" w:rsidRPr="004D7A51" w:rsidRDefault="004D7A51" w:rsidP="004D7A51"/>
    <w:p w14:paraId="5766770B" w14:textId="0E18116F" w:rsidR="00395555" w:rsidRDefault="002C50EE" w:rsidP="008A6AF2">
      <w:pPr>
        <w:pStyle w:val="Heading2"/>
      </w:pPr>
      <w:r>
        <w:t>4.7. Ефекти върху способността за шофиране и работа с машини</w:t>
      </w:r>
    </w:p>
    <w:p w14:paraId="4C6186FF" w14:textId="5484BCE7" w:rsidR="004D7A51" w:rsidRDefault="004D7A51" w:rsidP="004D7A51"/>
    <w:p w14:paraId="034FC2B6" w14:textId="31DB4D68" w:rsidR="004D7A51" w:rsidRDefault="004D7A51" w:rsidP="004D7A51">
      <w:r>
        <w:t>Локалното приложение на диклофенак няма никакво въздействие върху способността за шофиране и работа с машини.</w:t>
      </w:r>
    </w:p>
    <w:p w14:paraId="45356819" w14:textId="77777777" w:rsidR="004D7A51" w:rsidRPr="004D7A51" w:rsidRDefault="004D7A51" w:rsidP="004D7A51"/>
    <w:p w14:paraId="4FE16E21" w14:textId="6D934B00" w:rsidR="00395555" w:rsidRDefault="002C50EE" w:rsidP="008A6AF2">
      <w:pPr>
        <w:pStyle w:val="Heading2"/>
      </w:pPr>
      <w:r>
        <w:t>4.8. Нежелани лекарствени реакции</w:t>
      </w:r>
    </w:p>
    <w:p w14:paraId="46B13A08" w14:textId="2CE74E57" w:rsidR="004D7A51" w:rsidRDefault="004D7A51" w:rsidP="004D7A51"/>
    <w:p w14:paraId="1F6DEEEB" w14:textId="77777777" w:rsidR="004D7A51" w:rsidRPr="004D7A51" w:rsidRDefault="004D7A51" w:rsidP="004D7A51">
      <w:pPr>
        <w:spacing w:line="240" w:lineRule="auto"/>
        <w:rPr>
          <w:rFonts w:eastAsia="Times New Roman" w:cs="Arial"/>
        </w:rPr>
      </w:pPr>
      <w:r w:rsidRPr="004D7A51">
        <w:rPr>
          <w:rFonts w:eastAsia="Times New Roman" w:cs="Arial"/>
          <w:b/>
          <w:bCs/>
          <w:color w:val="000000"/>
          <w:lang w:eastAsia="bg-BG"/>
        </w:rPr>
        <w:lastRenderedPageBreak/>
        <w:t>Обобщение на нежеланите лекарствени реакции</w:t>
      </w:r>
    </w:p>
    <w:p w14:paraId="69F6B1D6" w14:textId="77777777" w:rsidR="004D7A51" w:rsidRPr="004D7A51" w:rsidRDefault="004D7A51" w:rsidP="004D7A51">
      <w:pPr>
        <w:spacing w:line="240" w:lineRule="auto"/>
        <w:rPr>
          <w:rFonts w:eastAsia="Times New Roman" w:cs="Arial"/>
          <w:color w:val="000000"/>
          <w:lang w:eastAsia="bg-BG"/>
        </w:rPr>
      </w:pPr>
    </w:p>
    <w:p w14:paraId="577368DD" w14:textId="64C4B8E9" w:rsidR="004D7A51" w:rsidRPr="004D7A51" w:rsidRDefault="004D7A51" w:rsidP="004D7A51">
      <w:pPr>
        <w:spacing w:line="240" w:lineRule="auto"/>
        <w:rPr>
          <w:rFonts w:eastAsia="Times New Roman" w:cs="Arial"/>
        </w:rPr>
      </w:pPr>
      <w:r w:rsidRPr="004D7A51">
        <w:rPr>
          <w:rFonts w:eastAsia="Times New Roman" w:cs="Arial"/>
          <w:color w:val="000000"/>
          <w:lang w:eastAsia="bg-BG"/>
        </w:rPr>
        <w:t xml:space="preserve">Нежеланите лекарствени реакции от клинични проучвания и/или спонтанни или литературни съобщения (вижте по-долу) са изброени спрямо системно-органните </w:t>
      </w:r>
      <w:proofErr w:type="spellStart"/>
      <w:r w:rsidRPr="004D7A51">
        <w:rPr>
          <w:rFonts w:eastAsia="Times New Roman" w:cs="Arial"/>
          <w:color w:val="000000"/>
          <w:lang w:val="en-US"/>
        </w:rPr>
        <w:t>MeDRA</w:t>
      </w:r>
      <w:proofErr w:type="spellEnd"/>
      <w:r w:rsidRPr="004D7A51">
        <w:rPr>
          <w:rFonts w:eastAsia="Times New Roman" w:cs="Arial"/>
          <w:color w:val="000000"/>
          <w:lang w:val="ru-RU"/>
        </w:rPr>
        <w:t xml:space="preserve"> </w:t>
      </w:r>
      <w:r w:rsidRPr="004D7A51">
        <w:rPr>
          <w:rFonts w:eastAsia="Times New Roman" w:cs="Arial"/>
          <w:color w:val="000000"/>
          <w:lang w:eastAsia="bg-BG"/>
        </w:rPr>
        <w:t xml:space="preserve">класове. Във всеки системно-органен клас нежеланите лекарствени реакции са подредени според честотата, като най-честите са на първо място. Във всяка група по честота, нежеланите лекарствени реакции са представени с намаляваща сериозност. В допълнение, за съответната категория по честота се използва следната конвенция </w:t>
      </w:r>
      <w:r w:rsidRPr="004D7A51">
        <w:rPr>
          <w:rFonts w:eastAsia="Times New Roman" w:cs="Arial"/>
          <w:color w:val="000000"/>
          <w:lang w:val="ru-RU"/>
        </w:rPr>
        <w:t>(</w:t>
      </w:r>
      <w:r w:rsidRPr="004D7A51">
        <w:rPr>
          <w:rFonts w:eastAsia="Times New Roman" w:cs="Arial"/>
          <w:color w:val="000000"/>
          <w:lang w:val="en-US"/>
        </w:rPr>
        <w:t>CIOMS</w:t>
      </w:r>
      <w:r w:rsidRPr="004D7A51">
        <w:rPr>
          <w:rFonts w:eastAsia="Times New Roman" w:cs="Arial"/>
          <w:color w:val="000000"/>
          <w:lang w:val="ru-RU"/>
        </w:rPr>
        <w:t xml:space="preserve"> </w:t>
      </w:r>
      <w:r w:rsidRPr="004D7A51">
        <w:rPr>
          <w:rFonts w:eastAsia="Times New Roman" w:cs="Arial"/>
          <w:color w:val="000000"/>
          <w:lang w:eastAsia="bg-BG"/>
        </w:rPr>
        <w:t>III) за всяка нежелана лекарствена реакция: много чести (</w:t>
      </w:r>
      <w:r w:rsidRPr="004D7A51">
        <w:rPr>
          <w:rFonts w:eastAsia="Times New Roman" w:cs="Arial"/>
          <w:color w:val="000000"/>
          <w:lang w:val="ru-RU"/>
        </w:rPr>
        <w:t>≥</w:t>
      </w:r>
      <w:r w:rsidRPr="004D7A51">
        <w:rPr>
          <w:rFonts w:eastAsia="Times New Roman" w:cs="Arial"/>
          <w:color w:val="000000"/>
          <w:lang w:eastAsia="bg-BG"/>
        </w:rPr>
        <w:t>1/10), чести (</w:t>
      </w:r>
      <w:r w:rsidRPr="004D7A51">
        <w:rPr>
          <w:rFonts w:eastAsia="Times New Roman" w:cs="Arial"/>
          <w:color w:val="000000"/>
          <w:lang w:val="ru-RU"/>
        </w:rPr>
        <w:t>≥</w:t>
      </w:r>
      <w:r w:rsidRPr="004D7A51">
        <w:rPr>
          <w:rFonts w:eastAsia="Times New Roman" w:cs="Arial"/>
          <w:color w:val="000000"/>
          <w:lang w:eastAsia="bg-BG"/>
        </w:rPr>
        <w:t>1/100 до &lt; 1/10), нечести (</w:t>
      </w:r>
      <w:r w:rsidRPr="004D7A51">
        <w:rPr>
          <w:rFonts w:eastAsia="Times New Roman" w:cs="Arial"/>
          <w:color w:val="000000"/>
          <w:lang w:val="ru-RU"/>
        </w:rPr>
        <w:t>≥</w:t>
      </w:r>
      <w:r w:rsidRPr="004D7A51">
        <w:rPr>
          <w:rFonts w:eastAsia="Times New Roman" w:cs="Arial"/>
          <w:color w:val="000000"/>
          <w:lang w:eastAsia="bg-BG"/>
        </w:rPr>
        <w:t>1/1000 до &lt; 1/100), редки (</w:t>
      </w:r>
      <w:r w:rsidRPr="004D7A51">
        <w:rPr>
          <w:rFonts w:eastAsia="Times New Roman" w:cs="Arial"/>
          <w:color w:val="000000"/>
          <w:lang w:val="ru-RU"/>
        </w:rPr>
        <w:t>≥</w:t>
      </w:r>
      <w:r w:rsidRPr="004D7A51">
        <w:rPr>
          <w:rFonts w:eastAsia="Times New Roman" w:cs="Arial"/>
          <w:color w:val="000000"/>
          <w:lang w:eastAsia="bg-BG"/>
        </w:rPr>
        <w:t>1/10000 до &lt; 1/1000), много редки (&lt; 1/10000).</w:t>
      </w:r>
    </w:p>
    <w:p w14:paraId="4BE9D607" w14:textId="77777777" w:rsidR="004D7A51" w:rsidRPr="004D7A51" w:rsidRDefault="004D7A51" w:rsidP="004D7A51">
      <w:pPr>
        <w:spacing w:line="240" w:lineRule="auto"/>
        <w:rPr>
          <w:rFonts w:eastAsia="Times New Roman" w:cs="Arial"/>
          <w:color w:val="000000"/>
          <w:u w:val="single"/>
          <w:lang w:eastAsia="bg-BG"/>
        </w:rPr>
      </w:pPr>
    </w:p>
    <w:p w14:paraId="018AC8AC" w14:textId="5B223F78" w:rsidR="004D7A51" w:rsidRPr="004D7A51" w:rsidRDefault="004D7A51" w:rsidP="004D7A51">
      <w:pPr>
        <w:spacing w:line="240" w:lineRule="auto"/>
        <w:rPr>
          <w:rFonts w:eastAsia="Times New Roman" w:cs="Arial"/>
        </w:rPr>
      </w:pPr>
      <w:r w:rsidRPr="004D7A51">
        <w:rPr>
          <w:rFonts w:eastAsia="Times New Roman" w:cs="Arial"/>
          <w:color w:val="000000"/>
          <w:u w:val="single"/>
          <w:lang w:eastAsia="bg-BG"/>
        </w:rPr>
        <w:t>Инфекции и инфестации</w:t>
      </w:r>
    </w:p>
    <w:p w14:paraId="44410E8E" w14:textId="77777777" w:rsidR="004D7A51" w:rsidRPr="004D7A51" w:rsidRDefault="004D7A51" w:rsidP="004D7A51">
      <w:pPr>
        <w:spacing w:line="240" w:lineRule="auto"/>
        <w:rPr>
          <w:rFonts w:eastAsia="Times New Roman" w:cs="Arial"/>
        </w:rPr>
      </w:pPr>
      <w:r w:rsidRPr="004D7A51">
        <w:rPr>
          <w:rFonts w:eastAsia="Times New Roman" w:cs="Arial"/>
          <w:i/>
          <w:iCs/>
          <w:color w:val="000000"/>
          <w:lang w:eastAsia="bg-BG"/>
        </w:rPr>
        <w:t>Много редки:</w:t>
      </w:r>
      <w:r w:rsidRPr="004D7A51">
        <w:rPr>
          <w:rFonts w:eastAsia="Times New Roman" w:cs="Arial"/>
          <w:color w:val="000000"/>
          <w:lang w:eastAsia="bg-BG"/>
        </w:rPr>
        <w:tab/>
        <w:t>Пустулозен обрив</w:t>
      </w:r>
    </w:p>
    <w:p w14:paraId="0D499693" w14:textId="77777777" w:rsidR="004D7A51" w:rsidRPr="004D7A51" w:rsidRDefault="004D7A51" w:rsidP="004D7A51">
      <w:pPr>
        <w:spacing w:line="240" w:lineRule="auto"/>
        <w:rPr>
          <w:rFonts w:eastAsia="Times New Roman" w:cs="Arial"/>
          <w:color w:val="000000"/>
          <w:u w:val="single"/>
          <w:lang w:eastAsia="bg-BG"/>
        </w:rPr>
      </w:pPr>
    </w:p>
    <w:p w14:paraId="0ED82D8A" w14:textId="53AF75DE" w:rsidR="004D7A51" w:rsidRPr="004D7A51" w:rsidRDefault="004D7A51" w:rsidP="004D7A51">
      <w:pPr>
        <w:spacing w:line="240" w:lineRule="auto"/>
        <w:rPr>
          <w:rFonts w:eastAsia="Times New Roman" w:cs="Arial"/>
        </w:rPr>
      </w:pPr>
      <w:r w:rsidRPr="004D7A51">
        <w:rPr>
          <w:rFonts w:eastAsia="Times New Roman" w:cs="Arial"/>
          <w:color w:val="000000"/>
          <w:u w:val="single"/>
          <w:lang w:eastAsia="bg-BG"/>
        </w:rPr>
        <w:t>Нарушения на имунната система</w:t>
      </w:r>
    </w:p>
    <w:p w14:paraId="1657BECF" w14:textId="77777777" w:rsidR="004D7A51" w:rsidRPr="004D7A51" w:rsidRDefault="004D7A51" w:rsidP="004D7A51">
      <w:pPr>
        <w:spacing w:line="240" w:lineRule="auto"/>
        <w:rPr>
          <w:rFonts w:eastAsia="Times New Roman" w:cs="Arial"/>
        </w:rPr>
      </w:pPr>
      <w:r w:rsidRPr="004D7A51">
        <w:rPr>
          <w:rFonts w:eastAsia="Times New Roman" w:cs="Arial"/>
          <w:i/>
          <w:iCs/>
          <w:color w:val="000000"/>
          <w:lang w:eastAsia="bg-BG"/>
        </w:rPr>
        <w:t>Много редки:</w:t>
      </w:r>
      <w:r w:rsidRPr="004D7A51">
        <w:rPr>
          <w:rFonts w:eastAsia="Times New Roman" w:cs="Arial"/>
          <w:color w:val="000000"/>
          <w:lang w:eastAsia="bg-BG"/>
        </w:rPr>
        <w:tab/>
        <w:t>Свръхчувствителност (включително уртикария), ангиоедем</w:t>
      </w:r>
    </w:p>
    <w:p w14:paraId="1BD4F45E" w14:textId="77777777" w:rsidR="004D7A51" w:rsidRPr="004D7A51" w:rsidRDefault="004D7A51" w:rsidP="004D7A51">
      <w:pPr>
        <w:spacing w:line="240" w:lineRule="auto"/>
        <w:rPr>
          <w:rFonts w:eastAsia="Times New Roman" w:cs="Arial"/>
          <w:color w:val="000000"/>
          <w:u w:val="single"/>
          <w:lang w:eastAsia="bg-BG"/>
        </w:rPr>
      </w:pPr>
    </w:p>
    <w:p w14:paraId="3F3FBD1A" w14:textId="550E2CAE" w:rsidR="004D7A51" w:rsidRPr="004D7A51" w:rsidRDefault="004D7A51" w:rsidP="004D7A51">
      <w:pPr>
        <w:spacing w:line="240" w:lineRule="auto"/>
        <w:rPr>
          <w:rFonts w:eastAsia="Times New Roman" w:cs="Arial"/>
        </w:rPr>
      </w:pPr>
      <w:r w:rsidRPr="004D7A51">
        <w:rPr>
          <w:rFonts w:eastAsia="Times New Roman" w:cs="Arial"/>
          <w:color w:val="000000"/>
          <w:u w:val="single"/>
          <w:lang w:eastAsia="bg-BG"/>
        </w:rPr>
        <w:t>Респираторни, гръдни и медиастинални нарушения</w:t>
      </w:r>
    </w:p>
    <w:p w14:paraId="0B46673D" w14:textId="77777777" w:rsidR="004D7A51" w:rsidRPr="004D7A51" w:rsidRDefault="004D7A51" w:rsidP="004D7A51">
      <w:pPr>
        <w:spacing w:line="240" w:lineRule="auto"/>
        <w:rPr>
          <w:rFonts w:eastAsia="Times New Roman" w:cs="Arial"/>
        </w:rPr>
      </w:pPr>
      <w:r w:rsidRPr="004D7A51">
        <w:rPr>
          <w:rFonts w:eastAsia="Times New Roman" w:cs="Arial"/>
          <w:i/>
          <w:iCs/>
          <w:color w:val="000000"/>
          <w:lang w:eastAsia="bg-BG"/>
        </w:rPr>
        <w:t>Много редки:</w:t>
      </w:r>
      <w:r w:rsidRPr="004D7A51">
        <w:rPr>
          <w:rFonts w:eastAsia="Times New Roman" w:cs="Arial"/>
          <w:color w:val="000000"/>
          <w:lang w:eastAsia="bg-BG"/>
        </w:rPr>
        <w:tab/>
        <w:t>Астма</w:t>
      </w:r>
    </w:p>
    <w:p w14:paraId="62579579" w14:textId="77777777" w:rsidR="004D7A51" w:rsidRPr="004D7A51" w:rsidRDefault="004D7A51" w:rsidP="004D7A51">
      <w:pPr>
        <w:spacing w:line="240" w:lineRule="auto"/>
        <w:rPr>
          <w:rFonts w:eastAsia="Times New Roman" w:cs="Arial"/>
          <w:color w:val="000000"/>
          <w:u w:val="single"/>
          <w:lang w:eastAsia="bg-BG"/>
        </w:rPr>
      </w:pPr>
    </w:p>
    <w:p w14:paraId="26F34C01" w14:textId="7F25A5D3" w:rsidR="004D7A51" w:rsidRPr="004D7A51" w:rsidRDefault="004D7A51" w:rsidP="004D7A51">
      <w:pPr>
        <w:spacing w:line="240" w:lineRule="auto"/>
        <w:rPr>
          <w:rFonts w:eastAsia="Times New Roman" w:cs="Arial"/>
        </w:rPr>
      </w:pPr>
      <w:r w:rsidRPr="004D7A51">
        <w:rPr>
          <w:rFonts w:eastAsia="Times New Roman" w:cs="Arial"/>
          <w:color w:val="000000"/>
          <w:u w:val="single"/>
          <w:lang w:eastAsia="bg-BG"/>
        </w:rPr>
        <w:t>Нарушения на кожата и подкожната тъкан</w:t>
      </w:r>
    </w:p>
    <w:p w14:paraId="5EB788B8" w14:textId="1589EC42" w:rsidR="004D7A51" w:rsidRPr="004D7A51" w:rsidRDefault="004D7A51" w:rsidP="004D7A51">
      <w:pPr>
        <w:spacing w:line="240" w:lineRule="auto"/>
        <w:rPr>
          <w:rFonts w:eastAsia="Times New Roman" w:cs="Arial"/>
        </w:rPr>
      </w:pPr>
      <w:r w:rsidRPr="004D7A51">
        <w:rPr>
          <w:rFonts w:eastAsia="Times New Roman" w:cs="Arial"/>
          <w:i/>
          <w:iCs/>
          <w:color w:val="000000"/>
          <w:lang w:eastAsia="bg-BG"/>
        </w:rPr>
        <w:t>Чести:</w:t>
      </w:r>
      <w:r>
        <w:rPr>
          <w:rFonts w:eastAsia="Times New Roman" w:cs="Arial"/>
          <w:color w:val="000000"/>
          <w:lang w:eastAsia="bg-BG"/>
        </w:rPr>
        <w:t xml:space="preserve"> </w:t>
      </w:r>
      <w:r w:rsidRPr="004D7A51">
        <w:rPr>
          <w:rFonts w:eastAsia="Times New Roman" w:cs="Arial"/>
          <w:color w:val="000000"/>
          <w:lang w:eastAsia="bg-BG"/>
        </w:rPr>
        <w:t>Дерматит (включително контактен дерматит), обрив, еритема, екзема,</w:t>
      </w:r>
    </w:p>
    <w:p w14:paraId="4204EA30" w14:textId="77777777" w:rsidR="004D7A51" w:rsidRPr="004D7A51" w:rsidRDefault="004D7A51" w:rsidP="004D7A51">
      <w:pPr>
        <w:spacing w:line="240" w:lineRule="auto"/>
        <w:rPr>
          <w:rFonts w:eastAsia="Times New Roman" w:cs="Arial"/>
        </w:rPr>
      </w:pPr>
      <w:r w:rsidRPr="004D7A51">
        <w:rPr>
          <w:rFonts w:eastAsia="Times New Roman" w:cs="Arial"/>
          <w:color w:val="000000"/>
          <w:lang w:eastAsia="bg-BG"/>
        </w:rPr>
        <w:t>пруритус</w:t>
      </w:r>
    </w:p>
    <w:p w14:paraId="51990A21" w14:textId="77777777" w:rsidR="004D7A51" w:rsidRPr="004D7A51" w:rsidRDefault="004D7A51" w:rsidP="004D7A51">
      <w:pPr>
        <w:spacing w:line="240" w:lineRule="auto"/>
        <w:rPr>
          <w:rFonts w:eastAsia="Times New Roman" w:cs="Arial"/>
        </w:rPr>
      </w:pPr>
      <w:r w:rsidRPr="004D7A51">
        <w:rPr>
          <w:rFonts w:eastAsia="Times New Roman" w:cs="Arial"/>
          <w:i/>
          <w:iCs/>
          <w:color w:val="000000"/>
          <w:lang w:eastAsia="bg-BG"/>
        </w:rPr>
        <w:t>Редки:</w:t>
      </w:r>
      <w:r w:rsidRPr="004D7A51">
        <w:rPr>
          <w:rFonts w:eastAsia="Times New Roman" w:cs="Arial"/>
          <w:color w:val="000000"/>
          <w:lang w:eastAsia="bg-BG"/>
        </w:rPr>
        <w:tab/>
        <w:t>Булозен дерматит</w:t>
      </w:r>
    </w:p>
    <w:p w14:paraId="772673E5" w14:textId="77777777" w:rsidR="004D7A51" w:rsidRPr="004D7A51" w:rsidRDefault="004D7A51" w:rsidP="004D7A51">
      <w:pPr>
        <w:spacing w:line="240" w:lineRule="auto"/>
        <w:rPr>
          <w:rFonts w:eastAsia="Times New Roman" w:cs="Arial"/>
        </w:rPr>
      </w:pPr>
      <w:r w:rsidRPr="004D7A51">
        <w:rPr>
          <w:rFonts w:eastAsia="Times New Roman" w:cs="Arial"/>
          <w:i/>
          <w:iCs/>
          <w:color w:val="000000"/>
          <w:lang w:eastAsia="bg-BG"/>
        </w:rPr>
        <w:t>Много редки:</w:t>
      </w:r>
      <w:r w:rsidRPr="004D7A51">
        <w:rPr>
          <w:rFonts w:eastAsia="Times New Roman" w:cs="Arial"/>
          <w:color w:val="000000"/>
          <w:lang w:eastAsia="bg-BG"/>
        </w:rPr>
        <w:tab/>
        <w:t>Реакция на фоточувствителност</w:t>
      </w:r>
    </w:p>
    <w:p w14:paraId="19390537" w14:textId="77777777" w:rsidR="004D7A51" w:rsidRPr="004D7A51" w:rsidRDefault="004D7A51" w:rsidP="004D7A51">
      <w:pPr>
        <w:spacing w:line="240" w:lineRule="auto"/>
        <w:rPr>
          <w:rFonts w:eastAsia="Times New Roman" w:cs="Arial"/>
        </w:rPr>
      </w:pPr>
      <w:r w:rsidRPr="004D7A51">
        <w:rPr>
          <w:rFonts w:eastAsia="Times New Roman" w:cs="Arial"/>
          <w:color w:val="000000"/>
          <w:lang w:eastAsia="bg-BG"/>
        </w:rPr>
        <w:t xml:space="preserve">С </w:t>
      </w:r>
      <w:r w:rsidRPr="004D7A51">
        <w:rPr>
          <w:rFonts w:eastAsia="Times New Roman" w:cs="Arial"/>
          <w:i/>
          <w:iCs/>
          <w:color w:val="000000"/>
          <w:lang w:eastAsia="bg-BG"/>
        </w:rPr>
        <w:t>неизвестна честота:</w:t>
      </w:r>
      <w:r w:rsidRPr="004D7A51">
        <w:rPr>
          <w:rFonts w:eastAsia="Times New Roman" w:cs="Arial"/>
          <w:color w:val="000000"/>
          <w:lang w:eastAsia="bg-BG"/>
        </w:rPr>
        <w:t xml:space="preserve"> Усещане за парене на мястото на приложение, суха кожа</w:t>
      </w:r>
    </w:p>
    <w:p w14:paraId="4A56CDE5" w14:textId="77777777" w:rsidR="004D7A51" w:rsidRPr="004D7A51" w:rsidRDefault="004D7A51" w:rsidP="004D7A51">
      <w:pPr>
        <w:spacing w:line="240" w:lineRule="auto"/>
        <w:rPr>
          <w:rFonts w:eastAsia="Times New Roman" w:cs="Arial"/>
          <w:color w:val="000000"/>
          <w:lang w:eastAsia="bg-BG"/>
        </w:rPr>
      </w:pPr>
    </w:p>
    <w:p w14:paraId="0111B173" w14:textId="77777777" w:rsidR="004D7A51" w:rsidRPr="004D7A51" w:rsidRDefault="004D7A51" w:rsidP="004D7A51">
      <w:pPr>
        <w:rPr>
          <w:rFonts w:eastAsia="Times New Roman" w:cs="Arial"/>
        </w:rPr>
      </w:pPr>
      <w:r w:rsidRPr="004D7A51">
        <w:rPr>
          <w:rFonts w:eastAsia="Times New Roman" w:cs="Arial"/>
          <w:color w:val="000000"/>
          <w:lang w:eastAsia="bg-BG"/>
        </w:rPr>
        <w:t>Системната абсорбция на диклофенак при локално приложение е много ниска и достигните</w:t>
      </w:r>
      <w:r w:rsidRPr="004D7A51">
        <w:rPr>
          <w:rFonts w:eastAsia="Times New Roman" w:cs="Arial"/>
          <w:i/>
          <w:iCs/>
          <w:color w:val="000000"/>
          <w:lang w:eastAsia="bg-BG"/>
        </w:rPr>
        <w:t xml:space="preserve"> </w:t>
      </w:r>
      <w:r w:rsidRPr="004D7A51">
        <w:rPr>
          <w:rFonts w:eastAsia="Times New Roman" w:cs="Arial"/>
          <w:color w:val="000000"/>
          <w:lang w:eastAsia="bg-BG"/>
        </w:rPr>
        <w:t>нива на диклофенак в плазмата са много ниски, в сравнение с плазмените нива след перорален прием на диклофенак.Вероятността от системни нежелани реакции (като стомашно-чревни чернодробни или бъбречни нарушения, бронхоспазъм) е много ниска при локално приложение</w:t>
      </w:r>
      <w:r w:rsidRPr="004D7A51">
        <w:rPr>
          <w:rFonts w:eastAsia="Times New Roman" w:cs="Arial"/>
        </w:rPr>
        <w:t xml:space="preserve"> </w:t>
      </w:r>
      <w:r w:rsidRPr="004D7A51">
        <w:rPr>
          <w:rFonts w:eastAsia="Times New Roman" w:cs="Arial"/>
          <w:color w:val="000000"/>
          <w:lang w:eastAsia="bg-BG"/>
        </w:rPr>
        <w:t>в сравнение с честотата на нежелани реакции при перорален прием на диклофенак. Въпреки това, ако диклофенак се използва на голяма площ върху кожата и за продължителен период от време, е възможно да възникнат нежелани реакции.</w:t>
      </w:r>
    </w:p>
    <w:p w14:paraId="329786F0" w14:textId="77777777" w:rsidR="004D7A51" w:rsidRPr="004D7A51" w:rsidRDefault="004D7A51" w:rsidP="004D7A51">
      <w:pPr>
        <w:spacing w:line="240" w:lineRule="auto"/>
        <w:rPr>
          <w:rFonts w:eastAsia="Times New Roman" w:cs="Arial"/>
          <w:color w:val="000000"/>
          <w:u w:val="single"/>
          <w:lang w:eastAsia="bg-BG"/>
        </w:rPr>
      </w:pPr>
    </w:p>
    <w:p w14:paraId="1ED12E2B" w14:textId="3F6220F7" w:rsidR="004D7A51" w:rsidRPr="004D7A51" w:rsidRDefault="004D7A51" w:rsidP="004D7A51">
      <w:pPr>
        <w:spacing w:line="240" w:lineRule="auto"/>
        <w:rPr>
          <w:rFonts w:eastAsia="Times New Roman" w:cs="Arial"/>
        </w:rPr>
      </w:pPr>
      <w:r w:rsidRPr="004D7A51">
        <w:rPr>
          <w:rFonts w:eastAsia="Times New Roman" w:cs="Arial"/>
          <w:color w:val="000000"/>
          <w:u w:val="single"/>
          <w:lang w:eastAsia="bg-BG"/>
        </w:rPr>
        <w:t>Съобщаване на подозирани нежелани реакции</w:t>
      </w:r>
    </w:p>
    <w:p w14:paraId="59E4F399" w14:textId="77777777" w:rsidR="004D7A51" w:rsidRPr="004D7A51" w:rsidRDefault="004D7A51" w:rsidP="004D7A51">
      <w:pPr>
        <w:spacing w:line="240" w:lineRule="auto"/>
        <w:rPr>
          <w:rFonts w:eastAsia="Times New Roman" w:cs="Arial"/>
        </w:rPr>
      </w:pPr>
      <w:r w:rsidRPr="004D7A51">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 система за съобщаване към Изпълнителната агенция по лекарствата, ул. „Дамян Груев” № 8, 1303 София, тел.: +35928903417, уебсайт: </w:t>
      </w:r>
      <w:r w:rsidRPr="004D7A51">
        <w:rPr>
          <w:rFonts w:eastAsia="Times New Roman" w:cs="Arial"/>
        </w:rPr>
        <w:fldChar w:fldCharType="begin"/>
      </w:r>
      <w:r w:rsidRPr="004D7A51">
        <w:rPr>
          <w:rFonts w:eastAsia="Times New Roman" w:cs="Arial"/>
        </w:rPr>
        <w:instrText xml:space="preserve"> HYPERLINK "http://www.bda.bg" </w:instrText>
      </w:r>
      <w:r w:rsidRPr="004D7A51">
        <w:rPr>
          <w:rFonts w:eastAsia="Times New Roman" w:cs="Arial"/>
        </w:rPr>
      </w:r>
      <w:r w:rsidRPr="004D7A51">
        <w:rPr>
          <w:rFonts w:eastAsia="Times New Roman" w:cs="Arial"/>
        </w:rPr>
        <w:fldChar w:fldCharType="separate"/>
      </w:r>
      <w:r w:rsidRPr="004D7A51">
        <w:rPr>
          <w:rFonts w:eastAsia="Times New Roman" w:cs="Arial"/>
          <w:color w:val="000000"/>
          <w:u w:val="single"/>
          <w:lang w:val="en-US"/>
        </w:rPr>
        <w:t>www.bda.bg</w:t>
      </w:r>
      <w:r w:rsidRPr="004D7A51">
        <w:rPr>
          <w:rFonts w:eastAsia="Times New Roman" w:cs="Arial"/>
        </w:rPr>
        <w:fldChar w:fldCharType="end"/>
      </w:r>
      <w:r w:rsidRPr="004D7A51">
        <w:rPr>
          <w:rFonts w:eastAsia="Times New Roman" w:cs="Arial"/>
          <w:color w:val="000000"/>
          <w:lang w:val="en-US"/>
        </w:rPr>
        <w:t>.</w:t>
      </w:r>
    </w:p>
    <w:p w14:paraId="257FC5FD" w14:textId="0FD93156" w:rsidR="004D7A51" w:rsidRPr="004D7A51" w:rsidRDefault="004D7A51" w:rsidP="004D7A51"/>
    <w:p w14:paraId="4ED30546" w14:textId="67395F37" w:rsidR="007C605B" w:rsidRDefault="002C50EE" w:rsidP="009F1313">
      <w:pPr>
        <w:pStyle w:val="Heading2"/>
      </w:pPr>
      <w:r>
        <w:t>4.9. Предозиране</w:t>
      </w:r>
    </w:p>
    <w:p w14:paraId="1F06A683" w14:textId="5D2EA7C9" w:rsidR="004D7A51" w:rsidRDefault="004D7A51" w:rsidP="004D7A51"/>
    <w:p w14:paraId="359C01E0" w14:textId="77777777" w:rsidR="004D7A51" w:rsidRPr="004D7A51" w:rsidRDefault="004D7A51" w:rsidP="004D7A51">
      <w:pPr>
        <w:rPr>
          <w:sz w:val="24"/>
          <w:szCs w:val="24"/>
        </w:rPr>
      </w:pPr>
      <w:r w:rsidRPr="004D7A51">
        <w:rPr>
          <w:lang w:eastAsia="bg-BG"/>
        </w:rPr>
        <w:t>Слабата системна абсорбция на локалния диклофенак прави предозирането твърде невероятно.</w:t>
      </w:r>
    </w:p>
    <w:p w14:paraId="7B19B016" w14:textId="77777777" w:rsidR="004D7A51" w:rsidRDefault="004D7A51" w:rsidP="004D7A51">
      <w:pPr>
        <w:rPr>
          <w:lang w:eastAsia="bg-BG"/>
        </w:rPr>
      </w:pPr>
    </w:p>
    <w:p w14:paraId="61E7ACB3" w14:textId="43E34654" w:rsidR="004D7A51" w:rsidRPr="004D7A51" w:rsidRDefault="004D7A51" w:rsidP="004D7A51">
      <w:pPr>
        <w:rPr>
          <w:sz w:val="24"/>
          <w:szCs w:val="24"/>
        </w:rPr>
      </w:pPr>
      <w:r w:rsidRPr="004D7A51">
        <w:rPr>
          <w:lang w:eastAsia="bg-BG"/>
        </w:rPr>
        <w:t xml:space="preserve">Все пак може да се очакват нежелани реакции, подобни на тези, наблюдавани при предозиране с таблетки диклофенак, в случай, че по невнимание е погълнат диклофенак гел (1 туба от 100 </w:t>
      </w:r>
      <w:r w:rsidRPr="004D7A51">
        <w:rPr>
          <w:lang w:val="en-US"/>
        </w:rPr>
        <w:t>g</w:t>
      </w:r>
      <w:r w:rsidRPr="004D7A51">
        <w:rPr>
          <w:lang w:val="ru-RU"/>
        </w:rPr>
        <w:t xml:space="preserve"> </w:t>
      </w:r>
      <w:r w:rsidRPr="004D7A51">
        <w:rPr>
          <w:lang w:eastAsia="bg-BG"/>
        </w:rPr>
        <w:t xml:space="preserve">съдържа еквивалента на 1000 </w:t>
      </w:r>
      <w:r w:rsidRPr="004D7A51">
        <w:rPr>
          <w:lang w:val="en-US"/>
        </w:rPr>
        <w:t>mg</w:t>
      </w:r>
      <w:r w:rsidRPr="004D7A51">
        <w:rPr>
          <w:lang w:val="ru-RU"/>
        </w:rPr>
        <w:t xml:space="preserve"> </w:t>
      </w:r>
      <w:r w:rsidRPr="004D7A51">
        <w:rPr>
          <w:lang w:eastAsia="bg-BG"/>
        </w:rPr>
        <w:t>диклофенак натрий). Трябва да се предприемат обичайните терапевтични мерки и симптоматично лечение както при отравяне с което и да е от нестероидните противовъзпалителни средства. Може да се има предвид стомашна промивка и активен въглен, особено ако е скоро след поглъщането.</w:t>
      </w:r>
    </w:p>
    <w:p w14:paraId="02081B24" w14:textId="1F46E296" w:rsidR="00395555" w:rsidRPr="00395555" w:rsidRDefault="002C50EE" w:rsidP="008A6AF2">
      <w:pPr>
        <w:pStyle w:val="Heading1"/>
      </w:pPr>
      <w:r>
        <w:t>5. ФАРМАКОЛОГИЧНИ СВОЙСТВА</w:t>
      </w:r>
    </w:p>
    <w:p w14:paraId="5350637D" w14:textId="010DD525" w:rsidR="00395555" w:rsidRDefault="002C50EE" w:rsidP="008A6AF2">
      <w:pPr>
        <w:pStyle w:val="Heading2"/>
      </w:pPr>
      <w:r>
        <w:t>5.1. Фармакодинамични свойства</w:t>
      </w:r>
    </w:p>
    <w:p w14:paraId="0AB68AA4" w14:textId="17F170C7" w:rsidR="004D7A51" w:rsidRDefault="004D7A51" w:rsidP="004D7A51"/>
    <w:p w14:paraId="1D1A401A" w14:textId="77777777" w:rsidR="004D7A51" w:rsidRPr="004D7A51" w:rsidRDefault="004D7A51" w:rsidP="004D7A51">
      <w:pPr>
        <w:spacing w:line="240" w:lineRule="auto"/>
        <w:rPr>
          <w:rFonts w:eastAsia="Times New Roman" w:cs="Arial"/>
          <w:sz w:val="24"/>
          <w:szCs w:val="24"/>
        </w:rPr>
      </w:pPr>
      <w:r w:rsidRPr="004D7A51">
        <w:rPr>
          <w:rFonts w:eastAsia="Times New Roman" w:cs="Arial"/>
          <w:color w:val="000000"/>
          <w:lang w:eastAsia="bg-BG"/>
        </w:rPr>
        <w:t>Фармакотерапевтична група: Нестероидни противовъзпалителни средства, производни на фенилоцетната киселина, АТС код: М02АА15</w:t>
      </w:r>
    </w:p>
    <w:p w14:paraId="333C06A9" w14:textId="77777777" w:rsidR="004D7A51" w:rsidRPr="004D7A51" w:rsidRDefault="004D7A51" w:rsidP="004D7A51">
      <w:pPr>
        <w:spacing w:line="240" w:lineRule="auto"/>
        <w:rPr>
          <w:rFonts w:eastAsia="Times New Roman" w:cs="Arial"/>
          <w:color w:val="000000"/>
          <w:u w:val="single"/>
          <w:lang w:eastAsia="bg-BG"/>
        </w:rPr>
      </w:pPr>
    </w:p>
    <w:p w14:paraId="1319E2AA" w14:textId="4CC16B3E" w:rsidR="004D7A51" w:rsidRPr="004D7A51" w:rsidRDefault="004D7A51" w:rsidP="004D7A51">
      <w:pPr>
        <w:spacing w:line="240" w:lineRule="auto"/>
        <w:rPr>
          <w:rFonts w:eastAsia="Times New Roman" w:cs="Arial"/>
          <w:sz w:val="24"/>
          <w:szCs w:val="24"/>
        </w:rPr>
      </w:pPr>
      <w:r w:rsidRPr="004D7A51">
        <w:rPr>
          <w:rFonts w:eastAsia="Times New Roman" w:cs="Arial"/>
          <w:color w:val="000000"/>
          <w:u w:val="single"/>
          <w:lang w:eastAsia="bg-BG"/>
        </w:rPr>
        <w:t>Механизъм на действие и фармакодинамични свойства</w:t>
      </w:r>
    </w:p>
    <w:p w14:paraId="63195698" w14:textId="77777777" w:rsidR="004D7A51" w:rsidRPr="004D7A51" w:rsidRDefault="004D7A51" w:rsidP="004D7A51">
      <w:pPr>
        <w:spacing w:line="240" w:lineRule="auto"/>
        <w:rPr>
          <w:rFonts w:eastAsia="Times New Roman" w:cs="Arial"/>
          <w:sz w:val="24"/>
          <w:szCs w:val="24"/>
        </w:rPr>
      </w:pPr>
      <w:r w:rsidRPr="004D7A51">
        <w:rPr>
          <w:rFonts w:eastAsia="Times New Roman" w:cs="Arial"/>
          <w:color w:val="000000"/>
          <w:lang w:eastAsia="bg-BG"/>
        </w:rPr>
        <w:t>Диклофенак е нестероидно противовъзпалително/аналгетично средство, доказало своята ефикасност при модели на обичайно възпаление при животни чрез инхибиция на простагландиновата синтеза. При хора диклофенак намалява болката, отока и понижава температурата при възпалителния процес. Освен това потиска обратимо индуцираната от АДФ тромбоцитна агрегация.</w:t>
      </w:r>
    </w:p>
    <w:p w14:paraId="27ED1167" w14:textId="77777777" w:rsidR="004D7A51" w:rsidRPr="004D7A51" w:rsidRDefault="004D7A51" w:rsidP="004D7A51">
      <w:pPr>
        <w:spacing w:line="240" w:lineRule="auto"/>
        <w:rPr>
          <w:rFonts w:eastAsia="Times New Roman" w:cs="Arial"/>
          <w:color w:val="000000"/>
          <w:u w:val="single"/>
          <w:lang w:eastAsia="bg-BG"/>
        </w:rPr>
      </w:pPr>
    </w:p>
    <w:p w14:paraId="5E1BDFF5" w14:textId="2FE2B957" w:rsidR="004D7A51" w:rsidRPr="004D7A51" w:rsidRDefault="004D7A51" w:rsidP="004D7A51">
      <w:pPr>
        <w:spacing w:line="240" w:lineRule="auto"/>
        <w:rPr>
          <w:rFonts w:eastAsia="Times New Roman" w:cs="Arial"/>
          <w:sz w:val="24"/>
          <w:szCs w:val="24"/>
        </w:rPr>
      </w:pPr>
      <w:r w:rsidRPr="004D7A51">
        <w:rPr>
          <w:rFonts w:eastAsia="Times New Roman" w:cs="Arial"/>
          <w:color w:val="000000"/>
          <w:u w:val="single"/>
          <w:lang w:eastAsia="bg-BG"/>
        </w:rPr>
        <w:t>Клинична ефикасност и безопасност</w:t>
      </w:r>
    </w:p>
    <w:p w14:paraId="6E6B9291" w14:textId="77777777" w:rsidR="004D7A51" w:rsidRPr="004D7A51" w:rsidRDefault="004D7A51" w:rsidP="004D7A51">
      <w:pPr>
        <w:spacing w:line="240" w:lineRule="auto"/>
        <w:rPr>
          <w:rFonts w:eastAsia="Times New Roman" w:cs="Arial"/>
          <w:sz w:val="24"/>
          <w:szCs w:val="24"/>
        </w:rPr>
      </w:pPr>
      <w:r w:rsidRPr="004D7A51">
        <w:rPr>
          <w:rFonts w:eastAsia="Times New Roman" w:cs="Arial"/>
          <w:color w:val="000000"/>
          <w:lang w:eastAsia="bg-BG"/>
        </w:rPr>
        <w:t>Диклак е продукт с добре установена употреба.</w:t>
      </w:r>
    </w:p>
    <w:p w14:paraId="24802DF1" w14:textId="77777777" w:rsidR="004D7A51" w:rsidRPr="004D7A51" w:rsidRDefault="004D7A51" w:rsidP="004D7A51"/>
    <w:p w14:paraId="26535098" w14:textId="6BBEBD56" w:rsidR="00395555" w:rsidRDefault="002C50EE" w:rsidP="008A6AF2">
      <w:pPr>
        <w:pStyle w:val="Heading2"/>
      </w:pPr>
      <w:r>
        <w:t>5.2. Фармакокинетични свойства</w:t>
      </w:r>
    </w:p>
    <w:p w14:paraId="0F727CDD" w14:textId="362CDE10" w:rsidR="004D7A51" w:rsidRDefault="004D7A51" w:rsidP="004D7A51"/>
    <w:p w14:paraId="4AB13642" w14:textId="77777777" w:rsidR="004D7A51" w:rsidRPr="004D7A51" w:rsidRDefault="004D7A51" w:rsidP="004D7A51">
      <w:pPr>
        <w:pStyle w:val="Heading3"/>
        <w:rPr>
          <w:rFonts w:eastAsia="Times New Roman"/>
          <w:u w:val="single"/>
        </w:rPr>
      </w:pPr>
      <w:r w:rsidRPr="004D7A51">
        <w:rPr>
          <w:rFonts w:eastAsia="Times New Roman"/>
          <w:u w:val="single"/>
          <w:lang w:eastAsia="bg-BG"/>
        </w:rPr>
        <w:t>Абсорбция</w:t>
      </w:r>
    </w:p>
    <w:p w14:paraId="0B7B5873" w14:textId="77777777" w:rsidR="004D7A51" w:rsidRPr="004D7A51" w:rsidRDefault="004D7A51" w:rsidP="004D7A51">
      <w:pPr>
        <w:spacing w:line="240" w:lineRule="auto"/>
        <w:rPr>
          <w:rFonts w:eastAsia="Times New Roman" w:cs="Arial"/>
          <w:sz w:val="24"/>
          <w:szCs w:val="24"/>
        </w:rPr>
      </w:pPr>
      <w:r w:rsidRPr="004D7A51">
        <w:rPr>
          <w:rFonts w:eastAsia="Times New Roman" w:cs="Arial"/>
          <w:color w:val="000000"/>
          <w:lang w:eastAsia="bg-BG"/>
        </w:rPr>
        <w:t>Количеството на диклофенак, резорбирано през кожата е пропорционално на продължителността на кожния контакт и на площта от кожата, покрита с диклофенак- съдържащия гел и зависи от общата локална доза, както и от хидратацията на кожата.</w:t>
      </w:r>
    </w:p>
    <w:p w14:paraId="5511AEB4" w14:textId="77777777" w:rsidR="004D7A51" w:rsidRPr="004D7A51" w:rsidRDefault="004D7A51" w:rsidP="004D7A51">
      <w:pPr>
        <w:spacing w:line="240" w:lineRule="auto"/>
        <w:rPr>
          <w:rFonts w:eastAsia="Times New Roman" w:cs="Arial"/>
          <w:color w:val="000000"/>
          <w:u w:val="single"/>
          <w:lang w:eastAsia="bg-BG"/>
        </w:rPr>
      </w:pPr>
    </w:p>
    <w:p w14:paraId="15FCD86C" w14:textId="72557FB8" w:rsidR="004D7A51" w:rsidRPr="004D7A51" w:rsidRDefault="004D7A51" w:rsidP="004D7A51">
      <w:pPr>
        <w:pStyle w:val="Heading3"/>
        <w:rPr>
          <w:rFonts w:eastAsia="Times New Roman"/>
          <w:u w:val="single"/>
        </w:rPr>
      </w:pPr>
      <w:r w:rsidRPr="004D7A51">
        <w:rPr>
          <w:rFonts w:eastAsia="Times New Roman"/>
          <w:u w:val="single"/>
          <w:lang w:eastAsia="bg-BG"/>
        </w:rPr>
        <w:t>Разпределение</w:t>
      </w:r>
    </w:p>
    <w:p w14:paraId="200753E5" w14:textId="77777777" w:rsidR="004D7A51" w:rsidRPr="004D7A51" w:rsidRDefault="004D7A51" w:rsidP="004D7A51">
      <w:pPr>
        <w:spacing w:line="240" w:lineRule="auto"/>
        <w:rPr>
          <w:rFonts w:eastAsia="Times New Roman" w:cs="Arial"/>
          <w:sz w:val="24"/>
          <w:szCs w:val="24"/>
        </w:rPr>
      </w:pPr>
      <w:r w:rsidRPr="004D7A51">
        <w:rPr>
          <w:rFonts w:eastAsia="Times New Roman" w:cs="Arial"/>
          <w:color w:val="000000"/>
          <w:lang w:eastAsia="bg-BG"/>
        </w:rPr>
        <w:t>След приложение върху кожата, диклофенак се натрупва в дермата и бавно се освобождава от депото към централното кръвообращение. Перкутанната резорбция (бионаличността) на диклофенак, определена в сравнителни проучвания (перорална/локална) е около 5%.</w:t>
      </w:r>
    </w:p>
    <w:p w14:paraId="0C25AEE3" w14:textId="77777777" w:rsidR="004D7A51" w:rsidRPr="004D7A51" w:rsidRDefault="004D7A51" w:rsidP="004D7A51">
      <w:pPr>
        <w:rPr>
          <w:rFonts w:eastAsia="Times New Roman" w:cs="Arial"/>
          <w:color w:val="000000"/>
          <w:lang w:eastAsia="bg-BG"/>
        </w:rPr>
      </w:pPr>
    </w:p>
    <w:p w14:paraId="57E1A3A7" w14:textId="77777777" w:rsidR="004D7A51" w:rsidRPr="004D7A51" w:rsidRDefault="004D7A51" w:rsidP="004D7A51">
      <w:pPr>
        <w:rPr>
          <w:rFonts w:eastAsia="Times New Roman" w:cs="Arial"/>
          <w:sz w:val="24"/>
          <w:szCs w:val="24"/>
        </w:rPr>
      </w:pPr>
      <w:r w:rsidRPr="004D7A51">
        <w:rPr>
          <w:rFonts w:eastAsia="Times New Roman" w:cs="Arial"/>
          <w:color w:val="000000"/>
          <w:lang w:eastAsia="bg-BG"/>
        </w:rPr>
        <w:t>Диклофенак се свързва 99,7% с плазмените протеини, главно с албумин (99,4%). Максималните плазмени концентрации на диклофенак са около 100 пъти по-ниски след локално приложение на гел, съдържащ 1% диклофенак в сравнение с перорално приет диклофенак. Само плазмените нива не са достатъчни, за да обяснят наблюдаваната терапевтична ефективност. Тя се обяснява по-скоро с наличието на терапевтични тъканни концентрации на лекарствения продукт мястото на апликация с вероятно различна пенетрация към мястото на действие според степента и вида на заболяването, както и в зависимост от мястото на приложение и действие.</w:t>
      </w:r>
    </w:p>
    <w:p w14:paraId="3848F7ED" w14:textId="77777777" w:rsidR="004D7A51" w:rsidRPr="004D7A51" w:rsidRDefault="004D7A51" w:rsidP="004D7A51">
      <w:pPr>
        <w:spacing w:line="240" w:lineRule="auto"/>
        <w:rPr>
          <w:rFonts w:eastAsia="Times New Roman" w:cs="Arial"/>
          <w:color w:val="000000"/>
          <w:lang w:eastAsia="bg-BG"/>
        </w:rPr>
      </w:pPr>
    </w:p>
    <w:p w14:paraId="06502273" w14:textId="5A9F9CA3" w:rsidR="004D7A51" w:rsidRPr="004D7A51" w:rsidRDefault="004D7A51" w:rsidP="004D7A51">
      <w:pPr>
        <w:spacing w:line="240" w:lineRule="auto"/>
        <w:rPr>
          <w:rFonts w:eastAsia="Times New Roman" w:cs="Arial"/>
          <w:sz w:val="24"/>
          <w:szCs w:val="24"/>
        </w:rPr>
      </w:pPr>
      <w:r w:rsidRPr="004D7A51">
        <w:rPr>
          <w:rFonts w:eastAsia="Times New Roman" w:cs="Arial"/>
          <w:color w:val="000000"/>
          <w:lang w:eastAsia="bg-BG"/>
        </w:rPr>
        <w:lastRenderedPageBreak/>
        <w:t xml:space="preserve">Няколкодневната употреба на гела, съдържащ 1% диклофенак върху възпалени китки при пациенти с полиартрит води до приблизително 20-70 пъти по-високи концентрации в синовиалната тъкан на лекуваните пациенти отколкото в плазмата. Измерените концентрации на диклофенак в синовиалната тъкан са между 0,41 и 8,62 </w:t>
      </w:r>
      <w:proofErr w:type="spellStart"/>
      <w:r w:rsidRPr="004D7A51">
        <w:rPr>
          <w:rFonts w:eastAsia="Times New Roman" w:cs="Arial"/>
          <w:color w:val="000000"/>
          <w:lang w:val="en-US"/>
        </w:rPr>
        <w:t>μmol</w:t>
      </w:r>
      <w:proofErr w:type="spellEnd"/>
      <w:r w:rsidRPr="004D7A51">
        <w:rPr>
          <w:rFonts w:eastAsia="Times New Roman" w:cs="Arial"/>
          <w:color w:val="000000"/>
          <w:lang w:val="ru-RU"/>
        </w:rPr>
        <w:t>/</w:t>
      </w:r>
      <w:r w:rsidRPr="004D7A51">
        <w:rPr>
          <w:rFonts w:eastAsia="Times New Roman" w:cs="Arial"/>
          <w:color w:val="000000"/>
          <w:lang w:val="en-US"/>
        </w:rPr>
        <w:t>kg</w:t>
      </w:r>
      <w:r w:rsidRPr="004D7A51">
        <w:rPr>
          <w:rFonts w:eastAsia="Times New Roman" w:cs="Arial"/>
          <w:color w:val="000000"/>
          <w:lang w:val="ru-RU"/>
        </w:rPr>
        <w:t xml:space="preserve">. </w:t>
      </w:r>
      <w:r w:rsidRPr="004D7A51">
        <w:rPr>
          <w:rFonts w:eastAsia="Times New Roman" w:cs="Arial"/>
          <w:color w:val="000000"/>
          <w:lang w:eastAsia="bg-BG"/>
        </w:rPr>
        <w:t>Концентрациите в синовиалната тъкан отново значително надвишават плазмените нива.</w:t>
      </w:r>
    </w:p>
    <w:p w14:paraId="496C4BAA" w14:textId="77777777" w:rsidR="004D7A51" w:rsidRPr="004D7A51" w:rsidRDefault="004D7A51" w:rsidP="004D7A51">
      <w:pPr>
        <w:spacing w:line="240" w:lineRule="auto"/>
        <w:rPr>
          <w:rFonts w:eastAsia="Times New Roman" w:cs="Arial"/>
          <w:color w:val="000000"/>
          <w:u w:val="single"/>
          <w:lang w:eastAsia="bg-BG"/>
        </w:rPr>
      </w:pPr>
    </w:p>
    <w:p w14:paraId="4B465504" w14:textId="77B3D7D7" w:rsidR="004D7A51" w:rsidRPr="004D7A51" w:rsidRDefault="004D7A51" w:rsidP="004D7A51">
      <w:pPr>
        <w:pStyle w:val="Heading3"/>
        <w:rPr>
          <w:rFonts w:eastAsia="Times New Roman"/>
          <w:u w:val="single"/>
        </w:rPr>
      </w:pPr>
      <w:r w:rsidRPr="004D7A51">
        <w:rPr>
          <w:rFonts w:eastAsia="Times New Roman"/>
          <w:u w:val="single"/>
          <w:lang w:eastAsia="bg-BG"/>
        </w:rPr>
        <w:t>Биотрансформация, елиминиране</w:t>
      </w:r>
    </w:p>
    <w:p w14:paraId="64385FFB" w14:textId="77777777" w:rsidR="004D7A51" w:rsidRPr="004D7A51" w:rsidRDefault="004D7A51" w:rsidP="004D7A51">
      <w:pPr>
        <w:spacing w:line="240" w:lineRule="auto"/>
        <w:rPr>
          <w:rFonts w:eastAsia="Times New Roman" w:cs="Arial"/>
          <w:sz w:val="24"/>
          <w:szCs w:val="24"/>
        </w:rPr>
      </w:pPr>
      <w:r w:rsidRPr="004D7A51">
        <w:rPr>
          <w:rFonts w:eastAsia="Times New Roman" w:cs="Arial"/>
          <w:color w:val="000000"/>
          <w:lang w:eastAsia="bg-BG"/>
        </w:rPr>
        <w:t>След чернодробен метаболизъм (хидроксилиране, глюкурониране) фармакологично неактивните метаболити се елиминират напълно, главно чрез бъбреците (около 70%), но също и чрез жлъчката. До голяма степен независимо от чернодробната и бъбречната функции, елимитационният полуживот е около 2 часа.</w:t>
      </w:r>
    </w:p>
    <w:p w14:paraId="5D1E8A7D" w14:textId="77777777" w:rsidR="004D7A51" w:rsidRPr="004D7A51" w:rsidRDefault="004D7A51" w:rsidP="004D7A51">
      <w:pPr>
        <w:spacing w:line="240" w:lineRule="auto"/>
        <w:rPr>
          <w:rFonts w:eastAsia="Times New Roman" w:cs="Arial"/>
          <w:i/>
          <w:iCs/>
          <w:color w:val="000000"/>
          <w:lang w:eastAsia="bg-BG"/>
        </w:rPr>
      </w:pPr>
    </w:p>
    <w:p w14:paraId="61C6FEBE" w14:textId="4D7358B2" w:rsidR="004D7A51" w:rsidRPr="004D7A51" w:rsidRDefault="004D7A51" w:rsidP="004D7A51">
      <w:pPr>
        <w:spacing w:line="240" w:lineRule="auto"/>
        <w:rPr>
          <w:rFonts w:eastAsia="Times New Roman" w:cs="Arial"/>
          <w:sz w:val="24"/>
          <w:szCs w:val="24"/>
        </w:rPr>
      </w:pPr>
      <w:r w:rsidRPr="004D7A51">
        <w:rPr>
          <w:rFonts w:eastAsia="Times New Roman" w:cs="Arial"/>
          <w:i/>
          <w:iCs/>
          <w:color w:val="000000"/>
          <w:lang w:eastAsia="bg-BG"/>
        </w:rPr>
        <w:t>Ефективност и поносимост</w:t>
      </w:r>
    </w:p>
    <w:p w14:paraId="2A27A1B5" w14:textId="77777777" w:rsidR="004D7A51" w:rsidRPr="004D7A51" w:rsidRDefault="004D7A51" w:rsidP="004D7A51">
      <w:pPr>
        <w:spacing w:line="240" w:lineRule="auto"/>
        <w:rPr>
          <w:rFonts w:eastAsia="Times New Roman" w:cs="Arial"/>
          <w:sz w:val="24"/>
          <w:szCs w:val="24"/>
        </w:rPr>
      </w:pPr>
      <w:r w:rsidRPr="004D7A51">
        <w:rPr>
          <w:rFonts w:eastAsia="Times New Roman" w:cs="Arial"/>
          <w:color w:val="000000"/>
          <w:lang w:eastAsia="bg-BG"/>
        </w:rPr>
        <w:t>В двойно сляпо, плацебо-контролирано проучване, ефективността и поносимостга на Диклак гел са изследвани при лечение на 267 пациенти с остеоартрит на пръстите та ръцете. В сравнение с плацебо, триседмичното лечение води до значително редуциране на болката с Диклак гел в сравнение с първоначалната болка. Както Диклак гел, така и плацебо имат еднакво добра поносимост.</w:t>
      </w:r>
    </w:p>
    <w:p w14:paraId="724FD2FE" w14:textId="1CB2DFDB" w:rsidR="004D7A51" w:rsidRPr="004D7A51" w:rsidRDefault="004D7A51" w:rsidP="004D7A51"/>
    <w:p w14:paraId="028E658A" w14:textId="4067480E" w:rsidR="00395555" w:rsidRDefault="002C50EE" w:rsidP="008A6AF2">
      <w:pPr>
        <w:pStyle w:val="Heading2"/>
      </w:pPr>
      <w:r>
        <w:t>5.3. Предклинични данни за безопасност</w:t>
      </w:r>
    </w:p>
    <w:p w14:paraId="55440E30" w14:textId="2EE11DC2" w:rsidR="004D7A51" w:rsidRDefault="004D7A51" w:rsidP="004D7A51"/>
    <w:p w14:paraId="037FD3A6" w14:textId="77777777" w:rsidR="004D7A51" w:rsidRPr="004D7A51" w:rsidRDefault="004D7A51" w:rsidP="004D7A51">
      <w:pPr>
        <w:spacing w:line="240" w:lineRule="auto"/>
        <w:rPr>
          <w:rFonts w:eastAsia="Times New Roman" w:cs="Arial"/>
        </w:rPr>
      </w:pPr>
      <w:r w:rsidRPr="004D7A51">
        <w:rPr>
          <w:rFonts w:eastAsia="Times New Roman" w:cs="Arial"/>
          <w:color w:val="000000"/>
          <w:lang w:eastAsia="bg-BG"/>
        </w:rPr>
        <w:t>Предклиничните данни относно гел, съдържащ 1% диклофенак не показват някакви клинично значими токсикологични ефекти.</w:t>
      </w:r>
    </w:p>
    <w:p w14:paraId="78FD25C0" w14:textId="77777777" w:rsidR="004D7A51" w:rsidRPr="004D7A51" w:rsidRDefault="004D7A51" w:rsidP="004D7A51">
      <w:pPr>
        <w:spacing w:line="240" w:lineRule="auto"/>
        <w:rPr>
          <w:rFonts w:eastAsia="Times New Roman" w:cs="Arial"/>
          <w:i/>
          <w:iCs/>
          <w:color w:val="000000"/>
          <w:u w:val="single"/>
          <w:lang w:eastAsia="bg-BG"/>
        </w:rPr>
      </w:pPr>
    </w:p>
    <w:p w14:paraId="59E72E0B" w14:textId="7D17113C" w:rsidR="004D7A51" w:rsidRPr="004D7A51" w:rsidRDefault="004D7A51" w:rsidP="004D7A51">
      <w:pPr>
        <w:spacing w:line="240" w:lineRule="auto"/>
        <w:rPr>
          <w:rFonts w:eastAsia="Times New Roman" w:cs="Arial"/>
        </w:rPr>
      </w:pPr>
      <w:r w:rsidRPr="004D7A51">
        <w:rPr>
          <w:rFonts w:eastAsia="Times New Roman" w:cs="Arial"/>
          <w:i/>
          <w:iCs/>
          <w:color w:val="000000"/>
          <w:u w:val="single"/>
          <w:lang w:eastAsia="bg-BG"/>
        </w:rPr>
        <w:t>Локална поносимост</w:t>
      </w:r>
    </w:p>
    <w:p w14:paraId="14DE3251" w14:textId="77777777" w:rsidR="004D7A51" w:rsidRPr="004D7A51" w:rsidRDefault="004D7A51" w:rsidP="004D7A51">
      <w:pPr>
        <w:spacing w:line="240" w:lineRule="auto"/>
        <w:rPr>
          <w:rFonts w:eastAsia="Times New Roman" w:cs="Arial"/>
        </w:rPr>
      </w:pPr>
      <w:r w:rsidRPr="004D7A51">
        <w:rPr>
          <w:rFonts w:eastAsia="Times New Roman" w:cs="Arial"/>
          <w:color w:val="000000"/>
          <w:lang w:eastAsia="bg-BG"/>
        </w:rPr>
        <w:t>Проучвания за фотосенсибилизиране и субхронична поносимост са проведени при Диклак гел. Не са установени признаци на фотосенсибилизиране спрямо Диклак гел. При проучване на субхронична поносимост с ежедневно приложение върху една и съща интактна или скарифицирана площ от кожата при зайци за 14 дни не са наблюдавани признаци на локално дразнене както при плацебо, така и при третираната с Диклак група. При клинично проучване със 138 пациенти с остеоартрити на пръстите на ръцете се е появила лека кожна реакция при 5,8% от пациентите по време на триседмичния период на лечението.</w:t>
      </w:r>
    </w:p>
    <w:p w14:paraId="43A3C706" w14:textId="77777777" w:rsidR="004D7A51" w:rsidRPr="004D7A51" w:rsidRDefault="004D7A51" w:rsidP="004D7A51">
      <w:pPr>
        <w:spacing w:line="240" w:lineRule="auto"/>
        <w:rPr>
          <w:rFonts w:eastAsia="Times New Roman" w:cs="Arial"/>
          <w:i/>
          <w:iCs/>
          <w:color w:val="000000"/>
          <w:u w:val="single"/>
          <w:lang w:eastAsia="bg-BG"/>
        </w:rPr>
      </w:pPr>
    </w:p>
    <w:p w14:paraId="2B3D0A7E" w14:textId="35F64437" w:rsidR="004D7A51" w:rsidRPr="004D7A51" w:rsidRDefault="004D7A51" w:rsidP="004D7A51">
      <w:pPr>
        <w:spacing w:line="240" w:lineRule="auto"/>
        <w:rPr>
          <w:rFonts w:eastAsia="Times New Roman" w:cs="Arial"/>
        </w:rPr>
      </w:pPr>
      <w:r w:rsidRPr="004D7A51">
        <w:rPr>
          <w:rFonts w:eastAsia="Times New Roman" w:cs="Arial"/>
          <w:i/>
          <w:iCs/>
          <w:color w:val="000000"/>
          <w:u w:val="single"/>
          <w:lang w:eastAsia="bg-BG"/>
        </w:rPr>
        <w:t>Системна поносимост</w:t>
      </w:r>
    </w:p>
    <w:p w14:paraId="5FC85F09" w14:textId="77777777" w:rsidR="004D7A51" w:rsidRPr="004D7A51" w:rsidRDefault="004D7A51" w:rsidP="004D7A51">
      <w:pPr>
        <w:spacing w:line="240" w:lineRule="auto"/>
        <w:rPr>
          <w:rFonts w:eastAsia="Times New Roman" w:cs="Arial"/>
        </w:rPr>
      </w:pPr>
      <w:r w:rsidRPr="004D7A51">
        <w:rPr>
          <w:rFonts w:eastAsia="Times New Roman" w:cs="Arial"/>
          <w:i/>
          <w:iCs/>
          <w:color w:val="000000"/>
          <w:lang w:eastAsia="bg-BG"/>
        </w:rPr>
        <w:t>Остра токсичност</w:t>
      </w:r>
    </w:p>
    <w:p w14:paraId="24F2BF40" w14:textId="77777777" w:rsidR="004D7A51" w:rsidRPr="004D7A51" w:rsidRDefault="004D7A51" w:rsidP="004D7A51">
      <w:pPr>
        <w:spacing w:line="240" w:lineRule="auto"/>
        <w:rPr>
          <w:rFonts w:eastAsia="Times New Roman" w:cs="Arial"/>
        </w:rPr>
      </w:pPr>
      <w:r w:rsidRPr="004D7A51">
        <w:rPr>
          <w:rFonts w:eastAsia="Times New Roman" w:cs="Arial"/>
          <w:color w:val="000000"/>
          <w:lang w:eastAsia="bg-BG"/>
        </w:rPr>
        <w:t>Проучванията на остра токсичност не показват някаква чувствителност при различни животински видове.</w:t>
      </w:r>
    </w:p>
    <w:p w14:paraId="6BCD16F2" w14:textId="77777777" w:rsidR="004D7A51" w:rsidRPr="004D7A51" w:rsidRDefault="004D7A51" w:rsidP="004D7A51">
      <w:pPr>
        <w:spacing w:line="240" w:lineRule="auto"/>
        <w:rPr>
          <w:rFonts w:eastAsia="Times New Roman" w:cs="Arial"/>
          <w:i/>
          <w:iCs/>
          <w:color w:val="000000"/>
          <w:lang w:eastAsia="bg-BG"/>
        </w:rPr>
      </w:pPr>
    </w:p>
    <w:p w14:paraId="0F9FD212" w14:textId="57C997B0" w:rsidR="004D7A51" w:rsidRPr="004D7A51" w:rsidRDefault="004D7A51" w:rsidP="004D7A51">
      <w:pPr>
        <w:spacing w:line="240" w:lineRule="auto"/>
        <w:rPr>
          <w:rFonts w:eastAsia="Times New Roman" w:cs="Arial"/>
        </w:rPr>
      </w:pPr>
      <w:r w:rsidRPr="004D7A51">
        <w:rPr>
          <w:rFonts w:eastAsia="Times New Roman" w:cs="Arial"/>
          <w:i/>
          <w:iCs/>
          <w:color w:val="000000"/>
          <w:lang w:eastAsia="bg-BG"/>
        </w:rPr>
        <w:t>Хронична токсичност</w:t>
      </w:r>
    </w:p>
    <w:p w14:paraId="014AAB86" w14:textId="77777777" w:rsidR="004D7A51" w:rsidRPr="004D7A51" w:rsidRDefault="004D7A51" w:rsidP="004D7A51">
      <w:pPr>
        <w:spacing w:line="240" w:lineRule="auto"/>
        <w:rPr>
          <w:rFonts w:eastAsia="Times New Roman" w:cs="Arial"/>
        </w:rPr>
      </w:pPr>
      <w:r w:rsidRPr="004D7A51">
        <w:rPr>
          <w:rFonts w:eastAsia="Times New Roman" w:cs="Arial"/>
          <w:color w:val="000000"/>
          <w:lang w:eastAsia="bg-BG"/>
        </w:rPr>
        <w:t xml:space="preserve">Хроничната токсичност е изследвана при перорално приложение на плъхове, кучета и маймуни. При токсични дози над 0,5 или съответно 2,0 </w:t>
      </w:r>
      <w:r w:rsidRPr="004D7A51">
        <w:rPr>
          <w:rFonts w:eastAsia="Times New Roman" w:cs="Arial"/>
          <w:color w:val="000000"/>
          <w:lang w:val="en-US"/>
        </w:rPr>
        <w:t>mg</w:t>
      </w:r>
      <w:r w:rsidRPr="004D7A51">
        <w:rPr>
          <w:rFonts w:eastAsia="Times New Roman" w:cs="Arial"/>
          <w:color w:val="000000"/>
          <w:lang w:val="ru-RU"/>
        </w:rPr>
        <w:t>/</w:t>
      </w:r>
      <w:r w:rsidRPr="004D7A51">
        <w:rPr>
          <w:rFonts w:eastAsia="Times New Roman" w:cs="Arial"/>
          <w:color w:val="000000"/>
          <w:lang w:val="en-US"/>
        </w:rPr>
        <w:t>kg</w:t>
      </w:r>
      <w:r w:rsidRPr="004D7A51">
        <w:rPr>
          <w:rFonts w:eastAsia="Times New Roman" w:cs="Arial"/>
          <w:color w:val="000000"/>
          <w:lang w:val="ru-RU"/>
        </w:rPr>
        <w:t xml:space="preserve"> </w:t>
      </w:r>
      <w:r w:rsidRPr="004D7A51">
        <w:rPr>
          <w:rFonts w:eastAsia="Times New Roman" w:cs="Arial"/>
          <w:color w:val="000000"/>
          <w:lang w:eastAsia="bg-BG"/>
        </w:rPr>
        <w:t>телесно тегло, различавайки се в зависимост от вида, са наблюдавани язви в гастроинтестиналния тракт и промени в кръвната картина.</w:t>
      </w:r>
    </w:p>
    <w:p w14:paraId="3BDAE680" w14:textId="77777777" w:rsidR="004D7A51" w:rsidRPr="004D7A51" w:rsidRDefault="004D7A51" w:rsidP="004D7A51">
      <w:pPr>
        <w:spacing w:line="240" w:lineRule="auto"/>
        <w:rPr>
          <w:rFonts w:eastAsia="Times New Roman" w:cs="Arial"/>
          <w:i/>
          <w:iCs/>
          <w:color w:val="000000"/>
          <w:lang w:eastAsia="bg-BG"/>
        </w:rPr>
      </w:pPr>
    </w:p>
    <w:p w14:paraId="28A2E2E3" w14:textId="2377894C" w:rsidR="004D7A51" w:rsidRPr="004D7A51" w:rsidRDefault="004D7A51" w:rsidP="004D7A51">
      <w:pPr>
        <w:spacing w:line="240" w:lineRule="auto"/>
        <w:rPr>
          <w:rFonts w:eastAsia="Times New Roman" w:cs="Arial"/>
        </w:rPr>
      </w:pPr>
      <w:r w:rsidRPr="004D7A51">
        <w:rPr>
          <w:rFonts w:eastAsia="Times New Roman" w:cs="Arial"/>
          <w:i/>
          <w:iCs/>
          <w:color w:val="000000"/>
          <w:lang w:eastAsia="bg-BG"/>
        </w:rPr>
        <w:t>Туморогенен и мутагенен потенциал</w:t>
      </w:r>
    </w:p>
    <w:p w14:paraId="0BE6E294" w14:textId="77777777" w:rsidR="004D7A51" w:rsidRPr="004D7A51" w:rsidRDefault="004D7A51" w:rsidP="004D7A51">
      <w:pPr>
        <w:spacing w:line="240" w:lineRule="auto"/>
        <w:rPr>
          <w:rFonts w:eastAsia="Times New Roman" w:cs="Arial"/>
        </w:rPr>
      </w:pPr>
      <w:r w:rsidRPr="004D7A51">
        <w:rPr>
          <w:rFonts w:eastAsia="Times New Roman" w:cs="Arial"/>
          <w:color w:val="000000"/>
          <w:lang w:eastAsia="bg-BG"/>
        </w:rPr>
        <w:t xml:space="preserve">Резултатите от </w:t>
      </w:r>
      <w:r w:rsidRPr="004D7A51">
        <w:rPr>
          <w:rFonts w:eastAsia="Times New Roman" w:cs="Arial"/>
          <w:i/>
          <w:iCs/>
          <w:color w:val="000000"/>
          <w:lang w:val="en-US"/>
        </w:rPr>
        <w:t>in</w:t>
      </w:r>
      <w:r w:rsidRPr="004D7A51">
        <w:rPr>
          <w:rFonts w:eastAsia="Times New Roman" w:cs="Arial"/>
          <w:i/>
          <w:iCs/>
          <w:color w:val="000000"/>
          <w:lang w:val="ru-RU"/>
        </w:rPr>
        <w:t xml:space="preserve"> </w:t>
      </w:r>
      <w:r w:rsidRPr="004D7A51">
        <w:rPr>
          <w:rFonts w:eastAsia="Times New Roman" w:cs="Arial"/>
          <w:i/>
          <w:iCs/>
          <w:color w:val="000000"/>
          <w:lang w:val="en-US"/>
        </w:rPr>
        <w:t>vivo</w:t>
      </w:r>
      <w:r w:rsidRPr="004D7A51">
        <w:rPr>
          <w:rFonts w:eastAsia="Times New Roman" w:cs="Arial"/>
          <w:color w:val="000000"/>
          <w:lang w:val="ru-RU"/>
        </w:rPr>
        <w:t xml:space="preserve"> </w:t>
      </w:r>
      <w:r w:rsidRPr="004D7A51">
        <w:rPr>
          <w:rFonts w:eastAsia="Times New Roman" w:cs="Arial"/>
          <w:color w:val="000000"/>
          <w:lang w:eastAsia="bg-BG"/>
        </w:rPr>
        <w:t xml:space="preserve">и </w:t>
      </w:r>
      <w:r w:rsidRPr="004D7A51">
        <w:rPr>
          <w:rFonts w:eastAsia="Times New Roman" w:cs="Arial"/>
          <w:i/>
          <w:iCs/>
          <w:color w:val="000000"/>
          <w:lang w:val="en-US"/>
        </w:rPr>
        <w:t>in</w:t>
      </w:r>
      <w:r w:rsidRPr="004D7A51">
        <w:rPr>
          <w:rFonts w:eastAsia="Times New Roman" w:cs="Arial"/>
          <w:i/>
          <w:iCs/>
          <w:color w:val="000000"/>
          <w:lang w:val="ru-RU"/>
        </w:rPr>
        <w:t xml:space="preserve"> </w:t>
      </w:r>
      <w:r w:rsidRPr="004D7A51">
        <w:rPr>
          <w:rFonts w:eastAsia="Times New Roman" w:cs="Arial"/>
          <w:i/>
          <w:iCs/>
          <w:color w:val="000000"/>
          <w:lang w:val="en-US"/>
        </w:rPr>
        <w:t>vitro</w:t>
      </w:r>
      <w:r w:rsidRPr="004D7A51">
        <w:rPr>
          <w:rFonts w:eastAsia="Times New Roman" w:cs="Arial"/>
          <w:color w:val="000000"/>
          <w:lang w:val="ru-RU"/>
        </w:rPr>
        <w:t xml:space="preserve"> </w:t>
      </w:r>
      <w:r w:rsidRPr="004D7A51">
        <w:rPr>
          <w:rFonts w:eastAsia="Times New Roman" w:cs="Arial"/>
          <w:color w:val="000000"/>
          <w:lang w:eastAsia="bg-BG"/>
        </w:rPr>
        <w:t>тестове не показват мутагенен потенциал на диклофенак. Проучванията за канцерогенност при продължително перорално приложение върху плъхове и мишки не са показали данни за туморогенен потенциал.</w:t>
      </w:r>
    </w:p>
    <w:p w14:paraId="09267588" w14:textId="77777777" w:rsidR="004D7A51" w:rsidRPr="004D7A51" w:rsidRDefault="004D7A51" w:rsidP="004D7A51">
      <w:pPr>
        <w:spacing w:line="240" w:lineRule="auto"/>
        <w:rPr>
          <w:rFonts w:eastAsia="Times New Roman" w:cs="Arial"/>
          <w:i/>
          <w:iCs/>
          <w:color w:val="000000"/>
          <w:lang w:eastAsia="bg-BG"/>
        </w:rPr>
      </w:pPr>
    </w:p>
    <w:p w14:paraId="338F0B04" w14:textId="7E9A867D" w:rsidR="004D7A51" w:rsidRPr="004D7A51" w:rsidRDefault="004D7A51" w:rsidP="004D7A51">
      <w:pPr>
        <w:spacing w:line="240" w:lineRule="auto"/>
        <w:rPr>
          <w:rFonts w:eastAsia="Times New Roman" w:cs="Arial"/>
        </w:rPr>
      </w:pPr>
      <w:r w:rsidRPr="004D7A51">
        <w:rPr>
          <w:rFonts w:eastAsia="Times New Roman" w:cs="Arial"/>
          <w:i/>
          <w:iCs/>
          <w:color w:val="000000"/>
          <w:lang w:eastAsia="bg-BG"/>
        </w:rPr>
        <w:lastRenderedPageBreak/>
        <w:t>Репродуктивна токсичност</w:t>
      </w:r>
    </w:p>
    <w:p w14:paraId="2B1C3B7A" w14:textId="09F70D77" w:rsidR="004D7A51" w:rsidRPr="004D7A51" w:rsidRDefault="004D7A51" w:rsidP="004D7A51">
      <w:pPr>
        <w:spacing w:line="240" w:lineRule="auto"/>
        <w:rPr>
          <w:rFonts w:eastAsia="Times New Roman" w:cs="Arial"/>
        </w:rPr>
      </w:pPr>
      <w:r w:rsidRPr="004D7A51">
        <w:rPr>
          <w:rFonts w:eastAsia="Times New Roman" w:cs="Arial"/>
          <w:color w:val="000000"/>
          <w:lang w:eastAsia="bg-BG"/>
        </w:rPr>
        <w:t>Ембриотоксичният потенциал на диклофенак е изследван при три животински вида (плъх, мишка, заек). При дози, токсични за майката, са наблюдавани фетална смърт и забаваен разтеж Не са наблюдавани малформации. Гестационният период и продължителността на раждане са</w:t>
      </w:r>
      <w:r>
        <w:rPr>
          <w:rFonts w:eastAsia="Times New Roman" w:cs="Arial"/>
        </w:rPr>
        <w:t xml:space="preserve"> </w:t>
      </w:r>
      <w:r w:rsidRPr="004D7A51">
        <w:rPr>
          <w:rFonts w:eastAsia="Times New Roman" w:cs="Arial"/>
          <w:color w:val="000000"/>
          <w:lang w:eastAsia="bg-BG"/>
        </w:rPr>
        <w:t>удължени при приложение на диклофенак. Не е наблюдавано отрицателно влиание върху</w:t>
      </w:r>
      <w:r>
        <w:rPr>
          <w:rFonts w:eastAsia="Times New Roman" w:cs="Arial"/>
          <w:color w:val="000000"/>
          <w:lang w:eastAsia="bg-BG"/>
        </w:rPr>
        <w:t xml:space="preserve"> </w:t>
      </w:r>
      <w:r w:rsidRPr="004D7A51">
        <w:rPr>
          <w:rFonts w:cs="Arial"/>
        </w:rPr>
        <w:t>фертилитета. Дози под токсичните за майката не оказват влияние върху постнаталното развитие на потомството.</w:t>
      </w:r>
    </w:p>
    <w:p w14:paraId="6A7820AB" w14:textId="5930B058" w:rsidR="008A6AF2" w:rsidRPr="004D7A51" w:rsidRDefault="002C50EE" w:rsidP="004D7A51">
      <w:pPr>
        <w:pStyle w:val="Heading1"/>
      </w:pPr>
      <w:r w:rsidRPr="004D7A51">
        <w:t>7. ПРИТЕЖАТЕЛ НА РАЗРЕШЕНИЕТО ЗА УПОТРЕБА</w:t>
      </w:r>
    </w:p>
    <w:p w14:paraId="3BEA0D71" w14:textId="1D1269FD" w:rsidR="004D7A51" w:rsidRDefault="004D7A51" w:rsidP="004D7A51"/>
    <w:p w14:paraId="6C9A5813" w14:textId="77777777" w:rsidR="004D7A51" w:rsidRPr="004D7A51" w:rsidRDefault="004D7A51" w:rsidP="004D7A51">
      <w:pPr>
        <w:rPr>
          <w:sz w:val="24"/>
          <w:szCs w:val="24"/>
          <w:lang w:val="en-US"/>
        </w:rPr>
      </w:pPr>
      <w:proofErr w:type="spellStart"/>
      <w:r w:rsidRPr="004D7A51">
        <w:rPr>
          <w:lang w:val="en-US"/>
        </w:rPr>
        <w:t>Hexal</w:t>
      </w:r>
      <w:proofErr w:type="spellEnd"/>
      <w:r w:rsidRPr="004D7A51">
        <w:rPr>
          <w:lang w:val="en-US"/>
        </w:rPr>
        <w:t xml:space="preserve"> AG</w:t>
      </w:r>
    </w:p>
    <w:p w14:paraId="6678E2C1" w14:textId="7831B8AD" w:rsidR="004D7A51" w:rsidRPr="004D7A51" w:rsidRDefault="004D7A51" w:rsidP="004D7A51">
      <w:proofErr w:type="spellStart"/>
      <w:r w:rsidRPr="004D7A51">
        <w:rPr>
          <w:lang w:val="en-US"/>
        </w:rPr>
        <w:t>Industriestrasse</w:t>
      </w:r>
      <w:proofErr w:type="spellEnd"/>
      <w:r w:rsidRPr="004D7A51">
        <w:rPr>
          <w:lang w:val="en-US"/>
        </w:rPr>
        <w:t xml:space="preserve"> </w:t>
      </w:r>
      <w:r w:rsidRPr="004D7A51">
        <w:rPr>
          <w:lang w:eastAsia="bg-BG"/>
        </w:rPr>
        <w:t xml:space="preserve">25, </w:t>
      </w:r>
      <w:r w:rsidRPr="004D7A51">
        <w:rPr>
          <w:lang w:val="en-US"/>
        </w:rPr>
        <w:t>D-</w:t>
      </w:r>
      <w:proofErr w:type="spellStart"/>
      <w:r w:rsidRPr="004D7A51">
        <w:rPr>
          <w:lang w:val="en-US"/>
        </w:rPr>
        <w:t>Holzkirchen</w:t>
      </w:r>
      <w:proofErr w:type="spellEnd"/>
      <w:r w:rsidRPr="004D7A51">
        <w:rPr>
          <w:lang w:val="en-US"/>
        </w:rPr>
        <w:t xml:space="preserve">, </w:t>
      </w:r>
      <w:r w:rsidRPr="004D7A51">
        <w:rPr>
          <w:lang w:eastAsia="bg-BG"/>
        </w:rPr>
        <w:t>Германия</w:t>
      </w:r>
    </w:p>
    <w:p w14:paraId="04840D59" w14:textId="2686B4B8" w:rsidR="002C50EE" w:rsidRDefault="002C50EE" w:rsidP="00395555">
      <w:pPr>
        <w:pStyle w:val="Heading1"/>
      </w:pPr>
      <w:r>
        <w:t>8. НОМЕР НА РАЗРЕШЕНИЕТО ЗА УПОТРЕБА</w:t>
      </w:r>
    </w:p>
    <w:p w14:paraId="18CFB1AA" w14:textId="72DF90C9" w:rsidR="004D7A51" w:rsidRDefault="004D7A51" w:rsidP="004D7A51"/>
    <w:p w14:paraId="05C25A8C" w14:textId="3C6DCAA9" w:rsidR="004D7A51" w:rsidRPr="004D7A51" w:rsidRDefault="004D7A51" w:rsidP="004D7A51">
      <w:r>
        <w:rPr>
          <w:lang w:val="en-US"/>
        </w:rPr>
        <w:t>Per</w:t>
      </w:r>
      <w:r w:rsidRPr="004D7A51">
        <w:rPr>
          <w:lang w:val="ru-RU"/>
        </w:rPr>
        <w:t xml:space="preserve">. </w:t>
      </w:r>
      <w:r>
        <w:t>№20030086</w:t>
      </w:r>
    </w:p>
    <w:p w14:paraId="2CCB5832" w14:textId="5B04808C" w:rsidR="007C605B" w:rsidRDefault="002C50EE" w:rsidP="007C605B">
      <w:pPr>
        <w:pStyle w:val="Heading1"/>
      </w:pPr>
      <w:r>
        <w:t>9. ДАТА НА ПЪРВО РАЗРЕШАВАНЕ/ПОДНОВЯВАНЕ НА РАЗРЕШЕНИЕТО ЗА УПОТРЕБА</w:t>
      </w:r>
    </w:p>
    <w:p w14:paraId="56C45BD1" w14:textId="46033C6A" w:rsidR="004D7A51" w:rsidRDefault="004D7A51" w:rsidP="004D7A51"/>
    <w:p w14:paraId="03C828CF" w14:textId="77777777" w:rsidR="004D7A51" w:rsidRPr="004D7A51" w:rsidRDefault="004D7A51" w:rsidP="004D7A51">
      <w:pPr>
        <w:rPr>
          <w:sz w:val="24"/>
          <w:szCs w:val="24"/>
        </w:rPr>
      </w:pPr>
      <w:r w:rsidRPr="004D7A51">
        <w:rPr>
          <w:lang w:eastAsia="bg-BG"/>
        </w:rPr>
        <w:t>Дата на първо разрешаване за употреба: 30.01.2003</w:t>
      </w:r>
    </w:p>
    <w:p w14:paraId="30D24BC4" w14:textId="77777777" w:rsidR="004D7A51" w:rsidRPr="004D7A51" w:rsidRDefault="004D7A51" w:rsidP="004D7A51">
      <w:pPr>
        <w:rPr>
          <w:sz w:val="24"/>
          <w:szCs w:val="24"/>
        </w:rPr>
      </w:pPr>
      <w:r w:rsidRPr="004D7A51">
        <w:rPr>
          <w:lang w:eastAsia="bg-BG"/>
        </w:rPr>
        <w:t>Дата на последно подновяване: 01.04.2008</w:t>
      </w:r>
    </w:p>
    <w:p w14:paraId="05318009" w14:textId="77777777" w:rsidR="004D7A51" w:rsidRPr="004D7A51" w:rsidRDefault="004D7A51" w:rsidP="004D7A51"/>
    <w:p w14:paraId="0E9D0119" w14:textId="0245C6D7" w:rsidR="002C50EE" w:rsidRDefault="002C50EE" w:rsidP="002C50EE">
      <w:pPr>
        <w:pStyle w:val="Heading1"/>
      </w:pPr>
      <w:r>
        <w:t>10. ДАТА НА АКТУАЛИЗИРАНЕ НА ТЕКСТА</w:t>
      </w:r>
    </w:p>
    <w:bookmarkEnd w:id="0"/>
    <w:p w14:paraId="43FB38A2" w14:textId="7826DF0D" w:rsidR="007C605B" w:rsidRPr="003E3126" w:rsidRDefault="004D7A51" w:rsidP="004D7A51">
      <w:r>
        <w:t>11/2020</w:t>
      </w:r>
      <w:bookmarkStart w:id="2" w:name="_GoBack"/>
      <w:bookmarkEnd w:id="2"/>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0"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C061425"/>
    <w:multiLevelType w:val="hybridMultilevel"/>
    <w:tmpl w:val="E70E8844"/>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6"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1"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5E459D"/>
    <w:multiLevelType w:val="hybridMultilevel"/>
    <w:tmpl w:val="CD500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7"/>
  </w:num>
  <w:num w:numId="2">
    <w:abstractNumId w:val="0"/>
  </w:num>
  <w:num w:numId="3">
    <w:abstractNumId w:val="13"/>
  </w:num>
  <w:num w:numId="4">
    <w:abstractNumId w:val="3"/>
  </w:num>
  <w:num w:numId="5">
    <w:abstractNumId w:val="1"/>
  </w:num>
  <w:num w:numId="6">
    <w:abstractNumId w:val="16"/>
  </w:num>
  <w:num w:numId="7">
    <w:abstractNumId w:val="10"/>
  </w:num>
  <w:num w:numId="8">
    <w:abstractNumId w:val="15"/>
  </w:num>
  <w:num w:numId="9">
    <w:abstractNumId w:val="2"/>
  </w:num>
  <w:num w:numId="10">
    <w:abstractNumId w:val="4"/>
  </w:num>
  <w:num w:numId="11">
    <w:abstractNumId w:val="29"/>
  </w:num>
  <w:num w:numId="12">
    <w:abstractNumId w:val="14"/>
  </w:num>
  <w:num w:numId="13">
    <w:abstractNumId w:val="19"/>
  </w:num>
  <w:num w:numId="14">
    <w:abstractNumId w:val="12"/>
  </w:num>
  <w:num w:numId="15">
    <w:abstractNumId w:val="28"/>
  </w:num>
  <w:num w:numId="16">
    <w:abstractNumId w:val="9"/>
  </w:num>
  <w:num w:numId="17">
    <w:abstractNumId w:val="24"/>
  </w:num>
  <w:num w:numId="18">
    <w:abstractNumId w:val="7"/>
  </w:num>
  <w:num w:numId="19">
    <w:abstractNumId w:val="26"/>
  </w:num>
  <w:num w:numId="20">
    <w:abstractNumId w:val="23"/>
  </w:num>
  <w:num w:numId="21">
    <w:abstractNumId w:val="17"/>
  </w:num>
  <w:num w:numId="22">
    <w:abstractNumId w:val="25"/>
  </w:num>
  <w:num w:numId="23">
    <w:abstractNumId w:val="18"/>
  </w:num>
  <w:num w:numId="24">
    <w:abstractNumId w:val="8"/>
  </w:num>
  <w:num w:numId="25">
    <w:abstractNumId w:val="22"/>
  </w:num>
  <w:num w:numId="26">
    <w:abstractNumId w:val="21"/>
  </w:num>
  <w:num w:numId="27">
    <w:abstractNumId w:val="31"/>
  </w:num>
  <w:num w:numId="28">
    <w:abstractNumId w:val="6"/>
  </w:num>
  <w:num w:numId="29">
    <w:abstractNumId w:val="20"/>
  </w:num>
  <w:num w:numId="30">
    <w:abstractNumId w:val="32"/>
  </w:num>
  <w:num w:numId="31">
    <w:abstractNumId w:val="5"/>
  </w:num>
  <w:num w:numId="32">
    <w:abstractNumId w:val="11"/>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D4D6B"/>
    <w:rsid w:val="004D7A51"/>
    <w:rsid w:val="00517A5B"/>
    <w:rsid w:val="00593A00"/>
    <w:rsid w:val="005A66D9"/>
    <w:rsid w:val="00605BCA"/>
    <w:rsid w:val="006158A1"/>
    <w:rsid w:val="00617B1F"/>
    <w:rsid w:val="00672487"/>
    <w:rsid w:val="00672600"/>
    <w:rsid w:val="00681D4A"/>
    <w:rsid w:val="00685882"/>
    <w:rsid w:val="0075649D"/>
    <w:rsid w:val="007C605B"/>
    <w:rsid w:val="00814073"/>
    <w:rsid w:val="00826F0D"/>
    <w:rsid w:val="00893B92"/>
    <w:rsid w:val="008A6AF2"/>
    <w:rsid w:val="008C70A2"/>
    <w:rsid w:val="009773E4"/>
    <w:rsid w:val="009B171C"/>
    <w:rsid w:val="009F1313"/>
    <w:rsid w:val="00A20351"/>
    <w:rsid w:val="00AA23EC"/>
    <w:rsid w:val="00AC63CE"/>
    <w:rsid w:val="00AE2107"/>
    <w:rsid w:val="00B275A8"/>
    <w:rsid w:val="00BF2600"/>
    <w:rsid w:val="00C0049F"/>
    <w:rsid w:val="00C07B84"/>
    <w:rsid w:val="00C33464"/>
    <w:rsid w:val="00C809A7"/>
    <w:rsid w:val="00C83063"/>
    <w:rsid w:val="00C87E90"/>
    <w:rsid w:val="00CA1B5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2038</Words>
  <Characters>11618</Characters>
  <Application>Microsoft Office Word</Application>
  <DocSecurity>0</DocSecurity>
  <Lines>96</Lines>
  <Paragraphs>27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2021-12-02T15:11:00Z</dcterms:created>
  <dcterms:modified xsi:type="dcterms:W3CDTF">2021-12-02T15:11:00Z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