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0A9EBC20" w14:textId="37397E51" w:rsidR="009F77A4" w:rsidRDefault="00DD466D" w:rsidP="00387A66">
      <w:pPr>
        <w:pStyle w:val="Heading1"/>
      </w:pPr>
      <w:r>
        <w:t>1.ИМЕ НА ЛЕКАРСТВЕНИЯ ПРОДУКТ</w:t>
      </w:r>
    </w:p>
    <w:p w14:paraId="33AFC00B" w14:textId="78673EEF" w:rsidR="00376D70" w:rsidRDefault="00376D70" w:rsidP="00376D70"/>
    <w:p w14:paraId="602FD106" w14:textId="77777777" w:rsidR="00376D70" w:rsidRPr="00376D70" w:rsidRDefault="00376D70" w:rsidP="00376D70">
      <w:pPr>
        <w:rPr>
          <w:sz w:val="24"/>
          <w:szCs w:val="24"/>
          <w:lang w:val="en-US" w:eastAsia="bg-BG"/>
        </w:rPr>
      </w:pPr>
      <w:r w:rsidRPr="00376D70">
        <w:rPr>
          <w:lang w:eastAsia="bg-BG"/>
        </w:rPr>
        <w:t xml:space="preserve">Диклоабак 1 </w:t>
      </w:r>
      <w:r w:rsidRPr="00376D70">
        <w:rPr>
          <w:lang w:val="en-US"/>
        </w:rPr>
        <w:t xml:space="preserve">mg/ml </w:t>
      </w:r>
      <w:r w:rsidRPr="00376D70">
        <w:rPr>
          <w:lang w:eastAsia="bg-BG"/>
        </w:rPr>
        <w:t>капки за очи, разтвор</w:t>
      </w:r>
    </w:p>
    <w:p w14:paraId="2BE647F8" w14:textId="2572C140" w:rsidR="00376D70" w:rsidRPr="00376D70" w:rsidRDefault="00376D70" w:rsidP="00376D70">
      <w:proofErr w:type="spellStart"/>
      <w:r w:rsidRPr="00376D70">
        <w:rPr>
          <w:lang w:val="en-US"/>
        </w:rPr>
        <w:t>Dicloabak</w:t>
      </w:r>
      <w:proofErr w:type="spellEnd"/>
      <w:r w:rsidRPr="00376D70">
        <w:rPr>
          <w:lang w:val="en-US"/>
        </w:rPr>
        <w:t xml:space="preserve"> </w:t>
      </w:r>
      <w:r w:rsidRPr="00376D70">
        <w:rPr>
          <w:lang w:eastAsia="bg-BG"/>
        </w:rPr>
        <w:t xml:space="preserve">1 </w:t>
      </w:r>
      <w:r w:rsidRPr="00376D70">
        <w:rPr>
          <w:lang w:val="en-US"/>
        </w:rPr>
        <w:t>mg/ml eye drops, solution</w:t>
      </w:r>
    </w:p>
    <w:p w14:paraId="0DF202EC" w14:textId="54713AB7" w:rsidR="00F53FB7" w:rsidRDefault="00DD466D" w:rsidP="00A93499">
      <w:pPr>
        <w:pStyle w:val="Heading1"/>
      </w:pPr>
      <w:r>
        <w:t>2. КАЧЕСТВЕН И КОЛИЧЕСТВЕН СЪСТАВ</w:t>
      </w:r>
    </w:p>
    <w:p w14:paraId="16E64E48" w14:textId="1C55E4CB" w:rsidR="00376D70" w:rsidRDefault="00376D70" w:rsidP="00376D70"/>
    <w:p w14:paraId="45DF6695"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 xml:space="preserve">Диклофенак натрий </w:t>
      </w:r>
      <w:r w:rsidRPr="00376D70">
        <w:rPr>
          <w:rFonts w:eastAsia="Times New Roman" w:cs="Arial"/>
          <w:color w:val="000000"/>
          <w:lang w:val="en-US"/>
        </w:rPr>
        <w:t xml:space="preserve">(Diclofenac sodium) </w:t>
      </w:r>
      <w:r w:rsidRPr="00376D70">
        <w:rPr>
          <w:rFonts w:eastAsia="Times New Roman" w:cs="Arial"/>
          <w:color w:val="000000"/>
          <w:lang w:eastAsia="bg-BG"/>
        </w:rPr>
        <w:t xml:space="preserve">1 </w:t>
      </w:r>
      <w:r w:rsidRPr="00376D70">
        <w:rPr>
          <w:rFonts w:eastAsia="Times New Roman" w:cs="Arial"/>
          <w:color w:val="000000"/>
          <w:lang w:val="en-US"/>
        </w:rPr>
        <w:t>mg/ml</w:t>
      </w:r>
    </w:p>
    <w:p w14:paraId="263701E9" w14:textId="266F3394" w:rsidR="00376D70" w:rsidRPr="00376D70" w:rsidRDefault="00376D70" w:rsidP="00376D70">
      <w:pPr>
        <w:rPr>
          <w:rFonts w:cs="Arial"/>
          <w:sz w:val="24"/>
          <w:szCs w:val="24"/>
        </w:rPr>
      </w:pPr>
      <w:r w:rsidRPr="00376D70">
        <w:rPr>
          <w:rFonts w:eastAsia="Times New Roman" w:cs="Arial"/>
          <w:color w:val="000000"/>
          <w:u w:val="single"/>
          <w:lang w:eastAsia="bg-BG"/>
        </w:rPr>
        <w:t>Помощно вещество с известно действие</w:t>
      </w:r>
      <w:r w:rsidRPr="00376D70">
        <w:rPr>
          <w:rFonts w:eastAsia="Times New Roman" w:cs="Arial"/>
          <w:color w:val="000000"/>
          <w:lang w:eastAsia="bg-BG"/>
        </w:rPr>
        <w:t xml:space="preserve">: макроголглицеролов рицинолеат 50 </w:t>
      </w:r>
      <w:r w:rsidRPr="00376D70">
        <w:rPr>
          <w:rFonts w:eastAsia="Times New Roman" w:cs="Arial"/>
          <w:color w:val="000000"/>
          <w:lang w:val="en-US"/>
        </w:rPr>
        <w:t>mg /ml</w:t>
      </w:r>
    </w:p>
    <w:p w14:paraId="4CABB9ED" w14:textId="7C0BEA44" w:rsidR="00F53FB7" w:rsidRDefault="00DD466D" w:rsidP="00A93499">
      <w:pPr>
        <w:pStyle w:val="Heading1"/>
      </w:pPr>
      <w:r>
        <w:t>3. ЛЕКАРСТВЕНА ФОРМА</w:t>
      </w:r>
    </w:p>
    <w:p w14:paraId="70271A1A" w14:textId="27214AC3" w:rsidR="00376D70" w:rsidRDefault="00376D70" w:rsidP="00376D70"/>
    <w:p w14:paraId="3B6D198F" w14:textId="77777777" w:rsidR="00376D70" w:rsidRPr="00376D70" w:rsidRDefault="00376D70" w:rsidP="00376D70">
      <w:pPr>
        <w:rPr>
          <w:sz w:val="24"/>
          <w:szCs w:val="24"/>
          <w:lang w:eastAsia="bg-BG"/>
        </w:rPr>
      </w:pPr>
      <w:r w:rsidRPr="00376D70">
        <w:rPr>
          <w:lang w:eastAsia="bg-BG"/>
        </w:rPr>
        <w:t>Капки за очи, разтвор</w:t>
      </w:r>
    </w:p>
    <w:p w14:paraId="433DE34C" w14:textId="6AD38EBA" w:rsidR="00376D70" w:rsidRPr="00376D70" w:rsidRDefault="00376D70" w:rsidP="00376D70">
      <w:pPr>
        <w:rPr>
          <w:sz w:val="24"/>
          <w:szCs w:val="24"/>
          <w:lang w:eastAsia="bg-BG"/>
        </w:rPr>
      </w:pPr>
      <w:r w:rsidRPr="00376D70">
        <w:rPr>
          <w:lang w:eastAsia="bg-BG"/>
        </w:rPr>
        <w:t>Бледо жълта и опалесцентна течност.</w:t>
      </w:r>
    </w:p>
    <w:p w14:paraId="490FC2C4" w14:textId="6899DE43" w:rsidR="002C50EE" w:rsidRDefault="002C50EE" w:rsidP="002C50EE">
      <w:pPr>
        <w:pStyle w:val="Heading1"/>
      </w:pPr>
      <w:r>
        <w:t>4. КЛИНИЧНИ ДАННИ</w:t>
      </w:r>
    </w:p>
    <w:p w14:paraId="461901E4" w14:textId="6D771971" w:rsidR="009F77A4" w:rsidRDefault="002C50EE" w:rsidP="00387A66">
      <w:pPr>
        <w:pStyle w:val="Heading2"/>
      </w:pPr>
      <w:r>
        <w:t>4.1. Терапевтични показания</w:t>
      </w:r>
    </w:p>
    <w:p w14:paraId="0D17FF89" w14:textId="6CB2EB6E" w:rsidR="00376D70" w:rsidRDefault="00376D70" w:rsidP="00376D70"/>
    <w:p w14:paraId="395B4B52" w14:textId="77777777"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Инхибиране на миозата по време на хирургична намеса за катаракта.</w:t>
      </w:r>
    </w:p>
    <w:p w14:paraId="5C33DFBC" w14:textId="77777777"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Превенция на възпалението при хирургични намеси за катаракта и на предния очен сегмент (вж. точка 5.1).</w:t>
      </w:r>
    </w:p>
    <w:p w14:paraId="34A392F8" w14:textId="0C4F6073"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Лечение на болката в окото при фоторефрактивна кератектомия през първите 24 часа след операцията.</w:t>
      </w:r>
    </w:p>
    <w:p w14:paraId="26FED1CD" w14:textId="77777777" w:rsidR="00376D70" w:rsidRPr="00376D70" w:rsidRDefault="00376D70" w:rsidP="00376D70"/>
    <w:p w14:paraId="31744E5A" w14:textId="08BD931F" w:rsidR="009F77A4" w:rsidRDefault="002C50EE" w:rsidP="00387A66">
      <w:pPr>
        <w:pStyle w:val="Heading2"/>
      </w:pPr>
      <w:r>
        <w:t>4.2. Дозировка и начин на приложение</w:t>
      </w:r>
    </w:p>
    <w:p w14:paraId="6BC1B2FF" w14:textId="00FCDD52" w:rsidR="00376D70" w:rsidRDefault="00376D70" w:rsidP="00376D70"/>
    <w:p w14:paraId="4832F385" w14:textId="77777777" w:rsidR="00376D70" w:rsidRPr="00376D70" w:rsidRDefault="00376D70" w:rsidP="00376D70">
      <w:pPr>
        <w:pStyle w:val="Heading3"/>
        <w:rPr>
          <w:rFonts w:eastAsia="Times New Roman"/>
          <w:sz w:val="28"/>
          <w:szCs w:val="28"/>
          <w:u w:val="single"/>
          <w:lang w:eastAsia="bg-BG"/>
        </w:rPr>
      </w:pPr>
      <w:r w:rsidRPr="00376D70">
        <w:rPr>
          <w:rFonts w:eastAsia="Times New Roman"/>
          <w:u w:val="single"/>
          <w:lang w:eastAsia="bg-BG"/>
        </w:rPr>
        <w:t>Дозировка</w:t>
      </w:r>
    </w:p>
    <w:p w14:paraId="3B0831D2" w14:textId="77777777" w:rsidR="00376D70" w:rsidRPr="00376D70" w:rsidRDefault="00376D70" w:rsidP="00376D70">
      <w:pPr>
        <w:spacing w:line="240" w:lineRule="auto"/>
        <w:rPr>
          <w:rFonts w:eastAsia="Times New Roman" w:cs="Arial"/>
          <w:color w:val="000000"/>
          <w:u w:val="single"/>
          <w:lang w:eastAsia="bg-BG"/>
        </w:rPr>
      </w:pPr>
    </w:p>
    <w:p w14:paraId="65B5027E" w14:textId="1A61F532"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Възрастни</w:t>
      </w:r>
      <w:r w:rsidRPr="00376D70">
        <w:rPr>
          <w:rFonts w:eastAsia="Times New Roman" w:cs="Arial"/>
          <w:color w:val="000000"/>
          <w:lang w:eastAsia="bg-BG"/>
        </w:rPr>
        <w:t>:</w:t>
      </w:r>
    </w:p>
    <w:p w14:paraId="6C2D790F"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Инхибиране на миозата по време на хирургична намеса за катаракта</w:t>
      </w:r>
    </w:p>
    <w:p w14:paraId="278A13C3" w14:textId="6C3BE301"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Предоперативно: една капка до пет пъти на ден в рамките на трите часа преди хирургичната намеса;</w:t>
      </w:r>
    </w:p>
    <w:p w14:paraId="31A6A671" w14:textId="77777777" w:rsidR="00376D70" w:rsidRPr="00376D70" w:rsidRDefault="00376D70" w:rsidP="00376D70">
      <w:pPr>
        <w:spacing w:line="240" w:lineRule="auto"/>
        <w:rPr>
          <w:rFonts w:eastAsia="Times New Roman" w:cs="Arial"/>
          <w:color w:val="000000"/>
          <w:lang w:eastAsia="bg-BG"/>
        </w:rPr>
      </w:pPr>
    </w:p>
    <w:p w14:paraId="7724D51C" w14:textId="3BB1DE3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Превенция на възпалението при хирургични намеси за катаракта и на предния очен сегмент:</w:t>
      </w:r>
    </w:p>
    <w:p w14:paraId="27A7A3D5" w14:textId="77777777"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Предоперативно: една капка до пет пъти на ден в рамките на трите часа преди хирургичната намеса;</w:t>
      </w:r>
    </w:p>
    <w:p w14:paraId="26CA3200" w14:textId="6E3CA58A"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Постоперативно: една капка три пъти непосредствено след хирургичната намеса, а след това една капка три до пет пъти дневно. Не се препоръчва продължителност на лечението повече от 4 седмици.</w:t>
      </w:r>
    </w:p>
    <w:p w14:paraId="20C0D6B6" w14:textId="77777777" w:rsidR="00376D70" w:rsidRPr="00376D70" w:rsidRDefault="00376D70" w:rsidP="00376D70">
      <w:pPr>
        <w:spacing w:line="240" w:lineRule="auto"/>
        <w:rPr>
          <w:rFonts w:eastAsia="Times New Roman" w:cs="Arial"/>
          <w:color w:val="000000"/>
          <w:lang w:eastAsia="bg-BG"/>
        </w:rPr>
      </w:pPr>
    </w:p>
    <w:p w14:paraId="35ECE8CA" w14:textId="6544F03A"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Лечение на болката в окото при фоторефрактивна кератектомия през първите 24 часа след операцията:</w:t>
      </w:r>
    </w:p>
    <w:p w14:paraId="15EE5FF6" w14:textId="77777777"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lastRenderedPageBreak/>
        <w:t>Предоперативно: две капки в рамките на един час преди хирургичната намеса;</w:t>
      </w:r>
    </w:p>
    <w:p w14:paraId="7FC34FDA" w14:textId="74E42EF7" w:rsidR="00376D70" w:rsidRPr="00376D70" w:rsidRDefault="00376D70" w:rsidP="00376D70">
      <w:pPr>
        <w:pStyle w:val="ListParagraph"/>
        <w:numPr>
          <w:ilvl w:val="0"/>
          <w:numId w:val="40"/>
        </w:numPr>
        <w:spacing w:line="240" w:lineRule="auto"/>
        <w:rPr>
          <w:rFonts w:eastAsia="Times New Roman" w:cs="Arial"/>
          <w:sz w:val="28"/>
          <w:szCs w:val="28"/>
          <w:lang w:eastAsia="bg-BG"/>
        </w:rPr>
      </w:pPr>
      <w:r w:rsidRPr="00376D70">
        <w:rPr>
          <w:rFonts w:eastAsia="Times New Roman" w:cs="Arial"/>
          <w:color w:val="000000"/>
          <w:lang w:eastAsia="bg-BG"/>
        </w:rPr>
        <w:t>Постоперативно: две капки в рамките на един час след хирургичната намеса, а след това четири капки в рамките на 24-те часа след операцията.</w:t>
      </w:r>
    </w:p>
    <w:p w14:paraId="70EAA852" w14:textId="73238DBF" w:rsidR="00376D70" w:rsidRPr="00376D70" w:rsidRDefault="00376D70" w:rsidP="00376D70">
      <w:pPr>
        <w:spacing w:line="240" w:lineRule="auto"/>
        <w:rPr>
          <w:rFonts w:eastAsia="Times New Roman" w:cs="Arial"/>
          <w:sz w:val="28"/>
          <w:szCs w:val="28"/>
          <w:lang w:eastAsia="bg-BG"/>
        </w:rPr>
      </w:pPr>
    </w:p>
    <w:p w14:paraId="01B1C13D"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Деца</w:t>
      </w:r>
      <w:r w:rsidRPr="00376D70">
        <w:rPr>
          <w:rFonts w:eastAsia="Times New Roman" w:cs="Arial"/>
          <w:color w:val="000000"/>
          <w:lang w:eastAsia="bg-BG"/>
        </w:rPr>
        <w:t>:</w:t>
      </w:r>
    </w:p>
    <w:p w14:paraId="1B4EFAEF"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Не са провеждани специални проучвания.</w:t>
      </w:r>
    </w:p>
    <w:p w14:paraId="110A7487" w14:textId="77777777" w:rsidR="00376D70" w:rsidRPr="00376D70" w:rsidRDefault="00376D70" w:rsidP="00376D70">
      <w:pPr>
        <w:spacing w:line="240" w:lineRule="auto"/>
        <w:rPr>
          <w:rFonts w:eastAsia="Times New Roman" w:cs="Arial"/>
          <w:color w:val="000000"/>
          <w:u w:val="single"/>
          <w:lang w:eastAsia="bg-BG"/>
        </w:rPr>
      </w:pPr>
    </w:p>
    <w:p w14:paraId="3FFD5807" w14:textId="1E933950"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Пациенти в старческа възраст:</w:t>
      </w:r>
    </w:p>
    <w:p w14:paraId="7526CDAC"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Не е необходимо адаптиране на дозата.</w:t>
      </w:r>
    </w:p>
    <w:p w14:paraId="221BC64D" w14:textId="77777777" w:rsidR="00376D70" w:rsidRPr="00376D70" w:rsidRDefault="00376D70" w:rsidP="00376D70">
      <w:pPr>
        <w:spacing w:line="240" w:lineRule="auto"/>
        <w:rPr>
          <w:rFonts w:eastAsia="Times New Roman" w:cs="Arial"/>
          <w:color w:val="000000"/>
          <w:u w:val="single"/>
          <w:lang w:eastAsia="bg-BG"/>
        </w:rPr>
      </w:pPr>
    </w:p>
    <w:p w14:paraId="6CAD241C" w14:textId="4768FF6D" w:rsidR="00376D70" w:rsidRPr="00376D70" w:rsidRDefault="00376D70" w:rsidP="00376D70">
      <w:pPr>
        <w:pStyle w:val="Heading3"/>
        <w:rPr>
          <w:rFonts w:eastAsia="Times New Roman"/>
          <w:sz w:val="28"/>
          <w:szCs w:val="28"/>
          <w:u w:val="single"/>
          <w:lang w:eastAsia="bg-BG"/>
        </w:rPr>
      </w:pPr>
      <w:r w:rsidRPr="00376D70">
        <w:rPr>
          <w:rFonts w:eastAsia="Times New Roman"/>
          <w:u w:val="single"/>
          <w:lang w:eastAsia="bg-BG"/>
        </w:rPr>
        <w:t>Начин на приложение</w:t>
      </w:r>
    </w:p>
    <w:p w14:paraId="494F4447"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Очно приложение.</w:t>
      </w:r>
    </w:p>
    <w:p w14:paraId="7EEDE25B" w14:textId="77777777" w:rsidR="00376D70" w:rsidRPr="00376D70" w:rsidRDefault="00376D70" w:rsidP="00376D70">
      <w:pPr>
        <w:spacing w:line="240" w:lineRule="auto"/>
        <w:rPr>
          <w:rFonts w:eastAsia="Times New Roman" w:cs="Arial"/>
          <w:color w:val="000000"/>
          <w:lang w:eastAsia="bg-BG"/>
        </w:rPr>
      </w:pPr>
    </w:p>
    <w:p w14:paraId="00FB263F" w14:textId="592516F0"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Пациентите трябва да бъдат инструктирани:</w:t>
      </w:r>
    </w:p>
    <w:p w14:paraId="0E320119" w14:textId="77777777" w:rsidR="00376D70" w:rsidRPr="00376D70" w:rsidRDefault="00376D70" w:rsidP="00376D70">
      <w:pPr>
        <w:pStyle w:val="ListParagraph"/>
        <w:numPr>
          <w:ilvl w:val="0"/>
          <w:numId w:val="2"/>
        </w:numPr>
        <w:spacing w:line="240" w:lineRule="auto"/>
        <w:rPr>
          <w:rFonts w:eastAsia="Times New Roman" w:cs="Arial"/>
          <w:color w:val="000000"/>
          <w:lang w:eastAsia="bg-BG"/>
        </w:rPr>
      </w:pPr>
      <w:r w:rsidRPr="00376D70">
        <w:rPr>
          <w:rFonts w:eastAsia="Times New Roman" w:cs="Arial"/>
          <w:color w:val="000000"/>
          <w:lang w:eastAsia="bg-BG"/>
        </w:rPr>
        <w:t>да си измиват внимателно ръцете преди накапването,</w:t>
      </w:r>
    </w:p>
    <w:p w14:paraId="46C23FB0" w14:textId="2185343E" w:rsidR="00376D70" w:rsidRPr="00376D70" w:rsidRDefault="00376D70" w:rsidP="00376D70">
      <w:pPr>
        <w:pStyle w:val="ListParagraph"/>
        <w:numPr>
          <w:ilvl w:val="0"/>
          <w:numId w:val="2"/>
        </w:numPr>
        <w:spacing w:line="240" w:lineRule="auto"/>
        <w:rPr>
          <w:rFonts w:eastAsia="Times New Roman" w:cs="Arial"/>
          <w:color w:val="000000"/>
          <w:lang w:eastAsia="bg-BG"/>
        </w:rPr>
      </w:pPr>
      <w:r w:rsidRPr="00376D70">
        <w:rPr>
          <w:rFonts w:eastAsia="Times New Roman" w:cs="Arial"/>
          <w:color w:val="000000"/>
          <w:lang w:eastAsia="bg-BG"/>
        </w:rPr>
        <w:t>да избягват контакта между върха на пипетора и окото или клепачите, - да затварят бутилката след употреба.</w:t>
      </w:r>
    </w:p>
    <w:p w14:paraId="4F85541F" w14:textId="77777777" w:rsidR="00376D70" w:rsidRPr="00376D70" w:rsidRDefault="00376D70" w:rsidP="00376D70">
      <w:pPr>
        <w:spacing w:line="240" w:lineRule="auto"/>
        <w:rPr>
          <w:rFonts w:eastAsia="Times New Roman" w:cs="Arial"/>
          <w:color w:val="000000"/>
          <w:lang w:eastAsia="bg-BG"/>
        </w:rPr>
      </w:pPr>
    </w:p>
    <w:p w14:paraId="25123069" w14:textId="532F0FFE"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Пациентите трябва да бъдат инструктирани да използват назолакримална оклузия и да затворят клепачите си за 2 минути след поставянето на капките, за да се намали системната абсорбция. Това може да доведе до намаляване на системните нежелани ефекти и повишаване на локалната активност (вж. точка 4.4).</w:t>
      </w:r>
    </w:p>
    <w:p w14:paraId="13EA6EC4" w14:textId="77777777" w:rsidR="00376D70" w:rsidRPr="00376D70" w:rsidRDefault="00376D70" w:rsidP="00376D70">
      <w:pPr>
        <w:spacing w:line="240" w:lineRule="auto"/>
        <w:rPr>
          <w:rFonts w:eastAsia="Times New Roman" w:cs="Arial"/>
          <w:color w:val="000000"/>
          <w:lang w:eastAsia="bg-BG"/>
        </w:rPr>
      </w:pPr>
    </w:p>
    <w:p w14:paraId="45D7EE15" w14:textId="48F902BA"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За избягване разреждането на активните вещества, в случай на едновременна употреба на други капки за очи е необходимо изчакването на 15 минути между отделните апликации. Мазта за очи трябва да се нанася последна.</w:t>
      </w:r>
    </w:p>
    <w:p w14:paraId="3601DC90" w14:textId="77777777" w:rsidR="00376D70" w:rsidRPr="00376D70" w:rsidRDefault="00376D70" w:rsidP="00376D70">
      <w:pPr>
        <w:spacing w:line="240" w:lineRule="auto"/>
        <w:rPr>
          <w:rFonts w:ascii="Times New Roman" w:eastAsia="Times New Roman" w:hAnsi="Times New Roman" w:cs="Times New Roman"/>
          <w:sz w:val="24"/>
          <w:szCs w:val="24"/>
          <w:lang w:eastAsia="bg-BG"/>
        </w:rPr>
      </w:pPr>
    </w:p>
    <w:p w14:paraId="5D9E65DA" w14:textId="433E0151" w:rsidR="009F77A4" w:rsidRDefault="002C50EE" w:rsidP="00387A66">
      <w:pPr>
        <w:pStyle w:val="Heading2"/>
      </w:pPr>
      <w:r>
        <w:t>4.3. Противопоказания</w:t>
      </w:r>
    </w:p>
    <w:p w14:paraId="3CC5680D" w14:textId="7C359C93" w:rsidR="00376D70" w:rsidRDefault="00376D70" w:rsidP="00376D70"/>
    <w:p w14:paraId="51A8C46D"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Свръхчувствителност към активното вещество (диклофенак натрий) или към някое от помощните вещества, изброени в точка 6.1.</w:t>
      </w:r>
    </w:p>
    <w:p w14:paraId="7C23F82F" w14:textId="77777777" w:rsidR="00376D70" w:rsidRPr="00376D70" w:rsidRDefault="00376D70" w:rsidP="00376D70">
      <w:pPr>
        <w:spacing w:line="240" w:lineRule="auto"/>
        <w:rPr>
          <w:rFonts w:eastAsia="Times New Roman" w:cs="Arial"/>
          <w:color w:val="000000"/>
          <w:lang w:eastAsia="bg-BG"/>
        </w:rPr>
      </w:pPr>
    </w:p>
    <w:p w14:paraId="528474BF" w14:textId="0C56E1E0"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Анамнеза за алергия или астма, провокирана от приема на диклофенак натрий или лекарства със сходно действие като аспирин или нестероидни противовъзпалителни средства (НСПВС) (вж. точка 4.4 за реакции на кръстосана чувствителност).</w:t>
      </w:r>
    </w:p>
    <w:p w14:paraId="3C89C4FD" w14:textId="77777777" w:rsidR="00376D70" w:rsidRPr="00376D70" w:rsidRDefault="00376D70" w:rsidP="00376D70">
      <w:pPr>
        <w:spacing w:line="240" w:lineRule="auto"/>
        <w:rPr>
          <w:rFonts w:eastAsia="Times New Roman" w:cs="Arial"/>
          <w:color w:val="000000"/>
          <w:lang w:eastAsia="bg-BG"/>
        </w:rPr>
      </w:pPr>
    </w:p>
    <w:p w14:paraId="3E7F937C" w14:textId="78A3BCAA"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Бременност, от началото на 6-ия месец (24 седмици от аменореята) (вж. точка 4.6).</w:t>
      </w:r>
    </w:p>
    <w:p w14:paraId="2FC4BC26" w14:textId="77777777" w:rsidR="00376D70" w:rsidRPr="00376D70" w:rsidRDefault="00376D70" w:rsidP="00376D70"/>
    <w:p w14:paraId="1C27CE53" w14:textId="6E8D6FE2" w:rsidR="009F77A4" w:rsidRDefault="002C50EE" w:rsidP="00387A66">
      <w:pPr>
        <w:pStyle w:val="Heading2"/>
      </w:pPr>
      <w:r>
        <w:t>4.4. Специални предупреждения и предпазни мерки при употреба</w:t>
      </w:r>
    </w:p>
    <w:p w14:paraId="430A34AD" w14:textId="7993A92F" w:rsidR="00376D70" w:rsidRDefault="00376D70" w:rsidP="00376D70"/>
    <w:p w14:paraId="025152FA"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Да не се инжектира, да не се поглъща.</w:t>
      </w:r>
    </w:p>
    <w:p w14:paraId="04CB4C98" w14:textId="77777777" w:rsidR="00376D70" w:rsidRPr="00376D70" w:rsidRDefault="00376D70" w:rsidP="00376D70">
      <w:pPr>
        <w:spacing w:line="240" w:lineRule="auto"/>
        <w:rPr>
          <w:rFonts w:eastAsia="Times New Roman" w:cs="Arial"/>
          <w:color w:val="000000"/>
          <w:lang w:eastAsia="bg-BG"/>
        </w:rPr>
      </w:pPr>
    </w:p>
    <w:p w14:paraId="04E90442" w14:textId="16CE5623"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Капките за очи не трябва да се прилагат чрез пери- или интраокуларна инжекция.</w:t>
      </w:r>
    </w:p>
    <w:p w14:paraId="47BF54E8" w14:textId="77777777" w:rsidR="00376D70" w:rsidRPr="00376D70" w:rsidRDefault="00376D70" w:rsidP="00376D70">
      <w:pPr>
        <w:spacing w:line="240" w:lineRule="auto"/>
        <w:rPr>
          <w:rFonts w:eastAsia="Times New Roman" w:cs="Arial"/>
          <w:color w:val="000000"/>
          <w:u w:val="single"/>
          <w:lang w:eastAsia="bg-BG"/>
        </w:rPr>
      </w:pPr>
    </w:p>
    <w:p w14:paraId="7A551DBC" w14:textId="06460876"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Свръхчувствителност</w:t>
      </w:r>
    </w:p>
    <w:p w14:paraId="2E62AA41"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Подобно на други НСПВС, ДИКЛОАБАК в редки случаи може да доведе до появата на алергични реакции, включително анафилактични реакции, дори без предшестваща експозиция на лекарството.</w:t>
      </w:r>
    </w:p>
    <w:p w14:paraId="5159368D" w14:textId="77777777" w:rsidR="00376D70" w:rsidRPr="00376D70" w:rsidRDefault="00376D70" w:rsidP="00376D70">
      <w:pPr>
        <w:spacing w:line="240" w:lineRule="auto"/>
        <w:rPr>
          <w:rFonts w:eastAsia="Times New Roman" w:cs="Arial"/>
          <w:color w:val="000000"/>
          <w:lang w:eastAsia="bg-BG"/>
        </w:rPr>
      </w:pPr>
    </w:p>
    <w:p w14:paraId="1A2A38A3" w14:textId="12293169"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lastRenderedPageBreak/>
        <w:t>В случай на реакции на свръхчувствителност като сърбеж и зачервяване или признаци, предполагащи алергия към този лекарствен продукт, особено астматичен пристъп или внезапно подуване на лицето и врата, лечението трябва да се спре.</w:t>
      </w:r>
    </w:p>
    <w:p w14:paraId="08000793" w14:textId="77777777" w:rsidR="00376D70" w:rsidRPr="00376D70" w:rsidRDefault="00376D70" w:rsidP="00376D70">
      <w:pPr>
        <w:spacing w:line="240" w:lineRule="auto"/>
        <w:rPr>
          <w:rFonts w:eastAsia="Times New Roman" w:cs="Arial"/>
          <w:color w:val="000000"/>
          <w:u w:val="single"/>
          <w:lang w:eastAsia="bg-BG"/>
        </w:rPr>
      </w:pPr>
    </w:p>
    <w:p w14:paraId="60CB8175" w14:textId="668E9BE8"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Нарушения на роговицата</w:t>
      </w:r>
    </w:p>
    <w:p w14:paraId="7A3240D7"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НСПВС, включително топикалния диклофенак, забавят повторната епителизация на роговицата, ако се дават скоро след това. Последствията от това върху качеството на роговицата и риска от инфекции поради забавеното затваряне на корнеалната рана остават неизяснени.</w:t>
      </w:r>
    </w:p>
    <w:p w14:paraId="240EA09F" w14:textId="77777777" w:rsidR="00376D70" w:rsidRPr="00376D70" w:rsidRDefault="00376D70" w:rsidP="00376D70">
      <w:pPr>
        <w:spacing w:line="240" w:lineRule="auto"/>
        <w:rPr>
          <w:rFonts w:eastAsia="Times New Roman" w:cs="Arial"/>
          <w:color w:val="000000"/>
          <w:lang w:eastAsia="bg-BG"/>
        </w:rPr>
      </w:pPr>
    </w:p>
    <w:p w14:paraId="74EE620D" w14:textId="042F4249"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Известно е, че локалните кортикостероиди също забавят заздравяването. Едновременното прилагана на локални НСПВС и локални стероиди може да повиши възможността за проблеми със здравето.</w:t>
      </w:r>
    </w:p>
    <w:p w14:paraId="30CE7632" w14:textId="6034ACC8" w:rsidR="00376D70" w:rsidRPr="00376D70" w:rsidRDefault="00376D70" w:rsidP="00376D70">
      <w:pPr>
        <w:rPr>
          <w:rFonts w:cs="Arial"/>
          <w:sz w:val="24"/>
          <w:szCs w:val="24"/>
        </w:rPr>
      </w:pPr>
    </w:p>
    <w:p w14:paraId="3F336DCC"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Когато пациентите се лекуват с висока доза и за продължителен период от време, употребата на топикални НСПВС може да доведе до кератит. При някои предразположени пациенти продължителната употреба може да доведе до разпадане на епитела, изтъняване на роговицата, роговични инфилтрати, ерозия на роговицата, улцерация на роговицата и перфорация на роговицата. Тези реакции могат да застрашат зрението. Пациенти, при които се установява процес на разпадане на епитела на роговицата трябва незабавно да преустановят употребата на ДИКЛОАБАК и трябва да бъдат наблюдавани внимателно за целостта й.</w:t>
      </w:r>
    </w:p>
    <w:p w14:paraId="50F7A67A" w14:textId="77777777" w:rsidR="00376D70" w:rsidRPr="00376D70" w:rsidRDefault="00376D70" w:rsidP="00376D70">
      <w:pPr>
        <w:spacing w:line="240" w:lineRule="auto"/>
        <w:rPr>
          <w:rFonts w:eastAsia="Times New Roman" w:cs="Arial"/>
          <w:color w:val="000000"/>
          <w:lang w:eastAsia="bg-BG"/>
        </w:rPr>
      </w:pPr>
    </w:p>
    <w:p w14:paraId="330802C7" w14:textId="77DC13FC"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Опитът след пускането на пазара предполага, че пациентите, подложени на сложни очни хирургични операции, с корнеални епителни дефекти, захарен диабет, заболяване на повърхността на окото (напр. синдром на сухото око), ревматоиден артрит или повторни хирургични намеси върху окото в рамките на кратък период от време, могат да са с повишен риск от корнеални нежелани реакции. Локалните НСПВС трябва да се използват с повишено внимание при тези пациенти. Продължителната употреба на локални НСПВС може да повиши риска от поява и утежняване на корнеалните нежелани реакции.</w:t>
      </w:r>
    </w:p>
    <w:p w14:paraId="2502A1D3" w14:textId="77777777" w:rsidR="00376D70" w:rsidRPr="00376D70" w:rsidRDefault="00376D70" w:rsidP="00376D70">
      <w:pPr>
        <w:spacing w:line="240" w:lineRule="auto"/>
        <w:rPr>
          <w:rFonts w:eastAsia="Times New Roman" w:cs="Arial"/>
          <w:color w:val="000000"/>
          <w:u w:val="single"/>
          <w:lang w:eastAsia="bg-BG"/>
        </w:rPr>
      </w:pPr>
    </w:p>
    <w:p w14:paraId="555F53B3" w14:textId="45388993"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Очна инфекция</w:t>
      </w:r>
    </w:p>
    <w:p w14:paraId="451AD7D6" w14:textId="47BA80F1"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Острата инфекция на окото може да бъде маскирана от топикалното приложение на противовъзпалителни лекарства. НСПВС нямат никакви антимикробни свойства. В случай на инфекция на окото употребата на едно/няколко антиинфекциозни лекарства трябва да се извършва внимателно.</w:t>
      </w:r>
    </w:p>
    <w:p w14:paraId="2DAC7201" w14:textId="77777777" w:rsidR="00376D70" w:rsidRPr="00376D70" w:rsidRDefault="00376D70" w:rsidP="00376D70">
      <w:pPr>
        <w:spacing w:line="240" w:lineRule="auto"/>
        <w:rPr>
          <w:rFonts w:eastAsia="Times New Roman" w:cs="Arial"/>
          <w:color w:val="000000"/>
          <w:u w:val="single"/>
          <w:lang w:eastAsia="bg-BG"/>
        </w:rPr>
      </w:pPr>
    </w:p>
    <w:p w14:paraId="31D71678" w14:textId="7106D1D3"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Чувствителни пациенти</w:t>
      </w:r>
    </w:p>
    <w:p w14:paraId="2385B863"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Пациентите с астма, комбинирана с хроничен ринит, хроничен синузит и/или назална полипоза, имат по-висока честота на алергични прояви, когато приемат аспирин и/или нестеродини противовъзпалителни средства, отколкото останалата част от популацията.</w:t>
      </w:r>
    </w:p>
    <w:p w14:paraId="5BFF69AE"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НСПВС могат да индуцират засилена склонност към кървене от тъканите на окото по време на хирургична намеса: препоръчва се тези капки за очи да се използват предпазливо при пациенти, имащи предразположение към кървене или лекувани с лекарства с вероятност да удължат времето на кървене.</w:t>
      </w:r>
    </w:p>
    <w:p w14:paraId="5F2DFB97" w14:textId="77777777" w:rsidR="00376D70" w:rsidRPr="00376D70" w:rsidRDefault="00376D70" w:rsidP="00376D70">
      <w:pPr>
        <w:spacing w:line="240" w:lineRule="auto"/>
        <w:rPr>
          <w:rFonts w:eastAsia="Times New Roman" w:cs="Arial"/>
          <w:color w:val="000000"/>
          <w:u w:val="single"/>
          <w:lang w:eastAsia="bg-BG"/>
        </w:rPr>
      </w:pPr>
    </w:p>
    <w:p w14:paraId="70862F7E" w14:textId="7C04CCB3"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Кръстосана чувствителност</w:t>
      </w:r>
    </w:p>
    <w:p w14:paraId="66D8FB91"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Възможни са реакции на кръстосана чувствителност с ацетилсалицилова киселина или други НСПВС (вж. точка 4.3).</w:t>
      </w:r>
    </w:p>
    <w:p w14:paraId="1815164A" w14:textId="77777777" w:rsidR="00376D70" w:rsidRPr="00376D70" w:rsidRDefault="00376D70" w:rsidP="00376D70">
      <w:pPr>
        <w:spacing w:line="240" w:lineRule="auto"/>
        <w:rPr>
          <w:rFonts w:eastAsia="Times New Roman" w:cs="Arial"/>
          <w:color w:val="000000"/>
          <w:u w:val="single"/>
          <w:lang w:eastAsia="bg-BG"/>
        </w:rPr>
      </w:pPr>
    </w:p>
    <w:p w14:paraId="2D37E130" w14:textId="4B9E6EFF"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Контактни лещи</w:t>
      </w:r>
    </w:p>
    <w:p w14:paraId="53C6BD69"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lastRenderedPageBreak/>
        <w:t>Не се препоръчва носенето на контактни лещи след операция на катаракта. Поради това, пациентите трябва да бъдат посъветвани да не носят контактни лещи, освен ако не е посочено изрично от техния лекар.</w:t>
      </w:r>
    </w:p>
    <w:p w14:paraId="31EB3129" w14:textId="77777777" w:rsidR="00376D70" w:rsidRPr="00376D70" w:rsidRDefault="00376D70" w:rsidP="00376D70">
      <w:pPr>
        <w:spacing w:line="240" w:lineRule="auto"/>
        <w:rPr>
          <w:rFonts w:eastAsia="Times New Roman" w:cs="Arial"/>
          <w:color w:val="000000"/>
          <w:u w:val="single"/>
          <w:lang w:eastAsia="bg-BG"/>
        </w:rPr>
      </w:pPr>
    </w:p>
    <w:p w14:paraId="0A5D5038" w14:textId="0219C6C5"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u w:val="single"/>
          <w:lang w:eastAsia="bg-BG"/>
        </w:rPr>
        <w:t>Помощно вещество</w:t>
      </w:r>
    </w:p>
    <w:p w14:paraId="38DB3D79" w14:textId="77777777" w:rsidR="00376D70" w:rsidRPr="00376D70" w:rsidRDefault="00376D70" w:rsidP="00376D70">
      <w:pPr>
        <w:spacing w:line="240" w:lineRule="auto"/>
        <w:rPr>
          <w:rFonts w:eastAsia="Times New Roman" w:cs="Arial"/>
          <w:sz w:val="28"/>
          <w:szCs w:val="28"/>
          <w:lang w:eastAsia="bg-BG"/>
        </w:rPr>
      </w:pPr>
      <w:r w:rsidRPr="00376D70">
        <w:rPr>
          <w:rFonts w:eastAsia="Times New Roman" w:cs="Arial"/>
          <w:color w:val="000000"/>
          <w:lang w:eastAsia="bg-BG"/>
        </w:rPr>
        <w:t>ДИКЛОАБАК съдържа макроголглицерол рицинолеат (вж. точка 4.8.).</w:t>
      </w:r>
    </w:p>
    <w:p w14:paraId="5FD55743" w14:textId="77777777" w:rsidR="00376D70" w:rsidRPr="00376D70" w:rsidRDefault="00376D70" w:rsidP="00376D70"/>
    <w:p w14:paraId="1DA47448" w14:textId="040DF86E" w:rsidR="009F77A4" w:rsidRDefault="002C50EE" w:rsidP="00387A66">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27005261" w14:textId="5265127A" w:rsidR="00376D70" w:rsidRDefault="00376D70" w:rsidP="00376D70"/>
    <w:p w14:paraId="0A82B7DA" w14:textId="7D7270EA" w:rsidR="00376D70" w:rsidRDefault="00376D70" w:rsidP="00376D70">
      <w:pPr>
        <w:rPr>
          <w:lang w:eastAsia="bg-BG"/>
        </w:rPr>
      </w:pPr>
      <w:r w:rsidRPr="00376D70">
        <w:rPr>
          <w:lang w:eastAsia="bg-BG"/>
        </w:rPr>
        <w:t>Не са провеждани проучвания за взаимодействията.</w:t>
      </w:r>
    </w:p>
    <w:p w14:paraId="2A62CEB3" w14:textId="77777777" w:rsidR="00376D70" w:rsidRPr="00376D70" w:rsidRDefault="00376D70" w:rsidP="00376D70">
      <w:pPr>
        <w:rPr>
          <w:sz w:val="24"/>
          <w:szCs w:val="24"/>
          <w:lang w:eastAsia="bg-BG"/>
        </w:rPr>
      </w:pPr>
    </w:p>
    <w:p w14:paraId="48846BBA" w14:textId="2BA06F16" w:rsidR="009F77A4" w:rsidRDefault="002C50EE" w:rsidP="00387A66">
      <w:pPr>
        <w:pStyle w:val="Heading2"/>
      </w:pPr>
      <w:r>
        <w:t>4.6. Фертилитет, бременност и кърмене</w:t>
      </w:r>
    </w:p>
    <w:p w14:paraId="44D27276" w14:textId="587E000B" w:rsidR="00376D70" w:rsidRDefault="00376D70" w:rsidP="00376D70"/>
    <w:p w14:paraId="5CEDE1CE" w14:textId="77777777" w:rsidR="00376D70" w:rsidRPr="00376D70" w:rsidRDefault="00376D70" w:rsidP="00376D70">
      <w:pPr>
        <w:pStyle w:val="Heading3"/>
        <w:rPr>
          <w:rFonts w:eastAsia="Times New Roman"/>
          <w:u w:val="single"/>
          <w:lang w:eastAsia="bg-BG"/>
        </w:rPr>
      </w:pPr>
      <w:r w:rsidRPr="00376D70">
        <w:rPr>
          <w:rFonts w:eastAsia="Times New Roman"/>
          <w:u w:val="single"/>
          <w:lang w:eastAsia="bg-BG"/>
        </w:rPr>
        <w:t>Бременност</w:t>
      </w:r>
    </w:p>
    <w:p w14:paraId="2CFC7F58"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Инхибирането на простагландиновата синтеза от НСПВС може да повлияе на бременността и/или развитието на ембриона или плода.</w:t>
      </w:r>
    </w:p>
    <w:p w14:paraId="2E82B8B5" w14:textId="77777777" w:rsidR="00376D70" w:rsidRPr="00376D70" w:rsidRDefault="00376D70" w:rsidP="00376D70">
      <w:pPr>
        <w:spacing w:line="240" w:lineRule="auto"/>
        <w:rPr>
          <w:rFonts w:eastAsia="Times New Roman" w:cs="Arial"/>
          <w:i/>
          <w:iCs/>
          <w:color w:val="000000"/>
          <w:lang w:eastAsia="bg-BG"/>
        </w:rPr>
      </w:pPr>
    </w:p>
    <w:p w14:paraId="6DAE0ED6" w14:textId="196E10AF"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eastAsia="bg-BG"/>
        </w:rPr>
        <w:t>Рискове, свързани с употребата по време на 1-ви триместър</w:t>
      </w:r>
    </w:p>
    <w:p w14:paraId="497C069A"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Данните от епидемиологичните проучвания предполагат повишен риск от спонтанен аборт сърдечни</w:t>
      </w:r>
    </w:p>
    <w:p w14:paraId="74D48467" w14:textId="67F4B4E5" w:rsidR="00376D70" w:rsidRPr="00376D70" w:rsidRDefault="00376D70" w:rsidP="00376D70">
      <w:pPr>
        <w:rPr>
          <w:rFonts w:eastAsia="Times New Roman" w:cs="Arial"/>
          <w:color w:val="000000"/>
          <w:lang w:eastAsia="bg-BG"/>
        </w:rPr>
      </w:pPr>
      <w:r w:rsidRPr="00376D70">
        <w:rPr>
          <w:rFonts w:eastAsia="Times New Roman" w:cs="Arial"/>
          <w:color w:val="000000"/>
          <w:lang w:eastAsia="bg-BG"/>
        </w:rPr>
        <w:t>дефекти и гастросхиза след лечение с инхибитор на простагландиновата синтеза в разнна бременност.</w:t>
      </w:r>
    </w:p>
    <w:p w14:paraId="31CC976C" w14:textId="10D9E919" w:rsidR="00376D70" w:rsidRPr="00376D70" w:rsidRDefault="00376D70" w:rsidP="00376D70">
      <w:pPr>
        <w:rPr>
          <w:rFonts w:eastAsia="Times New Roman" w:cs="Arial"/>
          <w:color w:val="000000"/>
          <w:lang w:eastAsia="bg-BG"/>
        </w:rPr>
      </w:pPr>
    </w:p>
    <w:p w14:paraId="06A8A71A"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Абсолютният риск от сърдечносъдова малформация е под 1% в общата популация в сравнение с приблизително 1,5% при хора, изложени на действието на НСПВС. Изглежда, че рискът се увеличава, с повишаване на дозата и продължителността на лечението. Установено е, че при животни прилагането на инхибитори на простагландиновата синтеза увеличава риска от загуба преди- и след им плантацията и ембрио/феталната смъртност. В допълнение, има съобщения за по-висока честота на някои малформации, включително сърдечносъдови малформации при животни, на които е бил прилаган инхибитор на простагландиновата синтеза по време на органогенезната фаза на гестационния период.</w:t>
      </w:r>
    </w:p>
    <w:p w14:paraId="7EA7D835" w14:textId="77777777" w:rsidR="00376D70" w:rsidRPr="00376D70" w:rsidRDefault="00376D70" w:rsidP="00376D70">
      <w:pPr>
        <w:spacing w:line="240" w:lineRule="auto"/>
        <w:rPr>
          <w:rFonts w:eastAsia="Times New Roman" w:cs="Arial"/>
          <w:i/>
          <w:iCs/>
          <w:color w:val="000000"/>
          <w:lang w:eastAsia="bg-BG"/>
        </w:rPr>
      </w:pPr>
    </w:p>
    <w:p w14:paraId="0F1F52E9" w14:textId="31F427CE"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eastAsia="bg-BG"/>
        </w:rPr>
        <w:t>Рискове, свързани с употребата след 12 седмици от аменореята до раждането</w:t>
      </w:r>
    </w:p>
    <w:p w14:paraId="3FBC6C8B"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 xml:space="preserve">От 12 седмици на аменореята до раждането всички НСПВС, чрез инхибиране на простагландиновата синтеза могат да изложат плода на </w:t>
      </w:r>
      <w:r w:rsidRPr="00376D70">
        <w:rPr>
          <w:rFonts w:eastAsia="Times New Roman" w:cs="Arial"/>
          <w:b/>
          <w:bCs/>
          <w:color w:val="000000"/>
          <w:lang w:eastAsia="bg-BG"/>
        </w:rPr>
        <w:t>увреждане на бъбречната функция:</w:t>
      </w:r>
    </w:p>
    <w:p w14:paraId="3A9CD74E" w14:textId="77777777"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val="en-US"/>
        </w:rPr>
        <w:t>in utero</w:t>
      </w:r>
      <w:r w:rsidRPr="00376D70">
        <w:rPr>
          <w:rFonts w:eastAsia="Times New Roman" w:cs="Arial"/>
          <w:color w:val="000000"/>
          <w:lang w:val="en-US"/>
        </w:rPr>
        <w:t xml:space="preserve"> </w:t>
      </w:r>
      <w:r w:rsidRPr="00376D70">
        <w:rPr>
          <w:rFonts w:eastAsia="Times New Roman" w:cs="Arial"/>
          <w:color w:val="000000"/>
          <w:lang w:eastAsia="bg-BG"/>
        </w:rPr>
        <w:t>от 12 седмици на аменореята (начало на феталната диуреза): олигохидрамнион (най-често обратим при прекратяване на лечението) или дори анамнион, по-специално в случаите на продължителна употреба.</w:t>
      </w:r>
    </w:p>
    <w:p w14:paraId="2DFC97C4"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при раждане, съществува риск от персистираща бъбречна недостатъчност (която може да бъде или да не бъде обратима), по-специално в случаите на продължителна употреба (експозиция) или експозиция в късна бременност (с риск от късна тежка хиперкалиемия).</w:t>
      </w:r>
    </w:p>
    <w:p w14:paraId="11BABF83" w14:textId="77777777" w:rsidR="00376D70" w:rsidRPr="00376D70" w:rsidRDefault="00376D70" w:rsidP="00376D70">
      <w:pPr>
        <w:spacing w:line="240" w:lineRule="auto"/>
        <w:rPr>
          <w:rFonts w:eastAsia="Times New Roman" w:cs="Arial"/>
          <w:i/>
          <w:iCs/>
          <w:color w:val="000000"/>
          <w:lang w:eastAsia="bg-BG"/>
        </w:rPr>
      </w:pPr>
    </w:p>
    <w:p w14:paraId="4E56F82B" w14:textId="081E694F"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eastAsia="bg-BG"/>
        </w:rPr>
        <w:t>Рискове, свързани с употребата след 24 седмици от аменореята до раждането</w:t>
      </w:r>
    </w:p>
    <w:p w14:paraId="797B6BC6"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 xml:space="preserve">От 24 седмици на аменореята до раждането, НСПВС могат да изложат плода на </w:t>
      </w:r>
      <w:r w:rsidRPr="00376D70">
        <w:rPr>
          <w:rFonts w:eastAsia="Times New Roman" w:cs="Arial"/>
          <w:b/>
          <w:bCs/>
          <w:color w:val="000000"/>
          <w:lang w:eastAsia="bg-BG"/>
        </w:rPr>
        <w:t xml:space="preserve">кардиопулмонална токсичност </w:t>
      </w:r>
      <w:r w:rsidRPr="00376D70">
        <w:rPr>
          <w:rFonts w:eastAsia="Times New Roman" w:cs="Arial"/>
          <w:color w:val="000000"/>
          <w:lang w:eastAsia="bg-BG"/>
        </w:rPr>
        <w:t xml:space="preserve">(преждевременно затваряне на дуктус артериозус и белодробна хипертония). Стеснение на дуктус артериозус може да възникне от началото </w:t>
      </w:r>
      <w:r w:rsidRPr="00376D70">
        <w:rPr>
          <w:rFonts w:eastAsia="Times New Roman" w:cs="Arial"/>
          <w:color w:val="000000"/>
          <w:lang w:eastAsia="bg-BG"/>
        </w:rPr>
        <w:lastRenderedPageBreak/>
        <w:t>на 6-ия месец (след 24 садмици от аменореята) и може да доведе до десностранна сърдечна недостатъчност при плода или новороденото или дори до вътрематочна смърт на плода. Този риск е толкова по-голям, колкото по- близо до термина се приема лечението (по-малка обратимост). Това важи, дори при случайна употреба.</w:t>
      </w:r>
    </w:p>
    <w:p w14:paraId="10457C60" w14:textId="77777777" w:rsidR="00376D70" w:rsidRPr="00376D70" w:rsidRDefault="00376D70" w:rsidP="00376D70">
      <w:pPr>
        <w:spacing w:line="240" w:lineRule="auto"/>
        <w:rPr>
          <w:rFonts w:eastAsia="Times New Roman" w:cs="Arial"/>
          <w:i/>
          <w:iCs/>
          <w:color w:val="000000"/>
          <w:lang w:eastAsia="bg-BG"/>
        </w:rPr>
      </w:pPr>
    </w:p>
    <w:p w14:paraId="0EE28930" w14:textId="4451C6D4"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eastAsia="bg-BG"/>
        </w:rPr>
        <w:t>В края на бременността майката и новороденото могат да страдат от</w:t>
      </w:r>
    </w:p>
    <w:p w14:paraId="23B5AC76"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удължено време на кървене поради анти-агрегационен ефект, който може да се появи дори и след прилагане на много ниски дози;</w:t>
      </w:r>
    </w:p>
    <w:p w14:paraId="0BA60349"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инхибиране на маточните контракции, забавяне или удължаване на раждането.</w:t>
      </w:r>
    </w:p>
    <w:p w14:paraId="0F4FD3E1" w14:textId="77777777" w:rsidR="00376D70" w:rsidRPr="00376D70" w:rsidRDefault="00376D70" w:rsidP="00376D70">
      <w:pPr>
        <w:spacing w:line="240" w:lineRule="auto"/>
        <w:rPr>
          <w:rFonts w:eastAsia="Times New Roman" w:cs="Arial"/>
          <w:i/>
          <w:iCs/>
          <w:color w:val="000000"/>
          <w:lang w:eastAsia="bg-BG"/>
        </w:rPr>
      </w:pPr>
    </w:p>
    <w:p w14:paraId="7AD8C7E1" w14:textId="54C11BAE" w:rsidR="00376D70" w:rsidRPr="00376D70" w:rsidRDefault="00376D70" w:rsidP="00376D70">
      <w:pPr>
        <w:spacing w:line="240" w:lineRule="auto"/>
        <w:rPr>
          <w:rFonts w:eastAsia="Times New Roman" w:cs="Arial"/>
          <w:lang w:eastAsia="bg-BG"/>
        </w:rPr>
      </w:pPr>
      <w:r w:rsidRPr="00376D70">
        <w:rPr>
          <w:rFonts w:eastAsia="Times New Roman" w:cs="Arial"/>
          <w:i/>
          <w:iCs/>
          <w:color w:val="000000"/>
          <w:lang w:eastAsia="bg-BG"/>
        </w:rPr>
        <w:t>Следователно</w:t>
      </w:r>
    </w:p>
    <w:p w14:paraId="69790410"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Освен ако не е абсолютно необходимо, този лекарствен продукт не трябва да се предписва на жени, които планират бременност или през първите 5 месеца от бременността (първите 24 седмици на аменореята). Ако този лекарствен продукт се прилага на жена, която желае да зачене или която е в първите си 5 месеца от бременността, трябва да й бъде дадена най-ниската доза за възможно най- кратък период от време. Дългосрочната употреба е силно непрепоръчителна.</w:t>
      </w:r>
    </w:p>
    <w:p w14:paraId="629DC76E"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От началото на 6-ия месец (от 24 седмици на аменореята): този лекарствен продукт е противопоказан, дори за случайна (инцидентна) употреба. Ако лекарственият продукт бъде приет по невнимание след тази дата, ще е необходимо проследяване на сърцето и бъбреците на плода и/или новороденото, в зависимост от времето на експозицията (употребата). Продължителността на проследяването ще бъде адаптирана спрямо елиминационния полуживот на лекарствения продукт.</w:t>
      </w:r>
    </w:p>
    <w:p w14:paraId="436F5550" w14:textId="77777777" w:rsidR="00376D70" w:rsidRPr="00376D70" w:rsidRDefault="00376D70" w:rsidP="00376D70">
      <w:pPr>
        <w:spacing w:line="240" w:lineRule="auto"/>
        <w:rPr>
          <w:rFonts w:eastAsia="Times New Roman" w:cs="Arial"/>
          <w:color w:val="000000"/>
          <w:u w:val="single"/>
          <w:lang w:eastAsia="bg-BG"/>
        </w:rPr>
      </w:pPr>
    </w:p>
    <w:p w14:paraId="59F8BD32" w14:textId="04802746" w:rsidR="00376D70" w:rsidRPr="00376D70" w:rsidRDefault="00376D70" w:rsidP="00376D70">
      <w:pPr>
        <w:pStyle w:val="Heading3"/>
        <w:rPr>
          <w:rFonts w:eastAsia="Times New Roman"/>
          <w:u w:val="single"/>
          <w:lang w:eastAsia="bg-BG"/>
        </w:rPr>
      </w:pPr>
      <w:r w:rsidRPr="00376D70">
        <w:rPr>
          <w:rFonts w:eastAsia="Times New Roman"/>
          <w:u w:val="single"/>
          <w:lang w:eastAsia="bg-BG"/>
        </w:rPr>
        <w:t>Кърмене</w:t>
      </w:r>
    </w:p>
    <w:p w14:paraId="367F1922" w14:textId="2128B056" w:rsidR="00376D70" w:rsidRPr="00376D70" w:rsidRDefault="00376D70" w:rsidP="00376D70">
      <w:pPr>
        <w:spacing w:line="240" w:lineRule="auto"/>
        <w:rPr>
          <w:rFonts w:eastAsia="Times New Roman" w:cs="Arial"/>
          <w:color w:val="000000"/>
          <w:lang w:eastAsia="bg-BG"/>
        </w:rPr>
      </w:pPr>
      <w:r w:rsidRPr="00376D70">
        <w:rPr>
          <w:rFonts w:eastAsia="Times New Roman" w:cs="Arial"/>
          <w:color w:val="000000"/>
          <w:lang w:eastAsia="bg-BG"/>
        </w:rPr>
        <w:t>Не се очакват никакви ефекти върху кърмачето, тъй като системната експозиция на кърмещите жени на диклофенак натрий е ограничена след очно приложение. ДИКЛОАБАК може да се използва по време на кърмене.</w:t>
      </w:r>
    </w:p>
    <w:p w14:paraId="310197A7" w14:textId="2523B54A" w:rsidR="00376D70" w:rsidRPr="00376D70" w:rsidRDefault="00376D70" w:rsidP="00376D70">
      <w:pPr>
        <w:spacing w:line="240" w:lineRule="auto"/>
        <w:rPr>
          <w:rFonts w:eastAsia="Times New Roman" w:cs="Arial"/>
          <w:color w:val="000000"/>
          <w:lang w:eastAsia="bg-BG"/>
        </w:rPr>
      </w:pPr>
    </w:p>
    <w:p w14:paraId="14E24315" w14:textId="77777777" w:rsidR="00376D70" w:rsidRPr="00376D70" w:rsidRDefault="00376D70" w:rsidP="00376D70">
      <w:pPr>
        <w:pStyle w:val="Heading3"/>
        <w:rPr>
          <w:rFonts w:eastAsia="Times New Roman"/>
          <w:u w:val="single"/>
          <w:lang w:eastAsia="bg-BG"/>
        </w:rPr>
      </w:pPr>
      <w:r w:rsidRPr="00376D70">
        <w:rPr>
          <w:rFonts w:eastAsia="Times New Roman"/>
          <w:u w:val="single"/>
          <w:lang w:eastAsia="bg-BG"/>
        </w:rPr>
        <w:t>Фертилитет</w:t>
      </w:r>
    </w:p>
    <w:p w14:paraId="65EEA6A1" w14:textId="2A406D44"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Както всички НСПВС, този лекарствен продукт може временно да повлияе на овулацията и фертилитета при жените. Ето защо, не се препоръчва на жени, които искат да заченат. Жените, които имат затруднения със зачеването или които правят тестове за фертилитет, трябва да обмислят прекратяване на лечението.</w:t>
      </w:r>
    </w:p>
    <w:p w14:paraId="12D015EA" w14:textId="77777777" w:rsidR="00376D70" w:rsidRPr="00376D70" w:rsidRDefault="00376D70" w:rsidP="00376D70"/>
    <w:p w14:paraId="321AAB00" w14:textId="4C1A186F" w:rsidR="009F77A4" w:rsidRDefault="002C50EE" w:rsidP="00387A66">
      <w:pPr>
        <w:pStyle w:val="Heading2"/>
      </w:pPr>
      <w:r>
        <w:t>4.7. Ефекти върху способността за шофиране и работа с машини</w:t>
      </w:r>
    </w:p>
    <w:p w14:paraId="20282601" w14:textId="3F46B95F" w:rsidR="00376D70" w:rsidRDefault="00376D70" w:rsidP="00376D70"/>
    <w:p w14:paraId="4E70F8A1" w14:textId="77777777" w:rsidR="00376D70" w:rsidRPr="00376D70" w:rsidRDefault="00376D70" w:rsidP="00376D70">
      <w:pPr>
        <w:rPr>
          <w:sz w:val="24"/>
          <w:szCs w:val="24"/>
          <w:lang w:eastAsia="bg-BG"/>
        </w:rPr>
      </w:pPr>
      <w:r w:rsidRPr="00376D70">
        <w:rPr>
          <w:lang w:eastAsia="bg-BG"/>
        </w:rPr>
        <w:t>След прилагане на ДИКЛОАБАК капки за очи, разтвор, може да настъпи транзиторен, зрителен дискомфорт.</w:t>
      </w:r>
    </w:p>
    <w:p w14:paraId="17425685" w14:textId="7DEBA881" w:rsidR="00376D70" w:rsidRDefault="00376D70" w:rsidP="00376D70">
      <w:pPr>
        <w:rPr>
          <w:lang w:eastAsia="bg-BG"/>
        </w:rPr>
      </w:pPr>
      <w:r w:rsidRPr="00376D70">
        <w:rPr>
          <w:lang w:eastAsia="bg-BG"/>
        </w:rPr>
        <w:t>Ако е засегнат, пациентът трябва да бъде посъветван да не шофира или работи с опасни машини, докато не се възстанови нормалното зрение.</w:t>
      </w:r>
    </w:p>
    <w:p w14:paraId="54AC495C" w14:textId="77777777" w:rsidR="00376D70" w:rsidRPr="00376D70" w:rsidRDefault="00376D70" w:rsidP="00376D70">
      <w:pPr>
        <w:rPr>
          <w:sz w:val="24"/>
          <w:szCs w:val="24"/>
          <w:lang w:eastAsia="bg-BG"/>
        </w:rPr>
      </w:pPr>
    </w:p>
    <w:p w14:paraId="136C86B8" w14:textId="32D9B9B1" w:rsidR="009F77A4" w:rsidRDefault="002C50EE" w:rsidP="00387A66">
      <w:pPr>
        <w:pStyle w:val="Heading2"/>
      </w:pPr>
      <w:r>
        <w:t>4.8. Нежелани лекарствени реакции</w:t>
      </w:r>
    </w:p>
    <w:p w14:paraId="65B578E4" w14:textId="708728DC" w:rsidR="00376D70" w:rsidRDefault="00376D70" w:rsidP="00376D70"/>
    <w:p w14:paraId="7C58D4E5"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Инфекции и инфестации</w:t>
      </w:r>
    </w:p>
    <w:p w14:paraId="76EC5FCE"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С неизвестна честота(от наличните данни не може да бъде направена оценка)</w:t>
      </w:r>
    </w:p>
    <w:p w14:paraId="65246389"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Ринит</w:t>
      </w:r>
    </w:p>
    <w:p w14:paraId="59117ED2" w14:textId="77777777" w:rsidR="00376D70" w:rsidRPr="00376D70" w:rsidRDefault="00376D70" w:rsidP="00376D70">
      <w:pPr>
        <w:spacing w:line="240" w:lineRule="auto"/>
        <w:rPr>
          <w:rFonts w:eastAsia="Times New Roman" w:cs="Arial"/>
          <w:color w:val="000000"/>
          <w:lang w:eastAsia="bg-BG"/>
        </w:rPr>
      </w:pPr>
    </w:p>
    <w:p w14:paraId="400B68CB" w14:textId="65CBDE06"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Нарушения на имунната система</w:t>
      </w:r>
    </w:p>
    <w:p w14:paraId="10C00E6A"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lastRenderedPageBreak/>
        <w:t>Редки(≥1/10 000 до &lt;1/1 000)</w:t>
      </w:r>
    </w:p>
    <w:p w14:paraId="32F5A3BE"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Свръхчувствителност</w:t>
      </w:r>
    </w:p>
    <w:p w14:paraId="6895419B" w14:textId="77777777" w:rsidR="00376D70" w:rsidRPr="00376D70" w:rsidRDefault="00376D70" w:rsidP="00376D70">
      <w:pPr>
        <w:spacing w:line="240" w:lineRule="auto"/>
        <w:rPr>
          <w:rFonts w:eastAsia="Times New Roman" w:cs="Arial"/>
          <w:color w:val="000000"/>
          <w:lang w:eastAsia="bg-BG"/>
        </w:rPr>
      </w:pPr>
    </w:p>
    <w:p w14:paraId="14978273" w14:textId="0F3B14AF"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Нарушения на очите</w:t>
      </w:r>
    </w:p>
    <w:p w14:paraId="137421C3"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Нечести(≥1/1 000 до &lt; 1 /100)</w:t>
      </w:r>
    </w:p>
    <w:p w14:paraId="69400137"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Чувство на парене след поставяне, нарушение на зрението след поставяне</w:t>
      </w:r>
    </w:p>
    <w:p w14:paraId="577B90D7"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Редки(≥1/10 000 до &lt;1/1 000)</w:t>
      </w:r>
    </w:p>
    <w:p w14:paraId="3A707D98"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Точковиден кератит, изтъняване на роговицата, улцерация на роговицата</w:t>
      </w:r>
    </w:p>
    <w:p w14:paraId="088F02DE"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С неизвестна честота/от наличните данни не може да се направи оценка)</w:t>
      </w:r>
    </w:p>
    <w:p w14:paraId="716DBF89"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Хиперемия на конюнктивита, алергичен конюнктивит, оток на клепача</w:t>
      </w:r>
    </w:p>
    <w:p w14:paraId="24AB12EB" w14:textId="77777777" w:rsidR="00376D70" w:rsidRPr="00376D70" w:rsidRDefault="00376D70" w:rsidP="00376D70">
      <w:pPr>
        <w:spacing w:line="240" w:lineRule="auto"/>
        <w:rPr>
          <w:rFonts w:eastAsia="Times New Roman" w:cs="Arial"/>
          <w:color w:val="000000"/>
          <w:lang w:eastAsia="bg-BG"/>
        </w:rPr>
      </w:pPr>
    </w:p>
    <w:p w14:paraId="1A59D026" w14:textId="4102D4D0"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Респираторни, гръдни и медиастинални нарушения</w:t>
      </w:r>
    </w:p>
    <w:p w14:paraId="02931282"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Редки(≥1/10 000 до &lt;1/1 000)</w:t>
      </w:r>
    </w:p>
    <w:p w14:paraId="5F39AA64" w14:textId="639DAC5D"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Диспнея, утежнена астма</w:t>
      </w:r>
    </w:p>
    <w:p w14:paraId="424A9BC4"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С неизвестна честота (от наличните данни не може да бъде направена оценка)</w:t>
      </w:r>
    </w:p>
    <w:p w14:paraId="43468C17" w14:textId="520195AA"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Кашлица</w:t>
      </w:r>
    </w:p>
    <w:p w14:paraId="3DF8F6EC" w14:textId="77777777" w:rsidR="00376D70" w:rsidRPr="00376D70" w:rsidRDefault="00376D70" w:rsidP="00376D70">
      <w:pPr>
        <w:spacing w:line="240" w:lineRule="auto"/>
        <w:rPr>
          <w:rFonts w:eastAsia="Times New Roman" w:cs="Arial"/>
          <w:color w:val="000000"/>
          <w:lang w:eastAsia="bg-BG"/>
        </w:rPr>
      </w:pPr>
    </w:p>
    <w:p w14:paraId="047918B0" w14:textId="60587E7A"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Нарушения на кожата и подкожната тъкан</w:t>
      </w:r>
    </w:p>
    <w:p w14:paraId="34B4D29B"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Редки(≥1/10 000 до &lt;1/1 000)</w:t>
      </w:r>
    </w:p>
    <w:p w14:paraId="180066C4" w14:textId="13258518"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Сърбеж, еритема,реакция на фоточувствителност</w:t>
      </w:r>
    </w:p>
    <w:p w14:paraId="695812DC" w14:textId="77777777" w:rsidR="00376D70" w:rsidRPr="00376D70" w:rsidRDefault="00376D70" w:rsidP="00376D70">
      <w:pPr>
        <w:spacing w:line="240" w:lineRule="auto"/>
        <w:rPr>
          <w:rFonts w:eastAsia="Times New Roman" w:cs="Arial"/>
          <w:color w:val="000000"/>
          <w:u w:val="single"/>
          <w:lang w:eastAsia="bg-BG"/>
        </w:rPr>
      </w:pPr>
    </w:p>
    <w:p w14:paraId="62733A9A" w14:textId="50EE8458"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С неизвестна честота (от наличните данни не може да бъде направена оценка)</w:t>
      </w:r>
    </w:p>
    <w:p w14:paraId="799C1822"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Уртикария, обрив, контактна екзема</w:t>
      </w:r>
    </w:p>
    <w:p w14:paraId="7456C9A8"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В редки случаи се съобщават изтъняване на роговицата и улцерации на роговицата, особено при пациенти в риск, когато използват кортикостероиди или когато се представят със съпътстващ ревматоиден артрит. Повечето пациенти са лекувани за дълъг период от време (вж. точка 4.4).</w:t>
      </w:r>
    </w:p>
    <w:p w14:paraId="4083353B" w14:textId="72D87B87" w:rsidR="00376D70" w:rsidRPr="00376D70" w:rsidRDefault="00376D70" w:rsidP="00376D70">
      <w:pPr>
        <w:spacing w:line="240" w:lineRule="auto"/>
        <w:rPr>
          <w:rFonts w:eastAsia="Times New Roman" w:cs="Arial"/>
          <w:color w:val="000000"/>
          <w:lang w:eastAsia="bg-BG"/>
        </w:rPr>
      </w:pPr>
      <w:r w:rsidRPr="00376D70">
        <w:rPr>
          <w:rFonts w:eastAsia="Times New Roman" w:cs="Arial"/>
          <w:color w:val="000000"/>
          <w:lang w:eastAsia="bg-BG"/>
        </w:rPr>
        <w:t>Поради наличието на макроголглицеролов рицинолеат има риск от контакта ексзема.</w:t>
      </w:r>
    </w:p>
    <w:p w14:paraId="7607E2AD" w14:textId="278FF1C6" w:rsidR="00376D70" w:rsidRPr="00376D70" w:rsidRDefault="00376D70" w:rsidP="00376D70">
      <w:pPr>
        <w:spacing w:line="240" w:lineRule="auto"/>
        <w:rPr>
          <w:rFonts w:eastAsia="Times New Roman" w:cs="Arial"/>
          <w:color w:val="000000"/>
          <w:lang w:eastAsia="bg-BG"/>
        </w:rPr>
      </w:pPr>
    </w:p>
    <w:p w14:paraId="770CEABC"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u w:val="single"/>
          <w:lang w:eastAsia="bg-BG"/>
        </w:rPr>
        <w:t>Съобщаване на подозирани нежелани реакции</w:t>
      </w:r>
    </w:p>
    <w:p w14:paraId="459635EB"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w:t>
      </w:r>
    </w:p>
    <w:p w14:paraId="0382C288" w14:textId="77777777" w:rsidR="00376D70" w:rsidRPr="00376D70" w:rsidRDefault="00376D70" w:rsidP="00376D70">
      <w:pPr>
        <w:spacing w:line="240" w:lineRule="auto"/>
        <w:rPr>
          <w:rFonts w:eastAsia="Times New Roman" w:cs="Arial"/>
          <w:color w:val="000000"/>
          <w:lang w:eastAsia="bg-BG"/>
        </w:rPr>
      </w:pPr>
    </w:p>
    <w:p w14:paraId="2E9F4985" w14:textId="1A03167F"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Изпълнителна агенция по лекарствата</w:t>
      </w:r>
    </w:p>
    <w:p w14:paraId="2FD4424B"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ул. .Дамян Груев” № 8</w:t>
      </w:r>
    </w:p>
    <w:p w14:paraId="7CFFFBF4"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1303 София</w:t>
      </w:r>
    </w:p>
    <w:p w14:paraId="0371AF23" w14:textId="77777777"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България</w:t>
      </w:r>
    </w:p>
    <w:p w14:paraId="6A5F6B21" w14:textId="77777777" w:rsidR="00376D70" w:rsidRPr="00376D70" w:rsidRDefault="00376D70" w:rsidP="00376D70">
      <w:pPr>
        <w:spacing w:line="240" w:lineRule="auto"/>
        <w:rPr>
          <w:rFonts w:eastAsia="Times New Roman" w:cs="Arial"/>
          <w:color w:val="000000"/>
          <w:lang w:eastAsia="bg-BG"/>
        </w:rPr>
      </w:pPr>
      <w:r w:rsidRPr="00376D70">
        <w:rPr>
          <w:rFonts w:eastAsia="Times New Roman" w:cs="Arial"/>
          <w:color w:val="000000"/>
          <w:lang w:eastAsia="bg-BG"/>
        </w:rPr>
        <w:t xml:space="preserve">Тел.:+359 2 8903417 </w:t>
      </w:r>
    </w:p>
    <w:p w14:paraId="583AF432" w14:textId="4A6D9E51" w:rsidR="00376D70" w:rsidRPr="00376D70" w:rsidRDefault="00376D70" w:rsidP="00376D70">
      <w:pPr>
        <w:spacing w:line="240" w:lineRule="auto"/>
        <w:rPr>
          <w:rFonts w:eastAsia="Times New Roman" w:cs="Arial"/>
          <w:lang w:eastAsia="bg-BG"/>
        </w:rPr>
      </w:pPr>
      <w:r w:rsidRPr="00376D70">
        <w:rPr>
          <w:rFonts w:eastAsia="Times New Roman" w:cs="Arial"/>
          <w:color w:val="000000"/>
          <w:lang w:eastAsia="bg-BG"/>
        </w:rPr>
        <w:t xml:space="preserve">уебсайт: </w:t>
      </w:r>
      <w:r w:rsidRPr="00376D70">
        <w:rPr>
          <w:rFonts w:eastAsia="Times New Roman" w:cs="Arial"/>
          <w:lang w:eastAsia="bg-BG"/>
        </w:rPr>
        <w:fldChar w:fldCharType="begin"/>
      </w:r>
      <w:r w:rsidRPr="00376D70">
        <w:rPr>
          <w:rFonts w:eastAsia="Times New Roman" w:cs="Arial"/>
          <w:lang w:eastAsia="bg-BG"/>
        </w:rPr>
        <w:instrText xml:space="preserve"> HYPERLINK "http://www.bda.bg" </w:instrText>
      </w:r>
      <w:r w:rsidRPr="00376D70">
        <w:rPr>
          <w:rFonts w:eastAsia="Times New Roman" w:cs="Arial"/>
          <w:lang w:eastAsia="bg-BG"/>
        </w:rPr>
      </w:r>
      <w:r w:rsidRPr="00376D70">
        <w:rPr>
          <w:rFonts w:eastAsia="Times New Roman" w:cs="Arial"/>
          <w:lang w:eastAsia="bg-BG"/>
        </w:rPr>
        <w:fldChar w:fldCharType="separate"/>
      </w:r>
      <w:r w:rsidRPr="00376D70">
        <w:rPr>
          <w:rFonts w:eastAsia="Times New Roman" w:cs="Arial"/>
          <w:color w:val="000000"/>
          <w:lang w:val="en-US"/>
        </w:rPr>
        <w:t>www.bda.bg</w:t>
      </w:r>
      <w:r w:rsidRPr="00376D70">
        <w:rPr>
          <w:rFonts w:eastAsia="Times New Roman" w:cs="Arial"/>
          <w:lang w:eastAsia="bg-BG"/>
        </w:rPr>
        <w:fldChar w:fldCharType="end"/>
      </w:r>
    </w:p>
    <w:p w14:paraId="0C3762FB" w14:textId="77777777" w:rsidR="00376D70" w:rsidRPr="00376D70" w:rsidRDefault="00376D70" w:rsidP="00376D70"/>
    <w:p w14:paraId="378A0F20" w14:textId="2E7A5517" w:rsidR="001D095A" w:rsidRDefault="002C50EE" w:rsidP="00340E8D">
      <w:pPr>
        <w:pStyle w:val="Heading2"/>
      </w:pPr>
      <w:r>
        <w:t>4.9. Предозиране</w:t>
      </w:r>
    </w:p>
    <w:p w14:paraId="261F1957" w14:textId="121BEB1C" w:rsidR="00376D70" w:rsidRDefault="00376D70" w:rsidP="00376D70"/>
    <w:p w14:paraId="5417561B" w14:textId="4C4BED0E" w:rsidR="00376D70" w:rsidRPr="00376D70" w:rsidRDefault="00376D70" w:rsidP="00376D70">
      <w:pPr>
        <w:rPr>
          <w:sz w:val="24"/>
          <w:szCs w:val="24"/>
          <w:lang w:eastAsia="bg-BG"/>
        </w:rPr>
      </w:pPr>
      <w:r w:rsidRPr="00376D70">
        <w:rPr>
          <w:lang w:eastAsia="bg-BG"/>
        </w:rPr>
        <w:t>Неприложимо.</w:t>
      </w:r>
    </w:p>
    <w:p w14:paraId="02081B24" w14:textId="36FE76F4" w:rsidR="00395555" w:rsidRPr="00395555" w:rsidRDefault="002C50EE" w:rsidP="008A6AF2">
      <w:pPr>
        <w:pStyle w:val="Heading1"/>
      </w:pPr>
      <w:r>
        <w:lastRenderedPageBreak/>
        <w:t>5. ФАРМАКОЛОГИЧНИ СВОЙСТВА</w:t>
      </w:r>
    </w:p>
    <w:p w14:paraId="7F6CC5E1" w14:textId="63981D93" w:rsidR="00F62E44" w:rsidRDefault="002C50EE" w:rsidP="00387A66">
      <w:pPr>
        <w:pStyle w:val="Heading2"/>
      </w:pPr>
      <w:r>
        <w:t>5.1. Фармакодинамични свойства</w:t>
      </w:r>
    </w:p>
    <w:p w14:paraId="5DB38BD8" w14:textId="4C08D428" w:rsidR="00376D70" w:rsidRDefault="00376D70" w:rsidP="00376D70"/>
    <w:p w14:paraId="6B0C087F" w14:textId="77777777" w:rsidR="00376D70" w:rsidRPr="00376D70" w:rsidRDefault="00376D70" w:rsidP="00376D70">
      <w:pPr>
        <w:rPr>
          <w:sz w:val="24"/>
          <w:szCs w:val="24"/>
          <w:lang w:eastAsia="bg-BG"/>
        </w:rPr>
      </w:pPr>
      <w:r w:rsidRPr="00376D70">
        <w:rPr>
          <w:lang w:eastAsia="bg-BG"/>
        </w:rPr>
        <w:t xml:space="preserve">Фармакотерапевтична група: нестероидни противовъзпалителни средства за топикално приложение, АТС код: </w:t>
      </w:r>
      <w:r w:rsidRPr="00376D70">
        <w:rPr>
          <w:lang w:val="en-US"/>
        </w:rPr>
        <w:t>S01BC03</w:t>
      </w:r>
    </w:p>
    <w:p w14:paraId="3CDC4D4B" w14:textId="77777777" w:rsidR="00376D70" w:rsidRDefault="00376D70" w:rsidP="00376D70">
      <w:pPr>
        <w:rPr>
          <w:lang w:eastAsia="bg-BG"/>
        </w:rPr>
      </w:pPr>
    </w:p>
    <w:p w14:paraId="47AEE600" w14:textId="02BA36FE" w:rsidR="00376D70" w:rsidRPr="00376D70" w:rsidRDefault="00376D70" w:rsidP="00376D70">
      <w:pPr>
        <w:rPr>
          <w:sz w:val="24"/>
          <w:szCs w:val="24"/>
          <w:lang w:eastAsia="bg-BG"/>
        </w:rPr>
      </w:pPr>
      <w:r w:rsidRPr="00376D70">
        <w:rPr>
          <w:lang w:eastAsia="bg-BG"/>
        </w:rPr>
        <w:t>Диклофенак натрий е инхибитор на простагландин синтетазата. Той има противовъзпалителни и аналгетични свойства.</w:t>
      </w:r>
    </w:p>
    <w:p w14:paraId="68313779" w14:textId="77777777" w:rsidR="00376D70" w:rsidRDefault="00376D70" w:rsidP="00376D70">
      <w:pPr>
        <w:rPr>
          <w:lang w:eastAsia="bg-BG"/>
        </w:rPr>
      </w:pPr>
    </w:p>
    <w:p w14:paraId="1BBA5D34" w14:textId="6A8E17BA" w:rsidR="00376D70" w:rsidRPr="00376D70" w:rsidRDefault="00376D70" w:rsidP="00376D70">
      <w:pPr>
        <w:rPr>
          <w:sz w:val="24"/>
          <w:szCs w:val="24"/>
          <w:lang w:eastAsia="bg-BG"/>
        </w:rPr>
      </w:pPr>
      <w:r w:rsidRPr="00376D70">
        <w:rPr>
          <w:lang w:eastAsia="bg-BG"/>
        </w:rPr>
        <w:t>Тези капки за очи, разтвор, не съдържат консерванти. Те се предлагат като бутилка за многократно дозиране, окомплектована със система, съдържаща филтрираща мембрана (0,2 микрона), за да се предпазват капките за очи, разтвор, от микробна контаминация през периода на употреба.</w:t>
      </w:r>
    </w:p>
    <w:p w14:paraId="407FAD25" w14:textId="77777777" w:rsidR="00376D70" w:rsidRDefault="00376D70" w:rsidP="00376D70">
      <w:pPr>
        <w:rPr>
          <w:lang w:eastAsia="bg-BG"/>
        </w:rPr>
      </w:pPr>
    </w:p>
    <w:p w14:paraId="57964724" w14:textId="432A154B" w:rsidR="00376D70" w:rsidRPr="00376D70" w:rsidRDefault="00376D70" w:rsidP="00376D70">
      <w:pPr>
        <w:rPr>
          <w:sz w:val="24"/>
          <w:szCs w:val="24"/>
          <w:lang w:eastAsia="bg-BG"/>
        </w:rPr>
      </w:pPr>
      <w:r w:rsidRPr="00376D70">
        <w:rPr>
          <w:lang w:eastAsia="bg-BG"/>
        </w:rPr>
        <w:t>Данните относно ефикасността и безопасността на капките за очи, съдържащи диклофенак при операция при глаукомна филтрация са ограничени.</w:t>
      </w:r>
    </w:p>
    <w:p w14:paraId="09BFD196" w14:textId="77777777" w:rsidR="00376D70" w:rsidRPr="00376D70" w:rsidRDefault="00376D70" w:rsidP="00376D70"/>
    <w:p w14:paraId="544FFDAF" w14:textId="2DA58981" w:rsidR="00F62E44" w:rsidRDefault="002C50EE" w:rsidP="00387A66">
      <w:pPr>
        <w:pStyle w:val="Heading2"/>
      </w:pPr>
      <w:r>
        <w:t>5.2. Фармакокинетични свойства</w:t>
      </w:r>
    </w:p>
    <w:p w14:paraId="4298E265" w14:textId="7E320FEF" w:rsidR="00376D70" w:rsidRDefault="00376D70" w:rsidP="00376D70"/>
    <w:p w14:paraId="7486F5B9" w14:textId="77777777" w:rsidR="00376D70" w:rsidRPr="00376D70" w:rsidRDefault="00376D70" w:rsidP="00376D70">
      <w:pPr>
        <w:rPr>
          <w:sz w:val="24"/>
          <w:szCs w:val="24"/>
          <w:lang w:eastAsia="bg-BG"/>
        </w:rPr>
      </w:pPr>
      <w:r w:rsidRPr="00376D70">
        <w:rPr>
          <w:lang w:eastAsia="bg-BG"/>
        </w:rPr>
        <w:t>При зайци пиковите концентрации на маркирания диклофенак се откриват в корнеята и конюнктивита 30 минути след приложението. Елиминирането е бързо и почти пълно след 6 часа.</w:t>
      </w:r>
    </w:p>
    <w:p w14:paraId="5713B945" w14:textId="77777777" w:rsidR="00376D70" w:rsidRDefault="00376D70" w:rsidP="00376D70">
      <w:pPr>
        <w:rPr>
          <w:lang w:eastAsia="bg-BG"/>
        </w:rPr>
      </w:pPr>
    </w:p>
    <w:p w14:paraId="788DBAA2" w14:textId="10D50454" w:rsidR="00376D70" w:rsidRPr="00376D70" w:rsidRDefault="00376D70" w:rsidP="00376D70">
      <w:pPr>
        <w:rPr>
          <w:sz w:val="24"/>
          <w:szCs w:val="24"/>
          <w:lang w:eastAsia="bg-BG"/>
        </w:rPr>
      </w:pPr>
      <w:r w:rsidRPr="00376D70">
        <w:rPr>
          <w:lang w:eastAsia="bg-BG"/>
        </w:rPr>
        <w:t>Доказано е проникването на диклофенак в предната камера при хора.</w:t>
      </w:r>
    </w:p>
    <w:p w14:paraId="61C2FF9D" w14:textId="77777777" w:rsidR="00376D70" w:rsidRDefault="00376D70" w:rsidP="00376D70">
      <w:pPr>
        <w:rPr>
          <w:lang w:eastAsia="bg-BG"/>
        </w:rPr>
      </w:pPr>
    </w:p>
    <w:p w14:paraId="703DBF93" w14:textId="78A15EE9" w:rsidR="00376D70" w:rsidRPr="00376D70" w:rsidRDefault="00376D70" w:rsidP="00376D70">
      <w:pPr>
        <w:rPr>
          <w:sz w:val="24"/>
          <w:szCs w:val="24"/>
          <w:lang w:eastAsia="bg-BG"/>
        </w:rPr>
      </w:pPr>
      <w:r w:rsidRPr="00376D70">
        <w:rPr>
          <w:lang w:eastAsia="bg-BG"/>
        </w:rPr>
        <w:t>Не могат да се открият измерими плазмени нива на диклофенак след очно приложение.</w:t>
      </w:r>
    </w:p>
    <w:p w14:paraId="619A3C75" w14:textId="77777777" w:rsidR="00376D70" w:rsidRPr="00376D70" w:rsidRDefault="00376D70" w:rsidP="00376D70"/>
    <w:p w14:paraId="6925FEB0" w14:textId="48472C90" w:rsidR="00F62E44" w:rsidRDefault="002C50EE" w:rsidP="00387A66">
      <w:pPr>
        <w:pStyle w:val="Heading2"/>
      </w:pPr>
      <w:r>
        <w:t>5.3. Предклинични данни за безопасност</w:t>
      </w:r>
    </w:p>
    <w:p w14:paraId="6D856760" w14:textId="31DBD0A0" w:rsidR="00376D70" w:rsidRDefault="00376D70" w:rsidP="00376D70"/>
    <w:p w14:paraId="54BACAFC" w14:textId="77777777" w:rsidR="00376D70" w:rsidRPr="00376D70" w:rsidRDefault="00376D70" w:rsidP="00376D70">
      <w:pPr>
        <w:rPr>
          <w:sz w:val="24"/>
          <w:szCs w:val="24"/>
          <w:lang w:eastAsia="bg-BG"/>
        </w:rPr>
      </w:pPr>
      <w:r w:rsidRPr="00376D70">
        <w:rPr>
          <w:lang w:eastAsia="bg-BG"/>
        </w:rPr>
        <w:t xml:space="preserve">При изследване на токсичността на повторните дози главната нежелана реакция на диклофенак е върху стомашно-чревния тракт, като улцерации настъпват в зависимост от вида при перорални дози от над 0,5 до 2,0 </w:t>
      </w:r>
      <w:r w:rsidRPr="00376D70">
        <w:rPr>
          <w:lang w:val="en-US"/>
        </w:rPr>
        <w:t xml:space="preserve">mg/kg </w:t>
      </w:r>
      <w:r w:rsidRPr="00376D70">
        <w:rPr>
          <w:lang w:eastAsia="bg-BG"/>
        </w:rPr>
        <w:t>(приблизително 300 до 1200 пъти над топикалната очна дневна доза при хора).</w:t>
      </w:r>
    </w:p>
    <w:p w14:paraId="1D09FBDE" w14:textId="77777777" w:rsidR="00376D70" w:rsidRPr="00376D70" w:rsidRDefault="00376D70" w:rsidP="00376D70">
      <w:pPr>
        <w:rPr>
          <w:sz w:val="24"/>
          <w:szCs w:val="24"/>
          <w:lang w:eastAsia="bg-BG"/>
        </w:rPr>
      </w:pPr>
      <w:r w:rsidRPr="00376D70">
        <w:rPr>
          <w:lang w:eastAsia="bg-BG"/>
        </w:rPr>
        <w:t>Проучванията за репродуктивна токсичност при животни показват ембрио-фетотоксичност, удължена бременност и дистокия. При токсични за майката дози се наблюдват фетални смъртни случаи и забавяне на растежа</w:t>
      </w:r>
    </w:p>
    <w:p w14:paraId="231030B8" w14:textId="77777777" w:rsidR="00376D70" w:rsidRPr="00376D70" w:rsidRDefault="00376D70" w:rsidP="00376D70">
      <w:pPr>
        <w:rPr>
          <w:sz w:val="24"/>
          <w:szCs w:val="24"/>
          <w:lang w:eastAsia="bg-BG"/>
        </w:rPr>
      </w:pPr>
      <w:r w:rsidRPr="00376D70">
        <w:rPr>
          <w:lang w:eastAsia="bg-BG"/>
        </w:rPr>
        <w:t>Диклофенак не показва мутагенен и канцерогенен потенциал.</w:t>
      </w:r>
    </w:p>
    <w:p w14:paraId="58DF629D" w14:textId="3F29B7BE" w:rsidR="00376D70" w:rsidRPr="00376D70" w:rsidRDefault="00376D70" w:rsidP="00376D70">
      <w:r w:rsidRPr="00376D70">
        <w:rPr>
          <w:lang w:eastAsia="bg-BG"/>
        </w:rPr>
        <w:t xml:space="preserve">Не се наблюдават никакви ефекти след повторно приложение на диклофенак 1 </w:t>
      </w:r>
      <w:r w:rsidRPr="00376D70">
        <w:rPr>
          <w:lang w:val="en-US"/>
        </w:rPr>
        <w:t xml:space="preserve">mg/ml </w:t>
      </w:r>
      <w:r w:rsidRPr="00376D70">
        <w:rPr>
          <w:lang w:eastAsia="bg-BG"/>
        </w:rPr>
        <w:t>в окото на зайци за период до 3 месеца.</w:t>
      </w:r>
    </w:p>
    <w:p w14:paraId="357049A8" w14:textId="3A358647" w:rsidR="00BB22B4" w:rsidRDefault="002C50EE" w:rsidP="00471F10">
      <w:pPr>
        <w:pStyle w:val="Heading1"/>
      </w:pPr>
      <w:r>
        <w:t>7. ПРИТЕЖАТЕЛ НА РАЗРЕШЕНИЕТО ЗА УПОТРЕБА</w:t>
      </w:r>
    </w:p>
    <w:p w14:paraId="326D1ADA" w14:textId="1EABDFF5" w:rsidR="00376D70" w:rsidRDefault="00376D70" w:rsidP="00376D70"/>
    <w:p w14:paraId="563C0850" w14:textId="77777777" w:rsidR="00376D70" w:rsidRPr="00376D70" w:rsidRDefault="00376D70" w:rsidP="00376D70">
      <w:pPr>
        <w:rPr>
          <w:sz w:val="24"/>
          <w:szCs w:val="24"/>
          <w:lang w:val="en-US" w:eastAsia="bg-BG"/>
        </w:rPr>
      </w:pPr>
      <w:proofErr w:type="spellStart"/>
      <w:r w:rsidRPr="00376D70">
        <w:rPr>
          <w:lang w:val="en-US"/>
        </w:rPr>
        <w:t>Laboratoires</w:t>
      </w:r>
      <w:proofErr w:type="spellEnd"/>
      <w:r w:rsidRPr="00376D70">
        <w:rPr>
          <w:lang w:val="en-US"/>
        </w:rPr>
        <w:t xml:space="preserve"> THEA</w:t>
      </w:r>
    </w:p>
    <w:p w14:paraId="5817D933" w14:textId="77777777" w:rsidR="00376D70" w:rsidRPr="00376D70" w:rsidRDefault="00376D70" w:rsidP="00376D70">
      <w:pPr>
        <w:rPr>
          <w:sz w:val="24"/>
          <w:szCs w:val="24"/>
          <w:lang w:val="en-US" w:eastAsia="bg-BG"/>
        </w:rPr>
      </w:pPr>
      <w:r w:rsidRPr="00376D70">
        <w:rPr>
          <w:lang w:eastAsia="bg-BG"/>
        </w:rPr>
        <w:t xml:space="preserve">12, </w:t>
      </w:r>
      <w:r w:rsidRPr="00376D70">
        <w:rPr>
          <w:lang w:val="en-US"/>
        </w:rPr>
        <w:t>rue Louis Bleriot</w:t>
      </w:r>
    </w:p>
    <w:p w14:paraId="25F46833" w14:textId="77777777" w:rsidR="00376D70" w:rsidRPr="00376D70" w:rsidRDefault="00376D70" w:rsidP="00376D70">
      <w:pPr>
        <w:rPr>
          <w:sz w:val="24"/>
          <w:szCs w:val="24"/>
          <w:lang w:val="en-US" w:eastAsia="bg-BG"/>
        </w:rPr>
      </w:pPr>
      <w:r w:rsidRPr="00376D70">
        <w:rPr>
          <w:lang w:val="en-US"/>
        </w:rPr>
        <w:t>63017 Clermont-Ferrand Cedex 2</w:t>
      </w:r>
    </w:p>
    <w:p w14:paraId="42BB8DC6" w14:textId="2C4E2ADF" w:rsidR="00376D70" w:rsidRPr="00376D70" w:rsidRDefault="00376D70" w:rsidP="00376D70">
      <w:r w:rsidRPr="00376D70">
        <w:rPr>
          <w:lang w:eastAsia="bg-BG"/>
        </w:rPr>
        <w:t>Франция</w:t>
      </w:r>
    </w:p>
    <w:p w14:paraId="0A53321D" w14:textId="72A1E8C1" w:rsidR="00EE6C97" w:rsidRDefault="00936AD0" w:rsidP="00A93499">
      <w:pPr>
        <w:pStyle w:val="Heading1"/>
      </w:pPr>
      <w:r>
        <w:lastRenderedPageBreak/>
        <w:t>8.</w:t>
      </w:r>
      <w:r w:rsidR="002C50EE">
        <w:t>НОМЕР НА РАЗРЕШЕНИЕТО ЗА УПОТРЕБА</w:t>
      </w:r>
    </w:p>
    <w:p w14:paraId="486B18BE" w14:textId="4FA108C4" w:rsidR="00376D70" w:rsidRDefault="00376D70" w:rsidP="00376D70"/>
    <w:p w14:paraId="6FDA1593" w14:textId="0D03D203" w:rsidR="00376D70" w:rsidRPr="00376D70" w:rsidRDefault="00376D70" w:rsidP="00376D70">
      <w:pPr>
        <w:rPr>
          <w:sz w:val="24"/>
          <w:szCs w:val="24"/>
          <w:lang w:val="en-US" w:eastAsia="bg-BG"/>
        </w:rPr>
      </w:pPr>
      <w:r w:rsidRPr="00376D70">
        <w:rPr>
          <w:lang w:val="en-US"/>
        </w:rPr>
        <w:t>Per. №20120184</w:t>
      </w:r>
    </w:p>
    <w:p w14:paraId="7C2688F5" w14:textId="6D610EDF" w:rsidR="00F62E44" w:rsidRDefault="00F62E44" w:rsidP="00F62E44"/>
    <w:p w14:paraId="00481C21" w14:textId="608BA908" w:rsidR="00F62E44" w:rsidRDefault="002C50EE" w:rsidP="00387A66">
      <w:pPr>
        <w:pStyle w:val="Heading1"/>
      </w:pPr>
      <w:r>
        <w:t>9. ДАТА НА ПЪРВО РАЗРЕШАВАНЕ/ПОДНОВЯВАНЕ НА РАЗРЕШЕНИЕТО ЗА УПОТРЕБА</w:t>
      </w:r>
    </w:p>
    <w:p w14:paraId="68E072B8" w14:textId="059DDC62" w:rsidR="00376D70" w:rsidRDefault="00376D70" w:rsidP="00376D70"/>
    <w:p w14:paraId="12F82E72" w14:textId="77777777" w:rsidR="00376D70" w:rsidRPr="00376D70" w:rsidRDefault="00376D70" w:rsidP="00376D70">
      <w:pPr>
        <w:rPr>
          <w:sz w:val="24"/>
          <w:szCs w:val="24"/>
          <w:lang w:eastAsia="bg-BG"/>
        </w:rPr>
      </w:pPr>
      <w:r w:rsidRPr="00376D70">
        <w:rPr>
          <w:lang w:eastAsia="bg-BG"/>
        </w:rPr>
        <w:t>Дата на първо разрешаване: 29.03.2012</w:t>
      </w:r>
    </w:p>
    <w:p w14:paraId="141C3F6C" w14:textId="32768D6C" w:rsidR="00376D70" w:rsidRPr="00376D70" w:rsidRDefault="00376D70" w:rsidP="00376D70">
      <w:pPr>
        <w:rPr>
          <w:sz w:val="24"/>
          <w:szCs w:val="24"/>
          <w:lang w:eastAsia="bg-BG"/>
        </w:rPr>
      </w:pPr>
      <w:r w:rsidRPr="00376D70">
        <w:rPr>
          <w:lang w:eastAsia="bg-BG"/>
        </w:rPr>
        <w:t>Дата на подновяване на разрешението за употреба: 03.07.2019</w:t>
      </w:r>
    </w:p>
    <w:p w14:paraId="43FB38A2" w14:textId="0C18A683" w:rsidR="007C605B" w:rsidRDefault="002C50EE" w:rsidP="005726E3">
      <w:pPr>
        <w:pStyle w:val="Heading1"/>
      </w:pPr>
      <w:r>
        <w:t>10. ДАТА НА АКТУАЛИЗИРАНЕ НА ТЕКСТА</w:t>
      </w:r>
      <w:bookmarkEnd w:id="0"/>
    </w:p>
    <w:p w14:paraId="472617BD" w14:textId="4E52188C" w:rsidR="00BB22B4" w:rsidRPr="00BB22B4" w:rsidRDefault="00BB22B4" w:rsidP="008F7F23"/>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5F078F"/>
    <w:multiLevelType w:val="hybridMultilevel"/>
    <w:tmpl w:val="FF9EE16A"/>
    <w:lvl w:ilvl="0" w:tplc="F47A6C38">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19"/>
  </w:num>
  <w:num w:numId="7" w16cid:durableId="1241988161">
    <w:abstractNumId w:val="12"/>
  </w:num>
  <w:num w:numId="8" w16cid:durableId="2102022361">
    <w:abstractNumId w:val="18"/>
  </w:num>
  <w:num w:numId="9" w16cid:durableId="1154613663">
    <w:abstractNumId w:val="2"/>
  </w:num>
  <w:num w:numId="10" w16cid:durableId="1733848127">
    <w:abstractNumId w:val="4"/>
  </w:num>
  <w:num w:numId="11" w16cid:durableId="1861704680">
    <w:abstractNumId w:val="34"/>
  </w:num>
  <w:num w:numId="12" w16cid:durableId="1434934028">
    <w:abstractNumId w:val="16"/>
  </w:num>
  <w:num w:numId="13" w16cid:durableId="479157895">
    <w:abstractNumId w:val="22"/>
  </w:num>
  <w:num w:numId="14" w16cid:durableId="1670476636">
    <w:abstractNumId w:val="14"/>
  </w:num>
  <w:num w:numId="15" w16cid:durableId="1000155783">
    <w:abstractNumId w:val="33"/>
  </w:num>
  <w:num w:numId="16" w16cid:durableId="2056420707">
    <w:abstractNumId w:val="11"/>
  </w:num>
  <w:num w:numId="17" w16cid:durableId="1787119182">
    <w:abstractNumId w:val="27"/>
  </w:num>
  <w:num w:numId="18" w16cid:durableId="722945139">
    <w:abstractNumId w:val="8"/>
  </w:num>
  <w:num w:numId="19" w16cid:durableId="1678728408">
    <w:abstractNumId w:val="29"/>
  </w:num>
  <w:num w:numId="20" w16cid:durableId="1970816657">
    <w:abstractNumId w:val="26"/>
  </w:num>
  <w:num w:numId="21" w16cid:durableId="1531146514">
    <w:abstractNumId w:val="20"/>
  </w:num>
  <w:num w:numId="22" w16cid:durableId="1276465">
    <w:abstractNumId w:val="28"/>
  </w:num>
  <w:num w:numId="23" w16cid:durableId="1624310558">
    <w:abstractNumId w:val="21"/>
  </w:num>
  <w:num w:numId="24" w16cid:durableId="1692877547">
    <w:abstractNumId w:val="9"/>
  </w:num>
  <w:num w:numId="25" w16cid:durableId="50930855">
    <w:abstractNumId w:val="25"/>
  </w:num>
  <w:num w:numId="26" w16cid:durableId="176701536">
    <w:abstractNumId w:val="24"/>
  </w:num>
  <w:num w:numId="27" w16cid:durableId="2050564750">
    <w:abstractNumId w:val="35"/>
  </w:num>
  <w:num w:numId="28" w16cid:durableId="1820733422">
    <w:abstractNumId w:val="6"/>
  </w:num>
  <w:num w:numId="29" w16cid:durableId="973678124">
    <w:abstractNumId w:val="23"/>
  </w:num>
  <w:num w:numId="30" w16cid:durableId="154884452">
    <w:abstractNumId w:val="39"/>
  </w:num>
  <w:num w:numId="31" w16cid:durableId="1053964910">
    <w:abstractNumId w:val="5"/>
  </w:num>
  <w:num w:numId="32" w16cid:durableId="2073575793">
    <w:abstractNumId w:val="37"/>
  </w:num>
  <w:num w:numId="33" w16cid:durableId="1566643170">
    <w:abstractNumId w:val="32"/>
  </w:num>
  <w:num w:numId="34" w16cid:durableId="2060787732">
    <w:abstractNumId w:val="36"/>
  </w:num>
  <w:num w:numId="35" w16cid:durableId="34161354">
    <w:abstractNumId w:val="7"/>
  </w:num>
  <w:num w:numId="36" w16cid:durableId="1976908676">
    <w:abstractNumId w:val="10"/>
  </w:num>
  <w:num w:numId="37" w16cid:durableId="758528303">
    <w:abstractNumId w:val="17"/>
  </w:num>
  <w:num w:numId="38" w16cid:durableId="178396561">
    <w:abstractNumId w:val="38"/>
  </w:num>
  <w:num w:numId="39" w16cid:durableId="934825996">
    <w:abstractNumId w:val="13"/>
  </w:num>
  <w:num w:numId="40" w16cid:durableId="16329762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04552E"/>
    <w:rsid w:val="00185A46"/>
    <w:rsid w:val="001915B6"/>
    <w:rsid w:val="001A6EBD"/>
    <w:rsid w:val="001D095A"/>
    <w:rsid w:val="001D1B23"/>
    <w:rsid w:val="002B3C38"/>
    <w:rsid w:val="002B4DBB"/>
    <w:rsid w:val="002C50EE"/>
    <w:rsid w:val="00340A0A"/>
    <w:rsid w:val="00340E8D"/>
    <w:rsid w:val="003765DC"/>
    <w:rsid w:val="00376D70"/>
    <w:rsid w:val="00387A66"/>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8F7F23"/>
    <w:rsid w:val="00936AD0"/>
    <w:rsid w:val="00954129"/>
    <w:rsid w:val="009773E4"/>
    <w:rsid w:val="009B171C"/>
    <w:rsid w:val="009F1313"/>
    <w:rsid w:val="009F77A4"/>
    <w:rsid w:val="00A20351"/>
    <w:rsid w:val="00A428B7"/>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9184E"/>
    <w:rsid w:val="00EB6364"/>
    <w:rsid w:val="00EE6C97"/>
    <w:rsid w:val="00F37B64"/>
    <w:rsid w:val="00F53FB7"/>
    <w:rsid w:val="00F62E4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2244</Words>
  <Characters>12792</Characters>
  <Application>Microsoft Office Word</Application>
  <DocSecurity>0</DocSecurity>
  <Lines>106</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2023-03-03T17:02:00Z</dcterms:created>
  <dcterms:modified xsi:type="dcterms:W3CDTF">2023-03-03T17:02:00Z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