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7B59AC17" w:rsidR="00AA23EC" w:rsidRDefault="00DD466D" w:rsidP="00DD466D">
      <w:pPr>
        <w:pStyle w:val="1"/>
      </w:pPr>
      <w:r>
        <w:t>1.ИМЕ НА ЛЕКАРСТВЕНИЯ ПРОДУКТ</w:t>
      </w:r>
    </w:p>
    <w:p w14:paraId="3A2BF9F3" w14:textId="4420A20A" w:rsidR="00DC247C" w:rsidRDefault="00DC247C" w:rsidP="00DC247C"/>
    <w:p w14:paraId="01771206" w14:textId="77777777" w:rsidR="00DC247C" w:rsidRPr="00DC247C" w:rsidRDefault="00DC247C" w:rsidP="00DC247C">
      <w:pPr>
        <w:rPr>
          <w:sz w:val="24"/>
          <w:szCs w:val="24"/>
        </w:rPr>
      </w:pPr>
      <w:r w:rsidRPr="00DC247C">
        <w:rPr>
          <w:lang w:val="en-US"/>
        </w:rPr>
        <w:t xml:space="preserve">DIGOXIN-RICHTER </w:t>
      </w:r>
      <w:r w:rsidRPr="00DC247C">
        <w:rPr>
          <w:lang w:eastAsia="bg-BG"/>
        </w:rPr>
        <w:t xml:space="preserve">250 </w:t>
      </w:r>
      <w:r w:rsidRPr="00DC247C">
        <w:rPr>
          <w:lang w:val="en-US"/>
        </w:rPr>
        <w:t>micrograms tablets</w:t>
      </w:r>
    </w:p>
    <w:p w14:paraId="32F52D67" w14:textId="4FFB0ED3" w:rsidR="00DC247C" w:rsidRPr="00DC247C" w:rsidRDefault="00DC247C" w:rsidP="00DC247C">
      <w:r w:rsidRPr="00DC247C">
        <w:rPr>
          <w:lang w:eastAsia="bg-BG"/>
        </w:rPr>
        <w:t>ДИГОКСИН-РИХТЕР 250 микрограма таблетки</w:t>
      </w:r>
    </w:p>
    <w:p w14:paraId="0A368469" w14:textId="6D7499A8" w:rsidR="00C0049F" w:rsidRDefault="00DD466D" w:rsidP="009F1313">
      <w:pPr>
        <w:pStyle w:val="1"/>
      </w:pPr>
      <w:r>
        <w:t>2. КАЧЕСТВЕН И КОЛИЧЕСТВЕН СЪСТАВ</w:t>
      </w:r>
    </w:p>
    <w:p w14:paraId="2D37A1A4" w14:textId="4A40E1BA" w:rsidR="00DC247C" w:rsidRDefault="00DC247C" w:rsidP="00DC247C"/>
    <w:p w14:paraId="36206B8C" w14:textId="08916E63" w:rsidR="00DC247C" w:rsidRPr="00DC247C" w:rsidRDefault="00DC247C" w:rsidP="00DC247C">
      <w:r>
        <w:t xml:space="preserve">Всяка таблетка съдържа 250 микрограма </w:t>
      </w:r>
      <w:proofErr w:type="spellStart"/>
      <w:r>
        <w:t>дигоксин</w:t>
      </w:r>
      <w:proofErr w:type="spellEnd"/>
      <w:r>
        <w:t xml:space="preserve"> </w:t>
      </w:r>
      <w:r>
        <w:rPr>
          <w:lang w:val="en-US"/>
        </w:rPr>
        <w:t>(Digoxin).</w:t>
      </w:r>
    </w:p>
    <w:p w14:paraId="614984C4" w14:textId="4E4478D9" w:rsidR="008A6AF2" w:rsidRDefault="00DD466D" w:rsidP="002C50EE">
      <w:pPr>
        <w:pStyle w:val="1"/>
      </w:pPr>
      <w:r>
        <w:t>3. ЛЕКАРСТВЕНА ФОРМА</w:t>
      </w:r>
    </w:p>
    <w:p w14:paraId="5FA70480" w14:textId="77777777" w:rsidR="00DC247C" w:rsidRDefault="00DC247C" w:rsidP="00DC247C"/>
    <w:p w14:paraId="077125EB" w14:textId="12EE6BB7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t>Таблетки.</w:t>
      </w:r>
    </w:p>
    <w:p w14:paraId="14FB6EF7" w14:textId="1AC85841" w:rsidR="00DC247C" w:rsidRPr="00DC247C" w:rsidRDefault="00DC247C" w:rsidP="00DC247C">
      <w:r w:rsidRPr="00DC247C">
        <w:rPr>
          <w:lang w:eastAsia="bg-BG"/>
        </w:rPr>
        <w:t xml:space="preserve">Таблетките са почти бели, без мирис, плоски, със скосени ръбове, дисковидни, с гравиран символ </w:t>
      </w:r>
      <w:r w:rsidRPr="00DC247C">
        <w:rPr>
          <w:lang w:val="en-US"/>
        </w:rPr>
        <w:t xml:space="preserve">"D" </w:t>
      </w:r>
      <w:r w:rsidRPr="00DC247C">
        <w:rPr>
          <w:lang w:eastAsia="bg-BG"/>
        </w:rPr>
        <w:t>от едната страна. При счупване повърхността е почти бяла.</w:t>
      </w:r>
    </w:p>
    <w:p w14:paraId="490FC2C4" w14:textId="32682B15" w:rsidR="002C50EE" w:rsidRDefault="002C50EE" w:rsidP="002C50EE">
      <w:pPr>
        <w:pStyle w:val="1"/>
      </w:pPr>
      <w:r>
        <w:t>4. КЛИНИЧНИ ДАННИ</w:t>
      </w:r>
    </w:p>
    <w:p w14:paraId="754A29C8" w14:textId="34304510" w:rsidR="00C0049F" w:rsidRDefault="002C50EE" w:rsidP="009F1313">
      <w:pPr>
        <w:pStyle w:val="2"/>
      </w:pPr>
      <w:r>
        <w:t>4.1. Терапевтични показания</w:t>
      </w:r>
    </w:p>
    <w:p w14:paraId="1A864943" w14:textId="2564851C" w:rsidR="00395555" w:rsidRDefault="00395555" w:rsidP="00395555"/>
    <w:p w14:paraId="05A3E95F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Застойна сърдечна недостатъчност:</w:t>
      </w:r>
      <w:r w:rsidRPr="00DC247C">
        <w:rPr>
          <w:rFonts w:eastAsia="Times New Roman" w:cs="Arial"/>
          <w:color w:val="000000"/>
          <w:lang w:eastAsia="bg-BG"/>
        </w:rPr>
        <w:t xml:space="preserve"> Основното терапевтично приложение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 при лечение на нискодебитна застойна сърдечна недостатъчност с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мъждене. Повишеният сърдечен дебит в резултат от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инотропното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действие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подобрява нарушенията, характерни за сърдечната недостатъчност (венозен застой, отоци,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диспнея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ортопнея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кардиална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астма).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 по-ефективен при “нискодебитна” сърдечна недостатъчност (намалена помпена функция), отколкото при “високодебитна” сърдечна недостатъчност в следствие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аргериовенозна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фистула, анемия, инфекция или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хипертиреоидизъм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. Приложението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при пациенти със застойна сърдечна недостатъчност и синусов ритъм или при синусова тахикардия без застойна сърдечна недостатъчност остава спорно.</w:t>
      </w:r>
    </w:p>
    <w:p w14:paraId="46DEF089" w14:textId="77777777" w:rsidR="00DC247C" w:rsidRDefault="00DC247C" w:rsidP="00DC247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C3C9762" w14:textId="2478BC5D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Предсърдно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мъждене:</w:t>
      </w:r>
      <w:r w:rsidRPr="00DC247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намалява честотата на камерните съкращения и по този начин подобрява хемодинамиката. В тези случаи лечението обикновено е продължително.</w:t>
      </w:r>
    </w:p>
    <w:p w14:paraId="2B562FE9" w14:textId="77777777" w:rsidR="00DC247C" w:rsidRDefault="00DC247C" w:rsidP="00DC247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B887B72" w14:textId="20DBCD0D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Предсърдно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трептене:</w:t>
      </w:r>
      <w:r w:rsidRPr="00DC247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забавя сърдечната честота и е възможно да се появи нормален синусов ритъм. Често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предсърдното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трептене преминава в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мъждене с контролирана честота на камерните съкращения.</w:t>
      </w:r>
    </w:p>
    <w:p w14:paraId="41FCF8A6" w14:textId="77777777" w:rsidR="00DC247C" w:rsidRDefault="00DC247C" w:rsidP="00DC247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DF48D2A" w14:textId="610CC561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Пароксизмална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надкамерна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тахикардия:</w:t>
      </w:r>
      <w:r w:rsidRPr="00DC247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може да възстанови синусовия ритъм чрез забавяне на провеждането в </w:t>
      </w:r>
      <w:r w:rsidRPr="00DC247C">
        <w:rPr>
          <w:rFonts w:eastAsia="Times New Roman" w:cs="Arial"/>
          <w:color w:val="000000"/>
          <w:lang w:val="en-US"/>
        </w:rPr>
        <w:t>AV</w:t>
      </w:r>
      <w:r w:rsidRPr="00DC247C">
        <w:rPr>
          <w:rFonts w:eastAsia="Times New Roman" w:cs="Arial"/>
          <w:color w:val="000000"/>
          <w:lang w:eastAsia="bg-BG"/>
        </w:rPr>
        <w:t xml:space="preserve">-възела.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може да бъде прилаган при пациенти за лечение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пароксизмална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надкамерна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тахикардия, ако диагнозата е безспорна, не като средство на първи избор, тъй като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 опасен при пациенти с камерна</w:t>
      </w:r>
      <w:r w:rsidRPr="00DC247C">
        <w:rPr>
          <w:rFonts w:eastAsia="Times New Roman" w:cs="Arial"/>
          <w:color w:val="000000"/>
          <w:lang w:val="en-US"/>
        </w:rPr>
        <w:t xml:space="preserve"> </w:t>
      </w:r>
      <w:r w:rsidRPr="00DC247C">
        <w:rPr>
          <w:rFonts w:eastAsia="Times New Roman" w:cs="Arial"/>
          <w:color w:val="000000"/>
          <w:lang w:eastAsia="bg-BG"/>
        </w:rPr>
        <w:t>тахикардия.</w:t>
      </w:r>
    </w:p>
    <w:p w14:paraId="1C533826" w14:textId="77777777" w:rsidR="00DC247C" w:rsidRPr="00395555" w:rsidRDefault="00DC247C" w:rsidP="00395555"/>
    <w:p w14:paraId="7C0CA5EB" w14:textId="71BE8CCF" w:rsidR="00C0049F" w:rsidRDefault="002C50EE" w:rsidP="009F1313">
      <w:pPr>
        <w:pStyle w:val="2"/>
      </w:pPr>
      <w:r>
        <w:lastRenderedPageBreak/>
        <w:t>4.2. Дозировка и начин на приложение</w:t>
      </w:r>
    </w:p>
    <w:p w14:paraId="362CE79F" w14:textId="73BE9381" w:rsidR="00DC247C" w:rsidRDefault="00DC247C" w:rsidP="00DC247C"/>
    <w:p w14:paraId="2B9364F3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 xml:space="preserve">Тъй като потребностите на различните пациенти от сърдечни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гликозиди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варират в широки граници, дозировката винаги трябва да бъде индивидуална в зависимост от заболяването, бъбречната функция, придружаващите заболявания, мускулната телесна маса, възрастта, едновременното приложение на други лекарствени средства и отговора на пациентите.</w:t>
      </w:r>
    </w:p>
    <w:p w14:paraId="35532C44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9489A8" w14:textId="5CBF6359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Общи положения</w:t>
      </w:r>
      <w:r w:rsidRPr="00DC247C">
        <w:rPr>
          <w:rFonts w:eastAsia="Times New Roman" w:cs="Arial"/>
          <w:color w:val="000000"/>
          <w:lang w:eastAsia="bg-BG"/>
        </w:rPr>
        <w:t>:</w:t>
      </w:r>
    </w:p>
    <w:p w14:paraId="6D71C187" w14:textId="77777777" w:rsidR="00DC247C" w:rsidRPr="00DC247C" w:rsidRDefault="00DC247C" w:rsidP="00DC247C">
      <w:pPr>
        <w:pStyle w:val="a3"/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247C">
        <w:rPr>
          <w:rFonts w:eastAsia="Times New Roman" w:cs="Arial"/>
          <w:color w:val="000000"/>
          <w:lang w:eastAsia="bg-BG"/>
        </w:rPr>
        <w:t xml:space="preserve">лечението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предсърдни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аритмии изисква по-високи дози в сравнение с лечението на сърдечна недостатъчност;</w:t>
      </w:r>
    </w:p>
    <w:p w14:paraId="401A4D88" w14:textId="77777777" w:rsidR="00DC247C" w:rsidRPr="00DC247C" w:rsidRDefault="00DC247C" w:rsidP="00DC247C">
      <w:pPr>
        <w:pStyle w:val="a3"/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247C">
        <w:rPr>
          <w:rFonts w:eastAsia="Times New Roman" w:cs="Arial"/>
          <w:color w:val="000000"/>
          <w:lang w:eastAsia="bg-BG"/>
        </w:rPr>
        <w:t xml:space="preserve">дозировката трябва да се основава на мускулната, а не на общата телесна маса, тъй като мастната тъкан се изключва от сферата на разпределение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>;</w:t>
      </w:r>
    </w:p>
    <w:p w14:paraId="4C1D2D0D" w14:textId="77777777" w:rsidR="00DC247C" w:rsidRPr="00DC247C" w:rsidRDefault="00DC247C" w:rsidP="00DC247C">
      <w:pPr>
        <w:pStyle w:val="a3"/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247C">
        <w:rPr>
          <w:rFonts w:eastAsia="Times New Roman" w:cs="Arial"/>
          <w:color w:val="000000"/>
          <w:lang w:eastAsia="bg-BG"/>
        </w:rPr>
        <w:t xml:space="preserve">при възможност бъбречната функция трябва да се оценява чрез мониториране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клирънс;</w:t>
      </w:r>
    </w:p>
    <w:p w14:paraId="165632FA" w14:textId="77777777" w:rsidR="00DC247C" w:rsidRPr="00DC247C" w:rsidRDefault="00DC247C" w:rsidP="00DC247C">
      <w:pPr>
        <w:pStyle w:val="a3"/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247C">
        <w:rPr>
          <w:rFonts w:eastAsia="Times New Roman" w:cs="Arial"/>
          <w:color w:val="000000"/>
          <w:lang w:eastAsia="bg-BG"/>
        </w:rPr>
        <w:t xml:space="preserve">важен фактор при определяне дозировката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>, особено за деца и новородени, е също така възрастта, в допълнение към телесната маса;</w:t>
      </w:r>
    </w:p>
    <w:p w14:paraId="03EE5FD7" w14:textId="77777777" w:rsidR="00DC247C" w:rsidRPr="00DC247C" w:rsidRDefault="00DC247C" w:rsidP="00DC247C">
      <w:pPr>
        <w:pStyle w:val="a3"/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247C">
        <w:rPr>
          <w:rFonts w:eastAsia="Times New Roman" w:cs="Arial"/>
          <w:color w:val="000000"/>
          <w:lang w:eastAsia="bg-BG"/>
        </w:rPr>
        <w:t>придружаващите заболявания и съпътстващото лечение трябва да бъдат съобразени при дозиране на лекарството (вж. точки 4.4 и 4.5).</w:t>
      </w:r>
    </w:p>
    <w:p w14:paraId="7891EAFC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ADF655D" w14:textId="52D60BDC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Възрастни</w:t>
      </w:r>
    </w:p>
    <w:p w14:paraId="17408BB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Лечението може да бъде започнато с поддържаща доза или прилагане на натоварваща доза.</w:t>
      </w:r>
    </w:p>
    <w:p w14:paraId="223C8063" w14:textId="3DF42452" w:rsidR="00DC247C" w:rsidRPr="00DC247C" w:rsidRDefault="00DC247C" w:rsidP="00DC247C">
      <w:pPr>
        <w:pStyle w:val="a3"/>
        <w:numPr>
          <w:ilvl w:val="0"/>
          <w:numId w:val="34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Бърза дигитализация с натоварваща доза (рядко се прилага)</w:t>
      </w:r>
    </w:p>
    <w:p w14:paraId="06162372" w14:textId="0F8C8441" w:rsidR="00DC247C" w:rsidRPr="00DC247C" w:rsidRDefault="00DC247C" w:rsidP="00DC247C">
      <w:pPr>
        <w:pStyle w:val="a3"/>
        <w:numPr>
          <w:ilvl w:val="1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247C">
        <w:rPr>
          <w:rFonts w:eastAsia="Times New Roman" w:cs="Arial"/>
          <w:color w:val="000000"/>
          <w:lang w:eastAsia="bg-BG"/>
        </w:rPr>
        <w:t>Планираната натоварваща доза трябва да бъде приложена в няколко отделни приема за 24 часа. Като първоначална доза се прилага половината от натоварващата доза, а останалото количество се разпределя през 6-8 часа, в зависимост от отговора на пациента, който трябва да бъде държан под медицински контрол.</w:t>
      </w:r>
    </w:p>
    <w:p w14:paraId="1A5A78D9" w14:textId="7AA5D722" w:rsidR="00DC247C" w:rsidRPr="00DC247C" w:rsidRDefault="00DC247C" w:rsidP="00DC247C">
      <w:pPr>
        <w:pStyle w:val="a3"/>
        <w:numPr>
          <w:ilvl w:val="1"/>
          <w:numId w:val="33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Обичайна доза</w:t>
      </w:r>
      <w:r w:rsidRPr="00DC247C">
        <w:rPr>
          <w:rFonts w:eastAsia="Times New Roman" w:cs="Arial"/>
          <w:color w:val="000000"/>
          <w:lang w:eastAsia="bg-BG"/>
        </w:rPr>
        <w:t xml:space="preserve"> за пациент, който никога не е лекуван с дигиталис и има нормална бъбречна функция: прилагат се 0,5-0,75 </w:t>
      </w:r>
      <w:r w:rsidRPr="00DC247C">
        <w:rPr>
          <w:rFonts w:eastAsia="Times New Roman" w:cs="Arial"/>
          <w:color w:val="000000"/>
          <w:lang w:val="en-US"/>
        </w:rPr>
        <w:t xml:space="preserve">mg </w:t>
      </w:r>
      <w:r w:rsidRPr="00DC247C">
        <w:rPr>
          <w:rFonts w:eastAsia="Times New Roman" w:cs="Arial"/>
          <w:color w:val="000000"/>
          <w:lang w:eastAsia="bg-BG"/>
        </w:rPr>
        <w:t xml:space="preserve">(2-3 таблетки) като първа единична доза, след което 0,25 </w:t>
      </w:r>
      <w:r w:rsidRPr="00DC247C">
        <w:rPr>
          <w:rFonts w:eastAsia="Times New Roman" w:cs="Arial"/>
          <w:color w:val="000000"/>
          <w:lang w:val="en-US"/>
        </w:rPr>
        <w:t xml:space="preserve">mg </w:t>
      </w:r>
      <w:r w:rsidRPr="00DC247C">
        <w:rPr>
          <w:rFonts w:eastAsia="Times New Roman" w:cs="Arial"/>
          <w:color w:val="000000"/>
          <w:lang w:eastAsia="bg-BG"/>
        </w:rPr>
        <w:t>(1 таблетка) на всеки 6 часа до постигане на очаквания ефект.</w:t>
      </w:r>
    </w:p>
    <w:p w14:paraId="1BDAEBA9" w14:textId="77777777" w:rsidR="00DC247C" w:rsidRPr="00DC247C" w:rsidRDefault="00DC247C" w:rsidP="00DC247C">
      <w:pPr>
        <w:spacing w:line="240" w:lineRule="auto"/>
        <w:ind w:left="718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Общата натоварваща доза е 1 -1,5 </w:t>
      </w:r>
      <w:r w:rsidRPr="00DC247C">
        <w:rPr>
          <w:rFonts w:eastAsia="Times New Roman" w:cs="Arial"/>
          <w:color w:val="000000"/>
          <w:lang w:val="en-US"/>
        </w:rPr>
        <w:t xml:space="preserve">mg/24 </w:t>
      </w:r>
      <w:r w:rsidRPr="00DC247C">
        <w:rPr>
          <w:rFonts w:eastAsia="Times New Roman" w:cs="Arial"/>
          <w:color w:val="000000"/>
          <w:lang w:eastAsia="bg-BG"/>
        </w:rPr>
        <w:t>часа (4-6 таблетки/24 часа).</w:t>
      </w:r>
    </w:p>
    <w:p w14:paraId="388F692B" w14:textId="3E0C47BD" w:rsidR="00DC247C" w:rsidRPr="00DC247C" w:rsidRDefault="00DC247C" w:rsidP="00DC247C">
      <w:pPr>
        <w:pStyle w:val="a3"/>
        <w:numPr>
          <w:ilvl w:val="1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247C">
        <w:rPr>
          <w:rFonts w:eastAsia="Times New Roman" w:cs="Arial"/>
          <w:color w:val="000000"/>
          <w:lang w:eastAsia="bg-BG"/>
        </w:rPr>
        <w:t xml:space="preserve">Терапевтичното плазмено ниво се движи в границите 0,8-2,0 </w:t>
      </w:r>
      <w:r w:rsidRPr="00DC247C">
        <w:rPr>
          <w:rFonts w:eastAsia="Times New Roman" w:cs="Arial"/>
          <w:color w:val="000000"/>
          <w:lang w:val="en-US"/>
        </w:rPr>
        <w:t xml:space="preserve">ng/ml. </w:t>
      </w:r>
      <w:r w:rsidRPr="00DC247C">
        <w:rPr>
          <w:rFonts w:eastAsia="Times New Roman" w:cs="Arial"/>
          <w:color w:val="000000"/>
          <w:lang w:eastAsia="bg-BG"/>
        </w:rPr>
        <w:t>За мониториране на терапевтичното ниво на лекарството трябва да се изследват кръвни проби, взети най-малко 6 до 8 часа след прилагане на последната доза.</w:t>
      </w:r>
    </w:p>
    <w:p w14:paraId="70C267FE" w14:textId="4902EF88" w:rsidR="00DC247C" w:rsidRDefault="00DC247C" w:rsidP="00DC247C">
      <w:pPr>
        <w:pStyle w:val="a3"/>
        <w:numPr>
          <w:ilvl w:val="1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247C">
        <w:rPr>
          <w:rFonts w:eastAsia="Times New Roman" w:cs="Arial"/>
          <w:color w:val="000000"/>
          <w:lang w:eastAsia="bg-BG"/>
        </w:rPr>
        <w:t xml:space="preserve">В случаите на увредена бъбречна функция, планираната натоварваща доза не трябва да превишава 6-10 </w:t>
      </w:r>
      <w:proofErr w:type="spellStart"/>
      <w:r w:rsidRPr="00DC247C">
        <w:rPr>
          <w:rFonts w:eastAsia="Times New Roman" w:cs="Arial"/>
          <w:color w:val="000000"/>
          <w:lang w:val="en-US"/>
        </w:rPr>
        <w:t>μg</w:t>
      </w:r>
      <w:proofErr w:type="spellEnd"/>
      <w:r w:rsidRPr="00DC247C">
        <w:rPr>
          <w:rFonts w:eastAsia="Times New Roman" w:cs="Arial"/>
          <w:color w:val="000000"/>
          <w:lang w:val="en-US"/>
        </w:rPr>
        <w:t xml:space="preserve">/kg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т.т</w:t>
      </w:r>
      <w:proofErr w:type="spellEnd"/>
      <w:r w:rsidRPr="00DC247C">
        <w:rPr>
          <w:rFonts w:eastAsia="Times New Roman" w:cs="Arial"/>
          <w:color w:val="000000"/>
          <w:lang w:eastAsia="bg-BG"/>
        </w:rPr>
        <w:t>.</w:t>
      </w:r>
    </w:p>
    <w:p w14:paraId="10AC07CE" w14:textId="59F60F1D" w:rsidR="00DC247C" w:rsidRDefault="00DC247C" w:rsidP="00DC247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1C5F27" w14:textId="13177681" w:rsidR="00DC247C" w:rsidRPr="00DC247C" w:rsidRDefault="00DC247C" w:rsidP="00DC247C">
      <w:pPr>
        <w:pStyle w:val="a3"/>
        <w:numPr>
          <w:ilvl w:val="0"/>
          <w:numId w:val="34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Поддържаща доза след бърза дигитализация и бавна дигитализация с поддържаща доза</w:t>
      </w:r>
    </w:p>
    <w:p w14:paraId="2F3B2C08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7B39F3" w14:textId="0F404246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При пациентите с нормална бъбречна функция обичайната дневна доза е 0,125- 0,375 </w:t>
      </w:r>
      <w:r w:rsidRPr="00DC247C">
        <w:rPr>
          <w:rFonts w:eastAsia="Times New Roman" w:cs="Arial"/>
          <w:color w:val="000000"/>
          <w:lang w:val="en-US"/>
        </w:rPr>
        <w:t xml:space="preserve">mg </w:t>
      </w:r>
      <w:r w:rsidRPr="00DC247C">
        <w:rPr>
          <w:rFonts w:eastAsia="Times New Roman" w:cs="Arial"/>
          <w:color w:val="000000"/>
          <w:lang w:eastAsia="bg-BG"/>
        </w:rPr>
        <w:t xml:space="preserve">(1/2 -1 таблетки). В определени случаи, главно при пациенти с голяма мускулна маса може да е необходима дневна доза от 0,5 </w:t>
      </w:r>
      <w:r w:rsidRPr="00DC247C">
        <w:rPr>
          <w:rFonts w:eastAsia="Times New Roman" w:cs="Arial"/>
          <w:color w:val="000000"/>
          <w:lang w:val="en-US"/>
        </w:rPr>
        <w:t xml:space="preserve">mg </w:t>
      </w:r>
      <w:r w:rsidRPr="00DC247C">
        <w:rPr>
          <w:rFonts w:eastAsia="Times New Roman" w:cs="Arial"/>
          <w:color w:val="000000"/>
          <w:lang w:eastAsia="bg-BG"/>
        </w:rPr>
        <w:t>(2 таблетки).</w:t>
      </w:r>
    </w:p>
    <w:p w14:paraId="366B16F0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lastRenderedPageBreak/>
        <w:t>При приложение на поддържаща доза равновесно състояние може да бъде достигнато за 6-7 дни.</w:t>
      </w:r>
    </w:p>
    <w:p w14:paraId="712DA669" w14:textId="0C14F604" w:rsidR="00DC247C" w:rsidRDefault="00DC247C" w:rsidP="00DC247C"/>
    <w:p w14:paraId="59EA24C5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Както натоварващата, така и поддържащата доза трябва да се редуцират в случаите на увредена бъбречна функция, хипокалиемия,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хипотиреоидизъм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малка мускулна маса.</w:t>
      </w:r>
    </w:p>
    <w:p w14:paraId="100264A4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9170C9" w14:textId="0E9F4AB9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Пациенти в напреднала възраст</w:t>
      </w:r>
      <w:r w:rsidRPr="00DC247C">
        <w:rPr>
          <w:rFonts w:eastAsia="Times New Roman" w:cs="Arial"/>
          <w:color w:val="000000"/>
          <w:lang w:eastAsia="bg-BG"/>
        </w:rPr>
        <w:t xml:space="preserve"> също изискват намаляване на натоварващата и поддържащата дози. Поддържаща доза от 0,125-0,25 </w:t>
      </w:r>
      <w:r w:rsidRPr="00DC247C">
        <w:rPr>
          <w:rFonts w:eastAsia="Times New Roman" w:cs="Arial"/>
          <w:color w:val="000000"/>
          <w:lang w:val="en-US"/>
        </w:rPr>
        <w:t xml:space="preserve">mg </w:t>
      </w:r>
      <w:r w:rsidRPr="00DC247C">
        <w:rPr>
          <w:rFonts w:eastAsia="Times New Roman" w:cs="Arial"/>
          <w:color w:val="000000"/>
          <w:lang w:eastAsia="bg-BG"/>
        </w:rPr>
        <w:t>дневно обикновено осигурява достатъчен терапевтичен ефект.</w:t>
      </w:r>
    </w:p>
    <w:p w14:paraId="67359B9A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A092FC" w14:textId="79D47912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Деца</w:t>
      </w:r>
    </w:p>
    <w:p w14:paraId="6F33775B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 xml:space="preserve">Определянето на дозата при деца също изисква индивидуално титриране. Поради големите разлики в индивидуалните нужди от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гликозиди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>, указаните по-долу дози са представени само за да посочат средните потребности на дадените възрастови групи.</w:t>
      </w:r>
    </w:p>
    <w:p w14:paraId="71E3B93D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76C589" w14:textId="46DB9B5A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Преждевременно родени и недоносени бебета са особено чувствителни към дигиталис, докато, от друга страна, при деца на възраст от 1 месец до 2 години може да се изискват по-високи дози, отколкото при по-големи деца.</w:t>
      </w:r>
    </w:p>
    <w:p w14:paraId="3DEC3E7C" w14:textId="77777777" w:rsidR="00DC247C" w:rsidRDefault="00DC247C" w:rsidP="00DC247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B84ECC3" w14:textId="2846C47A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 xml:space="preserve">За деца с нормална бъбречна функция и нормална мускулна маса обичайната доза на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таблетки е както следва:</w:t>
      </w:r>
    </w:p>
    <w:p w14:paraId="4B5573C2" w14:textId="77777777" w:rsidR="00DC247C" w:rsidRDefault="00DC247C" w:rsidP="00DC247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57BE66F" w14:textId="4846486E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Натоварваща доза:</w:t>
      </w:r>
    </w:p>
    <w:p w14:paraId="6D43F1E2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между 2 и 5 години: 30-40 </w:t>
      </w:r>
      <w:proofErr w:type="spellStart"/>
      <w:r w:rsidRPr="00DC247C">
        <w:rPr>
          <w:rFonts w:eastAsia="Times New Roman" w:cs="Arial"/>
          <w:color w:val="000000"/>
          <w:lang w:val="en-US"/>
        </w:rPr>
        <w:t>μg</w:t>
      </w:r>
      <w:proofErr w:type="spellEnd"/>
      <w:r w:rsidRPr="00DC247C">
        <w:rPr>
          <w:rFonts w:eastAsia="Times New Roman" w:cs="Arial"/>
          <w:color w:val="000000"/>
          <w:lang w:val="en-US"/>
        </w:rPr>
        <w:t xml:space="preserve">/kg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т.т</w:t>
      </w:r>
      <w:proofErr w:type="spellEnd"/>
      <w:r w:rsidRPr="00DC247C">
        <w:rPr>
          <w:rFonts w:eastAsia="Times New Roman" w:cs="Arial"/>
          <w:color w:val="000000"/>
          <w:lang w:eastAsia="bg-BG"/>
        </w:rPr>
        <w:t>.</w:t>
      </w:r>
    </w:p>
    <w:p w14:paraId="62A368D4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между 5 и 10 години: 20-35 </w:t>
      </w:r>
      <w:proofErr w:type="spellStart"/>
      <w:r w:rsidRPr="00DC247C">
        <w:rPr>
          <w:rFonts w:eastAsia="Times New Roman" w:cs="Arial"/>
          <w:color w:val="000000"/>
          <w:lang w:val="en-US"/>
        </w:rPr>
        <w:t>μg</w:t>
      </w:r>
      <w:proofErr w:type="spellEnd"/>
      <w:r w:rsidRPr="00DC247C">
        <w:rPr>
          <w:rFonts w:eastAsia="Times New Roman" w:cs="Arial"/>
          <w:color w:val="000000"/>
          <w:lang w:val="en-US"/>
        </w:rPr>
        <w:t xml:space="preserve">/kg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т.т</w:t>
      </w:r>
      <w:proofErr w:type="spellEnd"/>
      <w:r w:rsidRPr="00DC247C">
        <w:rPr>
          <w:rFonts w:eastAsia="Times New Roman" w:cs="Arial"/>
          <w:color w:val="000000"/>
          <w:lang w:eastAsia="bg-BG"/>
        </w:rPr>
        <w:t>.</w:t>
      </w:r>
    </w:p>
    <w:p w14:paraId="31F9856D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над 10-годишна възраст може да се приложи дозата за възрастни, съобразена с телесното тегло (10-15 </w:t>
      </w:r>
      <w:proofErr w:type="spellStart"/>
      <w:r w:rsidRPr="00DC247C">
        <w:rPr>
          <w:rFonts w:eastAsia="Times New Roman" w:cs="Arial"/>
          <w:color w:val="000000"/>
          <w:lang w:val="en-US"/>
        </w:rPr>
        <w:t>μg</w:t>
      </w:r>
      <w:proofErr w:type="spellEnd"/>
      <w:r w:rsidRPr="00DC247C">
        <w:rPr>
          <w:rFonts w:eastAsia="Times New Roman" w:cs="Arial"/>
          <w:color w:val="000000"/>
          <w:lang w:val="en-US"/>
        </w:rPr>
        <w:t xml:space="preserve">/kg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т.т</w:t>
      </w:r>
      <w:proofErr w:type="spellEnd"/>
      <w:r w:rsidRPr="00DC247C">
        <w:rPr>
          <w:rFonts w:eastAsia="Times New Roman" w:cs="Arial"/>
          <w:color w:val="000000"/>
          <w:lang w:eastAsia="bg-BG"/>
        </w:rPr>
        <w:t>.).</w:t>
      </w:r>
    </w:p>
    <w:p w14:paraId="66ACC29D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807C77" w14:textId="2B25DD6F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Препоръчва се приложението на около половината от натоварващата доза като начална единична доза, след което другата половина се разпределя на части през 6- 8 часа в зависимост от терапевтичния отговор.</w:t>
      </w:r>
    </w:p>
    <w:p w14:paraId="48074C91" w14:textId="77777777" w:rsidR="00DC247C" w:rsidRDefault="00DC247C" w:rsidP="00DC247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33C136" w14:textId="0CB2F255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Поддържаща доза:</w:t>
      </w:r>
      <w:r w:rsidRPr="00DC247C">
        <w:rPr>
          <w:rFonts w:eastAsia="Times New Roman" w:cs="Arial"/>
          <w:color w:val="000000"/>
          <w:lang w:eastAsia="bg-BG"/>
        </w:rPr>
        <w:t xml:space="preserve"> обикновено 25-35 % от натоварващата доза.</w:t>
      </w:r>
    </w:p>
    <w:p w14:paraId="7488289A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таблетки не могат да се делят точно на части, затова при новородени и деца трябва да се използват по възможност други лекарствени форми (напр. капки).</w:t>
      </w:r>
    </w:p>
    <w:p w14:paraId="1B2EB965" w14:textId="77777777" w:rsidR="00DC247C" w:rsidRPr="00DC247C" w:rsidRDefault="00DC247C" w:rsidP="00DC247C"/>
    <w:p w14:paraId="62B13D0B" w14:textId="5B113E86" w:rsidR="00395555" w:rsidRDefault="002C50EE" w:rsidP="008A6AF2">
      <w:pPr>
        <w:pStyle w:val="2"/>
      </w:pPr>
      <w:r>
        <w:t>4.3. Противопоказания</w:t>
      </w:r>
    </w:p>
    <w:p w14:paraId="3F989171" w14:textId="5B107211" w:rsidR="00DC247C" w:rsidRDefault="00DC247C" w:rsidP="00DC247C"/>
    <w:p w14:paraId="390E426B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Свръхчувствителност към активното вещество или някое от помощните вещества.</w:t>
      </w:r>
    </w:p>
    <w:p w14:paraId="7316CB2D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Тежки камерни аритмии (камерно мъждене или камерна тахикардия).</w:t>
      </w:r>
    </w:p>
    <w:p w14:paraId="4C7D620D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Тежка брадикардия.</w:t>
      </w:r>
    </w:p>
    <w:p w14:paraId="01276B5C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Хипертрофична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обструкгивна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кардиомиопатия (ХОКМП).</w:t>
      </w:r>
    </w:p>
    <w:p w14:paraId="604E6BB5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Синдром на </w:t>
      </w:r>
      <w:r w:rsidRPr="00DC247C">
        <w:rPr>
          <w:rFonts w:eastAsia="Times New Roman" w:cs="Arial"/>
          <w:color w:val="000000"/>
          <w:lang w:val="en-US"/>
        </w:rPr>
        <w:t xml:space="preserve">Wolf-Parkinson-White </w:t>
      </w:r>
      <w:r w:rsidRPr="00DC247C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мъждене (дигиталис може да предизвика камерна тахикардия и камерно мъждене).</w:t>
      </w:r>
    </w:p>
    <w:p w14:paraId="3B86DCF1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Хроничен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констриктивен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перикардит.</w:t>
      </w:r>
    </w:p>
    <w:p w14:paraId="3FD6D4DB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val="en-US"/>
        </w:rPr>
        <w:t>AV</w:t>
      </w:r>
      <w:r w:rsidRPr="00DC247C">
        <w:rPr>
          <w:rFonts w:eastAsia="Times New Roman" w:cs="Arial"/>
          <w:color w:val="000000"/>
          <w:lang w:eastAsia="bg-BG"/>
        </w:rPr>
        <w:t>-блок II и III степен.</w:t>
      </w:r>
    </w:p>
    <w:p w14:paraId="20F4E419" w14:textId="25ADAB9A" w:rsidR="00DC247C" w:rsidRPr="00DC247C" w:rsidRDefault="00DC247C" w:rsidP="00DC247C">
      <w:pPr>
        <w:rPr>
          <w:rFonts w:eastAsia="Times New Roman" w:cs="Arial"/>
          <w:color w:val="000000"/>
          <w:lang w:eastAsia="bg-BG"/>
        </w:rPr>
      </w:pPr>
      <w:r w:rsidRPr="00DC247C">
        <w:rPr>
          <w:rFonts w:eastAsia="Times New Roman" w:cs="Arial"/>
          <w:color w:val="000000"/>
          <w:lang w:eastAsia="bg-BG"/>
        </w:rPr>
        <w:t xml:space="preserve">В случаите на свръхчувствителен синус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каротикус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или при синдром на “болния” синусов възел,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не трябва да се прилага преди имплантиране на пейсмейкър, тъй като в </w:t>
      </w:r>
      <w:r w:rsidRPr="00DC247C">
        <w:rPr>
          <w:rFonts w:eastAsia="Times New Roman" w:cs="Arial"/>
          <w:color w:val="000000"/>
          <w:lang w:eastAsia="bg-BG"/>
        </w:rPr>
        <w:lastRenderedPageBreak/>
        <w:t xml:space="preserve">тези случаи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дигиталисовите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гликозиди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могат да индуцират тежка синусова брадикардия или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синуатриален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блок.</w:t>
      </w:r>
    </w:p>
    <w:p w14:paraId="129D0538" w14:textId="77777777" w:rsidR="00DC247C" w:rsidRPr="00DC247C" w:rsidRDefault="00DC247C" w:rsidP="00DC247C"/>
    <w:p w14:paraId="5A4AC413" w14:textId="0DCADF0D" w:rsidR="00395555" w:rsidRDefault="002C50EE" w:rsidP="008A6AF2">
      <w:pPr>
        <w:pStyle w:val="2"/>
      </w:pPr>
      <w:r>
        <w:t>4.4. Специални предупреждения и предпазни мерки при употреба</w:t>
      </w:r>
    </w:p>
    <w:p w14:paraId="3ADBA587" w14:textId="176A018A" w:rsidR="00DC247C" w:rsidRDefault="00DC247C" w:rsidP="00DC247C"/>
    <w:p w14:paraId="2E2B158B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При остър миокарден инфаркт или тежки белодробни заболявания, лечението с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трябва да се прилага с особено внимание, тъй като тези пациенти са свръхчувствителни към аритмиите, които могат да провокират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дигиталис©вите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лекарства.</w:t>
      </w:r>
    </w:p>
    <w:p w14:paraId="45E63FFA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трябва да се преустанови два дни преди планово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електрокардиоверзио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в противен случай може да настъпи резистентно на лечение камерно мъждене. В случай че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електрокардиоверзио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 неизбежно при дигитализиран пациент, препоръчва се прилагането на нисък волтаж.</w:t>
      </w:r>
    </w:p>
    <w:p w14:paraId="2D31226D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При провеждане на тест с натоварване може да има фалшиво повлияване на </w:t>
      </w:r>
      <w:r w:rsidRPr="00DC247C">
        <w:rPr>
          <w:rFonts w:eastAsia="Times New Roman" w:cs="Arial"/>
          <w:color w:val="000000"/>
          <w:lang w:val="en-US"/>
        </w:rPr>
        <w:t xml:space="preserve">ST-T </w:t>
      </w:r>
      <w:r w:rsidRPr="00DC247C">
        <w:rPr>
          <w:rFonts w:eastAsia="Times New Roman" w:cs="Arial"/>
          <w:color w:val="000000"/>
          <w:lang w:eastAsia="bg-BG"/>
        </w:rPr>
        <w:t>при пациенти лекувани с дигиталис.</w:t>
      </w:r>
    </w:p>
    <w:p w14:paraId="510289D0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Препоръчва се в хода на лечението с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редовно да се проследяват нивата на серумните електролити и бъбречната функция.</w:t>
      </w:r>
    </w:p>
    <w:p w14:paraId="696DBEB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Синусовата тахикардия не е показание за приложение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>, освен в случаите, в които е асоциирана със сърдечна недостатъчност.</w:t>
      </w:r>
    </w:p>
    <w:p w14:paraId="323A3744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color w:val="000000"/>
          <w:lang w:eastAsia="bg-BG"/>
        </w:rPr>
        <w:t>Дигиталисовите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гликозиди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са по-слабо ефективни при високодебитна недостатъчност (напр. при сърдечна недостатъчност причинена от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артериовенозна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фистула, анемия, инфекция или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хипертиреоидизъм</w:t>
      </w:r>
      <w:proofErr w:type="spellEnd"/>
      <w:r w:rsidRPr="00DC247C">
        <w:rPr>
          <w:rFonts w:eastAsia="Times New Roman" w:cs="Arial"/>
          <w:color w:val="000000"/>
          <w:lang w:eastAsia="bg-BG"/>
        </w:rPr>
        <w:t>).</w:t>
      </w:r>
    </w:p>
    <w:p w14:paraId="7E66FBCC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color w:val="000000"/>
          <w:lang w:eastAsia="bg-BG"/>
        </w:rPr>
        <w:t>Предсърдните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аритмии, свързани с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хипертиреоидизъм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обичайно са резистентни на лечение с дигиталис, докато в случаите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хипотиреоидизъм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са необходими по- ниски от обичайните дози.</w:t>
      </w:r>
    </w:p>
    <w:p w14:paraId="4FD6C7FB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color w:val="000000"/>
          <w:lang w:eastAsia="bg-BG"/>
        </w:rPr>
        <w:t>Хиперкалциемията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хипокалиемията 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хипомагнезиемията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могат да допринесат за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дигиталисова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интоксикация, ето защо нивата на тези йони трябва да достигнат нормални стойности преди започване на лечението с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>.</w:t>
      </w:r>
    </w:p>
    <w:p w14:paraId="7DC2C039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Хипокалиемията може да доведе до неефективност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>.</w:t>
      </w:r>
    </w:p>
    <w:p w14:paraId="335534F5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В случаите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лактозна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непоносимост трябва да се вземе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впредвид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че всяка таблетка съдържа също така 75,25 </w:t>
      </w:r>
      <w:r w:rsidRPr="00DC247C">
        <w:rPr>
          <w:rFonts w:eastAsia="Times New Roman" w:cs="Arial"/>
          <w:color w:val="000000"/>
          <w:lang w:val="en-US"/>
        </w:rPr>
        <w:t xml:space="preserve">mg </w:t>
      </w:r>
      <w:r w:rsidRPr="00DC247C">
        <w:rPr>
          <w:rFonts w:eastAsia="Times New Roman" w:cs="Arial"/>
          <w:color w:val="000000"/>
          <w:lang w:eastAsia="bg-BG"/>
        </w:rPr>
        <w:t xml:space="preserve">лактоза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DC247C">
        <w:rPr>
          <w:rFonts w:eastAsia="Times New Roman" w:cs="Arial"/>
          <w:color w:val="000000"/>
          <w:lang w:eastAsia="bg-BG"/>
        </w:rPr>
        <w:t>.</w:t>
      </w:r>
    </w:p>
    <w:p w14:paraId="58C9C846" w14:textId="77777777" w:rsidR="00DC247C" w:rsidRPr="00DC247C" w:rsidRDefault="00DC247C" w:rsidP="00DC247C"/>
    <w:p w14:paraId="1244F76A" w14:textId="49EA85DD" w:rsidR="00395555" w:rsidRDefault="002C50EE" w:rsidP="008A6AF2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451E41A2" w14:textId="34C8AF3B" w:rsidR="00DC247C" w:rsidRDefault="00DC247C" w:rsidP="00DC247C"/>
    <w:p w14:paraId="31F8A0BA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 xml:space="preserve">Кортикостероиди,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бримкови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диуретици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тиазиди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лаксативи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амфотерицин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В, </w:t>
      </w:r>
      <w:r w:rsidRPr="00DC247C">
        <w:rPr>
          <w:rFonts w:eastAsia="Times New Roman" w:cs="Arial"/>
          <w:i/>
          <w:iCs/>
          <w:color w:val="000000"/>
          <w:lang w:val="en-US"/>
        </w:rPr>
        <w:t>β</w:t>
      </w:r>
      <w:r w:rsidRPr="00DC247C">
        <w:rPr>
          <w:rFonts w:eastAsia="Times New Roman" w:cs="Arial"/>
          <w:i/>
          <w:iCs/>
          <w:color w:val="000000"/>
          <w:vertAlign w:val="subscript"/>
          <w:lang w:val="en-US"/>
        </w:rPr>
        <w:t>2</w:t>
      </w:r>
      <w:r w:rsidRPr="00DC247C">
        <w:rPr>
          <w:rFonts w:eastAsia="Times New Roman" w:cs="Arial"/>
          <w:i/>
          <w:iCs/>
          <w:color w:val="000000"/>
          <w:lang w:eastAsia="bg-BG"/>
        </w:rPr>
        <w:t xml:space="preserve">-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агонисти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(напр.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салбутамол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>)</w:t>
      </w:r>
      <w:r w:rsidRPr="00DC247C">
        <w:rPr>
          <w:rFonts w:eastAsia="Times New Roman" w:cs="Arial"/>
          <w:color w:val="000000"/>
          <w:lang w:eastAsia="bg-BG"/>
        </w:rPr>
        <w:t xml:space="preserve"> могат да предизвикат хипокалиемия, и по този начин могат да усилят токсичността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>. Преди дигитализация серумното ниво на калия трябва да бъде нормализирано.</w:t>
      </w:r>
    </w:p>
    <w:p w14:paraId="2A3ADB95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Калций,</w:t>
      </w:r>
      <w:r w:rsidRPr="00DC247C">
        <w:rPr>
          <w:rFonts w:eastAsia="Times New Roman" w:cs="Arial"/>
          <w:color w:val="000000"/>
          <w:lang w:eastAsia="bg-BG"/>
        </w:rPr>
        <w:t xml:space="preserve"> особено след интравенозно приложение, може да причини тежка аритмия при пациенти приемащи дигиталис.</w:t>
      </w:r>
    </w:p>
    <w:p w14:paraId="2F06BF11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Хинидин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калциевите антагонисти,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амиодарон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пропафенон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флекаинид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индометацин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итраконазол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и определени антибиотици (напр.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макролиди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(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еритромицин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тетрациклин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>))</w:t>
      </w:r>
      <w:r w:rsidRPr="00DC247C">
        <w:rPr>
          <w:rFonts w:eastAsia="Times New Roman" w:cs="Arial"/>
          <w:color w:val="000000"/>
          <w:lang w:eastAsia="bg-BG"/>
        </w:rPr>
        <w:t xml:space="preserve"> могат да повишат серумното ниво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при дигитализирани пациенти и в следствие на това да се увеличи риска от интоксикация.</w:t>
      </w:r>
    </w:p>
    <w:p w14:paraId="30DCC425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Едновременното приложение със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симпатикомиметици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увеличава честотата на камерни аритмии, тъй като и двата продукта повишават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ектопичната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електрическа активност.</w:t>
      </w:r>
    </w:p>
    <w:p w14:paraId="1D09C2D6" w14:textId="77777777" w:rsidR="00DC247C" w:rsidRPr="00DC247C" w:rsidRDefault="00DC247C" w:rsidP="00DC247C">
      <w:pPr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Лекарства покачващи нивото на серумния калий </w:t>
      </w:r>
      <w:r w:rsidRPr="00DC247C">
        <w:rPr>
          <w:rFonts w:eastAsia="Times New Roman" w:cs="Arial"/>
          <w:i/>
          <w:iCs/>
          <w:color w:val="000000"/>
          <w:lang w:eastAsia="bg-BG"/>
        </w:rPr>
        <w:t xml:space="preserve">(напр.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спиронолактон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амилорид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триамтерен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натриеви соли,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сукцинилхолин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>)</w:t>
      </w:r>
      <w:r w:rsidRPr="00DC247C">
        <w:rPr>
          <w:rFonts w:eastAsia="Times New Roman" w:cs="Arial"/>
          <w:color w:val="000000"/>
          <w:lang w:eastAsia="bg-BG"/>
        </w:rPr>
        <w:t xml:space="preserve"> могат да провокират внезапно</w:t>
      </w:r>
      <w:r w:rsidRPr="00DC247C">
        <w:rPr>
          <w:rFonts w:eastAsia="Times New Roman" w:cs="Arial"/>
          <w:color w:val="000000"/>
          <w:lang w:eastAsia="bg-BG"/>
        </w:rPr>
        <w:t xml:space="preserve"> </w:t>
      </w:r>
      <w:r w:rsidRPr="00DC247C">
        <w:rPr>
          <w:rFonts w:eastAsia="Times New Roman" w:cs="Arial"/>
          <w:color w:val="000000"/>
          <w:lang w:eastAsia="bg-BG"/>
        </w:rPr>
        <w:t>излизане на калий от мускулите, което може да доведе до аритмия при дигитализирани пациенти.</w:t>
      </w:r>
    </w:p>
    <w:p w14:paraId="1A845A1F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lastRenderedPageBreak/>
        <w:t xml:space="preserve">Едновременното приложение на </w:t>
      </w:r>
      <w:r w:rsidRPr="00DC247C">
        <w:rPr>
          <w:rFonts w:eastAsia="Times New Roman" w:cs="Arial"/>
          <w:i/>
          <w:iCs/>
          <w:color w:val="000000"/>
          <w:lang w:eastAsia="bg-BG"/>
        </w:rPr>
        <w:t>бета-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блокери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или </w:t>
      </w:r>
      <w:r w:rsidRPr="00DC247C">
        <w:rPr>
          <w:rFonts w:eastAsia="Times New Roman" w:cs="Arial"/>
          <w:i/>
          <w:iCs/>
          <w:color w:val="000000"/>
          <w:lang w:eastAsia="bg-BG"/>
        </w:rPr>
        <w:t>калциеви антагонисти</w:t>
      </w:r>
      <w:r w:rsidRPr="00DC247C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може да провокира сърдечен арест, тъй като ефектите им на нивото на </w:t>
      </w:r>
      <w:r w:rsidRPr="00DC247C">
        <w:rPr>
          <w:rFonts w:eastAsia="Times New Roman" w:cs="Arial"/>
          <w:color w:val="000000"/>
          <w:lang w:val="en-US"/>
        </w:rPr>
        <w:t xml:space="preserve">AV </w:t>
      </w:r>
      <w:r w:rsidRPr="00DC247C">
        <w:rPr>
          <w:rFonts w:eastAsia="Times New Roman" w:cs="Arial"/>
          <w:color w:val="000000"/>
          <w:lang w:eastAsia="bg-BG"/>
        </w:rPr>
        <w:t>възела са адитивни.</w:t>
      </w:r>
    </w:p>
    <w:p w14:paraId="62820A9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Фенитоин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може да намали равновесната концентрация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>.</w:t>
      </w:r>
    </w:p>
    <w:p w14:paraId="31DD0698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Антиациди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каолин-пектин,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сулфасалазин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неомицин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холестирамин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, някои противотуморни средства,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метоклопрамид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намаляват абсорбцията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могат да доведат до неефективни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дигоксинови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нива.</w:t>
      </w:r>
    </w:p>
    <w:p w14:paraId="0752B07E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Посредством намаляване на чревния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мотилитет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пропантелин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и </w:t>
      </w: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дифеноксилат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DC247C">
        <w:rPr>
          <w:rFonts w:eastAsia="Times New Roman" w:cs="Arial"/>
          <w:color w:val="000000"/>
          <w:lang w:eastAsia="bg-BG"/>
        </w:rPr>
        <w:t xml:space="preserve">повишават абсорбцията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може да настъпи интоксикация.</w:t>
      </w:r>
    </w:p>
    <w:p w14:paraId="11F739F0" w14:textId="0A4978E4" w:rsidR="00DC247C" w:rsidRPr="00DC247C" w:rsidRDefault="00DC247C" w:rsidP="00DC247C"/>
    <w:p w14:paraId="6EADE4D6" w14:textId="60FC6758" w:rsidR="00395555" w:rsidRDefault="002C50EE" w:rsidP="008A6AF2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4E157508" w14:textId="28379A7C" w:rsidR="00DC247C" w:rsidRDefault="00DC247C" w:rsidP="00DC247C"/>
    <w:p w14:paraId="092BF923" w14:textId="77777777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t xml:space="preserve">Не е известно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да притежава мутагенни, тератогенни или карциногенни ефекти. </w:t>
      </w:r>
      <w:r w:rsidRPr="00DC247C">
        <w:rPr>
          <w:i/>
          <w:iCs/>
          <w:sz w:val="26"/>
          <w:szCs w:val="26"/>
          <w:lang w:eastAsia="bg-BG"/>
        </w:rPr>
        <w:t>л.</w:t>
      </w:r>
    </w:p>
    <w:p w14:paraId="086E62E5" w14:textId="77777777" w:rsidR="00DC247C" w:rsidRDefault="00DC247C" w:rsidP="00DC247C">
      <w:pPr>
        <w:rPr>
          <w:lang w:eastAsia="bg-BG"/>
        </w:rPr>
      </w:pPr>
    </w:p>
    <w:p w14:paraId="77015A14" w14:textId="4F40EA6E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t xml:space="preserve">Няма налична информация относно ефекта на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върху фертилността при хора.</w:t>
      </w:r>
    </w:p>
    <w:p w14:paraId="2EF20DA6" w14:textId="77777777" w:rsidR="00DC247C" w:rsidRDefault="00DC247C" w:rsidP="00DC247C">
      <w:pPr>
        <w:rPr>
          <w:lang w:eastAsia="bg-BG"/>
        </w:rPr>
      </w:pPr>
    </w:p>
    <w:p w14:paraId="09E9A21A" w14:textId="0DD49202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t xml:space="preserve">Употребата на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при бременност не е противопоказана, въпреки че дозировката и контролът може да са по-трудно предвидими при бременни жени, отколкото при жени, които не са бременни, като при някои бременни жени се изисква по-висока доза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по време на бременността. Както при всички лекарства, употребата трябва да бъде обсъждана, когато очакваната клинична полза от лечението на майката превишава всички възможни рискове за развитието на плода.</w:t>
      </w:r>
    </w:p>
    <w:p w14:paraId="54D9FAAC" w14:textId="77777777" w:rsidR="00DC247C" w:rsidRDefault="00DC247C" w:rsidP="00DC247C">
      <w:pPr>
        <w:rPr>
          <w:lang w:eastAsia="bg-BG"/>
        </w:rPr>
      </w:pPr>
    </w:p>
    <w:p w14:paraId="62FC78EA" w14:textId="1702789E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t xml:space="preserve">Въпреки широката </w:t>
      </w:r>
      <w:proofErr w:type="spellStart"/>
      <w:r w:rsidRPr="00DC247C">
        <w:rPr>
          <w:lang w:eastAsia="bg-BG"/>
        </w:rPr>
        <w:t>пренатална</w:t>
      </w:r>
      <w:proofErr w:type="spellEnd"/>
      <w:r w:rsidRPr="00DC247C">
        <w:rPr>
          <w:lang w:eastAsia="bg-BG"/>
        </w:rPr>
        <w:t xml:space="preserve"> експозиция към </w:t>
      </w:r>
      <w:proofErr w:type="spellStart"/>
      <w:r w:rsidRPr="00DC247C">
        <w:rPr>
          <w:lang w:eastAsia="bg-BG"/>
        </w:rPr>
        <w:t>дигиталисови</w:t>
      </w:r>
      <w:proofErr w:type="spellEnd"/>
      <w:r w:rsidRPr="00DC247C">
        <w:rPr>
          <w:lang w:eastAsia="bg-BG"/>
        </w:rPr>
        <w:t xml:space="preserve"> продукти, не са наблюдавани значителни нежелани ефекти при плода или новороденото, когато серумните концентрации на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при майката са поддържани в нормални граници. Въпреки предположенията, че прекият ефект на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върху </w:t>
      </w:r>
      <w:proofErr w:type="spellStart"/>
      <w:r w:rsidRPr="00DC247C">
        <w:rPr>
          <w:lang w:eastAsia="bg-BG"/>
        </w:rPr>
        <w:t>миометриума</w:t>
      </w:r>
      <w:proofErr w:type="spellEnd"/>
      <w:r w:rsidRPr="00DC247C">
        <w:rPr>
          <w:lang w:eastAsia="bg-BG"/>
        </w:rPr>
        <w:t xml:space="preserve"> може да доведе до </w:t>
      </w:r>
      <w:proofErr w:type="spellStart"/>
      <w:r w:rsidRPr="00DC247C">
        <w:rPr>
          <w:lang w:eastAsia="bg-BG"/>
        </w:rPr>
        <w:t>преждевремнно</w:t>
      </w:r>
      <w:proofErr w:type="spellEnd"/>
      <w:r w:rsidRPr="00DC247C">
        <w:rPr>
          <w:lang w:eastAsia="bg-BG"/>
        </w:rPr>
        <w:t xml:space="preserve"> раждане и ниско тегло при раждане, приносът на подлежащо сърдечно заболяване не може да бъде изключен.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, прилаган на майката, е използван успешно за лечение на фетална тахикардия и </w:t>
      </w:r>
      <w:proofErr w:type="spellStart"/>
      <w:r w:rsidRPr="00DC247C">
        <w:rPr>
          <w:lang w:eastAsia="bg-BG"/>
        </w:rPr>
        <w:t>конгестивна</w:t>
      </w:r>
      <w:proofErr w:type="spellEnd"/>
      <w:r w:rsidRPr="00DC247C">
        <w:rPr>
          <w:lang w:eastAsia="bg-BG"/>
        </w:rPr>
        <w:t xml:space="preserve"> сърдечна недостатъчност.</w:t>
      </w:r>
    </w:p>
    <w:p w14:paraId="47704220" w14:textId="77777777" w:rsidR="00DC247C" w:rsidRDefault="00DC247C" w:rsidP="00DC247C">
      <w:pPr>
        <w:rPr>
          <w:lang w:eastAsia="bg-BG"/>
        </w:rPr>
      </w:pPr>
    </w:p>
    <w:p w14:paraId="0AB78F10" w14:textId="497277F1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t xml:space="preserve">Нежелани фетални ефекти са съобщавани при майки с </w:t>
      </w:r>
      <w:proofErr w:type="spellStart"/>
      <w:r w:rsidRPr="00DC247C">
        <w:rPr>
          <w:lang w:eastAsia="bg-BG"/>
        </w:rPr>
        <w:t>дигиталисова</w:t>
      </w:r>
      <w:proofErr w:type="spellEnd"/>
      <w:r w:rsidRPr="00DC247C">
        <w:rPr>
          <w:lang w:eastAsia="bg-BG"/>
        </w:rPr>
        <w:t xml:space="preserve"> токсичност.</w:t>
      </w:r>
    </w:p>
    <w:p w14:paraId="447ECE6E" w14:textId="77777777" w:rsidR="00DC247C" w:rsidRDefault="00DC247C" w:rsidP="00DC247C">
      <w:pPr>
        <w:rPr>
          <w:lang w:eastAsia="bg-BG"/>
        </w:rPr>
      </w:pPr>
    </w:p>
    <w:p w14:paraId="63F2FB37" w14:textId="77777777" w:rsidR="00DC247C" w:rsidRPr="00DC247C" w:rsidRDefault="00DC247C" w:rsidP="00DC247C">
      <w:r w:rsidRPr="00DC247C">
        <w:rPr>
          <w:lang w:eastAsia="bg-BG"/>
        </w:rPr>
        <w:t xml:space="preserve">Въпреки че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се </w:t>
      </w:r>
      <w:proofErr w:type="spellStart"/>
      <w:r w:rsidRPr="00DC247C">
        <w:rPr>
          <w:lang w:eastAsia="bg-BG"/>
        </w:rPr>
        <w:t>екскретира</w:t>
      </w:r>
      <w:proofErr w:type="spellEnd"/>
      <w:r w:rsidRPr="00DC247C">
        <w:rPr>
          <w:lang w:eastAsia="bg-BG"/>
        </w:rPr>
        <w:t xml:space="preserve"> в </w:t>
      </w:r>
      <w:r w:rsidRPr="00DC247C">
        <w:t>майчин</w:t>
      </w:r>
      <w:r w:rsidRPr="00DC247C">
        <w:rPr>
          <w:lang w:eastAsia="bg-BG"/>
        </w:rPr>
        <w:t>ото мляко, количествата са незначителни и кърменето не е противопоказано.</w:t>
      </w:r>
    </w:p>
    <w:p w14:paraId="782E5412" w14:textId="7B9C4D8F" w:rsidR="00DC247C" w:rsidRPr="00DC247C" w:rsidRDefault="00DC247C" w:rsidP="00DC247C"/>
    <w:p w14:paraId="5766770B" w14:textId="30BAC863" w:rsidR="00395555" w:rsidRDefault="002C50EE" w:rsidP="008A6AF2">
      <w:pPr>
        <w:pStyle w:val="2"/>
      </w:pPr>
      <w:r>
        <w:t>4.7. Ефекти върху способността за шофиране и работа с машини</w:t>
      </w:r>
    </w:p>
    <w:p w14:paraId="08A643BA" w14:textId="6D80EE2A" w:rsidR="00DC247C" w:rsidRDefault="00DC247C" w:rsidP="00DC247C"/>
    <w:p w14:paraId="24BA6EF3" w14:textId="77777777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t xml:space="preserve">Няма данни за какъвто и да било ефект на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върху способността за шофиране и работа с машини (необходимо е да се вземе </w:t>
      </w:r>
      <w:proofErr w:type="spellStart"/>
      <w:r w:rsidRPr="00DC247C">
        <w:rPr>
          <w:lang w:eastAsia="bg-BG"/>
        </w:rPr>
        <w:t>впредвид</w:t>
      </w:r>
      <w:proofErr w:type="spellEnd"/>
      <w:r w:rsidRPr="00DC247C">
        <w:rPr>
          <w:lang w:eastAsia="bg-BG"/>
        </w:rPr>
        <w:t xml:space="preserve"> основното заболяване на пациента).</w:t>
      </w:r>
    </w:p>
    <w:p w14:paraId="063DB8EC" w14:textId="77777777" w:rsidR="00DC247C" w:rsidRPr="00DC247C" w:rsidRDefault="00DC247C" w:rsidP="00DC247C"/>
    <w:p w14:paraId="4FE16E21" w14:textId="1F3F2D3B" w:rsidR="00395555" w:rsidRDefault="002C50EE" w:rsidP="008A6AF2">
      <w:pPr>
        <w:pStyle w:val="2"/>
      </w:pPr>
      <w:r>
        <w:t>4.8. Нежелани лекарствени реакции</w:t>
      </w:r>
    </w:p>
    <w:p w14:paraId="55B6F8D0" w14:textId="67742F3B" w:rsidR="00DC247C" w:rsidRDefault="00DC247C" w:rsidP="00DC247C"/>
    <w:p w14:paraId="535E0029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lastRenderedPageBreak/>
        <w:t>Честотата на нежеланите реакции е 5-20 %, от които 15-20 % могат да се оценят като сериозни.</w:t>
      </w:r>
    </w:p>
    <w:p w14:paraId="68F42153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83909BF" w14:textId="7ADF70B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Нарушения на кръвоносната и лимфна системи:</w:t>
      </w:r>
    </w:p>
    <w:p w14:paraId="1F37D0F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много редки: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</w:p>
    <w:p w14:paraId="7D4DCA5D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582869" w14:textId="78AF6F4D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Нарушения на метаболизма и храненето:</w:t>
      </w:r>
    </w:p>
    <w:p w14:paraId="40132314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чести: намален апетит</w:t>
      </w:r>
    </w:p>
    <w:p w14:paraId="7ACA9BB9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935956D" w14:textId="2C59597B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Психични нарушения:</w:t>
      </w:r>
    </w:p>
    <w:p w14:paraId="57B2444C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апатия, психоза</w:t>
      </w:r>
    </w:p>
    <w:p w14:paraId="6B86F55C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CF2FF4F" w14:textId="2AB48CB6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Нарушения на нервната система:</w:t>
      </w:r>
    </w:p>
    <w:p w14:paraId="4139628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главоболие, замаяност</w:t>
      </w:r>
    </w:p>
    <w:p w14:paraId="26587606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858D03" w14:textId="55833A1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Очни нарушения:</w:t>
      </w:r>
    </w:p>
    <w:p w14:paraId="0B7FA03B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зрителни нарушения (замъглено зрение или проблясъци в жълто)</w:t>
      </w:r>
    </w:p>
    <w:p w14:paraId="23963BDC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32BFBD" w14:textId="49C4F275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Сърдечни нарушения:</w:t>
      </w:r>
    </w:p>
    <w:p w14:paraId="47F29A5D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color w:val="000000"/>
          <w:lang w:eastAsia="bg-BG"/>
        </w:rPr>
        <w:t>Монотопни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политопни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камерни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екстрасистоли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бигеминия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тригеминия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камерна тахикардия,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атриовентрикуларна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</w:t>
      </w:r>
      <w:r w:rsidRPr="00DC247C">
        <w:rPr>
          <w:rFonts w:eastAsia="Times New Roman" w:cs="Arial"/>
          <w:color w:val="000000"/>
          <w:lang w:val="en-US"/>
        </w:rPr>
        <w:t xml:space="preserve">(AV) </w:t>
      </w:r>
      <w:r w:rsidRPr="00DC247C">
        <w:rPr>
          <w:rFonts w:eastAsia="Times New Roman" w:cs="Arial"/>
          <w:color w:val="000000"/>
          <w:lang w:eastAsia="bg-BG"/>
        </w:rPr>
        <w:t xml:space="preserve">дисоциация, ускорен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нодален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ритъм,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предсърда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тахикардия с блок, </w:t>
      </w:r>
      <w:r w:rsidRPr="00DC247C">
        <w:rPr>
          <w:rFonts w:eastAsia="Times New Roman" w:cs="Arial"/>
          <w:color w:val="000000"/>
          <w:lang w:val="en-US"/>
        </w:rPr>
        <w:t>AV</w:t>
      </w:r>
      <w:r w:rsidRPr="00DC247C">
        <w:rPr>
          <w:rFonts w:eastAsia="Times New Roman" w:cs="Arial"/>
          <w:color w:val="000000"/>
          <w:lang w:eastAsia="bg-BG"/>
        </w:rPr>
        <w:t>-блок.</w:t>
      </w:r>
    </w:p>
    <w:p w14:paraId="4118C06B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също така може да индуцира други изменения в ЕКГ (напр. удължаване на </w:t>
      </w:r>
      <w:r w:rsidRPr="00DC247C">
        <w:rPr>
          <w:rFonts w:eastAsia="Times New Roman" w:cs="Arial"/>
          <w:color w:val="000000"/>
          <w:lang w:val="en-US"/>
        </w:rPr>
        <w:t>PR</w:t>
      </w:r>
      <w:r w:rsidRPr="00DC247C">
        <w:rPr>
          <w:rFonts w:eastAsia="Times New Roman" w:cs="Arial"/>
          <w:color w:val="000000"/>
          <w:lang w:eastAsia="bg-BG"/>
        </w:rPr>
        <w:t xml:space="preserve">-интервала, депресия на </w:t>
      </w:r>
      <w:r w:rsidRPr="00DC247C">
        <w:rPr>
          <w:rFonts w:eastAsia="Times New Roman" w:cs="Arial"/>
          <w:color w:val="000000"/>
          <w:lang w:val="en-US"/>
        </w:rPr>
        <w:t>ST</w:t>
      </w:r>
      <w:r w:rsidRPr="00DC247C">
        <w:rPr>
          <w:rFonts w:eastAsia="Times New Roman" w:cs="Arial"/>
          <w:color w:val="000000"/>
          <w:lang w:eastAsia="bg-BG"/>
        </w:rPr>
        <w:t xml:space="preserve">-сегмента), които представляват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дигоксинов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ефект и могат да бъдат или да не бъдат свързани с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дигиталисова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токсичност.</w:t>
      </w:r>
    </w:p>
    <w:p w14:paraId="476ADB02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9AB284" w14:textId="337FC30F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  <w:r w:rsidRPr="00DC247C">
        <w:rPr>
          <w:rFonts w:eastAsia="Times New Roman" w:cs="Arial"/>
          <w:color w:val="000000"/>
          <w:lang w:eastAsia="bg-BG"/>
        </w:rPr>
        <w:t>:</w:t>
      </w:r>
    </w:p>
    <w:p w14:paraId="62BF7680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чести: гадене, повръщане,</w:t>
      </w:r>
    </w:p>
    <w:p w14:paraId="6631F2C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редки: диария (могат също да бъдат белези на сърдечна недостатъчност), много редки: коремна болка, чревна (хеморагична) некроза</w:t>
      </w:r>
    </w:p>
    <w:p w14:paraId="3F4A6007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3B93D0" w14:textId="6960BD48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тъкан:</w:t>
      </w:r>
    </w:p>
    <w:p w14:paraId="79A24C08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много редки: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макулопапулозни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обриви или други кожни реакции</w:t>
      </w:r>
    </w:p>
    <w:p w14:paraId="39215451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24BB4F5" w14:textId="2352C376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>Нарушения на възпроизводителната система и гърдата</w:t>
      </w:r>
      <w:r w:rsidRPr="00DC247C">
        <w:rPr>
          <w:rFonts w:eastAsia="Times New Roman" w:cs="Arial"/>
          <w:color w:val="000000"/>
          <w:lang w:eastAsia="bg-BG"/>
        </w:rPr>
        <w:t>:</w:t>
      </w:r>
    </w:p>
    <w:p w14:paraId="0D6A0422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много редки: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гинекомастия</w:t>
      </w:r>
      <w:proofErr w:type="spellEnd"/>
    </w:p>
    <w:p w14:paraId="0BB56462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E923951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DC247C">
        <w:rPr>
          <w:rFonts w:eastAsia="Times New Roman" w:cs="Arial"/>
          <w:color w:val="000000"/>
          <w:u w:val="single"/>
          <w:lang w:eastAsia="bg-BG"/>
        </w:rPr>
        <w:t xml:space="preserve">Обши нарушения и ефекти на мястото на приложение: </w:t>
      </w:r>
    </w:p>
    <w:p w14:paraId="372D39C2" w14:textId="48D8C1DE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>слабост</w:t>
      </w:r>
    </w:p>
    <w:p w14:paraId="4BED739B" w14:textId="77777777" w:rsidR="00DC247C" w:rsidRPr="00DC247C" w:rsidRDefault="00DC247C" w:rsidP="00DC247C"/>
    <w:p w14:paraId="4ED30546" w14:textId="0AAD9FD6" w:rsidR="007C605B" w:rsidRDefault="002C50EE" w:rsidP="009F1313">
      <w:pPr>
        <w:pStyle w:val="2"/>
      </w:pPr>
      <w:r>
        <w:t>4.9. Предозиране</w:t>
      </w:r>
    </w:p>
    <w:p w14:paraId="41D98C30" w14:textId="51E3F729" w:rsidR="00DC247C" w:rsidRDefault="00DC247C" w:rsidP="00DC247C"/>
    <w:p w14:paraId="545D018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Предозирането е сравнително често, тъй като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притежава тесен терапевтичен прозорец.</w:t>
      </w:r>
    </w:p>
    <w:p w14:paraId="3B536D07" w14:textId="77777777" w:rsidR="00DC247C" w:rsidRPr="00DC247C" w:rsidRDefault="00DC247C" w:rsidP="00DC247C">
      <w:pPr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i/>
          <w:iCs/>
          <w:color w:val="000000"/>
          <w:lang w:eastAsia="bg-BG"/>
        </w:rPr>
        <w:t>Симтоми</w:t>
      </w:r>
      <w:proofErr w:type="spellEnd"/>
      <w:r w:rsidRPr="00DC247C">
        <w:rPr>
          <w:rFonts w:eastAsia="Times New Roman" w:cs="Arial"/>
          <w:i/>
          <w:iCs/>
          <w:color w:val="000000"/>
          <w:lang w:eastAsia="bg-BG"/>
        </w:rPr>
        <w:t>:</w:t>
      </w:r>
      <w:r w:rsidRPr="00DC247C">
        <w:rPr>
          <w:rFonts w:eastAsia="Times New Roman" w:cs="Arial"/>
          <w:color w:val="000000"/>
          <w:lang w:eastAsia="bg-BG"/>
        </w:rPr>
        <w:t xml:space="preserve"> ранните белези на предозиране са гадене, повръщане, загуба на апетит с или без диария, коремни болки,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саливация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изпотяване. Възможно е да възникнат и симптоми от ЦНС като главоболие, лицеви болки, слабост,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парестезии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депресия, халюцинации, дезориентация и нарушения в цветовото възприятие. По отношение на сърдечните симптоми е възможно развитието на всякакъв тип аритмия. Често възникват камерни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екстрасистоли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бигеминия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тригеминия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брадикардия,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проводни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нарушения, </w:t>
      </w:r>
      <w:r w:rsidRPr="00DC247C">
        <w:rPr>
          <w:rFonts w:eastAsia="Times New Roman" w:cs="Arial"/>
          <w:color w:val="000000"/>
          <w:lang w:val="en-US"/>
        </w:rPr>
        <w:t>AV</w:t>
      </w:r>
      <w:r w:rsidRPr="00DC247C">
        <w:rPr>
          <w:rFonts w:eastAsia="Times New Roman" w:cs="Arial"/>
          <w:color w:val="000000"/>
          <w:lang w:eastAsia="bg-BG"/>
        </w:rPr>
        <w:t>-</w:t>
      </w:r>
      <w:r w:rsidRPr="00DC247C">
        <w:rPr>
          <w:rFonts w:eastAsia="Times New Roman" w:cs="Arial"/>
          <w:color w:val="000000"/>
          <w:lang w:eastAsia="bg-BG"/>
        </w:rPr>
        <w:lastRenderedPageBreak/>
        <w:t xml:space="preserve">блок,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предсърдна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тахикардия с или без </w:t>
      </w:r>
      <w:r w:rsidRPr="00DC247C">
        <w:rPr>
          <w:rFonts w:eastAsia="Times New Roman" w:cs="Arial"/>
          <w:color w:val="000000"/>
          <w:lang w:val="en-US"/>
        </w:rPr>
        <w:t>AV-</w:t>
      </w:r>
      <w:r w:rsidRPr="00DC247C">
        <w:rPr>
          <w:rFonts w:eastAsia="Times New Roman" w:cs="Arial"/>
          <w:color w:val="000000"/>
          <w:lang w:eastAsia="bg-BG"/>
        </w:rPr>
        <w:t xml:space="preserve">блок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ектоничен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</w:t>
      </w:r>
      <w:r w:rsidRPr="00DC247C">
        <w:rPr>
          <w:rFonts w:eastAsia="Times New Roman" w:cs="Arial"/>
          <w:color w:val="000000"/>
          <w:lang w:eastAsia="bg-BG"/>
        </w:rPr>
        <w:t>(</w:t>
      </w:r>
      <w:proofErr w:type="spellStart"/>
      <w:r w:rsidRPr="00DC247C">
        <w:rPr>
          <w:rFonts w:eastAsia="Times New Roman" w:cs="Arial"/>
          <w:color w:val="000000"/>
          <w:lang w:eastAsia="bg-BG"/>
        </w:rPr>
        <w:t>нодален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) ритъм, камерна тахикардия, камерно мъждене. Удължаването на </w:t>
      </w:r>
      <w:r w:rsidRPr="00DC247C">
        <w:rPr>
          <w:rFonts w:eastAsia="Times New Roman" w:cs="Arial"/>
          <w:color w:val="000000"/>
          <w:lang w:val="en-US"/>
        </w:rPr>
        <w:t xml:space="preserve">PQ </w:t>
      </w:r>
      <w:r w:rsidRPr="00DC247C">
        <w:rPr>
          <w:rFonts w:eastAsia="Times New Roman" w:cs="Arial"/>
          <w:color w:val="000000"/>
          <w:lang w:eastAsia="bg-BG"/>
        </w:rPr>
        <w:t xml:space="preserve">интервала в ЕКГ може да бъде ранен белег на предозиране.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Коритообразна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</w:t>
      </w:r>
      <w:r w:rsidRPr="00DC247C">
        <w:rPr>
          <w:rFonts w:eastAsia="Times New Roman" w:cs="Arial"/>
          <w:color w:val="000000"/>
          <w:lang w:val="en-US"/>
        </w:rPr>
        <w:t xml:space="preserve">ST- </w:t>
      </w:r>
      <w:r w:rsidRPr="00DC247C">
        <w:rPr>
          <w:rFonts w:eastAsia="Times New Roman" w:cs="Arial"/>
          <w:color w:val="000000"/>
          <w:lang w:eastAsia="bg-BG"/>
        </w:rPr>
        <w:t xml:space="preserve">депресия е характерен симптом, въпреки че не винаги е белег на предозиране, тъй като може да е просто следствие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дигиталисовото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лечение.</w:t>
      </w:r>
    </w:p>
    <w:p w14:paraId="0A8A706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u w:val="single"/>
          <w:lang w:eastAsia="bg-BG"/>
        </w:rPr>
        <w:t>При деца</w:t>
      </w:r>
      <w:r w:rsidRPr="00DC247C">
        <w:rPr>
          <w:rFonts w:eastAsia="Times New Roman" w:cs="Arial"/>
          <w:color w:val="000000"/>
          <w:lang w:eastAsia="bg-BG"/>
        </w:rPr>
        <w:t xml:space="preserve"> ранните белези на интоксикация са отчасти стомашно-чревни симптоми, отчасти сърдечни аритмии, най-често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проводни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нарушения,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предсърдна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тахикардия с блок, по-рядко камерни аритмии.</w:t>
      </w:r>
    </w:p>
    <w:p w14:paraId="7C06BE23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Лечение на предозирането:</w:t>
      </w:r>
    </w:p>
    <w:p w14:paraId="29B930B0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В случай на леко предозиране се преустановява приема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обикновено е достатъчно наблюдаването на пациента и нормализиране на серумното ниво на калия.</w:t>
      </w:r>
    </w:p>
    <w:p w14:paraId="408DA009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При необходимост могат да се приложат 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антиаритмични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лекарства (атропин,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лидокаин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фенитоин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др.). Възможно е да се наложи имплантиране на кардиостимулатор или провеждане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електрокардиоверзио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въпреки че в последния случай съществува риск от камерно мъждене, резистентно на терапия. Форсиране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диурезата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диализа или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хемоперфузия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обикновено не са ефективни.</w:t>
      </w:r>
    </w:p>
    <w:p w14:paraId="144159C8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Тежко предозиране</w:t>
      </w:r>
      <w:r w:rsidRPr="00DC247C">
        <w:rPr>
          <w:rFonts w:eastAsia="Times New Roman" w:cs="Arial"/>
          <w:color w:val="000000"/>
          <w:lang w:eastAsia="bg-BG"/>
        </w:rPr>
        <w:t xml:space="preserve"> може да доведе до фатална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. В такива случаи, освен приложение на инсулин и глюкозни инфузии, може да се приложи и диализа, ако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хиперкалиемията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не се повлияе в достатъчна степен.</w:t>
      </w:r>
    </w:p>
    <w:p w14:paraId="2A1DFF5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В животозастрашаващи случаи трябва да се приложат специфични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дигоксинови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антитела.</w:t>
      </w:r>
    </w:p>
    <w:p w14:paraId="318DC50D" w14:textId="5BD94A20" w:rsidR="00DC247C" w:rsidRPr="00DC247C" w:rsidRDefault="00DC247C" w:rsidP="00DC247C"/>
    <w:p w14:paraId="02081B24" w14:textId="1F46E296" w:rsidR="00395555" w:rsidRPr="00395555" w:rsidRDefault="002C50EE" w:rsidP="008A6AF2">
      <w:pPr>
        <w:pStyle w:val="1"/>
      </w:pPr>
      <w:r>
        <w:t>5. ФАРМАКОЛОГИЧНИ СВОЙСТВА</w:t>
      </w:r>
    </w:p>
    <w:p w14:paraId="5350637D" w14:textId="5B73B899" w:rsidR="00395555" w:rsidRDefault="002C50EE" w:rsidP="008A6AF2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17DB3BB" w14:textId="4E64C0DC" w:rsidR="00DC247C" w:rsidRDefault="00DC247C" w:rsidP="00DC247C"/>
    <w:p w14:paraId="23FF7716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група: Сърдечни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глюкозиди</w:t>
      </w:r>
      <w:proofErr w:type="spellEnd"/>
      <w:r w:rsidRPr="00DC247C">
        <w:rPr>
          <w:rFonts w:eastAsia="Times New Roman" w:cs="Arial"/>
          <w:color w:val="000000"/>
          <w:lang w:eastAsia="bg-BG"/>
        </w:rPr>
        <w:t>, АТС код: С01А А05</w:t>
      </w:r>
    </w:p>
    <w:p w14:paraId="3977AEE4" w14:textId="77777777" w:rsidR="00DC247C" w:rsidRDefault="00DC247C" w:rsidP="00DC247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8852E6" w14:textId="21BF0D8D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лекарствената съставка на продукта, директно инхибира </w:t>
      </w:r>
      <w:r w:rsidRPr="00DC247C">
        <w:rPr>
          <w:rFonts w:eastAsia="Times New Roman" w:cs="Arial"/>
          <w:color w:val="000000"/>
          <w:lang w:val="en-US"/>
        </w:rPr>
        <w:t xml:space="preserve">Na/K-ATP- </w:t>
      </w:r>
      <w:r w:rsidRPr="00DC247C">
        <w:rPr>
          <w:rFonts w:eastAsia="Times New Roman" w:cs="Arial"/>
          <w:color w:val="000000"/>
          <w:lang w:eastAsia="bg-BG"/>
        </w:rPr>
        <w:t xml:space="preserve">ензим прикрепен към мембраната, който освобождава </w:t>
      </w:r>
      <w:r w:rsidRPr="00DC247C">
        <w:rPr>
          <w:rFonts w:eastAsia="Times New Roman" w:cs="Arial"/>
          <w:color w:val="000000"/>
          <w:lang w:val="en-US"/>
        </w:rPr>
        <w:t>Na</w:t>
      </w:r>
      <w:r w:rsidRPr="00DC247C">
        <w:rPr>
          <w:rFonts w:eastAsia="Times New Roman" w:cs="Arial"/>
          <w:color w:val="000000"/>
          <w:vertAlign w:val="superscript"/>
          <w:lang w:val="en-US"/>
        </w:rPr>
        <w:t>+</w:t>
      </w:r>
      <w:r w:rsidRPr="00DC247C">
        <w:rPr>
          <w:rFonts w:eastAsia="Times New Roman" w:cs="Arial"/>
          <w:color w:val="000000"/>
          <w:lang w:val="en-US"/>
        </w:rPr>
        <w:t xml:space="preserve"> </w:t>
      </w:r>
      <w:r w:rsidRPr="00DC247C">
        <w:rPr>
          <w:rFonts w:eastAsia="Times New Roman" w:cs="Arial"/>
          <w:color w:val="000000"/>
          <w:lang w:eastAsia="bg-BG"/>
        </w:rPr>
        <w:t xml:space="preserve">от миокарда посредством активен транспортен механизъм. Като резултат от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нхибирането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вътреклетъчната </w:t>
      </w:r>
      <w:r w:rsidRPr="00DC247C">
        <w:rPr>
          <w:rFonts w:eastAsia="Times New Roman" w:cs="Arial"/>
          <w:color w:val="000000"/>
          <w:lang w:val="en-US"/>
        </w:rPr>
        <w:t>Na</w:t>
      </w:r>
      <w:r w:rsidRPr="00DC247C">
        <w:rPr>
          <w:rFonts w:eastAsia="Times New Roman" w:cs="Arial"/>
          <w:color w:val="000000"/>
          <w:vertAlign w:val="superscript"/>
          <w:lang w:val="en-US"/>
        </w:rPr>
        <w:t>+</w:t>
      </w:r>
      <w:r w:rsidRPr="00DC247C">
        <w:rPr>
          <w:rFonts w:eastAsia="Times New Roman" w:cs="Arial"/>
          <w:color w:val="000000"/>
          <w:lang w:val="en-US"/>
        </w:rPr>
        <w:t xml:space="preserve"> </w:t>
      </w:r>
      <w:r w:rsidRPr="00DC247C">
        <w:rPr>
          <w:rFonts w:eastAsia="Times New Roman" w:cs="Arial"/>
          <w:color w:val="000000"/>
          <w:lang w:eastAsia="bg-BG"/>
        </w:rPr>
        <w:t>концентрация се повишава, а вътреклетъчната К</w:t>
      </w:r>
      <w:r w:rsidRPr="00DC247C">
        <w:rPr>
          <w:rFonts w:eastAsia="Times New Roman" w:cs="Arial"/>
          <w:color w:val="000000"/>
          <w:vertAlign w:val="superscript"/>
          <w:lang w:eastAsia="bg-BG"/>
        </w:rPr>
        <w:t xml:space="preserve">+ </w:t>
      </w:r>
      <w:r w:rsidRPr="00DC247C">
        <w:rPr>
          <w:rFonts w:eastAsia="Times New Roman" w:cs="Arial"/>
          <w:color w:val="000000"/>
          <w:lang w:eastAsia="bg-BG"/>
        </w:rPr>
        <w:t xml:space="preserve">концентрация намалява. Поради повишаване на вътреклетъчното </w:t>
      </w:r>
      <w:r w:rsidRPr="00DC247C">
        <w:rPr>
          <w:rFonts w:eastAsia="Times New Roman" w:cs="Arial"/>
          <w:color w:val="000000"/>
          <w:lang w:val="en-US"/>
        </w:rPr>
        <w:t>Na</w:t>
      </w:r>
      <w:r w:rsidRPr="00DC247C">
        <w:rPr>
          <w:rFonts w:eastAsia="Times New Roman" w:cs="Arial"/>
          <w:color w:val="000000"/>
          <w:vertAlign w:val="superscript"/>
          <w:lang w:val="en-US"/>
        </w:rPr>
        <w:t>+</w:t>
      </w:r>
      <w:r w:rsidRPr="00DC247C">
        <w:rPr>
          <w:rFonts w:eastAsia="Times New Roman" w:cs="Arial"/>
          <w:color w:val="000000"/>
          <w:lang w:val="en-US"/>
        </w:rPr>
        <w:t xml:space="preserve"> </w:t>
      </w:r>
      <w:r w:rsidRPr="00DC247C">
        <w:rPr>
          <w:rFonts w:eastAsia="Times New Roman" w:cs="Arial"/>
          <w:color w:val="000000"/>
          <w:lang w:eastAsia="bg-BG"/>
        </w:rPr>
        <w:t>съдържание се покачва вътреклетъчната Са</w:t>
      </w:r>
      <w:r w:rsidRPr="00DC247C">
        <w:rPr>
          <w:rFonts w:eastAsia="Times New Roman" w:cs="Arial"/>
          <w:color w:val="000000"/>
          <w:vertAlign w:val="superscript"/>
          <w:lang w:eastAsia="bg-BG"/>
        </w:rPr>
        <w:t>++</w:t>
      </w:r>
      <w:r w:rsidRPr="00DC247C">
        <w:rPr>
          <w:rFonts w:eastAsia="Times New Roman" w:cs="Arial"/>
          <w:color w:val="000000"/>
          <w:lang w:eastAsia="bg-BG"/>
        </w:rPr>
        <w:t xml:space="preserve"> концентрация.</w:t>
      </w:r>
    </w:p>
    <w:p w14:paraId="7AE0F51A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принадлежащ към групата на сърдечните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гликозиди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, има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дозозависим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ефект върху миокарда. Благодарение на позитивния си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инотропен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ефект,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увеличава силата на миокардната контракция, подобрява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систолната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функция на камерите, намалява крайното диастолно налягане, както и степента на сърдечната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дилатация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. Съответно, когато е приложен при застойна сърдечна недостатъчност,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подобрява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контрактилната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функция и намалява кислородната консумация на миокарда и поради намаляване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пулмоналното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венозно налягане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подобрява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диспнеята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ортопнеята</w:t>
      </w:r>
      <w:proofErr w:type="spellEnd"/>
      <w:r w:rsidRPr="00DC247C">
        <w:rPr>
          <w:rFonts w:eastAsia="Times New Roman" w:cs="Arial"/>
          <w:color w:val="000000"/>
          <w:lang w:eastAsia="bg-BG"/>
        </w:rPr>
        <w:t>.</w:t>
      </w:r>
    </w:p>
    <w:p w14:paraId="2327E573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color w:val="000000"/>
          <w:lang w:eastAsia="bg-BG"/>
        </w:rPr>
        <w:t xml:space="preserve">Благодарение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вагомиметичия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ефект върху синусовия и </w:t>
      </w:r>
      <w:r w:rsidRPr="00DC247C">
        <w:rPr>
          <w:rFonts w:eastAsia="Times New Roman" w:cs="Arial"/>
          <w:color w:val="000000"/>
          <w:lang w:val="en-US"/>
        </w:rPr>
        <w:t>AV</w:t>
      </w:r>
      <w:r w:rsidRPr="00DC247C">
        <w:rPr>
          <w:rFonts w:eastAsia="Times New Roman" w:cs="Arial"/>
          <w:color w:val="000000"/>
          <w:lang w:eastAsia="bg-BG"/>
        </w:rPr>
        <w:t xml:space="preserve">-възела, т.е. чрез намаляване на скоростта на провеждане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нодалните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фибри,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оказва негативен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хронотропен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дромотропен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ефект, посредством което забавя провеждането на импулсите и сърдечната честота.</w:t>
      </w:r>
    </w:p>
    <w:p w14:paraId="0A478D0C" w14:textId="3F7D4468" w:rsidR="00DC247C" w:rsidRDefault="00DC247C" w:rsidP="00DC247C"/>
    <w:p w14:paraId="1C48BCDD" w14:textId="77777777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t xml:space="preserve">Поради позитивния </w:t>
      </w:r>
      <w:proofErr w:type="spellStart"/>
      <w:r w:rsidRPr="00DC247C">
        <w:rPr>
          <w:lang w:eastAsia="bg-BG"/>
        </w:rPr>
        <w:t>батмотропен</w:t>
      </w:r>
      <w:proofErr w:type="spellEnd"/>
      <w:r w:rsidRPr="00DC247C">
        <w:rPr>
          <w:lang w:eastAsia="bg-BG"/>
        </w:rPr>
        <w:t xml:space="preserve"> ефект,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повишава автоматизма на миокарда и формирането на </w:t>
      </w:r>
      <w:proofErr w:type="spellStart"/>
      <w:r w:rsidRPr="00DC247C">
        <w:rPr>
          <w:lang w:eastAsia="bg-BG"/>
        </w:rPr>
        <w:t>хетеротропни</w:t>
      </w:r>
      <w:proofErr w:type="spellEnd"/>
      <w:r w:rsidRPr="00DC247C">
        <w:rPr>
          <w:lang w:eastAsia="bg-BG"/>
        </w:rPr>
        <w:t xml:space="preserve"> импулси (вж. Нежелани лекарствени реакции).</w:t>
      </w:r>
    </w:p>
    <w:p w14:paraId="2D823A4F" w14:textId="77777777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lastRenderedPageBreak/>
        <w:t xml:space="preserve">Във високи дози </w:t>
      </w:r>
      <w:proofErr w:type="spellStart"/>
      <w:r w:rsidRPr="00DC247C">
        <w:rPr>
          <w:lang w:eastAsia="bg-BG"/>
        </w:rPr>
        <w:t>дигоксин</w:t>
      </w:r>
      <w:proofErr w:type="spellEnd"/>
      <w:r w:rsidRPr="00DC247C">
        <w:rPr>
          <w:lang w:eastAsia="bg-BG"/>
        </w:rPr>
        <w:t xml:space="preserve"> активира </w:t>
      </w:r>
      <w:proofErr w:type="spellStart"/>
      <w:r w:rsidRPr="00DC247C">
        <w:rPr>
          <w:lang w:eastAsia="bg-BG"/>
        </w:rPr>
        <w:t>симпатикусовата</w:t>
      </w:r>
      <w:proofErr w:type="spellEnd"/>
      <w:r w:rsidRPr="00DC247C">
        <w:rPr>
          <w:lang w:eastAsia="bg-BG"/>
        </w:rPr>
        <w:t xml:space="preserve"> нервна система (вж. Нежелани лекарствени реакции).</w:t>
      </w:r>
    </w:p>
    <w:p w14:paraId="43B632FB" w14:textId="77777777" w:rsidR="00DC247C" w:rsidRPr="00DC247C" w:rsidRDefault="00DC247C" w:rsidP="00DC247C"/>
    <w:p w14:paraId="26535098" w14:textId="7803C23C" w:rsidR="00395555" w:rsidRDefault="002C50EE" w:rsidP="008A6AF2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33F7A52" w14:textId="764306E7" w:rsidR="00DC247C" w:rsidRDefault="00DC247C" w:rsidP="00DC247C"/>
    <w:p w14:paraId="41582799" w14:textId="77777777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Абсорбция:</w:t>
      </w:r>
      <w:r w:rsidRPr="00DC247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се абсорбира от стомашно-чревния тракт посредством пасивна дифузия. Бионаличността му достига до около 70 %. Приемането му по време на хранене забавя скоростта, но не променя степента на абсорбция. При едновременна консумация на голямо количество диетични фибри (напр. трици) количеството абсорбиран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намалява. Някои чревни бактерии трансформират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в сърдечно неактивни деривати (напр.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дихидроксидигоксин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>), чрез което намаляват очакваната ефективност.</w:t>
      </w:r>
    </w:p>
    <w:p w14:paraId="3E8503E1" w14:textId="77777777" w:rsidR="00DC247C" w:rsidRDefault="00DC247C" w:rsidP="00DC247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DF3E455" w14:textId="567E18AA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Разпределение:</w:t>
      </w:r>
      <w:r w:rsidRPr="00DC247C">
        <w:rPr>
          <w:rFonts w:eastAsia="Times New Roman" w:cs="Arial"/>
          <w:color w:val="000000"/>
          <w:lang w:eastAsia="bg-BG"/>
        </w:rPr>
        <w:t xml:space="preserve"> Началото на действие е между 1/2 и </w:t>
      </w:r>
      <w:r w:rsidRPr="00DC247C">
        <w:rPr>
          <w:rFonts w:eastAsia="Times New Roman" w:cs="Arial"/>
          <w:i/>
          <w:iCs/>
          <w:color w:val="000000"/>
          <w:lang w:eastAsia="bg-BG"/>
        </w:rPr>
        <w:t>2</w:t>
      </w:r>
      <w:r w:rsidRPr="00DC247C">
        <w:rPr>
          <w:rFonts w:eastAsia="Times New Roman" w:cs="Arial"/>
          <w:color w:val="000000"/>
          <w:lang w:eastAsia="bg-BG"/>
        </w:rPr>
        <w:t xml:space="preserve"> часа след приема, като максималният ефект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се развива в следващите 2-6 часа.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се натрупва в различни тъкани, включително и миокарда, като ефектите му са тясно свързани с достигнатото благодарение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тьканната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кумулация стабилно ниво, отколкото на пиковата плазмена концентрация.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преминава през кръвно-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ликворната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бариера, както и през плацентата. Около 20-25 % от лекарството се свързва с плазмените протеини.</w:t>
      </w:r>
    </w:p>
    <w:p w14:paraId="1A0BEC8A" w14:textId="77777777" w:rsidR="00DC247C" w:rsidRDefault="00DC247C" w:rsidP="00DC247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08B8338" w14:textId="49BE067E" w:rsidR="00DC247C" w:rsidRPr="00DC247C" w:rsidRDefault="00DC247C" w:rsidP="00DC247C">
      <w:pPr>
        <w:spacing w:line="240" w:lineRule="auto"/>
        <w:rPr>
          <w:rFonts w:eastAsia="Times New Roman" w:cs="Arial"/>
        </w:rPr>
      </w:pPr>
      <w:r w:rsidRPr="00DC247C">
        <w:rPr>
          <w:rFonts w:eastAsia="Times New Roman" w:cs="Arial"/>
          <w:i/>
          <w:iCs/>
          <w:color w:val="000000"/>
          <w:lang w:eastAsia="bg-BG"/>
        </w:rPr>
        <w:t>Елиминиране:</w:t>
      </w:r>
      <w:r w:rsidRPr="00DC247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се елиминира посредством бъбречна екскреция. При интравенозно приложение около 50-70 % от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с урината в непроменен вид, а останалата част от дозата се отделя под формата на метаболити. Бъбречната екскреция е пропорционална на степента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гломерулна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филтрация </w:t>
      </w:r>
      <w:r w:rsidRPr="00DC247C">
        <w:rPr>
          <w:rFonts w:eastAsia="Times New Roman" w:cs="Arial"/>
          <w:color w:val="000000"/>
          <w:lang w:val="en-US"/>
        </w:rPr>
        <w:t xml:space="preserve">GFR. </w:t>
      </w:r>
      <w:r w:rsidRPr="00DC247C">
        <w:rPr>
          <w:rFonts w:eastAsia="Times New Roman" w:cs="Arial"/>
          <w:color w:val="000000"/>
          <w:lang w:eastAsia="bg-BG"/>
        </w:rPr>
        <w:t xml:space="preserve">Обикновено елиминационният полуживот на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е 1,5-2 дни, но при пациенти в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анурия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може да бъде удължен до 4-6 дни. </w:t>
      </w:r>
      <w:proofErr w:type="spellStart"/>
      <w:r w:rsidRPr="00DC247C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C247C">
        <w:rPr>
          <w:rFonts w:eastAsia="Times New Roman" w:cs="Arial"/>
          <w:color w:val="000000"/>
          <w:lang w:eastAsia="bg-BG"/>
        </w:rPr>
        <w:t xml:space="preserve"> не може да бъде отстранен от организма посредством диализа или </w:t>
      </w:r>
      <w:proofErr w:type="spellStart"/>
      <w:r w:rsidRPr="00DC247C">
        <w:rPr>
          <w:rFonts w:eastAsia="Times New Roman" w:cs="Arial"/>
          <w:color w:val="000000"/>
          <w:lang w:eastAsia="bg-BG"/>
        </w:rPr>
        <w:t>хемоперфузия</w:t>
      </w:r>
      <w:proofErr w:type="spellEnd"/>
      <w:r w:rsidRPr="00DC247C">
        <w:rPr>
          <w:rFonts w:eastAsia="Times New Roman" w:cs="Arial"/>
          <w:color w:val="000000"/>
          <w:lang w:eastAsia="bg-BG"/>
        </w:rPr>
        <w:t>.</w:t>
      </w:r>
    </w:p>
    <w:p w14:paraId="046CB3D9" w14:textId="77777777" w:rsidR="00DC247C" w:rsidRPr="00DC247C" w:rsidRDefault="00DC247C" w:rsidP="00DC247C"/>
    <w:p w14:paraId="028E658A" w14:textId="0FF2AB94" w:rsidR="00395555" w:rsidRDefault="002C50EE" w:rsidP="008A6AF2">
      <w:pPr>
        <w:pStyle w:val="2"/>
      </w:pPr>
      <w:r>
        <w:t>5.3. Предклинични данни за безопасност</w:t>
      </w:r>
    </w:p>
    <w:p w14:paraId="6BAD0243" w14:textId="673CB8B4" w:rsidR="00DC247C" w:rsidRDefault="00DC247C" w:rsidP="00DC247C"/>
    <w:p w14:paraId="1F86AEAE" w14:textId="0B1E11AA" w:rsidR="00DC247C" w:rsidRPr="00DC247C" w:rsidRDefault="00DC247C" w:rsidP="00DC247C">
      <w:r>
        <w:t xml:space="preserve">Няма налични данни относно това, дали </w:t>
      </w:r>
      <w:proofErr w:type="spellStart"/>
      <w:r>
        <w:t>дигоксин</w:t>
      </w:r>
      <w:proofErr w:type="spellEnd"/>
      <w:r>
        <w:t xml:space="preserve"> има мутагенен или карциногенен ефект.</w:t>
      </w:r>
    </w:p>
    <w:p w14:paraId="6A7820AB" w14:textId="1B9854FE" w:rsidR="008A6AF2" w:rsidRDefault="002C50EE" w:rsidP="00395555">
      <w:pPr>
        <w:pStyle w:val="1"/>
      </w:pPr>
      <w:r>
        <w:t>7. ПРИТЕЖАТЕЛ НА РАЗРЕШЕНИЕТО ЗА УПОТРЕБА</w:t>
      </w:r>
    </w:p>
    <w:p w14:paraId="021C27AA" w14:textId="77777777" w:rsidR="00DC247C" w:rsidRDefault="00DC247C" w:rsidP="00DC247C">
      <w:pPr>
        <w:rPr>
          <w:lang w:val="en-US"/>
        </w:rPr>
      </w:pPr>
    </w:p>
    <w:p w14:paraId="343CB6F0" w14:textId="3A2D978F" w:rsidR="00DC247C" w:rsidRPr="00DC247C" w:rsidRDefault="00DC247C" w:rsidP="00DC247C">
      <w:pPr>
        <w:rPr>
          <w:sz w:val="24"/>
          <w:szCs w:val="24"/>
          <w:lang w:val="en-US"/>
        </w:rPr>
      </w:pPr>
      <w:r w:rsidRPr="00DC247C">
        <w:rPr>
          <w:lang w:val="en-US"/>
        </w:rPr>
        <w:t>Gedeon Richter Plc.</w:t>
      </w:r>
    </w:p>
    <w:p w14:paraId="4BF1AF88" w14:textId="5B572B86" w:rsidR="00DC247C" w:rsidRPr="00DC247C" w:rsidRDefault="00DC247C" w:rsidP="00DC247C">
      <w:pPr>
        <w:rPr>
          <w:sz w:val="24"/>
          <w:szCs w:val="24"/>
          <w:lang w:val="en-US"/>
        </w:rPr>
      </w:pPr>
      <w:r w:rsidRPr="00DC247C">
        <w:rPr>
          <w:lang w:eastAsia="bg-BG"/>
        </w:rPr>
        <w:t xml:space="preserve">1103 </w:t>
      </w:r>
      <w:r w:rsidRPr="00DC247C">
        <w:rPr>
          <w:lang w:val="en-US"/>
        </w:rPr>
        <w:t xml:space="preserve">Budapest., Gy6mr6i tit 19-21, </w:t>
      </w:r>
      <w:r w:rsidRPr="00DC247C">
        <w:rPr>
          <w:lang w:eastAsia="bg-BG"/>
        </w:rPr>
        <w:t>Унгария</w:t>
      </w:r>
    </w:p>
    <w:p w14:paraId="04840D59" w14:textId="0D2A48A7" w:rsidR="002C50EE" w:rsidRDefault="002C50EE" w:rsidP="00395555">
      <w:pPr>
        <w:pStyle w:val="1"/>
      </w:pPr>
      <w:r>
        <w:t>8. НОМЕР НА РАЗРЕШЕНИЕТО ЗА УПОТРЕБА</w:t>
      </w:r>
    </w:p>
    <w:p w14:paraId="2A31E25F" w14:textId="56C62DB8" w:rsidR="00DC247C" w:rsidRDefault="00DC247C" w:rsidP="00DC247C"/>
    <w:p w14:paraId="0BD4C6EC" w14:textId="787CC7EF" w:rsidR="00DC247C" w:rsidRPr="00DC247C" w:rsidRDefault="00DC247C" w:rsidP="00DC247C">
      <w:r>
        <w:t>9700233</w:t>
      </w:r>
    </w:p>
    <w:p w14:paraId="2CCB5832" w14:textId="660F2158" w:rsidR="007C605B" w:rsidRDefault="002C50EE" w:rsidP="007C605B">
      <w:pPr>
        <w:pStyle w:val="1"/>
      </w:pPr>
      <w:r>
        <w:t>9. ДАТА НА ПЪРВО РАЗРЕШАВАНЕ/ПОДНОВЯВАНЕ НА РАЗРЕШЕНИЕТО ЗА УПОТРЕБА</w:t>
      </w:r>
    </w:p>
    <w:p w14:paraId="3D15DC97" w14:textId="77777777" w:rsidR="00DC247C" w:rsidRPr="00DC247C" w:rsidRDefault="00DC247C" w:rsidP="00DC247C">
      <w:pPr>
        <w:rPr>
          <w:sz w:val="24"/>
          <w:szCs w:val="24"/>
        </w:rPr>
      </w:pPr>
      <w:r w:rsidRPr="00DC247C">
        <w:rPr>
          <w:lang w:eastAsia="bg-BG"/>
        </w:rPr>
        <w:t>Дата на първо разрешаване: 21 октомври 1962 г.</w:t>
      </w:r>
    </w:p>
    <w:p w14:paraId="6D7F212E" w14:textId="0ABC63ED" w:rsidR="00DC247C" w:rsidRPr="00DC247C" w:rsidRDefault="00DC247C" w:rsidP="00DC247C">
      <w:r w:rsidRPr="00DC247C">
        <w:rPr>
          <w:lang w:eastAsia="bg-BG"/>
        </w:rPr>
        <w:t>Дата на последно подновяване: 8 ноември 2002 г.</w:t>
      </w:r>
    </w:p>
    <w:p w14:paraId="0E9D0119" w14:textId="0245C6D7" w:rsidR="002C50EE" w:rsidRDefault="002C50EE" w:rsidP="002C50EE">
      <w:pPr>
        <w:pStyle w:val="1"/>
      </w:pPr>
      <w:r>
        <w:lastRenderedPageBreak/>
        <w:t>10. ДАТА НА АКТУАЛИЗИРАНЕ НА ТЕКСТА</w:t>
      </w:r>
    </w:p>
    <w:bookmarkEnd w:id="0"/>
    <w:p w14:paraId="43FB38A2" w14:textId="7852311E" w:rsidR="007C605B" w:rsidRDefault="007C605B" w:rsidP="00395555"/>
    <w:p w14:paraId="04334AAE" w14:textId="0F35F47C" w:rsidR="00DC247C" w:rsidRPr="003E3126" w:rsidRDefault="00DC247C" w:rsidP="00DC247C">
      <w:r>
        <w:t>24 януари 2008 г.</w:t>
      </w:r>
    </w:p>
    <w:sectPr w:rsidR="00DC247C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1E0F8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3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CE5379"/>
    <w:multiLevelType w:val="multilevel"/>
    <w:tmpl w:val="21E0F8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C1BFA"/>
    <w:multiLevelType w:val="hybridMultilevel"/>
    <w:tmpl w:val="161C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16E29"/>
    <w:multiLevelType w:val="hybridMultilevel"/>
    <w:tmpl w:val="A64E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43D0B"/>
    <w:multiLevelType w:val="hybridMultilevel"/>
    <w:tmpl w:val="1832B9A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0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32"/>
  </w:num>
  <w:num w:numId="12">
    <w:abstractNumId w:val="15"/>
  </w:num>
  <w:num w:numId="13">
    <w:abstractNumId w:val="20"/>
  </w:num>
  <w:num w:numId="14">
    <w:abstractNumId w:val="13"/>
  </w:num>
  <w:num w:numId="15">
    <w:abstractNumId w:val="31"/>
  </w:num>
  <w:num w:numId="16">
    <w:abstractNumId w:val="10"/>
  </w:num>
  <w:num w:numId="17">
    <w:abstractNumId w:val="25"/>
  </w:num>
  <w:num w:numId="18">
    <w:abstractNumId w:val="8"/>
  </w:num>
  <w:num w:numId="19">
    <w:abstractNumId w:val="28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4"/>
  </w:num>
  <w:num w:numId="28">
    <w:abstractNumId w:val="7"/>
  </w:num>
  <w:num w:numId="29">
    <w:abstractNumId w:val="21"/>
  </w:num>
  <w:num w:numId="30">
    <w:abstractNumId w:val="35"/>
  </w:num>
  <w:num w:numId="31">
    <w:abstractNumId w:val="6"/>
  </w:num>
  <w:num w:numId="32">
    <w:abstractNumId w:val="2"/>
  </w:num>
  <w:num w:numId="33">
    <w:abstractNumId w:val="12"/>
  </w:num>
  <w:num w:numId="34">
    <w:abstractNumId w:val="29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C247C"/>
    <w:rsid w:val="00DD466D"/>
    <w:rsid w:val="00EB6364"/>
    <w:rsid w:val="00F37B64"/>
    <w:rsid w:val="00F91D4C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2791</Words>
  <Characters>15914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2021-11-03T15:32:00Z</dcterms:created>
  <dcterms:modified xsi:type="dcterms:W3CDTF">2021-11-03T15:32:00Z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