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2330BC64" w:rsidR="00C40420" w:rsidRDefault="00DD466D" w:rsidP="004A448E">
      <w:pPr>
        <w:pStyle w:val="Heading1"/>
      </w:pPr>
      <w:r>
        <w:t>1.ИМЕ НА ЛЕКАРСТВЕНИЯ ПРОДУКТ</w:t>
      </w:r>
    </w:p>
    <w:p w14:paraId="1FB80612" w14:textId="71CDADCA" w:rsidR="004328C0" w:rsidRDefault="004328C0" w:rsidP="004328C0"/>
    <w:p w14:paraId="444B3388" w14:textId="77777777" w:rsidR="004328C0" w:rsidRPr="004328C0" w:rsidRDefault="004328C0" w:rsidP="004328C0">
      <w:pPr>
        <w:rPr>
          <w:sz w:val="24"/>
          <w:szCs w:val="24"/>
        </w:rPr>
      </w:pPr>
      <w:r w:rsidRPr="004328C0">
        <w:rPr>
          <w:lang w:eastAsia="bg-BG"/>
        </w:rPr>
        <w:t xml:space="preserve">Дилтиазем Софарма 60 </w:t>
      </w:r>
      <w:r w:rsidRPr="004328C0">
        <w:rPr>
          <w:lang w:val="en-US"/>
        </w:rPr>
        <w:t>mg</w:t>
      </w:r>
      <w:r w:rsidRPr="004328C0">
        <w:t xml:space="preserve"> </w:t>
      </w:r>
      <w:r w:rsidRPr="004328C0">
        <w:rPr>
          <w:lang w:eastAsia="bg-BG"/>
        </w:rPr>
        <w:t>таблетки</w:t>
      </w:r>
    </w:p>
    <w:p w14:paraId="7A9102A2" w14:textId="1404C0F9" w:rsidR="004328C0" w:rsidRPr="004328C0" w:rsidRDefault="004328C0" w:rsidP="004328C0">
      <w:r w:rsidRPr="004328C0">
        <w:rPr>
          <w:lang w:val="en-US"/>
        </w:rPr>
        <w:t>Diltiazem</w:t>
      </w:r>
      <w:r w:rsidRPr="004328C0">
        <w:t xml:space="preserve"> </w:t>
      </w:r>
      <w:proofErr w:type="spellStart"/>
      <w:r w:rsidRPr="004328C0">
        <w:rPr>
          <w:lang w:val="en-US"/>
        </w:rPr>
        <w:t>Sopharma</w:t>
      </w:r>
      <w:proofErr w:type="spellEnd"/>
      <w:r w:rsidRPr="004328C0">
        <w:t xml:space="preserve"> </w:t>
      </w:r>
      <w:r w:rsidRPr="004328C0">
        <w:rPr>
          <w:lang w:eastAsia="bg-BG"/>
        </w:rPr>
        <w:t xml:space="preserve">60 </w:t>
      </w:r>
      <w:r w:rsidRPr="004328C0">
        <w:rPr>
          <w:lang w:val="en-US"/>
        </w:rPr>
        <w:t>mg</w:t>
      </w:r>
      <w:r w:rsidRPr="004328C0">
        <w:t xml:space="preserve"> </w:t>
      </w:r>
      <w:r w:rsidRPr="004328C0">
        <w:rPr>
          <w:lang w:val="en-US"/>
        </w:rPr>
        <w:t>tablets</w:t>
      </w:r>
    </w:p>
    <w:p w14:paraId="6920A680" w14:textId="156BDEC3" w:rsidR="00C40420" w:rsidRDefault="00DD466D" w:rsidP="004A448E">
      <w:pPr>
        <w:pStyle w:val="Heading1"/>
      </w:pPr>
      <w:r>
        <w:t>2. КАЧЕСТВЕН И КОЛИЧЕСТВЕН СЪСТАВ</w:t>
      </w:r>
    </w:p>
    <w:p w14:paraId="664D8B32" w14:textId="47E1EB62" w:rsidR="004328C0" w:rsidRDefault="004328C0" w:rsidP="004328C0"/>
    <w:p w14:paraId="6E28B107" w14:textId="77777777" w:rsidR="004328C0" w:rsidRPr="004328C0" w:rsidRDefault="004328C0" w:rsidP="004328C0">
      <w:pPr>
        <w:rPr>
          <w:sz w:val="24"/>
          <w:szCs w:val="24"/>
        </w:rPr>
      </w:pPr>
      <w:r w:rsidRPr="004328C0">
        <w:rPr>
          <w:lang w:eastAsia="bg-BG"/>
        </w:rPr>
        <w:t xml:space="preserve">Всяка таблетка съдържа активно вещество дилтиаземов хидрохлорид </w:t>
      </w:r>
      <w:r w:rsidRPr="004328C0">
        <w:rPr>
          <w:i/>
          <w:iCs/>
        </w:rPr>
        <w:t>(</w:t>
      </w:r>
      <w:r w:rsidRPr="004328C0">
        <w:rPr>
          <w:i/>
          <w:iCs/>
          <w:lang w:val="en-US"/>
        </w:rPr>
        <w:t>diltiazem</w:t>
      </w:r>
      <w:r w:rsidRPr="004328C0">
        <w:rPr>
          <w:i/>
          <w:iCs/>
        </w:rPr>
        <w:t xml:space="preserve"> </w:t>
      </w:r>
      <w:r w:rsidRPr="004328C0">
        <w:rPr>
          <w:i/>
          <w:iCs/>
          <w:lang w:val="en-US"/>
        </w:rPr>
        <w:t>hydrochloride</w:t>
      </w:r>
      <w:r w:rsidRPr="004328C0">
        <w:rPr>
          <w:i/>
          <w:iCs/>
        </w:rPr>
        <w:t xml:space="preserve">) </w:t>
      </w:r>
      <w:r w:rsidRPr="004328C0">
        <w:rPr>
          <w:lang w:eastAsia="bg-BG"/>
        </w:rPr>
        <w:t xml:space="preserve">60 </w:t>
      </w:r>
      <w:r w:rsidRPr="004328C0">
        <w:rPr>
          <w:lang w:val="en-US"/>
        </w:rPr>
        <w:t>mg</w:t>
      </w:r>
      <w:r w:rsidRPr="004328C0">
        <w:t>.</w:t>
      </w:r>
    </w:p>
    <w:p w14:paraId="2A1C4A29" w14:textId="77777777" w:rsidR="004328C0" w:rsidRPr="004328C0" w:rsidRDefault="004328C0" w:rsidP="004328C0">
      <w:pPr>
        <w:rPr>
          <w:sz w:val="24"/>
          <w:szCs w:val="24"/>
        </w:rPr>
      </w:pPr>
      <w:r w:rsidRPr="004328C0">
        <w:rPr>
          <w:u w:val="single"/>
          <w:lang w:eastAsia="bg-BG"/>
        </w:rPr>
        <w:t>Помощно вещество с известно действие</w:t>
      </w:r>
      <w:r w:rsidRPr="004328C0">
        <w:rPr>
          <w:lang w:eastAsia="bg-BG"/>
        </w:rPr>
        <w:t>: лактоза монохидрат.</w:t>
      </w:r>
    </w:p>
    <w:p w14:paraId="410FEFDC" w14:textId="77777777" w:rsidR="004328C0" w:rsidRPr="004328C0" w:rsidRDefault="004328C0" w:rsidP="004328C0"/>
    <w:p w14:paraId="614984C4" w14:textId="1A55E109" w:rsidR="008A6AF2" w:rsidRDefault="00DD466D" w:rsidP="002C50EE">
      <w:pPr>
        <w:pStyle w:val="Heading1"/>
      </w:pPr>
      <w:r>
        <w:t>3. ЛЕКАРСТВЕНА ФОРМА</w:t>
      </w:r>
    </w:p>
    <w:p w14:paraId="6BA6DD73" w14:textId="7B8A740B" w:rsidR="004328C0" w:rsidRDefault="004328C0" w:rsidP="004328C0"/>
    <w:p w14:paraId="17958C81" w14:textId="77777777" w:rsidR="004328C0" w:rsidRPr="004328C0" w:rsidRDefault="004328C0" w:rsidP="004328C0">
      <w:pPr>
        <w:rPr>
          <w:sz w:val="24"/>
          <w:szCs w:val="24"/>
        </w:rPr>
      </w:pPr>
      <w:r w:rsidRPr="004328C0">
        <w:rPr>
          <w:lang w:eastAsia="bg-BG"/>
        </w:rPr>
        <w:t>Таблетка</w:t>
      </w:r>
    </w:p>
    <w:p w14:paraId="5F3BEFF4" w14:textId="77777777" w:rsidR="004328C0" w:rsidRPr="004328C0" w:rsidRDefault="004328C0" w:rsidP="004328C0">
      <w:pPr>
        <w:rPr>
          <w:sz w:val="24"/>
          <w:szCs w:val="24"/>
        </w:rPr>
      </w:pPr>
      <w:r w:rsidRPr="004328C0">
        <w:rPr>
          <w:lang w:eastAsia="bg-BG"/>
        </w:rPr>
        <w:t xml:space="preserve">Плоски, бели таблетки без мирис, с правилна кръгла форма, двустранна фасета с делителна черта, диаметър 10 </w:t>
      </w:r>
      <w:r w:rsidRPr="004328C0">
        <w:rPr>
          <w:lang w:val="en-US"/>
        </w:rPr>
        <w:t>mm</w:t>
      </w:r>
      <w:r w:rsidRPr="004328C0">
        <w:rPr>
          <w:lang w:val="ru-RU"/>
        </w:rPr>
        <w:t xml:space="preserve">. </w:t>
      </w:r>
      <w:r w:rsidRPr="004328C0">
        <w:rPr>
          <w:lang w:eastAsia="bg-BG"/>
        </w:rPr>
        <w:t>Таблетките могат да се разделят на две равни половини.</w:t>
      </w:r>
    </w:p>
    <w:p w14:paraId="0992C029" w14:textId="77777777" w:rsidR="004328C0" w:rsidRPr="004328C0" w:rsidRDefault="004328C0" w:rsidP="004328C0"/>
    <w:p w14:paraId="490FC2C4" w14:textId="32682B15" w:rsidR="002C50EE" w:rsidRDefault="002C50EE" w:rsidP="002C50EE">
      <w:pPr>
        <w:pStyle w:val="Heading1"/>
      </w:pPr>
      <w:r>
        <w:t>4. КЛИНИЧНИ ДАННИ</w:t>
      </w:r>
    </w:p>
    <w:p w14:paraId="0C8E6903" w14:textId="19713B3C" w:rsidR="008134C8" w:rsidRDefault="002C50EE" w:rsidP="004A448E">
      <w:pPr>
        <w:pStyle w:val="Heading2"/>
      </w:pPr>
      <w:r>
        <w:t>4.1. Терапевтични показания</w:t>
      </w:r>
    </w:p>
    <w:p w14:paraId="27FA2D3D" w14:textId="43A638BA" w:rsidR="004328C0" w:rsidRDefault="004328C0" w:rsidP="004328C0"/>
    <w:p w14:paraId="2DA3E377" w14:textId="77777777" w:rsidR="004328C0" w:rsidRPr="004328C0" w:rsidRDefault="004328C0" w:rsidP="004328C0">
      <w:pPr>
        <w:rPr>
          <w:sz w:val="24"/>
          <w:szCs w:val="24"/>
        </w:rPr>
      </w:pPr>
      <w:r w:rsidRPr="004328C0">
        <w:rPr>
          <w:lang w:eastAsia="bg-BG"/>
        </w:rPr>
        <w:t>Лечение на:</w:t>
      </w:r>
    </w:p>
    <w:p w14:paraId="616FDB71" w14:textId="77777777" w:rsidR="004328C0" w:rsidRPr="004328C0" w:rsidRDefault="004328C0" w:rsidP="004328C0">
      <w:pPr>
        <w:pStyle w:val="ListParagraph"/>
        <w:numPr>
          <w:ilvl w:val="0"/>
          <w:numId w:val="35"/>
        </w:numPr>
        <w:rPr>
          <w:sz w:val="24"/>
          <w:szCs w:val="24"/>
        </w:rPr>
      </w:pPr>
      <w:r w:rsidRPr="004328C0">
        <w:rPr>
          <w:lang w:eastAsia="bg-BG"/>
        </w:rPr>
        <w:t>стабилна стенокардия;</w:t>
      </w:r>
    </w:p>
    <w:p w14:paraId="6DA94417" w14:textId="77777777" w:rsidR="004328C0" w:rsidRPr="004328C0" w:rsidRDefault="004328C0" w:rsidP="004328C0">
      <w:pPr>
        <w:pStyle w:val="ListParagraph"/>
        <w:numPr>
          <w:ilvl w:val="0"/>
          <w:numId w:val="35"/>
        </w:numPr>
        <w:rPr>
          <w:sz w:val="24"/>
          <w:szCs w:val="24"/>
        </w:rPr>
      </w:pPr>
      <w:r w:rsidRPr="004328C0">
        <w:rPr>
          <w:lang w:eastAsia="bg-BG"/>
        </w:rPr>
        <w:t>вазоспастична стенокардия;</w:t>
      </w:r>
    </w:p>
    <w:p w14:paraId="375308F6" w14:textId="56F41A7E" w:rsidR="004328C0" w:rsidRPr="004328C0" w:rsidRDefault="004328C0" w:rsidP="004328C0">
      <w:pPr>
        <w:pStyle w:val="ListParagraph"/>
        <w:numPr>
          <w:ilvl w:val="0"/>
          <w:numId w:val="35"/>
        </w:numPr>
        <w:rPr>
          <w:sz w:val="24"/>
          <w:szCs w:val="24"/>
        </w:rPr>
      </w:pPr>
      <w:r w:rsidRPr="004328C0">
        <w:rPr>
          <w:lang w:eastAsia="bg-BG"/>
        </w:rPr>
        <w:t>артериална хипертония - самостоятелно или в комбинация с други антихипертензивни лекарствени продукти.</w:t>
      </w:r>
    </w:p>
    <w:p w14:paraId="5ADB20EB" w14:textId="77777777" w:rsidR="004328C0" w:rsidRPr="004328C0" w:rsidRDefault="004328C0" w:rsidP="004328C0"/>
    <w:p w14:paraId="30BE2C7B" w14:textId="11A60AEA" w:rsidR="008134C8" w:rsidRDefault="002C50EE" w:rsidP="004A448E">
      <w:pPr>
        <w:pStyle w:val="Heading2"/>
      </w:pPr>
      <w:r>
        <w:t>4.2. Дозировка и начин на приложение</w:t>
      </w:r>
    </w:p>
    <w:p w14:paraId="29FD5D7E" w14:textId="77F8843C" w:rsidR="004328C0" w:rsidRDefault="004328C0" w:rsidP="004328C0"/>
    <w:p w14:paraId="433E152C"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Дозата е индивидуална, в зависимост от тежестта на заболяването и трябва внимателно да бъде титрирана за всеки пациент.</w:t>
      </w:r>
    </w:p>
    <w:p w14:paraId="351867B4" w14:textId="77777777" w:rsidR="004328C0" w:rsidRPr="004328C0" w:rsidRDefault="004328C0" w:rsidP="004328C0">
      <w:pPr>
        <w:spacing w:line="240" w:lineRule="auto"/>
        <w:rPr>
          <w:rFonts w:eastAsia="Times New Roman" w:cs="Arial"/>
          <w:color w:val="000000"/>
          <w:u w:val="single"/>
          <w:lang w:eastAsia="bg-BG"/>
        </w:rPr>
      </w:pPr>
    </w:p>
    <w:p w14:paraId="3FBF15BF" w14:textId="61487E0B" w:rsidR="004328C0" w:rsidRPr="004328C0" w:rsidRDefault="004328C0" w:rsidP="004328C0">
      <w:pPr>
        <w:pStyle w:val="Heading3"/>
        <w:rPr>
          <w:rFonts w:eastAsia="Times New Roman"/>
          <w:u w:val="single"/>
        </w:rPr>
      </w:pPr>
      <w:r w:rsidRPr="004328C0">
        <w:rPr>
          <w:rFonts w:eastAsia="Times New Roman"/>
          <w:u w:val="single"/>
          <w:lang w:eastAsia="bg-BG"/>
        </w:rPr>
        <w:t>Дозировка</w:t>
      </w:r>
    </w:p>
    <w:p w14:paraId="70720576" w14:textId="77777777" w:rsidR="004328C0" w:rsidRPr="004328C0" w:rsidRDefault="004328C0" w:rsidP="004328C0">
      <w:pPr>
        <w:spacing w:line="240" w:lineRule="auto"/>
        <w:rPr>
          <w:rFonts w:eastAsia="Times New Roman" w:cs="Arial"/>
          <w:i/>
          <w:iCs/>
          <w:color w:val="000000"/>
          <w:u w:val="single"/>
          <w:lang w:eastAsia="bg-BG"/>
        </w:rPr>
      </w:pPr>
    </w:p>
    <w:p w14:paraId="20B223AB" w14:textId="0B8B0CAD" w:rsidR="004328C0" w:rsidRPr="004328C0" w:rsidRDefault="004328C0" w:rsidP="004328C0">
      <w:pPr>
        <w:spacing w:line="240" w:lineRule="auto"/>
        <w:rPr>
          <w:rFonts w:eastAsia="Times New Roman" w:cs="Arial"/>
        </w:rPr>
      </w:pPr>
      <w:r w:rsidRPr="004328C0">
        <w:rPr>
          <w:rFonts w:eastAsia="Times New Roman" w:cs="Arial"/>
          <w:i/>
          <w:iCs/>
          <w:color w:val="000000"/>
          <w:u w:val="single"/>
          <w:lang w:eastAsia="bg-BG"/>
        </w:rPr>
        <w:t>Възрастни</w:t>
      </w:r>
    </w:p>
    <w:p w14:paraId="6D0F2472"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 xml:space="preserve">Обичайната доза е по 1 таблетка (60 </w:t>
      </w:r>
      <w:r w:rsidRPr="004328C0">
        <w:rPr>
          <w:rFonts w:eastAsia="Times New Roman" w:cs="Arial"/>
          <w:color w:val="000000"/>
          <w:lang w:val="en-US"/>
        </w:rPr>
        <w:t>mg</w:t>
      </w:r>
      <w:r w:rsidRPr="004328C0">
        <w:rPr>
          <w:rFonts w:eastAsia="Times New Roman" w:cs="Arial"/>
          <w:color w:val="000000"/>
          <w:lang w:val="ru-RU"/>
        </w:rPr>
        <w:t xml:space="preserve">) </w:t>
      </w:r>
      <w:r w:rsidRPr="004328C0">
        <w:rPr>
          <w:rFonts w:eastAsia="Times New Roman" w:cs="Arial"/>
          <w:color w:val="000000"/>
          <w:lang w:eastAsia="bg-BG"/>
        </w:rPr>
        <w:t xml:space="preserve">3 пъти дневно. Отговорът при пациентите може да варира и дневната доза може постепенно да се повишава през 1-2 дни до постигане на оптимален терапевтичен ефект. Денонощната доза е различна при отделните пациенти и варира от 180 до 240 </w:t>
      </w:r>
      <w:r w:rsidRPr="004328C0">
        <w:rPr>
          <w:rFonts w:eastAsia="Times New Roman" w:cs="Arial"/>
          <w:color w:val="000000"/>
          <w:lang w:val="en-US"/>
        </w:rPr>
        <w:t>mg</w:t>
      </w:r>
      <w:r w:rsidRPr="004328C0">
        <w:rPr>
          <w:rFonts w:eastAsia="Times New Roman" w:cs="Arial"/>
          <w:color w:val="000000"/>
          <w:lang w:val="ru-RU"/>
        </w:rPr>
        <w:t xml:space="preserve">, </w:t>
      </w:r>
      <w:r w:rsidRPr="004328C0">
        <w:rPr>
          <w:rFonts w:eastAsia="Times New Roman" w:cs="Arial"/>
          <w:color w:val="000000"/>
          <w:lang w:eastAsia="bg-BG"/>
        </w:rPr>
        <w:t xml:space="preserve">разпределена в 3-4 приема. Максималната денонощна доза е </w:t>
      </w:r>
      <w:r w:rsidRPr="004328C0">
        <w:rPr>
          <w:rFonts w:eastAsia="Times New Roman" w:cs="Arial"/>
          <w:color w:val="000000"/>
          <w:lang w:eastAsia="bg-BG"/>
        </w:rPr>
        <w:lastRenderedPageBreak/>
        <w:t xml:space="preserve">360 </w:t>
      </w:r>
      <w:r w:rsidRPr="004328C0">
        <w:rPr>
          <w:rFonts w:eastAsia="Times New Roman" w:cs="Arial"/>
          <w:color w:val="000000"/>
          <w:lang w:val="en-US"/>
        </w:rPr>
        <w:t>mg</w:t>
      </w:r>
      <w:r w:rsidRPr="004328C0">
        <w:rPr>
          <w:rFonts w:eastAsia="Times New Roman" w:cs="Arial"/>
          <w:color w:val="000000"/>
          <w:lang w:val="ru-RU"/>
        </w:rPr>
        <w:t xml:space="preserve">, </w:t>
      </w:r>
      <w:r w:rsidRPr="004328C0">
        <w:rPr>
          <w:rFonts w:eastAsia="Times New Roman" w:cs="Arial"/>
          <w:color w:val="000000"/>
          <w:lang w:eastAsia="bg-BG"/>
        </w:rPr>
        <w:t xml:space="preserve">разпределена в 3-4 приема. Понякога, при пациенти с нестабилна стенокардия се прилагат по- високи дози, до 480 </w:t>
      </w:r>
      <w:r w:rsidRPr="004328C0">
        <w:rPr>
          <w:rFonts w:eastAsia="Times New Roman" w:cs="Arial"/>
          <w:color w:val="000000"/>
          <w:lang w:val="en-US"/>
        </w:rPr>
        <w:t>mg</w:t>
      </w:r>
      <w:r w:rsidRPr="004328C0">
        <w:rPr>
          <w:rFonts w:eastAsia="Times New Roman" w:cs="Arial"/>
          <w:color w:val="000000"/>
          <w:lang w:val="ru-RU"/>
        </w:rPr>
        <w:t>/24</w:t>
      </w:r>
      <w:r w:rsidRPr="004328C0">
        <w:rPr>
          <w:rFonts w:eastAsia="Times New Roman" w:cs="Arial"/>
          <w:color w:val="000000"/>
          <w:lang w:val="en-US"/>
        </w:rPr>
        <w:t>h</w:t>
      </w:r>
      <w:r w:rsidRPr="004328C0">
        <w:rPr>
          <w:rFonts w:eastAsia="Times New Roman" w:cs="Arial"/>
          <w:color w:val="000000"/>
          <w:lang w:val="ru-RU"/>
        </w:rPr>
        <w:t>.</w:t>
      </w:r>
    </w:p>
    <w:p w14:paraId="6E6F5679" w14:textId="77777777" w:rsidR="004328C0" w:rsidRPr="004328C0" w:rsidRDefault="004328C0" w:rsidP="004328C0">
      <w:pPr>
        <w:spacing w:line="240" w:lineRule="auto"/>
        <w:rPr>
          <w:rFonts w:eastAsia="Times New Roman" w:cs="Arial"/>
          <w:i/>
          <w:iCs/>
          <w:color w:val="000000"/>
          <w:u w:val="single"/>
          <w:lang w:eastAsia="bg-BG"/>
        </w:rPr>
      </w:pPr>
    </w:p>
    <w:p w14:paraId="78F614A2" w14:textId="044F39F6" w:rsidR="004328C0" w:rsidRPr="004328C0" w:rsidRDefault="004328C0" w:rsidP="004328C0">
      <w:pPr>
        <w:spacing w:line="240" w:lineRule="auto"/>
        <w:rPr>
          <w:rFonts w:eastAsia="Times New Roman" w:cs="Arial"/>
        </w:rPr>
      </w:pPr>
      <w:r w:rsidRPr="004328C0">
        <w:rPr>
          <w:rFonts w:eastAsia="Times New Roman" w:cs="Arial"/>
          <w:i/>
          <w:iCs/>
          <w:color w:val="000000"/>
          <w:u w:val="single"/>
          <w:lang w:eastAsia="bg-BG"/>
        </w:rPr>
        <w:t xml:space="preserve">Пациенти над 65-годишна възраст, пациенти с увредена чернодробна или бъбречна функция </w:t>
      </w:r>
      <w:r w:rsidRPr="004328C0">
        <w:rPr>
          <w:rFonts w:eastAsia="Times New Roman" w:cs="Arial"/>
          <w:color w:val="000000"/>
          <w:lang w:eastAsia="bg-BG"/>
        </w:rPr>
        <w:t xml:space="preserve">Препоръчва се начална доза от 1 таблетка (60 </w:t>
      </w:r>
      <w:r w:rsidRPr="004328C0">
        <w:rPr>
          <w:rFonts w:eastAsia="Times New Roman" w:cs="Arial"/>
          <w:color w:val="000000"/>
          <w:lang w:val="en-US"/>
        </w:rPr>
        <w:t>mg</w:t>
      </w:r>
      <w:r w:rsidRPr="004328C0">
        <w:rPr>
          <w:rFonts w:eastAsia="Times New Roman" w:cs="Arial"/>
          <w:color w:val="000000"/>
          <w:lang w:val="ru-RU"/>
        </w:rPr>
        <w:t xml:space="preserve">) </w:t>
      </w:r>
      <w:r w:rsidRPr="004328C0">
        <w:rPr>
          <w:rFonts w:eastAsia="Times New Roman" w:cs="Arial"/>
          <w:color w:val="000000"/>
          <w:lang w:eastAsia="bg-BG"/>
        </w:rPr>
        <w:t>2 пъти дневно.</w:t>
      </w:r>
    </w:p>
    <w:p w14:paraId="1382885C"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При такива пациенти е необходимо по-бавно повишаване на дозата и установяване на по-ниски поддържащи дози. Не трябва да се предприема повишаване на дозата, ако сърдечната честота е под 40 удара</w:t>
      </w:r>
      <w:r w:rsidRPr="004328C0">
        <w:rPr>
          <w:rFonts w:eastAsia="Times New Roman" w:cs="Arial"/>
          <w:color w:val="000000"/>
          <w:lang w:val="ru-RU"/>
        </w:rPr>
        <w:t>/</w:t>
      </w:r>
      <w:r w:rsidRPr="004328C0">
        <w:rPr>
          <w:rFonts w:eastAsia="Times New Roman" w:cs="Arial"/>
          <w:color w:val="000000"/>
          <w:lang w:val="en-US"/>
        </w:rPr>
        <w:t>min</w:t>
      </w:r>
      <w:r w:rsidRPr="004328C0">
        <w:rPr>
          <w:rFonts w:eastAsia="Times New Roman" w:cs="Arial"/>
          <w:color w:val="000000"/>
          <w:lang w:val="ru-RU"/>
        </w:rPr>
        <w:t xml:space="preserve">. </w:t>
      </w:r>
      <w:r w:rsidRPr="004328C0">
        <w:rPr>
          <w:rFonts w:eastAsia="Times New Roman" w:cs="Arial"/>
          <w:color w:val="000000"/>
          <w:lang w:eastAsia="bg-BG"/>
        </w:rPr>
        <w:t>В такива случаи е уместно прекратяване на приема или намаляване на дозата. Необходимо е да се прилага с внимание при пациенти с бъбречно или чернодробно увре</w:t>
      </w:r>
      <w:r w:rsidRPr="004328C0">
        <w:rPr>
          <w:rFonts w:eastAsia="Times New Roman" w:cs="Arial"/>
          <w:color w:val="000000"/>
          <w:u w:val="single"/>
          <w:lang w:eastAsia="bg-BG"/>
        </w:rPr>
        <w:t xml:space="preserve">ждане </w:t>
      </w:r>
      <w:r w:rsidRPr="004328C0">
        <w:rPr>
          <w:rFonts w:eastAsia="Times New Roman" w:cs="Arial"/>
          <w:color w:val="000000"/>
          <w:lang w:eastAsia="bg-BG"/>
        </w:rPr>
        <w:t>(вж. точка 4.4).</w:t>
      </w:r>
    </w:p>
    <w:p w14:paraId="26FAAF32" w14:textId="77777777" w:rsidR="004328C0" w:rsidRPr="004328C0" w:rsidRDefault="004328C0" w:rsidP="004328C0">
      <w:pPr>
        <w:rPr>
          <w:rFonts w:eastAsia="Times New Roman" w:cs="Arial"/>
          <w:i/>
          <w:iCs/>
          <w:color w:val="000000"/>
          <w:u w:val="single"/>
          <w:lang w:eastAsia="bg-BG"/>
        </w:rPr>
      </w:pPr>
    </w:p>
    <w:p w14:paraId="13F5ED5B" w14:textId="7A1FE5D4" w:rsidR="004328C0" w:rsidRPr="004328C0" w:rsidRDefault="004328C0" w:rsidP="004328C0">
      <w:pPr>
        <w:rPr>
          <w:rFonts w:eastAsia="Times New Roman" w:cs="Arial"/>
          <w:i/>
          <w:iCs/>
          <w:color w:val="000000"/>
          <w:u w:val="single"/>
          <w:lang w:eastAsia="bg-BG"/>
        </w:rPr>
      </w:pPr>
      <w:r w:rsidRPr="004328C0">
        <w:rPr>
          <w:rFonts w:eastAsia="Times New Roman" w:cs="Arial"/>
          <w:i/>
          <w:iCs/>
          <w:color w:val="000000"/>
          <w:u w:val="single"/>
          <w:lang w:eastAsia="bg-BG"/>
        </w:rPr>
        <w:t>Педиатрична популация</w:t>
      </w:r>
    </w:p>
    <w:p w14:paraId="4092C164"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Ефикасността и безопасността при деца не е доказана, поради което не се препоръчва употребата му в тази възрастова група.</w:t>
      </w:r>
    </w:p>
    <w:p w14:paraId="4A072FC5" w14:textId="77777777" w:rsidR="004328C0" w:rsidRPr="004328C0" w:rsidRDefault="004328C0" w:rsidP="004328C0">
      <w:pPr>
        <w:spacing w:line="240" w:lineRule="auto"/>
        <w:rPr>
          <w:rFonts w:eastAsia="Times New Roman" w:cs="Arial"/>
          <w:color w:val="000000"/>
          <w:u w:val="single"/>
          <w:lang w:eastAsia="bg-BG"/>
        </w:rPr>
      </w:pPr>
    </w:p>
    <w:p w14:paraId="5911EBE6" w14:textId="00DA193F" w:rsidR="004328C0" w:rsidRPr="004328C0" w:rsidRDefault="004328C0" w:rsidP="004328C0">
      <w:pPr>
        <w:pStyle w:val="Heading3"/>
        <w:rPr>
          <w:rFonts w:eastAsia="Times New Roman"/>
          <w:u w:val="single"/>
        </w:rPr>
      </w:pPr>
      <w:r w:rsidRPr="004328C0">
        <w:rPr>
          <w:rFonts w:eastAsia="Times New Roman"/>
          <w:u w:val="single"/>
          <w:lang w:eastAsia="bg-BG"/>
        </w:rPr>
        <w:t>Начин на приложение</w:t>
      </w:r>
    </w:p>
    <w:p w14:paraId="1F93B6D7"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Таблетките се приемат перорално преди хранене.</w:t>
      </w:r>
    </w:p>
    <w:p w14:paraId="34C0FFF6" w14:textId="77777777" w:rsidR="004328C0" w:rsidRPr="004328C0" w:rsidRDefault="004328C0" w:rsidP="004328C0"/>
    <w:p w14:paraId="28C984E8" w14:textId="6C58B4AC" w:rsidR="008134C8" w:rsidRDefault="002C50EE" w:rsidP="004A448E">
      <w:pPr>
        <w:pStyle w:val="Heading2"/>
      </w:pPr>
      <w:r>
        <w:t>4.3. Противопоказания</w:t>
      </w:r>
    </w:p>
    <w:p w14:paraId="221828AA" w14:textId="13DCD71B" w:rsidR="004328C0" w:rsidRDefault="004328C0" w:rsidP="004328C0"/>
    <w:p w14:paraId="5F8D6588" w14:textId="77777777"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0F6CBF22" w14:textId="77777777"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eastAsia="bg-BG"/>
        </w:rPr>
        <w:t>Застойна сърдечна недостатъчност с белодробен застой</w:t>
      </w:r>
    </w:p>
    <w:p w14:paraId="014B0E97" w14:textId="77777777"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eastAsia="bg-BG"/>
        </w:rPr>
        <w:t>Синдром на болния синусов възел (с изключение на пациенти с функциониращ кардиостимулатор)</w:t>
      </w:r>
    </w:p>
    <w:p w14:paraId="31439DEB" w14:textId="77777777"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val="en-US"/>
        </w:rPr>
        <w:t>SA</w:t>
      </w:r>
      <w:r w:rsidRPr="004328C0">
        <w:rPr>
          <w:rFonts w:eastAsia="Times New Roman" w:cs="Arial"/>
          <w:color w:val="000000"/>
          <w:lang w:eastAsia="bg-BG"/>
        </w:rPr>
        <w:t xml:space="preserve">-блок, </w:t>
      </w:r>
      <w:r w:rsidRPr="004328C0">
        <w:rPr>
          <w:rFonts w:eastAsia="Times New Roman" w:cs="Arial"/>
          <w:color w:val="000000"/>
          <w:lang w:val="en-US"/>
        </w:rPr>
        <w:t>AV</w:t>
      </w:r>
      <w:r w:rsidRPr="004328C0">
        <w:rPr>
          <w:rFonts w:eastAsia="Times New Roman" w:cs="Arial"/>
          <w:color w:val="000000"/>
          <w:lang w:eastAsia="bg-BG"/>
        </w:rPr>
        <w:t xml:space="preserve">-блок </w:t>
      </w:r>
      <w:r w:rsidRPr="004328C0">
        <w:rPr>
          <w:rFonts w:eastAsia="Times New Roman" w:cs="Arial"/>
          <w:color w:val="000000"/>
          <w:lang w:val="en-US"/>
        </w:rPr>
        <w:t>II</w:t>
      </w:r>
      <w:r w:rsidRPr="004328C0">
        <w:rPr>
          <w:rFonts w:eastAsia="Times New Roman" w:cs="Arial"/>
          <w:color w:val="000000"/>
          <w:lang w:eastAsia="bg-BG"/>
        </w:rPr>
        <w:t xml:space="preserve"> или </w:t>
      </w:r>
      <w:r w:rsidRPr="004328C0">
        <w:rPr>
          <w:rFonts w:eastAsia="Times New Roman" w:cs="Arial"/>
          <w:color w:val="000000"/>
          <w:lang w:val="en-US"/>
        </w:rPr>
        <w:t>III</w:t>
      </w:r>
      <w:r w:rsidRPr="004328C0">
        <w:rPr>
          <w:rFonts w:eastAsia="Times New Roman" w:cs="Arial"/>
          <w:color w:val="000000"/>
          <w:lang w:eastAsia="bg-BG"/>
        </w:rPr>
        <w:t xml:space="preserve"> степен (с изключение на пациенти с функциониращ кардиостимулатор)</w:t>
      </w:r>
    </w:p>
    <w:p w14:paraId="77F8D298" w14:textId="77777777"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eastAsia="bg-BG"/>
        </w:rPr>
        <w:t xml:space="preserve">Хипотония (систолно налягане &lt; 90 </w:t>
      </w:r>
      <w:r w:rsidRPr="004328C0">
        <w:rPr>
          <w:rFonts w:eastAsia="Times New Roman" w:cs="Arial"/>
          <w:color w:val="000000"/>
          <w:lang w:val="en-US"/>
        </w:rPr>
        <w:t>mm</w:t>
      </w:r>
      <w:r w:rsidRPr="004328C0">
        <w:rPr>
          <w:rFonts w:eastAsia="Times New Roman" w:cs="Arial"/>
          <w:color w:val="000000"/>
          <w:lang w:val="ru-RU"/>
        </w:rPr>
        <w:t xml:space="preserve"> </w:t>
      </w:r>
      <w:r w:rsidRPr="004328C0">
        <w:rPr>
          <w:rFonts w:eastAsia="Times New Roman" w:cs="Arial"/>
          <w:color w:val="000000"/>
          <w:lang w:val="en-US"/>
        </w:rPr>
        <w:t>Hg</w:t>
      </w:r>
      <w:r w:rsidRPr="004328C0">
        <w:rPr>
          <w:rFonts w:eastAsia="Times New Roman" w:cs="Arial"/>
          <w:color w:val="000000"/>
          <w:lang w:val="ru-RU"/>
        </w:rPr>
        <w:t xml:space="preserve">) </w:t>
      </w:r>
      <w:r w:rsidRPr="004328C0">
        <w:rPr>
          <w:rFonts w:eastAsia="Times New Roman" w:cs="Arial"/>
          <w:color w:val="000000"/>
          <w:lang w:eastAsia="bg-BG"/>
        </w:rPr>
        <w:t>или кардиогенен шок</w:t>
      </w:r>
    </w:p>
    <w:p w14:paraId="40AAEA46" w14:textId="77777777"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eastAsia="bg-BG"/>
        </w:rPr>
        <w:t>Изразена брадикардия (пулс под 40 удара</w:t>
      </w:r>
      <w:r w:rsidRPr="004328C0">
        <w:rPr>
          <w:rFonts w:eastAsia="Times New Roman" w:cs="Arial"/>
          <w:color w:val="000000"/>
          <w:lang w:val="ru-RU"/>
        </w:rPr>
        <w:t>/</w:t>
      </w:r>
      <w:r w:rsidRPr="004328C0">
        <w:rPr>
          <w:rFonts w:eastAsia="Times New Roman" w:cs="Arial"/>
          <w:color w:val="000000"/>
          <w:lang w:val="en-US"/>
        </w:rPr>
        <w:t>min</w:t>
      </w:r>
      <w:r w:rsidRPr="004328C0">
        <w:rPr>
          <w:rFonts w:eastAsia="Times New Roman" w:cs="Arial"/>
          <w:color w:val="000000"/>
          <w:lang w:val="ru-RU"/>
        </w:rPr>
        <w:t>)</w:t>
      </w:r>
    </w:p>
    <w:p w14:paraId="3F60173C" w14:textId="77777777"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eastAsia="bg-BG"/>
        </w:rPr>
        <w:t>Бременност, кърмене и жени в детеродна възраст, неползващи ефективна контрацепция</w:t>
      </w:r>
    </w:p>
    <w:p w14:paraId="63FB202A" w14:textId="77777777"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eastAsia="bg-BG"/>
        </w:rPr>
        <w:t>Едновременна употреба с дантролен (инфузия), вж. точка 4.5</w:t>
      </w:r>
    </w:p>
    <w:p w14:paraId="1A392D09" w14:textId="60A2E369"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eastAsia="bg-BG"/>
        </w:rPr>
        <w:t>Едновременното приложение с ивабрадин (вж. точка 4.5).</w:t>
      </w:r>
    </w:p>
    <w:p w14:paraId="1A34D604" w14:textId="77777777" w:rsidR="004328C0" w:rsidRPr="004328C0" w:rsidRDefault="004328C0" w:rsidP="004328C0"/>
    <w:p w14:paraId="212F509C" w14:textId="340DDB94" w:rsidR="004F498A" w:rsidRDefault="002C50EE" w:rsidP="004A448E">
      <w:pPr>
        <w:pStyle w:val="Heading2"/>
      </w:pPr>
      <w:r>
        <w:t>4.4. Специални предупреждения и предпазни мерки при употреба</w:t>
      </w:r>
    </w:p>
    <w:p w14:paraId="12AD7AF6" w14:textId="2452D9B4" w:rsidR="004328C0" w:rsidRDefault="004328C0" w:rsidP="004328C0"/>
    <w:p w14:paraId="3631BE78" w14:textId="77777777"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eastAsia="bg-BG"/>
        </w:rPr>
        <w:t xml:space="preserve">Дилтиазем трябва да се прилага с особено внимание при пациенти с понижена левокамерна функция, брадикардия (риск от задълбочаване), както и при пациенти с </w:t>
      </w:r>
      <w:r w:rsidRPr="004328C0">
        <w:rPr>
          <w:rFonts w:eastAsia="Times New Roman" w:cs="Arial"/>
          <w:color w:val="000000"/>
          <w:lang w:val="en-US"/>
        </w:rPr>
        <w:t>AV</w:t>
      </w:r>
      <w:r w:rsidRPr="004328C0">
        <w:rPr>
          <w:rFonts w:eastAsia="Times New Roman" w:cs="Arial"/>
          <w:color w:val="000000"/>
          <w:lang w:eastAsia="bg-BG"/>
        </w:rPr>
        <w:t>-блок I степен (риск от екзацербация и по-рядко развитие на пълен сърдечен блок).</w:t>
      </w:r>
    </w:p>
    <w:p w14:paraId="4EDA9AA4" w14:textId="77777777"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eastAsia="bg-BG"/>
        </w:rPr>
        <w:t>При започване на лечение с дилтиазем, особено в началото, понижаването на артериалното налягане в единични случаи може да доведе до симптоматична хипотония, поради което е необходимо редовното му контролиране.</w:t>
      </w:r>
    </w:p>
    <w:p w14:paraId="549C31B4" w14:textId="77777777"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eastAsia="bg-BG"/>
        </w:rPr>
        <w:t>По време на лечение с дилтиазем е необходимо периодично проследяване на функционалните чернодробни показатели, поради съществуващия риск от транзиторно повишаване на трансаминазите, алкалната фосфатаза и билирубин.</w:t>
      </w:r>
    </w:p>
    <w:p w14:paraId="311D3743" w14:textId="77777777"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eastAsia="bg-BG"/>
        </w:rPr>
        <w:t>Особено внимание и преценка на терапията се изисква при пациенти с умерена до клинично изразена сърдечна недостатъчност или на терапия с бета-блокери.</w:t>
      </w:r>
    </w:p>
    <w:p w14:paraId="7F34AD99" w14:textId="77777777"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eastAsia="bg-BG"/>
        </w:rPr>
        <w:lastRenderedPageBreak/>
        <w:t>Дилтиазем интензивно се метаболизира в черния дроб и се екскретира чрез бъбреците и жлъчката, поради което е необходимо да се прилага с особено внимание при пациенти в напреднала възраст и пациенти с увредена чернодробна или бъбречна функция.</w:t>
      </w:r>
    </w:p>
    <w:p w14:paraId="24133702" w14:textId="77777777"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eastAsia="bg-BG"/>
        </w:rPr>
        <w:t>При обща анестезия е необходимо анестезиологът да бъде информиран, че пациента провежда лечение с дилтиазем. Потискането на сърдечния контрактилитет, проводимост и автоматизъм, както и вазодилатацията, свързани с анестезията, могат да бъдат засилени от блокери на калциевите канали.</w:t>
      </w:r>
    </w:p>
    <w:p w14:paraId="56FEA171" w14:textId="77777777"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eastAsia="bg-BG"/>
        </w:rPr>
        <w:t>Приемането на дилтиазем може да се свърже с промени в настроението, включително депресивни състояния.</w:t>
      </w:r>
    </w:p>
    <w:p w14:paraId="48B98109" w14:textId="77777777"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eastAsia="bg-BG"/>
        </w:rPr>
        <w:t>Калциевите антагонисти имат потискащ ефект върху чревния мотилитет и трябва да се употребяват с внимание при риск от чревна обструкция.</w:t>
      </w:r>
    </w:p>
    <w:p w14:paraId="0C4A49D2" w14:textId="77777777"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eastAsia="bg-BG"/>
        </w:rPr>
        <w:t>Прекратяването на лечението с дилтиазем е необходимо да става постепенно поради риск от провокиране на ангинозна симптоматика.</w:t>
      </w:r>
    </w:p>
    <w:p w14:paraId="00DE60A3" w14:textId="77777777"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eastAsia="bg-BG"/>
        </w:rPr>
        <w:t>Кожни реакции, възникнали по време на лечение с дилтиазем, могат да прераснат в еритема мултиформе или ексфолиативен дерматит. При персистиране на кожни реакции лечението трябва да се прекрати.</w:t>
      </w:r>
    </w:p>
    <w:p w14:paraId="197699EC" w14:textId="0E4B7BF0" w:rsidR="004328C0" w:rsidRPr="004328C0" w:rsidRDefault="004328C0" w:rsidP="004328C0">
      <w:pPr>
        <w:pStyle w:val="ListParagraph"/>
        <w:numPr>
          <w:ilvl w:val="0"/>
          <w:numId w:val="35"/>
        </w:numPr>
        <w:spacing w:line="240" w:lineRule="auto"/>
        <w:rPr>
          <w:rFonts w:eastAsia="Times New Roman" w:cs="Arial"/>
        </w:rPr>
      </w:pPr>
      <w:r w:rsidRPr="004328C0">
        <w:rPr>
          <w:rFonts w:eastAsia="Times New Roman" w:cs="Arial"/>
          <w:color w:val="000000"/>
          <w:lang w:eastAsia="bg-BG"/>
        </w:rPr>
        <w:t xml:space="preserve">Лекарственият продукт съдържа помощно вещество лактоза. Пациенти с редки наследствени проблеми на галактозна непоносимост, </w:t>
      </w:r>
      <w:r w:rsidRPr="004328C0">
        <w:rPr>
          <w:rFonts w:eastAsia="Times New Roman" w:cs="Arial"/>
          <w:color w:val="000000"/>
          <w:lang w:val="en-US"/>
        </w:rPr>
        <w:t>Lapp</w:t>
      </w:r>
      <w:r w:rsidRPr="004328C0">
        <w:rPr>
          <w:rFonts w:eastAsia="Times New Roman" w:cs="Arial"/>
          <w:color w:val="000000"/>
          <w:lang w:eastAsia="bg-BG"/>
        </w:rPr>
        <w:t>-лактазен дефицит или глюкозо</w:t>
      </w:r>
      <w:r w:rsidRPr="004328C0">
        <w:rPr>
          <w:rFonts w:eastAsia="Times New Roman" w:cs="Arial"/>
          <w:color w:val="000000"/>
          <w:u w:val="single"/>
          <w:lang w:eastAsia="bg-BG"/>
        </w:rPr>
        <w:t xml:space="preserve"> </w:t>
      </w:r>
      <w:r w:rsidRPr="004328C0">
        <w:rPr>
          <w:rFonts w:eastAsia="Times New Roman" w:cs="Arial"/>
          <w:color w:val="000000"/>
          <w:lang w:eastAsia="bg-BG"/>
        </w:rPr>
        <w:t>галактозна малабсорбция не трябва да приемат това лекарство.</w:t>
      </w:r>
    </w:p>
    <w:p w14:paraId="1CAE7BD6" w14:textId="77777777" w:rsidR="004328C0" w:rsidRPr="004328C0" w:rsidRDefault="004328C0" w:rsidP="004328C0"/>
    <w:p w14:paraId="619DED1E" w14:textId="6E2DF466"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7405ED2E" w14:textId="2268FA52" w:rsidR="004328C0" w:rsidRDefault="004328C0" w:rsidP="004328C0"/>
    <w:p w14:paraId="1B0ACFFF" w14:textId="77777777" w:rsidR="004328C0" w:rsidRPr="004328C0" w:rsidRDefault="004328C0" w:rsidP="004328C0">
      <w:pPr>
        <w:pStyle w:val="ListParagraph"/>
        <w:numPr>
          <w:ilvl w:val="0"/>
          <w:numId w:val="35"/>
        </w:numPr>
        <w:spacing w:line="240" w:lineRule="auto"/>
        <w:rPr>
          <w:rFonts w:eastAsia="Times New Roman" w:cs="Arial"/>
          <w:color w:val="000000"/>
          <w:lang w:val="ru-RU" w:eastAsia="bg-BG"/>
        </w:rPr>
      </w:pPr>
      <w:r w:rsidRPr="004328C0">
        <w:rPr>
          <w:rFonts w:eastAsia="Times New Roman" w:cs="Arial"/>
          <w:color w:val="000000"/>
          <w:lang w:eastAsia="bg-BG"/>
        </w:rPr>
        <w:t>При едновременно приложение на дилтиазем и други антихипергензивни продукти (вазодилататори, АСЕ-инхибитори, диуретици, бета-блокери) се засилва антихипертензивния ефект.</w:t>
      </w:r>
    </w:p>
    <w:p w14:paraId="47017A92" w14:textId="77777777" w:rsidR="004328C0" w:rsidRPr="004328C0" w:rsidRDefault="004328C0" w:rsidP="004328C0">
      <w:pPr>
        <w:pStyle w:val="ListParagraph"/>
        <w:numPr>
          <w:ilvl w:val="0"/>
          <w:numId w:val="35"/>
        </w:numPr>
        <w:spacing w:line="240" w:lineRule="auto"/>
        <w:rPr>
          <w:rFonts w:eastAsia="Times New Roman" w:cs="Arial"/>
          <w:color w:val="000000"/>
          <w:lang w:val="ru-RU" w:eastAsia="bg-BG"/>
        </w:rPr>
      </w:pPr>
      <w:r w:rsidRPr="004328C0">
        <w:rPr>
          <w:rFonts w:eastAsia="Times New Roman" w:cs="Arial"/>
          <w:color w:val="000000"/>
          <w:lang w:eastAsia="bg-BG"/>
        </w:rPr>
        <w:t xml:space="preserve">Приложението на дилтиазем едновременно с антиаритмични средства (хинидин), инхалаторни анестетици, бета-блокери води до взаимно потенциране на сърдечно-съдовите ефекти (повишаване степента на </w:t>
      </w:r>
      <w:r w:rsidRPr="004328C0">
        <w:rPr>
          <w:rFonts w:eastAsia="Times New Roman" w:cs="Arial"/>
          <w:color w:val="000000"/>
          <w:lang w:val="en-US"/>
        </w:rPr>
        <w:t>AV</w:t>
      </w:r>
      <w:r w:rsidRPr="004328C0">
        <w:rPr>
          <w:rFonts w:eastAsia="Times New Roman" w:cs="Arial"/>
          <w:color w:val="000000"/>
          <w:lang w:eastAsia="bg-BG"/>
        </w:rPr>
        <w:t>-блок, понижаване на сърдечната честота, поява на сърдечна недостатъчност, хипотония). Едновременното приложение на дилтиазем с перорални бета-блокери и антиаритмични средства изисква по-често клинично и ЕКГ проследяване.</w:t>
      </w:r>
    </w:p>
    <w:p w14:paraId="7E5C3947" w14:textId="77777777" w:rsidR="004328C0" w:rsidRPr="004328C0" w:rsidRDefault="004328C0" w:rsidP="004328C0">
      <w:pPr>
        <w:pStyle w:val="ListParagraph"/>
        <w:numPr>
          <w:ilvl w:val="0"/>
          <w:numId w:val="35"/>
        </w:numPr>
        <w:spacing w:line="240" w:lineRule="auto"/>
        <w:rPr>
          <w:rFonts w:eastAsia="Times New Roman" w:cs="Arial"/>
          <w:color w:val="000000"/>
          <w:lang w:val="ru-RU" w:eastAsia="bg-BG"/>
        </w:rPr>
      </w:pPr>
      <w:r w:rsidRPr="004328C0">
        <w:rPr>
          <w:rFonts w:eastAsia="Times New Roman" w:cs="Arial"/>
          <w:color w:val="000000"/>
          <w:lang w:eastAsia="bg-BG"/>
        </w:rPr>
        <w:t>Интравенозното прилагане на бета-блокери трябва да се прекъсне по време на лечение с дилтиазем.</w:t>
      </w:r>
    </w:p>
    <w:p w14:paraId="0043DDF1" w14:textId="77777777" w:rsidR="004328C0" w:rsidRPr="004328C0" w:rsidRDefault="004328C0" w:rsidP="004328C0">
      <w:pPr>
        <w:pStyle w:val="ListParagraph"/>
        <w:numPr>
          <w:ilvl w:val="0"/>
          <w:numId w:val="35"/>
        </w:numPr>
        <w:spacing w:line="240" w:lineRule="auto"/>
        <w:rPr>
          <w:rFonts w:eastAsia="Times New Roman" w:cs="Arial"/>
          <w:color w:val="000000"/>
          <w:lang w:val="ru-RU" w:eastAsia="bg-BG"/>
        </w:rPr>
      </w:pPr>
      <w:r w:rsidRPr="004328C0">
        <w:rPr>
          <w:rFonts w:eastAsia="Times New Roman" w:cs="Arial"/>
          <w:color w:val="000000"/>
          <w:lang w:eastAsia="bg-BG"/>
        </w:rPr>
        <w:t>Дилтиазем може да повиши серумното ниво на дигоксин при едновременна употреба, което от своя страна може да доведе до дигиталисова интоксикация. Поради това, при едновременно приложение на дилтиазем и дигоксин е необходимо мониториране на плазмените концентрации на дигоксин и при необходимост корекция на дозировката му.</w:t>
      </w:r>
    </w:p>
    <w:p w14:paraId="3E950418" w14:textId="77777777" w:rsidR="004328C0" w:rsidRPr="004328C0" w:rsidRDefault="004328C0" w:rsidP="004328C0">
      <w:pPr>
        <w:pStyle w:val="ListParagraph"/>
        <w:numPr>
          <w:ilvl w:val="0"/>
          <w:numId w:val="35"/>
        </w:numPr>
        <w:spacing w:line="240" w:lineRule="auto"/>
        <w:rPr>
          <w:rFonts w:eastAsia="Times New Roman" w:cs="Arial"/>
          <w:color w:val="000000"/>
          <w:lang w:val="ru-RU" w:eastAsia="bg-BG"/>
        </w:rPr>
      </w:pPr>
      <w:r w:rsidRPr="004328C0">
        <w:rPr>
          <w:rFonts w:eastAsia="Times New Roman" w:cs="Arial"/>
          <w:color w:val="000000"/>
          <w:lang w:eastAsia="bg-BG"/>
        </w:rPr>
        <w:t>Дилтиазем може да повиши плазмените концентрации на карбамазепин при едновременното им приложение и съответно да доведе до появата на такива нежелани реакции като диплопия, главоболие, атаксия или замайване.</w:t>
      </w:r>
    </w:p>
    <w:p w14:paraId="0BD5250E" w14:textId="77777777" w:rsidR="004328C0" w:rsidRPr="004328C0" w:rsidRDefault="004328C0" w:rsidP="004328C0">
      <w:pPr>
        <w:pStyle w:val="ListParagraph"/>
        <w:numPr>
          <w:ilvl w:val="0"/>
          <w:numId w:val="35"/>
        </w:numPr>
        <w:spacing w:line="240" w:lineRule="auto"/>
        <w:rPr>
          <w:rFonts w:eastAsia="Times New Roman" w:cs="Arial"/>
          <w:color w:val="000000"/>
          <w:lang w:val="ru-RU" w:eastAsia="bg-BG"/>
        </w:rPr>
      </w:pPr>
      <w:r w:rsidRPr="004328C0">
        <w:rPr>
          <w:rFonts w:eastAsia="Times New Roman" w:cs="Arial"/>
          <w:color w:val="000000"/>
          <w:lang w:eastAsia="bg-BG"/>
        </w:rPr>
        <w:t>При едновременно приложение с литий има риск от повишаване на невротоксичността на лития.</w:t>
      </w:r>
    </w:p>
    <w:p w14:paraId="07786138" w14:textId="77777777" w:rsidR="004328C0" w:rsidRPr="004328C0" w:rsidRDefault="004328C0" w:rsidP="004328C0">
      <w:pPr>
        <w:pStyle w:val="ListParagraph"/>
        <w:numPr>
          <w:ilvl w:val="0"/>
          <w:numId w:val="35"/>
        </w:numPr>
        <w:spacing w:line="240" w:lineRule="auto"/>
        <w:rPr>
          <w:rFonts w:eastAsia="Times New Roman" w:cs="Arial"/>
          <w:color w:val="000000"/>
          <w:lang w:val="ru-RU" w:eastAsia="bg-BG"/>
        </w:rPr>
      </w:pPr>
      <w:r w:rsidRPr="004328C0">
        <w:rPr>
          <w:rFonts w:eastAsia="Times New Roman" w:cs="Arial"/>
          <w:color w:val="000000"/>
          <w:lang w:eastAsia="bg-BG"/>
        </w:rPr>
        <w:t>Дилтиазем може да потенцира действието на недеполяризиращите и деполяризиращите нервно-мускулни блокери върху нервно-мускулното предаване.</w:t>
      </w:r>
    </w:p>
    <w:p w14:paraId="61D8DF21" w14:textId="77777777" w:rsidR="004328C0" w:rsidRPr="004328C0" w:rsidRDefault="004328C0" w:rsidP="004328C0">
      <w:pPr>
        <w:pStyle w:val="ListParagraph"/>
        <w:spacing w:line="240" w:lineRule="auto"/>
        <w:rPr>
          <w:rFonts w:eastAsia="Times New Roman" w:cs="Arial"/>
          <w:color w:val="000000"/>
          <w:lang w:val="ru-RU" w:eastAsia="bg-BG"/>
        </w:rPr>
      </w:pPr>
      <w:r w:rsidRPr="004328C0">
        <w:rPr>
          <w:rFonts w:eastAsia="Times New Roman" w:cs="Arial"/>
          <w:color w:val="000000"/>
          <w:lang w:eastAsia="bg-BG"/>
        </w:rPr>
        <w:t xml:space="preserve">Дилтиазем основно се метаболизира в черния дроб от изоформата </w:t>
      </w:r>
      <w:r w:rsidRPr="004328C0">
        <w:rPr>
          <w:rFonts w:eastAsia="Times New Roman" w:cs="Arial"/>
          <w:color w:val="000000"/>
          <w:lang w:val="en-US"/>
        </w:rPr>
        <w:t>CYP</w:t>
      </w:r>
      <w:r w:rsidRPr="004328C0">
        <w:rPr>
          <w:rFonts w:eastAsia="Times New Roman" w:cs="Arial"/>
          <w:color w:val="000000"/>
          <w:lang w:val="ru-RU"/>
        </w:rPr>
        <w:t>3</w:t>
      </w:r>
      <w:r w:rsidRPr="004328C0">
        <w:rPr>
          <w:rFonts w:eastAsia="Times New Roman" w:cs="Arial"/>
          <w:color w:val="000000"/>
          <w:lang w:val="en-US"/>
        </w:rPr>
        <w:t>A</w:t>
      </w:r>
      <w:r w:rsidRPr="004328C0">
        <w:rPr>
          <w:rFonts w:eastAsia="Times New Roman" w:cs="Arial"/>
          <w:color w:val="000000"/>
          <w:lang w:val="ru-RU"/>
        </w:rPr>
        <w:t xml:space="preserve">4 </w:t>
      </w:r>
      <w:r w:rsidRPr="004328C0">
        <w:rPr>
          <w:rFonts w:eastAsia="Times New Roman" w:cs="Arial"/>
          <w:color w:val="000000"/>
          <w:lang w:eastAsia="bg-BG"/>
        </w:rPr>
        <w:t>на цитохром Р450 и може да взаимодейства с голям брой лекарства, които се метаболизират от същите ензими и изоензими.</w:t>
      </w:r>
    </w:p>
    <w:p w14:paraId="5619438C" w14:textId="77777777" w:rsidR="004328C0" w:rsidRPr="004328C0" w:rsidRDefault="004328C0" w:rsidP="004328C0">
      <w:pPr>
        <w:pStyle w:val="ListParagraph"/>
        <w:numPr>
          <w:ilvl w:val="0"/>
          <w:numId w:val="35"/>
        </w:numPr>
        <w:spacing w:line="240" w:lineRule="auto"/>
        <w:rPr>
          <w:rFonts w:eastAsia="Times New Roman" w:cs="Arial"/>
          <w:color w:val="000000"/>
          <w:lang w:val="ru-RU" w:eastAsia="bg-BG"/>
        </w:rPr>
      </w:pPr>
      <w:r w:rsidRPr="004328C0">
        <w:rPr>
          <w:rFonts w:eastAsia="Times New Roman" w:cs="Arial"/>
          <w:color w:val="000000"/>
          <w:lang w:eastAsia="bg-BG"/>
        </w:rPr>
        <w:lastRenderedPageBreak/>
        <w:t xml:space="preserve">При едновременно приложение на дилтиазем и </w:t>
      </w:r>
      <w:r w:rsidRPr="004328C0">
        <w:rPr>
          <w:rFonts w:eastAsia="Times New Roman" w:cs="Arial"/>
          <w:color w:val="000000"/>
          <w:lang w:val="en-US"/>
        </w:rPr>
        <w:t>H</w:t>
      </w:r>
      <w:r w:rsidRPr="004328C0">
        <w:rPr>
          <w:rFonts w:eastAsia="Times New Roman" w:cs="Arial"/>
          <w:color w:val="000000"/>
          <w:vertAlign w:val="subscript"/>
          <w:lang w:val="ru-RU"/>
        </w:rPr>
        <w:t>2</w:t>
      </w:r>
      <w:r w:rsidRPr="004328C0">
        <w:rPr>
          <w:rFonts w:eastAsia="Times New Roman" w:cs="Arial"/>
          <w:color w:val="000000"/>
          <w:lang w:eastAsia="bg-BG"/>
        </w:rPr>
        <w:t>-рецепторни антагонисти (циметидин, ранитидин) се повишават плазмените нива на дилтиазем.</w:t>
      </w:r>
    </w:p>
    <w:p w14:paraId="1ED9B176" w14:textId="77777777" w:rsidR="004328C0" w:rsidRPr="004328C0" w:rsidRDefault="004328C0" w:rsidP="004328C0">
      <w:pPr>
        <w:pStyle w:val="ListParagraph"/>
        <w:numPr>
          <w:ilvl w:val="0"/>
          <w:numId w:val="35"/>
        </w:numPr>
        <w:spacing w:line="240" w:lineRule="auto"/>
        <w:rPr>
          <w:rFonts w:eastAsia="Times New Roman" w:cs="Arial"/>
          <w:color w:val="000000"/>
          <w:lang w:val="ru-RU" w:eastAsia="bg-BG"/>
        </w:rPr>
      </w:pPr>
      <w:r w:rsidRPr="004328C0">
        <w:rPr>
          <w:rFonts w:eastAsia="Times New Roman" w:cs="Arial"/>
          <w:color w:val="000000"/>
          <w:lang w:eastAsia="bg-BG"/>
        </w:rPr>
        <w:t>Индукгори на изоформата ЗА4 на цитохром Р450 като фенитоин, фенобарбигал, рифампицин, понижават плазмените нива на дилтиазем и намаляват действието му при едновременното им приложение.</w:t>
      </w:r>
    </w:p>
    <w:p w14:paraId="1AFB339E" w14:textId="77777777" w:rsidR="004328C0" w:rsidRPr="004328C0" w:rsidRDefault="004328C0" w:rsidP="004328C0">
      <w:pPr>
        <w:pStyle w:val="ListParagraph"/>
        <w:numPr>
          <w:ilvl w:val="0"/>
          <w:numId w:val="35"/>
        </w:numPr>
        <w:spacing w:line="240" w:lineRule="auto"/>
        <w:rPr>
          <w:rFonts w:eastAsia="Times New Roman" w:cs="Arial"/>
          <w:color w:val="000000"/>
          <w:lang w:val="ru-RU" w:eastAsia="bg-BG"/>
        </w:rPr>
      </w:pPr>
      <w:r w:rsidRPr="004328C0">
        <w:rPr>
          <w:rFonts w:eastAsia="Times New Roman" w:cs="Arial"/>
          <w:color w:val="000000"/>
          <w:lang w:eastAsia="bg-BG"/>
        </w:rPr>
        <w:t>При едновременно приложение на дилтиазем с лекарствени продукти, субстрати на изоформата ЗА4 на цитохром Р450, като антиаритмични (напр. амиодарон), мидазолам, циклоспорин, теофилин, празозин, се повишават плазмените нива на тези продукти.</w:t>
      </w:r>
    </w:p>
    <w:p w14:paraId="78C84EED" w14:textId="77777777" w:rsidR="004328C0" w:rsidRPr="004328C0" w:rsidRDefault="004328C0" w:rsidP="004328C0">
      <w:pPr>
        <w:pStyle w:val="ListParagraph"/>
        <w:numPr>
          <w:ilvl w:val="0"/>
          <w:numId w:val="35"/>
        </w:numPr>
        <w:spacing w:line="240" w:lineRule="auto"/>
        <w:rPr>
          <w:rFonts w:eastAsia="Times New Roman" w:cs="Arial"/>
          <w:color w:val="000000"/>
          <w:lang w:val="ru-RU" w:eastAsia="bg-BG"/>
        </w:rPr>
      </w:pPr>
      <w:r w:rsidRPr="004328C0">
        <w:rPr>
          <w:rFonts w:eastAsia="Times New Roman" w:cs="Arial"/>
          <w:color w:val="000000"/>
          <w:lang w:eastAsia="bg-BG"/>
        </w:rPr>
        <w:t>Едновременното приложение на дилтиазем и статини (напр. ловастатин, симвастатин и аторвастатин) крие риск от повишаване на креатинкиназата, поява на миопатия и рабдомиолиза.</w:t>
      </w:r>
    </w:p>
    <w:p w14:paraId="1A2946B5" w14:textId="77777777" w:rsidR="004328C0" w:rsidRPr="004328C0" w:rsidRDefault="004328C0" w:rsidP="004328C0">
      <w:pPr>
        <w:pStyle w:val="ListParagraph"/>
        <w:numPr>
          <w:ilvl w:val="0"/>
          <w:numId w:val="35"/>
        </w:numPr>
        <w:spacing w:line="240" w:lineRule="auto"/>
        <w:rPr>
          <w:rFonts w:eastAsia="Times New Roman" w:cs="Arial"/>
          <w:color w:val="000000"/>
          <w:lang w:val="ru-RU" w:eastAsia="bg-BG"/>
        </w:rPr>
      </w:pPr>
      <w:r w:rsidRPr="004328C0">
        <w:rPr>
          <w:rFonts w:eastAsia="Times New Roman" w:cs="Arial"/>
          <w:color w:val="000000"/>
          <w:lang w:eastAsia="bg-BG"/>
        </w:rPr>
        <w:t>Дилтиазем може да повиши нивата на метилпреднизолон (чрез инхибиране на СУРЗА4 и възможното инхибиране на Р-глико протеин). Пациентите трябва да се наблюдават при започване на лечение с метилпреднизолон. Може да се наложи корекция на дозата на метилпреднизолон.</w:t>
      </w:r>
    </w:p>
    <w:p w14:paraId="5BBD0280" w14:textId="77777777" w:rsidR="004328C0" w:rsidRPr="004328C0" w:rsidRDefault="004328C0" w:rsidP="004328C0">
      <w:pPr>
        <w:pStyle w:val="ListParagraph"/>
        <w:numPr>
          <w:ilvl w:val="0"/>
          <w:numId w:val="35"/>
        </w:numPr>
        <w:spacing w:line="240" w:lineRule="auto"/>
        <w:rPr>
          <w:rFonts w:eastAsia="Times New Roman" w:cs="Arial"/>
          <w:color w:val="000000"/>
          <w:lang w:val="ru-RU" w:eastAsia="bg-BG"/>
        </w:rPr>
      </w:pPr>
      <w:r w:rsidRPr="004328C0">
        <w:rPr>
          <w:rFonts w:eastAsia="Times New Roman" w:cs="Arial"/>
          <w:color w:val="000000"/>
          <w:lang w:eastAsia="bg-BG"/>
        </w:rPr>
        <w:t>Наблюдавани са летални камерни фибрилации при животни при едновременно приложение на калциеви антагонисти и дантролен (инфузия), поради което едновременното им прилагане е противопоказано.</w:t>
      </w:r>
    </w:p>
    <w:p w14:paraId="78C93F9A" w14:textId="6DB534F1" w:rsidR="004328C0" w:rsidRPr="004328C0" w:rsidRDefault="004328C0" w:rsidP="004328C0">
      <w:pPr>
        <w:pStyle w:val="ListParagraph"/>
        <w:numPr>
          <w:ilvl w:val="0"/>
          <w:numId w:val="35"/>
        </w:numPr>
        <w:spacing w:line="240" w:lineRule="auto"/>
        <w:rPr>
          <w:rFonts w:eastAsia="Times New Roman" w:cs="Arial"/>
          <w:color w:val="000000"/>
          <w:lang w:val="ru-RU" w:eastAsia="bg-BG"/>
        </w:rPr>
      </w:pPr>
      <w:r w:rsidRPr="004328C0">
        <w:rPr>
          <w:rFonts w:eastAsia="Times New Roman" w:cs="Arial"/>
          <w:color w:val="000000"/>
          <w:lang w:eastAsia="bg-BG"/>
        </w:rPr>
        <w:t>Едновременната употреба на дилтиазем с ивабрадин е противопоказна, тъй като води до допълнително понижаване на сърдечната честота (вж. точка 4.3).</w:t>
      </w:r>
    </w:p>
    <w:p w14:paraId="3057D1F7" w14:textId="77777777" w:rsidR="004328C0" w:rsidRPr="004328C0" w:rsidRDefault="004328C0" w:rsidP="004328C0"/>
    <w:p w14:paraId="394A7584" w14:textId="7D15D990" w:rsidR="004F498A" w:rsidRDefault="002C50EE" w:rsidP="004A448E">
      <w:pPr>
        <w:pStyle w:val="Heading2"/>
      </w:pPr>
      <w:r>
        <w:t>4.6. Фертилитет, бременност и кърмене</w:t>
      </w:r>
    </w:p>
    <w:p w14:paraId="4A486D30" w14:textId="57919849" w:rsidR="004328C0" w:rsidRDefault="004328C0" w:rsidP="004328C0"/>
    <w:p w14:paraId="27205DFF" w14:textId="77777777" w:rsidR="004328C0" w:rsidRPr="004328C0" w:rsidRDefault="004328C0" w:rsidP="004328C0">
      <w:pPr>
        <w:pStyle w:val="Heading3"/>
        <w:rPr>
          <w:rFonts w:eastAsia="Times New Roman"/>
          <w:u w:val="single"/>
        </w:rPr>
      </w:pPr>
      <w:r w:rsidRPr="004328C0">
        <w:rPr>
          <w:rFonts w:eastAsia="Times New Roman"/>
          <w:u w:val="single"/>
          <w:lang w:eastAsia="bg-BG"/>
        </w:rPr>
        <w:t>Бременност</w:t>
      </w:r>
    </w:p>
    <w:p w14:paraId="1FC2B5E3"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Поради липса на адекватни и добре контролирани проучвания за безопасността на продукта по време на бременност при жени, дилтиазем не трябва да се прилага на бременни или жени в детеродна възраст, неползващи ефективна контрацепция.</w:t>
      </w:r>
    </w:p>
    <w:p w14:paraId="03B85508" w14:textId="77777777" w:rsidR="004328C0" w:rsidRPr="004328C0" w:rsidRDefault="004328C0" w:rsidP="004328C0">
      <w:pPr>
        <w:spacing w:line="240" w:lineRule="auto"/>
        <w:rPr>
          <w:rFonts w:eastAsia="Times New Roman" w:cs="Arial"/>
          <w:color w:val="000000"/>
          <w:u w:val="single"/>
          <w:lang w:eastAsia="bg-BG"/>
        </w:rPr>
      </w:pPr>
    </w:p>
    <w:p w14:paraId="0BC88C6D" w14:textId="07D7FAAC" w:rsidR="004328C0" w:rsidRPr="004328C0" w:rsidRDefault="004328C0" w:rsidP="004328C0">
      <w:pPr>
        <w:pStyle w:val="Heading3"/>
        <w:rPr>
          <w:rFonts w:eastAsia="Times New Roman"/>
          <w:u w:val="single"/>
        </w:rPr>
      </w:pPr>
      <w:r w:rsidRPr="004328C0">
        <w:rPr>
          <w:rFonts w:eastAsia="Times New Roman"/>
          <w:u w:val="single"/>
          <w:lang w:eastAsia="bg-BG"/>
        </w:rPr>
        <w:t>Кърмене</w:t>
      </w:r>
    </w:p>
    <w:p w14:paraId="27BFE59A"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Екскретира се в майчината кърма, поради което при необходимост от лечение на кърмещи жени кърменето трябва да се прекрати.</w:t>
      </w:r>
    </w:p>
    <w:p w14:paraId="3ED54D72" w14:textId="1808D90C" w:rsidR="004328C0" w:rsidRPr="004328C0" w:rsidRDefault="004328C0" w:rsidP="004328C0"/>
    <w:p w14:paraId="064DF1DE" w14:textId="66345E8F" w:rsidR="00CF77F7" w:rsidRDefault="002C50EE" w:rsidP="004A448E">
      <w:pPr>
        <w:pStyle w:val="Heading2"/>
      </w:pPr>
      <w:r>
        <w:t>4.7. Ефекти върху способността за шофиране и работа с машини</w:t>
      </w:r>
    </w:p>
    <w:p w14:paraId="021C6EEB" w14:textId="17D7CE1E" w:rsidR="004328C0" w:rsidRDefault="004328C0" w:rsidP="004328C0"/>
    <w:p w14:paraId="429DE2CB" w14:textId="77777777" w:rsidR="004328C0" w:rsidRPr="004328C0" w:rsidRDefault="004328C0" w:rsidP="004328C0">
      <w:pPr>
        <w:rPr>
          <w:sz w:val="24"/>
          <w:szCs w:val="24"/>
        </w:rPr>
      </w:pPr>
      <w:r w:rsidRPr="004328C0">
        <w:rPr>
          <w:lang w:eastAsia="bg-BG"/>
        </w:rPr>
        <w:t>В зависимост от индивидуалния отговор, Дилтиазем Софарма може да забави реакциите до степен да наруши способността за шофиране, управление на машини или работа при опасни условия. Това важи особено за началото на лечението и при повишаване на дозата.</w:t>
      </w:r>
    </w:p>
    <w:p w14:paraId="4D0B16D6" w14:textId="77777777" w:rsidR="004328C0" w:rsidRPr="004328C0" w:rsidRDefault="004328C0" w:rsidP="004328C0"/>
    <w:p w14:paraId="37A3FD9F" w14:textId="3E124C67" w:rsidR="00CF77F7" w:rsidRDefault="002C50EE" w:rsidP="004A448E">
      <w:pPr>
        <w:pStyle w:val="Heading2"/>
      </w:pPr>
      <w:r>
        <w:t>4.8. Нежелани лекарствени реакции</w:t>
      </w:r>
    </w:p>
    <w:p w14:paraId="5F09F045" w14:textId="1B5373A4" w:rsidR="004328C0" w:rsidRDefault="004328C0" w:rsidP="004328C0"/>
    <w:p w14:paraId="03FC5870"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Дилтиазем се характеризира с много добра поносимост и предизвиква по-слабо изразени нежелани реакции в сравнение с другите калциеви антагонисти. Нежеланите реакции се класифицират по честота по следния начин: много чести (≥ 1/10), чести (≥ 1/100 до &lt;1/10), нечести (≥1/1 000 до &lt;1/100), редки (≥1/10 000 до &lt;1/1 000), много редки (&lt;1/10 000), с неизвестна честота (от наличните данни не може да бъде направена оценка).</w:t>
      </w:r>
    </w:p>
    <w:p w14:paraId="10BF9A1F" w14:textId="77777777" w:rsidR="004328C0" w:rsidRDefault="004328C0" w:rsidP="004328C0">
      <w:pPr>
        <w:spacing w:line="240" w:lineRule="auto"/>
        <w:rPr>
          <w:rFonts w:eastAsia="Times New Roman" w:cs="Arial"/>
          <w:color w:val="000000"/>
          <w:lang w:eastAsia="bg-BG"/>
        </w:rPr>
      </w:pPr>
    </w:p>
    <w:p w14:paraId="02D964F5" w14:textId="64BF0F6C" w:rsidR="004328C0" w:rsidRPr="004328C0" w:rsidRDefault="004328C0" w:rsidP="004328C0">
      <w:pPr>
        <w:spacing w:line="240" w:lineRule="auto"/>
        <w:rPr>
          <w:rFonts w:eastAsia="Times New Roman" w:cs="Arial"/>
        </w:rPr>
      </w:pPr>
      <w:r w:rsidRPr="004328C0">
        <w:rPr>
          <w:rFonts w:eastAsia="Times New Roman" w:cs="Arial"/>
          <w:color w:val="000000"/>
          <w:lang w:eastAsia="bg-BG"/>
        </w:rPr>
        <w:lastRenderedPageBreak/>
        <w:t>Възможните нежелани реакции при приложение на дилтиазем са следните:</w:t>
      </w:r>
    </w:p>
    <w:p w14:paraId="5DBC6711" w14:textId="77777777" w:rsidR="004328C0" w:rsidRDefault="004328C0" w:rsidP="004328C0">
      <w:pPr>
        <w:spacing w:line="240" w:lineRule="auto"/>
        <w:rPr>
          <w:rFonts w:eastAsia="Times New Roman" w:cs="Arial"/>
          <w:color w:val="000000"/>
          <w:u w:val="single"/>
          <w:lang w:eastAsia="bg-BG"/>
        </w:rPr>
      </w:pPr>
    </w:p>
    <w:p w14:paraId="449E82A8" w14:textId="77777777" w:rsidR="004328C0" w:rsidRDefault="004328C0" w:rsidP="004328C0">
      <w:pPr>
        <w:spacing w:line="240" w:lineRule="auto"/>
        <w:rPr>
          <w:rFonts w:eastAsia="Times New Roman" w:cs="Arial"/>
          <w:color w:val="000000"/>
          <w:u w:val="single"/>
          <w:lang w:eastAsia="bg-BG"/>
        </w:rPr>
      </w:pPr>
      <w:r w:rsidRPr="004328C0">
        <w:rPr>
          <w:rFonts w:eastAsia="Times New Roman" w:cs="Arial"/>
          <w:color w:val="000000"/>
          <w:u w:val="single"/>
          <w:lang w:eastAsia="bg-BG"/>
        </w:rPr>
        <w:t xml:space="preserve">Нарушения на кръвта и лимфната система </w:t>
      </w:r>
    </w:p>
    <w:p w14:paraId="2F6DAC7F" w14:textId="1FCADD75" w:rsidR="004328C0" w:rsidRDefault="004328C0" w:rsidP="004328C0">
      <w:pPr>
        <w:spacing w:line="240" w:lineRule="auto"/>
        <w:rPr>
          <w:rFonts w:eastAsia="Times New Roman" w:cs="Arial"/>
          <w:color w:val="000000"/>
          <w:lang w:eastAsia="bg-BG"/>
        </w:rPr>
      </w:pPr>
      <w:r w:rsidRPr="004328C0">
        <w:rPr>
          <w:rFonts w:eastAsia="Times New Roman" w:cs="Arial"/>
          <w:color w:val="000000"/>
          <w:lang w:eastAsia="bg-BG"/>
        </w:rPr>
        <w:t xml:space="preserve">С неизвестна честота: тромбоцитопения. </w:t>
      </w:r>
    </w:p>
    <w:p w14:paraId="362620F5" w14:textId="77777777" w:rsidR="004328C0" w:rsidRDefault="004328C0" w:rsidP="004328C0">
      <w:pPr>
        <w:spacing w:line="240" w:lineRule="auto"/>
        <w:rPr>
          <w:rFonts w:eastAsia="Times New Roman" w:cs="Arial"/>
          <w:color w:val="000000"/>
          <w:lang w:eastAsia="bg-BG"/>
        </w:rPr>
      </w:pPr>
    </w:p>
    <w:p w14:paraId="6902BB2E" w14:textId="1D7F427B" w:rsidR="004328C0" w:rsidRPr="004328C0" w:rsidRDefault="004328C0" w:rsidP="004328C0">
      <w:pPr>
        <w:spacing w:line="240" w:lineRule="auto"/>
        <w:rPr>
          <w:rFonts w:eastAsia="Times New Roman" w:cs="Arial"/>
        </w:rPr>
      </w:pPr>
      <w:r w:rsidRPr="004328C0">
        <w:rPr>
          <w:rFonts w:eastAsia="Times New Roman" w:cs="Arial"/>
          <w:color w:val="000000"/>
          <w:u w:val="single"/>
          <w:lang w:eastAsia="bg-BG"/>
        </w:rPr>
        <w:t xml:space="preserve">Психични нарушения </w:t>
      </w:r>
      <w:r w:rsidRPr="004328C0">
        <w:rPr>
          <w:rFonts w:eastAsia="Times New Roman" w:cs="Arial"/>
          <w:color w:val="000000"/>
          <w:lang w:eastAsia="bg-BG"/>
        </w:rPr>
        <w:t>Нечести: нервност, безсъние;</w:t>
      </w:r>
    </w:p>
    <w:p w14:paraId="28D3CC0D"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С неизвестна честота: промени в настроението (включително депресия).</w:t>
      </w:r>
    </w:p>
    <w:p w14:paraId="7C116F4D" w14:textId="77777777" w:rsidR="004328C0" w:rsidRDefault="004328C0" w:rsidP="004328C0">
      <w:pPr>
        <w:spacing w:line="240" w:lineRule="auto"/>
        <w:rPr>
          <w:rFonts w:eastAsia="Times New Roman" w:cs="Arial"/>
          <w:color w:val="000000"/>
          <w:u w:val="single"/>
          <w:lang w:eastAsia="bg-BG"/>
        </w:rPr>
      </w:pPr>
    </w:p>
    <w:p w14:paraId="6047CE43" w14:textId="1F4A2F9D" w:rsidR="004328C0" w:rsidRPr="004328C0" w:rsidRDefault="004328C0" w:rsidP="004328C0">
      <w:pPr>
        <w:spacing w:line="240" w:lineRule="auto"/>
        <w:rPr>
          <w:rFonts w:eastAsia="Times New Roman" w:cs="Arial"/>
        </w:rPr>
      </w:pPr>
      <w:r w:rsidRPr="004328C0">
        <w:rPr>
          <w:rFonts w:eastAsia="Times New Roman" w:cs="Arial"/>
          <w:color w:val="000000"/>
          <w:u w:val="single"/>
          <w:lang w:eastAsia="bg-BG"/>
        </w:rPr>
        <w:t>Нарушения на нервната система</w:t>
      </w:r>
    </w:p>
    <w:p w14:paraId="3DC0BB61" w14:textId="2EA2314D" w:rsidR="004328C0" w:rsidRPr="004328C0" w:rsidRDefault="004328C0" w:rsidP="004328C0">
      <w:pPr>
        <w:spacing w:line="240" w:lineRule="auto"/>
        <w:rPr>
          <w:rFonts w:eastAsia="Times New Roman" w:cs="Arial"/>
        </w:rPr>
      </w:pPr>
      <w:r w:rsidRPr="004328C0">
        <w:rPr>
          <w:rFonts w:eastAsia="Times New Roman" w:cs="Arial"/>
          <w:color w:val="000000"/>
          <w:lang w:eastAsia="bg-BG"/>
        </w:rPr>
        <w:t>Чести: главоболие, световъртеж;</w:t>
      </w:r>
    </w:p>
    <w:p w14:paraId="25E14651"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С неизвестна честота: екстрапирамиден синдром.</w:t>
      </w:r>
    </w:p>
    <w:p w14:paraId="7ABB452B" w14:textId="77777777" w:rsidR="004328C0" w:rsidRDefault="004328C0" w:rsidP="004328C0">
      <w:pPr>
        <w:spacing w:line="240" w:lineRule="auto"/>
        <w:rPr>
          <w:rFonts w:eastAsia="Times New Roman" w:cs="Arial"/>
          <w:color w:val="000000"/>
          <w:u w:val="single"/>
          <w:lang w:eastAsia="bg-BG"/>
        </w:rPr>
      </w:pPr>
    </w:p>
    <w:p w14:paraId="4E534F3E" w14:textId="416C81C5" w:rsidR="004328C0" w:rsidRPr="004328C0" w:rsidRDefault="004328C0" w:rsidP="004328C0">
      <w:pPr>
        <w:spacing w:line="240" w:lineRule="auto"/>
        <w:rPr>
          <w:rFonts w:eastAsia="Times New Roman" w:cs="Arial"/>
        </w:rPr>
      </w:pPr>
      <w:r w:rsidRPr="004328C0">
        <w:rPr>
          <w:rFonts w:eastAsia="Times New Roman" w:cs="Arial"/>
          <w:color w:val="000000"/>
          <w:u w:val="single"/>
          <w:lang w:eastAsia="bg-BG"/>
        </w:rPr>
        <w:t>Сърдечни нарушения</w:t>
      </w:r>
    </w:p>
    <w:p w14:paraId="6D13D1BE"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 xml:space="preserve">Чести: </w:t>
      </w:r>
      <w:r w:rsidRPr="004328C0">
        <w:rPr>
          <w:rFonts w:eastAsia="Times New Roman" w:cs="Arial"/>
          <w:color w:val="000000"/>
          <w:lang w:val="en-US"/>
        </w:rPr>
        <w:t>AV</w:t>
      </w:r>
      <w:r w:rsidRPr="004328C0">
        <w:rPr>
          <w:rFonts w:eastAsia="Times New Roman" w:cs="Arial"/>
          <w:color w:val="000000"/>
          <w:lang w:eastAsia="bg-BG"/>
        </w:rPr>
        <w:t xml:space="preserve">-блок </w:t>
      </w:r>
      <w:r w:rsidRPr="004328C0">
        <w:rPr>
          <w:rFonts w:eastAsia="Times New Roman" w:cs="Arial"/>
          <w:color w:val="000000"/>
          <w:lang w:val="en-US"/>
        </w:rPr>
        <w:t>I</w:t>
      </w:r>
      <w:r w:rsidRPr="004328C0">
        <w:rPr>
          <w:rFonts w:eastAsia="Times New Roman" w:cs="Arial"/>
          <w:color w:val="000000"/>
          <w:lang w:val="ru-RU"/>
        </w:rPr>
        <w:t xml:space="preserve">, </w:t>
      </w:r>
      <w:r w:rsidRPr="004328C0">
        <w:rPr>
          <w:rFonts w:eastAsia="Times New Roman" w:cs="Arial"/>
          <w:color w:val="000000"/>
          <w:lang w:eastAsia="bg-BG"/>
        </w:rPr>
        <w:t xml:space="preserve">II или </w:t>
      </w:r>
      <w:r w:rsidRPr="004328C0">
        <w:rPr>
          <w:rFonts w:eastAsia="Times New Roman" w:cs="Arial"/>
          <w:color w:val="000000"/>
          <w:lang w:val="en-US"/>
        </w:rPr>
        <w:t>III</w:t>
      </w:r>
      <w:r w:rsidRPr="004328C0">
        <w:rPr>
          <w:rFonts w:eastAsia="Times New Roman" w:cs="Arial"/>
          <w:color w:val="000000"/>
          <w:lang w:eastAsia="bg-BG"/>
        </w:rPr>
        <w:t xml:space="preserve"> степен, бедрен блок, палпитации;</w:t>
      </w:r>
    </w:p>
    <w:p w14:paraId="2C624628"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Нечести: брадикардия;</w:t>
      </w:r>
    </w:p>
    <w:p w14:paraId="21044A2B" w14:textId="77777777" w:rsidR="004328C0" w:rsidRDefault="004328C0" w:rsidP="004328C0">
      <w:pPr>
        <w:spacing w:line="240" w:lineRule="auto"/>
        <w:rPr>
          <w:rFonts w:eastAsia="Times New Roman" w:cs="Arial"/>
          <w:color w:val="000000"/>
          <w:lang w:eastAsia="bg-BG"/>
        </w:rPr>
      </w:pPr>
      <w:r w:rsidRPr="004328C0">
        <w:rPr>
          <w:rFonts w:eastAsia="Times New Roman" w:cs="Arial"/>
          <w:color w:val="000000"/>
          <w:lang w:eastAsia="bg-BG"/>
        </w:rPr>
        <w:t xml:space="preserve">С неизвестна честота: синоатриален блок </w:t>
      </w:r>
      <w:r w:rsidRPr="004328C0">
        <w:rPr>
          <w:rFonts w:eastAsia="Times New Roman" w:cs="Arial"/>
          <w:color w:val="000000"/>
          <w:lang w:val="ru-RU"/>
        </w:rPr>
        <w:t>(</w:t>
      </w:r>
      <w:r w:rsidRPr="004328C0">
        <w:rPr>
          <w:rFonts w:eastAsia="Times New Roman" w:cs="Arial"/>
          <w:color w:val="000000"/>
          <w:lang w:val="en-US"/>
        </w:rPr>
        <w:t>SA</w:t>
      </w:r>
      <w:r w:rsidRPr="004328C0">
        <w:rPr>
          <w:rFonts w:eastAsia="Times New Roman" w:cs="Arial"/>
          <w:color w:val="000000"/>
          <w:lang w:eastAsia="bg-BG"/>
        </w:rPr>
        <w:t xml:space="preserve">-блок), застойна сърдечна недостатъчност. </w:t>
      </w:r>
    </w:p>
    <w:p w14:paraId="1AB8DFC0" w14:textId="77777777" w:rsidR="004328C0" w:rsidRDefault="004328C0" w:rsidP="004328C0">
      <w:pPr>
        <w:spacing w:line="240" w:lineRule="auto"/>
        <w:rPr>
          <w:rFonts w:eastAsia="Times New Roman" w:cs="Arial"/>
          <w:color w:val="000000"/>
          <w:lang w:eastAsia="bg-BG"/>
        </w:rPr>
      </w:pPr>
    </w:p>
    <w:p w14:paraId="512A482B" w14:textId="3C9E29DD" w:rsidR="004328C0" w:rsidRPr="004328C0" w:rsidRDefault="004328C0" w:rsidP="004328C0">
      <w:pPr>
        <w:spacing w:line="240" w:lineRule="auto"/>
        <w:rPr>
          <w:rFonts w:eastAsia="Times New Roman" w:cs="Arial"/>
        </w:rPr>
      </w:pPr>
      <w:r w:rsidRPr="004328C0">
        <w:rPr>
          <w:rFonts w:eastAsia="Times New Roman" w:cs="Arial"/>
          <w:color w:val="000000"/>
          <w:u w:val="single"/>
          <w:lang w:eastAsia="bg-BG"/>
        </w:rPr>
        <w:t>Съдови нарушения</w:t>
      </w:r>
    </w:p>
    <w:p w14:paraId="5E1F7914"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Чести: зачервяване на лицето;</w:t>
      </w:r>
    </w:p>
    <w:p w14:paraId="7874DDD6"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Нечести: ортостатична хипотония;</w:t>
      </w:r>
    </w:p>
    <w:p w14:paraId="366F5853"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С неизвестна честота: васкулит (вкл. левкоцитокластичен васкулит).</w:t>
      </w:r>
    </w:p>
    <w:p w14:paraId="444BBCDE" w14:textId="77777777" w:rsidR="004328C0" w:rsidRDefault="004328C0" w:rsidP="004328C0">
      <w:pPr>
        <w:spacing w:line="240" w:lineRule="auto"/>
        <w:rPr>
          <w:rFonts w:eastAsia="Times New Roman" w:cs="Arial"/>
          <w:color w:val="000000"/>
          <w:u w:val="single"/>
          <w:lang w:eastAsia="bg-BG"/>
        </w:rPr>
      </w:pPr>
    </w:p>
    <w:p w14:paraId="689C2C1C" w14:textId="4268A9ED" w:rsidR="004328C0" w:rsidRPr="004328C0" w:rsidRDefault="004328C0" w:rsidP="004328C0">
      <w:pPr>
        <w:spacing w:line="240" w:lineRule="auto"/>
        <w:rPr>
          <w:rFonts w:eastAsia="Times New Roman" w:cs="Arial"/>
        </w:rPr>
      </w:pPr>
      <w:r w:rsidRPr="004328C0">
        <w:rPr>
          <w:rFonts w:eastAsia="Times New Roman" w:cs="Arial"/>
          <w:color w:val="000000"/>
          <w:u w:val="single"/>
          <w:lang w:eastAsia="bg-BG"/>
        </w:rPr>
        <w:t>Стомашно-чревни нарушения</w:t>
      </w:r>
    </w:p>
    <w:p w14:paraId="4A5524B5"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Чести: гадене, запек, диспептични нарушения, болки в стомаха;</w:t>
      </w:r>
    </w:p>
    <w:p w14:paraId="3F6E1B3B"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Нечести: повръщане, диария;</w:t>
      </w:r>
    </w:p>
    <w:p w14:paraId="7E177A5A"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Редки: сухота в устата;</w:t>
      </w:r>
    </w:p>
    <w:p w14:paraId="65BDB951"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С неизвестна честота: гингивална хиперплазия.</w:t>
      </w:r>
    </w:p>
    <w:p w14:paraId="4B6D7D31" w14:textId="77777777" w:rsidR="004328C0" w:rsidRDefault="004328C0" w:rsidP="004328C0">
      <w:pPr>
        <w:spacing w:line="240" w:lineRule="auto"/>
        <w:rPr>
          <w:rFonts w:eastAsia="Times New Roman" w:cs="Arial"/>
          <w:color w:val="000000"/>
          <w:u w:val="single"/>
          <w:lang w:eastAsia="bg-BG"/>
        </w:rPr>
      </w:pPr>
    </w:p>
    <w:p w14:paraId="3A7B448C" w14:textId="77E29B51" w:rsidR="004328C0" w:rsidRPr="004328C0" w:rsidRDefault="004328C0" w:rsidP="004328C0">
      <w:pPr>
        <w:spacing w:line="240" w:lineRule="auto"/>
        <w:rPr>
          <w:rFonts w:eastAsia="Times New Roman" w:cs="Arial"/>
        </w:rPr>
      </w:pPr>
      <w:r w:rsidRPr="004328C0">
        <w:rPr>
          <w:rFonts w:eastAsia="Times New Roman" w:cs="Arial"/>
          <w:color w:val="000000"/>
          <w:u w:val="single"/>
          <w:lang w:eastAsia="bg-BG"/>
        </w:rPr>
        <w:t>Хепатобилиарни нарушения</w:t>
      </w:r>
    </w:p>
    <w:p w14:paraId="26018CD2"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 xml:space="preserve">Нечести: обратимо повишаване на </w:t>
      </w:r>
      <w:r w:rsidRPr="004328C0">
        <w:rPr>
          <w:rFonts w:eastAsia="Times New Roman" w:cs="Arial"/>
          <w:color w:val="000000"/>
          <w:lang w:val="en-US"/>
        </w:rPr>
        <w:t>ASAT</w:t>
      </w:r>
      <w:r w:rsidRPr="004328C0">
        <w:rPr>
          <w:rFonts w:eastAsia="Times New Roman" w:cs="Arial"/>
          <w:color w:val="000000"/>
          <w:lang w:val="ru-RU"/>
        </w:rPr>
        <w:t xml:space="preserve">, </w:t>
      </w:r>
      <w:r w:rsidRPr="004328C0">
        <w:rPr>
          <w:rFonts w:eastAsia="Times New Roman" w:cs="Arial"/>
          <w:color w:val="000000"/>
          <w:lang w:val="en-US"/>
        </w:rPr>
        <w:t>ALAT</w:t>
      </w:r>
      <w:r w:rsidRPr="004328C0">
        <w:rPr>
          <w:rFonts w:eastAsia="Times New Roman" w:cs="Arial"/>
          <w:color w:val="000000"/>
          <w:lang w:val="ru-RU"/>
        </w:rPr>
        <w:t xml:space="preserve">, </w:t>
      </w:r>
      <w:r w:rsidRPr="004328C0">
        <w:rPr>
          <w:rFonts w:eastAsia="Times New Roman" w:cs="Arial"/>
          <w:color w:val="000000"/>
          <w:lang w:val="en-US"/>
        </w:rPr>
        <w:t>LDH</w:t>
      </w:r>
      <w:r w:rsidRPr="004328C0">
        <w:rPr>
          <w:rFonts w:eastAsia="Times New Roman" w:cs="Arial"/>
          <w:color w:val="000000"/>
          <w:lang w:val="ru-RU"/>
        </w:rPr>
        <w:t xml:space="preserve">, </w:t>
      </w:r>
      <w:r w:rsidRPr="004328C0">
        <w:rPr>
          <w:rFonts w:eastAsia="Times New Roman" w:cs="Arial"/>
          <w:color w:val="000000"/>
          <w:lang w:val="en-US"/>
        </w:rPr>
        <w:t>ALP</w:t>
      </w:r>
      <w:r w:rsidRPr="004328C0">
        <w:rPr>
          <w:rFonts w:eastAsia="Times New Roman" w:cs="Arial"/>
          <w:color w:val="000000"/>
          <w:lang w:val="ru-RU"/>
        </w:rPr>
        <w:t>;</w:t>
      </w:r>
    </w:p>
    <w:p w14:paraId="24842597"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С неизвестна честота: хепатит.</w:t>
      </w:r>
    </w:p>
    <w:p w14:paraId="25A9A318" w14:textId="77777777" w:rsidR="004328C0" w:rsidRDefault="004328C0" w:rsidP="004328C0">
      <w:pPr>
        <w:spacing w:line="240" w:lineRule="auto"/>
        <w:rPr>
          <w:rFonts w:eastAsia="Times New Roman" w:cs="Arial"/>
          <w:color w:val="000000"/>
          <w:u w:val="single"/>
          <w:lang w:eastAsia="bg-BG"/>
        </w:rPr>
      </w:pPr>
    </w:p>
    <w:p w14:paraId="7CA2C866" w14:textId="56A57C97" w:rsidR="004328C0" w:rsidRPr="004328C0" w:rsidRDefault="004328C0" w:rsidP="004328C0">
      <w:pPr>
        <w:spacing w:line="240" w:lineRule="auto"/>
        <w:rPr>
          <w:rFonts w:eastAsia="Times New Roman" w:cs="Arial"/>
        </w:rPr>
      </w:pPr>
      <w:r w:rsidRPr="004328C0">
        <w:rPr>
          <w:rFonts w:eastAsia="Times New Roman" w:cs="Arial"/>
          <w:color w:val="000000"/>
          <w:u w:val="single"/>
          <w:lang w:eastAsia="bg-BG"/>
        </w:rPr>
        <w:t>Нарушения на кожата и подкожната тъкан</w:t>
      </w:r>
    </w:p>
    <w:p w14:paraId="0BEEFA40"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Чести: еритема;</w:t>
      </w:r>
    </w:p>
    <w:p w14:paraId="6A033334"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Редки: уртикария;</w:t>
      </w:r>
    </w:p>
    <w:p w14:paraId="17D03672"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С неизвестна честота: фоточувствителност (вкл. лихен-кератоза при изложените на слънчеви лъчи кожни области), ангионевротичен оток, обрив, еритема мултиформе (вкл. синдром на Стивънс Джонсън, токсична епидермална некролиза), потене, ексфолиативен дерматит, остра генерализирана екзантематозна пустулоза, десквамативен еригем с или без треска.</w:t>
      </w:r>
    </w:p>
    <w:p w14:paraId="48B5940A" w14:textId="77777777" w:rsidR="004328C0" w:rsidRDefault="004328C0" w:rsidP="004328C0">
      <w:pPr>
        <w:spacing w:line="240" w:lineRule="auto"/>
        <w:rPr>
          <w:rFonts w:eastAsia="Times New Roman" w:cs="Arial"/>
          <w:color w:val="000000"/>
          <w:u w:val="single"/>
          <w:lang w:eastAsia="bg-BG"/>
        </w:rPr>
      </w:pPr>
    </w:p>
    <w:p w14:paraId="2046C94E" w14:textId="77777777" w:rsidR="004328C0" w:rsidRDefault="004328C0" w:rsidP="004328C0">
      <w:pPr>
        <w:spacing w:line="240" w:lineRule="auto"/>
        <w:rPr>
          <w:rFonts w:eastAsia="Times New Roman" w:cs="Arial"/>
          <w:color w:val="000000"/>
          <w:u w:val="single"/>
          <w:lang w:eastAsia="bg-BG"/>
        </w:rPr>
      </w:pPr>
      <w:r w:rsidRPr="004328C0">
        <w:rPr>
          <w:rFonts w:eastAsia="Times New Roman" w:cs="Arial"/>
          <w:color w:val="000000"/>
          <w:u w:val="single"/>
          <w:lang w:eastAsia="bg-BG"/>
        </w:rPr>
        <w:t xml:space="preserve">Нарушения на възпроизводителната система и гърдата </w:t>
      </w:r>
    </w:p>
    <w:p w14:paraId="29C5841D" w14:textId="78FD1620" w:rsidR="004328C0" w:rsidRPr="004328C0" w:rsidRDefault="004328C0" w:rsidP="004328C0">
      <w:pPr>
        <w:spacing w:line="240" w:lineRule="auto"/>
        <w:rPr>
          <w:rFonts w:eastAsia="Times New Roman" w:cs="Arial"/>
        </w:rPr>
      </w:pPr>
      <w:r w:rsidRPr="004328C0">
        <w:rPr>
          <w:rFonts w:eastAsia="Times New Roman" w:cs="Arial"/>
          <w:color w:val="000000"/>
          <w:lang w:eastAsia="bg-BG"/>
        </w:rPr>
        <w:t>С неизвестна честота: гинекомастия.</w:t>
      </w:r>
    </w:p>
    <w:p w14:paraId="0D659A2E" w14:textId="77777777" w:rsidR="004328C0" w:rsidRDefault="004328C0" w:rsidP="004328C0">
      <w:pPr>
        <w:spacing w:line="240" w:lineRule="auto"/>
        <w:rPr>
          <w:rFonts w:eastAsia="Times New Roman" w:cs="Arial"/>
          <w:color w:val="000000"/>
          <w:u w:val="single"/>
          <w:lang w:eastAsia="bg-BG"/>
        </w:rPr>
      </w:pPr>
    </w:p>
    <w:p w14:paraId="196A1811" w14:textId="150C2149" w:rsidR="004328C0" w:rsidRPr="004328C0" w:rsidRDefault="004328C0" w:rsidP="004328C0">
      <w:pPr>
        <w:spacing w:line="240" w:lineRule="auto"/>
        <w:rPr>
          <w:rFonts w:eastAsia="Times New Roman" w:cs="Arial"/>
        </w:rPr>
      </w:pPr>
      <w:r w:rsidRPr="004328C0">
        <w:rPr>
          <w:rFonts w:eastAsia="Times New Roman" w:cs="Arial"/>
          <w:color w:val="000000"/>
          <w:u w:val="single"/>
          <w:lang w:eastAsia="bg-BG"/>
        </w:rPr>
        <w:t>Общи нарушения и ефекти на мястото на приложение</w:t>
      </w:r>
    </w:p>
    <w:p w14:paraId="1629FB40"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Много чести: периферни отоци;</w:t>
      </w:r>
    </w:p>
    <w:p w14:paraId="63988D21"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Чести: отпадналост.</w:t>
      </w:r>
    </w:p>
    <w:p w14:paraId="083FDCF4" w14:textId="77777777" w:rsidR="004328C0" w:rsidRDefault="004328C0" w:rsidP="004328C0">
      <w:pPr>
        <w:spacing w:line="240" w:lineRule="auto"/>
        <w:rPr>
          <w:rFonts w:eastAsia="Times New Roman" w:cs="Arial"/>
          <w:color w:val="000000"/>
          <w:u w:val="single"/>
          <w:lang w:eastAsia="bg-BG"/>
        </w:rPr>
      </w:pPr>
    </w:p>
    <w:p w14:paraId="6E6B24BF" w14:textId="218862B7" w:rsidR="004328C0" w:rsidRPr="004328C0" w:rsidRDefault="004328C0" w:rsidP="004328C0">
      <w:pPr>
        <w:spacing w:line="240" w:lineRule="auto"/>
        <w:rPr>
          <w:rFonts w:eastAsia="Times New Roman" w:cs="Arial"/>
        </w:rPr>
      </w:pPr>
      <w:r w:rsidRPr="004328C0">
        <w:rPr>
          <w:rFonts w:eastAsia="Times New Roman" w:cs="Arial"/>
          <w:color w:val="000000"/>
          <w:u w:val="single"/>
          <w:lang w:eastAsia="bg-BG"/>
        </w:rPr>
        <w:t>Съобщаване на подозирани нежелани реакции</w:t>
      </w:r>
    </w:p>
    <w:p w14:paraId="1F6D9399"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w:t>
      </w:r>
      <w:r w:rsidRPr="004328C0">
        <w:rPr>
          <w:rFonts w:eastAsia="Times New Roman" w:cs="Arial"/>
          <w:color w:val="000000"/>
          <w:lang w:eastAsia="bg-BG"/>
        </w:rPr>
        <w:lastRenderedPageBreak/>
        <w:t>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№8,</w:t>
      </w:r>
    </w:p>
    <w:p w14:paraId="6B88159F" w14:textId="26FD625B" w:rsidR="004328C0" w:rsidRDefault="004328C0" w:rsidP="004328C0">
      <w:pPr>
        <w:rPr>
          <w:rFonts w:eastAsia="Times New Roman" w:cs="Arial"/>
          <w:color w:val="000000"/>
          <w:lang w:val="ru-RU"/>
        </w:rPr>
      </w:pPr>
      <w:r w:rsidRPr="004328C0">
        <w:rPr>
          <w:rFonts w:eastAsia="Times New Roman" w:cs="Arial"/>
          <w:color w:val="000000"/>
          <w:lang w:eastAsia="bg-BG"/>
        </w:rPr>
        <w:t xml:space="preserve">1303 София, тел: +359 28903417, уебсайт: </w:t>
      </w:r>
      <w:r w:rsidRPr="004328C0">
        <w:rPr>
          <w:rFonts w:eastAsia="Times New Roman" w:cs="Arial"/>
        </w:rPr>
        <w:fldChar w:fldCharType="begin"/>
      </w:r>
      <w:r w:rsidRPr="004328C0">
        <w:rPr>
          <w:rFonts w:eastAsia="Times New Roman" w:cs="Arial"/>
        </w:rPr>
        <w:instrText xml:space="preserve"> HYPERLINK "http://www.bda.bg" </w:instrText>
      </w:r>
      <w:r w:rsidRPr="004328C0">
        <w:rPr>
          <w:rFonts w:eastAsia="Times New Roman" w:cs="Arial"/>
        </w:rPr>
      </w:r>
      <w:r w:rsidRPr="004328C0">
        <w:rPr>
          <w:rFonts w:eastAsia="Times New Roman" w:cs="Arial"/>
        </w:rPr>
        <w:fldChar w:fldCharType="separate"/>
      </w:r>
      <w:r w:rsidRPr="004328C0">
        <w:rPr>
          <w:rFonts w:eastAsia="Times New Roman" w:cs="Arial"/>
          <w:color w:val="000000"/>
          <w:u w:val="single"/>
          <w:lang w:val="en-US"/>
        </w:rPr>
        <w:t>www</w:t>
      </w:r>
      <w:r w:rsidRPr="004328C0">
        <w:rPr>
          <w:rFonts w:eastAsia="Times New Roman" w:cs="Arial"/>
          <w:color w:val="000000"/>
          <w:u w:val="single"/>
          <w:lang w:val="ru-RU"/>
        </w:rPr>
        <w:t>.</w:t>
      </w:r>
      <w:proofErr w:type="spellStart"/>
      <w:r w:rsidRPr="004328C0">
        <w:rPr>
          <w:rFonts w:eastAsia="Times New Roman" w:cs="Arial"/>
          <w:color w:val="000000"/>
          <w:u w:val="single"/>
          <w:lang w:val="en-US"/>
        </w:rPr>
        <w:t>bda</w:t>
      </w:r>
      <w:proofErr w:type="spellEnd"/>
      <w:r w:rsidRPr="004328C0">
        <w:rPr>
          <w:rFonts w:eastAsia="Times New Roman" w:cs="Arial"/>
          <w:color w:val="000000"/>
          <w:u w:val="single"/>
          <w:lang w:val="ru-RU"/>
        </w:rPr>
        <w:t>.</w:t>
      </w:r>
      <w:proofErr w:type="spellStart"/>
      <w:r w:rsidRPr="004328C0">
        <w:rPr>
          <w:rFonts w:eastAsia="Times New Roman" w:cs="Arial"/>
          <w:color w:val="000000"/>
          <w:u w:val="single"/>
          <w:lang w:val="en-US"/>
        </w:rPr>
        <w:t>bg</w:t>
      </w:r>
      <w:proofErr w:type="spellEnd"/>
      <w:r w:rsidRPr="004328C0">
        <w:rPr>
          <w:rFonts w:eastAsia="Times New Roman" w:cs="Arial"/>
        </w:rPr>
        <w:fldChar w:fldCharType="end"/>
      </w:r>
      <w:r w:rsidRPr="004328C0">
        <w:rPr>
          <w:rFonts w:eastAsia="Times New Roman" w:cs="Arial"/>
          <w:color w:val="000000"/>
          <w:lang w:val="ru-RU"/>
        </w:rPr>
        <w:t>.</w:t>
      </w:r>
    </w:p>
    <w:p w14:paraId="61B30823" w14:textId="77777777" w:rsidR="004328C0" w:rsidRPr="004328C0" w:rsidRDefault="004328C0" w:rsidP="004328C0">
      <w:pPr>
        <w:rPr>
          <w:rFonts w:eastAsia="Times New Roman" w:cs="Arial"/>
        </w:rPr>
      </w:pPr>
    </w:p>
    <w:p w14:paraId="0A023CE0" w14:textId="149E733D" w:rsidR="00CF77F7" w:rsidRDefault="002C50EE" w:rsidP="004A448E">
      <w:pPr>
        <w:pStyle w:val="Heading2"/>
      </w:pPr>
      <w:r>
        <w:t>4.9. Предозиране</w:t>
      </w:r>
    </w:p>
    <w:p w14:paraId="1DB7B02C" w14:textId="2AEE46A0" w:rsidR="004328C0" w:rsidRDefault="004328C0" w:rsidP="004328C0"/>
    <w:p w14:paraId="4F467891" w14:textId="77777777" w:rsidR="004328C0" w:rsidRPr="004328C0" w:rsidRDefault="004328C0" w:rsidP="004328C0">
      <w:pPr>
        <w:spacing w:line="240" w:lineRule="auto"/>
        <w:rPr>
          <w:rFonts w:eastAsia="Times New Roman" w:cs="Arial"/>
        </w:rPr>
      </w:pPr>
      <w:r w:rsidRPr="004328C0">
        <w:rPr>
          <w:rFonts w:eastAsia="Times New Roman" w:cs="Arial"/>
          <w:color w:val="000000"/>
          <w:u w:val="single"/>
          <w:lang w:eastAsia="bg-BG"/>
        </w:rPr>
        <w:t>Симптоми</w:t>
      </w:r>
      <w:r w:rsidRPr="004328C0">
        <w:rPr>
          <w:rFonts w:eastAsia="Times New Roman" w:cs="Arial"/>
          <w:color w:val="000000"/>
          <w:lang w:eastAsia="bg-BG"/>
        </w:rPr>
        <w:t xml:space="preserve">: високостепенна хипотония и брадикардия, </w:t>
      </w:r>
      <w:r w:rsidRPr="004328C0">
        <w:rPr>
          <w:rFonts w:eastAsia="Times New Roman" w:cs="Arial"/>
          <w:color w:val="000000"/>
          <w:lang w:val="en-US"/>
        </w:rPr>
        <w:t>AV</w:t>
      </w:r>
      <w:r w:rsidRPr="004328C0">
        <w:rPr>
          <w:rFonts w:eastAsia="Times New Roman" w:cs="Arial"/>
          <w:color w:val="000000"/>
          <w:lang w:eastAsia="bg-BG"/>
        </w:rPr>
        <w:t>-блок, вкл. асистолия. Симптоми, свързани с хипоперфузия: метаболитна ацидоза, хипергликемия, хиперкалиемия. нарушения на бъбречната функция, гадене, повръщане, функционални нарушения от страна на централната нервна система, гърчове.</w:t>
      </w:r>
    </w:p>
    <w:p w14:paraId="101CA567" w14:textId="77777777" w:rsidR="004328C0" w:rsidRPr="004328C0" w:rsidRDefault="004328C0" w:rsidP="004328C0">
      <w:pPr>
        <w:spacing w:line="240" w:lineRule="auto"/>
        <w:rPr>
          <w:rFonts w:eastAsia="Times New Roman" w:cs="Arial"/>
          <w:color w:val="000000"/>
          <w:u w:val="single"/>
          <w:lang w:eastAsia="bg-BG"/>
        </w:rPr>
      </w:pPr>
    </w:p>
    <w:p w14:paraId="5D8C3DE6" w14:textId="4B36CB28" w:rsidR="004328C0" w:rsidRPr="004328C0" w:rsidRDefault="004328C0" w:rsidP="004328C0">
      <w:pPr>
        <w:spacing w:line="240" w:lineRule="auto"/>
        <w:rPr>
          <w:rFonts w:eastAsia="Times New Roman" w:cs="Arial"/>
          <w:color w:val="000000"/>
          <w:u w:val="single"/>
          <w:lang w:eastAsia="bg-BG"/>
        </w:rPr>
      </w:pPr>
      <w:r w:rsidRPr="004328C0">
        <w:rPr>
          <w:rFonts w:eastAsia="Times New Roman" w:cs="Arial"/>
          <w:color w:val="000000"/>
          <w:u w:val="single"/>
          <w:lang w:eastAsia="bg-BG"/>
        </w:rPr>
        <w:t>Лечение:</w:t>
      </w:r>
      <w:r w:rsidRPr="004328C0">
        <w:rPr>
          <w:rFonts w:eastAsia="Times New Roman" w:cs="Arial"/>
          <w:color w:val="000000"/>
          <w:lang w:eastAsia="bg-BG"/>
        </w:rPr>
        <w:t xml:space="preserve"> мерки за бързо елиминиране на нерезорбираното количество от лекарството (стомашна промивка, активиран въглен, осмотични очистителни), водно-солеви разтвори. Симптоматично лечение на отделните прояви на предозиране. Хемодиализата няма ефект, тъй като дилтиазем не се диализира. Показани са хемофилтрация и плазмафереза (инхибиторите на калциевите канали се свързват в значителна степен с плазмените протеини). Стандартните интензивни мерки за реанимация включват екстраторакален сърдечен масаж, вентилация, дефибрилация и пейсмейкърна терапия. Специфичен антидот е калцият, който се въвежда интравенозно като калциев глюконат в доза 10-20 </w:t>
      </w:r>
      <w:r w:rsidRPr="004328C0">
        <w:rPr>
          <w:rFonts w:eastAsia="Times New Roman" w:cs="Arial"/>
          <w:color w:val="000000"/>
          <w:lang w:val="en-US"/>
        </w:rPr>
        <w:t>ml</w:t>
      </w:r>
      <w:r w:rsidRPr="004328C0">
        <w:rPr>
          <w:rFonts w:eastAsia="Times New Roman" w:cs="Arial"/>
          <w:color w:val="000000"/>
          <w:lang w:val="ru-RU"/>
        </w:rPr>
        <w:t xml:space="preserve"> </w:t>
      </w:r>
      <w:r w:rsidRPr="004328C0">
        <w:rPr>
          <w:rFonts w:eastAsia="Times New Roman" w:cs="Arial"/>
          <w:color w:val="000000"/>
          <w:lang w:eastAsia="bg-BG"/>
        </w:rPr>
        <w:t>10% р-р и се повтаря при нужда или като продължителна капкова инфузия.</w:t>
      </w:r>
    </w:p>
    <w:p w14:paraId="12183C46" w14:textId="77777777" w:rsidR="004328C0" w:rsidRPr="004328C0" w:rsidRDefault="004328C0" w:rsidP="004328C0"/>
    <w:p w14:paraId="02081B24" w14:textId="37BACEDB" w:rsidR="00395555" w:rsidRPr="00395555" w:rsidRDefault="002C50EE" w:rsidP="008A6AF2">
      <w:pPr>
        <w:pStyle w:val="Heading1"/>
      </w:pPr>
      <w:r>
        <w:t>5. ФАРМАКОЛОГИЧНИ СВОЙСТВА</w:t>
      </w:r>
    </w:p>
    <w:p w14:paraId="32B6DE66" w14:textId="0DF0F504" w:rsidR="00CF77F7" w:rsidRDefault="002C50EE" w:rsidP="004A448E">
      <w:pPr>
        <w:pStyle w:val="Heading2"/>
      </w:pPr>
      <w:r>
        <w:t>5.1. Фармакодинамични свойства</w:t>
      </w:r>
    </w:p>
    <w:p w14:paraId="6FF44995" w14:textId="09B7BCA3" w:rsidR="004328C0" w:rsidRDefault="004328C0" w:rsidP="004328C0"/>
    <w:p w14:paraId="6E31773E"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 xml:space="preserve">Фармакотерапевтична група: Калциеви антагонисти, АТС код: </w:t>
      </w:r>
      <w:r w:rsidRPr="004328C0">
        <w:rPr>
          <w:rFonts w:eastAsia="Times New Roman" w:cs="Arial"/>
          <w:color w:val="000000"/>
          <w:lang w:val="en-US"/>
        </w:rPr>
        <w:t>C</w:t>
      </w:r>
      <w:r w:rsidRPr="004328C0">
        <w:rPr>
          <w:rFonts w:eastAsia="Times New Roman" w:cs="Arial"/>
          <w:color w:val="000000"/>
          <w:lang w:val="ru-RU"/>
        </w:rPr>
        <w:t>08</w:t>
      </w:r>
      <w:r w:rsidRPr="004328C0">
        <w:rPr>
          <w:rFonts w:eastAsia="Times New Roman" w:cs="Arial"/>
          <w:color w:val="000000"/>
          <w:lang w:val="en-US"/>
        </w:rPr>
        <w:t>DB</w:t>
      </w:r>
      <w:r w:rsidRPr="004328C0">
        <w:rPr>
          <w:rFonts w:eastAsia="Times New Roman" w:cs="Arial"/>
          <w:color w:val="000000"/>
          <w:lang w:val="ru-RU"/>
        </w:rPr>
        <w:t>01</w:t>
      </w:r>
    </w:p>
    <w:p w14:paraId="0E5B4677" w14:textId="77777777" w:rsidR="004328C0" w:rsidRPr="004328C0" w:rsidRDefault="004328C0" w:rsidP="004328C0">
      <w:pPr>
        <w:rPr>
          <w:rFonts w:eastAsia="Times New Roman" w:cs="Arial"/>
          <w:color w:val="000000"/>
          <w:lang w:eastAsia="bg-BG"/>
        </w:rPr>
      </w:pPr>
    </w:p>
    <w:p w14:paraId="68CC7515" w14:textId="13A725A1" w:rsidR="004328C0" w:rsidRPr="004328C0" w:rsidRDefault="004328C0" w:rsidP="004328C0">
      <w:pPr>
        <w:rPr>
          <w:rFonts w:cs="Arial"/>
        </w:rPr>
      </w:pPr>
      <w:r w:rsidRPr="004328C0">
        <w:rPr>
          <w:rFonts w:eastAsia="Times New Roman" w:cs="Arial"/>
          <w:color w:val="000000"/>
          <w:lang w:eastAsia="bg-BG"/>
        </w:rPr>
        <w:t xml:space="preserve">Дилтиазем е високоспецифичен синтетичен нехидроксипиридинов калциев антагонист. Механизмът на неговото действие е свързан основно с блокирането на навлизането на йоните на калция през волтаж-зависимите калциеви канали от </w:t>
      </w:r>
      <w:r w:rsidRPr="004328C0">
        <w:rPr>
          <w:rFonts w:eastAsia="Times New Roman" w:cs="Arial"/>
          <w:color w:val="000000"/>
          <w:lang w:val="en-US"/>
        </w:rPr>
        <w:t>L</w:t>
      </w:r>
      <w:r w:rsidRPr="004328C0">
        <w:rPr>
          <w:rFonts w:eastAsia="Times New Roman" w:cs="Arial"/>
          <w:color w:val="000000"/>
          <w:lang w:eastAsia="bg-BG"/>
        </w:rPr>
        <w:t xml:space="preserve">-тип в клетките. Основните фармакологични ефекти на дилтиазем са свързани с неговата способност да въздейства върху навлизането на йоните на калций директно в кардиомиоцитите, гладкомускулните клетки, преводните и контрактилните клетки на миокарда. Намалява спонтанната активност на синусовия възел, удължава проводимостта и ефективния рефрактерен период на </w:t>
      </w:r>
      <w:r w:rsidRPr="004328C0">
        <w:rPr>
          <w:rFonts w:eastAsia="Times New Roman" w:cs="Arial"/>
          <w:color w:val="000000"/>
          <w:lang w:val="en-US"/>
        </w:rPr>
        <w:t>AV</w:t>
      </w:r>
      <w:r w:rsidRPr="004328C0">
        <w:rPr>
          <w:rFonts w:eastAsia="Times New Roman" w:cs="Arial"/>
          <w:color w:val="000000"/>
          <w:lang w:eastAsia="bg-BG"/>
        </w:rPr>
        <w:t>-възела. Притежава изразен антиаритмичен ефект и за разлика от други специфични калциеви антагонисти проявява минимално отрицателно инотропно действие. Продуктът предизвиква понижение на съкратимостта на съдовата гладка мускулатура; подобрява клетъчния метаболизъм в миокарда, субендокардната перфузия чрез вазодилатация на коронарните артерии; понижава повишения тонус на периферните съдове и намалява следнатоварването на сърцето, а в по-малка степен понижава и преднатоварването. Кардиопротективните ефекти на дилтиазем включват и потискане на тромбоцитната агрегация, водещо до понижаване на степента на исхемичните поражения на миокарда при ИБС. Не предизвиква рефлекторна тахикардия. Продуктът може да доведе при продължително лечение и до частично обратно развитие на левокамерната хипертрофия при пациенти с артериална хипертония.</w:t>
      </w:r>
    </w:p>
    <w:p w14:paraId="35F84B81" w14:textId="6D5F6BCD" w:rsidR="00CF77F7" w:rsidRDefault="002C50EE" w:rsidP="004A448E">
      <w:pPr>
        <w:pStyle w:val="Heading2"/>
      </w:pPr>
      <w:r>
        <w:lastRenderedPageBreak/>
        <w:t>5.2. Фармакокинетични свойства</w:t>
      </w:r>
    </w:p>
    <w:p w14:paraId="00B77776" w14:textId="196E9135" w:rsidR="004328C0" w:rsidRDefault="004328C0" w:rsidP="004328C0"/>
    <w:p w14:paraId="6B39D683" w14:textId="77777777" w:rsidR="004328C0" w:rsidRPr="004328C0" w:rsidRDefault="004328C0" w:rsidP="004328C0">
      <w:pPr>
        <w:pStyle w:val="Heading3"/>
        <w:rPr>
          <w:rFonts w:eastAsia="Times New Roman"/>
          <w:u w:val="single"/>
        </w:rPr>
      </w:pPr>
      <w:r w:rsidRPr="004328C0">
        <w:rPr>
          <w:rFonts w:eastAsia="Times New Roman"/>
          <w:u w:val="single"/>
          <w:lang w:eastAsia="bg-BG"/>
        </w:rPr>
        <w:t>Абсорбция</w:t>
      </w:r>
    </w:p>
    <w:p w14:paraId="24E73D7A"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 xml:space="preserve">Дилтиазем се резорбира бързо и пълно в гастроинтестиналния тракт (до 90% от приетата доза). Поради наличието на изразен </w:t>
      </w:r>
      <w:r w:rsidRPr="004328C0">
        <w:rPr>
          <w:rFonts w:eastAsia="Times New Roman" w:cs="Arial"/>
          <w:i/>
          <w:iCs/>
          <w:color w:val="000000"/>
          <w:lang w:val="en-US"/>
        </w:rPr>
        <w:t>first</w:t>
      </w:r>
      <w:r w:rsidRPr="004328C0">
        <w:rPr>
          <w:rFonts w:eastAsia="Times New Roman" w:cs="Arial"/>
          <w:i/>
          <w:iCs/>
          <w:color w:val="000000"/>
          <w:lang w:val="ru-RU"/>
        </w:rPr>
        <w:t xml:space="preserve"> </w:t>
      </w:r>
      <w:r w:rsidRPr="004328C0">
        <w:rPr>
          <w:rFonts w:eastAsia="Times New Roman" w:cs="Arial"/>
          <w:i/>
          <w:iCs/>
          <w:color w:val="000000"/>
          <w:lang w:val="en-US"/>
        </w:rPr>
        <w:t>pass</w:t>
      </w:r>
      <w:r w:rsidRPr="004328C0">
        <w:rPr>
          <w:rFonts w:eastAsia="Times New Roman" w:cs="Arial"/>
          <w:i/>
          <w:iCs/>
          <w:color w:val="000000"/>
          <w:lang w:val="ru-RU"/>
        </w:rPr>
        <w:t xml:space="preserve"> </w:t>
      </w:r>
      <w:r w:rsidRPr="004328C0">
        <w:rPr>
          <w:rFonts w:eastAsia="Times New Roman" w:cs="Arial"/>
          <w:i/>
          <w:iCs/>
          <w:color w:val="000000"/>
          <w:lang w:val="en-US"/>
        </w:rPr>
        <w:t>effect</w:t>
      </w:r>
      <w:r w:rsidRPr="004328C0">
        <w:rPr>
          <w:rFonts w:eastAsia="Times New Roman" w:cs="Arial"/>
          <w:color w:val="000000"/>
          <w:lang w:val="ru-RU"/>
        </w:rPr>
        <w:t xml:space="preserve"> </w:t>
      </w:r>
      <w:r w:rsidRPr="004328C0">
        <w:rPr>
          <w:rFonts w:eastAsia="Times New Roman" w:cs="Arial"/>
          <w:color w:val="000000"/>
          <w:lang w:eastAsia="bg-BG"/>
        </w:rPr>
        <w:t>системната бионаличност на дилтиазем е около 40%. Пикова плазмена концентрация се достига от 2 до 4 часа след прием на еднократна доза.</w:t>
      </w:r>
    </w:p>
    <w:p w14:paraId="562E3BB9"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Средните плазмени концентрации при пациенти в напреднала възраст, пациенти с увредена чернодробна или бъбречна функция са по-високи.</w:t>
      </w:r>
    </w:p>
    <w:p w14:paraId="257FDA10" w14:textId="77777777" w:rsidR="004328C0" w:rsidRDefault="004328C0" w:rsidP="004328C0">
      <w:pPr>
        <w:spacing w:line="240" w:lineRule="auto"/>
        <w:rPr>
          <w:rFonts w:eastAsia="Times New Roman" w:cs="Arial"/>
          <w:color w:val="000000"/>
          <w:u w:val="single"/>
          <w:lang w:eastAsia="bg-BG"/>
        </w:rPr>
      </w:pPr>
    </w:p>
    <w:p w14:paraId="46B61035" w14:textId="22E77BA9" w:rsidR="004328C0" w:rsidRPr="004328C0" w:rsidRDefault="004328C0" w:rsidP="004328C0">
      <w:pPr>
        <w:pStyle w:val="Heading3"/>
        <w:rPr>
          <w:rFonts w:eastAsia="Times New Roman"/>
          <w:u w:val="single"/>
        </w:rPr>
      </w:pPr>
      <w:r w:rsidRPr="004328C0">
        <w:rPr>
          <w:rFonts w:eastAsia="Times New Roman"/>
          <w:u w:val="single"/>
          <w:lang w:eastAsia="bg-BG"/>
        </w:rPr>
        <w:t>Разпределение</w:t>
      </w:r>
    </w:p>
    <w:p w14:paraId="51989F96"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Свързва се до 70-80% с плазмените протеини, като има афинитет към алфа-киселинния глюкопротеин. Екскретира се в кърмата.</w:t>
      </w:r>
    </w:p>
    <w:p w14:paraId="2B9AC528" w14:textId="77777777" w:rsidR="004328C0" w:rsidRDefault="004328C0" w:rsidP="004328C0">
      <w:pPr>
        <w:spacing w:line="240" w:lineRule="auto"/>
        <w:rPr>
          <w:rFonts w:eastAsia="Times New Roman" w:cs="Arial"/>
          <w:color w:val="000000"/>
          <w:u w:val="single"/>
          <w:lang w:eastAsia="bg-BG"/>
        </w:rPr>
      </w:pPr>
    </w:p>
    <w:p w14:paraId="672F31A1" w14:textId="34DD5F38" w:rsidR="004328C0" w:rsidRPr="004328C0" w:rsidRDefault="004328C0" w:rsidP="004328C0">
      <w:pPr>
        <w:pStyle w:val="Heading3"/>
        <w:rPr>
          <w:rFonts w:eastAsia="Times New Roman"/>
          <w:u w:val="single"/>
        </w:rPr>
      </w:pPr>
      <w:r w:rsidRPr="004328C0">
        <w:rPr>
          <w:rFonts w:eastAsia="Times New Roman"/>
          <w:u w:val="single"/>
          <w:lang w:eastAsia="bg-BG"/>
        </w:rPr>
        <w:t>Биотранформация</w:t>
      </w:r>
    </w:p>
    <w:p w14:paraId="349AD9FB" w14:textId="77777777" w:rsidR="004328C0" w:rsidRDefault="004328C0" w:rsidP="004328C0">
      <w:pPr>
        <w:rPr>
          <w:rFonts w:eastAsia="Times New Roman" w:cs="Arial"/>
          <w:color w:val="000000"/>
          <w:lang w:eastAsia="bg-BG"/>
        </w:rPr>
      </w:pPr>
      <w:r w:rsidRPr="004328C0">
        <w:rPr>
          <w:rFonts w:eastAsia="Times New Roman" w:cs="Arial"/>
          <w:color w:val="000000"/>
          <w:lang w:eastAsia="bg-BG"/>
        </w:rPr>
        <w:t xml:space="preserve">Метаболизира се основно в черния дроб от цитохром Р450 ЗА4. Основен метаболит е дездиацетилдилтиазем, който се установява в нива от 25-50% от тези на активното вещество. </w:t>
      </w:r>
    </w:p>
    <w:p w14:paraId="0218455F" w14:textId="77777777" w:rsidR="004328C0" w:rsidRDefault="004328C0" w:rsidP="004328C0">
      <w:pPr>
        <w:rPr>
          <w:rFonts w:eastAsia="Times New Roman" w:cs="Arial"/>
          <w:color w:val="000000"/>
          <w:lang w:eastAsia="bg-BG"/>
        </w:rPr>
      </w:pPr>
    </w:p>
    <w:p w14:paraId="41C55F98" w14:textId="33A9546A" w:rsidR="004328C0" w:rsidRPr="004328C0" w:rsidRDefault="004328C0" w:rsidP="004328C0">
      <w:pPr>
        <w:pStyle w:val="Heading3"/>
        <w:rPr>
          <w:rFonts w:eastAsia="Times New Roman"/>
          <w:u w:val="single"/>
          <w:lang w:eastAsia="bg-BG"/>
        </w:rPr>
      </w:pPr>
      <w:r w:rsidRPr="004328C0">
        <w:rPr>
          <w:rFonts w:eastAsia="Times New Roman"/>
          <w:u w:val="single"/>
          <w:lang w:eastAsia="bg-BG"/>
        </w:rPr>
        <w:t>Елиминиране</w:t>
      </w:r>
    </w:p>
    <w:p w14:paraId="57513C29" w14:textId="77777777" w:rsidR="004328C0" w:rsidRPr="004328C0" w:rsidRDefault="004328C0" w:rsidP="004328C0">
      <w:pPr>
        <w:spacing w:line="240" w:lineRule="auto"/>
        <w:rPr>
          <w:rFonts w:eastAsia="Times New Roman" w:cs="Arial"/>
        </w:rPr>
      </w:pPr>
      <w:r w:rsidRPr="004328C0">
        <w:rPr>
          <w:rFonts w:eastAsia="Times New Roman" w:cs="Arial"/>
          <w:color w:val="000000"/>
          <w:lang w:eastAsia="bg-BG"/>
        </w:rPr>
        <w:t>Времето на полуживот е около 3-5 часа. Дилтиазем се екскретира под формата на метаболити чрез жлъчката и урината. Около 2-4% се елиминира чрез бъбреците в непроменен вид. Дилтиазем и неговите метаболити се диализират незначително.</w:t>
      </w:r>
    </w:p>
    <w:p w14:paraId="61040F6E" w14:textId="77777777" w:rsidR="004328C0" w:rsidRPr="004328C0" w:rsidRDefault="004328C0" w:rsidP="004328C0"/>
    <w:p w14:paraId="648E39DA" w14:textId="7829FF56" w:rsidR="00CF77F7" w:rsidRDefault="002C50EE" w:rsidP="004A448E">
      <w:pPr>
        <w:pStyle w:val="Heading2"/>
      </w:pPr>
      <w:r>
        <w:t>5.3. Предклинични данни за безопасност</w:t>
      </w:r>
    </w:p>
    <w:p w14:paraId="7E357E6D" w14:textId="65401A00" w:rsidR="004328C0" w:rsidRDefault="004328C0" w:rsidP="004328C0"/>
    <w:p w14:paraId="2B1C04D0" w14:textId="77777777" w:rsidR="004328C0" w:rsidRPr="004328C0" w:rsidRDefault="004328C0" w:rsidP="004328C0">
      <w:pPr>
        <w:rPr>
          <w:sz w:val="24"/>
          <w:szCs w:val="24"/>
        </w:rPr>
      </w:pPr>
      <w:r w:rsidRPr="004328C0">
        <w:rPr>
          <w:lang w:eastAsia="bg-BG"/>
        </w:rPr>
        <w:t>Острата токсичност ЛД</w:t>
      </w:r>
      <w:r w:rsidRPr="004328C0">
        <w:rPr>
          <w:vertAlign w:val="subscript"/>
          <w:lang w:eastAsia="bg-BG"/>
        </w:rPr>
        <w:t>50</w:t>
      </w:r>
      <w:r w:rsidRPr="004328C0">
        <w:rPr>
          <w:lang w:eastAsia="bg-BG"/>
        </w:rPr>
        <w:t xml:space="preserve"> на дилтиазем при перорално приложение върху плъхове е 1187,5 </w:t>
      </w:r>
      <w:r w:rsidRPr="004328C0">
        <w:rPr>
          <w:lang w:val="en-US"/>
        </w:rPr>
        <w:t>mg</w:t>
      </w:r>
      <w:r w:rsidRPr="004328C0">
        <w:rPr>
          <w:lang w:val="ru-RU"/>
        </w:rPr>
        <w:t>/</w:t>
      </w:r>
      <w:r w:rsidRPr="004328C0">
        <w:rPr>
          <w:lang w:val="en-US"/>
        </w:rPr>
        <w:t>kg</w:t>
      </w:r>
      <w:r w:rsidRPr="004328C0">
        <w:rPr>
          <w:lang w:val="ru-RU"/>
        </w:rPr>
        <w:t xml:space="preserve"> </w:t>
      </w:r>
      <w:r w:rsidRPr="004328C0">
        <w:rPr>
          <w:lang w:eastAsia="bg-BG"/>
        </w:rPr>
        <w:t xml:space="preserve">т.м., а при мишки е 625 </w:t>
      </w:r>
      <w:r w:rsidRPr="004328C0">
        <w:rPr>
          <w:lang w:val="en-US"/>
        </w:rPr>
        <w:t>mg</w:t>
      </w:r>
      <w:r w:rsidRPr="004328C0">
        <w:rPr>
          <w:lang w:val="ru-RU"/>
        </w:rPr>
        <w:t>/</w:t>
      </w:r>
      <w:r w:rsidRPr="004328C0">
        <w:rPr>
          <w:lang w:val="en-US"/>
        </w:rPr>
        <w:t>kg</w:t>
      </w:r>
      <w:r w:rsidRPr="004328C0">
        <w:rPr>
          <w:lang w:val="ru-RU"/>
        </w:rPr>
        <w:t xml:space="preserve"> </w:t>
      </w:r>
      <w:r w:rsidRPr="004328C0">
        <w:rPr>
          <w:lang w:eastAsia="bg-BG"/>
        </w:rPr>
        <w:t>т.м. При проведени репродуктивни проучвания върху опитни животни прилагането на високи дози дилтиазем са предизвиквали ембрио и фетална смъртност. Има съобщения за поява на скелетни аномалии при такива дози. При проведено 24- месечно изследване с дилтиазем върху плъхове не се откриват данни за карциногенен ефект на продукта.</w:t>
      </w:r>
    </w:p>
    <w:p w14:paraId="6CF17534" w14:textId="77777777" w:rsidR="004328C0" w:rsidRPr="004328C0" w:rsidRDefault="004328C0" w:rsidP="004328C0">
      <w:pPr>
        <w:rPr>
          <w:sz w:val="24"/>
          <w:szCs w:val="24"/>
        </w:rPr>
      </w:pPr>
      <w:r w:rsidRPr="004328C0">
        <w:rPr>
          <w:lang w:eastAsia="bg-BG"/>
        </w:rPr>
        <w:t xml:space="preserve">Не е установена мутагенност при тестирането му със стандартни методи </w:t>
      </w:r>
      <w:r w:rsidRPr="004328C0">
        <w:rPr>
          <w:i/>
          <w:iCs/>
          <w:lang w:val="en-US"/>
        </w:rPr>
        <w:t>in</w:t>
      </w:r>
      <w:r w:rsidRPr="004328C0">
        <w:rPr>
          <w:i/>
          <w:iCs/>
          <w:lang w:val="ru-RU"/>
        </w:rPr>
        <w:t xml:space="preserve"> </w:t>
      </w:r>
      <w:r w:rsidRPr="004328C0">
        <w:rPr>
          <w:i/>
          <w:iCs/>
          <w:lang w:val="en-US"/>
        </w:rPr>
        <w:t>vivo</w:t>
      </w:r>
      <w:r w:rsidRPr="004328C0">
        <w:rPr>
          <w:lang w:val="ru-RU"/>
        </w:rPr>
        <w:t xml:space="preserve"> </w:t>
      </w:r>
      <w:r w:rsidRPr="004328C0">
        <w:rPr>
          <w:lang w:eastAsia="bg-BG"/>
        </w:rPr>
        <w:t xml:space="preserve">и </w:t>
      </w:r>
      <w:r w:rsidRPr="004328C0">
        <w:rPr>
          <w:i/>
          <w:iCs/>
          <w:lang w:val="en-US"/>
        </w:rPr>
        <w:t>in</w:t>
      </w:r>
      <w:r w:rsidRPr="004328C0">
        <w:rPr>
          <w:i/>
          <w:iCs/>
          <w:lang w:val="ru-RU"/>
        </w:rPr>
        <w:t xml:space="preserve"> </w:t>
      </w:r>
      <w:r w:rsidRPr="004328C0">
        <w:rPr>
          <w:i/>
          <w:iCs/>
          <w:lang w:val="en-US"/>
        </w:rPr>
        <w:t>vitro</w:t>
      </w:r>
      <w:r w:rsidRPr="004328C0">
        <w:rPr>
          <w:i/>
          <w:iCs/>
          <w:lang w:val="ru-RU"/>
        </w:rPr>
        <w:t>.</w:t>
      </w:r>
    </w:p>
    <w:p w14:paraId="67325C52" w14:textId="77777777" w:rsidR="004328C0" w:rsidRPr="004328C0" w:rsidRDefault="004328C0" w:rsidP="004328C0"/>
    <w:p w14:paraId="6A7820AB" w14:textId="062A3D56" w:rsidR="008A6AF2" w:rsidRDefault="002C50EE" w:rsidP="00395555">
      <w:pPr>
        <w:pStyle w:val="Heading1"/>
      </w:pPr>
      <w:r>
        <w:t>7. ПРИТЕЖАТЕЛ НА РАЗРЕШЕНИЕТО ЗА УПОТРЕБА</w:t>
      </w:r>
    </w:p>
    <w:p w14:paraId="1D7FC005" w14:textId="48F64700" w:rsidR="004328C0" w:rsidRDefault="004328C0" w:rsidP="004328C0"/>
    <w:p w14:paraId="375FA8C6" w14:textId="77777777" w:rsidR="004328C0" w:rsidRPr="004328C0" w:rsidRDefault="004328C0" w:rsidP="004328C0">
      <w:pPr>
        <w:rPr>
          <w:sz w:val="24"/>
          <w:szCs w:val="24"/>
        </w:rPr>
      </w:pPr>
      <w:r w:rsidRPr="004328C0">
        <w:rPr>
          <w:lang w:eastAsia="bg-BG"/>
        </w:rPr>
        <w:t>СОФАРМА АД</w:t>
      </w:r>
    </w:p>
    <w:p w14:paraId="2B0E93E8" w14:textId="4E9B377D" w:rsidR="004328C0" w:rsidRPr="004328C0" w:rsidRDefault="004328C0" w:rsidP="004328C0">
      <w:pPr>
        <w:rPr>
          <w:sz w:val="24"/>
          <w:szCs w:val="24"/>
        </w:rPr>
      </w:pPr>
      <w:r w:rsidRPr="004328C0">
        <w:rPr>
          <w:lang w:eastAsia="bg-BG"/>
        </w:rPr>
        <w:t>ул. Илиенско шосе 16,1220 София, България</w:t>
      </w:r>
    </w:p>
    <w:p w14:paraId="7BA1BA64" w14:textId="33AC8ED4" w:rsidR="00CF77F7" w:rsidRDefault="002C50EE" w:rsidP="004A448E">
      <w:pPr>
        <w:pStyle w:val="Heading1"/>
      </w:pPr>
      <w:r>
        <w:t>8. НОМЕР НА РАЗРЕШЕНИЕТО ЗА УПОТРЕБА</w:t>
      </w:r>
    </w:p>
    <w:p w14:paraId="7DF01B60" w14:textId="7F573333" w:rsidR="004328C0" w:rsidRDefault="004328C0" w:rsidP="004328C0"/>
    <w:p w14:paraId="4F541926" w14:textId="65BDFE45" w:rsidR="004328C0" w:rsidRPr="004328C0" w:rsidRDefault="004328C0" w:rsidP="004328C0">
      <w:r>
        <w:t>20030734</w:t>
      </w:r>
    </w:p>
    <w:p w14:paraId="2CCB5832" w14:textId="44D07A6D" w:rsidR="007C605B" w:rsidRDefault="002C50EE" w:rsidP="007C605B">
      <w:pPr>
        <w:pStyle w:val="Heading1"/>
      </w:pPr>
      <w:r>
        <w:lastRenderedPageBreak/>
        <w:t>9. ДАТА НА ПЪРВО РАЗРЕШАВАНЕ/ПОДНОВЯВАНЕ НА РАЗРЕШЕНИЕТО ЗА УПОТРЕБА</w:t>
      </w:r>
    </w:p>
    <w:p w14:paraId="0CF58DE1" w14:textId="4350A1E4" w:rsidR="004328C0" w:rsidRDefault="004328C0" w:rsidP="004328C0"/>
    <w:p w14:paraId="075F87AA" w14:textId="67527DD6" w:rsidR="004328C0" w:rsidRPr="004328C0" w:rsidRDefault="004328C0" w:rsidP="004328C0">
      <w:r>
        <w:t>15.12.2003</w:t>
      </w:r>
    </w:p>
    <w:p w14:paraId="0E9D0119" w14:textId="0245C6D7" w:rsidR="002C50EE" w:rsidRDefault="002C50EE" w:rsidP="002C50EE">
      <w:pPr>
        <w:pStyle w:val="Heading1"/>
      </w:pPr>
      <w:r>
        <w:t>10. ДАТА НА АКТУАЛИЗИРАНЕ НА ТЕКСТА</w:t>
      </w:r>
    </w:p>
    <w:bookmarkEnd w:id="0"/>
    <w:p w14:paraId="43FB38A2" w14:textId="3C325A02" w:rsidR="007C605B" w:rsidRPr="003E3126" w:rsidRDefault="004328C0" w:rsidP="004328C0">
      <w:r>
        <w:t>Октомври 2015</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7E83658"/>
    <w:multiLevelType w:val="hybridMultilevel"/>
    <w:tmpl w:val="0736FF0A"/>
    <w:lvl w:ilvl="0" w:tplc="E3B434FC">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2"/>
  </w:num>
  <w:num w:numId="15">
    <w:abstractNumId w:val="29"/>
  </w:num>
  <w:num w:numId="16">
    <w:abstractNumId w:val="9"/>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1"/>
  </w:num>
  <w:num w:numId="28">
    <w:abstractNumId w:val="6"/>
  </w:num>
  <w:num w:numId="29">
    <w:abstractNumId w:val="20"/>
  </w:num>
  <w:num w:numId="30">
    <w:abstractNumId w:val="34"/>
  </w:num>
  <w:num w:numId="31">
    <w:abstractNumId w:val="5"/>
  </w:num>
  <w:num w:numId="32">
    <w:abstractNumId w:val="33"/>
  </w:num>
  <w:num w:numId="33">
    <w:abstractNumId w:val="28"/>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328C0"/>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2348</Words>
  <Characters>13388</Characters>
  <Application>Microsoft Office Word</Application>
  <DocSecurity>0</DocSecurity>
  <Lines>111</Lines>
  <Paragraphs>31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2022-03-28T22:26:00Z</dcterms:created>
  <dcterms:modified xsi:type="dcterms:W3CDTF">2022-03-28T22:26:00Z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