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F32634B" w:rsidR="007122AD" w:rsidRDefault="00DD466D" w:rsidP="00936AD0">
      <w:pPr>
        <w:pStyle w:val="Heading1"/>
      </w:pPr>
      <w:r>
        <w:t>1.ИМЕ НА ЛЕКАРСТВЕНИЯ ПРОДУКТ</w:t>
      </w:r>
    </w:p>
    <w:p w14:paraId="6B17FDE6" w14:textId="12744F9A" w:rsidR="003D5569" w:rsidRDefault="003D5569" w:rsidP="003D5569"/>
    <w:p w14:paraId="7B552DB9" w14:textId="77777777" w:rsidR="003D5569" w:rsidRDefault="003D5569" w:rsidP="003D5569">
      <w:r>
        <w:t xml:space="preserve">Диован 160 </w:t>
      </w:r>
      <w:r>
        <w:rPr>
          <w:lang w:val="en-US"/>
        </w:rPr>
        <w:t>mg</w:t>
      </w:r>
      <w:r w:rsidRPr="003D5569">
        <w:t xml:space="preserve"> </w:t>
      </w:r>
      <w:r>
        <w:t xml:space="preserve">филмирани таблетки </w:t>
      </w:r>
    </w:p>
    <w:p w14:paraId="131E81EB" w14:textId="7300A8B5" w:rsidR="003D5569" w:rsidRPr="003D5569" w:rsidRDefault="003D5569" w:rsidP="003D5569">
      <w:r>
        <w:rPr>
          <w:lang w:val="en-US"/>
        </w:rPr>
        <w:t>Diovan</w:t>
      </w:r>
      <w:r w:rsidRPr="003D5569">
        <w:t xml:space="preserve"> </w:t>
      </w:r>
      <w:r>
        <w:t xml:space="preserve">160 </w:t>
      </w:r>
      <w:r>
        <w:rPr>
          <w:lang w:val="en-US"/>
        </w:rPr>
        <w:t>mg</w:t>
      </w:r>
      <w:r w:rsidRPr="003D5569">
        <w:t xml:space="preserve"> </w:t>
      </w:r>
      <w:r>
        <w:rPr>
          <w:lang w:val="en-US"/>
        </w:rPr>
        <w:t>film</w:t>
      </w:r>
      <w:r w:rsidRPr="003D5569">
        <w:t>-</w:t>
      </w:r>
      <w:r>
        <w:rPr>
          <w:lang w:val="en-US"/>
        </w:rPr>
        <w:t>coated</w:t>
      </w:r>
      <w:r w:rsidRPr="003D5569">
        <w:t xml:space="preserve"> </w:t>
      </w:r>
      <w:r>
        <w:rPr>
          <w:lang w:val="en-US"/>
        </w:rPr>
        <w:t>tablets</w:t>
      </w:r>
    </w:p>
    <w:p w14:paraId="6920A680" w14:textId="0DC809B9" w:rsidR="00C40420" w:rsidRDefault="00DD466D" w:rsidP="004A448E">
      <w:pPr>
        <w:pStyle w:val="Heading1"/>
      </w:pPr>
      <w:r>
        <w:t>2. КАЧЕСТВЕН И КОЛИЧЕСТВЕН СЪСТАВ</w:t>
      </w:r>
    </w:p>
    <w:p w14:paraId="4E29A6E4" w14:textId="2EF46ADF" w:rsidR="003D5569" w:rsidRDefault="003D5569" w:rsidP="003D5569"/>
    <w:p w14:paraId="71B4B205" w14:textId="071625F4" w:rsidR="003D5569" w:rsidRPr="003D5569" w:rsidRDefault="003D5569" w:rsidP="003D5569">
      <w:r>
        <w:t xml:space="preserve">Всяка филмирана таблетка съдържа 160 </w:t>
      </w:r>
      <w:r>
        <w:rPr>
          <w:lang w:val="en-US"/>
        </w:rPr>
        <w:t>mg</w:t>
      </w:r>
      <w:r w:rsidRPr="003D5569">
        <w:rPr>
          <w:lang w:val="ru-RU"/>
        </w:rPr>
        <w:t xml:space="preserve"> </w:t>
      </w:r>
      <w:r>
        <w:t xml:space="preserve">валсартан </w:t>
      </w:r>
      <w:r w:rsidRPr="003D5569">
        <w:rPr>
          <w:i/>
          <w:iCs/>
          <w:lang w:val="ru-RU"/>
        </w:rPr>
        <w:t>(</w:t>
      </w:r>
      <w:r>
        <w:rPr>
          <w:i/>
          <w:iCs/>
          <w:lang w:val="en-US"/>
        </w:rPr>
        <w:t>valsartan</w:t>
      </w:r>
      <w:r w:rsidRPr="003D5569">
        <w:rPr>
          <w:i/>
          <w:iCs/>
          <w:lang w:val="ru-RU"/>
        </w:rPr>
        <w:t>).</w:t>
      </w:r>
    </w:p>
    <w:p w14:paraId="614984C4" w14:textId="77BAA933" w:rsidR="008A6AF2" w:rsidRDefault="00DD466D" w:rsidP="002C50EE">
      <w:pPr>
        <w:pStyle w:val="Heading1"/>
      </w:pPr>
      <w:r>
        <w:t>3. ЛЕКАРСТВЕНА ФОРМА</w:t>
      </w:r>
    </w:p>
    <w:p w14:paraId="4EFA0622" w14:textId="68CA22E3" w:rsidR="003D5569" w:rsidRDefault="003D5569" w:rsidP="003D5569"/>
    <w:p w14:paraId="03E6B995" w14:textId="77777777" w:rsidR="003D5569" w:rsidRPr="003D5569" w:rsidRDefault="003D5569" w:rsidP="003D5569">
      <w:pPr>
        <w:rPr>
          <w:sz w:val="24"/>
          <w:szCs w:val="24"/>
        </w:rPr>
      </w:pPr>
      <w:r w:rsidRPr="003D5569">
        <w:rPr>
          <w:lang w:eastAsia="bg-BG"/>
        </w:rPr>
        <w:t>Филмирана таблетка</w:t>
      </w:r>
    </w:p>
    <w:p w14:paraId="456A48BE" w14:textId="77777777" w:rsidR="003D5569" w:rsidRPr="003D5569" w:rsidRDefault="003D5569" w:rsidP="003D5569">
      <w:pPr>
        <w:rPr>
          <w:sz w:val="24"/>
          <w:szCs w:val="24"/>
        </w:rPr>
      </w:pPr>
      <w:r w:rsidRPr="003D5569">
        <w:rPr>
          <w:lang w:eastAsia="bg-BG"/>
        </w:rPr>
        <w:t xml:space="preserve">Сиво-оранжева, овална филмирана таблетка, леко изпъкнала, с делителна черта от едната страна, щампована с </w:t>
      </w:r>
      <w:r w:rsidRPr="003D5569">
        <w:rPr>
          <w:lang w:val="ru-RU"/>
        </w:rPr>
        <w:t>“</w:t>
      </w:r>
      <w:r w:rsidRPr="003D5569">
        <w:rPr>
          <w:lang w:val="en-US"/>
        </w:rPr>
        <w:t>DX</w:t>
      </w:r>
      <w:r w:rsidRPr="003D5569">
        <w:rPr>
          <w:lang w:val="ru-RU"/>
        </w:rPr>
        <w:t xml:space="preserve">” </w:t>
      </w:r>
      <w:r w:rsidRPr="003D5569">
        <w:rPr>
          <w:lang w:eastAsia="bg-BG"/>
        </w:rPr>
        <w:t xml:space="preserve">и от двете страни на делителната черта, и </w:t>
      </w:r>
      <w:r w:rsidRPr="003D5569">
        <w:rPr>
          <w:lang w:val="ru-RU"/>
        </w:rPr>
        <w:t>“</w:t>
      </w:r>
      <w:r w:rsidRPr="003D5569">
        <w:rPr>
          <w:lang w:val="en-US"/>
        </w:rPr>
        <w:t>NVR</w:t>
      </w:r>
      <w:r w:rsidRPr="003D5569">
        <w:rPr>
          <w:lang w:val="ru-RU"/>
        </w:rPr>
        <w:t xml:space="preserve">” </w:t>
      </w:r>
      <w:r w:rsidRPr="003D5569">
        <w:rPr>
          <w:lang w:eastAsia="bg-BG"/>
        </w:rPr>
        <w:t>от обратната страна на таблетката.</w:t>
      </w:r>
    </w:p>
    <w:p w14:paraId="2DA944D1" w14:textId="19758308" w:rsidR="003D5569" w:rsidRPr="003D5569" w:rsidRDefault="003D5569" w:rsidP="003D5569">
      <w:r w:rsidRPr="003D5569">
        <w:rPr>
          <w:lang w:eastAsia="bg-BG"/>
        </w:rPr>
        <w:t>Делителната черта е само за улесняване на счупването с цел по-лесно поглъщане, а не за разделяне на равни дози.</w:t>
      </w:r>
    </w:p>
    <w:p w14:paraId="490FC2C4" w14:textId="0F4A4A75" w:rsidR="002C50EE" w:rsidRDefault="002C50EE" w:rsidP="002C50EE">
      <w:pPr>
        <w:pStyle w:val="Heading1"/>
      </w:pPr>
      <w:r>
        <w:t>4. КЛИНИЧНИ ДАННИ</w:t>
      </w:r>
    </w:p>
    <w:p w14:paraId="74330405" w14:textId="4C3093DC" w:rsidR="007122AD" w:rsidRDefault="002C50EE" w:rsidP="00936AD0">
      <w:pPr>
        <w:pStyle w:val="Heading2"/>
      </w:pPr>
      <w:r>
        <w:t>4.1. Терапевтични показания</w:t>
      </w:r>
    </w:p>
    <w:p w14:paraId="7EA54379" w14:textId="251A7005" w:rsidR="003D5569" w:rsidRDefault="003D5569" w:rsidP="003D5569"/>
    <w:p w14:paraId="37323571"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Хипертония</w:t>
      </w:r>
    </w:p>
    <w:p w14:paraId="1C3900E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Лечение на есенциална хипертония при възрастни и хипертония при деца и юноши на възраст от 6 до под 18 години.</w:t>
      </w:r>
    </w:p>
    <w:p w14:paraId="270FAEAF" w14:textId="77777777" w:rsidR="003D5569" w:rsidRDefault="003D5569" w:rsidP="003D5569">
      <w:pPr>
        <w:spacing w:line="240" w:lineRule="auto"/>
        <w:rPr>
          <w:rFonts w:eastAsia="Times New Roman" w:cs="Arial"/>
          <w:color w:val="000000"/>
          <w:u w:val="single"/>
          <w:lang w:eastAsia="bg-BG"/>
        </w:rPr>
      </w:pPr>
    </w:p>
    <w:p w14:paraId="51E45105" w14:textId="09373C44"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Пресен миокарден инфаркт</w:t>
      </w:r>
    </w:p>
    <w:p w14:paraId="3F050203"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- 10 дни) миокарден инфаркт (вж. точки 4.4 и 5.1).</w:t>
      </w:r>
    </w:p>
    <w:p w14:paraId="5109912D" w14:textId="77777777" w:rsidR="003D5569" w:rsidRDefault="003D5569" w:rsidP="003D5569">
      <w:pPr>
        <w:spacing w:line="240" w:lineRule="auto"/>
        <w:rPr>
          <w:rFonts w:eastAsia="Times New Roman" w:cs="Arial"/>
          <w:color w:val="000000"/>
          <w:u w:val="single"/>
          <w:lang w:eastAsia="bg-BG"/>
        </w:rPr>
      </w:pPr>
    </w:p>
    <w:p w14:paraId="3E2AF4B9" w14:textId="1FAD28F9"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Сърдечна недостатъчност</w:t>
      </w:r>
    </w:p>
    <w:p w14:paraId="10FB2990" w14:textId="77777777" w:rsidR="003D5569" w:rsidRPr="003D5569" w:rsidRDefault="003D5569" w:rsidP="003D5569">
      <w:pPr>
        <w:spacing w:line="240" w:lineRule="auto"/>
        <w:rPr>
          <w:rFonts w:ascii="Times New Roman" w:eastAsia="Times New Roman" w:hAnsi="Times New Roman" w:cs="Times New Roman"/>
          <w:sz w:val="24"/>
          <w:szCs w:val="24"/>
        </w:rPr>
      </w:pPr>
      <w:r w:rsidRPr="003D5569">
        <w:rPr>
          <w:rFonts w:eastAsia="Times New Roman" w:cs="Arial"/>
          <w:color w:val="000000"/>
          <w:lang w:eastAsia="bg-BG"/>
        </w:rPr>
        <w:t>Лечение на възрастни пациенти със симптоматична сърдечна недостатъчност, когато инхибитори на ангиотензин конвертиращия ензим (АСЕ) не се понасят, или при пациенти с непоносимост към бета-блокери като допълваща терапия към терапията с АСЕ инхибитори, когато не е въжможно да се използват минералкортикоидни рецепторни антагонисти (вж. точки 4.2, 4.4, 4.5 и 5.1).</w:t>
      </w:r>
    </w:p>
    <w:p w14:paraId="02483B6C" w14:textId="77777777" w:rsidR="003D5569" w:rsidRPr="003D5569" w:rsidRDefault="003D5569" w:rsidP="003D5569"/>
    <w:p w14:paraId="53F5B866" w14:textId="77135871" w:rsidR="007122AD" w:rsidRDefault="002C50EE" w:rsidP="00936AD0">
      <w:pPr>
        <w:pStyle w:val="Heading2"/>
      </w:pPr>
      <w:r>
        <w:t>4.2. Дозировка и начин на приложение</w:t>
      </w:r>
    </w:p>
    <w:p w14:paraId="3C34D2E0" w14:textId="518A9D89" w:rsidR="003D5569" w:rsidRDefault="003D5569" w:rsidP="003D5569"/>
    <w:p w14:paraId="1CE620DB" w14:textId="77777777" w:rsidR="003D5569" w:rsidRPr="003D5569" w:rsidRDefault="003D5569" w:rsidP="003D5569">
      <w:pPr>
        <w:pStyle w:val="Heading3"/>
        <w:rPr>
          <w:rFonts w:eastAsia="Times New Roman"/>
          <w:u w:val="single"/>
        </w:rPr>
      </w:pPr>
      <w:r w:rsidRPr="003D5569">
        <w:rPr>
          <w:rFonts w:eastAsia="Times New Roman"/>
          <w:u w:val="single"/>
          <w:lang w:eastAsia="bg-BG"/>
        </w:rPr>
        <w:t>Дозировка</w:t>
      </w:r>
    </w:p>
    <w:p w14:paraId="43873A9D"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Хипертония</w:t>
      </w:r>
    </w:p>
    <w:p w14:paraId="35E076B2"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Препоръчваната доза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е 80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един път дневно. Антихипертензивният ефект е ясно изразен след 2 седмици, а максимален ефект се постига след 4 седмици. При </w:t>
      </w:r>
      <w:r w:rsidRPr="003D5569">
        <w:rPr>
          <w:rFonts w:eastAsia="Times New Roman" w:cs="Arial"/>
          <w:color w:val="000000"/>
          <w:lang w:eastAsia="bg-BG"/>
        </w:rPr>
        <w:lastRenderedPageBreak/>
        <w:t xml:space="preserve">пациенти, чието артериално налягане не се контролира адекватно, дозата може да бъде завишена до 160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и максимално до 320 </w:t>
      </w:r>
      <w:r w:rsidRPr="003D5569">
        <w:rPr>
          <w:rFonts w:eastAsia="Times New Roman" w:cs="Arial"/>
          <w:color w:val="000000"/>
          <w:lang w:val="en-US"/>
        </w:rPr>
        <w:t>mg</w:t>
      </w:r>
      <w:r w:rsidRPr="003D5569">
        <w:rPr>
          <w:rFonts w:eastAsia="Times New Roman" w:cs="Arial"/>
          <w:color w:val="000000"/>
          <w:lang w:val="ru-RU"/>
        </w:rPr>
        <w:t>.</w:t>
      </w:r>
    </w:p>
    <w:p w14:paraId="14227452" w14:textId="77777777" w:rsidR="003D5569" w:rsidRPr="003D5569" w:rsidRDefault="003D5569" w:rsidP="003D5569">
      <w:pPr>
        <w:rPr>
          <w:rFonts w:eastAsia="Times New Roman" w:cs="Arial"/>
          <w:color w:val="000000"/>
          <w:lang w:val="en-US"/>
        </w:rPr>
      </w:pPr>
    </w:p>
    <w:p w14:paraId="4DCA7985" w14:textId="08D51F65" w:rsidR="003D5569" w:rsidRPr="003D5569" w:rsidRDefault="003D5569" w:rsidP="003D5569">
      <w:pPr>
        <w:rPr>
          <w:rFonts w:eastAsia="Times New Roman" w:cs="Arial"/>
          <w:color w:val="000000"/>
          <w:lang w:eastAsia="bg-BG"/>
        </w:rPr>
      </w:pP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може да бъде прилаган едновременно с други антихипертензивни лекарствени средства (вж. точки 4.3, 4.4, 4.5 и 5.1). Добавянето на диуретик, например хидрохлоротиазид, допълнително понижава артериалното налягане при тези пациенти.</w:t>
      </w:r>
    </w:p>
    <w:p w14:paraId="7322229B" w14:textId="7F9687FF" w:rsidR="003D5569" w:rsidRPr="003D5569" w:rsidRDefault="003D5569" w:rsidP="003D5569">
      <w:pPr>
        <w:rPr>
          <w:rFonts w:eastAsia="Times New Roman" w:cs="Arial"/>
          <w:color w:val="000000"/>
          <w:lang w:eastAsia="bg-BG"/>
        </w:rPr>
      </w:pPr>
    </w:p>
    <w:p w14:paraId="10814887"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Пресен миокарден инфаркт</w:t>
      </w:r>
    </w:p>
    <w:p w14:paraId="4AC8286D"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При клинично стабилни пациенти лечението може да бъде започнато в рамките на 12 часа след миокардния инфаркт. След начална доза от 20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два пъти дневно дозата на валсартан трябва да се повиши до 40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80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и 160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два пъти дневно в следващите няколко седмици.</w:t>
      </w:r>
    </w:p>
    <w:p w14:paraId="7BC3BF13"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Началната доза се осигурява чрез 40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делими таблетки.</w:t>
      </w:r>
    </w:p>
    <w:p w14:paraId="59DC2144" w14:textId="77777777" w:rsidR="003D5569" w:rsidRDefault="003D5569" w:rsidP="003D5569">
      <w:pPr>
        <w:spacing w:line="240" w:lineRule="auto"/>
        <w:rPr>
          <w:rFonts w:eastAsia="Times New Roman" w:cs="Arial"/>
          <w:color w:val="000000"/>
          <w:lang w:eastAsia="bg-BG"/>
        </w:rPr>
      </w:pPr>
    </w:p>
    <w:p w14:paraId="1F86482C" w14:textId="4DE80A33"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Прицелната максимална доза е 160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два пъти дневно. Препоръчва се пациентите да достигнат доза от 80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два пъти дневно за две седмици след започване на лечението, а прицелната максимална доза от 160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два пъти дневно да се достигне за три месеца в зависимост от поносимостта на пациента. При поява на симптоматична хипотония или нарушение на бъбречната функция следва да се обсъди намаляване на дозата.</w:t>
      </w:r>
    </w:p>
    <w:p w14:paraId="0EFE535F" w14:textId="77777777" w:rsidR="003D5569" w:rsidRDefault="003D5569" w:rsidP="003D5569">
      <w:pPr>
        <w:spacing w:line="240" w:lineRule="auto"/>
        <w:rPr>
          <w:rFonts w:eastAsia="Times New Roman" w:cs="Arial"/>
          <w:color w:val="000000"/>
          <w:lang w:eastAsia="bg-BG"/>
        </w:rPr>
      </w:pPr>
    </w:p>
    <w:p w14:paraId="7D8B74A8" w14:textId="6CF50644" w:rsidR="003D5569" w:rsidRPr="003D5569" w:rsidRDefault="003D5569" w:rsidP="003D5569">
      <w:pPr>
        <w:spacing w:line="240" w:lineRule="auto"/>
        <w:rPr>
          <w:rFonts w:eastAsia="Times New Roman" w:cs="Arial"/>
        </w:rPr>
      </w:pPr>
      <w:r w:rsidRPr="003D5569">
        <w:rPr>
          <w:rFonts w:eastAsia="Times New Roman" w:cs="Arial"/>
          <w:color w:val="000000"/>
          <w:lang w:eastAsia="bg-BG"/>
        </w:rPr>
        <w:t>Валсартан може да се прилага при пациенти, лекувани с други средства за лечение на слединфарктни състояния, напр. тромболитици, ацетилсалицилова киселина, бета-блокери, статини и диуретици. Комбинацията с АСЕ инхибитори не се препоръчва (вж. точки 4.4 и 5.1).</w:t>
      </w:r>
    </w:p>
    <w:p w14:paraId="685D85BD" w14:textId="77777777" w:rsidR="003D5569" w:rsidRDefault="003D5569" w:rsidP="003D5569">
      <w:pPr>
        <w:spacing w:line="240" w:lineRule="auto"/>
        <w:rPr>
          <w:rFonts w:eastAsia="Times New Roman" w:cs="Arial"/>
          <w:color w:val="000000"/>
          <w:lang w:eastAsia="bg-BG"/>
        </w:rPr>
      </w:pPr>
    </w:p>
    <w:p w14:paraId="6A074578" w14:textId="4DD10FF2" w:rsidR="003D5569" w:rsidRPr="003D5569" w:rsidRDefault="003D5569" w:rsidP="003D5569">
      <w:pPr>
        <w:spacing w:line="240" w:lineRule="auto"/>
        <w:rPr>
          <w:rFonts w:eastAsia="Times New Roman" w:cs="Arial"/>
        </w:rPr>
      </w:pPr>
      <w:r w:rsidRPr="003D5569">
        <w:rPr>
          <w:rFonts w:eastAsia="Times New Roman" w:cs="Arial"/>
          <w:color w:val="000000"/>
          <w:lang w:eastAsia="bg-BG"/>
        </w:rPr>
        <w:t>Оценката на пациентите след миокарден инфаркт винаги трябва да включва оценка на бъбречната функция.</w:t>
      </w:r>
    </w:p>
    <w:p w14:paraId="4DB9E37B" w14:textId="77777777" w:rsidR="003D5569" w:rsidRDefault="003D5569" w:rsidP="003D5569">
      <w:pPr>
        <w:spacing w:line="240" w:lineRule="auto"/>
        <w:rPr>
          <w:rFonts w:eastAsia="Times New Roman" w:cs="Arial"/>
          <w:color w:val="000000"/>
          <w:u w:val="single"/>
          <w:lang w:eastAsia="bg-BG"/>
        </w:rPr>
      </w:pPr>
    </w:p>
    <w:p w14:paraId="3400F0EC" w14:textId="66E080CB"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Сърдечна недостатъчност</w:t>
      </w:r>
    </w:p>
    <w:p w14:paraId="23276FE4"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Препоръчваната начална доза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е 40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два пъти дневно. Покачването на дозата до 80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и 160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 xml:space="preserve">два пъти дневно трябва да се осъществява през интервали от най-малко две седмици, до най-високата доза в зависимост от поносимостта на пациента. Следва да се обсъди намаляване на дозата на включения в лечението диуретик. Максималната дневна доза, прилагана в клинични проучвания, е 320 </w:t>
      </w:r>
      <w:r w:rsidRPr="003D5569">
        <w:rPr>
          <w:rFonts w:eastAsia="Times New Roman" w:cs="Arial"/>
          <w:color w:val="000000"/>
          <w:lang w:val="en-US"/>
        </w:rPr>
        <w:t>mg</w:t>
      </w:r>
      <w:r w:rsidRPr="003D5569">
        <w:rPr>
          <w:rFonts w:eastAsia="Times New Roman" w:cs="Arial"/>
          <w:color w:val="000000"/>
          <w:lang w:val="ru-RU"/>
        </w:rPr>
        <w:t xml:space="preserve"> </w:t>
      </w:r>
      <w:r w:rsidRPr="003D5569">
        <w:rPr>
          <w:rFonts w:eastAsia="Times New Roman" w:cs="Arial"/>
          <w:color w:val="000000"/>
          <w:lang w:eastAsia="bg-BG"/>
        </w:rPr>
        <w:t>в неколкократен прием.</w:t>
      </w:r>
    </w:p>
    <w:p w14:paraId="3C397806" w14:textId="77777777" w:rsidR="003D5569" w:rsidRDefault="003D5569" w:rsidP="003D5569">
      <w:pPr>
        <w:spacing w:line="240" w:lineRule="auto"/>
        <w:rPr>
          <w:rFonts w:eastAsia="Times New Roman" w:cs="Arial"/>
          <w:color w:val="000000"/>
          <w:lang w:eastAsia="bg-BG"/>
        </w:rPr>
      </w:pPr>
    </w:p>
    <w:p w14:paraId="3AFC55B8" w14:textId="6F58C98F" w:rsidR="003D5569" w:rsidRPr="003D5569" w:rsidRDefault="003D5569" w:rsidP="003D5569">
      <w:pPr>
        <w:spacing w:line="240" w:lineRule="auto"/>
        <w:rPr>
          <w:rFonts w:eastAsia="Times New Roman" w:cs="Arial"/>
        </w:rPr>
      </w:pPr>
      <w:r w:rsidRPr="003D5569">
        <w:rPr>
          <w:rFonts w:eastAsia="Times New Roman" w:cs="Arial"/>
          <w:color w:val="000000"/>
          <w:lang w:eastAsia="bg-BG"/>
        </w:rPr>
        <w:t>Валсартан може да се прилага с други терапии за сърдечна недостатъчност. Тройната комбинация от АСЕ инхибитор, валсартан и бета блокер или калий-съхраняващ диуретик обаче не се препоръчва (вж. точки 4.4 и 5.1).</w:t>
      </w:r>
    </w:p>
    <w:p w14:paraId="7D71502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Оценката на пациенти със сърдечна недостатъчност винаги трябва да включва оценка на бъбречната функция.</w:t>
      </w:r>
    </w:p>
    <w:p w14:paraId="35EDA464" w14:textId="77777777" w:rsidR="003D5569" w:rsidRDefault="003D5569" w:rsidP="003D5569">
      <w:pPr>
        <w:spacing w:line="240" w:lineRule="auto"/>
        <w:rPr>
          <w:rFonts w:eastAsia="Times New Roman" w:cs="Arial"/>
          <w:i/>
          <w:iCs/>
          <w:color w:val="000000"/>
          <w:u w:val="single"/>
          <w:lang w:eastAsia="bg-BG"/>
        </w:rPr>
      </w:pPr>
    </w:p>
    <w:p w14:paraId="7F1CDFFA" w14:textId="03BE4870"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Допълнителна информация за специални групи пациенти</w:t>
      </w:r>
    </w:p>
    <w:p w14:paraId="37C6B186" w14:textId="77777777" w:rsidR="003D5569" w:rsidRDefault="003D5569" w:rsidP="003D5569">
      <w:pPr>
        <w:spacing w:line="240" w:lineRule="auto"/>
        <w:rPr>
          <w:rFonts w:eastAsia="Times New Roman" w:cs="Arial"/>
          <w:color w:val="000000"/>
          <w:u w:val="single"/>
          <w:lang w:eastAsia="bg-BG"/>
        </w:rPr>
      </w:pPr>
    </w:p>
    <w:p w14:paraId="11C964BF" w14:textId="78C8508A"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Хора в старческа възраст</w:t>
      </w:r>
    </w:p>
    <w:p w14:paraId="762AAEA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Не се налага промяна в дозировката при пациенти в старческа възраст.</w:t>
      </w:r>
    </w:p>
    <w:p w14:paraId="6286C118" w14:textId="77777777" w:rsidR="003D5569" w:rsidRDefault="003D5569" w:rsidP="003D5569">
      <w:pPr>
        <w:spacing w:line="240" w:lineRule="auto"/>
        <w:rPr>
          <w:rFonts w:eastAsia="Times New Roman" w:cs="Arial"/>
          <w:color w:val="000000"/>
          <w:u w:val="single"/>
          <w:lang w:eastAsia="bg-BG"/>
        </w:rPr>
      </w:pPr>
    </w:p>
    <w:p w14:paraId="5E7B3081" w14:textId="5C95310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Пациенти с бъбречно увреждане</w:t>
      </w:r>
    </w:p>
    <w:p w14:paraId="3700BE2C"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Не се налага промяна в дозировката при възрастни пациенти с креатининов клирънс &gt;10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(вж. точки 4.4 и 5.2).</w:t>
      </w:r>
    </w:p>
    <w:p w14:paraId="387A70D0" w14:textId="77777777" w:rsidR="003D5569" w:rsidRDefault="003D5569" w:rsidP="003D5569">
      <w:pPr>
        <w:spacing w:line="240" w:lineRule="auto"/>
        <w:rPr>
          <w:rFonts w:eastAsia="Times New Roman" w:cs="Arial"/>
          <w:color w:val="000000"/>
          <w:u w:val="single"/>
          <w:lang w:eastAsia="bg-BG"/>
        </w:rPr>
      </w:pPr>
    </w:p>
    <w:p w14:paraId="328C7ABF" w14:textId="66AA909B"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Пациенти с чернодробно увреждане</w:t>
      </w:r>
    </w:p>
    <w:p w14:paraId="524DC648" w14:textId="77777777" w:rsidR="003D5569" w:rsidRPr="003D5569" w:rsidRDefault="003D5569" w:rsidP="003D5569">
      <w:pPr>
        <w:spacing w:line="240" w:lineRule="auto"/>
        <w:rPr>
          <w:rFonts w:eastAsia="Times New Roman" w:cs="Arial"/>
        </w:rPr>
      </w:pP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е противопоказан при пациенти с тежко чернодробно увреждане, билиарна цироза и при пациенти с холестаза (вж. точки 4.3, 4.4 и 5.2). При пациенти с леко до умерено чернодробно увреждане без холестаза дозата на валсартан не трябва да превишава 80 </w:t>
      </w:r>
      <w:r w:rsidRPr="003D5569">
        <w:rPr>
          <w:rFonts w:eastAsia="Times New Roman" w:cs="Arial"/>
          <w:color w:val="000000"/>
          <w:lang w:val="en-US"/>
        </w:rPr>
        <w:t>mg</w:t>
      </w:r>
      <w:r w:rsidRPr="003D5569">
        <w:rPr>
          <w:rFonts w:eastAsia="Times New Roman" w:cs="Arial"/>
          <w:color w:val="000000"/>
          <w:lang w:val="ru-RU"/>
        </w:rPr>
        <w:t>.</w:t>
      </w:r>
    </w:p>
    <w:p w14:paraId="4CB3243B" w14:textId="77777777" w:rsidR="003D5569" w:rsidRDefault="003D5569" w:rsidP="003D5569">
      <w:pPr>
        <w:spacing w:line="240" w:lineRule="auto"/>
        <w:rPr>
          <w:rFonts w:eastAsia="Times New Roman" w:cs="Arial"/>
          <w:i/>
          <w:iCs/>
          <w:color w:val="000000"/>
          <w:u w:val="single"/>
          <w:lang w:eastAsia="bg-BG"/>
        </w:rPr>
      </w:pPr>
    </w:p>
    <w:p w14:paraId="0CBC8A48" w14:textId="4C46A19F"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Педиатрична популация</w:t>
      </w:r>
    </w:p>
    <w:p w14:paraId="02798916" w14:textId="77777777" w:rsidR="003D5569" w:rsidRDefault="003D5569" w:rsidP="003D5569">
      <w:pPr>
        <w:spacing w:line="240" w:lineRule="auto"/>
        <w:rPr>
          <w:rFonts w:eastAsia="Times New Roman" w:cs="Arial"/>
          <w:color w:val="000000"/>
          <w:u w:val="single"/>
          <w:lang w:eastAsia="bg-BG"/>
        </w:rPr>
      </w:pPr>
    </w:p>
    <w:p w14:paraId="3811A2A1" w14:textId="0F81D29D"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Хипертония при деца</w:t>
      </w:r>
    </w:p>
    <w:p w14:paraId="1798D65A"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При деца и юноши, които не могат да поглъщат таблетките, се препоръчва употребатана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перорален разтвор. Системната експозиция и пиковата плазмена концентрация на валсартан са около 1,7 пъти и 2,2 пъти по-високи при пероралния разтвор спрямо таблетките.</w:t>
      </w:r>
    </w:p>
    <w:p w14:paraId="31968A10" w14:textId="77777777" w:rsidR="003D5569" w:rsidRDefault="003D5569" w:rsidP="003D5569">
      <w:pPr>
        <w:spacing w:line="240" w:lineRule="auto"/>
        <w:rPr>
          <w:rFonts w:eastAsia="Times New Roman" w:cs="Arial"/>
          <w:i/>
          <w:iCs/>
          <w:color w:val="000000"/>
          <w:lang w:eastAsia="bg-BG"/>
        </w:rPr>
      </w:pPr>
    </w:p>
    <w:p w14:paraId="5D6408B2" w14:textId="0B8CBF60" w:rsidR="003D5569" w:rsidRPr="003D5569" w:rsidRDefault="003D5569" w:rsidP="003D5569">
      <w:pPr>
        <w:spacing w:line="240" w:lineRule="auto"/>
        <w:rPr>
          <w:rFonts w:eastAsia="Times New Roman" w:cs="Arial"/>
        </w:rPr>
      </w:pPr>
      <w:r w:rsidRPr="003D5569">
        <w:rPr>
          <w:rFonts w:eastAsia="Times New Roman" w:cs="Arial"/>
          <w:i/>
          <w:iCs/>
          <w:color w:val="000000"/>
          <w:lang w:eastAsia="bg-BG"/>
        </w:rPr>
        <w:t>Деца и юноши на възраст от 6 до под 18 години</w:t>
      </w:r>
    </w:p>
    <w:p w14:paraId="7BB4188C" w14:textId="77777777" w:rsidR="003D5569" w:rsidRPr="003D5569" w:rsidRDefault="003D5569" w:rsidP="003D5569">
      <w:pPr>
        <w:rPr>
          <w:szCs w:val="24"/>
        </w:rPr>
      </w:pPr>
      <w:r w:rsidRPr="003D5569">
        <w:rPr>
          <w:rFonts w:cs="Arial"/>
          <w:lang w:eastAsia="bg-BG"/>
        </w:rPr>
        <w:t xml:space="preserve">Началната доза за </w:t>
      </w:r>
      <w:r w:rsidRPr="003D5569">
        <w:rPr>
          <w:rFonts w:cs="Arial"/>
          <w:lang w:val="en-US"/>
        </w:rPr>
        <w:t>Diovan</w:t>
      </w:r>
      <w:r w:rsidRPr="003D5569">
        <w:rPr>
          <w:rFonts w:cs="Arial"/>
          <w:lang w:val="ru-RU"/>
        </w:rPr>
        <w:t xml:space="preserve"> </w:t>
      </w:r>
      <w:r w:rsidRPr="003D5569">
        <w:rPr>
          <w:rFonts w:cs="Arial"/>
          <w:lang w:eastAsia="bg-BG"/>
        </w:rPr>
        <w:t xml:space="preserve">таблетки е 40 </w:t>
      </w:r>
      <w:r w:rsidRPr="003D5569">
        <w:rPr>
          <w:rFonts w:cs="Arial"/>
          <w:lang w:val="en-US"/>
        </w:rPr>
        <w:t>mg</w:t>
      </w:r>
      <w:r w:rsidRPr="003D5569">
        <w:rPr>
          <w:rFonts w:cs="Arial"/>
          <w:lang w:val="ru-RU"/>
        </w:rPr>
        <w:t xml:space="preserve"> </w:t>
      </w:r>
      <w:r w:rsidRPr="003D5569">
        <w:rPr>
          <w:rFonts w:cs="Arial"/>
          <w:lang w:eastAsia="bg-BG"/>
        </w:rPr>
        <w:t>веднъж дневно за деца с тегло под 35</w:t>
      </w:r>
      <w:r w:rsidRPr="003D5569">
        <w:rPr>
          <w:rFonts w:cs="Arial"/>
          <w:lang w:val="ru-RU"/>
        </w:rPr>
        <w:t xml:space="preserve"> </w:t>
      </w:r>
      <w:r w:rsidRPr="003D5569">
        <w:rPr>
          <w:rFonts w:cs="Arial"/>
          <w:lang w:val="en-US"/>
        </w:rPr>
        <w:t>kg</w:t>
      </w:r>
      <w:r w:rsidRPr="003D5569">
        <w:rPr>
          <w:rFonts w:cs="Arial"/>
          <w:lang w:val="ru-RU"/>
        </w:rPr>
        <w:t xml:space="preserve"> </w:t>
      </w:r>
      <w:r w:rsidRPr="003D5569">
        <w:rPr>
          <w:rFonts w:cs="Arial"/>
          <w:lang w:eastAsia="bg-BG"/>
        </w:rPr>
        <w:t>и 80</w:t>
      </w:r>
      <w:r w:rsidRPr="003D5569">
        <w:rPr>
          <w:rFonts w:cs="Arial"/>
          <w:lang w:val="ru-RU"/>
        </w:rPr>
        <w:t xml:space="preserve"> </w:t>
      </w:r>
      <w:r w:rsidRPr="003D5569">
        <w:rPr>
          <w:rFonts w:cs="Arial"/>
          <w:lang w:val="en-US"/>
        </w:rPr>
        <w:t>mg</w:t>
      </w:r>
      <w:r w:rsidRPr="003D5569">
        <w:rPr>
          <w:rFonts w:cs="Arial"/>
          <w:lang w:val="ru-RU"/>
        </w:rPr>
        <w:t xml:space="preserve"> </w:t>
      </w:r>
      <w:r w:rsidRPr="003D5569">
        <w:rPr>
          <w:rFonts w:cs="Arial"/>
          <w:lang w:eastAsia="bg-BG"/>
        </w:rPr>
        <w:t xml:space="preserve">веднъж дневно за тези с тегло 35 </w:t>
      </w:r>
      <w:r w:rsidRPr="003D5569">
        <w:rPr>
          <w:rFonts w:cs="Arial"/>
          <w:lang w:val="en-US"/>
        </w:rPr>
        <w:t>kg</w:t>
      </w:r>
      <w:r w:rsidRPr="003D5569">
        <w:rPr>
          <w:rFonts w:cs="Arial"/>
          <w:lang w:val="ru-RU"/>
        </w:rPr>
        <w:t xml:space="preserve"> </w:t>
      </w:r>
      <w:r w:rsidRPr="003D5569">
        <w:rPr>
          <w:rFonts w:cs="Arial"/>
          <w:lang w:eastAsia="bg-BG"/>
        </w:rPr>
        <w:t>или повече. Дозата трябва да се коригира в заивисимост от</w:t>
      </w:r>
      <w:r w:rsidRPr="003D5569">
        <w:rPr>
          <w:rFonts w:cs="Arial"/>
          <w:lang w:val="ru-RU" w:eastAsia="bg-BG"/>
        </w:rPr>
        <w:t xml:space="preserve"> </w:t>
      </w:r>
      <w:r w:rsidRPr="003D5569">
        <w:rPr>
          <w:lang w:eastAsia="bg-BG"/>
        </w:rPr>
        <w:t>повлияването на артериалното налягане и поносимостта. Моля, вижте максималните дози, проучени в хода на клиничните изпитвания в таблицата по-долу.</w:t>
      </w:r>
    </w:p>
    <w:p w14:paraId="4CEC2CDC" w14:textId="7D023E6D" w:rsidR="003D5569" w:rsidRDefault="003D5569" w:rsidP="003D5569">
      <w:pPr>
        <w:rPr>
          <w:lang w:eastAsia="bg-BG"/>
        </w:rPr>
      </w:pPr>
      <w:r w:rsidRPr="003D5569">
        <w:rPr>
          <w:lang w:eastAsia="bg-BG"/>
        </w:rPr>
        <w:t>Дози по-високи от описаните не са били проучвани и поради тази причина не се препоръчват.</w:t>
      </w:r>
    </w:p>
    <w:p w14:paraId="5A21C971" w14:textId="5D39D8FA" w:rsidR="003D5569" w:rsidRDefault="003D5569" w:rsidP="003D5569">
      <w:pPr>
        <w:rPr>
          <w:lang w:eastAsia="bg-BG"/>
        </w:rPr>
      </w:pPr>
    </w:p>
    <w:tbl>
      <w:tblPr>
        <w:tblStyle w:val="TableGrid"/>
        <w:tblW w:w="0" w:type="auto"/>
        <w:tblLook w:val="04A0" w:firstRow="1" w:lastRow="0" w:firstColumn="1" w:lastColumn="0" w:noHBand="0" w:noVBand="1"/>
      </w:tblPr>
      <w:tblGrid>
        <w:gridCol w:w="4664"/>
        <w:gridCol w:w="4686"/>
      </w:tblGrid>
      <w:tr w:rsidR="003D5569" w14:paraId="5AC3E0A0" w14:textId="77777777" w:rsidTr="003D5569">
        <w:tc>
          <w:tcPr>
            <w:tcW w:w="4788" w:type="dxa"/>
          </w:tcPr>
          <w:p w14:paraId="4619EA38" w14:textId="47969AE2" w:rsidR="003D5569" w:rsidRPr="003D5569" w:rsidRDefault="003D5569" w:rsidP="003D5569">
            <w:pPr>
              <w:rPr>
                <w:rFonts w:cs="Arial"/>
                <w:lang w:val="ru-RU"/>
              </w:rPr>
            </w:pPr>
            <w:r w:rsidRPr="003D5569">
              <w:t>Тегло</w:t>
            </w:r>
          </w:p>
        </w:tc>
        <w:tc>
          <w:tcPr>
            <w:tcW w:w="4788" w:type="dxa"/>
          </w:tcPr>
          <w:p w14:paraId="6B3B3DEF" w14:textId="77C09B8D" w:rsidR="003D5569" w:rsidRPr="003D5569" w:rsidRDefault="003D5569" w:rsidP="003D5569">
            <w:pPr>
              <w:rPr>
                <w:rFonts w:cs="Arial"/>
                <w:lang w:val="ru-RU"/>
              </w:rPr>
            </w:pPr>
            <w:r w:rsidRPr="003D5569">
              <w:t>Максимална доза за таблетки, проучена в клиничните изпитвания</w:t>
            </w:r>
          </w:p>
        </w:tc>
      </w:tr>
      <w:tr w:rsidR="003D5569" w14:paraId="410D6100" w14:textId="77777777" w:rsidTr="003D5569">
        <w:tc>
          <w:tcPr>
            <w:tcW w:w="4788" w:type="dxa"/>
          </w:tcPr>
          <w:p w14:paraId="278D3C0F" w14:textId="331C6D0E" w:rsidR="003D5569" w:rsidRPr="003D5569" w:rsidRDefault="003D5569" w:rsidP="003D5569">
            <w:pPr>
              <w:rPr>
                <w:rFonts w:cs="Arial"/>
                <w:lang w:val="ru-RU"/>
              </w:rPr>
            </w:pPr>
            <w:r w:rsidRPr="003D5569">
              <w:t xml:space="preserve">≥18 </w:t>
            </w:r>
            <w:r w:rsidRPr="003D5569">
              <w:rPr>
                <w:lang w:val="en-US"/>
              </w:rPr>
              <w:t xml:space="preserve">kg </w:t>
            </w:r>
            <w:r w:rsidRPr="003D5569">
              <w:t xml:space="preserve">до &lt;35 </w:t>
            </w:r>
            <w:r w:rsidRPr="003D5569">
              <w:rPr>
                <w:lang w:val="en-US"/>
              </w:rPr>
              <w:t>kg</w:t>
            </w:r>
          </w:p>
        </w:tc>
        <w:tc>
          <w:tcPr>
            <w:tcW w:w="4788" w:type="dxa"/>
          </w:tcPr>
          <w:p w14:paraId="7045CE6F" w14:textId="64907D3D" w:rsidR="003D5569" w:rsidRPr="003D5569" w:rsidRDefault="003D5569" w:rsidP="003D5569">
            <w:pPr>
              <w:rPr>
                <w:rFonts w:cs="Arial"/>
                <w:lang w:val="ru-RU"/>
              </w:rPr>
            </w:pPr>
            <w:r w:rsidRPr="003D5569">
              <w:t xml:space="preserve">80 </w:t>
            </w:r>
            <w:r w:rsidRPr="003D5569">
              <w:rPr>
                <w:lang w:val="en-US"/>
              </w:rPr>
              <w:t>mg</w:t>
            </w:r>
          </w:p>
        </w:tc>
      </w:tr>
      <w:tr w:rsidR="003D5569" w14:paraId="2F8B1876" w14:textId="77777777" w:rsidTr="003D5569">
        <w:tc>
          <w:tcPr>
            <w:tcW w:w="4788" w:type="dxa"/>
          </w:tcPr>
          <w:p w14:paraId="394F0D66" w14:textId="16216E1F" w:rsidR="003D5569" w:rsidRPr="003D5569" w:rsidRDefault="003D5569" w:rsidP="003D5569">
            <w:pPr>
              <w:rPr>
                <w:rFonts w:cs="Arial"/>
                <w:lang w:val="ru-RU"/>
              </w:rPr>
            </w:pPr>
            <w:r w:rsidRPr="003D5569">
              <w:t xml:space="preserve">≥35 </w:t>
            </w:r>
            <w:r w:rsidRPr="003D5569">
              <w:rPr>
                <w:lang w:val="en-US"/>
              </w:rPr>
              <w:t xml:space="preserve">kg </w:t>
            </w:r>
            <w:r w:rsidRPr="003D5569">
              <w:t xml:space="preserve">до &lt;80 </w:t>
            </w:r>
            <w:r w:rsidRPr="003D5569">
              <w:rPr>
                <w:lang w:val="en-US"/>
              </w:rPr>
              <w:t>kg</w:t>
            </w:r>
          </w:p>
        </w:tc>
        <w:tc>
          <w:tcPr>
            <w:tcW w:w="4788" w:type="dxa"/>
          </w:tcPr>
          <w:p w14:paraId="28C1D813" w14:textId="1B8A5063" w:rsidR="003D5569" w:rsidRPr="003D5569" w:rsidRDefault="003D5569" w:rsidP="003D5569">
            <w:pPr>
              <w:rPr>
                <w:rFonts w:cs="Arial"/>
                <w:lang w:val="ru-RU"/>
              </w:rPr>
            </w:pPr>
            <w:r w:rsidRPr="003D5569">
              <w:t xml:space="preserve">160 </w:t>
            </w:r>
            <w:r w:rsidRPr="003D5569">
              <w:rPr>
                <w:lang w:val="en-US"/>
              </w:rPr>
              <w:t>mg</w:t>
            </w:r>
          </w:p>
        </w:tc>
      </w:tr>
      <w:tr w:rsidR="003D5569" w14:paraId="7B270FD5" w14:textId="77777777" w:rsidTr="003D5569">
        <w:tc>
          <w:tcPr>
            <w:tcW w:w="4788" w:type="dxa"/>
          </w:tcPr>
          <w:p w14:paraId="06362C41" w14:textId="243AB77D" w:rsidR="003D5569" w:rsidRPr="003D5569" w:rsidRDefault="003D5569" w:rsidP="003D5569">
            <w:pPr>
              <w:rPr>
                <w:rFonts w:cs="Arial"/>
                <w:lang w:val="ru-RU"/>
              </w:rPr>
            </w:pPr>
            <w:r w:rsidRPr="003D5569">
              <w:t xml:space="preserve">≥80 </w:t>
            </w:r>
            <w:r w:rsidRPr="003D5569">
              <w:rPr>
                <w:lang w:val="en-US"/>
              </w:rPr>
              <w:t xml:space="preserve">kg </w:t>
            </w:r>
            <w:r w:rsidRPr="003D5569">
              <w:t xml:space="preserve">до ≤160 </w:t>
            </w:r>
            <w:r w:rsidRPr="003D5569">
              <w:rPr>
                <w:lang w:val="en-US"/>
              </w:rPr>
              <w:t>kg</w:t>
            </w:r>
          </w:p>
        </w:tc>
        <w:tc>
          <w:tcPr>
            <w:tcW w:w="4788" w:type="dxa"/>
          </w:tcPr>
          <w:p w14:paraId="674C74BB" w14:textId="7B9E01DC" w:rsidR="003D5569" w:rsidRPr="003D5569" w:rsidRDefault="003D5569" w:rsidP="003D5569">
            <w:pPr>
              <w:rPr>
                <w:rFonts w:cs="Arial"/>
                <w:lang w:val="ru-RU"/>
              </w:rPr>
            </w:pPr>
            <w:r w:rsidRPr="003D5569">
              <w:t xml:space="preserve">320 </w:t>
            </w:r>
            <w:r w:rsidRPr="003D5569">
              <w:rPr>
                <w:lang w:val="en-US"/>
              </w:rPr>
              <w:t>mg</w:t>
            </w:r>
          </w:p>
        </w:tc>
      </w:tr>
    </w:tbl>
    <w:p w14:paraId="0F45E25D" w14:textId="77BA51C0" w:rsidR="003D5569" w:rsidRDefault="003D5569" w:rsidP="003D5569">
      <w:pPr>
        <w:rPr>
          <w:rFonts w:cs="Arial"/>
          <w:sz w:val="20"/>
          <w:lang w:val="ru-RU"/>
        </w:rPr>
      </w:pPr>
    </w:p>
    <w:p w14:paraId="5F556E9A"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За деца, които вече са започнали да приемат валсартан преди шестгодишна възраст, моля, вижте дозировката за деца от 1 до под 6 години.</w:t>
      </w:r>
    </w:p>
    <w:p w14:paraId="0D8C8B44" w14:textId="77777777" w:rsidR="003D5569" w:rsidRDefault="003D5569" w:rsidP="003D5569">
      <w:pPr>
        <w:spacing w:line="240" w:lineRule="auto"/>
        <w:rPr>
          <w:rFonts w:eastAsia="Times New Roman" w:cs="Arial"/>
          <w:i/>
          <w:iCs/>
          <w:color w:val="000000"/>
          <w:lang w:eastAsia="bg-BG"/>
        </w:rPr>
      </w:pPr>
    </w:p>
    <w:p w14:paraId="6B80F850" w14:textId="634C9F6A" w:rsidR="003D5569" w:rsidRPr="003D5569" w:rsidRDefault="003D5569" w:rsidP="003D5569">
      <w:pPr>
        <w:spacing w:line="240" w:lineRule="auto"/>
        <w:rPr>
          <w:rFonts w:eastAsia="Times New Roman" w:cs="Arial"/>
        </w:rPr>
      </w:pPr>
      <w:r w:rsidRPr="003D5569">
        <w:rPr>
          <w:rFonts w:eastAsia="Times New Roman" w:cs="Arial"/>
          <w:i/>
          <w:iCs/>
          <w:color w:val="000000"/>
          <w:lang w:eastAsia="bg-BG"/>
        </w:rPr>
        <w:t>Деца под 6-годишна възраст</w:t>
      </w:r>
    </w:p>
    <w:p w14:paraId="4DC30441" w14:textId="51B336DD"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За деца на възраст от 1 до 5 години и за тези, които имат затруднения при преглъщане на таблетките, се препоръчва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перорален разтвор. Наличните данни са описани в точки 4.8, 5.1 и 5.2. Безопасността и ефикасността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при деца на възраст под 1 година не са установени.</w:t>
      </w:r>
    </w:p>
    <w:p w14:paraId="714C035E" w14:textId="77777777" w:rsidR="003D5569" w:rsidRDefault="003D5569" w:rsidP="003D5569">
      <w:pPr>
        <w:spacing w:line="240" w:lineRule="auto"/>
        <w:rPr>
          <w:rFonts w:eastAsia="Times New Roman" w:cs="Arial"/>
          <w:i/>
          <w:iCs/>
          <w:color w:val="000000"/>
          <w:u w:val="single"/>
          <w:lang w:eastAsia="bg-BG"/>
        </w:rPr>
      </w:pPr>
    </w:p>
    <w:p w14:paraId="4D8720BB" w14:textId="63C75670"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 xml:space="preserve">Преминаване от </w:t>
      </w:r>
      <w:r w:rsidRPr="003D5569">
        <w:rPr>
          <w:rFonts w:eastAsia="Times New Roman" w:cs="Arial"/>
          <w:i/>
          <w:iCs/>
          <w:color w:val="000000"/>
          <w:u w:val="single"/>
          <w:lang w:val="en-US"/>
        </w:rPr>
        <w:t>Diovan</w:t>
      </w:r>
      <w:r w:rsidRPr="003D5569">
        <w:rPr>
          <w:rFonts w:eastAsia="Times New Roman" w:cs="Arial"/>
          <w:i/>
          <w:iCs/>
          <w:color w:val="000000"/>
          <w:u w:val="single"/>
          <w:lang w:val="ru-RU"/>
        </w:rPr>
        <w:t xml:space="preserve"> </w:t>
      </w:r>
      <w:r w:rsidRPr="003D5569">
        <w:rPr>
          <w:rFonts w:eastAsia="Times New Roman" w:cs="Arial"/>
          <w:i/>
          <w:iCs/>
          <w:color w:val="000000"/>
          <w:u w:val="single"/>
          <w:lang w:eastAsia="bg-BG"/>
        </w:rPr>
        <w:t xml:space="preserve">перорален разтвор към </w:t>
      </w:r>
      <w:r w:rsidRPr="003D5569">
        <w:rPr>
          <w:rFonts w:eastAsia="Times New Roman" w:cs="Arial"/>
          <w:i/>
          <w:iCs/>
          <w:color w:val="000000"/>
          <w:u w:val="single"/>
          <w:lang w:val="en-US"/>
        </w:rPr>
        <w:t>Diovan</w:t>
      </w:r>
      <w:r w:rsidRPr="003D5569">
        <w:rPr>
          <w:rFonts w:eastAsia="Times New Roman" w:cs="Arial"/>
          <w:i/>
          <w:iCs/>
          <w:color w:val="000000"/>
          <w:u w:val="single"/>
          <w:lang w:val="ru-RU"/>
        </w:rPr>
        <w:t xml:space="preserve"> </w:t>
      </w:r>
      <w:r w:rsidRPr="003D5569">
        <w:rPr>
          <w:rFonts w:eastAsia="Times New Roman" w:cs="Arial"/>
          <w:i/>
          <w:iCs/>
          <w:color w:val="000000"/>
          <w:u w:val="single"/>
          <w:lang w:eastAsia="bg-BG"/>
        </w:rPr>
        <w:t>таблетки</w:t>
      </w:r>
    </w:p>
    <w:p w14:paraId="53FF8E15"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Ако преминаването от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перорален разтвор към таблетки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се счита за клинично важно, първоначално трябва да се даде същата доза в милиграми. Впоследствие трябва да се провежда често проследяване на кръвното налягане, като се взема под внимание -прилагането на потенциално недостатъчна доза (субдозиране) и дозата трябва допълнително да се титрира в зависимост от повлияването на артериалното налягане и поносимостта.</w:t>
      </w:r>
    </w:p>
    <w:p w14:paraId="44CAD91A" w14:textId="77777777" w:rsidR="003D5569" w:rsidRDefault="003D5569" w:rsidP="003D5569">
      <w:pPr>
        <w:spacing w:line="240" w:lineRule="auto"/>
        <w:rPr>
          <w:rFonts w:eastAsia="Times New Roman" w:cs="Arial"/>
          <w:i/>
          <w:iCs/>
          <w:color w:val="000000"/>
          <w:u w:val="single"/>
          <w:lang w:eastAsia="bg-BG"/>
        </w:rPr>
      </w:pPr>
    </w:p>
    <w:p w14:paraId="1B6A8A64" w14:textId="77777777" w:rsidR="003D5569" w:rsidRDefault="003D5569" w:rsidP="003D5569">
      <w:pPr>
        <w:spacing w:line="240" w:lineRule="auto"/>
        <w:rPr>
          <w:rFonts w:eastAsia="Times New Roman" w:cs="Arial"/>
          <w:i/>
          <w:iCs/>
          <w:color w:val="000000"/>
          <w:u w:val="single"/>
          <w:lang w:eastAsia="bg-BG"/>
        </w:rPr>
      </w:pPr>
      <w:r w:rsidRPr="003D5569">
        <w:rPr>
          <w:rFonts w:eastAsia="Times New Roman" w:cs="Arial"/>
          <w:i/>
          <w:iCs/>
          <w:color w:val="000000"/>
          <w:u w:val="single"/>
          <w:lang w:eastAsia="bg-BG"/>
        </w:rPr>
        <w:t xml:space="preserve">Употреба при педиатрични пациенти на възраст от 6 до под 18 години с бъбречно увреждане </w:t>
      </w:r>
    </w:p>
    <w:p w14:paraId="0DFAA7E7" w14:textId="34F7A465"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Употребата при педиатрични пациенти с креатининов клирънс &lt;30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 xml:space="preserve">и педиатрични пациенти, подложени на хемодиализа, не е проучена и поради тази причина не се </w:t>
      </w:r>
      <w:r w:rsidRPr="003D5569">
        <w:rPr>
          <w:rFonts w:eastAsia="Times New Roman" w:cs="Arial"/>
          <w:color w:val="000000"/>
          <w:lang w:eastAsia="bg-BG"/>
        </w:rPr>
        <w:lastRenderedPageBreak/>
        <w:t xml:space="preserve">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Бъбречната функция и нивата на серумния калий трябва да бъдат внимателно проследявани (вж. точки 4.4 и 5.2).</w:t>
      </w:r>
    </w:p>
    <w:p w14:paraId="341E849F" w14:textId="77777777" w:rsidR="003D5569" w:rsidRDefault="003D5569" w:rsidP="003D5569">
      <w:pPr>
        <w:spacing w:line="240" w:lineRule="auto"/>
        <w:rPr>
          <w:rFonts w:eastAsia="Times New Roman" w:cs="Arial"/>
          <w:i/>
          <w:iCs/>
          <w:color w:val="000000"/>
          <w:u w:val="single"/>
          <w:lang w:eastAsia="bg-BG"/>
        </w:rPr>
      </w:pPr>
    </w:p>
    <w:p w14:paraId="64080E73" w14:textId="614BCDAE"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Употреба при педиатрични пациенти на възраст от 6 до под 18 години с чернодробно увреждане</w:t>
      </w:r>
    </w:p>
    <w:p w14:paraId="241F4133"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Подобно на възрастните пациенти,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е противопоказан при педиатрични пациенти с тежко чернодробно увреждане, билиарна цироза и пациенти с холестаза (вж. точки 4.3, 4.4 и 5.2). Има ограничен клиничен опит с употребата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при педиатрични пациенти с леко до умерено чернодробно увреждане. При такива пациенти дозата на валсартан не трябва да превишава 80 </w:t>
      </w:r>
      <w:r w:rsidRPr="003D5569">
        <w:rPr>
          <w:rFonts w:eastAsia="Times New Roman" w:cs="Arial"/>
          <w:color w:val="000000"/>
          <w:lang w:val="en-US"/>
        </w:rPr>
        <w:t>mg</w:t>
      </w:r>
      <w:r w:rsidRPr="003D5569">
        <w:rPr>
          <w:rFonts w:eastAsia="Times New Roman" w:cs="Arial"/>
          <w:color w:val="000000"/>
          <w:lang w:val="ru-RU"/>
        </w:rPr>
        <w:t>.</w:t>
      </w:r>
    </w:p>
    <w:p w14:paraId="57F60978" w14:textId="77777777" w:rsidR="003D5569" w:rsidRDefault="003D5569" w:rsidP="003D5569">
      <w:pPr>
        <w:spacing w:line="240" w:lineRule="auto"/>
        <w:rPr>
          <w:rFonts w:eastAsia="Times New Roman" w:cs="Arial"/>
          <w:i/>
          <w:iCs/>
          <w:color w:val="000000"/>
          <w:u w:val="single"/>
          <w:lang w:eastAsia="bg-BG"/>
        </w:rPr>
      </w:pPr>
    </w:p>
    <w:p w14:paraId="5E14F8D3" w14:textId="11D29DA2"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Сърдечна недостатъчност и пресен миокарден инфаркт при деца</w:t>
      </w:r>
    </w:p>
    <w:p w14:paraId="659A9270" w14:textId="77777777" w:rsidR="003D5569" w:rsidRPr="003D5569" w:rsidRDefault="003D5569" w:rsidP="003D5569">
      <w:pPr>
        <w:spacing w:line="240" w:lineRule="auto"/>
        <w:rPr>
          <w:rFonts w:eastAsia="Times New Roman" w:cs="Arial"/>
        </w:rPr>
      </w:pP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w:t>
      </w:r>
    </w:p>
    <w:p w14:paraId="78AC18DC" w14:textId="77777777" w:rsidR="003D5569" w:rsidRDefault="003D5569" w:rsidP="003D5569">
      <w:pPr>
        <w:spacing w:line="240" w:lineRule="auto"/>
        <w:rPr>
          <w:rFonts w:eastAsia="Times New Roman" w:cs="Arial"/>
          <w:i/>
          <w:iCs/>
          <w:color w:val="000000"/>
          <w:u w:val="single"/>
          <w:lang w:eastAsia="bg-BG"/>
        </w:rPr>
      </w:pPr>
    </w:p>
    <w:p w14:paraId="75F0C014" w14:textId="14D63496" w:rsidR="003D5569" w:rsidRPr="003D5569" w:rsidRDefault="003D5569" w:rsidP="003D5569">
      <w:pPr>
        <w:pStyle w:val="Heading3"/>
        <w:rPr>
          <w:rFonts w:eastAsia="Times New Roman"/>
          <w:u w:val="single"/>
        </w:rPr>
      </w:pPr>
      <w:r w:rsidRPr="003D5569">
        <w:rPr>
          <w:rFonts w:eastAsia="Times New Roman"/>
          <w:u w:val="single"/>
          <w:lang w:eastAsia="bg-BG"/>
        </w:rPr>
        <w:t>Начин на приложение</w:t>
      </w:r>
    </w:p>
    <w:p w14:paraId="41DF2444" w14:textId="7D429CDD" w:rsidR="003D5569" w:rsidRDefault="003D5569" w:rsidP="003D5569">
      <w:pPr>
        <w:rPr>
          <w:rFonts w:eastAsia="Times New Roman" w:cs="Arial"/>
          <w:color w:val="000000"/>
          <w:lang w:eastAsia="bg-BG"/>
        </w:rPr>
      </w:pP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трябва да се приема с вода, независимо от приема на храна.</w:t>
      </w:r>
    </w:p>
    <w:p w14:paraId="7F88CEAE" w14:textId="77777777" w:rsidR="003D5569" w:rsidRPr="003D5569" w:rsidRDefault="003D5569" w:rsidP="003D5569">
      <w:pPr>
        <w:rPr>
          <w:rFonts w:cs="Arial"/>
          <w:lang w:val="ru-RU"/>
        </w:rPr>
      </w:pPr>
    </w:p>
    <w:p w14:paraId="0F253247" w14:textId="3E6DE7EA" w:rsidR="007122AD" w:rsidRDefault="002C50EE" w:rsidP="00936AD0">
      <w:pPr>
        <w:pStyle w:val="Heading2"/>
      </w:pPr>
      <w:r>
        <w:t>4.3. Противопоказания</w:t>
      </w:r>
    </w:p>
    <w:p w14:paraId="1966DBD8" w14:textId="1A0CAD29" w:rsidR="003D5569" w:rsidRDefault="003D5569" w:rsidP="003D5569"/>
    <w:p w14:paraId="32B83149" w14:textId="77777777" w:rsidR="003D5569" w:rsidRPr="003D5569" w:rsidRDefault="003D5569" w:rsidP="003D5569">
      <w:pPr>
        <w:pStyle w:val="ListParagraph"/>
        <w:numPr>
          <w:ilvl w:val="0"/>
          <w:numId w:val="37"/>
        </w:numPr>
        <w:rPr>
          <w:sz w:val="24"/>
          <w:szCs w:val="24"/>
        </w:rPr>
      </w:pPr>
      <w:r w:rsidRPr="003D5569">
        <w:rPr>
          <w:lang w:eastAsia="bg-BG"/>
        </w:rPr>
        <w:t>Свръхчувствителност към активното вещество или към някое от помощните вещества,</w:t>
      </w:r>
    </w:p>
    <w:p w14:paraId="5F4783BA" w14:textId="77777777" w:rsidR="003D5569" w:rsidRPr="003D5569" w:rsidRDefault="003D5569" w:rsidP="003D5569">
      <w:pPr>
        <w:pStyle w:val="ListParagraph"/>
        <w:numPr>
          <w:ilvl w:val="0"/>
          <w:numId w:val="37"/>
        </w:numPr>
        <w:rPr>
          <w:sz w:val="24"/>
          <w:szCs w:val="24"/>
        </w:rPr>
      </w:pPr>
      <w:r w:rsidRPr="003D5569">
        <w:rPr>
          <w:lang w:eastAsia="bg-BG"/>
        </w:rPr>
        <w:t>описани в точка 6.</w:t>
      </w:r>
    </w:p>
    <w:p w14:paraId="735BC081" w14:textId="5D5CF0C1" w:rsidR="003D5569" w:rsidRDefault="003D5569" w:rsidP="003D5569">
      <w:pPr>
        <w:pStyle w:val="ListParagraph"/>
        <w:numPr>
          <w:ilvl w:val="0"/>
          <w:numId w:val="37"/>
        </w:numPr>
        <w:rPr>
          <w:lang w:eastAsia="bg-BG"/>
        </w:rPr>
      </w:pPr>
      <w:r w:rsidRPr="003D5569">
        <w:rPr>
          <w:lang w:eastAsia="bg-BG"/>
        </w:rPr>
        <w:t>Тежко чернодробно увреждане, билиарна цироза и холестаза. Втори и трети триместър на бремеността (вж. точки 4.4 и 4.6).</w:t>
      </w:r>
    </w:p>
    <w:p w14:paraId="518CFB45" w14:textId="38C403AB" w:rsidR="003D5569" w:rsidRPr="003D5569" w:rsidRDefault="003D5569" w:rsidP="003D5569">
      <w:pPr>
        <w:pStyle w:val="ListParagraph"/>
        <w:numPr>
          <w:ilvl w:val="0"/>
          <w:numId w:val="37"/>
        </w:numPr>
        <w:rPr>
          <w:sz w:val="24"/>
          <w:szCs w:val="24"/>
        </w:rPr>
      </w:pPr>
      <w:r w:rsidRPr="003D5569">
        <w:rPr>
          <w:lang w:eastAsia="bg-BG"/>
        </w:rPr>
        <w:t xml:space="preserve">Едновременната употреба на </w:t>
      </w:r>
      <w:r w:rsidRPr="003D5569">
        <w:rPr>
          <w:lang w:val="en-US"/>
        </w:rPr>
        <w:t>Diovan</w:t>
      </w:r>
      <w:r w:rsidRPr="003D5569">
        <w:rPr>
          <w:lang w:val="ru-RU"/>
        </w:rPr>
        <w:t xml:space="preserve"> </w:t>
      </w:r>
      <w:r w:rsidRPr="003D5569">
        <w:rPr>
          <w:lang w:eastAsia="bg-BG"/>
        </w:rPr>
        <w:t xml:space="preserve">с алискирен-съдържащи продукти е противопоказана при пациенти със захарен диабет или бъбречно увреждане </w:t>
      </w:r>
      <w:r w:rsidRPr="003D5569">
        <w:rPr>
          <w:lang w:val="ru-RU"/>
        </w:rPr>
        <w:t>(</w:t>
      </w:r>
      <w:r w:rsidRPr="003D5569">
        <w:rPr>
          <w:lang w:val="en-US"/>
        </w:rPr>
        <w:t>GFR</w:t>
      </w:r>
      <w:r w:rsidRPr="003D5569">
        <w:rPr>
          <w:lang w:val="ru-RU"/>
        </w:rPr>
        <w:t xml:space="preserve"> </w:t>
      </w:r>
      <w:r w:rsidRPr="003D5569">
        <w:rPr>
          <w:lang w:eastAsia="bg-BG"/>
        </w:rPr>
        <w:t xml:space="preserve">&lt;60 </w:t>
      </w:r>
      <w:r w:rsidRPr="003D5569">
        <w:rPr>
          <w:lang w:val="en-US"/>
        </w:rPr>
        <w:t>ml</w:t>
      </w:r>
      <w:r w:rsidRPr="003D5569">
        <w:rPr>
          <w:lang w:val="ru-RU"/>
        </w:rPr>
        <w:t>/</w:t>
      </w:r>
      <w:r w:rsidRPr="003D5569">
        <w:rPr>
          <w:lang w:val="en-US"/>
        </w:rPr>
        <w:t>min</w:t>
      </w:r>
      <w:r w:rsidRPr="003D5569">
        <w:rPr>
          <w:lang w:val="ru-RU"/>
        </w:rPr>
        <w:t>/</w:t>
      </w:r>
      <w:r w:rsidRPr="003D5569">
        <w:rPr>
          <w:lang w:val="en-US"/>
        </w:rPr>
        <w:t>l</w:t>
      </w:r>
      <w:r w:rsidRPr="003D5569">
        <w:rPr>
          <w:lang w:val="ru-RU"/>
        </w:rPr>
        <w:t>,73</w:t>
      </w:r>
      <w:r w:rsidRPr="003D5569">
        <w:rPr>
          <w:lang w:val="en-US"/>
        </w:rPr>
        <w:t>m</w:t>
      </w:r>
      <w:r w:rsidRPr="003D5569">
        <w:rPr>
          <w:vertAlign w:val="superscript"/>
          <w:lang w:val="ru-RU"/>
        </w:rPr>
        <w:t>2</w:t>
      </w:r>
      <w:r w:rsidRPr="003D5569">
        <w:rPr>
          <w:lang w:val="ru-RU"/>
        </w:rPr>
        <w:t xml:space="preserve">) </w:t>
      </w:r>
      <w:r w:rsidRPr="003D5569">
        <w:rPr>
          <w:lang w:eastAsia="bg-BG"/>
        </w:rPr>
        <w:t>(вж. точки 4.5 и 5.1).</w:t>
      </w:r>
    </w:p>
    <w:p w14:paraId="52CD8DF6" w14:textId="77777777" w:rsidR="003D5569" w:rsidRPr="003D5569" w:rsidRDefault="003D5569" w:rsidP="003D5569">
      <w:pPr>
        <w:rPr>
          <w:sz w:val="24"/>
          <w:szCs w:val="24"/>
        </w:rPr>
      </w:pPr>
    </w:p>
    <w:p w14:paraId="0E0BDCC7" w14:textId="65841A69" w:rsidR="007122AD" w:rsidRDefault="002C50EE" w:rsidP="00936AD0">
      <w:pPr>
        <w:pStyle w:val="Heading2"/>
      </w:pPr>
      <w:r>
        <w:t>4.4. Специални предупреждения и предпазни мерки при употреба</w:t>
      </w:r>
    </w:p>
    <w:p w14:paraId="17F6122D" w14:textId="643E0A17" w:rsidR="003D5569" w:rsidRDefault="003D5569" w:rsidP="003D5569"/>
    <w:p w14:paraId="46B48CAC"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Хиперкалиемия</w:t>
      </w:r>
    </w:p>
    <w:p w14:paraId="1785894A"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 съответно.</w:t>
      </w:r>
    </w:p>
    <w:p w14:paraId="27D156FE" w14:textId="77777777" w:rsidR="003D5569" w:rsidRDefault="003D5569" w:rsidP="003D5569">
      <w:pPr>
        <w:spacing w:line="240" w:lineRule="auto"/>
        <w:rPr>
          <w:rFonts w:eastAsia="Times New Roman" w:cs="Arial"/>
          <w:color w:val="000000"/>
          <w:u w:val="single"/>
          <w:lang w:eastAsia="bg-BG"/>
        </w:rPr>
      </w:pPr>
    </w:p>
    <w:p w14:paraId="78F09773" w14:textId="3C8079E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Нарушена бъбречна функция</w:t>
      </w:r>
    </w:p>
    <w:p w14:paraId="40EF0020"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Понастоящем няма натрупан опит относно безопасната употреба при пациенти с креатининов клирънс &lt;10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 xml:space="preserve">и пациенти подложени на хемодиализа, поради тази причина валсартан трябва да се използва с повишено внимание при такива пациенти. Не се изисква коригиране на дозата при пациенти с креатининов клирънс &gt;10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(вж. точки 4.2 и 5.2).</w:t>
      </w:r>
    </w:p>
    <w:p w14:paraId="026671E5" w14:textId="77777777" w:rsidR="003D5569" w:rsidRDefault="003D5569" w:rsidP="003D5569">
      <w:pPr>
        <w:spacing w:line="240" w:lineRule="auto"/>
        <w:rPr>
          <w:rFonts w:eastAsia="Times New Roman" w:cs="Arial"/>
          <w:color w:val="000000"/>
          <w:u w:val="single"/>
          <w:lang w:eastAsia="bg-BG"/>
        </w:rPr>
      </w:pPr>
    </w:p>
    <w:p w14:paraId="2BE4B474" w14:textId="250315C2"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Чернодробно увреждане</w:t>
      </w:r>
    </w:p>
    <w:p w14:paraId="7FEB7E09"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lastRenderedPageBreak/>
        <w:t xml:space="preserve">При пациенти с леко до умерено чернодробно увреждане без холестаза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трябва да се използва с повишено внимание (вж. точки 4.2 и 5.2).</w:t>
      </w:r>
    </w:p>
    <w:p w14:paraId="2E971AE0" w14:textId="77777777" w:rsidR="003D5569" w:rsidRDefault="003D5569" w:rsidP="003D5569">
      <w:pPr>
        <w:spacing w:line="240" w:lineRule="auto"/>
        <w:rPr>
          <w:rFonts w:eastAsia="Times New Roman" w:cs="Arial"/>
          <w:color w:val="000000"/>
          <w:u w:val="single"/>
          <w:lang w:eastAsia="bg-BG"/>
        </w:rPr>
      </w:pPr>
    </w:p>
    <w:p w14:paraId="084F0C72" w14:textId="405F99AB"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Пациенти с натриев и/или обемен дефицит</w:t>
      </w:r>
    </w:p>
    <w:p w14:paraId="5B9D178D"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При пациенти с тежък натриев и/или обемен дефицит, като тези, които получават високи дози диуретици, в редки случаи след започване на терапия с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може да се появи сиптоматична хипотония. Натриевият и/или обемният дефицит трябва да се коригира преди започване на лечението с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например чрез намаляване на дозата на диуретиците.</w:t>
      </w:r>
    </w:p>
    <w:p w14:paraId="4D07D412" w14:textId="77777777" w:rsidR="003D5569" w:rsidRDefault="003D5569" w:rsidP="003D5569">
      <w:pPr>
        <w:spacing w:line="240" w:lineRule="auto"/>
        <w:rPr>
          <w:rFonts w:eastAsia="Times New Roman" w:cs="Arial"/>
          <w:color w:val="000000"/>
          <w:u w:val="single"/>
          <w:lang w:eastAsia="bg-BG"/>
        </w:rPr>
      </w:pPr>
    </w:p>
    <w:p w14:paraId="349D6785" w14:textId="0F3DB2FA"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Стеноза на бъбречната артерия</w:t>
      </w:r>
    </w:p>
    <w:p w14:paraId="1599375B"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При пациенти с билатерална стеноза на бъбречните артерии или при стеноза на артерията на единствен бъбрек безопасната употреба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не е установена.</w:t>
      </w:r>
    </w:p>
    <w:p w14:paraId="4A71EA7E" w14:textId="77777777" w:rsidR="003D5569" w:rsidRDefault="003D5569" w:rsidP="003D5569">
      <w:pPr>
        <w:spacing w:line="240" w:lineRule="auto"/>
        <w:rPr>
          <w:rFonts w:eastAsia="Times New Roman" w:cs="Arial"/>
          <w:color w:val="000000"/>
          <w:lang w:eastAsia="bg-BG"/>
        </w:rPr>
      </w:pPr>
    </w:p>
    <w:p w14:paraId="31ED4FF6" w14:textId="2F2C1D6F"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Краткосрочно приложение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при дванадесет пациенти с реновазална хипертония вследствие на едностранна стеноза на бъбречната артерия не води до значими промени в бъбречната хемодинамика, серумния креатинин или нивото на уреята в кръвта </w:t>
      </w:r>
      <w:r w:rsidRPr="003D5569">
        <w:rPr>
          <w:rFonts w:eastAsia="Times New Roman" w:cs="Arial"/>
          <w:color w:val="000000"/>
          <w:lang w:val="ru-RU"/>
        </w:rPr>
        <w:t>(</w:t>
      </w:r>
      <w:r w:rsidRPr="003D5569">
        <w:rPr>
          <w:rFonts w:eastAsia="Times New Roman" w:cs="Arial"/>
          <w:color w:val="000000"/>
          <w:lang w:val="en-US"/>
        </w:rPr>
        <w:t>BUN</w:t>
      </w:r>
      <w:r w:rsidRPr="003D5569">
        <w:rPr>
          <w:rFonts w:eastAsia="Times New Roman" w:cs="Arial"/>
          <w:color w:val="000000"/>
          <w:lang w:val="ru-RU"/>
        </w:rPr>
        <w:t xml:space="preserve">). </w:t>
      </w:r>
      <w:r w:rsidRPr="003D5569">
        <w:rPr>
          <w:rFonts w:eastAsia="Times New Roman" w:cs="Arial"/>
          <w:color w:val="000000"/>
          <w:lang w:eastAsia="bg-BG"/>
        </w:rPr>
        <w:t>Независимо от това други лекарства, които повлияват системата ренин-ангиотензин, могат да повишат стойностите на кръвната урея и серумния креатинин при пациенти с едностранна стеноза на бъбречната артерия, поради което се препоръчва проследяване на бъбречната функция при пациентите, лекувани с валсартан.</w:t>
      </w:r>
    </w:p>
    <w:p w14:paraId="65C0AEA3" w14:textId="77777777" w:rsidR="003D5569" w:rsidRDefault="003D5569" w:rsidP="003D5569">
      <w:pPr>
        <w:spacing w:line="240" w:lineRule="auto"/>
        <w:rPr>
          <w:rFonts w:eastAsia="Times New Roman" w:cs="Arial"/>
          <w:color w:val="000000"/>
          <w:u w:val="single"/>
          <w:lang w:eastAsia="bg-BG"/>
        </w:rPr>
      </w:pPr>
    </w:p>
    <w:p w14:paraId="78216927" w14:textId="75EED079"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Бъбречна трансплантация</w:t>
      </w:r>
    </w:p>
    <w:p w14:paraId="34CC06BD"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До този момент няма натрупан опит по отношение на безопасната употреба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при пациенти, прекарали наскоро бъбречна трансплантация.</w:t>
      </w:r>
    </w:p>
    <w:p w14:paraId="78524333" w14:textId="77777777" w:rsidR="003D5569" w:rsidRDefault="003D5569" w:rsidP="003D5569">
      <w:pPr>
        <w:spacing w:line="240" w:lineRule="auto"/>
        <w:rPr>
          <w:rFonts w:eastAsia="Times New Roman" w:cs="Arial"/>
          <w:color w:val="000000"/>
          <w:u w:val="single"/>
          <w:lang w:eastAsia="bg-BG"/>
        </w:rPr>
      </w:pPr>
    </w:p>
    <w:p w14:paraId="122B4705" w14:textId="2BF886A5"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Първичен хипералдостеронизъм</w:t>
      </w:r>
    </w:p>
    <w:p w14:paraId="215053CC"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Пациентите с първичен хипералдостеронизъм не трябва да се лекуват с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тъй като тяхната система ренин-ангиотензин не е активирана.</w:t>
      </w:r>
    </w:p>
    <w:p w14:paraId="346CB6E7" w14:textId="77777777" w:rsidR="003D5569" w:rsidRDefault="003D5569" w:rsidP="003D5569">
      <w:pPr>
        <w:spacing w:line="240" w:lineRule="auto"/>
        <w:rPr>
          <w:rFonts w:eastAsia="Times New Roman" w:cs="Arial"/>
          <w:color w:val="000000"/>
          <w:u w:val="single"/>
          <w:lang w:eastAsia="bg-BG"/>
        </w:rPr>
      </w:pPr>
    </w:p>
    <w:p w14:paraId="21AB8FCE" w14:textId="06E904E0"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 xml:space="preserve">Аортна и митрална клапна стеноза, обструктивна хипертрофична кардиомиопатия </w:t>
      </w:r>
      <w:r w:rsidRPr="003D5569">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митрална стеноза или от обструктивна хипертрофията кардиомиопатия (ОХКМ).</w:t>
      </w:r>
    </w:p>
    <w:p w14:paraId="3D29E0E2" w14:textId="77777777" w:rsidR="003D5569" w:rsidRDefault="003D5569" w:rsidP="003D5569">
      <w:pPr>
        <w:spacing w:line="240" w:lineRule="auto"/>
        <w:rPr>
          <w:rFonts w:eastAsia="Times New Roman" w:cs="Arial"/>
          <w:color w:val="000000"/>
          <w:u w:val="single"/>
          <w:lang w:eastAsia="bg-BG"/>
        </w:rPr>
      </w:pPr>
    </w:p>
    <w:p w14:paraId="4DB88B61" w14:textId="49B1983B"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Бременност</w:t>
      </w:r>
    </w:p>
    <w:p w14:paraId="36AEB33A" w14:textId="77777777" w:rsidR="003D5569" w:rsidRPr="003D5569" w:rsidRDefault="003D5569" w:rsidP="003D5569">
      <w:pPr>
        <w:rPr>
          <w:rFonts w:eastAsia="Times New Roman" w:cs="Arial"/>
        </w:rPr>
      </w:pPr>
      <w:r w:rsidRPr="003D5569">
        <w:rPr>
          <w:rFonts w:eastAsia="Times New Roman" w:cs="Arial"/>
          <w:color w:val="000000"/>
          <w:lang w:eastAsia="bg-BG"/>
        </w:rPr>
        <w:t>Не трябва да се започва лечение с ангиотензин II рецепторни блокери (АРБ) по време на бременност. Освен ако продължителната терапия с АРБ се прецени като съществена, лечението</w:t>
      </w:r>
      <w:r w:rsidRPr="003D5569">
        <w:rPr>
          <w:rFonts w:eastAsia="Times New Roman" w:cs="Arial"/>
          <w:color w:val="000000"/>
          <w:lang w:val="ru-RU" w:eastAsia="bg-BG"/>
        </w:rPr>
        <w:t xml:space="preserve"> </w:t>
      </w:r>
      <w:r w:rsidRPr="003D5569">
        <w:rPr>
          <w:rFonts w:eastAsia="Times New Roman" w:cs="Arial"/>
          <w:color w:val="000000"/>
          <w:lang w:eastAsia="bg-BG"/>
        </w:rPr>
        <w:t>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АРБ трябва незабавно да се преустанови и да се започне алтернативно лечение, ако е подходящо (вж. точки 4.3 и 4.6).</w:t>
      </w:r>
    </w:p>
    <w:p w14:paraId="3367B3A7" w14:textId="77777777" w:rsidR="003D5569" w:rsidRDefault="003D5569" w:rsidP="003D5569">
      <w:pPr>
        <w:spacing w:line="240" w:lineRule="auto"/>
        <w:rPr>
          <w:rFonts w:eastAsia="Times New Roman" w:cs="Arial"/>
          <w:color w:val="000000"/>
          <w:u w:val="single"/>
          <w:lang w:eastAsia="bg-BG"/>
        </w:rPr>
      </w:pPr>
    </w:p>
    <w:p w14:paraId="671E8F5C" w14:textId="3EC8AB7D"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Пресен миокарден инфаркт</w:t>
      </w:r>
    </w:p>
    <w:p w14:paraId="1A6EADB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Комбинацията на каптоприл и валсартан не показва допълнителна клинична полза; напротив, рискът от нежелани реакции се повишава в сравнение със съответните терапии (вж. точки 4.2 и 5.1). Поради това не се препоръчва комбинацията на валсартан и АСЕ инхибитор.</w:t>
      </w:r>
    </w:p>
    <w:p w14:paraId="0BE10401" w14:textId="77777777" w:rsidR="003D5569" w:rsidRDefault="003D5569" w:rsidP="003D5569">
      <w:pPr>
        <w:spacing w:line="240" w:lineRule="auto"/>
        <w:rPr>
          <w:rFonts w:eastAsia="Times New Roman" w:cs="Arial"/>
          <w:color w:val="000000"/>
          <w:lang w:eastAsia="bg-BG"/>
        </w:rPr>
      </w:pPr>
    </w:p>
    <w:p w14:paraId="230B1189" w14:textId="2C63CDF5" w:rsidR="003D5569" w:rsidRPr="003D5569" w:rsidRDefault="003D5569" w:rsidP="003D5569">
      <w:pPr>
        <w:spacing w:line="240" w:lineRule="auto"/>
        <w:rPr>
          <w:rFonts w:eastAsia="Times New Roman" w:cs="Arial"/>
        </w:rPr>
      </w:pPr>
      <w:r w:rsidRPr="003D5569">
        <w:rPr>
          <w:rFonts w:eastAsia="Times New Roman" w:cs="Arial"/>
          <w:color w:val="000000"/>
          <w:lang w:eastAsia="bg-BG"/>
        </w:rPr>
        <w:lastRenderedPageBreak/>
        <w:t>Необходимо е да се обърне особено внимание при започване на терапия при пациенти след миокарден инфаркт. Оценката на пациентите след прекаран миокарден инфаркт винаги трябва да включва оценка на бъбречната функция (вж. точка 4.2).</w:t>
      </w:r>
    </w:p>
    <w:p w14:paraId="447D7BFF" w14:textId="77777777" w:rsidR="003D5569" w:rsidRDefault="003D5569" w:rsidP="003D5569">
      <w:pPr>
        <w:spacing w:line="240" w:lineRule="auto"/>
        <w:rPr>
          <w:rFonts w:eastAsia="Times New Roman" w:cs="Arial"/>
          <w:color w:val="000000"/>
          <w:lang w:eastAsia="bg-BG"/>
        </w:rPr>
      </w:pPr>
    </w:p>
    <w:p w14:paraId="7AAC7641" w14:textId="52633F3A"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Употребата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4001A143" w14:textId="77777777" w:rsidR="003D5569" w:rsidRDefault="003D5569" w:rsidP="003D5569">
      <w:pPr>
        <w:spacing w:line="240" w:lineRule="auto"/>
        <w:rPr>
          <w:rFonts w:eastAsia="Times New Roman" w:cs="Arial"/>
          <w:color w:val="000000"/>
          <w:u w:val="single"/>
          <w:lang w:eastAsia="bg-BG"/>
        </w:rPr>
      </w:pPr>
    </w:p>
    <w:p w14:paraId="45419260" w14:textId="1D0ABD01"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Сърдечна недостатъчност</w:t>
      </w:r>
    </w:p>
    <w:p w14:paraId="7F9942F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Рискът от нежелани реакции, особено хипотония, хиперкалиемия и намалена бъбречна функция (включително остра бъбречна недостатъчност), може да се увеличи, когато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се използва в комбинация с АСЕ инхибитор. При пациенти със сърдечна недостатъчност, тройната комбинация от АСЕ инхибитор, бета-блокер и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не показва клинична полза (виж точка 5.1). Тази комбинация явно повишава риска от нежелани реакции, поради което не се препоръчва. Тройна комбинация от АСЕ инхибитор, минералкортикоид рецепторен антагонист и валсартан също не се препоръчва. Използването на тези комбинации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9B1F24A" w14:textId="77777777" w:rsidR="003D5569" w:rsidRDefault="003D5569" w:rsidP="003D5569">
      <w:pPr>
        <w:spacing w:line="240" w:lineRule="auto"/>
        <w:rPr>
          <w:rFonts w:eastAsia="Times New Roman" w:cs="Arial"/>
          <w:color w:val="000000"/>
          <w:lang w:eastAsia="bg-BG"/>
        </w:rPr>
      </w:pPr>
    </w:p>
    <w:p w14:paraId="35AAF29F" w14:textId="19944F46" w:rsidR="003D5569" w:rsidRPr="003D5569" w:rsidRDefault="003D5569" w:rsidP="003D5569">
      <w:pPr>
        <w:spacing w:line="240" w:lineRule="auto"/>
        <w:rPr>
          <w:rFonts w:eastAsia="Times New Roman" w:cs="Arial"/>
        </w:rPr>
      </w:pPr>
      <w:r w:rsidRPr="003D5569">
        <w:rPr>
          <w:rFonts w:eastAsia="Times New Roman" w:cs="Arial"/>
          <w:color w:val="000000"/>
          <w:lang w:eastAsia="bg-BG"/>
        </w:rPr>
        <w:t>Необходимо е повишено внимание при започване на терапия при пациенти със сърдечна недостатъчност. Оценката на пациенти със сърдечна недостатъчност винаги трябва да включва оценка на бъбречната функция (вж. точка 4.2).</w:t>
      </w:r>
    </w:p>
    <w:p w14:paraId="6EAA3109" w14:textId="77777777" w:rsidR="003D5569" w:rsidRDefault="003D5569" w:rsidP="003D5569">
      <w:pPr>
        <w:spacing w:line="240" w:lineRule="auto"/>
        <w:rPr>
          <w:rFonts w:eastAsia="Times New Roman" w:cs="Arial"/>
          <w:color w:val="000000"/>
          <w:lang w:eastAsia="bg-BG"/>
        </w:rPr>
      </w:pPr>
    </w:p>
    <w:p w14:paraId="7A2A7F05" w14:textId="6AA8F41F"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Употребата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при пациенти със сърдечна недостатъчност често води до известно спадане на кръвното налягане, но прекъсване на терапията поради продължаваща симптоматична хипотония обикновено не е необходимо, при условие че се спазват инструкциите за дозиране (вж. точка 4.2).</w:t>
      </w:r>
    </w:p>
    <w:p w14:paraId="26E33DF4" w14:textId="77777777" w:rsidR="003D5569" w:rsidRDefault="003D5569" w:rsidP="003D5569">
      <w:pPr>
        <w:spacing w:line="240" w:lineRule="auto"/>
        <w:rPr>
          <w:rFonts w:eastAsia="Times New Roman" w:cs="Arial"/>
          <w:color w:val="000000"/>
          <w:lang w:eastAsia="bg-BG"/>
        </w:rPr>
      </w:pPr>
    </w:p>
    <w:p w14:paraId="4B57EB09" w14:textId="12281611" w:rsidR="003D5569" w:rsidRPr="003D5569" w:rsidRDefault="003D5569" w:rsidP="003D5569">
      <w:pPr>
        <w:spacing w:line="240" w:lineRule="auto"/>
        <w:rPr>
          <w:rFonts w:eastAsia="Times New Roman" w:cs="Arial"/>
        </w:rPr>
      </w:pPr>
      <w:r w:rsidRPr="003D5569">
        <w:rPr>
          <w:rFonts w:eastAsia="Times New Roman" w:cs="Arial"/>
          <w:color w:val="000000"/>
          <w:lang w:eastAsia="bg-BG"/>
        </w:rPr>
        <w:t>При пациенти, чиято бъбречна функция може да зависи от активността на ренин-ангиотензин- алдостероновата система (напр. пациенти с тежка застойна сърдечна недостатъчност), лечението с АСЕ инхибитори се свързва с олигурия и/или прогресираща азотемия, и в редки случаи с остра бъбречна недостатъчност и/или смърт. Тъй като валсартан е ангиотензин I</w:t>
      </w:r>
      <w:r w:rsidRPr="003D5569">
        <w:rPr>
          <w:rFonts w:eastAsia="Times New Roman" w:cs="Arial"/>
          <w:color w:val="000000"/>
          <w:lang w:val="en-US"/>
        </w:rPr>
        <w:t>I</w:t>
      </w:r>
      <w:r w:rsidRPr="003D5569">
        <w:rPr>
          <w:rFonts w:eastAsia="Times New Roman" w:cs="Arial"/>
          <w:color w:val="000000"/>
          <w:lang w:eastAsia="bg-BG"/>
        </w:rPr>
        <w:t xml:space="preserve"> рецепторен блокер, не може да се изключи възможна връзка на употребата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с увреждане на бъбречната функция.</w:t>
      </w:r>
    </w:p>
    <w:p w14:paraId="1E76E78F" w14:textId="77777777" w:rsidR="003D5569" w:rsidRDefault="003D5569" w:rsidP="003D5569">
      <w:pPr>
        <w:spacing w:line="240" w:lineRule="auto"/>
        <w:rPr>
          <w:rFonts w:eastAsia="Times New Roman" w:cs="Arial"/>
          <w:color w:val="000000"/>
          <w:lang w:eastAsia="bg-BG"/>
        </w:rPr>
      </w:pPr>
    </w:p>
    <w:p w14:paraId="06E09ACE" w14:textId="76CC80D2"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АСЕ инхибитори и ангиотензин </w:t>
      </w:r>
      <w:r w:rsidRPr="003D5569">
        <w:rPr>
          <w:rFonts w:eastAsia="Times New Roman" w:cs="Arial"/>
          <w:color w:val="000000"/>
          <w:lang w:val="en-US"/>
        </w:rPr>
        <w:t>II</w:t>
      </w:r>
      <w:r w:rsidRPr="003D5569">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188E1263" w14:textId="77777777" w:rsidR="003D5569" w:rsidRDefault="003D5569" w:rsidP="003D5569">
      <w:pPr>
        <w:spacing w:line="240" w:lineRule="auto"/>
        <w:rPr>
          <w:rFonts w:eastAsia="Times New Roman" w:cs="Arial"/>
          <w:color w:val="000000"/>
          <w:u w:val="single"/>
          <w:lang w:eastAsia="bg-BG"/>
        </w:rPr>
      </w:pPr>
    </w:p>
    <w:p w14:paraId="719F7ED7" w14:textId="529E28BF"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Анамнеза за ангиоедем</w:t>
      </w:r>
    </w:p>
    <w:p w14:paraId="265E4DBF" w14:textId="70E24C8C" w:rsidR="003D5569" w:rsidRDefault="003D5569" w:rsidP="003D5569">
      <w:pPr>
        <w:spacing w:line="240" w:lineRule="auto"/>
        <w:rPr>
          <w:rFonts w:eastAsia="Times New Roman" w:cs="Arial"/>
          <w:color w:val="000000"/>
          <w:lang w:eastAsia="bg-BG"/>
        </w:rPr>
      </w:pPr>
      <w:r w:rsidRPr="003D5569">
        <w:rPr>
          <w:rFonts w:eastAsia="Times New Roman" w:cs="Arial"/>
          <w:color w:val="000000"/>
          <w:lang w:eastAsia="bg-BG"/>
        </w:rPr>
        <w:t>При пациенти, лекувани с валсартан са докладвани случаи на ангиоедем, включително оток на ларинкса и глотиса, причиняващи обструкция на дихателните пътища и/или подуване на</w:t>
      </w:r>
      <w:r w:rsidRPr="003D5569">
        <w:rPr>
          <w:rFonts w:eastAsia="Times New Roman" w:cs="Arial"/>
          <w:lang w:val="ru-RU"/>
        </w:rPr>
        <w:t xml:space="preserve"> </w:t>
      </w:r>
      <w:r w:rsidRPr="003D5569">
        <w:rPr>
          <w:rFonts w:eastAsia="Times New Roman" w:cs="Arial"/>
          <w:color w:val="000000"/>
          <w:lang w:eastAsia="bg-BG"/>
        </w:rPr>
        <w:t>лицето, устните, фаринкса и/или езика. Някои от тези пациенти са изявявали преди това</w:t>
      </w:r>
      <w:r w:rsidRPr="003D5569">
        <w:rPr>
          <w:rFonts w:eastAsia="Times New Roman" w:cs="Arial"/>
          <w:smallCaps/>
          <w:color w:val="000000"/>
          <w:lang w:eastAsia="bg-BG"/>
        </w:rPr>
        <w:t xml:space="preserve"> </w:t>
      </w:r>
      <w:r w:rsidRPr="003D5569">
        <w:rPr>
          <w:rFonts w:eastAsia="Times New Roman" w:cs="Arial"/>
          <w:color w:val="000000"/>
          <w:lang w:eastAsia="bg-BG"/>
        </w:rPr>
        <w:t xml:space="preserve">ангиоедем от други лекарства, включително АСЕ инхибитори. При възникване на ангоедем приемът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трябва да се преустанови незабавно и да не се прилага повторно(виж точка 4.8).</w:t>
      </w:r>
    </w:p>
    <w:p w14:paraId="349F8947" w14:textId="67622A5A" w:rsidR="003D5569" w:rsidRDefault="003D5569" w:rsidP="003D5569">
      <w:pPr>
        <w:spacing w:line="240" w:lineRule="auto"/>
        <w:rPr>
          <w:rFonts w:eastAsia="Times New Roman" w:cs="Arial"/>
          <w:color w:val="000000"/>
          <w:lang w:eastAsia="bg-BG"/>
        </w:rPr>
      </w:pPr>
    </w:p>
    <w:p w14:paraId="15D4A821"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Двойна блокада на ренин-ангиотензин-алдостероновата система (РААС)</w:t>
      </w:r>
    </w:p>
    <w:p w14:paraId="1A42BC27"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Има данни, че едновременната употреба на АСЕ инхибитори, ангиотензин </w:t>
      </w:r>
      <w:r w:rsidRPr="003D5569">
        <w:rPr>
          <w:rFonts w:eastAsia="Times New Roman" w:cs="Arial"/>
          <w:color w:val="000000"/>
          <w:lang w:val="en-US"/>
        </w:rPr>
        <w:t>II</w:t>
      </w:r>
      <w:r w:rsidRPr="003D556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w:t>
      </w:r>
      <w:r w:rsidRPr="003D5569">
        <w:rPr>
          <w:rFonts w:eastAsia="Times New Roman" w:cs="Arial"/>
          <w:color w:val="000000"/>
          <w:lang w:eastAsia="bg-BG"/>
        </w:rPr>
        <w:lastRenderedPageBreak/>
        <w:t xml:space="preserve">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3D5569">
        <w:rPr>
          <w:rFonts w:eastAsia="Times New Roman" w:cs="Arial"/>
          <w:color w:val="000000"/>
          <w:lang w:val="en-US"/>
        </w:rPr>
        <w:t>II</w:t>
      </w:r>
      <w:r w:rsidRPr="003D5569">
        <w:rPr>
          <w:rFonts w:eastAsia="Times New Roman" w:cs="Arial"/>
          <w:color w:val="000000"/>
          <w:lang w:eastAsia="bg-BG"/>
        </w:rPr>
        <w:t>-рецепторни блокери или алискирен (вж. точки 4.5 и 5.1).</w:t>
      </w:r>
    </w:p>
    <w:p w14:paraId="08E31EBF" w14:textId="77777777" w:rsidR="003D5569" w:rsidRDefault="003D5569" w:rsidP="003D5569">
      <w:pPr>
        <w:spacing w:line="240" w:lineRule="auto"/>
        <w:rPr>
          <w:rFonts w:eastAsia="Times New Roman" w:cs="Arial"/>
          <w:color w:val="000000"/>
          <w:lang w:eastAsia="bg-BG"/>
        </w:rPr>
      </w:pPr>
    </w:p>
    <w:p w14:paraId="0D38E68F" w14:textId="249BD264" w:rsidR="003D5569" w:rsidRPr="003D5569" w:rsidRDefault="003D5569" w:rsidP="003D5569">
      <w:pPr>
        <w:spacing w:line="240" w:lineRule="auto"/>
        <w:rPr>
          <w:rFonts w:eastAsia="Times New Roman" w:cs="Arial"/>
        </w:rPr>
      </w:pPr>
      <w:r w:rsidRPr="003D556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6C3B1B7" w14:textId="77777777" w:rsidR="003D5569" w:rsidRDefault="003D5569" w:rsidP="003D5569">
      <w:pPr>
        <w:spacing w:line="240" w:lineRule="auto"/>
        <w:rPr>
          <w:rFonts w:eastAsia="Times New Roman" w:cs="Arial"/>
          <w:color w:val="000000"/>
          <w:lang w:eastAsia="bg-BG"/>
        </w:rPr>
      </w:pPr>
    </w:p>
    <w:p w14:paraId="5AF1ACE0" w14:textId="0C1F45C1"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АСЕ инхибитори и ангиотензин </w:t>
      </w:r>
      <w:r w:rsidRPr="003D5569">
        <w:rPr>
          <w:rFonts w:eastAsia="Times New Roman" w:cs="Arial"/>
          <w:color w:val="000000"/>
          <w:lang w:val="en-US"/>
        </w:rPr>
        <w:t>II</w:t>
      </w:r>
      <w:r w:rsidRPr="003D5569">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8A2E2CA" w14:textId="77777777" w:rsidR="003D5569" w:rsidRDefault="003D5569" w:rsidP="003D5569">
      <w:pPr>
        <w:spacing w:line="240" w:lineRule="auto"/>
        <w:rPr>
          <w:rFonts w:eastAsia="Times New Roman" w:cs="Arial"/>
          <w:i/>
          <w:iCs/>
          <w:color w:val="000000"/>
          <w:u w:val="single"/>
          <w:lang w:eastAsia="bg-BG"/>
        </w:rPr>
      </w:pPr>
    </w:p>
    <w:p w14:paraId="0481FEAC" w14:textId="3C858097"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Педиатрична популация</w:t>
      </w:r>
    </w:p>
    <w:p w14:paraId="6BF0D982" w14:textId="77777777" w:rsidR="003D5569" w:rsidRDefault="003D5569" w:rsidP="003D5569">
      <w:pPr>
        <w:spacing w:line="240" w:lineRule="auto"/>
        <w:rPr>
          <w:rFonts w:eastAsia="Times New Roman" w:cs="Arial"/>
          <w:color w:val="000000"/>
          <w:u w:val="single"/>
          <w:lang w:eastAsia="bg-BG"/>
        </w:rPr>
      </w:pPr>
    </w:p>
    <w:p w14:paraId="0A13B22D" w14:textId="4BE3599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Нарушена бъбречна функция</w:t>
      </w:r>
    </w:p>
    <w:p w14:paraId="30A729D6"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Употребата при педиатрични пациенти с креатининов клирънс &lt;30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3D5569">
        <w:rPr>
          <w:rFonts w:eastAsia="Times New Roman" w:cs="Arial"/>
          <w:color w:val="000000"/>
          <w:lang w:val="en-US"/>
        </w:rPr>
        <w:t>ml</w:t>
      </w:r>
      <w:r w:rsidRPr="003D5569">
        <w:rPr>
          <w:rFonts w:eastAsia="Times New Roman" w:cs="Arial"/>
          <w:color w:val="000000"/>
          <w:lang w:val="ru-RU"/>
        </w:rPr>
        <w:t>/</w:t>
      </w:r>
      <w:r w:rsidRPr="003D5569">
        <w:rPr>
          <w:rFonts w:eastAsia="Times New Roman" w:cs="Arial"/>
          <w:color w:val="000000"/>
          <w:lang w:val="en-US"/>
        </w:rPr>
        <w:t>min</w:t>
      </w:r>
      <w:r w:rsidRPr="003D5569">
        <w:rPr>
          <w:rFonts w:eastAsia="Times New Roman" w:cs="Arial"/>
          <w:color w:val="000000"/>
          <w:lang w:val="ru-RU"/>
        </w:rPr>
        <w:t xml:space="preserve"> </w:t>
      </w:r>
      <w:r w:rsidRPr="003D5569">
        <w:rPr>
          <w:rFonts w:eastAsia="Times New Roman" w:cs="Arial"/>
          <w:color w:val="000000"/>
          <w:lang w:eastAsia="bg-BG"/>
        </w:rPr>
        <w:t>(вж. точки 4.2 и 5.2). Бъбречната функция и нивата на серумния калий трябва да бъдат внимателно проследявани по време на лечението с валсартан, особено когато валсартан се прилага при наличие на други състояния (температура, дехидратация), които могат да предизвикат нарушение на бъбречната функция.</w:t>
      </w:r>
    </w:p>
    <w:p w14:paraId="3D143962" w14:textId="77777777" w:rsidR="003D5569" w:rsidRDefault="003D5569" w:rsidP="003D5569">
      <w:pPr>
        <w:spacing w:line="240" w:lineRule="auto"/>
        <w:rPr>
          <w:rFonts w:eastAsia="Times New Roman" w:cs="Arial"/>
          <w:color w:val="000000"/>
          <w:u w:val="single"/>
          <w:lang w:eastAsia="bg-BG"/>
        </w:rPr>
      </w:pPr>
    </w:p>
    <w:p w14:paraId="17FCC725" w14:textId="11D54066"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Нарушена чернодробна функция</w:t>
      </w:r>
    </w:p>
    <w:p w14:paraId="57708618" w14:textId="77777777" w:rsidR="003D5569" w:rsidRPr="003D5569" w:rsidRDefault="003D5569" w:rsidP="003D5569">
      <w:pPr>
        <w:spacing w:line="240" w:lineRule="auto"/>
        <w:rPr>
          <w:rFonts w:eastAsia="Times New Roman" w:cs="Arial"/>
          <w:lang w:val="en-US"/>
        </w:rPr>
      </w:pPr>
      <w:r w:rsidRPr="003D5569">
        <w:rPr>
          <w:rFonts w:eastAsia="Times New Roman" w:cs="Arial"/>
          <w:color w:val="000000"/>
          <w:lang w:eastAsia="bg-BG"/>
        </w:rPr>
        <w:t xml:space="preserve">Подобно на възрастните пациенти,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е противопоказан при педиатрични пациенти с тежко чернодробно увреждане, билиарна цироза и пациенти с холестаза (вж. точки 4.3 и 5.2). Има ограничен клиничен опит с употребата на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 xml:space="preserve">при педиатрични пациенти с леко до умерено чернодробно увреждане. При такива пациенти дозата на валсартан не трябва да превишава 80 </w:t>
      </w:r>
      <w:r w:rsidRPr="003D5569">
        <w:rPr>
          <w:rFonts w:eastAsia="Times New Roman" w:cs="Arial"/>
          <w:color w:val="000000"/>
          <w:lang w:val="en-US"/>
        </w:rPr>
        <w:t>mg</w:t>
      </w:r>
      <w:r w:rsidRPr="003D5569">
        <w:rPr>
          <w:rFonts w:eastAsia="Times New Roman" w:cs="Arial"/>
          <w:color w:val="000000"/>
          <w:lang w:val="ru-RU"/>
        </w:rPr>
        <w:t>.</w:t>
      </w:r>
    </w:p>
    <w:p w14:paraId="3B15F6A9" w14:textId="113AA496" w:rsidR="003D5569" w:rsidRPr="003D5569" w:rsidRDefault="003D5569" w:rsidP="003D5569"/>
    <w:p w14:paraId="0734264C" w14:textId="4BEA448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5531C3F" w14:textId="106F81BE" w:rsidR="003D5569" w:rsidRDefault="003D5569" w:rsidP="003D5569"/>
    <w:p w14:paraId="3875C5C9" w14:textId="77777777" w:rsidR="003D5569" w:rsidRPr="003D5569" w:rsidRDefault="003D5569" w:rsidP="003D5569">
      <w:pPr>
        <w:spacing w:line="240" w:lineRule="auto"/>
        <w:rPr>
          <w:rFonts w:eastAsia="Times New Roman" w:cs="Arial"/>
        </w:rPr>
      </w:pPr>
      <w:r w:rsidRPr="003D5569">
        <w:rPr>
          <w:rFonts w:eastAsia="Times New Roman" w:cs="Arial"/>
          <w:color w:val="000000"/>
          <w:u w:val="single"/>
          <w:lang w:eastAsia="bg-BG"/>
        </w:rPr>
        <w:t>Двойна блокада на ренин-ангиотензин-алдостероновата система (РААС) с АРБ, АСЕ инхибитори или алискирен</w:t>
      </w:r>
    </w:p>
    <w:p w14:paraId="193191E1"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3D5569">
        <w:rPr>
          <w:rFonts w:eastAsia="Times New Roman" w:cs="Arial"/>
          <w:color w:val="000000"/>
          <w:lang w:val="en-US"/>
        </w:rPr>
        <w:t>II</w:t>
      </w:r>
      <w:r w:rsidRPr="003D5569">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33FB9DE2" w14:textId="77777777" w:rsidR="003D5569" w:rsidRDefault="003D5569" w:rsidP="003D5569">
      <w:pPr>
        <w:spacing w:line="240" w:lineRule="auto"/>
        <w:rPr>
          <w:rFonts w:eastAsia="Times New Roman" w:cs="Arial"/>
          <w:i/>
          <w:iCs/>
          <w:color w:val="000000"/>
          <w:u w:val="single"/>
          <w:lang w:eastAsia="bg-BG"/>
        </w:rPr>
      </w:pPr>
    </w:p>
    <w:p w14:paraId="1DB620C2" w14:textId="77E1FEDF" w:rsidR="003D5569" w:rsidRPr="003D5569" w:rsidRDefault="003D5569" w:rsidP="003D5569">
      <w:pPr>
        <w:spacing w:line="240" w:lineRule="auto"/>
        <w:rPr>
          <w:rFonts w:eastAsia="Times New Roman" w:cs="Arial"/>
        </w:rPr>
      </w:pPr>
      <w:r w:rsidRPr="003D5569">
        <w:rPr>
          <w:rFonts w:eastAsia="Times New Roman" w:cs="Arial"/>
          <w:i/>
          <w:iCs/>
          <w:color w:val="000000"/>
          <w:u w:val="single"/>
          <w:lang w:eastAsia="bg-BG"/>
        </w:rPr>
        <w:t>Не се препоръчва едновременна употреба</w:t>
      </w:r>
    </w:p>
    <w:p w14:paraId="5974FB85" w14:textId="77777777" w:rsidR="003D5569" w:rsidRDefault="003D5569" w:rsidP="003D5569">
      <w:pPr>
        <w:spacing w:line="240" w:lineRule="auto"/>
        <w:rPr>
          <w:rFonts w:eastAsia="Times New Roman" w:cs="Arial"/>
          <w:i/>
          <w:iCs/>
          <w:color w:val="000000"/>
          <w:lang w:eastAsia="bg-BG"/>
        </w:rPr>
      </w:pPr>
    </w:p>
    <w:p w14:paraId="6F1378E8" w14:textId="4164F76E" w:rsidR="003D5569" w:rsidRPr="003D5569" w:rsidRDefault="003D5569" w:rsidP="003D5569">
      <w:pPr>
        <w:spacing w:line="240" w:lineRule="auto"/>
        <w:rPr>
          <w:rFonts w:eastAsia="Times New Roman" w:cs="Arial"/>
        </w:rPr>
      </w:pPr>
      <w:r w:rsidRPr="003D5569">
        <w:rPr>
          <w:rFonts w:eastAsia="Times New Roman" w:cs="Arial"/>
          <w:i/>
          <w:iCs/>
          <w:color w:val="000000"/>
          <w:lang w:eastAsia="bg-BG"/>
        </w:rPr>
        <w:t>Литий</w:t>
      </w:r>
    </w:p>
    <w:p w14:paraId="59125298" w14:textId="77777777" w:rsidR="003D5569" w:rsidRPr="003D5569" w:rsidRDefault="003D5569" w:rsidP="003D5569">
      <w:pPr>
        <w:spacing w:line="240" w:lineRule="auto"/>
        <w:rPr>
          <w:rFonts w:eastAsia="Times New Roman" w:cs="Arial"/>
        </w:rPr>
      </w:pPr>
      <w:r w:rsidRPr="003D5569">
        <w:rPr>
          <w:rFonts w:eastAsia="Times New Roman" w:cs="Arial"/>
          <w:color w:val="000000"/>
          <w:lang w:eastAsia="bg-BG"/>
        </w:rPr>
        <w:t xml:space="preserve">Обратимо повишаване на серумните концентрации на литий и токсичност са съобщени при едновременната употреба на литий с АСЕ инхибитори или ангиотензин II рецепторни блокери, включително с </w:t>
      </w:r>
      <w:r w:rsidRPr="003D5569">
        <w:rPr>
          <w:rFonts w:eastAsia="Times New Roman" w:cs="Arial"/>
          <w:color w:val="000000"/>
          <w:lang w:val="en-US"/>
        </w:rPr>
        <w:t>Diovan</w:t>
      </w:r>
      <w:r w:rsidRPr="003D5569">
        <w:rPr>
          <w:rFonts w:eastAsia="Times New Roman" w:cs="Arial"/>
          <w:color w:val="000000"/>
          <w:lang w:val="ru-RU"/>
        </w:rPr>
        <w:t xml:space="preserve">. </w:t>
      </w:r>
      <w:r w:rsidRPr="003D5569">
        <w:rPr>
          <w:rFonts w:eastAsia="Times New Roman" w:cs="Arial"/>
          <w:color w:val="000000"/>
          <w:lang w:eastAsia="bg-BG"/>
        </w:rPr>
        <w:t>Препоръчва се внимателно следене на серумните нива на литий, ако се прецени, че комбинацията е необходима. Ако се прилага и диуретик, се предполага,</w:t>
      </w:r>
      <w:r w:rsidRPr="003D5569">
        <w:rPr>
          <w:rFonts w:eastAsia="Times New Roman" w:cs="Arial"/>
          <w:color w:val="000000"/>
          <w:lang w:val="ru-RU"/>
        </w:rPr>
        <w:t xml:space="preserve"> </w:t>
      </w:r>
      <w:r w:rsidRPr="003D5569">
        <w:rPr>
          <w:rFonts w:eastAsia="Times New Roman" w:cs="Arial"/>
          <w:color w:val="000000"/>
          <w:lang w:eastAsia="bg-BG"/>
        </w:rPr>
        <w:t>че рискът от литиева токсичност може да бъде допълнително повишен.</w:t>
      </w:r>
    </w:p>
    <w:p w14:paraId="205D7424" w14:textId="77777777" w:rsidR="003D5569" w:rsidRDefault="003D5569" w:rsidP="003D5569">
      <w:pPr>
        <w:rPr>
          <w:rFonts w:eastAsia="Times New Roman" w:cs="Arial"/>
          <w:i/>
          <w:iCs/>
          <w:color w:val="000000"/>
          <w:lang w:eastAsia="bg-BG"/>
        </w:rPr>
      </w:pPr>
    </w:p>
    <w:p w14:paraId="20D11C62" w14:textId="090E29EA" w:rsidR="003D5569" w:rsidRDefault="003D5569" w:rsidP="003D5569">
      <w:pPr>
        <w:rPr>
          <w:rFonts w:eastAsia="Times New Roman" w:cs="Arial"/>
          <w:i/>
          <w:iCs/>
          <w:color w:val="000000"/>
          <w:lang w:eastAsia="bg-BG"/>
        </w:rPr>
      </w:pPr>
      <w:r w:rsidRPr="003D5569">
        <w:rPr>
          <w:rFonts w:eastAsia="Times New Roman" w:cs="Arial"/>
          <w:i/>
          <w:iCs/>
          <w:color w:val="000000"/>
          <w:lang w:eastAsia="bg-BG"/>
        </w:rPr>
        <w:t>Калий-съхраняващи диуретици, калиеви добавки, заместители на солта, съдържащи калий или други субстанции, които биха могли да повишат нивата на калий</w:t>
      </w:r>
    </w:p>
    <w:p w14:paraId="6B162832" w14:textId="114C280F" w:rsidR="00766272" w:rsidRPr="00766272" w:rsidRDefault="00766272" w:rsidP="00766272">
      <w:pPr>
        <w:spacing w:line="240" w:lineRule="auto"/>
        <w:rPr>
          <w:rFonts w:eastAsia="Times New Roman" w:cs="Arial"/>
        </w:rPr>
      </w:pPr>
      <w:r w:rsidRPr="00766272">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4DBE0931" w14:textId="77777777" w:rsidR="00766272" w:rsidRDefault="00766272" w:rsidP="00766272">
      <w:pPr>
        <w:spacing w:line="240" w:lineRule="auto"/>
        <w:rPr>
          <w:rFonts w:eastAsia="Times New Roman" w:cs="Arial"/>
          <w:i/>
          <w:iCs/>
          <w:color w:val="000000"/>
          <w:u w:val="single"/>
          <w:lang w:eastAsia="bg-BG"/>
        </w:rPr>
      </w:pPr>
    </w:p>
    <w:p w14:paraId="4C1100F9" w14:textId="31A97A1A" w:rsidR="00766272" w:rsidRPr="00766272" w:rsidRDefault="00766272" w:rsidP="00766272">
      <w:pPr>
        <w:spacing w:line="240" w:lineRule="auto"/>
        <w:rPr>
          <w:rFonts w:eastAsia="Times New Roman" w:cs="Arial"/>
        </w:rPr>
      </w:pPr>
      <w:r w:rsidRPr="00766272">
        <w:rPr>
          <w:rFonts w:eastAsia="Times New Roman" w:cs="Arial"/>
          <w:i/>
          <w:iCs/>
          <w:color w:val="000000"/>
          <w:u w:val="single"/>
          <w:lang w:eastAsia="bg-BG"/>
        </w:rPr>
        <w:t>Особено внимание се изисква при едновременна употреба</w:t>
      </w:r>
    </w:p>
    <w:p w14:paraId="7F9557FF" w14:textId="77777777" w:rsidR="00766272" w:rsidRDefault="00766272" w:rsidP="00766272">
      <w:pPr>
        <w:spacing w:line="240" w:lineRule="auto"/>
        <w:rPr>
          <w:rFonts w:eastAsia="Times New Roman" w:cs="Arial"/>
          <w:i/>
          <w:iCs/>
          <w:color w:val="000000"/>
          <w:lang w:eastAsia="bg-BG"/>
        </w:rPr>
      </w:pPr>
    </w:p>
    <w:p w14:paraId="435F1F35" w14:textId="0E737D29" w:rsidR="00766272" w:rsidRPr="00766272" w:rsidRDefault="00766272" w:rsidP="00766272">
      <w:pPr>
        <w:spacing w:line="240" w:lineRule="auto"/>
        <w:rPr>
          <w:rFonts w:eastAsia="Times New Roman" w:cs="Arial"/>
        </w:rPr>
      </w:pPr>
      <w:r w:rsidRPr="00766272">
        <w:rPr>
          <w:rFonts w:eastAsia="Times New Roman" w:cs="Arial"/>
          <w:i/>
          <w:iCs/>
          <w:color w:val="000000"/>
          <w:lang w:eastAsia="bg-BG"/>
        </w:rPr>
        <w:t>Нестероидни противовъзпалителни средства (НСПВС,) включително селективни СОХ-2 инхибитори, ацетилсачицилова киселина &gt;</w:t>
      </w:r>
      <w:r w:rsidRPr="00766272">
        <w:rPr>
          <w:rFonts w:eastAsia="Times New Roman" w:cs="Arial"/>
          <w:i/>
          <w:iCs/>
          <w:color w:val="000000"/>
          <w:lang w:val="ru-RU"/>
        </w:rPr>
        <w:t>3</w:t>
      </w:r>
      <w:r w:rsidRPr="00766272">
        <w:rPr>
          <w:rFonts w:eastAsia="Times New Roman" w:cs="Arial"/>
          <w:i/>
          <w:iCs/>
          <w:color w:val="000000"/>
          <w:lang w:val="en-US"/>
        </w:rPr>
        <w:t>g</w:t>
      </w:r>
      <w:r w:rsidRPr="00766272">
        <w:rPr>
          <w:rFonts w:eastAsia="Times New Roman" w:cs="Arial"/>
          <w:i/>
          <w:iCs/>
          <w:color w:val="000000"/>
          <w:lang w:val="ru-RU"/>
        </w:rPr>
        <w:t>/</w:t>
      </w:r>
      <w:r w:rsidRPr="00766272">
        <w:rPr>
          <w:rFonts w:eastAsia="Times New Roman" w:cs="Arial"/>
          <w:i/>
          <w:iCs/>
          <w:color w:val="000000"/>
          <w:lang w:eastAsia="bg-BG"/>
        </w:rPr>
        <w:t>дневно и неселективни НСПВС</w:t>
      </w:r>
    </w:p>
    <w:p w14:paraId="333D0A6C" w14:textId="77777777" w:rsidR="00766272" w:rsidRPr="00766272" w:rsidRDefault="00766272" w:rsidP="00766272">
      <w:pPr>
        <w:spacing w:line="240" w:lineRule="auto"/>
        <w:rPr>
          <w:rFonts w:eastAsia="Times New Roman" w:cs="Arial"/>
        </w:rPr>
      </w:pPr>
      <w:r w:rsidRPr="00766272">
        <w:rPr>
          <w:rFonts w:eastAsia="Times New Roman" w:cs="Arial"/>
          <w:color w:val="000000"/>
          <w:lang w:eastAsia="bg-BG"/>
        </w:rPr>
        <w:t>Когато ангиотензин II рецепторните блокери се прилагат едновременно с НСПВС, може да се наблюдава отслабване на антихипертензивния ефект. Освен това едновременната употреба на ангиотензин II рецепторни блокери и НСПВС може да доведе до повишен риск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6B39EE71" w14:textId="77777777" w:rsidR="00766272" w:rsidRDefault="00766272" w:rsidP="00766272">
      <w:pPr>
        <w:spacing w:line="240" w:lineRule="auto"/>
        <w:rPr>
          <w:rFonts w:eastAsia="Times New Roman" w:cs="Arial"/>
          <w:i/>
          <w:iCs/>
          <w:color w:val="000000"/>
          <w:lang w:eastAsia="bg-BG"/>
        </w:rPr>
      </w:pPr>
    </w:p>
    <w:p w14:paraId="47C5A6BA" w14:textId="1F5DC421" w:rsidR="00766272" w:rsidRPr="00766272" w:rsidRDefault="00766272" w:rsidP="00766272">
      <w:pPr>
        <w:spacing w:line="240" w:lineRule="auto"/>
        <w:rPr>
          <w:rFonts w:eastAsia="Times New Roman" w:cs="Arial"/>
        </w:rPr>
      </w:pPr>
      <w:r w:rsidRPr="00766272">
        <w:rPr>
          <w:rFonts w:eastAsia="Times New Roman" w:cs="Arial"/>
          <w:i/>
          <w:iCs/>
          <w:color w:val="000000"/>
          <w:lang w:eastAsia="bg-BG"/>
        </w:rPr>
        <w:t>Транспортери</w:t>
      </w:r>
    </w:p>
    <w:p w14:paraId="049A1114" w14:textId="77777777" w:rsidR="00766272" w:rsidRPr="00766272" w:rsidRDefault="00766272" w:rsidP="00766272">
      <w:pPr>
        <w:spacing w:line="240" w:lineRule="auto"/>
        <w:rPr>
          <w:rFonts w:eastAsia="Times New Roman" w:cs="Arial"/>
        </w:rPr>
      </w:pPr>
      <w:r w:rsidRPr="00766272">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766272">
        <w:rPr>
          <w:rFonts w:eastAsia="Times New Roman" w:cs="Arial"/>
          <w:color w:val="000000"/>
          <w:lang w:val="en-US"/>
        </w:rPr>
        <w:t>MRP</w:t>
      </w:r>
      <w:r w:rsidRPr="00766272">
        <w:rPr>
          <w:rFonts w:eastAsia="Times New Roman" w:cs="Arial"/>
          <w:color w:val="000000"/>
          <w:lang w:val="ru-RU"/>
        </w:rPr>
        <w:t xml:space="preserve">2. </w:t>
      </w:r>
      <w:r w:rsidRPr="00766272">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 грижи при започване или прекратяване на съпътстващо лечение с такива лекарства.</w:t>
      </w:r>
    </w:p>
    <w:p w14:paraId="6B99F7D7" w14:textId="77777777" w:rsidR="00766272" w:rsidRDefault="00766272" w:rsidP="00766272">
      <w:pPr>
        <w:spacing w:line="240" w:lineRule="auto"/>
        <w:rPr>
          <w:rFonts w:eastAsia="Times New Roman" w:cs="Arial"/>
          <w:color w:val="000000"/>
          <w:lang w:eastAsia="bg-BG"/>
        </w:rPr>
      </w:pPr>
    </w:p>
    <w:p w14:paraId="258DE823" w14:textId="287D57B1" w:rsidR="00766272" w:rsidRPr="00766272" w:rsidRDefault="00766272" w:rsidP="00766272">
      <w:pPr>
        <w:spacing w:line="240" w:lineRule="auto"/>
        <w:rPr>
          <w:rFonts w:eastAsia="Times New Roman" w:cs="Arial"/>
        </w:rPr>
      </w:pPr>
      <w:r w:rsidRPr="00766272">
        <w:rPr>
          <w:rFonts w:eastAsia="Times New Roman" w:cs="Arial"/>
          <w:color w:val="000000"/>
          <w:lang w:eastAsia="bg-BG"/>
        </w:rPr>
        <w:t>Други</w:t>
      </w:r>
    </w:p>
    <w:p w14:paraId="500F3F36" w14:textId="77777777" w:rsidR="00766272" w:rsidRPr="00766272" w:rsidRDefault="00766272" w:rsidP="00766272">
      <w:pPr>
        <w:spacing w:line="240" w:lineRule="auto"/>
        <w:rPr>
          <w:rFonts w:eastAsia="Times New Roman" w:cs="Arial"/>
        </w:rPr>
      </w:pPr>
      <w:r w:rsidRPr="00766272">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или някое от следните вещества: циметидин, варфарин, фуроземид, дигоксин, атенолол, индометацин, хидрохлоротиазид, амлодипин, глибенкламид.</w:t>
      </w:r>
    </w:p>
    <w:p w14:paraId="1FE61D1A" w14:textId="77777777" w:rsidR="00766272" w:rsidRDefault="00766272" w:rsidP="00766272">
      <w:pPr>
        <w:spacing w:line="240" w:lineRule="auto"/>
        <w:rPr>
          <w:rFonts w:eastAsia="Times New Roman" w:cs="Arial"/>
          <w:i/>
          <w:iCs/>
          <w:color w:val="000000"/>
          <w:u w:val="single"/>
          <w:lang w:eastAsia="bg-BG"/>
        </w:rPr>
      </w:pPr>
    </w:p>
    <w:p w14:paraId="73F8D2CE" w14:textId="0CC5EB72" w:rsidR="00766272" w:rsidRPr="00766272" w:rsidRDefault="00766272" w:rsidP="00766272">
      <w:pPr>
        <w:spacing w:line="240" w:lineRule="auto"/>
        <w:rPr>
          <w:rFonts w:eastAsia="Times New Roman" w:cs="Arial"/>
        </w:rPr>
      </w:pPr>
      <w:r w:rsidRPr="00766272">
        <w:rPr>
          <w:rFonts w:eastAsia="Times New Roman" w:cs="Arial"/>
          <w:i/>
          <w:iCs/>
          <w:color w:val="000000"/>
          <w:u w:val="single"/>
          <w:lang w:eastAsia="bg-BG"/>
        </w:rPr>
        <w:t>Педиатрична популация</w:t>
      </w:r>
    </w:p>
    <w:p w14:paraId="2BBC2106" w14:textId="77777777" w:rsidR="00766272" w:rsidRPr="00766272" w:rsidRDefault="00766272" w:rsidP="00766272">
      <w:pPr>
        <w:spacing w:line="240" w:lineRule="auto"/>
        <w:rPr>
          <w:rFonts w:eastAsia="Times New Roman" w:cs="Arial"/>
        </w:rPr>
      </w:pPr>
      <w:r w:rsidRPr="00766272">
        <w:rPr>
          <w:rFonts w:eastAsia="Times New Roman" w:cs="Arial"/>
          <w:color w:val="000000"/>
          <w:lang w:eastAsia="bg-BG"/>
        </w:rPr>
        <w:t>При лечение на хипертония при деца и юноши, при които често пъти има и подлежащи бъбречна патология, се препоръчва повишено внимание при едновременно прилагане на валсартан с други вещества, които потискат ренин-ангиотензин-алдостероновата система и могат да доведат до повишаване на нивата на серумния калий. Бъбречната функция и нивата на серумния калий трябва да бъдат внимателно проследявани.</w:t>
      </w:r>
    </w:p>
    <w:p w14:paraId="43DA485C" w14:textId="77777777" w:rsidR="00766272" w:rsidRPr="003D5569" w:rsidRDefault="00766272" w:rsidP="003D5569">
      <w:pPr>
        <w:rPr>
          <w:rFonts w:cs="Arial"/>
        </w:rPr>
      </w:pPr>
    </w:p>
    <w:p w14:paraId="5D9F40EA" w14:textId="322CB0A2" w:rsidR="007122AD" w:rsidRDefault="002C50EE" w:rsidP="00936AD0">
      <w:pPr>
        <w:pStyle w:val="Heading2"/>
      </w:pPr>
      <w:r>
        <w:t>4.6. Фертилитет, бременност и кърмене</w:t>
      </w:r>
    </w:p>
    <w:p w14:paraId="7780F723" w14:textId="2995F413" w:rsidR="00D4594D" w:rsidRDefault="00D4594D" w:rsidP="00D4594D"/>
    <w:p w14:paraId="6963BCA8" w14:textId="368477C4" w:rsidR="00D4594D" w:rsidRPr="00D4594D" w:rsidRDefault="00D4594D" w:rsidP="00D4594D">
      <w:pPr>
        <w:pStyle w:val="Heading3"/>
        <w:rPr>
          <w:rFonts w:eastAsia="Times New Roman"/>
          <w:u w:val="single"/>
          <w:lang w:eastAsia="bg-BG"/>
        </w:rPr>
      </w:pPr>
      <w:r w:rsidRPr="00D4594D">
        <w:rPr>
          <w:rFonts w:eastAsia="Times New Roman"/>
          <w:u w:val="single"/>
          <w:lang w:eastAsia="bg-BG"/>
        </w:rPr>
        <w:t>Бременност</w:t>
      </w:r>
    </w:p>
    <w:p w14:paraId="12F37DB6" w14:textId="77777777" w:rsidR="00D4594D" w:rsidRPr="00D4594D" w:rsidRDefault="00D4594D" w:rsidP="00D4594D">
      <w:pPr>
        <w:spacing w:line="240" w:lineRule="auto"/>
        <w:rPr>
          <w:rFonts w:eastAsia="Times New Roman" w:cs="Arial"/>
        </w:rPr>
      </w:pPr>
    </w:p>
    <w:tbl>
      <w:tblPr>
        <w:tblStyle w:val="TableGrid"/>
        <w:tblW w:w="0" w:type="auto"/>
        <w:tblLook w:val="04A0" w:firstRow="1" w:lastRow="0" w:firstColumn="1" w:lastColumn="0" w:noHBand="0" w:noVBand="1"/>
      </w:tblPr>
      <w:tblGrid>
        <w:gridCol w:w="9350"/>
      </w:tblGrid>
      <w:tr w:rsidR="00D4594D" w:rsidRPr="00D4594D" w14:paraId="621ABAFD" w14:textId="77777777" w:rsidTr="00D4594D">
        <w:tc>
          <w:tcPr>
            <w:tcW w:w="9576" w:type="dxa"/>
          </w:tcPr>
          <w:p w14:paraId="054924F0" w14:textId="42BE5239" w:rsidR="00D4594D" w:rsidRPr="00D4594D" w:rsidRDefault="00D4594D" w:rsidP="00D4594D">
            <w:pPr>
              <w:spacing w:line="240" w:lineRule="auto"/>
              <w:rPr>
                <w:rFonts w:eastAsia="Times New Roman" w:cs="Arial"/>
              </w:rPr>
            </w:pPr>
            <w:r w:rsidRPr="00D4594D">
              <w:rPr>
                <w:rFonts w:eastAsia="Times New Roman" w:cs="Arial"/>
                <w:color w:val="000000"/>
                <w:lang w:eastAsia="bg-BG"/>
              </w:rPr>
              <w:t>Употребата на ангиотензин II рецепторни блокери (АРБ) не се препоръчва през първия триместър на бременността (вж. точка 4.4). Употребата на АРБ е противопоказана през втория и третия триместър на бременността (вж. точки 4.3 и 4.4).</w:t>
            </w:r>
          </w:p>
        </w:tc>
      </w:tr>
    </w:tbl>
    <w:p w14:paraId="78C14834" w14:textId="1A6538E4" w:rsidR="00D4594D" w:rsidRPr="00D4594D" w:rsidRDefault="00D4594D" w:rsidP="00D4594D">
      <w:pPr>
        <w:rPr>
          <w:rFonts w:cs="Arial"/>
        </w:rPr>
      </w:pPr>
    </w:p>
    <w:p w14:paraId="6BEFC71B"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окончателни; независимо от това не може </w:t>
      </w:r>
      <w:r w:rsidRPr="00D4594D">
        <w:rPr>
          <w:rFonts w:eastAsia="Times New Roman" w:cs="Arial"/>
          <w:color w:val="000000"/>
          <w:lang w:eastAsia="bg-BG"/>
        </w:rPr>
        <w:lastRenderedPageBreak/>
        <w:t>да се изключи леко повишение на риска. Въпреки че няма контролирани епидемиологични данни за риска от АРБ, подобен риск може да съществува при този клас лекарства. Освен в случай че терапията с АРБ се преценява като много важна, пациентките, които плануват бременност, трябва да преминат на алтернативно антихипертензивно лечение с имат доказан профил на безопасност за употреба при бременност. При установяване на бременност лечението с АРБ трябва да се преустанови незабавно и при необходимост да се започне алтернативна терапия.</w:t>
      </w:r>
    </w:p>
    <w:p w14:paraId="7458553D" w14:textId="77777777" w:rsidR="00D4594D" w:rsidRPr="00D4594D" w:rsidRDefault="00D4594D" w:rsidP="00D4594D">
      <w:pPr>
        <w:rPr>
          <w:rFonts w:eastAsia="Times New Roman" w:cs="Arial"/>
          <w:color w:val="000000"/>
          <w:lang w:eastAsia="bg-BG"/>
        </w:rPr>
      </w:pPr>
    </w:p>
    <w:p w14:paraId="31605037" w14:textId="77777777" w:rsidR="00D4594D" w:rsidRPr="00D4594D" w:rsidRDefault="00D4594D" w:rsidP="00D4594D">
      <w:pPr>
        <w:rPr>
          <w:rFonts w:eastAsia="Times New Roman" w:cs="Arial"/>
        </w:rPr>
      </w:pPr>
      <w:r w:rsidRPr="00D4594D">
        <w:rPr>
          <w:rFonts w:eastAsia="Times New Roman" w:cs="Arial"/>
          <w:color w:val="000000"/>
          <w:lang w:eastAsia="bg-BG"/>
        </w:rPr>
        <w:t>Известно е, че експозицията на терапия с АРБ по време на втория и третия триместър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w:t>
      </w:r>
      <w:r>
        <w:rPr>
          <w:rFonts w:eastAsia="Times New Roman" w:cs="Arial"/>
          <w:color w:val="000000"/>
          <w:lang w:eastAsia="bg-BG"/>
        </w:rPr>
        <w:t xml:space="preserve"> </w:t>
      </w:r>
      <w:r w:rsidRPr="00D4594D">
        <w:rPr>
          <w:rFonts w:eastAsia="Times New Roman" w:cs="Arial"/>
          <w:color w:val="000000"/>
          <w:lang w:eastAsia="bg-BG"/>
        </w:rPr>
        <w:t>недостатъчност, хипотония, хиперкалиемия); вижте също точка 5.3 “Предклинични данни за безопасност”.</w:t>
      </w:r>
    </w:p>
    <w:p w14:paraId="6CE77B95" w14:textId="77777777" w:rsidR="00D4594D" w:rsidRDefault="00D4594D" w:rsidP="00D4594D">
      <w:pPr>
        <w:spacing w:line="240" w:lineRule="auto"/>
        <w:rPr>
          <w:rFonts w:eastAsia="Times New Roman" w:cs="Arial"/>
          <w:color w:val="000000"/>
          <w:lang w:eastAsia="bg-BG"/>
        </w:rPr>
      </w:pPr>
    </w:p>
    <w:p w14:paraId="083787F2" w14:textId="55670995" w:rsidR="00D4594D" w:rsidRDefault="00D4594D" w:rsidP="00D4594D">
      <w:pPr>
        <w:spacing w:line="240" w:lineRule="auto"/>
        <w:rPr>
          <w:rFonts w:eastAsia="Times New Roman" w:cs="Arial"/>
          <w:color w:val="000000"/>
          <w:lang w:eastAsia="bg-BG"/>
        </w:rPr>
      </w:pPr>
      <w:r w:rsidRPr="00D4594D">
        <w:rPr>
          <w:rFonts w:eastAsia="Times New Roman" w:cs="Arial"/>
          <w:color w:val="000000"/>
          <w:lang w:eastAsia="bg-BG"/>
        </w:rPr>
        <w:t xml:space="preserve">В случай на експозиция на АРБ след втория триместър на бременността се препоръчва </w:t>
      </w:r>
    </w:p>
    <w:p w14:paraId="56F21E9A" w14:textId="6D950040" w:rsidR="00D4594D" w:rsidRPr="00D4594D" w:rsidRDefault="00D4594D" w:rsidP="00D4594D">
      <w:pPr>
        <w:spacing w:line="240" w:lineRule="auto"/>
        <w:rPr>
          <w:rFonts w:eastAsia="Times New Roman" w:cs="Arial"/>
        </w:rPr>
      </w:pPr>
      <w:r w:rsidRPr="00D4594D">
        <w:rPr>
          <w:rFonts w:eastAsia="Times New Roman" w:cs="Arial"/>
          <w:color w:val="000000"/>
          <w:lang w:eastAsia="bg-BG"/>
        </w:rPr>
        <w:t>ултразвукова проверка на бъбречната функция и черепа.</w:t>
      </w:r>
    </w:p>
    <w:p w14:paraId="60187B18" w14:textId="77777777" w:rsidR="00D4594D" w:rsidRDefault="00D4594D" w:rsidP="00D4594D">
      <w:pPr>
        <w:spacing w:line="240" w:lineRule="auto"/>
        <w:rPr>
          <w:rFonts w:eastAsia="Times New Roman" w:cs="Arial"/>
          <w:color w:val="000000"/>
          <w:lang w:eastAsia="bg-BG"/>
        </w:rPr>
      </w:pPr>
    </w:p>
    <w:p w14:paraId="218CE4DF" w14:textId="077CF6E6" w:rsidR="00D4594D" w:rsidRPr="00D4594D" w:rsidRDefault="00D4594D" w:rsidP="00D4594D">
      <w:pPr>
        <w:spacing w:line="240" w:lineRule="auto"/>
        <w:rPr>
          <w:rFonts w:eastAsia="Times New Roman" w:cs="Arial"/>
        </w:rPr>
      </w:pPr>
      <w:r w:rsidRPr="00D4594D">
        <w:rPr>
          <w:rFonts w:eastAsia="Times New Roman" w:cs="Arial"/>
          <w:color w:val="000000"/>
          <w:lang w:eastAsia="bg-BG"/>
        </w:rPr>
        <w:t>Новородени, чиито майки са приемали АРБ, трябва да бъдат внимателно наблюдавани за хипотония (вж. също точки 4.3 и 4.4).</w:t>
      </w:r>
    </w:p>
    <w:p w14:paraId="2C121C7E" w14:textId="77777777" w:rsidR="00D4594D" w:rsidRDefault="00D4594D" w:rsidP="00D4594D">
      <w:pPr>
        <w:spacing w:line="240" w:lineRule="auto"/>
        <w:rPr>
          <w:rFonts w:eastAsia="Times New Roman" w:cs="Arial"/>
          <w:i/>
          <w:iCs/>
          <w:color w:val="000000"/>
          <w:u w:val="single"/>
          <w:lang w:eastAsia="bg-BG"/>
        </w:rPr>
      </w:pPr>
    </w:p>
    <w:p w14:paraId="3534FA35" w14:textId="263721A2" w:rsidR="00D4594D" w:rsidRPr="00D4594D" w:rsidRDefault="00D4594D" w:rsidP="00D4594D">
      <w:pPr>
        <w:pStyle w:val="Heading3"/>
        <w:rPr>
          <w:u w:val="single"/>
        </w:rPr>
      </w:pPr>
      <w:r w:rsidRPr="00D4594D">
        <w:rPr>
          <w:u w:val="single"/>
        </w:rPr>
        <w:t>Кърмене</w:t>
      </w:r>
    </w:p>
    <w:p w14:paraId="4C6F89C3"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Поради липсата на данни относно употребата на валсартан по време на кърмене приемът на </w:t>
      </w:r>
      <w:r w:rsidRPr="00D4594D">
        <w:rPr>
          <w:rFonts w:eastAsia="Times New Roman" w:cs="Arial"/>
          <w:color w:val="000000"/>
          <w:lang w:val="en-US"/>
        </w:rPr>
        <w:t>Diovan</w:t>
      </w:r>
      <w:r w:rsidRPr="00D4594D">
        <w:rPr>
          <w:rFonts w:eastAsia="Times New Roman" w:cs="Arial"/>
          <w:color w:val="000000"/>
          <w:lang w:val="ru-RU"/>
        </w:rPr>
        <w:t xml:space="preserve"> </w:t>
      </w:r>
      <w:r w:rsidRPr="00D4594D">
        <w:rPr>
          <w:rFonts w:eastAsia="Times New Roman" w:cs="Arial"/>
          <w:color w:val="000000"/>
          <w:lang w:eastAsia="bg-BG"/>
        </w:rPr>
        <w:t>не се препоръчва, а се предпочита алтернативно лечение с по-добре установен профил на безопасност по време на кърмене, особено при кърмене на новородено или недоносено бебе.</w:t>
      </w:r>
    </w:p>
    <w:p w14:paraId="07A1EB9A" w14:textId="77777777" w:rsidR="00D4594D" w:rsidRDefault="00D4594D" w:rsidP="00D4594D">
      <w:pPr>
        <w:spacing w:line="240" w:lineRule="auto"/>
        <w:rPr>
          <w:rFonts w:eastAsia="Times New Roman" w:cs="Arial"/>
          <w:i/>
          <w:iCs/>
          <w:color w:val="000000"/>
          <w:u w:val="single"/>
          <w:lang w:eastAsia="bg-BG"/>
        </w:rPr>
      </w:pPr>
    </w:p>
    <w:p w14:paraId="6E04D4C1" w14:textId="7960BC0E" w:rsidR="00D4594D" w:rsidRPr="00D4594D" w:rsidRDefault="00D4594D" w:rsidP="00D4594D">
      <w:pPr>
        <w:pStyle w:val="Heading3"/>
        <w:rPr>
          <w:u w:val="single"/>
        </w:rPr>
      </w:pPr>
      <w:r w:rsidRPr="00D4594D">
        <w:rPr>
          <w:u w:val="single"/>
        </w:rPr>
        <w:t>Фертилитет</w:t>
      </w:r>
    </w:p>
    <w:p w14:paraId="4A62E4ED"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D4594D">
        <w:rPr>
          <w:rFonts w:eastAsia="Times New Roman" w:cs="Arial"/>
          <w:color w:val="000000"/>
          <w:lang w:val="en-US"/>
        </w:rPr>
        <w:t>mg</w:t>
      </w:r>
      <w:r w:rsidRPr="00D4594D">
        <w:rPr>
          <w:rFonts w:eastAsia="Times New Roman" w:cs="Arial"/>
          <w:color w:val="000000"/>
          <w:lang w:val="ru-RU"/>
        </w:rPr>
        <w:t>/</w:t>
      </w:r>
      <w:r w:rsidRPr="00D4594D">
        <w:rPr>
          <w:rFonts w:eastAsia="Times New Roman" w:cs="Arial"/>
          <w:color w:val="000000"/>
          <w:lang w:val="en-US"/>
        </w:rPr>
        <w:t>kg</w:t>
      </w:r>
      <w:r w:rsidRPr="00D4594D">
        <w:rPr>
          <w:rFonts w:eastAsia="Times New Roman" w:cs="Arial"/>
          <w:color w:val="000000"/>
          <w:lang w:eastAsia="bg-BG"/>
        </w:rPr>
        <w:t xml:space="preserve">/ден. Тази доза е 6 пъти по-висока от максималната препоръчвана доза при хора определена на база </w:t>
      </w:r>
      <w:r w:rsidRPr="00D4594D">
        <w:rPr>
          <w:rFonts w:eastAsia="Times New Roman" w:cs="Arial"/>
          <w:color w:val="000000"/>
          <w:lang w:val="en-US"/>
        </w:rPr>
        <w:t>mg</w:t>
      </w:r>
      <w:r w:rsidRPr="00D4594D">
        <w:rPr>
          <w:rFonts w:eastAsia="Times New Roman" w:cs="Arial"/>
          <w:color w:val="000000"/>
          <w:lang w:val="ru-RU"/>
        </w:rPr>
        <w:t>/</w:t>
      </w:r>
      <w:r w:rsidRPr="00D4594D">
        <w:rPr>
          <w:rFonts w:eastAsia="Times New Roman" w:cs="Arial"/>
          <w:color w:val="000000"/>
          <w:lang w:val="en-US"/>
        </w:rPr>
        <w:t>m</w:t>
      </w:r>
      <w:r w:rsidRPr="00D4594D">
        <w:rPr>
          <w:rFonts w:eastAsia="Times New Roman" w:cs="Arial"/>
          <w:color w:val="000000"/>
          <w:vertAlign w:val="superscript"/>
          <w:lang w:val="ru-RU"/>
        </w:rPr>
        <w:t>2</w:t>
      </w:r>
      <w:r w:rsidRPr="00D4594D">
        <w:rPr>
          <w:rFonts w:eastAsia="Times New Roman" w:cs="Arial"/>
          <w:color w:val="000000"/>
          <w:lang w:val="ru-RU"/>
        </w:rPr>
        <w:t xml:space="preserve"> </w:t>
      </w:r>
      <w:r w:rsidRPr="00D4594D">
        <w:rPr>
          <w:rFonts w:eastAsia="Times New Roman" w:cs="Arial"/>
          <w:color w:val="000000"/>
          <w:lang w:eastAsia="bg-BG"/>
        </w:rPr>
        <w:t xml:space="preserve">(изчислението е за перорална доза от 320 </w:t>
      </w:r>
      <w:r w:rsidRPr="00D4594D">
        <w:rPr>
          <w:rFonts w:eastAsia="Times New Roman" w:cs="Arial"/>
          <w:color w:val="000000"/>
          <w:lang w:val="en-US"/>
        </w:rPr>
        <w:t>mg</w:t>
      </w:r>
      <w:r w:rsidRPr="00D4594D">
        <w:rPr>
          <w:rFonts w:eastAsia="Times New Roman" w:cs="Arial"/>
          <w:color w:val="000000"/>
          <w:lang w:eastAsia="bg-BG"/>
        </w:rPr>
        <w:t>/ден и 60-килограмов пациент).</w:t>
      </w:r>
    </w:p>
    <w:p w14:paraId="378547EE" w14:textId="2FB88292" w:rsidR="00D4594D" w:rsidRPr="00D4594D" w:rsidRDefault="00D4594D" w:rsidP="00D4594D"/>
    <w:p w14:paraId="5DD7A76D" w14:textId="0F1B6D29" w:rsidR="007122AD" w:rsidRDefault="002C50EE" w:rsidP="00936AD0">
      <w:pPr>
        <w:pStyle w:val="Heading2"/>
      </w:pPr>
      <w:r>
        <w:t>4.7. Ефекти върху способността за шофиране и работа с машини</w:t>
      </w:r>
    </w:p>
    <w:p w14:paraId="2A376BFA" w14:textId="2B36247F" w:rsidR="00D4594D" w:rsidRDefault="00D4594D" w:rsidP="00D4594D"/>
    <w:p w14:paraId="1BE80946" w14:textId="77777777" w:rsidR="00D4594D" w:rsidRPr="00D4594D" w:rsidRDefault="00D4594D" w:rsidP="00D4594D">
      <w:pPr>
        <w:rPr>
          <w:sz w:val="24"/>
          <w:szCs w:val="24"/>
        </w:rPr>
      </w:pPr>
      <w:r w:rsidRPr="00D4594D">
        <w:rPr>
          <w:lang w:eastAsia="bg-BG"/>
        </w:rPr>
        <w:t>Не са провеждани проучвания за ефектите върху способността за шофиране. Трябва да се има предвид, че при шофиране и работа с машини е възможно да настъпят замаяност или умора.</w:t>
      </w:r>
    </w:p>
    <w:p w14:paraId="5722EB56" w14:textId="77777777" w:rsidR="00D4594D" w:rsidRPr="00D4594D" w:rsidRDefault="00D4594D" w:rsidP="00D4594D"/>
    <w:p w14:paraId="44CE30A3" w14:textId="5475E119" w:rsidR="007122AD" w:rsidRDefault="002C50EE" w:rsidP="00936AD0">
      <w:pPr>
        <w:pStyle w:val="Heading2"/>
      </w:pPr>
      <w:r>
        <w:t>4.8. Нежелани лекарствени реакции</w:t>
      </w:r>
    </w:p>
    <w:p w14:paraId="49494F8D" w14:textId="1C7DBB67" w:rsidR="00D4594D" w:rsidRDefault="00D4594D" w:rsidP="00D4594D"/>
    <w:p w14:paraId="335915B0"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В контролирани клинични проучвания при възрастни пациенти с хипертония общата честота на нежелани реакции (НЛР) е сравнима с тази при плацебо и е в съгласие с фармакологичния профил на валсартан. Честотата на НЛР не е свързана с дозата или продължителността на лечението, а също така не показва връзка с пола, възрастта или расата.</w:t>
      </w:r>
    </w:p>
    <w:p w14:paraId="05416510" w14:textId="77777777" w:rsidR="00D4594D" w:rsidRDefault="00D4594D" w:rsidP="00D4594D">
      <w:pPr>
        <w:spacing w:line="240" w:lineRule="auto"/>
        <w:rPr>
          <w:rFonts w:eastAsia="Times New Roman" w:cs="Arial"/>
          <w:color w:val="000000"/>
          <w:lang w:eastAsia="bg-BG"/>
        </w:rPr>
      </w:pPr>
    </w:p>
    <w:p w14:paraId="7BA1D215" w14:textId="5794DF25" w:rsidR="00D4594D" w:rsidRPr="00D4594D" w:rsidRDefault="00D4594D" w:rsidP="00D4594D">
      <w:pPr>
        <w:spacing w:line="240" w:lineRule="auto"/>
        <w:rPr>
          <w:rFonts w:eastAsia="Times New Roman" w:cs="Arial"/>
        </w:rPr>
      </w:pPr>
      <w:r w:rsidRPr="00D4594D">
        <w:rPr>
          <w:rFonts w:eastAsia="Times New Roman" w:cs="Arial"/>
          <w:color w:val="000000"/>
          <w:lang w:eastAsia="bg-BG"/>
        </w:rPr>
        <w:t>Основани на клинични проучвания, пост-маркетингов опит и лабораторни резултати НЛР са изброени по-долу съгласно системо-органната класификация.</w:t>
      </w:r>
    </w:p>
    <w:p w14:paraId="7010CC1B" w14:textId="77777777" w:rsidR="00D4594D" w:rsidRDefault="00D4594D" w:rsidP="00D4594D">
      <w:pPr>
        <w:spacing w:line="240" w:lineRule="auto"/>
        <w:rPr>
          <w:rFonts w:eastAsia="Times New Roman" w:cs="Arial"/>
          <w:b/>
          <w:bCs/>
          <w:color w:val="000000"/>
          <w:lang w:eastAsia="bg-BG"/>
        </w:rPr>
      </w:pPr>
      <w:bookmarkStart w:id="1" w:name="bookmark0"/>
    </w:p>
    <w:p w14:paraId="0A0564F8" w14:textId="38CEC964" w:rsidR="00D4594D" w:rsidRPr="00D4594D" w:rsidRDefault="00D4594D" w:rsidP="00D4594D">
      <w:pPr>
        <w:spacing w:line="240" w:lineRule="auto"/>
        <w:rPr>
          <w:rFonts w:eastAsia="Times New Roman" w:cs="Arial"/>
        </w:rPr>
      </w:pPr>
      <w:r w:rsidRPr="00D4594D">
        <w:rPr>
          <w:rFonts w:eastAsia="Times New Roman" w:cs="Arial"/>
          <w:b/>
          <w:bCs/>
          <w:color w:val="000000"/>
          <w:lang w:eastAsia="bg-BG"/>
        </w:rPr>
        <w:t>Нежелани лекарствени реакции</w:t>
      </w:r>
      <w:bookmarkEnd w:id="1"/>
    </w:p>
    <w:p w14:paraId="0BFF42F5"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Нежеланите лекарствени реакции са подредени по честота, като най-честите са първи, според следната конвенция: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 на честотата).</w:t>
      </w:r>
    </w:p>
    <w:p w14:paraId="0BAB3CB1" w14:textId="77777777" w:rsidR="00D4594D" w:rsidRDefault="00D4594D" w:rsidP="00D4594D">
      <w:pPr>
        <w:spacing w:line="240" w:lineRule="auto"/>
        <w:rPr>
          <w:rFonts w:eastAsia="Times New Roman" w:cs="Arial"/>
          <w:color w:val="000000"/>
          <w:lang w:eastAsia="bg-BG"/>
        </w:rPr>
      </w:pPr>
    </w:p>
    <w:p w14:paraId="5AB861B5" w14:textId="4F730C49" w:rsidR="00D4594D" w:rsidRPr="00D4594D" w:rsidRDefault="00D4594D" w:rsidP="00D4594D">
      <w:pPr>
        <w:spacing w:line="240" w:lineRule="auto"/>
        <w:rPr>
          <w:rFonts w:eastAsia="Times New Roman" w:cs="Arial"/>
        </w:rPr>
      </w:pPr>
      <w:r w:rsidRPr="00D4594D">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322DA87" w14:textId="77777777" w:rsidR="00D4594D" w:rsidRDefault="00D4594D" w:rsidP="00D4594D">
      <w:pPr>
        <w:spacing w:line="240" w:lineRule="auto"/>
        <w:rPr>
          <w:rFonts w:eastAsia="Times New Roman" w:cs="Arial"/>
          <w:color w:val="000000"/>
          <w:lang w:eastAsia="bg-BG"/>
        </w:rPr>
      </w:pPr>
    </w:p>
    <w:p w14:paraId="6E893923" w14:textId="4344028E" w:rsidR="00D4594D" w:rsidRPr="00D4594D" w:rsidRDefault="00D4594D" w:rsidP="00D4594D">
      <w:pPr>
        <w:spacing w:line="240" w:lineRule="auto"/>
        <w:rPr>
          <w:rFonts w:eastAsia="Times New Roman" w:cs="Arial"/>
        </w:rPr>
      </w:pPr>
      <w:r w:rsidRPr="00D4594D">
        <w:rPr>
          <w:rFonts w:eastAsia="Times New Roman" w:cs="Arial"/>
          <w:color w:val="000000"/>
          <w:lang w:eastAsia="bg-BG"/>
        </w:rPr>
        <w:t>За всички НЛР, съобщени от постмаркетинговия опит и лабораторните находки, не е възможно да се приложи никоя честота на НЛР и поради това те са упоменати с "неизвестна" честота.</w:t>
      </w:r>
    </w:p>
    <w:p w14:paraId="2446B546" w14:textId="77777777" w:rsidR="00D4594D" w:rsidRDefault="00D4594D" w:rsidP="00D4594D">
      <w:pPr>
        <w:spacing w:line="240" w:lineRule="auto"/>
        <w:rPr>
          <w:rFonts w:eastAsia="Times New Roman" w:cs="Arial"/>
          <w:color w:val="000000"/>
          <w:u w:val="single"/>
          <w:lang w:eastAsia="bg-BG"/>
        </w:rPr>
      </w:pPr>
    </w:p>
    <w:p w14:paraId="2161F27F" w14:textId="3CFA0DC4" w:rsidR="00D4594D" w:rsidRPr="00D4594D" w:rsidRDefault="00D4594D" w:rsidP="00D4594D">
      <w:pPr>
        <w:pStyle w:val="ListParagraph"/>
        <w:numPr>
          <w:ilvl w:val="0"/>
          <w:numId w:val="37"/>
        </w:numPr>
        <w:spacing w:line="240" w:lineRule="auto"/>
        <w:rPr>
          <w:rFonts w:eastAsia="Times New Roman" w:cs="Arial"/>
        </w:rPr>
      </w:pPr>
      <w:r w:rsidRPr="00D4594D">
        <w:rPr>
          <w:rFonts w:eastAsia="Times New Roman" w:cs="Arial"/>
          <w:color w:val="000000"/>
          <w:u w:val="single"/>
          <w:lang w:eastAsia="bg-BG"/>
        </w:rPr>
        <w:t>Хипертония</w:t>
      </w:r>
    </w:p>
    <w:p w14:paraId="1E8B1677" w14:textId="02634C7D" w:rsidR="00D4594D" w:rsidRDefault="00D4594D" w:rsidP="00D4594D"/>
    <w:tbl>
      <w:tblPr>
        <w:tblStyle w:val="TableGrid"/>
        <w:tblW w:w="0" w:type="auto"/>
        <w:tblLook w:val="04A0" w:firstRow="1" w:lastRow="0" w:firstColumn="1" w:lastColumn="0" w:noHBand="0" w:noVBand="1"/>
      </w:tblPr>
      <w:tblGrid>
        <w:gridCol w:w="4652"/>
        <w:gridCol w:w="4698"/>
      </w:tblGrid>
      <w:tr w:rsidR="00D4594D" w14:paraId="0AF875E1" w14:textId="77777777" w:rsidTr="00D4594D">
        <w:tc>
          <w:tcPr>
            <w:tcW w:w="9576" w:type="dxa"/>
            <w:gridSpan w:val="2"/>
            <w:vAlign w:val="bottom"/>
          </w:tcPr>
          <w:p w14:paraId="63FD6429" w14:textId="1AA62687" w:rsidR="00D4594D" w:rsidRPr="00D4594D" w:rsidRDefault="00D4594D" w:rsidP="00D4594D">
            <w:r w:rsidRPr="00D4594D">
              <w:rPr>
                <w:b/>
                <w:bCs/>
              </w:rPr>
              <w:t>Нарушения на кръвта и лимфната система</w:t>
            </w:r>
          </w:p>
        </w:tc>
      </w:tr>
      <w:tr w:rsidR="00D4594D" w14:paraId="57DDA4E0" w14:textId="77777777" w:rsidTr="00D4594D">
        <w:tc>
          <w:tcPr>
            <w:tcW w:w="4788" w:type="dxa"/>
          </w:tcPr>
          <w:p w14:paraId="78CF0251" w14:textId="6E806B82" w:rsidR="00D4594D" w:rsidRPr="00D4594D" w:rsidRDefault="00D4594D" w:rsidP="00D4594D">
            <w:r w:rsidRPr="00D4594D">
              <w:t>С неизвестна честота</w:t>
            </w:r>
          </w:p>
        </w:tc>
        <w:tc>
          <w:tcPr>
            <w:tcW w:w="4788" w:type="dxa"/>
            <w:vAlign w:val="bottom"/>
          </w:tcPr>
          <w:p w14:paraId="3898C581" w14:textId="4FA94BE4" w:rsidR="00D4594D" w:rsidRPr="00D4594D" w:rsidRDefault="00D4594D" w:rsidP="00D4594D">
            <w:r w:rsidRPr="00D4594D">
              <w:t>Понижен хемоглобин, понижен хематокрит, неутропения, тромбоцитопения</w:t>
            </w:r>
          </w:p>
        </w:tc>
      </w:tr>
      <w:tr w:rsidR="00D4594D" w14:paraId="1FEA719A" w14:textId="77777777" w:rsidTr="00D4594D">
        <w:tc>
          <w:tcPr>
            <w:tcW w:w="9576" w:type="dxa"/>
            <w:gridSpan w:val="2"/>
          </w:tcPr>
          <w:p w14:paraId="5E4BE058" w14:textId="2E16F6CC" w:rsidR="00D4594D" w:rsidRPr="00D4594D" w:rsidRDefault="00D4594D" w:rsidP="00D4594D">
            <w:r w:rsidRPr="00D4594D">
              <w:rPr>
                <w:b/>
                <w:bCs/>
              </w:rPr>
              <w:t>Нарушения на имунната система</w:t>
            </w:r>
          </w:p>
        </w:tc>
      </w:tr>
      <w:tr w:rsidR="00D4594D" w14:paraId="590899BB" w14:textId="77777777" w:rsidTr="00D4594D">
        <w:tc>
          <w:tcPr>
            <w:tcW w:w="4788" w:type="dxa"/>
          </w:tcPr>
          <w:p w14:paraId="0014EE6D" w14:textId="643938C7" w:rsidR="00D4594D" w:rsidRPr="00D4594D" w:rsidRDefault="00D4594D" w:rsidP="00D4594D">
            <w:r w:rsidRPr="00D4594D">
              <w:t>С неизвестна честота</w:t>
            </w:r>
          </w:p>
        </w:tc>
        <w:tc>
          <w:tcPr>
            <w:tcW w:w="4788" w:type="dxa"/>
          </w:tcPr>
          <w:p w14:paraId="3E0B7808" w14:textId="02440F73" w:rsidR="00D4594D" w:rsidRPr="00D4594D" w:rsidRDefault="00D4594D" w:rsidP="00D4594D">
            <w:r w:rsidRPr="00D4594D">
              <w:t>Свръхчувствителност, включително серумна болест</w:t>
            </w:r>
          </w:p>
        </w:tc>
      </w:tr>
      <w:tr w:rsidR="00D4594D" w14:paraId="12B7E5A1" w14:textId="77777777" w:rsidTr="00D4594D">
        <w:tc>
          <w:tcPr>
            <w:tcW w:w="9576" w:type="dxa"/>
            <w:gridSpan w:val="2"/>
          </w:tcPr>
          <w:p w14:paraId="745C445F" w14:textId="67A41245" w:rsidR="00D4594D" w:rsidRPr="00D4594D" w:rsidRDefault="00D4594D" w:rsidP="00D4594D">
            <w:r w:rsidRPr="00D4594D">
              <w:rPr>
                <w:b/>
                <w:bCs/>
              </w:rPr>
              <w:t>Нарушения на метаболизма и храненето</w:t>
            </w:r>
          </w:p>
        </w:tc>
      </w:tr>
      <w:tr w:rsidR="00D4594D" w14:paraId="68D0F30E" w14:textId="77777777" w:rsidTr="00D4594D">
        <w:tc>
          <w:tcPr>
            <w:tcW w:w="4788" w:type="dxa"/>
          </w:tcPr>
          <w:p w14:paraId="33F1015E" w14:textId="1F2F5B10" w:rsidR="00D4594D" w:rsidRPr="00D4594D" w:rsidRDefault="00D4594D" w:rsidP="00D4594D">
            <w:r w:rsidRPr="00D4594D">
              <w:t>С неизвестна честота</w:t>
            </w:r>
          </w:p>
        </w:tc>
        <w:tc>
          <w:tcPr>
            <w:tcW w:w="4788" w:type="dxa"/>
          </w:tcPr>
          <w:p w14:paraId="3FCE4F9C" w14:textId="76C545DF" w:rsidR="00D4594D" w:rsidRPr="00D4594D" w:rsidRDefault="00D4594D" w:rsidP="00D4594D">
            <w:r w:rsidRPr="00D4594D">
              <w:t>Повишен серумен калий, хипонатриемия</w:t>
            </w:r>
          </w:p>
        </w:tc>
      </w:tr>
      <w:tr w:rsidR="00D4594D" w14:paraId="76D86629" w14:textId="77777777" w:rsidTr="00D4594D">
        <w:tc>
          <w:tcPr>
            <w:tcW w:w="9576" w:type="dxa"/>
            <w:gridSpan w:val="2"/>
          </w:tcPr>
          <w:p w14:paraId="05505BA4" w14:textId="4DC15ADE" w:rsidR="00D4594D" w:rsidRPr="00D4594D" w:rsidRDefault="00D4594D" w:rsidP="00D4594D">
            <w:r w:rsidRPr="00D4594D">
              <w:rPr>
                <w:b/>
                <w:bCs/>
              </w:rPr>
              <w:t>Нарушения на ухото и лабиринта</w:t>
            </w:r>
          </w:p>
        </w:tc>
      </w:tr>
      <w:tr w:rsidR="00D4594D" w14:paraId="06461558" w14:textId="77777777" w:rsidTr="00D4594D">
        <w:tc>
          <w:tcPr>
            <w:tcW w:w="4788" w:type="dxa"/>
          </w:tcPr>
          <w:p w14:paraId="66D42CF3" w14:textId="3F72C293" w:rsidR="00D4594D" w:rsidRPr="00D4594D" w:rsidRDefault="00D4594D" w:rsidP="00D4594D">
            <w:r w:rsidRPr="00D4594D">
              <w:t>Нечести</w:t>
            </w:r>
          </w:p>
        </w:tc>
        <w:tc>
          <w:tcPr>
            <w:tcW w:w="4788" w:type="dxa"/>
          </w:tcPr>
          <w:p w14:paraId="74CD626E" w14:textId="309F4849" w:rsidR="00D4594D" w:rsidRPr="00D4594D" w:rsidRDefault="00D4594D" w:rsidP="00D4594D">
            <w:r w:rsidRPr="00D4594D">
              <w:t>Световъртеж</w:t>
            </w:r>
          </w:p>
        </w:tc>
      </w:tr>
      <w:tr w:rsidR="00D4594D" w14:paraId="4F330830" w14:textId="77777777" w:rsidTr="00D4594D">
        <w:tc>
          <w:tcPr>
            <w:tcW w:w="9576" w:type="dxa"/>
            <w:gridSpan w:val="2"/>
          </w:tcPr>
          <w:p w14:paraId="1F88690E" w14:textId="13F0457C" w:rsidR="00D4594D" w:rsidRPr="00D4594D" w:rsidRDefault="00D4594D" w:rsidP="00D4594D">
            <w:r w:rsidRPr="00D4594D">
              <w:rPr>
                <w:b/>
                <w:bCs/>
              </w:rPr>
              <w:t>Съдови нарушения</w:t>
            </w:r>
          </w:p>
        </w:tc>
      </w:tr>
      <w:tr w:rsidR="00D4594D" w14:paraId="6C9B10B8" w14:textId="77777777" w:rsidTr="00D4594D">
        <w:tc>
          <w:tcPr>
            <w:tcW w:w="4788" w:type="dxa"/>
          </w:tcPr>
          <w:p w14:paraId="73CE0BED" w14:textId="76FB5036" w:rsidR="00D4594D" w:rsidRPr="00D4594D" w:rsidRDefault="00D4594D" w:rsidP="00D4594D">
            <w:r w:rsidRPr="00D4594D">
              <w:t>С неизвестна честота</w:t>
            </w:r>
          </w:p>
        </w:tc>
        <w:tc>
          <w:tcPr>
            <w:tcW w:w="4788" w:type="dxa"/>
          </w:tcPr>
          <w:p w14:paraId="42AC71EB" w14:textId="22413083" w:rsidR="00D4594D" w:rsidRPr="00D4594D" w:rsidRDefault="00D4594D" w:rsidP="00D4594D">
            <w:r w:rsidRPr="00D4594D">
              <w:t>Васкулит</w:t>
            </w:r>
          </w:p>
        </w:tc>
      </w:tr>
      <w:tr w:rsidR="00D4594D" w14:paraId="41AE5DE6" w14:textId="77777777" w:rsidTr="00D4594D">
        <w:tc>
          <w:tcPr>
            <w:tcW w:w="9576" w:type="dxa"/>
            <w:gridSpan w:val="2"/>
          </w:tcPr>
          <w:p w14:paraId="2FB4AF1B" w14:textId="12A9A6E5" w:rsidR="00D4594D" w:rsidRPr="00D4594D" w:rsidRDefault="00D4594D" w:rsidP="00D4594D">
            <w:r w:rsidRPr="00D4594D">
              <w:rPr>
                <w:b/>
                <w:bCs/>
              </w:rPr>
              <w:t>Респираторни, гръдни и медиастинални нарушения</w:t>
            </w:r>
          </w:p>
        </w:tc>
      </w:tr>
      <w:tr w:rsidR="00D4594D" w14:paraId="0C3D6E75" w14:textId="77777777" w:rsidTr="00D4594D">
        <w:tc>
          <w:tcPr>
            <w:tcW w:w="4788" w:type="dxa"/>
          </w:tcPr>
          <w:p w14:paraId="59551825" w14:textId="16223CA1" w:rsidR="00D4594D" w:rsidRPr="00D4594D" w:rsidRDefault="00D4594D" w:rsidP="00D4594D">
            <w:r w:rsidRPr="00D4594D">
              <w:t>Нечести</w:t>
            </w:r>
          </w:p>
        </w:tc>
        <w:tc>
          <w:tcPr>
            <w:tcW w:w="4788" w:type="dxa"/>
          </w:tcPr>
          <w:p w14:paraId="308C2A3F" w14:textId="3A7CBC23" w:rsidR="00D4594D" w:rsidRPr="00D4594D" w:rsidRDefault="00D4594D" w:rsidP="00D4594D">
            <w:r w:rsidRPr="00D4594D">
              <w:t>Кашлица</w:t>
            </w:r>
          </w:p>
        </w:tc>
      </w:tr>
      <w:tr w:rsidR="00D4594D" w14:paraId="2A31B951" w14:textId="77777777" w:rsidTr="00D4594D">
        <w:tc>
          <w:tcPr>
            <w:tcW w:w="9576" w:type="dxa"/>
            <w:gridSpan w:val="2"/>
          </w:tcPr>
          <w:p w14:paraId="7CB44115" w14:textId="763B06D4" w:rsidR="00D4594D" w:rsidRPr="00D4594D" w:rsidRDefault="00D4594D" w:rsidP="00D4594D">
            <w:r w:rsidRPr="00D4594D">
              <w:rPr>
                <w:b/>
                <w:bCs/>
              </w:rPr>
              <w:t>Стомашно-чревни нарушения</w:t>
            </w:r>
          </w:p>
        </w:tc>
      </w:tr>
      <w:tr w:rsidR="00D4594D" w14:paraId="780FA802" w14:textId="77777777" w:rsidTr="00D4594D">
        <w:tc>
          <w:tcPr>
            <w:tcW w:w="4788" w:type="dxa"/>
          </w:tcPr>
          <w:p w14:paraId="509F2779" w14:textId="677C07B2" w:rsidR="00D4594D" w:rsidRPr="00D4594D" w:rsidRDefault="00D4594D" w:rsidP="00D4594D">
            <w:r w:rsidRPr="00D4594D">
              <w:t>Нечести</w:t>
            </w:r>
          </w:p>
        </w:tc>
        <w:tc>
          <w:tcPr>
            <w:tcW w:w="4788" w:type="dxa"/>
          </w:tcPr>
          <w:p w14:paraId="04BA3F00" w14:textId="1C401FAB" w:rsidR="00D4594D" w:rsidRPr="00D4594D" w:rsidRDefault="00D4594D" w:rsidP="00D4594D">
            <w:r w:rsidRPr="00D4594D">
              <w:t>Коремна болка</w:t>
            </w:r>
          </w:p>
        </w:tc>
      </w:tr>
      <w:tr w:rsidR="00D4594D" w14:paraId="1E59CB6F" w14:textId="77777777" w:rsidTr="00D4594D">
        <w:tc>
          <w:tcPr>
            <w:tcW w:w="9576" w:type="dxa"/>
            <w:gridSpan w:val="2"/>
          </w:tcPr>
          <w:p w14:paraId="0F8C8F15" w14:textId="7EC83046" w:rsidR="00D4594D" w:rsidRPr="00D4594D" w:rsidRDefault="00D4594D" w:rsidP="00D4594D">
            <w:r w:rsidRPr="00D4594D">
              <w:rPr>
                <w:b/>
                <w:bCs/>
              </w:rPr>
              <w:t>Хепато-бнлиарни нарушения</w:t>
            </w:r>
          </w:p>
        </w:tc>
      </w:tr>
      <w:tr w:rsidR="00D4594D" w14:paraId="75F57E4D" w14:textId="77777777" w:rsidTr="00D4594D">
        <w:tc>
          <w:tcPr>
            <w:tcW w:w="4788" w:type="dxa"/>
          </w:tcPr>
          <w:p w14:paraId="75DE1AA4" w14:textId="4F49B57E" w:rsidR="00D4594D" w:rsidRPr="00D4594D" w:rsidRDefault="00D4594D" w:rsidP="00D4594D">
            <w:r w:rsidRPr="00D4594D">
              <w:t>С неизвестна честота</w:t>
            </w:r>
          </w:p>
        </w:tc>
        <w:tc>
          <w:tcPr>
            <w:tcW w:w="4788" w:type="dxa"/>
          </w:tcPr>
          <w:p w14:paraId="64B1040E" w14:textId="59C49171" w:rsidR="00D4594D" w:rsidRPr="00D4594D" w:rsidRDefault="00D4594D" w:rsidP="00D4594D">
            <w:r w:rsidRPr="00D4594D">
              <w:t>Повишение на показателите за чернодробна функция, включително повишаване на серумния билирубин</w:t>
            </w:r>
          </w:p>
        </w:tc>
      </w:tr>
      <w:tr w:rsidR="00D4594D" w14:paraId="52BFE53C" w14:textId="77777777" w:rsidTr="00D4594D">
        <w:tc>
          <w:tcPr>
            <w:tcW w:w="9576" w:type="dxa"/>
            <w:gridSpan w:val="2"/>
          </w:tcPr>
          <w:p w14:paraId="722363FD" w14:textId="09048DEB" w:rsidR="00D4594D" w:rsidRPr="00D4594D" w:rsidRDefault="00D4594D" w:rsidP="00D4594D">
            <w:r w:rsidRPr="00D4594D">
              <w:rPr>
                <w:b/>
                <w:bCs/>
              </w:rPr>
              <w:t>Нарушения на кожата и подкожната тъкан</w:t>
            </w:r>
          </w:p>
        </w:tc>
      </w:tr>
      <w:tr w:rsidR="00D4594D" w14:paraId="54A45819" w14:textId="77777777" w:rsidTr="00D4594D">
        <w:tc>
          <w:tcPr>
            <w:tcW w:w="4788" w:type="dxa"/>
          </w:tcPr>
          <w:p w14:paraId="26CA003F" w14:textId="2BB44AC0" w:rsidR="00D4594D" w:rsidRPr="00D4594D" w:rsidRDefault="00D4594D" w:rsidP="00D4594D">
            <w:r w:rsidRPr="00D4594D">
              <w:t>С неизвестна честота</w:t>
            </w:r>
          </w:p>
        </w:tc>
        <w:tc>
          <w:tcPr>
            <w:tcW w:w="4788" w:type="dxa"/>
          </w:tcPr>
          <w:p w14:paraId="2E78355F" w14:textId="3EA46B09" w:rsidR="00D4594D" w:rsidRPr="00D4594D" w:rsidRDefault="00D4594D" w:rsidP="00D4594D">
            <w:r w:rsidRPr="00D4594D">
              <w:t>Ангиоедем, булозен дерматит, обрив, сърбеж</w:t>
            </w:r>
          </w:p>
        </w:tc>
      </w:tr>
      <w:tr w:rsidR="00D4594D" w14:paraId="39CA6263" w14:textId="77777777" w:rsidTr="00D4594D">
        <w:tc>
          <w:tcPr>
            <w:tcW w:w="9576" w:type="dxa"/>
            <w:gridSpan w:val="2"/>
          </w:tcPr>
          <w:p w14:paraId="5C40B771" w14:textId="6052E1AE" w:rsidR="00D4594D" w:rsidRPr="00D4594D" w:rsidRDefault="00D4594D" w:rsidP="00D4594D">
            <w:pPr>
              <w:rPr>
                <w:b/>
              </w:rPr>
            </w:pPr>
            <w:r w:rsidRPr="00D4594D">
              <w:rPr>
                <w:b/>
                <w:lang w:eastAsia="bg-BG"/>
              </w:rPr>
              <w:t>Нарушения на мускулно-скелетната система и съединителната тъкан</w:t>
            </w:r>
          </w:p>
        </w:tc>
      </w:tr>
      <w:tr w:rsidR="00D4594D" w14:paraId="5F6A3194" w14:textId="77777777" w:rsidTr="00D4594D">
        <w:tc>
          <w:tcPr>
            <w:tcW w:w="4788" w:type="dxa"/>
          </w:tcPr>
          <w:p w14:paraId="242D3EDE" w14:textId="644D1838" w:rsidR="00D4594D" w:rsidRDefault="00D4594D" w:rsidP="00D4594D">
            <w:r>
              <w:t>С неизвестна честота</w:t>
            </w:r>
          </w:p>
        </w:tc>
        <w:tc>
          <w:tcPr>
            <w:tcW w:w="4788" w:type="dxa"/>
          </w:tcPr>
          <w:p w14:paraId="76D18863" w14:textId="7CA70338" w:rsidR="00D4594D" w:rsidRDefault="00D4594D" w:rsidP="00D4594D">
            <w:r>
              <w:t>Миалгия</w:t>
            </w:r>
          </w:p>
        </w:tc>
      </w:tr>
      <w:tr w:rsidR="00D4594D" w14:paraId="3974D244" w14:textId="77777777" w:rsidTr="00D4594D">
        <w:tc>
          <w:tcPr>
            <w:tcW w:w="9576" w:type="dxa"/>
            <w:gridSpan w:val="2"/>
          </w:tcPr>
          <w:p w14:paraId="0B077DE1" w14:textId="5B86BCD9" w:rsidR="00D4594D" w:rsidRPr="00D4594D" w:rsidRDefault="00D4594D" w:rsidP="00D4594D">
            <w:pPr>
              <w:rPr>
                <w:b/>
              </w:rPr>
            </w:pPr>
            <w:r w:rsidRPr="00D4594D">
              <w:rPr>
                <w:b/>
                <w:lang w:eastAsia="bg-BG"/>
              </w:rPr>
              <w:t>Нарушения на бъбреците и пикочните пътища</w:t>
            </w:r>
          </w:p>
        </w:tc>
      </w:tr>
      <w:tr w:rsidR="00D4594D" w14:paraId="62D53367" w14:textId="77777777" w:rsidTr="00D4594D">
        <w:tc>
          <w:tcPr>
            <w:tcW w:w="4788" w:type="dxa"/>
          </w:tcPr>
          <w:p w14:paraId="51B35704" w14:textId="0744E81F" w:rsidR="00D4594D" w:rsidRDefault="00D4594D" w:rsidP="00D4594D">
            <w:r>
              <w:t>С неизвестна честота</w:t>
            </w:r>
          </w:p>
        </w:tc>
        <w:tc>
          <w:tcPr>
            <w:tcW w:w="4788" w:type="dxa"/>
          </w:tcPr>
          <w:p w14:paraId="681E05E6" w14:textId="79899FFC" w:rsidR="00D4594D" w:rsidRDefault="00D4594D" w:rsidP="00D4594D">
            <w:r>
              <w:t>Бъбречна недостатъчност и увреждане, повишаване на серумния креатинин</w:t>
            </w:r>
          </w:p>
        </w:tc>
      </w:tr>
      <w:tr w:rsidR="00D4594D" w14:paraId="491FED9A" w14:textId="77777777" w:rsidTr="00D4594D">
        <w:tc>
          <w:tcPr>
            <w:tcW w:w="9576" w:type="dxa"/>
            <w:gridSpan w:val="2"/>
          </w:tcPr>
          <w:p w14:paraId="345C045B" w14:textId="123EE15A" w:rsidR="00D4594D" w:rsidRPr="00D4594D" w:rsidRDefault="00D4594D" w:rsidP="00D4594D">
            <w:pPr>
              <w:rPr>
                <w:b/>
              </w:rPr>
            </w:pPr>
            <w:r w:rsidRPr="00D4594D">
              <w:rPr>
                <w:b/>
                <w:lang w:eastAsia="bg-BG"/>
              </w:rPr>
              <w:t>Общи нарушения и ефекти на мястото на приложение</w:t>
            </w:r>
          </w:p>
        </w:tc>
      </w:tr>
      <w:tr w:rsidR="00D4594D" w14:paraId="7C74D72B" w14:textId="77777777" w:rsidTr="00D4594D">
        <w:tc>
          <w:tcPr>
            <w:tcW w:w="4788" w:type="dxa"/>
          </w:tcPr>
          <w:p w14:paraId="68EAFEEA" w14:textId="1CFE79E6" w:rsidR="00D4594D" w:rsidRDefault="00D4594D" w:rsidP="00D4594D">
            <w:r>
              <w:t>Нечести</w:t>
            </w:r>
          </w:p>
        </w:tc>
        <w:tc>
          <w:tcPr>
            <w:tcW w:w="4788" w:type="dxa"/>
          </w:tcPr>
          <w:p w14:paraId="1A424C46" w14:textId="69973C34" w:rsidR="00D4594D" w:rsidRDefault="00D4594D" w:rsidP="00D4594D">
            <w:r>
              <w:t>Умора</w:t>
            </w:r>
          </w:p>
        </w:tc>
      </w:tr>
    </w:tbl>
    <w:p w14:paraId="367A03B2" w14:textId="69ED73F3" w:rsidR="00D4594D" w:rsidRDefault="00D4594D" w:rsidP="00D4594D"/>
    <w:p w14:paraId="19E32584" w14:textId="77777777" w:rsidR="00D4594D" w:rsidRPr="00D4594D" w:rsidRDefault="00D4594D" w:rsidP="00D4594D">
      <w:pPr>
        <w:spacing w:line="240" w:lineRule="auto"/>
        <w:rPr>
          <w:rFonts w:eastAsia="Times New Roman" w:cs="Arial"/>
        </w:rPr>
      </w:pPr>
      <w:r w:rsidRPr="00D4594D">
        <w:rPr>
          <w:rFonts w:eastAsia="Times New Roman" w:cs="Arial"/>
          <w:i/>
          <w:iCs/>
          <w:color w:val="000000"/>
          <w:u w:val="single"/>
          <w:lang w:eastAsia="bg-BG"/>
        </w:rPr>
        <w:t>Педиатрична популация</w:t>
      </w:r>
    </w:p>
    <w:p w14:paraId="3DE7E721" w14:textId="77777777" w:rsidR="00D4594D" w:rsidRDefault="00D4594D" w:rsidP="00D4594D">
      <w:pPr>
        <w:spacing w:line="240" w:lineRule="auto"/>
        <w:rPr>
          <w:rFonts w:eastAsia="Times New Roman" w:cs="Arial"/>
          <w:color w:val="000000"/>
          <w:u w:val="single"/>
          <w:lang w:eastAsia="bg-BG"/>
        </w:rPr>
      </w:pPr>
    </w:p>
    <w:p w14:paraId="3A22FEB6" w14:textId="77D83EA3" w:rsidR="00D4594D" w:rsidRPr="00D4594D" w:rsidRDefault="00D4594D" w:rsidP="00D4594D">
      <w:pPr>
        <w:spacing w:line="240" w:lineRule="auto"/>
        <w:rPr>
          <w:rFonts w:eastAsia="Times New Roman" w:cs="Arial"/>
        </w:rPr>
      </w:pPr>
      <w:r w:rsidRPr="00D4594D">
        <w:rPr>
          <w:rFonts w:eastAsia="Times New Roman" w:cs="Arial"/>
          <w:color w:val="000000"/>
          <w:u w:val="single"/>
          <w:lang w:eastAsia="bg-BG"/>
        </w:rPr>
        <w:t>Хипертония</w:t>
      </w:r>
    </w:p>
    <w:p w14:paraId="3E64B4B0" w14:textId="77777777" w:rsidR="00D4594D" w:rsidRDefault="00D4594D" w:rsidP="00D4594D">
      <w:pPr>
        <w:spacing w:line="240" w:lineRule="auto"/>
        <w:rPr>
          <w:rFonts w:eastAsia="Times New Roman" w:cs="Arial"/>
          <w:color w:val="000000"/>
          <w:lang w:eastAsia="bg-BG"/>
        </w:rPr>
      </w:pPr>
    </w:p>
    <w:p w14:paraId="6B926A13" w14:textId="049AB6D5" w:rsidR="00D4594D" w:rsidRPr="00D4594D" w:rsidRDefault="00D4594D" w:rsidP="00D4594D">
      <w:pPr>
        <w:spacing w:line="240" w:lineRule="auto"/>
        <w:rPr>
          <w:rFonts w:eastAsia="Times New Roman" w:cs="Arial"/>
        </w:rPr>
      </w:pPr>
      <w:r w:rsidRPr="00D4594D">
        <w:rPr>
          <w:rFonts w:eastAsia="Times New Roman" w:cs="Arial"/>
          <w:color w:val="000000"/>
          <w:lang w:eastAsia="bg-BG"/>
        </w:rPr>
        <w:t>Антихипертензивният ефект на валсартан е оценен в хода на две рандомизирани, двойно-слепи клинични проучвания (всяко, последвано от период на продължение или проучване) и едно открито проучване. Проучванията включват 711 педиатрични пациенти на възраст от 6 до под 18 години, с и без хронично бъбречно заболяване (ХБЗ), от които 560 пациенти приемат валсартан. С изключение на изолирани случаи на стомашно-чревни нарушения (като коремна болка, гадене, повръщане) и замаяност, не са установени значими различия във вида, честотата и тежеста на нежеланите реакции, наблюдавани при педиатрични пациенти на възраст от 6 до под 18 години и тези, съобщени преди това при възрастни пациенти.</w:t>
      </w:r>
    </w:p>
    <w:p w14:paraId="6CC46DBD" w14:textId="77777777" w:rsidR="00D4594D" w:rsidRDefault="00D4594D" w:rsidP="00D4594D">
      <w:pPr>
        <w:spacing w:line="240" w:lineRule="auto"/>
        <w:rPr>
          <w:rFonts w:eastAsia="Times New Roman" w:cs="Arial"/>
          <w:color w:val="000000"/>
          <w:lang w:eastAsia="bg-BG"/>
        </w:rPr>
      </w:pPr>
    </w:p>
    <w:p w14:paraId="56F2E758" w14:textId="77777777" w:rsidR="00D4594D" w:rsidRDefault="00D4594D" w:rsidP="00D4594D">
      <w:pPr>
        <w:spacing w:line="240" w:lineRule="auto"/>
        <w:rPr>
          <w:rFonts w:eastAsia="Times New Roman" w:cs="Arial"/>
          <w:color w:val="000000"/>
          <w:lang w:eastAsia="bg-BG"/>
        </w:rPr>
      </w:pPr>
      <w:r w:rsidRPr="00D4594D">
        <w:rPr>
          <w:rFonts w:eastAsia="Times New Roman" w:cs="Arial"/>
          <w:color w:val="000000"/>
          <w:lang w:eastAsia="bg-BG"/>
        </w:rPr>
        <w:t xml:space="preserve">Оценката на неврокогнитивните функции и развитието на педиатрични пациенти на възраст от 6 до 16 години, като цяло не показва някакво клинично значимо </w:t>
      </w:r>
    </w:p>
    <w:p w14:paraId="6AFC528F" w14:textId="46B2DDC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неблагоприятно повлияване при лечение с </w:t>
      </w:r>
      <w:r w:rsidRPr="00D4594D">
        <w:rPr>
          <w:rFonts w:eastAsia="Times New Roman" w:cs="Arial"/>
          <w:color w:val="000000"/>
          <w:lang w:val="en-US"/>
        </w:rPr>
        <w:t>Diovan</w:t>
      </w:r>
      <w:r w:rsidRPr="00D4594D">
        <w:rPr>
          <w:rFonts w:eastAsia="Times New Roman" w:cs="Arial"/>
          <w:color w:val="000000"/>
          <w:lang w:val="ru-RU"/>
        </w:rPr>
        <w:t xml:space="preserve"> </w:t>
      </w:r>
      <w:r w:rsidRPr="00D4594D">
        <w:rPr>
          <w:rFonts w:eastAsia="Times New Roman" w:cs="Arial"/>
          <w:color w:val="000000"/>
          <w:lang w:eastAsia="bg-BG"/>
        </w:rPr>
        <w:t>в продължание на една година.</w:t>
      </w:r>
    </w:p>
    <w:p w14:paraId="455302B0" w14:textId="77777777" w:rsidR="00D4594D" w:rsidRDefault="00D4594D" w:rsidP="00D4594D">
      <w:pPr>
        <w:spacing w:line="240" w:lineRule="auto"/>
        <w:rPr>
          <w:rFonts w:eastAsia="Times New Roman" w:cs="Arial"/>
          <w:color w:val="000000"/>
          <w:lang w:eastAsia="bg-BG"/>
        </w:rPr>
      </w:pPr>
    </w:p>
    <w:p w14:paraId="6CF83B4C" w14:textId="3FA202D2" w:rsidR="00D4594D" w:rsidRPr="00D4594D" w:rsidRDefault="00D4594D" w:rsidP="00D4594D">
      <w:pPr>
        <w:spacing w:line="240" w:lineRule="auto"/>
        <w:rPr>
          <w:rFonts w:eastAsia="Times New Roman" w:cs="Arial"/>
        </w:rPr>
      </w:pPr>
      <w:r w:rsidRPr="00D4594D">
        <w:rPr>
          <w:rFonts w:eastAsia="Times New Roman" w:cs="Arial"/>
          <w:color w:val="000000"/>
          <w:lang w:eastAsia="bg-BG"/>
        </w:rPr>
        <w:t>Проведен е сборен анализ на данните от 560 педиатрични пациенти с хипертония (на възраст 6-17 години), приемащи или валсартан като монотерапия [</w:t>
      </w:r>
      <w:r w:rsidRPr="00D4594D">
        <w:rPr>
          <w:rFonts w:eastAsia="Times New Roman" w:cs="Arial"/>
          <w:color w:val="000000"/>
          <w:lang w:val="en-US"/>
        </w:rPr>
        <w:t>n</w:t>
      </w:r>
      <w:r w:rsidRPr="00D4594D">
        <w:rPr>
          <w:rFonts w:eastAsia="Times New Roman" w:cs="Arial"/>
          <w:color w:val="000000"/>
          <w:lang w:eastAsia="bg-BG"/>
        </w:rPr>
        <w:t>=483] или комбинирана антихипертензивна терапия, включваща валсартан [</w:t>
      </w:r>
      <w:r w:rsidRPr="00D4594D">
        <w:rPr>
          <w:rFonts w:eastAsia="Times New Roman" w:cs="Arial"/>
          <w:color w:val="000000"/>
          <w:lang w:val="en-US"/>
        </w:rPr>
        <w:t>n</w:t>
      </w:r>
      <w:r w:rsidRPr="00D4594D">
        <w:rPr>
          <w:rFonts w:eastAsia="Times New Roman" w:cs="Arial"/>
          <w:color w:val="000000"/>
          <w:lang w:eastAsia="bg-BG"/>
        </w:rPr>
        <w:t xml:space="preserve">=77]. От 560-те пациенти 85 (15,2%) имат ХБЗ </w:t>
      </w:r>
      <w:r w:rsidRPr="00D4594D">
        <w:rPr>
          <w:rFonts w:eastAsia="Times New Roman" w:cs="Arial"/>
          <w:color w:val="000000"/>
          <w:lang w:val="ru-RU"/>
        </w:rPr>
        <w:t>(</w:t>
      </w:r>
      <w:r w:rsidRPr="00D4594D">
        <w:rPr>
          <w:rFonts w:eastAsia="Times New Roman" w:cs="Arial"/>
          <w:color w:val="000000"/>
          <w:lang w:val="en-US"/>
        </w:rPr>
        <w:t>GFR</w:t>
      </w:r>
      <w:r w:rsidRPr="00D4594D">
        <w:rPr>
          <w:rFonts w:eastAsia="Times New Roman" w:cs="Arial"/>
          <w:color w:val="000000"/>
          <w:lang w:val="ru-RU"/>
        </w:rPr>
        <w:t xml:space="preserve"> </w:t>
      </w:r>
      <w:r w:rsidRPr="00D4594D">
        <w:rPr>
          <w:rFonts w:eastAsia="Times New Roman" w:cs="Arial"/>
          <w:color w:val="000000"/>
          <w:lang w:eastAsia="bg-BG"/>
        </w:rPr>
        <w:t xml:space="preserve">&lt;90 </w:t>
      </w:r>
      <w:r w:rsidRPr="00D4594D">
        <w:rPr>
          <w:rFonts w:eastAsia="Times New Roman" w:cs="Arial"/>
          <w:color w:val="000000"/>
          <w:lang w:val="en-US"/>
        </w:rPr>
        <w:t>mL</w:t>
      </w:r>
      <w:r w:rsidRPr="00D4594D">
        <w:rPr>
          <w:rFonts w:eastAsia="Times New Roman" w:cs="Arial"/>
          <w:color w:val="000000"/>
          <w:lang w:val="ru-RU"/>
        </w:rPr>
        <w:t>/</w:t>
      </w:r>
      <w:r w:rsidRPr="00D4594D">
        <w:rPr>
          <w:rFonts w:eastAsia="Times New Roman" w:cs="Arial"/>
          <w:color w:val="000000"/>
          <w:lang w:val="en-US"/>
        </w:rPr>
        <w:t>min</w:t>
      </w:r>
      <w:r w:rsidRPr="00D4594D">
        <w:rPr>
          <w:rFonts w:eastAsia="Times New Roman" w:cs="Arial"/>
          <w:color w:val="000000"/>
          <w:lang w:val="ru-RU"/>
        </w:rPr>
        <w:t>/</w:t>
      </w:r>
      <w:r w:rsidRPr="00D4594D">
        <w:rPr>
          <w:rFonts w:eastAsia="Times New Roman" w:cs="Arial"/>
          <w:color w:val="000000"/>
          <w:lang w:val="en-US"/>
        </w:rPr>
        <w:t>l</w:t>
      </w:r>
      <w:r w:rsidRPr="00D4594D">
        <w:rPr>
          <w:rFonts w:eastAsia="Times New Roman" w:cs="Arial"/>
          <w:color w:val="000000"/>
          <w:lang w:val="ru-RU"/>
        </w:rPr>
        <w:t>,73</w:t>
      </w:r>
      <w:r w:rsidRPr="00D4594D">
        <w:rPr>
          <w:rFonts w:eastAsia="Times New Roman" w:cs="Arial"/>
          <w:color w:val="000000"/>
          <w:lang w:val="en-US"/>
        </w:rPr>
        <w:t>m</w:t>
      </w:r>
      <w:r w:rsidRPr="00D4594D">
        <w:rPr>
          <w:rFonts w:eastAsia="Times New Roman" w:cs="Arial"/>
          <w:color w:val="000000"/>
          <w:vertAlign w:val="superscript"/>
          <w:lang w:val="ru-RU"/>
        </w:rPr>
        <w:t>2</w:t>
      </w:r>
      <w:r w:rsidRPr="00D4594D">
        <w:rPr>
          <w:rFonts w:eastAsia="Times New Roman" w:cs="Arial"/>
          <w:color w:val="000000"/>
          <w:lang w:val="ru-RU"/>
        </w:rPr>
        <w:t xml:space="preserve">, </w:t>
      </w:r>
      <w:r w:rsidRPr="00D4594D">
        <w:rPr>
          <w:rFonts w:eastAsia="Times New Roman" w:cs="Arial"/>
          <w:color w:val="000000"/>
          <w:lang w:eastAsia="bg-BG"/>
        </w:rPr>
        <w:t>изходно). Общо 45 (8,0%) пациенти са преустановили участие в проучването поради нежелани събития. Общо 111 (19,8%) са имали нежелана лекарствена реакция (НЛР), като най-честите са главоболие (5,4%), замаяност (2,3%) и хиперкалиемия (2,3%). При пациентите с ХБЗ най-честите НЛР са хиперкалиемия (12,9%), главоболие (7,1%), повишаване на креатинина в кръвта (5,9%) и хипотония (4,7%). При пациентите без ХБЗ, най- честите НЛР са главоболие (5,1%) и замаяност (2,7%). НЛР са наблюдавани по-често при пациенти, приемащи валсартан в комбинация с други антихипертензивни лекарства отколкото при тези, приемащи валсартан самостоятелно.</w:t>
      </w:r>
    </w:p>
    <w:p w14:paraId="5586220B" w14:textId="1C9AEFF5" w:rsidR="00D4594D" w:rsidRDefault="00D4594D" w:rsidP="00D4594D"/>
    <w:p w14:paraId="3C9D5697"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Антихипертензивният ефект на валсартан при деца на възраст от 1 до 6 години е оценен в три рандомизирани, двойно слепи клинични проучвания (всяко последвано от период на удължаване). В първото проучване при 90 деца на възраст от 1 до под 6 години, са наблюдавани два смъртни случая и изолирани случаи на изразено повишаване на чернодробните трансаминази. Случаите са наблюдавани в популация със значими съпътстващи заболявания. Причинно-следствена връзка с употребата на </w:t>
      </w:r>
      <w:r w:rsidRPr="00D4594D">
        <w:rPr>
          <w:rFonts w:eastAsia="Times New Roman" w:cs="Arial"/>
          <w:color w:val="000000"/>
          <w:lang w:val="en-US"/>
        </w:rPr>
        <w:t>Diovan</w:t>
      </w:r>
      <w:r w:rsidRPr="00D4594D">
        <w:rPr>
          <w:rFonts w:eastAsia="Times New Roman" w:cs="Arial"/>
          <w:color w:val="000000"/>
          <w:lang w:val="ru-RU"/>
        </w:rPr>
        <w:t xml:space="preserve"> </w:t>
      </w:r>
      <w:r w:rsidRPr="00D4594D">
        <w:rPr>
          <w:rFonts w:eastAsia="Times New Roman" w:cs="Arial"/>
          <w:color w:val="000000"/>
          <w:lang w:eastAsia="bg-BG"/>
        </w:rPr>
        <w:t>не е установена. В двете последващи проучвания, в които са рандомизирани 202 деца на възраст от I до под 6 години, не са наблюдавано значими повишения на чернодробните трансаминази, нито смъртни случаи при лечение с валсартан.</w:t>
      </w:r>
    </w:p>
    <w:p w14:paraId="2126BBB5" w14:textId="77777777" w:rsidR="00D4594D" w:rsidRDefault="00D4594D" w:rsidP="00D4594D">
      <w:pPr>
        <w:spacing w:line="240" w:lineRule="auto"/>
        <w:rPr>
          <w:rFonts w:eastAsia="Times New Roman" w:cs="Arial"/>
          <w:color w:val="000000"/>
          <w:lang w:eastAsia="bg-BG"/>
        </w:rPr>
      </w:pPr>
    </w:p>
    <w:p w14:paraId="7B0FA1D7" w14:textId="4646B1FB"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Проведен е сборен анализ на данните от 202 педиатрични пациенти с хипертония (на възраст от 1 до под 6 години), като всички пациенти са приемали валсартан като монотерапия в двойно- слепите периоди (с изключение на плацебо периода на отнемане). От тях 186 пациенти продължават участието си или в продължението на проучването, или в отворения период. От 202 пациенти, 33 (16,3%) имат ХБЗ (изходно </w:t>
      </w:r>
      <w:proofErr w:type="spellStart"/>
      <w:r w:rsidRPr="00D4594D">
        <w:rPr>
          <w:rFonts w:eastAsia="Times New Roman" w:cs="Arial"/>
          <w:color w:val="000000"/>
          <w:lang w:val="en-US"/>
        </w:rPr>
        <w:t>eGFR</w:t>
      </w:r>
      <w:proofErr w:type="spellEnd"/>
      <w:r w:rsidRPr="00D4594D">
        <w:rPr>
          <w:rFonts w:eastAsia="Times New Roman" w:cs="Arial"/>
          <w:color w:val="000000"/>
          <w:lang w:val="ru-RU"/>
        </w:rPr>
        <w:t xml:space="preserve"> </w:t>
      </w:r>
      <w:r w:rsidRPr="00D4594D">
        <w:rPr>
          <w:rFonts w:eastAsia="Times New Roman" w:cs="Arial"/>
          <w:color w:val="000000"/>
          <w:lang w:eastAsia="bg-BG"/>
        </w:rPr>
        <w:t xml:space="preserve">&lt;90 </w:t>
      </w:r>
      <w:r w:rsidRPr="00D4594D">
        <w:rPr>
          <w:rFonts w:eastAsia="Times New Roman" w:cs="Arial"/>
          <w:color w:val="000000"/>
          <w:lang w:val="en-US"/>
        </w:rPr>
        <w:t>ml</w:t>
      </w:r>
      <w:r w:rsidRPr="00D4594D">
        <w:rPr>
          <w:rFonts w:eastAsia="Times New Roman" w:cs="Arial"/>
          <w:color w:val="000000"/>
          <w:lang w:val="ru-RU"/>
        </w:rPr>
        <w:t>/</w:t>
      </w:r>
      <w:r w:rsidRPr="00D4594D">
        <w:rPr>
          <w:rFonts w:eastAsia="Times New Roman" w:cs="Arial"/>
          <w:color w:val="000000"/>
          <w:lang w:val="en-US"/>
        </w:rPr>
        <w:t>min</w:t>
      </w:r>
      <w:r w:rsidRPr="00D4594D">
        <w:rPr>
          <w:rFonts w:eastAsia="Times New Roman" w:cs="Arial"/>
          <w:color w:val="000000"/>
          <w:lang w:val="ru-RU"/>
        </w:rPr>
        <w:t xml:space="preserve">). </w:t>
      </w:r>
      <w:r w:rsidRPr="00D4594D">
        <w:rPr>
          <w:rFonts w:eastAsia="Times New Roman" w:cs="Arial"/>
          <w:color w:val="000000"/>
          <w:lang w:eastAsia="bg-BG"/>
        </w:rPr>
        <w:t xml:space="preserve">През двойно-заслепения период, двама пациенти (1 %) са прекратили участие поради нежелано събитие, а през открития период или през периода на продължение на проучването, четирима пациенти (2,1%) са прекратили участие поради нежелано събитие. През двойно-заслепения период, 13 (7,0%) от пациентите са изпитали поне една НЛР. Най-честите НЛР са повръщане </w:t>
      </w:r>
      <w:r w:rsidRPr="00D4594D">
        <w:rPr>
          <w:rFonts w:eastAsia="Times New Roman" w:cs="Arial"/>
          <w:color w:val="000000"/>
          <w:lang w:val="en-US"/>
        </w:rPr>
        <w:t>n</w:t>
      </w:r>
      <w:r w:rsidRPr="00D4594D">
        <w:rPr>
          <w:rFonts w:eastAsia="Times New Roman" w:cs="Arial"/>
          <w:color w:val="000000"/>
          <w:lang w:eastAsia="bg-BG"/>
        </w:rPr>
        <w:t xml:space="preserve"> = 3 (1,6%) и диария </w:t>
      </w:r>
      <w:r w:rsidRPr="00D4594D">
        <w:rPr>
          <w:rFonts w:eastAsia="Times New Roman" w:cs="Arial"/>
          <w:color w:val="000000"/>
          <w:lang w:val="en-US"/>
        </w:rPr>
        <w:t>n</w:t>
      </w:r>
      <w:r w:rsidRPr="00D4594D">
        <w:rPr>
          <w:rFonts w:eastAsia="Times New Roman" w:cs="Arial"/>
          <w:color w:val="000000"/>
          <w:lang w:eastAsia="bg-BG"/>
        </w:rPr>
        <w:t xml:space="preserve"> = 2 (1,1%). Една НЛР (диария) е наблюдавана в групата с ХБЗ. В отворения период 5,4% от пациентите </w:t>
      </w:r>
      <w:r w:rsidRPr="00D4594D">
        <w:rPr>
          <w:rFonts w:eastAsia="Times New Roman" w:cs="Arial"/>
          <w:color w:val="000000"/>
          <w:lang w:eastAsia="bg-BG"/>
        </w:rPr>
        <w:lastRenderedPageBreak/>
        <w:t>(10/186) са изпитали поне една НЛР. Най-честата НЛР е намален апетит, което се съобщава от двама пациенти (1,1%). В двойно-заслепения период и в отворения период се съобщава за хиперкалиемия за един пациент във всеки период. Няма случаи на хипотония или виене на свят в двойно-заслепения период или в отворения период.</w:t>
      </w:r>
    </w:p>
    <w:p w14:paraId="09EEF9BA" w14:textId="77777777" w:rsidR="00D4594D" w:rsidRDefault="00D4594D" w:rsidP="00D4594D">
      <w:pPr>
        <w:spacing w:line="240" w:lineRule="auto"/>
        <w:rPr>
          <w:rFonts w:eastAsia="Times New Roman" w:cs="Arial"/>
          <w:color w:val="000000"/>
          <w:lang w:eastAsia="bg-BG"/>
        </w:rPr>
      </w:pPr>
    </w:p>
    <w:p w14:paraId="21C09DC8" w14:textId="65FBDA34" w:rsidR="00D4594D" w:rsidRPr="00D4594D" w:rsidRDefault="00D4594D" w:rsidP="00D4594D">
      <w:pPr>
        <w:spacing w:line="240" w:lineRule="auto"/>
        <w:rPr>
          <w:rFonts w:eastAsia="Times New Roman" w:cs="Arial"/>
        </w:rPr>
      </w:pPr>
      <w:r w:rsidRPr="00D4594D">
        <w:rPr>
          <w:rFonts w:eastAsia="Times New Roman" w:cs="Arial"/>
          <w:color w:val="000000"/>
          <w:lang w:eastAsia="bg-BG"/>
        </w:rPr>
        <w:t>Хиперкалиемия се наблюдава по-често при деца и юноши на възраст от 1 до под 18 години с подлежащо хронично бъбречно заболяване (ХБЗ). Рискът от хиперкалиемия може да бъде по- висок при деца на възраст от 1 до 5 години в сравнение с деца на възраст от 6 до под 18 години.</w:t>
      </w:r>
    </w:p>
    <w:p w14:paraId="7DDB5FA2" w14:textId="77777777" w:rsidR="00D4594D" w:rsidRDefault="00D4594D" w:rsidP="00D4594D">
      <w:pPr>
        <w:spacing w:line="240" w:lineRule="auto"/>
        <w:rPr>
          <w:rFonts w:eastAsia="Times New Roman" w:cs="Arial"/>
          <w:color w:val="000000"/>
          <w:lang w:eastAsia="bg-BG"/>
        </w:rPr>
      </w:pPr>
    </w:p>
    <w:p w14:paraId="7571D20D" w14:textId="2FEEF936" w:rsidR="00D4594D" w:rsidRPr="00D4594D" w:rsidRDefault="00D4594D" w:rsidP="00D4594D">
      <w:pPr>
        <w:spacing w:line="240" w:lineRule="auto"/>
        <w:rPr>
          <w:rFonts w:eastAsia="Times New Roman" w:cs="Arial"/>
        </w:rPr>
      </w:pPr>
      <w:r w:rsidRPr="00D4594D">
        <w:rPr>
          <w:rFonts w:eastAsia="Times New Roman" w:cs="Arial"/>
          <w:color w:val="000000"/>
          <w:lang w:eastAsia="bg-BG"/>
        </w:rPr>
        <w:t>Профилът на безопасност, наблюдаван при контролирани клинични проучвания при възрастни пациенти след миокарден инфаркт и/или със сърдечна недостатъчност, се различава от цялостния профил на безопасност при пациенти с хипертония. Това може да свързано с придружаващото заболяване на пациента. НЛР, които настъпват при възрастни пациенти след миокарден инфаркт и/или при пациенти със сърдечна недостатъчност, са изброени по-долу:</w:t>
      </w:r>
    </w:p>
    <w:p w14:paraId="28FFBBC3" w14:textId="77777777" w:rsidR="00D4594D" w:rsidRDefault="00D4594D" w:rsidP="00D4594D">
      <w:pPr>
        <w:spacing w:line="240" w:lineRule="auto"/>
        <w:rPr>
          <w:rFonts w:eastAsia="Times New Roman" w:cs="Arial"/>
          <w:color w:val="000000"/>
          <w:u w:val="single"/>
          <w:lang w:eastAsia="bg-BG"/>
        </w:rPr>
      </w:pPr>
    </w:p>
    <w:p w14:paraId="2A94391B" w14:textId="2030431D" w:rsidR="00D4594D" w:rsidRPr="00D4594D" w:rsidRDefault="00D4594D" w:rsidP="00D4594D">
      <w:pPr>
        <w:pStyle w:val="ListParagraph"/>
        <w:numPr>
          <w:ilvl w:val="0"/>
          <w:numId w:val="37"/>
        </w:numPr>
        <w:spacing w:line="240" w:lineRule="auto"/>
        <w:rPr>
          <w:rFonts w:eastAsia="Times New Roman" w:cs="Arial"/>
        </w:rPr>
      </w:pPr>
      <w:r w:rsidRPr="00D4594D">
        <w:rPr>
          <w:rFonts w:eastAsia="Times New Roman" w:cs="Arial"/>
          <w:color w:val="000000"/>
          <w:u w:val="single"/>
          <w:lang w:eastAsia="bg-BG"/>
        </w:rPr>
        <w:t xml:space="preserve">Състояние след миокарден инфаркт и/или сърдечна недостатъчност (проучвания само </w:t>
      </w:r>
      <w:r w:rsidRPr="00D4594D">
        <w:rPr>
          <w:rFonts w:eastAsia="Times New Roman" w:cs="Arial"/>
          <w:color w:val="000000"/>
          <w:lang w:eastAsia="bg-BG"/>
        </w:rPr>
        <w:t>п</w:t>
      </w:r>
      <w:r w:rsidRPr="00D4594D">
        <w:rPr>
          <w:rFonts w:eastAsia="Times New Roman" w:cs="Arial"/>
          <w:color w:val="000000"/>
          <w:u w:val="single"/>
          <w:lang w:eastAsia="bg-BG"/>
        </w:rPr>
        <w:t>ри възрастни пациенти)</w:t>
      </w:r>
    </w:p>
    <w:p w14:paraId="7EF4518F" w14:textId="3D383639" w:rsidR="00D4594D" w:rsidRDefault="00D4594D" w:rsidP="00D4594D"/>
    <w:tbl>
      <w:tblPr>
        <w:tblStyle w:val="TableGrid"/>
        <w:tblW w:w="0" w:type="auto"/>
        <w:tblLook w:val="04A0" w:firstRow="1" w:lastRow="0" w:firstColumn="1" w:lastColumn="0" w:noHBand="0" w:noVBand="1"/>
      </w:tblPr>
      <w:tblGrid>
        <w:gridCol w:w="4652"/>
        <w:gridCol w:w="4698"/>
      </w:tblGrid>
      <w:tr w:rsidR="00D4594D" w14:paraId="7C30CAF3" w14:textId="77777777" w:rsidTr="00D4594D">
        <w:tc>
          <w:tcPr>
            <w:tcW w:w="9576" w:type="dxa"/>
            <w:gridSpan w:val="2"/>
            <w:vAlign w:val="bottom"/>
          </w:tcPr>
          <w:p w14:paraId="54026D88" w14:textId="6C0A63AB" w:rsidR="00D4594D" w:rsidRPr="00D4594D" w:rsidRDefault="00D4594D" w:rsidP="00D4594D">
            <w:r w:rsidRPr="00D4594D">
              <w:rPr>
                <w:b/>
                <w:bCs/>
              </w:rPr>
              <w:t>Нарушения на кръвта и лимфната система</w:t>
            </w:r>
          </w:p>
        </w:tc>
      </w:tr>
      <w:tr w:rsidR="00D4594D" w14:paraId="33EE7F81" w14:textId="77777777" w:rsidTr="00D4594D">
        <w:tc>
          <w:tcPr>
            <w:tcW w:w="4788" w:type="dxa"/>
            <w:vAlign w:val="bottom"/>
          </w:tcPr>
          <w:p w14:paraId="76E6D698" w14:textId="4CDDC772" w:rsidR="00D4594D" w:rsidRPr="00D4594D" w:rsidRDefault="00D4594D" w:rsidP="00D4594D">
            <w:r w:rsidRPr="00D4594D">
              <w:t>С неизвестна честота</w:t>
            </w:r>
          </w:p>
        </w:tc>
        <w:tc>
          <w:tcPr>
            <w:tcW w:w="4788" w:type="dxa"/>
            <w:vAlign w:val="bottom"/>
          </w:tcPr>
          <w:p w14:paraId="10C36B0D" w14:textId="73393BAD" w:rsidR="00D4594D" w:rsidRPr="00D4594D" w:rsidRDefault="00D4594D" w:rsidP="00D4594D">
            <w:r w:rsidRPr="00D4594D">
              <w:t>Тромбоцитопения</w:t>
            </w:r>
          </w:p>
        </w:tc>
      </w:tr>
      <w:tr w:rsidR="00D4594D" w14:paraId="6446DE2F" w14:textId="77777777" w:rsidTr="00D4594D">
        <w:tc>
          <w:tcPr>
            <w:tcW w:w="9576" w:type="dxa"/>
            <w:gridSpan w:val="2"/>
            <w:vAlign w:val="bottom"/>
          </w:tcPr>
          <w:p w14:paraId="5797593A" w14:textId="446BC343" w:rsidR="00D4594D" w:rsidRPr="00D4594D" w:rsidRDefault="00D4594D" w:rsidP="00D4594D">
            <w:r w:rsidRPr="00D4594D">
              <w:rPr>
                <w:b/>
                <w:bCs/>
              </w:rPr>
              <w:t>Нарушения на имунната система</w:t>
            </w:r>
          </w:p>
        </w:tc>
      </w:tr>
      <w:tr w:rsidR="00D4594D" w14:paraId="57AD6E7C" w14:textId="77777777" w:rsidTr="00D4594D">
        <w:tc>
          <w:tcPr>
            <w:tcW w:w="4788" w:type="dxa"/>
          </w:tcPr>
          <w:p w14:paraId="0DC6A24B" w14:textId="787E22E7" w:rsidR="00D4594D" w:rsidRPr="00D4594D" w:rsidRDefault="00D4594D" w:rsidP="00D4594D">
            <w:r w:rsidRPr="00D4594D">
              <w:t>С неизвестна честота</w:t>
            </w:r>
          </w:p>
        </w:tc>
        <w:tc>
          <w:tcPr>
            <w:tcW w:w="4788" w:type="dxa"/>
            <w:vAlign w:val="bottom"/>
          </w:tcPr>
          <w:p w14:paraId="184CDC55" w14:textId="1A0DFAAC" w:rsidR="00D4594D" w:rsidRPr="00D4594D" w:rsidRDefault="00D4594D" w:rsidP="00D4594D">
            <w:r w:rsidRPr="00D4594D">
              <w:t>Свръхчувствителност, включително серумна болест</w:t>
            </w:r>
          </w:p>
        </w:tc>
      </w:tr>
      <w:tr w:rsidR="00D4594D" w14:paraId="7DDBF272" w14:textId="77777777" w:rsidTr="00D4594D">
        <w:tc>
          <w:tcPr>
            <w:tcW w:w="9576" w:type="dxa"/>
            <w:gridSpan w:val="2"/>
            <w:vAlign w:val="bottom"/>
          </w:tcPr>
          <w:p w14:paraId="179658DE" w14:textId="68C9126D" w:rsidR="00D4594D" w:rsidRPr="00D4594D" w:rsidRDefault="00D4594D" w:rsidP="00D4594D">
            <w:r w:rsidRPr="00D4594D">
              <w:rPr>
                <w:b/>
                <w:bCs/>
              </w:rPr>
              <w:t>Нарушения на метаболизма и храненето</w:t>
            </w:r>
          </w:p>
        </w:tc>
      </w:tr>
      <w:tr w:rsidR="00D4594D" w14:paraId="6FB28274" w14:textId="77777777" w:rsidTr="00D4594D">
        <w:tc>
          <w:tcPr>
            <w:tcW w:w="4788" w:type="dxa"/>
            <w:vAlign w:val="bottom"/>
          </w:tcPr>
          <w:p w14:paraId="79F0E949" w14:textId="7A79305D" w:rsidR="00D4594D" w:rsidRPr="00D4594D" w:rsidRDefault="00D4594D" w:rsidP="00D4594D">
            <w:r w:rsidRPr="00D4594D">
              <w:t>Нечести</w:t>
            </w:r>
          </w:p>
        </w:tc>
        <w:tc>
          <w:tcPr>
            <w:tcW w:w="4788" w:type="dxa"/>
            <w:vAlign w:val="bottom"/>
          </w:tcPr>
          <w:p w14:paraId="2A3288B0" w14:textId="16415CFE" w:rsidR="00D4594D" w:rsidRPr="00D4594D" w:rsidRDefault="00D4594D" w:rsidP="00D4594D">
            <w:r w:rsidRPr="00D4594D">
              <w:t>Хиперкалиемия</w:t>
            </w:r>
          </w:p>
        </w:tc>
      </w:tr>
      <w:tr w:rsidR="00D4594D" w14:paraId="5B77E7BB" w14:textId="77777777" w:rsidTr="00D4594D">
        <w:tc>
          <w:tcPr>
            <w:tcW w:w="4788" w:type="dxa"/>
            <w:vAlign w:val="bottom"/>
          </w:tcPr>
          <w:p w14:paraId="2E439706" w14:textId="649943D4" w:rsidR="00D4594D" w:rsidRPr="00D4594D" w:rsidRDefault="00D4594D" w:rsidP="00D4594D">
            <w:r w:rsidRPr="00D4594D">
              <w:t>С неизвестна честота</w:t>
            </w:r>
          </w:p>
        </w:tc>
        <w:tc>
          <w:tcPr>
            <w:tcW w:w="4788" w:type="dxa"/>
            <w:vAlign w:val="bottom"/>
          </w:tcPr>
          <w:p w14:paraId="720596D2" w14:textId="66CC07C3" w:rsidR="00D4594D" w:rsidRPr="00D4594D" w:rsidRDefault="00D4594D" w:rsidP="00D4594D">
            <w:r w:rsidRPr="00D4594D">
              <w:t>Повишен серумен калий, хипонатриемия</w:t>
            </w:r>
          </w:p>
        </w:tc>
      </w:tr>
      <w:tr w:rsidR="00D4594D" w14:paraId="3CC497E6" w14:textId="77777777" w:rsidTr="00D4594D">
        <w:tc>
          <w:tcPr>
            <w:tcW w:w="9576" w:type="dxa"/>
            <w:gridSpan w:val="2"/>
            <w:vAlign w:val="bottom"/>
          </w:tcPr>
          <w:p w14:paraId="39D85F16" w14:textId="3E59C8AA" w:rsidR="00D4594D" w:rsidRPr="00D4594D" w:rsidRDefault="00D4594D" w:rsidP="00D4594D">
            <w:r w:rsidRPr="00D4594D">
              <w:rPr>
                <w:b/>
                <w:bCs/>
              </w:rPr>
              <w:t>Нарушения на нервната система</w:t>
            </w:r>
          </w:p>
        </w:tc>
      </w:tr>
      <w:tr w:rsidR="00D4594D" w14:paraId="641B21EF" w14:textId="77777777" w:rsidTr="00D4594D">
        <w:tc>
          <w:tcPr>
            <w:tcW w:w="4788" w:type="dxa"/>
            <w:vAlign w:val="bottom"/>
          </w:tcPr>
          <w:p w14:paraId="5D042247" w14:textId="499D20B1" w:rsidR="00D4594D" w:rsidRPr="00D4594D" w:rsidRDefault="00D4594D" w:rsidP="00D4594D">
            <w:r w:rsidRPr="00D4594D">
              <w:t>Чести</w:t>
            </w:r>
          </w:p>
        </w:tc>
        <w:tc>
          <w:tcPr>
            <w:tcW w:w="4788" w:type="dxa"/>
            <w:vAlign w:val="bottom"/>
          </w:tcPr>
          <w:p w14:paraId="02A3E1D4" w14:textId="2BFC0157" w:rsidR="00D4594D" w:rsidRPr="00D4594D" w:rsidRDefault="00D4594D" w:rsidP="00D4594D">
            <w:r w:rsidRPr="00D4594D">
              <w:t>Замайване, зависещо от позата замайване</w:t>
            </w:r>
          </w:p>
        </w:tc>
      </w:tr>
      <w:tr w:rsidR="00D4594D" w14:paraId="31FE6A83" w14:textId="77777777" w:rsidTr="00D4594D">
        <w:tc>
          <w:tcPr>
            <w:tcW w:w="4788" w:type="dxa"/>
            <w:vAlign w:val="bottom"/>
          </w:tcPr>
          <w:p w14:paraId="7FF1B633" w14:textId="7DCC34AD" w:rsidR="00D4594D" w:rsidRPr="00D4594D" w:rsidRDefault="00D4594D" w:rsidP="00D4594D">
            <w:r w:rsidRPr="00D4594D">
              <w:t>Нечести</w:t>
            </w:r>
          </w:p>
        </w:tc>
        <w:tc>
          <w:tcPr>
            <w:tcW w:w="4788" w:type="dxa"/>
            <w:vAlign w:val="bottom"/>
          </w:tcPr>
          <w:p w14:paraId="76E7B457" w14:textId="1E0DDB64" w:rsidR="00D4594D" w:rsidRPr="00D4594D" w:rsidRDefault="00D4594D" w:rsidP="00D4594D">
            <w:r w:rsidRPr="00D4594D">
              <w:t>Синкоп, главоболие</w:t>
            </w:r>
          </w:p>
        </w:tc>
      </w:tr>
      <w:tr w:rsidR="00D4594D" w14:paraId="28B4B99D" w14:textId="77777777" w:rsidTr="00D4594D">
        <w:tc>
          <w:tcPr>
            <w:tcW w:w="9576" w:type="dxa"/>
            <w:gridSpan w:val="2"/>
            <w:vAlign w:val="bottom"/>
          </w:tcPr>
          <w:p w14:paraId="72044414" w14:textId="247872B9" w:rsidR="00D4594D" w:rsidRPr="00D4594D" w:rsidRDefault="00D4594D" w:rsidP="00D4594D">
            <w:r w:rsidRPr="00D4594D">
              <w:rPr>
                <w:b/>
                <w:bCs/>
              </w:rPr>
              <w:t>Нарушения на ухото и лабиринта</w:t>
            </w:r>
          </w:p>
        </w:tc>
      </w:tr>
      <w:tr w:rsidR="00D4594D" w14:paraId="568A9776" w14:textId="77777777" w:rsidTr="00D4594D">
        <w:tc>
          <w:tcPr>
            <w:tcW w:w="4788" w:type="dxa"/>
            <w:vAlign w:val="bottom"/>
          </w:tcPr>
          <w:p w14:paraId="3E22923E" w14:textId="77777777" w:rsidR="00D4594D" w:rsidRDefault="00D4594D" w:rsidP="00D4594D">
            <w:r w:rsidRPr="00D4594D">
              <w:t>Нечести</w:t>
            </w:r>
          </w:p>
          <w:p w14:paraId="384189BD" w14:textId="7178B0C6" w:rsidR="00D4594D" w:rsidRPr="00D4594D" w:rsidRDefault="00D4594D" w:rsidP="00D4594D"/>
        </w:tc>
        <w:tc>
          <w:tcPr>
            <w:tcW w:w="4788" w:type="dxa"/>
          </w:tcPr>
          <w:p w14:paraId="454DD8FF" w14:textId="4114B012" w:rsidR="00D4594D" w:rsidRPr="00D4594D" w:rsidRDefault="00D4594D" w:rsidP="00D4594D">
            <w:r w:rsidRPr="00D4594D">
              <w:t>Световъртеж</w:t>
            </w:r>
          </w:p>
        </w:tc>
      </w:tr>
      <w:tr w:rsidR="00D4594D" w14:paraId="09ADDE8A" w14:textId="77777777" w:rsidTr="00D4594D">
        <w:tc>
          <w:tcPr>
            <w:tcW w:w="9576" w:type="dxa"/>
            <w:gridSpan w:val="2"/>
          </w:tcPr>
          <w:p w14:paraId="6B6480CB" w14:textId="1DB32279" w:rsidR="00D4594D" w:rsidRPr="00D4594D" w:rsidRDefault="00D4594D" w:rsidP="00D4594D">
            <w:r w:rsidRPr="00D4594D">
              <w:rPr>
                <w:b/>
                <w:bCs/>
              </w:rPr>
              <w:t>Сърдечни нарушения</w:t>
            </w:r>
          </w:p>
        </w:tc>
      </w:tr>
      <w:tr w:rsidR="00D4594D" w14:paraId="75D59B33" w14:textId="77777777" w:rsidTr="00D4594D">
        <w:tc>
          <w:tcPr>
            <w:tcW w:w="4788" w:type="dxa"/>
            <w:vAlign w:val="bottom"/>
          </w:tcPr>
          <w:p w14:paraId="6E3F1219" w14:textId="6E5DDABC" w:rsidR="00D4594D" w:rsidRPr="00D4594D" w:rsidRDefault="00D4594D" w:rsidP="00D4594D">
            <w:r w:rsidRPr="00D4594D">
              <w:t>Нечести</w:t>
            </w:r>
          </w:p>
        </w:tc>
        <w:tc>
          <w:tcPr>
            <w:tcW w:w="4788" w:type="dxa"/>
            <w:vAlign w:val="bottom"/>
          </w:tcPr>
          <w:p w14:paraId="04A62B3E" w14:textId="219D4E04" w:rsidR="00D4594D" w:rsidRPr="00D4594D" w:rsidRDefault="00D4594D" w:rsidP="00D4594D">
            <w:r w:rsidRPr="00D4594D">
              <w:t>Сърдечна недостатъчност</w:t>
            </w:r>
          </w:p>
        </w:tc>
      </w:tr>
      <w:tr w:rsidR="00D4594D" w14:paraId="1DDF877A" w14:textId="77777777" w:rsidTr="00D4594D">
        <w:tc>
          <w:tcPr>
            <w:tcW w:w="9576" w:type="dxa"/>
            <w:gridSpan w:val="2"/>
            <w:vAlign w:val="bottom"/>
          </w:tcPr>
          <w:p w14:paraId="5BDBE4A5" w14:textId="6F6172AA" w:rsidR="00D4594D" w:rsidRPr="00D4594D" w:rsidRDefault="00D4594D" w:rsidP="00D4594D">
            <w:r w:rsidRPr="00D4594D">
              <w:rPr>
                <w:b/>
                <w:bCs/>
              </w:rPr>
              <w:t>Съдови нарушения</w:t>
            </w:r>
          </w:p>
        </w:tc>
      </w:tr>
      <w:tr w:rsidR="00D4594D" w14:paraId="518F0847" w14:textId="77777777" w:rsidTr="00D4594D">
        <w:tc>
          <w:tcPr>
            <w:tcW w:w="4788" w:type="dxa"/>
          </w:tcPr>
          <w:p w14:paraId="235D1EA0" w14:textId="1FD735B0" w:rsidR="00D4594D" w:rsidRDefault="00D4594D" w:rsidP="00D4594D">
            <w:r>
              <w:t>Нечести</w:t>
            </w:r>
          </w:p>
        </w:tc>
        <w:tc>
          <w:tcPr>
            <w:tcW w:w="4788" w:type="dxa"/>
          </w:tcPr>
          <w:p w14:paraId="466CA8A8" w14:textId="1E3364FA" w:rsidR="00D4594D" w:rsidRDefault="00D4594D" w:rsidP="00D4594D">
            <w:r>
              <w:t>Хипотония, ортостатична хипотония</w:t>
            </w:r>
          </w:p>
        </w:tc>
      </w:tr>
      <w:tr w:rsidR="00D4594D" w14:paraId="45282C30" w14:textId="77777777" w:rsidTr="00D4594D">
        <w:tc>
          <w:tcPr>
            <w:tcW w:w="4788" w:type="dxa"/>
          </w:tcPr>
          <w:p w14:paraId="773D5E10" w14:textId="34B57B9A" w:rsidR="00D4594D" w:rsidRDefault="00D4594D" w:rsidP="00D4594D">
            <w:r>
              <w:t>С неизвестна честота</w:t>
            </w:r>
          </w:p>
        </w:tc>
        <w:tc>
          <w:tcPr>
            <w:tcW w:w="4788" w:type="dxa"/>
          </w:tcPr>
          <w:p w14:paraId="084E7697" w14:textId="31537FF0" w:rsidR="00D4594D" w:rsidRDefault="00D4594D" w:rsidP="00D4594D">
            <w:r>
              <w:t>Васкулит</w:t>
            </w:r>
          </w:p>
        </w:tc>
      </w:tr>
      <w:tr w:rsidR="00D4594D" w14:paraId="00E5EEA3" w14:textId="77777777" w:rsidTr="00D4594D">
        <w:tc>
          <w:tcPr>
            <w:tcW w:w="9576" w:type="dxa"/>
            <w:gridSpan w:val="2"/>
          </w:tcPr>
          <w:p w14:paraId="3369E794" w14:textId="4A6A862D" w:rsidR="00D4594D" w:rsidRPr="00D4594D" w:rsidRDefault="00D4594D" w:rsidP="00D4594D">
            <w:pPr>
              <w:rPr>
                <w:b/>
              </w:rPr>
            </w:pPr>
            <w:r w:rsidRPr="00D4594D">
              <w:rPr>
                <w:b/>
                <w:lang w:eastAsia="bg-BG"/>
              </w:rPr>
              <w:t>Респираторни, гръдни и медиастинални нарушения</w:t>
            </w:r>
          </w:p>
        </w:tc>
      </w:tr>
      <w:tr w:rsidR="00D4594D" w14:paraId="0B288163" w14:textId="77777777" w:rsidTr="00D4594D">
        <w:tc>
          <w:tcPr>
            <w:tcW w:w="4788" w:type="dxa"/>
          </w:tcPr>
          <w:p w14:paraId="10009CD7" w14:textId="160B6E2E" w:rsidR="00D4594D" w:rsidRPr="00D4594D" w:rsidRDefault="00D4594D" w:rsidP="00D4594D">
            <w:r w:rsidRPr="00D4594D">
              <w:t>Нечести</w:t>
            </w:r>
          </w:p>
        </w:tc>
        <w:tc>
          <w:tcPr>
            <w:tcW w:w="4788" w:type="dxa"/>
          </w:tcPr>
          <w:p w14:paraId="028D8B60" w14:textId="4F8E89EA" w:rsidR="00D4594D" w:rsidRPr="00D4594D" w:rsidRDefault="00D4594D" w:rsidP="00D4594D">
            <w:r w:rsidRPr="00D4594D">
              <w:t>Кашлица</w:t>
            </w:r>
          </w:p>
        </w:tc>
      </w:tr>
      <w:tr w:rsidR="00D4594D" w14:paraId="685514A4" w14:textId="77777777" w:rsidTr="00D4594D">
        <w:tc>
          <w:tcPr>
            <w:tcW w:w="9576" w:type="dxa"/>
            <w:gridSpan w:val="2"/>
          </w:tcPr>
          <w:p w14:paraId="72CE1DAB" w14:textId="658AFE5C" w:rsidR="00D4594D" w:rsidRPr="00D4594D" w:rsidRDefault="00D4594D" w:rsidP="00D4594D">
            <w:r w:rsidRPr="00D4594D">
              <w:rPr>
                <w:b/>
                <w:bCs/>
              </w:rPr>
              <w:t>Стомашно-чревни нарушения</w:t>
            </w:r>
          </w:p>
        </w:tc>
      </w:tr>
      <w:tr w:rsidR="00D4594D" w14:paraId="3B88D426" w14:textId="77777777" w:rsidTr="00D4594D">
        <w:tc>
          <w:tcPr>
            <w:tcW w:w="4788" w:type="dxa"/>
          </w:tcPr>
          <w:p w14:paraId="2305CA98" w14:textId="03DE0CCC" w:rsidR="00D4594D" w:rsidRPr="00D4594D" w:rsidRDefault="00D4594D" w:rsidP="00D4594D">
            <w:r w:rsidRPr="00D4594D">
              <w:t>Нечести</w:t>
            </w:r>
          </w:p>
        </w:tc>
        <w:tc>
          <w:tcPr>
            <w:tcW w:w="4788" w:type="dxa"/>
          </w:tcPr>
          <w:p w14:paraId="3039FC17" w14:textId="789DA6FA" w:rsidR="00D4594D" w:rsidRPr="00D4594D" w:rsidRDefault="00D4594D" w:rsidP="00D4594D">
            <w:r w:rsidRPr="00D4594D">
              <w:t>Гадене, диария</w:t>
            </w:r>
          </w:p>
        </w:tc>
      </w:tr>
      <w:tr w:rsidR="00D4594D" w14:paraId="3FDD99A1" w14:textId="77777777" w:rsidTr="00D4594D">
        <w:tc>
          <w:tcPr>
            <w:tcW w:w="9576" w:type="dxa"/>
            <w:gridSpan w:val="2"/>
          </w:tcPr>
          <w:p w14:paraId="2056E00A" w14:textId="748C8C7E" w:rsidR="00D4594D" w:rsidRPr="00D4594D" w:rsidRDefault="00D4594D" w:rsidP="00D4594D">
            <w:r w:rsidRPr="00D4594D">
              <w:rPr>
                <w:b/>
                <w:bCs/>
              </w:rPr>
              <w:t>Хепато-билиарни нарушения</w:t>
            </w:r>
          </w:p>
        </w:tc>
      </w:tr>
      <w:tr w:rsidR="00D4594D" w14:paraId="5F723CC9" w14:textId="77777777" w:rsidTr="00D4594D">
        <w:tc>
          <w:tcPr>
            <w:tcW w:w="4788" w:type="dxa"/>
          </w:tcPr>
          <w:p w14:paraId="335B7F98" w14:textId="6A9BF1EC" w:rsidR="00D4594D" w:rsidRPr="00D4594D" w:rsidRDefault="00D4594D" w:rsidP="00D4594D">
            <w:r w:rsidRPr="00D4594D">
              <w:t>С неизвестна честота</w:t>
            </w:r>
          </w:p>
        </w:tc>
        <w:tc>
          <w:tcPr>
            <w:tcW w:w="4788" w:type="dxa"/>
          </w:tcPr>
          <w:p w14:paraId="583AB658" w14:textId="7B9CE1DE" w:rsidR="00D4594D" w:rsidRPr="00D4594D" w:rsidRDefault="00D4594D" w:rsidP="00D4594D">
            <w:r w:rsidRPr="00D4594D">
              <w:t>Повишение на показателите за чернодробна функция</w:t>
            </w:r>
          </w:p>
        </w:tc>
      </w:tr>
      <w:tr w:rsidR="00D4594D" w14:paraId="0196736C" w14:textId="77777777" w:rsidTr="00D4594D">
        <w:tc>
          <w:tcPr>
            <w:tcW w:w="9576" w:type="dxa"/>
            <w:gridSpan w:val="2"/>
          </w:tcPr>
          <w:p w14:paraId="694E72C9" w14:textId="6ACC0C85" w:rsidR="00D4594D" w:rsidRPr="00D4594D" w:rsidRDefault="00D4594D" w:rsidP="00D4594D">
            <w:r w:rsidRPr="00D4594D">
              <w:rPr>
                <w:b/>
                <w:bCs/>
              </w:rPr>
              <w:t>Нарушения на кожата и подкожната тъкан</w:t>
            </w:r>
          </w:p>
        </w:tc>
      </w:tr>
      <w:tr w:rsidR="00D4594D" w14:paraId="7F8E5234" w14:textId="77777777" w:rsidTr="00D4594D">
        <w:tc>
          <w:tcPr>
            <w:tcW w:w="4788" w:type="dxa"/>
          </w:tcPr>
          <w:p w14:paraId="03D6A704" w14:textId="4DFDD050" w:rsidR="00D4594D" w:rsidRDefault="00D4594D" w:rsidP="00D4594D">
            <w:r>
              <w:t>Нечести</w:t>
            </w:r>
          </w:p>
        </w:tc>
        <w:tc>
          <w:tcPr>
            <w:tcW w:w="4788" w:type="dxa"/>
          </w:tcPr>
          <w:p w14:paraId="5CD20172" w14:textId="1D2D7E5B" w:rsidR="00D4594D" w:rsidRDefault="00D4594D" w:rsidP="00D4594D">
            <w:r>
              <w:t>Ангиоедем</w:t>
            </w:r>
          </w:p>
        </w:tc>
      </w:tr>
      <w:tr w:rsidR="00D4594D" w14:paraId="659464CF" w14:textId="77777777" w:rsidTr="00D4594D">
        <w:tc>
          <w:tcPr>
            <w:tcW w:w="4788" w:type="dxa"/>
          </w:tcPr>
          <w:p w14:paraId="11F4830A" w14:textId="7555351C" w:rsidR="00D4594D" w:rsidRDefault="00D4594D" w:rsidP="00D4594D">
            <w:r>
              <w:lastRenderedPageBreak/>
              <w:t>С неизвестна честота</w:t>
            </w:r>
          </w:p>
        </w:tc>
        <w:tc>
          <w:tcPr>
            <w:tcW w:w="4788" w:type="dxa"/>
          </w:tcPr>
          <w:p w14:paraId="6C53CAB5" w14:textId="60E35B05" w:rsidR="00D4594D" w:rsidRDefault="00D4594D" w:rsidP="00D4594D">
            <w:r>
              <w:t>Вулозен дерматит, обрив, сърбеж</w:t>
            </w:r>
          </w:p>
        </w:tc>
      </w:tr>
      <w:tr w:rsidR="00D4594D" w14:paraId="4A21224A" w14:textId="77777777" w:rsidTr="00D4594D">
        <w:tc>
          <w:tcPr>
            <w:tcW w:w="9576" w:type="dxa"/>
            <w:gridSpan w:val="2"/>
          </w:tcPr>
          <w:p w14:paraId="69324F82" w14:textId="3D4DC32F" w:rsidR="00D4594D" w:rsidRPr="00D4594D" w:rsidRDefault="00D4594D" w:rsidP="00D4594D">
            <w:pPr>
              <w:rPr>
                <w:b/>
              </w:rPr>
            </w:pPr>
            <w:r w:rsidRPr="00D4594D">
              <w:rPr>
                <w:b/>
                <w:lang w:eastAsia="bg-BG"/>
              </w:rPr>
              <w:t>Нарушения на мускулно-скелетната система и съединителната тъкан</w:t>
            </w:r>
          </w:p>
        </w:tc>
      </w:tr>
      <w:tr w:rsidR="00D4594D" w14:paraId="0B7852FB" w14:textId="77777777" w:rsidTr="00D4594D">
        <w:tc>
          <w:tcPr>
            <w:tcW w:w="4788" w:type="dxa"/>
          </w:tcPr>
          <w:p w14:paraId="742D5895" w14:textId="7723688B" w:rsidR="00D4594D" w:rsidRPr="00D4594D" w:rsidRDefault="00D4594D" w:rsidP="00D4594D">
            <w:r w:rsidRPr="00D4594D">
              <w:t>С неизвестна честота</w:t>
            </w:r>
          </w:p>
        </w:tc>
        <w:tc>
          <w:tcPr>
            <w:tcW w:w="4788" w:type="dxa"/>
          </w:tcPr>
          <w:p w14:paraId="0AAC34F5" w14:textId="246E85EC" w:rsidR="00D4594D" w:rsidRPr="00D4594D" w:rsidRDefault="00D4594D" w:rsidP="00D4594D">
            <w:r w:rsidRPr="00D4594D">
              <w:t>Миалгия</w:t>
            </w:r>
          </w:p>
        </w:tc>
      </w:tr>
      <w:tr w:rsidR="00D4594D" w14:paraId="461AA82B" w14:textId="77777777" w:rsidTr="00D4594D">
        <w:tc>
          <w:tcPr>
            <w:tcW w:w="9576" w:type="dxa"/>
            <w:gridSpan w:val="2"/>
          </w:tcPr>
          <w:p w14:paraId="7680CBE3" w14:textId="5A41410B" w:rsidR="00D4594D" w:rsidRPr="00D4594D" w:rsidRDefault="00D4594D" w:rsidP="00D4594D">
            <w:pPr>
              <w:rPr>
                <w:b/>
              </w:rPr>
            </w:pPr>
            <w:r w:rsidRPr="00D4594D">
              <w:rPr>
                <w:b/>
                <w:lang w:eastAsia="bg-BG"/>
              </w:rPr>
              <w:t>Нарушения на бъбреците и пикочните пътища</w:t>
            </w:r>
          </w:p>
        </w:tc>
      </w:tr>
      <w:tr w:rsidR="00D4594D" w14:paraId="2D1AAB87" w14:textId="77777777" w:rsidTr="00D4594D">
        <w:tc>
          <w:tcPr>
            <w:tcW w:w="4788" w:type="dxa"/>
          </w:tcPr>
          <w:p w14:paraId="07B25842" w14:textId="63505482" w:rsidR="00D4594D" w:rsidRDefault="00D4594D" w:rsidP="00D4594D">
            <w:r>
              <w:t>Чести</w:t>
            </w:r>
          </w:p>
        </w:tc>
        <w:tc>
          <w:tcPr>
            <w:tcW w:w="4788" w:type="dxa"/>
          </w:tcPr>
          <w:p w14:paraId="5FF09F43" w14:textId="1BC6E4C2" w:rsidR="00D4594D" w:rsidRDefault="00D4594D" w:rsidP="00D4594D">
            <w:r>
              <w:t>Бъбречна недостатъчност и увреждане</w:t>
            </w:r>
          </w:p>
        </w:tc>
      </w:tr>
      <w:tr w:rsidR="00D4594D" w14:paraId="3C829B56" w14:textId="77777777" w:rsidTr="00D4594D">
        <w:tc>
          <w:tcPr>
            <w:tcW w:w="4788" w:type="dxa"/>
          </w:tcPr>
          <w:p w14:paraId="733319E1" w14:textId="38429EAC" w:rsidR="00D4594D" w:rsidRDefault="00D4594D" w:rsidP="00D4594D">
            <w:r>
              <w:t>Нечести</w:t>
            </w:r>
          </w:p>
        </w:tc>
        <w:tc>
          <w:tcPr>
            <w:tcW w:w="4788" w:type="dxa"/>
          </w:tcPr>
          <w:p w14:paraId="0A74C3A7" w14:textId="6ECE0F2A" w:rsidR="00D4594D" w:rsidRDefault="00D4594D" w:rsidP="00D4594D">
            <w:r>
              <w:t>Остра бъбречна недостатъчност, повишаване на серумния креатинин</w:t>
            </w:r>
          </w:p>
        </w:tc>
      </w:tr>
      <w:tr w:rsidR="00D4594D" w14:paraId="242894FA" w14:textId="77777777" w:rsidTr="00D4594D">
        <w:tc>
          <w:tcPr>
            <w:tcW w:w="4788" w:type="dxa"/>
          </w:tcPr>
          <w:p w14:paraId="798DF886" w14:textId="7228A090" w:rsidR="00D4594D" w:rsidRDefault="00D4594D" w:rsidP="00D4594D">
            <w:r>
              <w:t>С неизвестна честота</w:t>
            </w:r>
          </w:p>
        </w:tc>
        <w:tc>
          <w:tcPr>
            <w:tcW w:w="4788" w:type="dxa"/>
          </w:tcPr>
          <w:p w14:paraId="5684150E" w14:textId="1BA49A25" w:rsidR="00D4594D" w:rsidRDefault="00D4594D" w:rsidP="00D4594D">
            <w:r>
              <w:t>Повишение на уреята в кръвта</w:t>
            </w:r>
          </w:p>
        </w:tc>
      </w:tr>
      <w:tr w:rsidR="00D4594D" w14:paraId="750CAA11" w14:textId="77777777" w:rsidTr="00D4594D">
        <w:tc>
          <w:tcPr>
            <w:tcW w:w="9576" w:type="dxa"/>
            <w:gridSpan w:val="2"/>
          </w:tcPr>
          <w:p w14:paraId="3593756D" w14:textId="4B705D02" w:rsidR="00D4594D" w:rsidRPr="00D4594D" w:rsidRDefault="00D4594D" w:rsidP="00D4594D">
            <w:pPr>
              <w:rPr>
                <w:b/>
              </w:rPr>
            </w:pPr>
            <w:r w:rsidRPr="00D4594D">
              <w:rPr>
                <w:b/>
                <w:lang w:eastAsia="bg-BG"/>
              </w:rPr>
              <w:t>Общи нарушения и ефекти на мястото на приложение</w:t>
            </w:r>
          </w:p>
        </w:tc>
      </w:tr>
      <w:tr w:rsidR="00D4594D" w14:paraId="1D406C6E" w14:textId="77777777" w:rsidTr="00D4594D">
        <w:tc>
          <w:tcPr>
            <w:tcW w:w="4788" w:type="dxa"/>
          </w:tcPr>
          <w:p w14:paraId="01E5355B" w14:textId="002F206C" w:rsidR="00D4594D" w:rsidRDefault="00D4594D" w:rsidP="00D4594D">
            <w:r>
              <w:t>Нечести</w:t>
            </w:r>
          </w:p>
        </w:tc>
        <w:tc>
          <w:tcPr>
            <w:tcW w:w="4788" w:type="dxa"/>
          </w:tcPr>
          <w:p w14:paraId="513C9C2E" w14:textId="2AFB7F1D" w:rsidR="00D4594D" w:rsidRDefault="00D4594D" w:rsidP="00D4594D">
            <w:r>
              <w:t>Астения, умора</w:t>
            </w:r>
          </w:p>
        </w:tc>
      </w:tr>
    </w:tbl>
    <w:p w14:paraId="3871439E" w14:textId="77777777" w:rsidR="00D4594D" w:rsidRDefault="00D4594D" w:rsidP="00D4594D">
      <w:pPr>
        <w:spacing w:line="240" w:lineRule="auto"/>
        <w:rPr>
          <w:rFonts w:eastAsia="Times New Roman" w:cs="Arial"/>
          <w:color w:val="000000"/>
          <w:u w:val="single"/>
          <w:lang w:eastAsia="bg-BG"/>
        </w:rPr>
      </w:pPr>
    </w:p>
    <w:p w14:paraId="24BC5A24" w14:textId="02D4CAB5" w:rsidR="00D4594D" w:rsidRPr="00D4594D" w:rsidRDefault="00D4594D" w:rsidP="00D4594D">
      <w:pPr>
        <w:spacing w:line="240" w:lineRule="auto"/>
        <w:rPr>
          <w:rFonts w:eastAsia="Times New Roman" w:cs="Arial"/>
        </w:rPr>
      </w:pPr>
      <w:r w:rsidRPr="00D4594D">
        <w:rPr>
          <w:rFonts w:eastAsia="Times New Roman" w:cs="Arial"/>
          <w:color w:val="000000"/>
          <w:u w:val="single"/>
          <w:lang w:eastAsia="bg-BG"/>
        </w:rPr>
        <w:t>Съобщаване на подозирани нежелани реакции</w:t>
      </w:r>
    </w:p>
    <w:p w14:paraId="68DAE53A"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националния регулаторен орган на адрес:</w:t>
      </w:r>
    </w:p>
    <w:p w14:paraId="378A8431" w14:textId="77777777" w:rsidR="00D4594D" w:rsidRPr="00D4594D" w:rsidRDefault="00D4594D" w:rsidP="00D4594D">
      <w:pPr>
        <w:spacing w:line="240" w:lineRule="auto"/>
        <w:rPr>
          <w:rFonts w:eastAsia="Times New Roman" w:cs="Arial"/>
          <w:color w:val="000000"/>
          <w:lang w:eastAsia="bg-BG"/>
        </w:rPr>
      </w:pPr>
    </w:p>
    <w:p w14:paraId="3098CD38" w14:textId="62A38DF9" w:rsidR="00D4594D" w:rsidRPr="00D4594D" w:rsidRDefault="00D4594D" w:rsidP="00D4594D">
      <w:pPr>
        <w:spacing w:line="240" w:lineRule="auto"/>
        <w:rPr>
          <w:rFonts w:eastAsia="Times New Roman" w:cs="Arial"/>
        </w:rPr>
      </w:pPr>
      <w:r w:rsidRPr="00D4594D">
        <w:rPr>
          <w:rFonts w:eastAsia="Times New Roman" w:cs="Arial"/>
          <w:color w:val="000000"/>
          <w:lang w:eastAsia="bg-BG"/>
        </w:rPr>
        <w:t>България</w:t>
      </w:r>
    </w:p>
    <w:p w14:paraId="7105AD70"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Изпълнителна агенция по лекарствата</w:t>
      </w:r>
    </w:p>
    <w:p w14:paraId="01DBA890"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ул. „Дамян Груев” № 8</w:t>
      </w:r>
    </w:p>
    <w:p w14:paraId="62DE4DFD"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1303 София</w:t>
      </w:r>
    </w:p>
    <w:p w14:paraId="0562CD2A"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Тел.:+359 2 8903417</w:t>
      </w:r>
    </w:p>
    <w:p w14:paraId="3A657E1A"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уебсайт: </w:t>
      </w:r>
      <w:r w:rsidRPr="00D4594D">
        <w:rPr>
          <w:rFonts w:eastAsia="Times New Roman" w:cs="Arial"/>
        </w:rPr>
        <w:fldChar w:fldCharType="begin"/>
      </w:r>
      <w:r w:rsidRPr="00D4594D">
        <w:rPr>
          <w:rFonts w:eastAsia="Times New Roman" w:cs="Arial"/>
        </w:rPr>
        <w:instrText xml:space="preserve"> HYPERLINK "http://www.bda.bg" </w:instrText>
      </w:r>
      <w:r w:rsidRPr="00D4594D">
        <w:rPr>
          <w:rFonts w:eastAsia="Times New Roman" w:cs="Arial"/>
        </w:rPr>
      </w:r>
      <w:r w:rsidRPr="00D4594D">
        <w:rPr>
          <w:rFonts w:eastAsia="Times New Roman" w:cs="Arial"/>
        </w:rPr>
        <w:fldChar w:fldCharType="separate"/>
      </w:r>
      <w:r w:rsidRPr="00D4594D">
        <w:rPr>
          <w:rFonts w:eastAsia="Times New Roman" w:cs="Arial"/>
          <w:color w:val="000000"/>
          <w:lang w:val="en-US"/>
        </w:rPr>
        <w:t>www</w:t>
      </w:r>
      <w:r w:rsidRPr="00D4594D">
        <w:rPr>
          <w:rFonts w:eastAsia="Times New Roman" w:cs="Arial"/>
          <w:color w:val="000000"/>
          <w:lang w:val="ru-RU"/>
        </w:rPr>
        <w:t>.</w:t>
      </w:r>
      <w:proofErr w:type="spellStart"/>
      <w:r w:rsidRPr="00D4594D">
        <w:rPr>
          <w:rFonts w:eastAsia="Times New Roman" w:cs="Arial"/>
          <w:color w:val="000000"/>
          <w:lang w:val="en-US"/>
        </w:rPr>
        <w:t>bda</w:t>
      </w:r>
      <w:proofErr w:type="spellEnd"/>
      <w:r w:rsidRPr="00D4594D">
        <w:rPr>
          <w:rFonts w:eastAsia="Times New Roman" w:cs="Arial"/>
          <w:color w:val="000000"/>
          <w:lang w:val="ru-RU"/>
        </w:rPr>
        <w:t>.</w:t>
      </w:r>
      <w:proofErr w:type="spellStart"/>
      <w:r w:rsidRPr="00D4594D">
        <w:rPr>
          <w:rFonts w:eastAsia="Times New Roman" w:cs="Arial"/>
          <w:color w:val="000000"/>
          <w:lang w:val="en-US"/>
        </w:rPr>
        <w:t>bg</w:t>
      </w:r>
      <w:proofErr w:type="spellEnd"/>
      <w:r w:rsidRPr="00D4594D">
        <w:rPr>
          <w:rFonts w:eastAsia="Times New Roman" w:cs="Arial"/>
        </w:rPr>
        <w:fldChar w:fldCharType="end"/>
      </w:r>
    </w:p>
    <w:p w14:paraId="3084FC8E" w14:textId="77777777" w:rsidR="00D4594D" w:rsidRPr="00D4594D" w:rsidRDefault="00D4594D" w:rsidP="00D4594D"/>
    <w:p w14:paraId="5A87DBA3" w14:textId="6C3BD146" w:rsidR="007122AD" w:rsidRDefault="002C50EE" w:rsidP="00936AD0">
      <w:pPr>
        <w:pStyle w:val="Heading2"/>
      </w:pPr>
      <w:r>
        <w:t>4.9. Предозиране</w:t>
      </w:r>
    </w:p>
    <w:p w14:paraId="4DD86935" w14:textId="0248FCFC" w:rsidR="00D4594D" w:rsidRDefault="00D4594D" w:rsidP="00D4594D"/>
    <w:p w14:paraId="67B51E21" w14:textId="77777777" w:rsidR="00D4594D" w:rsidRPr="00D4594D" w:rsidRDefault="00D4594D" w:rsidP="00D4594D">
      <w:pPr>
        <w:pStyle w:val="Heading3"/>
        <w:rPr>
          <w:rFonts w:eastAsia="Times New Roman"/>
          <w:u w:val="single"/>
        </w:rPr>
      </w:pPr>
      <w:r w:rsidRPr="00D4594D">
        <w:rPr>
          <w:rFonts w:eastAsia="Times New Roman"/>
          <w:u w:val="single"/>
          <w:lang w:eastAsia="bg-BG"/>
        </w:rPr>
        <w:t>Симптоми</w:t>
      </w:r>
    </w:p>
    <w:p w14:paraId="2A51BA98"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 xml:space="preserve">Предозирането с </w:t>
      </w:r>
      <w:r w:rsidRPr="00D4594D">
        <w:rPr>
          <w:rFonts w:eastAsia="Times New Roman" w:cs="Arial"/>
          <w:color w:val="000000"/>
          <w:lang w:val="en-US"/>
        </w:rPr>
        <w:t>Diovan</w:t>
      </w:r>
      <w:r w:rsidRPr="00D4594D">
        <w:rPr>
          <w:rFonts w:eastAsia="Times New Roman" w:cs="Arial"/>
          <w:color w:val="000000"/>
          <w:lang w:val="ru-RU"/>
        </w:rPr>
        <w:t xml:space="preserve"> </w:t>
      </w:r>
      <w:r w:rsidRPr="00D4594D">
        <w:rPr>
          <w:rFonts w:eastAsia="Times New Roman" w:cs="Arial"/>
          <w:color w:val="000000"/>
          <w:lang w:eastAsia="bg-BG"/>
        </w:rPr>
        <w:t>може да причини изразена хипотония, която може да доведе до понижаване на яснотата на съзнанието, циркулаторен колапс и/или шок.</w:t>
      </w:r>
    </w:p>
    <w:p w14:paraId="28158991" w14:textId="77777777" w:rsidR="00D4594D" w:rsidRDefault="00D4594D" w:rsidP="00D4594D">
      <w:pPr>
        <w:spacing w:line="240" w:lineRule="auto"/>
        <w:rPr>
          <w:rFonts w:eastAsia="Times New Roman" w:cs="Arial"/>
          <w:color w:val="000000"/>
          <w:u w:val="single"/>
          <w:lang w:eastAsia="bg-BG"/>
        </w:rPr>
      </w:pPr>
    </w:p>
    <w:p w14:paraId="1C70348F" w14:textId="68232A2A" w:rsidR="00D4594D" w:rsidRPr="00D4594D" w:rsidRDefault="00D4594D" w:rsidP="00D4594D">
      <w:pPr>
        <w:pStyle w:val="Heading3"/>
        <w:rPr>
          <w:rFonts w:eastAsia="Times New Roman"/>
          <w:u w:val="single"/>
        </w:rPr>
      </w:pPr>
      <w:r w:rsidRPr="00D4594D">
        <w:rPr>
          <w:rFonts w:eastAsia="Times New Roman"/>
          <w:u w:val="single"/>
          <w:lang w:eastAsia="bg-BG"/>
        </w:rPr>
        <w:t>Лечение</w:t>
      </w:r>
    </w:p>
    <w:p w14:paraId="179D158A" w14:textId="77777777" w:rsidR="00D4594D" w:rsidRPr="00D4594D" w:rsidRDefault="00D4594D" w:rsidP="00D4594D">
      <w:pPr>
        <w:spacing w:line="240" w:lineRule="auto"/>
        <w:rPr>
          <w:rFonts w:eastAsia="Times New Roman" w:cs="Arial"/>
        </w:rPr>
      </w:pPr>
      <w:r w:rsidRPr="00D4594D">
        <w:rPr>
          <w:rFonts w:eastAsia="Times New Roman" w:cs="Arial"/>
          <w:color w:val="00000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w:t>
      </w:r>
    </w:p>
    <w:p w14:paraId="26EB86D9" w14:textId="77777777" w:rsidR="00D4594D" w:rsidRDefault="00D4594D" w:rsidP="00D4594D">
      <w:pPr>
        <w:spacing w:line="240" w:lineRule="auto"/>
        <w:rPr>
          <w:rFonts w:eastAsia="Times New Roman" w:cs="Arial"/>
          <w:color w:val="000000"/>
          <w:lang w:eastAsia="bg-BG"/>
        </w:rPr>
      </w:pPr>
    </w:p>
    <w:p w14:paraId="004FFC78" w14:textId="69DEE45C" w:rsidR="00D4594D" w:rsidRPr="00D4594D" w:rsidRDefault="00D4594D" w:rsidP="00D4594D">
      <w:pPr>
        <w:spacing w:line="240" w:lineRule="auto"/>
        <w:rPr>
          <w:rFonts w:eastAsia="Times New Roman" w:cs="Arial"/>
        </w:rPr>
      </w:pPr>
      <w:r w:rsidRPr="00D4594D">
        <w:rPr>
          <w:rFonts w:eastAsia="Times New Roman" w:cs="Arial"/>
          <w:color w:val="000000"/>
          <w:lang w:eastAsia="bg-BG"/>
        </w:rPr>
        <w:t>В случай на хипотония пациентът трябва да бъде поставен в легнало положение и бързо да се предприеме заместване с обемозаместващи разтвори.</w:t>
      </w:r>
    </w:p>
    <w:p w14:paraId="2AED3A36" w14:textId="77777777" w:rsidR="00D4594D" w:rsidRDefault="00D4594D" w:rsidP="00D4594D">
      <w:pPr>
        <w:rPr>
          <w:rFonts w:eastAsia="Times New Roman" w:cs="Arial"/>
          <w:color w:val="000000"/>
          <w:lang w:eastAsia="bg-BG"/>
        </w:rPr>
      </w:pPr>
    </w:p>
    <w:p w14:paraId="451E0426" w14:textId="5D4B4043" w:rsidR="00D4594D" w:rsidRPr="00D4594D" w:rsidRDefault="00D4594D" w:rsidP="00D4594D">
      <w:r w:rsidRPr="00D4594D">
        <w:rPr>
          <w:rFonts w:eastAsia="Times New Roman" w:cs="Arial"/>
          <w:color w:val="000000"/>
          <w:lang w:eastAsia="bg-BG"/>
        </w:rPr>
        <w:t>Малко вероятно е валсартан да бъде отстранен чрез хемодиализа.</w:t>
      </w:r>
    </w:p>
    <w:p w14:paraId="02081B24" w14:textId="1F46E296" w:rsidR="00395555" w:rsidRPr="00395555" w:rsidRDefault="002C50EE" w:rsidP="008A6AF2">
      <w:pPr>
        <w:pStyle w:val="Heading1"/>
      </w:pPr>
      <w:r>
        <w:t>5. ФАРМАКОЛОГИЧНИ СВОЙСТВА</w:t>
      </w:r>
    </w:p>
    <w:p w14:paraId="7DE36AC8" w14:textId="2C2D1216" w:rsidR="00B6672E" w:rsidRDefault="002C50EE" w:rsidP="00936AD0">
      <w:pPr>
        <w:pStyle w:val="Heading2"/>
      </w:pPr>
      <w:r>
        <w:t>5.1. Фармакодинамични свойства</w:t>
      </w:r>
    </w:p>
    <w:p w14:paraId="581B9E26" w14:textId="368EEE93" w:rsidR="00A01EF4" w:rsidRDefault="00A01EF4" w:rsidP="00A01EF4"/>
    <w:p w14:paraId="7C9B3C1E"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Фармакотерапевтична група: ангиотензин II рецепторни блокери, самостоятелни, АТС код: С09СА03</w:t>
      </w:r>
    </w:p>
    <w:p w14:paraId="55D81C70" w14:textId="77777777" w:rsidR="00A01EF4" w:rsidRDefault="00A01EF4" w:rsidP="00A01EF4">
      <w:pPr>
        <w:spacing w:line="240" w:lineRule="auto"/>
        <w:rPr>
          <w:rFonts w:eastAsia="Times New Roman" w:cs="Arial"/>
          <w:color w:val="000000"/>
          <w:lang w:eastAsia="bg-BG"/>
        </w:rPr>
      </w:pPr>
    </w:p>
    <w:p w14:paraId="6A5E4255" w14:textId="4F219183" w:rsidR="00A01EF4" w:rsidRPr="00A01EF4" w:rsidRDefault="00A01EF4" w:rsidP="00A01EF4">
      <w:pPr>
        <w:spacing w:line="240" w:lineRule="auto"/>
        <w:rPr>
          <w:rFonts w:eastAsia="Times New Roman" w:cs="Arial"/>
        </w:rPr>
      </w:pPr>
      <w:r w:rsidRPr="00A01EF4">
        <w:rPr>
          <w:rFonts w:eastAsia="Times New Roman" w:cs="Arial"/>
          <w:color w:val="000000"/>
          <w:lang w:eastAsia="bg-BG"/>
        </w:rPr>
        <w:lastRenderedPageBreak/>
        <w:t xml:space="preserve">Валсартан е перорално активен, мощен и специфичен ангиотензин II </w:t>
      </w:r>
      <w:r w:rsidRPr="00A01EF4">
        <w:rPr>
          <w:rFonts w:eastAsia="Times New Roman" w:cs="Arial"/>
          <w:color w:val="000000"/>
          <w:lang w:val="ru-RU"/>
        </w:rPr>
        <w:t>(</w:t>
      </w:r>
      <w:r w:rsidRPr="00A01EF4">
        <w:rPr>
          <w:rFonts w:eastAsia="Times New Roman" w:cs="Arial"/>
          <w:color w:val="000000"/>
          <w:lang w:val="en-US"/>
        </w:rPr>
        <w:t>AT</w:t>
      </w:r>
      <w:r w:rsidRPr="00A01EF4">
        <w:rPr>
          <w:rFonts w:eastAsia="Times New Roman" w:cs="Arial"/>
          <w:color w:val="000000"/>
          <w:lang w:val="ru-RU"/>
        </w:rPr>
        <w:t xml:space="preserve"> </w:t>
      </w:r>
      <w:r w:rsidRPr="00A01EF4">
        <w:rPr>
          <w:rFonts w:eastAsia="Times New Roman" w:cs="Arial"/>
          <w:color w:val="000000"/>
          <w:lang w:eastAsia="bg-BG"/>
        </w:rPr>
        <w:t xml:space="preserve">II) антагонист. Той действа селективно върху </w:t>
      </w:r>
      <w:r w:rsidRPr="00A01EF4">
        <w:rPr>
          <w:rFonts w:eastAsia="Times New Roman" w:cs="Arial"/>
          <w:color w:val="000000"/>
          <w:lang w:val="en-US"/>
        </w:rPr>
        <w:t>AT</w:t>
      </w:r>
      <w:r w:rsidRPr="00A01EF4">
        <w:rPr>
          <w:rFonts w:eastAsia="Times New Roman" w:cs="Arial"/>
          <w:color w:val="000000"/>
          <w:vertAlign w:val="subscript"/>
          <w:lang w:val="ru-RU"/>
        </w:rPr>
        <w:t>1</w:t>
      </w:r>
      <w:r w:rsidRPr="00A01EF4">
        <w:rPr>
          <w:rFonts w:eastAsia="Times New Roman" w:cs="Arial"/>
          <w:color w:val="000000"/>
          <w:lang w:val="ru-RU"/>
        </w:rPr>
        <w:t xml:space="preserve"> </w:t>
      </w:r>
      <w:r w:rsidRPr="00A01EF4">
        <w:rPr>
          <w:rFonts w:eastAsia="Times New Roman" w:cs="Arial"/>
          <w:color w:val="000000"/>
          <w:lang w:eastAsia="bg-BG"/>
        </w:rPr>
        <w:t>рецепторния подтип, който е отговорен за познатите действия на ангиотензин II. Повишените плазмени нива на ангиотензин II в резултат на АТ</w:t>
      </w:r>
      <w:r w:rsidRPr="00A01EF4">
        <w:rPr>
          <w:rFonts w:eastAsia="Times New Roman" w:cs="Arial"/>
          <w:color w:val="000000"/>
          <w:vertAlign w:val="subscript"/>
          <w:lang w:eastAsia="bg-BG"/>
        </w:rPr>
        <w:t>1</w:t>
      </w:r>
      <w:r w:rsidRPr="00A01EF4">
        <w:rPr>
          <w:rFonts w:eastAsia="Times New Roman" w:cs="Arial"/>
          <w:color w:val="000000"/>
          <w:lang w:eastAsia="bg-BG"/>
        </w:rPr>
        <w:t xml:space="preserve"> рецепторната блокада с валсартан могат да стимулират неблокираните АТ</w:t>
      </w:r>
      <w:r w:rsidRPr="00A01EF4">
        <w:rPr>
          <w:rFonts w:eastAsia="Times New Roman" w:cs="Arial"/>
          <w:color w:val="000000"/>
          <w:vertAlign w:val="subscript"/>
          <w:lang w:eastAsia="bg-BG"/>
        </w:rPr>
        <w:t>2</w:t>
      </w:r>
      <w:r w:rsidRPr="00A01EF4">
        <w:rPr>
          <w:rFonts w:eastAsia="Times New Roman" w:cs="Arial"/>
          <w:color w:val="000000"/>
          <w:lang w:eastAsia="bg-BG"/>
        </w:rPr>
        <w:t xml:space="preserve"> рецептори, което изглежда противодейства на ефекта на АТ</w:t>
      </w:r>
      <w:r w:rsidRPr="00A01EF4">
        <w:rPr>
          <w:rFonts w:eastAsia="Times New Roman" w:cs="Arial"/>
          <w:color w:val="000000"/>
          <w:vertAlign w:val="subscript"/>
          <w:lang w:eastAsia="bg-BG"/>
        </w:rPr>
        <w:t>1</w:t>
      </w:r>
      <w:r w:rsidRPr="00A01EF4">
        <w:rPr>
          <w:rFonts w:eastAsia="Times New Roman" w:cs="Arial"/>
          <w:color w:val="000000"/>
          <w:lang w:eastAsia="bg-BG"/>
        </w:rPr>
        <w:t xml:space="preserve"> рецептора. Валсартан не проявява никаква частична агонистична активност към </w:t>
      </w:r>
      <w:r w:rsidRPr="00A01EF4">
        <w:rPr>
          <w:rFonts w:eastAsia="Times New Roman" w:cs="Arial"/>
          <w:color w:val="000000"/>
          <w:lang w:val="en-US"/>
        </w:rPr>
        <w:t>AT</w:t>
      </w:r>
      <w:r w:rsidRPr="00A01EF4">
        <w:rPr>
          <w:rFonts w:eastAsia="Times New Roman" w:cs="Arial"/>
          <w:color w:val="000000"/>
          <w:vertAlign w:val="subscript"/>
          <w:lang w:val="ru-RU"/>
        </w:rPr>
        <w:t>1</w:t>
      </w:r>
      <w:r w:rsidRPr="00A01EF4">
        <w:rPr>
          <w:rFonts w:eastAsia="Times New Roman" w:cs="Arial"/>
          <w:color w:val="000000"/>
          <w:lang w:val="ru-RU"/>
        </w:rPr>
        <w:t xml:space="preserve"> </w:t>
      </w:r>
      <w:r w:rsidRPr="00A01EF4">
        <w:rPr>
          <w:rFonts w:eastAsia="Times New Roman" w:cs="Arial"/>
          <w:color w:val="000000"/>
          <w:lang w:eastAsia="bg-BG"/>
        </w:rPr>
        <w:t>рецептора и има значително (около 20 000 пъти) по-голям афинитет към АТ</w:t>
      </w:r>
      <w:r w:rsidRPr="00A01EF4">
        <w:rPr>
          <w:rFonts w:eastAsia="Times New Roman" w:cs="Arial"/>
          <w:color w:val="000000"/>
          <w:vertAlign w:val="subscript"/>
          <w:lang w:eastAsia="bg-BG"/>
        </w:rPr>
        <w:t>1</w:t>
      </w:r>
      <w:r w:rsidRPr="00A01EF4">
        <w:rPr>
          <w:rFonts w:eastAsia="Times New Roman" w:cs="Arial"/>
          <w:color w:val="000000"/>
          <w:lang w:eastAsia="bg-BG"/>
        </w:rPr>
        <w:t xml:space="preserve"> рецептора, отколкото към АТ</w:t>
      </w:r>
      <w:r w:rsidRPr="00A01EF4">
        <w:rPr>
          <w:rFonts w:eastAsia="Times New Roman" w:cs="Arial"/>
          <w:color w:val="000000"/>
          <w:vertAlign w:val="subscript"/>
          <w:lang w:eastAsia="bg-BG"/>
        </w:rPr>
        <w:t>2</w:t>
      </w:r>
      <w:r w:rsidRPr="00A01EF4">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367552BC" w14:textId="77777777" w:rsidR="00A01EF4" w:rsidRDefault="00A01EF4" w:rsidP="00A01EF4">
      <w:pPr>
        <w:spacing w:line="240" w:lineRule="auto"/>
        <w:rPr>
          <w:rFonts w:eastAsia="Times New Roman" w:cs="Arial"/>
          <w:color w:val="000000"/>
          <w:lang w:eastAsia="bg-BG"/>
        </w:rPr>
      </w:pPr>
    </w:p>
    <w:p w14:paraId="3D23A566" w14:textId="5EC7EA53" w:rsidR="00A01EF4" w:rsidRPr="00A01EF4" w:rsidRDefault="00A01EF4" w:rsidP="00A01EF4">
      <w:pPr>
        <w:spacing w:line="240" w:lineRule="auto"/>
        <w:rPr>
          <w:rFonts w:eastAsia="Times New Roman" w:cs="Arial"/>
        </w:rPr>
      </w:pPr>
      <w:r w:rsidRPr="00A01EF4">
        <w:rPr>
          <w:rFonts w:eastAsia="Times New Roman" w:cs="Arial"/>
          <w:color w:val="000000"/>
          <w:lang w:eastAsia="bg-BG"/>
        </w:rPr>
        <w:t>Валсартан не инхибира АСЕ (известен и като кининаза И),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АСЕ инхибитор, честотата на суха кашлица е значително (Р&lt;0,05)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w:t>
      </w:r>
      <w:r w:rsidRPr="00A01EF4">
        <w:rPr>
          <w:rFonts w:eastAsia="Times New Roman" w:cs="Arial"/>
          <w:color w:val="000000"/>
          <w:lang w:val="ru-RU"/>
        </w:rPr>
        <w:t xml:space="preserve"> </w:t>
      </w:r>
      <w:r w:rsidRPr="00A01EF4">
        <w:rPr>
          <w:rFonts w:eastAsia="Times New Roman" w:cs="Arial"/>
          <w:color w:val="000000"/>
          <w:lang w:eastAsia="bg-BG"/>
        </w:rPr>
        <w:t>тези получаващи тиазиден диуретик имат кашлица, в сравнение с 68,5% от лицата, лекувани с АСЕ инхибитор (Р &lt; 0,05).</w:t>
      </w:r>
    </w:p>
    <w:p w14:paraId="1E4AF777" w14:textId="77777777" w:rsidR="00A01EF4" w:rsidRDefault="00A01EF4" w:rsidP="00A01EF4">
      <w:pPr>
        <w:spacing w:line="240" w:lineRule="auto"/>
        <w:rPr>
          <w:rFonts w:eastAsia="Times New Roman" w:cs="Arial"/>
          <w:color w:val="000000"/>
          <w:u w:val="single"/>
          <w:lang w:eastAsia="bg-BG"/>
        </w:rPr>
      </w:pPr>
    </w:p>
    <w:p w14:paraId="1B8D10D3" w14:textId="4DF3D54E"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Хипертония</w:t>
      </w:r>
    </w:p>
    <w:p w14:paraId="0DCB2F2B"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Приложението на </w:t>
      </w:r>
      <w:r w:rsidRPr="00A01EF4">
        <w:rPr>
          <w:rFonts w:eastAsia="Times New Roman" w:cs="Arial"/>
          <w:color w:val="000000"/>
          <w:lang w:val="en-US"/>
        </w:rPr>
        <w:t>Diovan</w:t>
      </w:r>
      <w:r w:rsidRPr="00A01EF4">
        <w:rPr>
          <w:rFonts w:eastAsia="Times New Roman" w:cs="Arial"/>
          <w:color w:val="000000"/>
          <w:lang w:val="ru-RU"/>
        </w:rPr>
        <w:t xml:space="preserve"> </w:t>
      </w:r>
      <w:r w:rsidRPr="00A01EF4">
        <w:rPr>
          <w:rFonts w:eastAsia="Times New Roman" w:cs="Arial"/>
          <w:color w:val="000000"/>
          <w:lang w:eastAsia="bg-BG"/>
        </w:rPr>
        <w:t>при пациенти с хипертония води до понижаване на артериалното налягане без повлияване на пулсовата честота.</w:t>
      </w:r>
    </w:p>
    <w:p w14:paraId="6AF64246" w14:textId="77777777" w:rsidR="00A01EF4" w:rsidRDefault="00A01EF4" w:rsidP="00A01EF4">
      <w:pPr>
        <w:spacing w:line="240" w:lineRule="auto"/>
        <w:rPr>
          <w:rFonts w:eastAsia="Times New Roman" w:cs="Arial"/>
          <w:color w:val="000000"/>
          <w:lang w:eastAsia="bg-BG"/>
        </w:rPr>
      </w:pPr>
    </w:p>
    <w:p w14:paraId="46DD4728" w14:textId="3D0459D0" w:rsidR="00A01EF4" w:rsidRPr="00A01EF4" w:rsidRDefault="00A01EF4" w:rsidP="00A01EF4">
      <w:pPr>
        <w:spacing w:line="240" w:lineRule="auto"/>
        <w:rPr>
          <w:rFonts w:eastAsia="Times New Roman" w:cs="Arial"/>
        </w:rPr>
      </w:pPr>
      <w:r w:rsidRPr="00A01EF4">
        <w:rPr>
          <w:rFonts w:eastAsia="Times New Roman" w:cs="Arial"/>
          <w:color w:val="000000"/>
          <w:lang w:eastAsia="bg-BG"/>
        </w:rPr>
        <w:t>При повечето пациенти след еднократен перорален прием началото на антихипертензивното действие настъпва е в рамките на 2 часа, а най-ниски стойности на артериалното налягане се достига в рамките на 4-6 часа. Антихипертензивният ефект продължава над 24 часа след приема. При многократно прилагане реален антихипертензивен ефект е налице в рамките на 2 седмици, а максималният ефект се постига в рамките на 4 седмици и се поддържа в хода на дългосрочна терапия. Значимо допълнително понижение на артериалното налягане се постига при комбинация с хидрохлоротиазид.</w:t>
      </w:r>
    </w:p>
    <w:p w14:paraId="734761F3" w14:textId="77777777" w:rsidR="00A01EF4" w:rsidRDefault="00A01EF4" w:rsidP="00A01EF4">
      <w:pPr>
        <w:spacing w:line="240" w:lineRule="auto"/>
        <w:rPr>
          <w:rFonts w:eastAsia="Times New Roman" w:cs="Arial"/>
          <w:color w:val="000000"/>
          <w:lang w:eastAsia="bg-BG"/>
        </w:rPr>
      </w:pPr>
    </w:p>
    <w:p w14:paraId="31FFAEC3" w14:textId="04595CBD"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Внезапното преустановяване на лечението с </w:t>
      </w:r>
      <w:r w:rsidRPr="00A01EF4">
        <w:rPr>
          <w:rFonts w:eastAsia="Times New Roman" w:cs="Arial"/>
          <w:color w:val="000000"/>
          <w:lang w:val="en-US"/>
        </w:rPr>
        <w:t>Diovan</w:t>
      </w:r>
      <w:r w:rsidRPr="00A01EF4">
        <w:rPr>
          <w:rFonts w:eastAsia="Times New Roman" w:cs="Arial"/>
          <w:color w:val="000000"/>
          <w:lang w:val="ru-RU"/>
        </w:rPr>
        <w:t xml:space="preserve"> </w:t>
      </w:r>
      <w:r w:rsidRPr="00A01EF4">
        <w:rPr>
          <w:rFonts w:eastAsia="Times New Roman" w:cs="Arial"/>
          <w:color w:val="000000"/>
          <w:lang w:eastAsia="bg-BG"/>
        </w:rPr>
        <w:t xml:space="preserve">не се свързва с </w:t>
      </w:r>
      <w:r w:rsidRPr="00A01EF4">
        <w:rPr>
          <w:rFonts w:eastAsia="Times New Roman" w:cs="Arial"/>
          <w:color w:val="000000"/>
          <w:lang w:val="en-US"/>
        </w:rPr>
        <w:t>rebound</w:t>
      </w:r>
      <w:r w:rsidRPr="00A01EF4">
        <w:rPr>
          <w:rFonts w:eastAsia="Times New Roman" w:cs="Arial"/>
          <w:color w:val="000000"/>
          <w:lang w:eastAsia="bg-BG"/>
        </w:rPr>
        <w:t>-хипертония или с други нежелани клинични събития.</w:t>
      </w:r>
    </w:p>
    <w:p w14:paraId="63E4A91E" w14:textId="77777777" w:rsidR="00A01EF4" w:rsidRDefault="00A01EF4" w:rsidP="00A01EF4">
      <w:pPr>
        <w:spacing w:line="240" w:lineRule="auto"/>
        <w:rPr>
          <w:rFonts w:eastAsia="Times New Roman" w:cs="Arial"/>
          <w:color w:val="000000"/>
          <w:lang w:eastAsia="bg-BG"/>
        </w:rPr>
      </w:pPr>
    </w:p>
    <w:p w14:paraId="24633DEB" w14:textId="5E782B0A" w:rsidR="00A01EF4" w:rsidRDefault="00A01EF4" w:rsidP="00A01EF4">
      <w:pPr>
        <w:spacing w:line="240" w:lineRule="auto"/>
        <w:rPr>
          <w:rFonts w:eastAsia="Times New Roman" w:cs="Arial"/>
          <w:color w:val="000000"/>
          <w:lang w:eastAsia="bg-BG"/>
        </w:rPr>
      </w:pPr>
      <w:r w:rsidRPr="00A01EF4">
        <w:rPr>
          <w:rFonts w:eastAsia="Times New Roman" w:cs="Arial"/>
          <w:color w:val="000000"/>
          <w:lang w:eastAsia="bg-BG"/>
        </w:rPr>
        <w:t xml:space="preserve">При пациенти с хипертония и диабет тип 2 с микроалбуминурия е отчетено, че валсартан намалява отделянето на албумин в урината. Проучването </w:t>
      </w:r>
      <w:r w:rsidRPr="00A01EF4">
        <w:rPr>
          <w:rFonts w:eastAsia="Times New Roman" w:cs="Arial"/>
          <w:color w:val="000000"/>
          <w:lang w:val="en-US"/>
        </w:rPr>
        <w:t>MARVAL</w:t>
      </w:r>
      <w:r w:rsidRPr="00A01EF4">
        <w:rPr>
          <w:rFonts w:eastAsia="Times New Roman" w:cs="Arial"/>
          <w:color w:val="000000"/>
        </w:rPr>
        <w:t xml:space="preserve"> </w:t>
      </w:r>
      <w:r w:rsidRPr="00A01EF4">
        <w:rPr>
          <w:rFonts w:eastAsia="Times New Roman" w:cs="Arial"/>
          <w:color w:val="000000"/>
          <w:lang w:eastAsia="bg-BG"/>
        </w:rPr>
        <w:t xml:space="preserve">(Намаляване на микроалбуминурията с валсартан </w:t>
      </w:r>
      <w:r w:rsidRPr="00A01EF4">
        <w:rPr>
          <w:rFonts w:eastAsia="Times New Roman" w:cs="Arial"/>
          <w:color w:val="000000"/>
        </w:rPr>
        <w:t>(</w:t>
      </w:r>
      <w:r w:rsidRPr="00A01EF4">
        <w:rPr>
          <w:rFonts w:eastAsia="Times New Roman" w:cs="Arial"/>
          <w:color w:val="000000"/>
          <w:lang w:val="en-US"/>
        </w:rPr>
        <w:t>Micro</w:t>
      </w:r>
      <w:r w:rsidRPr="00A01EF4">
        <w:rPr>
          <w:rFonts w:eastAsia="Times New Roman" w:cs="Arial"/>
          <w:color w:val="000000"/>
        </w:rPr>
        <w:t xml:space="preserve"> </w:t>
      </w:r>
      <w:r w:rsidRPr="00A01EF4">
        <w:rPr>
          <w:rFonts w:eastAsia="Times New Roman" w:cs="Arial"/>
          <w:color w:val="000000"/>
          <w:lang w:val="en-US"/>
        </w:rPr>
        <w:t>Albuminuria</w:t>
      </w:r>
      <w:r w:rsidRPr="00A01EF4">
        <w:rPr>
          <w:rFonts w:eastAsia="Times New Roman" w:cs="Arial"/>
          <w:color w:val="000000"/>
        </w:rPr>
        <w:t xml:space="preserve"> </w:t>
      </w:r>
      <w:r w:rsidRPr="00A01EF4">
        <w:rPr>
          <w:rFonts w:eastAsia="Times New Roman" w:cs="Arial"/>
          <w:color w:val="000000"/>
          <w:lang w:val="en-US"/>
        </w:rPr>
        <w:t>Reduction</w:t>
      </w:r>
      <w:r w:rsidRPr="00A01EF4">
        <w:rPr>
          <w:rFonts w:eastAsia="Times New Roman" w:cs="Arial"/>
          <w:color w:val="000000"/>
        </w:rPr>
        <w:t xml:space="preserve"> </w:t>
      </w:r>
      <w:r w:rsidRPr="00A01EF4">
        <w:rPr>
          <w:rFonts w:eastAsia="Times New Roman" w:cs="Arial"/>
          <w:color w:val="000000"/>
          <w:lang w:val="en-US"/>
        </w:rPr>
        <w:t>with</w:t>
      </w:r>
      <w:r w:rsidRPr="00A01EF4">
        <w:rPr>
          <w:rFonts w:eastAsia="Times New Roman" w:cs="Arial"/>
          <w:color w:val="000000"/>
        </w:rPr>
        <w:t xml:space="preserve"> </w:t>
      </w:r>
      <w:r w:rsidRPr="00A01EF4">
        <w:rPr>
          <w:rFonts w:eastAsia="Times New Roman" w:cs="Arial"/>
          <w:color w:val="000000"/>
          <w:lang w:val="en-US"/>
        </w:rPr>
        <w:t>Valsartan</w:t>
      </w:r>
      <w:r w:rsidRPr="00A01EF4">
        <w:rPr>
          <w:rFonts w:eastAsia="Times New Roman" w:cs="Arial"/>
          <w:color w:val="000000"/>
        </w:rPr>
        <w:t xml:space="preserve">)) </w:t>
      </w:r>
      <w:r w:rsidRPr="00A01EF4">
        <w:rPr>
          <w:rFonts w:eastAsia="Times New Roman" w:cs="Arial"/>
          <w:color w:val="000000"/>
          <w:lang w:eastAsia="bg-BG"/>
        </w:rPr>
        <w:t xml:space="preserve">оценява намаляването на отделянето на албумин в урината </w:t>
      </w:r>
      <w:r w:rsidRPr="00A01EF4">
        <w:rPr>
          <w:rFonts w:eastAsia="Times New Roman" w:cs="Arial"/>
          <w:color w:val="000000"/>
        </w:rPr>
        <w:t>(</w:t>
      </w:r>
      <w:r w:rsidRPr="00A01EF4">
        <w:rPr>
          <w:rFonts w:eastAsia="Times New Roman" w:cs="Arial"/>
          <w:color w:val="000000"/>
          <w:lang w:val="en-US"/>
        </w:rPr>
        <w:t>UAE</w:t>
      </w:r>
      <w:r w:rsidRPr="00A01EF4">
        <w:rPr>
          <w:rFonts w:eastAsia="Times New Roman" w:cs="Arial"/>
          <w:color w:val="000000"/>
        </w:rPr>
        <w:t xml:space="preserve">) </w:t>
      </w:r>
      <w:r w:rsidRPr="00A01EF4">
        <w:rPr>
          <w:rFonts w:eastAsia="Times New Roman" w:cs="Arial"/>
          <w:color w:val="000000"/>
          <w:lang w:eastAsia="bg-BG"/>
        </w:rPr>
        <w:t xml:space="preserve">с валсартан (80-160 </w:t>
      </w:r>
      <w:r w:rsidRPr="00A01EF4">
        <w:rPr>
          <w:rFonts w:eastAsia="Times New Roman" w:cs="Arial"/>
          <w:color w:val="000000"/>
          <w:lang w:val="en-US"/>
        </w:rPr>
        <w:t>mg</w:t>
      </w:r>
      <w:r w:rsidRPr="00A01EF4">
        <w:rPr>
          <w:rFonts w:eastAsia="Times New Roman" w:cs="Arial"/>
          <w:color w:val="000000"/>
          <w:lang w:eastAsia="bg-BG"/>
        </w:rPr>
        <w:t xml:space="preserve">/ден) в сравнение с амлодипин (5-10 </w:t>
      </w:r>
      <w:r w:rsidRPr="00A01EF4">
        <w:rPr>
          <w:rFonts w:eastAsia="Times New Roman" w:cs="Arial"/>
          <w:color w:val="000000"/>
          <w:lang w:val="en-US"/>
        </w:rPr>
        <w:t>mg</w:t>
      </w:r>
      <w:r w:rsidRPr="00A01EF4">
        <w:rPr>
          <w:rFonts w:eastAsia="Times New Roman" w:cs="Arial"/>
          <w:color w:val="000000"/>
          <w:lang w:eastAsia="bg-BG"/>
        </w:rPr>
        <w:t xml:space="preserve">/ден), при 332 пациенти с диабет тип 2 (средна възраст: 58 години; 265 мъже), с микроалбуминурия (валсартан: 58 </w:t>
      </w:r>
      <w:proofErr w:type="spellStart"/>
      <w:r w:rsidRPr="00A01EF4">
        <w:rPr>
          <w:rFonts w:eastAsia="Times New Roman" w:cs="Arial"/>
          <w:color w:val="000000"/>
          <w:lang w:val="en-US"/>
        </w:rPr>
        <w:t>pg</w:t>
      </w:r>
      <w:proofErr w:type="spellEnd"/>
      <w:r w:rsidRPr="00A01EF4">
        <w:rPr>
          <w:rFonts w:eastAsia="Times New Roman" w:cs="Arial"/>
          <w:color w:val="000000"/>
        </w:rPr>
        <w:t>/</w:t>
      </w:r>
      <w:r w:rsidRPr="00A01EF4">
        <w:rPr>
          <w:rFonts w:eastAsia="Times New Roman" w:cs="Arial"/>
          <w:color w:val="000000"/>
          <w:lang w:val="en-US"/>
        </w:rPr>
        <w:t>min</w:t>
      </w:r>
      <w:r w:rsidRPr="00A01EF4">
        <w:rPr>
          <w:rFonts w:eastAsia="Times New Roman" w:cs="Arial"/>
          <w:color w:val="000000"/>
        </w:rPr>
        <w:t xml:space="preserve">; </w:t>
      </w:r>
      <w:r w:rsidRPr="00A01EF4">
        <w:rPr>
          <w:rFonts w:eastAsia="Times New Roman" w:cs="Arial"/>
          <w:color w:val="000000"/>
          <w:lang w:eastAsia="bg-BG"/>
        </w:rPr>
        <w:t xml:space="preserve">амлодипин: 55,4 </w:t>
      </w:r>
      <w:proofErr w:type="spellStart"/>
      <w:r w:rsidRPr="00A01EF4">
        <w:rPr>
          <w:rFonts w:eastAsia="Times New Roman" w:cs="Arial"/>
          <w:color w:val="000000"/>
          <w:lang w:val="en-US"/>
        </w:rPr>
        <w:t>pg</w:t>
      </w:r>
      <w:proofErr w:type="spellEnd"/>
      <w:r w:rsidRPr="00A01EF4">
        <w:rPr>
          <w:rFonts w:eastAsia="Times New Roman" w:cs="Arial"/>
          <w:color w:val="000000"/>
        </w:rPr>
        <w:t>/</w:t>
      </w:r>
      <w:r w:rsidRPr="00A01EF4">
        <w:rPr>
          <w:rFonts w:eastAsia="Times New Roman" w:cs="Arial"/>
          <w:color w:val="000000"/>
          <w:lang w:val="en-US"/>
        </w:rPr>
        <w:t>min</w:t>
      </w:r>
      <w:r w:rsidRPr="00A01EF4">
        <w:rPr>
          <w:rFonts w:eastAsia="Times New Roman" w:cs="Arial"/>
          <w:color w:val="000000"/>
        </w:rPr>
        <w:t xml:space="preserve">), </w:t>
      </w:r>
      <w:r w:rsidRPr="00A01EF4">
        <w:rPr>
          <w:rFonts w:eastAsia="Times New Roman" w:cs="Arial"/>
          <w:color w:val="000000"/>
          <w:lang w:eastAsia="bg-BG"/>
        </w:rPr>
        <w:t>с нормално или високо артериално налягане и със запазена бъбречна функция (серумен</w:t>
      </w:r>
      <w:r>
        <w:rPr>
          <w:rFonts w:eastAsia="Times New Roman" w:cs="Arial"/>
        </w:rPr>
        <w:t xml:space="preserve"> </w:t>
      </w:r>
      <w:r w:rsidRPr="00A01EF4">
        <w:rPr>
          <w:rFonts w:eastAsia="Times New Roman" w:cs="Arial"/>
          <w:color w:val="000000"/>
          <w:lang w:eastAsia="bg-BG"/>
        </w:rPr>
        <w:t>креатинин &lt;120 μ</w:t>
      </w:r>
      <w:proofErr w:type="spellStart"/>
      <w:r w:rsidRPr="00A01EF4">
        <w:rPr>
          <w:rFonts w:eastAsia="Times New Roman" w:cs="Arial"/>
          <w:color w:val="000000"/>
          <w:lang w:val="en-US"/>
        </w:rPr>
        <w:t>mol</w:t>
      </w:r>
      <w:proofErr w:type="spellEnd"/>
      <w:r w:rsidRPr="00A01EF4">
        <w:rPr>
          <w:rFonts w:eastAsia="Times New Roman" w:cs="Arial"/>
          <w:color w:val="000000"/>
        </w:rPr>
        <w:t xml:space="preserve">/1). </w:t>
      </w:r>
      <w:r w:rsidRPr="00A01EF4">
        <w:rPr>
          <w:rFonts w:eastAsia="Times New Roman" w:cs="Arial"/>
          <w:color w:val="000000"/>
          <w:lang w:eastAsia="bg-BG"/>
        </w:rPr>
        <w:t xml:space="preserve">След 24 седмици, </w:t>
      </w:r>
      <w:r w:rsidRPr="00A01EF4">
        <w:rPr>
          <w:rFonts w:eastAsia="Times New Roman" w:cs="Arial"/>
          <w:color w:val="000000"/>
          <w:lang w:val="en-US"/>
        </w:rPr>
        <w:t>UAE</w:t>
      </w:r>
      <w:r w:rsidRPr="00A01EF4">
        <w:rPr>
          <w:rFonts w:eastAsia="Times New Roman" w:cs="Arial"/>
          <w:color w:val="000000"/>
          <w:lang w:val="ru-RU"/>
        </w:rPr>
        <w:t xml:space="preserve"> </w:t>
      </w:r>
      <w:r w:rsidRPr="00A01EF4">
        <w:rPr>
          <w:rFonts w:eastAsia="Times New Roman" w:cs="Arial"/>
          <w:color w:val="000000"/>
          <w:lang w:eastAsia="bg-BG"/>
        </w:rPr>
        <w:t>е намалено (р&lt;0,001) с 42% (-24,2</w:t>
      </w:r>
      <w:r w:rsidRPr="00A01EF4">
        <w:rPr>
          <w:rFonts w:eastAsia="Times New Roman" w:cs="Arial"/>
          <w:color w:val="000000"/>
          <w:lang w:val="ru-RU"/>
        </w:rPr>
        <w:t xml:space="preserve"> </w:t>
      </w:r>
      <w:r w:rsidRPr="00A01EF4">
        <w:rPr>
          <w:rFonts w:eastAsia="Times New Roman" w:cs="Arial"/>
          <w:color w:val="000000"/>
          <w:lang w:eastAsia="bg-BG"/>
        </w:rPr>
        <w:t>μ</w:t>
      </w:r>
      <w:r w:rsidRPr="00A01EF4">
        <w:rPr>
          <w:rFonts w:eastAsia="Times New Roman" w:cs="Arial"/>
          <w:color w:val="000000"/>
          <w:lang w:val="en-US"/>
        </w:rPr>
        <w:t>g</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95% </w:t>
      </w:r>
      <w:r w:rsidRPr="00A01EF4">
        <w:rPr>
          <w:rFonts w:eastAsia="Times New Roman" w:cs="Arial"/>
          <w:color w:val="000000"/>
          <w:lang w:val="en-US"/>
        </w:rPr>
        <w:t>CI</w:t>
      </w:r>
      <w:r w:rsidRPr="00A01EF4">
        <w:rPr>
          <w:rFonts w:eastAsia="Times New Roman" w:cs="Arial"/>
          <w:color w:val="000000"/>
          <w:lang w:val="ru-RU"/>
        </w:rPr>
        <w:t xml:space="preserve">: </w:t>
      </w:r>
      <w:r w:rsidRPr="00A01EF4">
        <w:rPr>
          <w:rFonts w:eastAsia="Times New Roman" w:cs="Arial"/>
          <w:color w:val="000000"/>
          <w:lang w:eastAsia="bg-BG"/>
        </w:rPr>
        <w:t xml:space="preserve">-40,4 до -19,1) с валсартан и приблизително 3% (-1,7 </w:t>
      </w:r>
      <w:proofErr w:type="spellStart"/>
      <w:r w:rsidRPr="00A01EF4">
        <w:rPr>
          <w:rFonts w:eastAsia="Times New Roman" w:cs="Arial"/>
          <w:color w:val="000000"/>
          <w:lang w:val="en-US"/>
        </w:rPr>
        <w:t>pg</w:t>
      </w:r>
      <w:proofErr w:type="spellEnd"/>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w:t>
      </w:r>
      <w:r w:rsidRPr="00A01EF4">
        <w:rPr>
          <w:rFonts w:eastAsia="Times New Roman" w:cs="Arial"/>
          <w:color w:val="000000"/>
          <w:lang w:eastAsia="bg-BG"/>
        </w:rPr>
        <w:t xml:space="preserve">95% </w:t>
      </w:r>
      <w:r w:rsidRPr="00A01EF4">
        <w:rPr>
          <w:rFonts w:eastAsia="Times New Roman" w:cs="Arial"/>
          <w:color w:val="000000"/>
          <w:lang w:val="en-US"/>
        </w:rPr>
        <w:t>CI</w:t>
      </w:r>
      <w:r w:rsidRPr="00A01EF4">
        <w:rPr>
          <w:rFonts w:eastAsia="Times New Roman" w:cs="Arial"/>
          <w:color w:val="000000"/>
          <w:lang w:val="ru-RU"/>
        </w:rPr>
        <w:t xml:space="preserve">: </w:t>
      </w:r>
      <w:r w:rsidRPr="00A01EF4">
        <w:rPr>
          <w:rFonts w:eastAsia="Times New Roman" w:cs="Arial"/>
          <w:color w:val="000000"/>
          <w:lang w:eastAsia="bg-BG"/>
        </w:rPr>
        <w:t>-5,6 до 14,9) с амлодипин, независимо от сходната степен на понижение на артериалното налягане в двете групи.</w:t>
      </w:r>
    </w:p>
    <w:p w14:paraId="4317F5C6" w14:textId="093C904A" w:rsidR="00A01EF4" w:rsidRDefault="00A01EF4" w:rsidP="00A01EF4">
      <w:pPr>
        <w:spacing w:line="240" w:lineRule="auto"/>
        <w:rPr>
          <w:rFonts w:eastAsia="Times New Roman" w:cs="Arial"/>
          <w:color w:val="000000"/>
          <w:lang w:eastAsia="bg-BG"/>
        </w:rPr>
      </w:pPr>
    </w:p>
    <w:p w14:paraId="0046A867"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Проучването Намаляване на протеинурията с </w:t>
      </w:r>
      <w:r w:rsidRPr="00A01EF4">
        <w:rPr>
          <w:rFonts w:eastAsia="Times New Roman" w:cs="Arial"/>
          <w:color w:val="000000"/>
          <w:lang w:val="en-US"/>
        </w:rPr>
        <w:t>Diovan</w:t>
      </w:r>
      <w:r w:rsidRPr="00A01EF4">
        <w:rPr>
          <w:rFonts w:eastAsia="Times New Roman" w:cs="Arial"/>
          <w:color w:val="000000"/>
        </w:rPr>
        <w:t xml:space="preserve"> (</w:t>
      </w:r>
      <w:r w:rsidRPr="00A01EF4">
        <w:rPr>
          <w:rFonts w:eastAsia="Times New Roman" w:cs="Arial"/>
          <w:color w:val="000000"/>
          <w:lang w:val="en-US"/>
        </w:rPr>
        <w:t>Diovan</w:t>
      </w:r>
      <w:r w:rsidRPr="00A01EF4">
        <w:rPr>
          <w:rFonts w:eastAsia="Times New Roman" w:cs="Arial"/>
          <w:color w:val="000000"/>
        </w:rPr>
        <w:t xml:space="preserve"> </w:t>
      </w:r>
      <w:r w:rsidRPr="00A01EF4">
        <w:rPr>
          <w:rFonts w:eastAsia="Times New Roman" w:cs="Arial"/>
          <w:color w:val="000000"/>
          <w:lang w:val="en-US"/>
        </w:rPr>
        <w:t>Reduction</w:t>
      </w:r>
      <w:r w:rsidRPr="00A01EF4">
        <w:rPr>
          <w:rFonts w:eastAsia="Times New Roman" w:cs="Arial"/>
          <w:color w:val="000000"/>
        </w:rPr>
        <w:t xml:space="preserve"> </w:t>
      </w:r>
      <w:r w:rsidRPr="00A01EF4">
        <w:rPr>
          <w:rFonts w:eastAsia="Times New Roman" w:cs="Arial"/>
          <w:color w:val="000000"/>
          <w:lang w:val="en-US"/>
        </w:rPr>
        <w:t>of</w:t>
      </w:r>
      <w:r w:rsidRPr="00A01EF4">
        <w:rPr>
          <w:rFonts w:eastAsia="Times New Roman" w:cs="Arial"/>
          <w:color w:val="000000"/>
        </w:rPr>
        <w:t xml:space="preserve"> </w:t>
      </w:r>
      <w:r w:rsidRPr="00A01EF4">
        <w:rPr>
          <w:rFonts w:eastAsia="Times New Roman" w:cs="Arial"/>
          <w:color w:val="000000"/>
          <w:lang w:val="en-US"/>
        </w:rPr>
        <w:t>Proteinuria</w:t>
      </w:r>
      <w:r w:rsidRPr="00A01EF4">
        <w:rPr>
          <w:rFonts w:eastAsia="Times New Roman" w:cs="Arial"/>
          <w:color w:val="000000"/>
        </w:rPr>
        <w:t>) (</w:t>
      </w:r>
      <w:r w:rsidRPr="00A01EF4">
        <w:rPr>
          <w:rFonts w:eastAsia="Times New Roman" w:cs="Arial"/>
          <w:color w:val="000000"/>
          <w:lang w:val="en-US"/>
        </w:rPr>
        <w:t>DROP</w:t>
      </w:r>
      <w:r w:rsidRPr="00A01EF4">
        <w:rPr>
          <w:rFonts w:eastAsia="Times New Roman" w:cs="Arial"/>
          <w:color w:val="000000"/>
        </w:rPr>
        <w:t xml:space="preserve">) </w:t>
      </w:r>
      <w:r w:rsidRPr="00A01EF4">
        <w:rPr>
          <w:rFonts w:eastAsia="Times New Roman" w:cs="Arial"/>
          <w:color w:val="000000"/>
          <w:lang w:eastAsia="bg-BG"/>
        </w:rPr>
        <w:t xml:space="preserve">изследва допълнително ефикасността на валсартан при редуциране на </w:t>
      </w:r>
      <w:r w:rsidRPr="00A01EF4">
        <w:rPr>
          <w:rFonts w:eastAsia="Times New Roman" w:cs="Arial"/>
          <w:color w:val="000000"/>
          <w:lang w:val="en-US"/>
        </w:rPr>
        <w:t>UAE</w:t>
      </w:r>
      <w:r w:rsidRPr="00A01EF4">
        <w:rPr>
          <w:rFonts w:eastAsia="Times New Roman" w:cs="Arial"/>
          <w:color w:val="000000"/>
        </w:rPr>
        <w:t xml:space="preserve"> </w:t>
      </w:r>
      <w:r w:rsidRPr="00A01EF4">
        <w:rPr>
          <w:rFonts w:eastAsia="Times New Roman" w:cs="Arial"/>
          <w:color w:val="000000"/>
          <w:lang w:eastAsia="bg-BG"/>
        </w:rPr>
        <w:t xml:space="preserve">при </w:t>
      </w:r>
      <w:r w:rsidRPr="00A01EF4">
        <w:rPr>
          <w:rFonts w:eastAsia="Times New Roman" w:cs="Arial"/>
          <w:color w:val="000000"/>
          <w:lang w:eastAsia="bg-BG"/>
        </w:rPr>
        <w:lastRenderedPageBreak/>
        <w:t xml:space="preserve">391 пациенти с хипертония (АН=150/88 </w:t>
      </w:r>
      <w:r w:rsidRPr="00A01EF4">
        <w:rPr>
          <w:rFonts w:eastAsia="Times New Roman" w:cs="Arial"/>
          <w:color w:val="000000"/>
          <w:lang w:val="en-US"/>
        </w:rPr>
        <w:t>mmHg</w:t>
      </w:r>
      <w:r w:rsidRPr="00A01EF4">
        <w:rPr>
          <w:rFonts w:eastAsia="Times New Roman" w:cs="Arial"/>
          <w:color w:val="000000"/>
        </w:rPr>
        <w:t xml:space="preserve">) </w:t>
      </w:r>
      <w:r w:rsidRPr="00A01EF4">
        <w:rPr>
          <w:rFonts w:eastAsia="Times New Roman" w:cs="Arial"/>
          <w:color w:val="000000"/>
          <w:lang w:eastAsia="bg-BG"/>
        </w:rPr>
        <w:t>с диабет тип 2, албуминурия (средна стойност=102 μ</w:t>
      </w:r>
      <w:r w:rsidRPr="00A01EF4">
        <w:rPr>
          <w:rFonts w:eastAsia="Times New Roman" w:cs="Arial"/>
          <w:color w:val="000000"/>
          <w:lang w:val="en-US"/>
        </w:rPr>
        <w:t>g</w:t>
      </w:r>
      <w:r w:rsidRPr="00A01EF4">
        <w:rPr>
          <w:rFonts w:eastAsia="Times New Roman" w:cs="Arial"/>
          <w:color w:val="000000"/>
        </w:rPr>
        <w:t>/</w:t>
      </w:r>
      <w:r w:rsidRPr="00A01EF4">
        <w:rPr>
          <w:rFonts w:eastAsia="Times New Roman" w:cs="Arial"/>
          <w:color w:val="000000"/>
          <w:lang w:val="en-US"/>
        </w:rPr>
        <w:t>min</w:t>
      </w:r>
      <w:r w:rsidRPr="00A01EF4">
        <w:rPr>
          <w:rFonts w:eastAsia="Times New Roman" w:cs="Arial"/>
          <w:color w:val="000000"/>
        </w:rPr>
        <w:t xml:space="preserve">; </w:t>
      </w:r>
      <w:r w:rsidRPr="00A01EF4">
        <w:rPr>
          <w:rFonts w:eastAsia="Times New Roman" w:cs="Arial"/>
          <w:color w:val="000000"/>
          <w:lang w:eastAsia="bg-BG"/>
        </w:rPr>
        <w:t xml:space="preserve">20- 700 </w:t>
      </w:r>
      <w:proofErr w:type="spellStart"/>
      <w:r w:rsidRPr="00A01EF4">
        <w:rPr>
          <w:rFonts w:eastAsia="Times New Roman" w:cs="Arial"/>
          <w:color w:val="000000"/>
          <w:lang w:val="en-US"/>
        </w:rPr>
        <w:t>pg</w:t>
      </w:r>
      <w:proofErr w:type="spellEnd"/>
      <w:r w:rsidRPr="00A01EF4">
        <w:rPr>
          <w:rFonts w:eastAsia="Times New Roman" w:cs="Arial"/>
          <w:color w:val="000000"/>
        </w:rPr>
        <w:t>/</w:t>
      </w:r>
      <w:r w:rsidRPr="00A01EF4">
        <w:rPr>
          <w:rFonts w:eastAsia="Times New Roman" w:cs="Arial"/>
          <w:color w:val="000000"/>
          <w:lang w:val="en-US"/>
        </w:rPr>
        <w:t>min</w:t>
      </w:r>
      <w:r w:rsidRPr="00A01EF4">
        <w:rPr>
          <w:rFonts w:eastAsia="Times New Roman" w:cs="Arial"/>
          <w:color w:val="000000"/>
        </w:rPr>
        <w:t xml:space="preserve">) </w:t>
      </w:r>
      <w:r w:rsidRPr="00A01EF4">
        <w:rPr>
          <w:rFonts w:eastAsia="Times New Roman" w:cs="Arial"/>
          <w:color w:val="000000"/>
          <w:lang w:eastAsia="bg-BG"/>
        </w:rPr>
        <w:t xml:space="preserve">и запазена бъбречна функция (среден серумен креатинин=80 </w:t>
      </w:r>
      <w:proofErr w:type="spellStart"/>
      <w:r w:rsidRPr="00A01EF4">
        <w:rPr>
          <w:rFonts w:eastAsia="Times New Roman" w:cs="Arial"/>
          <w:color w:val="000000"/>
          <w:lang w:val="en-US"/>
        </w:rPr>
        <w:t>pmol</w:t>
      </w:r>
      <w:proofErr w:type="spellEnd"/>
      <w:r w:rsidRPr="00A01EF4">
        <w:rPr>
          <w:rFonts w:eastAsia="Times New Roman" w:cs="Arial"/>
          <w:color w:val="000000"/>
        </w:rPr>
        <w:t xml:space="preserve">/1). </w:t>
      </w:r>
      <w:r w:rsidRPr="00A01EF4">
        <w:rPr>
          <w:rFonts w:eastAsia="Times New Roman" w:cs="Arial"/>
          <w:color w:val="000000"/>
          <w:lang w:eastAsia="bg-BG"/>
        </w:rPr>
        <w:t xml:space="preserve">Пациентите са рандомизирани на една от 3-те дози валсартан (160, 320 и 640 </w:t>
      </w:r>
      <w:r w:rsidRPr="00A01EF4">
        <w:rPr>
          <w:rFonts w:eastAsia="Times New Roman" w:cs="Arial"/>
          <w:color w:val="000000"/>
          <w:lang w:val="en-US"/>
        </w:rPr>
        <w:t>mg</w:t>
      </w:r>
      <w:r w:rsidRPr="00A01EF4">
        <w:rPr>
          <w:rFonts w:eastAsia="Times New Roman" w:cs="Arial"/>
          <w:color w:val="000000"/>
          <w:lang w:eastAsia="bg-BG"/>
        </w:rPr>
        <w:t xml:space="preserve">/ден) и лекувани в продължение на 30 седмици. Целта на проучването е да установи оптималната доза валсартан за редуциране на </w:t>
      </w:r>
      <w:r w:rsidRPr="00A01EF4">
        <w:rPr>
          <w:rFonts w:eastAsia="Times New Roman" w:cs="Arial"/>
          <w:color w:val="000000"/>
          <w:lang w:val="en-US"/>
        </w:rPr>
        <w:t>UAE</w:t>
      </w:r>
      <w:r w:rsidRPr="00A01EF4">
        <w:rPr>
          <w:rFonts w:eastAsia="Times New Roman" w:cs="Arial"/>
          <w:color w:val="000000"/>
          <w:lang w:val="ru-RU"/>
        </w:rPr>
        <w:t xml:space="preserve"> </w:t>
      </w:r>
      <w:r w:rsidRPr="00A01EF4">
        <w:rPr>
          <w:rFonts w:eastAsia="Times New Roman" w:cs="Arial"/>
          <w:color w:val="000000"/>
          <w:lang w:eastAsia="bg-BG"/>
        </w:rPr>
        <w:t xml:space="preserve">при пациенти с хипертония и диабет тип 2. След 30 седмици процентната промяна в </w:t>
      </w:r>
      <w:r w:rsidRPr="00A01EF4">
        <w:rPr>
          <w:rFonts w:eastAsia="Times New Roman" w:cs="Arial"/>
          <w:color w:val="000000"/>
          <w:lang w:val="en-US"/>
        </w:rPr>
        <w:t>UAE</w:t>
      </w:r>
      <w:r w:rsidRPr="00A01EF4">
        <w:rPr>
          <w:rFonts w:eastAsia="Times New Roman" w:cs="Arial"/>
          <w:color w:val="000000"/>
          <w:lang w:val="ru-RU"/>
        </w:rPr>
        <w:t xml:space="preserve"> </w:t>
      </w:r>
      <w:r w:rsidRPr="00A01EF4">
        <w:rPr>
          <w:rFonts w:eastAsia="Times New Roman" w:cs="Arial"/>
          <w:color w:val="000000"/>
          <w:lang w:eastAsia="bg-BG"/>
        </w:rPr>
        <w:t xml:space="preserve">е значително намалена с 36% от изходната стойност с валсартан 160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(95% </w:t>
      </w:r>
      <w:r w:rsidRPr="00A01EF4">
        <w:rPr>
          <w:rFonts w:eastAsia="Times New Roman" w:cs="Arial"/>
          <w:color w:val="000000"/>
          <w:lang w:val="en-US"/>
        </w:rPr>
        <w:t>CI</w:t>
      </w:r>
      <w:r w:rsidRPr="00A01EF4">
        <w:rPr>
          <w:rFonts w:eastAsia="Times New Roman" w:cs="Arial"/>
          <w:color w:val="000000"/>
          <w:lang w:val="ru-RU"/>
        </w:rPr>
        <w:t xml:space="preserve">: </w:t>
      </w:r>
      <w:r w:rsidRPr="00A01EF4">
        <w:rPr>
          <w:rFonts w:eastAsia="Times New Roman" w:cs="Arial"/>
          <w:color w:val="000000"/>
          <w:lang w:eastAsia="bg-BG"/>
        </w:rPr>
        <w:t xml:space="preserve">22 до 47%) и с 44% с валсартан 320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(95%С</w:t>
      </w:r>
      <w:r w:rsidRPr="00A01EF4">
        <w:rPr>
          <w:rFonts w:eastAsia="Times New Roman" w:cs="Arial"/>
          <w:color w:val="000000"/>
          <w:lang w:val="en-US"/>
        </w:rPr>
        <w:t>I</w:t>
      </w:r>
      <w:r w:rsidRPr="00A01EF4">
        <w:rPr>
          <w:rFonts w:eastAsia="Times New Roman" w:cs="Arial"/>
          <w:color w:val="000000"/>
          <w:lang w:eastAsia="bg-BG"/>
        </w:rPr>
        <w:t xml:space="preserve">: 31 до 54%). Направено е заключение, че 160-320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валсартан води до клинично значими редукции на </w:t>
      </w:r>
      <w:r w:rsidRPr="00A01EF4">
        <w:rPr>
          <w:rFonts w:eastAsia="Times New Roman" w:cs="Arial"/>
          <w:color w:val="000000"/>
          <w:lang w:val="en-US"/>
        </w:rPr>
        <w:t>UAE</w:t>
      </w:r>
      <w:r w:rsidRPr="00A01EF4">
        <w:rPr>
          <w:rFonts w:eastAsia="Times New Roman" w:cs="Arial"/>
          <w:color w:val="000000"/>
          <w:lang w:val="ru-RU"/>
        </w:rPr>
        <w:t xml:space="preserve"> </w:t>
      </w:r>
      <w:r w:rsidRPr="00A01EF4">
        <w:rPr>
          <w:rFonts w:eastAsia="Times New Roman" w:cs="Arial"/>
          <w:color w:val="000000"/>
          <w:lang w:eastAsia="bg-BG"/>
        </w:rPr>
        <w:t>при пациенти с хипертония и диабет тип 2.</w:t>
      </w:r>
    </w:p>
    <w:p w14:paraId="6928D567" w14:textId="77777777" w:rsidR="00A01EF4" w:rsidRDefault="00A01EF4" w:rsidP="00A01EF4">
      <w:pPr>
        <w:spacing w:line="240" w:lineRule="auto"/>
        <w:rPr>
          <w:rFonts w:eastAsia="Times New Roman" w:cs="Arial"/>
          <w:color w:val="000000"/>
          <w:u w:val="single"/>
          <w:lang w:eastAsia="bg-BG"/>
        </w:rPr>
      </w:pPr>
    </w:p>
    <w:p w14:paraId="31B7323D" w14:textId="27079697"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Пресен миокарден инфаркт</w:t>
      </w:r>
    </w:p>
    <w:p w14:paraId="5C0F1830"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Проучването Валсартан при остър миокарден инфаркт </w:t>
      </w:r>
      <w:r w:rsidRPr="00A01EF4">
        <w:rPr>
          <w:rFonts w:eastAsia="Times New Roman" w:cs="Arial"/>
          <w:color w:val="000000"/>
          <w:lang w:val="ru-RU"/>
        </w:rPr>
        <w:t>(</w:t>
      </w:r>
      <w:proofErr w:type="spellStart"/>
      <w:r w:rsidRPr="00A01EF4">
        <w:rPr>
          <w:rFonts w:eastAsia="Times New Roman" w:cs="Arial"/>
          <w:color w:val="000000"/>
          <w:lang w:val="en-US"/>
        </w:rPr>
        <w:t>VALsartan</w:t>
      </w:r>
      <w:proofErr w:type="spellEnd"/>
      <w:r w:rsidRPr="00A01EF4">
        <w:rPr>
          <w:rFonts w:eastAsia="Times New Roman" w:cs="Arial"/>
          <w:color w:val="000000"/>
          <w:lang w:val="ru-RU"/>
        </w:rPr>
        <w:t xml:space="preserve"> </w:t>
      </w:r>
      <w:r w:rsidRPr="00A01EF4">
        <w:rPr>
          <w:rFonts w:eastAsia="Times New Roman" w:cs="Arial"/>
          <w:color w:val="000000"/>
          <w:lang w:val="en-US"/>
        </w:rPr>
        <w:t>In</w:t>
      </w:r>
      <w:r w:rsidRPr="00A01EF4">
        <w:rPr>
          <w:rFonts w:eastAsia="Times New Roman" w:cs="Arial"/>
          <w:color w:val="000000"/>
          <w:lang w:val="ru-RU"/>
        </w:rPr>
        <w:t xml:space="preserve"> </w:t>
      </w:r>
      <w:r w:rsidRPr="00A01EF4">
        <w:rPr>
          <w:rFonts w:eastAsia="Times New Roman" w:cs="Arial"/>
          <w:color w:val="000000"/>
          <w:lang w:val="en-US"/>
        </w:rPr>
        <w:t>Acute</w:t>
      </w:r>
      <w:r w:rsidRPr="00A01EF4">
        <w:rPr>
          <w:rFonts w:eastAsia="Times New Roman" w:cs="Arial"/>
          <w:color w:val="000000"/>
          <w:lang w:val="ru-RU"/>
        </w:rPr>
        <w:t xml:space="preserve"> </w:t>
      </w:r>
      <w:r w:rsidRPr="00A01EF4">
        <w:rPr>
          <w:rFonts w:eastAsia="Times New Roman" w:cs="Arial"/>
          <w:color w:val="000000"/>
          <w:lang w:val="en-US"/>
        </w:rPr>
        <w:t>myocardial</w:t>
      </w:r>
      <w:r w:rsidRPr="00A01EF4">
        <w:rPr>
          <w:rFonts w:eastAsia="Times New Roman" w:cs="Arial"/>
          <w:color w:val="000000"/>
          <w:lang w:val="ru-RU"/>
        </w:rPr>
        <w:t xml:space="preserve"> </w:t>
      </w:r>
      <w:proofErr w:type="spellStart"/>
      <w:r w:rsidRPr="00A01EF4">
        <w:rPr>
          <w:rFonts w:eastAsia="Times New Roman" w:cs="Arial"/>
          <w:color w:val="000000"/>
          <w:lang w:val="en-US"/>
        </w:rPr>
        <w:t>iNfarcTion</w:t>
      </w:r>
      <w:proofErr w:type="spellEnd"/>
      <w:r w:rsidRPr="00A01EF4">
        <w:rPr>
          <w:rFonts w:eastAsia="Times New Roman" w:cs="Arial"/>
          <w:color w:val="000000"/>
          <w:lang w:val="ru-RU"/>
        </w:rPr>
        <w:t>) (</w:t>
      </w:r>
      <w:r w:rsidRPr="00A01EF4">
        <w:rPr>
          <w:rFonts w:eastAsia="Times New Roman" w:cs="Arial"/>
          <w:color w:val="000000"/>
          <w:lang w:val="en-US"/>
        </w:rPr>
        <w:t>VALIANT</w:t>
      </w:r>
      <w:r w:rsidRPr="00A01EF4">
        <w:rPr>
          <w:rFonts w:eastAsia="Times New Roman" w:cs="Arial"/>
          <w:color w:val="000000"/>
          <w:lang w:val="ru-RU"/>
        </w:rPr>
        <w:t xml:space="preserve">) </w:t>
      </w:r>
      <w:r w:rsidRPr="00A01EF4">
        <w:rPr>
          <w:rFonts w:eastAsia="Times New Roman" w:cs="Arial"/>
          <w:color w:val="000000"/>
          <w:lang w:eastAsia="bg-BG"/>
        </w:rPr>
        <w:t>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&lt;40% чрез радионуклидна вентрикулография или &lt;35% чрез ехокардиография или вентрикулна контрастна ангиография). Пациентите са рандомизирани спрямо валсартан, каптоприл или комбинация от двата лекарствени продукта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на настъпване на смърт поради всякакви причини (обща смъртност).</w:t>
      </w:r>
    </w:p>
    <w:p w14:paraId="49DC6821" w14:textId="77777777" w:rsidR="00A01EF4" w:rsidRDefault="00A01EF4" w:rsidP="00A01EF4">
      <w:pPr>
        <w:spacing w:line="240" w:lineRule="auto"/>
        <w:rPr>
          <w:rFonts w:eastAsia="Times New Roman" w:cs="Arial"/>
          <w:color w:val="000000"/>
          <w:lang w:eastAsia="bg-BG"/>
        </w:rPr>
      </w:pPr>
    </w:p>
    <w:p w14:paraId="4A1FE358" w14:textId="5E8FB33F" w:rsidR="00A01EF4" w:rsidRPr="00A01EF4" w:rsidRDefault="00A01EF4" w:rsidP="00A01EF4">
      <w:pPr>
        <w:spacing w:line="240" w:lineRule="auto"/>
        <w:rPr>
          <w:rFonts w:eastAsia="Times New Roman" w:cs="Arial"/>
        </w:rPr>
      </w:pPr>
      <w:r w:rsidRPr="00A01EF4">
        <w:rPr>
          <w:rFonts w:eastAsia="Times New Roman" w:cs="Arial"/>
          <w:color w:val="000000"/>
          <w:lang w:eastAsia="bg-BG"/>
        </w:rPr>
        <w:t>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642AB738" w14:textId="77777777" w:rsidR="00A01EF4" w:rsidRDefault="00A01EF4" w:rsidP="00A01EF4">
      <w:pPr>
        <w:spacing w:line="240" w:lineRule="auto"/>
        <w:rPr>
          <w:rFonts w:eastAsia="Times New Roman" w:cs="Arial"/>
          <w:color w:val="000000"/>
          <w:lang w:eastAsia="bg-BG"/>
        </w:rPr>
      </w:pPr>
    </w:p>
    <w:p w14:paraId="4461951D" w14:textId="27939793" w:rsidR="00A01EF4" w:rsidRPr="00A01EF4" w:rsidRDefault="00A01EF4" w:rsidP="00A01EF4">
      <w:pPr>
        <w:spacing w:line="240" w:lineRule="auto"/>
        <w:rPr>
          <w:rFonts w:eastAsia="Times New Roman" w:cs="Arial"/>
        </w:rPr>
      </w:pPr>
      <w:r w:rsidRPr="00A01EF4">
        <w:rPr>
          <w:rFonts w:eastAsia="Times New Roman" w:cs="Arial"/>
          <w:color w:val="000000"/>
          <w:lang w:eastAsia="bg-BG"/>
        </w:rPr>
        <w:t>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лекувани с каптоприл. Прекъсване поради различни видове бъбречна дисфункция настъпват при 1,1% от пациентите, лекувани с валсартан, 1,3%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543068E1" w14:textId="77777777" w:rsidR="00A01EF4" w:rsidRDefault="00A01EF4" w:rsidP="00A01EF4">
      <w:pPr>
        <w:spacing w:line="240" w:lineRule="auto"/>
        <w:rPr>
          <w:rFonts w:eastAsia="Times New Roman" w:cs="Arial"/>
          <w:color w:val="000000"/>
          <w:lang w:eastAsia="bg-BG"/>
        </w:rPr>
      </w:pPr>
    </w:p>
    <w:p w14:paraId="6EA253D2" w14:textId="55C3D0DC" w:rsidR="00A01EF4" w:rsidRPr="00A01EF4" w:rsidRDefault="00A01EF4" w:rsidP="00A01EF4">
      <w:pPr>
        <w:spacing w:line="240" w:lineRule="auto"/>
        <w:rPr>
          <w:rFonts w:eastAsia="Times New Roman" w:cs="Arial"/>
        </w:rPr>
      </w:pPr>
      <w:r w:rsidRPr="00A01EF4">
        <w:rPr>
          <w:rFonts w:eastAsia="Times New Roman" w:cs="Arial"/>
          <w:color w:val="000000"/>
          <w:lang w:eastAsia="bg-BG"/>
        </w:rPr>
        <w:t>Няма разлика в смъртност по всякаква причина, сърдечно-съдовата смъртност и заболяемост, когато се прилагат бета-блокери едновременно с комбинацията валсартан + каптоприл, само валсартан или само каптоприл. Независимо от лечението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539C9197" w14:textId="77777777" w:rsidR="00A01EF4" w:rsidRDefault="00A01EF4" w:rsidP="00A01EF4">
      <w:pPr>
        <w:spacing w:line="240" w:lineRule="auto"/>
        <w:rPr>
          <w:rFonts w:eastAsia="Times New Roman" w:cs="Arial"/>
          <w:color w:val="000000"/>
          <w:u w:val="single"/>
          <w:lang w:eastAsia="bg-BG"/>
        </w:rPr>
      </w:pPr>
    </w:p>
    <w:p w14:paraId="64769AC5" w14:textId="60345B39"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Сърдечна недостатъчност</w:t>
      </w:r>
    </w:p>
    <w:p w14:paraId="6811BC02" w14:textId="77777777" w:rsidR="00A01EF4" w:rsidRPr="00A01EF4" w:rsidRDefault="00A01EF4" w:rsidP="00A01EF4">
      <w:pPr>
        <w:rPr>
          <w:rFonts w:eastAsia="Times New Roman" w:cs="Arial"/>
        </w:rPr>
      </w:pPr>
      <w:r w:rsidRPr="00A01EF4">
        <w:rPr>
          <w:rFonts w:eastAsia="Times New Roman" w:cs="Arial"/>
          <w:color w:val="000000"/>
          <w:lang w:val="en-US"/>
        </w:rPr>
        <w:lastRenderedPageBreak/>
        <w:t>Val</w:t>
      </w:r>
      <w:r w:rsidRPr="00A01EF4">
        <w:rPr>
          <w:rFonts w:eastAsia="Times New Roman" w:cs="Arial"/>
          <w:color w:val="000000"/>
          <w:lang w:val="ru-RU"/>
        </w:rPr>
        <w:t>-</w:t>
      </w:r>
      <w:proofErr w:type="spellStart"/>
      <w:r w:rsidRPr="00A01EF4">
        <w:rPr>
          <w:rFonts w:eastAsia="Times New Roman" w:cs="Arial"/>
          <w:color w:val="000000"/>
          <w:lang w:val="en-US"/>
        </w:rPr>
        <w:t>HeFT</w:t>
      </w:r>
      <w:proofErr w:type="spellEnd"/>
      <w:r w:rsidRPr="00A01EF4">
        <w:rPr>
          <w:rFonts w:eastAsia="Times New Roman" w:cs="Arial"/>
          <w:color w:val="000000"/>
          <w:lang w:val="ru-RU"/>
        </w:rPr>
        <w:t xml:space="preserve"> </w:t>
      </w:r>
      <w:r w:rsidRPr="00A01EF4">
        <w:rPr>
          <w:rFonts w:eastAsia="Times New Roman" w:cs="Arial"/>
          <w:color w:val="000000"/>
          <w:lang w:eastAsia="bg-BG"/>
        </w:rPr>
        <w:t xml:space="preserve">е рандомизирано, контролирано, многонационално клинично проучване на валсартан, сравнен с плацебо върху заболеваемостта и смъртността при 5 010 пациенти със сърдечна недостатъчност с </w:t>
      </w:r>
      <w:r w:rsidRPr="00A01EF4">
        <w:rPr>
          <w:rFonts w:eastAsia="Times New Roman" w:cs="Arial"/>
          <w:color w:val="000000"/>
          <w:lang w:val="en-US"/>
        </w:rPr>
        <w:t>NYHA</w:t>
      </w:r>
      <w:r w:rsidRPr="00A01EF4">
        <w:rPr>
          <w:rFonts w:eastAsia="Times New Roman" w:cs="Arial"/>
          <w:color w:val="000000"/>
          <w:lang w:val="ru-RU"/>
        </w:rPr>
        <w:t xml:space="preserve"> </w:t>
      </w:r>
      <w:r w:rsidRPr="00A01EF4">
        <w:rPr>
          <w:rFonts w:eastAsia="Times New Roman" w:cs="Arial"/>
          <w:color w:val="000000"/>
          <w:lang w:eastAsia="bg-BG"/>
        </w:rPr>
        <w:t>клас II (62%), III (36%) и IV (2%), получаващи обичайна терапия с левокамерна ФИ &lt;40% и левокамерен вътрешен диастолен диаметър (</w:t>
      </w:r>
      <w:r w:rsidRPr="00A01EF4">
        <w:rPr>
          <w:rFonts w:eastAsia="Times New Roman" w:cs="Arial"/>
          <w:color w:val="000000"/>
          <w:lang w:val="en-US"/>
        </w:rPr>
        <w:t>LVIDD</w:t>
      </w:r>
      <w:r w:rsidRPr="00A01EF4">
        <w:rPr>
          <w:rFonts w:eastAsia="Times New Roman" w:cs="Arial"/>
          <w:color w:val="000000"/>
          <w:lang w:val="ru-RU"/>
        </w:rPr>
        <w:t>)</w:t>
      </w:r>
      <w:r>
        <w:rPr>
          <w:rFonts w:eastAsia="Times New Roman" w:cs="Arial"/>
        </w:rPr>
        <w:t xml:space="preserve"> </w:t>
      </w:r>
      <w:r w:rsidRPr="00A01EF4">
        <w:rPr>
          <w:rFonts w:eastAsia="Times New Roman" w:cs="Arial"/>
          <w:color w:val="000000"/>
          <w:lang w:eastAsia="bg-BG"/>
        </w:rPr>
        <w:t>&gt;2</w:t>
      </w:r>
      <w:proofErr w:type="gramStart"/>
      <w:r w:rsidRPr="00A01EF4">
        <w:rPr>
          <w:rFonts w:eastAsia="Times New Roman" w:cs="Arial"/>
          <w:color w:val="000000"/>
          <w:lang w:eastAsia="bg-BG"/>
        </w:rPr>
        <w:t>,9</w:t>
      </w:r>
      <w:proofErr w:type="gramEnd"/>
      <w:r w:rsidRPr="00A01EF4">
        <w:rPr>
          <w:rFonts w:eastAsia="Times New Roman" w:cs="Arial"/>
          <w:color w:val="000000"/>
          <w:lang w:eastAsia="bg-BG"/>
        </w:rPr>
        <w:t xml:space="preserve"> </w:t>
      </w:r>
      <w:r w:rsidRPr="00A01EF4">
        <w:rPr>
          <w:rFonts w:eastAsia="Times New Roman" w:cs="Arial"/>
          <w:color w:val="000000"/>
          <w:lang w:val="en-US"/>
        </w:rPr>
        <w:t>cm</w:t>
      </w:r>
      <w:r w:rsidRPr="00A01EF4">
        <w:rPr>
          <w:rFonts w:eastAsia="Times New Roman" w:cs="Arial"/>
          <w:color w:val="000000"/>
          <w:lang w:val="ru-RU"/>
        </w:rPr>
        <w:t>/</w:t>
      </w:r>
      <w:r w:rsidRPr="00A01EF4">
        <w:rPr>
          <w:rFonts w:eastAsia="Times New Roman" w:cs="Arial"/>
          <w:color w:val="000000"/>
          <w:lang w:val="en-US"/>
        </w:rPr>
        <w:t>m</w:t>
      </w:r>
      <w:r w:rsidRPr="00A01EF4">
        <w:rPr>
          <w:rFonts w:eastAsia="Times New Roman" w:cs="Arial"/>
          <w:color w:val="000000"/>
          <w:vertAlign w:val="superscript"/>
          <w:lang w:val="ru-RU"/>
        </w:rPr>
        <w:t>2</w:t>
      </w:r>
      <w:r w:rsidRPr="00A01EF4">
        <w:rPr>
          <w:rFonts w:eastAsia="Times New Roman" w:cs="Arial"/>
          <w:color w:val="000000"/>
          <w:lang w:val="ru-RU"/>
        </w:rPr>
        <w:t xml:space="preserve">. </w:t>
      </w:r>
      <w:r w:rsidRPr="00A01EF4">
        <w:rPr>
          <w:rFonts w:eastAsia="Times New Roman" w:cs="Arial"/>
          <w:color w:val="000000"/>
          <w:lang w:eastAsia="bg-BG"/>
        </w:rPr>
        <w:t>Основната терапия включва АСЕ инхибитори (93%), диуретици (86%), дигоксин (67%) и бета-блокери (36%). Средната продължителност на проследяването е приблизително</w:t>
      </w:r>
      <w:r>
        <w:rPr>
          <w:rFonts w:eastAsia="Times New Roman" w:cs="Arial"/>
          <w:color w:val="000000"/>
          <w:lang w:eastAsia="bg-BG"/>
        </w:rPr>
        <w:t xml:space="preserve"> </w:t>
      </w:r>
      <w:r w:rsidRPr="00A01EF4">
        <w:rPr>
          <w:rFonts w:eastAsia="Times New Roman" w:cs="Arial"/>
          <w:color w:val="000000"/>
          <w:lang w:eastAsia="bg-BG"/>
        </w:rPr>
        <w:t xml:space="preserve">две години. Средната дневна доза на </w:t>
      </w:r>
      <w:r w:rsidRPr="00A01EF4">
        <w:rPr>
          <w:rFonts w:eastAsia="Times New Roman" w:cs="Arial"/>
          <w:color w:val="000000"/>
          <w:lang w:val="en-US"/>
        </w:rPr>
        <w:t>Diovan</w:t>
      </w:r>
      <w:r w:rsidRPr="00A01EF4">
        <w:rPr>
          <w:rFonts w:eastAsia="Times New Roman" w:cs="Arial"/>
          <w:color w:val="000000"/>
          <w:lang w:val="ru-RU"/>
        </w:rPr>
        <w:t xml:space="preserve"> </w:t>
      </w:r>
      <w:r w:rsidRPr="00A01EF4">
        <w:rPr>
          <w:rFonts w:eastAsia="Times New Roman" w:cs="Arial"/>
          <w:color w:val="000000"/>
          <w:lang w:eastAsia="bg-BG"/>
        </w:rPr>
        <w:t xml:space="preserve">във </w:t>
      </w:r>
      <w:r w:rsidRPr="00A01EF4">
        <w:rPr>
          <w:rFonts w:eastAsia="Times New Roman" w:cs="Arial"/>
          <w:color w:val="000000"/>
          <w:lang w:val="en-US"/>
        </w:rPr>
        <w:t>Val</w:t>
      </w:r>
      <w:r w:rsidRPr="00A01EF4">
        <w:rPr>
          <w:rFonts w:eastAsia="Times New Roman" w:cs="Arial"/>
          <w:color w:val="000000"/>
          <w:lang w:val="ru-RU"/>
        </w:rPr>
        <w:t>-</w:t>
      </w:r>
      <w:proofErr w:type="spellStart"/>
      <w:r w:rsidRPr="00A01EF4">
        <w:rPr>
          <w:rFonts w:eastAsia="Times New Roman" w:cs="Arial"/>
          <w:color w:val="000000"/>
          <w:lang w:val="en-US"/>
        </w:rPr>
        <w:t>HeFT</w:t>
      </w:r>
      <w:proofErr w:type="spellEnd"/>
      <w:r w:rsidRPr="00A01EF4">
        <w:rPr>
          <w:rFonts w:eastAsia="Times New Roman" w:cs="Arial"/>
          <w:color w:val="000000"/>
          <w:lang w:val="ru-RU"/>
        </w:rPr>
        <w:t xml:space="preserve"> </w:t>
      </w:r>
      <w:r w:rsidRPr="00A01EF4">
        <w:rPr>
          <w:rFonts w:eastAsia="Times New Roman" w:cs="Arial"/>
          <w:color w:val="000000"/>
          <w:lang w:eastAsia="bg-BG"/>
        </w:rPr>
        <w:t xml:space="preserve">е 254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Проучването има две първични крайни точки: обща смъртност (време до настъпване на смъртта) съставна смъртност и заболеваемост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w:t>
      </w:r>
    </w:p>
    <w:p w14:paraId="6EDEABE0" w14:textId="77777777" w:rsidR="00A01EF4" w:rsidRDefault="00A01EF4" w:rsidP="00A01EF4">
      <w:pPr>
        <w:spacing w:line="240" w:lineRule="auto"/>
        <w:rPr>
          <w:rFonts w:eastAsia="Times New Roman" w:cs="Arial"/>
          <w:color w:val="000000"/>
          <w:lang w:eastAsia="bg-BG"/>
        </w:rPr>
      </w:pPr>
    </w:p>
    <w:p w14:paraId="0B667D35" w14:textId="0D0AB56C" w:rsidR="00A01EF4" w:rsidRPr="00A01EF4" w:rsidRDefault="00A01EF4" w:rsidP="00A01EF4">
      <w:pPr>
        <w:spacing w:line="240" w:lineRule="auto"/>
        <w:rPr>
          <w:rFonts w:eastAsia="Times New Roman" w:cs="Arial"/>
          <w:color w:val="000000"/>
          <w:lang w:eastAsia="bg-BG"/>
        </w:rPr>
      </w:pPr>
      <w:r w:rsidRPr="00A01EF4">
        <w:rPr>
          <w:rFonts w:eastAsia="Times New Roman" w:cs="Arial"/>
          <w:color w:val="000000"/>
          <w:lang w:eastAsia="bg-BG"/>
        </w:rPr>
        <w:t xml:space="preserve">Смъртността по всички причини е подобна в групите </w:t>
      </w:r>
      <w:r w:rsidRPr="00A01EF4">
        <w:rPr>
          <w:rFonts w:eastAsia="Times New Roman" w:cs="Arial"/>
          <w:color w:val="000000"/>
          <w:lang w:val="ru-RU"/>
        </w:rPr>
        <w:t>(</w:t>
      </w:r>
      <w:r w:rsidRPr="00A01EF4">
        <w:rPr>
          <w:rFonts w:eastAsia="Times New Roman" w:cs="Arial"/>
          <w:color w:val="000000"/>
          <w:lang w:val="en-US"/>
        </w:rPr>
        <w:t>p</w:t>
      </w:r>
      <w:r w:rsidRPr="00A01EF4">
        <w:rPr>
          <w:rFonts w:eastAsia="Times New Roman" w:cs="Arial"/>
          <w:color w:val="000000"/>
          <w:lang w:val="ru-RU"/>
        </w:rPr>
        <w:t>=</w:t>
      </w:r>
      <w:r w:rsidRPr="00A01EF4">
        <w:rPr>
          <w:rFonts w:eastAsia="Times New Roman" w:cs="Arial"/>
          <w:color w:val="000000"/>
          <w:lang w:val="en-US"/>
        </w:rPr>
        <w:t>NS</w:t>
      </w:r>
      <w:r w:rsidRPr="00A01EF4">
        <w:rPr>
          <w:rFonts w:eastAsia="Times New Roman" w:cs="Arial"/>
          <w:color w:val="000000"/>
          <w:lang w:val="ru-RU"/>
        </w:rPr>
        <w:t xml:space="preserve">) </w:t>
      </w:r>
      <w:r w:rsidRPr="00A01EF4">
        <w:rPr>
          <w:rFonts w:eastAsia="Times New Roman" w:cs="Arial"/>
          <w:color w:val="000000"/>
          <w:lang w:eastAsia="bg-BG"/>
        </w:rPr>
        <w:t xml:space="preserve">с валсартан (19,7%) и плацебо (19,4%). Първичната полза е 27,5% (95% </w:t>
      </w:r>
      <w:r w:rsidRPr="00A01EF4">
        <w:rPr>
          <w:rFonts w:eastAsia="Times New Roman" w:cs="Arial"/>
          <w:color w:val="000000"/>
          <w:lang w:val="en-US"/>
        </w:rPr>
        <w:t>CI</w:t>
      </w:r>
      <w:r w:rsidRPr="00A01EF4">
        <w:rPr>
          <w:rFonts w:eastAsia="Times New Roman" w:cs="Arial"/>
          <w:color w:val="000000"/>
          <w:lang w:val="ru-RU"/>
        </w:rPr>
        <w:t>: 17</w:t>
      </w:r>
      <w:r w:rsidRPr="00A01EF4">
        <w:rPr>
          <w:rFonts w:eastAsia="Times New Roman" w:cs="Arial"/>
          <w:color w:val="000000"/>
          <w:lang w:eastAsia="bg-BG"/>
        </w:rPr>
        <w:t xml:space="preserve"> до 37%) намаляване на риска за времето до първата хоспитализация по повод на сърдечна недостатъчност (13,9% спрямо 18,5%).</w:t>
      </w:r>
    </w:p>
    <w:p w14:paraId="75DE23FB" w14:textId="4EEFA434" w:rsidR="00A01EF4" w:rsidRPr="00A01EF4" w:rsidRDefault="00A01EF4" w:rsidP="00A01EF4">
      <w:pPr>
        <w:spacing w:line="240" w:lineRule="auto"/>
        <w:rPr>
          <w:rFonts w:eastAsia="Times New Roman" w:cs="Arial"/>
        </w:rPr>
      </w:pPr>
      <w:r w:rsidRPr="00A01EF4">
        <w:rPr>
          <w:rFonts w:eastAsia="Times New Roman" w:cs="Arial"/>
          <w:color w:val="000000"/>
          <w:lang w:eastAsia="bg-BG"/>
        </w:rPr>
        <w:t>Резултати, изглеждащи в полза на плацебо (съставната смъртност и заболеваемостта е 21,9% с плацебо спрямо 25,4% в групата с валсартан), са наблюдавани при пациентите, приемащи тройна комбинация от АСЕ инхибитор, бета-блокер и валсартан.</w:t>
      </w:r>
    </w:p>
    <w:p w14:paraId="42846364" w14:textId="77777777" w:rsidR="00A01EF4" w:rsidRDefault="00A01EF4" w:rsidP="00A01EF4">
      <w:pPr>
        <w:spacing w:line="240" w:lineRule="auto"/>
        <w:rPr>
          <w:rFonts w:eastAsia="Times New Roman" w:cs="Arial"/>
          <w:color w:val="000000"/>
          <w:lang w:eastAsia="bg-BG"/>
        </w:rPr>
      </w:pPr>
    </w:p>
    <w:p w14:paraId="66174A32" w14:textId="5A7B2D44" w:rsidR="00A01EF4" w:rsidRPr="00A01EF4" w:rsidRDefault="00A01EF4" w:rsidP="00A01EF4">
      <w:pPr>
        <w:spacing w:line="240" w:lineRule="auto"/>
        <w:rPr>
          <w:rFonts w:eastAsia="Times New Roman" w:cs="Arial"/>
        </w:rPr>
      </w:pPr>
      <w:r w:rsidRPr="00A01EF4">
        <w:rPr>
          <w:rFonts w:eastAsia="Times New Roman" w:cs="Arial"/>
          <w:color w:val="000000"/>
          <w:lang w:eastAsia="bg-BG"/>
        </w:rPr>
        <w:t>В подгрупата на пациентите, които не приемат АСЕ инхибитор (</w:t>
      </w:r>
      <w:r w:rsidRPr="00A01EF4">
        <w:rPr>
          <w:rFonts w:eastAsia="Times New Roman" w:cs="Arial"/>
          <w:color w:val="000000"/>
          <w:lang w:val="en-US"/>
        </w:rPr>
        <w:t>n</w:t>
      </w:r>
      <w:r w:rsidRPr="00A01EF4">
        <w:rPr>
          <w:rFonts w:eastAsia="Times New Roman" w:cs="Arial"/>
          <w:color w:val="000000"/>
          <w:lang w:eastAsia="bg-BG"/>
        </w:rPr>
        <w:t xml:space="preserve">=366), ползите по отношение на заболеваемостта са най-големи. В тази подгрупа смъртността по всички причини е значително намалена с валсартан, в сравнение с плацебо с 33% (95% </w:t>
      </w:r>
      <w:r w:rsidRPr="00A01EF4">
        <w:rPr>
          <w:rFonts w:eastAsia="Times New Roman" w:cs="Arial"/>
          <w:color w:val="000000"/>
          <w:lang w:val="en-US"/>
        </w:rPr>
        <w:t>CI</w:t>
      </w:r>
      <w:r w:rsidRPr="00A01EF4">
        <w:rPr>
          <w:rFonts w:eastAsia="Times New Roman" w:cs="Arial"/>
          <w:color w:val="000000"/>
          <w:lang w:val="ru-RU"/>
        </w:rPr>
        <w:t xml:space="preserve">: </w:t>
      </w:r>
      <w:r w:rsidRPr="00A01EF4">
        <w:rPr>
          <w:rFonts w:eastAsia="Times New Roman" w:cs="Arial"/>
          <w:color w:val="000000"/>
          <w:lang w:eastAsia="bg-BG"/>
        </w:rPr>
        <w:t>-6% до 58%) (17,3% валсартан спрямо 27,1% плацебо) и съставната смъртност и риска за заболеваемост са значително намалени с 44% (24,9% валсартан спрямо 42,5% плацебо).</w:t>
      </w:r>
    </w:p>
    <w:p w14:paraId="6C6C803A" w14:textId="77777777" w:rsidR="00A01EF4" w:rsidRDefault="00A01EF4" w:rsidP="00A01EF4">
      <w:pPr>
        <w:spacing w:line="240" w:lineRule="auto"/>
        <w:rPr>
          <w:rFonts w:eastAsia="Times New Roman" w:cs="Arial"/>
          <w:color w:val="000000"/>
          <w:lang w:eastAsia="bg-BG"/>
        </w:rPr>
      </w:pPr>
    </w:p>
    <w:p w14:paraId="26863D4D" w14:textId="6BE5DD6D"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При пациенти, които приемат АСЕ инхибитор без бета-блокер, смъртността по всички причини е подобна </w:t>
      </w:r>
      <w:r w:rsidRPr="00A01EF4">
        <w:rPr>
          <w:rFonts w:eastAsia="Times New Roman" w:cs="Arial"/>
          <w:color w:val="000000"/>
          <w:lang w:val="ru-RU"/>
        </w:rPr>
        <w:t>(</w:t>
      </w:r>
      <w:r w:rsidRPr="00A01EF4">
        <w:rPr>
          <w:rFonts w:eastAsia="Times New Roman" w:cs="Arial"/>
          <w:color w:val="000000"/>
          <w:lang w:val="en-US"/>
        </w:rPr>
        <w:t>p</w:t>
      </w:r>
      <w:r w:rsidRPr="00A01EF4">
        <w:rPr>
          <w:rFonts w:eastAsia="Times New Roman" w:cs="Arial"/>
          <w:color w:val="000000"/>
          <w:lang w:val="ru-RU"/>
        </w:rPr>
        <w:t>=</w:t>
      </w:r>
      <w:r w:rsidRPr="00A01EF4">
        <w:rPr>
          <w:rFonts w:eastAsia="Times New Roman" w:cs="Arial"/>
          <w:color w:val="000000"/>
          <w:lang w:val="en-US"/>
        </w:rPr>
        <w:t>NS</w:t>
      </w:r>
      <w:r w:rsidRPr="00A01EF4">
        <w:rPr>
          <w:rFonts w:eastAsia="Times New Roman" w:cs="Arial"/>
          <w:color w:val="000000"/>
          <w:lang w:val="ru-RU"/>
        </w:rPr>
        <w:t xml:space="preserve">) </w:t>
      </w:r>
      <w:r w:rsidRPr="00A01EF4">
        <w:rPr>
          <w:rFonts w:eastAsia="Times New Roman" w:cs="Arial"/>
          <w:color w:val="000000"/>
          <w:lang w:eastAsia="bg-BG"/>
        </w:rPr>
        <w:t xml:space="preserve">в групите с валсартан (21,8%) и плацебо (22,5%). Съставната смъртност и рискът за заболеваемост са значително намалени с 18,3% (95% </w:t>
      </w:r>
      <w:r w:rsidRPr="00A01EF4">
        <w:rPr>
          <w:rFonts w:eastAsia="Times New Roman" w:cs="Arial"/>
          <w:color w:val="000000"/>
          <w:lang w:val="en-US"/>
        </w:rPr>
        <w:t>CI</w:t>
      </w:r>
      <w:r w:rsidRPr="00A01EF4">
        <w:rPr>
          <w:rFonts w:eastAsia="Times New Roman" w:cs="Arial"/>
          <w:color w:val="000000"/>
          <w:lang w:val="ru-RU"/>
        </w:rPr>
        <w:t xml:space="preserve">: </w:t>
      </w:r>
      <w:r w:rsidRPr="00A01EF4">
        <w:rPr>
          <w:rFonts w:eastAsia="Times New Roman" w:cs="Arial"/>
          <w:color w:val="000000"/>
          <w:lang w:eastAsia="bg-BG"/>
        </w:rPr>
        <w:t xml:space="preserve">8% </w:t>
      </w:r>
      <w:r w:rsidRPr="00A01EF4">
        <w:rPr>
          <w:rFonts w:eastAsia="Times New Roman" w:cs="Arial"/>
          <w:color w:val="000000"/>
          <w:lang w:val="en-US"/>
        </w:rPr>
        <w:t>to</w:t>
      </w:r>
      <w:r w:rsidRPr="00A01EF4">
        <w:rPr>
          <w:rFonts w:eastAsia="Times New Roman" w:cs="Arial"/>
          <w:color w:val="000000"/>
          <w:lang w:val="ru-RU"/>
        </w:rPr>
        <w:t xml:space="preserve"> </w:t>
      </w:r>
      <w:r w:rsidRPr="00A01EF4">
        <w:rPr>
          <w:rFonts w:eastAsia="Times New Roman" w:cs="Arial"/>
          <w:color w:val="000000"/>
          <w:lang w:eastAsia="bg-BG"/>
        </w:rPr>
        <w:t>28%) с валсартан в сравнение с плацебо (31,0% спрямо 36,3%).</w:t>
      </w:r>
    </w:p>
    <w:p w14:paraId="6417B162" w14:textId="77777777" w:rsidR="00A01EF4" w:rsidRDefault="00A01EF4" w:rsidP="00A01EF4">
      <w:pPr>
        <w:spacing w:line="240" w:lineRule="auto"/>
        <w:rPr>
          <w:rFonts w:eastAsia="Times New Roman" w:cs="Arial"/>
          <w:color w:val="000000"/>
          <w:lang w:eastAsia="bg-BG"/>
        </w:rPr>
      </w:pPr>
    </w:p>
    <w:p w14:paraId="06EA8459" w14:textId="198024FD"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 общата популация на </w:t>
      </w:r>
      <w:r w:rsidRPr="00A01EF4">
        <w:rPr>
          <w:rFonts w:eastAsia="Times New Roman" w:cs="Arial"/>
          <w:color w:val="000000"/>
          <w:lang w:val="en-US"/>
        </w:rPr>
        <w:t>Val</w:t>
      </w:r>
      <w:r w:rsidRPr="00A01EF4">
        <w:rPr>
          <w:rFonts w:eastAsia="Times New Roman" w:cs="Arial"/>
          <w:color w:val="000000"/>
          <w:lang w:val="ru-RU"/>
        </w:rPr>
        <w:t>-</w:t>
      </w:r>
      <w:proofErr w:type="spellStart"/>
      <w:r w:rsidRPr="00A01EF4">
        <w:rPr>
          <w:rFonts w:eastAsia="Times New Roman" w:cs="Arial"/>
          <w:color w:val="000000"/>
          <w:lang w:val="en-US"/>
        </w:rPr>
        <w:t>HeFT</w:t>
      </w:r>
      <w:proofErr w:type="spellEnd"/>
      <w:r w:rsidRPr="00A01EF4">
        <w:rPr>
          <w:rFonts w:eastAsia="Times New Roman" w:cs="Arial"/>
          <w:color w:val="000000"/>
          <w:lang w:val="ru-RU"/>
        </w:rPr>
        <w:t xml:space="preserve"> </w:t>
      </w:r>
      <w:r w:rsidRPr="00A01EF4">
        <w:rPr>
          <w:rFonts w:eastAsia="Times New Roman" w:cs="Arial"/>
          <w:color w:val="000000"/>
          <w:lang w:eastAsia="bg-BG"/>
        </w:rPr>
        <w:t xml:space="preserve">популацията, пациентите, лекувани с валсартан, показват в сравнение с плацебо значимо подобрение на класа по </w:t>
      </w:r>
      <w:r w:rsidRPr="00A01EF4">
        <w:rPr>
          <w:rFonts w:eastAsia="Times New Roman" w:cs="Arial"/>
          <w:color w:val="000000"/>
          <w:lang w:val="en-US"/>
        </w:rPr>
        <w:t>NYHA</w:t>
      </w:r>
      <w:r w:rsidRPr="00A01EF4">
        <w:rPr>
          <w:rFonts w:eastAsia="Times New Roman" w:cs="Arial"/>
          <w:color w:val="000000"/>
          <w:lang w:val="ru-RU"/>
        </w:rPr>
        <w:t xml:space="preserve">, </w:t>
      </w:r>
      <w:r w:rsidRPr="00A01EF4">
        <w:rPr>
          <w:rFonts w:eastAsia="Times New Roman" w:cs="Arial"/>
          <w:color w:val="000000"/>
          <w:lang w:eastAsia="bg-BG"/>
        </w:rPr>
        <w:t xml:space="preserve">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 скалата на </w:t>
      </w:r>
      <w:r w:rsidRPr="00A01EF4">
        <w:rPr>
          <w:rFonts w:eastAsia="Times New Roman" w:cs="Arial"/>
          <w:color w:val="000000"/>
          <w:lang w:val="en-US"/>
        </w:rPr>
        <w:t>Minnesota</w:t>
      </w:r>
      <w:r w:rsidRPr="00A01EF4">
        <w:rPr>
          <w:rFonts w:eastAsia="Times New Roman" w:cs="Arial"/>
          <w:color w:val="000000"/>
          <w:lang w:val="ru-RU"/>
        </w:rPr>
        <w:t xml:space="preserve"> </w:t>
      </w:r>
      <w:r w:rsidRPr="00A01EF4">
        <w:rPr>
          <w:rFonts w:eastAsia="Times New Roman" w:cs="Arial"/>
          <w:color w:val="000000"/>
          <w:lang w:val="en-US"/>
        </w:rPr>
        <w:t>Living</w:t>
      </w:r>
      <w:r w:rsidRPr="00A01EF4">
        <w:rPr>
          <w:rFonts w:eastAsia="Times New Roman" w:cs="Arial"/>
          <w:color w:val="000000"/>
          <w:lang w:val="ru-RU"/>
        </w:rPr>
        <w:t xml:space="preserve"> </w:t>
      </w:r>
      <w:r w:rsidRPr="00A01EF4">
        <w:rPr>
          <w:rFonts w:eastAsia="Times New Roman" w:cs="Arial"/>
          <w:color w:val="000000"/>
          <w:lang w:val="en-US"/>
        </w:rPr>
        <w:t>with</w:t>
      </w:r>
      <w:r w:rsidRPr="00A01EF4">
        <w:rPr>
          <w:rFonts w:eastAsia="Times New Roman" w:cs="Arial"/>
          <w:color w:val="000000"/>
          <w:lang w:val="ru-RU"/>
        </w:rPr>
        <w:t xml:space="preserve"> </w:t>
      </w:r>
      <w:r w:rsidRPr="00A01EF4">
        <w:rPr>
          <w:rFonts w:eastAsia="Times New Roman" w:cs="Arial"/>
          <w:color w:val="000000"/>
          <w:lang w:val="en-US"/>
        </w:rPr>
        <w:t>Heart</w:t>
      </w:r>
      <w:r w:rsidRPr="00A01EF4">
        <w:rPr>
          <w:rFonts w:eastAsia="Times New Roman" w:cs="Arial"/>
          <w:color w:val="000000"/>
          <w:lang w:val="ru-RU"/>
        </w:rPr>
        <w:t xml:space="preserve"> </w:t>
      </w:r>
      <w:r w:rsidRPr="00A01EF4">
        <w:rPr>
          <w:rFonts w:eastAsia="Times New Roman" w:cs="Arial"/>
          <w:color w:val="000000"/>
          <w:lang w:val="en-US"/>
        </w:rPr>
        <w:t>Failure</w:t>
      </w:r>
      <w:r w:rsidRPr="00A01EF4">
        <w:rPr>
          <w:rFonts w:eastAsia="Times New Roman" w:cs="Arial"/>
          <w:color w:val="000000"/>
          <w:lang w:val="ru-RU"/>
        </w:rPr>
        <w:t xml:space="preserve"> </w:t>
      </w:r>
      <w:r w:rsidRPr="00A01EF4">
        <w:rPr>
          <w:rFonts w:eastAsia="Times New Roman" w:cs="Arial"/>
          <w:color w:val="000000"/>
          <w:lang w:val="en-US"/>
        </w:rPr>
        <w:t>Quality</w:t>
      </w:r>
      <w:r w:rsidRPr="00A01EF4">
        <w:rPr>
          <w:rFonts w:eastAsia="Times New Roman" w:cs="Arial"/>
          <w:color w:val="000000"/>
          <w:lang w:val="ru-RU"/>
        </w:rPr>
        <w:t xml:space="preserve"> </w:t>
      </w:r>
      <w:r w:rsidRPr="00A01EF4">
        <w:rPr>
          <w:rFonts w:eastAsia="Times New Roman" w:cs="Arial"/>
          <w:color w:val="000000"/>
          <w:lang w:val="en-US"/>
        </w:rPr>
        <w:t>of</w:t>
      </w:r>
      <w:r w:rsidRPr="00A01EF4">
        <w:rPr>
          <w:rFonts w:eastAsia="Times New Roman" w:cs="Arial"/>
          <w:color w:val="000000"/>
          <w:lang w:val="ru-RU"/>
        </w:rPr>
        <w:t xml:space="preserve"> </w:t>
      </w:r>
      <w:r w:rsidRPr="00A01EF4">
        <w:rPr>
          <w:rFonts w:eastAsia="Times New Roman" w:cs="Arial"/>
          <w:color w:val="000000"/>
          <w:lang w:val="en-US"/>
        </w:rPr>
        <w:t>Life</w:t>
      </w:r>
      <w:r w:rsidRPr="00A01EF4">
        <w:rPr>
          <w:rFonts w:eastAsia="Times New Roman" w:cs="Arial"/>
          <w:color w:val="000000"/>
          <w:lang w:val="ru-RU"/>
        </w:rPr>
        <w:t xml:space="preserve"> </w:t>
      </w:r>
      <w:r w:rsidRPr="00A01EF4">
        <w:rPr>
          <w:rFonts w:eastAsia="Times New Roman" w:cs="Arial"/>
          <w:color w:val="000000"/>
          <w:lang w:eastAsia="bg-BG"/>
        </w:rPr>
        <w:t xml:space="preserve">от изходното ниво до крайната точка на проучването. При пациентите, лекувани с валсартан значимо се повишава фракцията на изтласкване и значимо се понижава </w:t>
      </w:r>
      <w:r w:rsidRPr="00A01EF4">
        <w:rPr>
          <w:rFonts w:eastAsia="Times New Roman" w:cs="Arial"/>
          <w:color w:val="000000"/>
          <w:lang w:val="en-US"/>
        </w:rPr>
        <w:t>LVIDD</w:t>
      </w:r>
      <w:r w:rsidRPr="00A01EF4">
        <w:rPr>
          <w:rFonts w:eastAsia="Times New Roman" w:cs="Arial"/>
          <w:color w:val="000000"/>
          <w:lang w:val="ru-RU"/>
        </w:rPr>
        <w:t xml:space="preserve"> </w:t>
      </w:r>
      <w:r w:rsidRPr="00A01EF4">
        <w:rPr>
          <w:rFonts w:eastAsia="Times New Roman" w:cs="Arial"/>
          <w:color w:val="000000"/>
          <w:lang w:eastAsia="bg-BG"/>
        </w:rPr>
        <w:t>от изходното ниво до крайната точка по време на проучването в сравнение с плацебо.</w:t>
      </w:r>
    </w:p>
    <w:p w14:paraId="3241EA9B" w14:textId="77777777" w:rsidR="00A01EF4" w:rsidRDefault="00A01EF4" w:rsidP="00A01EF4">
      <w:pPr>
        <w:spacing w:line="240" w:lineRule="auto"/>
        <w:rPr>
          <w:rFonts w:eastAsia="Times New Roman" w:cs="Arial"/>
          <w:color w:val="000000"/>
          <w:u w:val="single"/>
          <w:lang w:eastAsia="bg-BG"/>
        </w:rPr>
      </w:pPr>
    </w:p>
    <w:p w14:paraId="6DE407D8" w14:textId="7BFCF4A2"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Други: двойна блокада на ренин-ангиотензин-алдостероновата система (РААС)</w:t>
      </w:r>
    </w:p>
    <w:p w14:paraId="600DEE8A"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Две големи рандомизирани контролирани проучвания - </w:t>
      </w:r>
      <w:r w:rsidRPr="00A01EF4">
        <w:rPr>
          <w:rFonts w:eastAsia="Times New Roman" w:cs="Arial"/>
          <w:color w:val="000000"/>
          <w:lang w:val="en-US"/>
        </w:rPr>
        <w:t>ONTARGET</w:t>
      </w:r>
      <w:r w:rsidRPr="00A01EF4">
        <w:rPr>
          <w:rFonts w:eastAsia="Times New Roman" w:cs="Arial"/>
          <w:color w:val="000000"/>
        </w:rPr>
        <w:t xml:space="preserve"> (</w:t>
      </w:r>
      <w:proofErr w:type="spellStart"/>
      <w:r w:rsidRPr="00A01EF4">
        <w:rPr>
          <w:rFonts w:eastAsia="Times New Roman" w:cs="Arial"/>
          <w:color w:val="000000"/>
          <w:lang w:val="en-US"/>
        </w:rPr>
        <w:t>ONgoing</w:t>
      </w:r>
      <w:proofErr w:type="spellEnd"/>
      <w:r w:rsidRPr="00A01EF4">
        <w:rPr>
          <w:rFonts w:eastAsia="Times New Roman" w:cs="Arial"/>
          <w:color w:val="000000"/>
        </w:rPr>
        <w:t xml:space="preserve"> </w:t>
      </w:r>
      <w:proofErr w:type="spellStart"/>
      <w:r w:rsidRPr="00A01EF4">
        <w:rPr>
          <w:rFonts w:eastAsia="Times New Roman" w:cs="Arial"/>
          <w:color w:val="000000"/>
          <w:lang w:val="en-US"/>
        </w:rPr>
        <w:t>Telmisartan</w:t>
      </w:r>
      <w:proofErr w:type="spellEnd"/>
      <w:r w:rsidRPr="00A01EF4">
        <w:rPr>
          <w:rFonts w:eastAsia="Times New Roman" w:cs="Arial"/>
          <w:color w:val="000000"/>
        </w:rPr>
        <w:t xml:space="preserve"> </w:t>
      </w:r>
      <w:r w:rsidRPr="00A01EF4">
        <w:rPr>
          <w:rFonts w:eastAsia="Times New Roman" w:cs="Arial"/>
          <w:color w:val="000000"/>
          <w:lang w:val="en-US"/>
        </w:rPr>
        <w:t>Alone</w:t>
      </w:r>
      <w:r w:rsidRPr="00A01EF4">
        <w:rPr>
          <w:rFonts w:eastAsia="Times New Roman" w:cs="Arial"/>
          <w:color w:val="000000"/>
        </w:rPr>
        <w:t xml:space="preserve"> </w:t>
      </w:r>
      <w:r w:rsidRPr="00A01EF4">
        <w:rPr>
          <w:rFonts w:eastAsia="Times New Roman" w:cs="Arial"/>
          <w:color w:val="000000"/>
          <w:lang w:val="en-US"/>
        </w:rPr>
        <w:t>and</w:t>
      </w:r>
      <w:r w:rsidRPr="00A01EF4">
        <w:rPr>
          <w:rFonts w:eastAsia="Times New Roman" w:cs="Arial"/>
          <w:color w:val="000000"/>
        </w:rPr>
        <w:t xml:space="preserve"> </w:t>
      </w:r>
      <w:r w:rsidRPr="00A01EF4">
        <w:rPr>
          <w:rFonts w:eastAsia="Times New Roman" w:cs="Arial"/>
          <w:color w:val="000000"/>
          <w:lang w:val="en-US"/>
        </w:rPr>
        <w:t>in</w:t>
      </w:r>
      <w:r w:rsidRPr="00A01EF4">
        <w:rPr>
          <w:rFonts w:eastAsia="Times New Roman" w:cs="Arial"/>
          <w:color w:val="000000"/>
        </w:rPr>
        <w:t xml:space="preserve"> </w:t>
      </w:r>
      <w:r w:rsidRPr="00A01EF4">
        <w:rPr>
          <w:rFonts w:eastAsia="Times New Roman" w:cs="Arial"/>
          <w:color w:val="000000"/>
          <w:lang w:val="en-US"/>
        </w:rPr>
        <w:t>combination</w:t>
      </w:r>
      <w:r w:rsidRPr="00A01EF4">
        <w:rPr>
          <w:rFonts w:eastAsia="Times New Roman" w:cs="Arial"/>
          <w:color w:val="000000"/>
        </w:rPr>
        <w:t xml:space="preserve"> </w:t>
      </w:r>
      <w:r w:rsidRPr="00A01EF4">
        <w:rPr>
          <w:rFonts w:eastAsia="Times New Roman" w:cs="Arial"/>
          <w:color w:val="000000"/>
          <w:lang w:val="en-US"/>
        </w:rPr>
        <w:t>with</w:t>
      </w:r>
      <w:r w:rsidRPr="00A01EF4">
        <w:rPr>
          <w:rFonts w:eastAsia="Times New Roman" w:cs="Arial"/>
          <w:color w:val="000000"/>
        </w:rPr>
        <w:t xml:space="preserve"> </w:t>
      </w:r>
      <w:r w:rsidRPr="00A01EF4">
        <w:rPr>
          <w:rFonts w:eastAsia="Times New Roman" w:cs="Arial"/>
          <w:color w:val="000000"/>
          <w:lang w:val="en-US"/>
        </w:rPr>
        <w:t>Ramipril</w:t>
      </w:r>
      <w:r w:rsidRPr="00A01EF4">
        <w:rPr>
          <w:rFonts w:eastAsia="Times New Roman" w:cs="Arial"/>
          <w:color w:val="000000"/>
        </w:rPr>
        <w:t xml:space="preserve"> </w:t>
      </w:r>
      <w:r w:rsidRPr="00A01EF4">
        <w:rPr>
          <w:rFonts w:eastAsia="Times New Roman" w:cs="Arial"/>
          <w:color w:val="000000"/>
          <w:lang w:val="en-US"/>
        </w:rPr>
        <w:t>Global</w:t>
      </w:r>
      <w:r w:rsidRPr="00A01EF4">
        <w:rPr>
          <w:rFonts w:eastAsia="Times New Roman" w:cs="Arial"/>
          <w:color w:val="000000"/>
        </w:rPr>
        <w:t xml:space="preserve"> </w:t>
      </w:r>
      <w:r w:rsidRPr="00A01EF4">
        <w:rPr>
          <w:rFonts w:eastAsia="Times New Roman" w:cs="Arial"/>
          <w:color w:val="000000"/>
          <w:lang w:val="en-US"/>
        </w:rPr>
        <w:t>Endpoint</w:t>
      </w:r>
      <w:r w:rsidRPr="00A01EF4">
        <w:rPr>
          <w:rFonts w:eastAsia="Times New Roman" w:cs="Arial"/>
          <w:color w:val="000000"/>
        </w:rPr>
        <w:t xml:space="preserve"> </w:t>
      </w:r>
      <w:r w:rsidRPr="00A01EF4">
        <w:rPr>
          <w:rFonts w:eastAsia="Times New Roman" w:cs="Arial"/>
          <w:color w:val="000000"/>
          <w:lang w:val="en-US"/>
        </w:rPr>
        <w:t>Trial</w:t>
      </w:r>
      <w:r w:rsidRPr="00A01EF4">
        <w:rPr>
          <w:rFonts w:eastAsia="Times New Roman" w:cs="Arial"/>
          <w:color w:val="000000"/>
        </w:rPr>
        <w:t xml:space="preserve"> - </w:t>
      </w:r>
      <w:r w:rsidRPr="00A01EF4">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01EF4">
        <w:rPr>
          <w:rFonts w:eastAsia="Times New Roman" w:cs="Arial"/>
          <w:color w:val="000000"/>
          <w:lang w:val="en-US"/>
        </w:rPr>
        <w:t>VA</w:t>
      </w:r>
      <w:r w:rsidRPr="00A01EF4">
        <w:rPr>
          <w:rFonts w:eastAsia="Times New Roman" w:cs="Arial"/>
          <w:color w:val="000000"/>
        </w:rPr>
        <w:t xml:space="preserve"> </w:t>
      </w:r>
      <w:r w:rsidRPr="00A01EF4">
        <w:rPr>
          <w:rFonts w:eastAsia="Times New Roman" w:cs="Arial"/>
          <w:color w:val="000000"/>
          <w:lang w:val="en-US"/>
        </w:rPr>
        <w:t>NEPHRON</w:t>
      </w:r>
      <w:r w:rsidRPr="00A01EF4">
        <w:rPr>
          <w:rFonts w:eastAsia="Times New Roman" w:cs="Arial"/>
          <w:color w:val="000000"/>
        </w:rPr>
        <w:t>-</w:t>
      </w:r>
      <w:r w:rsidRPr="00A01EF4">
        <w:rPr>
          <w:rFonts w:eastAsia="Times New Roman" w:cs="Arial"/>
          <w:color w:val="000000"/>
          <w:lang w:val="en-US"/>
        </w:rPr>
        <w:t>D</w:t>
      </w:r>
      <w:r w:rsidRPr="00A01EF4">
        <w:rPr>
          <w:rFonts w:eastAsia="Times New Roman" w:cs="Arial"/>
          <w:color w:val="000000"/>
        </w:rPr>
        <w:t xml:space="preserve"> </w:t>
      </w:r>
      <w:r w:rsidRPr="00A01EF4">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A01EF4">
        <w:rPr>
          <w:rFonts w:eastAsia="Times New Roman" w:cs="Arial"/>
          <w:color w:val="000000"/>
          <w:lang w:val="en-US"/>
        </w:rPr>
        <w:t>II</w:t>
      </w:r>
      <w:r w:rsidRPr="00A01EF4">
        <w:rPr>
          <w:rFonts w:eastAsia="Times New Roman" w:cs="Arial"/>
          <w:color w:val="000000"/>
          <w:lang w:eastAsia="bg-BG"/>
        </w:rPr>
        <w:t>-рецепторен блокер.</w:t>
      </w:r>
    </w:p>
    <w:p w14:paraId="05EDD566" w14:textId="77777777" w:rsidR="00A01EF4" w:rsidRDefault="00A01EF4" w:rsidP="00A01EF4">
      <w:pPr>
        <w:spacing w:line="240" w:lineRule="auto"/>
        <w:rPr>
          <w:rFonts w:eastAsia="Times New Roman" w:cs="Arial"/>
          <w:color w:val="000000"/>
          <w:lang w:val="en-US"/>
        </w:rPr>
      </w:pPr>
    </w:p>
    <w:p w14:paraId="118514C1" w14:textId="25D20A9C" w:rsidR="00A01EF4" w:rsidRPr="00A01EF4" w:rsidRDefault="00A01EF4" w:rsidP="00A01EF4">
      <w:pPr>
        <w:spacing w:line="240" w:lineRule="auto"/>
        <w:rPr>
          <w:rFonts w:eastAsia="Times New Roman" w:cs="Arial"/>
        </w:rPr>
      </w:pPr>
      <w:r w:rsidRPr="00A01EF4">
        <w:rPr>
          <w:rFonts w:eastAsia="Times New Roman" w:cs="Arial"/>
          <w:color w:val="000000"/>
          <w:lang w:val="en-US"/>
        </w:rPr>
        <w:lastRenderedPageBreak/>
        <w:t>ONTARGET</w:t>
      </w:r>
      <w:r w:rsidRPr="00A01EF4">
        <w:rPr>
          <w:rFonts w:eastAsia="Times New Roman" w:cs="Arial"/>
          <w:color w:val="000000"/>
          <w:lang w:val="ru-RU"/>
        </w:rPr>
        <w:t xml:space="preserve"> </w:t>
      </w:r>
      <w:r w:rsidRPr="00A01EF4">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A01EF4">
        <w:rPr>
          <w:rFonts w:eastAsia="Times New Roman" w:cs="Arial"/>
          <w:color w:val="000000"/>
          <w:lang w:val="en-US"/>
        </w:rPr>
        <w:t>VA</w:t>
      </w:r>
      <w:r w:rsidRPr="00A01EF4">
        <w:rPr>
          <w:rFonts w:eastAsia="Times New Roman" w:cs="Arial"/>
          <w:color w:val="000000"/>
          <w:lang w:val="ru-RU"/>
        </w:rPr>
        <w:t xml:space="preserve"> </w:t>
      </w:r>
      <w:r w:rsidRPr="00A01EF4">
        <w:rPr>
          <w:rFonts w:eastAsia="Times New Roman" w:cs="Arial"/>
          <w:color w:val="000000"/>
          <w:lang w:val="en-US"/>
        </w:rPr>
        <w:t>NEPHRON</w:t>
      </w:r>
      <w:r w:rsidRPr="00A01EF4">
        <w:rPr>
          <w:rFonts w:eastAsia="Times New Roman" w:cs="Arial"/>
          <w:color w:val="000000"/>
          <w:lang w:val="ru-RU"/>
        </w:rPr>
        <w:t>-</w:t>
      </w:r>
      <w:r w:rsidRPr="00A01EF4">
        <w:rPr>
          <w:rFonts w:eastAsia="Times New Roman" w:cs="Arial"/>
          <w:color w:val="000000"/>
          <w:lang w:val="en-US"/>
        </w:rPr>
        <w:t>D</w:t>
      </w:r>
      <w:r w:rsidRPr="00A01EF4">
        <w:rPr>
          <w:rFonts w:eastAsia="Times New Roman" w:cs="Arial"/>
          <w:color w:val="000000"/>
          <w:lang w:val="ru-RU"/>
        </w:rPr>
        <w:t xml:space="preserve"> </w:t>
      </w:r>
      <w:r w:rsidRPr="00A01EF4">
        <w:rPr>
          <w:rFonts w:eastAsia="Times New Roman" w:cs="Arial"/>
          <w:color w:val="000000"/>
          <w:lang w:eastAsia="bg-BG"/>
        </w:rPr>
        <w:t xml:space="preserve">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A01EF4">
        <w:rPr>
          <w:rFonts w:eastAsia="Times New Roman" w:cs="Arial"/>
          <w:color w:val="000000"/>
          <w:lang w:val="en-US"/>
        </w:rPr>
        <w:t>II</w:t>
      </w:r>
      <w:r w:rsidRPr="00A01EF4">
        <w:rPr>
          <w:rFonts w:eastAsia="Times New Roman" w:cs="Arial"/>
          <w:color w:val="000000"/>
          <w:lang w:eastAsia="bg-BG"/>
        </w:rPr>
        <w:t xml:space="preserve">-рецепторни блокери. АСЕ инхибитори и ангиотензин </w:t>
      </w:r>
      <w:r w:rsidRPr="00A01EF4">
        <w:rPr>
          <w:rFonts w:eastAsia="Times New Roman" w:cs="Arial"/>
          <w:color w:val="000000"/>
          <w:lang w:val="en-US"/>
        </w:rPr>
        <w:t>II</w:t>
      </w:r>
      <w:r w:rsidRPr="00A01EF4">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1FF1B1E" w14:textId="77777777" w:rsidR="00A01EF4" w:rsidRDefault="00A01EF4" w:rsidP="00A01EF4">
      <w:pPr>
        <w:spacing w:line="240" w:lineRule="auto"/>
        <w:rPr>
          <w:rFonts w:eastAsia="Times New Roman" w:cs="Arial"/>
          <w:color w:val="000000"/>
          <w:lang w:val="en-US"/>
        </w:rPr>
      </w:pPr>
    </w:p>
    <w:p w14:paraId="4EE6FAA3" w14:textId="77777777" w:rsidR="00A01EF4" w:rsidRPr="00A01EF4" w:rsidRDefault="00A01EF4" w:rsidP="00A01EF4">
      <w:pPr>
        <w:rPr>
          <w:rFonts w:eastAsia="Times New Roman" w:cs="Arial"/>
        </w:rPr>
      </w:pPr>
      <w:r w:rsidRPr="00A01EF4">
        <w:rPr>
          <w:rFonts w:eastAsia="Times New Roman" w:cs="Arial"/>
          <w:color w:val="000000"/>
          <w:lang w:val="en-US"/>
        </w:rPr>
        <w:t>ALTITUDE</w:t>
      </w:r>
      <w:r w:rsidRPr="00A01EF4">
        <w:rPr>
          <w:rFonts w:eastAsia="Times New Roman" w:cs="Arial"/>
          <w:color w:val="000000"/>
          <w:lang w:val="ru-RU"/>
        </w:rPr>
        <w:t xml:space="preserve"> </w:t>
      </w:r>
      <w:r w:rsidRPr="00A01EF4">
        <w:rPr>
          <w:rFonts w:eastAsia="Times New Roman" w:cs="Arial"/>
          <w:color w:val="000000"/>
          <w:lang w:eastAsia="bg-BG"/>
        </w:rPr>
        <w:t xml:space="preserve">(Клинично проучване проведено с алискирен при пациенти със </w:t>
      </w:r>
      <w:r w:rsidRPr="00A01EF4">
        <w:rPr>
          <w:rFonts w:eastAsia="Times New Roman" w:cs="Arial"/>
          <w:i/>
          <w:iCs/>
          <w:color w:val="000000"/>
          <w:lang w:eastAsia="bg-BG"/>
        </w:rPr>
        <w:t>захарен диабет тип 2 с</w:t>
      </w:r>
      <w:r w:rsidRPr="00A01EF4">
        <w:rPr>
          <w:rFonts w:eastAsia="Times New Roman" w:cs="Arial"/>
          <w:color w:val="000000"/>
          <w:lang w:eastAsia="bg-BG"/>
        </w:rPr>
        <w:t xml:space="preserve">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A01EF4">
        <w:rPr>
          <w:rFonts w:eastAsia="Times New Roman" w:cs="Arial"/>
          <w:color w:val="000000"/>
          <w:lang w:val="en-US"/>
        </w:rPr>
        <w:t>ACE</w:t>
      </w:r>
      <w:r>
        <w:rPr>
          <w:rFonts w:eastAsia="Times New Roman" w:cs="Arial"/>
          <w:color w:val="000000"/>
        </w:rPr>
        <w:t xml:space="preserve"> </w:t>
      </w:r>
      <w:r w:rsidRPr="00A01EF4">
        <w:rPr>
          <w:rFonts w:eastAsia="Times New Roman" w:cs="Arial"/>
          <w:color w:val="000000"/>
          <w:lang w:eastAsia="bg-BG"/>
        </w:rPr>
        <w:t xml:space="preserve">инхибитор или ангиотензин </w:t>
      </w:r>
      <w:r w:rsidRPr="00A01EF4">
        <w:rPr>
          <w:rFonts w:eastAsia="Times New Roman" w:cs="Arial"/>
          <w:color w:val="000000"/>
          <w:lang w:val="en-US"/>
        </w:rPr>
        <w:t>II</w:t>
      </w:r>
      <w:r w:rsidRPr="00A01EF4">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64ACE75" w14:textId="77777777" w:rsidR="00A01EF4" w:rsidRDefault="00A01EF4" w:rsidP="00A01EF4">
      <w:pPr>
        <w:spacing w:line="240" w:lineRule="auto"/>
        <w:rPr>
          <w:rFonts w:eastAsia="Times New Roman" w:cs="Arial"/>
          <w:i/>
          <w:iCs/>
          <w:color w:val="000000"/>
          <w:u w:val="single"/>
          <w:lang w:eastAsia="bg-BG"/>
        </w:rPr>
      </w:pPr>
    </w:p>
    <w:p w14:paraId="0E2A298B" w14:textId="63FDAFB6"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Педиатрична популация</w:t>
      </w:r>
    </w:p>
    <w:p w14:paraId="6156BE1C" w14:textId="77777777" w:rsidR="00A01EF4" w:rsidRDefault="00A01EF4" w:rsidP="00A01EF4">
      <w:pPr>
        <w:spacing w:line="240" w:lineRule="auto"/>
        <w:rPr>
          <w:rFonts w:eastAsia="Times New Roman" w:cs="Arial"/>
          <w:color w:val="000000"/>
          <w:u w:val="single"/>
          <w:lang w:eastAsia="bg-BG"/>
        </w:rPr>
      </w:pPr>
    </w:p>
    <w:p w14:paraId="0288634F" w14:textId="4EDF2336"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Хипертония</w:t>
      </w:r>
    </w:p>
    <w:p w14:paraId="3305BC24" w14:textId="77777777" w:rsidR="00A01EF4" w:rsidRDefault="00A01EF4" w:rsidP="00A01EF4">
      <w:pPr>
        <w:spacing w:line="240" w:lineRule="auto"/>
        <w:rPr>
          <w:rFonts w:eastAsia="Times New Roman" w:cs="Arial"/>
          <w:color w:val="000000"/>
          <w:lang w:eastAsia="bg-BG"/>
        </w:rPr>
      </w:pPr>
    </w:p>
    <w:p w14:paraId="45568ED0" w14:textId="57C81CCD" w:rsidR="00A01EF4" w:rsidRPr="00A01EF4" w:rsidRDefault="00A01EF4" w:rsidP="00A01EF4">
      <w:pPr>
        <w:spacing w:line="240" w:lineRule="auto"/>
        <w:rPr>
          <w:rFonts w:eastAsia="Times New Roman" w:cs="Arial"/>
        </w:rPr>
      </w:pPr>
      <w:r w:rsidRPr="00A01EF4">
        <w:rPr>
          <w:rFonts w:eastAsia="Times New Roman" w:cs="Arial"/>
          <w:color w:val="000000"/>
          <w:lang w:eastAsia="bg-BG"/>
        </w:rPr>
        <w:t>Антихипертензивният ефект на валсартан е оценен в хода на четири рандомизирани, двойно- слепи клинични проучвания при 561 педиатрични пациенти на възраст от 6 до под 18 години и 165 педиатрични пациенти на възраст от 1 до 6 години. Нарушения на бъбреците и пикочните пътища и затлъстяване са най-честите подлежащи медицински състояния, които допринасят за развитието на хипертония при децата, включени в проучванията.</w:t>
      </w:r>
    </w:p>
    <w:p w14:paraId="483A50C8" w14:textId="77777777" w:rsidR="00A01EF4" w:rsidRDefault="00A01EF4" w:rsidP="00A01EF4">
      <w:pPr>
        <w:spacing w:line="240" w:lineRule="auto"/>
        <w:rPr>
          <w:rFonts w:eastAsia="Times New Roman" w:cs="Arial"/>
          <w:i/>
          <w:iCs/>
          <w:color w:val="000000"/>
          <w:u w:val="single"/>
          <w:lang w:eastAsia="bg-BG"/>
        </w:rPr>
      </w:pPr>
    </w:p>
    <w:p w14:paraId="24B1957D" w14:textId="495E784F"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Клиничен опит при деца на или над 6 годишна възраст</w:t>
      </w:r>
    </w:p>
    <w:p w14:paraId="4BC0914F" w14:textId="0E435D49"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 едно клинично проучване, включващо 261 хипертензивни пациенти на възраст от 6 до 16 години, пациентите с тегло &lt;35 </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получават 10, 40 или 80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валсартан дневно под формата на таблетки (ниска, средна и висока доза), а пациентите с тегло ≥35 </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получават 20, 80 или 160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валсартан дневно под формата на таблетки (ниска, средна и висока доза). В края на втората седмица валсартан води до дозозависимо понижение както на систолното, така и на диастолното налягане. Трите дози валсартан (ниска, средна и висока) значимо понижават систолното налягане сътветно с 8, 10 и 12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 xml:space="preserve">спрямо изходните стойности. Пациентите са рандомизирани да продължат да приемат същите дози валсартан или да преминат на плацебо. При пациентите, които продължават да приемат средна и висока доза валсартан систолното налягане е средно с 4 и 7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по-ниско отколкото при пациентите на лечение с плацебо. При пациентите, приемащи ниска доза валсартан систолното налягане е подобно на това при пациентите на лечение с плацебо. Дозозависимият антихипертензивен ефект на валсартан е налице при всички демографски субгрупи.</w:t>
      </w:r>
    </w:p>
    <w:p w14:paraId="2A75A657" w14:textId="77777777" w:rsidR="00A01EF4" w:rsidRDefault="00A01EF4" w:rsidP="00A01EF4">
      <w:pPr>
        <w:spacing w:line="240" w:lineRule="auto"/>
        <w:rPr>
          <w:rFonts w:eastAsia="Times New Roman" w:cs="Arial"/>
          <w:color w:val="000000"/>
          <w:lang w:eastAsia="bg-BG"/>
        </w:rPr>
      </w:pPr>
    </w:p>
    <w:p w14:paraId="359366AE" w14:textId="7484EC99"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Във второ клинично проучване, включващо 300 педиатрични пациенти с хипертония на възраст от 6 до под 18 години определени пациенти са рандомизирани да приемат валсартан или еналаприл в продължение на 12 седмици. Децата с тегло ≥18 </w:t>
      </w:r>
      <w:r w:rsidRPr="00A01EF4">
        <w:rPr>
          <w:rFonts w:eastAsia="Times New Roman" w:cs="Arial"/>
          <w:color w:val="000000"/>
          <w:lang w:val="en-US"/>
        </w:rPr>
        <w:t>kg</w:t>
      </w:r>
      <w:r w:rsidRPr="00A01EF4">
        <w:rPr>
          <w:rFonts w:eastAsia="Times New Roman" w:cs="Arial"/>
          <w:color w:val="000000"/>
        </w:rPr>
        <w:t xml:space="preserve"> </w:t>
      </w:r>
      <w:r w:rsidRPr="00A01EF4">
        <w:rPr>
          <w:rFonts w:eastAsia="Times New Roman" w:cs="Arial"/>
          <w:color w:val="000000"/>
          <w:lang w:eastAsia="bg-BG"/>
        </w:rPr>
        <w:t xml:space="preserve">и &lt;35 </w:t>
      </w:r>
      <w:r w:rsidRPr="00A01EF4">
        <w:rPr>
          <w:rFonts w:eastAsia="Times New Roman" w:cs="Arial"/>
          <w:color w:val="000000"/>
          <w:lang w:val="en-US"/>
        </w:rPr>
        <w:t>kg</w:t>
      </w:r>
      <w:r w:rsidRPr="00A01EF4">
        <w:rPr>
          <w:rFonts w:eastAsia="Times New Roman" w:cs="Arial"/>
          <w:color w:val="000000"/>
        </w:rPr>
        <w:t xml:space="preserve"> </w:t>
      </w:r>
      <w:r w:rsidRPr="00A01EF4">
        <w:rPr>
          <w:rFonts w:eastAsia="Times New Roman" w:cs="Arial"/>
          <w:color w:val="000000"/>
          <w:lang w:eastAsia="bg-BG"/>
        </w:rPr>
        <w:t xml:space="preserve">приемат 80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 xml:space="preserve">валсартан или 10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 xml:space="preserve">еналаприл; тези с тегло ≥35 </w:t>
      </w:r>
      <w:r w:rsidRPr="00A01EF4">
        <w:rPr>
          <w:rFonts w:eastAsia="Times New Roman" w:cs="Arial"/>
          <w:color w:val="000000"/>
          <w:lang w:val="en-US"/>
        </w:rPr>
        <w:t>kg</w:t>
      </w:r>
      <w:r w:rsidRPr="00A01EF4">
        <w:rPr>
          <w:rFonts w:eastAsia="Times New Roman" w:cs="Arial"/>
          <w:color w:val="000000"/>
        </w:rPr>
        <w:t xml:space="preserve"> </w:t>
      </w:r>
      <w:r w:rsidRPr="00A01EF4">
        <w:rPr>
          <w:rFonts w:eastAsia="Times New Roman" w:cs="Arial"/>
          <w:color w:val="000000"/>
          <w:lang w:eastAsia="bg-BG"/>
        </w:rPr>
        <w:t xml:space="preserve">и &lt;80 </w:t>
      </w:r>
      <w:r w:rsidRPr="00A01EF4">
        <w:rPr>
          <w:rFonts w:eastAsia="Times New Roman" w:cs="Arial"/>
          <w:color w:val="000000"/>
          <w:lang w:val="en-US"/>
        </w:rPr>
        <w:t>kg</w:t>
      </w:r>
      <w:r w:rsidRPr="00A01EF4">
        <w:rPr>
          <w:rFonts w:eastAsia="Times New Roman" w:cs="Arial"/>
          <w:color w:val="000000"/>
        </w:rPr>
        <w:t xml:space="preserve"> </w:t>
      </w:r>
      <w:r w:rsidRPr="00A01EF4">
        <w:rPr>
          <w:rFonts w:eastAsia="Times New Roman" w:cs="Arial"/>
          <w:color w:val="000000"/>
          <w:lang w:eastAsia="bg-BG"/>
        </w:rPr>
        <w:t xml:space="preserve">приемат 160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 xml:space="preserve">валсартан или 20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 xml:space="preserve">еналаприл; а тези с тегло ≥80 </w:t>
      </w:r>
      <w:r w:rsidRPr="00A01EF4">
        <w:rPr>
          <w:rFonts w:eastAsia="Times New Roman" w:cs="Arial"/>
          <w:color w:val="000000"/>
          <w:lang w:val="en-US"/>
        </w:rPr>
        <w:t>kg</w:t>
      </w:r>
      <w:r w:rsidRPr="00A01EF4">
        <w:rPr>
          <w:rFonts w:eastAsia="Times New Roman" w:cs="Arial"/>
          <w:color w:val="000000"/>
        </w:rPr>
        <w:t xml:space="preserve"> </w:t>
      </w:r>
      <w:r w:rsidRPr="00A01EF4">
        <w:rPr>
          <w:rFonts w:eastAsia="Times New Roman" w:cs="Arial"/>
          <w:color w:val="000000"/>
          <w:lang w:eastAsia="bg-BG"/>
        </w:rPr>
        <w:t xml:space="preserve">приемат 320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 xml:space="preserve">валсартан или 40 </w:t>
      </w:r>
      <w:r w:rsidRPr="00A01EF4">
        <w:rPr>
          <w:rFonts w:eastAsia="Times New Roman" w:cs="Arial"/>
          <w:color w:val="000000"/>
          <w:lang w:val="en-US"/>
        </w:rPr>
        <w:t>mg</w:t>
      </w:r>
      <w:r w:rsidRPr="00A01EF4">
        <w:rPr>
          <w:rFonts w:eastAsia="Times New Roman" w:cs="Arial"/>
          <w:color w:val="000000"/>
        </w:rPr>
        <w:t xml:space="preserve"> </w:t>
      </w:r>
      <w:r w:rsidRPr="00A01EF4">
        <w:rPr>
          <w:rFonts w:eastAsia="Times New Roman" w:cs="Arial"/>
          <w:color w:val="000000"/>
          <w:lang w:eastAsia="bg-BG"/>
        </w:rPr>
        <w:t>еналаприл.</w:t>
      </w:r>
    </w:p>
    <w:p w14:paraId="72D6F906"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Понижението на систолното налягане е сравнимо между пациентите приемащи валсартан (15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 xml:space="preserve">и еналаприл (14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 xml:space="preserve">(р-стойност за не по-малка ефикасност &lt;0,0001). Подобни резултати се наблюдават и за диастолното артериално налягане, понижение с 9,1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 xml:space="preserve">и с 8,5 </w:t>
      </w:r>
      <w:r w:rsidRPr="00A01EF4">
        <w:rPr>
          <w:rFonts w:eastAsia="Times New Roman" w:cs="Arial"/>
          <w:color w:val="000000"/>
          <w:lang w:val="en-US"/>
        </w:rPr>
        <w:t>mm</w:t>
      </w:r>
      <w:r w:rsidRPr="00A01EF4">
        <w:rPr>
          <w:rFonts w:eastAsia="Times New Roman" w:cs="Arial"/>
          <w:color w:val="000000"/>
          <w:lang w:val="ru-RU"/>
        </w:rPr>
        <w:t xml:space="preserve"> </w:t>
      </w:r>
      <w:r w:rsidRPr="00A01EF4">
        <w:rPr>
          <w:rFonts w:eastAsia="Times New Roman" w:cs="Arial"/>
          <w:color w:val="000000"/>
          <w:lang w:val="en-US"/>
        </w:rPr>
        <w:t>Hg</w:t>
      </w:r>
      <w:r w:rsidRPr="00A01EF4">
        <w:rPr>
          <w:rFonts w:eastAsia="Times New Roman" w:cs="Arial"/>
          <w:color w:val="000000"/>
          <w:lang w:val="ru-RU"/>
        </w:rPr>
        <w:t xml:space="preserve"> </w:t>
      </w:r>
      <w:r w:rsidRPr="00A01EF4">
        <w:rPr>
          <w:rFonts w:eastAsia="Times New Roman" w:cs="Arial"/>
          <w:color w:val="000000"/>
          <w:lang w:eastAsia="bg-BG"/>
        </w:rPr>
        <w:t>съответно с валсартан и с еналаприл.</w:t>
      </w:r>
    </w:p>
    <w:p w14:paraId="465CE333" w14:textId="77777777" w:rsidR="00A01EF4" w:rsidRDefault="00A01EF4" w:rsidP="00A01EF4">
      <w:pPr>
        <w:spacing w:line="240" w:lineRule="auto"/>
        <w:rPr>
          <w:rFonts w:eastAsia="Times New Roman" w:cs="Arial"/>
          <w:color w:val="000000"/>
          <w:lang w:eastAsia="bg-BG"/>
        </w:rPr>
      </w:pPr>
    </w:p>
    <w:p w14:paraId="78493FA8" w14:textId="77777777" w:rsidR="00A01EF4" w:rsidRPr="00A01EF4" w:rsidRDefault="00A01EF4" w:rsidP="00A01EF4">
      <w:pPr>
        <w:rPr>
          <w:rFonts w:eastAsia="Times New Roman" w:cs="Arial"/>
        </w:rPr>
      </w:pPr>
      <w:r w:rsidRPr="00A01EF4">
        <w:rPr>
          <w:rFonts w:eastAsia="Times New Roman" w:cs="Arial"/>
          <w:color w:val="000000"/>
          <w:lang w:eastAsia="bg-BG"/>
        </w:rPr>
        <w:t>В трето открито клинично проучване, включващо 150 педиатрични пациенти с хипертония на възраст от 6 до 17 години, подходящите пациенти (систолно АН ≥95</w:t>
      </w:r>
      <w:r w:rsidRPr="00A01EF4">
        <w:rPr>
          <w:rFonts w:eastAsia="Times New Roman" w:cs="Arial"/>
          <w:color w:val="000000"/>
          <w:vertAlign w:val="superscript"/>
          <w:lang w:eastAsia="bg-BG"/>
        </w:rPr>
        <w:t>-ия</w:t>
      </w:r>
      <w:r w:rsidRPr="00A01EF4">
        <w:rPr>
          <w:rFonts w:eastAsia="Times New Roman" w:cs="Arial"/>
          <w:color w:val="000000"/>
          <w:lang w:eastAsia="bg-BG"/>
        </w:rPr>
        <w:t xml:space="preserve"> персентил според възрастта, пола и височината) приемат валсартан в продължение на 18 месеца, за да се оцени безопасността и поносимостта. От 150-те пациенти, участващи в проучването, 41 пациенти получават и друга антихипертензивна терапия. Началните и поддържащите дози са определени въз основа на телесното тегло на пациентите. Пациентите, тежащи ≥18 до &lt; 35 </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≥35 до &lt; 80 </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и ≥ 80 до &lt; 160 </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получават 40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80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и 160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и дозите се титрират съответно до 80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160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 xml:space="preserve">и 320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след една седмица. Половината от включените пациенти(50,0%,</w:t>
      </w:r>
      <w:r w:rsidRPr="00A01EF4">
        <w:rPr>
          <w:rFonts w:eastAsia="Times New Roman" w:cs="Arial"/>
          <w:color w:val="000000"/>
          <w:lang w:val="ru-RU"/>
        </w:rPr>
        <w:t xml:space="preserve"> </w:t>
      </w:r>
      <w:r w:rsidRPr="00A01EF4">
        <w:rPr>
          <w:rFonts w:eastAsia="Times New Roman" w:cs="Arial"/>
          <w:color w:val="000000"/>
          <w:lang w:val="en-US"/>
        </w:rPr>
        <w:t>n</w:t>
      </w:r>
      <w:r w:rsidRPr="00A01EF4">
        <w:rPr>
          <w:rFonts w:eastAsia="Times New Roman" w:cs="Arial"/>
          <w:color w:val="000000"/>
          <w:lang w:val="ru-RU"/>
        </w:rPr>
        <w:t>=75)</w:t>
      </w:r>
      <w:r w:rsidRPr="00A01EF4">
        <w:rPr>
          <w:rFonts w:eastAsia="Times New Roman" w:cs="Arial"/>
          <w:color w:val="000000"/>
          <w:lang w:eastAsia="bg-BG"/>
        </w:rPr>
        <w:t xml:space="preserve"> имат ХБЗ, като 29,3% (44) от пациентите имат ХБЗ Стадий 2 </w:t>
      </w:r>
      <w:r w:rsidRPr="00A01EF4">
        <w:rPr>
          <w:rFonts w:eastAsia="Times New Roman" w:cs="Arial"/>
          <w:color w:val="000000"/>
          <w:lang w:val="ru-RU"/>
        </w:rPr>
        <w:t>(</w:t>
      </w:r>
      <w:r w:rsidRPr="00A01EF4">
        <w:rPr>
          <w:rFonts w:eastAsia="Times New Roman" w:cs="Arial"/>
          <w:color w:val="000000"/>
          <w:lang w:val="en-US"/>
        </w:rPr>
        <w:t>GFR</w:t>
      </w:r>
      <w:r w:rsidRPr="00A01EF4">
        <w:rPr>
          <w:rFonts w:eastAsia="Times New Roman" w:cs="Arial"/>
          <w:color w:val="000000"/>
          <w:lang w:val="ru-RU"/>
        </w:rPr>
        <w:t xml:space="preserve"> </w:t>
      </w:r>
      <w:r w:rsidRPr="00A01EF4">
        <w:rPr>
          <w:rFonts w:eastAsia="Times New Roman" w:cs="Arial"/>
          <w:color w:val="000000"/>
          <w:lang w:eastAsia="bg-BG"/>
        </w:rPr>
        <w:t>60 - 89</w:t>
      </w:r>
      <w:r w:rsidRPr="00A01EF4">
        <w:rPr>
          <w:rFonts w:eastAsia="Times New Roman" w:cs="Arial"/>
          <w:color w:val="000000"/>
          <w:lang w:val="ru-RU"/>
        </w:rPr>
        <w:t xml:space="preserve">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/1,73</w:t>
      </w:r>
      <w:r w:rsidRPr="00A01EF4">
        <w:rPr>
          <w:rFonts w:eastAsia="Times New Roman" w:cs="Arial"/>
          <w:color w:val="000000"/>
          <w:vertAlign w:val="superscript"/>
          <w:lang w:val="ru-RU"/>
        </w:rPr>
        <w:t>2</w:t>
      </w:r>
      <w:r w:rsidRPr="00A01EF4">
        <w:rPr>
          <w:rFonts w:eastAsia="Times New Roman" w:cs="Arial"/>
          <w:color w:val="000000"/>
          <w:lang w:val="ru-RU"/>
        </w:rPr>
        <w:t xml:space="preserve">) </w:t>
      </w:r>
      <w:r w:rsidRPr="00A01EF4">
        <w:rPr>
          <w:rFonts w:eastAsia="Times New Roman" w:cs="Arial"/>
          <w:color w:val="000000"/>
          <w:lang w:eastAsia="bg-BG"/>
        </w:rPr>
        <w:t xml:space="preserve">или Стадий 3 </w:t>
      </w:r>
      <w:r w:rsidRPr="00A01EF4">
        <w:rPr>
          <w:rFonts w:eastAsia="Times New Roman" w:cs="Arial"/>
          <w:color w:val="000000"/>
          <w:lang w:val="ru-RU"/>
        </w:rPr>
        <w:t>(</w:t>
      </w:r>
      <w:r w:rsidRPr="00A01EF4">
        <w:rPr>
          <w:rFonts w:eastAsia="Times New Roman" w:cs="Arial"/>
          <w:color w:val="000000"/>
          <w:lang w:val="en-US"/>
        </w:rPr>
        <w:t>GFR</w:t>
      </w:r>
      <w:r w:rsidRPr="00A01EF4">
        <w:rPr>
          <w:rFonts w:eastAsia="Times New Roman" w:cs="Arial"/>
          <w:color w:val="000000"/>
          <w:lang w:val="ru-RU"/>
        </w:rPr>
        <w:t xml:space="preserve"> </w:t>
      </w:r>
      <w:r w:rsidRPr="00A01EF4">
        <w:rPr>
          <w:rFonts w:eastAsia="Times New Roman" w:cs="Arial"/>
          <w:color w:val="000000"/>
          <w:lang w:eastAsia="bg-BG"/>
        </w:rPr>
        <w:t xml:space="preserve">30-59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w:t>
      </w:r>
      <w:r w:rsidRPr="00A01EF4">
        <w:rPr>
          <w:rFonts w:eastAsia="Times New Roman" w:cs="Arial"/>
          <w:color w:val="000000"/>
          <w:lang w:val="en-US"/>
        </w:rPr>
        <w:t>l</w:t>
      </w:r>
      <w:r w:rsidRPr="00A01EF4">
        <w:rPr>
          <w:rFonts w:eastAsia="Times New Roman" w:cs="Arial"/>
          <w:color w:val="000000"/>
          <w:lang w:val="ru-RU"/>
        </w:rPr>
        <w:t>,73</w:t>
      </w:r>
      <w:r w:rsidRPr="00A01EF4">
        <w:rPr>
          <w:rFonts w:eastAsia="Times New Roman" w:cs="Arial"/>
          <w:color w:val="000000"/>
          <w:lang w:val="en-US"/>
        </w:rPr>
        <w:t>m</w:t>
      </w:r>
      <w:r w:rsidRPr="00A01EF4">
        <w:rPr>
          <w:rFonts w:eastAsia="Times New Roman" w:cs="Arial"/>
          <w:color w:val="000000"/>
          <w:vertAlign w:val="superscript"/>
          <w:lang w:val="ru-RU"/>
        </w:rPr>
        <w:t>2</w:t>
      </w:r>
      <w:r w:rsidRPr="00A01EF4">
        <w:rPr>
          <w:rFonts w:eastAsia="Times New Roman" w:cs="Arial"/>
          <w:color w:val="000000"/>
          <w:lang w:val="ru-RU"/>
        </w:rPr>
        <w:t xml:space="preserve">). </w:t>
      </w:r>
      <w:r w:rsidRPr="00A01EF4">
        <w:rPr>
          <w:rFonts w:eastAsia="Times New Roman" w:cs="Arial"/>
          <w:color w:val="000000"/>
          <w:lang w:eastAsia="bg-BG"/>
        </w:rPr>
        <w:t xml:space="preserve">Средното понижение в систолното артериално налягане е 14,9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при всички пациенти (изходно 133,5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18,4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при пациентите с ХБЗ</w:t>
      </w:r>
      <w:r w:rsidRPr="00A01EF4">
        <w:rPr>
          <w:rFonts w:eastAsia="Times New Roman" w:cs="Arial"/>
          <w:i/>
          <w:iCs/>
          <w:color w:val="000000"/>
          <w:lang w:eastAsia="bg-BG"/>
        </w:rPr>
        <w:t xml:space="preserve"> </w:t>
      </w:r>
      <w:r w:rsidRPr="00A01EF4">
        <w:rPr>
          <w:rFonts w:eastAsia="Times New Roman" w:cs="Arial"/>
          <w:color w:val="000000"/>
          <w:lang w:eastAsia="bg-BG"/>
        </w:rPr>
        <w:t xml:space="preserve">(изходно 131,9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и 11,5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при пациентите без ХБЗ (изходно 135,1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Процентът</w:t>
      </w:r>
      <w:r>
        <w:rPr>
          <w:rFonts w:eastAsia="Times New Roman" w:cs="Arial"/>
          <w:color w:val="000000"/>
          <w:lang w:eastAsia="bg-BG"/>
        </w:rPr>
        <w:t xml:space="preserve"> </w:t>
      </w:r>
      <w:r w:rsidRPr="00A01EF4">
        <w:rPr>
          <w:rFonts w:eastAsia="Times New Roman" w:cs="Arial"/>
          <w:color w:val="000000"/>
          <w:lang w:eastAsia="bg-BG"/>
        </w:rPr>
        <w:t>на пациентите, постигнали цялостен контрол върху АН (систолно и диастолно АН &lt;95</w:t>
      </w:r>
      <w:r w:rsidRPr="00A01EF4">
        <w:rPr>
          <w:rFonts w:eastAsia="Times New Roman" w:cs="Arial"/>
          <w:color w:val="000000"/>
          <w:vertAlign w:val="superscript"/>
          <w:lang w:eastAsia="bg-BG"/>
        </w:rPr>
        <w:t xml:space="preserve">-ия </w:t>
      </w:r>
      <w:r w:rsidRPr="00A01EF4">
        <w:rPr>
          <w:rFonts w:eastAsia="Times New Roman" w:cs="Arial"/>
          <w:color w:val="000000"/>
          <w:lang w:eastAsia="bg-BG"/>
        </w:rPr>
        <w:t>персентил) е леко по-висок в групата с ХБЗ (79,5%) в сравнение с групата без ХБЗ (72,2%).</w:t>
      </w:r>
    </w:p>
    <w:p w14:paraId="0E346284" w14:textId="77777777" w:rsidR="00A01EF4" w:rsidRDefault="00A01EF4" w:rsidP="00A01EF4">
      <w:pPr>
        <w:spacing w:line="240" w:lineRule="auto"/>
        <w:rPr>
          <w:rFonts w:eastAsia="Times New Roman" w:cs="Arial"/>
          <w:i/>
          <w:iCs/>
          <w:color w:val="000000"/>
          <w:u w:val="single"/>
          <w:lang w:eastAsia="bg-BG"/>
        </w:rPr>
      </w:pPr>
    </w:p>
    <w:p w14:paraId="2D1C05AC" w14:textId="0EC7487B"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Клиничен опит при деца под 6-годишна възраст</w:t>
      </w:r>
    </w:p>
    <w:p w14:paraId="271251DB"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Проведени са три клинични проучвания при 291 пациенти на възраст от 1 до 6 години. В проучванията не са включени деца под 1 година.</w:t>
      </w:r>
    </w:p>
    <w:p w14:paraId="389E7A88" w14:textId="77777777" w:rsidR="00A01EF4" w:rsidRDefault="00A01EF4" w:rsidP="00A01EF4">
      <w:pPr>
        <w:spacing w:line="240" w:lineRule="auto"/>
        <w:rPr>
          <w:rFonts w:eastAsia="Times New Roman" w:cs="Arial"/>
          <w:color w:val="000000"/>
          <w:lang w:eastAsia="bg-BG"/>
        </w:rPr>
      </w:pPr>
    </w:p>
    <w:p w14:paraId="04DB0525" w14:textId="0AB40E8A" w:rsidR="00A01EF4" w:rsidRPr="00A01EF4" w:rsidRDefault="00A01EF4" w:rsidP="00A01EF4">
      <w:pPr>
        <w:spacing w:line="240" w:lineRule="auto"/>
        <w:rPr>
          <w:rFonts w:eastAsia="Times New Roman" w:cs="Arial"/>
        </w:rPr>
      </w:pPr>
      <w:r w:rsidRPr="00A01EF4">
        <w:rPr>
          <w:rFonts w:eastAsia="Times New Roman" w:cs="Arial"/>
          <w:color w:val="000000"/>
          <w:lang w:eastAsia="bg-BG"/>
        </w:rPr>
        <w:t>В първото проучване с 90 пациенти не е демонстриран дозозависим клиничен отговор.,, във второто проучване със 75 пациенти, по-високите дози на валсартан са свързани с по-голямо понижение на артериалното налягане.</w:t>
      </w:r>
    </w:p>
    <w:p w14:paraId="5EACC418" w14:textId="77777777" w:rsidR="00A01EF4" w:rsidRDefault="00A01EF4" w:rsidP="00A01EF4">
      <w:pPr>
        <w:spacing w:line="240" w:lineRule="auto"/>
        <w:rPr>
          <w:rFonts w:eastAsia="Times New Roman" w:cs="Arial"/>
          <w:color w:val="000000"/>
          <w:lang w:eastAsia="bg-BG"/>
        </w:rPr>
      </w:pPr>
    </w:p>
    <w:p w14:paraId="616113F6" w14:textId="32CF884D"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Третото проучване е 6-седмично рандомизирано двойно-сляпо проучване за оценка на дозовия отговор на валсартан при 126 деца на възраст от 1 до 5 години с хипертония, със или без ХБЗ, рандомизирани на 0,25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или 4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телесно тегло. При достигане на крайната цел, намалението на средното систолно кръвно налягане (</w:t>
      </w:r>
      <w:r w:rsidRPr="00A01EF4">
        <w:rPr>
          <w:rFonts w:eastAsia="Times New Roman" w:cs="Arial"/>
          <w:color w:val="000000"/>
          <w:lang w:val="en-US"/>
        </w:rPr>
        <w:t>MSBP</w:t>
      </w:r>
      <w:r w:rsidRPr="00A01EF4">
        <w:rPr>
          <w:rFonts w:eastAsia="Times New Roman" w:cs="Arial"/>
          <w:color w:val="000000"/>
          <w:lang w:eastAsia="bg-BG"/>
        </w:rPr>
        <w:t xml:space="preserve">)/средното диастолно кръвно налягане </w:t>
      </w:r>
      <w:r w:rsidRPr="00A01EF4">
        <w:rPr>
          <w:rFonts w:eastAsia="Times New Roman" w:cs="Arial"/>
          <w:color w:val="000000"/>
          <w:lang w:val="ru-RU"/>
        </w:rPr>
        <w:t>(</w:t>
      </w:r>
      <w:r w:rsidRPr="00A01EF4">
        <w:rPr>
          <w:rFonts w:eastAsia="Times New Roman" w:cs="Arial"/>
          <w:color w:val="000000"/>
          <w:lang w:val="en-US"/>
        </w:rPr>
        <w:t>MDBP</w:t>
      </w:r>
      <w:r w:rsidRPr="00A01EF4">
        <w:rPr>
          <w:rFonts w:eastAsia="Times New Roman" w:cs="Arial"/>
          <w:color w:val="000000"/>
          <w:lang w:val="ru-RU"/>
        </w:rPr>
        <w:t xml:space="preserve">) </w:t>
      </w:r>
      <w:r w:rsidRPr="00A01EF4">
        <w:rPr>
          <w:rFonts w:eastAsia="Times New Roman" w:cs="Arial"/>
          <w:color w:val="000000"/>
          <w:lang w:eastAsia="bg-BG"/>
        </w:rPr>
        <w:t xml:space="preserve">при валсартан 4,0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в сравнение с валсартан 0,25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е 8,5/6,8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съответно 4,1/0,3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(Р = 0,0157/р &lt;0,0001). По подобен начин подгрупата на ХБЗ показа също намаление на </w:t>
      </w:r>
      <w:r w:rsidRPr="00A01EF4">
        <w:rPr>
          <w:rFonts w:eastAsia="Times New Roman" w:cs="Arial"/>
          <w:color w:val="000000"/>
          <w:lang w:val="en-US"/>
        </w:rPr>
        <w:t>MSBP</w:t>
      </w:r>
      <w:r w:rsidRPr="00A01EF4">
        <w:rPr>
          <w:rFonts w:eastAsia="Times New Roman" w:cs="Arial"/>
          <w:color w:val="000000"/>
          <w:lang w:val="ru-RU"/>
        </w:rPr>
        <w:t>/</w:t>
      </w:r>
      <w:r w:rsidRPr="00A01EF4">
        <w:rPr>
          <w:rFonts w:eastAsia="Times New Roman" w:cs="Arial"/>
          <w:color w:val="000000"/>
          <w:lang w:val="en-US"/>
        </w:rPr>
        <w:t>MDBP</w:t>
      </w:r>
      <w:r w:rsidRPr="00A01EF4">
        <w:rPr>
          <w:rFonts w:eastAsia="Times New Roman" w:cs="Arial"/>
          <w:color w:val="000000"/>
          <w:lang w:val="ru-RU"/>
        </w:rPr>
        <w:t xml:space="preserve"> </w:t>
      </w:r>
      <w:r w:rsidRPr="00A01EF4">
        <w:rPr>
          <w:rFonts w:eastAsia="Times New Roman" w:cs="Arial"/>
          <w:color w:val="000000"/>
          <w:lang w:eastAsia="bg-BG"/>
        </w:rPr>
        <w:t xml:space="preserve">при валсартан 4,0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в сравнение с валсартан 0,25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(9,2/6,5 </w:t>
      </w:r>
      <w:r w:rsidRPr="00A01EF4">
        <w:rPr>
          <w:rFonts w:eastAsia="Times New Roman" w:cs="Arial"/>
          <w:color w:val="000000"/>
          <w:lang w:val="en-US"/>
        </w:rPr>
        <w:t>mmHg</w:t>
      </w:r>
      <w:r w:rsidRPr="00A01EF4">
        <w:rPr>
          <w:rFonts w:eastAsia="Times New Roman" w:cs="Arial"/>
          <w:color w:val="000000"/>
          <w:lang w:val="ru-RU"/>
        </w:rPr>
        <w:t xml:space="preserve"> </w:t>
      </w:r>
      <w:r w:rsidRPr="00A01EF4">
        <w:rPr>
          <w:rFonts w:eastAsia="Times New Roman" w:cs="Arial"/>
          <w:color w:val="000000"/>
          <w:lang w:eastAsia="bg-BG"/>
        </w:rPr>
        <w:t xml:space="preserve">срещу 1,2/ +1,3 </w:t>
      </w:r>
      <w:r w:rsidRPr="00A01EF4">
        <w:rPr>
          <w:rFonts w:eastAsia="Times New Roman" w:cs="Arial"/>
          <w:color w:val="000000"/>
          <w:lang w:val="en-US"/>
        </w:rPr>
        <w:t>mmHg</w:t>
      </w:r>
      <w:r w:rsidRPr="00A01EF4">
        <w:rPr>
          <w:rFonts w:eastAsia="Times New Roman" w:cs="Arial"/>
          <w:color w:val="000000"/>
          <w:lang w:val="ru-RU"/>
        </w:rPr>
        <w:t>).</w:t>
      </w:r>
    </w:p>
    <w:p w14:paraId="7FD48872" w14:textId="77777777" w:rsidR="00A01EF4" w:rsidRDefault="00A01EF4" w:rsidP="00A01EF4">
      <w:pPr>
        <w:spacing w:line="240" w:lineRule="auto"/>
        <w:rPr>
          <w:rFonts w:eastAsia="Times New Roman" w:cs="Arial"/>
          <w:color w:val="000000"/>
          <w:lang w:eastAsia="bg-BG"/>
        </w:rPr>
      </w:pPr>
    </w:p>
    <w:p w14:paraId="3C833652" w14:textId="526A7F84" w:rsidR="00A01EF4" w:rsidRDefault="00A01EF4" w:rsidP="00A01EF4">
      <w:pPr>
        <w:spacing w:line="240" w:lineRule="auto"/>
        <w:rPr>
          <w:rFonts w:eastAsia="Times New Roman" w:cs="Arial"/>
          <w:color w:val="000000"/>
          <w:lang w:eastAsia="bg-BG"/>
        </w:rPr>
      </w:pPr>
      <w:r w:rsidRPr="00A01EF4">
        <w:rPr>
          <w:rFonts w:eastAsia="Times New Roman" w:cs="Arial"/>
          <w:color w:val="000000"/>
          <w:lang w:eastAsia="bg-BG"/>
        </w:rPr>
        <w:t xml:space="preserve">Европейската агенция по лекарствата освобождава от задължението за предоставяне на резултатите от проучванията с </w:t>
      </w:r>
      <w:r w:rsidRPr="00A01EF4">
        <w:rPr>
          <w:rFonts w:eastAsia="Times New Roman" w:cs="Arial"/>
          <w:color w:val="000000"/>
          <w:lang w:val="en-US"/>
        </w:rPr>
        <w:t>Diovan</w:t>
      </w:r>
      <w:r w:rsidRPr="00A01EF4">
        <w:rPr>
          <w:rFonts w:eastAsia="Times New Roman" w:cs="Arial"/>
          <w:color w:val="000000"/>
          <w:lang w:val="ru-RU"/>
        </w:rPr>
        <w:t xml:space="preserve"> </w:t>
      </w:r>
      <w:r w:rsidRPr="00A01EF4">
        <w:rPr>
          <w:rFonts w:eastAsia="Times New Roman" w:cs="Arial"/>
          <w:color w:val="000000"/>
          <w:lang w:eastAsia="bg-BG"/>
        </w:rPr>
        <w:t>във всички подгрупи на педиатричната популация със сърдечна недостатъчност и сърдечна недостатъчност след пресен миокарден инфаркт. Вижте точка 4.2 за информация относно педиатричната употреба.</w:t>
      </w:r>
    </w:p>
    <w:p w14:paraId="6DC8BE01" w14:textId="492E1C3B" w:rsidR="00A01EF4" w:rsidRPr="00A01EF4" w:rsidRDefault="00A01EF4" w:rsidP="00A01EF4">
      <w:pPr>
        <w:spacing w:line="240" w:lineRule="auto"/>
        <w:rPr>
          <w:rFonts w:eastAsia="Times New Roman" w:cs="Arial"/>
          <w:color w:val="000000"/>
          <w:lang w:eastAsia="bg-BG"/>
        </w:rPr>
      </w:pPr>
    </w:p>
    <w:p w14:paraId="78DD93AA" w14:textId="08FDE49F" w:rsidR="00B6672E" w:rsidRDefault="002C50EE" w:rsidP="00936AD0">
      <w:pPr>
        <w:pStyle w:val="Heading2"/>
      </w:pPr>
      <w:r>
        <w:t>5.2. Фармакокинетични свойства</w:t>
      </w:r>
    </w:p>
    <w:p w14:paraId="0F384B6E" w14:textId="7DB2801E" w:rsidR="00A01EF4" w:rsidRDefault="00A01EF4" w:rsidP="00A01EF4"/>
    <w:p w14:paraId="0366580B" w14:textId="77777777" w:rsidR="00A01EF4" w:rsidRPr="00A01EF4" w:rsidRDefault="00A01EF4" w:rsidP="00A01EF4">
      <w:pPr>
        <w:pStyle w:val="Heading3"/>
        <w:rPr>
          <w:rFonts w:eastAsia="Times New Roman"/>
          <w:u w:val="single"/>
        </w:rPr>
      </w:pPr>
      <w:r w:rsidRPr="00A01EF4">
        <w:rPr>
          <w:rFonts w:eastAsia="Times New Roman"/>
          <w:u w:val="single"/>
          <w:lang w:eastAsia="bg-BG"/>
        </w:rPr>
        <w:t>Абсорбция:</w:t>
      </w:r>
    </w:p>
    <w:p w14:paraId="084C61A9"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След перорално приложение само на валсартан пиковите плазмени концентрации на валсартан се достигат за 2-4 часа при таблетките и 1 -2 часа при пероралния разтвор. Средната абсолютна бионаличност е 23% и 39% съответно при таблетките и пероралния разтвор. Системната експозиция и пиковата плазмена концентрация на валсартан е около 1,7 пъти и 2,2 пъти по- голяма при разтвора, в сравнение с таблетките.</w:t>
      </w:r>
    </w:p>
    <w:p w14:paraId="7CAB0AD9" w14:textId="77777777" w:rsidR="00A01EF4" w:rsidRDefault="00A01EF4" w:rsidP="00A01EF4">
      <w:pPr>
        <w:spacing w:line="240" w:lineRule="auto"/>
        <w:rPr>
          <w:rFonts w:eastAsia="Times New Roman" w:cs="Arial"/>
          <w:color w:val="000000"/>
          <w:lang w:eastAsia="bg-BG"/>
        </w:rPr>
      </w:pPr>
    </w:p>
    <w:p w14:paraId="754B44B1" w14:textId="2F4ECA13"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Храната намалява експозицията (измерена с </w:t>
      </w:r>
      <w:r w:rsidRPr="00A01EF4">
        <w:rPr>
          <w:rFonts w:eastAsia="Times New Roman" w:cs="Arial"/>
          <w:color w:val="000000"/>
          <w:lang w:val="en-US"/>
        </w:rPr>
        <w:t>AUC</w:t>
      </w:r>
      <w:r w:rsidRPr="00A01EF4">
        <w:rPr>
          <w:rFonts w:eastAsia="Times New Roman" w:cs="Arial"/>
          <w:color w:val="000000"/>
          <w:lang w:val="ru-RU"/>
        </w:rPr>
        <w:t xml:space="preserve">) </w:t>
      </w:r>
      <w:r w:rsidRPr="00A01EF4">
        <w:rPr>
          <w:rFonts w:eastAsia="Times New Roman" w:cs="Arial"/>
          <w:color w:val="000000"/>
          <w:lang w:eastAsia="bg-BG"/>
        </w:rPr>
        <w:t>на валсартан с около 40%, а пиковата плазмена концентрация (С</w:t>
      </w:r>
      <w:r w:rsidRPr="00A01EF4">
        <w:rPr>
          <w:rFonts w:eastAsia="Times New Roman" w:cs="Arial"/>
          <w:color w:val="000000"/>
          <w:vertAlign w:val="subscript"/>
          <w:lang w:val="en-US"/>
        </w:rPr>
        <w:t>max</w:t>
      </w:r>
      <w:r w:rsidRPr="00A01EF4">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A01EF4">
        <w:rPr>
          <w:rFonts w:eastAsia="Times New Roman" w:cs="Arial"/>
          <w:color w:val="000000"/>
          <w:lang w:val="en-US"/>
        </w:rPr>
        <w:t>AUC</w:t>
      </w:r>
      <w:r w:rsidRPr="00A01EF4">
        <w:rPr>
          <w:rFonts w:eastAsia="Times New Roman" w:cs="Arial"/>
          <w:color w:val="000000"/>
          <w:lang w:val="ru-RU"/>
        </w:rPr>
        <w:t xml:space="preserve"> </w:t>
      </w:r>
      <w:r w:rsidRPr="00A01EF4">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със или без храна.</w:t>
      </w:r>
    </w:p>
    <w:p w14:paraId="59EB82A2" w14:textId="77777777" w:rsidR="00A01EF4" w:rsidRDefault="00A01EF4" w:rsidP="00A01EF4">
      <w:pPr>
        <w:spacing w:line="240" w:lineRule="auto"/>
        <w:rPr>
          <w:rFonts w:eastAsia="Times New Roman" w:cs="Arial"/>
          <w:i/>
          <w:iCs/>
          <w:color w:val="000000"/>
          <w:u w:val="single"/>
          <w:lang w:eastAsia="bg-BG"/>
        </w:rPr>
      </w:pPr>
    </w:p>
    <w:p w14:paraId="63973242" w14:textId="48CC1FC4" w:rsidR="00A01EF4" w:rsidRPr="00A01EF4" w:rsidRDefault="00A01EF4" w:rsidP="00A01EF4">
      <w:pPr>
        <w:pStyle w:val="Heading3"/>
        <w:rPr>
          <w:rFonts w:eastAsia="Times New Roman"/>
          <w:u w:val="single"/>
        </w:rPr>
      </w:pPr>
      <w:r w:rsidRPr="00A01EF4">
        <w:rPr>
          <w:rFonts w:eastAsia="Times New Roman"/>
          <w:u w:val="single"/>
          <w:lang w:eastAsia="bg-BG"/>
        </w:rPr>
        <w:t>Разпределение:</w:t>
      </w:r>
    </w:p>
    <w:p w14:paraId="3A7006D6"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Обемът на разпределение на валсартан при равновесно състояние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75B676E3" w14:textId="77777777" w:rsidR="00A01EF4" w:rsidRDefault="00A01EF4" w:rsidP="00A01EF4">
      <w:pPr>
        <w:spacing w:line="240" w:lineRule="auto"/>
        <w:rPr>
          <w:rFonts w:eastAsia="Times New Roman" w:cs="Arial"/>
          <w:i/>
          <w:iCs/>
          <w:color w:val="000000"/>
          <w:u w:val="single"/>
          <w:lang w:eastAsia="bg-BG"/>
        </w:rPr>
      </w:pPr>
    </w:p>
    <w:p w14:paraId="76C3190E" w14:textId="1EA70927" w:rsidR="00A01EF4" w:rsidRPr="00A01EF4" w:rsidRDefault="00A01EF4" w:rsidP="00A01EF4">
      <w:pPr>
        <w:pStyle w:val="Heading3"/>
        <w:rPr>
          <w:rFonts w:eastAsia="Times New Roman"/>
          <w:u w:val="single"/>
        </w:rPr>
      </w:pPr>
      <w:r w:rsidRPr="00A01EF4">
        <w:rPr>
          <w:rFonts w:eastAsia="Times New Roman"/>
          <w:u w:val="single"/>
          <w:lang w:eastAsia="bg-BG"/>
        </w:rPr>
        <w:t>Биотрансформация:</w:t>
      </w:r>
    </w:p>
    <w:p w14:paraId="35A51BB5"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A01EF4">
        <w:rPr>
          <w:rFonts w:eastAsia="Times New Roman" w:cs="Arial"/>
          <w:color w:val="000000"/>
          <w:lang w:val="en-US"/>
        </w:rPr>
        <w:t>AUC</w:t>
      </w:r>
      <w:r w:rsidRPr="00A01EF4">
        <w:rPr>
          <w:rFonts w:eastAsia="Times New Roman" w:cs="Arial"/>
          <w:color w:val="000000"/>
          <w:lang w:val="ru-RU"/>
        </w:rPr>
        <w:t xml:space="preserve"> </w:t>
      </w:r>
      <w:r w:rsidRPr="00A01EF4">
        <w:rPr>
          <w:rFonts w:eastAsia="Times New Roman" w:cs="Arial"/>
          <w:color w:val="000000"/>
          <w:lang w:eastAsia="bg-BG"/>
        </w:rPr>
        <w:t>на валсартан). Този метаболит е фармакологично неактивен.</w:t>
      </w:r>
    </w:p>
    <w:p w14:paraId="4D7702C8" w14:textId="77777777" w:rsidR="00A01EF4" w:rsidRDefault="00A01EF4" w:rsidP="00A01EF4">
      <w:pPr>
        <w:spacing w:line="240" w:lineRule="auto"/>
        <w:rPr>
          <w:rFonts w:eastAsia="Times New Roman" w:cs="Arial"/>
          <w:i/>
          <w:iCs/>
          <w:color w:val="000000"/>
          <w:u w:val="single"/>
          <w:lang w:eastAsia="bg-BG"/>
        </w:rPr>
      </w:pPr>
    </w:p>
    <w:p w14:paraId="1A24BEB4" w14:textId="0916DF09" w:rsidR="00A01EF4" w:rsidRPr="00A01EF4" w:rsidRDefault="00A01EF4" w:rsidP="00A01EF4">
      <w:pPr>
        <w:pStyle w:val="Heading3"/>
        <w:rPr>
          <w:rFonts w:eastAsia="Times New Roman"/>
          <w:u w:val="single"/>
        </w:rPr>
      </w:pPr>
      <w:r w:rsidRPr="00A01EF4">
        <w:rPr>
          <w:rFonts w:eastAsia="Times New Roman"/>
          <w:u w:val="single"/>
          <w:lang w:eastAsia="bg-BG"/>
        </w:rPr>
        <w:t>Елиминиране:</w:t>
      </w:r>
    </w:p>
    <w:p w14:paraId="6EF76731" w14:textId="77777777" w:rsidR="00A01EF4" w:rsidRPr="00A01EF4" w:rsidRDefault="00A01EF4" w:rsidP="00A01EF4">
      <w:pPr>
        <w:rPr>
          <w:rFonts w:eastAsia="Times New Roman" w:cs="Arial"/>
        </w:rPr>
      </w:pPr>
      <w:r w:rsidRPr="00A01EF4">
        <w:rPr>
          <w:rFonts w:eastAsia="Times New Roman" w:cs="Arial"/>
          <w:color w:val="000000"/>
          <w:lang w:eastAsia="bg-BG"/>
        </w:rPr>
        <w:t xml:space="preserve">Валсартан показва мултиекспоненциална кинетика на разпад </w:t>
      </w:r>
      <w:r w:rsidRPr="00A01EF4">
        <w:rPr>
          <w:rFonts w:eastAsia="Times New Roman" w:cs="Arial"/>
          <w:color w:val="000000"/>
          <w:lang w:val="ru-RU"/>
        </w:rPr>
        <w:t>(</w:t>
      </w:r>
      <w:r w:rsidRPr="00A01EF4">
        <w:rPr>
          <w:rFonts w:eastAsia="Times New Roman" w:cs="Arial"/>
          <w:color w:val="000000"/>
          <w:lang w:val="en-US"/>
        </w:rPr>
        <w:t>t</w:t>
      </w:r>
      <w:r w:rsidRPr="00A01EF4">
        <w:rPr>
          <w:rFonts w:eastAsia="Times New Roman" w:cs="Arial"/>
          <w:color w:val="000000"/>
          <w:lang w:val="ru-RU"/>
        </w:rPr>
        <w:t>1/2</w:t>
      </w:r>
      <w:r w:rsidRPr="00A01EF4">
        <w:rPr>
          <w:rFonts w:eastAsia="Times New Roman" w:cs="Arial"/>
          <w:color w:val="000000"/>
          <w:lang w:eastAsia="bg-BG"/>
        </w:rPr>
        <w:t>α</w:t>
      </w:r>
      <w:r w:rsidRPr="00A01EF4">
        <w:rPr>
          <w:rFonts w:eastAsia="Times New Roman" w:cs="Arial"/>
          <w:color w:val="000000"/>
          <w:lang w:val="ru-RU"/>
        </w:rPr>
        <w:t xml:space="preserve"> &lt;1 </w:t>
      </w:r>
      <w:r w:rsidRPr="00A01EF4">
        <w:rPr>
          <w:rFonts w:eastAsia="Times New Roman" w:cs="Arial"/>
          <w:color w:val="000000"/>
          <w:lang w:eastAsia="bg-BG"/>
        </w:rPr>
        <w:t xml:space="preserve">час и </w:t>
      </w:r>
      <w:r w:rsidRPr="00A01EF4">
        <w:rPr>
          <w:rFonts w:eastAsia="Times New Roman" w:cs="Arial"/>
          <w:color w:val="000000"/>
          <w:lang w:val="en-US"/>
        </w:rPr>
        <w:t>t</w:t>
      </w:r>
      <w:r w:rsidRPr="00A01EF4">
        <w:rPr>
          <w:rFonts w:eastAsia="Times New Roman" w:cs="Arial"/>
          <w:color w:val="000000"/>
          <w:lang w:val="ru-RU"/>
        </w:rPr>
        <w:t xml:space="preserve">1/2 </w:t>
      </w:r>
      <w:r w:rsidRPr="00A01EF4">
        <w:rPr>
          <w:rFonts w:eastAsia="Times New Roman" w:cs="Arial"/>
          <w:color w:val="000000"/>
          <w:lang w:eastAsia="bg-BG"/>
        </w:rPr>
        <w:t>β</w:t>
      </w:r>
      <w:r w:rsidRPr="00A01EF4">
        <w:rPr>
          <w:rFonts w:eastAsia="Times New Roman" w:cs="Arial"/>
          <w:color w:val="000000"/>
          <w:lang w:val="ru-RU"/>
        </w:rPr>
        <w:t xml:space="preserve"> </w:t>
      </w:r>
      <w:r w:rsidRPr="00A01EF4">
        <w:rPr>
          <w:rFonts w:eastAsia="Times New Roman" w:cs="Arial"/>
          <w:color w:val="000000"/>
          <w:lang w:eastAsia="bg-BG"/>
        </w:rPr>
        <w:t>около 9 часа).</w:t>
      </w:r>
      <w:r>
        <w:rPr>
          <w:rFonts w:eastAsia="Times New Roman" w:cs="Arial"/>
        </w:rPr>
        <w:t xml:space="preserve"> </w:t>
      </w:r>
      <w:r w:rsidRPr="00A01EF4">
        <w:rPr>
          <w:rFonts w:eastAsia="Times New Roman" w:cs="Arial"/>
          <w:color w:val="000000"/>
          <w:lang w:eastAsia="bg-BG"/>
        </w:rPr>
        <w:t xml:space="preserve">Валсартан се елиминира предимно чрез билиарна екскреция с фекалиите </w:t>
      </w:r>
      <w:r w:rsidRPr="00A01EF4">
        <w:rPr>
          <w:rFonts w:eastAsia="Times New Roman" w:cs="Arial"/>
          <w:i/>
          <w:iCs/>
          <w:color w:val="000000"/>
          <w:lang w:val="ru-RU"/>
        </w:rPr>
        <w:t>(</w:t>
      </w:r>
      <w:r w:rsidRPr="00A01EF4">
        <w:rPr>
          <w:rFonts w:eastAsia="Times New Roman" w:cs="Arial"/>
          <w:i/>
          <w:iCs/>
          <w:color w:val="000000"/>
          <w:lang w:eastAsia="bg-BG"/>
        </w:rPr>
        <w:t>около 83% от дозата)</w:t>
      </w:r>
      <w:r w:rsidRPr="00A01EF4">
        <w:rPr>
          <w:rFonts w:eastAsia="Times New Roman" w:cs="Arial"/>
          <w:color w:val="000000"/>
          <w:lang w:eastAsia="bg-BG"/>
        </w:rPr>
        <w:t xml:space="preserve"> и от бъбреците чрез урината (около 13% от дозата), главно като непроменено лекарство. След интравенозно приложение плазменият клирънс на валсартан е около 2 1/час и неговият</w:t>
      </w:r>
      <w:r>
        <w:rPr>
          <w:rFonts w:eastAsia="Times New Roman" w:cs="Arial"/>
          <w:color w:val="000000"/>
          <w:lang w:eastAsia="bg-BG"/>
        </w:rPr>
        <w:t xml:space="preserve"> </w:t>
      </w:r>
      <w:r w:rsidRPr="00A01EF4">
        <w:rPr>
          <w:rFonts w:eastAsia="Times New Roman" w:cs="Arial"/>
          <w:color w:val="000000"/>
          <w:lang w:eastAsia="bg-BG"/>
        </w:rPr>
        <w:t>бъбречен клирънс е 0,62 1/час (около 30% от общия клирънс). Полуживотът на валсартан е 6 часа.</w:t>
      </w:r>
    </w:p>
    <w:p w14:paraId="1DD88569" w14:textId="77777777" w:rsidR="00A01EF4" w:rsidRDefault="00A01EF4" w:rsidP="00A01EF4">
      <w:pPr>
        <w:spacing w:line="240" w:lineRule="auto"/>
        <w:rPr>
          <w:rFonts w:eastAsia="Times New Roman" w:cs="Arial"/>
          <w:color w:val="000000"/>
          <w:u w:val="single"/>
          <w:lang w:eastAsia="bg-BG"/>
        </w:rPr>
      </w:pPr>
    </w:p>
    <w:p w14:paraId="243EA5EF" w14:textId="2A3712C9"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При пациенти със сърдечна недостатъчност:</w:t>
      </w:r>
    </w:p>
    <w:p w14:paraId="1270814B"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Средното време за достигане на пикови концентрации и времето на полуживот на валсартан при пациенти със сърдечна недостатъчност са подобни на тези, наблюдавани при здрави доброволци. </w:t>
      </w:r>
      <w:r w:rsidRPr="00A01EF4">
        <w:rPr>
          <w:rFonts w:eastAsia="Times New Roman" w:cs="Arial"/>
          <w:color w:val="000000"/>
          <w:lang w:val="en-US"/>
        </w:rPr>
        <w:t>AUC</w:t>
      </w:r>
      <w:r w:rsidRPr="00A01EF4">
        <w:rPr>
          <w:rFonts w:eastAsia="Times New Roman" w:cs="Arial"/>
          <w:color w:val="000000"/>
          <w:lang w:val="ru-RU"/>
        </w:rPr>
        <w:t xml:space="preserve"> </w:t>
      </w:r>
      <w:r w:rsidRPr="00A01EF4">
        <w:rPr>
          <w:rFonts w:eastAsia="Times New Roman" w:cs="Arial"/>
          <w:color w:val="000000"/>
          <w:lang w:eastAsia="bg-BG"/>
        </w:rPr>
        <w:t>и С</w:t>
      </w:r>
      <w:r w:rsidRPr="00A01EF4">
        <w:rPr>
          <w:rFonts w:eastAsia="Times New Roman" w:cs="Arial"/>
          <w:color w:val="000000"/>
          <w:vertAlign w:val="subscript"/>
          <w:lang w:val="en-US"/>
        </w:rPr>
        <w:t>max</w:t>
      </w:r>
      <w:r w:rsidRPr="00A01EF4">
        <w:rPr>
          <w:rFonts w:eastAsia="Times New Roman" w:cs="Arial"/>
          <w:color w:val="000000"/>
          <w:lang w:val="ru-RU"/>
        </w:rPr>
        <w:t xml:space="preserve"> </w:t>
      </w:r>
      <w:r w:rsidRPr="00A01EF4">
        <w:rPr>
          <w:rFonts w:eastAsia="Times New Roman" w:cs="Arial"/>
          <w:color w:val="000000"/>
          <w:lang w:eastAsia="bg-BG"/>
        </w:rPr>
        <w:t>стойностите на валсартан са почти пропорционални с повишаване на дозата над клиничния дозов интервал (</w:t>
      </w:r>
      <w:proofErr w:type="gramStart"/>
      <w:r w:rsidRPr="00A01EF4">
        <w:rPr>
          <w:rFonts w:eastAsia="Times New Roman" w:cs="Arial"/>
          <w:color w:val="000000"/>
          <w:lang w:eastAsia="bg-BG"/>
        </w:rPr>
        <w:t>40 до</w:t>
      </w:r>
      <w:proofErr w:type="gramEnd"/>
      <w:r w:rsidRPr="00A01EF4">
        <w:rPr>
          <w:rFonts w:eastAsia="Times New Roman" w:cs="Arial"/>
          <w:color w:val="000000"/>
          <w:lang w:eastAsia="bg-BG"/>
        </w:rPr>
        <w:t xml:space="preserve"> 160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два пъти дневно). Средният фактор на натрупване е около 1,7. Привидният клирънс на валсартан след перорално приложение е приблизително 4,5 1/час. Възрастта не засяга привидния клирънс при пациенти със сърдечна недостатъчност.</w:t>
      </w:r>
    </w:p>
    <w:p w14:paraId="30EDC7E4" w14:textId="77777777" w:rsidR="00A01EF4" w:rsidRDefault="00A01EF4" w:rsidP="00A01EF4">
      <w:pPr>
        <w:spacing w:line="240" w:lineRule="auto"/>
        <w:rPr>
          <w:rFonts w:eastAsia="Times New Roman" w:cs="Arial"/>
          <w:i/>
          <w:iCs/>
          <w:color w:val="000000"/>
          <w:u w:val="single"/>
          <w:lang w:eastAsia="bg-BG"/>
        </w:rPr>
      </w:pPr>
    </w:p>
    <w:p w14:paraId="011CC7F5" w14:textId="1682BF33"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Специални групи пациенти</w:t>
      </w:r>
    </w:p>
    <w:p w14:paraId="482FADD6" w14:textId="77777777" w:rsidR="00A01EF4" w:rsidRPr="00A01EF4" w:rsidRDefault="00A01EF4" w:rsidP="00A01EF4">
      <w:pPr>
        <w:spacing w:line="240" w:lineRule="auto"/>
        <w:rPr>
          <w:rFonts w:eastAsia="Times New Roman" w:cs="Arial"/>
        </w:rPr>
      </w:pPr>
      <w:r w:rsidRPr="00A01EF4">
        <w:rPr>
          <w:rFonts w:eastAsia="Times New Roman" w:cs="Arial"/>
          <w:color w:val="000000"/>
          <w:u w:val="single"/>
          <w:lang w:eastAsia="bg-BG"/>
        </w:rPr>
        <w:t>Хора в старческа възраст</w:t>
      </w:r>
    </w:p>
    <w:p w14:paraId="682CCE8C"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lastRenderedPageBreak/>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w:t>
      </w:r>
    </w:p>
    <w:p w14:paraId="659A42DA" w14:textId="77777777" w:rsidR="00A01EF4" w:rsidRDefault="00A01EF4" w:rsidP="00A01EF4">
      <w:pPr>
        <w:spacing w:line="240" w:lineRule="auto"/>
        <w:rPr>
          <w:rFonts w:eastAsia="Times New Roman" w:cs="Arial"/>
          <w:color w:val="000000"/>
          <w:u w:val="single"/>
          <w:lang w:eastAsia="bg-BG"/>
        </w:rPr>
      </w:pPr>
    </w:p>
    <w:p w14:paraId="19FCB411" w14:textId="2D1A50CB" w:rsidR="00A01EF4" w:rsidRPr="00A01EF4" w:rsidRDefault="00A01EF4" w:rsidP="00A01EF4">
      <w:pPr>
        <w:pStyle w:val="Heading3"/>
        <w:rPr>
          <w:rFonts w:eastAsia="Times New Roman"/>
          <w:u w:val="single"/>
        </w:rPr>
      </w:pPr>
      <w:r w:rsidRPr="00A01EF4">
        <w:rPr>
          <w:rFonts w:eastAsia="Times New Roman"/>
          <w:u w:val="single"/>
          <w:lang w:eastAsia="bg-BG"/>
        </w:rPr>
        <w:t>Нарушена бъбречна функция</w:t>
      </w:r>
    </w:p>
    <w:p w14:paraId="0E94B689"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Както се очаква за вещество, чийто бъбречен клирънс е отговорен само за 30% от общия плазмен клирънс, не е отчетена корелация между бъбречната функция и общото разпределение на валсартан. Поради тази причина не се налага коригиране на дозата при пациенти с бъбречно увреждане (креатининов клирънс &gt; 10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w:t>
      </w:r>
      <w:r w:rsidRPr="00A01EF4">
        <w:rPr>
          <w:rFonts w:eastAsia="Times New Roman" w:cs="Arial"/>
          <w:color w:val="000000"/>
          <w:lang w:eastAsia="bg-BG"/>
        </w:rPr>
        <w:t xml:space="preserve">Липсват данни за безопасна употреба при пациентите с креатининов клирънс &lt; 10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w:t>
      </w:r>
      <w:r w:rsidRPr="00A01EF4">
        <w:rPr>
          <w:rFonts w:eastAsia="Times New Roman" w:cs="Arial"/>
          <w:color w:val="000000"/>
          <w:lang w:eastAsia="bg-BG"/>
        </w:rPr>
        <w:t>и при провеждащите диализа, поради което валсартан трябва да се употребява с повишено внимание при тези пациенти (вж. точки 4.2 и 4.4).</w:t>
      </w:r>
    </w:p>
    <w:p w14:paraId="255814FC" w14:textId="77777777" w:rsidR="00A01EF4" w:rsidRDefault="00A01EF4" w:rsidP="00A01EF4">
      <w:pPr>
        <w:spacing w:line="240" w:lineRule="auto"/>
        <w:rPr>
          <w:rFonts w:eastAsia="Times New Roman" w:cs="Arial"/>
          <w:color w:val="000000"/>
          <w:lang w:eastAsia="bg-BG"/>
        </w:rPr>
      </w:pPr>
    </w:p>
    <w:p w14:paraId="7A2B6EBF" w14:textId="6A038D7E" w:rsidR="00A01EF4" w:rsidRPr="00A01EF4" w:rsidRDefault="00A01EF4" w:rsidP="00A01EF4">
      <w:pPr>
        <w:spacing w:line="240" w:lineRule="auto"/>
        <w:rPr>
          <w:rFonts w:eastAsia="Times New Roman" w:cs="Arial"/>
        </w:rPr>
      </w:pPr>
      <w:r w:rsidRPr="00A01EF4">
        <w:rPr>
          <w:rFonts w:eastAsia="Times New Roman" w:cs="Arial"/>
          <w:color w:val="000000"/>
          <w:lang w:eastAsia="bg-BG"/>
        </w:rPr>
        <w:t>Валсартан се свързва с плазмените протеини във висока степен и няма вероятност да бъде отстранен чрез диализа.</w:t>
      </w:r>
    </w:p>
    <w:p w14:paraId="407135E9" w14:textId="77777777" w:rsidR="00A01EF4" w:rsidRDefault="00A01EF4" w:rsidP="00A01EF4">
      <w:pPr>
        <w:spacing w:line="240" w:lineRule="auto"/>
        <w:rPr>
          <w:rFonts w:eastAsia="Times New Roman" w:cs="Arial"/>
          <w:color w:val="000000"/>
          <w:u w:val="single"/>
          <w:lang w:eastAsia="bg-BG"/>
        </w:rPr>
      </w:pPr>
    </w:p>
    <w:p w14:paraId="6F449271" w14:textId="3F29C4D7" w:rsidR="00A01EF4" w:rsidRPr="00A01EF4" w:rsidRDefault="00A01EF4" w:rsidP="00A01EF4">
      <w:pPr>
        <w:pStyle w:val="Heading3"/>
        <w:rPr>
          <w:rFonts w:eastAsia="Times New Roman"/>
          <w:u w:val="single"/>
        </w:rPr>
      </w:pPr>
      <w:r w:rsidRPr="00A01EF4">
        <w:rPr>
          <w:rFonts w:eastAsia="Times New Roman"/>
          <w:u w:val="single"/>
          <w:lang w:eastAsia="bg-BG"/>
        </w:rPr>
        <w:t>Чернодробно увреждане</w:t>
      </w:r>
    </w:p>
    <w:p w14:paraId="34B2D909"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Приблизително 70% от абсорбираната доза се елиминира в жлъчката, главно в непроменена форма. Удвояване на експозицията </w:t>
      </w:r>
      <w:r w:rsidRPr="00A01EF4">
        <w:rPr>
          <w:rFonts w:eastAsia="Times New Roman" w:cs="Arial"/>
          <w:color w:val="000000"/>
          <w:lang w:val="ru-RU"/>
        </w:rPr>
        <w:t>(</w:t>
      </w:r>
      <w:r w:rsidRPr="00A01EF4">
        <w:rPr>
          <w:rFonts w:eastAsia="Times New Roman" w:cs="Arial"/>
          <w:color w:val="000000"/>
          <w:lang w:val="en-US"/>
        </w:rPr>
        <w:t>AUC</w:t>
      </w:r>
      <w:r w:rsidRPr="00A01EF4">
        <w:rPr>
          <w:rFonts w:eastAsia="Times New Roman" w:cs="Arial"/>
          <w:color w:val="000000"/>
          <w:lang w:val="ru-RU"/>
        </w:rPr>
        <w:t xml:space="preserve">) </w:t>
      </w:r>
      <w:r w:rsidRPr="00A01EF4">
        <w:rPr>
          <w:rFonts w:eastAsia="Times New Roman" w:cs="Arial"/>
          <w:color w:val="000000"/>
          <w:lang w:eastAsia="bg-BG"/>
        </w:rPr>
        <w:t xml:space="preserve">е наблюдавана при пациенти с леко до умерено чернодробно увреждане, в сравнение със здрави хора. Не е наблюдавана обаче корелация между плазмената концентрация на валсартан и степента на чернодробна дисфункция. </w:t>
      </w:r>
      <w:r w:rsidRPr="00A01EF4">
        <w:rPr>
          <w:rFonts w:eastAsia="Times New Roman" w:cs="Arial"/>
          <w:color w:val="000000"/>
          <w:lang w:val="en-US"/>
        </w:rPr>
        <w:t>Diovan</w:t>
      </w:r>
      <w:r w:rsidRPr="00A01EF4">
        <w:rPr>
          <w:rFonts w:eastAsia="Times New Roman" w:cs="Arial"/>
          <w:color w:val="000000"/>
          <w:lang w:val="ru-RU"/>
        </w:rPr>
        <w:t xml:space="preserve"> </w:t>
      </w:r>
      <w:r w:rsidRPr="00A01EF4">
        <w:rPr>
          <w:rFonts w:eastAsia="Times New Roman" w:cs="Arial"/>
          <w:color w:val="000000"/>
          <w:lang w:eastAsia="bg-BG"/>
        </w:rPr>
        <w:t>не е проучен при пациенти с тежка чернодробна дисфункция (вж. точки 4.2, 4.3 и 4.4).</w:t>
      </w:r>
    </w:p>
    <w:p w14:paraId="4A199D48" w14:textId="77777777" w:rsidR="00A01EF4" w:rsidRDefault="00A01EF4" w:rsidP="00A01EF4">
      <w:pPr>
        <w:spacing w:line="240" w:lineRule="auto"/>
        <w:rPr>
          <w:rFonts w:eastAsia="Times New Roman" w:cs="Arial"/>
          <w:i/>
          <w:iCs/>
          <w:color w:val="000000"/>
          <w:u w:val="single"/>
          <w:lang w:eastAsia="bg-BG"/>
        </w:rPr>
      </w:pPr>
    </w:p>
    <w:p w14:paraId="4C3CFBF8" w14:textId="522E0243"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Педиатрична популация</w:t>
      </w:r>
    </w:p>
    <w:p w14:paraId="5A9B40CB"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В едно проучване с 26 педиатрични пациенти с хипертония (на възраст от 1 до 16 години) при еднократно прилагане на валсартан под формата на суспензия (средно: 0,9 до 2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максимална доза 80 </w:t>
      </w:r>
      <w:r w:rsidRPr="00A01EF4">
        <w:rPr>
          <w:rFonts w:eastAsia="Times New Roman" w:cs="Arial"/>
          <w:color w:val="000000"/>
          <w:lang w:val="en-US"/>
        </w:rPr>
        <w:t>mg</w:t>
      </w:r>
      <w:r w:rsidRPr="00A01EF4">
        <w:rPr>
          <w:rFonts w:eastAsia="Times New Roman" w:cs="Arial"/>
          <w:color w:val="000000"/>
          <w:lang w:val="ru-RU"/>
        </w:rPr>
        <w:t xml:space="preserve">) </w:t>
      </w:r>
      <w:r w:rsidRPr="00A01EF4">
        <w:rPr>
          <w:rFonts w:eastAsia="Times New Roman" w:cs="Arial"/>
          <w:color w:val="000000"/>
          <w:lang w:eastAsia="bg-BG"/>
        </w:rPr>
        <w:t>клирънсът (литри/час</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на валсартан е сравним между отделните възрасти от 1 до 16 години и подобен на този при възрастни пациенти, приемащи същите дози (вижте информацията за Абсорбция в раздел 5.2).</w:t>
      </w:r>
    </w:p>
    <w:p w14:paraId="2CBEBE4E" w14:textId="77777777" w:rsidR="00A01EF4" w:rsidRDefault="00A01EF4" w:rsidP="00A01EF4">
      <w:pPr>
        <w:spacing w:line="240" w:lineRule="auto"/>
        <w:rPr>
          <w:rFonts w:eastAsia="Times New Roman" w:cs="Arial"/>
          <w:color w:val="000000"/>
          <w:u w:val="single"/>
          <w:lang w:eastAsia="bg-BG"/>
        </w:rPr>
      </w:pPr>
    </w:p>
    <w:p w14:paraId="11119493" w14:textId="53B39DEF" w:rsidR="00A01EF4" w:rsidRPr="00A01EF4" w:rsidRDefault="00A01EF4" w:rsidP="00A01EF4">
      <w:pPr>
        <w:pStyle w:val="Heading3"/>
        <w:rPr>
          <w:rFonts w:eastAsia="Times New Roman"/>
          <w:u w:val="single"/>
        </w:rPr>
      </w:pPr>
      <w:r w:rsidRPr="00A01EF4">
        <w:rPr>
          <w:rFonts w:eastAsia="Times New Roman"/>
          <w:u w:val="single"/>
          <w:lang w:eastAsia="bg-BG"/>
        </w:rPr>
        <w:t>Нарушена бъбречна функция</w:t>
      </w:r>
    </w:p>
    <w:p w14:paraId="6A7D834C"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Употребата при педиатрични пациенти с креатининов клирънс &lt;30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w:t>
      </w:r>
      <w:r w:rsidRPr="00A01EF4">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A01EF4">
        <w:rPr>
          <w:rFonts w:eastAsia="Times New Roman" w:cs="Arial"/>
          <w:color w:val="000000"/>
          <w:lang w:val="en-US"/>
        </w:rPr>
        <w:t>ml</w:t>
      </w:r>
      <w:r w:rsidRPr="00A01EF4">
        <w:rPr>
          <w:rFonts w:eastAsia="Times New Roman" w:cs="Arial"/>
          <w:color w:val="000000"/>
          <w:lang w:val="ru-RU"/>
        </w:rPr>
        <w:t>/</w:t>
      </w:r>
      <w:r w:rsidRPr="00A01EF4">
        <w:rPr>
          <w:rFonts w:eastAsia="Times New Roman" w:cs="Arial"/>
          <w:color w:val="000000"/>
          <w:lang w:val="en-US"/>
        </w:rPr>
        <w:t>min</w:t>
      </w:r>
      <w:r w:rsidRPr="00A01EF4">
        <w:rPr>
          <w:rFonts w:eastAsia="Times New Roman" w:cs="Arial"/>
          <w:color w:val="000000"/>
          <w:lang w:val="ru-RU"/>
        </w:rPr>
        <w:t xml:space="preserve">. </w:t>
      </w:r>
      <w:r w:rsidRPr="00A01EF4">
        <w:rPr>
          <w:rFonts w:eastAsia="Times New Roman" w:cs="Arial"/>
          <w:color w:val="000000"/>
          <w:lang w:eastAsia="bg-BG"/>
        </w:rPr>
        <w:t>Бъбречната функция и нивата на серумния калий трябва да бъдат внимателно проследявани (вж. точки 4.2 и 4.4).</w:t>
      </w:r>
    </w:p>
    <w:p w14:paraId="114149C9" w14:textId="0932A9A2" w:rsidR="00A01EF4" w:rsidRPr="00A01EF4" w:rsidRDefault="00A01EF4" w:rsidP="00A01EF4"/>
    <w:p w14:paraId="4FB791BE" w14:textId="2C978011" w:rsidR="00B6672E" w:rsidRDefault="002C50EE" w:rsidP="00936AD0">
      <w:pPr>
        <w:pStyle w:val="Heading2"/>
      </w:pPr>
      <w:r>
        <w:t>5.3. Предклинични данни за безопасност</w:t>
      </w:r>
    </w:p>
    <w:p w14:paraId="4B18DBD3" w14:textId="13B60AB7" w:rsidR="00A01EF4" w:rsidRDefault="00A01EF4" w:rsidP="00A01EF4"/>
    <w:p w14:paraId="5103E862"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Предклиничните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w:t>
      </w:r>
    </w:p>
    <w:p w14:paraId="2CD0B870" w14:textId="2085D0F5" w:rsidR="00A01EF4" w:rsidRPr="00A01EF4" w:rsidRDefault="00A01EF4" w:rsidP="00A01EF4">
      <w:pPr>
        <w:rPr>
          <w:rFonts w:eastAsia="Times New Roman" w:cs="Arial"/>
          <w:color w:val="000000"/>
          <w:lang w:eastAsia="bg-BG"/>
        </w:rPr>
      </w:pPr>
      <w:r w:rsidRPr="00A01EF4">
        <w:rPr>
          <w:rFonts w:eastAsia="Times New Roman" w:cs="Arial"/>
          <w:color w:val="000000"/>
          <w:lang w:eastAsia="bg-BG"/>
        </w:rPr>
        <w:t>генотоксичност и канцерогенен потенциал.</w:t>
      </w:r>
    </w:p>
    <w:p w14:paraId="48AE1454" w14:textId="594EC5BD" w:rsidR="00A01EF4" w:rsidRPr="00A01EF4" w:rsidRDefault="00A01EF4" w:rsidP="00A01EF4">
      <w:pPr>
        <w:rPr>
          <w:rFonts w:eastAsia="Times New Roman" w:cs="Arial"/>
          <w:color w:val="000000"/>
          <w:lang w:eastAsia="bg-BG"/>
        </w:rPr>
      </w:pPr>
    </w:p>
    <w:p w14:paraId="1812F560"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При плъхове токсични дози за майката (600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eastAsia="bg-BG"/>
        </w:rPr>
        <w:t xml:space="preserve">/ден) прилагани по време на последните дни от бременността и периода на лактация са довели до по-ниска степен на преживяемост, по- слабо наддаване на тегло и забавено развитие (отделяне на ушната мида и отваряне на слуховия канал) на потомството (вж. точка 4.6). Тези дози при </w:t>
      </w:r>
      <w:r w:rsidRPr="00A01EF4">
        <w:rPr>
          <w:rFonts w:eastAsia="Times New Roman" w:cs="Arial"/>
          <w:color w:val="000000"/>
          <w:lang w:eastAsia="bg-BG"/>
        </w:rPr>
        <w:lastRenderedPageBreak/>
        <w:t xml:space="preserve">плъхове (600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m</w:t>
      </w:r>
      <w:r w:rsidRPr="00A01EF4">
        <w:rPr>
          <w:rFonts w:eastAsia="Times New Roman" w:cs="Arial"/>
          <w:color w:val="000000"/>
          <w:vertAlign w:val="superscript"/>
          <w:lang w:val="ru-RU"/>
        </w:rPr>
        <w:t>2</w:t>
      </w:r>
      <w:r w:rsidRPr="00A01EF4">
        <w:rPr>
          <w:rFonts w:eastAsia="Times New Roman" w:cs="Arial"/>
          <w:color w:val="000000"/>
          <w:lang w:val="ru-RU"/>
        </w:rPr>
        <w:t xml:space="preserve"> </w:t>
      </w:r>
      <w:r w:rsidRPr="00A01EF4">
        <w:rPr>
          <w:rFonts w:eastAsia="Times New Roman" w:cs="Arial"/>
          <w:color w:val="000000"/>
          <w:lang w:eastAsia="bg-BG"/>
        </w:rPr>
        <w:t xml:space="preserve">(изчисленията се отнасят за перорална доза 320 </w:t>
      </w:r>
      <w:r w:rsidRPr="00A01EF4">
        <w:rPr>
          <w:rFonts w:eastAsia="Times New Roman" w:cs="Arial"/>
          <w:color w:val="000000"/>
          <w:lang w:val="en-US"/>
        </w:rPr>
        <w:t>mg</w:t>
      </w:r>
      <w:r w:rsidRPr="00A01EF4">
        <w:rPr>
          <w:rFonts w:eastAsia="Times New Roman" w:cs="Arial"/>
          <w:color w:val="000000"/>
          <w:lang w:eastAsia="bg-BG"/>
        </w:rPr>
        <w:t xml:space="preserve">/ден и и пациент с тегло 60 </w:t>
      </w:r>
      <w:r w:rsidRPr="00A01EF4">
        <w:rPr>
          <w:rFonts w:eastAsia="Times New Roman" w:cs="Arial"/>
          <w:color w:val="000000"/>
          <w:lang w:val="en-US"/>
        </w:rPr>
        <w:t>kg</w:t>
      </w:r>
      <w:r w:rsidRPr="00A01EF4">
        <w:rPr>
          <w:rFonts w:eastAsia="Times New Roman" w:cs="Arial"/>
          <w:color w:val="000000"/>
          <w:lang w:val="ru-RU"/>
        </w:rPr>
        <w:t>).</w:t>
      </w:r>
    </w:p>
    <w:p w14:paraId="1A7CFAB9" w14:textId="77777777" w:rsidR="00A01EF4" w:rsidRDefault="00A01EF4" w:rsidP="00A01EF4">
      <w:pPr>
        <w:spacing w:line="240" w:lineRule="auto"/>
        <w:rPr>
          <w:rFonts w:eastAsia="Times New Roman" w:cs="Arial"/>
          <w:color w:val="000000"/>
          <w:lang w:eastAsia="bg-BG"/>
        </w:rPr>
      </w:pPr>
    </w:p>
    <w:p w14:paraId="2A5C1029" w14:textId="6847831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При предклинични проучвания за безопасност високи дози валсартан (200 до 600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val="ru-RU"/>
        </w:rPr>
        <w:t xml:space="preserve"> </w:t>
      </w:r>
      <w:r w:rsidRPr="00A01EF4">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eastAsia="bg-BG"/>
        </w:rPr>
        <w:t xml:space="preserve">/ден) представляват приблизително 6 и 18 пъти максималната препоръчвана доза при хора на базата на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m</w:t>
      </w:r>
      <w:r w:rsidRPr="00A01EF4">
        <w:rPr>
          <w:rFonts w:eastAsia="Times New Roman" w:cs="Arial"/>
          <w:color w:val="000000"/>
          <w:vertAlign w:val="superscript"/>
          <w:lang w:val="ru-RU"/>
        </w:rPr>
        <w:t xml:space="preserve">2 </w:t>
      </w:r>
      <w:r w:rsidRPr="00A01EF4">
        <w:rPr>
          <w:rFonts w:eastAsia="Times New Roman" w:cs="Arial"/>
          <w:color w:val="000000"/>
          <w:lang w:eastAsia="bg-BG"/>
        </w:rPr>
        <w:t xml:space="preserve">(изчисленията се отнасят за перорална доза 320 </w:t>
      </w:r>
      <w:r w:rsidRPr="00A01EF4">
        <w:rPr>
          <w:rFonts w:eastAsia="Times New Roman" w:cs="Arial"/>
          <w:color w:val="000000"/>
          <w:lang w:val="en-US"/>
        </w:rPr>
        <w:t>mg</w:t>
      </w:r>
      <w:r w:rsidRPr="00A01EF4">
        <w:rPr>
          <w:rFonts w:eastAsia="Times New Roman" w:cs="Arial"/>
          <w:color w:val="000000"/>
          <w:lang w:eastAsia="bg-BG"/>
        </w:rPr>
        <w:t xml:space="preserve">/ден и пациент с тегло 60 </w:t>
      </w:r>
      <w:r w:rsidRPr="00A01EF4">
        <w:rPr>
          <w:rFonts w:eastAsia="Times New Roman" w:cs="Arial"/>
          <w:color w:val="000000"/>
          <w:lang w:val="en-US"/>
        </w:rPr>
        <w:t>kg</w:t>
      </w:r>
      <w:r w:rsidRPr="00A01EF4">
        <w:rPr>
          <w:rFonts w:eastAsia="Times New Roman" w:cs="Arial"/>
          <w:color w:val="000000"/>
          <w:lang w:val="ru-RU"/>
        </w:rPr>
        <w:t>).</w:t>
      </w:r>
    </w:p>
    <w:p w14:paraId="28E4C427"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При мармозетки след приложение на подобни дози има подобни, но по-тежки промени, особено в бъбреците, където промените се развиват до нефропатия, включваща повишени урея и креатинин.</w:t>
      </w:r>
    </w:p>
    <w:p w14:paraId="503B1262" w14:textId="77777777" w:rsidR="00A01EF4" w:rsidRDefault="00A01EF4" w:rsidP="00A01EF4">
      <w:pPr>
        <w:spacing w:line="240" w:lineRule="auto"/>
        <w:rPr>
          <w:rFonts w:eastAsia="Times New Roman" w:cs="Arial"/>
          <w:color w:val="000000"/>
          <w:lang w:eastAsia="bg-BG"/>
        </w:rPr>
      </w:pPr>
    </w:p>
    <w:p w14:paraId="6B45CE41" w14:textId="11ED1B40" w:rsidR="00A01EF4" w:rsidRPr="00A01EF4" w:rsidRDefault="00A01EF4" w:rsidP="00A01EF4">
      <w:pPr>
        <w:spacing w:line="240" w:lineRule="auto"/>
        <w:rPr>
          <w:rFonts w:eastAsia="Times New Roman" w:cs="Arial"/>
        </w:rPr>
      </w:pPr>
      <w:r w:rsidRPr="00A01EF4">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144ABACE" w14:textId="77777777" w:rsidR="00A01EF4" w:rsidRDefault="00A01EF4" w:rsidP="00A01EF4">
      <w:pPr>
        <w:spacing w:line="240" w:lineRule="auto"/>
        <w:rPr>
          <w:rFonts w:eastAsia="Times New Roman" w:cs="Arial"/>
          <w:i/>
          <w:iCs/>
          <w:color w:val="000000"/>
          <w:u w:val="single"/>
          <w:lang w:eastAsia="bg-BG"/>
        </w:rPr>
      </w:pPr>
    </w:p>
    <w:p w14:paraId="70067564" w14:textId="47AB5E3A" w:rsidR="00A01EF4" w:rsidRPr="00A01EF4" w:rsidRDefault="00A01EF4" w:rsidP="00A01EF4">
      <w:pPr>
        <w:spacing w:line="240" w:lineRule="auto"/>
        <w:rPr>
          <w:rFonts w:eastAsia="Times New Roman" w:cs="Arial"/>
        </w:rPr>
      </w:pPr>
      <w:r w:rsidRPr="00A01EF4">
        <w:rPr>
          <w:rFonts w:eastAsia="Times New Roman" w:cs="Arial"/>
          <w:i/>
          <w:iCs/>
          <w:color w:val="000000"/>
          <w:u w:val="single"/>
          <w:lang w:eastAsia="bg-BG"/>
        </w:rPr>
        <w:t>Педиатрична популация</w:t>
      </w:r>
    </w:p>
    <w:p w14:paraId="42D27F2E" w14:textId="77777777" w:rsidR="00A01EF4" w:rsidRPr="00A01EF4" w:rsidRDefault="00A01EF4" w:rsidP="00A01EF4">
      <w:pPr>
        <w:spacing w:line="240" w:lineRule="auto"/>
        <w:rPr>
          <w:rFonts w:eastAsia="Times New Roman" w:cs="Arial"/>
        </w:rPr>
      </w:pPr>
      <w:r w:rsidRPr="00A01EF4">
        <w:rPr>
          <w:rFonts w:eastAsia="Times New Roman" w:cs="Arial"/>
          <w:color w:val="000000"/>
          <w:lang w:eastAsia="bg-BG"/>
        </w:rPr>
        <w:t xml:space="preserve">Ежедневното перорално приложение на валсартан при новородени/млади плъхове (от 7-ми до 70-ти постнатален ден) в дози 1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eastAsia="bg-BG"/>
        </w:rPr>
        <w:t xml:space="preserve">/ден (около 10-35% от максималната препоръчвана педиатрична доза 4 </w:t>
      </w:r>
      <w:r w:rsidRPr="00A01EF4">
        <w:rPr>
          <w:rFonts w:eastAsia="Times New Roman" w:cs="Arial"/>
          <w:color w:val="000000"/>
          <w:lang w:val="en-US"/>
        </w:rPr>
        <w:t>mg</w:t>
      </w:r>
      <w:r w:rsidRPr="00A01EF4">
        <w:rPr>
          <w:rFonts w:eastAsia="Times New Roman" w:cs="Arial"/>
          <w:color w:val="000000"/>
          <w:lang w:val="ru-RU"/>
        </w:rPr>
        <w:t>/</w:t>
      </w:r>
      <w:r w:rsidRPr="00A01EF4">
        <w:rPr>
          <w:rFonts w:eastAsia="Times New Roman" w:cs="Arial"/>
          <w:color w:val="000000"/>
          <w:lang w:val="en-US"/>
        </w:rPr>
        <w:t>kg</w:t>
      </w:r>
      <w:r w:rsidRPr="00A01EF4">
        <w:rPr>
          <w:rFonts w:eastAsia="Times New Roman" w:cs="Arial"/>
          <w:color w:val="000000"/>
          <w:lang w:eastAsia="bg-BG"/>
        </w:rPr>
        <w:t>/ден на база системна експозиция) предизвиква трайно, необратимо бъбречно увреждане. Споменатите последици представляват очакван агравиран фармакологичен ефект на инхибиторите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 Този период съвпада с 36-та гестационна седмица при хора, като понякога може да бъде удължен до 44 седмици след концепцията. Плъховете, в проучването на валсартан при млади животни, приемат валсартан до 70-ти ден и ефекти върху развитието на бъбреците (4-6 постнатални седмици) не могат да се изключат. 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по-големи от 1 година предклиничните данни не показват някакви притеснения относно безопасността.</w:t>
      </w:r>
    </w:p>
    <w:p w14:paraId="3E04BABA" w14:textId="77777777" w:rsidR="00A01EF4" w:rsidRPr="00A01EF4" w:rsidRDefault="00A01EF4" w:rsidP="00A01EF4"/>
    <w:p w14:paraId="1BA6531D" w14:textId="053D12EC" w:rsidR="00B6672E" w:rsidRDefault="002C50EE" w:rsidP="00936AD0">
      <w:pPr>
        <w:pStyle w:val="Heading1"/>
      </w:pPr>
      <w:r>
        <w:t>7. ПРИТЕЖАТЕЛ НА РАЗРЕШЕНИЕТО ЗА УПОТРЕБА</w:t>
      </w:r>
    </w:p>
    <w:p w14:paraId="130B88A2" w14:textId="3C85585D" w:rsidR="00A01EF4" w:rsidRDefault="00A01EF4" w:rsidP="00A01EF4"/>
    <w:p w14:paraId="5C39758D" w14:textId="77777777" w:rsidR="00A01EF4" w:rsidRPr="00A01EF4" w:rsidRDefault="00A01EF4" w:rsidP="00A01EF4">
      <w:pPr>
        <w:rPr>
          <w:sz w:val="24"/>
          <w:szCs w:val="24"/>
          <w:lang w:val="en-US"/>
        </w:rPr>
      </w:pPr>
      <w:r w:rsidRPr="00A01EF4">
        <w:rPr>
          <w:lang w:val="en-US"/>
        </w:rPr>
        <w:t>Novartis Pharma GmbH</w:t>
      </w:r>
    </w:p>
    <w:p w14:paraId="235F9CCF" w14:textId="77777777" w:rsidR="00A01EF4" w:rsidRPr="00A01EF4" w:rsidRDefault="00A01EF4" w:rsidP="00A01EF4">
      <w:pPr>
        <w:rPr>
          <w:sz w:val="24"/>
          <w:szCs w:val="24"/>
          <w:lang w:val="en-US"/>
        </w:rPr>
      </w:pPr>
      <w:proofErr w:type="spellStart"/>
      <w:r w:rsidRPr="00A01EF4">
        <w:rPr>
          <w:lang w:val="en-US"/>
        </w:rPr>
        <w:t>Roonstrasse</w:t>
      </w:r>
      <w:proofErr w:type="spellEnd"/>
      <w:r w:rsidRPr="00A01EF4">
        <w:rPr>
          <w:lang w:val="en-US"/>
        </w:rPr>
        <w:t xml:space="preserve"> 25, D-90429 </w:t>
      </w:r>
      <w:proofErr w:type="spellStart"/>
      <w:r w:rsidRPr="00A01EF4">
        <w:rPr>
          <w:lang w:val="en-US"/>
        </w:rPr>
        <w:t>Niimberg</w:t>
      </w:r>
      <w:proofErr w:type="spellEnd"/>
      <w:r w:rsidRPr="00A01EF4">
        <w:rPr>
          <w:lang w:val="en-US"/>
        </w:rPr>
        <w:t xml:space="preserve">, </w:t>
      </w:r>
      <w:r w:rsidRPr="00A01EF4">
        <w:rPr>
          <w:lang w:eastAsia="bg-BG"/>
        </w:rPr>
        <w:t>Германия</w:t>
      </w:r>
    </w:p>
    <w:p w14:paraId="629BB363" w14:textId="77777777" w:rsidR="00A01EF4" w:rsidRPr="00A01EF4" w:rsidRDefault="00A01EF4" w:rsidP="00A01EF4">
      <w:pPr>
        <w:rPr>
          <w:lang w:val="en-US"/>
        </w:rPr>
      </w:pPr>
    </w:p>
    <w:p w14:paraId="508F3A54" w14:textId="260F6AF9" w:rsidR="00B6672E" w:rsidRDefault="00936AD0" w:rsidP="00936AD0">
      <w:pPr>
        <w:pStyle w:val="Heading1"/>
      </w:pPr>
      <w:r>
        <w:t>8.</w:t>
      </w:r>
      <w:r w:rsidR="002C50EE">
        <w:t>НОМЕР НА РАЗРЕШЕНИЕТО ЗА УПОТРЕБА</w:t>
      </w:r>
    </w:p>
    <w:p w14:paraId="388787A8" w14:textId="426C1086" w:rsidR="00A01EF4" w:rsidRDefault="00A01EF4" w:rsidP="00A01EF4"/>
    <w:p w14:paraId="46C2AC03" w14:textId="6D5D0E21" w:rsidR="00A01EF4" w:rsidRPr="00A01EF4" w:rsidRDefault="00A01EF4" w:rsidP="00A01EF4">
      <w:r>
        <w:t>20020028</w:t>
      </w:r>
    </w:p>
    <w:p w14:paraId="2CCB5832" w14:textId="25F3FCCE" w:rsidR="007C605B" w:rsidRDefault="002C50EE" w:rsidP="007C605B">
      <w:pPr>
        <w:pStyle w:val="Heading1"/>
      </w:pPr>
      <w:r>
        <w:lastRenderedPageBreak/>
        <w:t>9. ДАТА НА ПЪРВО РАЗРЕШАВАНЕ/ПОДНОВЯВАНЕ НА РАЗРЕШЕНИЕТО ЗА УПОТРЕБА</w:t>
      </w:r>
    </w:p>
    <w:p w14:paraId="1C362535" w14:textId="643E28D6" w:rsidR="00A01EF4" w:rsidRDefault="00A01EF4" w:rsidP="00A01EF4"/>
    <w:p w14:paraId="3633F0CC" w14:textId="77777777" w:rsidR="00A01EF4" w:rsidRPr="00A01EF4" w:rsidRDefault="00A01EF4" w:rsidP="00A01EF4">
      <w:pPr>
        <w:rPr>
          <w:sz w:val="24"/>
          <w:szCs w:val="24"/>
        </w:rPr>
      </w:pPr>
      <w:r w:rsidRPr="00A01EF4">
        <w:rPr>
          <w:lang w:eastAsia="bg-BG"/>
        </w:rPr>
        <w:t>Дата на първо разрешаване: 08 януари 2002 г.</w:t>
      </w:r>
    </w:p>
    <w:p w14:paraId="3FB177A1" w14:textId="01A9A29F" w:rsidR="00A01EF4" w:rsidRPr="00A01EF4" w:rsidRDefault="00A01EF4" w:rsidP="00A01EF4">
      <w:r w:rsidRPr="00A01EF4">
        <w:rPr>
          <w:lang w:eastAsia="bg-BG"/>
        </w:rPr>
        <w:t>Дата на последно подновяване: 21 януари 2011 г.</w:t>
      </w:r>
    </w:p>
    <w:p w14:paraId="0E9D0119" w14:textId="0245C6D7" w:rsidR="002C50EE" w:rsidRDefault="002C50EE" w:rsidP="002C50EE">
      <w:pPr>
        <w:pStyle w:val="Heading1"/>
      </w:pPr>
      <w:r>
        <w:t>10. ДАТА НА АКТУАЛИЗИРАНЕ НА ТЕКСТА</w:t>
      </w:r>
    </w:p>
    <w:bookmarkEnd w:id="0"/>
    <w:p w14:paraId="43FB38A2" w14:textId="4FBF83E9" w:rsidR="007C605B" w:rsidRPr="003E3126" w:rsidRDefault="00A01EF4" w:rsidP="00A01EF4">
      <w:r>
        <w:t>23.01.2020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D00CE"/>
    <w:multiLevelType w:val="hybridMultilevel"/>
    <w:tmpl w:val="0748AAE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29"/>
  </w:num>
  <w:num w:numId="34">
    <w:abstractNumId w:val="34"/>
  </w:num>
  <w:num w:numId="35">
    <w:abstractNumId w:val="7"/>
  </w:num>
  <w:num w:numId="36">
    <w:abstractNumId w:val="1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D5569"/>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66272"/>
    <w:rsid w:val="007C605B"/>
    <w:rsid w:val="008134C8"/>
    <w:rsid w:val="00814073"/>
    <w:rsid w:val="00826F0D"/>
    <w:rsid w:val="00893B92"/>
    <w:rsid w:val="008A6AF2"/>
    <w:rsid w:val="008C70A2"/>
    <w:rsid w:val="00936AD0"/>
    <w:rsid w:val="009773E4"/>
    <w:rsid w:val="009B171C"/>
    <w:rsid w:val="009F1313"/>
    <w:rsid w:val="00A01EF4"/>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4594D"/>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8384</Words>
  <Characters>47793</Characters>
  <Application>Microsoft Office Word</Application>
  <DocSecurity>0</DocSecurity>
  <Lines>398</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2022-07-13T12:45:00Z</dcterms:created>
  <dcterms:modified xsi:type="dcterms:W3CDTF">2022-07-13T12:45:00Z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