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B48F8E0" w:rsidR="007122AD" w:rsidRDefault="00DD466D" w:rsidP="00936AD0">
      <w:pPr>
        <w:pStyle w:val="Heading1"/>
      </w:pPr>
      <w:r>
        <w:t>1.ИМЕ НА ЛЕКАРСТВЕНИЯ ПРОДУКТ</w:t>
      </w:r>
    </w:p>
    <w:p w14:paraId="198096EC" w14:textId="752AA4A3" w:rsidR="00E534A2" w:rsidRDefault="00E534A2" w:rsidP="00E534A2"/>
    <w:p w14:paraId="5214D47D" w14:textId="77777777" w:rsidR="00E534A2" w:rsidRPr="00E534A2" w:rsidRDefault="00E534A2" w:rsidP="00E534A2">
      <w:pPr>
        <w:rPr>
          <w:sz w:val="24"/>
          <w:szCs w:val="24"/>
          <w:lang w:val="ru-RU"/>
        </w:rPr>
      </w:pPr>
      <w:r w:rsidRPr="00E534A2">
        <w:rPr>
          <w:lang w:eastAsia="bg-BG"/>
        </w:rPr>
        <w:t xml:space="preserve">ДИРОТОН 5 </w:t>
      </w:r>
      <w:r w:rsidRPr="00E534A2">
        <w:rPr>
          <w:lang w:val="en-US"/>
        </w:rPr>
        <w:t>mg</w:t>
      </w:r>
      <w:r w:rsidRPr="00E534A2">
        <w:rPr>
          <w:lang w:val="ru-RU"/>
        </w:rPr>
        <w:t xml:space="preserve"> </w:t>
      </w:r>
      <w:r w:rsidRPr="00E534A2">
        <w:rPr>
          <w:lang w:eastAsia="bg-BG"/>
        </w:rPr>
        <w:t>таблетки</w:t>
      </w:r>
    </w:p>
    <w:p w14:paraId="0428991A" w14:textId="77777777" w:rsidR="00E534A2" w:rsidRPr="00E534A2" w:rsidRDefault="00E534A2" w:rsidP="00E534A2">
      <w:pPr>
        <w:rPr>
          <w:sz w:val="24"/>
          <w:szCs w:val="24"/>
          <w:lang w:val="ru-RU"/>
        </w:rPr>
      </w:pPr>
      <w:r w:rsidRPr="00E534A2">
        <w:rPr>
          <w:lang w:eastAsia="bg-BG"/>
        </w:rPr>
        <w:t xml:space="preserve">ДИРОТОН 10 </w:t>
      </w:r>
      <w:r w:rsidRPr="00E534A2">
        <w:rPr>
          <w:lang w:val="en-US"/>
        </w:rPr>
        <w:t>mg</w:t>
      </w:r>
      <w:r w:rsidRPr="00E534A2">
        <w:rPr>
          <w:lang w:val="ru-RU"/>
        </w:rPr>
        <w:t xml:space="preserve"> </w:t>
      </w:r>
      <w:r w:rsidRPr="00E534A2">
        <w:rPr>
          <w:lang w:eastAsia="bg-BG"/>
        </w:rPr>
        <w:t>таблетки</w:t>
      </w:r>
    </w:p>
    <w:p w14:paraId="24863E2F" w14:textId="77777777" w:rsidR="00E534A2" w:rsidRPr="00E534A2" w:rsidRDefault="00E534A2" w:rsidP="00E534A2">
      <w:pPr>
        <w:rPr>
          <w:sz w:val="24"/>
          <w:szCs w:val="24"/>
          <w:lang w:val="ru-RU"/>
        </w:rPr>
      </w:pPr>
      <w:r w:rsidRPr="00E534A2">
        <w:rPr>
          <w:lang w:eastAsia="bg-BG"/>
        </w:rPr>
        <w:t xml:space="preserve">ДИРОТОН 20 </w:t>
      </w:r>
      <w:r w:rsidRPr="00E534A2">
        <w:rPr>
          <w:lang w:val="en-US"/>
        </w:rPr>
        <w:t>mg</w:t>
      </w:r>
      <w:r w:rsidRPr="00E534A2">
        <w:rPr>
          <w:lang w:val="ru-RU"/>
        </w:rPr>
        <w:t xml:space="preserve"> </w:t>
      </w:r>
      <w:r w:rsidRPr="00E534A2">
        <w:rPr>
          <w:lang w:eastAsia="bg-BG"/>
        </w:rPr>
        <w:t>таблетки</w:t>
      </w:r>
    </w:p>
    <w:p w14:paraId="38675F0F" w14:textId="77777777" w:rsidR="00E534A2" w:rsidRPr="00E534A2" w:rsidRDefault="00E534A2" w:rsidP="00E534A2">
      <w:pPr>
        <w:rPr>
          <w:lang w:val="ru-RU"/>
        </w:rPr>
      </w:pPr>
    </w:p>
    <w:p w14:paraId="4D0C4C58" w14:textId="60304F84" w:rsidR="00E534A2" w:rsidRPr="00E534A2" w:rsidRDefault="00E534A2" w:rsidP="00E534A2">
      <w:pPr>
        <w:rPr>
          <w:sz w:val="24"/>
          <w:szCs w:val="24"/>
          <w:lang w:val="ru-RU"/>
        </w:rPr>
      </w:pPr>
      <w:r w:rsidRPr="00E534A2">
        <w:rPr>
          <w:lang w:val="en-US"/>
        </w:rPr>
        <w:t>DIROTON</w:t>
      </w:r>
      <w:r w:rsidRPr="00E534A2">
        <w:rPr>
          <w:lang w:val="ru-RU"/>
        </w:rPr>
        <w:t xml:space="preserve"> </w:t>
      </w:r>
      <w:r w:rsidRPr="00E534A2">
        <w:rPr>
          <w:lang w:eastAsia="bg-BG"/>
        </w:rPr>
        <w:t xml:space="preserve">5 </w:t>
      </w:r>
      <w:r w:rsidRPr="00E534A2">
        <w:rPr>
          <w:lang w:val="en-US"/>
        </w:rPr>
        <w:t>mg</w:t>
      </w:r>
      <w:r w:rsidRPr="00E534A2">
        <w:rPr>
          <w:lang w:val="ru-RU"/>
        </w:rPr>
        <w:t xml:space="preserve"> </w:t>
      </w:r>
      <w:r w:rsidRPr="00E534A2">
        <w:rPr>
          <w:lang w:val="en-US"/>
        </w:rPr>
        <w:t>tablets</w:t>
      </w:r>
    </w:p>
    <w:p w14:paraId="6BD99971" w14:textId="77777777" w:rsidR="00E534A2" w:rsidRPr="00E534A2" w:rsidRDefault="00E534A2" w:rsidP="00E534A2">
      <w:pPr>
        <w:rPr>
          <w:sz w:val="24"/>
          <w:szCs w:val="24"/>
          <w:lang w:val="en-US"/>
        </w:rPr>
      </w:pPr>
      <w:r w:rsidRPr="00E534A2">
        <w:rPr>
          <w:lang w:val="en-US"/>
        </w:rPr>
        <w:t xml:space="preserve">DIROTON </w:t>
      </w:r>
      <w:r w:rsidRPr="00E534A2">
        <w:rPr>
          <w:lang w:eastAsia="bg-BG"/>
        </w:rPr>
        <w:t xml:space="preserve">10 </w:t>
      </w:r>
      <w:r w:rsidRPr="00E534A2">
        <w:rPr>
          <w:lang w:val="en-US"/>
        </w:rPr>
        <w:t>mg tablets</w:t>
      </w:r>
    </w:p>
    <w:p w14:paraId="7FFAF74C" w14:textId="15E07D36" w:rsidR="00E534A2" w:rsidRPr="00E534A2" w:rsidRDefault="00E534A2" w:rsidP="00E534A2">
      <w:r w:rsidRPr="00E534A2">
        <w:rPr>
          <w:lang w:val="en-US"/>
        </w:rPr>
        <w:t>DIROTON 20 mg tablets</w:t>
      </w:r>
    </w:p>
    <w:p w14:paraId="6920A680" w14:textId="70B68FB3" w:rsidR="00C40420" w:rsidRDefault="00DD466D" w:rsidP="004A448E">
      <w:pPr>
        <w:pStyle w:val="Heading1"/>
      </w:pPr>
      <w:r>
        <w:t>2. КАЧЕСТВЕН И КОЛИЧЕСТВЕН СЪСТАВ</w:t>
      </w:r>
    </w:p>
    <w:p w14:paraId="26B3AA49" w14:textId="5598677E" w:rsidR="00E534A2" w:rsidRDefault="00E534A2" w:rsidP="00E534A2"/>
    <w:p w14:paraId="3C28E57B" w14:textId="77777777" w:rsidR="00E534A2" w:rsidRPr="00E534A2" w:rsidRDefault="00E534A2" w:rsidP="00E534A2">
      <w:pPr>
        <w:rPr>
          <w:sz w:val="24"/>
          <w:szCs w:val="24"/>
        </w:rPr>
      </w:pPr>
      <w:r w:rsidRPr="00E534A2">
        <w:rPr>
          <w:lang w:eastAsia="bg-BG"/>
        </w:rPr>
        <w:t xml:space="preserve">Всяка </w:t>
      </w:r>
      <w:r w:rsidRPr="00E534A2">
        <w:rPr>
          <w:i/>
          <w:iCs/>
          <w:lang w:eastAsia="bg-BG"/>
        </w:rPr>
        <w:t>таблетка Диротон</w:t>
      </w:r>
      <w:r w:rsidRPr="00E534A2">
        <w:rPr>
          <w:lang w:eastAsia="bg-BG"/>
        </w:rPr>
        <w:t xml:space="preserve"> 5 </w:t>
      </w:r>
      <w:r w:rsidRPr="00E534A2">
        <w:rPr>
          <w:i/>
          <w:iCs/>
          <w:lang w:val="en-US"/>
        </w:rPr>
        <w:t>mg</w:t>
      </w:r>
      <w:r w:rsidRPr="00E534A2">
        <w:t xml:space="preserve"> </w:t>
      </w:r>
      <w:r w:rsidRPr="00E534A2">
        <w:rPr>
          <w:lang w:eastAsia="bg-BG"/>
        </w:rPr>
        <w:t xml:space="preserve">съдържа 5,44 </w:t>
      </w:r>
      <w:r w:rsidRPr="00E534A2">
        <w:rPr>
          <w:lang w:val="en-US"/>
        </w:rPr>
        <w:t>mg</w:t>
      </w:r>
      <w:r w:rsidRPr="00E534A2">
        <w:t xml:space="preserve"> </w:t>
      </w:r>
      <w:r w:rsidRPr="00E534A2">
        <w:rPr>
          <w:lang w:eastAsia="bg-BG"/>
        </w:rPr>
        <w:t xml:space="preserve">лизиноприл дихидрат </w:t>
      </w:r>
      <w:r w:rsidRPr="00E534A2">
        <w:rPr>
          <w:i/>
          <w:iCs/>
        </w:rPr>
        <w:t>(</w:t>
      </w:r>
      <w:proofErr w:type="spellStart"/>
      <w:r w:rsidRPr="00E534A2">
        <w:rPr>
          <w:i/>
          <w:iCs/>
          <w:lang w:val="en-US"/>
        </w:rPr>
        <w:t>lisinopril</w:t>
      </w:r>
      <w:proofErr w:type="spellEnd"/>
      <w:r w:rsidRPr="00E534A2">
        <w:rPr>
          <w:i/>
          <w:iCs/>
        </w:rPr>
        <w:t xml:space="preserve"> </w:t>
      </w:r>
      <w:proofErr w:type="spellStart"/>
      <w:r w:rsidRPr="00E534A2">
        <w:rPr>
          <w:i/>
          <w:iCs/>
          <w:lang w:val="en-US"/>
        </w:rPr>
        <w:t>dihydrate</w:t>
      </w:r>
      <w:proofErr w:type="spellEnd"/>
      <w:r w:rsidRPr="00E534A2">
        <w:rPr>
          <w:i/>
          <w:iCs/>
        </w:rPr>
        <w:t>)</w:t>
      </w:r>
      <w:r w:rsidRPr="00E534A2">
        <w:t xml:space="preserve"> </w:t>
      </w:r>
      <w:r w:rsidRPr="00E534A2">
        <w:rPr>
          <w:lang w:eastAsia="bg-BG"/>
        </w:rPr>
        <w:t xml:space="preserve">(съответстващ на 5,00 </w:t>
      </w:r>
      <w:r w:rsidRPr="00E534A2">
        <w:rPr>
          <w:lang w:val="en-US"/>
        </w:rPr>
        <w:t>mg</w:t>
      </w:r>
      <w:r w:rsidRPr="00E534A2">
        <w:t xml:space="preserve"> </w:t>
      </w:r>
      <w:r w:rsidRPr="00E534A2">
        <w:rPr>
          <w:lang w:eastAsia="bg-BG"/>
        </w:rPr>
        <w:t xml:space="preserve">лизиноприл </w:t>
      </w:r>
      <w:r w:rsidRPr="00E534A2">
        <w:rPr>
          <w:i/>
          <w:iCs/>
        </w:rPr>
        <w:t>(</w:t>
      </w:r>
      <w:proofErr w:type="spellStart"/>
      <w:r w:rsidRPr="00E534A2">
        <w:rPr>
          <w:i/>
          <w:iCs/>
          <w:lang w:val="en-US"/>
        </w:rPr>
        <w:t>lisinopril</w:t>
      </w:r>
      <w:proofErr w:type="spellEnd"/>
      <w:r w:rsidRPr="00E534A2">
        <w:rPr>
          <w:i/>
          <w:iCs/>
        </w:rPr>
        <w:t>)).</w:t>
      </w:r>
    </w:p>
    <w:p w14:paraId="07F8824B" w14:textId="77777777" w:rsidR="00E534A2" w:rsidRPr="00E534A2" w:rsidRDefault="00E534A2" w:rsidP="00E534A2">
      <w:pPr>
        <w:rPr>
          <w:sz w:val="24"/>
          <w:szCs w:val="24"/>
        </w:rPr>
      </w:pPr>
      <w:r w:rsidRPr="00E534A2">
        <w:rPr>
          <w:lang w:eastAsia="bg-BG"/>
        </w:rPr>
        <w:t xml:space="preserve">Всяка </w:t>
      </w:r>
      <w:r w:rsidRPr="00E534A2">
        <w:rPr>
          <w:i/>
          <w:iCs/>
          <w:lang w:eastAsia="bg-BG"/>
        </w:rPr>
        <w:t>таблетка Диротон</w:t>
      </w:r>
      <w:r w:rsidRPr="00E534A2">
        <w:rPr>
          <w:lang w:eastAsia="bg-BG"/>
        </w:rPr>
        <w:t xml:space="preserve"> 70 </w:t>
      </w:r>
      <w:r w:rsidRPr="00E534A2">
        <w:rPr>
          <w:lang w:val="en-US"/>
        </w:rPr>
        <w:t>mg</w:t>
      </w:r>
      <w:r w:rsidRPr="00E534A2">
        <w:t xml:space="preserve"> </w:t>
      </w:r>
      <w:r w:rsidRPr="00E534A2">
        <w:rPr>
          <w:lang w:eastAsia="bg-BG"/>
        </w:rPr>
        <w:t xml:space="preserve">съдържа 10,89 </w:t>
      </w:r>
      <w:r w:rsidRPr="00E534A2">
        <w:rPr>
          <w:lang w:val="en-US"/>
        </w:rPr>
        <w:t>mg</w:t>
      </w:r>
      <w:r w:rsidRPr="00E534A2">
        <w:t xml:space="preserve"> </w:t>
      </w:r>
      <w:r w:rsidRPr="00E534A2">
        <w:rPr>
          <w:lang w:eastAsia="bg-BG"/>
        </w:rPr>
        <w:t xml:space="preserve">лизиноприл дихидрат </w:t>
      </w:r>
      <w:r w:rsidRPr="00E534A2">
        <w:rPr>
          <w:i/>
          <w:iCs/>
        </w:rPr>
        <w:t>(</w:t>
      </w:r>
      <w:proofErr w:type="spellStart"/>
      <w:r w:rsidRPr="00E534A2">
        <w:rPr>
          <w:i/>
          <w:iCs/>
          <w:lang w:val="en-US"/>
        </w:rPr>
        <w:t>lisinopril</w:t>
      </w:r>
      <w:proofErr w:type="spellEnd"/>
      <w:r w:rsidRPr="00E534A2">
        <w:rPr>
          <w:i/>
          <w:iCs/>
        </w:rPr>
        <w:t xml:space="preserve"> </w:t>
      </w:r>
      <w:proofErr w:type="spellStart"/>
      <w:r w:rsidRPr="00E534A2">
        <w:rPr>
          <w:i/>
          <w:iCs/>
          <w:lang w:val="en-US"/>
        </w:rPr>
        <w:t>dihydrate</w:t>
      </w:r>
      <w:proofErr w:type="spellEnd"/>
      <w:r w:rsidRPr="00E534A2">
        <w:rPr>
          <w:i/>
          <w:iCs/>
        </w:rPr>
        <w:t>)</w:t>
      </w:r>
      <w:r w:rsidRPr="00E534A2">
        <w:t xml:space="preserve"> </w:t>
      </w:r>
      <w:r w:rsidRPr="00E534A2">
        <w:rPr>
          <w:lang w:eastAsia="bg-BG"/>
        </w:rPr>
        <w:t xml:space="preserve">(съответстващ на 10,00 </w:t>
      </w:r>
      <w:r w:rsidRPr="00E534A2">
        <w:rPr>
          <w:lang w:val="en-US"/>
        </w:rPr>
        <w:t>mg</w:t>
      </w:r>
      <w:r w:rsidRPr="00E534A2">
        <w:t xml:space="preserve"> </w:t>
      </w:r>
      <w:r w:rsidRPr="00E534A2">
        <w:rPr>
          <w:lang w:eastAsia="bg-BG"/>
        </w:rPr>
        <w:t xml:space="preserve">лизиноприл </w:t>
      </w:r>
      <w:r w:rsidRPr="00E534A2">
        <w:rPr>
          <w:i/>
          <w:iCs/>
        </w:rPr>
        <w:t>(</w:t>
      </w:r>
      <w:proofErr w:type="spellStart"/>
      <w:r w:rsidRPr="00E534A2">
        <w:rPr>
          <w:i/>
          <w:iCs/>
          <w:lang w:val="en-US"/>
        </w:rPr>
        <w:t>lisinopril</w:t>
      </w:r>
      <w:proofErr w:type="spellEnd"/>
      <w:r w:rsidRPr="00E534A2">
        <w:rPr>
          <w:i/>
          <w:iCs/>
        </w:rPr>
        <w:t>)).</w:t>
      </w:r>
    </w:p>
    <w:p w14:paraId="63AB2C38" w14:textId="77777777" w:rsidR="00E534A2" w:rsidRPr="00E534A2" w:rsidRDefault="00E534A2" w:rsidP="00E534A2">
      <w:pPr>
        <w:rPr>
          <w:sz w:val="24"/>
          <w:szCs w:val="24"/>
        </w:rPr>
      </w:pPr>
      <w:r w:rsidRPr="00E534A2">
        <w:rPr>
          <w:lang w:eastAsia="bg-BG"/>
        </w:rPr>
        <w:t xml:space="preserve">Всяка </w:t>
      </w:r>
      <w:r w:rsidRPr="00E534A2">
        <w:rPr>
          <w:i/>
          <w:iCs/>
          <w:lang w:eastAsia="bg-BG"/>
        </w:rPr>
        <w:t xml:space="preserve">таблетка Диротон 20 </w:t>
      </w:r>
      <w:r w:rsidRPr="00E534A2">
        <w:rPr>
          <w:i/>
          <w:iCs/>
          <w:lang w:val="en-US"/>
        </w:rPr>
        <w:t>mg</w:t>
      </w:r>
      <w:r w:rsidRPr="00E534A2">
        <w:t xml:space="preserve"> </w:t>
      </w:r>
      <w:r w:rsidRPr="00E534A2">
        <w:rPr>
          <w:lang w:eastAsia="bg-BG"/>
        </w:rPr>
        <w:t xml:space="preserve">съдържа 21,77 </w:t>
      </w:r>
      <w:r w:rsidRPr="00E534A2">
        <w:rPr>
          <w:lang w:val="en-US"/>
        </w:rPr>
        <w:t>mg</w:t>
      </w:r>
      <w:r w:rsidRPr="00E534A2">
        <w:t xml:space="preserve"> </w:t>
      </w:r>
      <w:r w:rsidRPr="00E534A2">
        <w:rPr>
          <w:lang w:eastAsia="bg-BG"/>
        </w:rPr>
        <w:t xml:space="preserve">лизиноприл дихидрат </w:t>
      </w:r>
      <w:r w:rsidRPr="00E534A2">
        <w:rPr>
          <w:i/>
          <w:iCs/>
        </w:rPr>
        <w:t>(</w:t>
      </w:r>
      <w:proofErr w:type="spellStart"/>
      <w:r w:rsidRPr="00E534A2">
        <w:rPr>
          <w:i/>
          <w:iCs/>
          <w:lang w:val="en-US"/>
        </w:rPr>
        <w:t>lisinopril</w:t>
      </w:r>
      <w:proofErr w:type="spellEnd"/>
      <w:r w:rsidRPr="00E534A2">
        <w:rPr>
          <w:i/>
          <w:iCs/>
        </w:rPr>
        <w:t xml:space="preserve"> </w:t>
      </w:r>
      <w:proofErr w:type="spellStart"/>
      <w:r w:rsidRPr="00E534A2">
        <w:rPr>
          <w:i/>
          <w:iCs/>
          <w:lang w:val="en-US"/>
        </w:rPr>
        <w:t>dihydrate</w:t>
      </w:r>
      <w:proofErr w:type="spellEnd"/>
      <w:r w:rsidRPr="00E534A2">
        <w:rPr>
          <w:i/>
          <w:iCs/>
        </w:rPr>
        <w:t>)</w:t>
      </w:r>
      <w:r w:rsidRPr="00E534A2">
        <w:t xml:space="preserve"> </w:t>
      </w:r>
      <w:r w:rsidRPr="00E534A2">
        <w:rPr>
          <w:lang w:eastAsia="bg-BG"/>
        </w:rPr>
        <w:t xml:space="preserve">(съответстващ на 20,00 </w:t>
      </w:r>
      <w:r w:rsidRPr="00E534A2">
        <w:rPr>
          <w:lang w:val="en-US"/>
        </w:rPr>
        <w:t>mg</w:t>
      </w:r>
      <w:r w:rsidRPr="00E534A2">
        <w:t xml:space="preserve"> </w:t>
      </w:r>
      <w:r w:rsidRPr="00E534A2">
        <w:rPr>
          <w:lang w:eastAsia="bg-BG"/>
        </w:rPr>
        <w:t xml:space="preserve">лизиноприл </w:t>
      </w:r>
      <w:r w:rsidRPr="00E534A2">
        <w:rPr>
          <w:i/>
          <w:iCs/>
        </w:rPr>
        <w:t>(</w:t>
      </w:r>
      <w:proofErr w:type="spellStart"/>
      <w:r w:rsidRPr="00E534A2">
        <w:rPr>
          <w:i/>
          <w:iCs/>
          <w:lang w:val="en-US"/>
        </w:rPr>
        <w:t>lisinopril</w:t>
      </w:r>
      <w:proofErr w:type="spellEnd"/>
      <w:r w:rsidRPr="00E534A2">
        <w:rPr>
          <w:i/>
          <w:iCs/>
        </w:rPr>
        <w:t>)).</w:t>
      </w:r>
    </w:p>
    <w:p w14:paraId="52C736B9" w14:textId="77777777" w:rsidR="00E534A2" w:rsidRPr="00E534A2" w:rsidRDefault="00E534A2" w:rsidP="00E534A2"/>
    <w:p w14:paraId="614984C4" w14:textId="38CC4A4B" w:rsidR="008A6AF2" w:rsidRDefault="00DD466D" w:rsidP="002C50EE">
      <w:pPr>
        <w:pStyle w:val="Heading1"/>
      </w:pPr>
      <w:r>
        <w:t>3. ЛЕКАРСТВЕНА ФОРМА</w:t>
      </w:r>
    </w:p>
    <w:p w14:paraId="104AF2F2" w14:textId="2656DD45" w:rsidR="00E534A2" w:rsidRDefault="00E534A2" w:rsidP="00E534A2"/>
    <w:p w14:paraId="3E9B9977"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Таблетка.</w:t>
      </w:r>
    </w:p>
    <w:p w14:paraId="24B6BB56" w14:textId="77777777" w:rsidR="00E534A2" w:rsidRPr="00E534A2" w:rsidRDefault="00E534A2" w:rsidP="00E534A2">
      <w:pPr>
        <w:spacing w:line="240" w:lineRule="auto"/>
        <w:rPr>
          <w:rFonts w:eastAsia="Times New Roman" w:cs="Arial"/>
          <w:color w:val="000000"/>
          <w:lang w:eastAsia="bg-BG"/>
        </w:rPr>
      </w:pPr>
    </w:p>
    <w:p w14:paraId="725B30BC" w14:textId="6F4427C6"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 xml:space="preserve">Таблетките от 5 </w:t>
      </w:r>
      <w:r w:rsidRPr="00E534A2">
        <w:rPr>
          <w:rFonts w:eastAsia="Times New Roman" w:cs="Arial"/>
          <w:color w:val="000000"/>
          <w:lang w:val="en-US"/>
        </w:rPr>
        <w:t>mg</w:t>
      </w:r>
      <w:r w:rsidRPr="00E534A2">
        <w:rPr>
          <w:rFonts w:eastAsia="Times New Roman" w:cs="Arial"/>
          <w:color w:val="000000"/>
          <w:lang w:val="ru-RU"/>
        </w:rPr>
        <w:t xml:space="preserve"> </w:t>
      </w:r>
      <w:r w:rsidRPr="00E534A2">
        <w:rPr>
          <w:rFonts w:eastAsia="Times New Roman" w:cs="Arial"/>
          <w:color w:val="000000"/>
          <w:lang w:eastAsia="bg-BG"/>
        </w:rPr>
        <w:t>са бели, кръгли, с релефен печат 5 върху едната страна и с делителна линия върху другата. Таблетката може да бъде разделена на две равни дози.</w:t>
      </w:r>
    </w:p>
    <w:p w14:paraId="2A39321C" w14:textId="77777777" w:rsidR="00E534A2" w:rsidRPr="00E534A2" w:rsidRDefault="00E534A2" w:rsidP="00E534A2">
      <w:pPr>
        <w:spacing w:line="240" w:lineRule="auto"/>
        <w:rPr>
          <w:rFonts w:eastAsia="Times New Roman" w:cs="Arial"/>
          <w:color w:val="000000"/>
          <w:lang w:eastAsia="bg-BG"/>
        </w:rPr>
      </w:pPr>
    </w:p>
    <w:p w14:paraId="2F699994" w14:textId="2103CF6C"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 xml:space="preserve">Таблетките от 10 </w:t>
      </w:r>
      <w:r w:rsidRPr="00E534A2">
        <w:rPr>
          <w:rFonts w:eastAsia="Times New Roman" w:cs="Arial"/>
          <w:color w:val="000000"/>
          <w:lang w:val="en-US"/>
        </w:rPr>
        <w:t>mg</w:t>
      </w:r>
      <w:r w:rsidRPr="00E534A2">
        <w:rPr>
          <w:rFonts w:eastAsia="Times New Roman" w:cs="Arial"/>
          <w:color w:val="000000"/>
          <w:lang w:val="ru-RU"/>
        </w:rPr>
        <w:t xml:space="preserve"> </w:t>
      </w:r>
      <w:r w:rsidRPr="00E534A2">
        <w:rPr>
          <w:rFonts w:eastAsia="Times New Roman" w:cs="Arial"/>
          <w:color w:val="000000"/>
          <w:lang w:eastAsia="bg-BG"/>
        </w:rPr>
        <w:t>са бели, квадратни, с релефен печат 10 върху едната страна и с делителна линия върху другата. Таблетката може да бъде разделена на две равни дози.</w:t>
      </w:r>
    </w:p>
    <w:p w14:paraId="42611232" w14:textId="77777777" w:rsidR="00E534A2" w:rsidRPr="00E534A2" w:rsidRDefault="00E534A2" w:rsidP="00E534A2">
      <w:pPr>
        <w:rPr>
          <w:rFonts w:eastAsia="Times New Roman" w:cs="Arial"/>
          <w:color w:val="000000"/>
          <w:lang w:eastAsia="bg-BG"/>
        </w:rPr>
      </w:pPr>
    </w:p>
    <w:p w14:paraId="6D73721C" w14:textId="7F10CBA2" w:rsidR="00E534A2" w:rsidRPr="00E534A2" w:rsidRDefault="00E534A2" w:rsidP="00E534A2">
      <w:pPr>
        <w:rPr>
          <w:rFonts w:cs="Arial"/>
        </w:rPr>
      </w:pPr>
      <w:r w:rsidRPr="00E534A2">
        <w:rPr>
          <w:rFonts w:eastAsia="Times New Roman" w:cs="Arial"/>
          <w:color w:val="000000"/>
          <w:lang w:eastAsia="bg-BG"/>
        </w:rPr>
        <w:t xml:space="preserve">Таблетките от 20 </w:t>
      </w:r>
      <w:r w:rsidRPr="00E534A2">
        <w:rPr>
          <w:rFonts w:eastAsia="Times New Roman" w:cs="Arial"/>
          <w:color w:val="000000"/>
          <w:lang w:val="en-US"/>
        </w:rPr>
        <w:t>mg</w:t>
      </w:r>
      <w:r w:rsidRPr="00E534A2">
        <w:rPr>
          <w:rFonts w:eastAsia="Times New Roman" w:cs="Arial"/>
          <w:color w:val="000000"/>
          <w:lang w:val="ru-RU"/>
        </w:rPr>
        <w:t xml:space="preserve"> </w:t>
      </w:r>
      <w:r w:rsidRPr="00E534A2">
        <w:rPr>
          <w:rFonts w:eastAsia="Times New Roman" w:cs="Arial"/>
          <w:color w:val="000000"/>
          <w:lang w:eastAsia="bg-BG"/>
        </w:rPr>
        <w:t>са бели, петоъгълни, с релефен печат 20 върху едната страна и с делителна линия върху другата. Таблетката може да бъде разделена на две равни дози.</w:t>
      </w:r>
    </w:p>
    <w:p w14:paraId="490FC2C4" w14:textId="0F4A4A75" w:rsidR="002C50EE" w:rsidRDefault="002C50EE" w:rsidP="002C50EE">
      <w:pPr>
        <w:pStyle w:val="Heading1"/>
      </w:pPr>
      <w:r>
        <w:t>4. КЛИНИЧНИ ДАННИ</w:t>
      </w:r>
    </w:p>
    <w:p w14:paraId="74330405" w14:textId="073FC40B" w:rsidR="007122AD" w:rsidRDefault="002C50EE" w:rsidP="00936AD0">
      <w:pPr>
        <w:pStyle w:val="Heading2"/>
      </w:pPr>
      <w:r>
        <w:t>4.1. Терапевтични показания</w:t>
      </w:r>
    </w:p>
    <w:p w14:paraId="34508190" w14:textId="0F873830" w:rsidR="00E534A2" w:rsidRDefault="00E534A2" w:rsidP="00E534A2"/>
    <w:p w14:paraId="3E012928" w14:textId="77777777" w:rsidR="00E534A2" w:rsidRPr="00E534A2" w:rsidRDefault="00E534A2" w:rsidP="00E534A2">
      <w:pPr>
        <w:spacing w:line="240" w:lineRule="auto"/>
        <w:rPr>
          <w:rFonts w:eastAsia="Times New Roman" w:cs="Arial"/>
          <w:sz w:val="24"/>
          <w:szCs w:val="24"/>
        </w:rPr>
      </w:pPr>
      <w:r w:rsidRPr="00E534A2">
        <w:rPr>
          <w:rFonts w:eastAsia="Times New Roman" w:cs="Arial"/>
          <w:i/>
          <w:iCs/>
          <w:color w:val="000000"/>
          <w:u w:val="single"/>
          <w:lang w:eastAsia="bg-BG"/>
        </w:rPr>
        <w:t>Хипертония</w:t>
      </w:r>
    </w:p>
    <w:p w14:paraId="4D94B833"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За лечение на хипертония.</w:t>
      </w:r>
    </w:p>
    <w:p w14:paraId="04FBEC7E" w14:textId="77777777" w:rsidR="00E534A2" w:rsidRPr="00E534A2" w:rsidRDefault="00E534A2" w:rsidP="00E534A2">
      <w:pPr>
        <w:spacing w:line="240" w:lineRule="auto"/>
        <w:rPr>
          <w:rFonts w:eastAsia="Times New Roman" w:cs="Arial"/>
          <w:i/>
          <w:iCs/>
          <w:color w:val="000000"/>
          <w:u w:val="single"/>
          <w:lang w:eastAsia="bg-BG"/>
        </w:rPr>
      </w:pPr>
    </w:p>
    <w:p w14:paraId="5D6B601B" w14:textId="4C26BBB5" w:rsidR="00E534A2" w:rsidRPr="00E534A2" w:rsidRDefault="00E534A2" w:rsidP="00E534A2">
      <w:pPr>
        <w:spacing w:line="240" w:lineRule="auto"/>
        <w:rPr>
          <w:rFonts w:eastAsia="Times New Roman" w:cs="Arial"/>
          <w:sz w:val="24"/>
          <w:szCs w:val="24"/>
        </w:rPr>
      </w:pPr>
      <w:r w:rsidRPr="00E534A2">
        <w:rPr>
          <w:rFonts w:eastAsia="Times New Roman" w:cs="Arial"/>
          <w:i/>
          <w:iCs/>
          <w:color w:val="000000"/>
          <w:u w:val="single"/>
          <w:lang w:eastAsia="bg-BG"/>
        </w:rPr>
        <w:t>Сърдечна недостатъчност</w:t>
      </w:r>
    </w:p>
    <w:p w14:paraId="7B52D501"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За лечение на симптоматична сърдечна недостатъчност.</w:t>
      </w:r>
    </w:p>
    <w:p w14:paraId="220BE689" w14:textId="77777777" w:rsidR="00E534A2" w:rsidRPr="00E534A2" w:rsidRDefault="00E534A2" w:rsidP="00E534A2">
      <w:pPr>
        <w:spacing w:line="240" w:lineRule="auto"/>
        <w:rPr>
          <w:rFonts w:eastAsia="Times New Roman" w:cs="Arial"/>
          <w:i/>
          <w:iCs/>
          <w:color w:val="000000"/>
          <w:u w:val="single"/>
          <w:lang w:eastAsia="bg-BG"/>
        </w:rPr>
      </w:pPr>
    </w:p>
    <w:p w14:paraId="33C28877" w14:textId="4FAC5A2A" w:rsidR="00E534A2" w:rsidRPr="00E534A2" w:rsidRDefault="00E534A2" w:rsidP="00E534A2">
      <w:pPr>
        <w:spacing w:line="240" w:lineRule="auto"/>
        <w:rPr>
          <w:rFonts w:eastAsia="Times New Roman" w:cs="Arial"/>
          <w:sz w:val="24"/>
          <w:szCs w:val="24"/>
        </w:rPr>
      </w:pPr>
      <w:r w:rsidRPr="00E534A2">
        <w:rPr>
          <w:rFonts w:eastAsia="Times New Roman" w:cs="Arial"/>
          <w:i/>
          <w:iCs/>
          <w:color w:val="000000"/>
          <w:u w:val="single"/>
          <w:lang w:eastAsia="bg-BG"/>
        </w:rPr>
        <w:t>Остър миокарден инфаркт</w:t>
      </w:r>
    </w:p>
    <w:p w14:paraId="48FA15DF"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lastRenderedPageBreak/>
        <w:t>За краткосрочно (6 седмици) лечение на хемодинамично стабилни</w:t>
      </w:r>
      <w:r w:rsidRPr="00E534A2">
        <w:rPr>
          <w:rFonts w:eastAsia="Times New Roman" w:cs="Arial"/>
          <w:color w:val="000000"/>
          <w:lang w:val="ru-RU"/>
        </w:rPr>
        <w:t xml:space="preserve"> </w:t>
      </w:r>
      <w:r w:rsidRPr="00E534A2">
        <w:rPr>
          <w:rFonts w:eastAsia="Times New Roman" w:cs="Arial"/>
          <w:color w:val="000000"/>
          <w:lang w:eastAsia="bg-BG"/>
        </w:rPr>
        <w:t>пацинети в рамките</w:t>
      </w:r>
    </w:p>
    <w:p w14:paraId="3D25E148" w14:textId="77777777" w:rsidR="00E534A2" w:rsidRPr="00E534A2" w:rsidRDefault="00E534A2" w:rsidP="00E534A2">
      <w:pPr>
        <w:spacing w:line="240" w:lineRule="auto"/>
        <w:rPr>
          <w:rFonts w:eastAsia="Times New Roman" w:cs="Arial"/>
          <w:sz w:val="24"/>
          <w:szCs w:val="24"/>
        </w:rPr>
      </w:pPr>
      <w:r w:rsidRPr="00E534A2">
        <w:rPr>
          <w:rFonts w:eastAsia="Times New Roman" w:cs="Arial"/>
          <w:color w:val="000000"/>
          <w:lang w:eastAsia="bg-BG"/>
        </w:rPr>
        <w:t>на първите 24 часа от началото на остър миокарден инфаркт.</w:t>
      </w:r>
    </w:p>
    <w:p w14:paraId="043E19FC" w14:textId="77777777" w:rsidR="00E534A2" w:rsidRPr="00E534A2" w:rsidRDefault="00E534A2" w:rsidP="00E534A2">
      <w:pPr>
        <w:rPr>
          <w:rFonts w:eastAsia="Times New Roman" w:cs="Arial"/>
          <w:i/>
          <w:iCs/>
          <w:color w:val="000000"/>
          <w:u w:val="single"/>
          <w:lang w:eastAsia="bg-BG"/>
        </w:rPr>
      </w:pPr>
    </w:p>
    <w:p w14:paraId="51834D96" w14:textId="5D7780DB" w:rsidR="00E534A2" w:rsidRPr="00E534A2" w:rsidRDefault="00E534A2" w:rsidP="00E534A2">
      <w:pPr>
        <w:rPr>
          <w:rFonts w:eastAsia="Times New Roman" w:cs="Arial"/>
          <w:i/>
          <w:iCs/>
          <w:color w:val="000000"/>
          <w:u w:val="single"/>
          <w:lang w:eastAsia="bg-BG"/>
        </w:rPr>
      </w:pPr>
      <w:r w:rsidRPr="00E534A2">
        <w:rPr>
          <w:rFonts w:eastAsia="Times New Roman" w:cs="Arial"/>
          <w:i/>
          <w:iCs/>
          <w:color w:val="000000"/>
          <w:u w:val="single"/>
          <w:lang w:eastAsia="bg-BG"/>
        </w:rPr>
        <w:t>Бъбречни усложнения при диабет</w:t>
      </w:r>
    </w:p>
    <w:p w14:paraId="4C97471F" w14:textId="2070D0A5" w:rsidR="00E534A2" w:rsidRPr="00E534A2" w:rsidRDefault="00E534A2" w:rsidP="00E534A2">
      <w:pPr>
        <w:rPr>
          <w:rFonts w:cs="Arial"/>
        </w:rPr>
      </w:pPr>
      <w:r w:rsidRPr="00E534A2">
        <w:rPr>
          <w:rFonts w:cs="Arial"/>
        </w:rPr>
        <w:t>Лечение на бъбречно заболяване при хипертензивни пациенти с диабет тип 2 и начална нефропатия (вж. точка 5.1).</w:t>
      </w:r>
    </w:p>
    <w:p w14:paraId="2300FFD1" w14:textId="77777777" w:rsidR="00E534A2" w:rsidRPr="00E534A2" w:rsidRDefault="00E534A2" w:rsidP="00E534A2"/>
    <w:p w14:paraId="53F5B866" w14:textId="4B9BC14B" w:rsidR="007122AD" w:rsidRDefault="002C50EE" w:rsidP="00936AD0">
      <w:pPr>
        <w:pStyle w:val="Heading2"/>
      </w:pPr>
      <w:r>
        <w:t>4.2. Дозировка и начин на приложение</w:t>
      </w:r>
    </w:p>
    <w:p w14:paraId="31534086" w14:textId="61DF2C32" w:rsidR="002C2594" w:rsidRDefault="002C2594" w:rsidP="002C2594"/>
    <w:p w14:paraId="510847F7" w14:textId="77777777" w:rsidR="002C2594" w:rsidRPr="002C2594" w:rsidRDefault="002C2594" w:rsidP="002C2594">
      <w:pPr>
        <w:pStyle w:val="Heading3"/>
        <w:rPr>
          <w:rFonts w:eastAsia="Times New Roman"/>
          <w:u w:val="single"/>
        </w:rPr>
      </w:pPr>
      <w:r w:rsidRPr="002C2594">
        <w:rPr>
          <w:rFonts w:eastAsia="Times New Roman"/>
          <w:u w:val="single"/>
          <w:lang w:eastAsia="bg-BG"/>
        </w:rPr>
        <w:t>Дозировка</w:t>
      </w:r>
    </w:p>
    <w:p w14:paraId="45BD9F6E"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Дозата трябва да се индивидуализира в зависимост от профила на пациента и повлияването на кръвното налягане (вж. точка 4.4).</w:t>
      </w:r>
    </w:p>
    <w:p w14:paraId="04E6ED6C" w14:textId="77777777" w:rsidR="002C2594" w:rsidRPr="002C2594" w:rsidRDefault="002C2594" w:rsidP="002C2594">
      <w:pPr>
        <w:spacing w:line="240" w:lineRule="auto"/>
        <w:rPr>
          <w:rFonts w:eastAsia="Times New Roman" w:cs="Arial"/>
          <w:i/>
          <w:iCs/>
          <w:color w:val="000000"/>
          <w:u w:val="single"/>
          <w:lang w:eastAsia="bg-BG"/>
        </w:rPr>
      </w:pPr>
    </w:p>
    <w:p w14:paraId="169A0A7E" w14:textId="3A5C604B"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Хипертония</w:t>
      </w:r>
    </w:p>
    <w:p w14:paraId="2E913AD9"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Диротон може да се прилага като монотерапия или в комбинация с антихипертензивно лечение от друг клас (вж. точка 4.3,4.4,4.5 и 5.1).</w:t>
      </w:r>
    </w:p>
    <w:p w14:paraId="69866F40" w14:textId="77777777" w:rsidR="002C2594" w:rsidRPr="002C2594" w:rsidRDefault="002C2594" w:rsidP="002C2594">
      <w:pPr>
        <w:spacing w:line="240" w:lineRule="auto"/>
        <w:rPr>
          <w:rFonts w:eastAsia="Times New Roman" w:cs="Arial"/>
          <w:i/>
          <w:iCs/>
          <w:color w:val="000000"/>
          <w:lang w:eastAsia="bg-BG"/>
        </w:rPr>
      </w:pPr>
    </w:p>
    <w:p w14:paraId="148B5DB8" w14:textId="2A2F0959"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Начална доза</w:t>
      </w:r>
    </w:p>
    <w:p w14:paraId="419708E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с хипертония обичайната препоръчвана доза е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При пациенти със силно активирана ренин-ангиотензин-алдостеронова система (по-специално с реноваскуларна хипертония, недостиг на сол и/или течности, сърдечна декомпенсация или тежка хипертония) е възможно да възникне прекомерно понижаване на кръвното налягане след приема на първата доза. При такива пациенти се препоръчва начална доза от 2,5-5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и началото на лечението трябва да стане под лекарски контрол. По- ниска начална доза е необходима при наличие на бъбречно увреждане (вж. таблица 1 по-долу).</w:t>
      </w:r>
    </w:p>
    <w:p w14:paraId="5A3C5995"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35015B0F" w14:textId="77777777" w:rsidR="002C2594" w:rsidRPr="002C2594" w:rsidRDefault="002C2594" w:rsidP="002C2594">
      <w:pPr>
        <w:spacing w:line="240" w:lineRule="auto"/>
        <w:rPr>
          <w:rFonts w:eastAsia="Times New Roman" w:cs="Arial"/>
          <w:i/>
          <w:iCs/>
          <w:color w:val="000000"/>
          <w:lang w:eastAsia="bg-BG"/>
        </w:rPr>
      </w:pPr>
    </w:p>
    <w:p w14:paraId="58458BA9" w14:textId="6566D4DF"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Поддържаща доза</w:t>
      </w:r>
    </w:p>
    <w:p w14:paraId="7F0BA6C3"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Обичайната ефективна поддържаща доза е 20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прилагана еднократно дневно. По принцип, ако желаният терапевтичен ефект не може да се достигне в период от 2 до 4 седмици на определеното дозово ниво, дозата не трябва да се повишава допълнително. Максималната доза, използвана в продължителни контролирани клинични проучвания е била 80 </w:t>
      </w:r>
      <w:r w:rsidRPr="002C2594">
        <w:rPr>
          <w:rFonts w:eastAsia="Times New Roman" w:cs="Arial"/>
          <w:color w:val="000000"/>
          <w:lang w:val="en-US"/>
        </w:rPr>
        <w:t>mg</w:t>
      </w:r>
      <w:r w:rsidRPr="002C2594">
        <w:rPr>
          <w:rFonts w:eastAsia="Times New Roman" w:cs="Arial"/>
          <w:color w:val="000000"/>
          <w:lang w:eastAsia="bg-BG"/>
        </w:rPr>
        <w:t>/дневно.</w:t>
      </w:r>
    </w:p>
    <w:p w14:paraId="301C3578" w14:textId="77777777" w:rsidR="002C2594" w:rsidRPr="002C2594" w:rsidRDefault="002C2594" w:rsidP="002C2594">
      <w:pPr>
        <w:spacing w:line="240" w:lineRule="auto"/>
        <w:rPr>
          <w:rFonts w:eastAsia="Times New Roman" w:cs="Arial"/>
          <w:i/>
          <w:iCs/>
          <w:color w:val="000000"/>
          <w:lang w:eastAsia="bg-BG"/>
        </w:rPr>
      </w:pPr>
    </w:p>
    <w:p w14:paraId="7D0974E8" w14:textId="100F2572"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Пациенти, лекувани с диуретици</w:t>
      </w:r>
    </w:p>
    <w:p w14:paraId="6ED6E20A"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Симптоматична хипотония може да възникне като следствие от началото на терапия с Диротон. Това е характерно главно за пациентите, които са лекувани с диуретици. По тази причина се препоръчва повишено внимание, тъй като тези пациенти могат да бъдат с хиповолемия и/или недостиг на сол. По възможност диуретикът трябва да бъде спрян 2 до 3 дни преди началото на терапията с Диротон. При хипертонични пациенти, на които диуретикът не може да бъде спрян, терапията с Диротон трябва да започне с доза от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Бъбречната функция и серумния калий трябва да се проследяват. Последващото дозиране на Диротон трябва да се адаптира в зависимост от повлияването на кръвното налягане. При необходимост, диуретичната терапия може да бъде възстановена (вж. точка 4.4 и точка 4.5).</w:t>
      </w:r>
    </w:p>
    <w:p w14:paraId="3349A666" w14:textId="77777777" w:rsidR="002C2594" w:rsidRPr="002C2594" w:rsidRDefault="002C2594" w:rsidP="002C2594">
      <w:pPr>
        <w:spacing w:line="240" w:lineRule="auto"/>
        <w:rPr>
          <w:rFonts w:eastAsia="Times New Roman" w:cs="Arial"/>
          <w:i/>
          <w:iCs/>
          <w:color w:val="000000"/>
          <w:lang w:eastAsia="bg-BG"/>
        </w:rPr>
      </w:pPr>
    </w:p>
    <w:p w14:paraId="44AA79EA" w14:textId="2F67919B" w:rsidR="002C2594" w:rsidRPr="002C2594" w:rsidRDefault="002C2594" w:rsidP="002C2594">
      <w:pPr>
        <w:spacing w:line="240" w:lineRule="auto"/>
        <w:rPr>
          <w:rFonts w:eastAsia="Times New Roman" w:cs="Arial"/>
          <w:i/>
          <w:iCs/>
          <w:color w:val="000000"/>
          <w:lang w:eastAsia="bg-BG"/>
        </w:rPr>
      </w:pPr>
      <w:r w:rsidRPr="002C2594">
        <w:rPr>
          <w:rFonts w:eastAsia="Times New Roman" w:cs="Arial"/>
          <w:i/>
          <w:iCs/>
          <w:color w:val="000000"/>
          <w:lang w:eastAsia="bg-BG"/>
        </w:rPr>
        <w:t>Адаптиране на дозата при бъбречно увреждане</w:t>
      </w:r>
    </w:p>
    <w:p w14:paraId="5B13EF95"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lastRenderedPageBreak/>
        <w:t>Дозировката при пациенти с бъбречно увреждане трябва да се основава на креатининовия клирънс, както е показано в таблица 1 по-долу.</w:t>
      </w:r>
    </w:p>
    <w:p w14:paraId="1F7E96BF" w14:textId="77777777" w:rsidR="002C2594" w:rsidRPr="002C2594" w:rsidRDefault="002C2594" w:rsidP="002C2594">
      <w:pPr>
        <w:spacing w:line="240" w:lineRule="auto"/>
        <w:rPr>
          <w:rFonts w:eastAsia="Times New Roman" w:cs="Arial"/>
          <w:i/>
          <w:iCs/>
          <w:color w:val="000000"/>
          <w:lang w:eastAsia="bg-BG"/>
        </w:rPr>
      </w:pPr>
    </w:p>
    <w:p w14:paraId="26DAFE59" w14:textId="4DBB99FA" w:rsidR="002C2594" w:rsidRPr="002C2594" w:rsidRDefault="002C2594" w:rsidP="002C2594">
      <w:pPr>
        <w:spacing w:line="240" w:lineRule="auto"/>
        <w:rPr>
          <w:rFonts w:eastAsia="Times New Roman" w:cs="Arial"/>
          <w:i/>
          <w:iCs/>
          <w:color w:val="000000"/>
          <w:lang w:eastAsia="bg-BG"/>
        </w:rPr>
      </w:pPr>
      <w:r w:rsidRPr="002C2594">
        <w:rPr>
          <w:rFonts w:eastAsia="Times New Roman" w:cs="Arial"/>
          <w:i/>
          <w:iCs/>
          <w:color w:val="000000"/>
          <w:lang w:eastAsia="bg-BG"/>
        </w:rPr>
        <w:t>Таблица 1 Адаптиране на дозата при бъбречно увреждане</w:t>
      </w:r>
    </w:p>
    <w:tbl>
      <w:tblPr>
        <w:tblStyle w:val="TableGrid"/>
        <w:tblW w:w="0" w:type="auto"/>
        <w:tblLook w:val="04A0" w:firstRow="1" w:lastRow="0" w:firstColumn="1" w:lastColumn="0" w:noHBand="0" w:noVBand="1"/>
      </w:tblPr>
      <w:tblGrid>
        <w:gridCol w:w="4682"/>
        <w:gridCol w:w="4668"/>
      </w:tblGrid>
      <w:tr w:rsidR="002C2594" w:rsidRPr="002C2594" w14:paraId="2346807C" w14:textId="77777777" w:rsidTr="002C2594">
        <w:tc>
          <w:tcPr>
            <w:tcW w:w="4788" w:type="dxa"/>
            <w:vAlign w:val="bottom"/>
          </w:tcPr>
          <w:p w14:paraId="5A64450E" w14:textId="111AB8AF" w:rsidR="002C2594" w:rsidRPr="002C2594" w:rsidRDefault="002C2594" w:rsidP="002C2594">
            <w:pPr>
              <w:spacing w:line="240" w:lineRule="auto"/>
              <w:rPr>
                <w:rFonts w:eastAsia="Times New Roman" w:cs="Arial"/>
                <w:i/>
                <w:iCs/>
                <w:color w:val="000000"/>
                <w:lang w:eastAsia="bg-BG"/>
              </w:rPr>
            </w:pPr>
            <w:r w:rsidRPr="002C2594">
              <w:rPr>
                <w:rFonts w:cs="Arial"/>
              </w:rPr>
              <w:t xml:space="preserve">Креатининов клирънс </w:t>
            </w:r>
            <w:r w:rsidRPr="002C2594">
              <w:rPr>
                <w:rFonts w:cs="Arial"/>
                <w:lang w:val="en-US"/>
              </w:rPr>
              <w:t>(ml/min)</w:t>
            </w:r>
          </w:p>
        </w:tc>
        <w:tc>
          <w:tcPr>
            <w:tcW w:w="4788" w:type="dxa"/>
            <w:vAlign w:val="bottom"/>
          </w:tcPr>
          <w:p w14:paraId="53BA0B0B" w14:textId="492BD04A" w:rsidR="002C2594" w:rsidRPr="002C2594" w:rsidRDefault="002C2594" w:rsidP="002C2594">
            <w:pPr>
              <w:spacing w:line="240" w:lineRule="auto"/>
              <w:rPr>
                <w:rFonts w:eastAsia="Times New Roman" w:cs="Arial"/>
                <w:i/>
                <w:iCs/>
                <w:color w:val="000000"/>
                <w:lang w:eastAsia="bg-BG"/>
              </w:rPr>
            </w:pPr>
            <w:r w:rsidRPr="002C2594">
              <w:rPr>
                <w:rFonts w:cs="Arial"/>
              </w:rPr>
              <w:t xml:space="preserve">Начална доза </w:t>
            </w:r>
            <w:r w:rsidRPr="002C2594">
              <w:rPr>
                <w:rFonts w:cs="Arial"/>
                <w:lang w:val="en-US"/>
              </w:rPr>
              <w:t>(mg</w:t>
            </w:r>
            <w:r w:rsidRPr="002C2594">
              <w:rPr>
                <w:rFonts w:cs="Arial"/>
                <w:u w:val="single"/>
              </w:rPr>
              <w:t>/ден)</w:t>
            </w:r>
          </w:p>
        </w:tc>
      </w:tr>
      <w:tr w:rsidR="002C2594" w:rsidRPr="002C2594" w14:paraId="7495CA3D" w14:textId="77777777" w:rsidTr="002C2594">
        <w:tc>
          <w:tcPr>
            <w:tcW w:w="4788" w:type="dxa"/>
          </w:tcPr>
          <w:p w14:paraId="30E281FF" w14:textId="77777777" w:rsidR="002C2594" w:rsidRPr="002C2594" w:rsidRDefault="002C2594" w:rsidP="002C2594">
            <w:pPr>
              <w:rPr>
                <w:rFonts w:cs="Arial"/>
              </w:rPr>
            </w:pPr>
            <w:r w:rsidRPr="002C2594">
              <w:rPr>
                <w:rFonts w:cs="Arial"/>
              </w:rPr>
              <w:tab/>
            </w:r>
          </w:p>
          <w:p w14:paraId="62BBE691" w14:textId="7CA1E8AD" w:rsidR="002C2594" w:rsidRPr="002C2594" w:rsidRDefault="002C2594" w:rsidP="002C2594">
            <w:pPr>
              <w:spacing w:line="240" w:lineRule="auto"/>
              <w:rPr>
                <w:rFonts w:eastAsia="Times New Roman" w:cs="Arial"/>
                <w:i/>
                <w:iCs/>
                <w:color w:val="000000"/>
                <w:lang w:eastAsia="bg-BG"/>
              </w:rPr>
            </w:pPr>
            <w:r w:rsidRPr="002C2594">
              <w:rPr>
                <w:rFonts w:cs="Arial"/>
              </w:rPr>
              <w:t xml:space="preserve">По-малко от 10 </w:t>
            </w:r>
            <w:r w:rsidRPr="002C2594">
              <w:rPr>
                <w:rFonts w:cs="Arial"/>
                <w:lang w:val="en-US"/>
              </w:rPr>
              <w:t>ml</w:t>
            </w:r>
            <w:r w:rsidRPr="002C2594">
              <w:rPr>
                <w:rFonts w:cs="Arial"/>
                <w:lang w:val="ru-RU"/>
              </w:rPr>
              <w:t>/</w:t>
            </w:r>
            <w:r w:rsidRPr="002C2594">
              <w:rPr>
                <w:rFonts w:cs="Arial"/>
                <w:lang w:val="en-US"/>
              </w:rPr>
              <w:t>min</w:t>
            </w:r>
            <w:r w:rsidRPr="002C2594">
              <w:rPr>
                <w:rFonts w:cs="Arial"/>
                <w:lang w:val="ru-RU"/>
              </w:rPr>
              <w:t xml:space="preserve"> </w:t>
            </w:r>
            <w:r w:rsidRPr="002C2594">
              <w:rPr>
                <w:rFonts w:cs="Arial"/>
              </w:rPr>
              <w:t>(в това число пациенти на диализа)</w:t>
            </w:r>
          </w:p>
        </w:tc>
        <w:tc>
          <w:tcPr>
            <w:tcW w:w="4788" w:type="dxa"/>
          </w:tcPr>
          <w:p w14:paraId="5D893A7E" w14:textId="6A683B44" w:rsidR="002C2594" w:rsidRPr="002C2594" w:rsidRDefault="002C2594" w:rsidP="002C2594">
            <w:pPr>
              <w:spacing w:line="240" w:lineRule="auto"/>
              <w:rPr>
                <w:rFonts w:eastAsia="Times New Roman" w:cs="Arial"/>
                <w:i/>
                <w:iCs/>
                <w:color w:val="000000"/>
                <w:lang w:eastAsia="bg-BG"/>
              </w:rPr>
            </w:pPr>
            <w:r w:rsidRPr="002C2594">
              <w:rPr>
                <w:rFonts w:cs="Arial"/>
                <w:lang w:val="en-US"/>
              </w:rPr>
              <w:t>2,5mg*</w:t>
            </w:r>
          </w:p>
        </w:tc>
      </w:tr>
      <w:tr w:rsidR="002C2594" w:rsidRPr="002C2594" w14:paraId="65BCAE69" w14:textId="77777777" w:rsidTr="002C2594">
        <w:tc>
          <w:tcPr>
            <w:tcW w:w="4788" w:type="dxa"/>
            <w:vAlign w:val="bottom"/>
          </w:tcPr>
          <w:p w14:paraId="317C7787" w14:textId="3BB69AD0" w:rsidR="002C2594" w:rsidRPr="002C2594" w:rsidRDefault="002C2594" w:rsidP="002C2594">
            <w:pPr>
              <w:spacing w:line="240" w:lineRule="auto"/>
              <w:rPr>
                <w:rFonts w:eastAsia="Times New Roman" w:cs="Arial"/>
                <w:i/>
                <w:iCs/>
                <w:color w:val="000000"/>
                <w:lang w:eastAsia="bg-BG"/>
              </w:rPr>
            </w:pPr>
            <w:r w:rsidRPr="002C2594">
              <w:rPr>
                <w:rFonts w:cs="Arial"/>
              </w:rPr>
              <w:t xml:space="preserve">10 “30 </w:t>
            </w:r>
            <w:r w:rsidRPr="002C2594">
              <w:rPr>
                <w:rFonts w:cs="Arial"/>
                <w:lang w:val="en-US"/>
              </w:rPr>
              <w:t>ml/min</w:t>
            </w:r>
          </w:p>
        </w:tc>
        <w:tc>
          <w:tcPr>
            <w:tcW w:w="4788" w:type="dxa"/>
          </w:tcPr>
          <w:p w14:paraId="675DE1BF" w14:textId="77777777" w:rsidR="002C2594" w:rsidRPr="002C2594" w:rsidRDefault="002C2594" w:rsidP="002C2594">
            <w:pPr>
              <w:rPr>
                <w:rFonts w:cs="Arial"/>
              </w:rPr>
            </w:pPr>
          </w:p>
          <w:p w14:paraId="0F024924" w14:textId="17AA4178" w:rsidR="002C2594" w:rsidRPr="002C2594" w:rsidRDefault="002C2594" w:rsidP="002C2594">
            <w:pPr>
              <w:spacing w:line="240" w:lineRule="auto"/>
              <w:rPr>
                <w:rFonts w:eastAsia="Times New Roman" w:cs="Arial"/>
                <w:i/>
                <w:iCs/>
                <w:color w:val="000000"/>
                <w:lang w:eastAsia="bg-BG"/>
              </w:rPr>
            </w:pPr>
            <w:r w:rsidRPr="002C2594">
              <w:rPr>
                <w:rFonts w:cs="Arial"/>
                <w:lang w:val="en-US"/>
              </w:rPr>
              <w:t>2,5-5</w:t>
            </w:r>
            <w:r w:rsidRPr="002C2594">
              <w:rPr>
                <w:rFonts w:cs="Arial"/>
              </w:rPr>
              <w:t xml:space="preserve"> </w:t>
            </w:r>
            <w:r w:rsidRPr="002C2594">
              <w:rPr>
                <w:rFonts w:cs="Arial"/>
                <w:lang w:val="en-US"/>
              </w:rPr>
              <w:t>mg</w:t>
            </w:r>
          </w:p>
        </w:tc>
      </w:tr>
      <w:tr w:rsidR="002C2594" w:rsidRPr="002C2594" w14:paraId="180FBD00" w14:textId="77777777" w:rsidTr="002C2594">
        <w:tc>
          <w:tcPr>
            <w:tcW w:w="4788" w:type="dxa"/>
          </w:tcPr>
          <w:p w14:paraId="127BE52A" w14:textId="5B42EBD8" w:rsidR="002C2594" w:rsidRPr="002C2594" w:rsidRDefault="002C2594" w:rsidP="002C2594">
            <w:pPr>
              <w:spacing w:line="240" w:lineRule="auto"/>
              <w:rPr>
                <w:rFonts w:eastAsia="Times New Roman" w:cs="Arial"/>
                <w:i/>
                <w:iCs/>
                <w:color w:val="000000"/>
                <w:lang w:eastAsia="bg-BG"/>
              </w:rPr>
            </w:pPr>
            <w:r w:rsidRPr="002C2594">
              <w:rPr>
                <w:rFonts w:cs="Arial"/>
              </w:rPr>
              <w:t xml:space="preserve">31-80 </w:t>
            </w:r>
            <w:r w:rsidRPr="002C2594">
              <w:rPr>
                <w:rFonts w:cs="Arial"/>
                <w:lang w:val="en-US"/>
              </w:rPr>
              <w:t>ml/min</w:t>
            </w:r>
          </w:p>
        </w:tc>
        <w:tc>
          <w:tcPr>
            <w:tcW w:w="4788" w:type="dxa"/>
          </w:tcPr>
          <w:p w14:paraId="361328C4" w14:textId="315E9330" w:rsidR="002C2594" w:rsidRPr="002C2594" w:rsidRDefault="002C2594" w:rsidP="002C2594">
            <w:pPr>
              <w:spacing w:line="240" w:lineRule="auto"/>
              <w:rPr>
                <w:rFonts w:eastAsia="Times New Roman" w:cs="Arial"/>
                <w:i/>
                <w:iCs/>
                <w:color w:val="000000"/>
                <w:lang w:eastAsia="bg-BG"/>
              </w:rPr>
            </w:pPr>
            <w:r w:rsidRPr="002C2594">
              <w:rPr>
                <w:rFonts w:cs="Arial"/>
              </w:rPr>
              <w:t xml:space="preserve">5-10 </w:t>
            </w:r>
            <w:r w:rsidRPr="002C2594">
              <w:rPr>
                <w:rFonts w:cs="Arial"/>
                <w:lang w:val="en-US"/>
              </w:rPr>
              <w:t>mg</w:t>
            </w:r>
          </w:p>
        </w:tc>
      </w:tr>
    </w:tbl>
    <w:p w14:paraId="1071A246"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w:t>
      </w:r>
      <w:r w:rsidRPr="002C2594">
        <w:rPr>
          <w:rFonts w:eastAsia="Times New Roman" w:cs="Arial"/>
          <w:color w:val="000000"/>
          <w:lang w:eastAsia="bg-BG"/>
        </w:rPr>
        <w:tab/>
        <w:t>Дозировката и/или честотата на прилагане трябва да бъдат адаптирани в зависимост от повлияване на кръвното налягане.</w:t>
      </w:r>
    </w:p>
    <w:p w14:paraId="726B1878"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15250CEA" w14:textId="77777777" w:rsidR="002C2594" w:rsidRPr="002C2594" w:rsidRDefault="002C2594" w:rsidP="002C2594">
      <w:pPr>
        <w:spacing w:line="240" w:lineRule="auto"/>
        <w:rPr>
          <w:rFonts w:eastAsia="Times New Roman" w:cs="Arial"/>
          <w:color w:val="000000"/>
          <w:lang w:eastAsia="bg-BG"/>
        </w:rPr>
      </w:pPr>
    </w:p>
    <w:p w14:paraId="1196978D" w14:textId="5117B26E"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може да бъде титрирана докато се постигне контрол на кръвното налягане или до максимум 40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дневно.</w:t>
      </w:r>
    </w:p>
    <w:p w14:paraId="6999ECA0" w14:textId="77777777" w:rsidR="002C2594" w:rsidRPr="002C2594" w:rsidRDefault="002C2594" w:rsidP="002C2594">
      <w:pPr>
        <w:spacing w:line="240" w:lineRule="auto"/>
        <w:rPr>
          <w:rFonts w:eastAsia="Times New Roman" w:cs="Arial"/>
          <w:i/>
          <w:iCs/>
          <w:color w:val="000000"/>
          <w:u w:val="single"/>
          <w:lang w:eastAsia="bg-BG"/>
        </w:rPr>
      </w:pPr>
    </w:p>
    <w:p w14:paraId="5940BBB0" w14:textId="4C1C0288"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 xml:space="preserve">Хипертензивни педиатрични пациенти на възраст между 6-16 години </w:t>
      </w:r>
      <w:r w:rsidRPr="002C2594">
        <w:rPr>
          <w:rFonts w:eastAsia="Times New Roman" w:cs="Arial"/>
          <w:color w:val="000000"/>
          <w:lang w:eastAsia="bg-BG"/>
        </w:rPr>
        <w:t xml:space="preserve">Препоръчителната начална доза е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веднъж дневно при пациенти от 20 до &lt;50 </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и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веднъж дневно при пациенти ≥50 </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Дозировката трябва да бъде индивидуално адаптирана до максимум от 20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дневно при пациенти с телесно тегло от 20 до &lt;50 </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и 40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при пациенти ≥50 </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Дози над 0,61 </w:t>
      </w:r>
      <w:r w:rsidRPr="002C2594">
        <w:rPr>
          <w:rFonts w:eastAsia="Times New Roman" w:cs="Arial"/>
          <w:color w:val="000000"/>
          <w:lang w:val="en-US"/>
        </w:rPr>
        <w:t>mg</w:t>
      </w:r>
      <w:r w:rsidRPr="002C2594">
        <w:rPr>
          <w:rFonts w:eastAsia="Times New Roman" w:cs="Arial"/>
          <w:color w:val="000000"/>
          <w:lang w:val="ru-RU"/>
        </w:rPr>
        <w:t>/</w:t>
      </w:r>
      <w:r w:rsidRPr="002C2594">
        <w:rPr>
          <w:rFonts w:eastAsia="Times New Roman" w:cs="Arial"/>
          <w:color w:val="000000"/>
          <w:lang w:val="en-US"/>
        </w:rPr>
        <w:t>kg</w:t>
      </w:r>
      <w:r w:rsidRPr="002C2594">
        <w:rPr>
          <w:rFonts w:eastAsia="Times New Roman" w:cs="Arial"/>
          <w:color w:val="000000"/>
          <w:lang w:val="ru-RU"/>
        </w:rPr>
        <w:t xml:space="preserve"> </w:t>
      </w:r>
      <w:r w:rsidRPr="002C2594">
        <w:rPr>
          <w:rFonts w:eastAsia="Times New Roman" w:cs="Arial"/>
          <w:color w:val="000000"/>
          <w:lang w:eastAsia="bg-BG"/>
        </w:rPr>
        <w:t xml:space="preserve">(или повече от 40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не са проучвани при педиатрични пациенти (вж. точка 5.1).</w:t>
      </w:r>
    </w:p>
    <w:p w14:paraId="236D2302"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При деца с намалена бъбречна функция трябва да се обмисли по-ниска начална доза или по-висок дозов интервал.</w:t>
      </w:r>
    </w:p>
    <w:p w14:paraId="2CE4D5E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7DD120B2" w14:textId="77777777" w:rsidR="002C2594" w:rsidRPr="002C2594" w:rsidRDefault="002C2594" w:rsidP="002C2594">
      <w:pPr>
        <w:spacing w:line="240" w:lineRule="auto"/>
        <w:rPr>
          <w:rFonts w:eastAsia="Times New Roman" w:cs="Arial"/>
          <w:i/>
          <w:iCs/>
          <w:color w:val="000000"/>
          <w:u w:val="single"/>
          <w:lang w:eastAsia="bg-BG"/>
        </w:rPr>
      </w:pPr>
    </w:p>
    <w:p w14:paraId="61EFA28A" w14:textId="496D3683"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Сърдечна недостатъчност</w:t>
      </w:r>
    </w:p>
    <w:p w14:paraId="413B5FE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със симптоматична сърдечна недостатъчност, Диротон може да бъде приложен като допълнителна терапия към лечението с диуретици и където е подходящо към лечение с дигиталис или бета-блокери. Лечението с Диротон може да бъде започнато с начална доза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еднократно дневно, като трябва да се прилага под лекарско наблюдение, за да се определи началния ефект върху кръвното налягане. Дозата на Диротон трябва да се повишава:</w:t>
      </w:r>
    </w:p>
    <w:p w14:paraId="5FEF24A5" w14:textId="77777777" w:rsidR="002C2594" w:rsidRPr="002C2594" w:rsidRDefault="002C2594" w:rsidP="002C2594">
      <w:pPr>
        <w:pStyle w:val="ListParagraph"/>
        <w:numPr>
          <w:ilvl w:val="0"/>
          <w:numId w:val="37"/>
        </w:numPr>
        <w:spacing w:line="240" w:lineRule="auto"/>
        <w:rPr>
          <w:rFonts w:eastAsia="Times New Roman" w:cs="Arial"/>
        </w:rPr>
      </w:pPr>
      <w:r w:rsidRPr="002C2594">
        <w:rPr>
          <w:rFonts w:eastAsia="Times New Roman" w:cs="Arial"/>
          <w:color w:val="000000"/>
          <w:lang w:eastAsia="bg-BG"/>
        </w:rPr>
        <w:t xml:space="preserve">със стъпки от не повече от 10 </w:t>
      </w:r>
      <w:r w:rsidRPr="002C2594">
        <w:rPr>
          <w:rFonts w:eastAsia="Times New Roman" w:cs="Arial"/>
          <w:color w:val="000000"/>
          <w:lang w:val="en-US"/>
        </w:rPr>
        <w:t>mg</w:t>
      </w:r>
      <w:r w:rsidRPr="002C2594">
        <w:rPr>
          <w:rFonts w:eastAsia="Times New Roman" w:cs="Arial"/>
          <w:color w:val="000000"/>
          <w:lang w:val="ru-RU"/>
        </w:rPr>
        <w:t>;</w:t>
      </w:r>
    </w:p>
    <w:p w14:paraId="62ED5AFA" w14:textId="77777777" w:rsidR="002C2594" w:rsidRPr="002C2594" w:rsidRDefault="002C2594" w:rsidP="002C2594">
      <w:pPr>
        <w:pStyle w:val="ListParagraph"/>
        <w:numPr>
          <w:ilvl w:val="0"/>
          <w:numId w:val="37"/>
        </w:numPr>
        <w:spacing w:line="240" w:lineRule="auto"/>
        <w:rPr>
          <w:rFonts w:eastAsia="Times New Roman" w:cs="Arial"/>
        </w:rPr>
      </w:pPr>
      <w:r w:rsidRPr="002C2594">
        <w:rPr>
          <w:rFonts w:eastAsia="Times New Roman" w:cs="Arial"/>
          <w:color w:val="000000"/>
          <w:lang w:eastAsia="bg-BG"/>
        </w:rPr>
        <w:t>на интервали не по-кратки от 2 седмици;</w:t>
      </w:r>
    </w:p>
    <w:p w14:paraId="10C2E7CA" w14:textId="35719EFF" w:rsidR="002C2594" w:rsidRPr="002C2594" w:rsidRDefault="002C2594" w:rsidP="002C2594">
      <w:pPr>
        <w:pStyle w:val="ListParagraph"/>
        <w:numPr>
          <w:ilvl w:val="0"/>
          <w:numId w:val="37"/>
        </w:numPr>
        <w:spacing w:line="240" w:lineRule="auto"/>
        <w:rPr>
          <w:rFonts w:eastAsia="Times New Roman" w:cs="Arial"/>
        </w:rPr>
      </w:pPr>
      <w:r w:rsidRPr="002C2594">
        <w:rPr>
          <w:rFonts w:eastAsia="Times New Roman" w:cs="Arial"/>
          <w:color w:val="000000"/>
          <w:lang w:eastAsia="bg-BG"/>
        </w:rPr>
        <w:t xml:space="preserve">до най-високата доза, която пациентът понася, до максимум 35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еднократно дневно.</w:t>
      </w:r>
    </w:p>
    <w:p w14:paraId="2042EBA7" w14:textId="6D86E191"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0C86685E" w14:textId="77777777" w:rsidR="002C2594" w:rsidRPr="002C2594" w:rsidRDefault="002C2594" w:rsidP="002C2594">
      <w:pPr>
        <w:spacing w:line="240" w:lineRule="auto"/>
        <w:rPr>
          <w:rFonts w:eastAsia="Times New Roman" w:cs="Arial"/>
          <w:color w:val="000000"/>
          <w:lang w:eastAsia="bg-BG"/>
        </w:rPr>
      </w:pPr>
    </w:p>
    <w:p w14:paraId="42573325" w14:textId="6A885DE1" w:rsidR="002C2594" w:rsidRPr="002C2594" w:rsidRDefault="002C2594" w:rsidP="002C2594">
      <w:pPr>
        <w:spacing w:line="240" w:lineRule="auto"/>
        <w:rPr>
          <w:rFonts w:eastAsia="Times New Roman" w:cs="Arial"/>
        </w:rPr>
      </w:pPr>
      <w:r w:rsidRPr="002C2594">
        <w:rPr>
          <w:rFonts w:eastAsia="Times New Roman" w:cs="Arial"/>
          <w:color w:val="000000"/>
          <w:lang w:eastAsia="bg-BG"/>
        </w:rPr>
        <w:t>Коригирането на дозата трябва да бъде съобразено с клиничния отговор на отделните пациенти.</w:t>
      </w:r>
    </w:p>
    <w:p w14:paraId="2651E53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с висок риск от симптоматична хипотония, например пациенти с недостиг на соли с или без хипонатриемия, пациенти с хиповолемия, пациенти приемащи интензивно диуретично лечение, трябва да се коригират, ако е възможно, тези състояния </w:t>
      </w:r>
      <w:r w:rsidRPr="002C2594">
        <w:rPr>
          <w:rFonts w:eastAsia="Times New Roman" w:cs="Arial"/>
          <w:color w:val="000000"/>
          <w:lang w:eastAsia="bg-BG"/>
        </w:rPr>
        <w:lastRenderedPageBreak/>
        <w:t>преди лечението с Диротон. Трябва да се проследяват бъбречната функция и серумните нива на калий (вж. точка 4.4).</w:t>
      </w:r>
    </w:p>
    <w:p w14:paraId="17390AF6" w14:textId="77777777" w:rsidR="002C2594" w:rsidRPr="002C2594" w:rsidRDefault="002C2594" w:rsidP="002C2594">
      <w:pPr>
        <w:spacing w:line="240" w:lineRule="auto"/>
        <w:rPr>
          <w:rFonts w:eastAsia="Times New Roman" w:cs="Arial"/>
          <w:i/>
          <w:iCs/>
          <w:color w:val="000000"/>
          <w:u w:val="single"/>
          <w:lang w:eastAsia="bg-BG"/>
        </w:rPr>
      </w:pPr>
    </w:p>
    <w:p w14:paraId="2ED423FC" w14:textId="1B5E99A5"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Остър миокарден инфаркт</w:t>
      </w:r>
    </w:p>
    <w:p w14:paraId="1B7557AF"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Пациентите трябва да получават, както е подходящо, стандартна препоръчителна терапия като тромболитични агенти, аспирин и бета-блокери. Едновременно с Диротон може да се използва интравенозен или трансдермален глицеринов тринитрат.</w:t>
      </w:r>
    </w:p>
    <w:p w14:paraId="2890996C" w14:textId="77777777" w:rsidR="002C2594" w:rsidRPr="002C2594" w:rsidRDefault="002C2594" w:rsidP="002C2594">
      <w:pPr>
        <w:spacing w:line="240" w:lineRule="auto"/>
        <w:rPr>
          <w:rFonts w:eastAsia="Times New Roman" w:cs="Arial"/>
          <w:i/>
          <w:iCs/>
          <w:color w:val="000000"/>
          <w:lang w:eastAsia="bg-BG"/>
        </w:rPr>
      </w:pPr>
    </w:p>
    <w:p w14:paraId="7FB1A5F1" w14:textId="026645CE"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Начална доза (първите 3 дни след инфаркт)</w:t>
      </w:r>
    </w:p>
    <w:p w14:paraId="3D383721" w14:textId="77777777" w:rsidR="002C2594" w:rsidRPr="002C2594" w:rsidRDefault="002C2594" w:rsidP="002C2594">
      <w:pPr>
        <w:rPr>
          <w:rFonts w:eastAsia="Times New Roman" w:cs="Arial"/>
        </w:rPr>
      </w:pPr>
      <w:r w:rsidRPr="002C2594">
        <w:rPr>
          <w:rFonts w:eastAsia="Times New Roman" w:cs="Arial"/>
          <w:color w:val="000000"/>
          <w:lang w:eastAsia="bg-BG"/>
        </w:rPr>
        <w:t>Лечението с Диротон може да започне в първите 24 часа от началото на симптомите Не трябва да се започва лечение, ако систолното кръвно налягане е по-високо от</w:t>
      </w:r>
      <w:r w:rsidRPr="002C2594">
        <w:rPr>
          <w:rFonts w:eastAsia="Times New Roman" w:cs="Arial"/>
          <w:smallCaps/>
          <w:color w:val="000000"/>
          <w:lang w:eastAsia="bg-BG"/>
        </w:rPr>
        <w:t xml:space="preserve"> </w:t>
      </w:r>
      <w:r w:rsidRPr="002C2594">
        <w:rPr>
          <w:rFonts w:eastAsia="Times New Roman" w:cs="Arial"/>
          <w:color w:val="000000"/>
          <w:lang w:eastAsia="bg-BG"/>
        </w:rPr>
        <w:t xml:space="preserve">100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 xml:space="preserve">Първата доза Диротон е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приложена перорално, последвана от още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след 24 часа,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след 48 часа и след това по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еднократно дневно. Пациентите с ниско систолно кръвно налягане (120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или по-ниско) в нчалаото на</w:t>
      </w:r>
      <w:r w:rsidRPr="002C2594">
        <w:rPr>
          <w:rFonts w:eastAsia="Times New Roman" w:cs="Arial"/>
          <w:b/>
          <w:bCs/>
          <w:color w:val="000000"/>
          <w:lang w:eastAsia="bg-BG"/>
        </w:rPr>
        <w:t xml:space="preserve"> </w:t>
      </w:r>
      <w:r w:rsidRPr="002C2594">
        <w:rPr>
          <w:rFonts w:eastAsia="Times New Roman" w:cs="Arial"/>
          <w:color w:val="000000"/>
          <w:lang w:eastAsia="bg-BG"/>
        </w:rPr>
        <w:t>терапията или през първите 3 дни след инфаркта, трябва да бъдат лекувани с по-ниска</w:t>
      </w:r>
      <w:r w:rsidRPr="002C2594">
        <w:rPr>
          <w:rFonts w:eastAsia="Times New Roman" w:cs="Arial"/>
          <w:color w:val="000000"/>
          <w:lang w:val="ru-RU" w:eastAsia="bg-BG"/>
        </w:rPr>
        <w:t xml:space="preserve"> </w:t>
      </w:r>
      <w:r w:rsidRPr="002C2594">
        <w:rPr>
          <w:rFonts w:eastAsia="Times New Roman" w:cs="Arial"/>
          <w:color w:val="000000"/>
          <w:lang w:eastAsia="bg-BG"/>
        </w:rPr>
        <w:t xml:space="preserve">доза - 2,5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перорално (вж. точка 4.4). В случай на увреждане на бъбречната функция (креатининов клирънс &lt;80 </w:t>
      </w:r>
      <w:r w:rsidRPr="002C2594">
        <w:rPr>
          <w:rFonts w:eastAsia="Times New Roman" w:cs="Arial"/>
          <w:color w:val="000000"/>
          <w:lang w:val="en-US"/>
        </w:rPr>
        <w:t>ml</w:t>
      </w:r>
      <w:r w:rsidRPr="002C2594">
        <w:rPr>
          <w:rFonts w:eastAsia="Times New Roman" w:cs="Arial"/>
          <w:color w:val="000000"/>
          <w:lang w:val="ru-RU"/>
        </w:rPr>
        <w:t>/</w:t>
      </w:r>
      <w:r w:rsidRPr="002C2594">
        <w:rPr>
          <w:rFonts w:eastAsia="Times New Roman" w:cs="Arial"/>
          <w:color w:val="000000"/>
          <w:lang w:val="en-US"/>
        </w:rPr>
        <w:t>min</w:t>
      </w:r>
      <w:r w:rsidRPr="002C2594">
        <w:rPr>
          <w:rFonts w:eastAsia="Times New Roman" w:cs="Arial"/>
          <w:color w:val="000000"/>
          <w:lang w:val="ru-RU"/>
        </w:rPr>
        <w:t xml:space="preserve">), </w:t>
      </w:r>
      <w:r w:rsidRPr="002C2594">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w:t>
      </w:r>
    </w:p>
    <w:p w14:paraId="30A7CDCC"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Дозата от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бъде получена чрез разделяне на Диротон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таблетка на две половини.</w:t>
      </w:r>
    </w:p>
    <w:p w14:paraId="098A1027" w14:textId="77777777" w:rsidR="002C2594" w:rsidRPr="002C2594" w:rsidRDefault="002C2594" w:rsidP="002C2594">
      <w:pPr>
        <w:spacing w:line="240" w:lineRule="auto"/>
        <w:rPr>
          <w:rFonts w:eastAsia="Times New Roman" w:cs="Arial"/>
          <w:i/>
          <w:iCs/>
          <w:color w:val="000000"/>
          <w:lang w:eastAsia="bg-BG"/>
        </w:rPr>
      </w:pPr>
    </w:p>
    <w:p w14:paraId="308ED8A9" w14:textId="30DC2BD3" w:rsidR="002C2594" w:rsidRPr="002C2594" w:rsidRDefault="002C2594" w:rsidP="002C2594">
      <w:pPr>
        <w:spacing w:line="240" w:lineRule="auto"/>
        <w:rPr>
          <w:rFonts w:eastAsia="Times New Roman" w:cs="Arial"/>
        </w:rPr>
      </w:pPr>
      <w:r w:rsidRPr="002C2594">
        <w:rPr>
          <w:rFonts w:eastAsia="Times New Roman" w:cs="Arial"/>
          <w:i/>
          <w:iCs/>
          <w:color w:val="000000"/>
          <w:lang w:eastAsia="bg-BG"/>
        </w:rPr>
        <w:t>Поддържаща доза</w:t>
      </w:r>
    </w:p>
    <w:p w14:paraId="731AA528"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Поддържащата доза е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еднократно дневно. Ако се появи хипотония (систолно кръвно налягане по-ниско или равно на 100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 xml:space="preserve">може да се дава поддържаща дневна доза от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и при необходимост може да се намали временно до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Ако се появи продължителна хипотония (систолно кръвно налягане по-ниско от 90 </w:t>
      </w:r>
      <w:r w:rsidRPr="002C2594">
        <w:rPr>
          <w:rFonts w:eastAsia="Times New Roman" w:cs="Arial"/>
          <w:color w:val="000000"/>
          <w:lang w:val="en-US"/>
        </w:rPr>
        <w:t>mm</w:t>
      </w:r>
      <w:r w:rsidRPr="002C2594">
        <w:rPr>
          <w:rFonts w:eastAsia="Times New Roman" w:cs="Arial"/>
          <w:color w:val="000000"/>
          <w:lang w:val="ru-RU"/>
        </w:rPr>
        <w:t xml:space="preserve"> </w:t>
      </w:r>
      <w:r w:rsidRPr="002C2594">
        <w:rPr>
          <w:rFonts w:eastAsia="Times New Roman" w:cs="Arial"/>
          <w:color w:val="000000"/>
          <w:lang w:val="en-US"/>
        </w:rPr>
        <w:t>Hg</w:t>
      </w:r>
      <w:r w:rsidRPr="002C2594">
        <w:rPr>
          <w:rFonts w:eastAsia="Times New Roman" w:cs="Arial"/>
          <w:color w:val="000000"/>
          <w:lang w:val="ru-RU"/>
        </w:rPr>
        <w:t xml:space="preserve"> </w:t>
      </w:r>
      <w:r w:rsidRPr="002C2594">
        <w:rPr>
          <w:rFonts w:eastAsia="Times New Roman" w:cs="Arial"/>
          <w:color w:val="000000"/>
          <w:lang w:eastAsia="bg-BG"/>
        </w:rPr>
        <w:t>в продължение на повече от 1 час), приложението на Диротон трябва да се преустанови. Лечението трябва да продължи 6 седмици, след което пациента трябва да бъде преоценен. Пациентите, които развият симптоми на сърдечна недостатъчност, трябва да продължат лечението с Диротон (вж. точка 4.2).</w:t>
      </w:r>
    </w:p>
    <w:p w14:paraId="0CA67B86" w14:textId="77777777" w:rsidR="002C2594" w:rsidRPr="002C2594" w:rsidRDefault="002C2594" w:rsidP="002C2594">
      <w:pPr>
        <w:spacing w:line="240" w:lineRule="auto"/>
        <w:rPr>
          <w:rFonts w:eastAsia="Times New Roman" w:cs="Arial"/>
          <w:i/>
          <w:iCs/>
          <w:color w:val="000000"/>
          <w:u w:val="single"/>
          <w:lang w:eastAsia="bg-BG"/>
        </w:rPr>
      </w:pPr>
    </w:p>
    <w:p w14:paraId="603EE099" w14:textId="109A5B1F"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Бъбречни усложнения при диабет</w:t>
      </w:r>
    </w:p>
    <w:p w14:paraId="673B2B2A"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хипертензивни пациенти с диабет тип 2 и начална нефропатия дозата е 10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Диротон еднократно дневно, която при необходимост може да се повиши до 20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еднократно дневно, за да се достигне диастолно артериално налягане в седнало положение под 90 </w:t>
      </w:r>
      <w:r w:rsidRPr="002C2594">
        <w:rPr>
          <w:rFonts w:eastAsia="Times New Roman" w:cs="Arial"/>
          <w:color w:val="000000"/>
          <w:lang w:val="en-US"/>
        </w:rPr>
        <w:t>mm</w:t>
      </w:r>
      <w:r w:rsidRPr="002C2594">
        <w:rPr>
          <w:rFonts w:eastAsia="Times New Roman" w:cs="Arial"/>
          <w:color w:val="000000"/>
          <w:lang w:val="ru-RU"/>
        </w:rPr>
        <w:t xml:space="preserve"> </w:t>
      </w:r>
      <w:r w:rsidRPr="002C2594">
        <w:rPr>
          <w:rFonts w:eastAsia="Times New Roman" w:cs="Arial"/>
          <w:color w:val="000000"/>
          <w:lang w:val="en-US"/>
        </w:rPr>
        <w:t>Hg</w:t>
      </w:r>
      <w:r w:rsidRPr="002C2594">
        <w:rPr>
          <w:rFonts w:eastAsia="Times New Roman" w:cs="Arial"/>
          <w:color w:val="000000"/>
          <w:lang w:val="ru-RU"/>
        </w:rPr>
        <w:t>.</w:t>
      </w:r>
    </w:p>
    <w:p w14:paraId="63F3E57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В случаите на нарушена бъбречна функция (креатининов клирънс &lt;80 </w:t>
      </w:r>
      <w:r w:rsidRPr="002C2594">
        <w:rPr>
          <w:rFonts w:eastAsia="Times New Roman" w:cs="Arial"/>
          <w:color w:val="000000"/>
          <w:lang w:val="en-US"/>
        </w:rPr>
        <w:t>ml</w:t>
      </w:r>
      <w:r w:rsidRPr="002C2594">
        <w:rPr>
          <w:rFonts w:eastAsia="Times New Roman" w:cs="Arial"/>
          <w:color w:val="000000"/>
          <w:lang w:val="ru-RU"/>
        </w:rPr>
        <w:t>/</w:t>
      </w:r>
      <w:r w:rsidRPr="002C2594">
        <w:rPr>
          <w:rFonts w:eastAsia="Times New Roman" w:cs="Arial"/>
          <w:color w:val="000000"/>
          <w:lang w:val="en-US"/>
        </w:rPr>
        <w:t>min</w:t>
      </w:r>
      <w:r w:rsidRPr="002C2594">
        <w:rPr>
          <w:rFonts w:eastAsia="Times New Roman" w:cs="Arial"/>
          <w:color w:val="000000"/>
          <w:lang w:val="ru-RU"/>
        </w:rPr>
        <w:t xml:space="preserve">), </w:t>
      </w:r>
      <w:r w:rsidRPr="002C2594">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w:t>
      </w:r>
    </w:p>
    <w:p w14:paraId="6EB2BC67" w14:textId="77777777" w:rsidR="002C2594" w:rsidRPr="002C2594" w:rsidRDefault="002C2594" w:rsidP="002C2594">
      <w:pPr>
        <w:spacing w:line="240" w:lineRule="auto"/>
        <w:rPr>
          <w:rFonts w:eastAsia="Times New Roman" w:cs="Arial"/>
          <w:i/>
          <w:iCs/>
          <w:color w:val="000000"/>
          <w:u w:val="single"/>
          <w:lang w:eastAsia="bg-BG"/>
        </w:rPr>
      </w:pPr>
    </w:p>
    <w:p w14:paraId="1EB5EB35" w14:textId="69DD6D30"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Педиатрична популация</w:t>
      </w:r>
    </w:p>
    <w:p w14:paraId="440D0AD9"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Опитът по отношение на ефикасност и безопасност при хипертензивни деца</w:t>
      </w:r>
    </w:p>
    <w:p w14:paraId="43660252"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&gt;6 годишна възраст е ограничен и липсва опит по отношение на други показания (вж. точка 5.1). Лизиноприл не се препоръчва при деца с други показания освен хипертония. Лизиноприл не се препоръчва при деца под 6-годишна възраст или при деца с тежко бъбречно увреждане </w:t>
      </w:r>
      <w:r w:rsidRPr="002C2594">
        <w:rPr>
          <w:rFonts w:eastAsia="Times New Roman" w:cs="Arial"/>
          <w:color w:val="000000"/>
          <w:lang w:val="ru-RU"/>
        </w:rPr>
        <w:t>(</w:t>
      </w:r>
      <w:r w:rsidRPr="002C2594">
        <w:rPr>
          <w:rFonts w:eastAsia="Times New Roman" w:cs="Arial"/>
          <w:color w:val="000000"/>
          <w:lang w:val="en-US"/>
        </w:rPr>
        <w:t>GFR</w:t>
      </w:r>
      <w:r w:rsidRPr="002C2594">
        <w:rPr>
          <w:rFonts w:eastAsia="Times New Roman" w:cs="Arial"/>
          <w:color w:val="000000"/>
          <w:lang w:val="ru-RU"/>
        </w:rPr>
        <w:t xml:space="preserve"> </w:t>
      </w:r>
      <w:r w:rsidRPr="002C2594">
        <w:rPr>
          <w:rFonts w:eastAsia="Times New Roman" w:cs="Arial"/>
          <w:color w:val="000000"/>
          <w:lang w:eastAsia="bg-BG"/>
        </w:rPr>
        <w:t xml:space="preserve">&lt;30 </w:t>
      </w:r>
      <w:r w:rsidRPr="002C2594">
        <w:rPr>
          <w:rFonts w:eastAsia="Times New Roman" w:cs="Arial"/>
          <w:color w:val="000000"/>
          <w:lang w:val="en-US"/>
        </w:rPr>
        <w:t>ml</w:t>
      </w:r>
      <w:r w:rsidRPr="002C2594">
        <w:rPr>
          <w:rFonts w:eastAsia="Times New Roman" w:cs="Arial"/>
          <w:color w:val="000000"/>
          <w:lang w:val="ru-RU"/>
        </w:rPr>
        <w:t>/</w:t>
      </w:r>
      <w:r w:rsidRPr="002C2594">
        <w:rPr>
          <w:rFonts w:eastAsia="Times New Roman" w:cs="Arial"/>
          <w:color w:val="000000"/>
          <w:lang w:val="en-US"/>
        </w:rPr>
        <w:t>min</w:t>
      </w:r>
      <w:r w:rsidRPr="002C2594">
        <w:rPr>
          <w:rFonts w:eastAsia="Times New Roman" w:cs="Arial"/>
          <w:color w:val="000000"/>
          <w:lang w:val="ru-RU"/>
        </w:rPr>
        <w:t xml:space="preserve">/1,73 </w:t>
      </w:r>
      <w:r w:rsidRPr="002C2594">
        <w:rPr>
          <w:rFonts w:eastAsia="Times New Roman" w:cs="Arial"/>
          <w:color w:val="000000"/>
          <w:lang w:val="en-US"/>
        </w:rPr>
        <w:t>m</w:t>
      </w:r>
      <w:r w:rsidRPr="002C2594">
        <w:rPr>
          <w:rFonts w:eastAsia="Times New Roman" w:cs="Arial"/>
          <w:color w:val="000000"/>
          <w:vertAlign w:val="superscript"/>
          <w:lang w:val="ru-RU"/>
        </w:rPr>
        <w:t>2</w:t>
      </w:r>
      <w:r w:rsidRPr="002C2594">
        <w:rPr>
          <w:rFonts w:eastAsia="Times New Roman" w:cs="Arial"/>
          <w:color w:val="000000"/>
          <w:lang w:val="ru-RU"/>
        </w:rPr>
        <w:t xml:space="preserve">) </w:t>
      </w:r>
      <w:r w:rsidRPr="002C2594">
        <w:rPr>
          <w:rFonts w:eastAsia="Times New Roman" w:cs="Arial"/>
          <w:color w:val="000000"/>
          <w:lang w:eastAsia="bg-BG"/>
        </w:rPr>
        <w:t>(вж. точка 5.2).</w:t>
      </w:r>
    </w:p>
    <w:p w14:paraId="4BEA246A" w14:textId="77777777" w:rsidR="002C2594" w:rsidRPr="002C2594" w:rsidRDefault="002C2594" w:rsidP="002C2594">
      <w:pPr>
        <w:spacing w:line="240" w:lineRule="auto"/>
        <w:rPr>
          <w:rFonts w:eastAsia="Times New Roman" w:cs="Arial"/>
          <w:i/>
          <w:iCs/>
          <w:color w:val="000000"/>
          <w:u w:val="single"/>
          <w:lang w:eastAsia="bg-BG"/>
        </w:rPr>
      </w:pPr>
    </w:p>
    <w:p w14:paraId="3B73D550" w14:textId="59F29FD2"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Старческа възраст</w:t>
      </w:r>
    </w:p>
    <w:p w14:paraId="65CB2983"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В клинични проучвания не беше установена зависима от възрастта промяна в профила на безопасност и ефикасност на лекарството. Когато обаче напредналата възраст е </w:t>
      </w:r>
      <w:r w:rsidRPr="002C2594">
        <w:rPr>
          <w:rFonts w:eastAsia="Times New Roman" w:cs="Arial"/>
          <w:color w:val="000000"/>
          <w:lang w:eastAsia="bg-BG"/>
        </w:rPr>
        <w:lastRenderedPageBreak/>
        <w:t>свързана с намалена бъбречна функция, препоръките посочени в таблица 1 трябва да се използват за определяне началната доза на Диротон. След това дозата трябва да бъде адаптирана в зависимост от повлияването на кръвното налягане.</w:t>
      </w:r>
    </w:p>
    <w:p w14:paraId="0AF3E27C" w14:textId="77777777" w:rsidR="002C2594" w:rsidRPr="002C2594" w:rsidRDefault="002C2594" w:rsidP="002C2594">
      <w:pPr>
        <w:spacing w:line="240" w:lineRule="auto"/>
        <w:rPr>
          <w:rFonts w:eastAsia="Times New Roman" w:cs="Arial"/>
          <w:i/>
          <w:iCs/>
          <w:color w:val="000000"/>
          <w:u w:val="single"/>
          <w:lang w:eastAsia="bg-BG"/>
        </w:rPr>
      </w:pPr>
    </w:p>
    <w:p w14:paraId="3E04836C" w14:textId="7083CA46"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Пациенти с трансплантиран бъбрек</w:t>
      </w:r>
    </w:p>
    <w:p w14:paraId="4E32913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Няма опит по отношение приложението на лизиноприл при пациенти със скорошна бъбречна трансплантация. Поради това, не се препоръчва лечение с Диротон.</w:t>
      </w:r>
    </w:p>
    <w:p w14:paraId="5DBE54C9" w14:textId="77777777" w:rsidR="002C2594" w:rsidRPr="002C2594" w:rsidRDefault="002C2594" w:rsidP="002C2594">
      <w:pPr>
        <w:spacing w:line="240" w:lineRule="auto"/>
        <w:rPr>
          <w:rFonts w:eastAsia="Times New Roman" w:cs="Arial"/>
          <w:color w:val="000000"/>
          <w:u w:val="single"/>
          <w:lang w:eastAsia="bg-BG"/>
        </w:rPr>
      </w:pPr>
    </w:p>
    <w:p w14:paraId="04FAA42F" w14:textId="494456AF" w:rsidR="002C2594" w:rsidRPr="002C2594" w:rsidRDefault="002C2594" w:rsidP="002C2594">
      <w:pPr>
        <w:pStyle w:val="Heading3"/>
        <w:rPr>
          <w:rFonts w:eastAsia="Times New Roman"/>
          <w:u w:val="single"/>
        </w:rPr>
      </w:pPr>
      <w:r w:rsidRPr="002C2594">
        <w:rPr>
          <w:rFonts w:eastAsia="Times New Roman"/>
          <w:u w:val="single"/>
          <w:lang w:eastAsia="bg-BG"/>
        </w:rPr>
        <w:t>Начин на приложение</w:t>
      </w:r>
    </w:p>
    <w:p w14:paraId="1E795C71"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Диротон трябва да се прилага перорално еднократно дневно. Както и всички други лекарства, приемани веднъж дневно, Диротон трябва да се приема приблизително по едно и също време всеки ден. Абсорбцията на Диротон таблетки не се повлиява от храната.</w:t>
      </w:r>
    </w:p>
    <w:p w14:paraId="49AF59FF" w14:textId="5C46EE03" w:rsidR="002C2594" w:rsidRPr="002C2594" w:rsidRDefault="002C2594" w:rsidP="002C2594"/>
    <w:p w14:paraId="0F253247" w14:textId="2825C2DB" w:rsidR="007122AD" w:rsidRDefault="002C50EE" w:rsidP="00936AD0">
      <w:pPr>
        <w:pStyle w:val="Heading2"/>
      </w:pPr>
      <w:r>
        <w:t>4.3. Противопоказания</w:t>
      </w:r>
    </w:p>
    <w:p w14:paraId="4BB11643" w14:textId="63AFE5D9" w:rsidR="002C2594" w:rsidRDefault="002C2594" w:rsidP="002C2594"/>
    <w:p w14:paraId="7C27034A" w14:textId="77777777" w:rsidR="002C2594" w:rsidRPr="002C2594" w:rsidRDefault="002C2594" w:rsidP="002C2594">
      <w:pPr>
        <w:pStyle w:val="ListParagraph"/>
        <w:numPr>
          <w:ilvl w:val="0"/>
          <w:numId w:val="38"/>
        </w:numPr>
        <w:rPr>
          <w:sz w:val="24"/>
          <w:szCs w:val="24"/>
        </w:rPr>
      </w:pPr>
      <w:r w:rsidRPr="002C2594">
        <w:rPr>
          <w:lang w:eastAsia="bg-BG"/>
        </w:rPr>
        <w:t>Свръхчувствителност към активното вещество или към някое от помощните</w:t>
      </w:r>
      <w:r w:rsidRPr="002C2594">
        <w:rPr>
          <w:lang w:val="ru-RU" w:eastAsia="bg-BG"/>
        </w:rPr>
        <w:t xml:space="preserve"> </w:t>
      </w:r>
      <w:r w:rsidRPr="002C2594">
        <w:rPr>
          <w:lang w:eastAsia="bg-BG"/>
        </w:rPr>
        <w:t>вещества, изброени в точка 6.1, или към други инхибитори на ангиотензин конвертиращия ензим (АСЕ инхибитори);</w:t>
      </w:r>
    </w:p>
    <w:p w14:paraId="545E938A" w14:textId="77777777" w:rsidR="002C2594" w:rsidRPr="002C2594" w:rsidRDefault="002C2594" w:rsidP="002C2594">
      <w:pPr>
        <w:pStyle w:val="ListParagraph"/>
        <w:numPr>
          <w:ilvl w:val="0"/>
          <w:numId w:val="38"/>
        </w:numPr>
        <w:rPr>
          <w:sz w:val="24"/>
          <w:szCs w:val="24"/>
        </w:rPr>
      </w:pPr>
      <w:r w:rsidRPr="002C2594">
        <w:rPr>
          <w:lang w:eastAsia="bg-BG"/>
        </w:rPr>
        <w:t>Анамнеза за ангионевротичен оток, свързан с предходно лечение с АСЕ инхибитори;</w:t>
      </w:r>
    </w:p>
    <w:p w14:paraId="1C9AF0F4" w14:textId="77777777" w:rsidR="002C2594" w:rsidRPr="002C2594" w:rsidRDefault="002C2594" w:rsidP="002C2594">
      <w:pPr>
        <w:pStyle w:val="ListParagraph"/>
        <w:numPr>
          <w:ilvl w:val="0"/>
          <w:numId w:val="38"/>
        </w:numPr>
        <w:rPr>
          <w:sz w:val="24"/>
          <w:szCs w:val="24"/>
        </w:rPr>
      </w:pPr>
      <w:r w:rsidRPr="002C2594">
        <w:rPr>
          <w:lang w:eastAsia="bg-BG"/>
        </w:rPr>
        <w:t>Наследствен или идиопатичен ангионевротичен оток;</w:t>
      </w:r>
    </w:p>
    <w:p w14:paraId="074135D1" w14:textId="77777777" w:rsidR="002C2594" w:rsidRPr="002C2594" w:rsidRDefault="002C2594" w:rsidP="002C2594">
      <w:pPr>
        <w:pStyle w:val="ListParagraph"/>
        <w:numPr>
          <w:ilvl w:val="0"/>
          <w:numId w:val="38"/>
        </w:numPr>
        <w:rPr>
          <w:sz w:val="24"/>
          <w:szCs w:val="24"/>
        </w:rPr>
      </w:pPr>
      <w:r w:rsidRPr="002C2594">
        <w:rPr>
          <w:lang w:eastAsia="bg-BG"/>
        </w:rPr>
        <w:t>Втори и трети триместьр на бременността (вж. точки 4.4 и 4.6);</w:t>
      </w:r>
    </w:p>
    <w:p w14:paraId="16AB2284" w14:textId="77777777" w:rsidR="002C2594" w:rsidRPr="002C2594" w:rsidRDefault="002C2594" w:rsidP="002C2594">
      <w:pPr>
        <w:pStyle w:val="ListParagraph"/>
        <w:numPr>
          <w:ilvl w:val="0"/>
          <w:numId w:val="38"/>
        </w:numPr>
        <w:rPr>
          <w:sz w:val="24"/>
          <w:szCs w:val="24"/>
        </w:rPr>
      </w:pPr>
      <w:r w:rsidRPr="002C2594">
        <w:rPr>
          <w:lang w:eastAsia="bg-BG"/>
        </w:rPr>
        <w:t xml:space="preserve">Комбинация на Диротон с лекарства, съдържащи алискирен, при пациенти с диабет или с умерено тежко до тежко бъбречно увреждане </w:t>
      </w:r>
      <w:r w:rsidRPr="002C2594">
        <w:rPr>
          <w:lang w:val="ru-RU"/>
        </w:rPr>
        <w:t>(</w:t>
      </w:r>
      <w:r w:rsidRPr="002C2594">
        <w:rPr>
          <w:lang w:val="en-US"/>
        </w:rPr>
        <w:t>GFR</w:t>
      </w:r>
      <w:r w:rsidRPr="002C2594">
        <w:rPr>
          <w:lang w:val="ru-RU"/>
        </w:rPr>
        <w:t xml:space="preserve">&lt;60 </w:t>
      </w:r>
      <w:r w:rsidRPr="002C2594">
        <w:rPr>
          <w:lang w:val="en-US"/>
        </w:rPr>
        <w:t>ml</w:t>
      </w:r>
      <w:r w:rsidRPr="002C2594">
        <w:rPr>
          <w:lang w:val="ru-RU"/>
        </w:rPr>
        <w:t>/</w:t>
      </w:r>
      <w:r w:rsidRPr="002C2594">
        <w:rPr>
          <w:lang w:val="en-US"/>
        </w:rPr>
        <w:t>min</w:t>
      </w:r>
      <w:r w:rsidRPr="002C2594">
        <w:rPr>
          <w:lang w:val="ru-RU"/>
        </w:rPr>
        <w:t xml:space="preserve">/1,73 </w:t>
      </w:r>
      <w:r w:rsidRPr="002C2594">
        <w:rPr>
          <w:lang w:val="en-US"/>
        </w:rPr>
        <w:t>m</w:t>
      </w:r>
      <w:r w:rsidRPr="002C2594">
        <w:rPr>
          <w:vertAlign w:val="superscript"/>
          <w:lang w:val="ru-RU"/>
        </w:rPr>
        <w:t>2</w:t>
      </w:r>
      <w:r w:rsidRPr="002C2594">
        <w:rPr>
          <w:lang w:val="ru-RU"/>
        </w:rPr>
        <w:t xml:space="preserve">) </w:t>
      </w:r>
      <w:r w:rsidRPr="002C2594">
        <w:rPr>
          <w:lang w:eastAsia="bg-BG"/>
        </w:rPr>
        <w:t>(вж. точки 4.5 и 5.1).</w:t>
      </w:r>
    </w:p>
    <w:p w14:paraId="3E6AE53A" w14:textId="1BC082ED" w:rsidR="002C2594" w:rsidRPr="002C2594" w:rsidRDefault="002C2594" w:rsidP="002C2594">
      <w:pPr>
        <w:pStyle w:val="ListParagraph"/>
        <w:numPr>
          <w:ilvl w:val="0"/>
          <w:numId w:val="38"/>
        </w:numPr>
        <w:rPr>
          <w:sz w:val="24"/>
          <w:szCs w:val="24"/>
        </w:rPr>
      </w:pPr>
      <w:r w:rsidRPr="002C2594">
        <w:rPr>
          <w:lang w:eastAsia="bg-BG"/>
        </w:rPr>
        <w:t>Съпътстваща употреба при терапия със сакубитрил/валсартан. Диротон не трябва да се започва по-рано от 36 часа след последната доза сакубитрил/валсартан (вж. също точки 4.4 и 4.5).</w:t>
      </w:r>
    </w:p>
    <w:p w14:paraId="436B8FEB" w14:textId="77777777" w:rsidR="002C2594" w:rsidRPr="002C2594" w:rsidRDefault="002C2594" w:rsidP="002C2594">
      <w:pPr>
        <w:rPr>
          <w:sz w:val="24"/>
          <w:szCs w:val="24"/>
        </w:rPr>
      </w:pPr>
    </w:p>
    <w:p w14:paraId="0E0BDCC7" w14:textId="3E57CE50" w:rsidR="007122AD" w:rsidRDefault="002C50EE" w:rsidP="00936AD0">
      <w:pPr>
        <w:pStyle w:val="Heading2"/>
      </w:pPr>
      <w:r>
        <w:t>4.4. Специални предупреждения и предпазни мерки при употреба</w:t>
      </w:r>
    </w:p>
    <w:p w14:paraId="4992B1EC" w14:textId="6ACB8E27" w:rsidR="002C2594" w:rsidRDefault="002C2594" w:rsidP="002C2594"/>
    <w:p w14:paraId="5AE4811B" w14:textId="77777777"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Симптоматична хипотония</w:t>
      </w:r>
    </w:p>
    <w:p w14:paraId="0B39CF51"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Симптоматична хипотония се наблюдава рядко при пациенти с неусложнена хипертония. При пациенти с хипертония, приемащи лизиноприл, хипотонията е по- вероятна при пациенти с хиповолемия, например при лечение с диуретици, при диета с ограничен прием на сол, диализа, диария или повръщане, или при пациенти с тежка ренин-зависима хипертония (вж. точка 4.5 и точка 4.8). Симптоматичната хипотония се наблюдава при пациенти със сърдечна недостатъчност, с или без асоциирана бъбречна недостатъчност. Това състояние е по-вероятно да се появи при пациенти с по-тежка степен сърдечна недостатъчност, като влияние оказва употребата на високи дози бримкови диуретици, хипонатриемията или функционално бъбречно увреждане. При пациенти с повишен риск от симптоматична хипотония, започването на лечението и коригирането на дозата трябва да бъде строго наблюдавано. Същото важи и за пациенти с исхемична болест на сърцето или мозъчно-съдова болест, при които прекомерното понижаване на кръвното налягане може да доведе до инфаркт на миокарда или мозъчно-съдов инцидент.</w:t>
      </w:r>
    </w:p>
    <w:p w14:paraId="28F9F673" w14:textId="77777777" w:rsidR="002C2594" w:rsidRPr="002C2594" w:rsidRDefault="002C2594" w:rsidP="002C2594">
      <w:pPr>
        <w:spacing w:line="240" w:lineRule="auto"/>
        <w:rPr>
          <w:rFonts w:eastAsia="Times New Roman" w:cs="Arial"/>
          <w:color w:val="000000"/>
          <w:lang w:eastAsia="bg-BG"/>
        </w:rPr>
      </w:pPr>
    </w:p>
    <w:p w14:paraId="43D30D20" w14:textId="2E3100D7" w:rsidR="002C2594" w:rsidRPr="002C2594" w:rsidRDefault="002C2594" w:rsidP="002C2594">
      <w:pPr>
        <w:spacing w:line="240" w:lineRule="auto"/>
        <w:rPr>
          <w:rFonts w:eastAsia="Times New Roman" w:cs="Arial"/>
        </w:rPr>
      </w:pPr>
      <w:r w:rsidRPr="002C2594">
        <w:rPr>
          <w:rFonts w:eastAsia="Times New Roman" w:cs="Arial"/>
          <w:color w:val="000000"/>
          <w:lang w:eastAsia="bg-BG"/>
        </w:rPr>
        <w:lastRenderedPageBreak/>
        <w:t>При поява на хипотония, пациентът трябва да се постави в легнало положение и ако е необходимо да се приложи интравенозна инфузия на физиологичен разтвор. Временен хипотоничен отговор не е противопоказание за допълнителни дози, които могат да бъдат давани, обикновено без усложнения, щом кръвното налягане се повиши след увеличаване обема на течностите.</w:t>
      </w:r>
    </w:p>
    <w:p w14:paraId="28088003" w14:textId="77777777" w:rsidR="002C2594" w:rsidRPr="002C2594" w:rsidRDefault="002C2594" w:rsidP="002C2594">
      <w:pPr>
        <w:spacing w:line="240" w:lineRule="auto"/>
        <w:rPr>
          <w:rFonts w:eastAsia="Times New Roman" w:cs="Arial"/>
          <w:color w:val="000000"/>
          <w:lang w:eastAsia="bg-BG"/>
        </w:rPr>
      </w:pPr>
    </w:p>
    <w:p w14:paraId="12AB4F08" w14:textId="1870520D" w:rsidR="002C2594" w:rsidRPr="002C2594" w:rsidRDefault="002C2594" w:rsidP="002C2594">
      <w:pPr>
        <w:spacing w:line="240" w:lineRule="auto"/>
        <w:rPr>
          <w:rFonts w:eastAsia="Times New Roman" w:cs="Arial"/>
        </w:rPr>
      </w:pPr>
      <w:r w:rsidRPr="002C2594">
        <w:rPr>
          <w:rFonts w:eastAsia="Times New Roman" w:cs="Arial"/>
          <w:color w:val="000000"/>
          <w:lang w:eastAsia="bg-BG"/>
        </w:rPr>
        <w:t>При някои пациенти със сърдечна недостатъчност, които имат нормално или ниско кръвно налягане, може да се наблюдава допълнително понижаване на системното кръвно налягане при прием на Диротон. Този ефект е предвидим и обикновено не е причина за преустановяване на лечението. Ако хипотонията стане симптоматична, може да е необходимо понижаване на дозата или прекъсване на лечението с Диротон.</w:t>
      </w:r>
    </w:p>
    <w:p w14:paraId="186092D9" w14:textId="77777777" w:rsidR="002C2594" w:rsidRPr="002C2594" w:rsidRDefault="002C2594" w:rsidP="002C2594">
      <w:pPr>
        <w:spacing w:line="240" w:lineRule="auto"/>
        <w:rPr>
          <w:rFonts w:eastAsia="Times New Roman" w:cs="Arial"/>
          <w:i/>
          <w:iCs/>
          <w:color w:val="000000"/>
          <w:u w:val="single"/>
          <w:lang w:eastAsia="bg-BG"/>
        </w:rPr>
      </w:pPr>
    </w:p>
    <w:p w14:paraId="5103A78B" w14:textId="6923AAE9"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Хипотония при остър миокарден инфаркт</w:t>
      </w:r>
    </w:p>
    <w:p w14:paraId="143F5DD5"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Диротон не трябва да се включва в терапията на пациенти с остър миокарден инфаркт ако съществува риск за възникване на допълнителни сериозни хемодинамични усложнения след лечението с вазодилататор. Това са пациенти със систолно артериално налягане 100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 xml:space="preserve">или по-ниско или в кардиогенен шок. През първите 3 дни след инфаркта дозата трябва да бъде понижена, ако систоличното кръвно налягане е 120 </w:t>
      </w:r>
      <w:r w:rsidRPr="002C2594">
        <w:rPr>
          <w:rFonts w:eastAsia="Times New Roman" w:cs="Arial"/>
          <w:color w:val="000000"/>
          <w:lang w:val="en-US"/>
        </w:rPr>
        <w:t>mm</w:t>
      </w:r>
      <w:r w:rsidRPr="002C2594">
        <w:rPr>
          <w:rFonts w:eastAsia="Times New Roman" w:cs="Arial"/>
          <w:color w:val="000000"/>
          <w:lang w:val="ru-RU"/>
        </w:rPr>
        <w:t xml:space="preserve"> </w:t>
      </w:r>
      <w:r w:rsidRPr="002C2594">
        <w:rPr>
          <w:rFonts w:eastAsia="Times New Roman" w:cs="Arial"/>
          <w:color w:val="000000"/>
          <w:lang w:val="en-US"/>
        </w:rPr>
        <w:t>Hg</w:t>
      </w:r>
      <w:r w:rsidRPr="002C2594">
        <w:rPr>
          <w:rFonts w:eastAsia="Times New Roman" w:cs="Arial"/>
          <w:color w:val="000000"/>
          <w:lang w:val="ru-RU"/>
        </w:rPr>
        <w:t xml:space="preserve"> </w:t>
      </w:r>
      <w:r w:rsidRPr="002C2594">
        <w:rPr>
          <w:rFonts w:eastAsia="Times New Roman" w:cs="Arial"/>
          <w:color w:val="000000"/>
          <w:lang w:eastAsia="bg-BG"/>
        </w:rPr>
        <w:t xml:space="preserve">или по-ниско. В случай, че систолното налягане е 100 </w:t>
      </w:r>
      <w:r w:rsidRPr="002C2594">
        <w:rPr>
          <w:rFonts w:eastAsia="Times New Roman" w:cs="Arial"/>
          <w:color w:val="000000"/>
          <w:lang w:val="en-US"/>
        </w:rPr>
        <w:t>mmHg</w:t>
      </w:r>
      <w:r w:rsidRPr="002C2594">
        <w:rPr>
          <w:rFonts w:eastAsia="Times New Roman" w:cs="Arial"/>
          <w:color w:val="000000"/>
          <w:lang w:val="ru-RU"/>
        </w:rPr>
        <w:t xml:space="preserve"> </w:t>
      </w:r>
      <w:r w:rsidRPr="002C2594">
        <w:rPr>
          <w:rFonts w:eastAsia="Times New Roman" w:cs="Arial"/>
          <w:color w:val="000000"/>
          <w:lang w:eastAsia="bg-BG"/>
        </w:rPr>
        <w:t xml:space="preserve">или по-ниско, поддържащата доза трябва да бъде понижена до 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 xml:space="preserve">или временно до 2,5 </w:t>
      </w:r>
      <w:r w:rsidRPr="002C2594">
        <w:rPr>
          <w:rFonts w:eastAsia="Times New Roman" w:cs="Arial"/>
          <w:color w:val="000000"/>
          <w:lang w:val="en-US"/>
        </w:rPr>
        <w:t>mg</w:t>
      </w:r>
      <w:r w:rsidRPr="002C2594">
        <w:rPr>
          <w:rFonts w:eastAsia="Times New Roman" w:cs="Arial"/>
          <w:color w:val="000000"/>
          <w:lang w:val="ru-RU"/>
        </w:rPr>
        <w:t xml:space="preserve">. </w:t>
      </w:r>
      <w:r w:rsidRPr="002C2594">
        <w:rPr>
          <w:rFonts w:eastAsia="Times New Roman" w:cs="Arial"/>
          <w:color w:val="000000"/>
          <w:lang w:eastAsia="bg-BG"/>
        </w:rPr>
        <w:t>Ак</w:t>
      </w:r>
      <w:r w:rsidRPr="002C2594">
        <w:rPr>
          <w:rFonts w:eastAsia="Times New Roman" w:cs="Arial"/>
          <w:color w:val="000000"/>
          <w:u w:val="single"/>
          <w:lang w:eastAsia="bg-BG"/>
        </w:rPr>
        <w:t xml:space="preserve">о </w:t>
      </w:r>
      <w:r w:rsidRPr="002C2594">
        <w:rPr>
          <w:rFonts w:eastAsia="Times New Roman" w:cs="Arial"/>
          <w:color w:val="000000"/>
          <w:lang w:eastAsia="bg-BG"/>
        </w:rPr>
        <w:t xml:space="preserve">хипотонията персистира (систолно кръвно налягане по-ниско от 90 </w:t>
      </w:r>
      <w:r w:rsidRPr="002C2594">
        <w:rPr>
          <w:rFonts w:eastAsia="Times New Roman" w:cs="Arial"/>
          <w:color w:val="000000"/>
          <w:lang w:val="en-US"/>
        </w:rPr>
        <w:t>mm</w:t>
      </w:r>
      <w:r w:rsidRPr="002C2594">
        <w:rPr>
          <w:rFonts w:eastAsia="Times New Roman" w:cs="Arial"/>
          <w:color w:val="000000"/>
          <w:lang w:val="ru-RU"/>
        </w:rPr>
        <w:t xml:space="preserve"> </w:t>
      </w:r>
      <w:r w:rsidRPr="002C2594">
        <w:rPr>
          <w:rFonts w:eastAsia="Times New Roman" w:cs="Arial"/>
          <w:color w:val="000000"/>
          <w:lang w:val="en-US"/>
        </w:rPr>
        <w:t>Hg</w:t>
      </w:r>
      <w:r w:rsidRPr="002C2594">
        <w:rPr>
          <w:rFonts w:eastAsia="Times New Roman" w:cs="Arial"/>
          <w:color w:val="000000"/>
          <w:lang w:val="ru-RU"/>
        </w:rPr>
        <w:t xml:space="preserve"> </w:t>
      </w:r>
      <w:r w:rsidRPr="002C2594">
        <w:rPr>
          <w:rFonts w:eastAsia="Times New Roman" w:cs="Arial"/>
          <w:color w:val="000000"/>
          <w:lang w:eastAsia="bg-BG"/>
        </w:rPr>
        <w:t>продължение на повече от 1 час), приложението на Диротон трябва да се преустанови.</w:t>
      </w:r>
    </w:p>
    <w:p w14:paraId="12CDF032" w14:textId="77777777" w:rsidR="002C2594" w:rsidRPr="002C2594" w:rsidRDefault="002C2594" w:rsidP="002C2594">
      <w:pPr>
        <w:spacing w:line="240" w:lineRule="auto"/>
        <w:rPr>
          <w:rFonts w:eastAsia="Times New Roman" w:cs="Arial"/>
          <w:i/>
          <w:iCs/>
          <w:color w:val="000000"/>
          <w:u w:val="single"/>
          <w:lang w:eastAsia="bg-BG"/>
        </w:rPr>
      </w:pPr>
    </w:p>
    <w:p w14:paraId="5DFF8227" w14:textId="01846D7C" w:rsidR="002C2594" w:rsidRPr="002C2594" w:rsidRDefault="002C2594" w:rsidP="002C2594">
      <w:pPr>
        <w:spacing w:line="240" w:lineRule="auto"/>
        <w:rPr>
          <w:rFonts w:eastAsia="Times New Roman" w:cs="Arial"/>
          <w:i/>
          <w:iCs/>
          <w:color w:val="000000"/>
          <w:u w:val="single"/>
          <w:lang w:eastAsia="bg-BG"/>
        </w:rPr>
      </w:pPr>
      <w:r w:rsidRPr="002C2594">
        <w:rPr>
          <w:rFonts w:eastAsia="Times New Roman" w:cs="Arial"/>
          <w:i/>
          <w:iCs/>
          <w:color w:val="000000"/>
          <w:u w:val="single"/>
          <w:lang w:eastAsia="bg-BG"/>
        </w:rPr>
        <w:t>Стеноза на аортната и митрална клапи/хипертрофична кардиомиопатия</w:t>
      </w:r>
    </w:p>
    <w:p w14:paraId="3C8AF099"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Както и другите АСЕ инхибитори, лизиноприл трябва да се прилага с внимание при пациенти със стеноза на мигралната клапа и обструкция на изхода на лявата камера като аортна стеноза или хипертрофична кардиомиопатия.</w:t>
      </w:r>
    </w:p>
    <w:p w14:paraId="535FBDF9" w14:textId="77777777" w:rsidR="002C2594" w:rsidRPr="002C2594" w:rsidRDefault="002C2594" w:rsidP="002C2594">
      <w:pPr>
        <w:spacing w:line="240" w:lineRule="auto"/>
        <w:rPr>
          <w:rFonts w:eastAsia="Times New Roman" w:cs="Arial"/>
          <w:i/>
          <w:iCs/>
          <w:color w:val="000000"/>
          <w:u w:val="single"/>
          <w:lang w:eastAsia="bg-BG"/>
        </w:rPr>
      </w:pPr>
    </w:p>
    <w:p w14:paraId="393CF014" w14:textId="6B87CA10"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Нарушена бъбречна функиия</w:t>
      </w:r>
    </w:p>
    <w:p w14:paraId="71D30894"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В случаите на нарушена бъбречна функция (креатининов клирънс &lt;80 </w:t>
      </w:r>
      <w:r w:rsidRPr="002C2594">
        <w:rPr>
          <w:rFonts w:eastAsia="Times New Roman" w:cs="Arial"/>
          <w:color w:val="000000"/>
          <w:lang w:val="en-US"/>
        </w:rPr>
        <w:t>ml</w:t>
      </w:r>
      <w:r w:rsidRPr="002C2594">
        <w:rPr>
          <w:rFonts w:eastAsia="Times New Roman" w:cs="Arial"/>
          <w:color w:val="000000"/>
          <w:lang w:val="ru-RU"/>
        </w:rPr>
        <w:t>/</w:t>
      </w:r>
      <w:r w:rsidRPr="002C2594">
        <w:rPr>
          <w:rFonts w:eastAsia="Times New Roman" w:cs="Arial"/>
          <w:color w:val="000000"/>
          <w:lang w:val="en-US"/>
        </w:rPr>
        <w:t>min</w:t>
      </w:r>
      <w:r w:rsidRPr="002C2594">
        <w:rPr>
          <w:rFonts w:eastAsia="Times New Roman" w:cs="Arial"/>
          <w:color w:val="000000"/>
          <w:lang w:val="ru-RU"/>
        </w:rPr>
        <w:t xml:space="preserve">), </w:t>
      </w:r>
      <w:r w:rsidRPr="002C2594">
        <w:rPr>
          <w:rFonts w:eastAsia="Times New Roman" w:cs="Arial"/>
          <w:color w:val="000000"/>
          <w:lang w:eastAsia="bg-BG"/>
        </w:rPr>
        <w:t>началната доза на Диротон трябва да се коригира в зависимост от креатининовия клирънс на пациента (вж. таблица 1 в точка 4.2) и в зависимост от отговора на пациента спрямо лечението. Рутинното проследяване на стойностите на калий и креатинин е част от стандартното медицинско обслужване на тези пациенти.</w:t>
      </w:r>
    </w:p>
    <w:p w14:paraId="18D6FE8A" w14:textId="77777777" w:rsidR="002C2594" w:rsidRPr="002C2594" w:rsidRDefault="002C2594" w:rsidP="002C2594">
      <w:pPr>
        <w:spacing w:line="240" w:lineRule="auto"/>
        <w:rPr>
          <w:rFonts w:eastAsia="Times New Roman" w:cs="Arial"/>
          <w:color w:val="000000"/>
          <w:lang w:eastAsia="bg-BG"/>
        </w:rPr>
      </w:pPr>
    </w:p>
    <w:p w14:paraId="47FD0363" w14:textId="1B07E488"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със </w:t>
      </w:r>
      <w:r w:rsidRPr="002C2594">
        <w:rPr>
          <w:rFonts w:eastAsia="Times New Roman" w:cs="Arial"/>
          <w:color w:val="000000"/>
          <w:u w:val="single"/>
          <w:lang w:eastAsia="bg-BG"/>
        </w:rPr>
        <w:t>сърдечна недостатъчност,</w:t>
      </w:r>
      <w:r w:rsidRPr="002C2594">
        <w:rPr>
          <w:rFonts w:eastAsia="Times New Roman" w:cs="Arial"/>
          <w:color w:val="000000"/>
          <w:lang w:eastAsia="bg-BG"/>
        </w:rPr>
        <w:t xml:space="preserve"> хипотония след началото на лечението с АСЕ инхибитори може да доведе до по-нататъшно увреждане на бъбречната функция. В такива случаи е съобщавана остра бъбречна недостатъчност, обикновено обратима.</w:t>
      </w:r>
    </w:p>
    <w:p w14:paraId="289BCAB9" w14:textId="77777777" w:rsidR="002C2594" w:rsidRPr="002C2594" w:rsidRDefault="002C2594" w:rsidP="002C2594">
      <w:pPr>
        <w:spacing w:line="240" w:lineRule="auto"/>
        <w:rPr>
          <w:rFonts w:eastAsia="Times New Roman" w:cs="Arial"/>
          <w:color w:val="000000"/>
          <w:lang w:eastAsia="bg-BG"/>
        </w:rPr>
      </w:pPr>
    </w:p>
    <w:p w14:paraId="5077BCEA" w14:textId="0AEFB26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някои пациенти с </w:t>
      </w:r>
      <w:r w:rsidRPr="002C2594">
        <w:rPr>
          <w:rFonts w:eastAsia="Times New Roman" w:cs="Arial"/>
          <w:color w:val="000000"/>
          <w:u w:val="single"/>
          <w:lang w:eastAsia="bg-BG"/>
        </w:rPr>
        <w:t>двустранна стеноза на бъбречната артерия или стеноза на артерията на единствен бъбрек,</w:t>
      </w:r>
      <w:r w:rsidRPr="002C2594">
        <w:rPr>
          <w:rFonts w:eastAsia="Times New Roman" w:cs="Arial"/>
          <w:color w:val="000000"/>
          <w:lang w:eastAsia="bg-BG"/>
        </w:rPr>
        <w:t xml:space="preserve"> които са били лекувани с инхибитори на ангиотензин конвертиращия ензим, са наблюдавани повишаване на нивата в кръвта на уреята и серумния креатинин, което обикновено е обратимо след прекратяване на лечението. Това е особено вероятно при пациенти с бъбречна недостатъчност. Ако присъства също реноваскуларна хипертония, съществува повишен риск от тежка хипотония и бъбречна недостатъчност. При тези пациенти лечението трябва да започне под стриктен медицински контрол с ниски дози и внимателно титриране на дозата. Тъй като лечението с диуретици може да е допринасящ фактор за тези състояния, приемът на диуретици трябва да бъде преустановен, а бъбречната функция да се проследява през първите седмици от началото на лечението с Диротон.</w:t>
      </w:r>
    </w:p>
    <w:p w14:paraId="184E7ED9" w14:textId="77777777" w:rsidR="002C2594" w:rsidRPr="002C2594" w:rsidRDefault="002C2594" w:rsidP="002C2594">
      <w:pPr>
        <w:spacing w:line="240" w:lineRule="auto"/>
        <w:rPr>
          <w:rFonts w:eastAsia="Times New Roman" w:cs="Arial"/>
          <w:color w:val="000000"/>
          <w:lang w:eastAsia="bg-BG"/>
        </w:rPr>
      </w:pPr>
    </w:p>
    <w:p w14:paraId="1C972F95" w14:textId="7BBCE29C" w:rsidR="002C2594" w:rsidRPr="002C2594" w:rsidRDefault="002C2594" w:rsidP="002C2594">
      <w:pPr>
        <w:spacing w:line="240" w:lineRule="auto"/>
        <w:rPr>
          <w:rFonts w:eastAsia="Times New Roman" w:cs="Arial"/>
        </w:rPr>
      </w:pPr>
      <w:r w:rsidRPr="002C2594">
        <w:rPr>
          <w:rFonts w:eastAsia="Times New Roman" w:cs="Arial"/>
          <w:color w:val="000000"/>
          <w:lang w:eastAsia="bg-BG"/>
        </w:rPr>
        <w:lastRenderedPageBreak/>
        <w:t>Някои пациенти с хипертония без очевидно предхождащо бъбречно васкуларно заболяване са получили повишаване на нивата на урея в кръвта и серумния креатинин, обикновено минимално и преходно, особено, когато лизиноприл е прилаган едновременно с диуретик. Това е по-вероятно да се появи при пациенти с предхождащо бъбречно увреждане. Може да се наложи намаляване на дозата и/или спиране на диуретика и/или лечението с лизиноприл.</w:t>
      </w:r>
    </w:p>
    <w:p w14:paraId="6F09210C"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След </w:t>
      </w:r>
      <w:r w:rsidRPr="002C2594">
        <w:rPr>
          <w:rFonts w:eastAsia="Times New Roman" w:cs="Arial"/>
          <w:color w:val="000000"/>
          <w:u w:val="single"/>
          <w:lang w:eastAsia="bg-BG"/>
        </w:rPr>
        <w:t>остър миокарден инфаркт,</w:t>
      </w:r>
      <w:r w:rsidRPr="002C2594">
        <w:rPr>
          <w:rFonts w:eastAsia="Times New Roman" w:cs="Arial"/>
          <w:color w:val="000000"/>
          <w:lang w:eastAsia="bg-BG"/>
        </w:rPr>
        <w:t xml:space="preserve"> лечение с Диротон не трябва да се започва при пациенти с доказателства за бъбречна дисфункция, дефинирана като концентрация на серумния креатинин надвишаваща 177 </w:t>
      </w:r>
      <w:proofErr w:type="spellStart"/>
      <w:r w:rsidRPr="002C2594">
        <w:rPr>
          <w:rFonts w:eastAsia="Times New Roman" w:cs="Arial"/>
          <w:color w:val="000000"/>
          <w:lang w:val="en-US"/>
        </w:rPr>
        <w:t>micromol</w:t>
      </w:r>
      <w:proofErr w:type="spellEnd"/>
      <w:r w:rsidRPr="002C2594">
        <w:rPr>
          <w:rFonts w:eastAsia="Times New Roman" w:cs="Arial"/>
          <w:color w:val="000000"/>
          <w:lang w:val="ru-RU"/>
        </w:rPr>
        <w:t xml:space="preserve">/1 </w:t>
      </w:r>
      <w:r w:rsidRPr="002C2594">
        <w:rPr>
          <w:rFonts w:eastAsia="Times New Roman" w:cs="Arial"/>
          <w:color w:val="000000"/>
          <w:lang w:eastAsia="bg-BG"/>
        </w:rPr>
        <w:t xml:space="preserve">и/или протеинурия над 500 </w:t>
      </w:r>
      <w:r w:rsidRPr="002C2594">
        <w:rPr>
          <w:rFonts w:eastAsia="Times New Roman" w:cs="Arial"/>
          <w:color w:val="000000"/>
          <w:lang w:val="en-US"/>
        </w:rPr>
        <w:t>mg</w:t>
      </w:r>
      <w:r w:rsidRPr="002C2594">
        <w:rPr>
          <w:rFonts w:eastAsia="Times New Roman" w:cs="Arial"/>
          <w:color w:val="000000"/>
          <w:lang w:val="ru-RU"/>
        </w:rPr>
        <w:t xml:space="preserve">/24 </w:t>
      </w:r>
      <w:r w:rsidRPr="002C2594">
        <w:rPr>
          <w:rFonts w:eastAsia="Times New Roman" w:cs="Arial"/>
          <w:color w:val="000000"/>
          <w:lang w:eastAsia="bg-BG"/>
        </w:rPr>
        <w:t xml:space="preserve">часа. Ако по време на лечение с Диротон се развие бъбречна дисфункция (концентрация на серумния креатинин надвишаваща 265 </w:t>
      </w:r>
      <w:proofErr w:type="spellStart"/>
      <w:r w:rsidRPr="002C2594">
        <w:rPr>
          <w:rFonts w:eastAsia="Times New Roman" w:cs="Arial"/>
          <w:color w:val="000000"/>
          <w:lang w:val="en-US"/>
        </w:rPr>
        <w:t>micromol</w:t>
      </w:r>
      <w:proofErr w:type="spellEnd"/>
      <w:r w:rsidRPr="002C2594">
        <w:rPr>
          <w:rFonts w:eastAsia="Times New Roman" w:cs="Arial"/>
          <w:color w:val="000000"/>
          <w:lang w:val="ru-RU"/>
        </w:rPr>
        <w:t xml:space="preserve">/1 </w:t>
      </w:r>
      <w:r w:rsidRPr="002C2594">
        <w:rPr>
          <w:rFonts w:eastAsia="Times New Roman" w:cs="Arial"/>
          <w:color w:val="000000"/>
          <w:lang w:eastAsia="bg-BG"/>
        </w:rPr>
        <w:t>или удвояване спрямо изходните нива), лекарят трябва да обсъди прекратяване на лечението с Диротон.</w:t>
      </w:r>
    </w:p>
    <w:p w14:paraId="3DDE52F4" w14:textId="77777777" w:rsidR="002C2594" w:rsidRPr="002C2594" w:rsidRDefault="002C2594" w:rsidP="002C2594">
      <w:pPr>
        <w:spacing w:line="240" w:lineRule="auto"/>
        <w:rPr>
          <w:rFonts w:eastAsia="Times New Roman" w:cs="Arial"/>
          <w:i/>
          <w:iCs/>
          <w:color w:val="000000"/>
          <w:u w:val="single"/>
          <w:lang w:eastAsia="bg-BG"/>
        </w:rPr>
      </w:pPr>
    </w:p>
    <w:p w14:paraId="4C45B2DC" w14:textId="16650E32"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Свръхчувствителност/А нгионевротичен оток</w:t>
      </w:r>
    </w:p>
    <w:p w14:paraId="7D35D696" w14:textId="77777777" w:rsidR="002C2594" w:rsidRPr="002C2594" w:rsidRDefault="002C2594" w:rsidP="002C2594">
      <w:pPr>
        <w:rPr>
          <w:rFonts w:eastAsia="Times New Roman" w:cs="Arial"/>
        </w:rPr>
      </w:pPr>
      <w:r w:rsidRPr="002C2594">
        <w:rPr>
          <w:rFonts w:eastAsia="Times New Roman" w:cs="Arial"/>
          <w:color w:val="000000"/>
          <w:lang w:eastAsia="bg-BG"/>
        </w:rPr>
        <w:t>При пациенти, лекувани с инхибитори на ангиотензин конвертиращия ензим, включително и с лизиноприл, рядко се съобщава за ангионевротичен оток на лицето, крайниците, устните, езика, глотиса и/или ларинкса. Това може да се случи по всяко време на лечението. В такива случаи, приложението на Диротон трябва да бъде незабавно преустановено и пациентът трябва да бъде подходящо лекуван и проследяван, за да се осигури напълно изчезване на симптомите преди изписването на пациента. Дори в случаите, когато е засегнат само езика без респираторен дистрес, може да е необходимо пациентите да бъдат продължително наблюдавани, тъй ка</w:t>
      </w:r>
      <w:r w:rsidRPr="002C2594">
        <w:rPr>
          <w:rFonts w:eastAsia="Times New Roman" w:cs="Arial"/>
          <w:color w:val="000000"/>
          <w:u w:val="single"/>
          <w:lang w:eastAsia="bg-BG"/>
        </w:rPr>
        <w:t xml:space="preserve">то </w:t>
      </w:r>
      <w:r w:rsidRPr="002C2594">
        <w:rPr>
          <w:rFonts w:eastAsia="Times New Roman" w:cs="Arial"/>
          <w:color w:val="000000"/>
          <w:lang w:eastAsia="bg-BG"/>
        </w:rPr>
        <w:t>лечението с антихистамини и кортикостероиди може да се окаже недостатъчно. Много рядко са съобщавани смъртни случаи, дължащи се на ангионевротичен оток, свързан с ларингеален оток или оток на езика. Пациентите със засегнат език,</w:t>
      </w:r>
      <w:r w:rsidRPr="002C2594">
        <w:rPr>
          <w:rFonts w:eastAsia="Times New Roman" w:cs="Arial"/>
          <w:color w:val="000000"/>
          <w:lang w:val="ru-RU"/>
        </w:rPr>
        <w:t xml:space="preserve"> </w:t>
      </w:r>
      <w:r w:rsidRPr="002C2594">
        <w:rPr>
          <w:rFonts w:eastAsia="Times New Roman" w:cs="Arial"/>
          <w:color w:val="000000"/>
          <w:lang w:eastAsia="bg-BG"/>
        </w:rPr>
        <w:t>глотис или ларинкс могат да получат обструкция на въздухоносните пътища, особено пациентите с анамнеза за хирургична операция на въздухоносните пътища В тези</w:t>
      </w:r>
      <w:r w:rsidRPr="002C2594">
        <w:rPr>
          <w:rFonts w:eastAsia="Times New Roman" w:cs="Arial"/>
          <w:color w:val="000000"/>
          <w:lang w:val="ru-RU" w:eastAsia="bg-BG"/>
        </w:rPr>
        <w:t xml:space="preserve"> </w:t>
      </w:r>
      <w:r w:rsidRPr="002C2594">
        <w:rPr>
          <w:rFonts w:eastAsia="Times New Roman" w:cs="Arial"/>
          <w:color w:val="000000"/>
          <w:lang w:eastAsia="bg-BG"/>
        </w:rPr>
        <w:t>случаи трябва веднага да се приложи спешно лечение. Това лечение може да включва приложение на адреналин и/или поддържане проходимостта на дихателните пътища. Пациентите трябва да бъдат под стриктно лекарско наблюдение до пълно и постоянно отзвучаване на симптомите.</w:t>
      </w:r>
    </w:p>
    <w:p w14:paraId="15763F11"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Инхибиторите на ангиотензин конвертиращия ензим причиняват ангионевротичен оток с по-голяма честота при чернокожи пациенти, отколкото при нечернокожи пациенти. Пациентите с анамнеза за ангионевротичен оток, несвързан с терапия с АСЕ инхибитори, може да са с повишен риск от развитие на ангионевротичен оток, докато приемат АСЕ инхибитори (вж. точка 4.3).</w:t>
      </w:r>
    </w:p>
    <w:p w14:paraId="52CA4592" w14:textId="77777777" w:rsidR="002C2594" w:rsidRPr="002C2594" w:rsidRDefault="002C2594" w:rsidP="002C2594">
      <w:pPr>
        <w:spacing w:line="240" w:lineRule="auto"/>
        <w:rPr>
          <w:rFonts w:eastAsia="Times New Roman" w:cs="Arial"/>
          <w:color w:val="000000"/>
          <w:lang w:eastAsia="bg-BG"/>
        </w:rPr>
      </w:pPr>
    </w:p>
    <w:p w14:paraId="745E2B57" w14:textId="0F8A96DD" w:rsidR="002C2594" w:rsidRPr="002C2594" w:rsidRDefault="002C2594" w:rsidP="002C2594">
      <w:pPr>
        <w:spacing w:line="240" w:lineRule="auto"/>
        <w:rPr>
          <w:rFonts w:eastAsia="Times New Roman" w:cs="Arial"/>
        </w:rPr>
      </w:pPr>
      <w:r w:rsidRPr="002C2594">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w:t>
      </w:r>
    </w:p>
    <w:p w14:paraId="6FA4E2D9" w14:textId="77777777" w:rsidR="002C2594" w:rsidRPr="002C2594" w:rsidRDefault="002C2594" w:rsidP="002C2594">
      <w:pPr>
        <w:spacing w:line="240" w:lineRule="auto"/>
        <w:rPr>
          <w:rFonts w:eastAsia="Times New Roman" w:cs="Arial"/>
          <w:color w:val="000000"/>
          <w:lang w:eastAsia="bg-BG"/>
        </w:rPr>
      </w:pPr>
    </w:p>
    <w:p w14:paraId="5BB1A356" w14:textId="34DBCF1A"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Съпътстващата употреба на АСЕ инхибитори с рацекадотрил, </w:t>
      </w:r>
      <w:proofErr w:type="spellStart"/>
      <w:r w:rsidRPr="002C2594">
        <w:rPr>
          <w:rFonts w:eastAsia="Times New Roman" w:cs="Arial"/>
          <w:color w:val="000000"/>
          <w:lang w:val="en-US"/>
        </w:rPr>
        <w:t>mTOR</w:t>
      </w:r>
      <w:proofErr w:type="spellEnd"/>
      <w:r w:rsidRPr="002C2594">
        <w:rPr>
          <w:rFonts w:eastAsia="Times New Roman" w:cs="Arial"/>
          <w:color w:val="000000"/>
          <w:lang w:val="ru-RU"/>
        </w:rPr>
        <w:t xml:space="preserve"> </w:t>
      </w:r>
      <w:r w:rsidRPr="002C2594">
        <w:rPr>
          <w:rFonts w:eastAsia="Times New Roman" w:cs="Arial"/>
          <w:color w:val="000000"/>
          <w:lang w:eastAsia="bg-BG"/>
        </w:rPr>
        <w:t xml:space="preserve">инхибитори (напр. сиролимус, еверолимус, темзиролимус)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2C2594">
        <w:rPr>
          <w:rFonts w:eastAsia="Times New Roman" w:cs="Arial"/>
          <w:color w:val="000000"/>
          <w:lang w:val="en-US"/>
        </w:rPr>
        <w:t>mTOR</w:t>
      </w:r>
      <w:proofErr w:type="spellEnd"/>
      <w:r w:rsidRPr="002C2594">
        <w:rPr>
          <w:rFonts w:eastAsia="Times New Roman" w:cs="Arial"/>
          <w:color w:val="000000"/>
          <w:lang w:val="ru-RU"/>
        </w:rPr>
        <w:t xml:space="preserve"> </w:t>
      </w:r>
      <w:r w:rsidRPr="002C2594">
        <w:rPr>
          <w:rFonts w:eastAsia="Times New Roman" w:cs="Arial"/>
          <w:color w:val="000000"/>
          <w:lang w:eastAsia="bg-BG"/>
        </w:rPr>
        <w:t>инхибитори и вилдаглиптин при пациент, който вече приема АСЕ инхибитор.</w:t>
      </w:r>
    </w:p>
    <w:p w14:paraId="3A0477B7" w14:textId="77777777" w:rsidR="002C2594" w:rsidRPr="002C2594" w:rsidRDefault="002C2594" w:rsidP="002C2594">
      <w:pPr>
        <w:spacing w:line="240" w:lineRule="auto"/>
        <w:rPr>
          <w:rFonts w:eastAsia="Times New Roman" w:cs="Arial"/>
          <w:i/>
          <w:iCs/>
          <w:color w:val="000000"/>
          <w:u w:val="single"/>
          <w:lang w:eastAsia="bg-BG"/>
        </w:rPr>
      </w:pPr>
    </w:p>
    <w:p w14:paraId="48D40876" w14:textId="239F86D6"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Анафилактоидни реакции при пациенти на хемодиализа</w:t>
      </w:r>
    </w:p>
    <w:p w14:paraId="09557821"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lastRenderedPageBreak/>
        <w:t xml:space="preserve">Има съобщения за случаи на анафилактоидни реакции при пациенти на диализа с високопропускливи мембрани (напр. </w:t>
      </w:r>
      <w:r w:rsidRPr="002C2594">
        <w:rPr>
          <w:rFonts w:eastAsia="Times New Roman" w:cs="Arial"/>
          <w:color w:val="000000"/>
          <w:lang w:val="ru-RU"/>
        </w:rPr>
        <w:t>“</w:t>
      </w:r>
      <w:r w:rsidRPr="002C2594">
        <w:rPr>
          <w:rFonts w:eastAsia="Times New Roman" w:cs="Arial"/>
          <w:color w:val="000000"/>
          <w:lang w:val="en-US"/>
        </w:rPr>
        <w:t>AN</w:t>
      </w:r>
      <w:r w:rsidRPr="002C2594">
        <w:rPr>
          <w:rFonts w:eastAsia="Times New Roman" w:cs="Arial"/>
          <w:color w:val="000000"/>
          <w:lang w:eastAsia="bg-BG"/>
        </w:rPr>
        <w:t>69”), лекувани едновременно с АСЕ инхибитор. При тези пациенти трябва да се обсъди употребата на друг тип мембрана за диализа или на антихипертензивни средства от друг клас.</w:t>
      </w:r>
    </w:p>
    <w:p w14:paraId="13AC2D49" w14:textId="77777777" w:rsidR="002C2594" w:rsidRPr="002C2594" w:rsidRDefault="002C2594" w:rsidP="002C2594">
      <w:pPr>
        <w:spacing w:line="240" w:lineRule="auto"/>
        <w:rPr>
          <w:rFonts w:eastAsia="Times New Roman" w:cs="Arial"/>
          <w:i/>
          <w:iCs/>
          <w:color w:val="000000"/>
          <w:u w:val="single"/>
          <w:lang w:eastAsia="bg-BG"/>
        </w:rPr>
      </w:pPr>
    </w:p>
    <w:p w14:paraId="2EEE34A0" w14:textId="58717541"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 xml:space="preserve">Анафилактоидни реакции по време на афереза с липопротеини с ниска плътност </w:t>
      </w:r>
      <w:r w:rsidRPr="002C2594">
        <w:rPr>
          <w:rFonts w:eastAsia="Times New Roman" w:cs="Arial"/>
          <w:i/>
          <w:iCs/>
          <w:color w:val="000000"/>
          <w:u w:val="single"/>
          <w:lang w:val="ru-RU"/>
        </w:rPr>
        <w:t>(</w:t>
      </w:r>
      <w:r w:rsidRPr="002C2594">
        <w:rPr>
          <w:rFonts w:eastAsia="Times New Roman" w:cs="Arial"/>
          <w:i/>
          <w:iCs/>
          <w:color w:val="000000"/>
          <w:u w:val="single"/>
          <w:lang w:val="en-US"/>
        </w:rPr>
        <w:t>LDL</w:t>
      </w:r>
      <w:r w:rsidRPr="002C2594">
        <w:rPr>
          <w:rFonts w:eastAsia="Times New Roman" w:cs="Arial"/>
          <w:i/>
          <w:iCs/>
          <w:color w:val="000000"/>
          <w:u w:val="single"/>
          <w:lang w:eastAsia="bg-BG"/>
        </w:rPr>
        <w:t>-афереза)</w:t>
      </w:r>
    </w:p>
    <w:p w14:paraId="03659F2B"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получаващи АСЕ инхибитор по време на афереза с липопротеини с ниска плътност </w:t>
      </w:r>
      <w:r w:rsidRPr="002C2594">
        <w:rPr>
          <w:rFonts w:eastAsia="Times New Roman" w:cs="Arial"/>
          <w:color w:val="000000"/>
          <w:lang w:val="ru-RU"/>
        </w:rPr>
        <w:t>(</w:t>
      </w:r>
      <w:r w:rsidRPr="002C2594">
        <w:rPr>
          <w:rFonts w:eastAsia="Times New Roman" w:cs="Arial"/>
          <w:color w:val="000000"/>
          <w:lang w:val="en-US"/>
        </w:rPr>
        <w:t>LDL</w:t>
      </w:r>
      <w:r w:rsidRPr="002C2594">
        <w:rPr>
          <w:rFonts w:eastAsia="Times New Roman" w:cs="Arial"/>
          <w:color w:val="000000"/>
          <w:lang w:eastAsia="bg-BG"/>
        </w:rPr>
        <w:t>-афереза) с декстран сулфат, рядко могат да възникнат животозастрашаващи анафилактоидни реакции. Тези реакции могат да бъдат избегнати като лечението с АСЕ инхибитор временно се прекрати преди всяка афереза.</w:t>
      </w:r>
    </w:p>
    <w:p w14:paraId="384C5683" w14:textId="77777777" w:rsidR="002C2594" w:rsidRPr="002C2594" w:rsidRDefault="002C2594" w:rsidP="002C2594">
      <w:pPr>
        <w:spacing w:line="240" w:lineRule="auto"/>
        <w:rPr>
          <w:rFonts w:eastAsia="Times New Roman" w:cs="Arial"/>
          <w:i/>
          <w:iCs/>
          <w:color w:val="000000"/>
          <w:u w:val="single"/>
          <w:lang w:eastAsia="bg-BG"/>
        </w:rPr>
      </w:pPr>
    </w:p>
    <w:p w14:paraId="6C97DB35" w14:textId="27887063"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Десенсибилизация</w:t>
      </w:r>
    </w:p>
    <w:p w14:paraId="18C16F0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При пациенти, получаващи АСЕ инхибитори по време на лечение за десенсибилизация (напр. </w:t>
      </w:r>
      <w:proofErr w:type="gramStart"/>
      <w:r w:rsidRPr="002C2594">
        <w:rPr>
          <w:rFonts w:eastAsia="Times New Roman" w:cs="Arial"/>
          <w:i/>
          <w:iCs/>
          <w:color w:val="000000"/>
          <w:lang w:val="en-US"/>
        </w:rPr>
        <w:t>hymenoptera</w:t>
      </w:r>
      <w:proofErr w:type="gramEnd"/>
      <w:r w:rsidRPr="002C2594">
        <w:rPr>
          <w:rFonts w:eastAsia="Times New Roman" w:cs="Arial"/>
          <w:i/>
          <w:iCs/>
          <w:color w:val="000000"/>
          <w:lang w:val="ru-RU"/>
        </w:rPr>
        <w:t xml:space="preserve"> </w:t>
      </w:r>
      <w:r w:rsidRPr="002C2594">
        <w:rPr>
          <w:rFonts w:eastAsia="Times New Roman" w:cs="Arial"/>
          <w:i/>
          <w:iCs/>
          <w:color w:val="000000"/>
          <w:lang w:val="en-US"/>
        </w:rPr>
        <w:t>venom</w:t>
      </w:r>
      <w:r w:rsidRPr="002C2594">
        <w:rPr>
          <w:rFonts w:eastAsia="Times New Roman" w:cs="Arial"/>
          <w:i/>
          <w:iCs/>
          <w:color w:val="000000"/>
          <w:lang w:val="ru-RU"/>
        </w:rPr>
        <w:t>),</w:t>
      </w:r>
      <w:r w:rsidRPr="002C2594">
        <w:rPr>
          <w:rFonts w:eastAsia="Times New Roman" w:cs="Arial"/>
          <w:color w:val="000000"/>
          <w:lang w:val="ru-RU"/>
        </w:rPr>
        <w:t xml:space="preserve"> </w:t>
      </w:r>
      <w:r w:rsidRPr="002C2594">
        <w:rPr>
          <w:rFonts w:eastAsia="Times New Roman" w:cs="Arial"/>
          <w:color w:val="000000"/>
          <w:lang w:eastAsia="bg-BG"/>
        </w:rPr>
        <w:t>могат да се появят постоянни анафилактоидни реакции. Тези реакции могат да бъдат избегнати като лечението с АСЕ инхибитори временно се прекрати, но те могат да се появят отново при невнимателна повторна употреба на лекарствения продукт.</w:t>
      </w:r>
    </w:p>
    <w:p w14:paraId="48D4D1FB" w14:textId="77777777" w:rsidR="002C2594" w:rsidRPr="002C2594" w:rsidRDefault="002C2594" w:rsidP="002C2594">
      <w:pPr>
        <w:spacing w:line="240" w:lineRule="auto"/>
        <w:rPr>
          <w:rFonts w:eastAsia="Times New Roman" w:cs="Arial"/>
          <w:i/>
          <w:iCs/>
          <w:color w:val="000000"/>
          <w:u w:val="single"/>
          <w:lang w:eastAsia="bg-BG"/>
        </w:rPr>
      </w:pPr>
    </w:p>
    <w:p w14:paraId="4FCC1875" w14:textId="581F6E3C"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Чернодробна недостатъчност</w:t>
      </w:r>
    </w:p>
    <w:p w14:paraId="63D328F4"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Много рядко, АСЕ инхибиторите се асоциират със синдром, чиято първоначална изява е холестатична жълтеница и прогресира до фулминантна некроза и (понякога) смърт. Механизмът на този синдром не е изяснен. Пациентите, приемащи Диротон, които получат жълтеница или изразено покачване на чернодробните ензими трябва да прекратят приема на Диротон и да бъдат подходящо проследени от лекар.</w:t>
      </w:r>
    </w:p>
    <w:p w14:paraId="1904618F" w14:textId="77777777" w:rsidR="002C2594" w:rsidRPr="002C2594" w:rsidRDefault="002C2594" w:rsidP="002C2594">
      <w:pPr>
        <w:spacing w:line="240" w:lineRule="auto"/>
        <w:rPr>
          <w:rFonts w:eastAsia="Times New Roman" w:cs="Arial"/>
          <w:i/>
          <w:iCs/>
          <w:color w:val="000000"/>
          <w:u w:val="single"/>
          <w:lang w:eastAsia="bg-BG"/>
        </w:rPr>
      </w:pPr>
    </w:p>
    <w:p w14:paraId="36D6FA6C" w14:textId="4F5207DC"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Неутропения/Агранулоцитоза</w:t>
      </w:r>
    </w:p>
    <w:p w14:paraId="2E841322" w14:textId="77777777" w:rsidR="002C2594" w:rsidRPr="002C2594" w:rsidRDefault="002C2594" w:rsidP="002C2594">
      <w:pPr>
        <w:rPr>
          <w:rFonts w:eastAsia="Times New Roman" w:cs="Arial"/>
        </w:rPr>
      </w:pPr>
      <w:r w:rsidRPr="002C2594">
        <w:rPr>
          <w:rFonts w:eastAsia="Times New Roman" w:cs="Arial"/>
          <w:color w:val="000000"/>
          <w:lang w:eastAsia="bg-BG"/>
        </w:rPr>
        <w:t>Неутропения/агранулоцитоза, тромбоцитопения и анемия са съобщавани при пациенти, приемащи АСЕ инхибитори. При пациенти с нормална бъбречна функция и без други усложняващи фактори, рядко се появява неутропения Неутропенията и агранулоцитозата са обратими след прекратяване приема на АСЕ инхибитора. Диротон</w:t>
      </w:r>
      <w:r w:rsidRPr="002C2594">
        <w:rPr>
          <w:rFonts w:eastAsia="Times New Roman" w:cs="Arial"/>
          <w:color w:val="000000"/>
          <w:lang w:val="ru-RU" w:eastAsia="bg-BG"/>
        </w:rPr>
        <w:t xml:space="preserve"> </w:t>
      </w:r>
      <w:r w:rsidRPr="002C2594">
        <w:rPr>
          <w:rFonts w:eastAsia="Times New Roman" w:cs="Arial"/>
          <w:color w:val="000000"/>
          <w:lang w:eastAsia="bg-BG"/>
        </w:rPr>
        <w:t>трябва да се използва с повишено внимание при пациенти с колагенно васкуларно заболяване, имуносупресивна терапия, лечение с алопуринол или прокаинамид, или комбинация от тези усложняващи фактори и особено при съществуващо преди увреждане на бъбречната функция. Някои от тези пациенти развиват сериозни инфекции, които в малък брой случаи не отговарят на интензивна антибиотична терапия. Ако Диротон се използва от такива пациенти, се препоръчва периодичен мониторинг на броя на левкоцитите и на пациентите трябва да им бъде казано да съобщават за всеки признак на инфекция.</w:t>
      </w:r>
    </w:p>
    <w:p w14:paraId="4D0F3702" w14:textId="77777777" w:rsidR="002C2594" w:rsidRPr="002C2594" w:rsidRDefault="002C2594" w:rsidP="002C2594">
      <w:pPr>
        <w:spacing w:line="240" w:lineRule="auto"/>
        <w:rPr>
          <w:rFonts w:eastAsia="Times New Roman" w:cs="Arial"/>
          <w:i/>
          <w:iCs/>
          <w:color w:val="000000"/>
          <w:u w:val="single"/>
          <w:lang w:eastAsia="bg-BG"/>
        </w:rPr>
      </w:pPr>
    </w:p>
    <w:p w14:paraId="1BDEC4F6" w14:textId="7C61BFFD"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 xml:space="preserve">Двойна блокада наренин-ангиотензин-алдостероновата система </w:t>
      </w:r>
      <w:r w:rsidRPr="002C2594">
        <w:rPr>
          <w:rFonts w:eastAsia="Times New Roman" w:cs="Arial"/>
          <w:i/>
          <w:iCs/>
          <w:color w:val="000000"/>
          <w:u w:val="single"/>
          <w:lang w:val="ru-RU"/>
        </w:rPr>
        <w:t>(</w:t>
      </w:r>
      <w:r w:rsidRPr="002C2594">
        <w:rPr>
          <w:rFonts w:eastAsia="Times New Roman" w:cs="Arial"/>
          <w:i/>
          <w:iCs/>
          <w:color w:val="000000"/>
          <w:u w:val="single"/>
          <w:lang w:val="en-US"/>
        </w:rPr>
        <w:t>RAAS</w:t>
      </w:r>
      <w:r w:rsidRPr="002C2594">
        <w:rPr>
          <w:rFonts w:eastAsia="Times New Roman" w:cs="Arial"/>
          <w:i/>
          <w:iCs/>
          <w:color w:val="000000"/>
          <w:u w:val="single"/>
          <w:lang w:val="ru-RU"/>
        </w:rPr>
        <w:t xml:space="preserve">) </w:t>
      </w:r>
      <w:r w:rsidRPr="002C2594">
        <w:rPr>
          <w:rFonts w:eastAsia="Times New Roman" w:cs="Arial"/>
          <w:color w:val="000000"/>
          <w:lang w:eastAsia="bg-BG"/>
        </w:rPr>
        <w:t xml:space="preserve">Има данни, че едновременната употреба на АСЕ инхибитори, ангиотензин </w:t>
      </w:r>
      <w:r w:rsidRPr="002C2594">
        <w:rPr>
          <w:rFonts w:eastAsia="Times New Roman" w:cs="Arial"/>
          <w:color w:val="000000"/>
          <w:lang w:val="en-US"/>
        </w:rPr>
        <w:t>II</w:t>
      </w:r>
      <w:r w:rsidRPr="002C2594">
        <w:rPr>
          <w:rFonts w:eastAsia="Times New Roman" w:cs="Arial"/>
          <w:color w:val="000000"/>
          <w:lang w:eastAsia="bg-BG"/>
        </w:rPr>
        <w:t xml:space="preserve">-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2C2594">
        <w:rPr>
          <w:rFonts w:eastAsia="Times New Roman" w:cs="Arial"/>
          <w:color w:val="000000"/>
          <w:lang w:val="en-US"/>
        </w:rPr>
        <w:t>II</w:t>
      </w:r>
      <w:r w:rsidRPr="002C2594">
        <w:rPr>
          <w:rFonts w:eastAsia="Times New Roman" w:cs="Arial"/>
          <w:color w:val="000000"/>
          <w:lang w:eastAsia="bg-BG"/>
        </w:rPr>
        <w:t>-рецепторни блокери или алискирен (вж. точки 4.5 и 5.1).</w:t>
      </w:r>
    </w:p>
    <w:p w14:paraId="4C36E164"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707192D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АСЕ инхибитори и ангиотензин </w:t>
      </w:r>
      <w:r w:rsidRPr="002C2594">
        <w:rPr>
          <w:rFonts w:eastAsia="Times New Roman" w:cs="Arial"/>
          <w:color w:val="000000"/>
          <w:lang w:val="en-US"/>
        </w:rPr>
        <w:t>II</w:t>
      </w:r>
      <w:r w:rsidRPr="002C2594">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29457BE6" w14:textId="77777777" w:rsidR="002C2594" w:rsidRPr="002C2594" w:rsidRDefault="002C2594" w:rsidP="002C2594">
      <w:pPr>
        <w:spacing w:line="240" w:lineRule="auto"/>
        <w:rPr>
          <w:rFonts w:eastAsia="Times New Roman" w:cs="Arial"/>
          <w:i/>
          <w:iCs/>
          <w:color w:val="000000"/>
          <w:u w:val="single"/>
          <w:lang w:eastAsia="bg-BG"/>
        </w:rPr>
      </w:pPr>
    </w:p>
    <w:p w14:paraId="501C2ACF" w14:textId="5BBE295B"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Раса</w:t>
      </w:r>
    </w:p>
    <w:p w14:paraId="63A33139"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Инхибиторите на ангиотензин конвертиращия ензим причиняват по-висок риск от ангиоедем при чернокожи пациенти, отколкото при нечернокожи пациенти.</w:t>
      </w:r>
    </w:p>
    <w:p w14:paraId="06A43260"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Както при другите АСЕ инхибитори, Диротон може да окаже по-слаб ефект за понижаване на кръвното налягане при чернокожи пациенти, отколкото при нечернокожи пациенти, вероятно поради превалиране на по-нисък ренин при хипертензивна чернокожа популация.</w:t>
      </w:r>
    </w:p>
    <w:p w14:paraId="78A0C084" w14:textId="77777777" w:rsidR="002C2594" w:rsidRPr="002C2594" w:rsidRDefault="002C2594" w:rsidP="002C2594">
      <w:pPr>
        <w:spacing w:line="240" w:lineRule="auto"/>
        <w:rPr>
          <w:rFonts w:eastAsia="Times New Roman" w:cs="Arial"/>
          <w:i/>
          <w:iCs/>
          <w:color w:val="000000"/>
          <w:u w:val="single"/>
          <w:lang w:eastAsia="bg-BG"/>
        </w:rPr>
      </w:pPr>
    </w:p>
    <w:p w14:paraId="642D381B" w14:textId="69AEF959"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Кашлица</w:t>
      </w:r>
    </w:p>
    <w:p w14:paraId="35CE5C98"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Има съобщения за кашлица по време на лечение с АСЕ инхибитори. Характерно за кашлицата е, че тя е непродуктивна, продължителна и преминава след спиране на лечението. Кашлица, индуцирана от АСЕ инхибитори, трябва винаги да се има предвид като част от диференциалната диагноза на кашлицата.</w:t>
      </w:r>
    </w:p>
    <w:p w14:paraId="7820B296" w14:textId="77777777" w:rsidR="002C2594" w:rsidRPr="002C2594" w:rsidRDefault="002C2594" w:rsidP="002C2594">
      <w:pPr>
        <w:spacing w:line="240" w:lineRule="auto"/>
        <w:rPr>
          <w:rFonts w:eastAsia="Times New Roman" w:cs="Arial"/>
          <w:i/>
          <w:iCs/>
          <w:color w:val="000000"/>
          <w:u w:val="single"/>
          <w:lang w:eastAsia="bg-BG"/>
        </w:rPr>
      </w:pPr>
    </w:p>
    <w:p w14:paraId="48C30591" w14:textId="4A068B74"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Хирургия/анестезия</w:t>
      </w:r>
    </w:p>
    <w:p w14:paraId="7CB9570D"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При пациенти, подлежащи на голяма хирургична операция или по време на анестезия със средства, предизвикващи хипотония, лизиноприл може да блокира вторичното образуване на ангиотензин II след компенсаторно освобождаване на ренин. Ако се появи хипотония и се счита, че тя се дължи на този механизъм, това може да бъде коригирано чрез вливане на течности.</w:t>
      </w:r>
    </w:p>
    <w:p w14:paraId="7B095757" w14:textId="77777777" w:rsidR="002C2594" w:rsidRPr="002C2594" w:rsidRDefault="002C2594" w:rsidP="002C2594">
      <w:pPr>
        <w:spacing w:line="240" w:lineRule="auto"/>
        <w:rPr>
          <w:rFonts w:eastAsia="Times New Roman" w:cs="Arial"/>
          <w:i/>
          <w:iCs/>
          <w:color w:val="000000"/>
          <w:u w:val="single"/>
          <w:lang w:eastAsia="bg-BG"/>
        </w:rPr>
      </w:pPr>
    </w:p>
    <w:p w14:paraId="6D4D8395" w14:textId="19700F58"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Хиперкалиемия</w:t>
      </w:r>
    </w:p>
    <w:p w14:paraId="2E4266FA" w14:textId="77777777" w:rsidR="002C2594" w:rsidRPr="002C2594" w:rsidRDefault="002C2594" w:rsidP="002C2594">
      <w:pPr>
        <w:rPr>
          <w:rFonts w:eastAsia="Times New Roman" w:cs="Arial"/>
        </w:rPr>
      </w:pPr>
      <w:r w:rsidRPr="002C2594">
        <w:rPr>
          <w:rFonts w:eastAsia="Times New Roman" w:cs="Arial"/>
          <w:color w:val="000000"/>
          <w:lang w:eastAsia="bg-BG"/>
        </w:rPr>
        <w:t>АСЕ инхибиторите могат да предизвикат хиперкалиемия, тъй като инхибираг освобождаването на алдостерон. Ефектът обикновено не е значителен при пациенти с нормална бъбречна функция. Обаче при пациенти с нарушена бъбречна функция, захарен диабет и/или при пациенти приемащи хранителни добавки, съдържащи калий (включително заместители на солта), калий-съхраняващи диуретици (напр. спиронолактон, триамтерен или амилорид), както и такива пациенти приемащи</w:t>
      </w:r>
      <w:r w:rsidRPr="002C2594">
        <w:rPr>
          <w:rFonts w:eastAsia="Times New Roman" w:cs="Arial"/>
          <w:color w:val="000000"/>
          <w:u w:val="single"/>
          <w:lang w:eastAsia="bg-BG"/>
        </w:rPr>
        <w:t xml:space="preserve"> </w:t>
      </w:r>
      <w:r w:rsidRPr="002C2594">
        <w:rPr>
          <w:rFonts w:eastAsia="Times New Roman" w:cs="Arial"/>
          <w:color w:val="000000"/>
          <w:lang w:eastAsia="bg-BG"/>
        </w:rPr>
        <w:t xml:space="preserve">лекарства, които повишават серумния калий (напр. хепарин, триметоприм или комбинацията триметоприм/сулфаметоксазол, известен също като ко-тримоксазол и особено антагонисти на алдостерона или ангиотензин-рецепторни блокери), може да възникне хиперкалиемия. Ако едновременното използване на по-горе </w:t>
      </w:r>
      <w:r w:rsidRPr="002C2594">
        <w:rPr>
          <w:rFonts w:eastAsia="Times New Roman" w:cs="Arial"/>
          <w:i/>
          <w:iCs/>
          <w:color w:val="000000"/>
          <w:lang w:eastAsia="bg-BG"/>
        </w:rPr>
        <w:t>посочените</w:t>
      </w:r>
      <w:r w:rsidRPr="002C2594">
        <w:rPr>
          <w:rFonts w:eastAsia="Times New Roman" w:cs="Arial"/>
          <w:i/>
          <w:iCs/>
          <w:color w:val="000000"/>
          <w:lang w:val="ru-RU" w:eastAsia="bg-BG"/>
        </w:rPr>
        <w:t xml:space="preserve"> </w:t>
      </w:r>
      <w:r w:rsidRPr="002C2594">
        <w:rPr>
          <w:rFonts w:eastAsia="Times New Roman" w:cs="Arial"/>
          <w:color w:val="000000"/>
          <w:lang w:eastAsia="bg-BG"/>
        </w:rPr>
        <w:t>средства се счита за уместно, се препоръчва редовно проследяване нивата на серумен калий и бъбречната функция (вж. точка 4.5).</w:t>
      </w:r>
    </w:p>
    <w:p w14:paraId="279A12B9" w14:textId="77777777" w:rsidR="002C2594" w:rsidRPr="002C2594" w:rsidRDefault="002C2594" w:rsidP="002C2594">
      <w:pPr>
        <w:spacing w:line="240" w:lineRule="auto"/>
        <w:rPr>
          <w:rFonts w:eastAsia="Times New Roman" w:cs="Arial"/>
          <w:i/>
          <w:iCs/>
          <w:color w:val="000000"/>
          <w:u w:val="single"/>
          <w:lang w:eastAsia="bg-BG"/>
        </w:rPr>
      </w:pPr>
    </w:p>
    <w:p w14:paraId="447547CE" w14:textId="6E46A7A3"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Диабетици</w:t>
      </w:r>
    </w:p>
    <w:p w14:paraId="62509282"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При пациенти, които провеждат лечение с перорални антидиабетни средства или инсулин, трябва да се осъществява редовен гликемичен контрол по време на първия месец от лечението с АСЕ инхибитор (вж. точка 4.5).</w:t>
      </w:r>
    </w:p>
    <w:p w14:paraId="43C92811" w14:textId="77777777" w:rsidR="002C2594" w:rsidRPr="002C2594" w:rsidRDefault="002C2594" w:rsidP="002C2594">
      <w:pPr>
        <w:spacing w:line="240" w:lineRule="auto"/>
        <w:rPr>
          <w:rFonts w:eastAsia="Times New Roman" w:cs="Arial"/>
          <w:i/>
          <w:iCs/>
          <w:color w:val="000000"/>
          <w:u w:val="single"/>
          <w:lang w:eastAsia="bg-BG"/>
        </w:rPr>
      </w:pPr>
    </w:p>
    <w:p w14:paraId="48117BEA" w14:textId="5CCD1C72"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Литий</w:t>
      </w:r>
    </w:p>
    <w:p w14:paraId="61CB8F0E"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Като цяло комбинацията от литий и Диротон не се препоръчва (вж. точка 4.5).</w:t>
      </w:r>
    </w:p>
    <w:p w14:paraId="4B61AB36" w14:textId="77777777" w:rsidR="002C2594" w:rsidRPr="002C2594" w:rsidRDefault="002C2594" w:rsidP="002C2594">
      <w:pPr>
        <w:spacing w:line="240" w:lineRule="auto"/>
        <w:rPr>
          <w:rFonts w:eastAsia="Times New Roman" w:cs="Arial"/>
          <w:i/>
          <w:iCs/>
          <w:color w:val="000000"/>
          <w:u w:val="single"/>
          <w:lang w:eastAsia="bg-BG"/>
        </w:rPr>
      </w:pPr>
    </w:p>
    <w:p w14:paraId="593BFE20" w14:textId="1712E82C" w:rsidR="002C2594" w:rsidRPr="002C2594" w:rsidRDefault="002C2594" w:rsidP="002C2594">
      <w:pPr>
        <w:spacing w:line="240" w:lineRule="auto"/>
        <w:rPr>
          <w:rFonts w:eastAsia="Times New Roman" w:cs="Arial"/>
        </w:rPr>
      </w:pPr>
      <w:r w:rsidRPr="002C2594">
        <w:rPr>
          <w:rFonts w:eastAsia="Times New Roman" w:cs="Arial"/>
          <w:i/>
          <w:iCs/>
          <w:color w:val="000000"/>
          <w:u w:val="single"/>
          <w:lang w:eastAsia="bg-BG"/>
        </w:rPr>
        <w:t>Бременност</w:t>
      </w:r>
    </w:p>
    <w:p w14:paraId="6D90FCFF" w14:textId="77777777" w:rsidR="002C2594" w:rsidRPr="002C2594" w:rsidRDefault="002C2594" w:rsidP="002C2594">
      <w:pPr>
        <w:spacing w:line="240" w:lineRule="auto"/>
        <w:rPr>
          <w:rFonts w:eastAsia="Times New Roman" w:cs="Arial"/>
        </w:rPr>
      </w:pPr>
      <w:r w:rsidRPr="002C2594">
        <w:rPr>
          <w:rFonts w:eastAsia="Times New Roman" w:cs="Arial"/>
          <w:color w:val="000000"/>
          <w:lang w:eastAsia="bg-BG"/>
        </w:rPr>
        <w:t xml:space="preserve">Не се препоръчва употребата на АСЕ инхибитори по време на бременност. В случаите, когато терапията с АСЕ инхибитори е наложителна, пациентките планиращи да забременеят трябва да преминат на алтернативно антихипертензивно лечение, което е с установен профил на безопасност по време на бременност. Когато се установи </w:t>
      </w:r>
      <w:r w:rsidRPr="002C2594">
        <w:rPr>
          <w:rFonts w:eastAsia="Times New Roman" w:cs="Arial"/>
          <w:color w:val="000000"/>
          <w:lang w:eastAsia="bg-BG"/>
        </w:rPr>
        <w:lastRenderedPageBreak/>
        <w:t>бременност, лечението с АСЕ инхибитори трябва да се прекрати незабавно и ако е необходимо да се премине към алтернативна терапия (вж. точки 4.3 и 4.6).</w:t>
      </w:r>
    </w:p>
    <w:p w14:paraId="1E196D53" w14:textId="0260AE3F" w:rsidR="002C2594" w:rsidRPr="002C2594" w:rsidRDefault="002C2594" w:rsidP="002C2594"/>
    <w:p w14:paraId="0734264C" w14:textId="52094A07"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969CFA7" w14:textId="7B5013BA" w:rsidR="002C2594" w:rsidRDefault="002C2594" w:rsidP="002C2594"/>
    <w:p w14:paraId="763E72EE" w14:textId="77777777"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Антихипертензивни средства</w:t>
      </w:r>
    </w:p>
    <w:p w14:paraId="54CC054D"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Комбинирането на лизиноприл с други антихипертензивни средства (напр. глицерилов тринитрат, други нитрати или други вазодилататори) може да доведе до допълнително понижаване на кръвното налягане.</w:t>
      </w:r>
    </w:p>
    <w:p w14:paraId="789149B0" w14:textId="77777777" w:rsidR="002C2594" w:rsidRPr="002C2594" w:rsidRDefault="002C2594" w:rsidP="002C2594">
      <w:pPr>
        <w:spacing w:line="240" w:lineRule="auto"/>
        <w:rPr>
          <w:rFonts w:eastAsia="Times New Roman" w:cs="Arial"/>
          <w:color w:val="000000"/>
          <w:lang w:eastAsia="bg-BG"/>
        </w:rPr>
      </w:pPr>
    </w:p>
    <w:p w14:paraId="31F44A18" w14:textId="4CA888B4"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 xml:space="preserve">Данни от клинични проучвания показват, че двойното блокиране на ренин- ангиотензин-алдостероновата система (РААС) чрез комбинираната употреба на АСЕ инхибитори, ангиотензин </w:t>
      </w:r>
      <w:r w:rsidRPr="002C2594">
        <w:rPr>
          <w:rFonts w:eastAsia="Times New Roman" w:cs="Arial"/>
          <w:color w:val="000000"/>
          <w:lang w:val="en-US"/>
        </w:rPr>
        <w:t>II</w:t>
      </w:r>
      <w:r w:rsidRPr="002C2594">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33B1722C" w14:textId="77777777" w:rsidR="002C2594" w:rsidRPr="002C2594" w:rsidRDefault="002C2594" w:rsidP="002C2594">
      <w:pPr>
        <w:spacing w:line="240" w:lineRule="auto"/>
        <w:rPr>
          <w:rFonts w:eastAsia="Times New Roman" w:cs="Arial"/>
          <w:i/>
          <w:iCs/>
          <w:color w:val="000000"/>
          <w:u w:val="single"/>
          <w:lang w:eastAsia="bg-BG"/>
        </w:rPr>
      </w:pPr>
    </w:p>
    <w:p w14:paraId="03CB3C83" w14:textId="78C4DF24"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 xml:space="preserve">Лекарствени продукти, които могат да повишат риска от ангиоедем </w:t>
      </w:r>
      <w:r w:rsidRPr="002C2594">
        <w:rPr>
          <w:rFonts w:eastAsia="Times New Roman" w:cs="Arial"/>
          <w:color w:val="000000"/>
          <w:lang w:eastAsia="bg-BG"/>
        </w:rPr>
        <w:t xml:space="preserve">Съпътстващата употреба на АСЕ инхибитори със сакубитрил/валсартан е противопоказана, тъй като това повишава риска от ангиоедем (вж. точка 4.3 и 4.4). Съпътстващата употреба с АСЕ инхибитори: инхибитори на рапамицин </w:t>
      </w:r>
      <w:r w:rsidRPr="002C2594">
        <w:rPr>
          <w:rFonts w:eastAsia="Times New Roman" w:cs="Arial"/>
          <w:color w:val="000000"/>
          <w:lang w:val="ru-RU"/>
        </w:rPr>
        <w:t>(</w:t>
      </w:r>
      <w:proofErr w:type="spellStart"/>
      <w:r w:rsidRPr="002C2594">
        <w:rPr>
          <w:rFonts w:eastAsia="Times New Roman" w:cs="Arial"/>
          <w:color w:val="000000"/>
          <w:lang w:val="en-US"/>
        </w:rPr>
        <w:t>mTOR</w:t>
      </w:r>
      <w:proofErr w:type="spellEnd"/>
      <w:r w:rsidRPr="002C2594">
        <w:rPr>
          <w:rFonts w:eastAsia="Times New Roman" w:cs="Arial"/>
          <w:color w:val="000000"/>
          <w:lang w:val="ru-RU"/>
        </w:rPr>
        <w:t xml:space="preserve">) </w:t>
      </w:r>
      <w:r w:rsidRPr="002C2594">
        <w:rPr>
          <w:rFonts w:eastAsia="Times New Roman" w:cs="Arial"/>
          <w:color w:val="000000"/>
          <w:lang w:eastAsia="bg-BG"/>
        </w:rPr>
        <w:t xml:space="preserve">(например темсиролимус, сиролимус, еверолимус) или инхибитори на неутрална ендопептидаза </w:t>
      </w:r>
      <w:r w:rsidRPr="002C2594">
        <w:rPr>
          <w:rFonts w:eastAsia="Times New Roman" w:cs="Arial"/>
          <w:color w:val="000000"/>
          <w:lang w:val="ru-RU"/>
        </w:rPr>
        <w:t>(</w:t>
      </w:r>
      <w:r w:rsidRPr="002C2594">
        <w:rPr>
          <w:rFonts w:eastAsia="Times New Roman" w:cs="Arial"/>
          <w:color w:val="000000"/>
          <w:lang w:val="en-US"/>
        </w:rPr>
        <w:t>NEP</w:t>
      </w:r>
      <w:r w:rsidRPr="002C2594">
        <w:rPr>
          <w:rFonts w:eastAsia="Times New Roman" w:cs="Arial"/>
          <w:color w:val="000000"/>
          <w:lang w:val="ru-RU"/>
        </w:rPr>
        <w:t xml:space="preserve">) </w:t>
      </w:r>
      <w:r w:rsidRPr="002C2594">
        <w:rPr>
          <w:rFonts w:eastAsia="Times New Roman" w:cs="Arial"/>
          <w:color w:val="000000"/>
          <w:lang w:eastAsia="bg-BG"/>
        </w:rPr>
        <w:t>(напр. рецекадотрил) или тьканен плазминогенен активатор, или вилдаглиптин може да доведе до повишен риск от ангиоедем (вж. точка 4.4).</w:t>
      </w:r>
    </w:p>
    <w:p w14:paraId="78260ED7" w14:textId="77777777" w:rsidR="002C2594" w:rsidRPr="002C2594" w:rsidRDefault="002C2594" w:rsidP="002C2594">
      <w:pPr>
        <w:spacing w:line="240" w:lineRule="auto"/>
        <w:rPr>
          <w:rFonts w:eastAsia="Times New Roman" w:cs="Arial"/>
          <w:i/>
          <w:iCs/>
          <w:color w:val="000000"/>
          <w:u w:val="single"/>
          <w:lang w:eastAsia="bg-BG"/>
        </w:rPr>
      </w:pPr>
    </w:p>
    <w:p w14:paraId="26DD0D23" w14:textId="3975D2D5"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Диуретиии</w:t>
      </w:r>
    </w:p>
    <w:p w14:paraId="094DBD41"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Когато се прибави диуретик към лечението на пациент, приемащ лизиноприл, антихипертензивният ефект обикновено е адитивен.</w:t>
      </w:r>
    </w:p>
    <w:p w14:paraId="0662094F"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Пациентите, които вече са на терапия с диуретици и особено тези от тях, които отскоро приемат диуретици, могат понякога да получат значително понижаване на кръвното налягане при включването на лизиноприл в терапията. Вероятността от симптоматична хипотония при лечение с лизиноприл може да бъде сведена до минимум чрез преустановяване приема на диуретик преди началото на терапията с Диротон (вж^— точка 4.2 и 4.4).</w:t>
      </w:r>
    </w:p>
    <w:p w14:paraId="105AC678" w14:textId="77777777" w:rsidR="002C2594" w:rsidRPr="002C2594" w:rsidRDefault="002C2594" w:rsidP="002C2594">
      <w:pPr>
        <w:spacing w:line="240" w:lineRule="auto"/>
        <w:rPr>
          <w:rFonts w:eastAsia="Times New Roman" w:cs="Arial"/>
          <w:i/>
          <w:iCs/>
          <w:color w:val="000000"/>
          <w:u w:val="single"/>
          <w:lang w:eastAsia="bg-BG"/>
        </w:rPr>
      </w:pPr>
    </w:p>
    <w:p w14:paraId="7A0BD2FE" w14:textId="671449A9"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Калиеви добавки, калий-съхраняваши диуретиии или калий-съдържаши</w:t>
      </w:r>
      <w:r w:rsidRPr="002C2594">
        <w:rPr>
          <w:rFonts w:eastAsia="Times New Roman" w:cs="Arial"/>
          <w:i/>
          <w:iCs/>
          <w:color w:val="000000"/>
          <w:u w:val="single"/>
          <w:lang w:val="ru-RU"/>
        </w:rPr>
        <w:t xml:space="preserve"> </w:t>
      </w:r>
      <w:r w:rsidRPr="002C2594">
        <w:rPr>
          <w:rFonts w:eastAsia="Times New Roman" w:cs="Arial"/>
          <w:i/>
          <w:iCs/>
          <w:color w:val="000000"/>
          <w:u w:val="single"/>
          <w:lang w:eastAsia="bg-BG"/>
        </w:rPr>
        <w:t>солеви заместители и други лекарствени продукти, които могат да повишат нивата на</w:t>
      </w:r>
    </w:p>
    <w:p w14:paraId="4A11D383" w14:textId="057C968E" w:rsidR="002C2594" w:rsidRPr="002C2594" w:rsidRDefault="002C2594" w:rsidP="002C2594">
      <w:pPr>
        <w:rPr>
          <w:rFonts w:eastAsia="Times New Roman" w:cs="Arial"/>
          <w:i/>
          <w:iCs/>
          <w:color w:val="000000"/>
          <w:u w:val="single"/>
          <w:lang w:eastAsia="bg-BG"/>
        </w:rPr>
      </w:pPr>
      <w:r w:rsidRPr="002C2594">
        <w:rPr>
          <w:rFonts w:eastAsia="Times New Roman" w:cs="Arial"/>
          <w:i/>
          <w:iCs/>
          <w:color w:val="000000"/>
          <w:u w:val="single"/>
          <w:lang w:eastAsia="bg-BG"/>
        </w:rPr>
        <w:t>серумния калий</w:t>
      </w:r>
    </w:p>
    <w:p w14:paraId="726B8F97"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калий-съхраняващи диуретици (напр. спиронолакгон, триамтерен или амилорид), хранителни добавки или съдържащи калий или калий-съдържащи заместители на солта може да доведе до значително повишение на серумния калий, особено при пациенти с нарушена бъбречна функция.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лизиноприл с гореспоменатите лекарства. Ако е </w:t>
      </w:r>
      <w:r w:rsidRPr="002C2594">
        <w:rPr>
          <w:rFonts w:eastAsia="Times New Roman" w:cs="Arial"/>
          <w:color w:val="000000"/>
          <w:lang w:eastAsia="bg-BG"/>
        </w:rPr>
        <w:lastRenderedPageBreak/>
        <w:t>показана съпътстваща употреба, те трябва да се използват с повишено внимание и при често проследяване на серумния калий(вж. точка 4.4).</w:t>
      </w:r>
    </w:p>
    <w:p w14:paraId="23707FAE" w14:textId="77777777"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lang w:eastAsia="bg-BG"/>
        </w:rPr>
        <w:t>Циклоспорин:</w:t>
      </w:r>
      <w:r w:rsidRPr="002C2594">
        <w:rPr>
          <w:rFonts w:eastAsia="Times New Roman" w:cs="Arial"/>
          <w:color w:val="000000"/>
          <w:lang w:eastAsia="bg-BG"/>
        </w:rPr>
        <w:t xml:space="preserve"> При съпътстваща употреба на АСЕ инхибитори с циклоспорин може да възникне хиперкалиемия. Препоръчва се проследяване на серумния калий.</w:t>
      </w:r>
    </w:p>
    <w:p w14:paraId="2DDEF860" w14:textId="77777777"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lang w:eastAsia="bg-BG"/>
        </w:rPr>
        <w:t>Хепарин:</w:t>
      </w:r>
      <w:r w:rsidRPr="002C2594">
        <w:rPr>
          <w:rFonts w:eastAsia="Times New Roman" w:cs="Arial"/>
          <w:color w:val="000000"/>
          <w:lang w:eastAsia="bg-BG"/>
        </w:rPr>
        <w:t xml:space="preserve"> При съпътстваща употреба на АСЕ инхибитори с хепарин може да възникне хиперкалиемия. Препоръчва се проследяване на серумния калий.</w:t>
      </w:r>
    </w:p>
    <w:p w14:paraId="5DEB3D43"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Ако Диротон се приема с калий-несъхраняващ диуретик, диуретично индуцираната хипокалиемия може да се намали.</w:t>
      </w:r>
    </w:p>
    <w:p w14:paraId="6339CD66" w14:textId="77777777" w:rsidR="002C2594" w:rsidRPr="002C2594" w:rsidRDefault="002C2594" w:rsidP="002C2594">
      <w:pPr>
        <w:spacing w:line="240" w:lineRule="auto"/>
        <w:rPr>
          <w:rFonts w:eastAsia="Times New Roman" w:cs="Arial"/>
          <w:i/>
          <w:iCs/>
          <w:color w:val="000000"/>
          <w:u w:val="single"/>
          <w:lang w:eastAsia="bg-BG"/>
        </w:rPr>
      </w:pPr>
    </w:p>
    <w:p w14:paraId="249A0AA2" w14:textId="7A13C357"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Литий</w:t>
      </w:r>
    </w:p>
    <w:p w14:paraId="4496B3C8"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Обратимо повишаване на серумните литиеви концентрации и токсичност бяха докладвани по време на едновременно прилагане на литий с АСЕ инхибитори. Успоредната употреба на тиазидни диуретици може да повиши риска от литиева токсичност и да я увеличи при употреба на АСЕ инхибитори. Употребата на Диротон с литий не се препоръчва, но ако това е наложително, серумните нива на литий трябва да бъдат внимателно проследявани (вж. точка 4.4).</w:t>
      </w:r>
    </w:p>
    <w:p w14:paraId="2D72C0B9" w14:textId="77777777" w:rsidR="002C2594" w:rsidRPr="002C2594" w:rsidRDefault="002C2594" w:rsidP="002C2594">
      <w:pPr>
        <w:spacing w:line="240" w:lineRule="auto"/>
        <w:rPr>
          <w:rFonts w:eastAsia="Times New Roman" w:cs="Arial"/>
          <w:i/>
          <w:iCs/>
          <w:color w:val="000000"/>
          <w:u w:val="single"/>
          <w:lang w:eastAsia="bg-BG"/>
        </w:rPr>
      </w:pPr>
    </w:p>
    <w:p w14:paraId="647BCBB5" w14:textId="3B89B85E"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 xml:space="preserve">Нестероидни противовъзпалителни средства (НСПВС) в това число аиетилсалииилова киселина ≥3 </w:t>
      </w:r>
      <w:r w:rsidRPr="002C2594">
        <w:rPr>
          <w:rFonts w:eastAsia="Times New Roman" w:cs="Arial"/>
          <w:i/>
          <w:iCs/>
          <w:color w:val="000000"/>
          <w:u w:val="single"/>
          <w:lang w:val="en-US"/>
        </w:rPr>
        <w:t>g</w:t>
      </w:r>
      <w:r w:rsidRPr="002C2594">
        <w:rPr>
          <w:rFonts w:eastAsia="Times New Roman" w:cs="Arial"/>
          <w:i/>
          <w:iCs/>
          <w:color w:val="000000"/>
          <w:u w:val="single"/>
          <w:lang w:eastAsia="bg-BG"/>
        </w:rPr>
        <w:t>/ден</w:t>
      </w:r>
    </w:p>
    <w:p w14:paraId="7C42C69A"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Когато АСЕ инхибитори се прилагат едновременно с нестероидни противовъзпалителни средства (т.е. ацетилсалицилова киселина при противовъзпалителни схеми на прилагане, СОХ-2 инхибитори и неселективни НСПВС), може да се наблюдава отслабване на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възможна остра бъбречна недостатъчност, и до повишение на серумния калий, особено при пациенти с предшестващо нарушение на бъбречната функция. Тези ефекти обикновено са обратими. Комбинацията трябва да се прилага внимателно, особено при пациенти в старческа възраст. Пациентите трябва да се хидратират адекватно и трябва да се помисли за проследяване на бъбречната функция след започване на едновременната терапия и периодично след това.</w:t>
      </w:r>
    </w:p>
    <w:p w14:paraId="3E1A50F8" w14:textId="77777777" w:rsidR="002C2594" w:rsidRPr="002C2594" w:rsidRDefault="002C2594" w:rsidP="002C2594">
      <w:pPr>
        <w:spacing w:line="240" w:lineRule="auto"/>
        <w:rPr>
          <w:rFonts w:eastAsia="Times New Roman" w:cs="Arial"/>
          <w:i/>
          <w:iCs/>
          <w:color w:val="000000"/>
          <w:u w:val="single"/>
          <w:lang w:eastAsia="bg-BG"/>
        </w:rPr>
      </w:pPr>
    </w:p>
    <w:p w14:paraId="28C9F8B5" w14:textId="77B38C4D"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Злато</w:t>
      </w:r>
    </w:p>
    <w:p w14:paraId="67570DD8"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Нитритоидни реакции (симптоми на вазодилатация, включително зачервяване, гадене, замаяност и хипотония, които могат да бъдат много тежки) след инжекционно прилагане на злато (напр. натриев ауротиомалат) са докладвани по-често при пациенти приемащи АСЕ инхибитор.</w:t>
      </w:r>
    </w:p>
    <w:p w14:paraId="1CAEC475" w14:textId="77777777" w:rsidR="002C2594" w:rsidRPr="002C2594" w:rsidRDefault="002C2594" w:rsidP="002C2594">
      <w:pPr>
        <w:spacing w:line="240" w:lineRule="auto"/>
        <w:rPr>
          <w:rFonts w:eastAsia="Times New Roman" w:cs="Arial"/>
          <w:i/>
          <w:iCs/>
          <w:color w:val="000000"/>
          <w:u w:val="single"/>
          <w:lang w:eastAsia="bg-BG"/>
        </w:rPr>
      </w:pPr>
    </w:p>
    <w:p w14:paraId="11BB0C5C" w14:textId="574567DF"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Триииклични антидепресанти/Антипсихотиии/Анестетиии</w:t>
      </w:r>
    </w:p>
    <w:p w14:paraId="4FD5E6AF"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Едновременната употреба на известни анестетици, трициклични антидепресанти и антипсихотици с АСЕ инхибитори може да доведе до понижаване на кръвното налягане в по-висока степен (вж.точка 4.4).</w:t>
      </w:r>
    </w:p>
    <w:p w14:paraId="20AE3C20" w14:textId="77777777" w:rsidR="002C2594" w:rsidRPr="002C2594" w:rsidRDefault="002C2594" w:rsidP="002C2594">
      <w:pPr>
        <w:spacing w:line="240" w:lineRule="auto"/>
        <w:rPr>
          <w:rFonts w:eastAsia="Times New Roman" w:cs="Arial"/>
          <w:i/>
          <w:iCs/>
          <w:color w:val="000000"/>
          <w:u w:val="single"/>
          <w:lang w:eastAsia="bg-BG"/>
        </w:rPr>
      </w:pPr>
    </w:p>
    <w:p w14:paraId="5BFFA96E" w14:textId="26583321"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Симпатикомиметици</w:t>
      </w:r>
    </w:p>
    <w:p w14:paraId="3063BEF6"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Симпатикомиметиците могат да редуцират антихипертензивните ефекти на АСЕ инхибиторите.</w:t>
      </w:r>
    </w:p>
    <w:p w14:paraId="79411EC0" w14:textId="77777777" w:rsidR="002C2594" w:rsidRPr="002C2594" w:rsidRDefault="002C2594" w:rsidP="002C2594">
      <w:pPr>
        <w:spacing w:line="240" w:lineRule="auto"/>
        <w:rPr>
          <w:rFonts w:eastAsia="Times New Roman" w:cs="Arial"/>
          <w:i/>
          <w:iCs/>
          <w:color w:val="000000"/>
          <w:u w:val="single"/>
          <w:lang w:eastAsia="bg-BG"/>
        </w:rPr>
      </w:pPr>
    </w:p>
    <w:p w14:paraId="7DA1BF00" w14:textId="64039A3E" w:rsidR="002C2594" w:rsidRPr="002C2594" w:rsidRDefault="002C2594" w:rsidP="002C2594">
      <w:pPr>
        <w:spacing w:line="240" w:lineRule="auto"/>
        <w:rPr>
          <w:rFonts w:eastAsia="Times New Roman" w:cs="Arial"/>
          <w:sz w:val="24"/>
          <w:szCs w:val="24"/>
        </w:rPr>
      </w:pPr>
      <w:r w:rsidRPr="002C2594">
        <w:rPr>
          <w:rFonts w:eastAsia="Times New Roman" w:cs="Arial"/>
          <w:i/>
          <w:iCs/>
          <w:color w:val="000000"/>
          <w:u w:val="single"/>
          <w:lang w:eastAsia="bg-BG"/>
        </w:rPr>
        <w:t>Антидиабетни лекарствени продукти</w:t>
      </w:r>
    </w:p>
    <w:p w14:paraId="412968D2"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 xml:space="preserve">Данните от епидемиологични проучвания предполагат, че едновременната употреба на АСЕ инхибитори и антидиабетни лекарствени продукти (инсулини, орални хипогликемични агенти) могат допълнително да понижат нивата на глюкоза в кръвта с </w:t>
      </w:r>
      <w:r w:rsidRPr="002C2594">
        <w:rPr>
          <w:rFonts w:eastAsia="Times New Roman" w:cs="Arial"/>
          <w:color w:val="000000"/>
          <w:lang w:eastAsia="bg-BG"/>
        </w:rPr>
        <w:lastRenderedPageBreak/>
        <w:t>риск от хипогликемия. Този феномен е по-характерен за първите седмици от комбинираното лечение и за пациенти с бъбречно увреждане.</w:t>
      </w:r>
    </w:p>
    <w:p w14:paraId="56A318CC" w14:textId="77777777" w:rsidR="002C2594" w:rsidRPr="002C2594" w:rsidRDefault="002C2594" w:rsidP="002C2594">
      <w:pPr>
        <w:spacing w:line="240" w:lineRule="auto"/>
        <w:rPr>
          <w:rFonts w:eastAsia="Times New Roman" w:cs="Arial"/>
          <w:i/>
          <w:iCs/>
          <w:color w:val="000000"/>
          <w:u w:val="single"/>
          <w:lang w:eastAsia="bg-BG"/>
        </w:rPr>
      </w:pPr>
    </w:p>
    <w:p w14:paraId="42FE3673" w14:textId="77777777" w:rsidR="002C2594" w:rsidRPr="002C2594" w:rsidRDefault="002C2594" w:rsidP="002C2594">
      <w:pPr>
        <w:spacing w:line="240" w:lineRule="auto"/>
        <w:rPr>
          <w:rFonts w:eastAsia="Times New Roman" w:cs="Arial"/>
          <w:i/>
          <w:iCs/>
          <w:color w:val="000000"/>
          <w:u w:val="single"/>
          <w:lang w:eastAsia="bg-BG"/>
        </w:rPr>
      </w:pPr>
      <w:r w:rsidRPr="002C2594">
        <w:rPr>
          <w:rFonts w:eastAsia="Times New Roman" w:cs="Arial"/>
          <w:i/>
          <w:iCs/>
          <w:color w:val="000000"/>
          <w:u w:val="single"/>
          <w:lang w:eastAsia="bg-BG"/>
        </w:rPr>
        <w:t xml:space="preserve">Аиетилсалииилова киселина, тромболитиии, бета-блокери, нитрати </w:t>
      </w:r>
    </w:p>
    <w:p w14:paraId="6CA72A03" w14:textId="5D55E34F" w:rsidR="002C2594" w:rsidRPr="002C2594" w:rsidRDefault="002C2594" w:rsidP="002C2594">
      <w:pPr>
        <w:spacing w:line="240" w:lineRule="auto"/>
        <w:rPr>
          <w:rFonts w:eastAsia="Times New Roman" w:cs="Arial"/>
          <w:color w:val="000000"/>
          <w:lang w:eastAsia="bg-BG"/>
        </w:rPr>
      </w:pPr>
      <w:r w:rsidRPr="002C2594">
        <w:rPr>
          <w:rFonts w:eastAsia="Times New Roman" w:cs="Arial"/>
          <w:color w:val="000000"/>
          <w:lang w:eastAsia="bg-BG"/>
        </w:rPr>
        <w:t>Диротон може да бъде прилаган успоредно с ацетилсалицилова киселина (в кардиологични дози), тромболитици, бета-блокери и нитрати.</w:t>
      </w:r>
    </w:p>
    <w:p w14:paraId="17A87877" w14:textId="77777777" w:rsidR="002C2594" w:rsidRPr="002C2594" w:rsidRDefault="002C2594" w:rsidP="002C2594"/>
    <w:p w14:paraId="5D9F40EA" w14:textId="531829A5" w:rsidR="007122AD" w:rsidRDefault="002C50EE" w:rsidP="00936AD0">
      <w:pPr>
        <w:pStyle w:val="Heading2"/>
      </w:pPr>
      <w:r>
        <w:t>4.6. Фертилитет, бременност и кърмене</w:t>
      </w:r>
    </w:p>
    <w:p w14:paraId="610286DE" w14:textId="38FCCA04" w:rsidR="002C2594" w:rsidRDefault="002C2594" w:rsidP="002C2594"/>
    <w:p w14:paraId="54DECD59" w14:textId="2D37AC0B" w:rsidR="002C2594" w:rsidRPr="002C2594" w:rsidRDefault="002C2594" w:rsidP="002C2594">
      <w:pPr>
        <w:pStyle w:val="Heading3"/>
        <w:rPr>
          <w:u w:val="single"/>
        </w:rPr>
      </w:pPr>
      <w:r w:rsidRPr="002C2594">
        <w:rPr>
          <w:u w:val="single"/>
        </w:rPr>
        <w:t>Бременност</w:t>
      </w:r>
    </w:p>
    <w:tbl>
      <w:tblPr>
        <w:tblStyle w:val="TableGrid"/>
        <w:tblW w:w="0" w:type="auto"/>
        <w:tblLook w:val="04A0" w:firstRow="1" w:lastRow="0" w:firstColumn="1" w:lastColumn="0" w:noHBand="0" w:noVBand="1"/>
      </w:tblPr>
      <w:tblGrid>
        <w:gridCol w:w="9350"/>
      </w:tblGrid>
      <w:tr w:rsidR="002C2594" w:rsidRPr="002C2594" w14:paraId="09F059F4" w14:textId="77777777" w:rsidTr="002C2594">
        <w:tc>
          <w:tcPr>
            <w:tcW w:w="9576" w:type="dxa"/>
          </w:tcPr>
          <w:p w14:paraId="41342EB3" w14:textId="6D4FA21E"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Употребата на АСЕ инхибитори не се препоръчва по време на първия триместър на бременността (вж. точка 4.4). Употребата на АСЕ инхибитори е противопоказана през втория и третия триместър на бременността (вж. точки 4.3 и 4.4).</w:t>
            </w:r>
          </w:p>
        </w:tc>
      </w:tr>
    </w:tbl>
    <w:p w14:paraId="4BCFE55B" w14:textId="230B38CF" w:rsidR="002C2594" w:rsidRPr="002C2594" w:rsidRDefault="002C2594" w:rsidP="002C2594">
      <w:pPr>
        <w:rPr>
          <w:rFonts w:cs="Arial"/>
        </w:rPr>
      </w:pPr>
    </w:p>
    <w:p w14:paraId="38E9FF37"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Епидемиологичните доказателства по отношение риска от тератогенност, в резултат от употребата на АСЕ инхибитори, по време на първия триместър на бременността не са убедителни; въпреки това слабо повишение на риска не може да се изключи. Освен ако продължителната терапия с АСЕ инхибитор не се счита за жизнено важна, пациентките, планиращи бременност трябва да преминат на алтернативно антихипертензивно лечение, което е с доказан профил на безопасност по време на бременност.</w:t>
      </w:r>
    </w:p>
    <w:p w14:paraId="03F0C384"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Когато се диагностицира бременност, лечението с АСЕ инхибитори трябва да се преустанови незабавно и, ако е подходящо, да се започне алтернативна терапия.</w:t>
      </w:r>
    </w:p>
    <w:p w14:paraId="712B930A" w14:textId="77777777" w:rsidR="002C2594" w:rsidRPr="002C2594" w:rsidRDefault="002C2594" w:rsidP="002C2594">
      <w:pPr>
        <w:spacing w:line="240" w:lineRule="auto"/>
        <w:rPr>
          <w:rFonts w:eastAsia="Times New Roman" w:cs="Arial"/>
          <w:color w:val="000000"/>
          <w:lang w:eastAsia="bg-BG"/>
        </w:rPr>
      </w:pPr>
    </w:p>
    <w:p w14:paraId="46894CF6" w14:textId="0470A9B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Известно е, че експозицията на АСЕ инхибитор през второто и третото тримесечие индуцира фетотоксичност при човека (намалена бъбречна функция, олигохидрамнион, забавяне на осификацията на черепа) и неонатална токсичност (бъбречна недостатъчност, хипотония, хиперкалиемия). (вж. точка 5.3).</w:t>
      </w:r>
    </w:p>
    <w:p w14:paraId="1C5A4113"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В случай на експозиция на АСЕ инхибитори през второто тримесечие на бременността се препоръчва изследване с ултразвук на бъбречната функция и черепа. Кърмачетата, чиито майки са приемали АСЕ инхибитори, трябва да се наблюдават внимателно за хипотония (вж. точки 4.3 и 4.4).</w:t>
      </w:r>
    </w:p>
    <w:p w14:paraId="52A0F8AB" w14:textId="77777777" w:rsidR="002C2594" w:rsidRPr="002C2594" w:rsidRDefault="002C2594" w:rsidP="002C2594">
      <w:pPr>
        <w:spacing w:line="240" w:lineRule="auto"/>
        <w:rPr>
          <w:rFonts w:eastAsia="Times New Roman" w:cs="Arial"/>
          <w:color w:val="000000"/>
          <w:u w:val="single"/>
          <w:lang w:eastAsia="bg-BG"/>
        </w:rPr>
      </w:pPr>
    </w:p>
    <w:p w14:paraId="4D7F4939" w14:textId="677D7290" w:rsidR="002C2594" w:rsidRPr="002C2594" w:rsidRDefault="002C2594" w:rsidP="002C2594">
      <w:pPr>
        <w:pStyle w:val="Heading3"/>
        <w:rPr>
          <w:rFonts w:eastAsia="Times New Roman"/>
          <w:u w:val="single"/>
        </w:rPr>
      </w:pPr>
      <w:r w:rsidRPr="002C2594">
        <w:rPr>
          <w:rFonts w:eastAsia="Times New Roman"/>
          <w:u w:val="single"/>
          <w:lang w:eastAsia="bg-BG"/>
        </w:rPr>
        <w:t>Кърмене</w:t>
      </w:r>
    </w:p>
    <w:p w14:paraId="2728E8F3" w14:textId="77777777" w:rsidR="002C2594" w:rsidRPr="002C2594" w:rsidRDefault="002C2594" w:rsidP="002C2594">
      <w:pPr>
        <w:spacing w:line="240" w:lineRule="auto"/>
        <w:rPr>
          <w:rFonts w:eastAsia="Times New Roman" w:cs="Arial"/>
          <w:sz w:val="24"/>
          <w:szCs w:val="24"/>
        </w:rPr>
      </w:pPr>
      <w:r w:rsidRPr="002C2594">
        <w:rPr>
          <w:rFonts w:eastAsia="Times New Roman" w:cs="Arial"/>
          <w:color w:val="000000"/>
          <w:lang w:eastAsia="bg-BG"/>
        </w:rPr>
        <w:t>Тъй като няма информация относно употребата на Диротон по време на кърмене, приложението на Диротон не се препоръчва, и трябва да се използва алтернативно лечение с по-добре установен профил на безопасност по време на кърмене, особено докато се кърми новородено или недоносено кърмаче.</w:t>
      </w:r>
    </w:p>
    <w:p w14:paraId="008F23DC" w14:textId="77777777" w:rsidR="002C2594" w:rsidRPr="002C2594" w:rsidRDefault="002C2594" w:rsidP="002C2594"/>
    <w:p w14:paraId="5DD7A76D" w14:textId="09E5E240" w:rsidR="007122AD" w:rsidRDefault="002C50EE" w:rsidP="00936AD0">
      <w:pPr>
        <w:pStyle w:val="Heading2"/>
      </w:pPr>
      <w:r>
        <w:t>4.7. Ефекти върху способността за шофиране и работа с машини</w:t>
      </w:r>
    </w:p>
    <w:p w14:paraId="53256ADE" w14:textId="5D81BAA3" w:rsidR="002C2594" w:rsidRDefault="002C2594" w:rsidP="002C2594"/>
    <w:p w14:paraId="3DA4DE2C" w14:textId="379AECCF" w:rsidR="002C2594" w:rsidRDefault="002C2594" w:rsidP="002C2594">
      <w:pPr>
        <w:rPr>
          <w:lang w:eastAsia="bg-BG"/>
        </w:rPr>
      </w:pPr>
      <w:r w:rsidRPr="002C2594">
        <w:rPr>
          <w:lang w:eastAsia="bg-BG"/>
        </w:rPr>
        <w:t>По време на шофиране или управление на машини трябва да се имат предвид редките случаи на замаяност и умора, които могат да възникнат.</w:t>
      </w:r>
    </w:p>
    <w:p w14:paraId="4D7BA527" w14:textId="77777777" w:rsidR="002C2594" w:rsidRPr="002C2594" w:rsidRDefault="002C2594" w:rsidP="002C2594">
      <w:pPr>
        <w:rPr>
          <w:lang w:eastAsia="bg-BG"/>
        </w:rPr>
      </w:pPr>
    </w:p>
    <w:p w14:paraId="44CE30A3" w14:textId="42756BFA" w:rsidR="007122AD" w:rsidRDefault="002C50EE" w:rsidP="00936AD0">
      <w:pPr>
        <w:pStyle w:val="Heading2"/>
      </w:pPr>
      <w:r>
        <w:t>4.8. Нежелани лекарствени реакции</w:t>
      </w:r>
    </w:p>
    <w:p w14:paraId="2DBC40D2" w14:textId="2A0F7A74" w:rsidR="002C2594" w:rsidRDefault="002C2594" w:rsidP="002C2594"/>
    <w:p w14:paraId="651F864E" w14:textId="77777777" w:rsidR="002C2594" w:rsidRPr="002C2594" w:rsidRDefault="002C2594" w:rsidP="002C2594">
      <w:pPr>
        <w:rPr>
          <w:sz w:val="24"/>
          <w:szCs w:val="24"/>
        </w:rPr>
      </w:pPr>
      <w:r w:rsidRPr="002C2594">
        <w:rPr>
          <w:lang w:eastAsia="bg-BG"/>
        </w:rPr>
        <w:t xml:space="preserve">Следващите нежелани реакции са наблюдавани и описани в хода на лечение с лизиноприл и други АСЕ инхибитори със следната честота: </w:t>
      </w:r>
      <w:r w:rsidRPr="002C2594">
        <w:rPr>
          <w:i/>
          <w:iCs/>
          <w:lang w:eastAsia="bg-BG"/>
        </w:rPr>
        <w:t>много чести</w:t>
      </w:r>
      <w:r w:rsidRPr="002C2594">
        <w:rPr>
          <w:lang w:eastAsia="bg-BG"/>
        </w:rPr>
        <w:t xml:space="preserve"> (≥1/10), </w:t>
      </w:r>
      <w:r w:rsidRPr="002C2594">
        <w:rPr>
          <w:i/>
          <w:iCs/>
          <w:lang w:eastAsia="bg-BG"/>
        </w:rPr>
        <w:t xml:space="preserve">чести </w:t>
      </w:r>
      <w:r w:rsidRPr="002C2594">
        <w:rPr>
          <w:lang w:eastAsia="bg-BG"/>
        </w:rPr>
        <w:t xml:space="preserve">(≥1/100 до &lt;1/10), </w:t>
      </w:r>
      <w:r w:rsidRPr="002C2594">
        <w:rPr>
          <w:i/>
          <w:iCs/>
          <w:lang w:eastAsia="bg-BG"/>
        </w:rPr>
        <w:t>нечести</w:t>
      </w:r>
      <w:r w:rsidRPr="002C2594">
        <w:rPr>
          <w:lang w:eastAsia="bg-BG"/>
        </w:rPr>
        <w:t xml:space="preserve"> (≥1/1000 до &lt;1/100), редки (≥1/10 000 до &lt;1/1000), </w:t>
      </w:r>
      <w:r w:rsidRPr="002C2594">
        <w:rPr>
          <w:i/>
          <w:iCs/>
          <w:lang w:eastAsia="bg-BG"/>
        </w:rPr>
        <w:t>много редки</w:t>
      </w:r>
      <w:r w:rsidRPr="002C2594">
        <w:rPr>
          <w:lang w:eastAsia="bg-BG"/>
        </w:rPr>
        <w:t xml:space="preserve"> </w:t>
      </w:r>
      <w:r w:rsidRPr="002C2594">
        <w:rPr>
          <w:lang w:eastAsia="bg-BG"/>
        </w:rPr>
        <w:lastRenderedPageBreak/>
        <w:t>(&lt;1/10 000) включително изолирани съобщения, с неизвестна честота (от наличните данни не може да бъде направена оценка).</w:t>
      </w:r>
    </w:p>
    <w:p w14:paraId="2ED97687" w14:textId="05705148" w:rsidR="002C2594" w:rsidRDefault="002C2594" w:rsidP="002C2594"/>
    <w:tbl>
      <w:tblPr>
        <w:tblStyle w:val="TableGrid"/>
        <w:tblW w:w="0" w:type="auto"/>
        <w:tblLook w:val="04A0" w:firstRow="1" w:lastRow="0" w:firstColumn="1" w:lastColumn="0" w:noHBand="0" w:noVBand="1"/>
      </w:tblPr>
      <w:tblGrid>
        <w:gridCol w:w="1604"/>
        <w:gridCol w:w="1366"/>
        <w:gridCol w:w="1429"/>
        <w:gridCol w:w="1617"/>
        <w:gridCol w:w="1873"/>
        <w:gridCol w:w="1461"/>
      </w:tblGrid>
      <w:tr w:rsidR="002C2594" w14:paraId="379F3C4F" w14:textId="77777777" w:rsidTr="007338C6">
        <w:tc>
          <w:tcPr>
            <w:tcW w:w="1644" w:type="dxa"/>
            <w:vAlign w:val="bottom"/>
          </w:tcPr>
          <w:p w14:paraId="3771F22F" w14:textId="235DA9BC" w:rsidR="002C2594" w:rsidRDefault="002C2594" w:rsidP="002C2594">
            <w:r>
              <w:rPr>
                <w:b/>
                <w:bCs/>
              </w:rPr>
              <w:t>Система орган клас</w:t>
            </w:r>
          </w:p>
        </w:tc>
        <w:tc>
          <w:tcPr>
            <w:tcW w:w="1398" w:type="dxa"/>
            <w:vAlign w:val="center"/>
          </w:tcPr>
          <w:p w14:paraId="2964BBF5" w14:textId="5B455FF8" w:rsidR="002C2594" w:rsidRDefault="002C2594" w:rsidP="002C2594">
            <w:r>
              <w:rPr>
                <w:b/>
                <w:bCs/>
              </w:rPr>
              <w:t>Чести</w:t>
            </w:r>
          </w:p>
        </w:tc>
        <w:tc>
          <w:tcPr>
            <w:tcW w:w="1463" w:type="dxa"/>
            <w:vAlign w:val="center"/>
          </w:tcPr>
          <w:p w14:paraId="188B7967" w14:textId="0F7FA2A9" w:rsidR="002C2594" w:rsidRDefault="002C2594" w:rsidP="002C2594">
            <w:r>
              <w:rPr>
                <w:b/>
                <w:bCs/>
              </w:rPr>
              <w:t>Нечести</w:t>
            </w:r>
          </w:p>
        </w:tc>
        <w:tc>
          <w:tcPr>
            <w:tcW w:w="1657" w:type="dxa"/>
            <w:vAlign w:val="center"/>
          </w:tcPr>
          <w:p w14:paraId="39BD1E43" w14:textId="2E8FE0A6" w:rsidR="002C2594" w:rsidRDefault="002C2594" w:rsidP="002C2594">
            <w:r>
              <w:rPr>
                <w:b/>
                <w:bCs/>
              </w:rPr>
              <w:t>Редки</w:t>
            </w:r>
          </w:p>
        </w:tc>
        <w:tc>
          <w:tcPr>
            <w:tcW w:w="1919" w:type="dxa"/>
            <w:vAlign w:val="center"/>
          </w:tcPr>
          <w:p w14:paraId="273ED2DF" w14:textId="60A9FD12" w:rsidR="002C2594" w:rsidRDefault="002C2594" w:rsidP="002C2594">
            <w:r>
              <w:rPr>
                <w:b/>
                <w:bCs/>
              </w:rPr>
              <w:t>Много редки</w:t>
            </w:r>
          </w:p>
        </w:tc>
        <w:tc>
          <w:tcPr>
            <w:tcW w:w="1495" w:type="dxa"/>
          </w:tcPr>
          <w:p w14:paraId="302C8962" w14:textId="745E814A" w:rsidR="002C2594" w:rsidRDefault="002C2594" w:rsidP="002C2594">
            <w:r>
              <w:rPr>
                <w:b/>
                <w:bCs/>
              </w:rPr>
              <w:t>с неизвестна честота</w:t>
            </w:r>
          </w:p>
        </w:tc>
      </w:tr>
      <w:tr w:rsidR="002C2594" w14:paraId="7688BB85" w14:textId="77777777" w:rsidTr="007338C6">
        <w:tc>
          <w:tcPr>
            <w:tcW w:w="1644" w:type="dxa"/>
          </w:tcPr>
          <w:p w14:paraId="72D97604" w14:textId="6892E758" w:rsidR="002C2594" w:rsidRDefault="002C2594" w:rsidP="002C2594">
            <w:r>
              <w:rPr>
                <w:i/>
                <w:iCs/>
              </w:rPr>
              <w:t>Нарушения на кръвта и лимфната система</w:t>
            </w:r>
          </w:p>
        </w:tc>
        <w:tc>
          <w:tcPr>
            <w:tcW w:w="1398" w:type="dxa"/>
          </w:tcPr>
          <w:p w14:paraId="1B91770F" w14:textId="77777777" w:rsidR="002C2594" w:rsidRDefault="002C2594" w:rsidP="002C2594"/>
        </w:tc>
        <w:tc>
          <w:tcPr>
            <w:tcW w:w="1463" w:type="dxa"/>
          </w:tcPr>
          <w:p w14:paraId="36913AD0" w14:textId="77777777" w:rsidR="002C2594" w:rsidRDefault="002C2594" w:rsidP="002C2594"/>
        </w:tc>
        <w:tc>
          <w:tcPr>
            <w:tcW w:w="1657" w:type="dxa"/>
          </w:tcPr>
          <w:p w14:paraId="7C8A1886" w14:textId="66C217B9" w:rsidR="002C2594" w:rsidRDefault="002C2594" w:rsidP="002C2594">
            <w:r>
              <w:t>понижаване на хемоглобина, понижаване на хематокрита</w:t>
            </w:r>
          </w:p>
        </w:tc>
        <w:tc>
          <w:tcPr>
            <w:tcW w:w="1919" w:type="dxa"/>
            <w:vAlign w:val="bottom"/>
          </w:tcPr>
          <w:p w14:paraId="58DBBA26" w14:textId="3F14FE9B" w:rsidR="002C2594" w:rsidRDefault="002C2594" w:rsidP="002C2594">
            <w:r>
              <w:t>потискане на костния мозък, анемия, тромбоцитопе- ния, левкопения, неутропения, агранулоцитоза (вж. точка 4.4), хемолитична анемия, лимфаденопатия</w:t>
            </w:r>
          </w:p>
        </w:tc>
        <w:tc>
          <w:tcPr>
            <w:tcW w:w="1495" w:type="dxa"/>
          </w:tcPr>
          <w:p w14:paraId="00812C2F" w14:textId="77777777" w:rsidR="002C2594" w:rsidRDefault="002C2594" w:rsidP="002C2594"/>
        </w:tc>
      </w:tr>
      <w:tr w:rsidR="002C2594" w14:paraId="4C901FD7" w14:textId="77777777" w:rsidTr="007338C6">
        <w:tc>
          <w:tcPr>
            <w:tcW w:w="1644" w:type="dxa"/>
            <w:vAlign w:val="center"/>
          </w:tcPr>
          <w:p w14:paraId="768EE336" w14:textId="23785774" w:rsidR="002C2594" w:rsidRDefault="002C2594" w:rsidP="002C2594">
            <w:r>
              <w:rPr>
                <w:i/>
                <w:iCs/>
              </w:rPr>
              <w:t>Нарушения на имунната система</w:t>
            </w:r>
          </w:p>
        </w:tc>
        <w:tc>
          <w:tcPr>
            <w:tcW w:w="1398" w:type="dxa"/>
          </w:tcPr>
          <w:p w14:paraId="62AF8AC6" w14:textId="77777777" w:rsidR="002C2594" w:rsidRDefault="002C2594" w:rsidP="002C2594"/>
        </w:tc>
        <w:tc>
          <w:tcPr>
            <w:tcW w:w="1463" w:type="dxa"/>
          </w:tcPr>
          <w:p w14:paraId="036BA706" w14:textId="77777777" w:rsidR="002C2594" w:rsidRDefault="002C2594" w:rsidP="002C2594"/>
        </w:tc>
        <w:tc>
          <w:tcPr>
            <w:tcW w:w="1657" w:type="dxa"/>
          </w:tcPr>
          <w:p w14:paraId="53F34388" w14:textId="77777777" w:rsidR="002C2594" w:rsidRDefault="002C2594" w:rsidP="002C2594"/>
        </w:tc>
        <w:tc>
          <w:tcPr>
            <w:tcW w:w="1919" w:type="dxa"/>
          </w:tcPr>
          <w:p w14:paraId="367294A5" w14:textId="5ABFBA22" w:rsidR="002C2594" w:rsidRDefault="002C2594" w:rsidP="002C2594">
            <w:r>
              <w:t>автоимунно заболяване</w:t>
            </w:r>
          </w:p>
        </w:tc>
        <w:tc>
          <w:tcPr>
            <w:tcW w:w="1495" w:type="dxa"/>
            <w:vAlign w:val="bottom"/>
          </w:tcPr>
          <w:p w14:paraId="64BD486B" w14:textId="08547EA6" w:rsidR="002C2594" w:rsidRDefault="002C2594" w:rsidP="002C2594">
            <w:r>
              <w:t>анафилакти чна/анафила ктоидна реакция</w:t>
            </w:r>
          </w:p>
        </w:tc>
      </w:tr>
      <w:tr w:rsidR="002C2594" w14:paraId="4553B4A7" w14:textId="77777777" w:rsidTr="007338C6">
        <w:tc>
          <w:tcPr>
            <w:tcW w:w="1644" w:type="dxa"/>
          </w:tcPr>
          <w:p w14:paraId="50225552" w14:textId="2C8B670B" w:rsidR="002C2594" w:rsidRDefault="002C2594" w:rsidP="002C2594">
            <w:r>
              <w:rPr>
                <w:i/>
                <w:iCs/>
              </w:rPr>
              <w:t>Нарушения на ендокринна</w:t>
            </w:r>
            <w:r>
              <w:rPr>
                <w:i/>
                <w:iCs/>
              </w:rPr>
              <w:softHyphen/>
              <w:t>та система</w:t>
            </w:r>
          </w:p>
        </w:tc>
        <w:tc>
          <w:tcPr>
            <w:tcW w:w="1398" w:type="dxa"/>
          </w:tcPr>
          <w:p w14:paraId="502FF8F0" w14:textId="77777777" w:rsidR="002C2594" w:rsidRDefault="002C2594" w:rsidP="002C2594"/>
        </w:tc>
        <w:tc>
          <w:tcPr>
            <w:tcW w:w="1463" w:type="dxa"/>
          </w:tcPr>
          <w:p w14:paraId="5B6DFA55" w14:textId="77777777" w:rsidR="002C2594" w:rsidRDefault="002C2594" w:rsidP="002C2594"/>
        </w:tc>
        <w:tc>
          <w:tcPr>
            <w:tcW w:w="1657" w:type="dxa"/>
            <w:vAlign w:val="bottom"/>
          </w:tcPr>
          <w:p w14:paraId="25298558" w14:textId="7AFCE86F" w:rsidR="002C2594" w:rsidRDefault="002C2594" w:rsidP="002C2594">
            <w:r>
              <w:t xml:space="preserve">синдром на неподходяща секреция на антидиурети- чен хормон </w:t>
            </w:r>
            <w:r w:rsidRPr="002C2594">
              <w:rPr>
                <w:lang w:val="ru-RU"/>
              </w:rPr>
              <w:t>(</w:t>
            </w:r>
            <w:r>
              <w:rPr>
                <w:lang w:val="en-US"/>
              </w:rPr>
              <w:t>SIADH</w:t>
            </w:r>
            <w:r w:rsidRPr="002C2594">
              <w:rPr>
                <w:lang w:val="ru-RU"/>
              </w:rPr>
              <w:t>)</w:t>
            </w:r>
          </w:p>
        </w:tc>
        <w:tc>
          <w:tcPr>
            <w:tcW w:w="1919" w:type="dxa"/>
          </w:tcPr>
          <w:p w14:paraId="44ED3B1D" w14:textId="77777777" w:rsidR="002C2594" w:rsidRDefault="002C2594" w:rsidP="002C2594"/>
        </w:tc>
        <w:tc>
          <w:tcPr>
            <w:tcW w:w="1495" w:type="dxa"/>
          </w:tcPr>
          <w:p w14:paraId="5C019F93" w14:textId="77777777" w:rsidR="002C2594" w:rsidRDefault="002C2594" w:rsidP="002C2594"/>
        </w:tc>
      </w:tr>
      <w:tr w:rsidR="002C2594" w14:paraId="1CE4CDA8" w14:textId="77777777" w:rsidTr="007338C6">
        <w:tc>
          <w:tcPr>
            <w:tcW w:w="1644" w:type="dxa"/>
            <w:vAlign w:val="bottom"/>
          </w:tcPr>
          <w:p w14:paraId="374633E0" w14:textId="536DE98D" w:rsidR="002C2594" w:rsidRDefault="002C2594" w:rsidP="002C2594">
            <w:r>
              <w:rPr>
                <w:i/>
                <w:iCs/>
              </w:rPr>
              <w:t>Нарушения на метаболизма и храненето</w:t>
            </w:r>
          </w:p>
        </w:tc>
        <w:tc>
          <w:tcPr>
            <w:tcW w:w="1398" w:type="dxa"/>
          </w:tcPr>
          <w:p w14:paraId="1B40DD9C" w14:textId="77777777" w:rsidR="002C2594" w:rsidRDefault="002C2594" w:rsidP="002C2594"/>
        </w:tc>
        <w:tc>
          <w:tcPr>
            <w:tcW w:w="1463" w:type="dxa"/>
          </w:tcPr>
          <w:p w14:paraId="22827D38" w14:textId="77777777" w:rsidR="002C2594" w:rsidRDefault="002C2594" w:rsidP="002C2594"/>
        </w:tc>
        <w:tc>
          <w:tcPr>
            <w:tcW w:w="1657" w:type="dxa"/>
          </w:tcPr>
          <w:p w14:paraId="030A9521" w14:textId="77777777" w:rsidR="002C2594" w:rsidRDefault="002C2594" w:rsidP="002C2594"/>
        </w:tc>
        <w:tc>
          <w:tcPr>
            <w:tcW w:w="1919" w:type="dxa"/>
          </w:tcPr>
          <w:p w14:paraId="4807C6EA" w14:textId="3AA5B08C" w:rsidR="002C2594" w:rsidRDefault="002C2594" w:rsidP="002C2594">
            <w:r>
              <w:t>хипогликемия</w:t>
            </w:r>
          </w:p>
        </w:tc>
        <w:tc>
          <w:tcPr>
            <w:tcW w:w="1495" w:type="dxa"/>
          </w:tcPr>
          <w:p w14:paraId="6D66D420" w14:textId="77777777" w:rsidR="002C2594" w:rsidRDefault="002C2594" w:rsidP="002C2594"/>
        </w:tc>
      </w:tr>
      <w:tr w:rsidR="002C2594" w14:paraId="283A8F56" w14:textId="77777777" w:rsidTr="007338C6">
        <w:tc>
          <w:tcPr>
            <w:tcW w:w="1644" w:type="dxa"/>
          </w:tcPr>
          <w:p w14:paraId="10B26D97" w14:textId="0172BB09" w:rsidR="002C2594" w:rsidRDefault="002C2594" w:rsidP="002C2594">
            <w:r>
              <w:rPr>
                <w:i/>
                <w:iCs/>
              </w:rPr>
              <w:t>Психични нарушения</w:t>
            </w:r>
          </w:p>
        </w:tc>
        <w:tc>
          <w:tcPr>
            <w:tcW w:w="1398" w:type="dxa"/>
          </w:tcPr>
          <w:p w14:paraId="2822FF3E" w14:textId="77777777" w:rsidR="002C2594" w:rsidRDefault="002C2594" w:rsidP="002C2594"/>
        </w:tc>
        <w:tc>
          <w:tcPr>
            <w:tcW w:w="1463" w:type="dxa"/>
            <w:vAlign w:val="bottom"/>
          </w:tcPr>
          <w:p w14:paraId="61A6A8A4" w14:textId="297E0962" w:rsidR="002C2594" w:rsidRDefault="002C2594" w:rsidP="002C2594">
            <w:r>
              <w:t>промени в настроение</w:t>
            </w:r>
            <w:r>
              <w:softHyphen/>
              <w:t>то, разстройст</w:t>
            </w:r>
            <w:r>
              <w:softHyphen/>
              <w:t>во на съня, халюцина</w:t>
            </w:r>
            <w:r>
              <w:softHyphen/>
              <w:t>ции</w:t>
            </w:r>
          </w:p>
        </w:tc>
        <w:tc>
          <w:tcPr>
            <w:tcW w:w="1657" w:type="dxa"/>
          </w:tcPr>
          <w:p w14:paraId="633AC885" w14:textId="77777777" w:rsidR="002C2594" w:rsidRDefault="002C2594" w:rsidP="002C2594">
            <w:r>
              <w:t>психично</w:t>
            </w:r>
          </w:p>
          <w:p w14:paraId="51A0817B" w14:textId="612B8C70" w:rsidR="002C2594" w:rsidRDefault="002C2594" w:rsidP="002C2594">
            <w:r>
              <w:t>объркване</w:t>
            </w:r>
          </w:p>
        </w:tc>
        <w:tc>
          <w:tcPr>
            <w:tcW w:w="1919" w:type="dxa"/>
          </w:tcPr>
          <w:p w14:paraId="159426B9" w14:textId="77777777" w:rsidR="002C2594" w:rsidRDefault="002C2594" w:rsidP="002C2594"/>
        </w:tc>
        <w:tc>
          <w:tcPr>
            <w:tcW w:w="1495" w:type="dxa"/>
          </w:tcPr>
          <w:p w14:paraId="6F9E5548" w14:textId="5EB79F6B" w:rsidR="002C2594" w:rsidRDefault="002C2594" w:rsidP="002C2594">
            <w:r>
              <w:t>депресивен симптом</w:t>
            </w:r>
          </w:p>
        </w:tc>
      </w:tr>
      <w:tr w:rsidR="002C2594" w14:paraId="7DCFBEDD" w14:textId="77777777" w:rsidTr="007338C6">
        <w:tc>
          <w:tcPr>
            <w:tcW w:w="1644" w:type="dxa"/>
            <w:vAlign w:val="center"/>
          </w:tcPr>
          <w:p w14:paraId="6999AA89" w14:textId="456BB9F1" w:rsidR="002C2594" w:rsidRDefault="002C2594" w:rsidP="002C2594">
            <w:r>
              <w:rPr>
                <w:i/>
                <w:iCs/>
              </w:rPr>
              <w:t>Нарушения на нервната система</w:t>
            </w:r>
          </w:p>
        </w:tc>
        <w:tc>
          <w:tcPr>
            <w:tcW w:w="1398" w:type="dxa"/>
            <w:vAlign w:val="center"/>
          </w:tcPr>
          <w:p w14:paraId="473030DF" w14:textId="50C925DF" w:rsidR="002C2594" w:rsidRDefault="002C2594" w:rsidP="002C2594">
            <w:r>
              <w:t>замаяност, главоболие</w:t>
            </w:r>
          </w:p>
        </w:tc>
        <w:tc>
          <w:tcPr>
            <w:tcW w:w="1463" w:type="dxa"/>
            <w:vAlign w:val="bottom"/>
          </w:tcPr>
          <w:p w14:paraId="1ECFB275" w14:textId="4FBEB540" w:rsidR="002C2594" w:rsidRDefault="002C2594" w:rsidP="002C2594">
            <w:r>
              <w:t>парестезии, вертиго, нарушения във вкуса</w:t>
            </w:r>
          </w:p>
        </w:tc>
        <w:tc>
          <w:tcPr>
            <w:tcW w:w="1657" w:type="dxa"/>
            <w:vAlign w:val="center"/>
          </w:tcPr>
          <w:p w14:paraId="20FDE502" w14:textId="623C3EE6" w:rsidR="002C2594" w:rsidRDefault="002C2594" w:rsidP="002C2594">
            <w:r>
              <w:t>паросмия (обонятелни нарушения)</w:t>
            </w:r>
          </w:p>
        </w:tc>
        <w:tc>
          <w:tcPr>
            <w:tcW w:w="1919" w:type="dxa"/>
          </w:tcPr>
          <w:p w14:paraId="47474189" w14:textId="77777777" w:rsidR="002C2594" w:rsidRDefault="002C2594" w:rsidP="002C2594"/>
        </w:tc>
        <w:tc>
          <w:tcPr>
            <w:tcW w:w="1495" w:type="dxa"/>
          </w:tcPr>
          <w:p w14:paraId="13AA0D5F" w14:textId="3C45F7EA" w:rsidR="002C2594" w:rsidRDefault="002C2594" w:rsidP="002C2594">
            <w:r>
              <w:t>синкоп</w:t>
            </w:r>
          </w:p>
        </w:tc>
      </w:tr>
      <w:tr w:rsidR="002C2594" w14:paraId="61934A68" w14:textId="77777777" w:rsidTr="007338C6">
        <w:tc>
          <w:tcPr>
            <w:tcW w:w="1644" w:type="dxa"/>
          </w:tcPr>
          <w:p w14:paraId="25DA1DD2" w14:textId="6344973C" w:rsidR="002C2594" w:rsidRDefault="002C2594" w:rsidP="002C2594">
            <w:r>
              <w:rPr>
                <w:i/>
                <w:iCs/>
              </w:rPr>
              <w:t>Сърдечни нарушения</w:t>
            </w:r>
          </w:p>
        </w:tc>
        <w:tc>
          <w:tcPr>
            <w:tcW w:w="1398" w:type="dxa"/>
          </w:tcPr>
          <w:p w14:paraId="3BB6CCBE" w14:textId="77777777" w:rsidR="002C2594" w:rsidRDefault="002C2594" w:rsidP="002C2594"/>
        </w:tc>
        <w:tc>
          <w:tcPr>
            <w:tcW w:w="1463" w:type="dxa"/>
            <w:vAlign w:val="bottom"/>
          </w:tcPr>
          <w:p w14:paraId="6ED96B7D" w14:textId="43350564" w:rsidR="002C2594" w:rsidRPr="002C2594" w:rsidRDefault="002C2594" w:rsidP="002C2594">
            <w:pPr>
              <w:rPr>
                <w:rFonts w:ascii="Times New Roman" w:eastAsia="Times New Roman" w:hAnsi="Times New Roman" w:cs="Times New Roman"/>
                <w:sz w:val="24"/>
                <w:szCs w:val="24"/>
              </w:rPr>
            </w:pPr>
            <w:r>
              <w:t xml:space="preserve">миокарден инфаркт, </w:t>
            </w:r>
            <w:r>
              <w:lastRenderedPageBreak/>
              <w:t>вероятно вторичен на изразена хипотония</w:t>
            </w:r>
            <w:r w:rsidRPr="002C2594">
              <w:rPr>
                <w:lang w:val="ru-RU"/>
              </w:rPr>
              <w:t xml:space="preserve"> </w:t>
            </w:r>
            <w:r w:rsidRPr="002C2594">
              <w:rPr>
                <w:lang w:eastAsia="bg-BG"/>
              </w:rPr>
              <w:t>при високо рискови пациенти (вж. точка 4.4), палпитации, тахикардия</w:t>
            </w:r>
          </w:p>
        </w:tc>
        <w:tc>
          <w:tcPr>
            <w:tcW w:w="1657" w:type="dxa"/>
          </w:tcPr>
          <w:p w14:paraId="25FD8BC7" w14:textId="77777777" w:rsidR="002C2594" w:rsidRDefault="002C2594" w:rsidP="002C2594"/>
        </w:tc>
        <w:tc>
          <w:tcPr>
            <w:tcW w:w="1919" w:type="dxa"/>
            <w:vAlign w:val="bottom"/>
          </w:tcPr>
          <w:p w14:paraId="0AE82464" w14:textId="77777777" w:rsidR="002C2594" w:rsidRDefault="002C2594" w:rsidP="002C2594"/>
        </w:tc>
        <w:tc>
          <w:tcPr>
            <w:tcW w:w="1495" w:type="dxa"/>
            <w:vAlign w:val="bottom"/>
          </w:tcPr>
          <w:p w14:paraId="06C8D4AB" w14:textId="77777777" w:rsidR="002C2594" w:rsidRDefault="002C2594" w:rsidP="002C2594"/>
        </w:tc>
      </w:tr>
      <w:tr w:rsidR="002C2594" w14:paraId="740E1B61" w14:textId="77777777" w:rsidTr="007338C6">
        <w:tc>
          <w:tcPr>
            <w:tcW w:w="1644" w:type="dxa"/>
          </w:tcPr>
          <w:p w14:paraId="6A9A7103" w14:textId="4560C431" w:rsidR="002C2594" w:rsidRDefault="002C2594" w:rsidP="002C2594">
            <w:r>
              <w:rPr>
                <w:i/>
                <w:iCs/>
              </w:rPr>
              <w:t>Съдови нарушения</w:t>
            </w:r>
          </w:p>
        </w:tc>
        <w:tc>
          <w:tcPr>
            <w:tcW w:w="1398" w:type="dxa"/>
          </w:tcPr>
          <w:p w14:paraId="2C53547C" w14:textId="77777777" w:rsidR="002C2594" w:rsidRDefault="002C2594" w:rsidP="002C2594">
            <w:r>
              <w:t>ортостатич- ни ефекти (вкл.</w:t>
            </w:r>
          </w:p>
          <w:p w14:paraId="41EE7C3F" w14:textId="13DCD3DE" w:rsidR="002C2594" w:rsidRDefault="002C2594" w:rsidP="002C2594">
            <w:r>
              <w:t>хипотония)</w:t>
            </w:r>
          </w:p>
        </w:tc>
        <w:tc>
          <w:tcPr>
            <w:tcW w:w="1463" w:type="dxa"/>
            <w:vAlign w:val="bottom"/>
          </w:tcPr>
          <w:p w14:paraId="752155E6" w14:textId="19B8B5AE" w:rsidR="002C2594" w:rsidRDefault="002C2594" w:rsidP="002C2594">
            <w:r>
              <w:t>мозъчно- съдов инцидент, вероятно вторичен на изразена хипотония при високо рискови пациенти (вж. точка 4.4), феномен на Рейно.</w:t>
            </w:r>
          </w:p>
        </w:tc>
        <w:tc>
          <w:tcPr>
            <w:tcW w:w="1657" w:type="dxa"/>
          </w:tcPr>
          <w:p w14:paraId="1AE950AB" w14:textId="77777777" w:rsidR="002C2594" w:rsidRDefault="002C2594" w:rsidP="002C2594"/>
        </w:tc>
        <w:tc>
          <w:tcPr>
            <w:tcW w:w="1919" w:type="dxa"/>
          </w:tcPr>
          <w:p w14:paraId="03C86A32" w14:textId="77777777" w:rsidR="002C2594" w:rsidRDefault="002C2594" w:rsidP="002C2594"/>
        </w:tc>
        <w:tc>
          <w:tcPr>
            <w:tcW w:w="1495" w:type="dxa"/>
          </w:tcPr>
          <w:p w14:paraId="3A9EAAE0" w14:textId="77777777" w:rsidR="002C2594" w:rsidRDefault="002C2594" w:rsidP="002C2594"/>
        </w:tc>
      </w:tr>
      <w:tr w:rsidR="002C2594" w14:paraId="4F41821C" w14:textId="77777777" w:rsidTr="007338C6">
        <w:tc>
          <w:tcPr>
            <w:tcW w:w="1644" w:type="dxa"/>
            <w:vAlign w:val="center"/>
          </w:tcPr>
          <w:p w14:paraId="5C3D476E" w14:textId="5E1E995E" w:rsidR="002C2594" w:rsidRDefault="002C2594" w:rsidP="002C2594">
            <w:r>
              <w:rPr>
                <w:i/>
                <w:iCs/>
              </w:rPr>
              <w:t>Респиратор</w:t>
            </w:r>
            <w:r>
              <w:rPr>
                <w:i/>
                <w:iCs/>
              </w:rPr>
              <w:softHyphen/>
              <w:t>ни, гръдни и медиастинал- ни нарушения</w:t>
            </w:r>
          </w:p>
        </w:tc>
        <w:tc>
          <w:tcPr>
            <w:tcW w:w="1398" w:type="dxa"/>
          </w:tcPr>
          <w:p w14:paraId="35EA3615" w14:textId="56EE9E16" w:rsidR="002C2594" w:rsidRDefault="002C2594" w:rsidP="002C2594">
            <w:r>
              <w:t>кашлица</w:t>
            </w:r>
          </w:p>
        </w:tc>
        <w:tc>
          <w:tcPr>
            <w:tcW w:w="1463" w:type="dxa"/>
          </w:tcPr>
          <w:p w14:paraId="7529856A" w14:textId="1B33A443" w:rsidR="002C2594" w:rsidRDefault="002C2594" w:rsidP="002C2594">
            <w:r>
              <w:t>ринит</w:t>
            </w:r>
          </w:p>
        </w:tc>
        <w:tc>
          <w:tcPr>
            <w:tcW w:w="1657" w:type="dxa"/>
          </w:tcPr>
          <w:p w14:paraId="54F01FC7" w14:textId="77777777" w:rsidR="002C2594" w:rsidRDefault="002C2594" w:rsidP="002C2594"/>
        </w:tc>
        <w:tc>
          <w:tcPr>
            <w:tcW w:w="1919" w:type="dxa"/>
            <w:vAlign w:val="bottom"/>
          </w:tcPr>
          <w:p w14:paraId="1B000144" w14:textId="273151E4" w:rsidR="002C2594" w:rsidRDefault="002C2594" w:rsidP="002C2594">
            <w:r>
              <w:t>бронхоспазъм, синузит, алергичен алвеолит, еозинофилна пневмония</w:t>
            </w:r>
          </w:p>
        </w:tc>
        <w:tc>
          <w:tcPr>
            <w:tcW w:w="1495" w:type="dxa"/>
          </w:tcPr>
          <w:p w14:paraId="6A3D5DB9" w14:textId="77777777" w:rsidR="002C2594" w:rsidRDefault="002C2594" w:rsidP="002C2594"/>
        </w:tc>
      </w:tr>
      <w:tr w:rsidR="002C2594" w14:paraId="5918DD16" w14:textId="77777777" w:rsidTr="007338C6">
        <w:tc>
          <w:tcPr>
            <w:tcW w:w="1644" w:type="dxa"/>
          </w:tcPr>
          <w:p w14:paraId="1F294856" w14:textId="2A1F7078" w:rsidR="002C2594" w:rsidRDefault="002C2594" w:rsidP="002C2594">
            <w:r>
              <w:rPr>
                <w:i/>
                <w:iCs/>
              </w:rPr>
              <w:t>Стомашно- чревни нарушения</w:t>
            </w:r>
          </w:p>
        </w:tc>
        <w:tc>
          <w:tcPr>
            <w:tcW w:w="1398" w:type="dxa"/>
          </w:tcPr>
          <w:p w14:paraId="0DC8CEC2" w14:textId="132A80DD" w:rsidR="002C2594" w:rsidRDefault="002C2594" w:rsidP="002C2594">
            <w:r>
              <w:t>диария, повръщане</w:t>
            </w:r>
          </w:p>
        </w:tc>
        <w:tc>
          <w:tcPr>
            <w:tcW w:w="1463" w:type="dxa"/>
            <w:vAlign w:val="bottom"/>
          </w:tcPr>
          <w:p w14:paraId="6BB08ED6" w14:textId="609E6CE2" w:rsidR="002C2594" w:rsidRDefault="002C2594" w:rsidP="002C2594">
            <w:r>
              <w:t>гадене, коремна болка, нарушено храносмила</w:t>
            </w:r>
            <w:r>
              <w:softHyphen/>
              <w:t>не</w:t>
            </w:r>
          </w:p>
        </w:tc>
        <w:tc>
          <w:tcPr>
            <w:tcW w:w="1657" w:type="dxa"/>
          </w:tcPr>
          <w:p w14:paraId="6F64A7F1" w14:textId="38C408B2" w:rsidR="002C2594" w:rsidRDefault="002C2594" w:rsidP="002C2594">
            <w:r>
              <w:t>сухотав устата</w:t>
            </w:r>
          </w:p>
        </w:tc>
        <w:tc>
          <w:tcPr>
            <w:tcW w:w="1919" w:type="dxa"/>
          </w:tcPr>
          <w:p w14:paraId="038BC0AA" w14:textId="538E7266" w:rsidR="002C2594" w:rsidRDefault="002C2594" w:rsidP="002C2594">
            <w:r>
              <w:t>панкреатит, чревен ангиоедем</w:t>
            </w:r>
          </w:p>
        </w:tc>
        <w:tc>
          <w:tcPr>
            <w:tcW w:w="1495" w:type="dxa"/>
          </w:tcPr>
          <w:p w14:paraId="236AF3D4" w14:textId="77777777" w:rsidR="002C2594" w:rsidRDefault="002C2594" w:rsidP="002C2594"/>
        </w:tc>
      </w:tr>
      <w:tr w:rsidR="002C2594" w14:paraId="0A3F955F" w14:textId="77777777" w:rsidTr="007338C6">
        <w:tc>
          <w:tcPr>
            <w:tcW w:w="1644" w:type="dxa"/>
          </w:tcPr>
          <w:p w14:paraId="29E6835D" w14:textId="1AC795D0" w:rsidR="002C2594" w:rsidRDefault="002C2594" w:rsidP="002C2594">
            <w:r>
              <w:rPr>
                <w:i/>
                <w:iCs/>
              </w:rPr>
              <w:t>Хепатоби- лиарни нарушения</w:t>
            </w:r>
          </w:p>
        </w:tc>
        <w:tc>
          <w:tcPr>
            <w:tcW w:w="1398" w:type="dxa"/>
          </w:tcPr>
          <w:p w14:paraId="0B4A4F9E" w14:textId="77777777" w:rsidR="002C2594" w:rsidRDefault="002C2594" w:rsidP="002C2594"/>
        </w:tc>
        <w:tc>
          <w:tcPr>
            <w:tcW w:w="1463" w:type="dxa"/>
          </w:tcPr>
          <w:p w14:paraId="3CDD2928" w14:textId="77777777" w:rsidR="002C2594" w:rsidRDefault="002C2594" w:rsidP="002C2594"/>
        </w:tc>
        <w:tc>
          <w:tcPr>
            <w:tcW w:w="1657" w:type="dxa"/>
          </w:tcPr>
          <w:p w14:paraId="0B80A552" w14:textId="77777777" w:rsidR="002C2594" w:rsidRDefault="002C2594" w:rsidP="002C2594"/>
        </w:tc>
        <w:tc>
          <w:tcPr>
            <w:tcW w:w="1919" w:type="dxa"/>
            <w:vAlign w:val="bottom"/>
          </w:tcPr>
          <w:p w14:paraId="615300B2" w14:textId="75CB0F78" w:rsidR="002C2594" w:rsidRDefault="002C2594" w:rsidP="002C2594">
            <w:r>
              <w:t xml:space="preserve">хепатит, протичащ с цитолиза или с холестаза, жълтеница, чернодробна </w:t>
            </w:r>
            <w:r>
              <w:lastRenderedPageBreak/>
              <w:t>недостатъчност (вж. точка 4.4).</w:t>
            </w:r>
          </w:p>
        </w:tc>
        <w:tc>
          <w:tcPr>
            <w:tcW w:w="1495" w:type="dxa"/>
          </w:tcPr>
          <w:p w14:paraId="484E9890" w14:textId="77777777" w:rsidR="002C2594" w:rsidRDefault="002C2594" w:rsidP="002C2594"/>
        </w:tc>
      </w:tr>
      <w:tr w:rsidR="002C2594" w14:paraId="7A3788D4" w14:textId="77777777" w:rsidTr="007338C6">
        <w:tc>
          <w:tcPr>
            <w:tcW w:w="1644" w:type="dxa"/>
          </w:tcPr>
          <w:p w14:paraId="445214CF" w14:textId="0A1D76AB" w:rsidR="002C2594" w:rsidRDefault="002C2594" w:rsidP="002C2594">
            <w:r>
              <w:rPr>
                <w:i/>
                <w:iCs/>
              </w:rPr>
              <w:t>Нарушения на кожата и подкожната тъкан*</w:t>
            </w:r>
          </w:p>
        </w:tc>
        <w:tc>
          <w:tcPr>
            <w:tcW w:w="1398" w:type="dxa"/>
          </w:tcPr>
          <w:p w14:paraId="1BF524FD" w14:textId="77777777" w:rsidR="002C2594" w:rsidRDefault="002C2594" w:rsidP="002C2594"/>
        </w:tc>
        <w:tc>
          <w:tcPr>
            <w:tcW w:w="1463" w:type="dxa"/>
          </w:tcPr>
          <w:p w14:paraId="2698C4F2" w14:textId="275E2C34" w:rsidR="002C2594" w:rsidRDefault="002C2594" w:rsidP="002C2594">
            <w:r>
              <w:t>обрив, прурит</w:t>
            </w:r>
          </w:p>
        </w:tc>
        <w:tc>
          <w:tcPr>
            <w:tcW w:w="1657" w:type="dxa"/>
          </w:tcPr>
          <w:p w14:paraId="62D29590" w14:textId="77777777" w:rsidR="002C2594" w:rsidRDefault="002C2594" w:rsidP="002C2594">
            <w:r>
              <w:t>уртикария, алопеция, псориазис, свръхчувстви- телност/ангио- невротичен оток:</w:t>
            </w:r>
          </w:p>
          <w:p w14:paraId="4DC832E2" w14:textId="2E230494" w:rsidR="002C2594" w:rsidRPr="002C2594" w:rsidRDefault="002C2594" w:rsidP="002C2594">
            <w:pPr>
              <w:rPr>
                <w:lang w:val="ru-RU"/>
              </w:rPr>
            </w:pPr>
            <w:r>
              <w:t>ангионевроти- чен оток на лицето, крайниците,</w:t>
            </w:r>
            <w:r w:rsidRPr="002C2594">
              <w:rPr>
                <w:lang w:val="ru-RU"/>
              </w:rPr>
              <w:t xml:space="preserve"> </w:t>
            </w:r>
            <w:r>
              <w:t>устните, езика, глотиса и/или ларинкса (вж. точка 4.4)</w:t>
            </w:r>
          </w:p>
        </w:tc>
        <w:tc>
          <w:tcPr>
            <w:tcW w:w="1919" w:type="dxa"/>
          </w:tcPr>
          <w:p w14:paraId="1454E012" w14:textId="51682CFD" w:rsidR="002C2594" w:rsidRDefault="002C2594" w:rsidP="002C2594">
            <w:r>
              <w:t>изпотяване, пемфигус, токсична епидермална некролиза, синдром на Стивънс-Джонсън еритема</w:t>
            </w:r>
            <w:r>
              <w:rPr>
                <w:i/>
                <w:iCs/>
              </w:rPr>
              <w:t xml:space="preserve"> </w:t>
            </w:r>
            <w:r>
              <w:t>мултиформе кожна псевдолимфома</w:t>
            </w:r>
          </w:p>
        </w:tc>
        <w:tc>
          <w:tcPr>
            <w:tcW w:w="1495" w:type="dxa"/>
            <w:textDirection w:val="tbRl"/>
          </w:tcPr>
          <w:p w14:paraId="1724CF75" w14:textId="77777777" w:rsidR="002C2594" w:rsidRDefault="002C2594" w:rsidP="002C2594"/>
        </w:tc>
      </w:tr>
      <w:tr w:rsidR="007338C6" w14:paraId="1CC20A73" w14:textId="77777777" w:rsidTr="007338C6">
        <w:tc>
          <w:tcPr>
            <w:tcW w:w="1644" w:type="dxa"/>
          </w:tcPr>
          <w:p w14:paraId="3F89183D" w14:textId="38E1DC98" w:rsidR="007338C6" w:rsidRDefault="007338C6" w:rsidP="007338C6">
            <w:r>
              <w:rPr>
                <w:i/>
                <w:iCs/>
              </w:rPr>
              <w:t>Нарушения на бъбреците и пикочните пътища</w:t>
            </w:r>
          </w:p>
        </w:tc>
        <w:tc>
          <w:tcPr>
            <w:tcW w:w="1398" w:type="dxa"/>
          </w:tcPr>
          <w:p w14:paraId="0973B34E" w14:textId="4BD88869" w:rsidR="007338C6" w:rsidRDefault="007338C6" w:rsidP="007338C6">
            <w:r>
              <w:t>бъбречна дисфункция</w:t>
            </w:r>
          </w:p>
        </w:tc>
        <w:tc>
          <w:tcPr>
            <w:tcW w:w="1463" w:type="dxa"/>
          </w:tcPr>
          <w:p w14:paraId="36B27454" w14:textId="77777777" w:rsidR="007338C6" w:rsidRDefault="007338C6" w:rsidP="007338C6"/>
        </w:tc>
        <w:tc>
          <w:tcPr>
            <w:tcW w:w="1657" w:type="dxa"/>
          </w:tcPr>
          <w:p w14:paraId="77258ECF" w14:textId="4CF61224" w:rsidR="007338C6" w:rsidRDefault="007338C6" w:rsidP="007338C6">
            <w:r>
              <w:t>уремия, остра бъбречна недостатъч</w:t>
            </w:r>
            <w:r>
              <w:softHyphen/>
              <w:t>ност</w:t>
            </w:r>
          </w:p>
        </w:tc>
        <w:tc>
          <w:tcPr>
            <w:tcW w:w="1919" w:type="dxa"/>
          </w:tcPr>
          <w:p w14:paraId="76E4824C" w14:textId="1722BB6F" w:rsidR="007338C6" w:rsidRDefault="007338C6" w:rsidP="007338C6">
            <w:r>
              <w:t>олигурия/анурия</w:t>
            </w:r>
          </w:p>
        </w:tc>
        <w:tc>
          <w:tcPr>
            <w:tcW w:w="1495" w:type="dxa"/>
          </w:tcPr>
          <w:p w14:paraId="37679B6A" w14:textId="77777777" w:rsidR="007338C6" w:rsidRDefault="007338C6" w:rsidP="007338C6"/>
        </w:tc>
      </w:tr>
      <w:tr w:rsidR="007338C6" w14:paraId="001F77A2" w14:textId="77777777" w:rsidTr="007338C6">
        <w:tc>
          <w:tcPr>
            <w:tcW w:w="1644" w:type="dxa"/>
          </w:tcPr>
          <w:p w14:paraId="5B17A88E" w14:textId="2A7D4853" w:rsidR="007338C6" w:rsidRDefault="007338C6" w:rsidP="007338C6">
            <w:r>
              <w:rPr>
                <w:i/>
                <w:iCs/>
              </w:rPr>
              <w:t>Нарушения на възпроизведи телната система и гърдата</w:t>
            </w:r>
          </w:p>
        </w:tc>
        <w:tc>
          <w:tcPr>
            <w:tcW w:w="1398" w:type="dxa"/>
          </w:tcPr>
          <w:p w14:paraId="35AA3411" w14:textId="77777777" w:rsidR="007338C6" w:rsidRDefault="007338C6" w:rsidP="007338C6"/>
        </w:tc>
        <w:tc>
          <w:tcPr>
            <w:tcW w:w="1463" w:type="dxa"/>
          </w:tcPr>
          <w:p w14:paraId="5D9C39E7" w14:textId="234C5811" w:rsidR="007338C6" w:rsidRDefault="007338C6" w:rsidP="007338C6">
            <w:r>
              <w:t>импотент</w:t>
            </w:r>
            <w:r>
              <w:softHyphen/>
              <w:t>ност</w:t>
            </w:r>
          </w:p>
        </w:tc>
        <w:tc>
          <w:tcPr>
            <w:tcW w:w="1657" w:type="dxa"/>
          </w:tcPr>
          <w:p w14:paraId="4D6648EE" w14:textId="42DB5BB1" w:rsidR="007338C6" w:rsidRDefault="007338C6" w:rsidP="007338C6">
            <w:r>
              <w:t>гинекомастия</w:t>
            </w:r>
          </w:p>
        </w:tc>
        <w:tc>
          <w:tcPr>
            <w:tcW w:w="1919" w:type="dxa"/>
          </w:tcPr>
          <w:p w14:paraId="6808AF85" w14:textId="77777777" w:rsidR="007338C6" w:rsidRDefault="007338C6" w:rsidP="007338C6"/>
        </w:tc>
        <w:tc>
          <w:tcPr>
            <w:tcW w:w="1495" w:type="dxa"/>
          </w:tcPr>
          <w:p w14:paraId="30427216" w14:textId="77777777" w:rsidR="007338C6" w:rsidRDefault="007338C6" w:rsidP="007338C6"/>
        </w:tc>
      </w:tr>
      <w:tr w:rsidR="007338C6" w14:paraId="6546ED6F" w14:textId="77777777" w:rsidTr="007338C6">
        <w:tc>
          <w:tcPr>
            <w:tcW w:w="1644" w:type="dxa"/>
          </w:tcPr>
          <w:p w14:paraId="523D39D2" w14:textId="74597522" w:rsidR="007338C6" w:rsidRDefault="007338C6" w:rsidP="007338C6">
            <w:r>
              <w:rPr>
                <w:i/>
                <w:iCs/>
              </w:rPr>
              <w:t>Общи нарушения и ефекти на мястото на приложение</w:t>
            </w:r>
          </w:p>
        </w:tc>
        <w:tc>
          <w:tcPr>
            <w:tcW w:w="1398" w:type="dxa"/>
          </w:tcPr>
          <w:p w14:paraId="11E0216F" w14:textId="77777777" w:rsidR="007338C6" w:rsidRDefault="007338C6" w:rsidP="007338C6"/>
        </w:tc>
        <w:tc>
          <w:tcPr>
            <w:tcW w:w="1463" w:type="dxa"/>
          </w:tcPr>
          <w:p w14:paraId="5E6F4FA7" w14:textId="26EF7F68" w:rsidR="007338C6" w:rsidRDefault="007338C6" w:rsidP="007338C6">
            <w:r>
              <w:t>умора, астения</w:t>
            </w:r>
          </w:p>
        </w:tc>
        <w:tc>
          <w:tcPr>
            <w:tcW w:w="1657" w:type="dxa"/>
          </w:tcPr>
          <w:p w14:paraId="6F4F9993" w14:textId="77777777" w:rsidR="007338C6" w:rsidRDefault="007338C6" w:rsidP="007338C6"/>
        </w:tc>
        <w:tc>
          <w:tcPr>
            <w:tcW w:w="1919" w:type="dxa"/>
          </w:tcPr>
          <w:p w14:paraId="5BC3896C" w14:textId="77777777" w:rsidR="007338C6" w:rsidRDefault="007338C6" w:rsidP="007338C6"/>
        </w:tc>
        <w:tc>
          <w:tcPr>
            <w:tcW w:w="1495" w:type="dxa"/>
          </w:tcPr>
          <w:p w14:paraId="777BD929" w14:textId="77777777" w:rsidR="007338C6" w:rsidRDefault="007338C6" w:rsidP="007338C6"/>
        </w:tc>
      </w:tr>
      <w:tr w:rsidR="007338C6" w14:paraId="13826F81" w14:textId="77777777" w:rsidTr="007338C6">
        <w:tc>
          <w:tcPr>
            <w:tcW w:w="1644" w:type="dxa"/>
          </w:tcPr>
          <w:p w14:paraId="6D0F98C2" w14:textId="4CF77B8B" w:rsidR="007338C6" w:rsidRDefault="007338C6" w:rsidP="007338C6">
            <w:r>
              <w:rPr>
                <w:i/>
                <w:iCs/>
              </w:rPr>
              <w:t>Изследвания</w:t>
            </w:r>
          </w:p>
        </w:tc>
        <w:tc>
          <w:tcPr>
            <w:tcW w:w="1398" w:type="dxa"/>
          </w:tcPr>
          <w:p w14:paraId="0A6437BA" w14:textId="77777777" w:rsidR="007338C6" w:rsidRDefault="007338C6" w:rsidP="007338C6"/>
        </w:tc>
        <w:tc>
          <w:tcPr>
            <w:tcW w:w="1463" w:type="dxa"/>
          </w:tcPr>
          <w:p w14:paraId="41BA87C1" w14:textId="4D4B5744" w:rsidR="007338C6" w:rsidRDefault="007338C6" w:rsidP="007338C6">
            <w:r>
              <w:t>повишаване на кръвната урея, повишаване на серумния креатинин, повишаван</w:t>
            </w:r>
            <w:r>
              <w:lastRenderedPageBreak/>
              <w:t>е на чернодроб</w:t>
            </w:r>
            <w:r>
              <w:softHyphen/>
              <w:t>ните ензими, хипер кал не</w:t>
            </w:r>
            <w:r>
              <w:softHyphen/>
              <w:t>мия</w:t>
            </w:r>
          </w:p>
        </w:tc>
        <w:tc>
          <w:tcPr>
            <w:tcW w:w="1657" w:type="dxa"/>
          </w:tcPr>
          <w:p w14:paraId="2BF6BEE5" w14:textId="5E5FA863" w:rsidR="007338C6" w:rsidRDefault="007338C6" w:rsidP="007338C6">
            <w:r>
              <w:lastRenderedPageBreak/>
              <w:t>повишаване на серумния билирубин, хипонатрие- мия</w:t>
            </w:r>
          </w:p>
        </w:tc>
        <w:tc>
          <w:tcPr>
            <w:tcW w:w="1919" w:type="dxa"/>
          </w:tcPr>
          <w:p w14:paraId="3406317B" w14:textId="77777777" w:rsidR="007338C6" w:rsidRDefault="007338C6" w:rsidP="007338C6"/>
        </w:tc>
        <w:tc>
          <w:tcPr>
            <w:tcW w:w="1495" w:type="dxa"/>
          </w:tcPr>
          <w:p w14:paraId="6CA510CD" w14:textId="77777777" w:rsidR="007338C6" w:rsidRDefault="007338C6" w:rsidP="007338C6"/>
        </w:tc>
      </w:tr>
    </w:tbl>
    <w:p w14:paraId="4F76C0F8" w14:textId="77777777" w:rsidR="007338C6" w:rsidRPr="007338C6" w:rsidRDefault="007338C6" w:rsidP="007338C6">
      <w:pPr>
        <w:spacing w:line="240" w:lineRule="auto"/>
        <w:rPr>
          <w:rFonts w:eastAsia="Times New Roman" w:cs="Arial"/>
        </w:rPr>
      </w:pPr>
      <w:r w:rsidRPr="007338C6">
        <w:rPr>
          <w:rFonts w:eastAsia="Times New Roman" w:cs="Arial"/>
          <w:color w:val="000000"/>
          <w:lang w:eastAsia="bg-BG"/>
        </w:rPr>
        <w:t xml:space="preserve">* Съобщавани са случаи на симптомокомплекс, който може да включва един или повече от следващите симптоми: повишена температура, васкулит, миалгия, артралгия/артрит, позитивни антинуклеарни антитела </w:t>
      </w:r>
      <w:r w:rsidRPr="007338C6">
        <w:rPr>
          <w:rFonts w:eastAsia="Times New Roman" w:cs="Arial"/>
          <w:color w:val="000000"/>
          <w:lang w:val="ru-RU"/>
        </w:rPr>
        <w:t>(</w:t>
      </w:r>
      <w:r w:rsidRPr="007338C6">
        <w:rPr>
          <w:rFonts w:eastAsia="Times New Roman" w:cs="Arial"/>
          <w:color w:val="000000"/>
          <w:lang w:val="en-US"/>
        </w:rPr>
        <w:t>ANA</w:t>
      </w:r>
      <w:r w:rsidRPr="007338C6">
        <w:rPr>
          <w:rFonts w:eastAsia="Times New Roman" w:cs="Arial"/>
          <w:color w:val="000000"/>
          <w:lang w:val="ru-RU"/>
        </w:rPr>
        <w:t xml:space="preserve">), </w:t>
      </w:r>
      <w:r w:rsidRPr="007338C6">
        <w:rPr>
          <w:rFonts w:eastAsia="Times New Roman" w:cs="Arial"/>
          <w:color w:val="000000"/>
          <w:lang w:eastAsia="bg-BG"/>
        </w:rPr>
        <w:t>ускорена СУЕ, еозинофилия и левкоцигоза, обрив, фотосензитивност или други кожни прояви,</w:t>
      </w:r>
    </w:p>
    <w:p w14:paraId="3784742B" w14:textId="77777777" w:rsidR="007338C6" w:rsidRPr="007338C6" w:rsidRDefault="007338C6" w:rsidP="007338C6">
      <w:pPr>
        <w:spacing w:line="240" w:lineRule="auto"/>
        <w:rPr>
          <w:rFonts w:eastAsia="Times New Roman" w:cs="Arial"/>
          <w:color w:val="000000"/>
          <w:u w:val="single"/>
          <w:lang w:eastAsia="bg-BG"/>
        </w:rPr>
      </w:pPr>
    </w:p>
    <w:p w14:paraId="19D5CE6D" w14:textId="3704357B" w:rsidR="007338C6" w:rsidRPr="007338C6" w:rsidRDefault="007338C6" w:rsidP="007338C6">
      <w:pPr>
        <w:spacing w:line="240" w:lineRule="auto"/>
        <w:rPr>
          <w:rFonts w:eastAsia="Times New Roman" w:cs="Arial"/>
        </w:rPr>
      </w:pPr>
      <w:r w:rsidRPr="007338C6">
        <w:rPr>
          <w:rFonts w:eastAsia="Times New Roman" w:cs="Arial"/>
          <w:color w:val="000000"/>
          <w:u w:val="single"/>
          <w:lang w:eastAsia="bg-BG"/>
        </w:rPr>
        <w:t>Педиатрична популация</w:t>
      </w:r>
    </w:p>
    <w:p w14:paraId="3A5CE764" w14:textId="77777777" w:rsidR="007338C6" w:rsidRPr="007338C6" w:rsidRDefault="007338C6" w:rsidP="007338C6">
      <w:pPr>
        <w:spacing w:line="240" w:lineRule="auto"/>
        <w:rPr>
          <w:rFonts w:eastAsia="Times New Roman" w:cs="Arial"/>
        </w:rPr>
      </w:pPr>
      <w:r w:rsidRPr="007338C6">
        <w:rPr>
          <w:rFonts w:eastAsia="Times New Roman" w:cs="Arial"/>
          <w:color w:val="000000"/>
          <w:lang w:eastAsia="bg-BG"/>
        </w:rPr>
        <w:t>Профилът на безопасност основан на проведени клинични проучвания предполага добра поносимост на лизиноприл от хипертензивни педиатрични пациенти и е съпоставим с профила на безопасност при възрастни.</w:t>
      </w:r>
    </w:p>
    <w:p w14:paraId="3B02923F" w14:textId="77777777" w:rsidR="007338C6" w:rsidRPr="007338C6" w:rsidRDefault="007338C6" w:rsidP="007338C6">
      <w:pPr>
        <w:spacing w:line="240" w:lineRule="auto"/>
        <w:rPr>
          <w:rFonts w:eastAsia="Times New Roman" w:cs="Arial"/>
          <w:color w:val="000000"/>
          <w:u w:val="single"/>
          <w:lang w:eastAsia="bg-BG"/>
        </w:rPr>
      </w:pPr>
    </w:p>
    <w:p w14:paraId="1925BF39" w14:textId="6F697035" w:rsidR="007338C6" w:rsidRPr="007338C6" w:rsidRDefault="007338C6" w:rsidP="007338C6">
      <w:pPr>
        <w:spacing w:line="240" w:lineRule="auto"/>
        <w:rPr>
          <w:rFonts w:eastAsia="Times New Roman" w:cs="Arial"/>
        </w:rPr>
      </w:pPr>
      <w:r w:rsidRPr="007338C6">
        <w:rPr>
          <w:rFonts w:eastAsia="Times New Roman" w:cs="Arial"/>
          <w:color w:val="000000"/>
          <w:u w:val="single"/>
          <w:lang w:eastAsia="bg-BG"/>
        </w:rPr>
        <w:t>Съобщаване на подозирани нежелани реакции</w:t>
      </w:r>
    </w:p>
    <w:p w14:paraId="40EADCB2" w14:textId="6CB1516D" w:rsidR="002C2594" w:rsidRPr="007338C6" w:rsidRDefault="007338C6" w:rsidP="007338C6">
      <w:pPr>
        <w:rPr>
          <w:rFonts w:eastAsia="Times New Roman" w:cs="Arial"/>
        </w:rPr>
      </w:pPr>
      <w:r w:rsidRPr="007338C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w:t>
      </w:r>
      <w:r w:rsidRPr="007338C6">
        <w:rPr>
          <w:rFonts w:eastAsia="Times New Roman" w:cs="Arial"/>
          <w:color w:val="000000"/>
          <w:lang w:val="ru-RU"/>
        </w:rPr>
        <w:t xml:space="preserve"> №8,</w:t>
      </w:r>
      <w:r w:rsidRPr="007338C6">
        <w:rPr>
          <w:rFonts w:eastAsia="Times New Roman" w:cs="Arial"/>
          <w:color w:val="000000"/>
          <w:lang w:eastAsia="bg-BG"/>
        </w:rPr>
        <w:t xml:space="preserve"> 1303 София, тел.: +35928903417, уебсайт: </w:t>
      </w:r>
      <w:r w:rsidRPr="007338C6">
        <w:rPr>
          <w:rFonts w:eastAsia="Times New Roman" w:cs="Arial"/>
        </w:rPr>
        <w:fldChar w:fldCharType="begin"/>
      </w:r>
      <w:r w:rsidRPr="007338C6">
        <w:rPr>
          <w:rFonts w:eastAsia="Times New Roman" w:cs="Arial"/>
        </w:rPr>
        <w:instrText xml:space="preserve"> HYPERLINK "http://www.bda.bg" </w:instrText>
      </w:r>
      <w:r w:rsidRPr="007338C6">
        <w:rPr>
          <w:rFonts w:eastAsia="Times New Roman" w:cs="Arial"/>
        </w:rPr>
      </w:r>
      <w:r w:rsidRPr="007338C6">
        <w:rPr>
          <w:rFonts w:eastAsia="Times New Roman" w:cs="Arial"/>
        </w:rPr>
        <w:fldChar w:fldCharType="separate"/>
      </w:r>
      <w:r w:rsidRPr="007338C6">
        <w:rPr>
          <w:rFonts w:eastAsia="Times New Roman" w:cs="Arial"/>
          <w:color w:val="000000"/>
          <w:u w:val="single"/>
          <w:lang w:val="en-US"/>
        </w:rPr>
        <w:t>www</w:t>
      </w:r>
      <w:r w:rsidRPr="007338C6">
        <w:rPr>
          <w:rFonts w:eastAsia="Times New Roman" w:cs="Arial"/>
          <w:color w:val="000000"/>
          <w:u w:val="single"/>
          <w:lang w:val="ru-RU"/>
        </w:rPr>
        <w:t>.</w:t>
      </w:r>
      <w:proofErr w:type="spellStart"/>
      <w:r w:rsidRPr="007338C6">
        <w:rPr>
          <w:rFonts w:eastAsia="Times New Roman" w:cs="Arial"/>
          <w:color w:val="000000"/>
          <w:u w:val="single"/>
          <w:lang w:val="en-US"/>
        </w:rPr>
        <w:t>bda</w:t>
      </w:r>
      <w:proofErr w:type="spellEnd"/>
      <w:r w:rsidRPr="007338C6">
        <w:rPr>
          <w:rFonts w:eastAsia="Times New Roman" w:cs="Arial"/>
          <w:color w:val="000000"/>
          <w:u w:val="single"/>
          <w:lang w:val="ru-RU"/>
        </w:rPr>
        <w:t>.</w:t>
      </w:r>
      <w:proofErr w:type="spellStart"/>
      <w:r w:rsidRPr="007338C6">
        <w:rPr>
          <w:rFonts w:eastAsia="Times New Roman" w:cs="Arial"/>
          <w:color w:val="000000"/>
          <w:u w:val="single"/>
          <w:lang w:val="en-US"/>
        </w:rPr>
        <w:t>bg</w:t>
      </w:r>
      <w:proofErr w:type="spellEnd"/>
      <w:r w:rsidRPr="007338C6">
        <w:rPr>
          <w:rFonts w:eastAsia="Times New Roman" w:cs="Arial"/>
        </w:rPr>
        <w:fldChar w:fldCharType="end"/>
      </w:r>
    </w:p>
    <w:p w14:paraId="698DBAEE" w14:textId="77777777" w:rsidR="007338C6" w:rsidRPr="002C2594" w:rsidRDefault="007338C6" w:rsidP="007338C6"/>
    <w:p w14:paraId="5A87DBA3" w14:textId="5CDDCA01" w:rsidR="007122AD" w:rsidRDefault="002C50EE" w:rsidP="00936AD0">
      <w:pPr>
        <w:pStyle w:val="Heading2"/>
      </w:pPr>
      <w:r>
        <w:t>4.9. Предозиране</w:t>
      </w:r>
    </w:p>
    <w:p w14:paraId="439B5E28" w14:textId="3A77FD8C" w:rsidR="007338C6" w:rsidRDefault="007338C6" w:rsidP="007338C6"/>
    <w:p w14:paraId="1957A5ED" w14:textId="77777777" w:rsidR="007338C6" w:rsidRPr="007338C6" w:rsidRDefault="007338C6" w:rsidP="007338C6">
      <w:pPr>
        <w:rPr>
          <w:sz w:val="24"/>
          <w:szCs w:val="24"/>
        </w:rPr>
      </w:pPr>
      <w:r w:rsidRPr="007338C6">
        <w:rPr>
          <w:lang w:eastAsia="bg-BG"/>
        </w:rPr>
        <w:t>Има ограничени данни относно предозирането при хора. Симптомите, свързвани с предозиране с АСЕ инхибитори, могат да включват хипотония, циркулаторен шок, електролитни нарушения, бъбречна недостатъчност, хипервентилация, тахикардия, палпитации, брадикардия, замаяност, безпокойство и кашлица.</w:t>
      </w:r>
    </w:p>
    <w:p w14:paraId="7FA7C679" w14:textId="77777777" w:rsidR="007338C6" w:rsidRDefault="007338C6" w:rsidP="007338C6">
      <w:pPr>
        <w:rPr>
          <w:lang w:eastAsia="bg-BG"/>
        </w:rPr>
      </w:pPr>
    </w:p>
    <w:p w14:paraId="2846B59C" w14:textId="5D6ED329" w:rsidR="007338C6" w:rsidRPr="007338C6" w:rsidRDefault="007338C6" w:rsidP="007338C6">
      <w:r w:rsidRPr="007338C6">
        <w:rPr>
          <w:lang w:eastAsia="bg-BG"/>
        </w:rPr>
        <w:t>Препоръчителното лечение при предозиране е интравенозна инфузия на физиологичен разтвор. При възникване на хипотония, пациентът трябва да се постави в шоково положение. Ако е възможно, може да също да се обмисли лечение с инфузия на ангиотензин II и/или интравенозни катехоламини. Ако лекарството е погълнато наскоро, вземете мерки за елиминиране на лизиноприл (напр. повръщане, стомашна промивка, прилагане на абсорбенти и натриев сулфат). Лизиноприл може да се елиминира от общата циркулация чрез хемодиализа (вж. точка 4.4). Поставяне на пейсмейкър е показано при брадикардия, резистентна към лечението. Трябва често да се проследяват жизнените показатели, серумните електролити и концентрацията на креатинин.</w:t>
      </w:r>
    </w:p>
    <w:p w14:paraId="02081B24" w14:textId="1F46E296" w:rsidR="00395555" w:rsidRPr="00395555" w:rsidRDefault="002C50EE" w:rsidP="008A6AF2">
      <w:pPr>
        <w:pStyle w:val="Heading1"/>
      </w:pPr>
      <w:r>
        <w:t>5. ФАРМАКОЛОГИЧНИ СВОЙСТВА</w:t>
      </w:r>
    </w:p>
    <w:p w14:paraId="7DE36AC8" w14:textId="62761674" w:rsidR="00B6672E" w:rsidRDefault="002C50EE" w:rsidP="00936AD0">
      <w:pPr>
        <w:pStyle w:val="Heading2"/>
      </w:pPr>
      <w:r>
        <w:t>5.1. Фармакодинамични свойства</w:t>
      </w:r>
    </w:p>
    <w:p w14:paraId="67483BC7" w14:textId="592A20C0" w:rsidR="007338C6" w:rsidRDefault="007338C6" w:rsidP="007338C6"/>
    <w:p w14:paraId="70ED374F"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Фармакотерапевтична група: Средства, действащи на системата ренин-ангиотензин, АСЕ инхибитори, самостоятелно, АТС код: С09АА03</w:t>
      </w:r>
    </w:p>
    <w:p w14:paraId="26755653" w14:textId="77777777" w:rsidR="007338C6" w:rsidRPr="007338C6" w:rsidRDefault="007338C6" w:rsidP="007338C6">
      <w:pPr>
        <w:spacing w:line="240" w:lineRule="auto"/>
        <w:rPr>
          <w:rFonts w:eastAsia="Times New Roman" w:cs="Arial"/>
          <w:color w:val="000000"/>
          <w:u w:val="single"/>
          <w:lang w:eastAsia="bg-BG"/>
        </w:rPr>
      </w:pPr>
    </w:p>
    <w:p w14:paraId="576FD1AD" w14:textId="46A797BF" w:rsidR="007338C6" w:rsidRPr="007338C6" w:rsidRDefault="007338C6" w:rsidP="007338C6">
      <w:pPr>
        <w:spacing w:line="240" w:lineRule="auto"/>
        <w:rPr>
          <w:rFonts w:eastAsia="Times New Roman" w:cs="Arial"/>
          <w:sz w:val="24"/>
          <w:szCs w:val="24"/>
        </w:rPr>
      </w:pPr>
      <w:r w:rsidRPr="007338C6">
        <w:rPr>
          <w:rFonts w:eastAsia="Times New Roman" w:cs="Arial"/>
          <w:color w:val="000000"/>
          <w:u w:val="single"/>
          <w:lang w:eastAsia="bg-BG"/>
        </w:rPr>
        <w:lastRenderedPageBreak/>
        <w:t>Механизъм на действие</w:t>
      </w:r>
    </w:p>
    <w:p w14:paraId="77CBBCFA"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Лизиноприл е пептидил дипептидазен инхибитор. Той инхибира ангиотензин конвертиращия ензим (АСЕ), който катализира превръщането на ангиотензин I във вазоконстрикторен пептид ангиотензин </w:t>
      </w:r>
      <w:r w:rsidRPr="007338C6">
        <w:rPr>
          <w:rFonts w:eastAsia="Times New Roman" w:cs="Arial"/>
          <w:color w:val="000000"/>
          <w:lang w:val="en-US"/>
        </w:rPr>
        <w:t>II</w:t>
      </w:r>
      <w:r w:rsidRPr="007338C6">
        <w:rPr>
          <w:rFonts w:eastAsia="Times New Roman" w:cs="Arial"/>
          <w:color w:val="000000"/>
          <w:lang w:eastAsia="bg-BG"/>
        </w:rPr>
        <w:t>. Ангиотензин II също стимулира секрецията на алдостерон от надбъбречната кора. Инхибирането на АСЕ води до намаляване на концентрацията на ангиотензин II, което има за резултат намалена вазопресорна активност и намалена алдостеронова секреция. Намалената секреция на алдостерон може да доведе до покачване на серумните нива на калий.</w:t>
      </w:r>
    </w:p>
    <w:p w14:paraId="301C155A" w14:textId="77777777" w:rsidR="007338C6" w:rsidRPr="007338C6" w:rsidRDefault="007338C6" w:rsidP="007338C6">
      <w:pPr>
        <w:spacing w:line="240" w:lineRule="auto"/>
        <w:rPr>
          <w:rFonts w:eastAsia="Times New Roman" w:cs="Arial"/>
          <w:color w:val="000000"/>
          <w:u w:val="single"/>
          <w:lang w:eastAsia="bg-BG"/>
        </w:rPr>
      </w:pPr>
    </w:p>
    <w:p w14:paraId="5E1DA892" w14:textId="7E7D831E" w:rsidR="007338C6" w:rsidRPr="007338C6" w:rsidRDefault="007338C6" w:rsidP="007338C6">
      <w:pPr>
        <w:spacing w:line="240" w:lineRule="auto"/>
        <w:rPr>
          <w:rFonts w:eastAsia="Times New Roman" w:cs="Arial"/>
          <w:sz w:val="24"/>
          <w:szCs w:val="24"/>
        </w:rPr>
      </w:pPr>
      <w:r w:rsidRPr="007338C6">
        <w:rPr>
          <w:rFonts w:eastAsia="Times New Roman" w:cs="Arial"/>
          <w:color w:val="000000"/>
          <w:u w:val="single"/>
          <w:lang w:eastAsia="bg-BG"/>
        </w:rPr>
        <w:t>Фармакодинамични ефекти</w:t>
      </w:r>
    </w:p>
    <w:p w14:paraId="32D8DCA8"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Счита се, че основният механизъм, по който лизиноприл понижава артериалното налягане е подтискане активността на системата ренин-ангиотензин-алдостерон, въпреки това, лизиноприл има антихипертензивен ефект дори при пациенти с ниско ренинова хипертония. АСЕ е идентичен на кининаза II, ензим, който разгражда брадикинина. Предстои да се изясни, дали повишените нива на брадикинин, потенциален вазодилататорен пептид, имат роля при терапевтичните ефекти на лизиноприл.</w:t>
      </w:r>
    </w:p>
    <w:p w14:paraId="08DBD641" w14:textId="77777777" w:rsidR="007338C6" w:rsidRPr="007338C6" w:rsidRDefault="007338C6" w:rsidP="007338C6">
      <w:pPr>
        <w:spacing w:line="240" w:lineRule="auto"/>
        <w:rPr>
          <w:rFonts w:eastAsia="Times New Roman" w:cs="Arial"/>
          <w:color w:val="000000"/>
          <w:u w:val="single"/>
          <w:lang w:eastAsia="bg-BG"/>
        </w:rPr>
      </w:pPr>
    </w:p>
    <w:p w14:paraId="4495D6EC" w14:textId="406BF67C" w:rsidR="007338C6" w:rsidRPr="007338C6" w:rsidRDefault="007338C6" w:rsidP="007338C6">
      <w:pPr>
        <w:spacing w:line="240" w:lineRule="auto"/>
        <w:rPr>
          <w:rFonts w:eastAsia="Times New Roman" w:cs="Arial"/>
          <w:sz w:val="24"/>
          <w:szCs w:val="24"/>
        </w:rPr>
      </w:pPr>
      <w:r w:rsidRPr="007338C6">
        <w:rPr>
          <w:rFonts w:eastAsia="Times New Roman" w:cs="Arial"/>
          <w:color w:val="000000"/>
          <w:u w:val="single"/>
          <w:lang w:eastAsia="bg-BG"/>
        </w:rPr>
        <w:t>Клинична ефикасност и безопасност</w:t>
      </w:r>
    </w:p>
    <w:p w14:paraId="1ADB0ABC" w14:textId="77777777" w:rsidR="007338C6" w:rsidRPr="007338C6" w:rsidRDefault="007338C6" w:rsidP="007338C6">
      <w:pPr>
        <w:rPr>
          <w:rFonts w:eastAsia="Times New Roman" w:cs="Arial"/>
          <w:sz w:val="24"/>
          <w:szCs w:val="24"/>
        </w:rPr>
      </w:pPr>
      <w:r w:rsidRPr="007338C6">
        <w:rPr>
          <w:rFonts w:eastAsia="Times New Roman" w:cs="Arial"/>
          <w:color w:val="000000"/>
          <w:lang w:eastAsia="bg-BG"/>
        </w:rPr>
        <w:t xml:space="preserve">Ефектът на лизиноприл върху смъртността и болестностга при сърдечна недостатъчност е изследван като са сравнявани висока доза (32,5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или 35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еднократно дневно) с ниска доза (2,5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или 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еднократно дневно). В проучване с 3164 пациенти, със среден период на проследяване от 46 месеца за преживелите пациенти, високата доза лизиноприл води до намаляване на риска с 12% в комбинираната крайна точка на смъртност по всякаква причина и хоспитализация по всякаква причина (р=0,002) и намаление на риска с 8% при смъртността от всякакви причини и сърдечно-съдовите хоспитализации (р+0,036) когато се сравнява с ниската доза. Наблюдавани са намаление на риска за смъртност по всякаква причина (8%; р=0,128) и сърдечно-съдова смъртност (10%; р=0,073). В </w:t>
      </w:r>
      <w:r w:rsidRPr="007338C6">
        <w:rPr>
          <w:rFonts w:eastAsia="Times New Roman" w:cs="Arial"/>
          <w:color w:val="000000"/>
          <w:lang w:val="en-US"/>
        </w:rPr>
        <w:t>post</w:t>
      </w:r>
      <w:r w:rsidRPr="007338C6">
        <w:rPr>
          <w:rFonts w:eastAsia="Times New Roman" w:cs="Arial"/>
          <w:color w:val="000000"/>
          <w:lang w:val="ru-RU"/>
        </w:rPr>
        <w:t>-</w:t>
      </w:r>
      <w:r w:rsidRPr="007338C6">
        <w:rPr>
          <w:rFonts w:eastAsia="Times New Roman" w:cs="Arial"/>
          <w:color w:val="000000"/>
          <w:lang w:val="en-US"/>
        </w:rPr>
        <w:t>hoc</w:t>
      </w:r>
      <w:r w:rsidRPr="007338C6">
        <w:rPr>
          <w:rFonts w:eastAsia="Times New Roman" w:cs="Arial"/>
          <w:color w:val="000000"/>
          <w:lang w:val="ru-RU"/>
        </w:rPr>
        <w:t xml:space="preserve"> </w:t>
      </w:r>
      <w:r w:rsidRPr="007338C6">
        <w:rPr>
          <w:rFonts w:eastAsia="Times New Roman" w:cs="Arial"/>
          <w:color w:val="000000"/>
          <w:lang w:eastAsia="bg-BG"/>
        </w:rPr>
        <w:t>анализа, броя на</w:t>
      </w:r>
      <w:r w:rsidRPr="007338C6">
        <w:rPr>
          <w:rFonts w:eastAsia="Times New Roman" w:cs="Arial"/>
          <w:color w:val="000000"/>
          <w:lang w:val="ru-RU" w:eastAsia="bg-BG"/>
        </w:rPr>
        <w:t xml:space="preserve"> </w:t>
      </w:r>
      <w:r w:rsidRPr="007338C6">
        <w:rPr>
          <w:rFonts w:eastAsia="Times New Roman" w:cs="Arial"/>
          <w:color w:val="000000"/>
          <w:lang w:eastAsia="bg-BG"/>
        </w:rPr>
        <w:t>хоспитализациите по повод сърдечна недостатъчност е намалял с 24% (р=0,002) при пациентите лекувани с висока доза лизиноприл в сравнение с ниската доза. Симптоматичните ползи са подобни при пациентите лекувани с високи и ниски дози лизиноприл.</w:t>
      </w:r>
    </w:p>
    <w:p w14:paraId="53EF2A1B" w14:textId="77777777" w:rsidR="007338C6" w:rsidRPr="007338C6" w:rsidRDefault="007338C6" w:rsidP="007338C6">
      <w:pPr>
        <w:spacing w:line="240" w:lineRule="auto"/>
        <w:rPr>
          <w:rFonts w:eastAsia="Times New Roman" w:cs="Arial"/>
          <w:color w:val="000000"/>
          <w:lang w:eastAsia="bg-BG"/>
        </w:rPr>
      </w:pPr>
    </w:p>
    <w:p w14:paraId="60379374" w14:textId="2AFD5694"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Резултатите от проучванията показват, че профилите на нежеланите реакции при пациентите лекувани с високи и ниски дози лизиноприл са подобни, както по естество, така и по честота. Предвидимите реакции, които произлизат от потискането на АСЕ, като хипотония или нарушена бъбречна функция, се поддават на лечение и рядко водят до преустановяване на терапията. Кашлица се среща по-рядко при пациенти лекувани с високи отколкото при тези с ниски дози лизиноприл.</w:t>
      </w:r>
    </w:p>
    <w:p w14:paraId="41C8D4B3" w14:textId="77777777" w:rsidR="007338C6" w:rsidRPr="007338C6" w:rsidRDefault="007338C6" w:rsidP="007338C6">
      <w:pPr>
        <w:spacing w:line="240" w:lineRule="auto"/>
        <w:rPr>
          <w:rFonts w:eastAsia="Times New Roman" w:cs="Arial"/>
          <w:color w:val="000000"/>
          <w:lang w:eastAsia="bg-BG"/>
        </w:rPr>
      </w:pPr>
    </w:p>
    <w:p w14:paraId="4F20BC14" w14:textId="192F2C72"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В проучването </w:t>
      </w:r>
      <w:r w:rsidRPr="007338C6">
        <w:rPr>
          <w:rFonts w:eastAsia="Times New Roman" w:cs="Arial"/>
          <w:color w:val="000000"/>
          <w:lang w:val="en-US"/>
        </w:rPr>
        <w:t>GISSI</w:t>
      </w:r>
      <w:r w:rsidRPr="007338C6">
        <w:rPr>
          <w:rFonts w:eastAsia="Times New Roman" w:cs="Arial"/>
          <w:color w:val="000000"/>
          <w:lang w:val="ru-RU"/>
        </w:rPr>
        <w:t xml:space="preserve">-3, </w:t>
      </w:r>
      <w:r w:rsidRPr="007338C6">
        <w:rPr>
          <w:rFonts w:eastAsia="Times New Roman" w:cs="Arial"/>
          <w:color w:val="000000"/>
          <w:lang w:eastAsia="bg-BG"/>
        </w:rPr>
        <w:t xml:space="preserve">което използва </w:t>
      </w:r>
      <w:r w:rsidRPr="007338C6">
        <w:rPr>
          <w:rFonts w:eastAsia="Times New Roman" w:cs="Arial"/>
          <w:color w:val="000000"/>
          <w:lang w:val="ru-RU"/>
        </w:rPr>
        <w:t>2</w:t>
      </w:r>
      <w:r w:rsidRPr="007338C6">
        <w:rPr>
          <w:rFonts w:eastAsia="Times New Roman" w:cs="Arial"/>
          <w:color w:val="000000"/>
          <w:lang w:val="en-US"/>
        </w:rPr>
        <w:t>x</w:t>
      </w:r>
      <w:r w:rsidRPr="007338C6">
        <w:rPr>
          <w:rFonts w:eastAsia="Times New Roman" w:cs="Arial"/>
          <w:color w:val="000000"/>
          <w:lang w:val="ru-RU"/>
        </w:rPr>
        <w:t xml:space="preserve">2 </w:t>
      </w:r>
      <w:r w:rsidRPr="007338C6">
        <w:rPr>
          <w:rFonts w:eastAsia="Times New Roman" w:cs="Arial"/>
          <w:color w:val="000000"/>
          <w:lang w:eastAsia="bg-BG"/>
        </w:rPr>
        <w:t xml:space="preserve">факториален дизайн за сравняване на ефектите на лизиноприл и глицерил тринитрат прилагани самостоятелно или в комбинация за 6 седмици спрямо контрола при 19 394 пациенти, които са получили лечението в рамките на 24 часа от остър миокарден инфаркт, лизиноприл води до статистически значимо намаляване на риска за смърт с 11% спрямо контролите (2р=0,03). Намаляването на риска с глицерил тринитрат не е значимо, но комбинацията на лизиноприл и глицерил тринитрат води до значимо намаляване на риска за смърт със 17% спрямо контролите (2р=0,02). В подгрупите на пациентите в напреднала възраст (възраст &gt;70 години) и жените, определени като пациенти с висок риск за смърт, се наблюдава значима полза за комбинираната крайна точка за смъртност и сърдечна функция. Комбинираната крайна точка за всички пациенти, както и за високо рисковите </w:t>
      </w:r>
      <w:r w:rsidRPr="007338C6">
        <w:rPr>
          <w:rFonts w:eastAsia="Times New Roman" w:cs="Arial"/>
          <w:color w:val="000000"/>
          <w:lang w:eastAsia="bg-BG"/>
        </w:rPr>
        <w:lastRenderedPageBreak/>
        <w:t>подгрупи, след 6 месеца също показва значима полза за лекуваните с лизиноприл или лизиноприл плюс глицерил тринитрат за 6 седмици, оказващо превантивния ефект на лизиноприл. Както би се очаквало за всяко лечение с вазодилататор, повишената честота на хипотония и бъбречна дисфункция се наблюдават при лечение с лизиноприл, но това не е свързано със съответно покачване на смъртността.</w:t>
      </w:r>
    </w:p>
    <w:p w14:paraId="73F8BED1" w14:textId="77777777" w:rsidR="007338C6" w:rsidRPr="007338C6" w:rsidRDefault="007338C6" w:rsidP="007338C6">
      <w:pPr>
        <w:spacing w:line="240" w:lineRule="auto"/>
        <w:rPr>
          <w:rFonts w:eastAsia="Times New Roman" w:cs="Arial"/>
          <w:color w:val="000000"/>
          <w:lang w:eastAsia="bg-BG"/>
        </w:rPr>
      </w:pPr>
    </w:p>
    <w:p w14:paraId="35DC3D88" w14:textId="5094B536"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В двойно сляпо, рандомизирано, многоцентрово проучване, което сравнява лизиноприл с блокер на калциевите канали, 335 пациенти с диабет тип 2 и начална нефропатия характеризираща се с микроалбуминурия, лизинорил 10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до 20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приложен еднократно дневно за 12 месеца, намалява систолното/диастолно артериално налягане с 13/10 </w:t>
      </w:r>
      <w:r w:rsidRPr="007338C6">
        <w:rPr>
          <w:rFonts w:eastAsia="Times New Roman" w:cs="Arial"/>
          <w:color w:val="000000"/>
          <w:lang w:val="en-US"/>
        </w:rPr>
        <w:t>mmHg</w:t>
      </w:r>
      <w:r w:rsidRPr="007338C6">
        <w:rPr>
          <w:rFonts w:eastAsia="Times New Roman" w:cs="Arial"/>
          <w:color w:val="000000"/>
          <w:lang w:val="ru-RU"/>
        </w:rPr>
        <w:t xml:space="preserve"> </w:t>
      </w:r>
      <w:r w:rsidRPr="007338C6">
        <w:rPr>
          <w:rFonts w:eastAsia="Times New Roman" w:cs="Arial"/>
          <w:color w:val="000000"/>
          <w:lang w:eastAsia="bg-BG"/>
        </w:rPr>
        <w:t>и степента на отделяне на албумин с урината с 40%. При сравняване с блокер на калциевите канали, който води до сходно намаляване на артериалното налягане, лекуваните с лизиноприл показват значимо по-голямо намаляване на степента на отделянето на албумин с урината, което е доказателство, че АСЕ инхибиращото действие на лизиноприл намалява микроалбуминурията чрез директен механизъм върху бъбречните тъкани в допълнение на ефекта на понижаване на артериалното налягане.</w:t>
      </w:r>
    </w:p>
    <w:p w14:paraId="01864BC7" w14:textId="77777777" w:rsidR="007338C6" w:rsidRPr="007338C6" w:rsidRDefault="007338C6" w:rsidP="007338C6">
      <w:pPr>
        <w:spacing w:line="240" w:lineRule="auto"/>
        <w:rPr>
          <w:rFonts w:eastAsia="Times New Roman" w:cs="Arial"/>
          <w:color w:val="000000"/>
          <w:lang w:eastAsia="bg-BG"/>
        </w:rPr>
      </w:pPr>
    </w:p>
    <w:p w14:paraId="5D316452" w14:textId="28BD4ED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Лечението с лизиноприл не повлиява гликемичния контрол, което се доказва от липсата на значим ефект върху стойностите на гликирания хемоглобин </w:t>
      </w:r>
      <w:r w:rsidRPr="007338C6">
        <w:rPr>
          <w:rFonts w:eastAsia="Times New Roman" w:cs="Arial"/>
          <w:color w:val="000000"/>
          <w:lang w:val="ru-RU"/>
        </w:rPr>
        <w:t>(</w:t>
      </w:r>
      <w:proofErr w:type="spellStart"/>
      <w:r w:rsidRPr="007338C6">
        <w:rPr>
          <w:rFonts w:eastAsia="Times New Roman" w:cs="Arial"/>
          <w:color w:val="000000"/>
          <w:lang w:val="en-US"/>
        </w:rPr>
        <w:t>HbAic</w:t>
      </w:r>
      <w:proofErr w:type="spellEnd"/>
      <w:r w:rsidRPr="007338C6">
        <w:rPr>
          <w:rFonts w:eastAsia="Times New Roman" w:cs="Arial"/>
          <w:color w:val="000000"/>
          <w:lang w:val="ru-RU"/>
        </w:rPr>
        <w:t>).</w:t>
      </w:r>
    </w:p>
    <w:p w14:paraId="133C4CFF" w14:textId="77777777" w:rsidR="007338C6" w:rsidRPr="007338C6" w:rsidRDefault="007338C6" w:rsidP="007338C6">
      <w:pPr>
        <w:spacing w:line="240" w:lineRule="auto"/>
        <w:rPr>
          <w:rFonts w:eastAsia="Times New Roman" w:cs="Arial"/>
          <w:i/>
          <w:iCs/>
          <w:color w:val="000000"/>
          <w:lang w:eastAsia="bg-BG"/>
        </w:rPr>
      </w:pPr>
    </w:p>
    <w:p w14:paraId="4AE2766E" w14:textId="1815B137" w:rsidR="007338C6" w:rsidRPr="007338C6" w:rsidRDefault="007338C6" w:rsidP="007338C6">
      <w:pPr>
        <w:spacing w:line="240" w:lineRule="auto"/>
        <w:rPr>
          <w:rFonts w:eastAsia="Times New Roman" w:cs="Arial"/>
          <w:sz w:val="24"/>
          <w:szCs w:val="24"/>
        </w:rPr>
      </w:pPr>
      <w:r w:rsidRPr="007338C6">
        <w:rPr>
          <w:rFonts w:eastAsia="Times New Roman" w:cs="Arial"/>
          <w:i/>
          <w:iCs/>
          <w:color w:val="000000"/>
          <w:lang w:eastAsia="bg-BG"/>
        </w:rPr>
        <w:t xml:space="preserve">Ренин-ангиотензиновата система </w:t>
      </w:r>
      <w:r w:rsidRPr="007338C6">
        <w:rPr>
          <w:rFonts w:eastAsia="Times New Roman" w:cs="Arial"/>
          <w:i/>
          <w:iCs/>
          <w:color w:val="000000"/>
          <w:lang w:val="ru-RU"/>
        </w:rPr>
        <w:t>(</w:t>
      </w:r>
      <w:r w:rsidRPr="007338C6">
        <w:rPr>
          <w:rFonts w:eastAsia="Times New Roman" w:cs="Arial"/>
          <w:i/>
          <w:iCs/>
          <w:color w:val="000000"/>
          <w:lang w:val="en-US"/>
        </w:rPr>
        <w:t>RAS</w:t>
      </w:r>
      <w:r w:rsidRPr="007338C6">
        <w:rPr>
          <w:rFonts w:eastAsia="Times New Roman" w:cs="Arial"/>
          <w:i/>
          <w:iCs/>
          <w:color w:val="000000"/>
          <w:lang w:val="ru-RU"/>
        </w:rPr>
        <w:t>) -</w:t>
      </w:r>
      <w:r w:rsidRPr="007338C6">
        <w:rPr>
          <w:rFonts w:eastAsia="Times New Roman" w:cs="Arial"/>
          <w:i/>
          <w:iCs/>
          <w:color w:val="000000"/>
          <w:lang w:eastAsia="bg-BG"/>
        </w:rPr>
        <w:t xml:space="preserve"> активни вещества</w:t>
      </w:r>
    </w:p>
    <w:p w14:paraId="40374F53" w14:textId="52E9ABE4" w:rsidR="007338C6" w:rsidRPr="007338C6" w:rsidRDefault="007338C6" w:rsidP="007338C6">
      <w:pPr>
        <w:spacing w:line="240" w:lineRule="auto"/>
        <w:rPr>
          <w:rFonts w:eastAsia="Times New Roman" w:cs="Arial"/>
          <w:color w:val="000000"/>
          <w:lang w:eastAsia="bg-BG"/>
        </w:rPr>
      </w:pPr>
      <w:r w:rsidRPr="007338C6">
        <w:rPr>
          <w:rFonts w:eastAsia="Times New Roman" w:cs="Arial"/>
          <w:color w:val="000000"/>
          <w:lang w:eastAsia="bg-BG"/>
        </w:rPr>
        <w:t xml:space="preserve">Две големи рандомизирани контролирани проучвания - </w:t>
      </w:r>
      <w:r w:rsidRPr="007338C6">
        <w:rPr>
          <w:rFonts w:eastAsia="Times New Roman" w:cs="Arial"/>
          <w:color w:val="000000"/>
          <w:lang w:val="en-US"/>
        </w:rPr>
        <w:t>ONTARGET</w:t>
      </w:r>
      <w:r w:rsidRPr="007338C6">
        <w:rPr>
          <w:rFonts w:eastAsia="Times New Roman" w:cs="Arial"/>
          <w:color w:val="000000"/>
        </w:rPr>
        <w:t xml:space="preserve"> (</w:t>
      </w:r>
      <w:r w:rsidRPr="007338C6">
        <w:rPr>
          <w:rFonts w:eastAsia="Times New Roman" w:cs="Arial"/>
          <w:color w:val="000000"/>
          <w:lang w:val="en-US"/>
        </w:rPr>
        <w:t>Ongoing</w:t>
      </w:r>
      <w:r w:rsidRPr="007338C6">
        <w:rPr>
          <w:rFonts w:eastAsia="Times New Roman" w:cs="Arial"/>
          <w:color w:val="000000"/>
        </w:rPr>
        <w:t xml:space="preserve"> </w:t>
      </w:r>
      <w:proofErr w:type="spellStart"/>
      <w:r w:rsidRPr="007338C6">
        <w:rPr>
          <w:rFonts w:eastAsia="Times New Roman" w:cs="Arial"/>
          <w:color w:val="000000"/>
          <w:lang w:val="en-US"/>
        </w:rPr>
        <w:t>Telmisartan</w:t>
      </w:r>
      <w:proofErr w:type="spellEnd"/>
      <w:r w:rsidRPr="007338C6">
        <w:rPr>
          <w:rFonts w:eastAsia="Times New Roman" w:cs="Arial"/>
          <w:color w:val="000000"/>
        </w:rPr>
        <w:t xml:space="preserve"> </w:t>
      </w:r>
      <w:r w:rsidRPr="007338C6">
        <w:rPr>
          <w:rFonts w:eastAsia="Times New Roman" w:cs="Arial"/>
          <w:color w:val="000000"/>
          <w:lang w:val="en-US"/>
        </w:rPr>
        <w:t>Alone</w:t>
      </w:r>
      <w:r w:rsidRPr="007338C6">
        <w:rPr>
          <w:rFonts w:eastAsia="Times New Roman" w:cs="Arial"/>
          <w:color w:val="000000"/>
        </w:rPr>
        <w:t xml:space="preserve"> </w:t>
      </w:r>
      <w:r w:rsidRPr="007338C6">
        <w:rPr>
          <w:rFonts w:eastAsia="Times New Roman" w:cs="Arial"/>
          <w:color w:val="000000"/>
          <w:lang w:val="en-US"/>
        </w:rPr>
        <w:t>and</w:t>
      </w:r>
      <w:r w:rsidRPr="007338C6">
        <w:rPr>
          <w:rFonts w:eastAsia="Times New Roman" w:cs="Arial"/>
          <w:color w:val="000000"/>
        </w:rPr>
        <w:t xml:space="preserve"> </w:t>
      </w:r>
      <w:r w:rsidRPr="007338C6">
        <w:rPr>
          <w:rFonts w:eastAsia="Times New Roman" w:cs="Arial"/>
          <w:color w:val="000000"/>
          <w:lang w:val="en-US"/>
        </w:rPr>
        <w:t>in</w:t>
      </w:r>
      <w:r w:rsidRPr="007338C6">
        <w:rPr>
          <w:rFonts w:eastAsia="Times New Roman" w:cs="Arial"/>
          <w:color w:val="000000"/>
        </w:rPr>
        <w:t xml:space="preserve"> </w:t>
      </w:r>
      <w:r w:rsidRPr="007338C6">
        <w:rPr>
          <w:rFonts w:eastAsia="Times New Roman" w:cs="Arial"/>
          <w:color w:val="000000"/>
          <w:lang w:val="en-US"/>
        </w:rPr>
        <w:t>combination</w:t>
      </w:r>
      <w:r w:rsidRPr="007338C6">
        <w:rPr>
          <w:rFonts w:eastAsia="Times New Roman" w:cs="Arial"/>
          <w:color w:val="000000"/>
        </w:rPr>
        <w:t xml:space="preserve"> </w:t>
      </w:r>
      <w:r w:rsidRPr="007338C6">
        <w:rPr>
          <w:rFonts w:eastAsia="Times New Roman" w:cs="Arial"/>
          <w:color w:val="000000"/>
          <w:lang w:val="en-US"/>
        </w:rPr>
        <w:t>with</w:t>
      </w:r>
      <w:r w:rsidRPr="007338C6">
        <w:rPr>
          <w:rFonts w:eastAsia="Times New Roman" w:cs="Arial"/>
          <w:color w:val="000000"/>
        </w:rPr>
        <w:t xml:space="preserve"> </w:t>
      </w:r>
      <w:r w:rsidRPr="007338C6">
        <w:rPr>
          <w:rFonts w:eastAsia="Times New Roman" w:cs="Arial"/>
          <w:color w:val="000000"/>
          <w:lang w:val="en-US"/>
        </w:rPr>
        <w:t>Ramipril</w:t>
      </w:r>
      <w:r w:rsidRPr="007338C6">
        <w:rPr>
          <w:rFonts w:eastAsia="Times New Roman" w:cs="Arial"/>
          <w:color w:val="000000"/>
        </w:rPr>
        <w:t xml:space="preserve"> </w:t>
      </w:r>
      <w:r w:rsidRPr="007338C6">
        <w:rPr>
          <w:rFonts w:eastAsia="Times New Roman" w:cs="Arial"/>
          <w:color w:val="000000"/>
          <w:lang w:val="en-US"/>
        </w:rPr>
        <w:t>Global</w:t>
      </w:r>
      <w:r w:rsidRPr="007338C6">
        <w:rPr>
          <w:rFonts w:eastAsia="Times New Roman" w:cs="Arial"/>
          <w:color w:val="000000"/>
        </w:rPr>
        <w:t xml:space="preserve"> </w:t>
      </w:r>
      <w:r w:rsidRPr="007338C6">
        <w:rPr>
          <w:rFonts w:eastAsia="Times New Roman" w:cs="Arial"/>
          <w:color w:val="000000"/>
          <w:lang w:val="en-US"/>
        </w:rPr>
        <w:t>Endpoint</w:t>
      </w:r>
      <w:r w:rsidRPr="007338C6">
        <w:rPr>
          <w:rFonts w:eastAsia="Times New Roman" w:cs="Arial"/>
          <w:color w:val="000000"/>
        </w:rPr>
        <w:t xml:space="preserve"> </w:t>
      </w:r>
      <w:r w:rsidRPr="007338C6">
        <w:rPr>
          <w:rFonts w:eastAsia="Times New Roman" w:cs="Arial"/>
          <w:color w:val="000000"/>
          <w:lang w:val="en-US"/>
        </w:rPr>
        <w:t>Trial</w:t>
      </w:r>
      <w:r w:rsidRPr="007338C6">
        <w:rPr>
          <w:rFonts w:eastAsia="Times New Roman" w:cs="Arial"/>
          <w:color w:val="000000"/>
        </w:rPr>
        <w:t xml:space="preserve"> - </w:t>
      </w:r>
      <w:r w:rsidRPr="007338C6">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7338C6">
        <w:rPr>
          <w:rFonts w:eastAsia="Times New Roman" w:cs="Arial"/>
          <w:color w:val="000000"/>
          <w:lang w:val="en-US"/>
        </w:rPr>
        <w:t>VA</w:t>
      </w:r>
      <w:r w:rsidRPr="007338C6">
        <w:rPr>
          <w:rFonts w:eastAsia="Times New Roman" w:cs="Arial"/>
          <w:color w:val="000000"/>
        </w:rPr>
        <w:t xml:space="preserve"> </w:t>
      </w:r>
      <w:r w:rsidRPr="007338C6">
        <w:rPr>
          <w:rFonts w:eastAsia="Times New Roman" w:cs="Arial"/>
          <w:color w:val="000000"/>
          <w:lang w:val="en-US"/>
        </w:rPr>
        <w:t>NEPHRON</w:t>
      </w:r>
      <w:r w:rsidRPr="007338C6">
        <w:rPr>
          <w:rFonts w:eastAsia="Times New Roman" w:cs="Arial"/>
          <w:color w:val="000000"/>
        </w:rPr>
        <w:t>-</w:t>
      </w:r>
      <w:r w:rsidRPr="007338C6">
        <w:rPr>
          <w:rFonts w:eastAsia="Times New Roman" w:cs="Arial"/>
          <w:color w:val="000000"/>
          <w:lang w:val="en-US"/>
        </w:rPr>
        <w:t>D</w:t>
      </w:r>
      <w:r w:rsidRPr="007338C6">
        <w:rPr>
          <w:rFonts w:eastAsia="Times New Roman" w:cs="Arial"/>
          <w:color w:val="000000"/>
        </w:rPr>
        <w:t xml:space="preserve"> </w:t>
      </w:r>
      <w:r w:rsidRPr="007338C6">
        <w:rPr>
          <w:rFonts w:eastAsia="Times New Roman" w:cs="Arial"/>
          <w:color w:val="000000"/>
          <w:lang w:eastAsia="bg-BG"/>
        </w:rPr>
        <w:t>(Клинично проучване свързано с развитие на</w:t>
      </w:r>
      <w:r w:rsidRPr="007338C6">
        <w:rPr>
          <w:rFonts w:eastAsia="Times New Roman" w:cs="Arial"/>
          <w:sz w:val="24"/>
          <w:szCs w:val="24"/>
        </w:rPr>
        <w:t xml:space="preserve"> </w:t>
      </w:r>
      <w:r w:rsidRPr="007338C6">
        <w:rPr>
          <w:rFonts w:eastAsia="Times New Roman" w:cs="Arial"/>
          <w:color w:val="000000"/>
          <w:lang w:eastAsia="bg-BG"/>
        </w:rPr>
        <w:t xml:space="preserve">нефропатия при диабет, проведено от Министерство по въпросите на ветераните)- проучват употребата на комбинацията от АСЕ инхибитор и ангиотензин </w:t>
      </w:r>
      <w:r w:rsidRPr="007338C6">
        <w:rPr>
          <w:rFonts w:eastAsia="Times New Roman" w:cs="Arial"/>
          <w:color w:val="000000"/>
          <w:lang w:val="en-US"/>
        </w:rPr>
        <w:t>II</w:t>
      </w:r>
      <w:r w:rsidRPr="007338C6">
        <w:rPr>
          <w:rFonts w:eastAsia="Times New Roman" w:cs="Arial"/>
          <w:color w:val="000000"/>
        </w:rPr>
        <w:t>-</w:t>
      </w:r>
      <w:r w:rsidRPr="007338C6">
        <w:rPr>
          <w:rFonts w:eastAsia="Times New Roman" w:cs="Arial"/>
          <w:color w:val="000000"/>
          <w:lang w:eastAsia="bg-BG"/>
        </w:rPr>
        <w:t>рецепторен блокер.</w:t>
      </w:r>
    </w:p>
    <w:p w14:paraId="69741A60" w14:textId="2624B8D5" w:rsidR="007338C6" w:rsidRPr="007338C6" w:rsidRDefault="007338C6" w:rsidP="007338C6">
      <w:pPr>
        <w:spacing w:line="240" w:lineRule="auto"/>
        <w:rPr>
          <w:rFonts w:eastAsia="Times New Roman" w:cs="Arial"/>
          <w:color w:val="000000"/>
          <w:lang w:eastAsia="bg-BG"/>
        </w:rPr>
      </w:pPr>
    </w:p>
    <w:p w14:paraId="07227EB9"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val="en-US"/>
        </w:rPr>
        <w:t>ONTARGET</w:t>
      </w:r>
      <w:r w:rsidRPr="007338C6">
        <w:rPr>
          <w:rFonts w:eastAsia="Times New Roman" w:cs="Arial"/>
          <w:color w:val="000000"/>
          <w:lang w:val="ru-RU"/>
        </w:rPr>
        <w:t xml:space="preserve"> </w:t>
      </w:r>
      <w:r w:rsidRPr="007338C6">
        <w:rPr>
          <w:rFonts w:eastAsia="Times New Roman" w:cs="Arial"/>
          <w:color w:val="000000"/>
          <w:lang w:eastAsia="bg-BG"/>
        </w:rPr>
        <w:t>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w:t>
      </w:r>
    </w:p>
    <w:p w14:paraId="14858D88" w14:textId="77777777" w:rsidR="007338C6" w:rsidRPr="007338C6" w:rsidRDefault="007338C6" w:rsidP="007338C6">
      <w:pPr>
        <w:spacing w:line="240" w:lineRule="auto"/>
        <w:rPr>
          <w:rFonts w:eastAsia="Times New Roman" w:cs="Arial"/>
          <w:color w:val="000000"/>
          <w:lang w:val="en-US"/>
        </w:rPr>
      </w:pPr>
    </w:p>
    <w:p w14:paraId="5164292B" w14:textId="4169D7B8"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val="en-US"/>
        </w:rPr>
        <w:t>VA</w:t>
      </w:r>
      <w:r w:rsidRPr="007338C6">
        <w:rPr>
          <w:rFonts w:eastAsia="Times New Roman" w:cs="Arial"/>
          <w:color w:val="000000"/>
          <w:lang w:val="ru-RU"/>
        </w:rPr>
        <w:t xml:space="preserve"> </w:t>
      </w:r>
      <w:r w:rsidRPr="007338C6">
        <w:rPr>
          <w:rFonts w:eastAsia="Times New Roman" w:cs="Arial"/>
          <w:color w:val="000000"/>
          <w:lang w:val="en-US"/>
        </w:rPr>
        <w:t>NEPHRON</w:t>
      </w:r>
      <w:r w:rsidRPr="007338C6">
        <w:rPr>
          <w:rFonts w:eastAsia="Times New Roman" w:cs="Arial"/>
          <w:color w:val="000000"/>
          <w:lang w:val="ru-RU"/>
        </w:rPr>
        <w:t>-</w:t>
      </w:r>
      <w:r w:rsidRPr="007338C6">
        <w:rPr>
          <w:rFonts w:eastAsia="Times New Roman" w:cs="Arial"/>
          <w:color w:val="000000"/>
          <w:lang w:val="en-US"/>
        </w:rPr>
        <w:t>D</w:t>
      </w:r>
      <w:r w:rsidRPr="007338C6">
        <w:rPr>
          <w:rFonts w:eastAsia="Times New Roman" w:cs="Arial"/>
          <w:color w:val="000000"/>
          <w:lang w:val="ru-RU"/>
        </w:rPr>
        <w:t xml:space="preserve"> </w:t>
      </w:r>
      <w:r w:rsidRPr="007338C6">
        <w:rPr>
          <w:rFonts w:eastAsia="Times New Roman" w:cs="Arial"/>
          <w:color w:val="000000"/>
          <w:lang w:eastAsia="bg-BG"/>
        </w:rPr>
        <w:t>е проучване при пациенти със захарен диабет тип 2 и диабетна нефропатия. 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w:t>
      </w:r>
    </w:p>
    <w:p w14:paraId="0A8C25AD"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Като се имат предвид сходните им фармакодинамични свойства, тези резултати са приложими и за други АСЕ инхибитори и ангиотензин </w:t>
      </w:r>
      <w:r w:rsidRPr="007338C6">
        <w:rPr>
          <w:rFonts w:eastAsia="Times New Roman" w:cs="Arial"/>
          <w:color w:val="000000"/>
          <w:lang w:val="en-US"/>
        </w:rPr>
        <w:t>II</w:t>
      </w:r>
      <w:r w:rsidRPr="007338C6">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47DD8BBF" w14:textId="77777777" w:rsidR="007338C6" w:rsidRPr="007338C6" w:rsidRDefault="007338C6" w:rsidP="007338C6">
      <w:pPr>
        <w:spacing w:line="240" w:lineRule="auto"/>
        <w:rPr>
          <w:rFonts w:eastAsia="Times New Roman" w:cs="Arial"/>
          <w:color w:val="000000"/>
          <w:lang w:val="en-US"/>
        </w:rPr>
      </w:pPr>
    </w:p>
    <w:p w14:paraId="3D8E032A" w14:textId="62934C28"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val="en-US"/>
        </w:rPr>
        <w:t>ALTITUDE</w:t>
      </w:r>
      <w:r w:rsidRPr="007338C6">
        <w:rPr>
          <w:rFonts w:eastAsia="Times New Roman" w:cs="Arial"/>
          <w:color w:val="000000"/>
          <w:lang w:val="ru-RU"/>
        </w:rPr>
        <w:t xml:space="preserve"> </w:t>
      </w:r>
      <w:r w:rsidRPr="007338C6">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П-рецепторен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w:t>
      </w:r>
      <w:r w:rsidRPr="007338C6">
        <w:rPr>
          <w:rFonts w:eastAsia="Times New Roman" w:cs="Arial"/>
          <w:color w:val="000000"/>
          <w:lang w:eastAsia="bg-BG"/>
        </w:rPr>
        <w:lastRenderedPageBreak/>
        <w:t>дисфункция) се съобщават по-често в групата на алискирен, отколкото в групата на плацебо.</w:t>
      </w:r>
    </w:p>
    <w:p w14:paraId="55511C59" w14:textId="77777777" w:rsidR="007338C6" w:rsidRPr="007338C6" w:rsidRDefault="007338C6" w:rsidP="007338C6">
      <w:pPr>
        <w:spacing w:line="240" w:lineRule="auto"/>
        <w:rPr>
          <w:rFonts w:eastAsia="Times New Roman" w:cs="Arial"/>
          <w:color w:val="000000"/>
          <w:u w:val="single"/>
          <w:lang w:eastAsia="bg-BG"/>
        </w:rPr>
      </w:pPr>
    </w:p>
    <w:p w14:paraId="0C1C2745" w14:textId="194709D6" w:rsidR="007338C6" w:rsidRPr="007338C6" w:rsidRDefault="007338C6" w:rsidP="007338C6">
      <w:pPr>
        <w:spacing w:line="240" w:lineRule="auto"/>
        <w:rPr>
          <w:rFonts w:eastAsia="Times New Roman" w:cs="Arial"/>
          <w:sz w:val="24"/>
          <w:szCs w:val="24"/>
        </w:rPr>
      </w:pPr>
      <w:r w:rsidRPr="007338C6">
        <w:rPr>
          <w:rFonts w:eastAsia="Times New Roman" w:cs="Arial"/>
          <w:color w:val="000000"/>
          <w:u w:val="single"/>
          <w:lang w:eastAsia="bg-BG"/>
        </w:rPr>
        <w:t>Педиатрична популация</w:t>
      </w:r>
    </w:p>
    <w:p w14:paraId="2F1B40B5"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В клинично проучване, включващо 115 педиатрични пациенти с хипертония на възраст 6-16 години, от които пациенти с телесно тегло по-ниско от 50 </w:t>
      </w:r>
      <w:r w:rsidRPr="007338C6">
        <w:rPr>
          <w:rFonts w:eastAsia="Times New Roman" w:cs="Arial"/>
          <w:color w:val="000000"/>
          <w:lang w:val="en-US"/>
        </w:rPr>
        <w:t>kg</w:t>
      </w:r>
      <w:r w:rsidRPr="007338C6">
        <w:rPr>
          <w:rFonts w:eastAsia="Times New Roman" w:cs="Arial"/>
          <w:color w:val="000000"/>
          <w:lang w:val="ru-RU"/>
        </w:rPr>
        <w:t xml:space="preserve"> </w:t>
      </w:r>
      <w:r w:rsidRPr="007338C6">
        <w:rPr>
          <w:rFonts w:eastAsia="Times New Roman" w:cs="Arial"/>
          <w:color w:val="000000"/>
          <w:lang w:eastAsia="bg-BG"/>
        </w:rPr>
        <w:t xml:space="preserve">са получавали 0,625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или 20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лизиноприл веднъж дневно, а пациентите с телесно тегло 50 </w:t>
      </w:r>
      <w:r w:rsidRPr="007338C6">
        <w:rPr>
          <w:rFonts w:eastAsia="Times New Roman" w:cs="Arial"/>
          <w:color w:val="000000"/>
          <w:lang w:val="en-US"/>
        </w:rPr>
        <w:t>kg</w:t>
      </w:r>
      <w:r w:rsidRPr="007338C6">
        <w:rPr>
          <w:rFonts w:eastAsia="Times New Roman" w:cs="Arial"/>
          <w:color w:val="000000"/>
          <w:lang w:val="ru-RU"/>
        </w:rPr>
        <w:t xml:space="preserve"> </w:t>
      </w:r>
      <w:r w:rsidRPr="007338C6">
        <w:rPr>
          <w:rFonts w:eastAsia="Times New Roman" w:cs="Arial"/>
          <w:color w:val="000000"/>
          <w:lang w:eastAsia="bg-BG"/>
        </w:rPr>
        <w:t xml:space="preserve">или повече са получавали 1,25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5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или 40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 xml:space="preserve">лизиноприл веднъж дневно. В края на 2-рата седмица, лизиноприл приложен веднъж дневно е понижил кръвното налягане по дозозависим начин с последователна антихипертензивна ефикасност демонстрирана при дози по-високи от 1,25 </w:t>
      </w:r>
      <w:r w:rsidRPr="007338C6">
        <w:rPr>
          <w:rFonts w:eastAsia="Times New Roman" w:cs="Arial"/>
          <w:color w:val="000000"/>
          <w:lang w:val="en-US"/>
        </w:rPr>
        <w:t>mg</w:t>
      </w:r>
      <w:r w:rsidRPr="007338C6">
        <w:rPr>
          <w:rFonts w:eastAsia="Times New Roman" w:cs="Arial"/>
          <w:color w:val="000000"/>
          <w:lang w:val="ru-RU"/>
        </w:rPr>
        <w:t>.</w:t>
      </w:r>
    </w:p>
    <w:p w14:paraId="438E33E6"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Този ефект е потвърден при фазата на оттегляне, където диастоличното налягане се е повишило с около 9 </w:t>
      </w:r>
      <w:r w:rsidRPr="007338C6">
        <w:rPr>
          <w:rFonts w:eastAsia="Times New Roman" w:cs="Arial"/>
          <w:color w:val="000000"/>
          <w:lang w:val="en-US"/>
        </w:rPr>
        <w:t>mm</w:t>
      </w:r>
      <w:r w:rsidRPr="007338C6">
        <w:rPr>
          <w:rFonts w:eastAsia="Times New Roman" w:cs="Arial"/>
          <w:color w:val="000000"/>
          <w:lang w:val="ru-RU"/>
        </w:rPr>
        <w:t xml:space="preserve"> </w:t>
      </w:r>
      <w:r w:rsidRPr="007338C6">
        <w:rPr>
          <w:rFonts w:eastAsia="Times New Roman" w:cs="Arial"/>
          <w:color w:val="000000"/>
          <w:lang w:val="en-US"/>
        </w:rPr>
        <w:t>Hg</w:t>
      </w:r>
      <w:r w:rsidRPr="007338C6">
        <w:rPr>
          <w:rFonts w:eastAsia="Times New Roman" w:cs="Arial"/>
          <w:color w:val="000000"/>
          <w:lang w:val="ru-RU"/>
        </w:rPr>
        <w:t xml:space="preserve"> </w:t>
      </w:r>
      <w:r w:rsidRPr="007338C6">
        <w:rPr>
          <w:rFonts w:eastAsia="Times New Roman" w:cs="Arial"/>
          <w:color w:val="000000"/>
          <w:lang w:eastAsia="bg-BG"/>
        </w:rPr>
        <w:t>повече при пациенти рандомизирани на плацебо в сравнение с тези рандомизирани на средни и високи дози лизиноприл. Дозозависимият антихипертензивен ефект на лизиноприл показва последователност при различни демографски подгрупи: възраст, Т</w:t>
      </w:r>
      <w:proofErr w:type="spellStart"/>
      <w:r w:rsidRPr="007338C6">
        <w:rPr>
          <w:rFonts w:eastAsia="Times New Roman" w:cs="Arial"/>
          <w:color w:val="000000"/>
          <w:lang w:val="en-US"/>
        </w:rPr>
        <w:t>anner</w:t>
      </w:r>
      <w:proofErr w:type="spellEnd"/>
      <w:r w:rsidRPr="007338C6">
        <w:rPr>
          <w:rFonts w:eastAsia="Times New Roman" w:cs="Arial"/>
          <w:color w:val="000000"/>
          <w:lang w:val="ru-RU"/>
        </w:rPr>
        <w:t>-</w:t>
      </w:r>
      <w:r w:rsidRPr="007338C6">
        <w:rPr>
          <w:rFonts w:eastAsia="Times New Roman" w:cs="Arial"/>
          <w:color w:val="000000"/>
          <w:lang w:eastAsia="bg-BG"/>
        </w:rPr>
        <w:t>етап, пол и раса.</w:t>
      </w:r>
    </w:p>
    <w:p w14:paraId="69D382B1" w14:textId="77777777" w:rsidR="007338C6" w:rsidRPr="007338C6" w:rsidRDefault="007338C6" w:rsidP="007338C6">
      <w:pPr>
        <w:spacing w:line="240" w:lineRule="auto"/>
        <w:rPr>
          <w:rFonts w:ascii="Times New Roman" w:eastAsia="Times New Roman" w:hAnsi="Times New Roman" w:cs="Times New Roman"/>
          <w:sz w:val="24"/>
          <w:szCs w:val="24"/>
        </w:rPr>
      </w:pPr>
    </w:p>
    <w:p w14:paraId="78DD93AA" w14:textId="7B09FFC3" w:rsidR="00B6672E" w:rsidRDefault="002C50EE" w:rsidP="00936AD0">
      <w:pPr>
        <w:pStyle w:val="Heading2"/>
      </w:pPr>
      <w:r>
        <w:t>5.2. Фармакокинетични свойства</w:t>
      </w:r>
    </w:p>
    <w:p w14:paraId="49A5C5B7" w14:textId="779ECA47" w:rsidR="007338C6" w:rsidRDefault="007338C6" w:rsidP="007338C6"/>
    <w:p w14:paraId="593A61FA"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Лизиноприл е орално активен несулфхидрил-съдържащ АСЕ инхибитор.</w:t>
      </w:r>
    </w:p>
    <w:p w14:paraId="72BE7161" w14:textId="77777777" w:rsidR="007338C6" w:rsidRPr="007338C6" w:rsidRDefault="007338C6" w:rsidP="007338C6">
      <w:pPr>
        <w:spacing w:line="240" w:lineRule="auto"/>
        <w:rPr>
          <w:rFonts w:eastAsia="Times New Roman" w:cs="Arial"/>
          <w:color w:val="000000"/>
          <w:u w:val="single"/>
          <w:lang w:eastAsia="bg-BG"/>
        </w:rPr>
      </w:pPr>
    </w:p>
    <w:p w14:paraId="2FCD99A6" w14:textId="614D6F94" w:rsidR="007338C6" w:rsidRPr="007338C6" w:rsidRDefault="007338C6" w:rsidP="007338C6">
      <w:pPr>
        <w:pStyle w:val="Heading3"/>
        <w:rPr>
          <w:rFonts w:eastAsia="Times New Roman"/>
          <w:u w:val="single"/>
        </w:rPr>
      </w:pPr>
      <w:r w:rsidRPr="007338C6">
        <w:rPr>
          <w:rFonts w:eastAsia="Times New Roman"/>
          <w:u w:val="single"/>
          <w:lang w:eastAsia="bg-BG"/>
        </w:rPr>
        <w:t>Абсорбция</w:t>
      </w:r>
    </w:p>
    <w:p w14:paraId="7D8C495F"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При орално приложение на лизиноприл, максималната плазмена концентрация достига максимум след около 7 часа, въпреки че се наблюдава тенденция за малко закъснение на времето за достигане на максимална плазмена концентрация при пациенти с остър миокарден инфаркт. Оценката на уринната екскреция показва, че средната абсорбционна фракция на лизиноприл е приблизително 25% с вариация между</w:t>
      </w:r>
      <w:r w:rsidRPr="007338C6">
        <w:rPr>
          <w:rFonts w:eastAsia="Times New Roman" w:cs="Arial"/>
          <w:i/>
          <w:iCs/>
          <w:color w:val="000000"/>
          <w:lang w:eastAsia="bg-BG"/>
        </w:rPr>
        <w:t xml:space="preserve"> </w:t>
      </w:r>
      <w:r w:rsidRPr="007338C6">
        <w:rPr>
          <w:rFonts w:eastAsia="Times New Roman" w:cs="Arial"/>
          <w:color w:val="000000"/>
          <w:lang w:eastAsia="bg-BG"/>
        </w:rPr>
        <w:t xml:space="preserve">пациентите от 6-60% при всички тествани дози (5-80 </w:t>
      </w:r>
      <w:r w:rsidRPr="007338C6">
        <w:rPr>
          <w:rFonts w:eastAsia="Times New Roman" w:cs="Arial"/>
          <w:color w:val="000000"/>
          <w:lang w:val="en-US"/>
        </w:rPr>
        <w:t>mg</w:t>
      </w:r>
      <w:r w:rsidRPr="007338C6">
        <w:rPr>
          <w:rFonts w:eastAsia="Times New Roman" w:cs="Arial"/>
          <w:color w:val="000000"/>
          <w:lang w:val="ru-RU"/>
        </w:rPr>
        <w:t xml:space="preserve">). </w:t>
      </w:r>
      <w:r w:rsidRPr="007338C6">
        <w:rPr>
          <w:rFonts w:eastAsia="Times New Roman" w:cs="Arial"/>
          <w:color w:val="000000"/>
          <w:lang w:eastAsia="bg-BG"/>
        </w:rPr>
        <w:t>Абсолютната бионаличност е редуцирана приблизително 16% при пациенти със сърдечна недостатъчност. Абсорбцията на лизиноприл не се повлиява от приема на храна.</w:t>
      </w:r>
    </w:p>
    <w:p w14:paraId="09E7BA13" w14:textId="77777777" w:rsidR="007338C6" w:rsidRPr="007338C6" w:rsidRDefault="007338C6" w:rsidP="007338C6">
      <w:pPr>
        <w:spacing w:line="240" w:lineRule="auto"/>
        <w:rPr>
          <w:rFonts w:eastAsia="Times New Roman" w:cs="Arial"/>
          <w:sz w:val="24"/>
          <w:szCs w:val="24"/>
        </w:rPr>
      </w:pPr>
    </w:p>
    <w:p w14:paraId="21C30CF7" w14:textId="0F1096AB" w:rsidR="007338C6" w:rsidRPr="007338C6" w:rsidRDefault="007338C6" w:rsidP="007338C6">
      <w:pPr>
        <w:pStyle w:val="Heading3"/>
        <w:rPr>
          <w:rFonts w:eastAsia="Times New Roman"/>
          <w:u w:val="single"/>
          <w:lang w:eastAsia="bg-BG"/>
        </w:rPr>
      </w:pPr>
      <w:r w:rsidRPr="007338C6">
        <w:rPr>
          <w:rFonts w:eastAsia="Times New Roman"/>
          <w:u w:val="single"/>
          <w:lang w:eastAsia="bg-BG"/>
        </w:rPr>
        <w:t>Разпределение</w:t>
      </w:r>
    </w:p>
    <w:p w14:paraId="21EF80A7"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Лизиноприл не се свързва с плазмените протеини, различни от циркулиращия ангиотензин конвертиращ ензим (АСЕ). Проучвания върху плъхове са показали, че лизиноприл преминава кръвно-мозъчната бариера.</w:t>
      </w:r>
    </w:p>
    <w:p w14:paraId="681D2EA9" w14:textId="77777777" w:rsidR="007338C6" w:rsidRPr="007338C6" w:rsidRDefault="007338C6" w:rsidP="007338C6">
      <w:pPr>
        <w:spacing w:line="240" w:lineRule="auto"/>
        <w:rPr>
          <w:rFonts w:eastAsia="Times New Roman" w:cs="Arial"/>
          <w:color w:val="000000"/>
          <w:u w:val="single"/>
          <w:lang w:eastAsia="bg-BG"/>
        </w:rPr>
      </w:pPr>
    </w:p>
    <w:p w14:paraId="7C2746CE" w14:textId="1AF946C8" w:rsidR="007338C6" w:rsidRPr="007338C6" w:rsidRDefault="007338C6" w:rsidP="007338C6">
      <w:pPr>
        <w:pStyle w:val="Heading3"/>
        <w:rPr>
          <w:rFonts w:eastAsia="Times New Roman"/>
          <w:u w:val="single"/>
        </w:rPr>
      </w:pPr>
      <w:r w:rsidRPr="007338C6">
        <w:rPr>
          <w:rFonts w:eastAsia="Times New Roman"/>
          <w:u w:val="single"/>
          <w:lang w:eastAsia="bg-BG"/>
        </w:rPr>
        <w:t>Елиминиране</w:t>
      </w:r>
    </w:p>
    <w:p w14:paraId="09D43943"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Лизиноприл не се метаболизира и се екскретира напълно непроменен с урината. При многократно дозиране ефективният плазмен полуживот на лизиноприл е 12,6 часа. Клирънсът на лизиноприл при здрави пациенти е около 50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 xml:space="preserve">. </w:t>
      </w:r>
      <w:r w:rsidRPr="007338C6">
        <w:rPr>
          <w:rFonts w:eastAsia="Times New Roman" w:cs="Arial"/>
          <w:color w:val="000000"/>
          <w:lang w:eastAsia="bg-BG"/>
        </w:rPr>
        <w:t>Плазмената концентрация показва удължена терминална фаза, което не влияе върху кумулацията на лекарството. Тази терминална фаза вероятно показва насищане при свързване с АСЕ и не е дозозависима.</w:t>
      </w:r>
    </w:p>
    <w:p w14:paraId="41B4819C" w14:textId="77777777" w:rsidR="007338C6" w:rsidRPr="007338C6" w:rsidRDefault="007338C6" w:rsidP="007338C6">
      <w:pPr>
        <w:spacing w:line="240" w:lineRule="auto"/>
        <w:rPr>
          <w:rFonts w:eastAsia="Times New Roman" w:cs="Arial"/>
          <w:color w:val="000000"/>
          <w:u w:val="single"/>
          <w:lang w:eastAsia="bg-BG"/>
        </w:rPr>
      </w:pPr>
    </w:p>
    <w:p w14:paraId="2DA56C86" w14:textId="4293F897" w:rsidR="007338C6" w:rsidRPr="007338C6" w:rsidRDefault="007338C6" w:rsidP="007338C6">
      <w:pPr>
        <w:pStyle w:val="Heading3"/>
        <w:rPr>
          <w:rFonts w:eastAsia="Times New Roman"/>
          <w:u w:val="single"/>
        </w:rPr>
      </w:pPr>
      <w:r w:rsidRPr="007338C6">
        <w:rPr>
          <w:rFonts w:eastAsia="Times New Roman"/>
          <w:u w:val="single"/>
          <w:lang w:eastAsia="bg-BG"/>
        </w:rPr>
        <w:t>Чернодробно увреждане</w:t>
      </w:r>
    </w:p>
    <w:p w14:paraId="3E411876"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Увреждането на чернодробната функция при пациенти с чернодробна цироза води до понижаване на абсорбцията на лизиноприл (около 30% определено по наличието в урината), но повишава експозицията (около 50%) в сравнение със здрави доброволци, поради понижения клирънс.</w:t>
      </w:r>
    </w:p>
    <w:p w14:paraId="7300D58F" w14:textId="77777777" w:rsidR="007338C6" w:rsidRPr="007338C6" w:rsidRDefault="007338C6" w:rsidP="007338C6">
      <w:pPr>
        <w:spacing w:line="240" w:lineRule="auto"/>
        <w:rPr>
          <w:rFonts w:eastAsia="Times New Roman" w:cs="Arial"/>
          <w:color w:val="000000"/>
          <w:u w:val="single"/>
          <w:lang w:eastAsia="bg-BG"/>
        </w:rPr>
      </w:pPr>
    </w:p>
    <w:p w14:paraId="62544127" w14:textId="44DD25D2" w:rsidR="007338C6" w:rsidRPr="007338C6" w:rsidRDefault="007338C6" w:rsidP="007338C6">
      <w:pPr>
        <w:pStyle w:val="Heading3"/>
        <w:rPr>
          <w:rFonts w:eastAsia="Times New Roman"/>
          <w:u w:val="single"/>
        </w:rPr>
      </w:pPr>
      <w:r w:rsidRPr="007338C6">
        <w:rPr>
          <w:rFonts w:eastAsia="Times New Roman"/>
          <w:u w:val="single"/>
          <w:lang w:eastAsia="bg-BG"/>
        </w:rPr>
        <w:t>Бъбречно увреждане</w:t>
      </w:r>
    </w:p>
    <w:p w14:paraId="555470A6"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Увреждането на бъбречната функция намалява елиминирането на лизиноприл, който се екскретира през бъбреците, но това намаляване става клинично значимо, само когато степента на глумерулна филтрация спадне под 30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 xml:space="preserve">. </w:t>
      </w:r>
      <w:r w:rsidRPr="007338C6">
        <w:rPr>
          <w:rFonts w:eastAsia="Times New Roman" w:cs="Arial"/>
          <w:color w:val="000000"/>
          <w:lang w:eastAsia="bg-BG"/>
        </w:rPr>
        <w:t xml:space="preserve">При лека до средна степен на бъбречна недостатъчност (креатининов клирънс 30-80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 xml:space="preserve">) </w:t>
      </w:r>
      <w:r w:rsidRPr="007338C6">
        <w:rPr>
          <w:rFonts w:eastAsia="Times New Roman" w:cs="Arial"/>
          <w:color w:val="000000"/>
          <w:lang w:eastAsia="bg-BG"/>
        </w:rPr>
        <w:t xml:space="preserve">средната </w:t>
      </w:r>
      <w:r w:rsidRPr="007338C6">
        <w:rPr>
          <w:rFonts w:eastAsia="Times New Roman" w:cs="Arial"/>
          <w:color w:val="000000"/>
          <w:lang w:val="en-US"/>
        </w:rPr>
        <w:t>AUC</w:t>
      </w:r>
      <w:r w:rsidRPr="007338C6">
        <w:rPr>
          <w:rFonts w:eastAsia="Times New Roman" w:cs="Arial"/>
          <w:color w:val="000000"/>
          <w:lang w:val="ru-RU"/>
        </w:rPr>
        <w:t xml:space="preserve"> </w:t>
      </w:r>
      <w:r w:rsidRPr="007338C6">
        <w:rPr>
          <w:rFonts w:eastAsia="Times New Roman" w:cs="Arial"/>
          <w:color w:val="000000"/>
          <w:lang w:eastAsia="bg-BG"/>
        </w:rPr>
        <w:t xml:space="preserve">се повишава само с 13%. Докато 4,5-кратното покачване на средната </w:t>
      </w:r>
      <w:r w:rsidRPr="007338C6">
        <w:rPr>
          <w:rFonts w:eastAsia="Times New Roman" w:cs="Arial"/>
          <w:color w:val="000000"/>
          <w:lang w:val="en-US"/>
        </w:rPr>
        <w:t>AUC</w:t>
      </w:r>
      <w:r w:rsidRPr="007338C6">
        <w:rPr>
          <w:rFonts w:eastAsia="Times New Roman" w:cs="Arial"/>
          <w:color w:val="000000"/>
          <w:lang w:val="ru-RU"/>
        </w:rPr>
        <w:t xml:space="preserve"> </w:t>
      </w:r>
      <w:r w:rsidRPr="007338C6">
        <w:rPr>
          <w:rFonts w:eastAsia="Times New Roman" w:cs="Arial"/>
          <w:color w:val="000000"/>
          <w:lang w:eastAsia="bg-BG"/>
        </w:rPr>
        <w:t xml:space="preserve">се установява при тежка бъбречна недостатъчност (креатининов клирънс 5-30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w:t>
      </w:r>
    </w:p>
    <w:p w14:paraId="23727755"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Лизиноприл може да бъде отстранен чрез диализа. След 4 часова хемодиализа плазмените концентрации на лизиноприл се понижават средно с 60% с диализен клирънс между 40 и 55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w:t>
      </w:r>
    </w:p>
    <w:p w14:paraId="3DA4EF6A" w14:textId="77777777" w:rsidR="007338C6" w:rsidRPr="007338C6" w:rsidRDefault="007338C6" w:rsidP="007338C6">
      <w:pPr>
        <w:spacing w:line="240" w:lineRule="auto"/>
        <w:rPr>
          <w:rFonts w:eastAsia="Times New Roman" w:cs="Arial"/>
          <w:color w:val="000000"/>
          <w:u w:val="single"/>
          <w:lang w:eastAsia="bg-BG"/>
        </w:rPr>
      </w:pPr>
    </w:p>
    <w:p w14:paraId="7958C859" w14:textId="392AE521" w:rsidR="007338C6" w:rsidRPr="007338C6" w:rsidRDefault="007338C6" w:rsidP="007338C6">
      <w:pPr>
        <w:pStyle w:val="Heading3"/>
        <w:rPr>
          <w:rFonts w:eastAsia="Times New Roman"/>
          <w:u w:val="single"/>
        </w:rPr>
      </w:pPr>
      <w:r w:rsidRPr="007338C6">
        <w:rPr>
          <w:rFonts w:eastAsia="Times New Roman"/>
          <w:u w:val="single"/>
          <w:lang w:eastAsia="bg-BG"/>
        </w:rPr>
        <w:t>Сърдечна недостатъчност</w:t>
      </w:r>
    </w:p>
    <w:p w14:paraId="5E0B01AE"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Пациентите със сърдечна недостатъчност имат по-голяма експозиция на лизиноприл, в сравнение със здрави (повишение на </w:t>
      </w:r>
      <w:r w:rsidRPr="007338C6">
        <w:rPr>
          <w:rFonts w:eastAsia="Times New Roman" w:cs="Arial"/>
          <w:color w:val="000000"/>
          <w:lang w:val="en-US"/>
        </w:rPr>
        <w:t>AUC</w:t>
      </w:r>
      <w:r w:rsidRPr="007338C6">
        <w:rPr>
          <w:rFonts w:eastAsia="Times New Roman" w:cs="Arial"/>
          <w:color w:val="000000"/>
          <w:lang w:val="ru-RU"/>
        </w:rPr>
        <w:t xml:space="preserve"> </w:t>
      </w:r>
      <w:r w:rsidRPr="007338C6">
        <w:rPr>
          <w:rFonts w:eastAsia="Times New Roman" w:cs="Arial"/>
          <w:color w:val="000000"/>
          <w:lang w:eastAsia="bg-BG"/>
        </w:rPr>
        <w:t>средно с 125%), но имат намалена абсорбция с около 16% в сравнение със здравите.</w:t>
      </w:r>
    </w:p>
    <w:p w14:paraId="63C5DFE3" w14:textId="77777777" w:rsidR="007338C6" w:rsidRPr="007338C6" w:rsidRDefault="007338C6" w:rsidP="007338C6">
      <w:pPr>
        <w:spacing w:line="240" w:lineRule="auto"/>
        <w:rPr>
          <w:rFonts w:eastAsia="Times New Roman" w:cs="Arial"/>
          <w:color w:val="000000"/>
          <w:u w:val="single"/>
          <w:lang w:eastAsia="bg-BG"/>
        </w:rPr>
      </w:pPr>
    </w:p>
    <w:p w14:paraId="674C5A15" w14:textId="020DBADA" w:rsidR="007338C6" w:rsidRPr="007338C6" w:rsidRDefault="007338C6" w:rsidP="007338C6">
      <w:pPr>
        <w:pStyle w:val="Heading3"/>
        <w:rPr>
          <w:rFonts w:eastAsia="Times New Roman"/>
          <w:u w:val="single"/>
        </w:rPr>
      </w:pPr>
      <w:r w:rsidRPr="007338C6">
        <w:rPr>
          <w:rFonts w:eastAsia="Times New Roman"/>
          <w:u w:val="single"/>
          <w:lang w:eastAsia="bg-BG"/>
        </w:rPr>
        <w:t>Педиатрична популапия</w:t>
      </w:r>
    </w:p>
    <w:p w14:paraId="7728CAB7"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Фармакокинетичният профил на лизиноприл е проучван при 29 педиатрични антихипертензивни пациенти на възраст между 6 и 16 години, с </w:t>
      </w:r>
      <w:r w:rsidRPr="007338C6">
        <w:rPr>
          <w:rFonts w:eastAsia="Times New Roman" w:cs="Arial"/>
          <w:color w:val="000000"/>
          <w:lang w:val="en-US"/>
        </w:rPr>
        <w:t>GFR</w:t>
      </w:r>
      <w:r w:rsidRPr="007338C6">
        <w:rPr>
          <w:rFonts w:eastAsia="Times New Roman" w:cs="Arial"/>
          <w:color w:val="000000"/>
          <w:lang w:val="ru-RU"/>
        </w:rPr>
        <w:t xml:space="preserve"> </w:t>
      </w:r>
      <w:r w:rsidRPr="007338C6">
        <w:rPr>
          <w:rFonts w:eastAsia="Times New Roman" w:cs="Arial"/>
          <w:color w:val="000000"/>
          <w:lang w:eastAsia="bg-BG"/>
        </w:rPr>
        <w:t xml:space="preserve">над 30 </w:t>
      </w:r>
      <w:r w:rsidRPr="007338C6">
        <w:rPr>
          <w:rFonts w:eastAsia="Times New Roman" w:cs="Arial"/>
          <w:color w:val="000000"/>
          <w:lang w:val="en-US"/>
        </w:rPr>
        <w:t>ml</w:t>
      </w:r>
      <w:r w:rsidRPr="007338C6">
        <w:rPr>
          <w:rFonts w:eastAsia="Times New Roman" w:cs="Arial"/>
          <w:color w:val="000000"/>
          <w:lang w:val="ru-RU"/>
        </w:rPr>
        <w:t>/</w:t>
      </w:r>
      <w:r w:rsidRPr="007338C6">
        <w:rPr>
          <w:rFonts w:eastAsia="Times New Roman" w:cs="Arial"/>
          <w:color w:val="000000"/>
          <w:lang w:val="en-US"/>
        </w:rPr>
        <w:t>min</w:t>
      </w:r>
      <w:r w:rsidRPr="007338C6">
        <w:rPr>
          <w:rFonts w:eastAsia="Times New Roman" w:cs="Arial"/>
          <w:color w:val="000000"/>
          <w:lang w:val="ru-RU"/>
        </w:rPr>
        <w:t>/1,73</w:t>
      </w:r>
      <w:r w:rsidRPr="007338C6">
        <w:rPr>
          <w:rFonts w:eastAsia="Times New Roman" w:cs="Arial"/>
          <w:color w:val="000000"/>
          <w:lang w:val="en-US"/>
        </w:rPr>
        <w:t>m</w:t>
      </w:r>
      <w:r w:rsidRPr="007338C6">
        <w:rPr>
          <w:rFonts w:eastAsia="Times New Roman" w:cs="Arial"/>
          <w:color w:val="000000"/>
          <w:vertAlign w:val="superscript"/>
          <w:lang w:val="ru-RU"/>
        </w:rPr>
        <w:t>2</w:t>
      </w:r>
      <w:r w:rsidRPr="007338C6">
        <w:rPr>
          <w:rFonts w:eastAsia="Times New Roman" w:cs="Arial"/>
          <w:color w:val="000000"/>
          <w:lang w:val="ru-RU"/>
        </w:rPr>
        <w:t xml:space="preserve">. </w:t>
      </w:r>
      <w:r w:rsidRPr="007338C6">
        <w:rPr>
          <w:rFonts w:eastAsia="Times New Roman" w:cs="Arial"/>
          <w:color w:val="000000"/>
          <w:lang w:eastAsia="bg-BG"/>
        </w:rPr>
        <w:t xml:space="preserve">След дози от 0,1 до 0,2 </w:t>
      </w:r>
      <w:r w:rsidRPr="007338C6">
        <w:rPr>
          <w:rFonts w:eastAsia="Times New Roman" w:cs="Arial"/>
          <w:color w:val="000000"/>
          <w:lang w:val="en-US"/>
        </w:rPr>
        <w:t>mg</w:t>
      </w:r>
      <w:r w:rsidRPr="007338C6">
        <w:rPr>
          <w:rFonts w:eastAsia="Times New Roman" w:cs="Arial"/>
          <w:color w:val="000000"/>
          <w:lang w:val="ru-RU"/>
        </w:rPr>
        <w:t>/</w:t>
      </w:r>
      <w:r w:rsidRPr="007338C6">
        <w:rPr>
          <w:rFonts w:eastAsia="Times New Roman" w:cs="Arial"/>
          <w:color w:val="000000"/>
          <w:lang w:val="en-US"/>
        </w:rPr>
        <w:t>kg</w:t>
      </w:r>
      <w:r w:rsidRPr="007338C6">
        <w:rPr>
          <w:rFonts w:eastAsia="Times New Roman" w:cs="Arial"/>
          <w:color w:val="000000"/>
          <w:lang w:val="ru-RU"/>
        </w:rPr>
        <w:t xml:space="preserve">, </w:t>
      </w:r>
      <w:r w:rsidRPr="007338C6">
        <w:rPr>
          <w:rFonts w:eastAsia="Times New Roman" w:cs="Arial"/>
          <w:color w:val="000000"/>
          <w:lang w:eastAsia="bg-BG"/>
        </w:rPr>
        <w:t xml:space="preserve">пикът на </w:t>
      </w:r>
      <w:r w:rsidRPr="007338C6">
        <w:rPr>
          <w:rFonts w:eastAsia="Times New Roman" w:cs="Arial"/>
          <w:i/>
          <w:iCs/>
          <w:color w:val="000000"/>
          <w:lang w:val="en-US"/>
        </w:rPr>
        <w:t>steady</w:t>
      </w:r>
      <w:r w:rsidRPr="007338C6">
        <w:rPr>
          <w:rFonts w:eastAsia="Times New Roman" w:cs="Arial"/>
          <w:i/>
          <w:iCs/>
          <w:color w:val="000000"/>
          <w:lang w:val="ru-RU"/>
        </w:rPr>
        <w:t xml:space="preserve"> </w:t>
      </w:r>
      <w:r w:rsidRPr="007338C6">
        <w:rPr>
          <w:rFonts w:eastAsia="Times New Roman" w:cs="Arial"/>
          <w:i/>
          <w:iCs/>
          <w:color w:val="000000"/>
          <w:lang w:val="en-US"/>
        </w:rPr>
        <w:t>state</w:t>
      </w:r>
      <w:r w:rsidRPr="007338C6">
        <w:rPr>
          <w:rFonts w:eastAsia="Times New Roman" w:cs="Arial"/>
          <w:color w:val="000000"/>
          <w:lang w:val="ru-RU"/>
        </w:rPr>
        <w:t xml:space="preserve"> </w:t>
      </w:r>
      <w:r w:rsidRPr="007338C6">
        <w:rPr>
          <w:rFonts w:eastAsia="Times New Roman" w:cs="Arial"/>
          <w:color w:val="000000"/>
          <w:lang w:eastAsia="bg-BG"/>
        </w:rPr>
        <w:t>плазмената концентрация на лизиноприл се установи в рамките на 6 часа, а увеличената абсорбция базирана на</w:t>
      </w:r>
      <w:r w:rsidRPr="007338C6">
        <w:rPr>
          <w:rFonts w:eastAsia="Times New Roman" w:cs="Arial"/>
          <w:color w:val="000000"/>
          <w:lang w:val="ru-RU"/>
        </w:rPr>
        <w:t xml:space="preserve"> </w:t>
      </w:r>
      <w:r w:rsidRPr="007338C6">
        <w:rPr>
          <w:rFonts w:eastAsia="Times New Roman" w:cs="Arial"/>
          <w:color w:val="000000"/>
          <w:lang w:eastAsia="bg-BG"/>
        </w:rPr>
        <w:t>уринарното възстановяване е около 28%.</w:t>
      </w:r>
    </w:p>
    <w:p w14:paraId="72F5CEAE"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 xml:space="preserve">Тези стойности са подобни на онези получени вече при възрастни пациенти. Стойностите на </w:t>
      </w:r>
      <w:r w:rsidRPr="007338C6">
        <w:rPr>
          <w:rFonts w:eastAsia="Times New Roman" w:cs="Arial"/>
          <w:color w:val="000000"/>
          <w:lang w:val="en-US"/>
        </w:rPr>
        <w:t>AUC</w:t>
      </w:r>
      <w:r w:rsidRPr="007338C6">
        <w:rPr>
          <w:rFonts w:eastAsia="Times New Roman" w:cs="Arial"/>
          <w:color w:val="000000"/>
          <w:lang w:val="ru-RU"/>
        </w:rPr>
        <w:t xml:space="preserve"> </w:t>
      </w:r>
      <w:r w:rsidRPr="007338C6">
        <w:rPr>
          <w:rFonts w:eastAsia="Times New Roman" w:cs="Arial"/>
          <w:color w:val="000000"/>
          <w:lang w:eastAsia="bg-BG"/>
        </w:rPr>
        <w:t>и С</w:t>
      </w:r>
      <w:r w:rsidRPr="007338C6">
        <w:rPr>
          <w:rFonts w:eastAsia="Times New Roman" w:cs="Arial"/>
          <w:color w:val="000000"/>
          <w:vertAlign w:val="subscript"/>
          <w:lang w:val="en-US"/>
        </w:rPr>
        <w:t>max</w:t>
      </w:r>
      <w:r w:rsidRPr="007338C6">
        <w:rPr>
          <w:rFonts w:eastAsia="Times New Roman" w:cs="Arial"/>
          <w:color w:val="000000"/>
          <w:lang w:eastAsia="bg-BG"/>
        </w:rPr>
        <w:t xml:space="preserve"> при деца в това проучване са съпоставими с онези наблюдавани при възрастни.</w:t>
      </w:r>
    </w:p>
    <w:p w14:paraId="35F788E6" w14:textId="77777777" w:rsidR="007338C6" w:rsidRPr="007338C6" w:rsidRDefault="007338C6" w:rsidP="007338C6">
      <w:pPr>
        <w:spacing w:line="240" w:lineRule="auto"/>
        <w:rPr>
          <w:rFonts w:eastAsia="Times New Roman" w:cs="Arial"/>
          <w:color w:val="000000"/>
          <w:u w:val="single"/>
          <w:lang w:eastAsia="bg-BG"/>
        </w:rPr>
      </w:pPr>
    </w:p>
    <w:p w14:paraId="5B06E152" w14:textId="7B8199D5" w:rsidR="007338C6" w:rsidRPr="007338C6" w:rsidRDefault="007338C6" w:rsidP="007338C6">
      <w:pPr>
        <w:pStyle w:val="Heading3"/>
        <w:rPr>
          <w:rFonts w:eastAsia="Times New Roman"/>
          <w:u w:val="single"/>
        </w:rPr>
      </w:pPr>
      <w:r w:rsidRPr="007338C6">
        <w:rPr>
          <w:rFonts w:eastAsia="Times New Roman"/>
          <w:u w:val="single"/>
          <w:lang w:eastAsia="bg-BG"/>
        </w:rPr>
        <w:t>Старческа възраст</w:t>
      </w:r>
    </w:p>
    <w:p w14:paraId="31FEE739" w14:textId="77777777" w:rsidR="007338C6" w:rsidRPr="007338C6" w:rsidRDefault="007338C6" w:rsidP="007338C6">
      <w:pPr>
        <w:spacing w:line="240" w:lineRule="auto"/>
        <w:rPr>
          <w:rFonts w:eastAsia="Times New Roman" w:cs="Arial"/>
          <w:sz w:val="24"/>
          <w:szCs w:val="24"/>
        </w:rPr>
      </w:pPr>
      <w:r w:rsidRPr="007338C6">
        <w:rPr>
          <w:rFonts w:eastAsia="Times New Roman" w:cs="Arial"/>
          <w:color w:val="000000"/>
          <w:lang w:eastAsia="bg-BG"/>
        </w:rPr>
        <w:t>По-възрастните пациенти имат по-високи нива и по-високи стойности за площта под кривата (увеличение около 60%) в сравнение с по-млади.</w:t>
      </w:r>
    </w:p>
    <w:p w14:paraId="0A70DE7D" w14:textId="77777777" w:rsidR="007338C6" w:rsidRPr="007338C6" w:rsidRDefault="007338C6" w:rsidP="007338C6"/>
    <w:p w14:paraId="4FB791BE" w14:textId="01E9C0F4" w:rsidR="00B6672E" w:rsidRDefault="002C50EE" w:rsidP="00936AD0">
      <w:pPr>
        <w:pStyle w:val="Heading2"/>
      </w:pPr>
      <w:r>
        <w:t>5.3. Предклинични данни за безопасност</w:t>
      </w:r>
    </w:p>
    <w:p w14:paraId="7F9BFD72" w14:textId="1E56F016" w:rsidR="007338C6" w:rsidRDefault="007338C6" w:rsidP="007338C6"/>
    <w:p w14:paraId="7797C7A5" w14:textId="77777777" w:rsidR="007338C6" w:rsidRPr="007338C6" w:rsidRDefault="007338C6" w:rsidP="007338C6">
      <w:pPr>
        <w:rPr>
          <w:rFonts w:eastAsia="Times New Roman" w:cs="Arial"/>
          <w:sz w:val="24"/>
          <w:szCs w:val="24"/>
        </w:rPr>
      </w:pPr>
      <w:r w:rsidRPr="007338C6">
        <w:rPr>
          <w:rFonts w:cs="Arial"/>
        </w:rPr>
        <w:t>Предклиничните данни не предоставят по-специална информация при хора</w:t>
      </w:r>
      <w:r w:rsidRPr="007338C6">
        <w:rPr>
          <w:rFonts w:cs="Arial"/>
          <w:lang w:val="ru-RU"/>
        </w:rPr>
        <w:t xml:space="preserve"> </w:t>
      </w:r>
      <w:r w:rsidRPr="007338C6">
        <w:rPr>
          <w:rFonts w:cs="Arial"/>
        </w:rPr>
        <w:t>възоснова на конвенционални проучвания върху общата фармакология, токсичност при неколкократно прилагане, генотоксичност и карциногенен потенциал. Инхибиторите на ангиотензин-конвертиращия ензим показват нежелани ефекти върху късните стадии на развитие на плода, което води до смърт на плода и конгенитални ефекти, в частност</w:t>
      </w:r>
      <w:r w:rsidRPr="007338C6">
        <w:rPr>
          <w:rFonts w:cs="Arial"/>
          <w:lang w:val="ru-RU"/>
        </w:rPr>
        <w:t xml:space="preserve"> </w:t>
      </w:r>
      <w:r w:rsidRPr="007338C6">
        <w:rPr>
          <w:rFonts w:eastAsia="Times New Roman" w:cs="Arial"/>
          <w:color w:val="000000"/>
          <w:lang w:eastAsia="bg-BG"/>
        </w:rPr>
        <w:t>засягащи черепа. Докладвани са случаи на фетотоксичност, интраутеринна растежна ретардация и отворен дуктус артериозус. Тези аномалии в развитието са в резултат на директното въздействие на АСЕ инхибиторите върху феталната ренин-ангиотензинова система и в резултат на исхемия при майчина хипотония и намален приток на кръв, кислород/хранителни вещества през плацентата към плода.</w:t>
      </w:r>
    </w:p>
    <w:p w14:paraId="0845352B" w14:textId="028DF116" w:rsidR="007338C6" w:rsidRPr="007338C6" w:rsidRDefault="007338C6" w:rsidP="007338C6"/>
    <w:p w14:paraId="1BA6531D" w14:textId="6A4863B4" w:rsidR="00B6672E" w:rsidRDefault="002C50EE" w:rsidP="00936AD0">
      <w:pPr>
        <w:pStyle w:val="Heading1"/>
      </w:pPr>
      <w:r>
        <w:t>7. ПРИТЕЖАТЕЛ НА РАЗРЕШЕНИЕТО ЗА УПОТРЕБА</w:t>
      </w:r>
    </w:p>
    <w:p w14:paraId="7625D637" w14:textId="2497F66A" w:rsidR="007338C6" w:rsidRDefault="007338C6" w:rsidP="007338C6"/>
    <w:p w14:paraId="0B442131" w14:textId="77777777" w:rsidR="007338C6" w:rsidRPr="007338C6" w:rsidRDefault="007338C6" w:rsidP="007338C6">
      <w:pPr>
        <w:rPr>
          <w:sz w:val="24"/>
          <w:szCs w:val="24"/>
          <w:lang w:val="en-US"/>
        </w:rPr>
      </w:pPr>
      <w:proofErr w:type="spellStart"/>
      <w:r w:rsidRPr="007338C6">
        <w:rPr>
          <w:lang w:val="en-US"/>
        </w:rPr>
        <w:t>Gedeon</w:t>
      </w:r>
      <w:proofErr w:type="spellEnd"/>
      <w:r w:rsidRPr="007338C6">
        <w:rPr>
          <w:lang w:val="en-US"/>
        </w:rPr>
        <w:t xml:space="preserve"> Richter Plc.</w:t>
      </w:r>
    </w:p>
    <w:p w14:paraId="4FBA1863" w14:textId="77777777" w:rsidR="007338C6" w:rsidRPr="007338C6" w:rsidRDefault="007338C6" w:rsidP="007338C6">
      <w:pPr>
        <w:rPr>
          <w:sz w:val="24"/>
          <w:szCs w:val="24"/>
          <w:lang w:val="en-US"/>
        </w:rPr>
      </w:pPr>
      <w:proofErr w:type="spellStart"/>
      <w:r w:rsidRPr="007338C6">
        <w:rPr>
          <w:lang w:val="en-US"/>
        </w:rPr>
        <w:lastRenderedPageBreak/>
        <w:t>Gyomroi</w:t>
      </w:r>
      <w:proofErr w:type="spellEnd"/>
      <w:r w:rsidRPr="007338C6">
        <w:rPr>
          <w:lang w:val="en-US"/>
        </w:rPr>
        <w:t xml:space="preserve"> </w:t>
      </w:r>
      <w:proofErr w:type="spellStart"/>
      <w:r w:rsidRPr="007338C6">
        <w:rPr>
          <w:lang w:val="en-US"/>
        </w:rPr>
        <w:t>ut</w:t>
      </w:r>
      <w:proofErr w:type="spellEnd"/>
      <w:r w:rsidRPr="007338C6">
        <w:rPr>
          <w:lang w:val="en-US"/>
        </w:rPr>
        <w:t xml:space="preserve"> 19-21.</w:t>
      </w:r>
    </w:p>
    <w:p w14:paraId="74D512DA" w14:textId="314661A9" w:rsidR="007338C6" w:rsidRPr="007338C6" w:rsidRDefault="007338C6" w:rsidP="007338C6">
      <w:r w:rsidRPr="007338C6">
        <w:rPr>
          <w:lang w:val="ru-RU"/>
        </w:rPr>
        <w:t xml:space="preserve">1103 </w:t>
      </w:r>
      <w:r w:rsidRPr="007338C6">
        <w:rPr>
          <w:lang w:val="en-US"/>
        </w:rPr>
        <w:t>Budapest</w:t>
      </w:r>
      <w:r w:rsidRPr="007338C6">
        <w:rPr>
          <w:lang w:val="ru-RU"/>
        </w:rPr>
        <w:t xml:space="preserve">, </w:t>
      </w:r>
      <w:r w:rsidRPr="007338C6">
        <w:rPr>
          <w:lang w:eastAsia="bg-BG"/>
        </w:rPr>
        <w:t>Унгария</w:t>
      </w:r>
    </w:p>
    <w:p w14:paraId="508F3A54" w14:textId="741D661C" w:rsidR="00B6672E" w:rsidRDefault="00936AD0" w:rsidP="00936AD0">
      <w:pPr>
        <w:pStyle w:val="Heading1"/>
      </w:pPr>
      <w:r>
        <w:t>8.</w:t>
      </w:r>
      <w:r w:rsidR="002C50EE">
        <w:t>НОМЕР НА РАЗРЕШЕНИЕТО ЗА УПОТРЕБА</w:t>
      </w:r>
    </w:p>
    <w:p w14:paraId="26E33895" w14:textId="75FE8212" w:rsidR="007338C6" w:rsidRDefault="007338C6" w:rsidP="007338C6"/>
    <w:p w14:paraId="51C75339" w14:textId="77777777" w:rsidR="007338C6" w:rsidRPr="007338C6" w:rsidRDefault="007338C6" w:rsidP="007338C6">
      <w:pPr>
        <w:rPr>
          <w:sz w:val="24"/>
          <w:szCs w:val="24"/>
        </w:rPr>
      </w:pPr>
      <w:r w:rsidRPr="007338C6">
        <w:rPr>
          <w:lang w:eastAsia="bg-BG"/>
        </w:rPr>
        <w:t xml:space="preserve">Диротон таблетки 5 </w:t>
      </w:r>
      <w:r w:rsidRPr="007338C6">
        <w:rPr>
          <w:lang w:val="en-US"/>
        </w:rPr>
        <w:t>mg</w:t>
      </w:r>
      <w:r w:rsidRPr="007338C6">
        <w:t xml:space="preserve"> </w:t>
      </w:r>
      <w:r w:rsidRPr="007338C6">
        <w:rPr>
          <w:lang w:val="en-US"/>
        </w:rPr>
        <w:t>per</w:t>
      </w:r>
      <w:r w:rsidRPr="007338C6">
        <w:t xml:space="preserve">. </w:t>
      </w:r>
      <w:r w:rsidRPr="007338C6">
        <w:rPr>
          <w:lang w:eastAsia="bg-BG"/>
        </w:rPr>
        <w:t>№: 20020478</w:t>
      </w:r>
    </w:p>
    <w:p w14:paraId="66D0991B" w14:textId="77777777" w:rsidR="007338C6" w:rsidRPr="007338C6" w:rsidRDefault="007338C6" w:rsidP="007338C6">
      <w:pPr>
        <w:rPr>
          <w:sz w:val="24"/>
          <w:szCs w:val="24"/>
        </w:rPr>
      </w:pPr>
      <w:r w:rsidRPr="007338C6">
        <w:rPr>
          <w:lang w:eastAsia="bg-BG"/>
        </w:rPr>
        <w:t xml:space="preserve">Диротон таблетки 10 </w:t>
      </w:r>
      <w:r w:rsidRPr="007338C6">
        <w:rPr>
          <w:lang w:val="en-US"/>
        </w:rPr>
        <w:t>mg</w:t>
      </w:r>
      <w:r w:rsidRPr="007338C6">
        <w:t xml:space="preserve"> </w:t>
      </w:r>
      <w:r w:rsidRPr="007338C6">
        <w:rPr>
          <w:lang w:val="en-US"/>
        </w:rPr>
        <w:t>per</w:t>
      </w:r>
      <w:r w:rsidRPr="007338C6">
        <w:t xml:space="preserve">. </w:t>
      </w:r>
      <w:r w:rsidRPr="007338C6">
        <w:rPr>
          <w:lang w:eastAsia="bg-BG"/>
        </w:rPr>
        <w:t>№: 20020479</w:t>
      </w:r>
    </w:p>
    <w:p w14:paraId="3FD0D37E" w14:textId="6B8E941F" w:rsidR="007338C6" w:rsidRPr="007338C6" w:rsidRDefault="007338C6" w:rsidP="007338C6">
      <w:r w:rsidRPr="007338C6">
        <w:rPr>
          <w:lang w:eastAsia="bg-BG"/>
        </w:rPr>
        <w:t xml:space="preserve">Диротон таблетки 20 </w:t>
      </w:r>
      <w:r w:rsidRPr="007338C6">
        <w:rPr>
          <w:lang w:val="en-US"/>
        </w:rPr>
        <w:t>mg</w:t>
      </w:r>
      <w:r w:rsidRPr="007338C6">
        <w:rPr>
          <w:lang w:val="ru-RU"/>
        </w:rPr>
        <w:t xml:space="preserve"> </w:t>
      </w:r>
      <w:r w:rsidRPr="007338C6">
        <w:rPr>
          <w:lang w:val="en-US"/>
        </w:rPr>
        <w:t>per</w:t>
      </w:r>
      <w:r w:rsidRPr="007338C6">
        <w:rPr>
          <w:lang w:val="ru-RU"/>
        </w:rPr>
        <w:t xml:space="preserve">. </w:t>
      </w:r>
      <w:r w:rsidRPr="007338C6">
        <w:rPr>
          <w:lang w:eastAsia="bg-BG"/>
        </w:rPr>
        <w:t>№: 20020480</w:t>
      </w:r>
    </w:p>
    <w:p w14:paraId="2CCB5832" w14:textId="57D55801" w:rsidR="007C605B" w:rsidRDefault="002C50EE" w:rsidP="007C605B">
      <w:pPr>
        <w:pStyle w:val="Heading1"/>
      </w:pPr>
      <w:r>
        <w:t>9. ДАТА НА ПЪРВО РАЗРЕШАВАНЕ/ПОДНОВЯВАНЕ НА РАЗРЕШЕНИЕТО ЗА УПОТРЕБА</w:t>
      </w:r>
    </w:p>
    <w:p w14:paraId="2E9E0A30" w14:textId="7FF99585" w:rsidR="007338C6" w:rsidRDefault="007338C6" w:rsidP="007338C6"/>
    <w:p w14:paraId="425F3605" w14:textId="77777777" w:rsidR="007338C6" w:rsidRPr="007338C6" w:rsidRDefault="007338C6" w:rsidP="007338C6">
      <w:pPr>
        <w:rPr>
          <w:sz w:val="24"/>
          <w:szCs w:val="24"/>
        </w:rPr>
      </w:pPr>
      <w:bookmarkStart w:id="1" w:name="_GoBack"/>
      <w:r w:rsidRPr="007338C6">
        <w:rPr>
          <w:lang w:eastAsia="bg-BG"/>
        </w:rPr>
        <w:t>Дата на първо разрешаване: 14.06.2002 (в България)</w:t>
      </w:r>
    </w:p>
    <w:p w14:paraId="24EA1777" w14:textId="59A84212" w:rsidR="007338C6" w:rsidRPr="007338C6" w:rsidRDefault="007338C6" w:rsidP="007338C6">
      <w:r w:rsidRPr="007338C6">
        <w:rPr>
          <w:lang w:eastAsia="bg-BG"/>
        </w:rPr>
        <w:t>Дата на последно подновяване на разрешението за употреба: 29.08.2007</w:t>
      </w:r>
    </w:p>
    <w:bookmarkEnd w:id="1"/>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D0F6C"/>
    <w:multiLevelType w:val="hybridMultilevel"/>
    <w:tmpl w:val="C314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D0013"/>
    <w:multiLevelType w:val="hybridMultilevel"/>
    <w:tmpl w:val="1F9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4"/>
  </w:num>
  <w:num w:numId="15">
    <w:abstractNumId w:val="32"/>
  </w:num>
  <w:num w:numId="16">
    <w:abstractNumId w:val="12"/>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7"/>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2594"/>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338C6"/>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534A2"/>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7407</Words>
  <Characters>42222</Characters>
  <Application>Microsoft Office Word</Application>
  <DocSecurity>0</DocSecurity>
  <Lines>351</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2022-07-20T12:21:00Z</dcterms:created>
  <dcterms:modified xsi:type="dcterms:W3CDTF">2022-07-20T12:21:00Z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