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B48F8E0" w:rsidR="007122AD" w:rsidRDefault="00DD466D" w:rsidP="00936AD0">
      <w:pPr>
        <w:pStyle w:val="Heading1"/>
      </w:pPr>
      <w:r>
        <w:t>1.ИМЕ НА ЛЕКАРСТВЕНИЯ ПРОДУКТ</w:t>
      </w:r>
    </w:p>
    <w:p w14:paraId="198096EC" w14:textId="752AA4A3" w:rsidR="00E534A2" w:rsidRDefault="00E534A2" w:rsidP="00E534A2"/>
    <w:p w14:paraId="5214D47D" w14:textId="77777777" w:rsidR="00E534A2" w:rsidRPr="00E534A2" w:rsidRDefault="00E534A2" w:rsidP="00E534A2">
      <w:pPr>
        <w:rPr>
          <w:sz w:val="24"/>
          <w:szCs w:val="24"/>
          <w:lang w:val="ru-RU"/>
        </w:rPr>
      </w:pPr>
      <w:r w:rsidRPr="00E534A2">
        <w:rPr>
          <w:lang w:eastAsia="bg-BG"/>
        </w:rPr>
        <w:t xml:space="preserve">ДИРОТОН 5 </w:t>
      </w:r>
      <w:r w:rsidRPr="00E534A2">
        <w:rPr>
          <w:lang w:val="en-US"/>
        </w:rPr>
        <w:t>mg</w:t>
      </w:r>
      <w:r w:rsidRPr="00E534A2">
        <w:rPr>
          <w:lang w:val="ru-RU"/>
        </w:rPr>
        <w:t xml:space="preserve"> </w:t>
      </w:r>
      <w:r w:rsidRPr="00E534A2">
        <w:rPr>
          <w:lang w:eastAsia="bg-BG"/>
        </w:rPr>
        <w:t>таблетки</w:t>
      </w:r>
    </w:p>
    <w:p w14:paraId="0428991A" w14:textId="77777777" w:rsidR="00E534A2" w:rsidRPr="00E534A2" w:rsidRDefault="00E534A2" w:rsidP="00E534A2">
      <w:pPr>
        <w:rPr>
          <w:sz w:val="24"/>
          <w:szCs w:val="24"/>
          <w:lang w:val="ru-RU"/>
        </w:rPr>
      </w:pPr>
      <w:r w:rsidRPr="00E534A2">
        <w:rPr>
          <w:lang w:eastAsia="bg-BG"/>
        </w:rPr>
        <w:t xml:space="preserve">ДИРОТОН 10 </w:t>
      </w:r>
      <w:r w:rsidRPr="00E534A2">
        <w:rPr>
          <w:lang w:val="en-US"/>
        </w:rPr>
        <w:t>mg</w:t>
      </w:r>
      <w:r w:rsidRPr="00E534A2">
        <w:rPr>
          <w:lang w:val="ru-RU"/>
        </w:rPr>
        <w:t xml:space="preserve"> </w:t>
      </w:r>
      <w:r w:rsidRPr="00E534A2">
        <w:rPr>
          <w:lang w:eastAsia="bg-BG"/>
        </w:rPr>
        <w:t>таблетки</w:t>
      </w:r>
    </w:p>
    <w:p w14:paraId="24863E2F" w14:textId="77777777" w:rsidR="00E534A2" w:rsidRPr="00E534A2" w:rsidRDefault="00E534A2" w:rsidP="00E534A2">
      <w:pPr>
        <w:rPr>
          <w:sz w:val="24"/>
          <w:szCs w:val="24"/>
          <w:lang w:val="ru-RU"/>
        </w:rPr>
      </w:pPr>
      <w:r w:rsidRPr="00E534A2">
        <w:rPr>
          <w:lang w:eastAsia="bg-BG"/>
        </w:rPr>
        <w:t xml:space="preserve">ДИРОТОН 20 </w:t>
      </w:r>
      <w:r w:rsidRPr="00E534A2">
        <w:rPr>
          <w:lang w:val="en-US"/>
        </w:rPr>
        <w:t>mg</w:t>
      </w:r>
      <w:r w:rsidRPr="00E534A2">
        <w:rPr>
          <w:lang w:val="ru-RU"/>
        </w:rPr>
        <w:t xml:space="preserve"> </w:t>
      </w:r>
      <w:r w:rsidRPr="00E534A2">
        <w:rPr>
          <w:lang w:eastAsia="bg-BG"/>
        </w:rPr>
        <w:t>таблетки</w:t>
      </w:r>
    </w:p>
    <w:p w14:paraId="38675F0F" w14:textId="77777777" w:rsidR="00E534A2" w:rsidRPr="00E534A2" w:rsidRDefault="00E534A2" w:rsidP="00E534A2">
      <w:pPr>
        <w:rPr>
          <w:lang w:val="ru-RU"/>
        </w:rPr>
      </w:pPr>
    </w:p>
    <w:p w14:paraId="4D0C4C58" w14:textId="60304F84" w:rsidR="00E534A2" w:rsidRPr="00E534A2" w:rsidRDefault="00E534A2" w:rsidP="00E534A2">
      <w:pPr>
        <w:rPr>
          <w:sz w:val="24"/>
          <w:szCs w:val="24"/>
          <w:lang w:val="ru-RU"/>
        </w:rPr>
      </w:pPr>
      <w:r w:rsidRPr="00E534A2">
        <w:rPr>
          <w:lang w:val="en-US"/>
        </w:rPr>
        <w:t>DIROTON</w:t>
      </w:r>
      <w:r w:rsidRPr="00E534A2">
        <w:rPr>
          <w:lang w:val="ru-RU"/>
        </w:rPr>
        <w:t xml:space="preserve"> </w:t>
      </w:r>
      <w:r w:rsidRPr="00E534A2">
        <w:rPr>
          <w:lang w:eastAsia="bg-BG"/>
        </w:rPr>
        <w:t xml:space="preserve">5 </w:t>
      </w:r>
      <w:r w:rsidRPr="00E534A2">
        <w:rPr>
          <w:lang w:val="en-US"/>
        </w:rPr>
        <w:t>mg</w:t>
      </w:r>
      <w:r w:rsidRPr="00E534A2">
        <w:rPr>
          <w:lang w:val="ru-RU"/>
        </w:rPr>
        <w:t xml:space="preserve"> </w:t>
      </w:r>
      <w:r w:rsidRPr="00E534A2">
        <w:rPr>
          <w:lang w:val="en-US"/>
        </w:rPr>
        <w:t>tablets</w:t>
      </w:r>
    </w:p>
    <w:p w14:paraId="6BD99971" w14:textId="77777777" w:rsidR="00E534A2" w:rsidRPr="00E534A2" w:rsidRDefault="00E534A2" w:rsidP="00E534A2">
      <w:pPr>
        <w:rPr>
          <w:sz w:val="24"/>
          <w:szCs w:val="24"/>
          <w:lang w:val="en-US"/>
        </w:rPr>
      </w:pPr>
      <w:r w:rsidRPr="00E534A2">
        <w:rPr>
          <w:lang w:val="en-US"/>
        </w:rPr>
        <w:t xml:space="preserve">DIROTON </w:t>
      </w:r>
      <w:r w:rsidRPr="00E534A2">
        <w:rPr>
          <w:lang w:eastAsia="bg-BG"/>
        </w:rPr>
        <w:t xml:space="preserve">10 </w:t>
      </w:r>
      <w:r w:rsidRPr="00E534A2">
        <w:rPr>
          <w:lang w:val="en-US"/>
        </w:rPr>
        <w:t>mg tablets</w:t>
      </w:r>
    </w:p>
    <w:p w14:paraId="7FFAF74C" w14:textId="15E07D36" w:rsidR="00E534A2" w:rsidRPr="00E534A2" w:rsidRDefault="00E534A2" w:rsidP="00E534A2">
      <w:r w:rsidRPr="00E534A2">
        <w:rPr>
          <w:lang w:val="en-US"/>
        </w:rPr>
        <w:t>DIROTON 20 mg tablets</w:t>
      </w:r>
    </w:p>
    <w:p w14:paraId="6920A680" w14:textId="70B68FB3" w:rsidR="00C40420" w:rsidRDefault="00DD466D" w:rsidP="004A448E">
      <w:pPr>
        <w:pStyle w:val="Heading1"/>
      </w:pPr>
      <w:r>
        <w:t>2. КАЧЕСТВЕН И КОЛИЧЕСТВЕН СЪСТАВ</w:t>
      </w:r>
    </w:p>
    <w:p w14:paraId="26B3AA49" w14:textId="5598677E" w:rsidR="00E534A2" w:rsidRDefault="00E534A2" w:rsidP="00E534A2"/>
    <w:p w14:paraId="3C28E57B" w14:textId="77777777" w:rsidR="00E534A2" w:rsidRPr="00E534A2" w:rsidRDefault="00E534A2" w:rsidP="00E534A2">
      <w:pPr>
        <w:rPr>
          <w:sz w:val="24"/>
          <w:szCs w:val="24"/>
        </w:rPr>
      </w:pPr>
      <w:r w:rsidRPr="00E534A2">
        <w:rPr>
          <w:lang w:eastAsia="bg-BG"/>
        </w:rPr>
        <w:t xml:space="preserve">Всяка </w:t>
      </w:r>
      <w:r w:rsidRPr="00E534A2">
        <w:rPr>
          <w:i/>
          <w:iCs/>
          <w:lang w:eastAsia="bg-BG"/>
        </w:rPr>
        <w:t>таблетка Диротон</w:t>
      </w:r>
      <w:r w:rsidRPr="00E534A2">
        <w:rPr>
          <w:lang w:eastAsia="bg-BG"/>
        </w:rPr>
        <w:t xml:space="preserve"> 5 </w:t>
      </w:r>
      <w:r w:rsidRPr="00E534A2">
        <w:rPr>
          <w:i/>
          <w:iCs/>
          <w:lang w:val="en-US"/>
        </w:rPr>
        <w:t>mg</w:t>
      </w:r>
      <w:r w:rsidRPr="00E534A2">
        <w:t xml:space="preserve"> </w:t>
      </w:r>
      <w:r w:rsidRPr="00E534A2">
        <w:rPr>
          <w:lang w:eastAsia="bg-BG"/>
        </w:rPr>
        <w:t xml:space="preserve">съдържа 5,44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5,00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07F8824B" w14:textId="77777777" w:rsidR="00E534A2" w:rsidRPr="00E534A2" w:rsidRDefault="00E534A2" w:rsidP="00E534A2">
      <w:pPr>
        <w:rPr>
          <w:sz w:val="24"/>
          <w:szCs w:val="24"/>
        </w:rPr>
      </w:pPr>
      <w:r w:rsidRPr="00E534A2">
        <w:rPr>
          <w:lang w:eastAsia="bg-BG"/>
        </w:rPr>
        <w:t xml:space="preserve">Всяка </w:t>
      </w:r>
      <w:r w:rsidRPr="00E534A2">
        <w:rPr>
          <w:i/>
          <w:iCs/>
          <w:lang w:eastAsia="bg-BG"/>
        </w:rPr>
        <w:t>таблетка Диротон</w:t>
      </w:r>
      <w:r w:rsidRPr="00E534A2">
        <w:rPr>
          <w:lang w:eastAsia="bg-BG"/>
        </w:rPr>
        <w:t xml:space="preserve"> 70 </w:t>
      </w:r>
      <w:r w:rsidRPr="00E534A2">
        <w:rPr>
          <w:lang w:val="en-US"/>
        </w:rPr>
        <w:t>mg</w:t>
      </w:r>
      <w:r w:rsidRPr="00E534A2">
        <w:t xml:space="preserve"> </w:t>
      </w:r>
      <w:r w:rsidRPr="00E534A2">
        <w:rPr>
          <w:lang w:eastAsia="bg-BG"/>
        </w:rPr>
        <w:t xml:space="preserve">съдържа 10,89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10,00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63AB2C38" w14:textId="77777777" w:rsidR="00E534A2" w:rsidRPr="00E534A2" w:rsidRDefault="00E534A2" w:rsidP="00E534A2">
      <w:pPr>
        <w:rPr>
          <w:sz w:val="24"/>
          <w:szCs w:val="24"/>
        </w:rPr>
      </w:pPr>
      <w:r w:rsidRPr="00E534A2">
        <w:rPr>
          <w:lang w:eastAsia="bg-BG"/>
        </w:rPr>
        <w:t xml:space="preserve">Всяка </w:t>
      </w:r>
      <w:r w:rsidRPr="00E534A2">
        <w:rPr>
          <w:i/>
          <w:iCs/>
          <w:lang w:eastAsia="bg-BG"/>
        </w:rPr>
        <w:t xml:space="preserve">таблетка Диротон 20 </w:t>
      </w:r>
      <w:r w:rsidRPr="00E534A2">
        <w:rPr>
          <w:i/>
          <w:iCs/>
          <w:lang w:val="en-US"/>
        </w:rPr>
        <w:t>mg</w:t>
      </w:r>
      <w:r w:rsidRPr="00E534A2">
        <w:t xml:space="preserve"> </w:t>
      </w:r>
      <w:r w:rsidRPr="00E534A2">
        <w:rPr>
          <w:lang w:eastAsia="bg-BG"/>
        </w:rPr>
        <w:t xml:space="preserve">съдържа 21,77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20,00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52C736B9" w14:textId="77777777" w:rsidR="00E534A2" w:rsidRPr="00E534A2" w:rsidRDefault="00E534A2" w:rsidP="00E534A2"/>
    <w:p w14:paraId="614984C4" w14:textId="38CC4A4B" w:rsidR="008A6AF2" w:rsidRDefault="00DD466D" w:rsidP="002C50EE">
      <w:pPr>
        <w:pStyle w:val="Heading1"/>
      </w:pPr>
      <w:r>
        <w:t>3. ЛЕКАРСТВЕНА ФОРМА</w:t>
      </w:r>
    </w:p>
    <w:p w14:paraId="104AF2F2" w14:textId="2656DD45" w:rsidR="00E534A2" w:rsidRDefault="00E534A2" w:rsidP="00E534A2"/>
    <w:p w14:paraId="3E9B9977"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Таблетка.</w:t>
      </w:r>
    </w:p>
    <w:p w14:paraId="24B6BB56" w14:textId="77777777" w:rsidR="00E534A2" w:rsidRPr="00E534A2" w:rsidRDefault="00E534A2" w:rsidP="00E534A2">
      <w:pPr>
        <w:spacing w:line="240" w:lineRule="auto"/>
        <w:rPr>
          <w:rFonts w:eastAsia="Times New Roman" w:cs="Arial"/>
          <w:color w:val="000000"/>
          <w:lang w:eastAsia="bg-BG"/>
        </w:rPr>
      </w:pPr>
    </w:p>
    <w:p w14:paraId="725B30BC" w14:textId="6F4427C6"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 xml:space="preserve">Таблетките от 5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кръгли, с релефен печат 5 върху едната страна и с делителна линия върху другата. Таблетката може да бъде разделена на две равни дози.</w:t>
      </w:r>
    </w:p>
    <w:p w14:paraId="2A39321C" w14:textId="77777777" w:rsidR="00E534A2" w:rsidRPr="00E534A2" w:rsidRDefault="00E534A2" w:rsidP="00E534A2">
      <w:pPr>
        <w:spacing w:line="240" w:lineRule="auto"/>
        <w:rPr>
          <w:rFonts w:eastAsia="Times New Roman" w:cs="Arial"/>
          <w:color w:val="000000"/>
          <w:lang w:eastAsia="bg-BG"/>
        </w:rPr>
      </w:pPr>
    </w:p>
    <w:p w14:paraId="2F699994" w14:textId="2103CF6C"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 xml:space="preserve">Таблетките от 10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квадратни, с релефен печат 10 върху едната страна и с делителна линия върху другата. Таблетката може да бъде разделена на две равни дози.</w:t>
      </w:r>
    </w:p>
    <w:p w14:paraId="42611232" w14:textId="77777777" w:rsidR="00E534A2" w:rsidRPr="00E534A2" w:rsidRDefault="00E534A2" w:rsidP="00E534A2">
      <w:pPr>
        <w:rPr>
          <w:rFonts w:eastAsia="Times New Roman" w:cs="Arial"/>
          <w:color w:val="000000"/>
          <w:lang w:eastAsia="bg-BG"/>
        </w:rPr>
      </w:pPr>
    </w:p>
    <w:p w14:paraId="6D73721C" w14:textId="7F10CBA2" w:rsidR="00E534A2" w:rsidRPr="00E534A2" w:rsidRDefault="00E534A2" w:rsidP="00E534A2">
      <w:pPr>
        <w:rPr>
          <w:rFonts w:cs="Arial"/>
        </w:rPr>
      </w:pPr>
      <w:r w:rsidRPr="00E534A2">
        <w:rPr>
          <w:rFonts w:eastAsia="Times New Roman" w:cs="Arial"/>
          <w:color w:val="000000"/>
          <w:lang w:eastAsia="bg-BG"/>
        </w:rPr>
        <w:t xml:space="preserve">Таблетките от 20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петоъгълни, с релефен печат 20 върху едната страна и с делителна линия върху другата. Таблетката може да бъде разделена на две равни дози.</w:t>
      </w:r>
    </w:p>
    <w:p w14:paraId="490FC2C4" w14:textId="0F4A4A75" w:rsidR="002C50EE" w:rsidRDefault="002C50EE" w:rsidP="002C50EE">
      <w:pPr>
        <w:pStyle w:val="Heading1"/>
      </w:pPr>
      <w:r>
        <w:t>4. КЛИНИЧНИ ДАННИ</w:t>
      </w:r>
    </w:p>
    <w:p w14:paraId="74330405" w14:textId="073FC40B" w:rsidR="007122AD" w:rsidRDefault="002C50EE" w:rsidP="00936AD0">
      <w:pPr>
        <w:pStyle w:val="Heading2"/>
      </w:pPr>
      <w:r>
        <w:t>4.1. Терапевтични показания</w:t>
      </w:r>
    </w:p>
    <w:p w14:paraId="34508190" w14:textId="0F873830" w:rsidR="00E534A2" w:rsidRDefault="00E534A2" w:rsidP="00E534A2"/>
    <w:p w14:paraId="3E012928" w14:textId="77777777"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Хипертония</w:t>
      </w:r>
    </w:p>
    <w:p w14:paraId="4D94B833"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За лечение на хипертония.</w:t>
      </w:r>
    </w:p>
    <w:p w14:paraId="04FBEC7E" w14:textId="77777777" w:rsidR="00E534A2" w:rsidRPr="00E534A2" w:rsidRDefault="00E534A2" w:rsidP="00E534A2">
      <w:pPr>
        <w:spacing w:line="240" w:lineRule="auto"/>
        <w:rPr>
          <w:rFonts w:eastAsia="Times New Roman" w:cs="Arial"/>
          <w:i/>
          <w:iCs/>
          <w:color w:val="000000"/>
          <w:u w:val="single"/>
          <w:lang w:eastAsia="bg-BG"/>
        </w:rPr>
      </w:pPr>
    </w:p>
    <w:p w14:paraId="5D6B601B" w14:textId="4C26BBB5"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Сърдечна недостатъчност</w:t>
      </w:r>
    </w:p>
    <w:p w14:paraId="7B52D501"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За лечение на симптоматична сърдечна недостатъчност.</w:t>
      </w:r>
    </w:p>
    <w:p w14:paraId="220BE689" w14:textId="77777777" w:rsidR="00E534A2" w:rsidRPr="00E534A2" w:rsidRDefault="00E534A2" w:rsidP="00E534A2">
      <w:pPr>
        <w:spacing w:line="240" w:lineRule="auto"/>
        <w:rPr>
          <w:rFonts w:eastAsia="Times New Roman" w:cs="Arial"/>
          <w:i/>
          <w:iCs/>
          <w:color w:val="000000"/>
          <w:u w:val="single"/>
          <w:lang w:eastAsia="bg-BG"/>
        </w:rPr>
      </w:pPr>
    </w:p>
    <w:p w14:paraId="33C28877" w14:textId="4FAC5A2A"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Остър миокарден инфаркт</w:t>
      </w:r>
    </w:p>
    <w:p w14:paraId="48FA15DF"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lastRenderedPageBreak/>
        <w:t>За краткосрочно (6 седмици) лечение на хемодинамично стабилни</w:t>
      </w:r>
      <w:r w:rsidRPr="00E534A2">
        <w:rPr>
          <w:rFonts w:eastAsia="Times New Roman" w:cs="Arial"/>
          <w:color w:val="000000"/>
          <w:lang w:val="ru-RU"/>
        </w:rPr>
        <w:t xml:space="preserve"> </w:t>
      </w:r>
      <w:r w:rsidRPr="00E534A2">
        <w:rPr>
          <w:rFonts w:eastAsia="Times New Roman" w:cs="Arial"/>
          <w:color w:val="000000"/>
          <w:lang w:eastAsia="bg-BG"/>
        </w:rPr>
        <w:t>пацинети в рамките</w:t>
      </w:r>
    </w:p>
    <w:p w14:paraId="3D25E148"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на първите 24 часа от началото на остър миокарден инфаркт.</w:t>
      </w:r>
    </w:p>
    <w:p w14:paraId="043E19FC" w14:textId="77777777" w:rsidR="00E534A2" w:rsidRPr="00E534A2" w:rsidRDefault="00E534A2" w:rsidP="00E534A2">
      <w:pPr>
        <w:rPr>
          <w:rFonts w:eastAsia="Times New Roman" w:cs="Arial"/>
          <w:i/>
          <w:iCs/>
          <w:color w:val="000000"/>
          <w:u w:val="single"/>
          <w:lang w:eastAsia="bg-BG"/>
        </w:rPr>
      </w:pPr>
    </w:p>
    <w:p w14:paraId="51834D96" w14:textId="5D7780DB" w:rsidR="00E534A2" w:rsidRPr="00E534A2" w:rsidRDefault="00E534A2" w:rsidP="00E534A2">
      <w:pPr>
        <w:rPr>
          <w:rFonts w:eastAsia="Times New Roman" w:cs="Arial"/>
          <w:i/>
          <w:iCs/>
          <w:color w:val="000000"/>
          <w:u w:val="single"/>
          <w:lang w:eastAsia="bg-BG"/>
        </w:rPr>
      </w:pPr>
      <w:r w:rsidRPr="00E534A2">
        <w:rPr>
          <w:rFonts w:eastAsia="Times New Roman" w:cs="Arial"/>
          <w:i/>
          <w:iCs/>
          <w:color w:val="000000"/>
          <w:u w:val="single"/>
          <w:lang w:eastAsia="bg-BG"/>
        </w:rPr>
        <w:t>Бъбречни усложнения при диабет</w:t>
      </w:r>
    </w:p>
    <w:p w14:paraId="4C97471F" w14:textId="2070D0A5" w:rsidR="00E534A2" w:rsidRPr="00E534A2" w:rsidRDefault="00E534A2" w:rsidP="00E534A2">
      <w:pPr>
        <w:rPr>
          <w:rFonts w:cs="Arial"/>
        </w:rPr>
      </w:pPr>
      <w:r w:rsidRPr="00E534A2">
        <w:rPr>
          <w:rFonts w:cs="Arial"/>
        </w:rPr>
        <w:t>Лечение на бъбречно заболяване при хипертензивни пациенти с диабет тип 2 и начална нефропатия (вж. точка 5.1).</w:t>
      </w:r>
    </w:p>
    <w:p w14:paraId="2300FFD1" w14:textId="77777777" w:rsidR="00E534A2" w:rsidRPr="00E534A2" w:rsidRDefault="00E534A2" w:rsidP="00E534A2"/>
    <w:p w14:paraId="53F5B866" w14:textId="4B9BC14B" w:rsidR="007122AD" w:rsidRDefault="002C50EE" w:rsidP="00936AD0">
      <w:pPr>
        <w:pStyle w:val="Heading2"/>
      </w:pPr>
      <w:r>
        <w:t>4.2. Дозировка и начин на приложение</w:t>
      </w:r>
    </w:p>
    <w:p w14:paraId="31534086" w14:textId="61DF2C32" w:rsidR="002C2594" w:rsidRDefault="002C2594" w:rsidP="002C2594"/>
    <w:p w14:paraId="510847F7" w14:textId="77777777" w:rsidR="002C2594" w:rsidRPr="002C2594" w:rsidRDefault="002C2594" w:rsidP="002C2594">
      <w:pPr>
        <w:pStyle w:val="Heading3"/>
        <w:rPr>
          <w:rFonts w:eastAsia="Times New Roman"/>
          <w:u w:val="single"/>
        </w:rPr>
      </w:pPr>
      <w:r w:rsidRPr="002C2594">
        <w:rPr>
          <w:rFonts w:eastAsia="Times New Roman"/>
          <w:u w:val="single"/>
          <w:lang w:eastAsia="bg-BG"/>
        </w:rPr>
        <w:t>Дозировка</w:t>
      </w:r>
    </w:p>
    <w:p w14:paraId="45BD9F6E"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Дозата трябва да се индивидуализира в зависимост от профила на пациента и повлияването на кръвното налягане (вж. точка 4.4).</w:t>
      </w:r>
    </w:p>
    <w:p w14:paraId="04E6ED6C" w14:textId="77777777" w:rsidR="002C2594" w:rsidRPr="002C2594" w:rsidRDefault="002C2594" w:rsidP="002C2594">
      <w:pPr>
        <w:spacing w:line="240" w:lineRule="auto"/>
        <w:rPr>
          <w:rFonts w:eastAsia="Times New Roman" w:cs="Arial"/>
          <w:i/>
          <w:iCs/>
          <w:color w:val="000000"/>
          <w:u w:val="single"/>
          <w:lang w:eastAsia="bg-BG"/>
        </w:rPr>
      </w:pPr>
    </w:p>
    <w:p w14:paraId="169A0A7E" w14:textId="3A5C604B"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Хипертония</w:t>
      </w:r>
    </w:p>
    <w:p w14:paraId="2E913AD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Диротон може да се прилага като монотерапия или в комбинация с антихипертензивно лечение от друг клас (вж. точка 4.3,4.4,4.5 и 5.1).</w:t>
      </w:r>
    </w:p>
    <w:p w14:paraId="69866F40" w14:textId="77777777" w:rsidR="002C2594" w:rsidRPr="002C2594" w:rsidRDefault="002C2594" w:rsidP="002C2594">
      <w:pPr>
        <w:spacing w:line="240" w:lineRule="auto"/>
        <w:rPr>
          <w:rFonts w:eastAsia="Times New Roman" w:cs="Arial"/>
          <w:i/>
          <w:iCs/>
          <w:color w:val="000000"/>
          <w:lang w:eastAsia="bg-BG"/>
        </w:rPr>
      </w:pPr>
    </w:p>
    <w:p w14:paraId="148B5DB8" w14:textId="2A2F0959"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Начална доза</w:t>
      </w:r>
    </w:p>
    <w:p w14:paraId="419708E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 хипертония обичайната препоръчвана доза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 пациенти със силно активирана ренин-ангиотензин-алдостеронова система (по-специално с реноваскуларна хипертония, недостиг на сол и/или течности, сърдечна декомпенсация или тежка хипертония) е възможно да възникне прекомерно понижаване на кръвното налягане след приема на първата доза. При такива пациенти се препоръчва начална доза от 2,5-5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и началото на лечението трябва да стане под лекарски контрол. По- ниска начална доза е необходима при наличие на бъбречно увреждане (вж. таблица 1 по-долу).</w:t>
      </w:r>
    </w:p>
    <w:p w14:paraId="5A3C599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35015B0F" w14:textId="77777777" w:rsidR="002C2594" w:rsidRPr="002C2594" w:rsidRDefault="002C2594" w:rsidP="002C2594">
      <w:pPr>
        <w:spacing w:line="240" w:lineRule="auto"/>
        <w:rPr>
          <w:rFonts w:eastAsia="Times New Roman" w:cs="Arial"/>
          <w:i/>
          <w:iCs/>
          <w:color w:val="000000"/>
          <w:lang w:eastAsia="bg-BG"/>
        </w:rPr>
      </w:pPr>
    </w:p>
    <w:p w14:paraId="58458BA9" w14:textId="6566D4DF"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Поддържаща доза</w:t>
      </w:r>
    </w:p>
    <w:p w14:paraId="7F0BA6C3"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Обичайната ефективна поддържаща доза е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прилагана еднократно дневно. По принцип, ако желаният терапевтичен ефект не може да се достигне в период от 2 до 4 седмици на определеното дозово ниво, дозата не трябва да се повишава допълнително. Максималната доза, използвана в продължителни контролирани клинични проучвания е била 80 </w:t>
      </w:r>
      <w:r w:rsidRPr="002C2594">
        <w:rPr>
          <w:rFonts w:eastAsia="Times New Roman" w:cs="Arial"/>
          <w:color w:val="000000"/>
          <w:lang w:val="en-US"/>
        </w:rPr>
        <w:t>mg</w:t>
      </w:r>
      <w:r w:rsidRPr="002C2594">
        <w:rPr>
          <w:rFonts w:eastAsia="Times New Roman" w:cs="Arial"/>
          <w:color w:val="000000"/>
          <w:lang w:eastAsia="bg-BG"/>
        </w:rPr>
        <w:t>/дневно.</w:t>
      </w:r>
    </w:p>
    <w:p w14:paraId="301C3578" w14:textId="77777777" w:rsidR="002C2594" w:rsidRPr="002C2594" w:rsidRDefault="002C2594" w:rsidP="002C2594">
      <w:pPr>
        <w:spacing w:line="240" w:lineRule="auto"/>
        <w:rPr>
          <w:rFonts w:eastAsia="Times New Roman" w:cs="Arial"/>
          <w:i/>
          <w:iCs/>
          <w:color w:val="000000"/>
          <w:lang w:eastAsia="bg-BG"/>
        </w:rPr>
      </w:pPr>
    </w:p>
    <w:p w14:paraId="7D0974E8" w14:textId="100F2572"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Пациенти, лекувани с диуретици</w:t>
      </w:r>
    </w:p>
    <w:p w14:paraId="6ED6E20A"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Симптоматична хипотония може да възникне като следствие от началото на терапия с Диротон. Това е характерно главно за пациентите, които са лекувани с диуретици. По тази причина се препоръчва повишено внимание, тъй като тези пациенти могат да бъдат с хиповолемия и/или недостиг на сол. По възможност диуретикът трябва да бъде спрян 2 до 3 дни преди началото на терапията с Диротон. При хипертонични пациенти, на които диуретикът не може да бъде спрян, терапията с Диротон трябва да започне с доза от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Бъбречната функция и серумния калий трябва да се проследяват. Последващото дозиране на Диротон трябва да се адаптира в зависимост от повлияването на кръвното налягане. При необходимост, диуретичната терапия може да бъде възстановена (вж. точка 4.4 и точка 4.5).</w:t>
      </w:r>
    </w:p>
    <w:p w14:paraId="3349A666" w14:textId="77777777" w:rsidR="002C2594" w:rsidRPr="002C2594" w:rsidRDefault="002C2594" w:rsidP="002C2594">
      <w:pPr>
        <w:spacing w:line="240" w:lineRule="auto"/>
        <w:rPr>
          <w:rFonts w:eastAsia="Times New Roman" w:cs="Arial"/>
          <w:i/>
          <w:iCs/>
          <w:color w:val="000000"/>
          <w:lang w:eastAsia="bg-BG"/>
        </w:rPr>
      </w:pPr>
    </w:p>
    <w:p w14:paraId="44AA79EA" w14:textId="2F67919B" w:rsidR="002C2594" w:rsidRPr="002C2594" w:rsidRDefault="002C2594" w:rsidP="002C2594">
      <w:pPr>
        <w:spacing w:line="240" w:lineRule="auto"/>
        <w:rPr>
          <w:rFonts w:eastAsia="Times New Roman" w:cs="Arial"/>
          <w:i/>
          <w:iCs/>
          <w:color w:val="000000"/>
          <w:lang w:eastAsia="bg-BG"/>
        </w:rPr>
      </w:pPr>
      <w:r w:rsidRPr="002C2594">
        <w:rPr>
          <w:rFonts w:eastAsia="Times New Roman" w:cs="Arial"/>
          <w:i/>
          <w:iCs/>
          <w:color w:val="000000"/>
          <w:lang w:eastAsia="bg-BG"/>
        </w:rPr>
        <w:t>Адаптиране на дозата при бъбречно увреждане</w:t>
      </w:r>
    </w:p>
    <w:p w14:paraId="5B13EF9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Дозировката при пациенти с бъбречно увреждане трябва да се основава на креатининовия клирънс, както е показано в таблица 1 по-долу.</w:t>
      </w:r>
    </w:p>
    <w:p w14:paraId="1F7E96BF" w14:textId="77777777" w:rsidR="002C2594" w:rsidRPr="002C2594" w:rsidRDefault="002C2594" w:rsidP="002C2594">
      <w:pPr>
        <w:spacing w:line="240" w:lineRule="auto"/>
        <w:rPr>
          <w:rFonts w:eastAsia="Times New Roman" w:cs="Arial"/>
          <w:i/>
          <w:iCs/>
          <w:color w:val="000000"/>
          <w:lang w:eastAsia="bg-BG"/>
        </w:rPr>
      </w:pPr>
    </w:p>
    <w:p w14:paraId="26DAFE59" w14:textId="4DBB99FA" w:rsidR="002C2594" w:rsidRPr="002C2594" w:rsidRDefault="002C2594" w:rsidP="002C2594">
      <w:pPr>
        <w:spacing w:line="240" w:lineRule="auto"/>
        <w:rPr>
          <w:rFonts w:eastAsia="Times New Roman" w:cs="Arial"/>
          <w:i/>
          <w:iCs/>
          <w:color w:val="000000"/>
          <w:lang w:eastAsia="bg-BG"/>
        </w:rPr>
      </w:pPr>
      <w:r w:rsidRPr="002C2594">
        <w:rPr>
          <w:rFonts w:eastAsia="Times New Roman" w:cs="Arial"/>
          <w:i/>
          <w:iCs/>
          <w:color w:val="000000"/>
          <w:lang w:eastAsia="bg-BG"/>
        </w:rPr>
        <w:t>Таблица 1 Адаптиране на дозата при бъбречно увреждане</w:t>
      </w:r>
    </w:p>
    <w:tbl>
      <w:tblPr>
        <w:tblStyle w:val="TableGrid"/>
        <w:tblW w:w="0" w:type="auto"/>
        <w:tblLook w:val="04A0" w:firstRow="1" w:lastRow="0" w:firstColumn="1" w:lastColumn="0" w:noHBand="0" w:noVBand="1"/>
      </w:tblPr>
      <w:tblGrid>
        <w:gridCol w:w="4682"/>
        <w:gridCol w:w="4668"/>
      </w:tblGrid>
      <w:tr w:rsidR="002C2594" w:rsidRPr="002C2594" w14:paraId="2346807C" w14:textId="77777777" w:rsidTr="002C2594">
        <w:tc>
          <w:tcPr>
            <w:tcW w:w="4788" w:type="dxa"/>
            <w:vAlign w:val="bottom"/>
          </w:tcPr>
          <w:p w14:paraId="5A64450E" w14:textId="111AB8AF" w:rsidR="002C2594" w:rsidRPr="002C2594" w:rsidRDefault="002C2594" w:rsidP="002C2594">
            <w:pPr>
              <w:spacing w:line="240" w:lineRule="auto"/>
              <w:rPr>
                <w:rFonts w:eastAsia="Times New Roman" w:cs="Arial"/>
                <w:i/>
                <w:iCs/>
                <w:color w:val="000000"/>
                <w:lang w:eastAsia="bg-BG"/>
              </w:rPr>
            </w:pPr>
            <w:r w:rsidRPr="002C2594">
              <w:rPr>
                <w:rFonts w:cs="Arial"/>
              </w:rPr>
              <w:t xml:space="preserve">Креатининов клирънс </w:t>
            </w:r>
            <w:r w:rsidRPr="002C2594">
              <w:rPr>
                <w:rFonts w:cs="Arial"/>
                <w:lang w:val="en-US"/>
              </w:rPr>
              <w:t>(ml/min)</w:t>
            </w:r>
          </w:p>
        </w:tc>
        <w:tc>
          <w:tcPr>
            <w:tcW w:w="4788" w:type="dxa"/>
            <w:vAlign w:val="bottom"/>
          </w:tcPr>
          <w:p w14:paraId="53BA0B0B" w14:textId="492BD04A" w:rsidR="002C2594" w:rsidRPr="002C2594" w:rsidRDefault="002C2594" w:rsidP="002C2594">
            <w:pPr>
              <w:spacing w:line="240" w:lineRule="auto"/>
              <w:rPr>
                <w:rFonts w:eastAsia="Times New Roman" w:cs="Arial"/>
                <w:i/>
                <w:iCs/>
                <w:color w:val="000000"/>
                <w:lang w:eastAsia="bg-BG"/>
              </w:rPr>
            </w:pPr>
            <w:r w:rsidRPr="002C2594">
              <w:rPr>
                <w:rFonts w:cs="Arial"/>
              </w:rPr>
              <w:t xml:space="preserve">Начална доза </w:t>
            </w:r>
            <w:r w:rsidRPr="002C2594">
              <w:rPr>
                <w:rFonts w:cs="Arial"/>
                <w:lang w:val="en-US"/>
              </w:rPr>
              <w:t>(mg</w:t>
            </w:r>
            <w:r w:rsidRPr="002C2594">
              <w:rPr>
                <w:rFonts w:cs="Arial"/>
                <w:u w:val="single"/>
              </w:rPr>
              <w:t>/ден)</w:t>
            </w:r>
          </w:p>
        </w:tc>
      </w:tr>
      <w:tr w:rsidR="002C2594" w:rsidRPr="002C2594" w14:paraId="7495CA3D" w14:textId="77777777" w:rsidTr="002C2594">
        <w:tc>
          <w:tcPr>
            <w:tcW w:w="4788" w:type="dxa"/>
          </w:tcPr>
          <w:p w14:paraId="30E281FF" w14:textId="77777777" w:rsidR="002C2594" w:rsidRPr="002C2594" w:rsidRDefault="002C2594" w:rsidP="002C2594">
            <w:pPr>
              <w:rPr>
                <w:rFonts w:cs="Arial"/>
              </w:rPr>
            </w:pPr>
            <w:r w:rsidRPr="002C2594">
              <w:rPr>
                <w:rFonts w:cs="Arial"/>
              </w:rPr>
              <w:tab/>
            </w:r>
          </w:p>
          <w:p w14:paraId="62BBE691" w14:textId="7CA1E8AD" w:rsidR="002C2594" w:rsidRPr="002C2594" w:rsidRDefault="002C2594" w:rsidP="002C2594">
            <w:pPr>
              <w:spacing w:line="240" w:lineRule="auto"/>
              <w:rPr>
                <w:rFonts w:eastAsia="Times New Roman" w:cs="Arial"/>
                <w:i/>
                <w:iCs/>
                <w:color w:val="000000"/>
                <w:lang w:eastAsia="bg-BG"/>
              </w:rPr>
            </w:pPr>
            <w:r w:rsidRPr="002C2594">
              <w:rPr>
                <w:rFonts w:cs="Arial"/>
              </w:rPr>
              <w:t xml:space="preserve">По-малко от 10 </w:t>
            </w:r>
            <w:r w:rsidRPr="002C2594">
              <w:rPr>
                <w:rFonts w:cs="Arial"/>
                <w:lang w:val="en-US"/>
              </w:rPr>
              <w:t>ml</w:t>
            </w:r>
            <w:r w:rsidRPr="002C2594">
              <w:rPr>
                <w:rFonts w:cs="Arial"/>
                <w:lang w:val="ru-RU"/>
              </w:rPr>
              <w:t>/</w:t>
            </w:r>
            <w:r w:rsidRPr="002C2594">
              <w:rPr>
                <w:rFonts w:cs="Arial"/>
                <w:lang w:val="en-US"/>
              </w:rPr>
              <w:t>min</w:t>
            </w:r>
            <w:r w:rsidRPr="002C2594">
              <w:rPr>
                <w:rFonts w:cs="Arial"/>
                <w:lang w:val="ru-RU"/>
              </w:rPr>
              <w:t xml:space="preserve"> </w:t>
            </w:r>
            <w:r w:rsidRPr="002C2594">
              <w:rPr>
                <w:rFonts w:cs="Arial"/>
              </w:rPr>
              <w:t>(в това число пациенти на диализа)</w:t>
            </w:r>
          </w:p>
        </w:tc>
        <w:tc>
          <w:tcPr>
            <w:tcW w:w="4788" w:type="dxa"/>
          </w:tcPr>
          <w:p w14:paraId="5D893A7E" w14:textId="6A683B44" w:rsidR="002C2594" w:rsidRPr="002C2594" w:rsidRDefault="002C2594" w:rsidP="002C2594">
            <w:pPr>
              <w:spacing w:line="240" w:lineRule="auto"/>
              <w:rPr>
                <w:rFonts w:eastAsia="Times New Roman" w:cs="Arial"/>
                <w:i/>
                <w:iCs/>
                <w:color w:val="000000"/>
                <w:lang w:eastAsia="bg-BG"/>
              </w:rPr>
            </w:pPr>
            <w:r w:rsidRPr="002C2594">
              <w:rPr>
                <w:rFonts w:cs="Arial"/>
                <w:lang w:val="en-US"/>
              </w:rPr>
              <w:t>2,5mg*</w:t>
            </w:r>
          </w:p>
        </w:tc>
      </w:tr>
      <w:tr w:rsidR="002C2594" w:rsidRPr="002C2594" w14:paraId="65BCAE69" w14:textId="77777777" w:rsidTr="002C2594">
        <w:tc>
          <w:tcPr>
            <w:tcW w:w="4788" w:type="dxa"/>
            <w:vAlign w:val="bottom"/>
          </w:tcPr>
          <w:p w14:paraId="317C7787" w14:textId="3BB69AD0" w:rsidR="002C2594" w:rsidRPr="002C2594" w:rsidRDefault="002C2594" w:rsidP="002C2594">
            <w:pPr>
              <w:spacing w:line="240" w:lineRule="auto"/>
              <w:rPr>
                <w:rFonts w:eastAsia="Times New Roman" w:cs="Arial"/>
                <w:i/>
                <w:iCs/>
                <w:color w:val="000000"/>
                <w:lang w:eastAsia="bg-BG"/>
              </w:rPr>
            </w:pPr>
            <w:r w:rsidRPr="002C2594">
              <w:rPr>
                <w:rFonts w:cs="Arial"/>
              </w:rPr>
              <w:t xml:space="preserve">10 “30 </w:t>
            </w:r>
            <w:r w:rsidRPr="002C2594">
              <w:rPr>
                <w:rFonts w:cs="Arial"/>
                <w:lang w:val="en-US"/>
              </w:rPr>
              <w:t>ml/min</w:t>
            </w:r>
          </w:p>
        </w:tc>
        <w:tc>
          <w:tcPr>
            <w:tcW w:w="4788" w:type="dxa"/>
          </w:tcPr>
          <w:p w14:paraId="675DE1BF" w14:textId="77777777" w:rsidR="002C2594" w:rsidRPr="002C2594" w:rsidRDefault="002C2594" w:rsidP="002C2594">
            <w:pPr>
              <w:rPr>
                <w:rFonts w:cs="Arial"/>
              </w:rPr>
            </w:pPr>
          </w:p>
          <w:p w14:paraId="0F024924" w14:textId="17AA4178" w:rsidR="002C2594" w:rsidRPr="002C2594" w:rsidRDefault="002C2594" w:rsidP="002C2594">
            <w:pPr>
              <w:spacing w:line="240" w:lineRule="auto"/>
              <w:rPr>
                <w:rFonts w:eastAsia="Times New Roman" w:cs="Arial"/>
                <w:i/>
                <w:iCs/>
                <w:color w:val="000000"/>
                <w:lang w:eastAsia="bg-BG"/>
              </w:rPr>
            </w:pPr>
            <w:r w:rsidRPr="002C2594">
              <w:rPr>
                <w:rFonts w:cs="Arial"/>
                <w:lang w:val="en-US"/>
              </w:rPr>
              <w:t>2,5-5</w:t>
            </w:r>
            <w:r w:rsidRPr="002C2594">
              <w:rPr>
                <w:rFonts w:cs="Arial"/>
              </w:rPr>
              <w:t xml:space="preserve"> </w:t>
            </w:r>
            <w:r w:rsidRPr="002C2594">
              <w:rPr>
                <w:rFonts w:cs="Arial"/>
                <w:lang w:val="en-US"/>
              </w:rPr>
              <w:t>mg</w:t>
            </w:r>
          </w:p>
        </w:tc>
      </w:tr>
      <w:tr w:rsidR="002C2594" w:rsidRPr="002C2594" w14:paraId="180FBD00" w14:textId="77777777" w:rsidTr="002C2594">
        <w:tc>
          <w:tcPr>
            <w:tcW w:w="4788" w:type="dxa"/>
          </w:tcPr>
          <w:p w14:paraId="127BE52A" w14:textId="5B42EBD8" w:rsidR="002C2594" w:rsidRPr="002C2594" w:rsidRDefault="002C2594" w:rsidP="002C2594">
            <w:pPr>
              <w:spacing w:line="240" w:lineRule="auto"/>
              <w:rPr>
                <w:rFonts w:eastAsia="Times New Roman" w:cs="Arial"/>
                <w:i/>
                <w:iCs/>
                <w:color w:val="000000"/>
                <w:lang w:eastAsia="bg-BG"/>
              </w:rPr>
            </w:pPr>
            <w:r w:rsidRPr="002C2594">
              <w:rPr>
                <w:rFonts w:cs="Arial"/>
              </w:rPr>
              <w:t xml:space="preserve">31-80 </w:t>
            </w:r>
            <w:r w:rsidRPr="002C2594">
              <w:rPr>
                <w:rFonts w:cs="Arial"/>
                <w:lang w:val="en-US"/>
              </w:rPr>
              <w:t>ml/min</w:t>
            </w:r>
          </w:p>
        </w:tc>
        <w:tc>
          <w:tcPr>
            <w:tcW w:w="4788" w:type="dxa"/>
          </w:tcPr>
          <w:p w14:paraId="361328C4" w14:textId="315E9330" w:rsidR="002C2594" w:rsidRPr="002C2594" w:rsidRDefault="002C2594" w:rsidP="002C2594">
            <w:pPr>
              <w:spacing w:line="240" w:lineRule="auto"/>
              <w:rPr>
                <w:rFonts w:eastAsia="Times New Roman" w:cs="Arial"/>
                <w:i/>
                <w:iCs/>
                <w:color w:val="000000"/>
                <w:lang w:eastAsia="bg-BG"/>
              </w:rPr>
            </w:pPr>
            <w:r w:rsidRPr="002C2594">
              <w:rPr>
                <w:rFonts w:cs="Arial"/>
              </w:rPr>
              <w:t xml:space="preserve">5-10 </w:t>
            </w:r>
            <w:r w:rsidRPr="002C2594">
              <w:rPr>
                <w:rFonts w:cs="Arial"/>
                <w:lang w:val="en-US"/>
              </w:rPr>
              <w:t>mg</w:t>
            </w:r>
          </w:p>
        </w:tc>
      </w:tr>
    </w:tbl>
    <w:p w14:paraId="1071A246"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w:t>
      </w:r>
      <w:r w:rsidRPr="002C2594">
        <w:rPr>
          <w:rFonts w:eastAsia="Times New Roman" w:cs="Arial"/>
          <w:color w:val="000000"/>
          <w:lang w:eastAsia="bg-BG"/>
        </w:rPr>
        <w:tab/>
        <w:t>Дозировката и/или честотата на прилагане трябва да бъдат адаптирани в зависимост от повлияване на кръвното налягане.</w:t>
      </w:r>
    </w:p>
    <w:p w14:paraId="726B187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15250CEA" w14:textId="77777777" w:rsidR="002C2594" w:rsidRPr="002C2594" w:rsidRDefault="002C2594" w:rsidP="002C2594">
      <w:pPr>
        <w:spacing w:line="240" w:lineRule="auto"/>
        <w:rPr>
          <w:rFonts w:eastAsia="Times New Roman" w:cs="Arial"/>
          <w:color w:val="000000"/>
          <w:lang w:eastAsia="bg-BG"/>
        </w:rPr>
      </w:pPr>
    </w:p>
    <w:p w14:paraId="1196978D" w14:textId="5117B26E"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може да бъде титрирана докато се постигне контрол на кръвното налягане или до максимум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дневно.</w:t>
      </w:r>
    </w:p>
    <w:p w14:paraId="6999ECA0" w14:textId="77777777" w:rsidR="002C2594" w:rsidRPr="002C2594" w:rsidRDefault="002C2594" w:rsidP="002C2594">
      <w:pPr>
        <w:spacing w:line="240" w:lineRule="auto"/>
        <w:rPr>
          <w:rFonts w:eastAsia="Times New Roman" w:cs="Arial"/>
          <w:i/>
          <w:iCs/>
          <w:color w:val="000000"/>
          <w:u w:val="single"/>
          <w:lang w:eastAsia="bg-BG"/>
        </w:rPr>
      </w:pPr>
    </w:p>
    <w:p w14:paraId="5940BBB0" w14:textId="4C1C0288"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Хипертензивни педиатрични пациенти на възраст между 6-16 години </w:t>
      </w:r>
      <w:r w:rsidRPr="002C2594">
        <w:rPr>
          <w:rFonts w:eastAsia="Times New Roman" w:cs="Arial"/>
          <w:color w:val="000000"/>
          <w:lang w:eastAsia="bg-BG"/>
        </w:rPr>
        <w:t xml:space="preserve">Препоръчителната начална доза е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веднъж дневно при пациенти от 20 до &lt;50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веднъж дневно при пациенти ≥50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Дозировката трябва да бъде индивидуално адаптирана до максимум от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дневно при пациенти с телесно тегло от 20 до &lt;50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 пациенти ≥50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Дози над 0,61 </w:t>
      </w:r>
      <w:r w:rsidRPr="002C2594">
        <w:rPr>
          <w:rFonts w:eastAsia="Times New Roman" w:cs="Arial"/>
          <w:color w:val="000000"/>
          <w:lang w:val="en-US"/>
        </w:rPr>
        <w:t>mg</w:t>
      </w:r>
      <w:r w:rsidRPr="002C2594">
        <w:rPr>
          <w:rFonts w:eastAsia="Times New Roman" w:cs="Arial"/>
          <w:color w:val="000000"/>
          <w:lang w:val="ru-RU"/>
        </w:rPr>
        <w:t>/</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(или повече от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не са проучвани при педиатрични пациенти (вж. точка 5.1).</w:t>
      </w:r>
    </w:p>
    <w:p w14:paraId="236D230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деца с намалена бъбречна функция трябва да се обмисли по-ниска начална доза или по-висок дозов интервал.</w:t>
      </w:r>
    </w:p>
    <w:p w14:paraId="2CE4D5E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7DD120B2" w14:textId="77777777" w:rsidR="002C2594" w:rsidRPr="002C2594" w:rsidRDefault="002C2594" w:rsidP="002C2594">
      <w:pPr>
        <w:spacing w:line="240" w:lineRule="auto"/>
        <w:rPr>
          <w:rFonts w:eastAsia="Times New Roman" w:cs="Arial"/>
          <w:i/>
          <w:iCs/>
          <w:color w:val="000000"/>
          <w:u w:val="single"/>
          <w:lang w:eastAsia="bg-BG"/>
        </w:rPr>
      </w:pPr>
    </w:p>
    <w:p w14:paraId="61EFA28A" w14:textId="496D368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Сърдечна недостатъчност</w:t>
      </w:r>
    </w:p>
    <w:p w14:paraId="413B5FE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със симптоматична сърдечна недостатъчност, Диротон може да бъде приложен като допълнителна терапия към лечението с диуретици и където е подходящо към лечение с дигиталис или бета-блокери. Лечението с Диротон може да бъде започнато с начална доза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еднократно дневно, като трябва да се прилага под лекарско наблюдение, за да се определи началния ефект върху кръвното налягане. Дозата на Диротон трябва да се повишава:</w:t>
      </w:r>
    </w:p>
    <w:p w14:paraId="5FEF24A5" w14:textId="77777777"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 xml:space="preserve">със стъпки от не повече от 10 </w:t>
      </w:r>
      <w:r w:rsidRPr="002C2594">
        <w:rPr>
          <w:rFonts w:eastAsia="Times New Roman" w:cs="Arial"/>
          <w:color w:val="000000"/>
          <w:lang w:val="en-US"/>
        </w:rPr>
        <w:t>mg</w:t>
      </w:r>
      <w:r w:rsidRPr="002C2594">
        <w:rPr>
          <w:rFonts w:eastAsia="Times New Roman" w:cs="Arial"/>
          <w:color w:val="000000"/>
          <w:lang w:val="ru-RU"/>
        </w:rPr>
        <w:t>;</w:t>
      </w:r>
    </w:p>
    <w:p w14:paraId="62ED5AFA" w14:textId="77777777"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на интервали не по-кратки от 2 седмици;</w:t>
      </w:r>
    </w:p>
    <w:p w14:paraId="10C2E7CA" w14:textId="35719EFF"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 xml:space="preserve">до най-високата доза, която пациентът понася, до максимум 35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еднократно дневно.</w:t>
      </w:r>
    </w:p>
    <w:p w14:paraId="2042EBA7" w14:textId="6D86E191"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0C86685E" w14:textId="77777777" w:rsidR="002C2594" w:rsidRPr="002C2594" w:rsidRDefault="002C2594" w:rsidP="002C2594">
      <w:pPr>
        <w:spacing w:line="240" w:lineRule="auto"/>
        <w:rPr>
          <w:rFonts w:eastAsia="Times New Roman" w:cs="Arial"/>
          <w:color w:val="000000"/>
          <w:lang w:eastAsia="bg-BG"/>
        </w:rPr>
      </w:pPr>
    </w:p>
    <w:p w14:paraId="42573325" w14:textId="6A885DE1" w:rsidR="002C2594" w:rsidRPr="002C2594" w:rsidRDefault="002C2594" w:rsidP="002C2594">
      <w:pPr>
        <w:spacing w:line="240" w:lineRule="auto"/>
        <w:rPr>
          <w:rFonts w:eastAsia="Times New Roman" w:cs="Arial"/>
        </w:rPr>
      </w:pPr>
      <w:r w:rsidRPr="002C2594">
        <w:rPr>
          <w:rFonts w:eastAsia="Times New Roman" w:cs="Arial"/>
          <w:color w:val="000000"/>
          <w:lang w:eastAsia="bg-BG"/>
        </w:rPr>
        <w:t>Коригирането на дозата трябва да бъде съобразено с клиничния отговор на отделните пациенти.</w:t>
      </w:r>
    </w:p>
    <w:p w14:paraId="2651E53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 висок риск от симптоматична хипотония, например пациенти с недостиг на соли с или без хипонатриемия, пациенти с хиповолемия, пациенти приемащи интензивно диуретично лечение, трябва да се коригират, ако е възможно, тези състояния </w:t>
      </w:r>
      <w:r w:rsidRPr="002C2594">
        <w:rPr>
          <w:rFonts w:eastAsia="Times New Roman" w:cs="Arial"/>
          <w:color w:val="000000"/>
          <w:lang w:eastAsia="bg-BG"/>
        </w:rPr>
        <w:lastRenderedPageBreak/>
        <w:t>преди лечението с Диротон. Трябва да се проследяват бъбречната функция и серумните нива на калий (вж. точка 4.4).</w:t>
      </w:r>
    </w:p>
    <w:p w14:paraId="17390AF6" w14:textId="77777777" w:rsidR="002C2594" w:rsidRPr="002C2594" w:rsidRDefault="002C2594" w:rsidP="002C2594">
      <w:pPr>
        <w:spacing w:line="240" w:lineRule="auto"/>
        <w:rPr>
          <w:rFonts w:eastAsia="Times New Roman" w:cs="Arial"/>
          <w:i/>
          <w:iCs/>
          <w:color w:val="000000"/>
          <w:u w:val="single"/>
          <w:lang w:eastAsia="bg-BG"/>
        </w:rPr>
      </w:pPr>
    </w:p>
    <w:p w14:paraId="2ED423FC" w14:textId="1B5E99A5"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Остър миокарден инфаркт</w:t>
      </w:r>
    </w:p>
    <w:p w14:paraId="1B7557AF"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Пациентите трябва да получават, както е подходящо, стандартна препоръчителна терапия като тромболитични агенти, аспирин и бета-блокери. Едновременно с Диротон може да се използва интравенозен или трансдермален глицеринов тринитрат.</w:t>
      </w:r>
    </w:p>
    <w:p w14:paraId="2890996C" w14:textId="77777777" w:rsidR="002C2594" w:rsidRPr="002C2594" w:rsidRDefault="002C2594" w:rsidP="002C2594">
      <w:pPr>
        <w:spacing w:line="240" w:lineRule="auto"/>
        <w:rPr>
          <w:rFonts w:eastAsia="Times New Roman" w:cs="Arial"/>
          <w:i/>
          <w:iCs/>
          <w:color w:val="000000"/>
          <w:lang w:eastAsia="bg-BG"/>
        </w:rPr>
      </w:pPr>
    </w:p>
    <w:p w14:paraId="7FB1A5F1" w14:textId="026645CE"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Начална доза (първите 3 дни след инфаркт)</w:t>
      </w:r>
    </w:p>
    <w:p w14:paraId="3D383721" w14:textId="77777777" w:rsidR="002C2594" w:rsidRPr="002C2594" w:rsidRDefault="002C2594" w:rsidP="002C2594">
      <w:pPr>
        <w:rPr>
          <w:rFonts w:eastAsia="Times New Roman" w:cs="Arial"/>
        </w:rPr>
      </w:pPr>
      <w:r w:rsidRPr="002C2594">
        <w:rPr>
          <w:rFonts w:eastAsia="Times New Roman" w:cs="Arial"/>
          <w:color w:val="000000"/>
          <w:lang w:eastAsia="bg-BG"/>
        </w:rPr>
        <w:t>Лечението с Диротон може да започне в първите 24 часа от началото на симптомите Не трябва да се започва лечение, ако систолното кръвно налягане е по-високо от</w:t>
      </w:r>
      <w:r w:rsidRPr="002C2594">
        <w:rPr>
          <w:rFonts w:eastAsia="Times New Roman" w:cs="Arial"/>
          <w:smallCaps/>
          <w:color w:val="000000"/>
          <w:lang w:eastAsia="bg-BG"/>
        </w:rPr>
        <w:t xml:space="preserve"> </w:t>
      </w:r>
      <w:r w:rsidRPr="002C2594">
        <w:rPr>
          <w:rFonts w:eastAsia="Times New Roman" w:cs="Arial"/>
          <w:color w:val="000000"/>
          <w:lang w:eastAsia="bg-BG"/>
        </w:rPr>
        <w:t xml:space="preserve">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Първата доза Диротон е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приложена перорално, последвана от още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след 24 часа,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след 48 часа и след това по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Пациентите с ниско систолно кръвно налягане (120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или по-ниско) в нчалаото на</w:t>
      </w:r>
      <w:r w:rsidRPr="002C2594">
        <w:rPr>
          <w:rFonts w:eastAsia="Times New Roman" w:cs="Arial"/>
          <w:b/>
          <w:bCs/>
          <w:color w:val="000000"/>
          <w:lang w:eastAsia="bg-BG"/>
        </w:rPr>
        <w:t xml:space="preserve"> </w:t>
      </w:r>
      <w:r w:rsidRPr="002C2594">
        <w:rPr>
          <w:rFonts w:eastAsia="Times New Roman" w:cs="Arial"/>
          <w:color w:val="000000"/>
          <w:lang w:eastAsia="bg-BG"/>
        </w:rPr>
        <w:t>терапията или през първите 3 дни след инфаркта, трябва да бъдат лекувани с по-ниска</w:t>
      </w:r>
      <w:r w:rsidRPr="002C2594">
        <w:rPr>
          <w:rFonts w:eastAsia="Times New Roman" w:cs="Arial"/>
          <w:color w:val="000000"/>
          <w:lang w:val="ru-RU" w:eastAsia="bg-BG"/>
        </w:rPr>
        <w:t xml:space="preserve"> </w:t>
      </w:r>
      <w:r w:rsidRPr="002C2594">
        <w:rPr>
          <w:rFonts w:eastAsia="Times New Roman" w:cs="Arial"/>
          <w:color w:val="000000"/>
          <w:lang w:eastAsia="bg-BG"/>
        </w:rPr>
        <w:t xml:space="preserve">доза - 2,5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перорално (вж. точка 4.4). В случай на увреждане на бъбречната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30A7CDCC"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098A1027" w14:textId="77777777" w:rsidR="002C2594" w:rsidRPr="002C2594" w:rsidRDefault="002C2594" w:rsidP="002C2594">
      <w:pPr>
        <w:spacing w:line="240" w:lineRule="auto"/>
        <w:rPr>
          <w:rFonts w:eastAsia="Times New Roman" w:cs="Arial"/>
          <w:i/>
          <w:iCs/>
          <w:color w:val="000000"/>
          <w:lang w:eastAsia="bg-BG"/>
        </w:rPr>
      </w:pPr>
    </w:p>
    <w:p w14:paraId="308ED8A9" w14:textId="30DC2BD3"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Поддържаща доза</w:t>
      </w:r>
    </w:p>
    <w:p w14:paraId="731AA52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Поддържащата доза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Ако се появи хипотония (систолно кръвно налягане по-ниско или равно на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се дава поддържаща дневна доза от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и при необходимост може да се намали временно до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Ако се появи продължителна хипотония (систолно кръвно налягане по-ниско от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в продължение на повече от 1 час), приложението на Диротон трябва да се преустанови. Лечението трябва да продължи 6 седмици, след което пациента трябва да бъде преоценен. Пациентите, които развият симптоми на сърдечна недостатъчност, трябва да продължат лечението с Диротон (вж. точка 4.2).</w:t>
      </w:r>
    </w:p>
    <w:p w14:paraId="0CA67B86" w14:textId="77777777" w:rsidR="002C2594" w:rsidRPr="002C2594" w:rsidRDefault="002C2594" w:rsidP="002C2594">
      <w:pPr>
        <w:spacing w:line="240" w:lineRule="auto"/>
        <w:rPr>
          <w:rFonts w:eastAsia="Times New Roman" w:cs="Arial"/>
          <w:i/>
          <w:iCs/>
          <w:color w:val="000000"/>
          <w:u w:val="single"/>
          <w:lang w:eastAsia="bg-BG"/>
        </w:rPr>
      </w:pPr>
    </w:p>
    <w:p w14:paraId="603EE099" w14:textId="109A5B1F"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Бъбречни усложнения при диабет</w:t>
      </w:r>
    </w:p>
    <w:p w14:paraId="673B2B2A"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хипертензивни пациенти с диабет тип 2 и начална нефропатия дозата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Диротон еднократно дневно, която при необходимост може да се повиши до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за да се достигне диастолно артериално налягане в седнало положение под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w:t>
      </w:r>
    </w:p>
    <w:p w14:paraId="63F3E57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случаите на нарушена бъбречна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6EB2BC67" w14:textId="77777777" w:rsidR="002C2594" w:rsidRPr="002C2594" w:rsidRDefault="002C2594" w:rsidP="002C2594">
      <w:pPr>
        <w:spacing w:line="240" w:lineRule="auto"/>
        <w:rPr>
          <w:rFonts w:eastAsia="Times New Roman" w:cs="Arial"/>
          <w:i/>
          <w:iCs/>
          <w:color w:val="000000"/>
          <w:u w:val="single"/>
          <w:lang w:eastAsia="bg-BG"/>
        </w:rPr>
      </w:pPr>
    </w:p>
    <w:p w14:paraId="1EB5EB35" w14:textId="69DD6D30"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Педиатрична популация</w:t>
      </w:r>
    </w:p>
    <w:p w14:paraId="440D0AD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Опитът по отношение на ефикасност и безопасност при хипертензивни деца</w:t>
      </w:r>
    </w:p>
    <w:p w14:paraId="4366025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&gt;6 годишна възраст е ограничен и липсва опит по отношение на други показания (вж. точка 5.1). Лизиноприл не се препоръчва при деца с други показания освен хипертония. Лизиноприл не се препоръчва при деца под 6-годишна възраст или при деца с тежко бъбречно увреждане </w:t>
      </w:r>
      <w:r w:rsidRPr="002C2594">
        <w:rPr>
          <w:rFonts w:eastAsia="Times New Roman" w:cs="Arial"/>
          <w:color w:val="000000"/>
          <w:lang w:val="ru-RU"/>
        </w:rPr>
        <w:t>(</w:t>
      </w:r>
      <w:r w:rsidRPr="002C2594">
        <w:rPr>
          <w:rFonts w:eastAsia="Times New Roman" w:cs="Arial"/>
          <w:color w:val="000000"/>
          <w:lang w:val="en-US"/>
        </w:rPr>
        <w:t>GFR</w:t>
      </w:r>
      <w:r w:rsidRPr="002C2594">
        <w:rPr>
          <w:rFonts w:eastAsia="Times New Roman" w:cs="Arial"/>
          <w:color w:val="000000"/>
          <w:lang w:val="ru-RU"/>
        </w:rPr>
        <w:t xml:space="preserve"> </w:t>
      </w:r>
      <w:r w:rsidRPr="002C2594">
        <w:rPr>
          <w:rFonts w:eastAsia="Times New Roman" w:cs="Arial"/>
          <w:color w:val="000000"/>
          <w:lang w:eastAsia="bg-BG"/>
        </w:rPr>
        <w:t xml:space="preserve">&lt;30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/1,73 </w:t>
      </w:r>
      <w:r w:rsidRPr="002C2594">
        <w:rPr>
          <w:rFonts w:eastAsia="Times New Roman" w:cs="Arial"/>
          <w:color w:val="000000"/>
          <w:lang w:val="en-US"/>
        </w:rPr>
        <w:t>m</w:t>
      </w:r>
      <w:r w:rsidRPr="002C2594">
        <w:rPr>
          <w:rFonts w:eastAsia="Times New Roman" w:cs="Arial"/>
          <w:color w:val="000000"/>
          <w:vertAlign w:val="superscript"/>
          <w:lang w:val="ru-RU"/>
        </w:rPr>
        <w:t>2</w:t>
      </w:r>
      <w:r w:rsidRPr="002C2594">
        <w:rPr>
          <w:rFonts w:eastAsia="Times New Roman" w:cs="Arial"/>
          <w:color w:val="000000"/>
          <w:lang w:val="ru-RU"/>
        </w:rPr>
        <w:t xml:space="preserve">) </w:t>
      </w:r>
      <w:r w:rsidRPr="002C2594">
        <w:rPr>
          <w:rFonts w:eastAsia="Times New Roman" w:cs="Arial"/>
          <w:color w:val="000000"/>
          <w:lang w:eastAsia="bg-BG"/>
        </w:rPr>
        <w:t>(вж. точка 5.2).</w:t>
      </w:r>
    </w:p>
    <w:p w14:paraId="4BEA246A" w14:textId="77777777" w:rsidR="002C2594" w:rsidRPr="002C2594" w:rsidRDefault="002C2594" w:rsidP="002C2594">
      <w:pPr>
        <w:spacing w:line="240" w:lineRule="auto"/>
        <w:rPr>
          <w:rFonts w:eastAsia="Times New Roman" w:cs="Arial"/>
          <w:i/>
          <w:iCs/>
          <w:color w:val="000000"/>
          <w:u w:val="single"/>
          <w:lang w:eastAsia="bg-BG"/>
        </w:rPr>
      </w:pPr>
    </w:p>
    <w:p w14:paraId="3B73D550" w14:textId="59F29FD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Старческа възраст</w:t>
      </w:r>
    </w:p>
    <w:p w14:paraId="65CB2983"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клинични проучвания не беше установена зависима от възрастта промяна в профила на безопасност и ефикасност на лекарството. Когато обаче напредналата възраст е </w:t>
      </w:r>
      <w:r w:rsidRPr="002C2594">
        <w:rPr>
          <w:rFonts w:eastAsia="Times New Roman" w:cs="Arial"/>
          <w:color w:val="000000"/>
          <w:lang w:eastAsia="bg-BG"/>
        </w:rPr>
        <w:lastRenderedPageBreak/>
        <w:t>свързана с намалена бъбречна функция, препоръките посочени в таблица 1 трябва да се използват за определяне началната доза на Диротон. След това дозата трябва да бъде адаптирана в зависимост от повлияването на кръвното налягане.</w:t>
      </w:r>
    </w:p>
    <w:p w14:paraId="0AF3E27C" w14:textId="77777777" w:rsidR="002C2594" w:rsidRPr="002C2594" w:rsidRDefault="002C2594" w:rsidP="002C2594">
      <w:pPr>
        <w:spacing w:line="240" w:lineRule="auto"/>
        <w:rPr>
          <w:rFonts w:eastAsia="Times New Roman" w:cs="Arial"/>
          <w:i/>
          <w:iCs/>
          <w:color w:val="000000"/>
          <w:u w:val="single"/>
          <w:lang w:eastAsia="bg-BG"/>
        </w:rPr>
      </w:pPr>
    </w:p>
    <w:p w14:paraId="3E04836C" w14:textId="7083CA46"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Пациенти с трансплантиран бъбрек</w:t>
      </w:r>
    </w:p>
    <w:p w14:paraId="4E32913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Няма опит по отношение приложението на лизиноприл при пациенти със скорошна бъбречна трансплантация. Поради това, не се препоръчва лечение с Диротон.</w:t>
      </w:r>
    </w:p>
    <w:p w14:paraId="5DBE54C9" w14:textId="77777777" w:rsidR="002C2594" w:rsidRPr="002C2594" w:rsidRDefault="002C2594" w:rsidP="002C2594">
      <w:pPr>
        <w:spacing w:line="240" w:lineRule="auto"/>
        <w:rPr>
          <w:rFonts w:eastAsia="Times New Roman" w:cs="Arial"/>
          <w:color w:val="000000"/>
          <w:u w:val="single"/>
          <w:lang w:eastAsia="bg-BG"/>
        </w:rPr>
      </w:pPr>
    </w:p>
    <w:p w14:paraId="04FAA42F" w14:textId="494456AF" w:rsidR="002C2594" w:rsidRPr="002C2594" w:rsidRDefault="002C2594" w:rsidP="002C2594">
      <w:pPr>
        <w:pStyle w:val="Heading3"/>
        <w:rPr>
          <w:rFonts w:eastAsia="Times New Roman"/>
          <w:u w:val="single"/>
        </w:rPr>
      </w:pPr>
      <w:r w:rsidRPr="002C2594">
        <w:rPr>
          <w:rFonts w:eastAsia="Times New Roman"/>
          <w:u w:val="single"/>
          <w:lang w:eastAsia="bg-BG"/>
        </w:rPr>
        <w:t>Начин на приложение</w:t>
      </w:r>
    </w:p>
    <w:p w14:paraId="1E795C7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Диротон трябва да се прилага перорално еднократно дневно. Както и всички други лекарства, приемани веднъж дневно, Диротон трябва да се приема приблизително по едно и също време всеки ден. Абсорбцията на Диротон таблетки не се повлиява от храната.</w:t>
      </w:r>
    </w:p>
    <w:p w14:paraId="49AF59FF" w14:textId="5C46EE03" w:rsidR="002C2594" w:rsidRPr="002C2594" w:rsidRDefault="002C2594" w:rsidP="002C2594"/>
    <w:p w14:paraId="0F253247" w14:textId="2825C2DB" w:rsidR="007122AD" w:rsidRDefault="002C50EE" w:rsidP="00936AD0">
      <w:pPr>
        <w:pStyle w:val="Heading2"/>
      </w:pPr>
      <w:r>
        <w:t>4.3. Противопоказания</w:t>
      </w:r>
    </w:p>
    <w:p w14:paraId="4BB11643" w14:textId="63AFE5D9" w:rsidR="002C2594" w:rsidRDefault="002C2594" w:rsidP="002C2594"/>
    <w:p w14:paraId="7C27034A" w14:textId="77777777" w:rsidR="002C2594" w:rsidRPr="002C2594" w:rsidRDefault="002C2594" w:rsidP="002C2594">
      <w:pPr>
        <w:pStyle w:val="ListParagraph"/>
        <w:numPr>
          <w:ilvl w:val="0"/>
          <w:numId w:val="38"/>
        </w:numPr>
        <w:rPr>
          <w:sz w:val="24"/>
          <w:szCs w:val="24"/>
        </w:rPr>
      </w:pPr>
      <w:r w:rsidRPr="002C2594">
        <w:rPr>
          <w:lang w:eastAsia="bg-BG"/>
        </w:rPr>
        <w:t>Свръхчувствителност към активното вещество или към някое от помощните</w:t>
      </w:r>
      <w:r w:rsidRPr="002C2594">
        <w:rPr>
          <w:lang w:val="ru-RU" w:eastAsia="bg-BG"/>
        </w:rPr>
        <w:t xml:space="preserve"> </w:t>
      </w:r>
      <w:r w:rsidRPr="002C2594">
        <w:rPr>
          <w:lang w:eastAsia="bg-BG"/>
        </w:rPr>
        <w:t>вещества, изброени в точка 6.1, или към други инхибитори на ангиотензин конвертиращия ензим (АСЕ инхибитори);</w:t>
      </w:r>
    </w:p>
    <w:p w14:paraId="545E938A" w14:textId="77777777" w:rsidR="002C2594" w:rsidRPr="002C2594" w:rsidRDefault="002C2594" w:rsidP="002C2594">
      <w:pPr>
        <w:pStyle w:val="ListParagraph"/>
        <w:numPr>
          <w:ilvl w:val="0"/>
          <w:numId w:val="38"/>
        </w:numPr>
        <w:rPr>
          <w:sz w:val="24"/>
          <w:szCs w:val="24"/>
        </w:rPr>
      </w:pPr>
      <w:r w:rsidRPr="002C2594">
        <w:rPr>
          <w:lang w:eastAsia="bg-BG"/>
        </w:rPr>
        <w:t>Анамнеза за ангионевротичен оток, свързан с предходно лечение с АСЕ инхибитори;</w:t>
      </w:r>
    </w:p>
    <w:p w14:paraId="1C9AF0F4" w14:textId="77777777" w:rsidR="002C2594" w:rsidRPr="002C2594" w:rsidRDefault="002C2594" w:rsidP="002C2594">
      <w:pPr>
        <w:pStyle w:val="ListParagraph"/>
        <w:numPr>
          <w:ilvl w:val="0"/>
          <w:numId w:val="38"/>
        </w:numPr>
        <w:rPr>
          <w:sz w:val="24"/>
          <w:szCs w:val="24"/>
        </w:rPr>
      </w:pPr>
      <w:r w:rsidRPr="002C2594">
        <w:rPr>
          <w:lang w:eastAsia="bg-BG"/>
        </w:rPr>
        <w:t>Наследствен или идиопатичен ангионевротичен оток;</w:t>
      </w:r>
    </w:p>
    <w:p w14:paraId="074135D1" w14:textId="77777777" w:rsidR="002C2594" w:rsidRPr="002C2594" w:rsidRDefault="002C2594" w:rsidP="002C2594">
      <w:pPr>
        <w:pStyle w:val="ListParagraph"/>
        <w:numPr>
          <w:ilvl w:val="0"/>
          <w:numId w:val="38"/>
        </w:numPr>
        <w:rPr>
          <w:sz w:val="24"/>
          <w:szCs w:val="24"/>
        </w:rPr>
      </w:pPr>
      <w:r w:rsidRPr="002C2594">
        <w:rPr>
          <w:lang w:eastAsia="bg-BG"/>
        </w:rPr>
        <w:t>Втори и трети триместьр на бременността (вж. точки 4.4 и 4.6);</w:t>
      </w:r>
    </w:p>
    <w:p w14:paraId="16AB2284" w14:textId="77777777" w:rsidR="002C2594" w:rsidRPr="002C2594" w:rsidRDefault="002C2594" w:rsidP="002C2594">
      <w:pPr>
        <w:pStyle w:val="ListParagraph"/>
        <w:numPr>
          <w:ilvl w:val="0"/>
          <w:numId w:val="38"/>
        </w:numPr>
        <w:rPr>
          <w:sz w:val="24"/>
          <w:szCs w:val="24"/>
        </w:rPr>
      </w:pPr>
      <w:r w:rsidRPr="002C2594">
        <w:rPr>
          <w:lang w:eastAsia="bg-BG"/>
        </w:rPr>
        <w:t xml:space="preserve">Комбинация на Диротон с лекарства, съдържащи алискирен, при пациенти с диабет или с умерено тежко до тежко бъбречно увреждане </w:t>
      </w:r>
      <w:r w:rsidRPr="002C2594">
        <w:rPr>
          <w:lang w:val="ru-RU"/>
        </w:rPr>
        <w:t>(</w:t>
      </w:r>
      <w:r w:rsidRPr="002C2594">
        <w:rPr>
          <w:lang w:val="en-US"/>
        </w:rPr>
        <w:t>GFR</w:t>
      </w:r>
      <w:r w:rsidRPr="002C2594">
        <w:rPr>
          <w:lang w:val="ru-RU"/>
        </w:rPr>
        <w:t xml:space="preserve">&lt;60 </w:t>
      </w:r>
      <w:r w:rsidRPr="002C2594">
        <w:rPr>
          <w:lang w:val="en-US"/>
        </w:rPr>
        <w:t>ml</w:t>
      </w:r>
      <w:r w:rsidRPr="002C2594">
        <w:rPr>
          <w:lang w:val="ru-RU"/>
        </w:rPr>
        <w:t>/</w:t>
      </w:r>
      <w:r w:rsidRPr="002C2594">
        <w:rPr>
          <w:lang w:val="en-US"/>
        </w:rPr>
        <w:t>min</w:t>
      </w:r>
      <w:r w:rsidRPr="002C2594">
        <w:rPr>
          <w:lang w:val="ru-RU"/>
        </w:rPr>
        <w:t xml:space="preserve">/1,73 </w:t>
      </w:r>
      <w:r w:rsidRPr="002C2594">
        <w:rPr>
          <w:lang w:val="en-US"/>
        </w:rPr>
        <w:t>m</w:t>
      </w:r>
      <w:r w:rsidRPr="002C2594">
        <w:rPr>
          <w:vertAlign w:val="superscript"/>
          <w:lang w:val="ru-RU"/>
        </w:rPr>
        <w:t>2</w:t>
      </w:r>
      <w:r w:rsidRPr="002C2594">
        <w:rPr>
          <w:lang w:val="ru-RU"/>
        </w:rPr>
        <w:t xml:space="preserve">) </w:t>
      </w:r>
      <w:r w:rsidRPr="002C2594">
        <w:rPr>
          <w:lang w:eastAsia="bg-BG"/>
        </w:rPr>
        <w:t>(вж. точки 4.5 и 5.1).</w:t>
      </w:r>
    </w:p>
    <w:p w14:paraId="3E6AE53A" w14:textId="1BC082ED" w:rsidR="002C2594" w:rsidRPr="002C2594" w:rsidRDefault="002C2594" w:rsidP="002C2594">
      <w:pPr>
        <w:pStyle w:val="ListParagraph"/>
        <w:numPr>
          <w:ilvl w:val="0"/>
          <w:numId w:val="38"/>
        </w:numPr>
        <w:rPr>
          <w:sz w:val="24"/>
          <w:szCs w:val="24"/>
        </w:rPr>
      </w:pPr>
      <w:r w:rsidRPr="002C2594">
        <w:rPr>
          <w:lang w:eastAsia="bg-BG"/>
        </w:rPr>
        <w:t>Съпътстваща употреба при терапия със сакубитрил/валсартан. Диротон не трябва да се започва по-рано от 36 часа след последната доза сакубитрил/валсартан (вж. също точки 4.4 и 4.5).</w:t>
      </w:r>
    </w:p>
    <w:p w14:paraId="436B8FEB" w14:textId="77777777" w:rsidR="002C2594" w:rsidRPr="002C2594" w:rsidRDefault="002C2594" w:rsidP="002C2594">
      <w:pPr>
        <w:rPr>
          <w:sz w:val="24"/>
          <w:szCs w:val="24"/>
        </w:rPr>
      </w:pPr>
    </w:p>
    <w:p w14:paraId="0E0BDCC7" w14:textId="3E57CE50" w:rsidR="007122AD" w:rsidRDefault="002C50EE" w:rsidP="00936AD0">
      <w:pPr>
        <w:pStyle w:val="Heading2"/>
      </w:pPr>
      <w:r>
        <w:t>4.4. Специални предупреждения и предпазни мерки при употреба</w:t>
      </w:r>
    </w:p>
    <w:p w14:paraId="4992B1EC" w14:textId="6ACB8E27" w:rsidR="002C2594" w:rsidRDefault="002C2594" w:rsidP="002C2594"/>
    <w:p w14:paraId="5AE4811B" w14:textId="77777777"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Симптоматична хипотония</w:t>
      </w:r>
    </w:p>
    <w:p w14:paraId="0B39CF5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Симптоматична хипотония се наблюдава рядко при пациенти с неусложнена хипертония. При пациенти с хипертония, приемащи лизиноприл, хипотонията е по- вероятна при пациенти с хиповолемия, например при лечение с диуретици, при диета с ограничен прием на сол, диализа, диария или повръщане, или при пациенти с тежка ренин-зависима хипертония (вж. точка 4.5 и точка 4.8). Симптоматичната хипотония се наблюдава при пациенти със сърдечна недостатъчност, с или без асоциирана бъбречна недостатъчност. Това състояние е по-вероятно да се появи при пациенти с по-тежка степен сърдечна недостатъчност, като влияние оказва употребата на високи дози бримкови диуретици, хипонатриемията или функционално бъбречно увреждане. При пациенти с повишен риск от симптоматична хипотония, започването на лечението и коригирането на дозата трябва да бъде строго наблюдавано. Същото важи и за пациенти с исхемична болест на сърцето или мозъчно-съдова болест, при които прекомерното понижаване на кръвното налягане може да доведе до инфаркт на миокарда или мозъчно-съдов инцидент.</w:t>
      </w:r>
    </w:p>
    <w:p w14:paraId="28F9F673" w14:textId="77777777" w:rsidR="002C2594" w:rsidRPr="002C2594" w:rsidRDefault="002C2594" w:rsidP="002C2594">
      <w:pPr>
        <w:spacing w:line="240" w:lineRule="auto"/>
        <w:rPr>
          <w:rFonts w:eastAsia="Times New Roman" w:cs="Arial"/>
          <w:color w:val="000000"/>
          <w:lang w:eastAsia="bg-BG"/>
        </w:rPr>
      </w:pPr>
    </w:p>
    <w:p w14:paraId="43D30D20" w14:textId="2E3100D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При поява на хипотония, пациентът трябва да се постави в легнало положение и ако е необходимо да се приложи интравенозна инфузия на физиологичен разтвор. Временен хипотоничен отговор не е противопоказание за допълнителни дози, които могат да бъдат давани, обикновено без усложнения, щом кръвното налягане се повиши след увеличаване обема на течностите.</w:t>
      </w:r>
    </w:p>
    <w:p w14:paraId="28088003" w14:textId="77777777" w:rsidR="002C2594" w:rsidRPr="002C2594" w:rsidRDefault="002C2594" w:rsidP="002C2594">
      <w:pPr>
        <w:spacing w:line="240" w:lineRule="auto"/>
        <w:rPr>
          <w:rFonts w:eastAsia="Times New Roman" w:cs="Arial"/>
          <w:color w:val="000000"/>
          <w:lang w:eastAsia="bg-BG"/>
        </w:rPr>
      </w:pPr>
    </w:p>
    <w:p w14:paraId="12AB4F08" w14:textId="1870520D"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някои пациенти със сърдечна недостатъчност, които имат нормално или ниско кръвно налягане, може да се наблюдава допълнително понижаване на системното кръвно налягане при прием на Диротон. Този ефект е предвидим и обикновено не е причина за преустановяване на лечението. Ако хипотонията стане симптоматична, може да е необходимо понижаване на дозата или прекъсване на лечението с Диротон.</w:t>
      </w:r>
    </w:p>
    <w:p w14:paraId="186092D9" w14:textId="77777777" w:rsidR="002C2594" w:rsidRPr="002C2594" w:rsidRDefault="002C2594" w:rsidP="002C2594">
      <w:pPr>
        <w:spacing w:line="240" w:lineRule="auto"/>
        <w:rPr>
          <w:rFonts w:eastAsia="Times New Roman" w:cs="Arial"/>
          <w:i/>
          <w:iCs/>
          <w:color w:val="000000"/>
          <w:u w:val="single"/>
          <w:lang w:eastAsia="bg-BG"/>
        </w:rPr>
      </w:pPr>
    </w:p>
    <w:p w14:paraId="5103A78B" w14:textId="6923AAE9"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Хипотония при остър миокарден инфаркт</w:t>
      </w:r>
    </w:p>
    <w:p w14:paraId="143F5DD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Диротон не трябва да се включва в терапията на пациенти с остър миокарден инфаркт ако съществува риск за възникване на допълнителни сериозни хемодинамични усложнения след лечението с вазодилататор. Това са пациенти със систолно артериално налягане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или в кардиогенен шок. През първите 3 дни след инфаркта дозата трябва да бъде понижена, ако систоличното кръвно налягане е 120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В случай, че систолното налягане е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поддържащата доза трябва да бъде понижена до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или временно до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Ак</w:t>
      </w:r>
      <w:r w:rsidRPr="002C2594">
        <w:rPr>
          <w:rFonts w:eastAsia="Times New Roman" w:cs="Arial"/>
          <w:color w:val="000000"/>
          <w:u w:val="single"/>
          <w:lang w:eastAsia="bg-BG"/>
        </w:rPr>
        <w:t xml:space="preserve">о </w:t>
      </w:r>
      <w:r w:rsidRPr="002C2594">
        <w:rPr>
          <w:rFonts w:eastAsia="Times New Roman" w:cs="Arial"/>
          <w:color w:val="000000"/>
          <w:lang w:eastAsia="bg-BG"/>
        </w:rPr>
        <w:t xml:space="preserve">хипотонията персистира (систолно кръвно налягане по-ниско от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продължение на повече от 1 час), приложението на Диротон трябва да се преустанови.</w:t>
      </w:r>
    </w:p>
    <w:p w14:paraId="12CDF032" w14:textId="77777777" w:rsidR="002C2594" w:rsidRPr="002C2594" w:rsidRDefault="002C2594" w:rsidP="002C2594">
      <w:pPr>
        <w:spacing w:line="240" w:lineRule="auto"/>
        <w:rPr>
          <w:rFonts w:eastAsia="Times New Roman" w:cs="Arial"/>
          <w:i/>
          <w:iCs/>
          <w:color w:val="000000"/>
          <w:u w:val="single"/>
          <w:lang w:eastAsia="bg-BG"/>
        </w:rPr>
      </w:pPr>
    </w:p>
    <w:p w14:paraId="5DFF8227" w14:textId="01846D7C" w:rsidR="002C2594" w:rsidRPr="002C2594" w:rsidRDefault="002C2594" w:rsidP="002C2594">
      <w:pPr>
        <w:spacing w:line="240" w:lineRule="auto"/>
        <w:rPr>
          <w:rFonts w:eastAsia="Times New Roman" w:cs="Arial"/>
          <w:i/>
          <w:iCs/>
          <w:color w:val="000000"/>
          <w:u w:val="single"/>
          <w:lang w:eastAsia="bg-BG"/>
        </w:rPr>
      </w:pPr>
      <w:r w:rsidRPr="002C2594">
        <w:rPr>
          <w:rFonts w:eastAsia="Times New Roman" w:cs="Arial"/>
          <w:i/>
          <w:iCs/>
          <w:color w:val="000000"/>
          <w:u w:val="single"/>
          <w:lang w:eastAsia="bg-BG"/>
        </w:rPr>
        <w:t>Стеноза на аортната и митрална клапи/хипертрофична кардиомиопатия</w:t>
      </w:r>
    </w:p>
    <w:p w14:paraId="3C8AF09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Както и другите АСЕ инхибитори, лизиноприл трябва да се прилага с внимание при пациенти със стеноза на мигралната клапа и обструкция на изхода на лявата камера като аортна стеноза или хипертрофична кардиомиопатия.</w:t>
      </w:r>
    </w:p>
    <w:p w14:paraId="535FBDF9" w14:textId="77777777" w:rsidR="002C2594" w:rsidRPr="002C2594" w:rsidRDefault="002C2594" w:rsidP="002C2594">
      <w:pPr>
        <w:spacing w:line="240" w:lineRule="auto"/>
        <w:rPr>
          <w:rFonts w:eastAsia="Times New Roman" w:cs="Arial"/>
          <w:i/>
          <w:iCs/>
          <w:color w:val="000000"/>
          <w:u w:val="single"/>
          <w:lang w:eastAsia="bg-BG"/>
        </w:rPr>
      </w:pPr>
    </w:p>
    <w:p w14:paraId="393CF014" w14:textId="6B87CA10"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Нарушена бъбречна функиия</w:t>
      </w:r>
    </w:p>
    <w:p w14:paraId="71D3089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случаите на нарушена бъбречна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 в точка 4.2) и в зависимост от отговора на пациента спрямо лечението. Рутинното проследяване на стойностите на калий и креатинин е част от стандартното медицинско обслужване на тези пациенти.</w:t>
      </w:r>
    </w:p>
    <w:p w14:paraId="18D6FE8A" w14:textId="77777777" w:rsidR="002C2594" w:rsidRPr="002C2594" w:rsidRDefault="002C2594" w:rsidP="002C2594">
      <w:pPr>
        <w:spacing w:line="240" w:lineRule="auto"/>
        <w:rPr>
          <w:rFonts w:eastAsia="Times New Roman" w:cs="Arial"/>
          <w:color w:val="000000"/>
          <w:lang w:eastAsia="bg-BG"/>
        </w:rPr>
      </w:pPr>
    </w:p>
    <w:p w14:paraId="47FD0363" w14:textId="1B07E488"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със </w:t>
      </w:r>
      <w:r w:rsidRPr="002C2594">
        <w:rPr>
          <w:rFonts w:eastAsia="Times New Roman" w:cs="Arial"/>
          <w:color w:val="000000"/>
          <w:u w:val="single"/>
          <w:lang w:eastAsia="bg-BG"/>
        </w:rPr>
        <w:t>сърдечна недостатъчност,</w:t>
      </w:r>
      <w:r w:rsidRPr="002C2594">
        <w:rPr>
          <w:rFonts w:eastAsia="Times New Roman" w:cs="Arial"/>
          <w:color w:val="000000"/>
          <w:lang w:eastAsia="bg-BG"/>
        </w:rPr>
        <w:t xml:space="preserve"> хипотония след началото на лечението с АСЕ инхибитори може да доведе до по-нататъшно увреждане на бъбречната функция. В такива случаи е съобщавана остра бъбречна недостатъчност, обикновено обратима.</w:t>
      </w:r>
    </w:p>
    <w:p w14:paraId="289BCAB9" w14:textId="77777777" w:rsidR="002C2594" w:rsidRPr="002C2594" w:rsidRDefault="002C2594" w:rsidP="002C2594">
      <w:pPr>
        <w:spacing w:line="240" w:lineRule="auto"/>
        <w:rPr>
          <w:rFonts w:eastAsia="Times New Roman" w:cs="Arial"/>
          <w:color w:val="000000"/>
          <w:lang w:eastAsia="bg-BG"/>
        </w:rPr>
      </w:pPr>
    </w:p>
    <w:p w14:paraId="5077BCEA" w14:textId="0AEFB26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някои пациенти с </w:t>
      </w:r>
      <w:r w:rsidRPr="002C2594">
        <w:rPr>
          <w:rFonts w:eastAsia="Times New Roman" w:cs="Arial"/>
          <w:color w:val="000000"/>
          <w:u w:val="single"/>
          <w:lang w:eastAsia="bg-BG"/>
        </w:rPr>
        <w:t>двустранна стеноза на бъбречната артерия или стеноза на артерията на единствен бъбрек,</w:t>
      </w:r>
      <w:r w:rsidRPr="002C2594">
        <w:rPr>
          <w:rFonts w:eastAsia="Times New Roman" w:cs="Arial"/>
          <w:color w:val="000000"/>
          <w:lang w:eastAsia="bg-BG"/>
        </w:rPr>
        <w:t xml:space="preserve"> които са били лекувани с инхибитори на ангиотензин конвертиращия ензим, са наблюдавани повишаване на нивата в кръвта на уреята и серумния креатинин, което обикновено е обратимо след прекратяване на лечението. Това е особено вероятно при пациенти с бъбречна недостатъчност. Ако присъства също реноваскуларна хипертония, съществува повишен риск от тежка хипотония и бъбречна недостатъчност. При тези пациенти лечението трябва да започне под стриктен медицински контрол с ниски дози и внимателно титриране на дозата. Тъй като лечението с диуретици може да е допринасящ фактор за тези състояния, приемът на диуретици трябва да бъде преустановен, а бъбречната функция да се проследява през първите седмици от началото на лечението с Диротон.</w:t>
      </w:r>
    </w:p>
    <w:p w14:paraId="184E7ED9" w14:textId="77777777" w:rsidR="002C2594" w:rsidRPr="002C2594" w:rsidRDefault="002C2594" w:rsidP="002C2594">
      <w:pPr>
        <w:spacing w:line="240" w:lineRule="auto"/>
        <w:rPr>
          <w:rFonts w:eastAsia="Times New Roman" w:cs="Arial"/>
          <w:color w:val="000000"/>
          <w:lang w:eastAsia="bg-BG"/>
        </w:rPr>
      </w:pPr>
    </w:p>
    <w:p w14:paraId="1C972F95" w14:textId="7BBCE29C"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Някои пациенти с хипертония без очевидно предхождащо бъбречно васкуларно заболяване са получили повишаване на нивата на урея в кръвта и серумния креатинин, обикновено минимално и преходно, особено, когато лизиноприл е прилаган едновременно с диуретик. Това е по-вероятно да се появи при пациенти с предхождащо бъбречно увреждане. Може да се наложи намаляване на дозата и/или спиране на диуретика и/или лечението с лизиноприл.</w:t>
      </w:r>
    </w:p>
    <w:p w14:paraId="6F09210C"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След </w:t>
      </w:r>
      <w:r w:rsidRPr="002C2594">
        <w:rPr>
          <w:rFonts w:eastAsia="Times New Roman" w:cs="Arial"/>
          <w:color w:val="000000"/>
          <w:u w:val="single"/>
          <w:lang w:eastAsia="bg-BG"/>
        </w:rPr>
        <w:t>остър миокарден инфаркт,</w:t>
      </w:r>
      <w:r w:rsidRPr="002C2594">
        <w:rPr>
          <w:rFonts w:eastAsia="Times New Roman" w:cs="Arial"/>
          <w:color w:val="000000"/>
          <w:lang w:eastAsia="bg-BG"/>
        </w:rPr>
        <w:t xml:space="preserve"> лечение с Диротон не трябва да се започва при пациенти с доказателства за бъбречна дисфункция, дефинирана като концентрация на серумния креатинин надвишаваща 177 </w:t>
      </w:r>
      <w:proofErr w:type="spellStart"/>
      <w:r w:rsidRPr="002C2594">
        <w:rPr>
          <w:rFonts w:eastAsia="Times New Roman" w:cs="Arial"/>
          <w:color w:val="000000"/>
          <w:lang w:val="en-US"/>
        </w:rPr>
        <w:t>micromol</w:t>
      </w:r>
      <w:proofErr w:type="spellEnd"/>
      <w:r w:rsidRPr="002C2594">
        <w:rPr>
          <w:rFonts w:eastAsia="Times New Roman" w:cs="Arial"/>
          <w:color w:val="000000"/>
          <w:lang w:val="ru-RU"/>
        </w:rPr>
        <w:t xml:space="preserve">/1 </w:t>
      </w:r>
      <w:r w:rsidRPr="002C2594">
        <w:rPr>
          <w:rFonts w:eastAsia="Times New Roman" w:cs="Arial"/>
          <w:color w:val="000000"/>
          <w:lang w:eastAsia="bg-BG"/>
        </w:rPr>
        <w:t xml:space="preserve">и/или протеинурия над 500 </w:t>
      </w:r>
      <w:r w:rsidRPr="002C2594">
        <w:rPr>
          <w:rFonts w:eastAsia="Times New Roman" w:cs="Arial"/>
          <w:color w:val="000000"/>
          <w:lang w:val="en-US"/>
        </w:rPr>
        <w:t>mg</w:t>
      </w:r>
      <w:r w:rsidRPr="002C2594">
        <w:rPr>
          <w:rFonts w:eastAsia="Times New Roman" w:cs="Arial"/>
          <w:color w:val="000000"/>
          <w:lang w:val="ru-RU"/>
        </w:rPr>
        <w:t xml:space="preserve">/24 </w:t>
      </w:r>
      <w:r w:rsidRPr="002C2594">
        <w:rPr>
          <w:rFonts w:eastAsia="Times New Roman" w:cs="Arial"/>
          <w:color w:val="000000"/>
          <w:lang w:eastAsia="bg-BG"/>
        </w:rPr>
        <w:t xml:space="preserve">часа. Ако по време на лечение с Диротон се развие бъбречна дисфункция (концентрация на серумния креатинин надвишаваща 265 </w:t>
      </w:r>
      <w:proofErr w:type="spellStart"/>
      <w:r w:rsidRPr="002C2594">
        <w:rPr>
          <w:rFonts w:eastAsia="Times New Roman" w:cs="Arial"/>
          <w:color w:val="000000"/>
          <w:lang w:val="en-US"/>
        </w:rPr>
        <w:t>micromol</w:t>
      </w:r>
      <w:proofErr w:type="spellEnd"/>
      <w:r w:rsidRPr="002C2594">
        <w:rPr>
          <w:rFonts w:eastAsia="Times New Roman" w:cs="Arial"/>
          <w:color w:val="000000"/>
          <w:lang w:val="ru-RU"/>
        </w:rPr>
        <w:t xml:space="preserve">/1 </w:t>
      </w:r>
      <w:r w:rsidRPr="002C2594">
        <w:rPr>
          <w:rFonts w:eastAsia="Times New Roman" w:cs="Arial"/>
          <w:color w:val="000000"/>
          <w:lang w:eastAsia="bg-BG"/>
        </w:rPr>
        <w:t>или удвояване спрямо изходните нива), лекарят трябва да обсъди прекратяване на лечението с Диротон.</w:t>
      </w:r>
    </w:p>
    <w:p w14:paraId="3DDE52F4" w14:textId="77777777" w:rsidR="002C2594" w:rsidRPr="002C2594" w:rsidRDefault="002C2594" w:rsidP="002C2594">
      <w:pPr>
        <w:spacing w:line="240" w:lineRule="auto"/>
        <w:rPr>
          <w:rFonts w:eastAsia="Times New Roman" w:cs="Arial"/>
          <w:i/>
          <w:iCs/>
          <w:color w:val="000000"/>
          <w:u w:val="single"/>
          <w:lang w:eastAsia="bg-BG"/>
        </w:rPr>
      </w:pPr>
    </w:p>
    <w:p w14:paraId="4C45B2DC" w14:textId="16650E3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Свръхчувствителност/А нгионевротичен оток</w:t>
      </w:r>
    </w:p>
    <w:p w14:paraId="7D35D696" w14:textId="77777777" w:rsidR="002C2594" w:rsidRPr="002C2594" w:rsidRDefault="002C2594" w:rsidP="002C2594">
      <w:pPr>
        <w:rPr>
          <w:rFonts w:eastAsia="Times New Roman" w:cs="Arial"/>
        </w:rPr>
      </w:pPr>
      <w:r w:rsidRPr="002C2594">
        <w:rPr>
          <w:rFonts w:eastAsia="Times New Roman" w:cs="Arial"/>
          <w:color w:val="000000"/>
          <w:lang w:eastAsia="bg-BG"/>
        </w:rPr>
        <w:t>При пациенти, лекувани с инхибитори на ангиотензин конвертиращия ензим, включително и с лизиноприл, рядко се съобщава за ангионевротичен оток на лицето, крайниците, устните, езика, глотиса и/или ларинкса. Това може да се случи по всяко време на лечението. В такива случаи, приложението на Диротон трябва да бъде незабавно преустановено и пациентът трябва да бъде подходящо лекуван и проследяван, за да се осигури напълно изчезване на симптомите преди изписването на пациента. Дори в случаите, когато е засегнат само езика без респираторен дистрес, може да е необходимо пациентите да бъдат продължително наблюдавани, тъй ка</w:t>
      </w:r>
      <w:r w:rsidRPr="002C2594">
        <w:rPr>
          <w:rFonts w:eastAsia="Times New Roman" w:cs="Arial"/>
          <w:color w:val="000000"/>
          <w:u w:val="single"/>
          <w:lang w:eastAsia="bg-BG"/>
        </w:rPr>
        <w:t xml:space="preserve">то </w:t>
      </w:r>
      <w:r w:rsidRPr="002C2594">
        <w:rPr>
          <w:rFonts w:eastAsia="Times New Roman" w:cs="Arial"/>
          <w:color w:val="000000"/>
          <w:lang w:eastAsia="bg-BG"/>
        </w:rPr>
        <w:t>лечението с антихистамини и кортикостероиди може да се окаже недостатъчно. Много рядко са съобщавани смъртни случаи, дължащи се на ангионевротичен оток, свързан с ларингеален оток или оток на езика. Пациентите със засегнат език,</w:t>
      </w:r>
      <w:r w:rsidRPr="002C2594">
        <w:rPr>
          <w:rFonts w:eastAsia="Times New Roman" w:cs="Arial"/>
          <w:color w:val="000000"/>
          <w:lang w:val="ru-RU"/>
        </w:rPr>
        <w:t xml:space="preserve"> </w:t>
      </w:r>
      <w:r w:rsidRPr="002C2594">
        <w:rPr>
          <w:rFonts w:eastAsia="Times New Roman" w:cs="Arial"/>
          <w:color w:val="000000"/>
          <w:lang w:eastAsia="bg-BG"/>
        </w:rPr>
        <w:t>глотис или ларинкс могат да получат обструкция на въздухоносните пътища, особено пациентите с анамнеза за хирургична операция на въздухоносните пътища В тези</w:t>
      </w:r>
      <w:r w:rsidRPr="002C2594">
        <w:rPr>
          <w:rFonts w:eastAsia="Times New Roman" w:cs="Arial"/>
          <w:color w:val="000000"/>
          <w:lang w:val="ru-RU" w:eastAsia="bg-BG"/>
        </w:rPr>
        <w:t xml:space="preserve"> </w:t>
      </w:r>
      <w:r w:rsidRPr="002C2594">
        <w:rPr>
          <w:rFonts w:eastAsia="Times New Roman" w:cs="Arial"/>
          <w:color w:val="000000"/>
          <w:lang w:eastAsia="bg-BG"/>
        </w:rPr>
        <w:t>случаи трябва веднага да се приложи спешно лечение. Това лечение може да включва приложение на адреналин и/или поддържане проходимостта на дихателните пътища. Пациентите трябва да бъдат под стриктно лекарско наблюдение до пълно и постоянно отзвучаване на симптомите.</w:t>
      </w:r>
    </w:p>
    <w:p w14:paraId="15763F1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Инхибиторите на ангиотензин конвертиращия ензим причиняват ангионевротичен оток с по-голяма честота при чернокожи пациенти, отколкото при нечернокожи пациенти. Пациентите с анамнеза за ангионевротичен оток, несвързан с терапия с АСЕ инхибитори, може да са с повишен риск от развитие на ангионевротичен оток, докато приемат АСЕ инхибитори (вж. точка 4.3).</w:t>
      </w:r>
    </w:p>
    <w:p w14:paraId="52CA4592" w14:textId="77777777" w:rsidR="002C2594" w:rsidRPr="002C2594" w:rsidRDefault="002C2594" w:rsidP="002C2594">
      <w:pPr>
        <w:spacing w:line="240" w:lineRule="auto"/>
        <w:rPr>
          <w:rFonts w:eastAsia="Times New Roman" w:cs="Arial"/>
          <w:color w:val="000000"/>
          <w:lang w:eastAsia="bg-BG"/>
        </w:rPr>
      </w:pPr>
    </w:p>
    <w:p w14:paraId="745E2B57" w14:textId="0F8A96DD" w:rsidR="002C2594" w:rsidRPr="002C2594" w:rsidRDefault="002C2594" w:rsidP="002C2594">
      <w:pPr>
        <w:spacing w:line="240" w:lineRule="auto"/>
        <w:rPr>
          <w:rFonts w:eastAsia="Times New Roman" w:cs="Arial"/>
        </w:rPr>
      </w:pPr>
      <w:r w:rsidRPr="002C2594">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6FA4E2D9" w14:textId="77777777" w:rsidR="002C2594" w:rsidRPr="002C2594" w:rsidRDefault="002C2594" w:rsidP="002C2594">
      <w:pPr>
        <w:spacing w:line="240" w:lineRule="auto"/>
        <w:rPr>
          <w:rFonts w:eastAsia="Times New Roman" w:cs="Arial"/>
          <w:color w:val="000000"/>
          <w:lang w:eastAsia="bg-BG"/>
        </w:rPr>
      </w:pPr>
    </w:p>
    <w:p w14:paraId="5BB1A356" w14:textId="34DBCF1A"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Съпътстващата употреба на АСЕ инхибитори с рацекадотрил, </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 xml:space="preserve">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инхибитори и вилдаглиптин при пациент, който вече приема АСЕ инхибитор.</w:t>
      </w:r>
    </w:p>
    <w:p w14:paraId="3A0477B7" w14:textId="77777777" w:rsidR="002C2594" w:rsidRPr="002C2594" w:rsidRDefault="002C2594" w:rsidP="002C2594">
      <w:pPr>
        <w:spacing w:line="240" w:lineRule="auto"/>
        <w:rPr>
          <w:rFonts w:eastAsia="Times New Roman" w:cs="Arial"/>
          <w:i/>
          <w:iCs/>
          <w:color w:val="000000"/>
          <w:u w:val="single"/>
          <w:lang w:eastAsia="bg-BG"/>
        </w:rPr>
      </w:pPr>
    </w:p>
    <w:p w14:paraId="48D40876" w14:textId="239F86D6"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Анафилактоидни реакции при пациенти на хемодиализа</w:t>
      </w:r>
    </w:p>
    <w:p w14:paraId="0955782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 xml:space="preserve">Има съобщения за случаи на анафилактоидни реакции при пациенти на диализа с високопропускливи мембрани (напр. </w:t>
      </w:r>
      <w:r w:rsidRPr="002C2594">
        <w:rPr>
          <w:rFonts w:eastAsia="Times New Roman" w:cs="Arial"/>
          <w:color w:val="000000"/>
          <w:lang w:val="ru-RU"/>
        </w:rPr>
        <w:t>“</w:t>
      </w:r>
      <w:r w:rsidRPr="002C2594">
        <w:rPr>
          <w:rFonts w:eastAsia="Times New Roman" w:cs="Arial"/>
          <w:color w:val="000000"/>
          <w:lang w:val="en-US"/>
        </w:rPr>
        <w:t>AN</w:t>
      </w:r>
      <w:r w:rsidRPr="002C2594">
        <w:rPr>
          <w:rFonts w:eastAsia="Times New Roman" w:cs="Arial"/>
          <w:color w:val="000000"/>
          <w:lang w:eastAsia="bg-BG"/>
        </w:rPr>
        <w:t>69”), лекувани едновременно с АСЕ инхибитор. При тези пациенти трябва да се обсъди употребата на друг тип мембрана за диализа или на антихипертензивни средства от друг клас.</w:t>
      </w:r>
    </w:p>
    <w:p w14:paraId="13AC2D49" w14:textId="77777777" w:rsidR="002C2594" w:rsidRPr="002C2594" w:rsidRDefault="002C2594" w:rsidP="002C2594">
      <w:pPr>
        <w:spacing w:line="240" w:lineRule="auto"/>
        <w:rPr>
          <w:rFonts w:eastAsia="Times New Roman" w:cs="Arial"/>
          <w:i/>
          <w:iCs/>
          <w:color w:val="000000"/>
          <w:u w:val="single"/>
          <w:lang w:eastAsia="bg-BG"/>
        </w:rPr>
      </w:pPr>
    </w:p>
    <w:p w14:paraId="2EEE34A0" w14:textId="58717541"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Анафилактоидни реакции по време на афереза с липопротеини с ниска плътност </w:t>
      </w:r>
      <w:r w:rsidRPr="002C2594">
        <w:rPr>
          <w:rFonts w:eastAsia="Times New Roman" w:cs="Arial"/>
          <w:i/>
          <w:iCs/>
          <w:color w:val="000000"/>
          <w:u w:val="single"/>
          <w:lang w:val="ru-RU"/>
        </w:rPr>
        <w:t>(</w:t>
      </w:r>
      <w:r w:rsidRPr="002C2594">
        <w:rPr>
          <w:rFonts w:eastAsia="Times New Roman" w:cs="Arial"/>
          <w:i/>
          <w:iCs/>
          <w:color w:val="000000"/>
          <w:u w:val="single"/>
          <w:lang w:val="en-US"/>
        </w:rPr>
        <w:t>LDL</w:t>
      </w:r>
      <w:r w:rsidRPr="002C2594">
        <w:rPr>
          <w:rFonts w:eastAsia="Times New Roman" w:cs="Arial"/>
          <w:i/>
          <w:iCs/>
          <w:color w:val="000000"/>
          <w:u w:val="single"/>
          <w:lang w:eastAsia="bg-BG"/>
        </w:rPr>
        <w:t>-афереза)</w:t>
      </w:r>
    </w:p>
    <w:p w14:paraId="03659F2B"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получаващи АСЕ инхибитор по време на афереза с липопротеини с ниска плътност </w:t>
      </w:r>
      <w:r w:rsidRPr="002C2594">
        <w:rPr>
          <w:rFonts w:eastAsia="Times New Roman" w:cs="Arial"/>
          <w:color w:val="000000"/>
          <w:lang w:val="ru-RU"/>
        </w:rPr>
        <w:t>(</w:t>
      </w:r>
      <w:r w:rsidRPr="002C2594">
        <w:rPr>
          <w:rFonts w:eastAsia="Times New Roman" w:cs="Arial"/>
          <w:color w:val="000000"/>
          <w:lang w:val="en-US"/>
        </w:rPr>
        <w:t>LDL</w:t>
      </w:r>
      <w:r w:rsidRPr="002C2594">
        <w:rPr>
          <w:rFonts w:eastAsia="Times New Roman" w:cs="Arial"/>
          <w:color w:val="000000"/>
          <w:lang w:eastAsia="bg-BG"/>
        </w:rPr>
        <w:t>-афереза) с декстран сулфат, рядко могат да възникнат животозастрашаващи анафилактоидни реакции. Тези реакции могат да бъдат избегнати като лечението с АСЕ инхибитор временно се прекрати преди всяка афереза.</w:t>
      </w:r>
    </w:p>
    <w:p w14:paraId="384C5683" w14:textId="77777777" w:rsidR="002C2594" w:rsidRPr="002C2594" w:rsidRDefault="002C2594" w:rsidP="002C2594">
      <w:pPr>
        <w:spacing w:line="240" w:lineRule="auto"/>
        <w:rPr>
          <w:rFonts w:eastAsia="Times New Roman" w:cs="Arial"/>
          <w:i/>
          <w:iCs/>
          <w:color w:val="000000"/>
          <w:u w:val="single"/>
          <w:lang w:eastAsia="bg-BG"/>
        </w:rPr>
      </w:pPr>
    </w:p>
    <w:p w14:paraId="6C97DB35" w14:textId="2788706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Десенсибилизация</w:t>
      </w:r>
    </w:p>
    <w:p w14:paraId="18C16F0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получаващи АСЕ инхибитори по време на лечение за десенсибилизация (напр. </w:t>
      </w:r>
      <w:proofErr w:type="gramStart"/>
      <w:r w:rsidRPr="002C2594">
        <w:rPr>
          <w:rFonts w:eastAsia="Times New Roman" w:cs="Arial"/>
          <w:i/>
          <w:iCs/>
          <w:color w:val="000000"/>
          <w:lang w:val="en-US"/>
        </w:rPr>
        <w:t>hymenoptera</w:t>
      </w:r>
      <w:proofErr w:type="gramEnd"/>
      <w:r w:rsidRPr="002C2594">
        <w:rPr>
          <w:rFonts w:eastAsia="Times New Roman" w:cs="Arial"/>
          <w:i/>
          <w:iCs/>
          <w:color w:val="000000"/>
          <w:lang w:val="ru-RU"/>
        </w:rPr>
        <w:t xml:space="preserve"> </w:t>
      </w:r>
      <w:r w:rsidRPr="002C2594">
        <w:rPr>
          <w:rFonts w:eastAsia="Times New Roman" w:cs="Arial"/>
          <w:i/>
          <w:iCs/>
          <w:color w:val="000000"/>
          <w:lang w:val="en-US"/>
        </w:rPr>
        <w:t>venom</w:t>
      </w:r>
      <w:r w:rsidRPr="002C2594">
        <w:rPr>
          <w:rFonts w:eastAsia="Times New Roman" w:cs="Arial"/>
          <w:i/>
          <w:iCs/>
          <w:color w:val="000000"/>
          <w:lang w:val="ru-RU"/>
        </w:rPr>
        <w:t>),</w:t>
      </w:r>
      <w:r w:rsidRPr="002C2594">
        <w:rPr>
          <w:rFonts w:eastAsia="Times New Roman" w:cs="Arial"/>
          <w:color w:val="000000"/>
          <w:lang w:val="ru-RU"/>
        </w:rPr>
        <w:t xml:space="preserve"> </w:t>
      </w:r>
      <w:r w:rsidRPr="002C2594">
        <w:rPr>
          <w:rFonts w:eastAsia="Times New Roman" w:cs="Arial"/>
          <w:color w:val="000000"/>
          <w:lang w:eastAsia="bg-BG"/>
        </w:rPr>
        <w:t>могат да се появят постоянни анафилактоидни реакции. Тези реакции могат да бъдат избегнати като лечението с АСЕ инхибитори временно се прекрати, но те могат да се появят отново при невнимателна повторна употреба на лекарствения продукт.</w:t>
      </w:r>
    </w:p>
    <w:p w14:paraId="48D4D1FB" w14:textId="77777777" w:rsidR="002C2594" w:rsidRPr="002C2594" w:rsidRDefault="002C2594" w:rsidP="002C2594">
      <w:pPr>
        <w:spacing w:line="240" w:lineRule="auto"/>
        <w:rPr>
          <w:rFonts w:eastAsia="Times New Roman" w:cs="Arial"/>
          <w:i/>
          <w:iCs/>
          <w:color w:val="000000"/>
          <w:u w:val="single"/>
          <w:lang w:eastAsia="bg-BG"/>
        </w:rPr>
      </w:pPr>
    </w:p>
    <w:p w14:paraId="4FCC1875" w14:textId="581F6E3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Чернодробна недостатъчност</w:t>
      </w:r>
    </w:p>
    <w:p w14:paraId="63D328F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Много рядко, АСЕ инхибиторите се асоциират със синдром, чиято първоначална изява е холестатична жълтеница и прогресира до фулминантна некроза и (понякога) смърт. Механизмът на този синдром не е изяснен. Пациентите, приемащи Диротон, които получат жълтеница или изразено покачване на чернодробните ензими трябва да прекратят приема на Диротон и да бъдат подходящо проследени от лекар.</w:t>
      </w:r>
    </w:p>
    <w:p w14:paraId="1904618F" w14:textId="77777777" w:rsidR="002C2594" w:rsidRPr="002C2594" w:rsidRDefault="002C2594" w:rsidP="002C2594">
      <w:pPr>
        <w:spacing w:line="240" w:lineRule="auto"/>
        <w:rPr>
          <w:rFonts w:eastAsia="Times New Roman" w:cs="Arial"/>
          <w:i/>
          <w:iCs/>
          <w:color w:val="000000"/>
          <w:u w:val="single"/>
          <w:lang w:eastAsia="bg-BG"/>
        </w:rPr>
      </w:pPr>
    </w:p>
    <w:p w14:paraId="36D6FA6C" w14:textId="4F5207D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Неутропения/Агранулоцитоза</w:t>
      </w:r>
    </w:p>
    <w:p w14:paraId="2E841322" w14:textId="77777777" w:rsidR="002C2594" w:rsidRPr="002C2594" w:rsidRDefault="002C2594" w:rsidP="002C2594">
      <w:pPr>
        <w:rPr>
          <w:rFonts w:eastAsia="Times New Roman" w:cs="Arial"/>
        </w:rPr>
      </w:pPr>
      <w:r w:rsidRPr="002C2594">
        <w:rPr>
          <w:rFonts w:eastAsia="Times New Roman" w:cs="Arial"/>
          <w:color w:val="000000"/>
          <w:lang w:eastAsia="bg-BG"/>
        </w:rPr>
        <w:t>Неутропения/агранулоцитоза, тромбоцитопения и анемия са съобщавани при пациенти, приемащи АСЕ инхибитори. При пациенти с нормална бъбречна функция и без други усложняващи фактори, рядко се появява неутропения Неутропенията и агранулоцитозата са обратими след прекратяване приема на АСЕ инхибитора. Диротон</w:t>
      </w:r>
      <w:r w:rsidRPr="002C2594">
        <w:rPr>
          <w:rFonts w:eastAsia="Times New Roman" w:cs="Arial"/>
          <w:color w:val="000000"/>
          <w:lang w:val="ru-RU" w:eastAsia="bg-BG"/>
        </w:rPr>
        <w:t xml:space="preserve"> </w:t>
      </w:r>
      <w:r w:rsidRPr="002C2594">
        <w:rPr>
          <w:rFonts w:eastAsia="Times New Roman" w:cs="Arial"/>
          <w:color w:val="000000"/>
          <w:lang w:eastAsia="bg-BG"/>
        </w:rPr>
        <w:t>трябва да се използва с повишено внимание при пациенти с колагенно васкуларно заболяване, имуносупресивна терапия, лечение с алопуринол или прокаинамид, или комбинация от тези усложняващи фактори и особено при съществуващо преди увреждане на бъбречната функция. Някои от тези пациенти развиват сериозни инфекции, които в малък брой случаи не отговарят на интензивна антибиотична терапия. Ако Диротон се използва от такива пациенти, се препоръчва периодичен мониторинг на броя на левкоцитите и на пациентите трябва да им бъде казано да съобщават за всеки признак на инфекция.</w:t>
      </w:r>
    </w:p>
    <w:p w14:paraId="4D0F3702" w14:textId="77777777" w:rsidR="002C2594" w:rsidRPr="002C2594" w:rsidRDefault="002C2594" w:rsidP="002C2594">
      <w:pPr>
        <w:spacing w:line="240" w:lineRule="auto"/>
        <w:rPr>
          <w:rFonts w:eastAsia="Times New Roman" w:cs="Arial"/>
          <w:i/>
          <w:iCs/>
          <w:color w:val="000000"/>
          <w:u w:val="single"/>
          <w:lang w:eastAsia="bg-BG"/>
        </w:rPr>
      </w:pPr>
    </w:p>
    <w:p w14:paraId="1BDEC4F6" w14:textId="7C61BFFD"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Двойна блокада наренин-ангиотензин-алдостероновата система </w:t>
      </w:r>
      <w:r w:rsidRPr="002C2594">
        <w:rPr>
          <w:rFonts w:eastAsia="Times New Roman" w:cs="Arial"/>
          <w:i/>
          <w:iCs/>
          <w:color w:val="000000"/>
          <w:u w:val="single"/>
          <w:lang w:val="ru-RU"/>
        </w:rPr>
        <w:t>(</w:t>
      </w:r>
      <w:r w:rsidRPr="002C2594">
        <w:rPr>
          <w:rFonts w:eastAsia="Times New Roman" w:cs="Arial"/>
          <w:i/>
          <w:iCs/>
          <w:color w:val="000000"/>
          <w:u w:val="single"/>
          <w:lang w:val="en-US"/>
        </w:rPr>
        <w:t>RAAS</w:t>
      </w:r>
      <w:r w:rsidRPr="002C2594">
        <w:rPr>
          <w:rFonts w:eastAsia="Times New Roman" w:cs="Arial"/>
          <w:i/>
          <w:iCs/>
          <w:color w:val="000000"/>
          <w:u w:val="single"/>
          <w:lang w:val="ru-RU"/>
        </w:rPr>
        <w:t xml:space="preserve">) </w:t>
      </w:r>
      <w:r w:rsidRPr="002C2594">
        <w:rPr>
          <w:rFonts w:eastAsia="Times New Roman" w:cs="Arial"/>
          <w:color w:val="000000"/>
          <w:lang w:eastAsia="bg-BG"/>
        </w:rPr>
        <w:t xml:space="preserve">Има данни, че едновременната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 xml:space="preserve">-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или алискирен (вж. точки 4.5 и 5.1).</w:t>
      </w:r>
    </w:p>
    <w:p w14:paraId="4C36E16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07192D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АСЕ инхибитори 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9457BE6" w14:textId="77777777" w:rsidR="002C2594" w:rsidRPr="002C2594" w:rsidRDefault="002C2594" w:rsidP="002C2594">
      <w:pPr>
        <w:spacing w:line="240" w:lineRule="auto"/>
        <w:rPr>
          <w:rFonts w:eastAsia="Times New Roman" w:cs="Arial"/>
          <w:i/>
          <w:iCs/>
          <w:color w:val="000000"/>
          <w:u w:val="single"/>
          <w:lang w:eastAsia="bg-BG"/>
        </w:rPr>
      </w:pPr>
    </w:p>
    <w:p w14:paraId="501C2ACF" w14:textId="5BBE295B"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Раса</w:t>
      </w:r>
    </w:p>
    <w:p w14:paraId="63A3313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Инхибиторите на ангиотензин конвертиращия ензим причиняват по-висок риск от ангиоедем при чернокожи пациенти, отколкото при нечернокожи пациенти.</w:t>
      </w:r>
    </w:p>
    <w:p w14:paraId="06A4326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Както при другите АСЕ инхибитори, Диротон може да окаже по-слаб ефект за понижаване на кръвното налягане при чернокожи пациенти, отколкото при нечернокожи пациенти, вероятно поради превалиране на по-нисък ренин при хипертензивна чернокожа популация.</w:t>
      </w:r>
    </w:p>
    <w:p w14:paraId="78A0C084" w14:textId="77777777" w:rsidR="002C2594" w:rsidRPr="002C2594" w:rsidRDefault="002C2594" w:rsidP="002C2594">
      <w:pPr>
        <w:spacing w:line="240" w:lineRule="auto"/>
        <w:rPr>
          <w:rFonts w:eastAsia="Times New Roman" w:cs="Arial"/>
          <w:i/>
          <w:iCs/>
          <w:color w:val="000000"/>
          <w:u w:val="single"/>
          <w:lang w:eastAsia="bg-BG"/>
        </w:rPr>
      </w:pPr>
    </w:p>
    <w:p w14:paraId="642D381B" w14:textId="69AEF959"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Кашлица</w:t>
      </w:r>
    </w:p>
    <w:p w14:paraId="35CE5C9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Има съобщения за кашлица по време на лечение с АСЕ инхибитори. Характерно за кашлицата е, че тя е непродуктивна, продължителна и преминава след спиране на лечението. Кашлица, индуцирана от АСЕ инхибитори, трябва винаги да се има предвид като част от диференциалната диагноза на кашлицата.</w:t>
      </w:r>
    </w:p>
    <w:p w14:paraId="7820B296" w14:textId="77777777" w:rsidR="002C2594" w:rsidRPr="002C2594" w:rsidRDefault="002C2594" w:rsidP="002C2594">
      <w:pPr>
        <w:spacing w:line="240" w:lineRule="auto"/>
        <w:rPr>
          <w:rFonts w:eastAsia="Times New Roman" w:cs="Arial"/>
          <w:i/>
          <w:iCs/>
          <w:color w:val="000000"/>
          <w:u w:val="single"/>
          <w:lang w:eastAsia="bg-BG"/>
        </w:rPr>
      </w:pPr>
    </w:p>
    <w:p w14:paraId="48C30591" w14:textId="4A068B74"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Хирургия/анестезия</w:t>
      </w:r>
    </w:p>
    <w:p w14:paraId="7CB9570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пациенти, подлежащи на голяма хирургична операция или по време на анестезия със средства, предизвикващи хипотония, лизиноприл може да блокира вторичното образуване на ангиотензин II след компенсаторно освобождаване на ренин. Ако се появи хипотония и се счита, че тя се дължи на този механизъм, това може да бъде коригирано чрез вливане на течности.</w:t>
      </w:r>
    </w:p>
    <w:p w14:paraId="7B095757" w14:textId="77777777" w:rsidR="002C2594" w:rsidRPr="002C2594" w:rsidRDefault="002C2594" w:rsidP="002C2594">
      <w:pPr>
        <w:spacing w:line="240" w:lineRule="auto"/>
        <w:rPr>
          <w:rFonts w:eastAsia="Times New Roman" w:cs="Arial"/>
          <w:i/>
          <w:iCs/>
          <w:color w:val="000000"/>
          <w:u w:val="single"/>
          <w:lang w:eastAsia="bg-BG"/>
        </w:rPr>
      </w:pPr>
    </w:p>
    <w:p w14:paraId="6D4D8395" w14:textId="19700F58"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Хиперкалиемия</w:t>
      </w:r>
    </w:p>
    <w:p w14:paraId="2E4266FA" w14:textId="77777777" w:rsidR="002C2594" w:rsidRPr="002C2594" w:rsidRDefault="002C2594" w:rsidP="002C2594">
      <w:pPr>
        <w:rPr>
          <w:rFonts w:eastAsia="Times New Roman" w:cs="Arial"/>
        </w:rPr>
      </w:pPr>
      <w:r w:rsidRPr="002C2594">
        <w:rPr>
          <w:rFonts w:eastAsia="Times New Roman" w:cs="Arial"/>
          <w:color w:val="000000"/>
          <w:lang w:eastAsia="bg-BG"/>
        </w:rPr>
        <w:t>АСЕ инхибиторите могат да предизвикат хиперкалиемия, тъй като инхибираг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(напр. спиронолактон, триамтерен или амилорид), както и такива пациенти приемащи</w:t>
      </w:r>
      <w:r w:rsidRPr="002C2594">
        <w:rPr>
          <w:rFonts w:eastAsia="Times New Roman" w:cs="Arial"/>
          <w:color w:val="000000"/>
          <w:u w:val="single"/>
          <w:lang w:eastAsia="bg-BG"/>
        </w:rPr>
        <w:t xml:space="preserve"> </w:t>
      </w:r>
      <w:r w:rsidRPr="002C2594">
        <w:rPr>
          <w:rFonts w:eastAsia="Times New Roman" w:cs="Arial"/>
          <w:color w:val="000000"/>
          <w:lang w:eastAsia="bg-BG"/>
        </w:rPr>
        <w:t xml:space="preserve">лекарства, които повишават серумния калий (напр. хепарин, триметоприм или комбинацията триметоприм/сулфаметоксазол, известен също като ко-тримоксазол и особено антагонисти на алдостерона или ангиотензин-рецепторни блокери), може да възникне хиперкалиемия. Ако едновременното използване на по-горе </w:t>
      </w:r>
      <w:r w:rsidRPr="002C2594">
        <w:rPr>
          <w:rFonts w:eastAsia="Times New Roman" w:cs="Arial"/>
          <w:i/>
          <w:iCs/>
          <w:color w:val="000000"/>
          <w:lang w:eastAsia="bg-BG"/>
        </w:rPr>
        <w:t>посочените</w:t>
      </w:r>
      <w:r w:rsidRPr="002C2594">
        <w:rPr>
          <w:rFonts w:eastAsia="Times New Roman" w:cs="Arial"/>
          <w:i/>
          <w:iCs/>
          <w:color w:val="000000"/>
          <w:lang w:val="ru-RU" w:eastAsia="bg-BG"/>
        </w:rPr>
        <w:t xml:space="preserve"> </w:t>
      </w:r>
      <w:r w:rsidRPr="002C2594">
        <w:rPr>
          <w:rFonts w:eastAsia="Times New Roman" w:cs="Arial"/>
          <w:color w:val="000000"/>
          <w:lang w:eastAsia="bg-BG"/>
        </w:rPr>
        <w:t>средства се счита за уместно, се препоръчва редовно проследяване нивата на серумен калий и бъбречната функция (вж. точка 4.5).</w:t>
      </w:r>
    </w:p>
    <w:p w14:paraId="279A12B9" w14:textId="77777777" w:rsidR="002C2594" w:rsidRPr="002C2594" w:rsidRDefault="002C2594" w:rsidP="002C2594">
      <w:pPr>
        <w:spacing w:line="240" w:lineRule="auto"/>
        <w:rPr>
          <w:rFonts w:eastAsia="Times New Roman" w:cs="Arial"/>
          <w:i/>
          <w:iCs/>
          <w:color w:val="000000"/>
          <w:u w:val="single"/>
          <w:lang w:eastAsia="bg-BG"/>
        </w:rPr>
      </w:pPr>
    </w:p>
    <w:p w14:paraId="447547CE" w14:textId="6E46A7A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Диабетици</w:t>
      </w:r>
    </w:p>
    <w:p w14:paraId="6250928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пациенти, които провеждат лечение с перорални антидиабетни средства или инсулин, трябва да се осъществява редовен гликемичен контрол по време на първия месец от лечението с АСЕ инхибитор (вж. точка 4.5).</w:t>
      </w:r>
    </w:p>
    <w:p w14:paraId="43C92811" w14:textId="77777777" w:rsidR="002C2594" w:rsidRPr="002C2594" w:rsidRDefault="002C2594" w:rsidP="002C2594">
      <w:pPr>
        <w:spacing w:line="240" w:lineRule="auto"/>
        <w:rPr>
          <w:rFonts w:eastAsia="Times New Roman" w:cs="Arial"/>
          <w:i/>
          <w:iCs/>
          <w:color w:val="000000"/>
          <w:u w:val="single"/>
          <w:lang w:eastAsia="bg-BG"/>
        </w:rPr>
      </w:pPr>
    </w:p>
    <w:p w14:paraId="48117BEA" w14:textId="5CCD1C7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Литий</w:t>
      </w:r>
    </w:p>
    <w:p w14:paraId="61CB8F0E"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Като цяло комбинацията от литий и Диротон не се препоръчва (вж. точка 4.5).</w:t>
      </w:r>
    </w:p>
    <w:p w14:paraId="4B61AB36" w14:textId="77777777" w:rsidR="002C2594" w:rsidRPr="002C2594" w:rsidRDefault="002C2594" w:rsidP="002C2594">
      <w:pPr>
        <w:spacing w:line="240" w:lineRule="auto"/>
        <w:rPr>
          <w:rFonts w:eastAsia="Times New Roman" w:cs="Arial"/>
          <w:i/>
          <w:iCs/>
          <w:color w:val="000000"/>
          <w:u w:val="single"/>
          <w:lang w:eastAsia="bg-BG"/>
        </w:rPr>
      </w:pPr>
    </w:p>
    <w:p w14:paraId="593BFE20" w14:textId="1712E82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Бременност</w:t>
      </w:r>
    </w:p>
    <w:p w14:paraId="6D90FCFF"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Не се препоръчва употребата на АСЕ инхибитори по време на бременност. В случаите, когато терапията с АСЕ инхибитори е наложителна, пациентките планиращи да забременеят трябва да преминат на алтернативно антихипертензивно лечение, което е с установен профил на безопасност по време на бременност. Когато се установи </w:t>
      </w:r>
      <w:r w:rsidRPr="002C2594">
        <w:rPr>
          <w:rFonts w:eastAsia="Times New Roman" w:cs="Arial"/>
          <w:color w:val="000000"/>
          <w:lang w:eastAsia="bg-BG"/>
        </w:rPr>
        <w:lastRenderedPageBreak/>
        <w:t>бременност, лечението с АСЕ инхибитори трябва да се прекрати незабавно и ако е необходимо да се премине към алтернативна терапия (вж. точки 4.3 и 4.6).</w:t>
      </w:r>
    </w:p>
    <w:p w14:paraId="1E196D53" w14:textId="0260AE3F" w:rsidR="002C2594" w:rsidRPr="002C2594" w:rsidRDefault="002C2594" w:rsidP="002C2594"/>
    <w:p w14:paraId="0734264C" w14:textId="52094A0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69CFA7" w14:textId="7B5013BA" w:rsidR="002C2594" w:rsidRDefault="002C2594" w:rsidP="002C2594"/>
    <w:p w14:paraId="763E72EE"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Антихипертензивни средства</w:t>
      </w:r>
    </w:p>
    <w:p w14:paraId="54CC054D"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Комбинирането на лизиноприл с други антихипертензивни средства (напр. глицерилов тринитрат, други нитрати или други вазодилататори) може да доведе до допълнително понижаване на кръвното налягане.</w:t>
      </w:r>
    </w:p>
    <w:p w14:paraId="789149B0" w14:textId="77777777" w:rsidR="002C2594" w:rsidRPr="002C2594" w:rsidRDefault="002C2594" w:rsidP="002C2594">
      <w:pPr>
        <w:spacing w:line="240" w:lineRule="auto"/>
        <w:rPr>
          <w:rFonts w:eastAsia="Times New Roman" w:cs="Arial"/>
          <w:color w:val="000000"/>
          <w:lang w:eastAsia="bg-BG"/>
        </w:rPr>
      </w:pPr>
    </w:p>
    <w:p w14:paraId="31F44A18" w14:textId="4CA888B4"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Данни от клинични проучвания показват, че двойното блокиране на ренин- ангиотензин-алдостероновата система (РААС) чрез комбинираната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3B1722C" w14:textId="77777777" w:rsidR="002C2594" w:rsidRPr="002C2594" w:rsidRDefault="002C2594" w:rsidP="002C2594">
      <w:pPr>
        <w:spacing w:line="240" w:lineRule="auto"/>
        <w:rPr>
          <w:rFonts w:eastAsia="Times New Roman" w:cs="Arial"/>
          <w:i/>
          <w:iCs/>
          <w:color w:val="000000"/>
          <w:u w:val="single"/>
          <w:lang w:eastAsia="bg-BG"/>
        </w:rPr>
      </w:pPr>
    </w:p>
    <w:p w14:paraId="03CB3C83" w14:textId="78C4DF24"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 xml:space="preserve">Лекарствени продукти, които могат да повишат риска от ангиоедем </w:t>
      </w:r>
      <w:r w:rsidRPr="002C2594">
        <w:rPr>
          <w:rFonts w:eastAsia="Times New Roman" w:cs="Arial"/>
          <w:color w:val="000000"/>
          <w:lang w:eastAsia="bg-BG"/>
        </w:rPr>
        <w:t xml:space="preserve">Съпътстващата употреба на АСЕ инхибитори със сакубитрил/валсартан е противопоказана, тъй като това повишава риска от ангиоедем (вж. точка 4.3 и 4.4). Съпътстващата употреба с АСЕ инхибитори: инхибитори на рапамицин </w:t>
      </w:r>
      <w:r w:rsidRPr="002C2594">
        <w:rPr>
          <w:rFonts w:eastAsia="Times New Roman" w:cs="Arial"/>
          <w:color w:val="000000"/>
          <w:lang w:val="ru-RU"/>
        </w:rPr>
        <w:t>(</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 xml:space="preserve">(например темсиролимус, сиролимус, еверолимус) или инхибитори на неутрална ендопептидаза </w:t>
      </w:r>
      <w:r w:rsidRPr="002C2594">
        <w:rPr>
          <w:rFonts w:eastAsia="Times New Roman" w:cs="Arial"/>
          <w:color w:val="000000"/>
          <w:lang w:val="ru-RU"/>
        </w:rPr>
        <w:t>(</w:t>
      </w:r>
      <w:r w:rsidRPr="002C2594">
        <w:rPr>
          <w:rFonts w:eastAsia="Times New Roman" w:cs="Arial"/>
          <w:color w:val="000000"/>
          <w:lang w:val="en-US"/>
        </w:rPr>
        <w:t>NEP</w:t>
      </w:r>
      <w:r w:rsidRPr="002C2594">
        <w:rPr>
          <w:rFonts w:eastAsia="Times New Roman" w:cs="Arial"/>
          <w:color w:val="000000"/>
          <w:lang w:val="ru-RU"/>
        </w:rPr>
        <w:t xml:space="preserve">) </w:t>
      </w:r>
      <w:r w:rsidRPr="002C2594">
        <w:rPr>
          <w:rFonts w:eastAsia="Times New Roman" w:cs="Arial"/>
          <w:color w:val="000000"/>
          <w:lang w:eastAsia="bg-BG"/>
        </w:rPr>
        <w:t>(напр. рецекадотрил) или тьканен плазминогенен активатор, или вилдаглиптин може да доведе до повишен риск от ангиоедем (вж. точка 4.4).</w:t>
      </w:r>
    </w:p>
    <w:p w14:paraId="78260ED7" w14:textId="77777777" w:rsidR="002C2594" w:rsidRPr="002C2594" w:rsidRDefault="002C2594" w:rsidP="002C2594">
      <w:pPr>
        <w:spacing w:line="240" w:lineRule="auto"/>
        <w:rPr>
          <w:rFonts w:eastAsia="Times New Roman" w:cs="Arial"/>
          <w:i/>
          <w:iCs/>
          <w:color w:val="000000"/>
          <w:u w:val="single"/>
          <w:lang w:eastAsia="bg-BG"/>
        </w:rPr>
      </w:pPr>
    </w:p>
    <w:p w14:paraId="26DD0D23" w14:textId="3975D2D5"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Диуретиии</w:t>
      </w:r>
    </w:p>
    <w:p w14:paraId="094DBD41"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се прибави диуретик към лечението на пациент, приемащ лизиноприл, антихипертензивният ефект обикновено е адитивен.</w:t>
      </w:r>
    </w:p>
    <w:p w14:paraId="0662094F"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Пациентите, които вече са на терапия с диуретици и особено тези от тях, които отскоро приемат диуретици, могат понякога да получат значително понижаване на кръвното налягане при включването на лизиноприл в терапията. Вероятността от симптоматична хипотония при лечение с лизиноприл може да бъде сведена до минимум чрез преустановяване приема на диуретик преди началото на терапията с Диротон (вж^— точка 4.2 и 4.4).</w:t>
      </w:r>
    </w:p>
    <w:p w14:paraId="105AC678" w14:textId="77777777" w:rsidR="002C2594" w:rsidRPr="002C2594" w:rsidRDefault="002C2594" w:rsidP="002C2594">
      <w:pPr>
        <w:spacing w:line="240" w:lineRule="auto"/>
        <w:rPr>
          <w:rFonts w:eastAsia="Times New Roman" w:cs="Arial"/>
          <w:i/>
          <w:iCs/>
          <w:color w:val="000000"/>
          <w:u w:val="single"/>
          <w:lang w:eastAsia="bg-BG"/>
        </w:rPr>
      </w:pPr>
    </w:p>
    <w:p w14:paraId="7A0BD2FE" w14:textId="671449A9"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Калиеви добавки, калий-съхраняваши диуретиии или калий-съдържаши</w:t>
      </w:r>
      <w:r w:rsidRPr="002C2594">
        <w:rPr>
          <w:rFonts w:eastAsia="Times New Roman" w:cs="Arial"/>
          <w:i/>
          <w:iCs/>
          <w:color w:val="000000"/>
          <w:u w:val="single"/>
          <w:lang w:val="ru-RU"/>
        </w:rPr>
        <w:t xml:space="preserve"> </w:t>
      </w:r>
      <w:r w:rsidRPr="002C2594">
        <w:rPr>
          <w:rFonts w:eastAsia="Times New Roman" w:cs="Arial"/>
          <w:i/>
          <w:iCs/>
          <w:color w:val="000000"/>
          <w:u w:val="single"/>
          <w:lang w:eastAsia="bg-BG"/>
        </w:rPr>
        <w:t>солеви заместители и други лекарствени продукти, които могат да повишат нивата на</w:t>
      </w:r>
    </w:p>
    <w:p w14:paraId="4A11D383" w14:textId="057C968E" w:rsidR="002C2594" w:rsidRPr="002C2594" w:rsidRDefault="002C2594" w:rsidP="002C2594">
      <w:pPr>
        <w:rPr>
          <w:rFonts w:eastAsia="Times New Roman" w:cs="Arial"/>
          <w:i/>
          <w:iCs/>
          <w:color w:val="000000"/>
          <w:u w:val="single"/>
          <w:lang w:eastAsia="bg-BG"/>
        </w:rPr>
      </w:pPr>
      <w:r w:rsidRPr="002C2594">
        <w:rPr>
          <w:rFonts w:eastAsia="Times New Roman" w:cs="Arial"/>
          <w:i/>
          <w:iCs/>
          <w:color w:val="000000"/>
          <w:u w:val="single"/>
          <w:lang w:eastAsia="bg-BG"/>
        </w:rPr>
        <w:t>серумния калий</w:t>
      </w:r>
    </w:p>
    <w:p w14:paraId="726B8F97"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калий-съхраняващи диуретици (напр. спиронолакгон, триамтерен или амилорид),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лизиноприл с гореспоменатите лекарства. Ако е </w:t>
      </w:r>
      <w:r w:rsidRPr="002C2594">
        <w:rPr>
          <w:rFonts w:eastAsia="Times New Roman" w:cs="Arial"/>
          <w:color w:val="000000"/>
          <w:lang w:eastAsia="bg-BG"/>
        </w:rPr>
        <w:lastRenderedPageBreak/>
        <w:t>показана съпътстваща употреба, те трябва да се използват с повишено внимание и при често проследяване на серумния калий(вж. точка 4.4).</w:t>
      </w:r>
    </w:p>
    <w:p w14:paraId="23707FAE"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lang w:eastAsia="bg-BG"/>
        </w:rPr>
        <w:t>Циклоспорин:</w:t>
      </w:r>
      <w:r w:rsidRPr="002C2594">
        <w:rPr>
          <w:rFonts w:eastAsia="Times New Roman" w:cs="Arial"/>
          <w:color w:val="000000"/>
          <w:lang w:eastAsia="bg-BG"/>
        </w:rPr>
        <w:t xml:space="preserve"> При съпътстваща употреба на АСЕ инхибитори с циклоспорин може да възникне хиперкалиемия. Препоръчва се проследяване на серумния калий.</w:t>
      </w:r>
    </w:p>
    <w:p w14:paraId="2DDEF860"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lang w:eastAsia="bg-BG"/>
        </w:rPr>
        <w:t>Хепарин:</w:t>
      </w:r>
      <w:r w:rsidRPr="002C2594">
        <w:rPr>
          <w:rFonts w:eastAsia="Times New Roman" w:cs="Arial"/>
          <w:color w:val="000000"/>
          <w:lang w:eastAsia="bg-BG"/>
        </w:rPr>
        <w:t xml:space="preserve"> При съпътстваща употреба на АСЕ инхибитори с хепарин може да възникне хиперкалиемия. Препоръчва се проследяване на серумния калий.</w:t>
      </w:r>
    </w:p>
    <w:p w14:paraId="5DEB3D4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Ако Диротон се приема с калий-несъхраняващ диуретик, диуретично индуцираната хипокалиемия може да се намали.</w:t>
      </w:r>
    </w:p>
    <w:p w14:paraId="6339CD66" w14:textId="77777777" w:rsidR="002C2594" w:rsidRPr="002C2594" w:rsidRDefault="002C2594" w:rsidP="002C2594">
      <w:pPr>
        <w:spacing w:line="240" w:lineRule="auto"/>
        <w:rPr>
          <w:rFonts w:eastAsia="Times New Roman" w:cs="Arial"/>
          <w:i/>
          <w:iCs/>
          <w:color w:val="000000"/>
          <w:u w:val="single"/>
          <w:lang w:eastAsia="bg-BG"/>
        </w:rPr>
      </w:pPr>
    </w:p>
    <w:p w14:paraId="249A0AA2" w14:textId="7A13C35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Литий</w:t>
      </w:r>
    </w:p>
    <w:p w14:paraId="4496B3C8"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Обратимо повишаване на серумните литиеви концентрации и токсичност бяха докладвани по време на едновременно прилагане на литий с АСЕ инхибитори. Успоредната употреба на тиазидни диуретици може да повиши риска от литиева токсичност и да я увеличи при употреба на АСЕ инхибитори. Употребата на Диротон с литий не се препоръчва, но ако това е наложително, серумните нива на литий трябва да бъдат внимателно проследявани (вж. точка 4.4).</w:t>
      </w:r>
    </w:p>
    <w:p w14:paraId="2D72C0B9" w14:textId="77777777" w:rsidR="002C2594" w:rsidRPr="002C2594" w:rsidRDefault="002C2594" w:rsidP="002C2594">
      <w:pPr>
        <w:spacing w:line="240" w:lineRule="auto"/>
        <w:rPr>
          <w:rFonts w:eastAsia="Times New Roman" w:cs="Arial"/>
          <w:i/>
          <w:iCs/>
          <w:color w:val="000000"/>
          <w:u w:val="single"/>
          <w:lang w:eastAsia="bg-BG"/>
        </w:rPr>
      </w:pPr>
    </w:p>
    <w:p w14:paraId="647BCBB5" w14:textId="3B89B85E"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 xml:space="preserve">Нестероидни противовъзпалителни средства (НСПВС) в това число аиетилсалииилова киселина ≥3 </w:t>
      </w:r>
      <w:r w:rsidRPr="002C2594">
        <w:rPr>
          <w:rFonts w:eastAsia="Times New Roman" w:cs="Arial"/>
          <w:i/>
          <w:iCs/>
          <w:color w:val="000000"/>
          <w:u w:val="single"/>
          <w:lang w:val="en-US"/>
        </w:rPr>
        <w:t>g</w:t>
      </w:r>
      <w:r w:rsidRPr="002C2594">
        <w:rPr>
          <w:rFonts w:eastAsia="Times New Roman" w:cs="Arial"/>
          <w:i/>
          <w:iCs/>
          <w:color w:val="000000"/>
          <w:u w:val="single"/>
          <w:lang w:eastAsia="bg-BG"/>
        </w:rPr>
        <w:t>/ден</w:t>
      </w:r>
    </w:p>
    <w:p w14:paraId="7C42C69A"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АСЕ инхибитори се прилагат едновременно с нестероидни противовъзпалителни средства (т.е. ацетилсалицилова киселина при противовъзпалителни схеми на прилагане, СОХ-2 инхибитори и неселективни НСПВС), може да се наблюдава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до повишение на серумния калий, особено при пациенти с предшестващо нарушение на бъбречната функция. Тези ефекти обикновено са обратими. Комбинацията трябва да се прилага внимателно, особено при пациенти в старческа възраст. Пациентите трябва да се хидратират адекватно и трябва да се помисли за проследяване на бъбречната функция след започване на едновременната терапия и периодично след това.</w:t>
      </w:r>
    </w:p>
    <w:p w14:paraId="3E1A50F8" w14:textId="77777777" w:rsidR="002C2594" w:rsidRPr="002C2594" w:rsidRDefault="002C2594" w:rsidP="002C2594">
      <w:pPr>
        <w:spacing w:line="240" w:lineRule="auto"/>
        <w:rPr>
          <w:rFonts w:eastAsia="Times New Roman" w:cs="Arial"/>
          <w:i/>
          <w:iCs/>
          <w:color w:val="000000"/>
          <w:u w:val="single"/>
          <w:lang w:eastAsia="bg-BG"/>
        </w:rPr>
      </w:pPr>
    </w:p>
    <w:p w14:paraId="28C9F8B5" w14:textId="77B38C4D"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Злато</w:t>
      </w:r>
    </w:p>
    <w:p w14:paraId="67570DD8"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Нитритоидни реакции (симптоми на вазодилатация, включително зачервяване, гадене, замаяност и хипотония, които могат да бъдат много тежки) след инжекционно прилагане на злато (напр. натриев ауротиомалат) са докладвани по-често при пациенти приемащи АСЕ инхибитор.</w:t>
      </w:r>
    </w:p>
    <w:p w14:paraId="1CAEC475" w14:textId="77777777" w:rsidR="002C2594" w:rsidRPr="002C2594" w:rsidRDefault="002C2594" w:rsidP="002C2594">
      <w:pPr>
        <w:spacing w:line="240" w:lineRule="auto"/>
        <w:rPr>
          <w:rFonts w:eastAsia="Times New Roman" w:cs="Arial"/>
          <w:i/>
          <w:iCs/>
          <w:color w:val="000000"/>
          <w:u w:val="single"/>
          <w:lang w:eastAsia="bg-BG"/>
        </w:rPr>
      </w:pPr>
    </w:p>
    <w:p w14:paraId="11BB0C5C" w14:textId="574567DF"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Триииклични антидепресанти/Антипсихотиии/Анестетиии</w:t>
      </w:r>
    </w:p>
    <w:p w14:paraId="4FD5E6AF"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Едновременната употреба на известни анестетици, трициклични антидепресанти и антипсихотици с АСЕ инхибитори може да доведе до понижаване на кръвното налягане в по-висока степен (вж.точка 4.4).</w:t>
      </w:r>
    </w:p>
    <w:p w14:paraId="20AE3C20" w14:textId="77777777" w:rsidR="002C2594" w:rsidRPr="002C2594" w:rsidRDefault="002C2594" w:rsidP="002C2594">
      <w:pPr>
        <w:spacing w:line="240" w:lineRule="auto"/>
        <w:rPr>
          <w:rFonts w:eastAsia="Times New Roman" w:cs="Arial"/>
          <w:i/>
          <w:iCs/>
          <w:color w:val="000000"/>
          <w:u w:val="single"/>
          <w:lang w:eastAsia="bg-BG"/>
        </w:rPr>
      </w:pPr>
    </w:p>
    <w:p w14:paraId="5BFFA96E" w14:textId="26583321"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Симпатикомиметици</w:t>
      </w:r>
    </w:p>
    <w:p w14:paraId="3063BEF6"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Симпатикомиметиците могат да редуцират антихипертензивните ефекти на АСЕ инхибиторите.</w:t>
      </w:r>
    </w:p>
    <w:p w14:paraId="79411EC0" w14:textId="77777777" w:rsidR="002C2594" w:rsidRPr="002C2594" w:rsidRDefault="002C2594" w:rsidP="002C2594">
      <w:pPr>
        <w:spacing w:line="240" w:lineRule="auto"/>
        <w:rPr>
          <w:rFonts w:eastAsia="Times New Roman" w:cs="Arial"/>
          <w:i/>
          <w:iCs/>
          <w:color w:val="000000"/>
          <w:u w:val="single"/>
          <w:lang w:eastAsia="bg-BG"/>
        </w:rPr>
      </w:pPr>
    </w:p>
    <w:p w14:paraId="7DA1BF00" w14:textId="64039A3E"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Антидиабетни лекарствени продукти</w:t>
      </w:r>
    </w:p>
    <w:p w14:paraId="412968D2"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Данните от епидемиологични проучвания предполагат, че едновременната употреба на АСЕ инхибитори и антидиабетни лекарствени продукти (инсулини, орални хипогликемични агенти) могат допълнително да понижат нивата на глюкоза в кръвта с </w:t>
      </w:r>
      <w:r w:rsidRPr="002C2594">
        <w:rPr>
          <w:rFonts w:eastAsia="Times New Roman" w:cs="Arial"/>
          <w:color w:val="000000"/>
          <w:lang w:eastAsia="bg-BG"/>
        </w:rPr>
        <w:lastRenderedPageBreak/>
        <w:t>риск от хипогликемия. Този феномен е по-характерен за първите седмици от комбинираното лечение и за пациенти с бъбречно увреждане.</w:t>
      </w:r>
    </w:p>
    <w:p w14:paraId="56A318CC" w14:textId="77777777" w:rsidR="002C2594" w:rsidRPr="002C2594" w:rsidRDefault="002C2594" w:rsidP="002C2594">
      <w:pPr>
        <w:spacing w:line="240" w:lineRule="auto"/>
        <w:rPr>
          <w:rFonts w:eastAsia="Times New Roman" w:cs="Arial"/>
          <w:i/>
          <w:iCs/>
          <w:color w:val="000000"/>
          <w:u w:val="single"/>
          <w:lang w:eastAsia="bg-BG"/>
        </w:rPr>
      </w:pPr>
    </w:p>
    <w:p w14:paraId="42FE3673" w14:textId="77777777" w:rsidR="002C2594" w:rsidRPr="002C2594" w:rsidRDefault="002C2594" w:rsidP="002C2594">
      <w:pPr>
        <w:spacing w:line="240" w:lineRule="auto"/>
        <w:rPr>
          <w:rFonts w:eastAsia="Times New Roman" w:cs="Arial"/>
          <w:i/>
          <w:iCs/>
          <w:color w:val="000000"/>
          <w:u w:val="single"/>
          <w:lang w:eastAsia="bg-BG"/>
        </w:rPr>
      </w:pPr>
      <w:r w:rsidRPr="002C2594">
        <w:rPr>
          <w:rFonts w:eastAsia="Times New Roman" w:cs="Arial"/>
          <w:i/>
          <w:iCs/>
          <w:color w:val="000000"/>
          <w:u w:val="single"/>
          <w:lang w:eastAsia="bg-BG"/>
        </w:rPr>
        <w:t xml:space="preserve">Аиетилсалииилова киселина, тромболитиии, бета-блокери, нитрати </w:t>
      </w:r>
    </w:p>
    <w:p w14:paraId="6CA72A03" w14:textId="5D55E34F" w:rsidR="002C2594" w:rsidRPr="002C2594" w:rsidRDefault="002C2594" w:rsidP="002C2594">
      <w:pPr>
        <w:spacing w:line="240" w:lineRule="auto"/>
        <w:rPr>
          <w:rFonts w:eastAsia="Times New Roman" w:cs="Arial"/>
          <w:color w:val="000000"/>
          <w:lang w:eastAsia="bg-BG"/>
        </w:rPr>
      </w:pPr>
      <w:r w:rsidRPr="002C2594">
        <w:rPr>
          <w:rFonts w:eastAsia="Times New Roman" w:cs="Arial"/>
          <w:color w:val="000000"/>
          <w:lang w:eastAsia="bg-BG"/>
        </w:rPr>
        <w:t>Диротон може да бъде прилаган успоредно с ацетилсалицилова киселина (в кардиологични дози), тромболитици, бета-блокери и нитрати.</w:t>
      </w:r>
    </w:p>
    <w:p w14:paraId="17A87877" w14:textId="77777777" w:rsidR="002C2594" w:rsidRPr="002C2594" w:rsidRDefault="002C2594" w:rsidP="002C2594"/>
    <w:p w14:paraId="5D9F40EA" w14:textId="531829A5" w:rsidR="007122AD" w:rsidRDefault="002C50EE" w:rsidP="00936AD0">
      <w:pPr>
        <w:pStyle w:val="Heading2"/>
      </w:pPr>
      <w:r>
        <w:t>4.6. Фертилитет, бременност и кърмене</w:t>
      </w:r>
    </w:p>
    <w:p w14:paraId="610286DE" w14:textId="38FCCA04" w:rsidR="002C2594" w:rsidRDefault="002C2594" w:rsidP="002C2594"/>
    <w:p w14:paraId="54DECD59" w14:textId="2D37AC0B" w:rsidR="002C2594" w:rsidRPr="002C2594" w:rsidRDefault="002C2594" w:rsidP="002C2594">
      <w:pPr>
        <w:pStyle w:val="Heading3"/>
        <w:rPr>
          <w:u w:val="single"/>
        </w:rPr>
      </w:pPr>
      <w:r w:rsidRPr="002C2594">
        <w:rPr>
          <w:u w:val="single"/>
        </w:rPr>
        <w:t>Бременност</w:t>
      </w:r>
    </w:p>
    <w:tbl>
      <w:tblPr>
        <w:tblStyle w:val="TableGrid"/>
        <w:tblW w:w="0" w:type="auto"/>
        <w:tblLook w:val="04A0" w:firstRow="1" w:lastRow="0" w:firstColumn="1" w:lastColumn="0" w:noHBand="0" w:noVBand="1"/>
      </w:tblPr>
      <w:tblGrid>
        <w:gridCol w:w="9350"/>
      </w:tblGrid>
      <w:tr w:rsidR="002C2594" w:rsidRPr="002C2594" w14:paraId="09F059F4" w14:textId="77777777" w:rsidTr="002C2594">
        <w:tc>
          <w:tcPr>
            <w:tcW w:w="9576" w:type="dxa"/>
          </w:tcPr>
          <w:p w14:paraId="41342EB3" w14:textId="6D4FA21E"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Употребата на АСЕ инхибитори не се препоръчва по време на първия триместър на бременността (вж. точка 4.4). Употребата на АСЕ инхибитори е противопоказана през втория и третия триместър на бременността (вж. точки 4.3 и 4.4).</w:t>
            </w:r>
          </w:p>
        </w:tc>
      </w:tr>
    </w:tbl>
    <w:p w14:paraId="4BCFE55B" w14:textId="230B38CF" w:rsidR="002C2594" w:rsidRPr="002C2594" w:rsidRDefault="002C2594" w:rsidP="002C2594">
      <w:pPr>
        <w:rPr>
          <w:rFonts w:cs="Arial"/>
        </w:rPr>
      </w:pPr>
    </w:p>
    <w:p w14:paraId="38E9FF37"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Епидемиологичните доказателства по отношение риска от тератогенност, в резултат от употребата на АСЕ инхибитори, по време на първия триместър на бременността не са убедителни; въпреки това слабо повишение на риска не може да се изключи. Освен ако продължителната терапия с АСЕ инхибитор не се счита за жизнено важна, пациентките, планиращи бременност трябва да преминат на алтернативно антихипертензивно лечение, което е с доказан профил на безопасност по време на бременност.</w:t>
      </w:r>
    </w:p>
    <w:p w14:paraId="03F0C384"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се диагностицира бременност, лечението с АСЕ инхибитори трябва да се преустанови незабавно и, ако е подходящо, да се започне алтернативна терапия.</w:t>
      </w:r>
    </w:p>
    <w:p w14:paraId="712B930A" w14:textId="77777777" w:rsidR="002C2594" w:rsidRPr="002C2594" w:rsidRDefault="002C2594" w:rsidP="002C2594">
      <w:pPr>
        <w:spacing w:line="240" w:lineRule="auto"/>
        <w:rPr>
          <w:rFonts w:eastAsia="Times New Roman" w:cs="Arial"/>
          <w:color w:val="000000"/>
          <w:lang w:eastAsia="bg-BG"/>
        </w:rPr>
      </w:pPr>
    </w:p>
    <w:p w14:paraId="46894CF6" w14:textId="0470A9B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Известно е, че експозицията на АСЕ инхибитор през второто и третото тримесечие индуцира фетотоксичност при човека (намалена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1C5A411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В случай на експозиция на АСЕ инхибитори през второто тримесечие на бременността се препоръчва изследване с ултразвук на бъбречната функция и черепа. Кърмачетата, чиито майки са приемали АСЕ инхибитори, трябва да се наблюдават внимателно за хипотония (вж. точки 4.3 и 4.4).</w:t>
      </w:r>
    </w:p>
    <w:p w14:paraId="52A0F8AB" w14:textId="77777777" w:rsidR="002C2594" w:rsidRPr="002C2594" w:rsidRDefault="002C2594" w:rsidP="002C2594">
      <w:pPr>
        <w:spacing w:line="240" w:lineRule="auto"/>
        <w:rPr>
          <w:rFonts w:eastAsia="Times New Roman" w:cs="Arial"/>
          <w:color w:val="000000"/>
          <w:u w:val="single"/>
          <w:lang w:eastAsia="bg-BG"/>
        </w:rPr>
      </w:pPr>
    </w:p>
    <w:p w14:paraId="4D7F4939" w14:textId="677D7290" w:rsidR="002C2594" w:rsidRPr="002C2594" w:rsidRDefault="002C2594" w:rsidP="002C2594">
      <w:pPr>
        <w:pStyle w:val="Heading3"/>
        <w:rPr>
          <w:rFonts w:eastAsia="Times New Roman"/>
          <w:u w:val="single"/>
        </w:rPr>
      </w:pPr>
      <w:r w:rsidRPr="002C2594">
        <w:rPr>
          <w:rFonts w:eastAsia="Times New Roman"/>
          <w:u w:val="single"/>
          <w:lang w:eastAsia="bg-BG"/>
        </w:rPr>
        <w:t>Кърмене</w:t>
      </w:r>
    </w:p>
    <w:p w14:paraId="2728E8F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Тъй като няма информация относно употребата на Диротон по време на кърмене, приложението на Диротон не се препоръчва, и трябва да се използва алтернативно лечение с по-добре установен профил на безопасност по време на кърмене, особено докато се кърми новородено или недоносено кърмаче.</w:t>
      </w:r>
    </w:p>
    <w:p w14:paraId="008F23DC" w14:textId="77777777" w:rsidR="002C2594" w:rsidRPr="002C2594" w:rsidRDefault="002C2594" w:rsidP="002C2594"/>
    <w:p w14:paraId="5DD7A76D" w14:textId="09E5E240" w:rsidR="007122AD" w:rsidRDefault="002C50EE" w:rsidP="00936AD0">
      <w:pPr>
        <w:pStyle w:val="Heading2"/>
      </w:pPr>
      <w:r>
        <w:t>4.7. Ефекти върху способността за шофиране и работа с машини</w:t>
      </w:r>
    </w:p>
    <w:p w14:paraId="53256ADE" w14:textId="5D81BAA3" w:rsidR="002C2594" w:rsidRDefault="002C2594" w:rsidP="002C2594"/>
    <w:p w14:paraId="3DA4DE2C" w14:textId="379AECCF" w:rsidR="002C2594" w:rsidRDefault="002C2594" w:rsidP="002C2594">
      <w:pPr>
        <w:rPr>
          <w:lang w:eastAsia="bg-BG"/>
        </w:rPr>
      </w:pPr>
      <w:r w:rsidRPr="002C2594">
        <w:rPr>
          <w:lang w:eastAsia="bg-BG"/>
        </w:rPr>
        <w:t>По време на шофиране или управление на машини трябва да се имат предвид редките случаи на замаяност и умора, които могат да възникнат.</w:t>
      </w:r>
    </w:p>
    <w:p w14:paraId="4D7BA527" w14:textId="77777777" w:rsidR="002C2594" w:rsidRPr="002C2594" w:rsidRDefault="002C2594" w:rsidP="002C2594">
      <w:pPr>
        <w:rPr>
          <w:lang w:eastAsia="bg-BG"/>
        </w:rPr>
      </w:pPr>
    </w:p>
    <w:p w14:paraId="44CE30A3" w14:textId="42756BFA" w:rsidR="007122AD" w:rsidRDefault="002C50EE" w:rsidP="00936AD0">
      <w:pPr>
        <w:pStyle w:val="Heading2"/>
      </w:pPr>
      <w:r>
        <w:t>4.8. Нежелани лекарствени реакции</w:t>
      </w:r>
    </w:p>
    <w:p w14:paraId="2DBC40D2" w14:textId="2A0F7A74" w:rsidR="002C2594" w:rsidRDefault="002C2594" w:rsidP="002C2594"/>
    <w:p w14:paraId="651F864E" w14:textId="77777777" w:rsidR="002C2594" w:rsidRPr="002C2594" w:rsidRDefault="002C2594" w:rsidP="002C2594">
      <w:pPr>
        <w:rPr>
          <w:sz w:val="24"/>
          <w:szCs w:val="24"/>
        </w:rPr>
      </w:pPr>
      <w:r w:rsidRPr="002C2594">
        <w:rPr>
          <w:lang w:eastAsia="bg-BG"/>
        </w:rPr>
        <w:t xml:space="preserve">Следващите нежелани реакции са наблюдавани и описани в хода на лечение с лизиноприл и други АСЕ инхибитори със следната честота: </w:t>
      </w:r>
      <w:r w:rsidRPr="002C2594">
        <w:rPr>
          <w:i/>
          <w:iCs/>
          <w:lang w:eastAsia="bg-BG"/>
        </w:rPr>
        <w:t>много чести</w:t>
      </w:r>
      <w:r w:rsidRPr="002C2594">
        <w:rPr>
          <w:lang w:eastAsia="bg-BG"/>
        </w:rPr>
        <w:t xml:space="preserve"> (≥1/10), </w:t>
      </w:r>
      <w:r w:rsidRPr="002C2594">
        <w:rPr>
          <w:i/>
          <w:iCs/>
          <w:lang w:eastAsia="bg-BG"/>
        </w:rPr>
        <w:t xml:space="preserve">чести </w:t>
      </w:r>
      <w:r w:rsidRPr="002C2594">
        <w:rPr>
          <w:lang w:eastAsia="bg-BG"/>
        </w:rPr>
        <w:t xml:space="preserve">(≥1/100 до &lt;1/10), </w:t>
      </w:r>
      <w:r w:rsidRPr="002C2594">
        <w:rPr>
          <w:i/>
          <w:iCs/>
          <w:lang w:eastAsia="bg-BG"/>
        </w:rPr>
        <w:t>нечести</w:t>
      </w:r>
      <w:r w:rsidRPr="002C2594">
        <w:rPr>
          <w:lang w:eastAsia="bg-BG"/>
        </w:rPr>
        <w:t xml:space="preserve"> (≥1/1000 до &lt;1/100), редки (≥1/10 000 до &lt;1/1000), </w:t>
      </w:r>
      <w:r w:rsidRPr="002C2594">
        <w:rPr>
          <w:i/>
          <w:iCs/>
          <w:lang w:eastAsia="bg-BG"/>
        </w:rPr>
        <w:t>много редки</w:t>
      </w:r>
      <w:r w:rsidRPr="002C2594">
        <w:rPr>
          <w:lang w:eastAsia="bg-BG"/>
        </w:rPr>
        <w:t xml:space="preserve"> </w:t>
      </w:r>
      <w:r w:rsidRPr="002C2594">
        <w:rPr>
          <w:lang w:eastAsia="bg-BG"/>
        </w:rPr>
        <w:lastRenderedPageBreak/>
        <w:t>(&lt;1/10 000) включително изолирани съобщения, с неизвестна честота (от наличните данни не може да бъде направена оценка).</w:t>
      </w:r>
    </w:p>
    <w:p w14:paraId="2ED97687" w14:textId="05705148" w:rsidR="002C2594" w:rsidRDefault="002C2594" w:rsidP="002C2594"/>
    <w:tbl>
      <w:tblPr>
        <w:tblStyle w:val="TableGrid"/>
        <w:tblW w:w="0" w:type="auto"/>
        <w:tblLook w:val="04A0" w:firstRow="1" w:lastRow="0" w:firstColumn="1" w:lastColumn="0" w:noHBand="0" w:noVBand="1"/>
      </w:tblPr>
      <w:tblGrid>
        <w:gridCol w:w="1604"/>
        <w:gridCol w:w="1366"/>
        <w:gridCol w:w="1429"/>
        <w:gridCol w:w="1617"/>
        <w:gridCol w:w="1873"/>
        <w:gridCol w:w="1461"/>
      </w:tblGrid>
      <w:tr w:rsidR="002C2594" w14:paraId="379F3C4F" w14:textId="77777777" w:rsidTr="007338C6">
        <w:tc>
          <w:tcPr>
            <w:tcW w:w="1644" w:type="dxa"/>
            <w:vAlign w:val="bottom"/>
          </w:tcPr>
          <w:p w14:paraId="3771F22F" w14:textId="235DA9BC" w:rsidR="002C2594" w:rsidRDefault="002C2594" w:rsidP="002C2594">
            <w:r>
              <w:rPr>
                <w:b/>
                <w:bCs/>
              </w:rPr>
              <w:t>Система орган клас</w:t>
            </w:r>
          </w:p>
        </w:tc>
        <w:tc>
          <w:tcPr>
            <w:tcW w:w="1398" w:type="dxa"/>
            <w:vAlign w:val="center"/>
          </w:tcPr>
          <w:p w14:paraId="2964BBF5" w14:textId="5B455FF8" w:rsidR="002C2594" w:rsidRDefault="002C2594" w:rsidP="002C2594">
            <w:r>
              <w:rPr>
                <w:b/>
                <w:bCs/>
              </w:rPr>
              <w:t>Чести</w:t>
            </w:r>
          </w:p>
        </w:tc>
        <w:tc>
          <w:tcPr>
            <w:tcW w:w="1463" w:type="dxa"/>
            <w:vAlign w:val="center"/>
          </w:tcPr>
          <w:p w14:paraId="188B7967" w14:textId="0F7FA2A9" w:rsidR="002C2594" w:rsidRDefault="002C2594" w:rsidP="002C2594">
            <w:r>
              <w:rPr>
                <w:b/>
                <w:bCs/>
              </w:rPr>
              <w:t>Нечести</w:t>
            </w:r>
          </w:p>
        </w:tc>
        <w:tc>
          <w:tcPr>
            <w:tcW w:w="1657" w:type="dxa"/>
            <w:vAlign w:val="center"/>
          </w:tcPr>
          <w:p w14:paraId="39BD1E43" w14:textId="2E8FE0A6" w:rsidR="002C2594" w:rsidRDefault="002C2594" w:rsidP="002C2594">
            <w:r>
              <w:rPr>
                <w:b/>
                <w:bCs/>
              </w:rPr>
              <w:t>Редки</w:t>
            </w:r>
          </w:p>
        </w:tc>
        <w:tc>
          <w:tcPr>
            <w:tcW w:w="1919" w:type="dxa"/>
            <w:vAlign w:val="center"/>
          </w:tcPr>
          <w:p w14:paraId="273ED2DF" w14:textId="60A9FD12" w:rsidR="002C2594" w:rsidRDefault="002C2594" w:rsidP="002C2594">
            <w:r>
              <w:rPr>
                <w:b/>
                <w:bCs/>
              </w:rPr>
              <w:t>Много редки</w:t>
            </w:r>
          </w:p>
        </w:tc>
        <w:tc>
          <w:tcPr>
            <w:tcW w:w="1495" w:type="dxa"/>
          </w:tcPr>
          <w:p w14:paraId="302C8962" w14:textId="745E814A" w:rsidR="002C2594" w:rsidRDefault="002C2594" w:rsidP="002C2594">
            <w:r>
              <w:rPr>
                <w:b/>
                <w:bCs/>
              </w:rPr>
              <w:t>с неизвестна честота</w:t>
            </w:r>
          </w:p>
        </w:tc>
      </w:tr>
      <w:tr w:rsidR="002C2594" w14:paraId="7688BB85" w14:textId="77777777" w:rsidTr="007338C6">
        <w:tc>
          <w:tcPr>
            <w:tcW w:w="1644" w:type="dxa"/>
          </w:tcPr>
          <w:p w14:paraId="72D97604" w14:textId="6892E758" w:rsidR="002C2594" w:rsidRDefault="002C2594" w:rsidP="002C2594">
            <w:r>
              <w:rPr>
                <w:i/>
                <w:iCs/>
              </w:rPr>
              <w:t>Нарушения на кръвта и лимфната система</w:t>
            </w:r>
          </w:p>
        </w:tc>
        <w:tc>
          <w:tcPr>
            <w:tcW w:w="1398" w:type="dxa"/>
          </w:tcPr>
          <w:p w14:paraId="1B91770F" w14:textId="77777777" w:rsidR="002C2594" w:rsidRDefault="002C2594" w:rsidP="002C2594"/>
        </w:tc>
        <w:tc>
          <w:tcPr>
            <w:tcW w:w="1463" w:type="dxa"/>
          </w:tcPr>
          <w:p w14:paraId="36913AD0" w14:textId="77777777" w:rsidR="002C2594" w:rsidRDefault="002C2594" w:rsidP="002C2594"/>
        </w:tc>
        <w:tc>
          <w:tcPr>
            <w:tcW w:w="1657" w:type="dxa"/>
          </w:tcPr>
          <w:p w14:paraId="7C8A1886" w14:textId="66C217B9" w:rsidR="002C2594" w:rsidRDefault="002C2594" w:rsidP="002C2594">
            <w:r>
              <w:t>понижаване на хемоглобина, понижаване на хематокрита</w:t>
            </w:r>
          </w:p>
        </w:tc>
        <w:tc>
          <w:tcPr>
            <w:tcW w:w="1919" w:type="dxa"/>
            <w:vAlign w:val="bottom"/>
          </w:tcPr>
          <w:p w14:paraId="58DBBA26" w14:textId="3F14FE9B" w:rsidR="002C2594" w:rsidRDefault="002C2594" w:rsidP="002C2594">
            <w:r>
              <w:t>потискане на костния мозък, анемия, тромбоцитопе- ния, левкопения, неутропения, агранулоцитоза (вж. точка 4.4), хемолитична анемия, лимфаденопатия</w:t>
            </w:r>
          </w:p>
        </w:tc>
        <w:tc>
          <w:tcPr>
            <w:tcW w:w="1495" w:type="dxa"/>
          </w:tcPr>
          <w:p w14:paraId="00812C2F" w14:textId="77777777" w:rsidR="002C2594" w:rsidRDefault="002C2594" w:rsidP="002C2594"/>
        </w:tc>
      </w:tr>
      <w:tr w:rsidR="002C2594" w14:paraId="4C901FD7" w14:textId="77777777" w:rsidTr="007338C6">
        <w:tc>
          <w:tcPr>
            <w:tcW w:w="1644" w:type="dxa"/>
            <w:vAlign w:val="center"/>
          </w:tcPr>
          <w:p w14:paraId="768EE336" w14:textId="23785774" w:rsidR="002C2594" w:rsidRDefault="002C2594" w:rsidP="002C2594">
            <w:r>
              <w:rPr>
                <w:i/>
                <w:iCs/>
              </w:rPr>
              <w:t>Нарушения на имунната система</w:t>
            </w:r>
          </w:p>
        </w:tc>
        <w:tc>
          <w:tcPr>
            <w:tcW w:w="1398" w:type="dxa"/>
          </w:tcPr>
          <w:p w14:paraId="62AF8AC6" w14:textId="77777777" w:rsidR="002C2594" w:rsidRDefault="002C2594" w:rsidP="002C2594"/>
        </w:tc>
        <w:tc>
          <w:tcPr>
            <w:tcW w:w="1463" w:type="dxa"/>
          </w:tcPr>
          <w:p w14:paraId="036BA706" w14:textId="77777777" w:rsidR="002C2594" w:rsidRDefault="002C2594" w:rsidP="002C2594"/>
        </w:tc>
        <w:tc>
          <w:tcPr>
            <w:tcW w:w="1657" w:type="dxa"/>
          </w:tcPr>
          <w:p w14:paraId="53F34388" w14:textId="77777777" w:rsidR="002C2594" w:rsidRDefault="002C2594" w:rsidP="002C2594"/>
        </w:tc>
        <w:tc>
          <w:tcPr>
            <w:tcW w:w="1919" w:type="dxa"/>
          </w:tcPr>
          <w:p w14:paraId="367294A5" w14:textId="5ABFBA22" w:rsidR="002C2594" w:rsidRDefault="002C2594" w:rsidP="002C2594">
            <w:r>
              <w:t>автоимунно заболяване</w:t>
            </w:r>
          </w:p>
        </w:tc>
        <w:tc>
          <w:tcPr>
            <w:tcW w:w="1495" w:type="dxa"/>
            <w:vAlign w:val="bottom"/>
          </w:tcPr>
          <w:p w14:paraId="64BD486B" w14:textId="08547EA6" w:rsidR="002C2594" w:rsidRDefault="002C2594" w:rsidP="002C2594">
            <w:r>
              <w:t>анафилакти чна/анафила ктоидна реакция</w:t>
            </w:r>
          </w:p>
        </w:tc>
      </w:tr>
      <w:tr w:rsidR="002C2594" w14:paraId="4553B4A7" w14:textId="77777777" w:rsidTr="007338C6">
        <w:tc>
          <w:tcPr>
            <w:tcW w:w="1644" w:type="dxa"/>
          </w:tcPr>
          <w:p w14:paraId="50225552" w14:textId="2C8B670B" w:rsidR="002C2594" w:rsidRDefault="002C2594" w:rsidP="002C2594">
            <w:r>
              <w:rPr>
                <w:i/>
                <w:iCs/>
              </w:rPr>
              <w:t>Нарушения на ендокринна</w:t>
            </w:r>
            <w:r>
              <w:rPr>
                <w:i/>
                <w:iCs/>
              </w:rPr>
              <w:softHyphen/>
              <w:t>та система</w:t>
            </w:r>
          </w:p>
        </w:tc>
        <w:tc>
          <w:tcPr>
            <w:tcW w:w="1398" w:type="dxa"/>
          </w:tcPr>
          <w:p w14:paraId="502FF8F0" w14:textId="77777777" w:rsidR="002C2594" w:rsidRDefault="002C2594" w:rsidP="002C2594"/>
        </w:tc>
        <w:tc>
          <w:tcPr>
            <w:tcW w:w="1463" w:type="dxa"/>
          </w:tcPr>
          <w:p w14:paraId="5B6DFA55" w14:textId="77777777" w:rsidR="002C2594" w:rsidRDefault="002C2594" w:rsidP="002C2594"/>
        </w:tc>
        <w:tc>
          <w:tcPr>
            <w:tcW w:w="1657" w:type="dxa"/>
            <w:vAlign w:val="bottom"/>
          </w:tcPr>
          <w:p w14:paraId="25298558" w14:textId="7AFCE86F" w:rsidR="002C2594" w:rsidRDefault="002C2594" w:rsidP="002C2594">
            <w:r>
              <w:t xml:space="preserve">синдром на неподходяща секреция на антидиурети- чен хормон </w:t>
            </w:r>
            <w:r w:rsidRPr="002C2594">
              <w:rPr>
                <w:lang w:val="ru-RU"/>
              </w:rPr>
              <w:t>(</w:t>
            </w:r>
            <w:r>
              <w:rPr>
                <w:lang w:val="en-US"/>
              </w:rPr>
              <w:t>SIADH</w:t>
            </w:r>
            <w:r w:rsidRPr="002C2594">
              <w:rPr>
                <w:lang w:val="ru-RU"/>
              </w:rPr>
              <w:t>)</w:t>
            </w:r>
          </w:p>
        </w:tc>
        <w:tc>
          <w:tcPr>
            <w:tcW w:w="1919" w:type="dxa"/>
          </w:tcPr>
          <w:p w14:paraId="44ED3B1D" w14:textId="77777777" w:rsidR="002C2594" w:rsidRDefault="002C2594" w:rsidP="002C2594"/>
        </w:tc>
        <w:tc>
          <w:tcPr>
            <w:tcW w:w="1495" w:type="dxa"/>
          </w:tcPr>
          <w:p w14:paraId="5C019F93" w14:textId="77777777" w:rsidR="002C2594" w:rsidRDefault="002C2594" w:rsidP="002C2594"/>
        </w:tc>
      </w:tr>
      <w:tr w:rsidR="002C2594" w14:paraId="1CE4CDA8" w14:textId="77777777" w:rsidTr="007338C6">
        <w:tc>
          <w:tcPr>
            <w:tcW w:w="1644" w:type="dxa"/>
            <w:vAlign w:val="bottom"/>
          </w:tcPr>
          <w:p w14:paraId="374633E0" w14:textId="536DE98D" w:rsidR="002C2594" w:rsidRDefault="002C2594" w:rsidP="002C2594">
            <w:r>
              <w:rPr>
                <w:i/>
                <w:iCs/>
              </w:rPr>
              <w:t>Нарушения на метаболизма и храненето</w:t>
            </w:r>
          </w:p>
        </w:tc>
        <w:tc>
          <w:tcPr>
            <w:tcW w:w="1398" w:type="dxa"/>
          </w:tcPr>
          <w:p w14:paraId="1B40DD9C" w14:textId="77777777" w:rsidR="002C2594" w:rsidRDefault="002C2594" w:rsidP="002C2594"/>
        </w:tc>
        <w:tc>
          <w:tcPr>
            <w:tcW w:w="1463" w:type="dxa"/>
          </w:tcPr>
          <w:p w14:paraId="22827D38" w14:textId="77777777" w:rsidR="002C2594" w:rsidRDefault="002C2594" w:rsidP="002C2594"/>
        </w:tc>
        <w:tc>
          <w:tcPr>
            <w:tcW w:w="1657" w:type="dxa"/>
          </w:tcPr>
          <w:p w14:paraId="030A9521" w14:textId="77777777" w:rsidR="002C2594" w:rsidRDefault="002C2594" w:rsidP="002C2594"/>
        </w:tc>
        <w:tc>
          <w:tcPr>
            <w:tcW w:w="1919" w:type="dxa"/>
          </w:tcPr>
          <w:p w14:paraId="4807C6EA" w14:textId="3AA5B08C" w:rsidR="002C2594" w:rsidRDefault="002C2594" w:rsidP="002C2594">
            <w:r>
              <w:t>хипогликемия</w:t>
            </w:r>
          </w:p>
        </w:tc>
        <w:tc>
          <w:tcPr>
            <w:tcW w:w="1495" w:type="dxa"/>
          </w:tcPr>
          <w:p w14:paraId="6D66D420" w14:textId="77777777" w:rsidR="002C2594" w:rsidRDefault="002C2594" w:rsidP="002C2594"/>
        </w:tc>
      </w:tr>
      <w:tr w:rsidR="002C2594" w14:paraId="283A8F56" w14:textId="77777777" w:rsidTr="007338C6">
        <w:tc>
          <w:tcPr>
            <w:tcW w:w="1644" w:type="dxa"/>
          </w:tcPr>
          <w:p w14:paraId="10B26D97" w14:textId="0172BB09" w:rsidR="002C2594" w:rsidRDefault="002C2594" w:rsidP="002C2594">
            <w:r>
              <w:rPr>
                <w:i/>
                <w:iCs/>
              </w:rPr>
              <w:t>Психични нарушения</w:t>
            </w:r>
          </w:p>
        </w:tc>
        <w:tc>
          <w:tcPr>
            <w:tcW w:w="1398" w:type="dxa"/>
          </w:tcPr>
          <w:p w14:paraId="2822FF3E" w14:textId="77777777" w:rsidR="002C2594" w:rsidRDefault="002C2594" w:rsidP="002C2594"/>
        </w:tc>
        <w:tc>
          <w:tcPr>
            <w:tcW w:w="1463" w:type="dxa"/>
            <w:vAlign w:val="bottom"/>
          </w:tcPr>
          <w:p w14:paraId="61A6A8A4" w14:textId="297E0962" w:rsidR="002C2594" w:rsidRDefault="002C2594" w:rsidP="002C2594">
            <w:r>
              <w:t>промени в настроение</w:t>
            </w:r>
            <w:r>
              <w:softHyphen/>
              <w:t>то, разстройст</w:t>
            </w:r>
            <w:r>
              <w:softHyphen/>
              <w:t>во на съня, халюцина</w:t>
            </w:r>
            <w:r>
              <w:softHyphen/>
              <w:t>ции</w:t>
            </w:r>
          </w:p>
        </w:tc>
        <w:tc>
          <w:tcPr>
            <w:tcW w:w="1657" w:type="dxa"/>
          </w:tcPr>
          <w:p w14:paraId="633AC885" w14:textId="77777777" w:rsidR="002C2594" w:rsidRDefault="002C2594" w:rsidP="002C2594">
            <w:r>
              <w:t>психично</w:t>
            </w:r>
          </w:p>
          <w:p w14:paraId="51A0817B" w14:textId="612B8C70" w:rsidR="002C2594" w:rsidRDefault="002C2594" w:rsidP="002C2594">
            <w:r>
              <w:t>объркване</w:t>
            </w:r>
          </w:p>
        </w:tc>
        <w:tc>
          <w:tcPr>
            <w:tcW w:w="1919" w:type="dxa"/>
          </w:tcPr>
          <w:p w14:paraId="159426B9" w14:textId="77777777" w:rsidR="002C2594" w:rsidRDefault="002C2594" w:rsidP="002C2594"/>
        </w:tc>
        <w:tc>
          <w:tcPr>
            <w:tcW w:w="1495" w:type="dxa"/>
          </w:tcPr>
          <w:p w14:paraId="6F9E5548" w14:textId="5EB79F6B" w:rsidR="002C2594" w:rsidRDefault="002C2594" w:rsidP="002C2594">
            <w:r>
              <w:t>депресивен симптом</w:t>
            </w:r>
          </w:p>
        </w:tc>
      </w:tr>
      <w:tr w:rsidR="002C2594" w14:paraId="7DCFBEDD" w14:textId="77777777" w:rsidTr="007338C6">
        <w:tc>
          <w:tcPr>
            <w:tcW w:w="1644" w:type="dxa"/>
            <w:vAlign w:val="center"/>
          </w:tcPr>
          <w:p w14:paraId="6999AA89" w14:textId="456BB9F1" w:rsidR="002C2594" w:rsidRDefault="002C2594" w:rsidP="002C2594">
            <w:r>
              <w:rPr>
                <w:i/>
                <w:iCs/>
              </w:rPr>
              <w:t>Нарушения на нервната система</w:t>
            </w:r>
          </w:p>
        </w:tc>
        <w:tc>
          <w:tcPr>
            <w:tcW w:w="1398" w:type="dxa"/>
            <w:vAlign w:val="center"/>
          </w:tcPr>
          <w:p w14:paraId="473030DF" w14:textId="50C925DF" w:rsidR="002C2594" w:rsidRDefault="002C2594" w:rsidP="002C2594">
            <w:r>
              <w:t>замаяност, главоболие</w:t>
            </w:r>
          </w:p>
        </w:tc>
        <w:tc>
          <w:tcPr>
            <w:tcW w:w="1463" w:type="dxa"/>
            <w:vAlign w:val="bottom"/>
          </w:tcPr>
          <w:p w14:paraId="1ECFB275" w14:textId="4FBEB540" w:rsidR="002C2594" w:rsidRDefault="002C2594" w:rsidP="002C2594">
            <w:r>
              <w:t>парестезии, вертиго, нарушения във вкуса</w:t>
            </w:r>
          </w:p>
        </w:tc>
        <w:tc>
          <w:tcPr>
            <w:tcW w:w="1657" w:type="dxa"/>
            <w:vAlign w:val="center"/>
          </w:tcPr>
          <w:p w14:paraId="20FDE502" w14:textId="623C3EE6" w:rsidR="002C2594" w:rsidRDefault="002C2594" w:rsidP="002C2594">
            <w:r>
              <w:t>паросмия (обонятелни нарушения)</w:t>
            </w:r>
          </w:p>
        </w:tc>
        <w:tc>
          <w:tcPr>
            <w:tcW w:w="1919" w:type="dxa"/>
          </w:tcPr>
          <w:p w14:paraId="47474189" w14:textId="77777777" w:rsidR="002C2594" w:rsidRDefault="002C2594" w:rsidP="002C2594"/>
        </w:tc>
        <w:tc>
          <w:tcPr>
            <w:tcW w:w="1495" w:type="dxa"/>
          </w:tcPr>
          <w:p w14:paraId="13AA0D5F" w14:textId="3C45F7EA" w:rsidR="002C2594" w:rsidRDefault="002C2594" w:rsidP="002C2594">
            <w:r>
              <w:t>синкоп</w:t>
            </w:r>
          </w:p>
        </w:tc>
      </w:tr>
      <w:tr w:rsidR="002C2594" w14:paraId="61934A68" w14:textId="77777777" w:rsidTr="007338C6">
        <w:tc>
          <w:tcPr>
            <w:tcW w:w="1644" w:type="dxa"/>
          </w:tcPr>
          <w:p w14:paraId="25DA1DD2" w14:textId="6344973C" w:rsidR="002C2594" w:rsidRDefault="002C2594" w:rsidP="002C2594">
            <w:r>
              <w:rPr>
                <w:i/>
                <w:iCs/>
              </w:rPr>
              <w:t>Сърдечни нарушения</w:t>
            </w:r>
          </w:p>
        </w:tc>
        <w:tc>
          <w:tcPr>
            <w:tcW w:w="1398" w:type="dxa"/>
          </w:tcPr>
          <w:p w14:paraId="3BB6CCBE" w14:textId="77777777" w:rsidR="002C2594" w:rsidRDefault="002C2594" w:rsidP="002C2594"/>
        </w:tc>
        <w:tc>
          <w:tcPr>
            <w:tcW w:w="1463" w:type="dxa"/>
            <w:vAlign w:val="bottom"/>
          </w:tcPr>
          <w:p w14:paraId="6ED96B7D" w14:textId="43350564" w:rsidR="002C2594" w:rsidRPr="002C2594" w:rsidRDefault="002C2594" w:rsidP="002C2594">
            <w:pPr>
              <w:rPr>
                <w:rFonts w:ascii="Times New Roman" w:eastAsia="Times New Roman" w:hAnsi="Times New Roman" w:cs="Times New Roman"/>
                <w:sz w:val="24"/>
                <w:szCs w:val="24"/>
              </w:rPr>
            </w:pPr>
            <w:r>
              <w:t xml:space="preserve">миокарден инфаркт, </w:t>
            </w:r>
            <w:r>
              <w:lastRenderedPageBreak/>
              <w:t>вероятно вторичен на изразена хипотония</w:t>
            </w:r>
            <w:r w:rsidRPr="002C2594">
              <w:rPr>
                <w:lang w:val="ru-RU"/>
              </w:rPr>
              <w:t xml:space="preserve"> </w:t>
            </w:r>
            <w:r w:rsidRPr="002C2594">
              <w:rPr>
                <w:lang w:eastAsia="bg-BG"/>
              </w:rPr>
              <w:t>при високо рискови пациенти (вж. точка 4.4), палпитации, тахикардия</w:t>
            </w:r>
          </w:p>
        </w:tc>
        <w:tc>
          <w:tcPr>
            <w:tcW w:w="1657" w:type="dxa"/>
          </w:tcPr>
          <w:p w14:paraId="25FD8BC7" w14:textId="77777777" w:rsidR="002C2594" w:rsidRDefault="002C2594" w:rsidP="002C2594"/>
        </w:tc>
        <w:tc>
          <w:tcPr>
            <w:tcW w:w="1919" w:type="dxa"/>
            <w:vAlign w:val="bottom"/>
          </w:tcPr>
          <w:p w14:paraId="0AE82464" w14:textId="77777777" w:rsidR="002C2594" w:rsidRDefault="002C2594" w:rsidP="002C2594"/>
        </w:tc>
        <w:tc>
          <w:tcPr>
            <w:tcW w:w="1495" w:type="dxa"/>
            <w:vAlign w:val="bottom"/>
          </w:tcPr>
          <w:p w14:paraId="06C8D4AB" w14:textId="77777777" w:rsidR="002C2594" w:rsidRDefault="002C2594" w:rsidP="002C2594"/>
        </w:tc>
      </w:tr>
      <w:tr w:rsidR="002C2594" w14:paraId="740E1B61" w14:textId="77777777" w:rsidTr="007338C6">
        <w:tc>
          <w:tcPr>
            <w:tcW w:w="1644" w:type="dxa"/>
          </w:tcPr>
          <w:p w14:paraId="6A9A7103" w14:textId="4560C431" w:rsidR="002C2594" w:rsidRDefault="002C2594" w:rsidP="002C2594">
            <w:r>
              <w:rPr>
                <w:i/>
                <w:iCs/>
              </w:rPr>
              <w:t>Съдови нарушения</w:t>
            </w:r>
          </w:p>
        </w:tc>
        <w:tc>
          <w:tcPr>
            <w:tcW w:w="1398" w:type="dxa"/>
          </w:tcPr>
          <w:p w14:paraId="2C53547C" w14:textId="77777777" w:rsidR="002C2594" w:rsidRDefault="002C2594" w:rsidP="002C2594">
            <w:r>
              <w:t>ортостатич- ни ефекти (вкл.</w:t>
            </w:r>
          </w:p>
          <w:p w14:paraId="41EE7C3F" w14:textId="13DCD3DE" w:rsidR="002C2594" w:rsidRDefault="002C2594" w:rsidP="002C2594">
            <w:r>
              <w:t>хипотония)</w:t>
            </w:r>
          </w:p>
        </w:tc>
        <w:tc>
          <w:tcPr>
            <w:tcW w:w="1463" w:type="dxa"/>
            <w:vAlign w:val="bottom"/>
          </w:tcPr>
          <w:p w14:paraId="752155E6" w14:textId="19B8B5AE" w:rsidR="002C2594" w:rsidRDefault="002C2594" w:rsidP="002C2594">
            <w:r>
              <w:t>мозъчно- съдов инцидент, вероятно вторичен на изразена хипотония при високо рискови пациенти (вж. точка 4.4), феномен на Рейно.</w:t>
            </w:r>
          </w:p>
        </w:tc>
        <w:tc>
          <w:tcPr>
            <w:tcW w:w="1657" w:type="dxa"/>
          </w:tcPr>
          <w:p w14:paraId="1AE950AB" w14:textId="77777777" w:rsidR="002C2594" w:rsidRDefault="002C2594" w:rsidP="002C2594"/>
        </w:tc>
        <w:tc>
          <w:tcPr>
            <w:tcW w:w="1919" w:type="dxa"/>
          </w:tcPr>
          <w:p w14:paraId="03C86A32" w14:textId="77777777" w:rsidR="002C2594" w:rsidRDefault="002C2594" w:rsidP="002C2594"/>
        </w:tc>
        <w:tc>
          <w:tcPr>
            <w:tcW w:w="1495" w:type="dxa"/>
          </w:tcPr>
          <w:p w14:paraId="3A9EAAE0" w14:textId="77777777" w:rsidR="002C2594" w:rsidRDefault="002C2594" w:rsidP="002C2594"/>
        </w:tc>
      </w:tr>
      <w:tr w:rsidR="002C2594" w14:paraId="4F41821C" w14:textId="77777777" w:rsidTr="007338C6">
        <w:tc>
          <w:tcPr>
            <w:tcW w:w="1644" w:type="dxa"/>
            <w:vAlign w:val="center"/>
          </w:tcPr>
          <w:p w14:paraId="5C3D476E" w14:textId="5E1E995E" w:rsidR="002C2594" w:rsidRDefault="002C2594" w:rsidP="002C2594">
            <w:r>
              <w:rPr>
                <w:i/>
                <w:iCs/>
              </w:rPr>
              <w:t>Респиратор</w:t>
            </w:r>
            <w:r>
              <w:rPr>
                <w:i/>
                <w:iCs/>
              </w:rPr>
              <w:softHyphen/>
              <w:t>ни, гръдни и медиастинал- ни нарушения</w:t>
            </w:r>
          </w:p>
        </w:tc>
        <w:tc>
          <w:tcPr>
            <w:tcW w:w="1398" w:type="dxa"/>
          </w:tcPr>
          <w:p w14:paraId="35EA3615" w14:textId="56EE9E16" w:rsidR="002C2594" w:rsidRDefault="002C2594" w:rsidP="002C2594">
            <w:r>
              <w:t>кашлица</w:t>
            </w:r>
          </w:p>
        </w:tc>
        <w:tc>
          <w:tcPr>
            <w:tcW w:w="1463" w:type="dxa"/>
          </w:tcPr>
          <w:p w14:paraId="7529856A" w14:textId="1B33A443" w:rsidR="002C2594" w:rsidRDefault="002C2594" w:rsidP="002C2594">
            <w:r>
              <w:t>ринит</w:t>
            </w:r>
          </w:p>
        </w:tc>
        <w:tc>
          <w:tcPr>
            <w:tcW w:w="1657" w:type="dxa"/>
          </w:tcPr>
          <w:p w14:paraId="54F01FC7" w14:textId="77777777" w:rsidR="002C2594" w:rsidRDefault="002C2594" w:rsidP="002C2594"/>
        </w:tc>
        <w:tc>
          <w:tcPr>
            <w:tcW w:w="1919" w:type="dxa"/>
            <w:vAlign w:val="bottom"/>
          </w:tcPr>
          <w:p w14:paraId="1B000144" w14:textId="273151E4" w:rsidR="002C2594" w:rsidRDefault="002C2594" w:rsidP="002C2594">
            <w:r>
              <w:t>бронхоспазъм, синузит, алергичен алвеолит, еозинофилна пневмония</w:t>
            </w:r>
          </w:p>
        </w:tc>
        <w:tc>
          <w:tcPr>
            <w:tcW w:w="1495" w:type="dxa"/>
          </w:tcPr>
          <w:p w14:paraId="6A3D5DB9" w14:textId="77777777" w:rsidR="002C2594" w:rsidRDefault="002C2594" w:rsidP="002C2594"/>
        </w:tc>
      </w:tr>
      <w:tr w:rsidR="002C2594" w14:paraId="5918DD16" w14:textId="77777777" w:rsidTr="007338C6">
        <w:tc>
          <w:tcPr>
            <w:tcW w:w="1644" w:type="dxa"/>
          </w:tcPr>
          <w:p w14:paraId="1F294856" w14:textId="2A1F7078" w:rsidR="002C2594" w:rsidRDefault="002C2594" w:rsidP="002C2594">
            <w:r>
              <w:rPr>
                <w:i/>
                <w:iCs/>
              </w:rPr>
              <w:t>Стомашно- чревни нарушения</w:t>
            </w:r>
          </w:p>
        </w:tc>
        <w:tc>
          <w:tcPr>
            <w:tcW w:w="1398" w:type="dxa"/>
          </w:tcPr>
          <w:p w14:paraId="0DC8CEC2" w14:textId="132A80DD" w:rsidR="002C2594" w:rsidRDefault="002C2594" w:rsidP="002C2594">
            <w:r>
              <w:t>диария, повръщане</w:t>
            </w:r>
          </w:p>
        </w:tc>
        <w:tc>
          <w:tcPr>
            <w:tcW w:w="1463" w:type="dxa"/>
            <w:vAlign w:val="bottom"/>
          </w:tcPr>
          <w:p w14:paraId="6BB08ED6" w14:textId="609E6CE2" w:rsidR="002C2594" w:rsidRDefault="002C2594" w:rsidP="002C2594">
            <w:r>
              <w:t>гадене, коремна болка, нарушено храносмила</w:t>
            </w:r>
            <w:r>
              <w:softHyphen/>
              <w:t>не</w:t>
            </w:r>
          </w:p>
        </w:tc>
        <w:tc>
          <w:tcPr>
            <w:tcW w:w="1657" w:type="dxa"/>
          </w:tcPr>
          <w:p w14:paraId="6F64A7F1" w14:textId="38C408B2" w:rsidR="002C2594" w:rsidRDefault="002C2594" w:rsidP="002C2594">
            <w:r>
              <w:t>сухотав устата</w:t>
            </w:r>
          </w:p>
        </w:tc>
        <w:tc>
          <w:tcPr>
            <w:tcW w:w="1919" w:type="dxa"/>
          </w:tcPr>
          <w:p w14:paraId="038BC0AA" w14:textId="538E7266" w:rsidR="002C2594" w:rsidRDefault="002C2594" w:rsidP="002C2594">
            <w:r>
              <w:t>панкреатит, чревен ангиоедем</w:t>
            </w:r>
          </w:p>
        </w:tc>
        <w:tc>
          <w:tcPr>
            <w:tcW w:w="1495" w:type="dxa"/>
          </w:tcPr>
          <w:p w14:paraId="236AF3D4" w14:textId="77777777" w:rsidR="002C2594" w:rsidRDefault="002C2594" w:rsidP="002C2594"/>
        </w:tc>
      </w:tr>
      <w:tr w:rsidR="002C2594" w14:paraId="0A3F955F" w14:textId="77777777" w:rsidTr="007338C6">
        <w:tc>
          <w:tcPr>
            <w:tcW w:w="1644" w:type="dxa"/>
          </w:tcPr>
          <w:p w14:paraId="29E6835D" w14:textId="1AC795D0" w:rsidR="002C2594" w:rsidRDefault="002C2594" w:rsidP="002C2594">
            <w:r>
              <w:rPr>
                <w:i/>
                <w:iCs/>
              </w:rPr>
              <w:t>Хепатоби- лиарни нарушения</w:t>
            </w:r>
          </w:p>
        </w:tc>
        <w:tc>
          <w:tcPr>
            <w:tcW w:w="1398" w:type="dxa"/>
          </w:tcPr>
          <w:p w14:paraId="0B4A4F9E" w14:textId="77777777" w:rsidR="002C2594" w:rsidRDefault="002C2594" w:rsidP="002C2594"/>
        </w:tc>
        <w:tc>
          <w:tcPr>
            <w:tcW w:w="1463" w:type="dxa"/>
          </w:tcPr>
          <w:p w14:paraId="3CDD2928" w14:textId="77777777" w:rsidR="002C2594" w:rsidRDefault="002C2594" w:rsidP="002C2594"/>
        </w:tc>
        <w:tc>
          <w:tcPr>
            <w:tcW w:w="1657" w:type="dxa"/>
          </w:tcPr>
          <w:p w14:paraId="0B80A552" w14:textId="77777777" w:rsidR="002C2594" w:rsidRDefault="002C2594" w:rsidP="002C2594"/>
        </w:tc>
        <w:tc>
          <w:tcPr>
            <w:tcW w:w="1919" w:type="dxa"/>
            <w:vAlign w:val="bottom"/>
          </w:tcPr>
          <w:p w14:paraId="615300B2" w14:textId="75CB0F78" w:rsidR="002C2594" w:rsidRDefault="002C2594" w:rsidP="002C2594">
            <w:r>
              <w:t xml:space="preserve">хепатит, протичащ с цитолиза или с холестаза, жълтеница, чернодробна </w:t>
            </w:r>
            <w:r>
              <w:lastRenderedPageBreak/>
              <w:t>недостатъчност (вж. точка 4.4).</w:t>
            </w:r>
          </w:p>
        </w:tc>
        <w:tc>
          <w:tcPr>
            <w:tcW w:w="1495" w:type="dxa"/>
          </w:tcPr>
          <w:p w14:paraId="484E9890" w14:textId="77777777" w:rsidR="002C2594" w:rsidRDefault="002C2594" w:rsidP="002C2594"/>
        </w:tc>
      </w:tr>
      <w:tr w:rsidR="002C2594" w14:paraId="7A3788D4" w14:textId="77777777" w:rsidTr="007338C6">
        <w:tc>
          <w:tcPr>
            <w:tcW w:w="1644" w:type="dxa"/>
          </w:tcPr>
          <w:p w14:paraId="445214CF" w14:textId="0A1D76AB" w:rsidR="002C2594" w:rsidRDefault="002C2594" w:rsidP="002C2594">
            <w:r>
              <w:rPr>
                <w:i/>
                <w:iCs/>
              </w:rPr>
              <w:t>Нарушения на кожата и подкожната тъкан*</w:t>
            </w:r>
          </w:p>
        </w:tc>
        <w:tc>
          <w:tcPr>
            <w:tcW w:w="1398" w:type="dxa"/>
          </w:tcPr>
          <w:p w14:paraId="1BF524FD" w14:textId="77777777" w:rsidR="002C2594" w:rsidRDefault="002C2594" w:rsidP="002C2594"/>
        </w:tc>
        <w:tc>
          <w:tcPr>
            <w:tcW w:w="1463" w:type="dxa"/>
          </w:tcPr>
          <w:p w14:paraId="2698C4F2" w14:textId="275E2C34" w:rsidR="002C2594" w:rsidRDefault="002C2594" w:rsidP="002C2594">
            <w:r>
              <w:t>обрив, прурит</w:t>
            </w:r>
          </w:p>
        </w:tc>
        <w:tc>
          <w:tcPr>
            <w:tcW w:w="1657" w:type="dxa"/>
          </w:tcPr>
          <w:p w14:paraId="62D29590" w14:textId="77777777" w:rsidR="002C2594" w:rsidRDefault="002C2594" w:rsidP="002C2594">
            <w:r>
              <w:t>уртикария, алопеция, псориазис, свръхчувстви- телност/ангио- невротичен оток:</w:t>
            </w:r>
          </w:p>
          <w:p w14:paraId="4DC832E2" w14:textId="2E230494" w:rsidR="002C2594" w:rsidRPr="002C2594" w:rsidRDefault="002C2594" w:rsidP="002C2594">
            <w:pPr>
              <w:rPr>
                <w:lang w:val="ru-RU"/>
              </w:rPr>
            </w:pPr>
            <w:r>
              <w:t>ангионевроти- чен оток на лицето, крайниците,</w:t>
            </w:r>
            <w:r w:rsidRPr="002C2594">
              <w:rPr>
                <w:lang w:val="ru-RU"/>
              </w:rPr>
              <w:t xml:space="preserve"> </w:t>
            </w:r>
            <w:r>
              <w:t>устните, езика, глотиса и/или ларинкса (вж. точка 4.4)</w:t>
            </w:r>
          </w:p>
        </w:tc>
        <w:tc>
          <w:tcPr>
            <w:tcW w:w="1919" w:type="dxa"/>
          </w:tcPr>
          <w:p w14:paraId="1454E012" w14:textId="51682CFD" w:rsidR="002C2594" w:rsidRDefault="002C2594" w:rsidP="002C2594">
            <w:r>
              <w:t>изпотяване, пемфигус, токсична епидермална некролиза, синдром на Стивънс-Джонсън еритема</w:t>
            </w:r>
            <w:r>
              <w:rPr>
                <w:i/>
                <w:iCs/>
              </w:rPr>
              <w:t xml:space="preserve"> </w:t>
            </w:r>
            <w:r>
              <w:t>мултиформе кожна псевдолимфома</w:t>
            </w:r>
          </w:p>
        </w:tc>
        <w:tc>
          <w:tcPr>
            <w:tcW w:w="1495" w:type="dxa"/>
            <w:textDirection w:val="tbRl"/>
          </w:tcPr>
          <w:p w14:paraId="1724CF75" w14:textId="77777777" w:rsidR="002C2594" w:rsidRDefault="002C2594" w:rsidP="002C2594"/>
        </w:tc>
      </w:tr>
      <w:tr w:rsidR="007338C6" w14:paraId="1CC20A73" w14:textId="77777777" w:rsidTr="007338C6">
        <w:tc>
          <w:tcPr>
            <w:tcW w:w="1644" w:type="dxa"/>
          </w:tcPr>
          <w:p w14:paraId="3F89183D" w14:textId="38E1DC98" w:rsidR="007338C6" w:rsidRDefault="007338C6" w:rsidP="007338C6">
            <w:r>
              <w:rPr>
                <w:i/>
                <w:iCs/>
              </w:rPr>
              <w:t>Нарушения на бъбреците и пикочните пътища</w:t>
            </w:r>
          </w:p>
        </w:tc>
        <w:tc>
          <w:tcPr>
            <w:tcW w:w="1398" w:type="dxa"/>
          </w:tcPr>
          <w:p w14:paraId="0973B34E" w14:textId="4BD88869" w:rsidR="007338C6" w:rsidRDefault="007338C6" w:rsidP="007338C6">
            <w:r>
              <w:t>бъбречна дисфункция</w:t>
            </w:r>
          </w:p>
        </w:tc>
        <w:tc>
          <w:tcPr>
            <w:tcW w:w="1463" w:type="dxa"/>
          </w:tcPr>
          <w:p w14:paraId="36B27454" w14:textId="77777777" w:rsidR="007338C6" w:rsidRDefault="007338C6" w:rsidP="007338C6"/>
        </w:tc>
        <w:tc>
          <w:tcPr>
            <w:tcW w:w="1657" w:type="dxa"/>
          </w:tcPr>
          <w:p w14:paraId="77258ECF" w14:textId="4CF61224" w:rsidR="007338C6" w:rsidRDefault="007338C6" w:rsidP="007338C6">
            <w:r>
              <w:t>уремия, остра бъбречна недостатъч</w:t>
            </w:r>
            <w:r>
              <w:softHyphen/>
              <w:t>ност</w:t>
            </w:r>
          </w:p>
        </w:tc>
        <w:tc>
          <w:tcPr>
            <w:tcW w:w="1919" w:type="dxa"/>
          </w:tcPr>
          <w:p w14:paraId="76E4824C" w14:textId="1722BB6F" w:rsidR="007338C6" w:rsidRDefault="007338C6" w:rsidP="007338C6">
            <w:r>
              <w:t>олигурия/анурия</w:t>
            </w:r>
          </w:p>
        </w:tc>
        <w:tc>
          <w:tcPr>
            <w:tcW w:w="1495" w:type="dxa"/>
          </w:tcPr>
          <w:p w14:paraId="37679B6A" w14:textId="77777777" w:rsidR="007338C6" w:rsidRDefault="007338C6" w:rsidP="007338C6"/>
        </w:tc>
      </w:tr>
      <w:tr w:rsidR="007338C6" w14:paraId="001F77A2" w14:textId="77777777" w:rsidTr="007338C6">
        <w:tc>
          <w:tcPr>
            <w:tcW w:w="1644" w:type="dxa"/>
          </w:tcPr>
          <w:p w14:paraId="5B17A88E" w14:textId="2A7D4853" w:rsidR="007338C6" w:rsidRDefault="007338C6" w:rsidP="007338C6">
            <w:r>
              <w:rPr>
                <w:i/>
                <w:iCs/>
              </w:rPr>
              <w:t>Нарушения на възпроизведи телната система и гърдата</w:t>
            </w:r>
          </w:p>
        </w:tc>
        <w:tc>
          <w:tcPr>
            <w:tcW w:w="1398" w:type="dxa"/>
          </w:tcPr>
          <w:p w14:paraId="35AA3411" w14:textId="77777777" w:rsidR="007338C6" w:rsidRDefault="007338C6" w:rsidP="007338C6"/>
        </w:tc>
        <w:tc>
          <w:tcPr>
            <w:tcW w:w="1463" w:type="dxa"/>
          </w:tcPr>
          <w:p w14:paraId="5D9C39E7" w14:textId="234C5811" w:rsidR="007338C6" w:rsidRDefault="007338C6" w:rsidP="007338C6">
            <w:r>
              <w:t>импотент</w:t>
            </w:r>
            <w:r>
              <w:softHyphen/>
              <w:t>ност</w:t>
            </w:r>
          </w:p>
        </w:tc>
        <w:tc>
          <w:tcPr>
            <w:tcW w:w="1657" w:type="dxa"/>
          </w:tcPr>
          <w:p w14:paraId="4D6648EE" w14:textId="42DB5BB1" w:rsidR="007338C6" w:rsidRDefault="007338C6" w:rsidP="007338C6">
            <w:r>
              <w:t>гинекомастия</w:t>
            </w:r>
          </w:p>
        </w:tc>
        <w:tc>
          <w:tcPr>
            <w:tcW w:w="1919" w:type="dxa"/>
          </w:tcPr>
          <w:p w14:paraId="6808AF85" w14:textId="77777777" w:rsidR="007338C6" w:rsidRDefault="007338C6" w:rsidP="007338C6"/>
        </w:tc>
        <w:tc>
          <w:tcPr>
            <w:tcW w:w="1495" w:type="dxa"/>
          </w:tcPr>
          <w:p w14:paraId="30427216" w14:textId="77777777" w:rsidR="007338C6" w:rsidRDefault="007338C6" w:rsidP="007338C6"/>
        </w:tc>
      </w:tr>
      <w:tr w:rsidR="007338C6" w14:paraId="6546ED6F" w14:textId="77777777" w:rsidTr="007338C6">
        <w:tc>
          <w:tcPr>
            <w:tcW w:w="1644" w:type="dxa"/>
          </w:tcPr>
          <w:p w14:paraId="523D39D2" w14:textId="74597522" w:rsidR="007338C6" w:rsidRDefault="007338C6" w:rsidP="007338C6">
            <w:r>
              <w:rPr>
                <w:i/>
                <w:iCs/>
              </w:rPr>
              <w:t>Общи нарушения и ефекти на мястото на приложение</w:t>
            </w:r>
          </w:p>
        </w:tc>
        <w:tc>
          <w:tcPr>
            <w:tcW w:w="1398" w:type="dxa"/>
          </w:tcPr>
          <w:p w14:paraId="11E0216F" w14:textId="77777777" w:rsidR="007338C6" w:rsidRDefault="007338C6" w:rsidP="007338C6"/>
        </w:tc>
        <w:tc>
          <w:tcPr>
            <w:tcW w:w="1463" w:type="dxa"/>
          </w:tcPr>
          <w:p w14:paraId="5E6F4FA7" w14:textId="26EF7F68" w:rsidR="007338C6" w:rsidRDefault="007338C6" w:rsidP="007338C6">
            <w:r>
              <w:t>умора, астения</w:t>
            </w:r>
          </w:p>
        </w:tc>
        <w:tc>
          <w:tcPr>
            <w:tcW w:w="1657" w:type="dxa"/>
          </w:tcPr>
          <w:p w14:paraId="6F4F9993" w14:textId="77777777" w:rsidR="007338C6" w:rsidRDefault="007338C6" w:rsidP="007338C6"/>
        </w:tc>
        <w:tc>
          <w:tcPr>
            <w:tcW w:w="1919" w:type="dxa"/>
          </w:tcPr>
          <w:p w14:paraId="5BC3896C" w14:textId="77777777" w:rsidR="007338C6" w:rsidRDefault="007338C6" w:rsidP="007338C6"/>
        </w:tc>
        <w:tc>
          <w:tcPr>
            <w:tcW w:w="1495" w:type="dxa"/>
          </w:tcPr>
          <w:p w14:paraId="777BD929" w14:textId="77777777" w:rsidR="007338C6" w:rsidRDefault="007338C6" w:rsidP="007338C6"/>
        </w:tc>
      </w:tr>
      <w:tr w:rsidR="007338C6" w14:paraId="13826F81" w14:textId="77777777" w:rsidTr="007338C6">
        <w:tc>
          <w:tcPr>
            <w:tcW w:w="1644" w:type="dxa"/>
          </w:tcPr>
          <w:p w14:paraId="6D0F98C2" w14:textId="4CF77B8B" w:rsidR="007338C6" w:rsidRDefault="007338C6" w:rsidP="007338C6">
            <w:r>
              <w:rPr>
                <w:i/>
                <w:iCs/>
              </w:rPr>
              <w:t>Изследвания</w:t>
            </w:r>
          </w:p>
        </w:tc>
        <w:tc>
          <w:tcPr>
            <w:tcW w:w="1398" w:type="dxa"/>
          </w:tcPr>
          <w:p w14:paraId="0A6437BA" w14:textId="77777777" w:rsidR="007338C6" w:rsidRDefault="007338C6" w:rsidP="007338C6"/>
        </w:tc>
        <w:tc>
          <w:tcPr>
            <w:tcW w:w="1463" w:type="dxa"/>
          </w:tcPr>
          <w:p w14:paraId="41BA87C1" w14:textId="4D4B5744" w:rsidR="007338C6" w:rsidRDefault="007338C6" w:rsidP="007338C6">
            <w:r>
              <w:t>повишаване на кръвната урея, повишаване на серумния креатинин, повишаван</w:t>
            </w:r>
            <w:r>
              <w:lastRenderedPageBreak/>
              <w:t>е на чернодроб</w:t>
            </w:r>
            <w:r>
              <w:softHyphen/>
              <w:t>ните ензими, хипер кал не</w:t>
            </w:r>
            <w:r>
              <w:softHyphen/>
              <w:t>мия</w:t>
            </w:r>
          </w:p>
        </w:tc>
        <w:tc>
          <w:tcPr>
            <w:tcW w:w="1657" w:type="dxa"/>
          </w:tcPr>
          <w:p w14:paraId="2BF6BEE5" w14:textId="5E5FA863" w:rsidR="007338C6" w:rsidRDefault="007338C6" w:rsidP="007338C6">
            <w:r>
              <w:lastRenderedPageBreak/>
              <w:t>повишаване на серумния билирубин, хипонатрие- мия</w:t>
            </w:r>
          </w:p>
        </w:tc>
        <w:tc>
          <w:tcPr>
            <w:tcW w:w="1919" w:type="dxa"/>
          </w:tcPr>
          <w:p w14:paraId="3406317B" w14:textId="77777777" w:rsidR="007338C6" w:rsidRDefault="007338C6" w:rsidP="007338C6"/>
        </w:tc>
        <w:tc>
          <w:tcPr>
            <w:tcW w:w="1495" w:type="dxa"/>
          </w:tcPr>
          <w:p w14:paraId="6CA510CD" w14:textId="77777777" w:rsidR="007338C6" w:rsidRDefault="007338C6" w:rsidP="007338C6"/>
        </w:tc>
      </w:tr>
    </w:tbl>
    <w:p w14:paraId="4F76C0F8" w14:textId="77777777" w:rsidR="007338C6" w:rsidRPr="007338C6" w:rsidRDefault="007338C6" w:rsidP="007338C6">
      <w:pPr>
        <w:spacing w:line="240" w:lineRule="auto"/>
        <w:rPr>
          <w:rFonts w:eastAsia="Times New Roman" w:cs="Arial"/>
        </w:rPr>
      </w:pPr>
      <w:r w:rsidRPr="007338C6">
        <w:rPr>
          <w:rFonts w:eastAsia="Times New Roman" w:cs="Arial"/>
          <w:color w:val="000000"/>
          <w:lang w:eastAsia="bg-BG"/>
        </w:rPr>
        <w:t xml:space="preserve">* Съобщавани са случаи на симптомокомплекс, който може да включва един или повече от следващите симптоми: повишена температура, васкулит, миалгия, артралгия/артрит, позитивни антинуклеарни антитела </w:t>
      </w:r>
      <w:r w:rsidRPr="007338C6">
        <w:rPr>
          <w:rFonts w:eastAsia="Times New Roman" w:cs="Arial"/>
          <w:color w:val="000000"/>
          <w:lang w:val="ru-RU"/>
        </w:rPr>
        <w:t>(</w:t>
      </w:r>
      <w:r w:rsidRPr="007338C6">
        <w:rPr>
          <w:rFonts w:eastAsia="Times New Roman" w:cs="Arial"/>
          <w:color w:val="000000"/>
          <w:lang w:val="en-US"/>
        </w:rPr>
        <w:t>ANA</w:t>
      </w:r>
      <w:r w:rsidRPr="007338C6">
        <w:rPr>
          <w:rFonts w:eastAsia="Times New Roman" w:cs="Arial"/>
          <w:color w:val="000000"/>
          <w:lang w:val="ru-RU"/>
        </w:rPr>
        <w:t xml:space="preserve">), </w:t>
      </w:r>
      <w:r w:rsidRPr="007338C6">
        <w:rPr>
          <w:rFonts w:eastAsia="Times New Roman" w:cs="Arial"/>
          <w:color w:val="000000"/>
          <w:lang w:eastAsia="bg-BG"/>
        </w:rPr>
        <w:t>ускорена СУЕ, еозинофилия и левкоцигоза, обрив, фотосензитивност или други кожни прояви,</w:t>
      </w:r>
    </w:p>
    <w:p w14:paraId="3784742B" w14:textId="77777777" w:rsidR="007338C6" w:rsidRPr="007338C6" w:rsidRDefault="007338C6" w:rsidP="007338C6">
      <w:pPr>
        <w:spacing w:line="240" w:lineRule="auto"/>
        <w:rPr>
          <w:rFonts w:eastAsia="Times New Roman" w:cs="Arial"/>
          <w:color w:val="000000"/>
          <w:u w:val="single"/>
          <w:lang w:eastAsia="bg-BG"/>
        </w:rPr>
      </w:pPr>
    </w:p>
    <w:p w14:paraId="19D5CE6D" w14:textId="3704357B" w:rsidR="007338C6" w:rsidRPr="007338C6" w:rsidRDefault="007338C6" w:rsidP="007338C6">
      <w:pPr>
        <w:spacing w:line="240" w:lineRule="auto"/>
        <w:rPr>
          <w:rFonts w:eastAsia="Times New Roman" w:cs="Arial"/>
        </w:rPr>
      </w:pPr>
      <w:r w:rsidRPr="007338C6">
        <w:rPr>
          <w:rFonts w:eastAsia="Times New Roman" w:cs="Arial"/>
          <w:color w:val="000000"/>
          <w:u w:val="single"/>
          <w:lang w:eastAsia="bg-BG"/>
        </w:rPr>
        <w:t>Педиатрична популация</w:t>
      </w:r>
    </w:p>
    <w:p w14:paraId="3A5CE764" w14:textId="77777777" w:rsidR="007338C6" w:rsidRPr="007338C6" w:rsidRDefault="007338C6" w:rsidP="007338C6">
      <w:pPr>
        <w:spacing w:line="240" w:lineRule="auto"/>
        <w:rPr>
          <w:rFonts w:eastAsia="Times New Roman" w:cs="Arial"/>
        </w:rPr>
      </w:pPr>
      <w:r w:rsidRPr="007338C6">
        <w:rPr>
          <w:rFonts w:eastAsia="Times New Roman" w:cs="Arial"/>
          <w:color w:val="000000"/>
          <w:lang w:eastAsia="bg-BG"/>
        </w:rPr>
        <w:t>Профилът на безопасност основан на проведени клинични проучвания предполага добра поносимост на лизиноприл от хипертензивни педиатрични пациенти и е съпоставим с профила на безопасност при възрастни.</w:t>
      </w:r>
    </w:p>
    <w:p w14:paraId="3B02923F" w14:textId="77777777" w:rsidR="007338C6" w:rsidRPr="007338C6" w:rsidRDefault="007338C6" w:rsidP="007338C6">
      <w:pPr>
        <w:spacing w:line="240" w:lineRule="auto"/>
        <w:rPr>
          <w:rFonts w:eastAsia="Times New Roman" w:cs="Arial"/>
          <w:color w:val="000000"/>
          <w:u w:val="single"/>
          <w:lang w:eastAsia="bg-BG"/>
        </w:rPr>
      </w:pPr>
    </w:p>
    <w:p w14:paraId="1925BF39" w14:textId="6F697035" w:rsidR="007338C6" w:rsidRPr="007338C6" w:rsidRDefault="007338C6" w:rsidP="007338C6">
      <w:pPr>
        <w:spacing w:line="240" w:lineRule="auto"/>
        <w:rPr>
          <w:rFonts w:eastAsia="Times New Roman" w:cs="Arial"/>
        </w:rPr>
      </w:pPr>
      <w:r w:rsidRPr="007338C6">
        <w:rPr>
          <w:rFonts w:eastAsia="Times New Roman" w:cs="Arial"/>
          <w:color w:val="000000"/>
          <w:u w:val="single"/>
          <w:lang w:eastAsia="bg-BG"/>
        </w:rPr>
        <w:t>Съобщаване на подозирани нежелани реакции</w:t>
      </w:r>
    </w:p>
    <w:p w14:paraId="40EADCB2" w14:textId="6CB1516D" w:rsidR="002C2594" w:rsidRPr="007338C6" w:rsidRDefault="007338C6" w:rsidP="007338C6">
      <w:pPr>
        <w:rPr>
          <w:rFonts w:eastAsia="Times New Roman" w:cs="Arial"/>
        </w:rPr>
      </w:pPr>
      <w:r w:rsidRPr="007338C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w:t>
      </w:r>
      <w:r w:rsidRPr="007338C6">
        <w:rPr>
          <w:rFonts w:eastAsia="Times New Roman" w:cs="Arial"/>
          <w:color w:val="000000"/>
          <w:lang w:val="ru-RU"/>
        </w:rPr>
        <w:t xml:space="preserve"> №8,</w:t>
      </w:r>
      <w:r w:rsidRPr="007338C6">
        <w:rPr>
          <w:rFonts w:eastAsia="Times New Roman" w:cs="Arial"/>
          <w:color w:val="000000"/>
          <w:lang w:eastAsia="bg-BG"/>
        </w:rPr>
        <w:t xml:space="preserve"> 1303 София, тел.: +35928903417, уебсайт: </w:t>
      </w:r>
      <w:r w:rsidRPr="007338C6">
        <w:rPr>
          <w:rFonts w:eastAsia="Times New Roman" w:cs="Arial"/>
        </w:rPr>
        <w:fldChar w:fldCharType="begin"/>
      </w:r>
      <w:r w:rsidRPr="007338C6">
        <w:rPr>
          <w:rFonts w:eastAsia="Times New Roman" w:cs="Arial"/>
        </w:rPr>
        <w:instrText xml:space="preserve"> HYPERLINK "http://www.bda.bg" </w:instrText>
      </w:r>
      <w:r w:rsidRPr="007338C6">
        <w:rPr>
          <w:rFonts w:eastAsia="Times New Roman" w:cs="Arial"/>
        </w:rPr>
      </w:r>
      <w:r w:rsidRPr="007338C6">
        <w:rPr>
          <w:rFonts w:eastAsia="Times New Roman" w:cs="Arial"/>
        </w:rPr>
        <w:fldChar w:fldCharType="separate"/>
      </w:r>
      <w:r w:rsidRPr="007338C6">
        <w:rPr>
          <w:rFonts w:eastAsia="Times New Roman" w:cs="Arial"/>
          <w:color w:val="000000"/>
          <w:u w:val="single"/>
          <w:lang w:val="en-US"/>
        </w:rPr>
        <w:t>www</w:t>
      </w:r>
      <w:r w:rsidRPr="007338C6">
        <w:rPr>
          <w:rFonts w:eastAsia="Times New Roman" w:cs="Arial"/>
          <w:color w:val="000000"/>
          <w:u w:val="single"/>
          <w:lang w:val="ru-RU"/>
        </w:rPr>
        <w:t>.</w:t>
      </w:r>
      <w:proofErr w:type="spellStart"/>
      <w:r w:rsidRPr="007338C6">
        <w:rPr>
          <w:rFonts w:eastAsia="Times New Roman" w:cs="Arial"/>
          <w:color w:val="000000"/>
          <w:u w:val="single"/>
          <w:lang w:val="en-US"/>
        </w:rPr>
        <w:t>bda</w:t>
      </w:r>
      <w:proofErr w:type="spellEnd"/>
      <w:r w:rsidRPr="007338C6">
        <w:rPr>
          <w:rFonts w:eastAsia="Times New Roman" w:cs="Arial"/>
          <w:color w:val="000000"/>
          <w:u w:val="single"/>
          <w:lang w:val="ru-RU"/>
        </w:rPr>
        <w:t>.</w:t>
      </w:r>
      <w:proofErr w:type="spellStart"/>
      <w:r w:rsidRPr="007338C6">
        <w:rPr>
          <w:rFonts w:eastAsia="Times New Roman" w:cs="Arial"/>
          <w:color w:val="000000"/>
          <w:u w:val="single"/>
          <w:lang w:val="en-US"/>
        </w:rPr>
        <w:t>bg</w:t>
      </w:r>
      <w:proofErr w:type="spellEnd"/>
      <w:r w:rsidRPr="007338C6">
        <w:rPr>
          <w:rFonts w:eastAsia="Times New Roman" w:cs="Arial"/>
        </w:rPr>
        <w:fldChar w:fldCharType="end"/>
      </w:r>
    </w:p>
    <w:p w14:paraId="698DBAEE" w14:textId="77777777" w:rsidR="007338C6" w:rsidRPr="002C2594" w:rsidRDefault="007338C6" w:rsidP="007338C6"/>
    <w:p w14:paraId="5A87DBA3" w14:textId="5CDDCA01" w:rsidR="007122AD" w:rsidRDefault="002C50EE" w:rsidP="00936AD0">
      <w:pPr>
        <w:pStyle w:val="Heading2"/>
      </w:pPr>
      <w:r>
        <w:t>4.9. Предозиране</w:t>
      </w:r>
    </w:p>
    <w:p w14:paraId="439B5E28" w14:textId="3A77FD8C" w:rsidR="007338C6" w:rsidRDefault="007338C6" w:rsidP="007338C6"/>
    <w:p w14:paraId="1957A5ED" w14:textId="77777777" w:rsidR="007338C6" w:rsidRPr="007338C6" w:rsidRDefault="007338C6" w:rsidP="007338C6">
      <w:pPr>
        <w:rPr>
          <w:sz w:val="24"/>
          <w:szCs w:val="24"/>
        </w:rPr>
      </w:pPr>
      <w:r w:rsidRPr="007338C6">
        <w:rPr>
          <w:lang w:eastAsia="bg-BG"/>
        </w:rPr>
        <w:t>Има ограничени данни относно предозирането при хора. Симптомите, свързвани с предозиране с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замаяност, безпокойство и кашлица.</w:t>
      </w:r>
    </w:p>
    <w:p w14:paraId="7FA7C679" w14:textId="77777777" w:rsidR="007338C6" w:rsidRDefault="007338C6" w:rsidP="007338C6">
      <w:pPr>
        <w:rPr>
          <w:lang w:eastAsia="bg-BG"/>
        </w:rPr>
      </w:pPr>
    </w:p>
    <w:p w14:paraId="2846B59C" w14:textId="5D6ED329" w:rsidR="007338C6" w:rsidRPr="007338C6" w:rsidRDefault="007338C6" w:rsidP="007338C6">
      <w:r w:rsidRPr="007338C6">
        <w:rPr>
          <w:lang w:eastAsia="bg-BG"/>
        </w:rPr>
        <w:t>Препоръчителното лечение при предозиране е интравенозна инфузия на физиологичен разтвор. При възникване на хипотония, пациентът трябва да се постави в шоково положение. Ако е възможно, може да също да се обмисли лечение с инфузия на ангиотензин II и/или интравенозни катехоламини. Ако лекарството е погълнато наскоро, вземете мерки за елиминиране на лизиноприл (напр. повръщане, стомашна промивка, прилагане на абсорбенти и натриев сулфат). Лизиноприл може да се елиминира от общата циркулация чрез хемодиализа (вж. точка 4.4). Поставяне на пейсмейкър е показано при брадикардия, резистентна към лечението. Трябва често да се проследяват жизнените показатели, серумните електролити и концентрацията на креатинин.</w:t>
      </w:r>
    </w:p>
    <w:p w14:paraId="02081B24" w14:textId="1F46E296" w:rsidR="00395555" w:rsidRPr="00395555" w:rsidRDefault="002C50EE" w:rsidP="008A6AF2">
      <w:pPr>
        <w:pStyle w:val="Heading1"/>
      </w:pPr>
      <w:r>
        <w:t>5. ФАРМАКОЛОГИЧНИ СВОЙСТВА</w:t>
      </w:r>
    </w:p>
    <w:p w14:paraId="7DE36AC8" w14:textId="62761674" w:rsidR="00B6672E" w:rsidRDefault="002C50EE" w:rsidP="00936AD0">
      <w:pPr>
        <w:pStyle w:val="Heading2"/>
      </w:pPr>
      <w:r>
        <w:t>5.1. Фармакодинамични свойства</w:t>
      </w:r>
    </w:p>
    <w:p w14:paraId="67483BC7" w14:textId="592A20C0" w:rsidR="007338C6" w:rsidRDefault="007338C6" w:rsidP="007338C6"/>
    <w:p w14:paraId="70ED374F"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Фармакотерапевтична група: Средства, действащи на системата ренин-ангиотензин, АСЕ инхибитори, самостоятелно, АТС код: С09АА03</w:t>
      </w:r>
    </w:p>
    <w:p w14:paraId="26755653" w14:textId="77777777" w:rsidR="007338C6" w:rsidRPr="007338C6" w:rsidRDefault="007338C6" w:rsidP="007338C6">
      <w:pPr>
        <w:spacing w:line="240" w:lineRule="auto"/>
        <w:rPr>
          <w:rFonts w:eastAsia="Times New Roman" w:cs="Arial"/>
          <w:color w:val="000000"/>
          <w:u w:val="single"/>
          <w:lang w:eastAsia="bg-BG"/>
        </w:rPr>
      </w:pPr>
    </w:p>
    <w:p w14:paraId="576FD1AD" w14:textId="46A797BF"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lastRenderedPageBreak/>
        <w:t>Механизъм на действие</w:t>
      </w:r>
    </w:p>
    <w:p w14:paraId="77CBBCFA"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е пептидил дипептидазен инхибитор. Той инхибира ангиотензин конвертиращия ензим (АСЕ), който катализира превръщането на ангиотензин I във вазоконстрикторен пептид ангиотензин </w:t>
      </w:r>
      <w:r w:rsidRPr="007338C6">
        <w:rPr>
          <w:rFonts w:eastAsia="Times New Roman" w:cs="Arial"/>
          <w:color w:val="000000"/>
          <w:lang w:val="en-US"/>
        </w:rPr>
        <w:t>II</w:t>
      </w:r>
      <w:r w:rsidRPr="007338C6">
        <w:rPr>
          <w:rFonts w:eastAsia="Times New Roman" w:cs="Arial"/>
          <w:color w:val="000000"/>
          <w:lang w:eastAsia="bg-BG"/>
        </w:rPr>
        <w:t>. Ангиотензин II също стимулира секрецията на алдостерон от надбъбречната кора. Инхибирането на АСЕ води до намаляване на концентрацията на ангиотензин II, което има за резултат намалена вазопресорна активност и намалена алдостеронова секреция. Намалената секреция на алдостерон може да доведе до покачване на серумните нива на калий.</w:t>
      </w:r>
    </w:p>
    <w:p w14:paraId="301C155A" w14:textId="77777777" w:rsidR="007338C6" w:rsidRPr="007338C6" w:rsidRDefault="007338C6" w:rsidP="007338C6">
      <w:pPr>
        <w:spacing w:line="240" w:lineRule="auto"/>
        <w:rPr>
          <w:rFonts w:eastAsia="Times New Roman" w:cs="Arial"/>
          <w:color w:val="000000"/>
          <w:u w:val="single"/>
          <w:lang w:eastAsia="bg-BG"/>
        </w:rPr>
      </w:pPr>
    </w:p>
    <w:p w14:paraId="5E1DA892" w14:textId="7E7D831E"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Фармакодинамични ефекти</w:t>
      </w:r>
    </w:p>
    <w:p w14:paraId="32D8DCA8"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Счита се, че основният механизъм, по който лизиноприл понижава артериалното налягане е подтискане активността на системата ренин-ангиотензин-алдостерон, въпреки това, лизиноприл има антихипертензивен ефект дори при пациенти с ниско ренинова хипертония. АСЕ е идентичен на кининаза II, ензим, който разгражда брадикинина. Предстои да се изясни, дали повишените нива на брадикинин, потенциален вазодилататорен пептид, имат роля при терапевтичните ефекти на лизиноприл.</w:t>
      </w:r>
    </w:p>
    <w:p w14:paraId="08DBD641" w14:textId="77777777" w:rsidR="007338C6" w:rsidRPr="007338C6" w:rsidRDefault="007338C6" w:rsidP="007338C6">
      <w:pPr>
        <w:spacing w:line="240" w:lineRule="auto"/>
        <w:rPr>
          <w:rFonts w:eastAsia="Times New Roman" w:cs="Arial"/>
          <w:color w:val="000000"/>
          <w:u w:val="single"/>
          <w:lang w:eastAsia="bg-BG"/>
        </w:rPr>
      </w:pPr>
    </w:p>
    <w:p w14:paraId="4495D6EC" w14:textId="406BF67C"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Клинична ефикасност и безопасност</w:t>
      </w:r>
    </w:p>
    <w:p w14:paraId="1ADB0ABC" w14:textId="77777777" w:rsidR="007338C6" w:rsidRPr="007338C6" w:rsidRDefault="007338C6" w:rsidP="007338C6">
      <w:pPr>
        <w:rPr>
          <w:rFonts w:eastAsia="Times New Roman" w:cs="Arial"/>
          <w:sz w:val="24"/>
          <w:szCs w:val="24"/>
        </w:rPr>
      </w:pPr>
      <w:r w:rsidRPr="007338C6">
        <w:rPr>
          <w:rFonts w:eastAsia="Times New Roman" w:cs="Arial"/>
          <w:color w:val="000000"/>
          <w:lang w:eastAsia="bg-BG"/>
        </w:rPr>
        <w:t xml:space="preserve">Ефектът на лизиноприл върху смъртността и болестностга при сърдечна недостатъчност е изследван като са сравнявани висока доза (32,5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35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еднократно дневно) с ниска доза (2,5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еднократно дневно). В проучване с 3164 пациенти, със среден период на проследяване от 46 месеца за преживелите пациенти, високата доза лизиноприл води до намаляване на риска с 12% в комбинираната крайна точка на смъртност по всякаква причина и хоспитализация по всякаква причина (р=0,002) и намаление на риска с 8% при смъртността от всякакви причини и сърдечно-съдовите хоспитализации (р+0,036) когато се сравнява с ниската доза. Наблюдавани са намаление на риска за смъртност по всякаква причина (8%; р=0,128) и сърдечно-съдова смъртност (10%; р=0,073). В </w:t>
      </w:r>
      <w:r w:rsidRPr="007338C6">
        <w:rPr>
          <w:rFonts w:eastAsia="Times New Roman" w:cs="Arial"/>
          <w:color w:val="000000"/>
          <w:lang w:val="en-US"/>
        </w:rPr>
        <w:t>post</w:t>
      </w:r>
      <w:r w:rsidRPr="007338C6">
        <w:rPr>
          <w:rFonts w:eastAsia="Times New Roman" w:cs="Arial"/>
          <w:color w:val="000000"/>
          <w:lang w:val="ru-RU"/>
        </w:rPr>
        <w:t>-</w:t>
      </w:r>
      <w:r w:rsidRPr="007338C6">
        <w:rPr>
          <w:rFonts w:eastAsia="Times New Roman" w:cs="Arial"/>
          <w:color w:val="000000"/>
          <w:lang w:val="en-US"/>
        </w:rPr>
        <w:t>hoc</w:t>
      </w:r>
      <w:r w:rsidRPr="007338C6">
        <w:rPr>
          <w:rFonts w:eastAsia="Times New Roman" w:cs="Arial"/>
          <w:color w:val="000000"/>
          <w:lang w:val="ru-RU"/>
        </w:rPr>
        <w:t xml:space="preserve"> </w:t>
      </w:r>
      <w:r w:rsidRPr="007338C6">
        <w:rPr>
          <w:rFonts w:eastAsia="Times New Roman" w:cs="Arial"/>
          <w:color w:val="000000"/>
          <w:lang w:eastAsia="bg-BG"/>
        </w:rPr>
        <w:t>анализа, броя на</w:t>
      </w:r>
      <w:r w:rsidRPr="007338C6">
        <w:rPr>
          <w:rFonts w:eastAsia="Times New Roman" w:cs="Arial"/>
          <w:color w:val="000000"/>
          <w:lang w:val="ru-RU" w:eastAsia="bg-BG"/>
        </w:rPr>
        <w:t xml:space="preserve"> </w:t>
      </w:r>
      <w:r w:rsidRPr="007338C6">
        <w:rPr>
          <w:rFonts w:eastAsia="Times New Roman" w:cs="Arial"/>
          <w:color w:val="000000"/>
          <w:lang w:eastAsia="bg-BG"/>
        </w:rPr>
        <w:t>хоспитализациите по повод сърдечна недостатъчност е намалял с 24% (р=0,002) при пациентите лекувани с висока доза лизиноприл в сравнение с ниската доза. Симптоматичните ползи са подобни при пациентите лекувани с високи и ниски дози лизиноприл.</w:t>
      </w:r>
    </w:p>
    <w:p w14:paraId="53EF2A1B" w14:textId="77777777" w:rsidR="007338C6" w:rsidRPr="007338C6" w:rsidRDefault="007338C6" w:rsidP="007338C6">
      <w:pPr>
        <w:spacing w:line="240" w:lineRule="auto"/>
        <w:rPr>
          <w:rFonts w:eastAsia="Times New Roman" w:cs="Arial"/>
          <w:color w:val="000000"/>
          <w:lang w:eastAsia="bg-BG"/>
        </w:rPr>
      </w:pPr>
    </w:p>
    <w:p w14:paraId="60379374" w14:textId="2AFD5694"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Резултатите от проучванията показват, че профилите на нежеланите реакции при пациентите лекувани с високи и ниски дози лизиноприл са подобни, както по естество, така и по честота. Предвидимите реакции, които произлизат от потискането на АСЕ, като хипотония или нарушена бъбречна функция, се поддават на лечение и рядко водят до преустановяване на терапията. Кашлица се среща по-рядко при пациенти лекувани с високи отколкото при тези с ниски дози лизиноприл.</w:t>
      </w:r>
    </w:p>
    <w:p w14:paraId="41C8D4B3" w14:textId="77777777" w:rsidR="007338C6" w:rsidRPr="007338C6" w:rsidRDefault="007338C6" w:rsidP="007338C6">
      <w:pPr>
        <w:spacing w:line="240" w:lineRule="auto"/>
        <w:rPr>
          <w:rFonts w:eastAsia="Times New Roman" w:cs="Arial"/>
          <w:color w:val="000000"/>
          <w:lang w:eastAsia="bg-BG"/>
        </w:rPr>
      </w:pPr>
    </w:p>
    <w:p w14:paraId="4F20BC14" w14:textId="192F2C72"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проучването </w:t>
      </w:r>
      <w:r w:rsidRPr="007338C6">
        <w:rPr>
          <w:rFonts w:eastAsia="Times New Roman" w:cs="Arial"/>
          <w:color w:val="000000"/>
          <w:lang w:val="en-US"/>
        </w:rPr>
        <w:t>GISSI</w:t>
      </w:r>
      <w:r w:rsidRPr="007338C6">
        <w:rPr>
          <w:rFonts w:eastAsia="Times New Roman" w:cs="Arial"/>
          <w:color w:val="000000"/>
          <w:lang w:val="ru-RU"/>
        </w:rPr>
        <w:t xml:space="preserve">-3, </w:t>
      </w:r>
      <w:r w:rsidRPr="007338C6">
        <w:rPr>
          <w:rFonts w:eastAsia="Times New Roman" w:cs="Arial"/>
          <w:color w:val="000000"/>
          <w:lang w:eastAsia="bg-BG"/>
        </w:rPr>
        <w:t xml:space="preserve">което използва </w:t>
      </w:r>
      <w:r w:rsidRPr="007338C6">
        <w:rPr>
          <w:rFonts w:eastAsia="Times New Roman" w:cs="Arial"/>
          <w:color w:val="000000"/>
          <w:lang w:val="ru-RU"/>
        </w:rPr>
        <w:t>2</w:t>
      </w:r>
      <w:r w:rsidRPr="007338C6">
        <w:rPr>
          <w:rFonts w:eastAsia="Times New Roman" w:cs="Arial"/>
          <w:color w:val="000000"/>
          <w:lang w:val="en-US"/>
        </w:rPr>
        <w:t>x</w:t>
      </w:r>
      <w:r w:rsidRPr="007338C6">
        <w:rPr>
          <w:rFonts w:eastAsia="Times New Roman" w:cs="Arial"/>
          <w:color w:val="000000"/>
          <w:lang w:val="ru-RU"/>
        </w:rPr>
        <w:t xml:space="preserve">2 </w:t>
      </w:r>
      <w:r w:rsidRPr="007338C6">
        <w:rPr>
          <w:rFonts w:eastAsia="Times New Roman" w:cs="Arial"/>
          <w:color w:val="000000"/>
          <w:lang w:eastAsia="bg-BG"/>
        </w:rPr>
        <w:t xml:space="preserve">факториален дизайн за сравняване на ефектите на лизиноприл и глицерил тринитрат прилагани самостоятелно или в комбинация за 6 седмици спрямо контрола при 19 394 пациенти, които са получили лечението в рамките на 24 часа от остър миокарден инфаркт, лизиноприл води до статистически значимо намаляване на риска за смърт с 11% спрямо контролите (2р=0,03). Намаляването на риска с глицерил тринитрат не е значимо, но комбинацията на лизиноприл и глицерил тринитрат води до значимо намаляване на риска за смърт със 17% спрямо контролите (2р=0,02). В подгрупите на пациентите в напреднала възраст (възраст &gt;70 години) и жените, определени като пациенти с висок риск за смърт, се наблюдава значима полза за комбинираната крайна точка за смъртност и сърдечна функция. Комбинираната крайна точка за всички пациенти, както и за високо рисковите </w:t>
      </w:r>
      <w:r w:rsidRPr="007338C6">
        <w:rPr>
          <w:rFonts w:eastAsia="Times New Roman" w:cs="Arial"/>
          <w:color w:val="000000"/>
          <w:lang w:eastAsia="bg-BG"/>
        </w:rPr>
        <w:lastRenderedPageBreak/>
        <w:t>подгрупи, след 6 месеца също показва значима полза за лекуваните с лизиноприл или лизиноприл плюс глицерил тринитрат за 6 седмици, оказващо превантивния ефект на лизиноприл. Както би се очаквало за всяко лечение с вазодилататор, повишената честота на хипотония и бъбречна дисфункция се наблюдават при лечение с лизиноприл, но това не е свързано със съответно покачване на смъртността.</w:t>
      </w:r>
    </w:p>
    <w:p w14:paraId="73F8BED1" w14:textId="77777777" w:rsidR="007338C6" w:rsidRPr="007338C6" w:rsidRDefault="007338C6" w:rsidP="007338C6">
      <w:pPr>
        <w:spacing w:line="240" w:lineRule="auto"/>
        <w:rPr>
          <w:rFonts w:eastAsia="Times New Roman" w:cs="Arial"/>
          <w:color w:val="000000"/>
          <w:lang w:eastAsia="bg-BG"/>
        </w:rPr>
      </w:pPr>
    </w:p>
    <w:p w14:paraId="35DC3D88" w14:textId="5094B536"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двойно сляпо, рандомизирано, многоцентрово проучване, което сравнява лизиноприл с блокер на калциевите канали, 335 пациенти с диабет тип 2 и начална нефропатия характеризираща се с микроалбуминурия, лизинорил 10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до 20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приложен еднократно дневно за 12 месеца, намалява систолното/диастолно артериално налягане с 13/10 </w:t>
      </w:r>
      <w:r w:rsidRPr="007338C6">
        <w:rPr>
          <w:rFonts w:eastAsia="Times New Roman" w:cs="Arial"/>
          <w:color w:val="000000"/>
          <w:lang w:val="en-US"/>
        </w:rPr>
        <w:t>mmHg</w:t>
      </w:r>
      <w:r w:rsidRPr="007338C6">
        <w:rPr>
          <w:rFonts w:eastAsia="Times New Roman" w:cs="Arial"/>
          <w:color w:val="000000"/>
          <w:lang w:val="ru-RU"/>
        </w:rPr>
        <w:t xml:space="preserve"> </w:t>
      </w:r>
      <w:r w:rsidRPr="007338C6">
        <w:rPr>
          <w:rFonts w:eastAsia="Times New Roman" w:cs="Arial"/>
          <w:color w:val="000000"/>
          <w:lang w:eastAsia="bg-BG"/>
        </w:rPr>
        <w:t>и степента на отделяне на албумин с урината с 40%. При сравняване с блокер на калциевите канали, който води до сходно намаляване на артериалното налягане, лекуваните с лизиноприл показват значимо по-голямо намаляване на степента на отделянето на албумин с урината, което е доказателство, че АСЕ инхибиращото действие на лизиноприл намалява микроалбуминурията чрез директен механизъм върху бъбречните тъкани в допълнение на ефекта на понижаване на артериалното налягане.</w:t>
      </w:r>
    </w:p>
    <w:p w14:paraId="01864BC7" w14:textId="77777777" w:rsidR="007338C6" w:rsidRPr="007338C6" w:rsidRDefault="007338C6" w:rsidP="007338C6">
      <w:pPr>
        <w:spacing w:line="240" w:lineRule="auto"/>
        <w:rPr>
          <w:rFonts w:eastAsia="Times New Roman" w:cs="Arial"/>
          <w:color w:val="000000"/>
          <w:lang w:eastAsia="bg-BG"/>
        </w:rPr>
      </w:pPr>
    </w:p>
    <w:p w14:paraId="5D316452" w14:textId="28BD4ED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Лечението с лизиноприл не повлиява гликемичния контрол, което се доказва от липсата на значим ефект върху стойностите на гликирания хемоглобин </w:t>
      </w:r>
      <w:r w:rsidRPr="007338C6">
        <w:rPr>
          <w:rFonts w:eastAsia="Times New Roman" w:cs="Arial"/>
          <w:color w:val="000000"/>
          <w:lang w:val="ru-RU"/>
        </w:rPr>
        <w:t>(</w:t>
      </w:r>
      <w:proofErr w:type="spellStart"/>
      <w:r w:rsidRPr="007338C6">
        <w:rPr>
          <w:rFonts w:eastAsia="Times New Roman" w:cs="Arial"/>
          <w:color w:val="000000"/>
          <w:lang w:val="en-US"/>
        </w:rPr>
        <w:t>HbAic</w:t>
      </w:r>
      <w:proofErr w:type="spellEnd"/>
      <w:r w:rsidRPr="007338C6">
        <w:rPr>
          <w:rFonts w:eastAsia="Times New Roman" w:cs="Arial"/>
          <w:color w:val="000000"/>
          <w:lang w:val="ru-RU"/>
        </w:rPr>
        <w:t>).</w:t>
      </w:r>
    </w:p>
    <w:p w14:paraId="133C4CFF" w14:textId="77777777" w:rsidR="007338C6" w:rsidRPr="007338C6" w:rsidRDefault="007338C6" w:rsidP="007338C6">
      <w:pPr>
        <w:spacing w:line="240" w:lineRule="auto"/>
        <w:rPr>
          <w:rFonts w:eastAsia="Times New Roman" w:cs="Arial"/>
          <w:i/>
          <w:iCs/>
          <w:color w:val="000000"/>
          <w:lang w:eastAsia="bg-BG"/>
        </w:rPr>
      </w:pPr>
    </w:p>
    <w:p w14:paraId="4AE2766E" w14:textId="1815B137" w:rsidR="007338C6" w:rsidRPr="007338C6" w:rsidRDefault="007338C6" w:rsidP="007338C6">
      <w:pPr>
        <w:spacing w:line="240" w:lineRule="auto"/>
        <w:rPr>
          <w:rFonts w:eastAsia="Times New Roman" w:cs="Arial"/>
          <w:sz w:val="24"/>
          <w:szCs w:val="24"/>
        </w:rPr>
      </w:pPr>
      <w:r w:rsidRPr="007338C6">
        <w:rPr>
          <w:rFonts w:eastAsia="Times New Roman" w:cs="Arial"/>
          <w:i/>
          <w:iCs/>
          <w:color w:val="000000"/>
          <w:lang w:eastAsia="bg-BG"/>
        </w:rPr>
        <w:t xml:space="preserve">Ренин-ангиотензиновата система </w:t>
      </w:r>
      <w:r w:rsidRPr="007338C6">
        <w:rPr>
          <w:rFonts w:eastAsia="Times New Roman" w:cs="Arial"/>
          <w:i/>
          <w:iCs/>
          <w:color w:val="000000"/>
          <w:lang w:val="ru-RU"/>
        </w:rPr>
        <w:t>(</w:t>
      </w:r>
      <w:r w:rsidRPr="007338C6">
        <w:rPr>
          <w:rFonts w:eastAsia="Times New Roman" w:cs="Arial"/>
          <w:i/>
          <w:iCs/>
          <w:color w:val="000000"/>
          <w:lang w:val="en-US"/>
        </w:rPr>
        <w:t>RAS</w:t>
      </w:r>
      <w:r w:rsidRPr="007338C6">
        <w:rPr>
          <w:rFonts w:eastAsia="Times New Roman" w:cs="Arial"/>
          <w:i/>
          <w:iCs/>
          <w:color w:val="000000"/>
          <w:lang w:val="ru-RU"/>
        </w:rPr>
        <w:t>) -</w:t>
      </w:r>
      <w:r w:rsidRPr="007338C6">
        <w:rPr>
          <w:rFonts w:eastAsia="Times New Roman" w:cs="Arial"/>
          <w:i/>
          <w:iCs/>
          <w:color w:val="000000"/>
          <w:lang w:eastAsia="bg-BG"/>
        </w:rPr>
        <w:t xml:space="preserve"> активни вещества</w:t>
      </w:r>
    </w:p>
    <w:p w14:paraId="40374F53" w14:textId="52E9ABE4" w:rsidR="007338C6" w:rsidRPr="007338C6" w:rsidRDefault="007338C6" w:rsidP="007338C6">
      <w:pPr>
        <w:spacing w:line="240" w:lineRule="auto"/>
        <w:rPr>
          <w:rFonts w:eastAsia="Times New Roman" w:cs="Arial"/>
          <w:color w:val="000000"/>
          <w:lang w:eastAsia="bg-BG"/>
        </w:rPr>
      </w:pPr>
      <w:r w:rsidRPr="007338C6">
        <w:rPr>
          <w:rFonts w:eastAsia="Times New Roman" w:cs="Arial"/>
          <w:color w:val="000000"/>
          <w:lang w:eastAsia="bg-BG"/>
        </w:rPr>
        <w:t xml:space="preserve">Две големи рандомизирани контролирани проучвания - </w:t>
      </w:r>
      <w:r w:rsidRPr="007338C6">
        <w:rPr>
          <w:rFonts w:eastAsia="Times New Roman" w:cs="Arial"/>
          <w:color w:val="000000"/>
          <w:lang w:val="en-US"/>
        </w:rPr>
        <w:t>ONTARGET</w:t>
      </w:r>
      <w:r w:rsidRPr="007338C6">
        <w:rPr>
          <w:rFonts w:eastAsia="Times New Roman" w:cs="Arial"/>
          <w:color w:val="000000"/>
        </w:rPr>
        <w:t xml:space="preserve"> (</w:t>
      </w:r>
      <w:r w:rsidRPr="007338C6">
        <w:rPr>
          <w:rFonts w:eastAsia="Times New Roman" w:cs="Arial"/>
          <w:color w:val="000000"/>
          <w:lang w:val="en-US"/>
        </w:rPr>
        <w:t>Ongoing</w:t>
      </w:r>
      <w:r w:rsidRPr="007338C6">
        <w:rPr>
          <w:rFonts w:eastAsia="Times New Roman" w:cs="Arial"/>
          <w:color w:val="000000"/>
        </w:rPr>
        <w:t xml:space="preserve"> </w:t>
      </w:r>
      <w:proofErr w:type="spellStart"/>
      <w:r w:rsidRPr="007338C6">
        <w:rPr>
          <w:rFonts w:eastAsia="Times New Roman" w:cs="Arial"/>
          <w:color w:val="000000"/>
          <w:lang w:val="en-US"/>
        </w:rPr>
        <w:t>Telmisartan</w:t>
      </w:r>
      <w:proofErr w:type="spellEnd"/>
      <w:r w:rsidRPr="007338C6">
        <w:rPr>
          <w:rFonts w:eastAsia="Times New Roman" w:cs="Arial"/>
          <w:color w:val="000000"/>
        </w:rPr>
        <w:t xml:space="preserve"> </w:t>
      </w:r>
      <w:r w:rsidRPr="007338C6">
        <w:rPr>
          <w:rFonts w:eastAsia="Times New Roman" w:cs="Arial"/>
          <w:color w:val="000000"/>
          <w:lang w:val="en-US"/>
        </w:rPr>
        <w:t>Alone</w:t>
      </w:r>
      <w:r w:rsidRPr="007338C6">
        <w:rPr>
          <w:rFonts w:eastAsia="Times New Roman" w:cs="Arial"/>
          <w:color w:val="000000"/>
        </w:rPr>
        <w:t xml:space="preserve"> </w:t>
      </w:r>
      <w:r w:rsidRPr="007338C6">
        <w:rPr>
          <w:rFonts w:eastAsia="Times New Roman" w:cs="Arial"/>
          <w:color w:val="000000"/>
          <w:lang w:val="en-US"/>
        </w:rPr>
        <w:t>and</w:t>
      </w:r>
      <w:r w:rsidRPr="007338C6">
        <w:rPr>
          <w:rFonts w:eastAsia="Times New Roman" w:cs="Arial"/>
          <w:color w:val="000000"/>
        </w:rPr>
        <w:t xml:space="preserve"> </w:t>
      </w:r>
      <w:r w:rsidRPr="007338C6">
        <w:rPr>
          <w:rFonts w:eastAsia="Times New Roman" w:cs="Arial"/>
          <w:color w:val="000000"/>
          <w:lang w:val="en-US"/>
        </w:rPr>
        <w:t>in</w:t>
      </w:r>
      <w:r w:rsidRPr="007338C6">
        <w:rPr>
          <w:rFonts w:eastAsia="Times New Roman" w:cs="Arial"/>
          <w:color w:val="000000"/>
        </w:rPr>
        <w:t xml:space="preserve"> </w:t>
      </w:r>
      <w:r w:rsidRPr="007338C6">
        <w:rPr>
          <w:rFonts w:eastAsia="Times New Roman" w:cs="Arial"/>
          <w:color w:val="000000"/>
          <w:lang w:val="en-US"/>
        </w:rPr>
        <w:t>combination</w:t>
      </w:r>
      <w:r w:rsidRPr="007338C6">
        <w:rPr>
          <w:rFonts w:eastAsia="Times New Roman" w:cs="Arial"/>
          <w:color w:val="000000"/>
        </w:rPr>
        <w:t xml:space="preserve"> </w:t>
      </w:r>
      <w:r w:rsidRPr="007338C6">
        <w:rPr>
          <w:rFonts w:eastAsia="Times New Roman" w:cs="Arial"/>
          <w:color w:val="000000"/>
          <w:lang w:val="en-US"/>
        </w:rPr>
        <w:t>with</w:t>
      </w:r>
      <w:r w:rsidRPr="007338C6">
        <w:rPr>
          <w:rFonts w:eastAsia="Times New Roman" w:cs="Arial"/>
          <w:color w:val="000000"/>
        </w:rPr>
        <w:t xml:space="preserve"> </w:t>
      </w:r>
      <w:r w:rsidRPr="007338C6">
        <w:rPr>
          <w:rFonts w:eastAsia="Times New Roman" w:cs="Arial"/>
          <w:color w:val="000000"/>
          <w:lang w:val="en-US"/>
        </w:rPr>
        <w:t>Ramipril</w:t>
      </w:r>
      <w:r w:rsidRPr="007338C6">
        <w:rPr>
          <w:rFonts w:eastAsia="Times New Roman" w:cs="Arial"/>
          <w:color w:val="000000"/>
        </w:rPr>
        <w:t xml:space="preserve"> </w:t>
      </w:r>
      <w:r w:rsidRPr="007338C6">
        <w:rPr>
          <w:rFonts w:eastAsia="Times New Roman" w:cs="Arial"/>
          <w:color w:val="000000"/>
          <w:lang w:val="en-US"/>
        </w:rPr>
        <w:t>Global</w:t>
      </w:r>
      <w:r w:rsidRPr="007338C6">
        <w:rPr>
          <w:rFonts w:eastAsia="Times New Roman" w:cs="Arial"/>
          <w:color w:val="000000"/>
        </w:rPr>
        <w:t xml:space="preserve"> </w:t>
      </w:r>
      <w:r w:rsidRPr="007338C6">
        <w:rPr>
          <w:rFonts w:eastAsia="Times New Roman" w:cs="Arial"/>
          <w:color w:val="000000"/>
          <w:lang w:val="en-US"/>
        </w:rPr>
        <w:t>Endpoint</w:t>
      </w:r>
      <w:r w:rsidRPr="007338C6">
        <w:rPr>
          <w:rFonts w:eastAsia="Times New Roman" w:cs="Arial"/>
          <w:color w:val="000000"/>
        </w:rPr>
        <w:t xml:space="preserve"> </w:t>
      </w:r>
      <w:r w:rsidRPr="007338C6">
        <w:rPr>
          <w:rFonts w:eastAsia="Times New Roman" w:cs="Arial"/>
          <w:color w:val="000000"/>
          <w:lang w:val="en-US"/>
        </w:rPr>
        <w:t>Trial</w:t>
      </w:r>
      <w:r w:rsidRPr="007338C6">
        <w:rPr>
          <w:rFonts w:eastAsia="Times New Roman" w:cs="Arial"/>
          <w:color w:val="000000"/>
        </w:rPr>
        <w:t xml:space="preserve"> - </w:t>
      </w:r>
      <w:r w:rsidRPr="007338C6">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7338C6">
        <w:rPr>
          <w:rFonts w:eastAsia="Times New Roman" w:cs="Arial"/>
          <w:color w:val="000000"/>
          <w:lang w:val="en-US"/>
        </w:rPr>
        <w:t>VA</w:t>
      </w:r>
      <w:r w:rsidRPr="007338C6">
        <w:rPr>
          <w:rFonts w:eastAsia="Times New Roman" w:cs="Arial"/>
          <w:color w:val="000000"/>
        </w:rPr>
        <w:t xml:space="preserve"> </w:t>
      </w:r>
      <w:r w:rsidRPr="007338C6">
        <w:rPr>
          <w:rFonts w:eastAsia="Times New Roman" w:cs="Arial"/>
          <w:color w:val="000000"/>
          <w:lang w:val="en-US"/>
        </w:rPr>
        <w:t>NEPHRON</w:t>
      </w:r>
      <w:r w:rsidRPr="007338C6">
        <w:rPr>
          <w:rFonts w:eastAsia="Times New Roman" w:cs="Arial"/>
          <w:color w:val="000000"/>
        </w:rPr>
        <w:t>-</w:t>
      </w:r>
      <w:r w:rsidRPr="007338C6">
        <w:rPr>
          <w:rFonts w:eastAsia="Times New Roman" w:cs="Arial"/>
          <w:color w:val="000000"/>
          <w:lang w:val="en-US"/>
        </w:rPr>
        <w:t>D</w:t>
      </w:r>
      <w:r w:rsidRPr="007338C6">
        <w:rPr>
          <w:rFonts w:eastAsia="Times New Roman" w:cs="Arial"/>
          <w:color w:val="000000"/>
        </w:rPr>
        <w:t xml:space="preserve"> </w:t>
      </w:r>
      <w:r w:rsidRPr="007338C6">
        <w:rPr>
          <w:rFonts w:eastAsia="Times New Roman" w:cs="Arial"/>
          <w:color w:val="000000"/>
          <w:lang w:eastAsia="bg-BG"/>
        </w:rPr>
        <w:t>(Клинично проучване свързано с развитие на</w:t>
      </w:r>
      <w:r w:rsidRPr="007338C6">
        <w:rPr>
          <w:rFonts w:eastAsia="Times New Roman" w:cs="Arial"/>
          <w:sz w:val="24"/>
          <w:szCs w:val="24"/>
        </w:rPr>
        <w:t xml:space="preserve"> </w:t>
      </w:r>
      <w:r w:rsidRPr="007338C6">
        <w:rPr>
          <w:rFonts w:eastAsia="Times New Roman" w:cs="Arial"/>
          <w:color w:val="000000"/>
          <w:lang w:eastAsia="bg-BG"/>
        </w:rPr>
        <w:t xml:space="preserve">нефропатия при диабет, проведено от Министерство по въпросите на ветераните)- проучват употребата на комбинацията от АСЕ инхибитор и ангиотензин </w:t>
      </w:r>
      <w:r w:rsidRPr="007338C6">
        <w:rPr>
          <w:rFonts w:eastAsia="Times New Roman" w:cs="Arial"/>
          <w:color w:val="000000"/>
          <w:lang w:val="en-US"/>
        </w:rPr>
        <w:t>II</w:t>
      </w:r>
      <w:r w:rsidRPr="007338C6">
        <w:rPr>
          <w:rFonts w:eastAsia="Times New Roman" w:cs="Arial"/>
          <w:color w:val="000000"/>
        </w:rPr>
        <w:t>-</w:t>
      </w:r>
      <w:r w:rsidRPr="007338C6">
        <w:rPr>
          <w:rFonts w:eastAsia="Times New Roman" w:cs="Arial"/>
          <w:color w:val="000000"/>
          <w:lang w:eastAsia="bg-BG"/>
        </w:rPr>
        <w:t>рецепторен блокер.</w:t>
      </w:r>
    </w:p>
    <w:p w14:paraId="69741A60" w14:textId="2624B8D5" w:rsidR="007338C6" w:rsidRPr="007338C6" w:rsidRDefault="007338C6" w:rsidP="007338C6">
      <w:pPr>
        <w:spacing w:line="240" w:lineRule="auto"/>
        <w:rPr>
          <w:rFonts w:eastAsia="Times New Roman" w:cs="Arial"/>
          <w:color w:val="000000"/>
          <w:lang w:eastAsia="bg-BG"/>
        </w:rPr>
      </w:pPr>
    </w:p>
    <w:p w14:paraId="07227EB9"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ONTARGET</w:t>
      </w:r>
      <w:r w:rsidRPr="007338C6">
        <w:rPr>
          <w:rFonts w:eastAsia="Times New Roman" w:cs="Arial"/>
          <w:color w:val="000000"/>
          <w:lang w:val="ru-RU"/>
        </w:rPr>
        <w:t xml:space="preserve"> </w:t>
      </w:r>
      <w:r w:rsidRPr="007338C6">
        <w:rPr>
          <w:rFonts w:eastAsia="Times New Roman" w:cs="Arial"/>
          <w:color w:val="00000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w:t>
      </w:r>
    </w:p>
    <w:p w14:paraId="14858D88" w14:textId="77777777" w:rsidR="007338C6" w:rsidRPr="007338C6" w:rsidRDefault="007338C6" w:rsidP="007338C6">
      <w:pPr>
        <w:spacing w:line="240" w:lineRule="auto"/>
        <w:rPr>
          <w:rFonts w:eastAsia="Times New Roman" w:cs="Arial"/>
          <w:color w:val="000000"/>
          <w:lang w:val="en-US"/>
        </w:rPr>
      </w:pPr>
    </w:p>
    <w:p w14:paraId="5164292B" w14:textId="4169D7B8"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VA</w:t>
      </w:r>
      <w:r w:rsidRPr="007338C6">
        <w:rPr>
          <w:rFonts w:eastAsia="Times New Roman" w:cs="Arial"/>
          <w:color w:val="000000"/>
          <w:lang w:val="ru-RU"/>
        </w:rPr>
        <w:t xml:space="preserve"> </w:t>
      </w:r>
      <w:r w:rsidRPr="007338C6">
        <w:rPr>
          <w:rFonts w:eastAsia="Times New Roman" w:cs="Arial"/>
          <w:color w:val="000000"/>
          <w:lang w:val="en-US"/>
        </w:rPr>
        <w:t>NEPHRON</w:t>
      </w:r>
      <w:r w:rsidRPr="007338C6">
        <w:rPr>
          <w:rFonts w:eastAsia="Times New Roman" w:cs="Arial"/>
          <w:color w:val="000000"/>
          <w:lang w:val="ru-RU"/>
        </w:rPr>
        <w:t>-</w:t>
      </w:r>
      <w:r w:rsidRPr="007338C6">
        <w:rPr>
          <w:rFonts w:eastAsia="Times New Roman" w:cs="Arial"/>
          <w:color w:val="000000"/>
          <w:lang w:val="en-US"/>
        </w:rPr>
        <w:t>D</w:t>
      </w:r>
      <w:r w:rsidRPr="007338C6">
        <w:rPr>
          <w:rFonts w:eastAsia="Times New Roman" w:cs="Arial"/>
          <w:color w:val="000000"/>
          <w:lang w:val="ru-RU"/>
        </w:rPr>
        <w:t xml:space="preserve"> </w:t>
      </w:r>
      <w:r w:rsidRPr="007338C6">
        <w:rPr>
          <w:rFonts w:eastAsia="Times New Roman" w:cs="Arial"/>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w:t>
      </w:r>
    </w:p>
    <w:p w14:paraId="0A8C25AD"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Като се имат предвид сходните им фармакодинамични свойства, тези резултати са приложими и за други АСЕ инхибитори и ангиотензин </w:t>
      </w:r>
      <w:r w:rsidRPr="007338C6">
        <w:rPr>
          <w:rFonts w:eastAsia="Times New Roman" w:cs="Arial"/>
          <w:color w:val="000000"/>
          <w:lang w:val="en-US"/>
        </w:rPr>
        <w:t>II</w:t>
      </w:r>
      <w:r w:rsidRPr="007338C6">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7DD8BBF" w14:textId="77777777" w:rsidR="007338C6" w:rsidRPr="007338C6" w:rsidRDefault="007338C6" w:rsidP="007338C6">
      <w:pPr>
        <w:spacing w:line="240" w:lineRule="auto"/>
        <w:rPr>
          <w:rFonts w:eastAsia="Times New Roman" w:cs="Arial"/>
          <w:color w:val="000000"/>
          <w:lang w:val="en-US"/>
        </w:rPr>
      </w:pPr>
    </w:p>
    <w:p w14:paraId="3D8E032A" w14:textId="62934C28"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ALTITUDE</w:t>
      </w:r>
      <w:r w:rsidRPr="007338C6">
        <w:rPr>
          <w:rFonts w:eastAsia="Times New Roman" w:cs="Arial"/>
          <w:color w:val="000000"/>
          <w:lang w:val="ru-RU"/>
        </w:rPr>
        <w:t xml:space="preserve"> </w:t>
      </w:r>
      <w:r w:rsidRPr="007338C6">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7338C6">
        <w:rPr>
          <w:rFonts w:eastAsia="Times New Roman" w:cs="Arial"/>
          <w:color w:val="000000"/>
          <w:lang w:eastAsia="bg-BG"/>
        </w:rPr>
        <w:lastRenderedPageBreak/>
        <w:t>дисфункция) се съобщават по-често в групата на алискирен, отколкото в групата на плацебо.</w:t>
      </w:r>
    </w:p>
    <w:p w14:paraId="55511C59" w14:textId="77777777" w:rsidR="007338C6" w:rsidRPr="007338C6" w:rsidRDefault="007338C6" w:rsidP="007338C6">
      <w:pPr>
        <w:spacing w:line="240" w:lineRule="auto"/>
        <w:rPr>
          <w:rFonts w:eastAsia="Times New Roman" w:cs="Arial"/>
          <w:color w:val="000000"/>
          <w:u w:val="single"/>
          <w:lang w:eastAsia="bg-BG"/>
        </w:rPr>
      </w:pPr>
    </w:p>
    <w:p w14:paraId="0C1C2745" w14:textId="194709D6"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Педиатрична популация</w:t>
      </w:r>
    </w:p>
    <w:p w14:paraId="2F1B40B5"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клинично проучване, включващо 115 педиатрични пациенти с хипертония на възраст 6-16 години, от които пациенти с телесно тегло по-ниско от 50 </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са получавали 0,625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20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лизиноприл веднъж дневно, а пациентите с телесно тегло 50 </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или повече са получавали 1,25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40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лизиноприл веднъж дневно. В края на 2-рата седмица, лизиноприл приложен веднъж дневно е понижил кръвното налягане по дозозависим начин с последователна антихипертензивна ефикасност демонстрирана при дози по-високи от 1,25 </w:t>
      </w:r>
      <w:r w:rsidRPr="007338C6">
        <w:rPr>
          <w:rFonts w:eastAsia="Times New Roman" w:cs="Arial"/>
          <w:color w:val="000000"/>
          <w:lang w:val="en-US"/>
        </w:rPr>
        <w:t>mg</w:t>
      </w:r>
      <w:r w:rsidRPr="007338C6">
        <w:rPr>
          <w:rFonts w:eastAsia="Times New Roman" w:cs="Arial"/>
          <w:color w:val="000000"/>
          <w:lang w:val="ru-RU"/>
        </w:rPr>
        <w:t>.</w:t>
      </w:r>
    </w:p>
    <w:p w14:paraId="438E33E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Този ефект е потвърден при фазата на оттегляне, където диастоличното налягане се е повишило с около 9 </w:t>
      </w:r>
      <w:r w:rsidRPr="007338C6">
        <w:rPr>
          <w:rFonts w:eastAsia="Times New Roman" w:cs="Arial"/>
          <w:color w:val="000000"/>
          <w:lang w:val="en-US"/>
        </w:rPr>
        <w:t>mm</w:t>
      </w:r>
      <w:r w:rsidRPr="007338C6">
        <w:rPr>
          <w:rFonts w:eastAsia="Times New Roman" w:cs="Arial"/>
          <w:color w:val="000000"/>
          <w:lang w:val="ru-RU"/>
        </w:rPr>
        <w:t xml:space="preserve"> </w:t>
      </w:r>
      <w:r w:rsidRPr="007338C6">
        <w:rPr>
          <w:rFonts w:eastAsia="Times New Roman" w:cs="Arial"/>
          <w:color w:val="000000"/>
          <w:lang w:val="en-US"/>
        </w:rPr>
        <w:t>Hg</w:t>
      </w:r>
      <w:r w:rsidRPr="007338C6">
        <w:rPr>
          <w:rFonts w:eastAsia="Times New Roman" w:cs="Arial"/>
          <w:color w:val="000000"/>
          <w:lang w:val="ru-RU"/>
        </w:rPr>
        <w:t xml:space="preserve"> </w:t>
      </w:r>
      <w:r w:rsidRPr="007338C6">
        <w:rPr>
          <w:rFonts w:eastAsia="Times New Roman" w:cs="Arial"/>
          <w:color w:val="000000"/>
          <w:lang w:eastAsia="bg-BG"/>
        </w:rPr>
        <w:t>повече при пациенти рандомизирани на плацебо в сравнение с тези рандомизирани на средни и високи дози лизиноприл. Дозозависимият антихипертензивен ефект на лизиноприл показва последователност при различни демографски подгрупи: възраст, Т</w:t>
      </w:r>
      <w:proofErr w:type="spellStart"/>
      <w:r w:rsidRPr="007338C6">
        <w:rPr>
          <w:rFonts w:eastAsia="Times New Roman" w:cs="Arial"/>
          <w:color w:val="000000"/>
          <w:lang w:val="en-US"/>
        </w:rPr>
        <w:t>anner</w:t>
      </w:r>
      <w:proofErr w:type="spellEnd"/>
      <w:r w:rsidRPr="007338C6">
        <w:rPr>
          <w:rFonts w:eastAsia="Times New Roman" w:cs="Arial"/>
          <w:color w:val="000000"/>
          <w:lang w:val="ru-RU"/>
        </w:rPr>
        <w:t>-</w:t>
      </w:r>
      <w:r w:rsidRPr="007338C6">
        <w:rPr>
          <w:rFonts w:eastAsia="Times New Roman" w:cs="Arial"/>
          <w:color w:val="000000"/>
          <w:lang w:eastAsia="bg-BG"/>
        </w:rPr>
        <w:t>етап, пол и раса.</w:t>
      </w:r>
    </w:p>
    <w:p w14:paraId="69D382B1" w14:textId="77777777" w:rsidR="007338C6" w:rsidRPr="007338C6" w:rsidRDefault="007338C6" w:rsidP="007338C6">
      <w:pPr>
        <w:spacing w:line="240" w:lineRule="auto"/>
        <w:rPr>
          <w:rFonts w:ascii="Times New Roman" w:eastAsia="Times New Roman" w:hAnsi="Times New Roman" w:cs="Times New Roman"/>
          <w:sz w:val="24"/>
          <w:szCs w:val="24"/>
        </w:rPr>
      </w:pPr>
    </w:p>
    <w:p w14:paraId="78DD93AA" w14:textId="7B09FFC3" w:rsidR="00B6672E" w:rsidRDefault="002C50EE" w:rsidP="00936AD0">
      <w:pPr>
        <w:pStyle w:val="Heading2"/>
      </w:pPr>
      <w:r>
        <w:t>5.2. Фармакокинетични свойства</w:t>
      </w:r>
    </w:p>
    <w:p w14:paraId="49A5C5B7" w14:textId="779ECA47" w:rsidR="007338C6" w:rsidRDefault="007338C6" w:rsidP="007338C6"/>
    <w:p w14:paraId="593A61FA"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Лизиноприл е орално активен несулфхидрил-съдържащ АСЕ инхибитор.</w:t>
      </w:r>
    </w:p>
    <w:p w14:paraId="72BE7161" w14:textId="77777777" w:rsidR="007338C6" w:rsidRPr="007338C6" w:rsidRDefault="007338C6" w:rsidP="007338C6">
      <w:pPr>
        <w:spacing w:line="240" w:lineRule="auto"/>
        <w:rPr>
          <w:rFonts w:eastAsia="Times New Roman" w:cs="Arial"/>
          <w:color w:val="000000"/>
          <w:u w:val="single"/>
          <w:lang w:eastAsia="bg-BG"/>
        </w:rPr>
      </w:pPr>
    </w:p>
    <w:p w14:paraId="2FCD99A6" w14:textId="614D6F94" w:rsidR="007338C6" w:rsidRPr="007338C6" w:rsidRDefault="007338C6" w:rsidP="007338C6">
      <w:pPr>
        <w:pStyle w:val="Heading3"/>
        <w:rPr>
          <w:rFonts w:eastAsia="Times New Roman"/>
          <w:u w:val="single"/>
        </w:rPr>
      </w:pPr>
      <w:r w:rsidRPr="007338C6">
        <w:rPr>
          <w:rFonts w:eastAsia="Times New Roman"/>
          <w:u w:val="single"/>
          <w:lang w:eastAsia="bg-BG"/>
        </w:rPr>
        <w:t>Абсорбция</w:t>
      </w:r>
    </w:p>
    <w:p w14:paraId="7D8C495F"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При орално приложение на лизиноприл, максималната плазмена концентрация достига максимум след около 7 часа, въпреки че се наблюдава тенденция за малко закъснение на времето за достигане на максимална плазмена концентрация при пациенти с остър миокарден инфаркт. Оценката на уринната екскреция показва, че средната абсорбционна фракция на лизиноприл е приблизително 25% с вариация между</w:t>
      </w:r>
      <w:r w:rsidRPr="007338C6">
        <w:rPr>
          <w:rFonts w:eastAsia="Times New Roman" w:cs="Arial"/>
          <w:i/>
          <w:iCs/>
          <w:color w:val="000000"/>
          <w:lang w:eastAsia="bg-BG"/>
        </w:rPr>
        <w:t xml:space="preserve"> </w:t>
      </w:r>
      <w:r w:rsidRPr="007338C6">
        <w:rPr>
          <w:rFonts w:eastAsia="Times New Roman" w:cs="Arial"/>
          <w:color w:val="000000"/>
          <w:lang w:eastAsia="bg-BG"/>
        </w:rPr>
        <w:t xml:space="preserve">пациентите от 6-60% при всички тествани дози (5-80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Абсолютната бионаличност е редуцирана приблизително 16% при пациенти със сърдечна недостатъчност. Абсорбцията на лизиноприл не се повлиява от приема на храна.</w:t>
      </w:r>
    </w:p>
    <w:p w14:paraId="09E7BA13" w14:textId="77777777" w:rsidR="007338C6" w:rsidRPr="007338C6" w:rsidRDefault="007338C6" w:rsidP="007338C6">
      <w:pPr>
        <w:spacing w:line="240" w:lineRule="auto"/>
        <w:rPr>
          <w:rFonts w:eastAsia="Times New Roman" w:cs="Arial"/>
          <w:sz w:val="24"/>
          <w:szCs w:val="24"/>
        </w:rPr>
      </w:pPr>
    </w:p>
    <w:p w14:paraId="21C30CF7" w14:textId="0F1096AB" w:rsidR="007338C6" w:rsidRPr="007338C6" w:rsidRDefault="007338C6" w:rsidP="007338C6">
      <w:pPr>
        <w:pStyle w:val="Heading3"/>
        <w:rPr>
          <w:rFonts w:eastAsia="Times New Roman"/>
          <w:u w:val="single"/>
          <w:lang w:eastAsia="bg-BG"/>
        </w:rPr>
      </w:pPr>
      <w:r w:rsidRPr="007338C6">
        <w:rPr>
          <w:rFonts w:eastAsia="Times New Roman"/>
          <w:u w:val="single"/>
          <w:lang w:eastAsia="bg-BG"/>
        </w:rPr>
        <w:t>Разпределение</w:t>
      </w:r>
    </w:p>
    <w:p w14:paraId="21EF80A7"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Лизиноприл не се свързва с плазмените протеини, различни от циркулиращия ангиотензин конвертиращ ензим (АСЕ). Проучвания върху плъхове са показали, че лизиноприл преминава кръвно-мозъчната бариера.</w:t>
      </w:r>
    </w:p>
    <w:p w14:paraId="681D2EA9" w14:textId="77777777" w:rsidR="007338C6" w:rsidRPr="007338C6" w:rsidRDefault="007338C6" w:rsidP="007338C6">
      <w:pPr>
        <w:spacing w:line="240" w:lineRule="auto"/>
        <w:rPr>
          <w:rFonts w:eastAsia="Times New Roman" w:cs="Arial"/>
          <w:color w:val="000000"/>
          <w:u w:val="single"/>
          <w:lang w:eastAsia="bg-BG"/>
        </w:rPr>
      </w:pPr>
    </w:p>
    <w:p w14:paraId="7C2746CE" w14:textId="1AF946C8" w:rsidR="007338C6" w:rsidRPr="007338C6" w:rsidRDefault="007338C6" w:rsidP="007338C6">
      <w:pPr>
        <w:pStyle w:val="Heading3"/>
        <w:rPr>
          <w:rFonts w:eastAsia="Times New Roman"/>
          <w:u w:val="single"/>
        </w:rPr>
      </w:pPr>
      <w:r w:rsidRPr="007338C6">
        <w:rPr>
          <w:rFonts w:eastAsia="Times New Roman"/>
          <w:u w:val="single"/>
          <w:lang w:eastAsia="bg-BG"/>
        </w:rPr>
        <w:t>Елиминиране</w:t>
      </w:r>
    </w:p>
    <w:p w14:paraId="09D43943"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не се метаболизира и се екскретира напълно непроменен с урината. При многократно дозиране ефективният плазмен полуживот на лизиноприл е 12,6 часа. Клирънсът на лизиноприл при здрави пациенти е около 50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Плазмената концентрация показва удължена терминална фаза, което не влияе върху кумулацията на лекарството. Тази терминална фаза вероятно показва насищане при свързване с АСЕ и не е дозозависима.</w:t>
      </w:r>
    </w:p>
    <w:p w14:paraId="41B4819C" w14:textId="77777777" w:rsidR="007338C6" w:rsidRPr="007338C6" w:rsidRDefault="007338C6" w:rsidP="007338C6">
      <w:pPr>
        <w:spacing w:line="240" w:lineRule="auto"/>
        <w:rPr>
          <w:rFonts w:eastAsia="Times New Roman" w:cs="Arial"/>
          <w:color w:val="000000"/>
          <w:u w:val="single"/>
          <w:lang w:eastAsia="bg-BG"/>
        </w:rPr>
      </w:pPr>
    </w:p>
    <w:p w14:paraId="2DA56C86" w14:textId="4293F897" w:rsidR="007338C6" w:rsidRPr="007338C6" w:rsidRDefault="007338C6" w:rsidP="007338C6">
      <w:pPr>
        <w:pStyle w:val="Heading3"/>
        <w:rPr>
          <w:rFonts w:eastAsia="Times New Roman"/>
          <w:u w:val="single"/>
        </w:rPr>
      </w:pPr>
      <w:r w:rsidRPr="007338C6">
        <w:rPr>
          <w:rFonts w:eastAsia="Times New Roman"/>
          <w:u w:val="single"/>
          <w:lang w:eastAsia="bg-BG"/>
        </w:rPr>
        <w:t>Чернодробно увреждане</w:t>
      </w:r>
    </w:p>
    <w:p w14:paraId="3E41187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Увреждането на чернодробната функция при пациенти с чернодробна цироза води до понижаване на абсорбцията на лизиноприл (около 30% определено по наличието в урината), но повишава експозицията (около 50%) в сравнение със здрави доброволци, поради понижения клирънс.</w:t>
      </w:r>
    </w:p>
    <w:p w14:paraId="7300D58F" w14:textId="77777777" w:rsidR="007338C6" w:rsidRPr="007338C6" w:rsidRDefault="007338C6" w:rsidP="007338C6">
      <w:pPr>
        <w:spacing w:line="240" w:lineRule="auto"/>
        <w:rPr>
          <w:rFonts w:eastAsia="Times New Roman" w:cs="Arial"/>
          <w:color w:val="000000"/>
          <w:u w:val="single"/>
          <w:lang w:eastAsia="bg-BG"/>
        </w:rPr>
      </w:pPr>
    </w:p>
    <w:p w14:paraId="62544127" w14:textId="44DD25D2" w:rsidR="007338C6" w:rsidRPr="007338C6" w:rsidRDefault="007338C6" w:rsidP="007338C6">
      <w:pPr>
        <w:pStyle w:val="Heading3"/>
        <w:rPr>
          <w:rFonts w:eastAsia="Times New Roman"/>
          <w:u w:val="single"/>
        </w:rPr>
      </w:pPr>
      <w:r w:rsidRPr="007338C6">
        <w:rPr>
          <w:rFonts w:eastAsia="Times New Roman"/>
          <w:u w:val="single"/>
          <w:lang w:eastAsia="bg-BG"/>
        </w:rPr>
        <w:t>Бъбречно увреждане</w:t>
      </w:r>
    </w:p>
    <w:p w14:paraId="555470A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Увреждането на бъбречната функция намалява елиминирането на лизиноприл, който се екскретира през бъбреците, но това намаляване става клинично значимо, само когато степента на глумерулна филтрация спадне под 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 xml:space="preserve">При лека до средна степен на бъбречна недостатъчност (креатининов клирънс 30-80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 xml:space="preserve">средната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 xml:space="preserve">се повишава само с 13%. Докато 4,5-кратното покачване на средната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 xml:space="preserve">се установява при тежка бъбречна недостатъчност (креатининов клирънс 5-30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w:t>
      </w:r>
    </w:p>
    <w:p w14:paraId="23727755"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може да бъде отстранен чрез диализа. След 4 часова хемодиализа плазмените концентрации на лизиноприл се понижават средно с 60% с диализен клирънс между 40 и 55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w:t>
      </w:r>
    </w:p>
    <w:p w14:paraId="3DA4EF6A" w14:textId="77777777" w:rsidR="007338C6" w:rsidRPr="007338C6" w:rsidRDefault="007338C6" w:rsidP="007338C6">
      <w:pPr>
        <w:spacing w:line="240" w:lineRule="auto"/>
        <w:rPr>
          <w:rFonts w:eastAsia="Times New Roman" w:cs="Arial"/>
          <w:color w:val="000000"/>
          <w:u w:val="single"/>
          <w:lang w:eastAsia="bg-BG"/>
        </w:rPr>
      </w:pPr>
    </w:p>
    <w:p w14:paraId="7958C859" w14:textId="392AE521" w:rsidR="007338C6" w:rsidRPr="007338C6" w:rsidRDefault="007338C6" w:rsidP="007338C6">
      <w:pPr>
        <w:pStyle w:val="Heading3"/>
        <w:rPr>
          <w:rFonts w:eastAsia="Times New Roman"/>
          <w:u w:val="single"/>
        </w:rPr>
      </w:pPr>
      <w:r w:rsidRPr="007338C6">
        <w:rPr>
          <w:rFonts w:eastAsia="Times New Roman"/>
          <w:u w:val="single"/>
          <w:lang w:eastAsia="bg-BG"/>
        </w:rPr>
        <w:t>Сърдечна недостатъчност</w:t>
      </w:r>
    </w:p>
    <w:p w14:paraId="5E0B01AE"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Пациентите със сърдечна недостатъчност имат по-голяма експозиция на лизиноприл, в сравнение със здрави (повишение на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средно с 125%), но имат намалена абсорбция с около 16% в сравнение със здравите.</w:t>
      </w:r>
    </w:p>
    <w:p w14:paraId="63C5DFE3" w14:textId="77777777" w:rsidR="007338C6" w:rsidRPr="007338C6" w:rsidRDefault="007338C6" w:rsidP="007338C6">
      <w:pPr>
        <w:spacing w:line="240" w:lineRule="auto"/>
        <w:rPr>
          <w:rFonts w:eastAsia="Times New Roman" w:cs="Arial"/>
          <w:color w:val="000000"/>
          <w:u w:val="single"/>
          <w:lang w:eastAsia="bg-BG"/>
        </w:rPr>
      </w:pPr>
    </w:p>
    <w:p w14:paraId="674C5A15" w14:textId="020DBADA" w:rsidR="007338C6" w:rsidRPr="007338C6" w:rsidRDefault="007338C6" w:rsidP="007338C6">
      <w:pPr>
        <w:pStyle w:val="Heading3"/>
        <w:rPr>
          <w:rFonts w:eastAsia="Times New Roman"/>
          <w:u w:val="single"/>
        </w:rPr>
      </w:pPr>
      <w:r w:rsidRPr="007338C6">
        <w:rPr>
          <w:rFonts w:eastAsia="Times New Roman"/>
          <w:u w:val="single"/>
          <w:lang w:eastAsia="bg-BG"/>
        </w:rPr>
        <w:t>Педиатрична популапия</w:t>
      </w:r>
    </w:p>
    <w:p w14:paraId="7728CAB7"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Фармакокинетичният профил на лизиноприл е проучван при 29 педиатрични антихипертензивни пациенти на възраст между 6 и 16 години, с </w:t>
      </w:r>
      <w:r w:rsidRPr="007338C6">
        <w:rPr>
          <w:rFonts w:eastAsia="Times New Roman" w:cs="Arial"/>
          <w:color w:val="000000"/>
          <w:lang w:val="en-US"/>
        </w:rPr>
        <w:t>GFR</w:t>
      </w:r>
      <w:r w:rsidRPr="007338C6">
        <w:rPr>
          <w:rFonts w:eastAsia="Times New Roman" w:cs="Arial"/>
          <w:color w:val="000000"/>
          <w:lang w:val="ru-RU"/>
        </w:rPr>
        <w:t xml:space="preserve"> </w:t>
      </w:r>
      <w:r w:rsidRPr="007338C6">
        <w:rPr>
          <w:rFonts w:eastAsia="Times New Roman" w:cs="Arial"/>
          <w:color w:val="000000"/>
          <w:lang w:eastAsia="bg-BG"/>
        </w:rPr>
        <w:t xml:space="preserve">над 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/1,73</w:t>
      </w:r>
      <w:r w:rsidRPr="007338C6">
        <w:rPr>
          <w:rFonts w:eastAsia="Times New Roman" w:cs="Arial"/>
          <w:color w:val="000000"/>
          <w:lang w:val="en-US"/>
        </w:rPr>
        <w:t>m</w:t>
      </w:r>
      <w:r w:rsidRPr="007338C6">
        <w:rPr>
          <w:rFonts w:eastAsia="Times New Roman" w:cs="Arial"/>
          <w:color w:val="000000"/>
          <w:vertAlign w:val="superscript"/>
          <w:lang w:val="ru-RU"/>
        </w:rPr>
        <w:t>2</w:t>
      </w:r>
      <w:r w:rsidRPr="007338C6">
        <w:rPr>
          <w:rFonts w:eastAsia="Times New Roman" w:cs="Arial"/>
          <w:color w:val="000000"/>
          <w:lang w:val="ru-RU"/>
        </w:rPr>
        <w:t xml:space="preserve">. </w:t>
      </w:r>
      <w:r w:rsidRPr="007338C6">
        <w:rPr>
          <w:rFonts w:eastAsia="Times New Roman" w:cs="Arial"/>
          <w:color w:val="000000"/>
          <w:lang w:eastAsia="bg-BG"/>
        </w:rPr>
        <w:t xml:space="preserve">След дози от 0,1 до 0,2 </w:t>
      </w:r>
      <w:r w:rsidRPr="007338C6">
        <w:rPr>
          <w:rFonts w:eastAsia="Times New Roman" w:cs="Arial"/>
          <w:color w:val="000000"/>
          <w:lang w:val="en-US"/>
        </w:rPr>
        <w:t>mg</w:t>
      </w:r>
      <w:r w:rsidRPr="007338C6">
        <w:rPr>
          <w:rFonts w:eastAsia="Times New Roman" w:cs="Arial"/>
          <w:color w:val="000000"/>
          <w:lang w:val="ru-RU"/>
        </w:rPr>
        <w:t>/</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пикът на </w:t>
      </w:r>
      <w:r w:rsidRPr="007338C6">
        <w:rPr>
          <w:rFonts w:eastAsia="Times New Roman" w:cs="Arial"/>
          <w:i/>
          <w:iCs/>
          <w:color w:val="000000"/>
          <w:lang w:val="en-US"/>
        </w:rPr>
        <w:t>steady</w:t>
      </w:r>
      <w:r w:rsidRPr="007338C6">
        <w:rPr>
          <w:rFonts w:eastAsia="Times New Roman" w:cs="Arial"/>
          <w:i/>
          <w:iCs/>
          <w:color w:val="000000"/>
          <w:lang w:val="ru-RU"/>
        </w:rPr>
        <w:t xml:space="preserve"> </w:t>
      </w:r>
      <w:r w:rsidRPr="007338C6">
        <w:rPr>
          <w:rFonts w:eastAsia="Times New Roman" w:cs="Arial"/>
          <w:i/>
          <w:iCs/>
          <w:color w:val="000000"/>
          <w:lang w:val="en-US"/>
        </w:rPr>
        <w:t>state</w:t>
      </w:r>
      <w:r w:rsidRPr="007338C6">
        <w:rPr>
          <w:rFonts w:eastAsia="Times New Roman" w:cs="Arial"/>
          <w:color w:val="000000"/>
          <w:lang w:val="ru-RU"/>
        </w:rPr>
        <w:t xml:space="preserve"> </w:t>
      </w:r>
      <w:r w:rsidRPr="007338C6">
        <w:rPr>
          <w:rFonts w:eastAsia="Times New Roman" w:cs="Arial"/>
          <w:color w:val="000000"/>
          <w:lang w:eastAsia="bg-BG"/>
        </w:rPr>
        <w:t>плазмената концентрация на лизиноприл се установи в рамките на 6 часа, а увеличената абсорбция базирана на</w:t>
      </w:r>
      <w:r w:rsidRPr="007338C6">
        <w:rPr>
          <w:rFonts w:eastAsia="Times New Roman" w:cs="Arial"/>
          <w:color w:val="000000"/>
          <w:lang w:val="ru-RU"/>
        </w:rPr>
        <w:t xml:space="preserve"> </w:t>
      </w:r>
      <w:r w:rsidRPr="007338C6">
        <w:rPr>
          <w:rFonts w:eastAsia="Times New Roman" w:cs="Arial"/>
          <w:color w:val="000000"/>
          <w:lang w:eastAsia="bg-BG"/>
        </w:rPr>
        <w:t>уринарното възстановяване е около 28%.</w:t>
      </w:r>
    </w:p>
    <w:p w14:paraId="72F5CEAE"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Тези стойности са подобни на онези получени вече при възрастни пациенти. Стойностите на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и С</w:t>
      </w:r>
      <w:r w:rsidRPr="007338C6">
        <w:rPr>
          <w:rFonts w:eastAsia="Times New Roman" w:cs="Arial"/>
          <w:color w:val="000000"/>
          <w:vertAlign w:val="subscript"/>
          <w:lang w:val="en-US"/>
        </w:rPr>
        <w:t>max</w:t>
      </w:r>
      <w:r w:rsidRPr="007338C6">
        <w:rPr>
          <w:rFonts w:eastAsia="Times New Roman" w:cs="Arial"/>
          <w:color w:val="000000"/>
          <w:lang w:eastAsia="bg-BG"/>
        </w:rPr>
        <w:t xml:space="preserve"> при деца в това проучване са съпоставими с онези наблюдавани при възрастни.</w:t>
      </w:r>
    </w:p>
    <w:p w14:paraId="35F788E6" w14:textId="77777777" w:rsidR="007338C6" w:rsidRPr="007338C6" w:rsidRDefault="007338C6" w:rsidP="007338C6">
      <w:pPr>
        <w:spacing w:line="240" w:lineRule="auto"/>
        <w:rPr>
          <w:rFonts w:eastAsia="Times New Roman" w:cs="Arial"/>
          <w:color w:val="000000"/>
          <w:u w:val="single"/>
          <w:lang w:eastAsia="bg-BG"/>
        </w:rPr>
      </w:pPr>
    </w:p>
    <w:p w14:paraId="5B06E152" w14:textId="7B8199D5" w:rsidR="007338C6" w:rsidRPr="007338C6" w:rsidRDefault="007338C6" w:rsidP="007338C6">
      <w:pPr>
        <w:pStyle w:val="Heading3"/>
        <w:rPr>
          <w:rFonts w:eastAsia="Times New Roman"/>
          <w:u w:val="single"/>
        </w:rPr>
      </w:pPr>
      <w:r w:rsidRPr="007338C6">
        <w:rPr>
          <w:rFonts w:eastAsia="Times New Roman"/>
          <w:u w:val="single"/>
          <w:lang w:eastAsia="bg-BG"/>
        </w:rPr>
        <w:t>Старческа възраст</w:t>
      </w:r>
    </w:p>
    <w:p w14:paraId="31FEE739"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По-възрастните пациенти имат по-високи нива и по-високи стойности за площта под кривата (увеличение около 60%) в сравнение с по-млади.</w:t>
      </w:r>
    </w:p>
    <w:p w14:paraId="0A70DE7D" w14:textId="77777777" w:rsidR="007338C6" w:rsidRPr="007338C6" w:rsidRDefault="007338C6" w:rsidP="007338C6"/>
    <w:p w14:paraId="4FB791BE" w14:textId="01E9C0F4" w:rsidR="00B6672E" w:rsidRDefault="002C50EE" w:rsidP="00936AD0">
      <w:pPr>
        <w:pStyle w:val="Heading2"/>
      </w:pPr>
      <w:r>
        <w:t>5.3. Предклинични данни за безопасност</w:t>
      </w:r>
    </w:p>
    <w:p w14:paraId="7F9BFD72" w14:textId="1E56F016" w:rsidR="007338C6" w:rsidRDefault="007338C6" w:rsidP="007338C6"/>
    <w:p w14:paraId="7797C7A5" w14:textId="77777777" w:rsidR="007338C6" w:rsidRPr="007338C6" w:rsidRDefault="007338C6" w:rsidP="007338C6">
      <w:pPr>
        <w:rPr>
          <w:rFonts w:eastAsia="Times New Roman" w:cs="Arial"/>
          <w:sz w:val="24"/>
          <w:szCs w:val="24"/>
        </w:rPr>
      </w:pPr>
      <w:r w:rsidRPr="007338C6">
        <w:rPr>
          <w:rFonts w:cs="Arial"/>
        </w:rPr>
        <w:t>Предклиничните данни не предоставят по-специална информация при хора</w:t>
      </w:r>
      <w:r w:rsidRPr="007338C6">
        <w:rPr>
          <w:rFonts w:cs="Arial"/>
          <w:lang w:val="ru-RU"/>
        </w:rPr>
        <w:t xml:space="preserve"> </w:t>
      </w:r>
      <w:r w:rsidRPr="007338C6">
        <w:rPr>
          <w:rFonts w:cs="Arial"/>
        </w:rPr>
        <w:t>възоснова на конвенционални проучвания върху общата фармакология, токсичност при неколкократно прилагане, генотоксичност и карциногенен потенциал. Инхибиторите на ангиотензин-конвертиращия ензим показват нежелани ефекти върху късните стадии на развитие на плода, което води до смърт на плода и конгенитални ефекти, в частност</w:t>
      </w:r>
      <w:r w:rsidRPr="007338C6">
        <w:rPr>
          <w:rFonts w:cs="Arial"/>
          <w:lang w:val="ru-RU"/>
        </w:rPr>
        <w:t xml:space="preserve"> </w:t>
      </w:r>
      <w:r w:rsidRPr="007338C6">
        <w:rPr>
          <w:rFonts w:eastAsia="Times New Roman" w:cs="Arial"/>
          <w:color w:val="000000"/>
          <w:lang w:eastAsia="bg-BG"/>
        </w:rPr>
        <w:t>засягащи черепа. Докладвани са случаи на фетотоксичност, интраутеринна растежна ретардация и отворен дуктус артериозус. Тези аномалии в развитието са в резултат на директното въздействие на АСЕ инхибиторите върху феталната ренин-ангиотензинова система и в резултат на исхемия при майчина хипотония и намален приток на кръв, кислород/хранителни вещества през плацентата към плода.</w:t>
      </w:r>
    </w:p>
    <w:p w14:paraId="0845352B" w14:textId="028DF116" w:rsidR="007338C6" w:rsidRPr="007338C6" w:rsidRDefault="007338C6" w:rsidP="007338C6"/>
    <w:p w14:paraId="1BA6531D" w14:textId="6A4863B4" w:rsidR="00B6672E" w:rsidRDefault="002C50EE" w:rsidP="00936AD0">
      <w:pPr>
        <w:pStyle w:val="Heading1"/>
      </w:pPr>
      <w:r>
        <w:t>7. ПРИТЕЖАТЕЛ НА РАЗРЕШЕНИЕТО ЗА УПОТРЕБА</w:t>
      </w:r>
    </w:p>
    <w:p w14:paraId="7625D637" w14:textId="2497F66A" w:rsidR="007338C6" w:rsidRDefault="007338C6" w:rsidP="007338C6"/>
    <w:p w14:paraId="0B442131" w14:textId="77777777" w:rsidR="007338C6" w:rsidRPr="007338C6" w:rsidRDefault="007338C6" w:rsidP="007338C6">
      <w:pPr>
        <w:rPr>
          <w:sz w:val="24"/>
          <w:szCs w:val="24"/>
          <w:lang w:val="en-US"/>
        </w:rPr>
      </w:pPr>
      <w:proofErr w:type="spellStart"/>
      <w:r w:rsidRPr="007338C6">
        <w:rPr>
          <w:lang w:val="en-US"/>
        </w:rPr>
        <w:t>Gedeon</w:t>
      </w:r>
      <w:proofErr w:type="spellEnd"/>
      <w:r w:rsidRPr="007338C6">
        <w:rPr>
          <w:lang w:val="en-US"/>
        </w:rPr>
        <w:t xml:space="preserve"> Richter Plc.</w:t>
      </w:r>
    </w:p>
    <w:p w14:paraId="4FBA1863" w14:textId="77777777" w:rsidR="007338C6" w:rsidRPr="007338C6" w:rsidRDefault="007338C6" w:rsidP="007338C6">
      <w:pPr>
        <w:rPr>
          <w:sz w:val="24"/>
          <w:szCs w:val="24"/>
          <w:lang w:val="en-US"/>
        </w:rPr>
      </w:pPr>
      <w:proofErr w:type="spellStart"/>
      <w:r w:rsidRPr="007338C6">
        <w:rPr>
          <w:lang w:val="en-US"/>
        </w:rPr>
        <w:lastRenderedPageBreak/>
        <w:t>Gyomroi</w:t>
      </w:r>
      <w:proofErr w:type="spellEnd"/>
      <w:r w:rsidRPr="007338C6">
        <w:rPr>
          <w:lang w:val="en-US"/>
        </w:rPr>
        <w:t xml:space="preserve"> </w:t>
      </w:r>
      <w:proofErr w:type="spellStart"/>
      <w:r w:rsidRPr="007338C6">
        <w:rPr>
          <w:lang w:val="en-US"/>
        </w:rPr>
        <w:t>ut</w:t>
      </w:r>
      <w:proofErr w:type="spellEnd"/>
      <w:r w:rsidRPr="007338C6">
        <w:rPr>
          <w:lang w:val="en-US"/>
        </w:rPr>
        <w:t xml:space="preserve"> 19-21.</w:t>
      </w:r>
    </w:p>
    <w:p w14:paraId="74D512DA" w14:textId="314661A9" w:rsidR="007338C6" w:rsidRPr="007338C6" w:rsidRDefault="007338C6" w:rsidP="007338C6">
      <w:r w:rsidRPr="007338C6">
        <w:rPr>
          <w:lang w:val="ru-RU"/>
        </w:rPr>
        <w:t xml:space="preserve">1103 </w:t>
      </w:r>
      <w:r w:rsidRPr="007338C6">
        <w:rPr>
          <w:lang w:val="en-US"/>
        </w:rPr>
        <w:t>Budapest</w:t>
      </w:r>
      <w:r w:rsidRPr="007338C6">
        <w:rPr>
          <w:lang w:val="ru-RU"/>
        </w:rPr>
        <w:t xml:space="preserve">, </w:t>
      </w:r>
      <w:r w:rsidRPr="007338C6">
        <w:rPr>
          <w:lang w:eastAsia="bg-BG"/>
        </w:rPr>
        <w:t>Унгария</w:t>
      </w:r>
    </w:p>
    <w:p w14:paraId="508F3A54" w14:textId="741D661C" w:rsidR="00B6672E" w:rsidRDefault="00936AD0" w:rsidP="00936AD0">
      <w:pPr>
        <w:pStyle w:val="Heading1"/>
      </w:pPr>
      <w:r>
        <w:t>8.</w:t>
      </w:r>
      <w:r w:rsidR="002C50EE">
        <w:t>НОМЕР НА РАЗРЕШЕНИЕТО ЗА УПОТРЕБА</w:t>
      </w:r>
    </w:p>
    <w:p w14:paraId="26E33895" w14:textId="75FE8212" w:rsidR="007338C6" w:rsidRDefault="007338C6" w:rsidP="007338C6"/>
    <w:p w14:paraId="51C75339" w14:textId="77777777" w:rsidR="007338C6" w:rsidRPr="007338C6" w:rsidRDefault="007338C6" w:rsidP="007338C6">
      <w:pPr>
        <w:rPr>
          <w:sz w:val="24"/>
          <w:szCs w:val="24"/>
        </w:rPr>
      </w:pPr>
      <w:r w:rsidRPr="007338C6">
        <w:rPr>
          <w:lang w:eastAsia="bg-BG"/>
        </w:rPr>
        <w:t xml:space="preserve">Диротон таблетки 5 </w:t>
      </w:r>
      <w:r w:rsidRPr="007338C6">
        <w:rPr>
          <w:lang w:val="en-US"/>
        </w:rPr>
        <w:t>mg</w:t>
      </w:r>
      <w:r w:rsidRPr="007338C6">
        <w:t xml:space="preserve"> </w:t>
      </w:r>
      <w:r w:rsidRPr="007338C6">
        <w:rPr>
          <w:lang w:val="en-US"/>
        </w:rPr>
        <w:t>per</w:t>
      </w:r>
      <w:r w:rsidRPr="007338C6">
        <w:t xml:space="preserve">. </w:t>
      </w:r>
      <w:r w:rsidRPr="007338C6">
        <w:rPr>
          <w:lang w:eastAsia="bg-BG"/>
        </w:rPr>
        <w:t>№: 20020478</w:t>
      </w:r>
    </w:p>
    <w:p w14:paraId="66D0991B" w14:textId="77777777" w:rsidR="007338C6" w:rsidRPr="007338C6" w:rsidRDefault="007338C6" w:rsidP="007338C6">
      <w:pPr>
        <w:rPr>
          <w:sz w:val="24"/>
          <w:szCs w:val="24"/>
        </w:rPr>
      </w:pPr>
      <w:r w:rsidRPr="007338C6">
        <w:rPr>
          <w:lang w:eastAsia="bg-BG"/>
        </w:rPr>
        <w:t xml:space="preserve">Диротон таблетки 10 </w:t>
      </w:r>
      <w:r w:rsidRPr="007338C6">
        <w:rPr>
          <w:lang w:val="en-US"/>
        </w:rPr>
        <w:t>mg</w:t>
      </w:r>
      <w:r w:rsidRPr="007338C6">
        <w:t xml:space="preserve"> </w:t>
      </w:r>
      <w:r w:rsidRPr="007338C6">
        <w:rPr>
          <w:lang w:val="en-US"/>
        </w:rPr>
        <w:t>per</w:t>
      </w:r>
      <w:r w:rsidRPr="007338C6">
        <w:t xml:space="preserve">. </w:t>
      </w:r>
      <w:r w:rsidRPr="007338C6">
        <w:rPr>
          <w:lang w:eastAsia="bg-BG"/>
        </w:rPr>
        <w:t>№: 20020479</w:t>
      </w:r>
    </w:p>
    <w:p w14:paraId="3FD0D37E" w14:textId="6B8E941F" w:rsidR="007338C6" w:rsidRPr="007338C6" w:rsidRDefault="007338C6" w:rsidP="007338C6">
      <w:r w:rsidRPr="007338C6">
        <w:rPr>
          <w:lang w:eastAsia="bg-BG"/>
        </w:rPr>
        <w:t xml:space="preserve">Диротон таблетки 20 </w:t>
      </w:r>
      <w:r w:rsidRPr="007338C6">
        <w:rPr>
          <w:lang w:val="en-US"/>
        </w:rPr>
        <w:t>mg</w:t>
      </w:r>
      <w:r w:rsidRPr="007338C6">
        <w:rPr>
          <w:lang w:val="ru-RU"/>
        </w:rPr>
        <w:t xml:space="preserve"> </w:t>
      </w:r>
      <w:r w:rsidRPr="007338C6">
        <w:rPr>
          <w:lang w:val="en-US"/>
        </w:rPr>
        <w:t>per</w:t>
      </w:r>
      <w:r w:rsidRPr="007338C6">
        <w:rPr>
          <w:lang w:val="ru-RU"/>
        </w:rPr>
        <w:t xml:space="preserve">. </w:t>
      </w:r>
      <w:r w:rsidRPr="007338C6">
        <w:rPr>
          <w:lang w:eastAsia="bg-BG"/>
        </w:rPr>
        <w:t>№: 20020480</w:t>
      </w:r>
    </w:p>
    <w:p w14:paraId="2CCB5832" w14:textId="57D55801" w:rsidR="007C605B" w:rsidRDefault="002C50EE" w:rsidP="007C605B">
      <w:pPr>
        <w:pStyle w:val="Heading1"/>
      </w:pPr>
      <w:r>
        <w:t>9. ДАТА НА ПЪРВО РАЗРЕШАВАНЕ/ПОДНОВЯВАНЕ НА РАЗРЕШЕНИЕТО ЗА УПОТРЕБА</w:t>
      </w:r>
    </w:p>
    <w:p w14:paraId="2E9E0A30" w14:textId="7FF99585" w:rsidR="007338C6" w:rsidRDefault="007338C6" w:rsidP="007338C6"/>
    <w:p w14:paraId="425F3605" w14:textId="77777777" w:rsidR="007338C6" w:rsidRPr="007338C6" w:rsidRDefault="007338C6" w:rsidP="007338C6">
      <w:pPr>
        <w:rPr>
          <w:sz w:val="24"/>
          <w:szCs w:val="24"/>
        </w:rPr>
      </w:pPr>
      <w:bookmarkStart w:id="1" w:name="_GoBack"/>
      <w:r w:rsidRPr="007338C6">
        <w:rPr>
          <w:lang w:eastAsia="bg-BG"/>
        </w:rPr>
        <w:t>Дата на първо разрешаване: 14.06.2002 (в България)</w:t>
      </w:r>
    </w:p>
    <w:p w14:paraId="24EA1777" w14:textId="59A84212" w:rsidR="007338C6" w:rsidRPr="007338C6" w:rsidRDefault="007338C6" w:rsidP="007338C6">
      <w:r w:rsidRPr="007338C6">
        <w:rPr>
          <w:lang w:eastAsia="bg-BG"/>
        </w:rPr>
        <w:t>Дата на последно подновяване на разрешението за употреба: 29.08.2007</w:t>
      </w:r>
    </w:p>
    <w:bookmarkEnd w:id="1"/>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0F6C"/>
    <w:multiLevelType w:val="hybridMultilevel"/>
    <w:tmpl w:val="C314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D0013"/>
    <w:multiLevelType w:val="hybridMultilevel"/>
    <w:tmpl w:val="1F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4"/>
  </w:num>
  <w:num w:numId="15">
    <w:abstractNumId w:val="32"/>
  </w:num>
  <w:num w:numId="16">
    <w:abstractNumId w:val="12"/>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2594"/>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338C6"/>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92363"/>
    <w:rsid w:val="00DD466D"/>
    <w:rsid w:val="00E534A2"/>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7407</Words>
  <Characters>42222</Characters>
  <Application>Microsoft Office Word</Application>
  <DocSecurity>0</DocSecurity>
  <Lines>351</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2022-07-20T12:21:00Z</dcterms:created>
  <dcterms:modified xsi:type="dcterms:W3CDTF">2022-07-20T12:21:00Z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