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0EE" w:rsidRDefault="002C50EE" w:rsidP="002C50EE">
      <w:pPr>
        <w:pStyle w:val="Heading1"/>
        <w:jc w:val="center"/>
      </w:pPr>
      <w:bookmarkStart w:id="0" w:name="_Hlk63124480"/>
      <w:bookmarkStart w:id="1" w:name="_GoBack"/>
      <w:bookmarkEnd w:id="1"/>
      <w:r>
        <w:t>КРАТКА ХАРАКТЕРИСТИКА НА ПРОДУКТА</w:t>
      </w:r>
    </w:p>
    <w:p w:rsidR="00DF4C8E" w:rsidRDefault="00DD466D" w:rsidP="00F44498">
      <w:pPr>
        <w:pStyle w:val="Heading1"/>
      </w:pPr>
      <w:r>
        <w:t>1.ИМЕ НА ЛЕКАРСТВЕНИЯ ПРОДУКТ</w:t>
      </w:r>
    </w:p>
    <w:p w:rsidR="005A3387" w:rsidRDefault="005A3387" w:rsidP="005A3387"/>
    <w:p w:rsidR="005A3387" w:rsidRPr="005A3387" w:rsidRDefault="005A3387" w:rsidP="005A3387">
      <w:pPr>
        <w:rPr>
          <w:sz w:val="24"/>
          <w:szCs w:val="24"/>
          <w:lang w:val="ru-RU"/>
        </w:rPr>
      </w:pPr>
      <w:r w:rsidRPr="005A3387">
        <w:rPr>
          <w:lang w:eastAsia="bg-BG"/>
        </w:rPr>
        <w:t xml:space="preserve">ДОЛОРЕН 200 </w:t>
      </w:r>
      <w:r w:rsidRPr="005A3387">
        <w:rPr>
          <w:lang w:val="en-US"/>
        </w:rPr>
        <w:t>mg</w:t>
      </w:r>
      <w:r w:rsidRPr="005A3387">
        <w:rPr>
          <w:lang w:val="ru-RU"/>
        </w:rPr>
        <w:t xml:space="preserve"> </w:t>
      </w:r>
      <w:r w:rsidRPr="005A3387">
        <w:rPr>
          <w:lang w:eastAsia="bg-BG"/>
        </w:rPr>
        <w:t>филмирани таблетки</w:t>
      </w:r>
    </w:p>
    <w:p w:rsidR="005A3387" w:rsidRPr="005A3387" w:rsidRDefault="005A3387" w:rsidP="005A3387">
      <w:pPr>
        <w:rPr>
          <w:sz w:val="24"/>
          <w:szCs w:val="24"/>
          <w:lang w:val="ru-RU"/>
        </w:rPr>
      </w:pPr>
      <w:r w:rsidRPr="005A3387">
        <w:rPr>
          <w:lang w:val="en-US"/>
        </w:rPr>
        <w:t>DOLOREN</w:t>
      </w:r>
      <w:r w:rsidRPr="005A3387">
        <w:rPr>
          <w:lang w:val="ru-RU"/>
        </w:rPr>
        <w:t xml:space="preserve"> </w:t>
      </w:r>
      <w:r w:rsidRPr="005A3387">
        <w:rPr>
          <w:lang w:eastAsia="bg-BG"/>
        </w:rPr>
        <w:t xml:space="preserve">200 </w:t>
      </w:r>
      <w:r w:rsidRPr="005A3387">
        <w:rPr>
          <w:lang w:val="en-US"/>
        </w:rPr>
        <w:t>mg</w:t>
      </w:r>
      <w:r w:rsidRPr="005A3387">
        <w:rPr>
          <w:lang w:val="ru-RU"/>
        </w:rPr>
        <w:t xml:space="preserve"> </w:t>
      </w:r>
      <w:r w:rsidRPr="005A3387">
        <w:rPr>
          <w:lang w:val="en-US"/>
        </w:rPr>
        <w:t>film</w:t>
      </w:r>
      <w:r w:rsidRPr="005A3387">
        <w:rPr>
          <w:lang w:val="ru-RU"/>
        </w:rPr>
        <w:t>-</w:t>
      </w:r>
      <w:r w:rsidRPr="005A3387">
        <w:rPr>
          <w:lang w:val="en-US"/>
        </w:rPr>
        <w:t>coated</w:t>
      </w:r>
      <w:r w:rsidRPr="005A3387">
        <w:rPr>
          <w:lang w:val="ru-RU"/>
        </w:rPr>
        <w:t xml:space="preserve"> </w:t>
      </w:r>
      <w:r w:rsidRPr="005A3387">
        <w:rPr>
          <w:lang w:val="en-US"/>
        </w:rPr>
        <w:t>tablets</w:t>
      </w:r>
    </w:p>
    <w:p w:rsidR="005A3387" w:rsidRDefault="005A3387" w:rsidP="005A3387">
      <w:pPr>
        <w:rPr>
          <w:lang w:eastAsia="bg-BG"/>
        </w:rPr>
      </w:pPr>
    </w:p>
    <w:p w:rsidR="005A3387" w:rsidRPr="005A3387" w:rsidRDefault="005A3387" w:rsidP="005A3387">
      <w:pPr>
        <w:rPr>
          <w:sz w:val="24"/>
          <w:szCs w:val="24"/>
          <w:lang w:val="ru-RU"/>
        </w:rPr>
      </w:pPr>
      <w:r w:rsidRPr="005A3387">
        <w:rPr>
          <w:lang w:eastAsia="bg-BG"/>
        </w:rPr>
        <w:t xml:space="preserve">ДОЛОРЕН </w:t>
      </w:r>
      <w:r w:rsidRPr="005A3387">
        <w:rPr>
          <w:lang w:val="ru-RU"/>
        </w:rPr>
        <w:t xml:space="preserve">400 </w:t>
      </w:r>
      <w:r w:rsidRPr="005A3387">
        <w:rPr>
          <w:lang w:val="en-US"/>
        </w:rPr>
        <w:t>mg</w:t>
      </w:r>
      <w:r w:rsidRPr="005A3387">
        <w:rPr>
          <w:lang w:val="ru-RU"/>
        </w:rPr>
        <w:t xml:space="preserve"> </w:t>
      </w:r>
      <w:r w:rsidRPr="005A3387">
        <w:rPr>
          <w:lang w:eastAsia="bg-BG"/>
        </w:rPr>
        <w:t>филмирани таблетки</w:t>
      </w:r>
    </w:p>
    <w:p w:rsidR="005A3387" w:rsidRPr="005A3387" w:rsidRDefault="005A3387" w:rsidP="005A3387">
      <w:pPr>
        <w:rPr>
          <w:sz w:val="24"/>
          <w:szCs w:val="24"/>
          <w:lang w:val="ru-RU"/>
        </w:rPr>
      </w:pPr>
      <w:r w:rsidRPr="005A3387">
        <w:rPr>
          <w:lang w:val="en-US"/>
        </w:rPr>
        <w:t>DOLOREN</w:t>
      </w:r>
      <w:r w:rsidRPr="005A3387">
        <w:rPr>
          <w:lang w:val="ru-RU"/>
        </w:rPr>
        <w:t xml:space="preserve"> </w:t>
      </w:r>
      <w:r w:rsidRPr="005A3387">
        <w:rPr>
          <w:lang w:eastAsia="bg-BG"/>
        </w:rPr>
        <w:t xml:space="preserve">400 </w:t>
      </w:r>
      <w:r w:rsidRPr="005A3387">
        <w:rPr>
          <w:lang w:val="en-US"/>
        </w:rPr>
        <w:t>mg</w:t>
      </w:r>
      <w:r w:rsidRPr="005A3387">
        <w:rPr>
          <w:lang w:val="ru-RU"/>
        </w:rPr>
        <w:t xml:space="preserve"> </w:t>
      </w:r>
      <w:r w:rsidRPr="005A3387">
        <w:rPr>
          <w:lang w:val="en-US"/>
        </w:rPr>
        <w:t>film</w:t>
      </w:r>
      <w:r w:rsidRPr="005A3387">
        <w:rPr>
          <w:lang w:val="ru-RU"/>
        </w:rPr>
        <w:t>-</w:t>
      </w:r>
      <w:r w:rsidRPr="005A3387">
        <w:rPr>
          <w:lang w:val="en-US"/>
        </w:rPr>
        <w:t>coated</w:t>
      </w:r>
      <w:r w:rsidRPr="005A3387">
        <w:rPr>
          <w:lang w:val="ru-RU"/>
        </w:rPr>
        <w:t xml:space="preserve"> </w:t>
      </w:r>
      <w:r w:rsidRPr="005A3387">
        <w:rPr>
          <w:lang w:val="en-US"/>
        </w:rPr>
        <w:t>tablets</w:t>
      </w:r>
    </w:p>
    <w:p w:rsidR="005A3387" w:rsidRPr="005A3387" w:rsidRDefault="005A3387" w:rsidP="005A3387"/>
    <w:p w:rsidR="00DF4C8E" w:rsidRDefault="00DD466D" w:rsidP="00F44498">
      <w:pPr>
        <w:pStyle w:val="Heading1"/>
      </w:pPr>
      <w:r>
        <w:t>2. КАЧЕСТВЕН И КОЛИЧЕСТВЕН СЪСТАВ</w:t>
      </w:r>
    </w:p>
    <w:p w:rsidR="005A3387" w:rsidRDefault="005A3387" w:rsidP="005A3387"/>
    <w:p w:rsidR="005A3387" w:rsidRPr="005A3387" w:rsidRDefault="005A3387" w:rsidP="005A3387">
      <w:pPr>
        <w:rPr>
          <w:sz w:val="24"/>
          <w:szCs w:val="24"/>
        </w:rPr>
      </w:pPr>
      <w:r w:rsidRPr="005A3387">
        <w:rPr>
          <w:lang w:eastAsia="bg-BG"/>
        </w:rPr>
        <w:t xml:space="preserve">Всяка таблетка ДОЛОРЕН 200 </w:t>
      </w:r>
      <w:r w:rsidRPr="005A3387">
        <w:rPr>
          <w:lang w:val="en-US"/>
        </w:rPr>
        <w:t>mg</w:t>
      </w:r>
      <w:r w:rsidRPr="005A3387">
        <w:t xml:space="preserve"> </w:t>
      </w:r>
      <w:r w:rsidRPr="005A3387">
        <w:rPr>
          <w:lang w:eastAsia="bg-BG"/>
        </w:rPr>
        <w:t xml:space="preserve">съдържа 200 </w:t>
      </w:r>
      <w:r w:rsidRPr="005A3387">
        <w:rPr>
          <w:lang w:val="en-US"/>
        </w:rPr>
        <w:t>mg</w:t>
      </w:r>
      <w:r w:rsidRPr="005A3387">
        <w:t xml:space="preserve"> </w:t>
      </w:r>
      <w:r w:rsidRPr="005A3387">
        <w:rPr>
          <w:lang w:eastAsia="bg-BG"/>
        </w:rPr>
        <w:t xml:space="preserve">ибупрофен </w:t>
      </w:r>
      <w:r w:rsidRPr="005A3387">
        <w:rPr>
          <w:i/>
          <w:iCs/>
        </w:rPr>
        <w:t>(</w:t>
      </w:r>
      <w:r w:rsidRPr="005A3387">
        <w:rPr>
          <w:i/>
          <w:iCs/>
          <w:lang w:val="en-US"/>
        </w:rPr>
        <w:t>ibuprofen</w:t>
      </w:r>
      <w:r w:rsidRPr="005A3387">
        <w:rPr>
          <w:i/>
          <w:iCs/>
        </w:rPr>
        <w:t>)</w:t>
      </w:r>
    </w:p>
    <w:p w:rsidR="005A3387" w:rsidRPr="005A3387" w:rsidRDefault="005A3387" w:rsidP="005A3387">
      <w:pPr>
        <w:rPr>
          <w:sz w:val="24"/>
          <w:szCs w:val="24"/>
        </w:rPr>
      </w:pPr>
      <w:r w:rsidRPr="005A3387">
        <w:rPr>
          <w:lang w:eastAsia="bg-BG"/>
        </w:rPr>
        <w:t xml:space="preserve">Всяка таблетка ДОЛОРЕН 400 </w:t>
      </w:r>
      <w:r w:rsidRPr="005A3387">
        <w:rPr>
          <w:lang w:val="en-US"/>
        </w:rPr>
        <w:t>mg</w:t>
      </w:r>
      <w:r w:rsidRPr="005A3387">
        <w:t xml:space="preserve"> </w:t>
      </w:r>
      <w:r w:rsidRPr="005A3387">
        <w:rPr>
          <w:lang w:eastAsia="bg-BG"/>
        </w:rPr>
        <w:t xml:space="preserve">съдържа 400 </w:t>
      </w:r>
      <w:r w:rsidRPr="005A3387">
        <w:rPr>
          <w:lang w:val="en-US"/>
        </w:rPr>
        <w:t>mg</w:t>
      </w:r>
      <w:r w:rsidRPr="005A3387">
        <w:t xml:space="preserve"> </w:t>
      </w:r>
      <w:r w:rsidRPr="005A3387">
        <w:rPr>
          <w:lang w:eastAsia="bg-BG"/>
        </w:rPr>
        <w:t xml:space="preserve">ибупрофен </w:t>
      </w:r>
      <w:r w:rsidRPr="005A3387">
        <w:rPr>
          <w:i/>
          <w:iCs/>
        </w:rPr>
        <w:t>(</w:t>
      </w:r>
      <w:r w:rsidRPr="005A3387">
        <w:rPr>
          <w:i/>
          <w:iCs/>
          <w:lang w:val="en-US"/>
        </w:rPr>
        <w:t>ibuprofen</w:t>
      </w:r>
      <w:r w:rsidRPr="005A3387">
        <w:rPr>
          <w:i/>
          <w:iCs/>
        </w:rPr>
        <w:t>).</w:t>
      </w:r>
    </w:p>
    <w:p w:rsidR="005A3387" w:rsidRDefault="005A3387" w:rsidP="005A3387">
      <w:pPr>
        <w:rPr>
          <w:lang w:eastAsia="bg-BG"/>
        </w:rPr>
      </w:pPr>
    </w:p>
    <w:p w:rsidR="005A3387" w:rsidRPr="005A3387" w:rsidRDefault="005A3387" w:rsidP="005A3387">
      <w:pPr>
        <w:rPr>
          <w:sz w:val="24"/>
          <w:szCs w:val="24"/>
        </w:rPr>
      </w:pPr>
      <w:r w:rsidRPr="005A3387">
        <w:rPr>
          <w:lang w:eastAsia="bg-BG"/>
        </w:rPr>
        <w:t>Помощни вещества:</w:t>
      </w:r>
    </w:p>
    <w:p w:rsidR="005A3387" w:rsidRPr="005A3387" w:rsidRDefault="005A3387" w:rsidP="005A3387">
      <w:pPr>
        <w:rPr>
          <w:sz w:val="24"/>
          <w:szCs w:val="24"/>
        </w:rPr>
      </w:pPr>
      <w:r w:rsidRPr="005A3387">
        <w:rPr>
          <w:lang w:eastAsia="bg-BG"/>
        </w:rPr>
        <w:t xml:space="preserve">Всяка таблетка ДОЛОРЕН 200 </w:t>
      </w:r>
      <w:r w:rsidRPr="005A3387">
        <w:rPr>
          <w:lang w:val="en-US"/>
        </w:rPr>
        <w:t>mg</w:t>
      </w:r>
      <w:r w:rsidRPr="005A3387">
        <w:rPr>
          <w:lang w:val="ru-RU"/>
        </w:rPr>
        <w:t xml:space="preserve"> </w:t>
      </w:r>
      <w:r w:rsidRPr="005A3387">
        <w:rPr>
          <w:lang w:eastAsia="bg-BG"/>
        </w:rPr>
        <w:t xml:space="preserve">съдържа 8 </w:t>
      </w:r>
      <w:r w:rsidRPr="005A3387">
        <w:rPr>
          <w:lang w:val="en-US"/>
        </w:rPr>
        <w:t>mg</w:t>
      </w:r>
      <w:r w:rsidRPr="005A3387">
        <w:rPr>
          <w:lang w:val="ru-RU"/>
        </w:rPr>
        <w:t xml:space="preserve"> </w:t>
      </w:r>
      <w:r w:rsidRPr="005A3387">
        <w:rPr>
          <w:lang w:eastAsia="bg-BG"/>
        </w:rPr>
        <w:t xml:space="preserve">лактоза монохидрат. Всяка таблетка ДОЛОРЕН 400 </w:t>
      </w:r>
      <w:r w:rsidRPr="005A3387">
        <w:rPr>
          <w:lang w:val="en-US"/>
        </w:rPr>
        <w:t>mg</w:t>
      </w:r>
      <w:r w:rsidRPr="005A3387">
        <w:rPr>
          <w:lang w:val="ru-RU"/>
        </w:rPr>
        <w:t xml:space="preserve"> </w:t>
      </w:r>
      <w:r w:rsidRPr="005A3387">
        <w:rPr>
          <w:lang w:eastAsia="bg-BG"/>
        </w:rPr>
        <w:t xml:space="preserve">съдържа 16 </w:t>
      </w:r>
      <w:r w:rsidRPr="005A3387">
        <w:rPr>
          <w:lang w:val="en-US"/>
        </w:rPr>
        <w:t>mg</w:t>
      </w:r>
      <w:r w:rsidRPr="005A3387">
        <w:rPr>
          <w:lang w:val="ru-RU"/>
        </w:rPr>
        <w:t xml:space="preserve"> </w:t>
      </w:r>
      <w:r w:rsidRPr="005A3387">
        <w:rPr>
          <w:lang w:eastAsia="bg-BG"/>
        </w:rPr>
        <w:t>лактоза монохидрат.</w:t>
      </w:r>
    </w:p>
    <w:p w:rsidR="005A3387" w:rsidRPr="005A3387" w:rsidRDefault="005A3387" w:rsidP="005A3387"/>
    <w:p w:rsidR="008A6AF2" w:rsidRDefault="00DD466D" w:rsidP="002C50EE">
      <w:pPr>
        <w:pStyle w:val="Heading1"/>
      </w:pPr>
      <w:r>
        <w:t>3. ЛЕКАРСТВЕНА ФОРМА</w:t>
      </w:r>
    </w:p>
    <w:p w:rsidR="005A3387" w:rsidRDefault="005A3387" w:rsidP="005A3387"/>
    <w:p w:rsidR="005A3387" w:rsidRPr="005A3387" w:rsidRDefault="005A3387" w:rsidP="005A3387">
      <w:pPr>
        <w:rPr>
          <w:sz w:val="24"/>
          <w:szCs w:val="24"/>
        </w:rPr>
      </w:pPr>
      <w:r w:rsidRPr="005A3387">
        <w:rPr>
          <w:lang w:eastAsia="bg-BG"/>
        </w:rPr>
        <w:t>Филмирана таблетка</w:t>
      </w:r>
    </w:p>
    <w:p w:rsidR="005A3387" w:rsidRPr="005A3387" w:rsidRDefault="005A3387" w:rsidP="005A3387">
      <w:pPr>
        <w:rPr>
          <w:sz w:val="24"/>
          <w:szCs w:val="24"/>
        </w:rPr>
      </w:pPr>
      <w:r w:rsidRPr="005A3387">
        <w:rPr>
          <w:lang w:eastAsia="bg-BG"/>
        </w:rPr>
        <w:t xml:space="preserve">ДОЛОРЕН 200 </w:t>
      </w:r>
      <w:r w:rsidRPr="005A3387">
        <w:rPr>
          <w:lang w:val="en-US"/>
        </w:rPr>
        <w:t>mg</w:t>
      </w:r>
      <w:r w:rsidRPr="005A3387">
        <w:rPr>
          <w:lang w:val="ru-RU"/>
        </w:rPr>
        <w:t xml:space="preserve"> </w:t>
      </w:r>
      <w:r w:rsidRPr="005A3387">
        <w:rPr>
          <w:lang w:eastAsia="bg-BG"/>
        </w:rPr>
        <w:t>са бели, кръгли, двойно-изпъкнали филмирани таблетки.</w:t>
      </w:r>
    </w:p>
    <w:p w:rsidR="005A3387" w:rsidRPr="005A3387" w:rsidRDefault="005A3387" w:rsidP="005A3387">
      <w:pPr>
        <w:rPr>
          <w:sz w:val="24"/>
          <w:szCs w:val="24"/>
        </w:rPr>
      </w:pPr>
      <w:r w:rsidRPr="005A3387">
        <w:rPr>
          <w:lang w:eastAsia="bg-BG"/>
        </w:rPr>
        <w:t xml:space="preserve">ДОЛОРЕН 400 </w:t>
      </w:r>
      <w:r w:rsidRPr="005A3387">
        <w:rPr>
          <w:lang w:val="en-US"/>
        </w:rPr>
        <w:t>mg</w:t>
      </w:r>
      <w:r w:rsidRPr="005A3387">
        <w:rPr>
          <w:lang w:val="ru-RU"/>
        </w:rPr>
        <w:t xml:space="preserve"> </w:t>
      </w:r>
      <w:r w:rsidRPr="005A3387">
        <w:rPr>
          <w:lang w:eastAsia="bg-BG"/>
        </w:rPr>
        <w:t>са бели, продълговати, двойно-изпъкнали филмирани таблетки.</w:t>
      </w:r>
    </w:p>
    <w:p w:rsidR="005A3387" w:rsidRPr="005A3387" w:rsidRDefault="005A3387" w:rsidP="005A3387"/>
    <w:p w:rsidR="002C50EE" w:rsidRDefault="002C50EE" w:rsidP="002C50EE">
      <w:pPr>
        <w:pStyle w:val="Heading1"/>
      </w:pPr>
      <w:r>
        <w:t>4. КЛИНИЧНИ ДАННИ</w:t>
      </w:r>
    </w:p>
    <w:p w:rsidR="00C0049F" w:rsidRDefault="002C50EE" w:rsidP="009F1313">
      <w:pPr>
        <w:pStyle w:val="Heading2"/>
      </w:pPr>
      <w:r>
        <w:t>4.1. Терапевтични показания</w:t>
      </w:r>
    </w:p>
    <w:p w:rsidR="00DF4C8E" w:rsidRDefault="00DF4C8E" w:rsidP="00DF4C8E">
      <w:pPr>
        <w:rPr>
          <w:rFonts w:cs="Arial"/>
          <w:sz w:val="24"/>
        </w:rPr>
      </w:pPr>
    </w:p>
    <w:p w:rsidR="005A3387" w:rsidRPr="005A3387" w:rsidRDefault="005A3387" w:rsidP="005A3387">
      <w:pPr>
        <w:spacing w:line="240" w:lineRule="auto"/>
        <w:rPr>
          <w:rFonts w:eastAsia="Times New Roman" w:cs="Arial"/>
          <w:sz w:val="24"/>
          <w:szCs w:val="24"/>
        </w:rPr>
      </w:pPr>
      <w:r w:rsidRPr="005A3387">
        <w:rPr>
          <w:rFonts w:eastAsia="Times New Roman" w:cs="Arial"/>
          <w:color w:val="000000"/>
          <w:lang w:eastAsia="bg-BG"/>
        </w:rPr>
        <w:t>Ибупрофен е показан за лечение на:</w:t>
      </w:r>
    </w:p>
    <w:p w:rsidR="005A3387" w:rsidRPr="005A3387" w:rsidRDefault="005A3387" w:rsidP="005A3387">
      <w:pPr>
        <w:pStyle w:val="ListParagraph"/>
        <w:numPr>
          <w:ilvl w:val="0"/>
          <w:numId w:val="34"/>
        </w:numPr>
        <w:spacing w:line="240" w:lineRule="auto"/>
        <w:rPr>
          <w:rFonts w:eastAsia="Times New Roman" w:cs="Arial"/>
          <w:color w:val="000000"/>
          <w:lang w:eastAsia="bg-BG"/>
        </w:rPr>
      </w:pPr>
      <w:r w:rsidRPr="005A3387">
        <w:rPr>
          <w:rFonts w:eastAsia="Times New Roman" w:cs="Arial"/>
          <w:color w:val="000000"/>
          <w:lang w:eastAsia="bg-BG"/>
        </w:rPr>
        <w:t>Лека до умерена болка, напр. главоболие, включително мигренозно главоболие, зъбобол, ревматични и мускулни болки, лумбо-сакрални болки, невралгия, първична дисменорея</w:t>
      </w:r>
    </w:p>
    <w:p w:rsidR="005A3387" w:rsidRPr="005A3387" w:rsidRDefault="005A3387" w:rsidP="005A3387">
      <w:pPr>
        <w:pStyle w:val="ListParagraph"/>
        <w:numPr>
          <w:ilvl w:val="0"/>
          <w:numId w:val="34"/>
        </w:numPr>
        <w:spacing w:line="240" w:lineRule="auto"/>
        <w:rPr>
          <w:rFonts w:eastAsia="Times New Roman" w:cs="Arial"/>
          <w:color w:val="000000"/>
          <w:lang w:eastAsia="bg-BG"/>
        </w:rPr>
      </w:pPr>
      <w:r w:rsidRPr="005A3387">
        <w:rPr>
          <w:rFonts w:eastAsia="Times New Roman" w:cs="Arial"/>
          <w:color w:val="000000"/>
          <w:lang w:eastAsia="bg-BG"/>
        </w:rPr>
        <w:t>Фебрилни състояния, симптоми на грип и простуда</w:t>
      </w:r>
    </w:p>
    <w:p w:rsidR="005A3387" w:rsidRPr="00DF4C8E" w:rsidRDefault="005A3387" w:rsidP="00DF4C8E">
      <w:pPr>
        <w:rPr>
          <w:rFonts w:cs="Arial"/>
          <w:sz w:val="24"/>
        </w:rPr>
      </w:pPr>
    </w:p>
    <w:p w:rsidR="00DF4C8E" w:rsidRDefault="002C50EE" w:rsidP="00F44498">
      <w:pPr>
        <w:pStyle w:val="Heading2"/>
      </w:pPr>
      <w:r>
        <w:t>4.2. Дозировка и начин на приложение</w:t>
      </w:r>
    </w:p>
    <w:p w:rsidR="005A3387" w:rsidRDefault="005A3387" w:rsidP="005A3387"/>
    <w:p w:rsidR="005A3387" w:rsidRPr="005A3387" w:rsidRDefault="005A3387" w:rsidP="005A3387">
      <w:pPr>
        <w:pStyle w:val="Heading3"/>
        <w:rPr>
          <w:rFonts w:eastAsia="Times New Roman"/>
          <w:u w:val="single"/>
        </w:rPr>
      </w:pPr>
      <w:r w:rsidRPr="005A3387">
        <w:rPr>
          <w:rFonts w:eastAsia="Times New Roman"/>
          <w:u w:val="single"/>
          <w:lang w:eastAsia="bg-BG"/>
        </w:rPr>
        <w:t>Дозировка:</w:t>
      </w:r>
    </w:p>
    <w:p w:rsidR="005A3387" w:rsidRPr="005A3387" w:rsidRDefault="005A3387" w:rsidP="005A3387">
      <w:pPr>
        <w:spacing w:line="240" w:lineRule="auto"/>
        <w:rPr>
          <w:rFonts w:eastAsia="Times New Roman" w:cs="Arial"/>
          <w:sz w:val="24"/>
          <w:szCs w:val="24"/>
        </w:rPr>
      </w:pPr>
      <w:r w:rsidRPr="005A3387">
        <w:rPr>
          <w:rFonts w:eastAsia="Times New Roman" w:cs="Arial"/>
          <w:color w:val="000000"/>
          <w:lang w:eastAsia="bg-BG"/>
        </w:rPr>
        <w:t xml:space="preserve">Възрастни и деца над 12 години (юноши): 200-400 </w:t>
      </w:r>
      <w:r w:rsidRPr="005A3387">
        <w:rPr>
          <w:rFonts w:eastAsia="Times New Roman" w:cs="Arial"/>
          <w:color w:val="000000"/>
          <w:lang w:val="en-US"/>
        </w:rPr>
        <w:t>mg</w:t>
      </w:r>
      <w:r w:rsidRPr="005A3387">
        <w:rPr>
          <w:rFonts w:eastAsia="Times New Roman" w:cs="Arial"/>
          <w:color w:val="000000"/>
          <w:lang w:val="ru-RU"/>
        </w:rPr>
        <w:t xml:space="preserve"> </w:t>
      </w:r>
      <w:r w:rsidRPr="005A3387">
        <w:rPr>
          <w:rFonts w:eastAsia="Times New Roman" w:cs="Arial"/>
          <w:color w:val="000000"/>
          <w:lang w:eastAsia="bg-BG"/>
        </w:rPr>
        <w:t xml:space="preserve">като еднократна дневна доза 3-4 пъти дневно през интервал от 4 до 6 часа, като не трябва да се превишава максималната дневна доза от 1200 </w:t>
      </w:r>
      <w:r w:rsidRPr="005A3387">
        <w:rPr>
          <w:rFonts w:eastAsia="Times New Roman" w:cs="Arial"/>
          <w:color w:val="000000"/>
          <w:lang w:val="en-US"/>
        </w:rPr>
        <w:t>mg</w:t>
      </w:r>
      <w:r w:rsidRPr="005A3387">
        <w:rPr>
          <w:rFonts w:eastAsia="Times New Roman" w:cs="Arial"/>
          <w:color w:val="000000"/>
          <w:lang w:val="ru-RU"/>
        </w:rPr>
        <w:t>.</w:t>
      </w:r>
    </w:p>
    <w:p w:rsidR="005A3387" w:rsidRPr="005A3387" w:rsidRDefault="005A3387" w:rsidP="005A3387">
      <w:pPr>
        <w:spacing w:line="240" w:lineRule="auto"/>
        <w:rPr>
          <w:rFonts w:eastAsia="Times New Roman" w:cs="Arial"/>
          <w:color w:val="000000"/>
          <w:lang w:eastAsia="bg-BG"/>
        </w:rPr>
      </w:pPr>
    </w:p>
    <w:p w:rsidR="005A3387" w:rsidRPr="005A3387" w:rsidRDefault="005A3387" w:rsidP="005A3387">
      <w:pPr>
        <w:spacing w:line="240" w:lineRule="auto"/>
        <w:rPr>
          <w:rFonts w:eastAsia="Times New Roman" w:cs="Arial"/>
          <w:sz w:val="24"/>
          <w:szCs w:val="24"/>
        </w:rPr>
      </w:pPr>
      <w:r w:rsidRPr="005A3387">
        <w:rPr>
          <w:rFonts w:eastAsia="Times New Roman" w:cs="Arial"/>
          <w:color w:val="000000"/>
          <w:lang w:eastAsia="bg-BG"/>
        </w:rPr>
        <w:lastRenderedPageBreak/>
        <w:t>При необходимост от прием на лекарствения продукт за повече от 3 дни или влошаване на състоянието, пациентът трябва да се консултира с лекар.</w:t>
      </w:r>
    </w:p>
    <w:p w:rsidR="005A3387" w:rsidRPr="005A3387" w:rsidRDefault="005A3387" w:rsidP="005A3387">
      <w:pPr>
        <w:spacing w:line="240" w:lineRule="auto"/>
        <w:rPr>
          <w:rFonts w:eastAsia="Times New Roman" w:cs="Arial"/>
          <w:color w:val="000000"/>
          <w:u w:val="single"/>
          <w:lang w:eastAsia="bg-BG"/>
        </w:rPr>
      </w:pPr>
    </w:p>
    <w:p w:rsidR="005A3387" w:rsidRPr="005A3387" w:rsidRDefault="005A3387" w:rsidP="005A3387">
      <w:pPr>
        <w:pStyle w:val="Heading3"/>
        <w:rPr>
          <w:rFonts w:eastAsia="Times New Roman"/>
          <w:u w:val="single"/>
        </w:rPr>
      </w:pPr>
      <w:r w:rsidRPr="005A3387">
        <w:rPr>
          <w:rFonts w:eastAsia="Times New Roman"/>
          <w:u w:val="single"/>
          <w:lang w:eastAsia="bg-BG"/>
        </w:rPr>
        <w:t>Начин на приложение:</w:t>
      </w:r>
    </w:p>
    <w:p w:rsidR="005A3387" w:rsidRPr="005A3387" w:rsidRDefault="005A3387" w:rsidP="005A3387">
      <w:pPr>
        <w:spacing w:line="240" w:lineRule="auto"/>
        <w:rPr>
          <w:rFonts w:eastAsia="Times New Roman" w:cs="Arial"/>
          <w:color w:val="000000"/>
          <w:lang w:eastAsia="bg-BG"/>
        </w:rPr>
      </w:pPr>
    </w:p>
    <w:p w:rsidR="005A3387" w:rsidRPr="005A3387" w:rsidRDefault="005A3387" w:rsidP="005A3387">
      <w:pPr>
        <w:spacing w:line="240" w:lineRule="auto"/>
        <w:rPr>
          <w:rFonts w:eastAsia="Times New Roman" w:cs="Arial"/>
          <w:sz w:val="24"/>
          <w:szCs w:val="24"/>
        </w:rPr>
      </w:pPr>
      <w:r w:rsidRPr="005A3387">
        <w:rPr>
          <w:rFonts w:eastAsia="Times New Roman" w:cs="Arial"/>
          <w:color w:val="000000"/>
          <w:lang w:eastAsia="bg-BG"/>
        </w:rPr>
        <w:t>Перорално приложение и само за кратковременна употреба.</w:t>
      </w:r>
    </w:p>
    <w:p w:rsidR="005A3387" w:rsidRPr="005A3387" w:rsidRDefault="005A3387" w:rsidP="005A3387">
      <w:pPr>
        <w:spacing w:line="240" w:lineRule="auto"/>
        <w:rPr>
          <w:rFonts w:eastAsia="Times New Roman" w:cs="Arial"/>
          <w:color w:val="000000"/>
          <w:lang w:eastAsia="bg-BG"/>
        </w:rPr>
      </w:pPr>
    </w:p>
    <w:p w:rsidR="005A3387" w:rsidRPr="005A3387" w:rsidRDefault="005A3387" w:rsidP="005A3387">
      <w:pPr>
        <w:spacing w:line="240" w:lineRule="auto"/>
        <w:rPr>
          <w:rFonts w:eastAsia="Times New Roman" w:cs="Arial"/>
          <w:color w:val="000000"/>
          <w:lang w:eastAsia="bg-BG"/>
        </w:rPr>
      </w:pPr>
      <w:r w:rsidRPr="005A3387">
        <w:rPr>
          <w:rFonts w:eastAsia="Times New Roman" w:cs="Arial"/>
          <w:color w:val="000000"/>
          <w:lang w:eastAsia="bg-BG"/>
        </w:rPr>
        <w:t>Нежеланите лекарствени реакции могат да се сведат до минимум, ако се използва най-ниската ефективна доза в продължение на възможно най-кратък срок, необходим за овладяване на</w:t>
      </w:r>
      <w:r w:rsidRPr="005A3387">
        <w:rPr>
          <w:rFonts w:eastAsia="Times New Roman" w:cs="Arial"/>
          <w:color w:val="000000"/>
          <w:vertAlign w:val="superscript"/>
          <w:lang w:eastAsia="bg-BG"/>
        </w:rPr>
        <w:t xml:space="preserve"> </w:t>
      </w:r>
      <w:r w:rsidRPr="005A3387">
        <w:rPr>
          <w:rFonts w:eastAsia="Times New Roman" w:cs="Arial"/>
          <w:color w:val="000000"/>
          <w:lang w:eastAsia="bg-BG"/>
        </w:rPr>
        <w:t>симптомите (вж. точка 4.4).</w:t>
      </w:r>
    </w:p>
    <w:p w:rsidR="005A3387" w:rsidRPr="005A3387" w:rsidRDefault="005A3387" w:rsidP="005A3387">
      <w:pPr>
        <w:spacing w:line="240" w:lineRule="auto"/>
        <w:rPr>
          <w:rFonts w:eastAsia="Times New Roman" w:cs="Arial"/>
          <w:color w:val="000000"/>
          <w:lang w:eastAsia="bg-BG"/>
        </w:rPr>
      </w:pPr>
    </w:p>
    <w:p w:rsidR="005A3387" w:rsidRPr="005A3387" w:rsidRDefault="005A3387" w:rsidP="005A3387">
      <w:pPr>
        <w:spacing w:line="240" w:lineRule="auto"/>
        <w:rPr>
          <w:rFonts w:eastAsia="Times New Roman" w:cs="Arial"/>
          <w:sz w:val="24"/>
          <w:szCs w:val="24"/>
        </w:rPr>
      </w:pPr>
      <w:r w:rsidRPr="005A3387">
        <w:rPr>
          <w:rFonts w:eastAsia="Times New Roman" w:cs="Arial"/>
          <w:i/>
          <w:iCs/>
          <w:color w:val="000000"/>
          <w:lang w:eastAsia="bg-BG"/>
        </w:rPr>
        <w:t>Педиатрична популация</w:t>
      </w:r>
    </w:p>
    <w:p w:rsidR="005A3387" w:rsidRPr="005A3387" w:rsidRDefault="005A3387" w:rsidP="005A3387">
      <w:pPr>
        <w:spacing w:line="240" w:lineRule="auto"/>
        <w:rPr>
          <w:rFonts w:eastAsia="Times New Roman" w:cs="Arial"/>
          <w:sz w:val="24"/>
          <w:szCs w:val="24"/>
        </w:rPr>
      </w:pPr>
      <w:r w:rsidRPr="005A3387">
        <w:rPr>
          <w:rFonts w:eastAsia="Times New Roman" w:cs="Arial"/>
          <w:color w:val="000000"/>
          <w:lang w:eastAsia="bg-BG"/>
        </w:rPr>
        <w:t>Ако при юноши е необходимо лечението да се продължи повече от 3 дни или симптомите се влошат, трябва да се направи консултация с лекар.</w:t>
      </w:r>
    </w:p>
    <w:p w:rsidR="005A3387" w:rsidRPr="005A3387" w:rsidRDefault="005A3387" w:rsidP="005A3387">
      <w:pPr>
        <w:spacing w:line="240" w:lineRule="auto"/>
        <w:rPr>
          <w:rFonts w:eastAsia="Times New Roman" w:cs="Arial"/>
          <w:i/>
          <w:iCs/>
          <w:color w:val="000000"/>
          <w:lang w:eastAsia="bg-BG"/>
        </w:rPr>
      </w:pPr>
    </w:p>
    <w:p w:rsidR="005A3387" w:rsidRPr="005A3387" w:rsidRDefault="005A3387" w:rsidP="005A3387">
      <w:pPr>
        <w:spacing w:line="240" w:lineRule="auto"/>
        <w:rPr>
          <w:rFonts w:eastAsia="Times New Roman" w:cs="Arial"/>
          <w:sz w:val="24"/>
          <w:szCs w:val="24"/>
        </w:rPr>
      </w:pPr>
      <w:r w:rsidRPr="005A3387">
        <w:rPr>
          <w:rFonts w:eastAsia="Times New Roman" w:cs="Arial"/>
          <w:i/>
          <w:iCs/>
          <w:color w:val="000000"/>
          <w:lang w:eastAsia="bg-BG"/>
        </w:rPr>
        <w:t>Пациенти в старческа възраст</w:t>
      </w:r>
    </w:p>
    <w:p w:rsidR="005A3387" w:rsidRPr="005A3387" w:rsidRDefault="005A3387" w:rsidP="005A3387">
      <w:pPr>
        <w:spacing w:line="240" w:lineRule="auto"/>
        <w:rPr>
          <w:rFonts w:eastAsia="Times New Roman" w:cs="Arial"/>
          <w:sz w:val="24"/>
          <w:szCs w:val="24"/>
        </w:rPr>
      </w:pPr>
      <w:r w:rsidRPr="005A3387">
        <w:rPr>
          <w:rFonts w:eastAsia="Times New Roman" w:cs="Arial"/>
          <w:color w:val="000000"/>
          <w:lang w:eastAsia="bg-BG"/>
        </w:rPr>
        <w:t>При пациенти в старческа възраст не е необходима промяна на дозата.</w:t>
      </w:r>
    </w:p>
    <w:p w:rsidR="005A3387" w:rsidRPr="005A3387" w:rsidRDefault="005A3387" w:rsidP="005A3387">
      <w:pPr>
        <w:spacing w:line="240" w:lineRule="auto"/>
        <w:rPr>
          <w:rFonts w:eastAsia="Times New Roman" w:cs="Arial"/>
          <w:sz w:val="24"/>
          <w:szCs w:val="24"/>
        </w:rPr>
      </w:pPr>
      <w:r w:rsidRPr="005A3387">
        <w:rPr>
          <w:rFonts w:eastAsia="Times New Roman" w:cs="Arial"/>
          <w:color w:val="000000"/>
          <w:lang w:eastAsia="bg-BG"/>
        </w:rPr>
        <w:t>НСПВС трябва да се прилагат с повишено внимание при пациентите в старческа възраст, които са по-склонни към нежелани лекарствени реакции и при които има повишен риск от потенциално фатален стомашно-чревен кръвоизлив, улцерация или перфорация (вж. точка 4.4). Ако е необходимо лечение с НСПВС, трябва да се използва най-ниската доза в продължение на най-краткия период, необходим за овладяване на симптомите. Лечението трябва да се подлага редовно на преоценка и да бъде преустановено, ако не се наблюдава подобрение или настъпи непоносимост към лекарството.</w:t>
      </w:r>
    </w:p>
    <w:p w:rsidR="005A3387" w:rsidRPr="005A3387" w:rsidRDefault="005A3387" w:rsidP="005A3387">
      <w:pPr>
        <w:spacing w:line="240" w:lineRule="auto"/>
        <w:rPr>
          <w:rFonts w:eastAsia="Times New Roman" w:cs="Arial"/>
          <w:i/>
          <w:iCs/>
          <w:color w:val="000000"/>
          <w:lang w:eastAsia="bg-BG"/>
        </w:rPr>
      </w:pPr>
    </w:p>
    <w:p w:rsidR="005A3387" w:rsidRPr="005A3387" w:rsidRDefault="005A3387" w:rsidP="005A3387">
      <w:pPr>
        <w:spacing w:line="240" w:lineRule="auto"/>
        <w:rPr>
          <w:rFonts w:eastAsia="Times New Roman" w:cs="Arial"/>
          <w:sz w:val="24"/>
          <w:szCs w:val="24"/>
        </w:rPr>
      </w:pPr>
      <w:r w:rsidRPr="005A3387">
        <w:rPr>
          <w:rFonts w:eastAsia="Times New Roman" w:cs="Arial"/>
          <w:i/>
          <w:iCs/>
          <w:color w:val="000000"/>
          <w:lang w:eastAsia="bg-BG"/>
        </w:rPr>
        <w:t>Увредена бъбречна функция</w:t>
      </w:r>
    </w:p>
    <w:p w:rsidR="005A3387" w:rsidRPr="005A3387" w:rsidRDefault="005A3387" w:rsidP="005A3387">
      <w:pPr>
        <w:spacing w:line="240" w:lineRule="auto"/>
        <w:rPr>
          <w:rFonts w:eastAsia="Times New Roman" w:cs="Arial"/>
          <w:sz w:val="24"/>
          <w:szCs w:val="24"/>
        </w:rPr>
      </w:pPr>
      <w:r w:rsidRPr="005A3387">
        <w:rPr>
          <w:rFonts w:eastAsia="Times New Roman" w:cs="Arial"/>
          <w:color w:val="000000"/>
          <w:lang w:eastAsia="bg-BG"/>
        </w:rPr>
        <w:t>При пациенти с леко до умерено увредена бъбречна функция дозата трябва да бъде възможно най-ниска и да се прилага за възможно най-краткия период, необходим за овладяване на симптомите, като същевременно е необходимо да се следи за бъбречната функция (вж. точка 4.3)</w:t>
      </w:r>
    </w:p>
    <w:p w:rsidR="005A3387" w:rsidRPr="005A3387" w:rsidRDefault="005A3387" w:rsidP="005A3387">
      <w:pPr>
        <w:spacing w:line="240" w:lineRule="auto"/>
        <w:rPr>
          <w:rFonts w:eastAsia="Times New Roman" w:cs="Arial"/>
          <w:i/>
          <w:iCs/>
          <w:color w:val="000000"/>
          <w:lang w:eastAsia="bg-BG"/>
        </w:rPr>
      </w:pPr>
    </w:p>
    <w:p w:rsidR="005A3387" w:rsidRPr="005A3387" w:rsidRDefault="005A3387" w:rsidP="005A3387">
      <w:pPr>
        <w:spacing w:line="240" w:lineRule="auto"/>
        <w:rPr>
          <w:rFonts w:eastAsia="Times New Roman" w:cs="Arial"/>
          <w:sz w:val="24"/>
          <w:szCs w:val="24"/>
        </w:rPr>
      </w:pPr>
      <w:r w:rsidRPr="005A3387">
        <w:rPr>
          <w:rFonts w:eastAsia="Times New Roman" w:cs="Arial"/>
          <w:i/>
          <w:iCs/>
          <w:color w:val="000000"/>
          <w:lang w:eastAsia="bg-BG"/>
        </w:rPr>
        <w:t>Увредена чернодробна функция</w:t>
      </w:r>
    </w:p>
    <w:p w:rsidR="005A3387" w:rsidRPr="005A3387" w:rsidRDefault="005A3387" w:rsidP="005A3387">
      <w:pPr>
        <w:spacing w:line="240" w:lineRule="auto"/>
        <w:rPr>
          <w:rFonts w:eastAsia="Times New Roman" w:cs="Arial"/>
          <w:sz w:val="24"/>
          <w:szCs w:val="24"/>
        </w:rPr>
      </w:pPr>
      <w:r w:rsidRPr="005A3387">
        <w:rPr>
          <w:rFonts w:eastAsia="Times New Roman" w:cs="Arial"/>
          <w:color w:val="000000"/>
          <w:lang w:eastAsia="bg-BG"/>
        </w:rPr>
        <w:t>При пациенти с леко до умерено увредена чернодробна функция дозата трябва да бъде възможно най-ниска и да се прилага за възможно най-краткия период, необходим за овладяване на симптомите, като същевременно е необходимо да се следи за чернодробната функция (вж. точка 4.3)</w:t>
      </w:r>
    </w:p>
    <w:p w:rsidR="005A3387" w:rsidRPr="005A3387" w:rsidRDefault="005A3387" w:rsidP="005A3387"/>
    <w:p w:rsidR="00DF4C8E" w:rsidRDefault="002C50EE" w:rsidP="00F44498">
      <w:pPr>
        <w:pStyle w:val="Heading2"/>
      </w:pPr>
      <w:r>
        <w:t>4.3. Противопоказания</w:t>
      </w:r>
    </w:p>
    <w:p w:rsidR="005A3387" w:rsidRDefault="005A3387" w:rsidP="005A3387"/>
    <w:p w:rsidR="005A3387" w:rsidRPr="005A3387" w:rsidRDefault="005A3387" w:rsidP="005A3387">
      <w:pPr>
        <w:spacing w:line="240" w:lineRule="auto"/>
        <w:rPr>
          <w:rFonts w:eastAsia="Times New Roman" w:cs="Arial"/>
          <w:sz w:val="24"/>
          <w:szCs w:val="24"/>
        </w:rPr>
      </w:pPr>
      <w:r w:rsidRPr="005A3387">
        <w:rPr>
          <w:rFonts w:eastAsia="Times New Roman" w:cs="Arial"/>
          <w:color w:val="000000"/>
          <w:lang w:eastAsia="bg-BG"/>
        </w:rPr>
        <w:t>Ибупрофен е противопоказан при пациенти със:</w:t>
      </w:r>
    </w:p>
    <w:p w:rsidR="005A3387" w:rsidRPr="005A3387" w:rsidRDefault="005A3387" w:rsidP="005A3387">
      <w:pPr>
        <w:pStyle w:val="ListParagraph"/>
        <w:numPr>
          <w:ilvl w:val="0"/>
          <w:numId w:val="35"/>
        </w:numPr>
        <w:spacing w:line="240" w:lineRule="auto"/>
        <w:rPr>
          <w:rFonts w:eastAsia="Times New Roman" w:cs="Arial"/>
          <w:sz w:val="24"/>
          <w:szCs w:val="24"/>
        </w:rPr>
      </w:pPr>
      <w:r w:rsidRPr="005A3387">
        <w:rPr>
          <w:rFonts w:eastAsia="Times New Roman" w:cs="Arial"/>
          <w:color w:val="000000"/>
          <w:lang w:eastAsia="bg-BG"/>
        </w:rPr>
        <w:t xml:space="preserve">свръхчувствителност към активното вещество или към някое от помощните вещества; </w:t>
      </w:r>
    </w:p>
    <w:p w:rsidR="005A3387" w:rsidRPr="005A3387" w:rsidRDefault="005A3387" w:rsidP="005A3387">
      <w:pPr>
        <w:pStyle w:val="ListParagraph"/>
        <w:numPr>
          <w:ilvl w:val="0"/>
          <w:numId w:val="35"/>
        </w:numPr>
        <w:spacing w:line="240" w:lineRule="auto"/>
        <w:rPr>
          <w:rFonts w:eastAsia="Times New Roman" w:cs="Arial"/>
          <w:sz w:val="24"/>
          <w:szCs w:val="24"/>
        </w:rPr>
      </w:pPr>
      <w:r w:rsidRPr="005A3387">
        <w:rPr>
          <w:rFonts w:eastAsia="Times New Roman" w:cs="Arial"/>
          <w:color w:val="000000"/>
          <w:lang w:eastAsia="bg-BG"/>
        </w:rPr>
        <w:t>предишни реакции на свръхчувствителност (напр. астма, уртикария, ангиоедем или ринит) към ацетилсалицилова киселина или други НСПВС;</w:t>
      </w:r>
    </w:p>
    <w:p w:rsidR="005A3387" w:rsidRPr="005A3387" w:rsidRDefault="005A3387" w:rsidP="005A3387">
      <w:pPr>
        <w:pStyle w:val="ListParagraph"/>
        <w:numPr>
          <w:ilvl w:val="0"/>
          <w:numId w:val="35"/>
        </w:numPr>
        <w:spacing w:line="240" w:lineRule="auto"/>
        <w:rPr>
          <w:rFonts w:eastAsia="Times New Roman" w:cs="Arial"/>
          <w:sz w:val="24"/>
          <w:szCs w:val="24"/>
        </w:rPr>
      </w:pPr>
      <w:r w:rsidRPr="005A3387">
        <w:rPr>
          <w:rFonts w:eastAsia="Times New Roman" w:cs="Arial"/>
          <w:color w:val="000000"/>
          <w:lang w:eastAsia="bg-BG"/>
        </w:rPr>
        <w:t>анамнеза на стомашно-чревен кръвоизлив или перфорация, свързана с предишна терапия с НСПВС;</w:t>
      </w:r>
    </w:p>
    <w:p w:rsidR="005A3387" w:rsidRPr="005A3387" w:rsidRDefault="005A3387" w:rsidP="005A3387">
      <w:pPr>
        <w:pStyle w:val="ListParagraph"/>
        <w:numPr>
          <w:ilvl w:val="0"/>
          <w:numId w:val="35"/>
        </w:numPr>
        <w:spacing w:line="240" w:lineRule="auto"/>
        <w:rPr>
          <w:rFonts w:eastAsia="Times New Roman" w:cs="Arial"/>
          <w:sz w:val="24"/>
          <w:szCs w:val="24"/>
        </w:rPr>
      </w:pPr>
      <w:r w:rsidRPr="005A3387">
        <w:rPr>
          <w:rFonts w:eastAsia="Times New Roman" w:cs="Arial"/>
          <w:color w:val="000000"/>
          <w:lang w:eastAsia="bg-BG"/>
        </w:rPr>
        <w:t>активна или неотдавна прекарана пептична язва или гастроинтестинална хеморагия (два или повече изявени епизода на доказана улцерация или кървене);</w:t>
      </w:r>
    </w:p>
    <w:p w:rsidR="005A3387" w:rsidRPr="005A3387" w:rsidRDefault="005A3387" w:rsidP="005A3387">
      <w:pPr>
        <w:pStyle w:val="ListParagraph"/>
        <w:numPr>
          <w:ilvl w:val="0"/>
          <w:numId w:val="35"/>
        </w:numPr>
        <w:spacing w:line="240" w:lineRule="auto"/>
        <w:rPr>
          <w:rFonts w:eastAsia="Times New Roman" w:cs="Arial"/>
          <w:sz w:val="24"/>
          <w:szCs w:val="24"/>
        </w:rPr>
      </w:pPr>
      <w:r w:rsidRPr="005A3387">
        <w:rPr>
          <w:rFonts w:eastAsia="Times New Roman" w:cs="Arial"/>
          <w:color w:val="000000"/>
          <w:lang w:eastAsia="bg-BG"/>
        </w:rPr>
        <w:t>тежка чернодробна или тежка бъбречна недостатъчност;</w:t>
      </w:r>
    </w:p>
    <w:p w:rsidR="005A3387" w:rsidRPr="005A3387" w:rsidRDefault="005A3387" w:rsidP="005A3387">
      <w:pPr>
        <w:pStyle w:val="ListParagraph"/>
        <w:numPr>
          <w:ilvl w:val="0"/>
          <w:numId w:val="35"/>
        </w:numPr>
        <w:spacing w:line="240" w:lineRule="auto"/>
        <w:rPr>
          <w:rFonts w:eastAsia="Times New Roman" w:cs="Arial"/>
          <w:sz w:val="24"/>
          <w:szCs w:val="24"/>
        </w:rPr>
      </w:pPr>
      <w:r w:rsidRPr="005A3387">
        <w:rPr>
          <w:rFonts w:eastAsia="Times New Roman" w:cs="Arial"/>
          <w:color w:val="000000"/>
          <w:lang w:eastAsia="bg-BG"/>
        </w:rPr>
        <w:t>тежка сърдечна недостатъчност или коронарна болест на сърцето;</w:t>
      </w:r>
    </w:p>
    <w:p w:rsidR="005A3387" w:rsidRPr="005A3387" w:rsidRDefault="005A3387" w:rsidP="005A3387">
      <w:pPr>
        <w:pStyle w:val="ListParagraph"/>
        <w:numPr>
          <w:ilvl w:val="0"/>
          <w:numId w:val="35"/>
        </w:numPr>
        <w:spacing w:line="240" w:lineRule="auto"/>
        <w:rPr>
          <w:rFonts w:eastAsia="Times New Roman" w:cs="Arial"/>
          <w:sz w:val="24"/>
          <w:szCs w:val="24"/>
        </w:rPr>
      </w:pPr>
      <w:r w:rsidRPr="005A3387">
        <w:rPr>
          <w:rFonts w:eastAsia="Times New Roman" w:cs="Arial"/>
          <w:color w:val="000000"/>
          <w:lang w:eastAsia="bg-BG"/>
        </w:rPr>
        <w:lastRenderedPageBreak/>
        <w:t>трети триместьр от бременността (вж. точка 4.6);</w:t>
      </w:r>
    </w:p>
    <w:p w:rsidR="005A3387" w:rsidRPr="005A3387" w:rsidRDefault="005A3387" w:rsidP="005A3387">
      <w:pPr>
        <w:pStyle w:val="ListParagraph"/>
        <w:numPr>
          <w:ilvl w:val="0"/>
          <w:numId w:val="35"/>
        </w:numPr>
        <w:spacing w:line="240" w:lineRule="auto"/>
        <w:rPr>
          <w:rFonts w:eastAsia="Times New Roman" w:cs="Arial"/>
          <w:sz w:val="24"/>
          <w:szCs w:val="24"/>
        </w:rPr>
      </w:pPr>
      <w:r w:rsidRPr="005A3387">
        <w:rPr>
          <w:rFonts w:eastAsia="Times New Roman" w:cs="Arial"/>
          <w:color w:val="000000"/>
          <w:lang w:eastAsia="bg-BG"/>
        </w:rPr>
        <w:t>значителна дехидратация (причинена от повръщане, диария или недостатъчен прием на течности);</w:t>
      </w:r>
    </w:p>
    <w:p w:rsidR="005A3387" w:rsidRPr="005A3387" w:rsidRDefault="005A3387" w:rsidP="005A3387">
      <w:pPr>
        <w:pStyle w:val="ListParagraph"/>
        <w:numPr>
          <w:ilvl w:val="0"/>
          <w:numId w:val="35"/>
        </w:numPr>
        <w:spacing w:line="240" w:lineRule="auto"/>
        <w:rPr>
          <w:rFonts w:eastAsia="Times New Roman" w:cs="Arial"/>
          <w:sz w:val="24"/>
          <w:szCs w:val="24"/>
        </w:rPr>
      </w:pPr>
      <w:r w:rsidRPr="005A3387">
        <w:rPr>
          <w:rFonts w:eastAsia="Times New Roman" w:cs="Arial"/>
          <w:color w:val="000000"/>
          <w:lang w:eastAsia="bg-BG"/>
        </w:rPr>
        <w:t>цереброваскуларни или други активни кръвоизливи;</w:t>
      </w:r>
    </w:p>
    <w:p w:rsidR="005A3387" w:rsidRPr="005A3387" w:rsidRDefault="005A3387" w:rsidP="005A3387">
      <w:pPr>
        <w:pStyle w:val="ListParagraph"/>
        <w:numPr>
          <w:ilvl w:val="0"/>
          <w:numId w:val="35"/>
        </w:numPr>
        <w:spacing w:line="240" w:lineRule="auto"/>
        <w:rPr>
          <w:rFonts w:eastAsia="Times New Roman" w:cs="Arial"/>
          <w:sz w:val="24"/>
          <w:szCs w:val="24"/>
        </w:rPr>
      </w:pPr>
      <w:r w:rsidRPr="005A3387">
        <w:rPr>
          <w:rFonts w:eastAsia="Times New Roman" w:cs="Arial"/>
          <w:color w:val="000000"/>
          <w:lang w:eastAsia="bg-BG"/>
        </w:rPr>
        <w:t>неизяснени смущения в хемопоезата;</w:t>
      </w:r>
    </w:p>
    <w:p w:rsidR="005A3387" w:rsidRPr="005A3387" w:rsidRDefault="005A3387" w:rsidP="005A3387">
      <w:pPr>
        <w:pStyle w:val="ListParagraph"/>
        <w:numPr>
          <w:ilvl w:val="0"/>
          <w:numId w:val="35"/>
        </w:numPr>
        <w:spacing w:line="240" w:lineRule="auto"/>
        <w:rPr>
          <w:rFonts w:eastAsia="Times New Roman" w:cs="Arial"/>
          <w:sz w:val="24"/>
          <w:szCs w:val="24"/>
        </w:rPr>
      </w:pPr>
      <w:r w:rsidRPr="005A3387">
        <w:rPr>
          <w:rFonts w:eastAsia="Times New Roman" w:cs="Arial"/>
          <w:color w:val="000000"/>
          <w:lang w:eastAsia="bg-BG"/>
        </w:rPr>
        <w:t>деца под 12 годишна възраст без лекарско предписание</w:t>
      </w:r>
    </w:p>
    <w:p w:rsidR="005A3387" w:rsidRPr="005A3387" w:rsidRDefault="005A3387" w:rsidP="005A3387"/>
    <w:p w:rsidR="00DF4C8E" w:rsidRDefault="002C50EE" w:rsidP="00F44498">
      <w:pPr>
        <w:pStyle w:val="Heading2"/>
      </w:pPr>
      <w:r>
        <w:t>4.4. Специални предупреждения и предпазни мерки при употреба</w:t>
      </w:r>
    </w:p>
    <w:p w:rsidR="005A3387" w:rsidRDefault="005A3387" w:rsidP="005A3387"/>
    <w:p w:rsidR="005A3387" w:rsidRPr="005A3387" w:rsidRDefault="005A3387" w:rsidP="005A3387">
      <w:pPr>
        <w:spacing w:line="240" w:lineRule="auto"/>
        <w:rPr>
          <w:rFonts w:eastAsia="Times New Roman" w:cs="Arial"/>
        </w:rPr>
      </w:pPr>
      <w:r w:rsidRPr="005A3387">
        <w:rPr>
          <w:rFonts w:eastAsia="Times New Roman" w:cs="Arial"/>
          <w:color w:val="000000"/>
          <w:lang w:eastAsia="bg-BG"/>
        </w:rPr>
        <w:t>Едновременната употреба на ибупрофен с НСПВС, включително селективни инхибитори на циклооксигеназа-2, трябва да се избягва поради възможни адитивни ефекти.</w:t>
      </w:r>
    </w:p>
    <w:p w:rsidR="005A3387" w:rsidRPr="005A3387" w:rsidRDefault="005A3387" w:rsidP="005A3387">
      <w:pPr>
        <w:spacing w:line="240" w:lineRule="auto"/>
        <w:rPr>
          <w:rFonts w:eastAsia="Times New Roman" w:cs="Arial"/>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color w:val="000000"/>
          <w:lang w:eastAsia="bg-BG"/>
        </w:rPr>
        <w:t>Болните от астма трябва да се консултират с лекар преди да приемат ибупрофен.</w:t>
      </w:r>
    </w:p>
    <w:p w:rsidR="005A3387" w:rsidRPr="005A3387" w:rsidRDefault="005A3387" w:rsidP="005A3387">
      <w:pPr>
        <w:spacing w:line="240" w:lineRule="auto"/>
        <w:rPr>
          <w:rFonts w:eastAsia="Times New Roman" w:cs="Arial"/>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color w:val="000000"/>
          <w:lang w:eastAsia="bg-BG"/>
        </w:rPr>
        <w:t>Нежеланите лекарствени реакции могат да се сведат до минимум, ако се използва най-ниската ефективна доза в продължение на възможно най-кратък срок, необходим за овладяване на</w:t>
      </w:r>
    </w:p>
    <w:p w:rsidR="005A3387" w:rsidRPr="005A3387" w:rsidRDefault="005A3387" w:rsidP="005A3387">
      <w:pPr>
        <w:spacing w:line="240" w:lineRule="auto"/>
        <w:rPr>
          <w:rFonts w:eastAsia="Times New Roman" w:cs="Arial"/>
        </w:rPr>
      </w:pPr>
      <w:r w:rsidRPr="005A3387">
        <w:rPr>
          <w:rFonts w:eastAsia="Times New Roman" w:cs="Arial"/>
          <w:color w:val="000000"/>
          <w:lang w:eastAsia="bg-BG"/>
        </w:rPr>
        <w:t>симптомите (вж точка 4.2). Пациентите, лекувани продължително време с НСПВС, трябва да се</w:t>
      </w:r>
    </w:p>
    <w:p w:rsidR="005A3387" w:rsidRPr="005A3387" w:rsidRDefault="005A3387" w:rsidP="005A3387">
      <w:pPr>
        <w:rPr>
          <w:rFonts w:eastAsia="Times New Roman" w:cs="Arial"/>
          <w:color w:val="000000"/>
          <w:lang w:eastAsia="bg-BG"/>
        </w:rPr>
      </w:pPr>
      <w:r w:rsidRPr="005A3387">
        <w:rPr>
          <w:rFonts w:eastAsia="Times New Roman" w:cs="Arial"/>
          <w:color w:val="000000"/>
          <w:lang w:eastAsia="bg-BG"/>
        </w:rPr>
        <w:t>изследват редовно за появата на нежелани реакции.</w:t>
      </w:r>
    </w:p>
    <w:p w:rsidR="005A3387" w:rsidRPr="005A3387" w:rsidRDefault="005A3387" w:rsidP="005A3387">
      <w:pPr>
        <w:rPr>
          <w:rFonts w:eastAsia="Times New Roman" w:cs="Arial"/>
          <w:color w:val="000000"/>
          <w:lang w:eastAsia="bg-BG"/>
        </w:rPr>
      </w:pPr>
    </w:p>
    <w:p w:rsidR="005A3387" w:rsidRPr="005A3387" w:rsidRDefault="005A3387" w:rsidP="005A3387">
      <w:pPr>
        <w:spacing w:line="240" w:lineRule="auto"/>
        <w:rPr>
          <w:rFonts w:eastAsia="Times New Roman" w:cs="Arial"/>
          <w:color w:val="000000"/>
          <w:lang w:eastAsia="bg-BG"/>
        </w:rPr>
      </w:pPr>
      <w:r w:rsidRPr="005A3387">
        <w:rPr>
          <w:rFonts w:eastAsia="Times New Roman" w:cs="Arial"/>
          <w:color w:val="000000"/>
          <w:lang w:eastAsia="bg-BG"/>
        </w:rPr>
        <w:t xml:space="preserve">Ибупрофен се прилага само след оценка на съотношението полза-риск в следните случаи: </w:t>
      </w:r>
    </w:p>
    <w:p w:rsidR="005A3387" w:rsidRPr="005A3387" w:rsidRDefault="005A3387" w:rsidP="005A3387">
      <w:pPr>
        <w:pStyle w:val="ListParagraph"/>
        <w:numPr>
          <w:ilvl w:val="0"/>
          <w:numId w:val="35"/>
        </w:numPr>
        <w:spacing w:line="240" w:lineRule="auto"/>
        <w:rPr>
          <w:rFonts w:eastAsia="Times New Roman" w:cs="Arial"/>
        </w:rPr>
      </w:pPr>
      <w:r w:rsidRPr="005A3387">
        <w:rPr>
          <w:rFonts w:eastAsia="Times New Roman" w:cs="Arial"/>
          <w:color w:val="000000"/>
          <w:lang w:eastAsia="bg-BG"/>
        </w:rPr>
        <w:t xml:space="preserve">системен лупус еритематодес </w:t>
      </w:r>
      <w:r w:rsidRPr="005A3387">
        <w:rPr>
          <w:rFonts w:eastAsia="Times New Roman" w:cs="Arial"/>
          <w:color w:val="000000"/>
          <w:lang w:val="ru-RU"/>
        </w:rPr>
        <w:t>(</w:t>
      </w:r>
      <w:r w:rsidRPr="005A3387">
        <w:rPr>
          <w:rFonts w:eastAsia="Times New Roman" w:cs="Arial"/>
          <w:color w:val="000000"/>
          <w:lang w:val="en-US"/>
        </w:rPr>
        <w:t>SLE</w:t>
      </w:r>
      <w:r w:rsidRPr="005A3387">
        <w:rPr>
          <w:rFonts w:eastAsia="Times New Roman" w:cs="Arial"/>
          <w:color w:val="000000"/>
          <w:lang w:val="ru-RU"/>
        </w:rPr>
        <w:t xml:space="preserve">) </w:t>
      </w:r>
      <w:r w:rsidRPr="005A3387">
        <w:rPr>
          <w:rFonts w:eastAsia="Times New Roman" w:cs="Arial"/>
          <w:color w:val="000000"/>
          <w:lang w:eastAsia="bg-BG"/>
        </w:rPr>
        <w:t xml:space="preserve">или смесено съединително-тъкан но заболяване - повишен риск от асептичен менингит (вж точка 4.8 Нежелани лекарствени реакции) </w:t>
      </w:r>
    </w:p>
    <w:p w:rsidR="005A3387" w:rsidRPr="005A3387" w:rsidRDefault="005A3387" w:rsidP="005A3387">
      <w:pPr>
        <w:pStyle w:val="ListParagraph"/>
        <w:numPr>
          <w:ilvl w:val="0"/>
          <w:numId w:val="35"/>
        </w:numPr>
        <w:spacing w:line="240" w:lineRule="auto"/>
        <w:rPr>
          <w:rFonts w:eastAsia="Times New Roman" w:cs="Arial"/>
        </w:rPr>
      </w:pPr>
      <w:r w:rsidRPr="005A3387">
        <w:rPr>
          <w:rFonts w:eastAsia="Times New Roman" w:cs="Arial"/>
          <w:color w:val="000000"/>
          <w:lang w:eastAsia="bg-BG"/>
        </w:rPr>
        <w:t xml:space="preserve">вродено нарушение на метаболизма на порфирин (напр. остра интермитентна порфирия); </w:t>
      </w:r>
    </w:p>
    <w:p w:rsidR="005A3387" w:rsidRPr="005A3387" w:rsidRDefault="005A3387" w:rsidP="005A3387">
      <w:pPr>
        <w:pStyle w:val="ListParagraph"/>
        <w:numPr>
          <w:ilvl w:val="0"/>
          <w:numId w:val="35"/>
        </w:numPr>
        <w:spacing w:line="240" w:lineRule="auto"/>
        <w:rPr>
          <w:rFonts w:eastAsia="Times New Roman" w:cs="Arial"/>
        </w:rPr>
      </w:pPr>
      <w:r w:rsidRPr="005A3387">
        <w:rPr>
          <w:rFonts w:eastAsia="Times New Roman" w:cs="Arial"/>
          <w:color w:val="000000"/>
          <w:lang w:eastAsia="bg-BG"/>
        </w:rPr>
        <w:t xml:space="preserve">през първи и втори триместър от бременността; </w:t>
      </w:r>
    </w:p>
    <w:p w:rsidR="005A3387" w:rsidRPr="005A3387" w:rsidRDefault="005A3387" w:rsidP="005A3387">
      <w:pPr>
        <w:pStyle w:val="ListParagraph"/>
        <w:numPr>
          <w:ilvl w:val="0"/>
          <w:numId w:val="35"/>
        </w:numPr>
        <w:spacing w:line="240" w:lineRule="auto"/>
        <w:rPr>
          <w:rFonts w:eastAsia="Times New Roman" w:cs="Arial"/>
        </w:rPr>
      </w:pPr>
      <w:r w:rsidRPr="005A3387">
        <w:rPr>
          <w:rFonts w:eastAsia="Times New Roman" w:cs="Arial"/>
          <w:color w:val="000000"/>
          <w:lang w:eastAsia="bg-BG"/>
        </w:rPr>
        <w:t>кърмене.</w:t>
      </w:r>
    </w:p>
    <w:p w:rsidR="005A3387" w:rsidRPr="005A3387" w:rsidRDefault="005A3387" w:rsidP="005A3387">
      <w:pPr>
        <w:spacing w:line="240" w:lineRule="auto"/>
        <w:rPr>
          <w:rFonts w:eastAsia="Times New Roman" w:cs="Arial"/>
          <w:color w:val="000000"/>
          <w:lang w:eastAsia="bg-BG"/>
        </w:rPr>
      </w:pPr>
    </w:p>
    <w:p w:rsidR="005A3387" w:rsidRPr="005A3387" w:rsidRDefault="005A3387" w:rsidP="005A3387">
      <w:pPr>
        <w:spacing w:line="240" w:lineRule="auto"/>
        <w:rPr>
          <w:rFonts w:eastAsia="Times New Roman" w:cs="Arial"/>
          <w:color w:val="000000"/>
          <w:lang w:eastAsia="bg-BG"/>
        </w:rPr>
      </w:pPr>
      <w:r w:rsidRPr="005A3387">
        <w:rPr>
          <w:rFonts w:eastAsia="Times New Roman" w:cs="Arial"/>
          <w:color w:val="000000"/>
          <w:lang w:eastAsia="bg-BG"/>
        </w:rPr>
        <w:t xml:space="preserve">Необходимо е специално внимание в следните случаи: </w:t>
      </w:r>
    </w:p>
    <w:p w:rsidR="005A3387" w:rsidRPr="005A3387" w:rsidRDefault="005A3387" w:rsidP="005A3387">
      <w:pPr>
        <w:pStyle w:val="ListParagraph"/>
        <w:numPr>
          <w:ilvl w:val="0"/>
          <w:numId w:val="35"/>
        </w:numPr>
        <w:spacing w:line="240" w:lineRule="auto"/>
        <w:rPr>
          <w:rFonts w:eastAsia="Times New Roman" w:cs="Arial"/>
        </w:rPr>
      </w:pPr>
      <w:r w:rsidRPr="005A3387">
        <w:rPr>
          <w:rFonts w:eastAsia="Times New Roman" w:cs="Arial"/>
          <w:color w:val="000000"/>
          <w:lang w:eastAsia="bg-BG"/>
        </w:rPr>
        <w:t>гастроинтестинални заболявания, в това число хронични възпалителни интестинални заболявай ия (улцерозен колит, болест на Крон);</w:t>
      </w:r>
    </w:p>
    <w:p w:rsidR="005A3387" w:rsidRPr="005A3387" w:rsidRDefault="005A3387" w:rsidP="005A3387">
      <w:pPr>
        <w:pStyle w:val="ListParagraph"/>
        <w:numPr>
          <w:ilvl w:val="0"/>
          <w:numId w:val="35"/>
        </w:numPr>
        <w:spacing w:line="240" w:lineRule="auto"/>
        <w:rPr>
          <w:rFonts w:eastAsia="Times New Roman" w:cs="Arial"/>
        </w:rPr>
      </w:pPr>
      <w:r w:rsidRPr="005A3387">
        <w:rPr>
          <w:rFonts w:eastAsia="Times New Roman" w:cs="Arial"/>
          <w:color w:val="000000"/>
          <w:lang w:eastAsia="bg-BG"/>
        </w:rPr>
        <w:t>сърдечна недостатъчност и хипертензия;</w:t>
      </w:r>
    </w:p>
    <w:p w:rsidR="005A3387" w:rsidRPr="005A3387" w:rsidRDefault="005A3387" w:rsidP="005A3387">
      <w:pPr>
        <w:pStyle w:val="ListParagraph"/>
        <w:numPr>
          <w:ilvl w:val="0"/>
          <w:numId w:val="35"/>
        </w:numPr>
        <w:spacing w:line="240" w:lineRule="auto"/>
        <w:rPr>
          <w:rFonts w:eastAsia="Times New Roman" w:cs="Arial"/>
        </w:rPr>
      </w:pPr>
      <w:r w:rsidRPr="005A3387">
        <w:rPr>
          <w:rFonts w:eastAsia="Times New Roman" w:cs="Arial"/>
          <w:color w:val="000000"/>
          <w:lang w:eastAsia="bg-BG"/>
        </w:rPr>
        <w:t xml:space="preserve">намалена бъбречна функция </w:t>
      </w:r>
    </w:p>
    <w:p w:rsidR="005A3387" w:rsidRPr="005A3387" w:rsidRDefault="005A3387" w:rsidP="005A3387">
      <w:pPr>
        <w:pStyle w:val="ListParagraph"/>
        <w:numPr>
          <w:ilvl w:val="0"/>
          <w:numId w:val="35"/>
        </w:numPr>
        <w:spacing w:line="240" w:lineRule="auto"/>
        <w:rPr>
          <w:rFonts w:eastAsia="Times New Roman" w:cs="Arial"/>
        </w:rPr>
      </w:pPr>
      <w:r w:rsidRPr="005A3387">
        <w:rPr>
          <w:rFonts w:eastAsia="Times New Roman" w:cs="Arial"/>
          <w:color w:val="000000"/>
          <w:lang w:eastAsia="bg-BG"/>
        </w:rPr>
        <w:t xml:space="preserve">увредена чернодробна функция; </w:t>
      </w:r>
    </w:p>
    <w:p w:rsidR="005A3387" w:rsidRPr="005A3387" w:rsidRDefault="005A3387" w:rsidP="005A3387">
      <w:pPr>
        <w:pStyle w:val="ListParagraph"/>
        <w:numPr>
          <w:ilvl w:val="0"/>
          <w:numId w:val="35"/>
        </w:numPr>
        <w:spacing w:line="240" w:lineRule="auto"/>
        <w:rPr>
          <w:rFonts w:eastAsia="Times New Roman" w:cs="Arial"/>
        </w:rPr>
      </w:pPr>
      <w:r w:rsidRPr="005A3387">
        <w:rPr>
          <w:rFonts w:eastAsia="Times New Roman" w:cs="Arial"/>
          <w:color w:val="000000"/>
          <w:lang w:eastAsia="bg-BG"/>
        </w:rPr>
        <w:t xml:space="preserve">нарушена коагулация на кръвта; </w:t>
      </w:r>
    </w:p>
    <w:p w:rsidR="005A3387" w:rsidRPr="005A3387" w:rsidRDefault="005A3387" w:rsidP="005A3387">
      <w:pPr>
        <w:pStyle w:val="ListParagraph"/>
        <w:numPr>
          <w:ilvl w:val="0"/>
          <w:numId w:val="35"/>
        </w:numPr>
        <w:spacing w:line="240" w:lineRule="auto"/>
        <w:rPr>
          <w:rFonts w:eastAsia="Times New Roman" w:cs="Arial"/>
        </w:rPr>
      </w:pPr>
      <w:r w:rsidRPr="005A3387">
        <w:rPr>
          <w:rFonts w:eastAsia="Times New Roman" w:cs="Arial"/>
          <w:color w:val="000000"/>
          <w:lang w:eastAsia="bg-BG"/>
        </w:rPr>
        <w:t>алергии, сенна хрема, хроничен оток на носната лигавица, аденоиди, хронична обструктивна белодробна болест или бронхиална астма;</w:t>
      </w:r>
    </w:p>
    <w:p w:rsidR="005A3387" w:rsidRPr="005A3387" w:rsidRDefault="005A3387" w:rsidP="005A3387">
      <w:pPr>
        <w:pStyle w:val="ListParagraph"/>
        <w:numPr>
          <w:ilvl w:val="0"/>
          <w:numId w:val="35"/>
        </w:numPr>
        <w:spacing w:line="240" w:lineRule="auto"/>
        <w:rPr>
          <w:rFonts w:eastAsia="Times New Roman" w:cs="Arial"/>
        </w:rPr>
      </w:pPr>
      <w:r w:rsidRPr="005A3387">
        <w:rPr>
          <w:rFonts w:eastAsia="Times New Roman" w:cs="Arial"/>
          <w:color w:val="000000"/>
          <w:lang w:eastAsia="bg-BG"/>
        </w:rPr>
        <w:t>веднага след сериозна хирургична интервенция.</w:t>
      </w:r>
    </w:p>
    <w:p w:rsidR="005A3387" w:rsidRPr="005A3387" w:rsidRDefault="005A3387" w:rsidP="005A3387">
      <w:pPr>
        <w:spacing w:line="240" w:lineRule="auto"/>
        <w:rPr>
          <w:rFonts w:eastAsia="Times New Roman" w:cs="Arial"/>
          <w:i/>
          <w:iCs/>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i/>
          <w:iCs/>
          <w:color w:val="000000"/>
          <w:lang w:eastAsia="bg-BG"/>
        </w:rPr>
        <w:t>Гастроинтестинално кървене, улцерация и перфорация</w:t>
      </w:r>
    </w:p>
    <w:p w:rsidR="005A3387" w:rsidRPr="005A3387" w:rsidRDefault="005A3387" w:rsidP="005A3387">
      <w:pPr>
        <w:spacing w:line="240" w:lineRule="auto"/>
        <w:rPr>
          <w:rFonts w:eastAsia="Times New Roman" w:cs="Arial"/>
        </w:rPr>
      </w:pPr>
      <w:r w:rsidRPr="005A3387">
        <w:rPr>
          <w:rFonts w:eastAsia="Times New Roman" w:cs="Arial"/>
          <w:color w:val="000000"/>
          <w:lang w:eastAsia="bg-BG"/>
        </w:rPr>
        <w:t>За гастроинтестинално кървене, улцерация и перфорация с възможен фатален изход се съобщава при употреба на всички НСПВС по всяко време на лечението, със или без предупредителни симптоми или анамнеза за сериозни гастроинтестинални инциденти в миналото.</w:t>
      </w:r>
    </w:p>
    <w:p w:rsidR="005A3387" w:rsidRPr="005A3387" w:rsidRDefault="005A3387" w:rsidP="005A3387">
      <w:pPr>
        <w:spacing w:line="240" w:lineRule="auto"/>
        <w:rPr>
          <w:rFonts w:eastAsia="Times New Roman" w:cs="Arial"/>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color w:val="000000"/>
          <w:lang w:eastAsia="bg-BG"/>
        </w:rPr>
        <w:t xml:space="preserve">Рискът от гастроинтестинално кървене, улцерация или перфорация се засилва при увеличаване дозите на НСПВС при пациенти с анамнеза за язвена болест, особено ако е </w:t>
      </w:r>
      <w:r w:rsidRPr="005A3387">
        <w:rPr>
          <w:rFonts w:eastAsia="Times New Roman" w:cs="Arial"/>
          <w:color w:val="000000"/>
          <w:lang w:eastAsia="bg-BG"/>
        </w:rPr>
        <w:lastRenderedPageBreak/>
        <w:t>съпроводена от усложнения като хеморагия или перфорация (вж. точка 4.3), както и при пациенти в старческа възраст. Такива пациенти трябва да започнат лечението с най-ниската налична доза.</w:t>
      </w:r>
    </w:p>
    <w:p w:rsidR="005A3387" w:rsidRPr="005A3387" w:rsidRDefault="005A3387" w:rsidP="005A3387">
      <w:pPr>
        <w:spacing w:line="240" w:lineRule="auto"/>
        <w:rPr>
          <w:rFonts w:eastAsia="Times New Roman" w:cs="Arial"/>
        </w:rPr>
      </w:pPr>
      <w:r w:rsidRPr="005A3387">
        <w:rPr>
          <w:rFonts w:eastAsia="Times New Roman" w:cs="Arial"/>
          <w:color w:val="000000"/>
          <w:lang w:eastAsia="bg-BG"/>
        </w:rPr>
        <w:t>За комбинирана терапия със защитни средства (напр. мизопростол или инхибитори на протонна помпа) трябва да се помисли както при тези пациенти, така и при пациенти, които получават едновременно ацетилсалицилова киселина в ниски дози или други лекарства, които могат да засилят гастроинтестиналния риск (виж по-долу точка 4.5).</w:t>
      </w:r>
    </w:p>
    <w:p w:rsidR="005A3387" w:rsidRPr="005A3387" w:rsidRDefault="005A3387" w:rsidP="005A3387">
      <w:pPr>
        <w:spacing w:line="240" w:lineRule="auto"/>
        <w:rPr>
          <w:rFonts w:eastAsia="Times New Roman" w:cs="Arial"/>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color w:val="000000"/>
          <w:lang w:eastAsia="bg-BG"/>
        </w:rPr>
        <w:t>Пациентите с анамнеза за гастроинтестинална токсичност, особено ако са в напреднала възраст, трябва да съобщават за всички необичайни коремни симптоми (по-специално за гастроинтестинално кървене), особено в началните стадии на лечението.</w:t>
      </w:r>
    </w:p>
    <w:p w:rsidR="005A3387" w:rsidRPr="005A3387" w:rsidRDefault="005A3387" w:rsidP="005A3387">
      <w:pPr>
        <w:spacing w:line="240" w:lineRule="auto"/>
        <w:rPr>
          <w:rFonts w:eastAsia="Times New Roman" w:cs="Arial"/>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color w:val="000000"/>
          <w:lang w:eastAsia="bg-BG"/>
        </w:rPr>
        <w:t>Необходимо е повишено внимание при пациенти, които се лекуват едновременно с лекарства, които могат да повишат риска от улцерация или кървене - перорални кортикостероиди, антикоагуланти като варфарин или хепарин, селективни инхибитори на обратния захват на серотонина или антитромбоцитни средства като ацетилсалицилова киселина (вж точка 4.5). Ако настъпи гастроинтестинално кървене или улцерация при пациенти, лекувани с ибупрофен, лечението трябва да бъде преустановено.</w:t>
      </w:r>
    </w:p>
    <w:p w:rsidR="005A3387" w:rsidRPr="005A3387" w:rsidRDefault="005A3387" w:rsidP="005A3387">
      <w:pPr>
        <w:spacing w:line="240" w:lineRule="auto"/>
        <w:rPr>
          <w:rFonts w:eastAsia="Times New Roman" w:cs="Arial"/>
        </w:rPr>
      </w:pPr>
      <w:r w:rsidRPr="005A3387">
        <w:rPr>
          <w:rFonts w:eastAsia="Times New Roman" w:cs="Arial"/>
          <w:color w:val="000000"/>
          <w:lang w:eastAsia="bg-BG"/>
        </w:rPr>
        <w:t>Нестероидните противовъзпалителни средства трябва да се прилагат с повишено внимание при пациенти с анамнеза за гастроинтестинално заболяване (улцеративен колит, болестта на Крон), тъй като състоянието им може да се обостри (вж точка 4.8).</w:t>
      </w:r>
    </w:p>
    <w:p w:rsidR="005A3387" w:rsidRPr="005A3387" w:rsidRDefault="005A3387" w:rsidP="005A3387">
      <w:pPr>
        <w:spacing w:line="240" w:lineRule="auto"/>
        <w:rPr>
          <w:rFonts w:eastAsia="Times New Roman" w:cs="Arial"/>
          <w:i/>
          <w:iCs/>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i/>
          <w:iCs/>
          <w:color w:val="000000"/>
          <w:lang w:eastAsia="bg-BG"/>
        </w:rPr>
        <w:t>Пациенти в старческа възраст:</w:t>
      </w:r>
    </w:p>
    <w:p w:rsidR="005A3387" w:rsidRPr="005A3387" w:rsidRDefault="005A3387" w:rsidP="005A3387">
      <w:pPr>
        <w:spacing w:line="240" w:lineRule="auto"/>
        <w:rPr>
          <w:rFonts w:eastAsia="Times New Roman" w:cs="Arial"/>
        </w:rPr>
      </w:pPr>
      <w:r w:rsidRPr="005A3387">
        <w:rPr>
          <w:rFonts w:eastAsia="Times New Roman" w:cs="Arial"/>
          <w:color w:val="000000"/>
          <w:lang w:eastAsia="bg-BG"/>
        </w:rPr>
        <w:t>Пациентите в напреднала възраст по-често получават нежелани реакции свързани с НСПВС, особено гастроинтестинално кървене и перфорация с възможен фатален изход (вж точка 4.2).</w:t>
      </w:r>
    </w:p>
    <w:p w:rsidR="005A3387" w:rsidRPr="005A3387" w:rsidRDefault="005A3387" w:rsidP="005A3387">
      <w:pPr>
        <w:spacing w:line="240" w:lineRule="auto"/>
        <w:rPr>
          <w:rFonts w:eastAsia="Times New Roman" w:cs="Arial"/>
          <w:i/>
          <w:iCs/>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i/>
          <w:iCs/>
          <w:color w:val="000000"/>
          <w:lang w:eastAsia="bg-BG"/>
        </w:rPr>
        <w:t>Сърдечносъдови и цереброваскуларни ефекти</w:t>
      </w:r>
    </w:p>
    <w:p w:rsidR="005A3387" w:rsidRPr="005A3387" w:rsidRDefault="005A3387" w:rsidP="005A3387">
      <w:pPr>
        <w:rPr>
          <w:rFonts w:eastAsia="Times New Roman" w:cs="Arial"/>
          <w:color w:val="000000"/>
          <w:lang w:eastAsia="bg-BG"/>
        </w:rPr>
      </w:pPr>
      <w:r w:rsidRPr="005A3387">
        <w:rPr>
          <w:rFonts w:eastAsia="Times New Roman" w:cs="Arial"/>
          <w:color w:val="000000"/>
          <w:lang w:eastAsia="bg-BG"/>
        </w:rPr>
        <w:t>Необходимо е мониториране и консултации за пациенти с анамнеза за хипертония и/или лека до умерена застойна сърдечна недостатъчност, тъй като се съобщават случаи на здържане на течности и оток във връзка с терапия с НСПВС.</w:t>
      </w:r>
    </w:p>
    <w:p w:rsidR="005A3387" w:rsidRPr="005A3387" w:rsidRDefault="005A3387" w:rsidP="005A3387">
      <w:pPr>
        <w:rPr>
          <w:rFonts w:eastAsia="Times New Roman" w:cs="Arial"/>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color w:val="000000"/>
          <w:lang w:eastAsia="bg-BG"/>
        </w:rPr>
        <w:t xml:space="preserve">Епидемиологични данни показват, че употребата на ибупрофен, особено във високи дози (2400 </w:t>
      </w:r>
      <w:r w:rsidRPr="005A3387">
        <w:rPr>
          <w:rFonts w:eastAsia="Times New Roman" w:cs="Arial"/>
          <w:color w:val="000000"/>
          <w:lang w:val="en-US"/>
        </w:rPr>
        <w:t>mg</w:t>
      </w:r>
      <w:r w:rsidRPr="005A3387">
        <w:rPr>
          <w:rFonts w:eastAsia="Times New Roman" w:cs="Arial"/>
          <w:color w:val="000000"/>
          <w:lang w:val="ru-RU"/>
        </w:rPr>
        <w:t xml:space="preserve"> </w:t>
      </w:r>
      <w:r w:rsidRPr="005A3387">
        <w:rPr>
          <w:rFonts w:eastAsia="Times New Roman" w:cs="Arial"/>
          <w:color w:val="000000"/>
          <w:lang w:eastAsia="bg-BG"/>
        </w:rPr>
        <w:t>дневно) и за продължителен период може да е свързана с леко повишен риск от артериални тромботични събития като инфаркт на миокарда или инсулт. Като цяло, епидемиологичните проучвания не показват, че ибупрофен в ниски дози (напр. &lt; 12</w:t>
      </w:r>
      <w:r w:rsidRPr="005A3387">
        <w:rPr>
          <w:rFonts w:eastAsia="Times New Roman" w:cs="Arial"/>
          <w:color w:val="000000"/>
          <w:lang w:val="ru-RU"/>
        </w:rPr>
        <w:t>00</w:t>
      </w:r>
      <w:r w:rsidRPr="005A3387">
        <w:rPr>
          <w:rFonts w:eastAsia="Times New Roman" w:cs="Arial"/>
          <w:color w:val="000000"/>
          <w:lang w:val="en-US"/>
        </w:rPr>
        <w:t>mg</w:t>
      </w:r>
      <w:r w:rsidRPr="005A3387">
        <w:rPr>
          <w:rFonts w:eastAsia="Times New Roman" w:cs="Arial"/>
          <w:color w:val="000000"/>
          <w:lang w:val="ru-RU"/>
        </w:rPr>
        <w:t xml:space="preserve"> </w:t>
      </w:r>
      <w:r w:rsidRPr="005A3387">
        <w:rPr>
          <w:rFonts w:eastAsia="Times New Roman" w:cs="Arial"/>
          <w:color w:val="000000"/>
          <w:lang w:eastAsia="bg-BG"/>
        </w:rPr>
        <w:t>дневно) се свързва с повишен риск от артериални тромботични събития, особено инфаркт на миокарда.</w:t>
      </w:r>
    </w:p>
    <w:p w:rsidR="005A3387" w:rsidRPr="005A3387" w:rsidRDefault="005A3387" w:rsidP="005A3387">
      <w:pPr>
        <w:spacing w:line="240" w:lineRule="auto"/>
        <w:rPr>
          <w:rFonts w:eastAsia="Times New Roman" w:cs="Arial"/>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color w:val="000000"/>
          <w:lang w:eastAsia="bg-BG"/>
        </w:rPr>
        <w:t>Пациенти с неовладяна хипертония, застойна сърдечна недостатъчност, потвърдена исхемична болест на сърцето, периферна артериална болест и/или цереброваскуларна болест трябва да бъдат лекувани с ибупрофен само след внимателна преценка. Такава преценка трябва да се направи и преди началото на дългосрочно лечение на пациенти с рискови фактори за кардиоваскуларни събития (напр. хипертония, захарен диабет и пушене).</w:t>
      </w:r>
    </w:p>
    <w:p w:rsidR="005A3387" w:rsidRPr="005A3387" w:rsidRDefault="005A3387" w:rsidP="005A3387">
      <w:pPr>
        <w:spacing w:line="240" w:lineRule="auto"/>
        <w:rPr>
          <w:rFonts w:eastAsia="Times New Roman" w:cs="Arial"/>
          <w:i/>
          <w:iCs/>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i/>
          <w:iCs/>
          <w:color w:val="000000"/>
          <w:lang w:eastAsia="bg-BG"/>
        </w:rPr>
        <w:t>Тежки кожни реакции</w:t>
      </w:r>
    </w:p>
    <w:p w:rsidR="005A3387" w:rsidRPr="005A3387" w:rsidRDefault="005A3387" w:rsidP="005A3387">
      <w:pPr>
        <w:spacing w:line="240" w:lineRule="auto"/>
        <w:rPr>
          <w:rFonts w:eastAsia="Times New Roman" w:cs="Arial"/>
        </w:rPr>
      </w:pPr>
      <w:r w:rsidRPr="005A3387">
        <w:rPr>
          <w:rFonts w:eastAsia="Times New Roman" w:cs="Arial"/>
          <w:color w:val="000000"/>
          <w:lang w:eastAsia="bg-BG"/>
        </w:rPr>
        <w:t xml:space="preserve">Сериозни кожни реакции, някои от които с фатален изход, в това число ексфолиативсн дерматит, синдром на </w:t>
      </w:r>
      <w:r w:rsidRPr="005A3387">
        <w:rPr>
          <w:rFonts w:eastAsia="Times New Roman" w:cs="Arial"/>
          <w:color w:val="000000"/>
          <w:lang w:val="en-US"/>
        </w:rPr>
        <w:t>Stevens</w:t>
      </w:r>
      <w:r w:rsidRPr="005A3387">
        <w:rPr>
          <w:rFonts w:eastAsia="Times New Roman" w:cs="Arial"/>
          <w:color w:val="000000"/>
          <w:lang w:val="ru-RU"/>
        </w:rPr>
        <w:t>-</w:t>
      </w:r>
      <w:r w:rsidRPr="005A3387">
        <w:rPr>
          <w:rFonts w:eastAsia="Times New Roman" w:cs="Arial"/>
          <w:color w:val="000000"/>
          <w:lang w:val="en-US"/>
        </w:rPr>
        <w:t>Johnson</w:t>
      </w:r>
      <w:r w:rsidRPr="005A3387">
        <w:rPr>
          <w:rFonts w:eastAsia="Times New Roman" w:cs="Arial"/>
          <w:color w:val="000000"/>
          <w:lang w:val="ru-RU"/>
        </w:rPr>
        <w:t xml:space="preserve"> </w:t>
      </w:r>
      <w:r w:rsidRPr="005A3387">
        <w:rPr>
          <w:rFonts w:eastAsia="Times New Roman" w:cs="Arial"/>
          <w:color w:val="000000"/>
          <w:lang w:eastAsia="bg-BG"/>
        </w:rPr>
        <w:t xml:space="preserve">и токсична епидермална некролиза са докладвани много рядко във връзка с употребата на НСПВС (вж точка 4.8). Пациентите изглежда са с </w:t>
      </w:r>
      <w:r w:rsidRPr="005A3387">
        <w:rPr>
          <w:rFonts w:eastAsia="Times New Roman" w:cs="Arial"/>
          <w:color w:val="000000"/>
          <w:lang w:eastAsia="bg-BG"/>
        </w:rPr>
        <w:lastRenderedPageBreak/>
        <w:t xml:space="preserve">повишен риск от такива реакции в началото на терапията, като реакциите настъпват в повечето случаи през първия месец на лечението. Съобщава се за остра генерализирана екзантематозна пустулоза </w:t>
      </w:r>
      <w:r w:rsidRPr="005A3387">
        <w:rPr>
          <w:rFonts w:eastAsia="Times New Roman" w:cs="Arial"/>
          <w:color w:val="000000"/>
        </w:rPr>
        <w:t>(</w:t>
      </w:r>
      <w:r w:rsidRPr="005A3387">
        <w:rPr>
          <w:rFonts w:eastAsia="Times New Roman" w:cs="Arial"/>
          <w:color w:val="000000"/>
          <w:lang w:val="en-US"/>
        </w:rPr>
        <w:t>acute</w:t>
      </w:r>
      <w:r w:rsidRPr="005A3387">
        <w:rPr>
          <w:rFonts w:eastAsia="Times New Roman" w:cs="Arial"/>
          <w:color w:val="000000"/>
        </w:rPr>
        <w:t xml:space="preserve"> </w:t>
      </w:r>
      <w:r w:rsidRPr="005A3387">
        <w:rPr>
          <w:rFonts w:eastAsia="Times New Roman" w:cs="Arial"/>
          <w:color w:val="000000"/>
          <w:lang w:val="en-US"/>
        </w:rPr>
        <w:t>generalised</w:t>
      </w:r>
      <w:r w:rsidRPr="005A3387">
        <w:rPr>
          <w:rFonts w:eastAsia="Times New Roman" w:cs="Arial"/>
          <w:color w:val="000000"/>
        </w:rPr>
        <w:t xml:space="preserve"> </w:t>
      </w:r>
      <w:r w:rsidRPr="005A3387">
        <w:rPr>
          <w:rFonts w:eastAsia="Times New Roman" w:cs="Arial"/>
          <w:color w:val="000000"/>
          <w:lang w:val="en-US"/>
        </w:rPr>
        <w:t>exanthematous</w:t>
      </w:r>
      <w:r w:rsidRPr="005A3387">
        <w:rPr>
          <w:rFonts w:eastAsia="Times New Roman" w:cs="Arial"/>
          <w:color w:val="000000"/>
        </w:rPr>
        <w:t xml:space="preserve"> </w:t>
      </w:r>
      <w:r w:rsidRPr="005A3387">
        <w:rPr>
          <w:rFonts w:eastAsia="Times New Roman" w:cs="Arial"/>
          <w:color w:val="000000"/>
          <w:lang w:val="en-US"/>
        </w:rPr>
        <w:t>pustulosis</w:t>
      </w:r>
      <w:r w:rsidRPr="005A3387">
        <w:rPr>
          <w:rFonts w:eastAsia="Times New Roman" w:cs="Arial"/>
          <w:color w:val="000000"/>
        </w:rPr>
        <w:t xml:space="preserve">, </w:t>
      </w:r>
      <w:r w:rsidRPr="005A3387">
        <w:rPr>
          <w:rFonts w:eastAsia="Times New Roman" w:cs="Arial"/>
          <w:color w:val="000000"/>
          <w:lang w:val="en-US"/>
        </w:rPr>
        <w:t>AGEP</w:t>
      </w:r>
      <w:r w:rsidRPr="005A3387">
        <w:rPr>
          <w:rFonts w:eastAsia="Times New Roman" w:cs="Arial"/>
          <w:color w:val="000000"/>
        </w:rPr>
        <w:t xml:space="preserve">) </w:t>
      </w:r>
      <w:r w:rsidRPr="005A3387">
        <w:rPr>
          <w:rFonts w:eastAsia="Times New Roman" w:cs="Arial"/>
          <w:color w:val="000000"/>
          <w:lang w:eastAsia="bg-BG"/>
        </w:rPr>
        <w:t xml:space="preserve">във връзка </w:t>
      </w:r>
      <w:r w:rsidRPr="005A3387">
        <w:rPr>
          <w:rFonts w:eastAsia="Times New Roman" w:cs="Arial"/>
          <w:color w:val="000000"/>
          <w:lang w:val="en-US"/>
        </w:rPr>
        <w:t>c</w:t>
      </w:r>
      <w:r w:rsidRPr="005A3387">
        <w:rPr>
          <w:rFonts w:eastAsia="Times New Roman" w:cs="Arial"/>
          <w:color w:val="000000"/>
        </w:rPr>
        <w:t xml:space="preserve"> </w:t>
      </w:r>
      <w:r w:rsidRPr="005A3387">
        <w:rPr>
          <w:rFonts w:eastAsia="Times New Roman" w:cs="Arial"/>
          <w:color w:val="000000"/>
          <w:lang w:eastAsia="bg-BG"/>
        </w:rPr>
        <w:t>продукти, съдържащи ибупрофен. Приемът на ибупрофен трябва да бъде преустановен при първата поява на кожна реакция, лезии по лигавицата или други признаци на свръхчувствителност.</w:t>
      </w:r>
    </w:p>
    <w:p w:rsidR="005A3387" w:rsidRPr="005A3387" w:rsidRDefault="005A3387" w:rsidP="005A3387">
      <w:pPr>
        <w:spacing w:line="240" w:lineRule="auto"/>
        <w:rPr>
          <w:rFonts w:eastAsia="Times New Roman" w:cs="Arial"/>
          <w:i/>
          <w:iCs/>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i/>
          <w:iCs/>
          <w:color w:val="000000"/>
          <w:lang w:eastAsia="bg-BG"/>
        </w:rPr>
        <w:t>Ефект върху бъбреците</w:t>
      </w:r>
    </w:p>
    <w:p w:rsidR="005A3387" w:rsidRPr="005A3387" w:rsidRDefault="005A3387" w:rsidP="005A3387">
      <w:pPr>
        <w:spacing w:line="240" w:lineRule="auto"/>
        <w:rPr>
          <w:rFonts w:eastAsia="Times New Roman" w:cs="Arial"/>
        </w:rPr>
      </w:pPr>
      <w:r w:rsidRPr="005A3387">
        <w:rPr>
          <w:rFonts w:eastAsia="Times New Roman" w:cs="Arial"/>
          <w:color w:val="000000"/>
          <w:lang w:eastAsia="bg-BG"/>
        </w:rPr>
        <w:t>Ибупрофен може да предизвика задържане на натрий, калий и течности при пациенти, които не са страдали в миналото от бъбречни нарушения, поради неговия ефект върху бъбречната перфузия. Това може да причини оток или даже да доведе до сърдечна недостатъчност или хипертония при пациенти с такова предразположение.</w:t>
      </w:r>
    </w:p>
    <w:p w:rsidR="005A3387" w:rsidRPr="005A3387" w:rsidRDefault="005A3387" w:rsidP="005A3387">
      <w:pPr>
        <w:spacing w:line="240" w:lineRule="auto"/>
        <w:rPr>
          <w:rFonts w:eastAsia="Times New Roman" w:cs="Arial"/>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color w:val="000000"/>
          <w:lang w:eastAsia="bg-BG"/>
        </w:rPr>
        <w:t xml:space="preserve">Както и при другите НСПВС, продължителното приложение на ибупрофен при животни води до бъбречна папиларна некроза и други патологични промени, свързани с бъбреците. При хора се съобщава за остър интерстициален нефрит с хематурия, протеинурия и понякога хефротичен синдром. Наблюдавани са случаи на бъбречна токсичност при пациенти, при които простагландините играят компенсаторна роля за поддържане на бъбречната перфузия. При тези пациенти прилагането </w:t>
      </w:r>
      <w:r w:rsidRPr="005A3387">
        <w:rPr>
          <w:rFonts w:eastAsia="Times New Roman" w:cs="Arial"/>
          <w:i/>
          <w:iCs/>
          <w:color w:val="000000"/>
          <w:lang w:eastAsia="bg-BG"/>
        </w:rPr>
        <w:t>на НСПВС може да доведе до</w:t>
      </w:r>
      <w:r w:rsidRPr="005A3387">
        <w:rPr>
          <w:rFonts w:eastAsia="Times New Roman" w:cs="Arial"/>
          <w:color w:val="000000"/>
          <w:lang w:eastAsia="bg-BG"/>
        </w:rPr>
        <w:t xml:space="preserve"> дозозависимо намалено образуване на простагландини и на второ място, в бъбречния кръвоток, което може да предизвика явна бъбречна декомпенсация. Пациентите с наЙ-голям риск от такава реакция са тези с нарушена бъбречна функция, сърдечна недостатъчност, нарушена чернодробна функция, пациенти приемащи диуретици и АСЕ инхибитори и пациенти в напреднала възраст. След като лечението с НСПВС бъде преустановено, пациентите се връщат към състоянието си от преди лечението.</w:t>
      </w:r>
    </w:p>
    <w:p w:rsidR="005A3387" w:rsidRPr="005A3387" w:rsidRDefault="005A3387" w:rsidP="005A3387">
      <w:pPr>
        <w:spacing w:line="240" w:lineRule="auto"/>
        <w:rPr>
          <w:rFonts w:eastAsia="Times New Roman" w:cs="Arial"/>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color w:val="000000"/>
          <w:lang w:eastAsia="bg-BG"/>
        </w:rPr>
        <w:t>Съществува риск от бъбречно увреждане при юноши с дехидратация.</w:t>
      </w:r>
    </w:p>
    <w:p w:rsidR="005A3387" w:rsidRPr="005A3387" w:rsidRDefault="005A3387" w:rsidP="005A3387">
      <w:pPr>
        <w:spacing w:line="240" w:lineRule="auto"/>
        <w:rPr>
          <w:rFonts w:eastAsia="Times New Roman" w:cs="Arial"/>
          <w:i/>
          <w:iCs/>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i/>
          <w:iCs/>
          <w:color w:val="000000"/>
          <w:lang w:eastAsia="bg-BG"/>
        </w:rPr>
        <w:t>Маскиране на симптомите на подлежащите инфекции</w:t>
      </w:r>
    </w:p>
    <w:p w:rsidR="005A3387" w:rsidRPr="005A3387" w:rsidRDefault="005A3387" w:rsidP="005A3387">
      <w:pPr>
        <w:spacing w:line="240" w:lineRule="auto"/>
        <w:rPr>
          <w:rFonts w:eastAsia="Times New Roman" w:cs="Arial"/>
        </w:rPr>
      </w:pPr>
      <w:r w:rsidRPr="005A3387">
        <w:rPr>
          <w:rFonts w:eastAsia="Times New Roman" w:cs="Arial"/>
          <w:color w:val="000000"/>
          <w:lang w:eastAsia="bg-BG"/>
        </w:rPr>
        <w:t>Ибупрофен може да маскира симптомите на инфекция, което може да доведе до забавяне на започване на подходящо лечение и по този начин да влоши изхода от инфекцията. Това се наблюдава при бактериална пневмония, придобита в обществото, както и при бактериалните усложнения на варицела. Когато ибупрофен се прилага за лечение на повишена температура или за облекчаване на болката във връзка с инфекция, се препоръчва наблюдение на инфекцията. При извънболнични условия пациентът трябва да се консултира с лекар, ако</w:t>
      </w:r>
      <w:r w:rsidRPr="005A3387">
        <w:rPr>
          <w:rFonts w:eastAsia="Times New Roman" w:cs="Arial"/>
          <w:color w:val="000000"/>
          <w:u w:val="single"/>
          <w:lang w:eastAsia="bg-BG"/>
        </w:rPr>
        <w:t xml:space="preserve"> </w:t>
      </w:r>
      <w:r w:rsidRPr="005A3387">
        <w:rPr>
          <w:rFonts w:eastAsia="Times New Roman" w:cs="Arial"/>
          <w:color w:val="000000"/>
          <w:lang w:eastAsia="bg-BG"/>
        </w:rPr>
        <w:t>симптомите персистират или се влошават.</w:t>
      </w:r>
    </w:p>
    <w:p w:rsidR="005A3387" w:rsidRPr="005A3387" w:rsidRDefault="005A3387" w:rsidP="005A3387">
      <w:pPr>
        <w:spacing w:line="240" w:lineRule="auto"/>
        <w:rPr>
          <w:rFonts w:eastAsia="Times New Roman" w:cs="Arial"/>
          <w:i/>
          <w:iCs/>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i/>
          <w:iCs/>
          <w:color w:val="000000"/>
          <w:lang w:eastAsia="bg-BG"/>
        </w:rPr>
        <w:t>Други предпазни мерки</w:t>
      </w:r>
    </w:p>
    <w:p w:rsidR="005A3387" w:rsidRPr="005A3387" w:rsidRDefault="005A3387" w:rsidP="005A3387">
      <w:pPr>
        <w:spacing w:line="240" w:lineRule="auto"/>
        <w:rPr>
          <w:rFonts w:eastAsia="Times New Roman" w:cs="Arial"/>
        </w:rPr>
      </w:pPr>
      <w:r w:rsidRPr="005A3387">
        <w:rPr>
          <w:rFonts w:eastAsia="Times New Roman" w:cs="Arial"/>
          <w:color w:val="000000"/>
          <w:lang w:eastAsia="bg-BG"/>
        </w:rPr>
        <w:t>Възможно е предизвикване на бронхоспазъм, уртикария или ангиоедем при пациенти</w:t>
      </w:r>
    </w:p>
    <w:p w:rsidR="005A3387" w:rsidRPr="005A3387" w:rsidRDefault="005A3387" w:rsidP="005A3387">
      <w:pPr>
        <w:spacing w:line="240" w:lineRule="auto"/>
        <w:rPr>
          <w:rFonts w:eastAsia="Times New Roman" w:cs="Arial"/>
        </w:rPr>
      </w:pPr>
      <w:r w:rsidRPr="005A3387">
        <w:rPr>
          <w:rFonts w:eastAsia="Times New Roman" w:cs="Arial"/>
          <w:color w:val="000000"/>
          <w:lang w:eastAsia="bg-BG"/>
        </w:rPr>
        <w:t>страдащи от или с анамнеза за бронхиална астма, хроничен ринит, синузиъ, полипи и нова</w:t>
      </w:r>
    </w:p>
    <w:p w:rsidR="005A3387" w:rsidRPr="005A3387" w:rsidRDefault="005A3387" w:rsidP="005A3387">
      <w:pPr>
        <w:rPr>
          <w:rFonts w:eastAsia="Times New Roman" w:cs="Arial"/>
          <w:color w:val="000000"/>
          <w:lang w:eastAsia="bg-BG"/>
        </w:rPr>
      </w:pPr>
      <w:r w:rsidRPr="005A3387">
        <w:rPr>
          <w:rFonts w:eastAsia="Times New Roman" w:cs="Arial"/>
          <w:color w:val="000000"/>
          <w:lang w:eastAsia="bg-BG"/>
        </w:rPr>
        <w:t>аденоиди или алергии.</w:t>
      </w:r>
    </w:p>
    <w:p w:rsidR="005A3387" w:rsidRPr="005A3387" w:rsidRDefault="005A3387" w:rsidP="005A3387">
      <w:pPr>
        <w:rPr>
          <w:rFonts w:eastAsia="Times New Roman" w:cs="Arial"/>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color w:val="000000"/>
          <w:lang w:eastAsia="bg-BG"/>
        </w:rPr>
        <w:t>При дългосрочно лечение с високи дози аналгетици може да настъпи главоболие, което не трябва да се лекува с високи дози от лекарствения продукт. Общо взето, обичайният прием на аналгетици, особено на комбиниран прием на аналгетични субстанции, може да предизвика постоянно увреждане на бъбреците и риск от бъбречна недостатъчност (аналгетична нефропатия).</w:t>
      </w:r>
    </w:p>
    <w:p w:rsidR="005A3387" w:rsidRPr="005A3387" w:rsidRDefault="005A3387" w:rsidP="005A3387">
      <w:pPr>
        <w:spacing w:line="240" w:lineRule="auto"/>
        <w:rPr>
          <w:rFonts w:eastAsia="Times New Roman" w:cs="Arial"/>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color w:val="000000"/>
          <w:lang w:eastAsia="bg-BG"/>
        </w:rPr>
        <w:lastRenderedPageBreak/>
        <w:t>По време на лечение с ибупрофен са наблюдавани случаи със симптоми на асептичен менингит, като схващане на врата, главоболие, гадене, повръщане, фебрилитет или дезориентация при пациенти със съществуващи автоимунни нарушения (системен лупус еритематодес, смесена тъканно-съединителна болест).</w:t>
      </w:r>
    </w:p>
    <w:p w:rsidR="005A3387" w:rsidRPr="005A3387" w:rsidRDefault="005A3387" w:rsidP="005A3387">
      <w:pPr>
        <w:spacing w:line="240" w:lineRule="auto"/>
        <w:rPr>
          <w:rFonts w:eastAsia="Times New Roman" w:cs="Arial"/>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color w:val="000000"/>
          <w:lang w:eastAsia="bg-BG"/>
        </w:rPr>
        <w:t>Има ограничен брои доказателства, че лекарства, които задържат синтеза на циклооксигеназата/простагландините, могат да причинят увреждане на фертилитета при жените чрез въздействие върху овулацията. Това е обратимо при прекъсване на лечението.</w:t>
      </w:r>
    </w:p>
    <w:p w:rsidR="005A3387" w:rsidRPr="005A3387" w:rsidRDefault="005A3387" w:rsidP="005A3387">
      <w:pPr>
        <w:spacing w:line="240" w:lineRule="auto"/>
        <w:rPr>
          <w:rFonts w:eastAsia="Times New Roman" w:cs="Arial"/>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color w:val="000000"/>
          <w:lang w:eastAsia="bg-BG"/>
        </w:rPr>
        <w:t>Ибупрофен може временно да инхибира тромбоцитната агрегация и да удължи времето на кървене. Ето защо, пациентите с нарушения в коагулацията или на лечение с анти коагуланти трябва внимателно да бъдат наблюдавани.</w:t>
      </w:r>
    </w:p>
    <w:p w:rsidR="005A3387" w:rsidRPr="005A3387" w:rsidRDefault="005A3387" w:rsidP="005A3387">
      <w:pPr>
        <w:spacing w:line="240" w:lineRule="auto"/>
        <w:rPr>
          <w:rFonts w:eastAsia="Times New Roman" w:cs="Arial"/>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color w:val="000000"/>
          <w:lang w:eastAsia="bg-BG"/>
        </w:rPr>
        <w:t>При продължително лечение с ибупрофен е необходимо редовно мониториране на чернодробната и бъбречната функции, както и на кръвната картина, особено при високорискови пациенти.</w:t>
      </w:r>
    </w:p>
    <w:p w:rsidR="005A3387" w:rsidRPr="005A3387" w:rsidRDefault="005A3387" w:rsidP="005A3387">
      <w:pPr>
        <w:spacing w:line="240" w:lineRule="auto"/>
        <w:rPr>
          <w:rFonts w:eastAsia="Times New Roman" w:cs="Arial"/>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color w:val="000000"/>
          <w:lang w:eastAsia="bg-BG"/>
        </w:rPr>
        <w:t>Трябва да с избягва консумацията на алкохол, тъй като той засилва страничните ефекти на НСПВС, особено когато се уврежда гастроинтестиналния тракт или централната нервна система.</w:t>
      </w:r>
    </w:p>
    <w:p w:rsidR="005A3387" w:rsidRPr="005A3387" w:rsidRDefault="005A3387" w:rsidP="005A3387">
      <w:pPr>
        <w:spacing w:line="240" w:lineRule="auto"/>
        <w:rPr>
          <w:rFonts w:eastAsia="Times New Roman" w:cs="Arial"/>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color w:val="000000"/>
          <w:lang w:eastAsia="bg-BG"/>
        </w:rPr>
        <w:t>Пациентите на ибупрофен трябва да съобщават на лекаря и лечението да бъде прекратено, ако забележат признаци и симптоми на гастроинтестинална улцерация или кървене, замъглено виждане или други симптоми, свързани с очите, кожен обрив, повишаване на телесното тегло или едем.</w:t>
      </w:r>
    </w:p>
    <w:p w:rsidR="005A3387" w:rsidRPr="005A3387" w:rsidRDefault="005A3387" w:rsidP="005A3387">
      <w:pPr>
        <w:spacing w:line="240" w:lineRule="auto"/>
        <w:rPr>
          <w:rFonts w:eastAsia="Times New Roman" w:cs="Arial"/>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color w:val="000000"/>
          <w:lang w:eastAsia="bg-BG"/>
        </w:rPr>
        <w:t xml:space="preserve">Пациенти с редки наследствени проблеми на галактозна непоносимост, </w:t>
      </w:r>
      <w:r w:rsidRPr="005A3387">
        <w:rPr>
          <w:rFonts w:eastAsia="Times New Roman" w:cs="Arial"/>
          <w:color w:val="000000"/>
          <w:lang w:val="en-US"/>
        </w:rPr>
        <w:t>Lapp</w:t>
      </w:r>
      <w:r w:rsidRPr="005A3387">
        <w:rPr>
          <w:rFonts w:eastAsia="Times New Roman" w:cs="Arial"/>
          <w:color w:val="000000"/>
          <w:lang w:eastAsia="bg-BG"/>
        </w:rPr>
        <w:t>-лактазен дефицит или глюкозо-галактозна малабсорбция не бива да приемат това лекарство.</w:t>
      </w:r>
    </w:p>
    <w:p w:rsidR="005A3387" w:rsidRPr="005A3387" w:rsidRDefault="005A3387" w:rsidP="005A3387">
      <w:pPr>
        <w:spacing w:line="240" w:lineRule="auto"/>
        <w:rPr>
          <w:rFonts w:eastAsia="Times New Roman" w:cs="Arial"/>
          <w:color w:val="000000"/>
          <w:u w:val="single"/>
          <w:lang w:eastAsia="bg-BG"/>
        </w:rPr>
      </w:pPr>
    </w:p>
    <w:p w:rsidR="005A3387" w:rsidRPr="005A3387" w:rsidRDefault="005A3387" w:rsidP="005A3387">
      <w:pPr>
        <w:spacing w:line="240" w:lineRule="auto"/>
        <w:rPr>
          <w:rFonts w:eastAsia="Times New Roman" w:cs="Arial"/>
        </w:rPr>
      </w:pPr>
      <w:r w:rsidRPr="005A3387">
        <w:rPr>
          <w:rFonts w:eastAsia="Times New Roman" w:cs="Arial"/>
          <w:color w:val="000000"/>
          <w:u w:val="single"/>
          <w:lang w:eastAsia="bg-BG"/>
        </w:rPr>
        <w:t>Долорен съдържа натрий</w:t>
      </w:r>
    </w:p>
    <w:p w:rsidR="005A3387" w:rsidRPr="005A3387" w:rsidRDefault="005A3387" w:rsidP="005A3387">
      <w:pPr>
        <w:spacing w:line="240" w:lineRule="auto"/>
        <w:rPr>
          <w:rFonts w:eastAsia="Times New Roman" w:cs="Arial"/>
        </w:rPr>
      </w:pPr>
      <w:r w:rsidRPr="005A3387">
        <w:rPr>
          <w:rFonts w:eastAsia="Times New Roman" w:cs="Arial"/>
          <w:color w:val="000000"/>
          <w:lang w:eastAsia="bg-BG"/>
        </w:rPr>
        <w:t xml:space="preserve">Това лекарство съдържа по-малко от 1 </w:t>
      </w:r>
      <w:r w:rsidRPr="005A3387">
        <w:rPr>
          <w:rFonts w:eastAsia="Times New Roman" w:cs="Arial"/>
          <w:color w:val="000000"/>
          <w:lang w:val="en-US"/>
        </w:rPr>
        <w:t>mmol</w:t>
      </w:r>
      <w:r w:rsidRPr="005A3387">
        <w:rPr>
          <w:rFonts w:eastAsia="Times New Roman" w:cs="Arial"/>
          <w:color w:val="000000"/>
          <w:lang w:val="ru-RU"/>
        </w:rPr>
        <w:t xml:space="preserve"> </w:t>
      </w:r>
      <w:r w:rsidRPr="005A3387">
        <w:rPr>
          <w:rFonts w:eastAsia="Times New Roman" w:cs="Arial"/>
          <w:color w:val="000000"/>
          <w:lang w:eastAsia="bg-BG"/>
        </w:rPr>
        <w:t xml:space="preserve">натрий (23 </w:t>
      </w:r>
      <w:r w:rsidRPr="005A3387">
        <w:rPr>
          <w:rFonts w:eastAsia="Times New Roman" w:cs="Arial"/>
          <w:color w:val="000000"/>
          <w:lang w:val="en-US"/>
        </w:rPr>
        <w:t>mg</w:t>
      </w:r>
      <w:r w:rsidRPr="005A3387">
        <w:rPr>
          <w:rFonts w:eastAsia="Times New Roman" w:cs="Arial"/>
          <w:color w:val="000000"/>
          <w:lang w:val="ru-RU"/>
        </w:rPr>
        <w:t xml:space="preserve">) </w:t>
      </w:r>
      <w:r w:rsidRPr="005A3387">
        <w:rPr>
          <w:rFonts w:eastAsia="Times New Roman" w:cs="Arial"/>
          <w:color w:val="000000"/>
          <w:lang w:eastAsia="bg-BG"/>
        </w:rPr>
        <w:t>на таблетка, т.е. практически не съдържа натрий.</w:t>
      </w:r>
    </w:p>
    <w:p w:rsidR="005A3387" w:rsidRPr="005A3387" w:rsidRDefault="005A3387" w:rsidP="005A3387"/>
    <w:p w:rsidR="00DF4C8E" w:rsidRDefault="002C50EE" w:rsidP="00F44498">
      <w:pPr>
        <w:pStyle w:val="Heading2"/>
      </w:pPr>
      <w:r>
        <w:t>4.5. Взаимодействие с други лекарствени продукти и други форми на взаимодействие</w:t>
      </w:r>
    </w:p>
    <w:p w:rsidR="005A3387" w:rsidRDefault="005A3387" w:rsidP="005A3387"/>
    <w:p w:rsidR="005A3387" w:rsidRPr="005A3387" w:rsidRDefault="005A3387" w:rsidP="005A3387">
      <w:pPr>
        <w:spacing w:line="240" w:lineRule="auto"/>
        <w:rPr>
          <w:rFonts w:eastAsia="Times New Roman" w:cs="Arial"/>
        </w:rPr>
      </w:pPr>
      <w:r w:rsidRPr="005A3387">
        <w:rPr>
          <w:rFonts w:eastAsia="Times New Roman" w:cs="Arial"/>
          <w:i/>
          <w:iCs/>
          <w:color w:val="000000"/>
          <w:u w:val="single"/>
          <w:lang w:eastAsia="bg-BG"/>
        </w:rPr>
        <w:t>Едновременната употреба на ибупрофен и следните вещества трябва да се избягва:</w:t>
      </w:r>
    </w:p>
    <w:p w:rsidR="005A3387" w:rsidRPr="005A3387" w:rsidRDefault="005A3387" w:rsidP="005A3387">
      <w:pPr>
        <w:spacing w:line="240" w:lineRule="auto"/>
        <w:rPr>
          <w:rFonts w:eastAsia="Times New Roman" w:cs="Arial"/>
          <w:i/>
          <w:iCs/>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i/>
          <w:iCs/>
          <w:color w:val="000000"/>
          <w:lang w:eastAsia="bg-BG"/>
        </w:rPr>
        <w:t>Ацетилсалицилова киселина,</w:t>
      </w:r>
      <w:r w:rsidRPr="005A3387">
        <w:rPr>
          <w:rFonts w:eastAsia="Times New Roman" w:cs="Arial"/>
          <w:color w:val="000000"/>
          <w:lang w:eastAsia="bg-BG"/>
        </w:rPr>
        <w:t xml:space="preserve"> освен ако ниска доза ацетилсалицилова киселина (под 75 </w:t>
      </w:r>
      <w:r w:rsidRPr="005A3387">
        <w:rPr>
          <w:rFonts w:eastAsia="Times New Roman" w:cs="Arial"/>
          <w:color w:val="000000"/>
          <w:lang w:val="en-US"/>
        </w:rPr>
        <w:t>mg</w:t>
      </w:r>
      <w:r w:rsidRPr="005A3387">
        <w:rPr>
          <w:rFonts w:eastAsia="Times New Roman" w:cs="Arial"/>
          <w:color w:val="000000"/>
          <w:lang w:val="ru-RU"/>
        </w:rPr>
        <w:t xml:space="preserve"> </w:t>
      </w:r>
      <w:r w:rsidRPr="005A3387">
        <w:rPr>
          <w:rFonts w:eastAsia="Times New Roman" w:cs="Arial"/>
          <w:color w:val="000000"/>
          <w:lang w:eastAsia="bg-BG"/>
        </w:rPr>
        <w:t xml:space="preserve">дневно) е била предписана от лекар, тъй като това може да повиши риска от нежелани реакции (вж точка 4.3 Противопоказания). Експериментални данни показват, че ибупрофен инхибира ефекта на ацетилсалициловата киселина върху тромбоцитната агрегация при едновременната употреба. Ограничените данни обаче, и несигурната екстраполация на данните </w:t>
      </w:r>
      <w:r w:rsidRPr="005A3387">
        <w:rPr>
          <w:rFonts w:eastAsia="Times New Roman" w:cs="Arial"/>
          <w:color w:val="000000"/>
          <w:lang w:val="en-US"/>
        </w:rPr>
        <w:t>ex</w:t>
      </w:r>
      <w:r w:rsidRPr="005A3387">
        <w:rPr>
          <w:rFonts w:eastAsia="Times New Roman" w:cs="Arial"/>
          <w:color w:val="000000"/>
          <w:lang w:val="ru-RU"/>
        </w:rPr>
        <w:t xml:space="preserve"> </w:t>
      </w:r>
      <w:r w:rsidRPr="005A3387">
        <w:rPr>
          <w:rFonts w:eastAsia="Times New Roman" w:cs="Arial"/>
          <w:color w:val="000000"/>
          <w:lang w:val="en-US"/>
        </w:rPr>
        <w:t>vivo</w:t>
      </w:r>
      <w:r w:rsidRPr="005A3387">
        <w:rPr>
          <w:rFonts w:eastAsia="Times New Roman" w:cs="Arial"/>
          <w:color w:val="000000"/>
          <w:lang w:val="ru-RU"/>
        </w:rPr>
        <w:t xml:space="preserve"> </w:t>
      </w:r>
      <w:r w:rsidRPr="005A3387">
        <w:rPr>
          <w:rFonts w:eastAsia="Times New Roman" w:cs="Arial"/>
          <w:color w:val="000000"/>
          <w:lang w:eastAsia="bg-BG"/>
        </w:rPr>
        <w:t>в клинична ситуация показват, че не могат да се правят твърди заключения относно редовната употреба на ибупрофен и няма клинично значим ефект при свободната употреба ибупрофен (вж точка 5.1).</w:t>
      </w:r>
    </w:p>
    <w:p w:rsidR="005A3387" w:rsidRPr="005A3387" w:rsidRDefault="005A3387" w:rsidP="005A3387">
      <w:pPr>
        <w:spacing w:line="240" w:lineRule="auto"/>
        <w:rPr>
          <w:rFonts w:eastAsia="Times New Roman" w:cs="Arial"/>
          <w:i/>
          <w:iCs/>
          <w:color w:val="000000"/>
          <w:lang w:eastAsia="bg-BG"/>
        </w:rPr>
      </w:pPr>
    </w:p>
    <w:p w:rsidR="005A3387" w:rsidRPr="005A3387" w:rsidRDefault="005A3387" w:rsidP="005A3387">
      <w:pPr>
        <w:spacing w:line="240" w:lineRule="auto"/>
        <w:rPr>
          <w:rFonts w:eastAsia="Times New Roman" w:cs="Arial"/>
          <w:color w:val="000000"/>
          <w:lang w:eastAsia="bg-BG"/>
        </w:rPr>
      </w:pPr>
      <w:r w:rsidRPr="005A3387">
        <w:rPr>
          <w:rFonts w:eastAsia="Times New Roman" w:cs="Arial"/>
          <w:i/>
          <w:iCs/>
          <w:color w:val="000000"/>
          <w:lang w:eastAsia="bg-BG"/>
        </w:rPr>
        <w:t>Други нестероидни противовъзпалителни средства:</w:t>
      </w:r>
      <w:r w:rsidRPr="005A3387">
        <w:rPr>
          <w:rFonts w:eastAsia="Times New Roman" w:cs="Arial"/>
          <w:color w:val="000000"/>
          <w:lang w:eastAsia="bg-BG"/>
        </w:rPr>
        <w:t xml:space="preserve"> В резултат на синергични ефекти едновременното прилагане на няколко нестероидни противовъзпалителни средства може </w:t>
      </w:r>
      <w:r w:rsidRPr="005A3387">
        <w:rPr>
          <w:rFonts w:eastAsia="Times New Roman" w:cs="Arial"/>
          <w:color w:val="000000"/>
          <w:lang w:eastAsia="bg-BG"/>
        </w:rPr>
        <w:lastRenderedPageBreak/>
        <w:t>да повиши риска от гастроинтестинални язви и кръвоизливи. По тази причина едновременното приложение на ибупрофен с други НСПВС трябва да се избягва (вж точка 4.4).</w:t>
      </w:r>
    </w:p>
    <w:p w:rsidR="005A3387" w:rsidRPr="005A3387" w:rsidRDefault="005A3387" w:rsidP="005A3387">
      <w:pPr>
        <w:spacing w:line="240" w:lineRule="auto"/>
        <w:rPr>
          <w:rFonts w:eastAsia="Times New Roman" w:cs="Arial"/>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i/>
          <w:iCs/>
          <w:color w:val="000000"/>
          <w:lang w:eastAsia="bg-BG"/>
        </w:rPr>
        <w:t>Антикоагуланти:</w:t>
      </w:r>
      <w:r w:rsidRPr="005A3387">
        <w:rPr>
          <w:rFonts w:eastAsia="Times New Roman" w:cs="Arial"/>
          <w:color w:val="000000"/>
          <w:lang w:eastAsia="bg-BG"/>
        </w:rPr>
        <w:t xml:space="preserve"> Нестероидните противовъзпалителни средства могат да засилят ефекта на антикоагулантите като варфарин или хепарин (вж точка 4.4). В случай на едновременно приложение се препоръчва да се мониторира състоянието на коагулация.</w:t>
      </w:r>
    </w:p>
    <w:p w:rsidR="005A3387" w:rsidRPr="005A3387" w:rsidRDefault="005A3387" w:rsidP="005A3387">
      <w:pPr>
        <w:spacing w:line="240" w:lineRule="auto"/>
        <w:rPr>
          <w:rFonts w:eastAsia="Times New Roman" w:cs="Arial"/>
          <w:i/>
          <w:iCs/>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i/>
          <w:iCs/>
          <w:color w:val="000000"/>
          <w:lang w:eastAsia="bg-BG"/>
        </w:rPr>
        <w:t>Тиклопидин:</w:t>
      </w:r>
    </w:p>
    <w:p w:rsidR="005A3387" w:rsidRPr="005A3387" w:rsidRDefault="005A3387" w:rsidP="005A3387">
      <w:pPr>
        <w:spacing w:line="240" w:lineRule="auto"/>
        <w:rPr>
          <w:rFonts w:eastAsia="Times New Roman" w:cs="Arial"/>
        </w:rPr>
      </w:pPr>
      <w:r w:rsidRPr="005A3387">
        <w:rPr>
          <w:rFonts w:eastAsia="Times New Roman" w:cs="Arial"/>
          <w:color w:val="000000"/>
          <w:lang w:eastAsia="bg-BG"/>
        </w:rPr>
        <w:t>Нестероидните противовъзпалителни средства не трябва да се комбинират с тиклопидин поради риск от адитивен ефект при инхибиране на тромбоцитната функция,</w:t>
      </w:r>
    </w:p>
    <w:p w:rsidR="005A3387" w:rsidRPr="005A3387" w:rsidRDefault="005A3387" w:rsidP="005A3387">
      <w:pPr>
        <w:spacing w:line="240" w:lineRule="auto"/>
        <w:rPr>
          <w:rFonts w:eastAsia="Times New Roman" w:cs="Arial"/>
          <w:i/>
          <w:iCs/>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i/>
          <w:iCs/>
          <w:color w:val="000000"/>
          <w:lang w:eastAsia="bg-BG"/>
        </w:rPr>
        <w:t>Метотрексат:</w:t>
      </w:r>
      <w:r w:rsidRPr="005A3387">
        <w:rPr>
          <w:rFonts w:eastAsia="Times New Roman" w:cs="Arial"/>
          <w:color w:val="000000"/>
          <w:lang w:eastAsia="bg-BG"/>
        </w:rPr>
        <w:t xml:space="preserve"> НСПВС блокират тубуларната секреция на метотрексат и могат да настъпят някои метаболитни взаимодействия в резултат на намаления клирънс на метотрексат.</w:t>
      </w:r>
    </w:p>
    <w:p w:rsidR="005A3387" w:rsidRPr="005A3387" w:rsidRDefault="005A3387" w:rsidP="005A3387">
      <w:pPr>
        <w:spacing w:line="240" w:lineRule="auto"/>
        <w:rPr>
          <w:rFonts w:eastAsia="Times New Roman" w:cs="Arial"/>
        </w:rPr>
      </w:pPr>
      <w:r w:rsidRPr="005A3387">
        <w:rPr>
          <w:rFonts w:eastAsia="Times New Roman" w:cs="Arial"/>
          <w:color w:val="000000"/>
          <w:lang w:eastAsia="bg-BG"/>
        </w:rPr>
        <w:t>Приложението на ибупрофен 24 часа преди или след прилагане на метотрексат може да доведе до повишена концентрация на метотрексат и до засилване на токсичните му ефекти. Ето защо трябва да се избягва едновременната употреба на НСПВС и метотрексат във високи дози. Освен това, трябва да се вземе под внимание потенциалния риск от взаимодействие с ниски дози метотрексат, особено при пациенти с увредена бъбречна функция. При комбинирано лечение трябва да се мониторира бъбречната функция.</w:t>
      </w:r>
    </w:p>
    <w:p w:rsidR="005A3387" w:rsidRPr="005A3387" w:rsidRDefault="005A3387" w:rsidP="005A3387">
      <w:pPr>
        <w:spacing w:line="240" w:lineRule="auto"/>
        <w:rPr>
          <w:rFonts w:eastAsia="Times New Roman" w:cs="Arial"/>
          <w:i/>
          <w:iCs/>
          <w:color w:val="000000"/>
          <w:u w:val="single"/>
          <w:lang w:eastAsia="bg-BG"/>
        </w:rPr>
      </w:pPr>
    </w:p>
    <w:p w:rsidR="005A3387" w:rsidRPr="005A3387" w:rsidRDefault="005A3387" w:rsidP="005A3387">
      <w:pPr>
        <w:spacing w:line="240" w:lineRule="auto"/>
        <w:rPr>
          <w:rFonts w:eastAsia="Times New Roman" w:cs="Arial"/>
        </w:rPr>
      </w:pPr>
      <w:r w:rsidRPr="005A3387">
        <w:rPr>
          <w:rFonts w:eastAsia="Times New Roman" w:cs="Arial"/>
          <w:i/>
          <w:iCs/>
          <w:color w:val="000000"/>
          <w:u w:val="single"/>
          <w:lang w:eastAsia="bg-BG"/>
        </w:rPr>
        <w:t>Ибупрофен трябва да се прилага с внимание в комбинация със следните вещества:</w:t>
      </w:r>
    </w:p>
    <w:p w:rsidR="005A3387" w:rsidRPr="005A3387" w:rsidRDefault="005A3387" w:rsidP="005A3387">
      <w:pPr>
        <w:spacing w:line="240" w:lineRule="auto"/>
        <w:rPr>
          <w:rFonts w:eastAsia="Times New Roman" w:cs="Arial"/>
          <w:i/>
          <w:iCs/>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i/>
          <w:iCs/>
          <w:color w:val="000000"/>
          <w:lang w:eastAsia="bg-BG"/>
        </w:rPr>
        <w:t>Моклобемид:</w:t>
      </w:r>
      <w:r w:rsidRPr="005A3387">
        <w:rPr>
          <w:rFonts w:eastAsia="Times New Roman" w:cs="Arial"/>
          <w:color w:val="000000"/>
          <w:lang w:eastAsia="bg-BG"/>
        </w:rPr>
        <w:t xml:space="preserve"> Засилва ефекта на ибупрофен.</w:t>
      </w:r>
    </w:p>
    <w:p w:rsidR="005A3387" w:rsidRPr="005A3387" w:rsidRDefault="005A3387" w:rsidP="005A3387">
      <w:pPr>
        <w:spacing w:line="240" w:lineRule="auto"/>
        <w:rPr>
          <w:rFonts w:eastAsia="Times New Roman" w:cs="Arial"/>
        </w:rPr>
      </w:pPr>
      <w:r w:rsidRPr="005A3387">
        <w:rPr>
          <w:rFonts w:eastAsia="Times New Roman" w:cs="Arial"/>
          <w:i/>
          <w:iCs/>
          <w:color w:val="000000"/>
          <w:lang w:eastAsia="bg-BG"/>
        </w:rPr>
        <w:t>Фенитоин, литий:</w:t>
      </w:r>
      <w:r w:rsidRPr="005A3387">
        <w:rPr>
          <w:rFonts w:eastAsia="Times New Roman" w:cs="Arial"/>
          <w:color w:val="000000"/>
          <w:lang w:eastAsia="bg-BG"/>
        </w:rPr>
        <w:t xml:space="preserve"> Едновременното приложение на Ибупрофен с фенитоин или литиеви лекарствени продукти може да повиши серумната концентрация на последните. Необходимо е да се следи серумната концентрация на литий и се препоръчва да се следи нивото на серумната концентрация на фенитоин.</w:t>
      </w:r>
    </w:p>
    <w:p w:rsidR="005A3387" w:rsidRPr="005A3387" w:rsidRDefault="005A3387" w:rsidP="005A3387">
      <w:pPr>
        <w:spacing w:line="240" w:lineRule="auto"/>
        <w:rPr>
          <w:rFonts w:eastAsia="Times New Roman" w:cs="Arial"/>
          <w:i/>
          <w:iCs/>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i/>
          <w:iCs/>
          <w:color w:val="000000"/>
          <w:lang w:eastAsia="bg-BG"/>
        </w:rPr>
        <w:t>Сърдечни гликозиди:</w:t>
      </w:r>
      <w:r w:rsidRPr="005A3387">
        <w:rPr>
          <w:rFonts w:eastAsia="Times New Roman" w:cs="Arial"/>
          <w:color w:val="000000"/>
          <w:lang w:eastAsia="bg-BG"/>
        </w:rPr>
        <w:t xml:space="preserve"> НСПВС могат да обострят сърдечната недостатъчност, да понижат </w:t>
      </w:r>
      <w:r w:rsidRPr="005A3387">
        <w:rPr>
          <w:rFonts w:eastAsia="Times New Roman" w:cs="Arial"/>
          <w:color w:val="000000"/>
          <w:lang w:val="en-US"/>
        </w:rPr>
        <w:t>GFR</w:t>
      </w:r>
      <w:r w:rsidRPr="005A3387">
        <w:rPr>
          <w:rFonts w:eastAsia="Times New Roman" w:cs="Arial"/>
          <w:color w:val="000000"/>
          <w:lang w:val="ru-RU"/>
        </w:rPr>
        <w:t xml:space="preserve"> </w:t>
      </w:r>
      <w:r w:rsidRPr="005A3387">
        <w:rPr>
          <w:rFonts w:eastAsia="Times New Roman" w:cs="Arial"/>
          <w:color w:val="000000"/>
          <w:lang w:eastAsia="bg-BG"/>
        </w:rPr>
        <w:t>и да повишат плазмената концентрация на сърдечните глюкозиди. Препоръчва се мониториране на серумния дигоксин.</w:t>
      </w:r>
    </w:p>
    <w:p w:rsidR="005A3387" w:rsidRPr="005A3387" w:rsidRDefault="005A3387" w:rsidP="005A3387">
      <w:pPr>
        <w:spacing w:line="240" w:lineRule="auto"/>
        <w:rPr>
          <w:rFonts w:eastAsia="Times New Roman" w:cs="Arial"/>
          <w:i/>
          <w:iCs/>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i/>
          <w:iCs/>
          <w:color w:val="000000"/>
          <w:lang w:eastAsia="bg-BG"/>
        </w:rPr>
        <w:t>Диуретици и антихипертензивни средства:</w:t>
      </w:r>
      <w:r w:rsidRPr="005A3387">
        <w:rPr>
          <w:rFonts w:eastAsia="Times New Roman" w:cs="Arial"/>
          <w:color w:val="000000"/>
          <w:lang w:eastAsia="bg-BG"/>
        </w:rPr>
        <w:t xml:space="preserve"> Диуретиците и АСЕ-инхибиторите могат да повишат нефротоксичността на нестероидните противовъзпалителни средства. НСПВС могат да намалят ефекта на диуретиците и антихипертензивните средства, включително АСЕ- инхибитори и бета-блокери. При пациенти с намалена бъбречна функция (напр. дехидратирани пациенти или пациенти в напреднала възраст с намалена бъбречна функция) едновременното приложение на АСЕ-инхибитор и антагонист на ангиотензин II с лекарствен продукт - инхибитор на циклооксигеназа може да доведе до по-нататъшно увреждане на бъбречната функция и след това до остра бъбречна недостатъчност. Това обикновено е обратимо. Ето защо трябва да се внимава с такива комбинации, особено при пациенти в напреднала възраст. Пациентите трябва да се инструктират да поемат достатъчно течности и стойностите на бъбречната функция трябва редовно да се следят веднага след началото на комбинираната терапия.</w:t>
      </w:r>
    </w:p>
    <w:p w:rsidR="005A3387" w:rsidRPr="005A3387" w:rsidRDefault="005A3387" w:rsidP="005A3387">
      <w:pPr>
        <w:spacing w:line="240" w:lineRule="auto"/>
        <w:rPr>
          <w:rFonts w:eastAsia="Times New Roman" w:cs="Arial"/>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color w:val="000000"/>
          <w:lang w:eastAsia="bg-BG"/>
        </w:rPr>
        <w:t>Едновременното приложение на Ибупрофен и калий-съхраняващи диуретици или АСЕ- инхибитори може да доведе до хиперкалиемия. Необходимо е внимателно да се мониторира нивото на калий.</w:t>
      </w:r>
    </w:p>
    <w:p w:rsidR="005A3387" w:rsidRPr="005A3387" w:rsidRDefault="005A3387" w:rsidP="005A3387">
      <w:pPr>
        <w:spacing w:line="240" w:lineRule="auto"/>
        <w:rPr>
          <w:rFonts w:eastAsia="Times New Roman" w:cs="Arial"/>
          <w:i/>
          <w:iCs/>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i/>
          <w:iCs/>
          <w:color w:val="000000"/>
          <w:lang w:eastAsia="bg-BG"/>
        </w:rPr>
        <w:t>Каптоприл:</w:t>
      </w:r>
      <w:r w:rsidRPr="005A3387">
        <w:rPr>
          <w:rFonts w:eastAsia="Times New Roman" w:cs="Arial"/>
          <w:color w:val="000000"/>
          <w:lang w:eastAsia="bg-BG"/>
        </w:rPr>
        <w:t xml:space="preserve"> Данни от проучвания показват, че ибупрофен противодейства на ефекта на каптоприл за повишена екскреция на натрий.</w:t>
      </w:r>
    </w:p>
    <w:p w:rsidR="005A3387" w:rsidRPr="005A3387" w:rsidRDefault="005A3387" w:rsidP="005A3387">
      <w:pPr>
        <w:spacing w:line="240" w:lineRule="auto"/>
        <w:rPr>
          <w:rFonts w:eastAsia="Times New Roman" w:cs="Arial"/>
          <w:i/>
          <w:iCs/>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i/>
          <w:iCs/>
          <w:color w:val="000000"/>
          <w:lang w:eastAsia="bg-BG"/>
        </w:rPr>
        <w:t>Аминогликозиди:</w:t>
      </w:r>
      <w:r w:rsidRPr="005A3387">
        <w:rPr>
          <w:rFonts w:eastAsia="Times New Roman" w:cs="Arial"/>
          <w:color w:val="000000"/>
          <w:lang w:eastAsia="bg-BG"/>
        </w:rPr>
        <w:t xml:space="preserve"> НСПВС могат да забавят елиминирането на амингликозиди и могат да увеличат тяхната токсичност.</w:t>
      </w:r>
    </w:p>
    <w:p w:rsidR="005A3387" w:rsidRPr="005A3387" w:rsidRDefault="005A3387" w:rsidP="005A3387">
      <w:pPr>
        <w:spacing w:line="240" w:lineRule="auto"/>
        <w:rPr>
          <w:rFonts w:eastAsia="Times New Roman" w:cs="Arial"/>
          <w:i/>
          <w:iCs/>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i/>
          <w:iCs/>
          <w:color w:val="000000"/>
          <w:lang w:eastAsia="bg-BG"/>
        </w:rPr>
        <w:t xml:space="preserve">Селективни инхибитори на обратния захват на серотонина </w:t>
      </w:r>
      <w:r w:rsidRPr="005A3387">
        <w:rPr>
          <w:rFonts w:eastAsia="Times New Roman" w:cs="Arial"/>
          <w:i/>
          <w:iCs/>
          <w:color w:val="000000"/>
          <w:lang w:val="ru-RU"/>
        </w:rPr>
        <w:t>(</w:t>
      </w:r>
      <w:r w:rsidRPr="005A3387">
        <w:rPr>
          <w:rFonts w:eastAsia="Times New Roman" w:cs="Arial"/>
          <w:i/>
          <w:iCs/>
          <w:color w:val="000000"/>
          <w:lang w:val="en-US"/>
        </w:rPr>
        <w:t>SSRI</w:t>
      </w:r>
      <w:r w:rsidRPr="005A3387">
        <w:rPr>
          <w:rFonts w:eastAsia="Times New Roman" w:cs="Arial"/>
          <w:i/>
          <w:iCs/>
          <w:color w:val="000000"/>
          <w:lang w:val="ru-RU"/>
        </w:rPr>
        <w:t>):</w:t>
      </w:r>
      <w:r w:rsidRPr="005A3387">
        <w:rPr>
          <w:rFonts w:eastAsia="Times New Roman" w:cs="Arial"/>
          <w:i/>
          <w:iCs/>
          <w:color w:val="000000"/>
          <w:lang w:eastAsia="bg-BG"/>
        </w:rPr>
        <w:t xml:space="preserve"> Повишен риск от</w:t>
      </w:r>
    </w:p>
    <w:p w:rsidR="005A3387" w:rsidRPr="005A3387" w:rsidRDefault="005A3387" w:rsidP="005A3387">
      <w:pPr>
        <w:spacing w:line="240" w:lineRule="auto"/>
        <w:rPr>
          <w:rFonts w:eastAsia="Times New Roman" w:cs="Arial"/>
          <w:color w:val="000000"/>
          <w:lang w:eastAsia="bg-BG"/>
        </w:rPr>
      </w:pPr>
      <w:r w:rsidRPr="005A3387">
        <w:rPr>
          <w:rFonts w:eastAsia="Times New Roman" w:cs="Arial"/>
          <w:color w:val="000000"/>
          <w:lang w:eastAsia="bg-BG"/>
        </w:rPr>
        <w:t>гастроинтестинално кървене (вж точка 4.4)</w:t>
      </w:r>
    </w:p>
    <w:p w:rsidR="005A3387" w:rsidRPr="005A3387" w:rsidRDefault="005A3387" w:rsidP="005A3387">
      <w:pPr>
        <w:spacing w:line="240" w:lineRule="auto"/>
        <w:rPr>
          <w:rFonts w:eastAsia="Times New Roman" w:cs="Arial"/>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i/>
          <w:iCs/>
          <w:color w:val="000000"/>
          <w:lang w:eastAsia="bg-BG"/>
        </w:rPr>
        <w:t>Циклоспорин:</w:t>
      </w:r>
      <w:r w:rsidRPr="005A3387">
        <w:rPr>
          <w:rFonts w:eastAsia="Times New Roman" w:cs="Arial"/>
          <w:color w:val="000000"/>
          <w:lang w:eastAsia="bg-BG"/>
        </w:rPr>
        <w:t xml:space="preserve"> Рискът от бъбречно увреждане, причинено от циклоспорин, се засилва от едновременното прилагане на някои НСПВС. Този ефект не може да се изключи и за комбинацията от циклоспорин и ибупрофен.</w:t>
      </w:r>
    </w:p>
    <w:p w:rsidR="005A3387" w:rsidRPr="005A3387" w:rsidRDefault="005A3387" w:rsidP="005A3387">
      <w:pPr>
        <w:spacing w:line="240" w:lineRule="auto"/>
        <w:rPr>
          <w:rFonts w:eastAsia="Times New Roman" w:cs="Arial"/>
          <w:i/>
          <w:iCs/>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i/>
          <w:iCs/>
          <w:color w:val="000000"/>
          <w:lang w:eastAsia="bg-BG"/>
        </w:rPr>
        <w:t>Холестирамин:</w:t>
      </w:r>
      <w:r w:rsidRPr="005A3387">
        <w:rPr>
          <w:rFonts w:eastAsia="Times New Roman" w:cs="Arial"/>
          <w:color w:val="000000"/>
          <w:lang w:eastAsia="bg-BG"/>
        </w:rPr>
        <w:t xml:space="preserve"> Едновременното лечение с холестирамин и ибупрофен води до удължена и намалена (25%) абсорбция на ибупрофен. Лекарствените продукти трябва да се прилагат през интервал от най-малко един час.</w:t>
      </w:r>
    </w:p>
    <w:p w:rsidR="005A3387" w:rsidRPr="005A3387" w:rsidRDefault="005A3387" w:rsidP="005A3387">
      <w:pPr>
        <w:spacing w:line="240" w:lineRule="auto"/>
        <w:rPr>
          <w:rFonts w:eastAsia="Times New Roman" w:cs="Arial"/>
          <w:i/>
          <w:iCs/>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i/>
          <w:iCs/>
          <w:color w:val="000000"/>
          <w:lang w:eastAsia="bg-BG"/>
        </w:rPr>
        <w:t>Такролимус:</w:t>
      </w:r>
      <w:r w:rsidRPr="005A3387">
        <w:rPr>
          <w:rFonts w:eastAsia="Times New Roman" w:cs="Arial"/>
          <w:color w:val="000000"/>
          <w:lang w:eastAsia="bg-BG"/>
        </w:rPr>
        <w:t xml:space="preserve"> Повишен риск от нефротоксичност,</w:t>
      </w:r>
    </w:p>
    <w:p w:rsidR="005A3387" w:rsidRPr="005A3387" w:rsidRDefault="005A3387" w:rsidP="005A3387">
      <w:pPr>
        <w:spacing w:line="240" w:lineRule="auto"/>
        <w:rPr>
          <w:rFonts w:eastAsia="Times New Roman" w:cs="Arial"/>
          <w:i/>
          <w:iCs/>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i/>
          <w:iCs/>
          <w:color w:val="000000"/>
          <w:lang w:eastAsia="bg-BG"/>
        </w:rPr>
        <w:t>Зидовудин:</w:t>
      </w:r>
      <w:r w:rsidRPr="005A3387">
        <w:rPr>
          <w:rFonts w:eastAsia="Times New Roman" w:cs="Arial"/>
          <w:color w:val="000000"/>
          <w:lang w:eastAsia="bg-BG"/>
        </w:rPr>
        <w:t xml:space="preserve"> Има данни за повишен риск от хемартроза и хематом при </w:t>
      </w:r>
      <w:r w:rsidRPr="005A3387">
        <w:rPr>
          <w:rFonts w:eastAsia="Times New Roman" w:cs="Arial"/>
          <w:color w:val="000000"/>
          <w:lang w:val="en-US"/>
        </w:rPr>
        <w:t>HIV</w:t>
      </w:r>
      <w:r w:rsidRPr="005A3387">
        <w:rPr>
          <w:rFonts w:eastAsia="Times New Roman" w:cs="Arial"/>
          <w:color w:val="000000"/>
          <w:lang w:eastAsia="bg-BG"/>
        </w:rPr>
        <w:t>-положителни хемофилици, които са на комбинирано лечение със зидовудин и ибупрофен. При едновременната употреба на зидовудин и НСПВС може да се наблюдава повишен риск от хематотоксичност. Препоръчва се изследване на кръвта 1-2 седмици след началото на едновременното приложение.</w:t>
      </w:r>
    </w:p>
    <w:p w:rsidR="005A3387" w:rsidRPr="005A3387" w:rsidRDefault="005A3387" w:rsidP="005A3387">
      <w:pPr>
        <w:spacing w:line="240" w:lineRule="auto"/>
        <w:rPr>
          <w:rFonts w:eastAsia="Times New Roman" w:cs="Arial"/>
          <w:i/>
          <w:iCs/>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i/>
          <w:iCs/>
          <w:color w:val="000000"/>
          <w:lang w:eastAsia="bg-BG"/>
        </w:rPr>
        <w:t>Ритонавир:</w:t>
      </w:r>
      <w:r w:rsidRPr="005A3387">
        <w:rPr>
          <w:rFonts w:eastAsia="Times New Roman" w:cs="Arial"/>
          <w:color w:val="000000"/>
          <w:lang w:eastAsia="bg-BG"/>
        </w:rPr>
        <w:t xml:space="preserve"> Може да повиши плазмените концентрации на НСПВС.</w:t>
      </w:r>
    </w:p>
    <w:p w:rsidR="005A3387" w:rsidRPr="005A3387" w:rsidRDefault="005A3387" w:rsidP="005A3387">
      <w:pPr>
        <w:spacing w:line="240" w:lineRule="auto"/>
        <w:rPr>
          <w:rFonts w:eastAsia="Times New Roman" w:cs="Arial"/>
          <w:i/>
          <w:iCs/>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i/>
          <w:iCs/>
          <w:color w:val="000000"/>
          <w:lang w:eastAsia="bg-BG"/>
        </w:rPr>
        <w:t>Мифепристон:</w:t>
      </w:r>
      <w:r w:rsidRPr="005A3387">
        <w:rPr>
          <w:rFonts w:eastAsia="Times New Roman" w:cs="Arial"/>
          <w:color w:val="000000"/>
          <w:lang w:eastAsia="bg-BG"/>
        </w:rPr>
        <w:t xml:space="preserve"> Ако НСПВС се прилагат 8-12 дни след приложението на мифепристон, те могат да намалят ефекта на мифепристон.</w:t>
      </w:r>
    </w:p>
    <w:p w:rsidR="005A3387" w:rsidRPr="005A3387" w:rsidRDefault="005A3387" w:rsidP="005A3387">
      <w:pPr>
        <w:spacing w:line="240" w:lineRule="auto"/>
        <w:rPr>
          <w:rFonts w:eastAsia="Times New Roman" w:cs="Arial"/>
          <w:i/>
          <w:iCs/>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i/>
          <w:iCs/>
          <w:color w:val="000000"/>
          <w:lang w:eastAsia="bg-BG"/>
        </w:rPr>
        <w:t>Пробенецид или сулфинпиразон:</w:t>
      </w:r>
      <w:r w:rsidRPr="005A3387">
        <w:rPr>
          <w:rFonts w:eastAsia="Times New Roman" w:cs="Arial"/>
          <w:color w:val="000000"/>
          <w:lang w:eastAsia="bg-BG"/>
        </w:rPr>
        <w:t xml:space="preserve"> Може да забави елиминирането на ибупрофен. Намалява се урикозуричното действие на тези вещества.</w:t>
      </w:r>
    </w:p>
    <w:p w:rsidR="005A3387" w:rsidRPr="005A3387" w:rsidRDefault="005A3387" w:rsidP="005A3387">
      <w:pPr>
        <w:spacing w:line="240" w:lineRule="auto"/>
        <w:rPr>
          <w:rFonts w:eastAsia="Times New Roman" w:cs="Arial"/>
          <w:i/>
          <w:iCs/>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i/>
          <w:iCs/>
          <w:color w:val="000000"/>
          <w:lang w:eastAsia="bg-BG"/>
        </w:rPr>
        <w:t>Хинолонови антибиотици:</w:t>
      </w:r>
      <w:r w:rsidRPr="005A3387">
        <w:rPr>
          <w:rFonts w:eastAsia="Times New Roman" w:cs="Arial"/>
          <w:color w:val="000000"/>
          <w:lang w:eastAsia="bg-BG"/>
        </w:rPr>
        <w:t xml:space="preserve"> Пациенти, които приемат НСПВС и хинолони са изложени на повишен риск от конвулсии.</w:t>
      </w:r>
    </w:p>
    <w:p w:rsidR="005A3387" w:rsidRPr="005A3387" w:rsidRDefault="005A3387" w:rsidP="005A3387">
      <w:pPr>
        <w:spacing w:line="240" w:lineRule="auto"/>
        <w:rPr>
          <w:rFonts w:eastAsia="Times New Roman" w:cs="Arial"/>
          <w:i/>
          <w:iCs/>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i/>
          <w:iCs/>
          <w:color w:val="000000"/>
          <w:lang w:eastAsia="bg-BG"/>
        </w:rPr>
        <w:t>Сулфонилурейни средства:</w:t>
      </w:r>
      <w:r w:rsidRPr="005A3387">
        <w:rPr>
          <w:rFonts w:eastAsia="Times New Roman" w:cs="Arial"/>
          <w:color w:val="000000"/>
          <w:lang w:eastAsia="bg-BG"/>
        </w:rPr>
        <w:t xml:space="preserve"> НСПВС могат да повишат хипогликемичния ефект на сулфонилурейните средства. При едновременното приложение се препоръчва да се мониторират нивата на кръвната захар.</w:t>
      </w:r>
    </w:p>
    <w:p w:rsidR="005A3387" w:rsidRPr="005A3387" w:rsidRDefault="005A3387" w:rsidP="005A3387">
      <w:pPr>
        <w:spacing w:line="240" w:lineRule="auto"/>
        <w:rPr>
          <w:rFonts w:eastAsia="Times New Roman" w:cs="Arial"/>
          <w:i/>
          <w:iCs/>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i/>
          <w:iCs/>
          <w:color w:val="000000"/>
          <w:lang w:eastAsia="bg-BG"/>
        </w:rPr>
        <w:t>Кортикостероиди:</w:t>
      </w:r>
      <w:r w:rsidRPr="005A3387">
        <w:rPr>
          <w:rFonts w:eastAsia="Times New Roman" w:cs="Arial"/>
          <w:color w:val="000000"/>
          <w:lang w:eastAsia="bg-BG"/>
        </w:rPr>
        <w:t xml:space="preserve"> Повишен риск от гастроинтестинална улцерация или кървене (вж точка 4.4).</w:t>
      </w:r>
    </w:p>
    <w:p w:rsidR="005A3387" w:rsidRPr="005A3387" w:rsidRDefault="005A3387" w:rsidP="005A3387">
      <w:pPr>
        <w:spacing w:line="240" w:lineRule="auto"/>
        <w:rPr>
          <w:rFonts w:eastAsia="Times New Roman" w:cs="Arial"/>
          <w:i/>
          <w:iCs/>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i/>
          <w:iCs/>
          <w:color w:val="000000"/>
          <w:lang w:eastAsia="bg-BG"/>
        </w:rPr>
        <w:t>Антитромбоцитни агреганти (напр. клопидогрел и тиклопидин):</w:t>
      </w:r>
      <w:r w:rsidRPr="005A3387">
        <w:rPr>
          <w:rFonts w:eastAsia="Times New Roman" w:cs="Arial"/>
          <w:color w:val="000000"/>
          <w:lang w:eastAsia="bg-BG"/>
        </w:rPr>
        <w:t xml:space="preserve"> Повишават риска от гастроинтестинално кървене (вж точка 4.4).</w:t>
      </w:r>
    </w:p>
    <w:p w:rsidR="005A3387" w:rsidRPr="005A3387" w:rsidRDefault="005A3387" w:rsidP="005A3387">
      <w:pPr>
        <w:spacing w:line="240" w:lineRule="auto"/>
        <w:rPr>
          <w:rFonts w:eastAsia="Times New Roman" w:cs="Arial"/>
          <w:i/>
          <w:iCs/>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i/>
          <w:iCs/>
          <w:color w:val="000000"/>
          <w:lang w:eastAsia="bg-BG"/>
        </w:rPr>
        <w:t>Алкохол, бисфосфонати и окспентифилин (пентоксифилин):</w:t>
      </w:r>
      <w:r w:rsidRPr="005A3387">
        <w:rPr>
          <w:rFonts w:eastAsia="Times New Roman" w:cs="Arial"/>
          <w:color w:val="000000"/>
          <w:lang w:eastAsia="bg-BG"/>
        </w:rPr>
        <w:t xml:space="preserve"> Могат да предизвикат гастроинтестинални нежелани лекарствени реакции и риск от кървене и улцерация.</w:t>
      </w:r>
    </w:p>
    <w:p w:rsidR="005A3387" w:rsidRPr="005A3387" w:rsidRDefault="005A3387" w:rsidP="005A3387">
      <w:pPr>
        <w:spacing w:line="240" w:lineRule="auto"/>
        <w:rPr>
          <w:rFonts w:eastAsia="Times New Roman" w:cs="Arial"/>
          <w:i/>
          <w:iCs/>
          <w:color w:val="000000"/>
          <w:lang w:eastAsia="bg-BG"/>
        </w:rPr>
      </w:pPr>
    </w:p>
    <w:p w:rsidR="005A3387" w:rsidRPr="005A3387" w:rsidRDefault="005A3387" w:rsidP="005A3387">
      <w:pPr>
        <w:spacing w:line="240" w:lineRule="auto"/>
        <w:rPr>
          <w:rFonts w:eastAsia="Times New Roman" w:cs="Arial"/>
        </w:rPr>
      </w:pPr>
      <w:r w:rsidRPr="005A3387">
        <w:rPr>
          <w:rFonts w:eastAsia="Times New Roman" w:cs="Arial"/>
          <w:i/>
          <w:iCs/>
          <w:color w:val="000000"/>
          <w:lang w:eastAsia="bg-BG"/>
        </w:rPr>
        <w:t>Баклофен:</w:t>
      </w:r>
      <w:r w:rsidRPr="005A3387">
        <w:rPr>
          <w:rFonts w:eastAsia="Times New Roman" w:cs="Arial"/>
          <w:color w:val="000000"/>
          <w:lang w:eastAsia="bg-BG"/>
        </w:rPr>
        <w:t xml:space="preserve"> Повишена токсичност на баклофен.</w:t>
      </w:r>
    </w:p>
    <w:p w:rsidR="005A3387" w:rsidRPr="005A3387" w:rsidRDefault="005A3387" w:rsidP="005A3387"/>
    <w:p w:rsidR="00DF4C8E" w:rsidRDefault="002C50EE" w:rsidP="00F44498">
      <w:pPr>
        <w:pStyle w:val="Heading2"/>
      </w:pPr>
      <w:r>
        <w:t>4.6. Фертилитет, бременност и кърмене</w:t>
      </w:r>
    </w:p>
    <w:p w:rsidR="005A3387" w:rsidRDefault="005A3387" w:rsidP="005A3387"/>
    <w:p w:rsidR="005A3387" w:rsidRPr="005A3387" w:rsidRDefault="005A3387" w:rsidP="005A3387">
      <w:pPr>
        <w:pStyle w:val="Heading3"/>
        <w:rPr>
          <w:rFonts w:eastAsia="Times New Roman"/>
          <w:u w:val="single"/>
        </w:rPr>
      </w:pPr>
      <w:r w:rsidRPr="005A3387">
        <w:rPr>
          <w:rFonts w:eastAsia="Times New Roman"/>
          <w:u w:val="single"/>
          <w:lang w:eastAsia="bg-BG"/>
        </w:rPr>
        <w:t>Бременност</w:t>
      </w:r>
    </w:p>
    <w:p w:rsidR="005A3387" w:rsidRPr="005A3387" w:rsidRDefault="005A3387" w:rsidP="005A3387">
      <w:pPr>
        <w:spacing w:line="240" w:lineRule="auto"/>
        <w:rPr>
          <w:rFonts w:eastAsia="Times New Roman" w:cs="Arial"/>
          <w:sz w:val="24"/>
          <w:szCs w:val="24"/>
        </w:rPr>
      </w:pPr>
      <w:r w:rsidRPr="005A3387">
        <w:rPr>
          <w:rFonts w:eastAsia="Times New Roman" w:cs="Arial"/>
          <w:color w:val="000000"/>
          <w:lang w:eastAsia="bg-BG"/>
        </w:rPr>
        <w:t>Блокирането на простагландиновия синтез може да има нежелан ефект върху бременността и/ или ембрионалното/фетално развитие. Данни от епидемиологични проучвания показват повишен риск от спонтанен аборт, също така сърдечни малформации и гастрошизис след употреба на инхибитор на простагладиновия синтез в началото на бременността. Абсолютният риск от сърдечносъдова малформация се засилва от по-малко от 1% до приблизително 1,5%. Рискът се увеличава с дозировката и продължителността на лечението. При животни приложението на инхибитор на простагландиновия синтез води до загуба на плода преди и след имплантация и ембрио/фетална смъртност. Освен това се съобщава за нарастващ брой на различни малформации, включително и сърдечно-съдови при животни, на които е прилаган инхибитор на простагландиновия синтез по време на органогенеза.</w:t>
      </w:r>
    </w:p>
    <w:p w:rsidR="005A3387" w:rsidRPr="005A3387" w:rsidRDefault="005A3387" w:rsidP="005A3387">
      <w:pPr>
        <w:rPr>
          <w:rFonts w:eastAsia="Times New Roman" w:cs="Arial"/>
          <w:sz w:val="24"/>
          <w:szCs w:val="24"/>
        </w:rPr>
      </w:pPr>
      <w:r w:rsidRPr="005A3387">
        <w:rPr>
          <w:rFonts w:eastAsia="Times New Roman" w:cs="Arial"/>
          <w:color w:val="000000"/>
          <w:lang w:eastAsia="bg-BG"/>
        </w:rPr>
        <w:t>Употребата на ибупрофен след двадесетата седмица от бременността може да причини олигохидрамнион в резултат от увреждане на бъбречната функция. Това може да се случи</w:t>
      </w:r>
      <w:r w:rsidRPr="005A3387">
        <w:rPr>
          <w:rFonts w:eastAsia="Times New Roman" w:cs="Arial"/>
          <w:sz w:val="24"/>
          <w:szCs w:val="24"/>
        </w:rPr>
        <w:t xml:space="preserve"> </w:t>
      </w:r>
      <w:r w:rsidRPr="005A3387">
        <w:rPr>
          <w:rFonts w:eastAsia="Times New Roman" w:cs="Arial"/>
          <w:color w:val="000000"/>
          <w:lang w:eastAsia="bg-BG"/>
        </w:rPr>
        <w:t xml:space="preserve">скоро след започване на лечението и обикновено е обратимо след прекратяването му. В допълнение, има докладвани случаи на стеснение на </w:t>
      </w:r>
      <w:r w:rsidRPr="005A3387">
        <w:rPr>
          <w:rFonts w:eastAsia="Times New Roman" w:cs="Arial"/>
          <w:i/>
          <w:iCs/>
          <w:color w:val="000000"/>
          <w:lang w:val="en-US"/>
        </w:rPr>
        <w:t>ductus</w:t>
      </w:r>
      <w:r w:rsidRPr="005A3387">
        <w:rPr>
          <w:rFonts w:eastAsia="Times New Roman" w:cs="Arial"/>
          <w:i/>
          <w:iCs/>
          <w:color w:val="000000"/>
          <w:lang w:val="ru-RU"/>
        </w:rPr>
        <w:t xml:space="preserve"> </w:t>
      </w:r>
      <w:r w:rsidRPr="005A3387">
        <w:rPr>
          <w:rFonts w:eastAsia="Times New Roman" w:cs="Arial"/>
          <w:i/>
          <w:iCs/>
          <w:color w:val="000000"/>
          <w:lang w:val="en-US"/>
        </w:rPr>
        <w:t>arteriosus</w:t>
      </w:r>
      <w:r w:rsidRPr="005A3387">
        <w:rPr>
          <w:rFonts w:eastAsia="Times New Roman" w:cs="Arial"/>
          <w:color w:val="000000"/>
          <w:lang w:val="ru-RU"/>
        </w:rPr>
        <w:t xml:space="preserve"> </w:t>
      </w:r>
      <w:r w:rsidRPr="005A3387">
        <w:rPr>
          <w:rFonts w:eastAsia="Times New Roman" w:cs="Arial"/>
          <w:color w:val="000000"/>
          <w:lang w:eastAsia="bg-BG"/>
        </w:rPr>
        <w:t>след лечение през втория триместьр, повечето от които са се възстановили след прекратяване на лечението.</w:t>
      </w:r>
    </w:p>
    <w:p w:rsidR="005A3387" w:rsidRPr="005A3387" w:rsidRDefault="005A3387" w:rsidP="005A3387">
      <w:pPr>
        <w:spacing w:line="240" w:lineRule="auto"/>
        <w:rPr>
          <w:rFonts w:eastAsia="Times New Roman" w:cs="Arial"/>
          <w:sz w:val="24"/>
          <w:szCs w:val="24"/>
        </w:rPr>
      </w:pPr>
      <w:r w:rsidRPr="005A3387">
        <w:rPr>
          <w:rFonts w:eastAsia="Times New Roman" w:cs="Arial"/>
          <w:color w:val="000000"/>
          <w:lang w:eastAsia="bg-BG"/>
        </w:rPr>
        <w:t xml:space="preserve">Следователно, през първото и второто тримесечие от бременността, ибупрофен не трябва да се прилага, освен при ясни медицински показания. Ако ибупрофен се използва от жена, която се опитва да забременее или през първото и второто тримесечие на бременността, дозировката трябва да бъде възможно най-ниска, а продължителността на лечението - възможно най-кратка. Трябва да се обмисли мониторинг на плода за олигохидрамнион и стеснение на </w:t>
      </w:r>
      <w:r w:rsidRPr="005A3387">
        <w:rPr>
          <w:rFonts w:eastAsia="Times New Roman" w:cs="Arial"/>
          <w:i/>
          <w:iCs/>
          <w:color w:val="000000"/>
          <w:lang w:val="en-US"/>
        </w:rPr>
        <w:t>ductus</w:t>
      </w:r>
      <w:r w:rsidRPr="005A3387">
        <w:rPr>
          <w:rFonts w:eastAsia="Times New Roman" w:cs="Arial"/>
          <w:i/>
          <w:iCs/>
          <w:color w:val="000000"/>
          <w:lang w:val="ru-RU"/>
        </w:rPr>
        <w:t xml:space="preserve"> </w:t>
      </w:r>
      <w:r w:rsidRPr="005A3387">
        <w:rPr>
          <w:rFonts w:eastAsia="Times New Roman" w:cs="Arial"/>
          <w:i/>
          <w:iCs/>
          <w:color w:val="000000"/>
          <w:lang w:val="en-US"/>
        </w:rPr>
        <w:t>arteriosus</w:t>
      </w:r>
      <w:r w:rsidRPr="005A3387">
        <w:rPr>
          <w:rFonts w:eastAsia="Times New Roman" w:cs="Arial"/>
          <w:color w:val="000000"/>
          <w:lang w:val="ru-RU"/>
        </w:rPr>
        <w:t xml:space="preserve"> </w:t>
      </w:r>
      <w:r w:rsidRPr="005A3387">
        <w:rPr>
          <w:rFonts w:eastAsia="Times New Roman" w:cs="Arial"/>
          <w:color w:val="000000"/>
          <w:lang w:eastAsia="bg-BG"/>
        </w:rPr>
        <w:t xml:space="preserve">след експозиция на ибупрофен в продължение на няколко дни след двадесета гестационна седмица. Приемът на ибупрофен трябва да бъде прекратен, ако се наблюдават олигохидрамнион или стеснение на </w:t>
      </w:r>
      <w:r w:rsidRPr="005A3387">
        <w:rPr>
          <w:rFonts w:eastAsia="Times New Roman" w:cs="Arial"/>
          <w:i/>
          <w:iCs/>
          <w:color w:val="000000"/>
          <w:lang w:val="en-US"/>
        </w:rPr>
        <w:t>ductus</w:t>
      </w:r>
      <w:r w:rsidRPr="005A3387">
        <w:rPr>
          <w:rFonts w:eastAsia="Times New Roman" w:cs="Arial"/>
          <w:i/>
          <w:iCs/>
          <w:color w:val="000000"/>
          <w:lang w:val="ru-RU"/>
        </w:rPr>
        <w:t xml:space="preserve"> </w:t>
      </w:r>
      <w:r w:rsidRPr="005A3387">
        <w:rPr>
          <w:rFonts w:eastAsia="Times New Roman" w:cs="Arial"/>
          <w:i/>
          <w:iCs/>
          <w:color w:val="000000"/>
          <w:lang w:val="en-US"/>
        </w:rPr>
        <w:t>arteriosus</w:t>
      </w:r>
      <w:r w:rsidRPr="005A3387">
        <w:rPr>
          <w:rFonts w:eastAsia="Times New Roman" w:cs="Arial"/>
          <w:i/>
          <w:iCs/>
          <w:color w:val="000000"/>
          <w:lang w:val="ru-RU"/>
        </w:rPr>
        <w:t>.</w:t>
      </w:r>
    </w:p>
    <w:p w:rsidR="005A3387" w:rsidRPr="005A3387" w:rsidRDefault="005A3387" w:rsidP="005A3387">
      <w:pPr>
        <w:spacing w:line="240" w:lineRule="auto"/>
        <w:rPr>
          <w:rFonts w:eastAsia="Times New Roman" w:cs="Arial"/>
          <w:color w:val="000000"/>
          <w:lang w:eastAsia="bg-BG"/>
        </w:rPr>
      </w:pPr>
    </w:p>
    <w:p w:rsidR="005A3387" w:rsidRPr="005A3387" w:rsidRDefault="005A3387" w:rsidP="005A3387">
      <w:pPr>
        <w:spacing w:line="240" w:lineRule="auto"/>
        <w:rPr>
          <w:rFonts w:eastAsia="Times New Roman" w:cs="Arial"/>
          <w:sz w:val="24"/>
          <w:szCs w:val="24"/>
        </w:rPr>
      </w:pPr>
      <w:r w:rsidRPr="005A3387">
        <w:rPr>
          <w:rFonts w:eastAsia="Times New Roman" w:cs="Arial"/>
          <w:color w:val="000000"/>
          <w:lang w:eastAsia="bg-BG"/>
        </w:rPr>
        <w:t>През третия триместьр на бременността всички инхибитори на простагландиновия синтез могат да изложат плода на следните рискове:</w:t>
      </w:r>
    </w:p>
    <w:p w:rsidR="005A3387" w:rsidRPr="005A3387" w:rsidRDefault="005A3387" w:rsidP="005A3387">
      <w:pPr>
        <w:pStyle w:val="ListParagraph"/>
        <w:numPr>
          <w:ilvl w:val="0"/>
          <w:numId w:val="35"/>
        </w:numPr>
        <w:spacing w:line="240" w:lineRule="auto"/>
        <w:rPr>
          <w:rFonts w:eastAsia="Times New Roman" w:cs="Arial"/>
          <w:sz w:val="24"/>
          <w:szCs w:val="24"/>
        </w:rPr>
      </w:pPr>
      <w:r w:rsidRPr="005A3387">
        <w:rPr>
          <w:rFonts w:eastAsia="Times New Roman" w:cs="Arial"/>
          <w:color w:val="000000"/>
          <w:lang w:eastAsia="bg-BG"/>
        </w:rPr>
        <w:t xml:space="preserve">кардио-пулмонарна токсичност (преждевременно стеснение/затваряне на </w:t>
      </w:r>
      <w:r w:rsidRPr="005A3387">
        <w:rPr>
          <w:rFonts w:eastAsia="Times New Roman" w:cs="Arial"/>
          <w:i/>
          <w:iCs/>
          <w:color w:val="000000"/>
          <w:lang w:val="en-US"/>
        </w:rPr>
        <w:t>ductus</w:t>
      </w:r>
      <w:r w:rsidRPr="005A3387">
        <w:rPr>
          <w:rFonts w:eastAsia="Times New Roman" w:cs="Arial"/>
          <w:i/>
          <w:iCs/>
          <w:color w:val="000000"/>
          <w:lang w:val="ru-RU"/>
        </w:rPr>
        <w:t xml:space="preserve"> </w:t>
      </w:r>
      <w:r w:rsidRPr="005A3387">
        <w:rPr>
          <w:rFonts w:eastAsia="Times New Roman" w:cs="Arial"/>
          <w:i/>
          <w:iCs/>
          <w:color w:val="000000"/>
          <w:lang w:val="en-US"/>
        </w:rPr>
        <w:t>arteriosus</w:t>
      </w:r>
      <w:r w:rsidRPr="005A3387">
        <w:rPr>
          <w:rFonts w:eastAsia="Times New Roman" w:cs="Arial"/>
          <w:i/>
          <w:iCs/>
          <w:color w:val="000000"/>
          <w:lang w:val="ru-RU"/>
        </w:rPr>
        <w:t xml:space="preserve"> </w:t>
      </w:r>
      <w:r w:rsidRPr="005A3387">
        <w:rPr>
          <w:rFonts w:eastAsia="Times New Roman" w:cs="Arial"/>
          <w:color w:val="000000"/>
          <w:lang w:eastAsia="bg-BG"/>
        </w:rPr>
        <w:t>и пулмонарна хипертония);</w:t>
      </w:r>
    </w:p>
    <w:p w:rsidR="005A3387" w:rsidRPr="005A3387" w:rsidRDefault="005A3387" w:rsidP="005A3387">
      <w:pPr>
        <w:pStyle w:val="ListParagraph"/>
        <w:numPr>
          <w:ilvl w:val="0"/>
          <w:numId w:val="35"/>
        </w:numPr>
        <w:spacing w:line="240" w:lineRule="auto"/>
        <w:rPr>
          <w:rFonts w:eastAsia="Times New Roman" w:cs="Arial"/>
          <w:sz w:val="24"/>
          <w:szCs w:val="24"/>
        </w:rPr>
      </w:pPr>
      <w:r w:rsidRPr="005A3387">
        <w:rPr>
          <w:rFonts w:eastAsia="Times New Roman" w:cs="Arial"/>
          <w:color w:val="000000"/>
          <w:lang w:eastAsia="bg-BG"/>
        </w:rPr>
        <w:t>увреждане на бъбречната функция, което може да прогресира до бъбречна недостатъчност с олигохидрамнион (вж. по-горе),</w:t>
      </w:r>
    </w:p>
    <w:p w:rsidR="005A3387" w:rsidRPr="005A3387" w:rsidRDefault="005A3387" w:rsidP="005A3387">
      <w:pPr>
        <w:spacing w:line="240" w:lineRule="auto"/>
        <w:rPr>
          <w:rFonts w:eastAsia="Times New Roman" w:cs="Arial"/>
          <w:color w:val="000000"/>
          <w:lang w:eastAsia="bg-BG"/>
        </w:rPr>
      </w:pPr>
      <w:r w:rsidRPr="005A3387">
        <w:rPr>
          <w:rFonts w:eastAsia="Times New Roman" w:cs="Arial"/>
          <w:color w:val="000000"/>
          <w:lang w:eastAsia="bg-BG"/>
        </w:rPr>
        <w:t xml:space="preserve">а майката и новороденото в края на бременността, на риск от: </w:t>
      </w:r>
    </w:p>
    <w:p w:rsidR="005A3387" w:rsidRPr="005A3387" w:rsidRDefault="005A3387" w:rsidP="005A3387">
      <w:pPr>
        <w:pStyle w:val="ListParagraph"/>
        <w:numPr>
          <w:ilvl w:val="0"/>
          <w:numId w:val="35"/>
        </w:numPr>
        <w:spacing w:line="240" w:lineRule="auto"/>
        <w:rPr>
          <w:rFonts w:eastAsia="Times New Roman" w:cs="Arial"/>
          <w:sz w:val="24"/>
          <w:szCs w:val="24"/>
        </w:rPr>
      </w:pPr>
      <w:r w:rsidRPr="005A3387">
        <w:rPr>
          <w:rFonts w:eastAsia="Times New Roman" w:cs="Arial"/>
          <w:color w:val="000000"/>
          <w:lang w:eastAsia="bg-BG"/>
        </w:rPr>
        <w:t>възможно удължаване на времето на кървене - антиагрегантен ефект, който може да настъпи даже при много ниски дози;</w:t>
      </w:r>
    </w:p>
    <w:p w:rsidR="005A3387" w:rsidRPr="005A3387" w:rsidRDefault="005A3387" w:rsidP="005A3387">
      <w:pPr>
        <w:pStyle w:val="ListParagraph"/>
        <w:numPr>
          <w:ilvl w:val="0"/>
          <w:numId w:val="35"/>
        </w:numPr>
        <w:spacing w:line="240" w:lineRule="auto"/>
        <w:rPr>
          <w:rFonts w:eastAsia="Times New Roman" w:cs="Arial"/>
          <w:sz w:val="24"/>
          <w:szCs w:val="24"/>
        </w:rPr>
      </w:pPr>
      <w:r w:rsidRPr="005A3387">
        <w:rPr>
          <w:rFonts w:eastAsia="Times New Roman" w:cs="Arial"/>
          <w:color w:val="000000"/>
          <w:lang w:eastAsia="bg-BG"/>
        </w:rPr>
        <w:t>блокиране на контракциите на матката, което води до забавено или удължено раждане. Следователно ибупрофен е противопоказан по време на последния триместьр на бременността.</w:t>
      </w:r>
    </w:p>
    <w:p w:rsidR="005A3387" w:rsidRPr="005A3387" w:rsidRDefault="005A3387" w:rsidP="005A3387">
      <w:pPr>
        <w:spacing w:line="240" w:lineRule="auto"/>
        <w:rPr>
          <w:rFonts w:eastAsia="Times New Roman" w:cs="Arial"/>
          <w:i/>
          <w:iCs/>
          <w:color w:val="000000"/>
          <w:u w:val="single"/>
          <w:lang w:eastAsia="bg-BG"/>
        </w:rPr>
      </w:pPr>
    </w:p>
    <w:p w:rsidR="005A3387" w:rsidRPr="005A3387" w:rsidRDefault="005A3387" w:rsidP="005A3387">
      <w:pPr>
        <w:pStyle w:val="Heading3"/>
        <w:rPr>
          <w:rFonts w:eastAsia="Times New Roman"/>
          <w:u w:val="single"/>
        </w:rPr>
      </w:pPr>
      <w:r w:rsidRPr="005A3387">
        <w:rPr>
          <w:rFonts w:eastAsia="Times New Roman"/>
          <w:u w:val="single"/>
          <w:lang w:eastAsia="bg-BG"/>
        </w:rPr>
        <w:t>Кърмене</w:t>
      </w:r>
    </w:p>
    <w:p w:rsidR="005A3387" w:rsidRPr="005A3387" w:rsidRDefault="005A3387" w:rsidP="005A3387">
      <w:pPr>
        <w:spacing w:line="240" w:lineRule="auto"/>
        <w:rPr>
          <w:rFonts w:eastAsia="Times New Roman" w:cs="Arial"/>
          <w:sz w:val="24"/>
          <w:szCs w:val="24"/>
        </w:rPr>
      </w:pPr>
      <w:r w:rsidRPr="005A3387">
        <w:rPr>
          <w:rFonts w:eastAsia="Times New Roman" w:cs="Arial"/>
          <w:color w:val="000000"/>
          <w:lang w:eastAsia="bg-BG"/>
        </w:rPr>
        <w:t>Ибупрофен се отделя в кърмата, но при терапевтични дози по време на краткосрочно лечение рискът от ефект върху кърмачето изглежда малко вероятен. Ако все пак е предписано по- продължително лечение, трябва да се помисли за ранното отбиване на кърмачето.</w:t>
      </w:r>
    </w:p>
    <w:p w:rsidR="005A3387" w:rsidRPr="005A3387" w:rsidRDefault="005A3387" w:rsidP="005A3387">
      <w:pPr>
        <w:spacing w:line="240" w:lineRule="auto"/>
        <w:rPr>
          <w:rFonts w:eastAsia="Times New Roman" w:cs="Arial"/>
          <w:i/>
          <w:iCs/>
          <w:color w:val="000000"/>
          <w:u w:val="single"/>
          <w:lang w:eastAsia="bg-BG"/>
        </w:rPr>
      </w:pPr>
    </w:p>
    <w:p w:rsidR="005A3387" w:rsidRPr="005A3387" w:rsidRDefault="005A3387" w:rsidP="005A3387">
      <w:pPr>
        <w:pStyle w:val="Heading3"/>
        <w:rPr>
          <w:rFonts w:eastAsia="Times New Roman"/>
          <w:u w:val="single"/>
        </w:rPr>
      </w:pPr>
      <w:r w:rsidRPr="005A3387">
        <w:rPr>
          <w:rFonts w:eastAsia="Times New Roman"/>
          <w:u w:val="single"/>
          <w:lang w:eastAsia="bg-BG"/>
        </w:rPr>
        <w:t>Фертияитет</w:t>
      </w:r>
    </w:p>
    <w:p w:rsidR="005A3387" w:rsidRPr="005A3387" w:rsidRDefault="005A3387" w:rsidP="005A3387">
      <w:pPr>
        <w:spacing w:line="240" w:lineRule="auto"/>
        <w:rPr>
          <w:rFonts w:eastAsia="Times New Roman" w:cs="Arial"/>
          <w:sz w:val="24"/>
          <w:szCs w:val="24"/>
        </w:rPr>
      </w:pPr>
      <w:r w:rsidRPr="005A3387">
        <w:rPr>
          <w:rFonts w:eastAsia="Times New Roman" w:cs="Arial"/>
          <w:color w:val="000000"/>
          <w:lang w:eastAsia="bg-BG"/>
        </w:rPr>
        <w:t>Употребата на Ибупрофен може да увреди фертилитета и затова не се препоръчва при жени, които се опитват да заченат. При жени, които имат проблеми със зачеването или се изследват за безплодие, трябва да се помисли за преустановяване приема на ибупрофен.</w:t>
      </w:r>
    </w:p>
    <w:p w:rsidR="005A3387" w:rsidRPr="005A3387" w:rsidRDefault="005A3387" w:rsidP="005A3387">
      <w:pPr>
        <w:spacing w:line="240" w:lineRule="auto"/>
        <w:rPr>
          <w:rFonts w:ascii="Times New Roman" w:eastAsia="Times New Roman" w:hAnsi="Times New Roman" w:cs="Times New Roman"/>
          <w:sz w:val="24"/>
          <w:szCs w:val="24"/>
        </w:rPr>
      </w:pPr>
    </w:p>
    <w:p w:rsidR="00DF4C8E" w:rsidRDefault="002C50EE" w:rsidP="00F44498">
      <w:pPr>
        <w:pStyle w:val="Heading2"/>
      </w:pPr>
      <w:r>
        <w:t>4.7. Ефекти върху способността за шофиране и работа с машини</w:t>
      </w:r>
    </w:p>
    <w:p w:rsidR="005A3387" w:rsidRDefault="005A3387" w:rsidP="005A3387"/>
    <w:p w:rsidR="005A3387" w:rsidRDefault="005A3387" w:rsidP="005A3387">
      <w:r>
        <w:t>Обикновено ибупрофен не повлиява способността за шофиране и работа с машини. И все пак, тъй като в големи дози могат да се наблюдават нежелани реакции като умора, сънливост, световъртеж (за него се съобщава често) и зрителни смущения (нечесто), в отделни случаи те могат да повлияят способността за шофиране и работа с машини. Този ефект се засилва от едновременната консумация на алкохол.</w:t>
      </w:r>
    </w:p>
    <w:p w:rsidR="005A3387" w:rsidRPr="005A3387" w:rsidRDefault="005A3387" w:rsidP="005A3387"/>
    <w:p w:rsidR="00DF4C8E" w:rsidRDefault="002C50EE" w:rsidP="00F44498">
      <w:pPr>
        <w:pStyle w:val="Heading2"/>
      </w:pPr>
      <w:r>
        <w:t>4.8. Нежелани лекарствени реакции</w:t>
      </w:r>
    </w:p>
    <w:p w:rsidR="005A3387" w:rsidRDefault="005A3387" w:rsidP="005A3387"/>
    <w:p w:rsidR="005A3387" w:rsidRPr="005A3387" w:rsidRDefault="005A3387" w:rsidP="005A3387">
      <w:pPr>
        <w:spacing w:line="240" w:lineRule="auto"/>
        <w:rPr>
          <w:rFonts w:eastAsia="Times New Roman" w:cs="Arial"/>
          <w:sz w:val="24"/>
          <w:szCs w:val="24"/>
        </w:rPr>
      </w:pPr>
      <w:r w:rsidRPr="005A3387">
        <w:rPr>
          <w:rFonts w:eastAsia="Times New Roman" w:cs="Arial"/>
          <w:color w:val="000000"/>
          <w:lang w:eastAsia="bg-BG"/>
        </w:rPr>
        <w:t>Най-честите нежелани лекарствени реакции (НЛР) са гастроинтестиналните смущения. Наблюдават се: пептична язва, перфорация или гастроинтестинално кървене, понякога с фатален изход и особено при пациенти в напреднала възраст (вж. точка 4.4). Има съобщения за гадене, повръщане, диария, флатуленция, констипация, диспепсия, коремна болка, мелена, хематемеза, улцеративен стоматит, обострен колит и болест на Крон (вж. точка 4.4). Като нечеста реакция се наблюдава гастрит.</w:t>
      </w:r>
    </w:p>
    <w:p w:rsidR="005A3387" w:rsidRPr="005A3387" w:rsidRDefault="005A3387" w:rsidP="005A3387">
      <w:pPr>
        <w:spacing w:line="240" w:lineRule="auto"/>
        <w:rPr>
          <w:rFonts w:eastAsia="Times New Roman" w:cs="Arial"/>
          <w:color w:val="000000"/>
          <w:lang w:eastAsia="bg-BG"/>
        </w:rPr>
      </w:pPr>
    </w:p>
    <w:p w:rsidR="005A3387" w:rsidRPr="005A3387" w:rsidRDefault="005A3387" w:rsidP="005A3387">
      <w:pPr>
        <w:spacing w:line="240" w:lineRule="auto"/>
        <w:rPr>
          <w:rFonts w:eastAsia="Times New Roman" w:cs="Arial"/>
          <w:sz w:val="24"/>
          <w:szCs w:val="24"/>
        </w:rPr>
      </w:pPr>
      <w:r w:rsidRPr="005A3387">
        <w:rPr>
          <w:rFonts w:eastAsia="Times New Roman" w:cs="Arial"/>
          <w:color w:val="000000"/>
          <w:lang w:eastAsia="bg-BG"/>
        </w:rPr>
        <w:t>НЛР са в повечето случаи дозозависими. Особено рискът от гастроинтестинално кървене зависи от дозировката и продължителността на лечението. За други рискови фактори виж т.4.4</w:t>
      </w:r>
    </w:p>
    <w:p w:rsidR="005A3387" w:rsidRPr="005A3387" w:rsidRDefault="005A3387" w:rsidP="005A3387">
      <w:pPr>
        <w:rPr>
          <w:rFonts w:eastAsia="Times New Roman" w:cs="Arial"/>
          <w:color w:val="000000"/>
          <w:lang w:eastAsia="bg-BG"/>
        </w:rPr>
      </w:pPr>
    </w:p>
    <w:p w:rsidR="005A3387" w:rsidRPr="005A3387" w:rsidRDefault="005A3387" w:rsidP="005A3387">
      <w:pPr>
        <w:rPr>
          <w:rFonts w:eastAsia="Times New Roman" w:cs="Arial"/>
          <w:sz w:val="24"/>
          <w:szCs w:val="24"/>
        </w:rPr>
      </w:pPr>
      <w:r w:rsidRPr="005A3387">
        <w:rPr>
          <w:rFonts w:eastAsia="Times New Roman" w:cs="Arial"/>
          <w:color w:val="000000"/>
          <w:lang w:eastAsia="bg-BG"/>
        </w:rPr>
        <w:t xml:space="preserve">Данни от клинични и епидемиологични изпитвания показват, че употребата на ибупрофен особено в големи дози (2400 </w:t>
      </w:r>
      <w:r w:rsidRPr="005A3387">
        <w:rPr>
          <w:rFonts w:eastAsia="Times New Roman" w:cs="Arial"/>
          <w:color w:val="000000"/>
          <w:lang w:val="en-US"/>
        </w:rPr>
        <w:t>mg</w:t>
      </w:r>
      <w:r w:rsidRPr="005A3387">
        <w:rPr>
          <w:rFonts w:eastAsia="Times New Roman" w:cs="Arial"/>
          <w:color w:val="000000"/>
          <w:lang w:val="ru-RU"/>
        </w:rPr>
        <w:t xml:space="preserve"> </w:t>
      </w:r>
      <w:r w:rsidRPr="005A3387">
        <w:rPr>
          <w:rFonts w:eastAsia="Times New Roman" w:cs="Arial"/>
          <w:color w:val="000000"/>
          <w:lang w:eastAsia="bg-BG"/>
        </w:rPr>
        <w:t>дневно) и при продължително лечение, се свързва с леко повишен риск от артериални тромботични събития (напр. миокарден инфаркт или инсулт) (вж. точка 4.4).</w:t>
      </w:r>
    </w:p>
    <w:p w:rsidR="005A3387" w:rsidRPr="005A3387" w:rsidRDefault="005A3387" w:rsidP="005A3387">
      <w:pPr>
        <w:spacing w:line="240" w:lineRule="auto"/>
        <w:rPr>
          <w:rFonts w:eastAsia="Times New Roman" w:cs="Arial"/>
          <w:color w:val="000000"/>
          <w:lang w:eastAsia="bg-BG"/>
        </w:rPr>
      </w:pPr>
    </w:p>
    <w:p w:rsidR="005A3387" w:rsidRPr="005A3387" w:rsidRDefault="005A3387" w:rsidP="005A3387">
      <w:pPr>
        <w:spacing w:line="240" w:lineRule="auto"/>
        <w:rPr>
          <w:rFonts w:eastAsia="Times New Roman" w:cs="Arial"/>
          <w:sz w:val="24"/>
          <w:szCs w:val="24"/>
        </w:rPr>
      </w:pPr>
      <w:r w:rsidRPr="005A3387">
        <w:rPr>
          <w:rFonts w:eastAsia="Times New Roman" w:cs="Arial"/>
          <w:color w:val="000000"/>
          <w:lang w:eastAsia="bg-BG"/>
        </w:rPr>
        <w:t>Във връзка с лечението с нестероидни противовъзпалителни средства има съобщения за едем, хипертония и сърдечна недостатъчност.</w:t>
      </w:r>
    </w:p>
    <w:p w:rsidR="005A3387" w:rsidRPr="005A3387" w:rsidRDefault="005A3387" w:rsidP="005A3387">
      <w:pPr>
        <w:spacing w:line="240" w:lineRule="auto"/>
        <w:rPr>
          <w:rFonts w:eastAsia="Times New Roman" w:cs="Arial"/>
          <w:color w:val="000000"/>
          <w:lang w:eastAsia="bg-BG"/>
        </w:rPr>
      </w:pPr>
    </w:p>
    <w:p w:rsidR="005A3387" w:rsidRPr="005A3387" w:rsidRDefault="005A3387" w:rsidP="005A3387">
      <w:pPr>
        <w:spacing w:line="240" w:lineRule="auto"/>
        <w:rPr>
          <w:rFonts w:eastAsia="Times New Roman" w:cs="Arial"/>
          <w:sz w:val="24"/>
          <w:szCs w:val="24"/>
        </w:rPr>
      </w:pPr>
      <w:r w:rsidRPr="005A3387">
        <w:rPr>
          <w:rFonts w:eastAsia="Times New Roman" w:cs="Arial"/>
          <w:color w:val="000000"/>
          <w:lang w:eastAsia="bg-BG"/>
        </w:rPr>
        <w:t xml:space="preserve">НЛР не са толкова чести при максимална доза 1200 </w:t>
      </w:r>
      <w:r w:rsidRPr="005A3387">
        <w:rPr>
          <w:rFonts w:eastAsia="Times New Roman" w:cs="Arial"/>
          <w:color w:val="000000"/>
          <w:lang w:val="en-US"/>
        </w:rPr>
        <w:t>mg</w:t>
      </w:r>
      <w:r w:rsidRPr="005A3387">
        <w:rPr>
          <w:rFonts w:eastAsia="Times New Roman" w:cs="Arial"/>
          <w:color w:val="000000"/>
          <w:lang w:val="ru-RU"/>
        </w:rPr>
        <w:t xml:space="preserve"> </w:t>
      </w:r>
      <w:r w:rsidRPr="005A3387">
        <w:rPr>
          <w:rFonts w:eastAsia="Times New Roman" w:cs="Arial"/>
          <w:color w:val="000000"/>
          <w:lang w:eastAsia="bg-BG"/>
        </w:rPr>
        <w:t>дневно.</w:t>
      </w:r>
    </w:p>
    <w:p w:rsidR="005A3387" w:rsidRPr="005A3387" w:rsidRDefault="005A3387" w:rsidP="005A3387">
      <w:pPr>
        <w:spacing w:line="240" w:lineRule="auto"/>
        <w:rPr>
          <w:rFonts w:eastAsia="Times New Roman" w:cs="Arial"/>
          <w:color w:val="000000"/>
          <w:lang w:eastAsia="bg-BG"/>
        </w:rPr>
      </w:pPr>
    </w:p>
    <w:p w:rsidR="005A3387" w:rsidRPr="005A3387" w:rsidRDefault="005A3387" w:rsidP="005A3387">
      <w:pPr>
        <w:spacing w:line="240" w:lineRule="auto"/>
        <w:rPr>
          <w:rFonts w:eastAsia="Times New Roman" w:cs="Arial"/>
          <w:sz w:val="24"/>
          <w:szCs w:val="24"/>
        </w:rPr>
      </w:pPr>
      <w:r w:rsidRPr="005A3387">
        <w:rPr>
          <w:rFonts w:eastAsia="Times New Roman" w:cs="Arial"/>
          <w:color w:val="000000"/>
          <w:lang w:eastAsia="bg-BG"/>
        </w:rPr>
        <w:t>Нежеланите реакции са подредени по честота, според следната конвенция: много чести (≥1/10); чести (≥1/100 до &lt;1/10); нечести (≥1/1000 до &lt;1/100); редки (≥1/10000 до &lt;1/1000); много редки (&lt;1/10000) включително отделни съобщения. При всяко групиране в зависимост от честотата нежеланите лекарствени реакции се изброяват в низходящ ред по отношение на тяхната сериозност.</w:t>
      </w:r>
    </w:p>
    <w:p w:rsidR="005A3387" w:rsidRDefault="005A3387" w:rsidP="005A3387"/>
    <w:tbl>
      <w:tblPr>
        <w:tblStyle w:val="TableGrid"/>
        <w:tblW w:w="0" w:type="auto"/>
        <w:tblLook w:val="04A0" w:firstRow="1" w:lastRow="0" w:firstColumn="1" w:lastColumn="0" w:noHBand="0" w:noVBand="1"/>
      </w:tblPr>
      <w:tblGrid>
        <w:gridCol w:w="2830"/>
        <w:gridCol w:w="6520"/>
      </w:tblGrid>
      <w:tr w:rsidR="005A3387" w:rsidTr="00EA5475">
        <w:tc>
          <w:tcPr>
            <w:tcW w:w="9350" w:type="dxa"/>
            <w:gridSpan w:val="2"/>
          </w:tcPr>
          <w:p w:rsidR="005A3387" w:rsidRDefault="005A3387" w:rsidP="005A3387">
            <w:r>
              <w:rPr>
                <w:b/>
                <w:bCs/>
              </w:rPr>
              <w:t>Лабораторни изследвания</w:t>
            </w:r>
          </w:p>
        </w:tc>
      </w:tr>
      <w:tr w:rsidR="005A3387" w:rsidTr="005A3387">
        <w:tc>
          <w:tcPr>
            <w:tcW w:w="2830" w:type="dxa"/>
          </w:tcPr>
          <w:p w:rsidR="005A3387" w:rsidRDefault="005A3387" w:rsidP="005A3387">
            <w:r>
              <w:t>Редки:</w:t>
            </w:r>
          </w:p>
        </w:tc>
        <w:tc>
          <w:tcPr>
            <w:tcW w:w="6520" w:type="dxa"/>
          </w:tcPr>
          <w:p w:rsidR="005A3387" w:rsidRDefault="005A3387" w:rsidP="005A3387">
            <w:r>
              <w:t xml:space="preserve">Повишени нива на азот в кръвната урея, на серумните трансаминази и алкалната фосфатаза, понижени стойности на хемоглобин и хематокрит, блокиране на тромбоцитната </w:t>
            </w:r>
            <w:r>
              <w:lastRenderedPageBreak/>
              <w:t>агрегация, удължено време на кървене, намалено ниво на серумния калций, повишение на серумната концентрация на пикочната киселина.</w:t>
            </w:r>
          </w:p>
        </w:tc>
      </w:tr>
      <w:tr w:rsidR="005A3387" w:rsidTr="00C25390">
        <w:tc>
          <w:tcPr>
            <w:tcW w:w="9350" w:type="dxa"/>
            <w:gridSpan w:val="2"/>
          </w:tcPr>
          <w:p w:rsidR="005A3387" w:rsidRDefault="005A3387" w:rsidP="005A3387">
            <w:r>
              <w:rPr>
                <w:b/>
                <w:bCs/>
              </w:rPr>
              <w:lastRenderedPageBreak/>
              <w:t>Сърдечни нарушения</w:t>
            </w:r>
          </w:p>
        </w:tc>
      </w:tr>
      <w:tr w:rsidR="005A3387" w:rsidTr="005A3387">
        <w:tc>
          <w:tcPr>
            <w:tcW w:w="2830" w:type="dxa"/>
          </w:tcPr>
          <w:p w:rsidR="005A3387" w:rsidRDefault="005A3387" w:rsidP="005A3387">
            <w:r>
              <w:t>Много редки:</w:t>
            </w:r>
          </w:p>
        </w:tc>
        <w:tc>
          <w:tcPr>
            <w:tcW w:w="6520" w:type="dxa"/>
          </w:tcPr>
          <w:p w:rsidR="005A3387" w:rsidRDefault="005A3387" w:rsidP="005A3387">
            <w:r>
              <w:t>Палпитации, сърдечна недостатъчност, миокарден инфаркт, остър белодробен едем, едем</w:t>
            </w:r>
          </w:p>
        </w:tc>
      </w:tr>
      <w:tr w:rsidR="005A3387" w:rsidTr="00CB55DC">
        <w:tc>
          <w:tcPr>
            <w:tcW w:w="9350" w:type="dxa"/>
            <w:gridSpan w:val="2"/>
          </w:tcPr>
          <w:p w:rsidR="005A3387" w:rsidRDefault="005A3387" w:rsidP="005A3387">
            <w:r>
              <w:rPr>
                <w:b/>
                <w:bCs/>
              </w:rPr>
              <w:t>Нарушения на кръвта и лимфната система</w:t>
            </w:r>
          </w:p>
        </w:tc>
      </w:tr>
      <w:tr w:rsidR="005A3387" w:rsidTr="005A3387">
        <w:tc>
          <w:tcPr>
            <w:tcW w:w="2830" w:type="dxa"/>
          </w:tcPr>
          <w:p w:rsidR="005A3387" w:rsidRDefault="005A3387" w:rsidP="005A3387">
            <w:r>
              <w:t>Много редки:</w:t>
            </w:r>
          </w:p>
        </w:tc>
        <w:tc>
          <w:tcPr>
            <w:tcW w:w="6520" w:type="dxa"/>
          </w:tcPr>
          <w:p w:rsidR="005A3387" w:rsidRDefault="005A3387" w:rsidP="005A3387">
            <w:r>
              <w:t>Анемия, левкопения, тромбоцитопения, панцитопения, агранулоцитоза. Първите симптоми или признаци могат да включват; фебрилни състояния, възпаление на гърлото, повърхностни язви в устната кухина, грипоподобни симптоми, тежка умора, кървене от носа и кожата.</w:t>
            </w:r>
          </w:p>
        </w:tc>
      </w:tr>
      <w:tr w:rsidR="005A3387" w:rsidTr="00A65EDE">
        <w:tc>
          <w:tcPr>
            <w:tcW w:w="9350" w:type="dxa"/>
            <w:gridSpan w:val="2"/>
          </w:tcPr>
          <w:p w:rsidR="005A3387" w:rsidRDefault="005A3387" w:rsidP="005A3387">
            <w:r>
              <w:rPr>
                <w:b/>
                <w:bCs/>
              </w:rPr>
              <w:t>Нарушения на нервната система</w:t>
            </w:r>
          </w:p>
        </w:tc>
      </w:tr>
      <w:tr w:rsidR="005A3387" w:rsidTr="005A3387">
        <w:tc>
          <w:tcPr>
            <w:tcW w:w="2830" w:type="dxa"/>
          </w:tcPr>
          <w:p w:rsidR="005A3387" w:rsidRDefault="005A3387" w:rsidP="005A3387">
            <w:r>
              <w:t>Чести:</w:t>
            </w:r>
          </w:p>
        </w:tc>
        <w:tc>
          <w:tcPr>
            <w:tcW w:w="6520" w:type="dxa"/>
          </w:tcPr>
          <w:p w:rsidR="005A3387" w:rsidRDefault="005A3387" w:rsidP="005A3387">
            <w:r>
              <w:t>Главоболие, сънливост, световъртеж, умора, ажитация, замайване, безсъние, раздразнителност</w:t>
            </w:r>
          </w:p>
        </w:tc>
      </w:tr>
      <w:tr w:rsidR="005A3387" w:rsidTr="005A3387">
        <w:tc>
          <w:tcPr>
            <w:tcW w:w="2830" w:type="dxa"/>
          </w:tcPr>
          <w:p w:rsidR="005A3387" w:rsidRDefault="005A3387" w:rsidP="005A3387">
            <w:r>
              <w:t>Много редки:</w:t>
            </w:r>
          </w:p>
        </w:tc>
        <w:tc>
          <w:tcPr>
            <w:tcW w:w="6520" w:type="dxa"/>
          </w:tcPr>
          <w:p w:rsidR="005A3387" w:rsidRDefault="005A3387" w:rsidP="005A3387">
            <w:r>
              <w:t>Асептичен менингит</w:t>
            </w:r>
          </w:p>
        </w:tc>
      </w:tr>
      <w:tr w:rsidR="005A3387" w:rsidTr="00241A1E">
        <w:tc>
          <w:tcPr>
            <w:tcW w:w="9350" w:type="dxa"/>
            <w:gridSpan w:val="2"/>
          </w:tcPr>
          <w:p w:rsidR="005A3387" w:rsidRDefault="005A3387" w:rsidP="005A3387">
            <w:r>
              <w:rPr>
                <w:b/>
                <w:bCs/>
              </w:rPr>
              <w:t>Очни нарушения</w:t>
            </w:r>
          </w:p>
        </w:tc>
      </w:tr>
      <w:tr w:rsidR="005A3387" w:rsidTr="005A3387">
        <w:tc>
          <w:tcPr>
            <w:tcW w:w="2830" w:type="dxa"/>
          </w:tcPr>
          <w:p w:rsidR="005A3387" w:rsidRDefault="005A3387" w:rsidP="005A3387">
            <w:r>
              <w:t>Нечести:</w:t>
            </w:r>
          </w:p>
        </w:tc>
        <w:tc>
          <w:tcPr>
            <w:tcW w:w="6520" w:type="dxa"/>
          </w:tcPr>
          <w:p w:rsidR="005A3387" w:rsidRDefault="005A3387" w:rsidP="005A3387">
            <w:r>
              <w:t>Зрителни смущения</w:t>
            </w:r>
          </w:p>
        </w:tc>
      </w:tr>
      <w:tr w:rsidR="005A3387" w:rsidTr="005A3387">
        <w:tc>
          <w:tcPr>
            <w:tcW w:w="2830" w:type="dxa"/>
          </w:tcPr>
          <w:p w:rsidR="005A3387" w:rsidRDefault="005A3387" w:rsidP="005A3387">
            <w:r>
              <w:t>Редки:</w:t>
            </w:r>
          </w:p>
        </w:tc>
        <w:tc>
          <w:tcPr>
            <w:tcW w:w="6520" w:type="dxa"/>
          </w:tcPr>
          <w:p w:rsidR="005A3387" w:rsidRDefault="005A3387" w:rsidP="005A3387">
            <w:r>
              <w:t>Токсична амблиопатия</w:t>
            </w:r>
          </w:p>
        </w:tc>
      </w:tr>
      <w:tr w:rsidR="005A3387" w:rsidTr="003D1D0E">
        <w:tc>
          <w:tcPr>
            <w:tcW w:w="9350" w:type="dxa"/>
            <w:gridSpan w:val="2"/>
          </w:tcPr>
          <w:p w:rsidR="005A3387" w:rsidRPr="005A3387" w:rsidRDefault="005A3387" w:rsidP="005A3387">
            <w:pPr>
              <w:rPr>
                <w:b/>
              </w:rPr>
            </w:pPr>
            <w:r w:rsidRPr="005A3387">
              <w:rPr>
                <w:b/>
                <w:lang w:eastAsia="bg-BG"/>
              </w:rPr>
              <w:t>Нарушения на ухото и лабиринта</w:t>
            </w:r>
          </w:p>
        </w:tc>
      </w:tr>
      <w:tr w:rsidR="005A3387" w:rsidTr="005A3387">
        <w:tc>
          <w:tcPr>
            <w:tcW w:w="2830" w:type="dxa"/>
          </w:tcPr>
          <w:p w:rsidR="005A3387" w:rsidRDefault="005A3387" w:rsidP="005A3387">
            <w:r>
              <w:t>Много редки:</w:t>
            </w:r>
          </w:p>
        </w:tc>
        <w:tc>
          <w:tcPr>
            <w:tcW w:w="6520" w:type="dxa"/>
          </w:tcPr>
          <w:p w:rsidR="005A3387" w:rsidRDefault="005A3387" w:rsidP="005A3387">
            <w:r>
              <w:t>Тинитус</w:t>
            </w:r>
          </w:p>
        </w:tc>
      </w:tr>
      <w:tr w:rsidR="005A3387" w:rsidTr="00E117B1">
        <w:tc>
          <w:tcPr>
            <w:tcW w:w="9350" w:type="dxa"/>
            <w:gridSpan w:val="2"/>
          </w:tcPr>
          <w:p w:rsidR="005A3387" w:rsidRPr="005A3387" w:rsidRDefault="005A3387" w:rsidP="005A3387">
            <w:pPr>
              <w:rPr>
                <w:b/>
              </w:rPr>
            </w:pPr>
            <w:r w:rsidRPr="005A3387">
              <w:rPr>
                <w:b/>
                <w:lang w:eastAsia="bg-BG"/>
              </w:rPr>
              <w:t>Респираторни, гръдни и меднастинални нарушения</w:t>
            </w:r>
          </w:p>
        </w:tc>
      </w:tr>
      <w:tr w:rsidR="005A3387" w:rsidTr="005A3387">
        <w:tc>
          <w:tcPr>
            <w:tcW w:w="2830" w:type="dxa"/>
          </w:tcPr>
          <w:p w:rsidR="005A3387" w:rsidRDefault="005A3387" w:rsidP="005A3387">
            <w:r>
              <w:t>С неизвестна честота:</w:t>
            </w:r>
          </w:p>
        </w:tc>
        <w:tc>
          <w:tcPr>
            <w:tcW w:w="6520" w:type="dxa"/>
          </w:tcPr>
          <w:p w:rsidR="005A3387" w:rsidRDefault="005A3387" w:rsidP="005A3387">
            <w:r>
              <w:t>Ринит, бронхоспазъм</w:t>
            </w:r>
          </w:p>
        </w:tc>
      </w:tr>
      <w:tr w:rsidR="005A3387" w:rsidTr="00A4204B">
        <w:tc>
          <w:tcPr>
            <w:tcW w:w="9350" w:type="dxa"/>
            <w:gridSpan w:val="2"/>
          </w:tcPr>
          <w:p w:rsidR="005A3387" w:rsidRPr="005A3387" w:rsidRDefault="005A3387" w:rsidP="005A3387">
            <w:pPr>
              <w:rPr>
                <w:b/>
              </w:rPr>
            </w:pPr>
            <w:r w:rsidRPr="005A3387">
              <w:rPr>
                <w:b/>
                <w:lang w:eastAsia="bg-BG"/>
              </w:rPr>
              <w:t>Стомашно-чревни нарушения</w:t>
            </w:r>
          </w:p>
        </w:tc>
      </w:tr>
      <w:tr w:rsidR="005A3387" w:rsidTr="005A3387">
        <w:tc>
          <w:tcPr>
            <w:tcW w:w="2830" w:type="dxa"/>
          </w:tcPr>
          <w:p w:rsidR="005A3387" w:rsidRDefault="005A3387" w:rsidP="005A3387">
            <w:r>
              <w:t>Много чести:</w:t>
            </w:r>
          </w:p>
        </w:tc>
        <w:tc>
          <w:tcPr>
            <w:tcW w:w="6520" w:type="dxa"/>
          </w:tcPr>
          <w:p w:rsidR="005A3387" w:rsidRDefault="005A3387" w:rsidP="005A3387">
            <w:r>
              <w:t>Стомашни киселини, диспепсия, коремна болка, гадене, повръщане, флатуленция, диария, констипация</w:t>
            </w:r>
          </w:p>
        </w:tc>
      </w:tr>
      <w:tr w:rsidR="005A3387" w:rsidTr="005A3387">
        <w:tc>
          <w:tcPr>
            <w:tcW w:w="2830" w:type="dxa"/>
          </w:tcPr>
          <w:p w:rsidR="005A3387" w:rsidRDefault="005A3387" w:rsidP="005A3387">
            <w:r>
              <w:t>Чести:</w:t>
            </w:r>
          </w:p>
        </w:tc>
        <w:tc>
          <w:tcPr>
            <w:tcW w:w="6520" w:type="dxa"/>
          </w:tcPr>
          <w:p w:rsidR="005A3387" w:rsidRDefault="005A3387" w:rsidP="005A3387">
            <w:r>
              <w:t>Гастроинтестинални язви, понякога с кървене и перфорация (вж. точка 4.4), скрита кръвозагуба, която може да доведе до анемия, мелена, хематемеза, улцеративен стоматит, колит, обостряне на чревна непроходимост, усложнения от дивертикули на дебелото черво (перфорация, фистула)</w:t>
            </w:r>
          </w:p>
        </w:tc>
      </w:tr>
      <w:tr w:rsidR="005A3387" w:rsidTr="005A3387">
        <w:tc>
          <w:tcPr>
            <w:tcW w:w="2830" w:type="dxa"/>
          </w:tcPr>
          <w:p w:rsidR="005A3387" w:rsidRDefault="005A3387" w:rsidP="005A3387">
            <w:r>
              <w:t>Нечести:</w:t>
            </w:r>
          </w:p>
        </w:tc>
        <w:tc>
          <w:tcPr>
            <w:tcW w:w="6520" w:type="dxa"/>
          </w:tcPr>
          <w:p w:rsidR="005A3387" w:rsidRDefault="005A3387" w:rsidP="005A3387">
            <w:r>
              <w:t>Гастрит</w:t>
            </w:r>
          </w:p>
        </w:tc>
      </w:tr>
      <w:tr w:rsidR="005A3387" w:rsidTr="005A3387">
        <w:tc>
          <w:tcPr>
            <w:tcW w:w="2830" w:type="dxa"/>
          </w:tcPr>
          <w:p w:rsidR="005A3387" w:rsidRDefault="005A3387" w:rsidP="005A3387">
            <w:r>
              <w:t>Много редки:</w:t>
            </w:r>
          </w:p>
        </w:tc>
        <w:tc>
          <w:tcPr>
            <w:tcW w:w="6520" w:type="dxa"/>
          </w:tcPr>
          <w:p w:rsidR="005A3387" w:rsidRDefault="005A3387" w:rsidP="005A3387">
            <w:r>
              <w:t>Езофагит, панкреатит, интестинални стриктури (чревни стеснения)</w:t>
            </w:r>
          </w:p>
        </w:tc>
      </w:tr>
      <w:tr w:rsidR="005A3387" w:rsidTr="003E6C31">
        <w:tc>
          <w:tcPr>
            <w:tcW w:w="9350" w:type="dxa"/>
            <w:gridSpan w:val="2"/>
          </w:tcPr>
          <w:p w:rsidR="005A3387" w:rsidRDefault="005A3387" w:rsidP="005A3387">
            <w:r>
              <w:rPr>
                <w:b/>
                <w:bCs/>
              </w:rPr>
              <w:t>Нарушения на бъбреците и пикочните пътища</w:t>
            </w:r>
          </w:p>
        </w:tc>
      </w:tr>
      <w:tr w:rsidR="005A3387" w:rsidTr="005A3387">
        <w:tc>
          <w:tcPr>
            <w:tcW w:w="2830" w:type="dxa"/>
          </w:tcPr>
          <w:p w:rsidR="005A3387" w:rsidRDefault="005A3387" w:rsidP="005A3387">
            <w:r>
              <w:t>Нечести:</w:t>
            </w:r>
          </w:p>
        </w:tc>
        <w:tc>
          <w:tcPr>
            <w:tcW w:w="6520" w:type="dxa"/>
          </w:tcPr>
          <w:p w:rsidR="005A3387" w:rsidRPr="005A3387" w:rsidRDefault="005A3387" w:rsidP="005A3387">
            <w:pPr>
              <w:rPr>
                <w:rFonts w:ascii="Times New Roman" w:eastAsia="Times New Roman" w:hAnsi="Times New Roman" w:cs="Times New Roman"/>
                <w:sz w:val="24"/>
                <w:szCs w:val="24"/>
              </w:rPr>
            </w:pPr>
            <w:r>
              <w:t xml:space="preserve">Едем, особено при пациенти с артериална хипертония или бъбречна </w:t>
            </w:r>
            <w:r w:rsidRPr="005A3387">
              <w:rPr>
                <w:rFonts w:eastAsia="Times New Roman" w:cs="Arial"/>
                <w:color w:val="000000"/>
                <w:lang w:eastAsia="bg-BG"/>
              </w:rPr>
              <w:t>недостатъчност, нефротичен синдром, интерстициален нефрит, който може да бъде свързан с бъбречна недостатъчност.</w:t>
            </w:r>
          </w:p>
        </w:tc>
      </w:tr>
      <w:tr w:rsidR="005A3387" w:rsidTr="005A3387">
        <w:tc>
          <w:tcPr>
            <w:tcW w:w="2830" w:type="dxa"/>
          </w:tcPr>
          <w:p w:rsidR="005A3387" w:rsidRDefault="005A3387" w:rsidP="005A3387">
            <w:r>
              <w:t>Много редки:</w:t>
            </w:r>
          </w:p>
        </w:tc>
        <w:tc>
          <w:tcPr>
            <w:tcW w:w="6520" w:type="dxa"/>
          </w:tcPr>
          <w:p w:rsidR="005A3387" w:rsidRDefault="005A3387" w:rsidP="005A3387">
            <w:r>
              <w:t>Бъбречна папиларна некроза при продължителна употреба (вж. точка 4.4)</w:t>
            </w:r>
          </w:p>
        </w:tc>
      </w:tr>
      <w:tr w:rsidR="005A3387" w:rsidTr="00175FB9">
        <w:tc>
          <w:tcPr>
            <w:tcW w:w="9350" w:type="dxa"/>
            <w:gridSpan w:val="2"/>
          </w:tcPr>
          <w:p w:rsidR="005A3387" w:rsidRPr="005A3387" w:rsidRDefault="005A3387" w:rsidP="005A3387">
            <w:pPr>
              <w:rPr>
                <w:b/>
              </w:rPr>
            </w:pPr>
            <w:r w:rsidRPr="005A3387">
              <w:rPr>
                <w:b/>
              </w:rPr>
              <w:t>Нарушения на кожата и подкожната тъкан</w:t>
            </w:r>
          </w:p>
        </w:tc>
      </w:tr>
      <w:tr w:rsidR="005A3387" w:rsidTr="005A3387">
        <w:tc>
          <w:tcPr>
            <w:tcW w:w="2830" w:type="dxa"/>
          </w:tcPr>
          <w:p w:rsidR="005A3387" w:rsidRDefault="005A3387" w:rsidP="005A3387">
            <w:r>
              <w:t>Нечести:</w:t>
            </w:r>
          </w:p>
        </w:tc>
        <w:tc>
          <w:tcPr>
            <w:tcW w:w="6520" w:type="dxa"/>
          </w:tcPr>
          <w:p w:rsidR="005A3387" w:rsidRDefault="005A3387" w:rsidP="005A3387">
            <w:r>
              <w:t>Фотосенсибилизация</w:t>
            </w:r>
          </w:p>
        </w:tc>
      </w:tr>
      <w:tr w:rsidR="005A3387" w:rsidTr="005A3387">
        <w:tc>
          <w:tcPr>
            <w:tcW w:w="2830" w:type="dxa"/>
          </w:tcPr>
          <w:p w:rsidR="005A3387" w:rsidRDefault="005A3387" w:rsidP="005A3387">
            <w:r>
              <w:t>Много редки:</w:t>
            </w:r>
          </w:p>
        </w:tc>
        <w:tc>
          <w:tcPr>
            <w:tcW w:w="6520" w:type="dxa"/>
          </w:tcPr>
          <w:p w:rsidR="005A3387" w:rsidRDefault="005A3387" w:rsidP="005A3387">
            <w:r>
              <w:t>Тежки форми на кожни реакции (еритема мултиформе, ексфолиативен дерматит, булозни реакции, включващи синдром на Стивънс-Джонсън и токсична епидермална некролиза, алопеция, некротизиращ фасцит)</w:t>
            </w:r>
          </w:p>
        </w:tc>
      </w:tr>
      <w:tr w:rsidR="005A3387" w:rsidTr="005A3387">
        <w:tc>
          <w:tcPr>
            <w:tcW w:w="2830" w:type="dxa"/>
          </w:tcPr>
          <w:p w:rsidR="005A3387" w:rsidRDefault="005A3387" w:rsidP="005A3387">
            <w:r>
              <w:lastRenderedPageBreak/>
              <w:t>С неизвестна честота</w:t>
            </w:r>
          </w:p>
        </w:tc>
        <w:tc>
          <w:tcPr>
            <w:tcW w:w="6520" w:type="dxa"/>
          </w:tcPr>
          <w:p w:rsidR="005A3387" w:rsidRDefault="005A3387" w:rsidP="005A3387">
            <w:r>
              <w:t xml:space="preserve">Лекарствена реакция с еозинофилия и системни симптоми </w:t>
            </w:r>
            <w:r w:rsidRPr="005A3387">
              <w:rPr>
                <w:lang w:val="ru-RU"/>
              </w:rPr>
              <w:t>(</w:t>
            </w:r>
            <w:r>
              <w:rPr>
                <w:lang w:val="en-US"/>
              </w:rPr>
              <w:t>DRESS</w:t>
            </w:r>
            <w:r w:rsidRPr="005A3387">
              <w:rPr>
                <w:lang w:val="ru-RU"/>
              </w:rPr>
              <w:t xml:space="preserve"> </w:t>
            </w:r>
            <w:r>
              <w:t xml:space="preserve">синдром), остра генерализирана екзантематозна пустулоза </w:t>
            </w:r>
            <w:r w:rsidRPr="005A3387">
              <w:rPr>
                <w:lang w:val="ru-RU"/>
              </w:rPr>
              <w:t>(</w:t>
            </w:r>
            <w:r>
              <w:rPr>
                <w:lang w:val="en-US"/>
              </w:rPr>
              <w:t>AGEP</w:t>
            </w:r>
            <w:r w:rsidRPr="005A3387">
              <w:rPr>
                <w:lang w:val="ru-RU"/>
              </w:rPr>
              <w:t>)</w:t>
            </w:r>
          </w:p>
        </w:tc>
      </w:tr>
      <w:tr w:rsidR="005A3387" w:rsidTr="000665C4">
        <w:tc>
          <w:tcPr>
            <w:tcW w:w="9350" w:type="dxa"/>
            <w:gridSpan w:val="2"/>
          </w:tcPr>
          <w:p w:rsidR="005A3387" w:rsidRPr="005A3387" w:rsidRDefault="005A3387" w:rsidP="005A3387">
            <w:pPr>
              <w:rPr>
                <w:b/>
              </w:rPr>
            </w:pPr>
            <w:r w:rsidRPr="005A3387">
              <w:rPr>
                <w:b/>
                <w:lang w:eastAsia="bg-BG"/>
              </w:rPr>
              <w:t>Съдови нарушения</w:t>
            </w:r>
          </w:p>
        </w:tc>
      </w:tr>
      <w:tr w:rsidR="005A3387" w:rsidTr="005A3387">
        <w:tc>
          <w:tcPr>
            <w:tcW w:w="2830" w:type="dxa"/>
          </w:tcPr>
          <w:p w:rsidR="005A3387" w:rsidRDefault="005A3387" w:rsidP="005A3387">
            <w:r>
              <w:t>Много редки:</w:t>
            </w:r>
          </w:p>
        </w:tc>
        <w:tc>
          <w:tcPr>
            <w:tcW w:w="6520" w:type="dxa"/>
          </w:tcPr>
          <w:p w:rsidR="005A3387" w:rsidRDefault="005A3387" w:rsidP="005A3387">
            <w:r>
              <w:t>Хипертония</w:t>
            </w:r>
          </w:p>
        </w:tc>
      </w:tr>
      <w:tr w:rsidR="005A3387" w:rsidTr="008A1A71">
        <w:tc>
          <w:tcPr>
            <w:tcW w:w="9350" w:type="dxa"/>
            <w:gridSpan w:val="2"/>
          </w:tcPr>
          <w:p w:rsidR="005A3387" w:rsidRDefault="005A3387" w:rsidP="005A3387">
            <w:r>
              <w:rPr>
                <w:b/>
                <w:bCs/>
              </w:rPr>
              <w:t>Нарушения на имунната система</w:t>
            </w:r>
          </w:p>
        </w:tc>
      </w:tr>
      <w:tr w:rsidR="005A3387" w:rsidTr="005A3387">
        <w:tc>
          <w:tcPr>
            <w:tcW w:w="2830" w:type="dxa"/>
          </w:tcPr>
          <w:p w:rsidR="005A3387" w:rsidRDefault="005A3387" w:rsidP="005A3387">
            <w:r>
              <w:t>Нечести:</w:t>
            </w:r>
          </w:p>
        </w:tc>
        <w:tc>
          <w:tcPr>
            <w:tcW w:w="6520" w:type="dxa"/>
          </w:tcPr>
          <w:p w:rsidR="005A3387" w:rsidRDefault="005A3387" w:rsidP="005A3387">
            <w:r>
              <w:t>Реакции на свръхчувствителност - уртикария, сърбеж, пурпура и екзантема, както и астматични пристъпи (понякога с хипотония)</w:t>
            </w:r>
          </w:p>
        </w:tc>
      </w:tr>
      <w:tr w:rsidR="005A3387" w:rsidTr="005A3387">
        <w:tc>
          <w:tcPr>
            <w:tcW w:w="2830" w:type="dxa"/>
          </w:tcPr>
          <w:p w:rsidR="005A3387" w:rsidRDefault="005A3387" w:rsidP="005A3387">
            <w:r>
              <w:t>Редки:</w:t>
            </w:r>
          </w:p>
        </w:tc>
        <w:tc>
          <w:tcPr>
            <w:tcW w:w="6520" w:type="dxa"/>
          </w:tcPr>
          <w:p w:rsidR="005A3387" w:rsidRDefault="005A3387" w:rsidP="005A3387">
            <w:r>
              <w:t>Синдром на лупус еритематодес</w:t>
            </w:r>
          </w:p>
        </w:tc>
      </w:tr>
      <w:tr w:rsidR="005A3387" w:rsidTr="005A3387">
        <w:tc>
          <w:tcPr>
            <w:tcW w:w="2830" w:type="dxa"/>
          </w:tcPr>
          <w:p w:rsidR="005A3387" w:rsidRDefault="005A3387" w:rsidP="005A3387">
            <w:r>
              <w:t>Много редки:</w:t>
            </w:r>
          </w:p>
        </w:tc>
        <w:tc>
          <w:tcPr>
            <w:tcW w:w="6520" w:type="dxa"/>
          </w:tcPr>
          <w:p w:rsidR="005A3387" w:rsidRDefault="005A3387" w:rsidP="005A3387">
            <w:r>
              <w:t>Тежки реакции на свръхчувствителност. Симптомите могат да включват: лицев оток, набъбване на езика, вътрешно ларингеално набъбване със свиване на дихателните пътища, диспнея, тахикардия, понижаване на кръвното налягане до точката на животозастрашаващ шок.</w:t>
            </w:r>
          </w:p>
        </w:tc>
      </w:tr>
      <w:tr w:rsidR="005A3387" w:rsidTr="000666D0">
        <w:tc>
          <w:tcPr>
            <w:tcW w:w="9350" w:type="dxa"/>
            <w:gridSpan w:val="2"/>
          </w:tcPr>
          <w:p w:rsidR="005A3387" w:rsidRDefault="005A3387" w:rsidP="005A3387">
            <w:r>
              <w:rPr>
                <w:b/>
                <w:bCs/>
              </w:rPr>
              <w:t>Хепато-билиарни нарушения</w:t>
            </w:r>
          </w:p>
        </w:tc>
      </w:tr>
      <w:tr w:rsidR="005A3387" w:rsidTr="005A3387">
        <w:tc>
          <w:tcPr>
            <w:tcW w:w="2830" w:type="dxa"/>
          </w:tcPr>
          <w:p w:rsidR="005A3387" w:rsidRDefault="005A3387" w:rsidP="005A3387">
            <w:r>
              <w:t>С неизвестна честота:</w:t>
            </w:r>
          </w:p>
        </w:tc>
        <w:tc>
          <w:tcPr>
            <w:tcW w:w="6520" w:type="dxa"/>
          </w:tcPr>
          <w:p w:rsidR="005A3387" w:rsidRDefault="005A3387" w:rsidP="005A3387">
            <w:r>
              <w:t>Нарушена чернодробна функция, чернодробна недостатъчност, хепатит и жълтеница</w:t>
            </w:r>
          </w:p>
        </w:tc>
      </w:tr>
      <w:tr w:rsidR="005A3387" w:rsidTr="005E39E2">
        <w:tc>
          <w:tcPr>
            <w:tcW w:w="9350" w:type="dxa"/>
            <w:gridSpan w:val="2"/>
          </w:tcPr>
          <w:p w:rsidR="005A3387" w:rsidRDefault="005A3387" w:rsidP="005A3387">
            <w:r>
              <w:rPr>
                <w:b/>
                <w:bCs/>
              </w:rPr>
              <w:t>Психични нарушения</w:t>
            </w:r>
          </w:p>
        </w:tc>
      </w:tr>
      <w:tr w:rsidR="005A3387" w:rsidTr="005A3387">
        <w:tc>
          <w:tcPr>
            <w:tcW w:w="2830" w:type="dxa"/>
          </w:tcPr>
          <w:p w:rsidR="005A3387" w:rsidRDefault="005A3387" w:rsidP="005A3387">
            <w:r>
              <w:t>Редки:</w:t>
            </w:r>
          </w:p>
        </w:tc>
        <w:tc>
          <w:tcPr>
            <w:tcW w:w="6520" w:type="dxa"/>
          </w:tcPr>
          <w:p w:rsidR="005A3387" w:rsidRDefault="005A3387" w:rsidP="005A3387">
            <w:r>
              <w:t>Депресия, объркване, халюцинации</w:t>
            </w:r>
          </w:p>
        </w:tc>
      </w:tr>
    </w:tbl>
    <w:p w:rsidR="005A3387" w:rsidRDefault="005A3387" w:rsidP="005A3387"/>
    <w:p w:rsidR="005A3387" w:rsidRPr="005A3387" w:rsidRDefault="005A3387" w:rsidP="005A3387">
      <w:pPr>
        <w:spacing w:line="240" w:lineRule="auto"/>
        <w:rPr>
          <w:rFonts w:eastAsia="Times New Roman" w:cs="Arial"/>
        </w:rPr>
      </w:pPr>
      <w:r w:rsidRPr="005A3387">
        <w:rPr>
          <w:rFonts w:eastAsia="Times New Roman" w:cs="Arial"/>
          <w:color w:val="000000"/>
          <w:u w:val="single"/>
          <w:lang w:eastAsia="bg-BG"/>
        </w:rPr>
        <w:t>Съобщаване на подозирани нежелани реакции</w:t>
      </w:r>
    </w:p>
    <w:p w:rsidR="005A3387" w:rsidRPr="005A3387" w:rsidRDefault="005A3387" w:rsidP="005A3387">
      <w:pPr>
        <w:spacing w:line="240" w:lineRule="auto"/>
        <w:rPr>
          <w:rFonts w:eastAsia="Times New Roman" w:cs="Arial"/>
        </w:rPr>
      </w:pPr>
      <w:r w:rsidRPr="005A3387">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нежелани реакция към: Изпълнителна агенция по лекарствата, ул. „Дамян Груев” № 8, 1303 София, Тел.: +35928903417, уебсайт: </w:t>
      </w:r>
      <w:hyperlink r:id="rId5" w:history="1">
        <w:r w:rsidRPr="005A3387">
          <w:rPr>
            <w:rFonts w:eastAsia="Times New Roman" w:cs="Arial"/>
            <w:color w:val="000000"/>
            <w:lang w:val="en-US"/>
          </w:rPr>
          <w:t>www.bda.bg</w:t>
        </w:r>
      </w:hyperlink>
      <w:r w:rsidRPr="005A3387">
        <w:rPr>
          <w:rFonts w:eastAsia="Times New Roman" w:cs="Arial"/>
          <w:color w:val="000000"/>
          <w:lang w:val="en-US"/>
        </w:rPr>
        <w:t>.</w:t>
      </w:r>
    </w:p>
    <w:p w:rsidR="005A3387" w:rsidRPr="005A3387" w:rsidRDefault="005A3387" w:rsidP="005A3387"/>
    <w:p w:rsidR="00DF4C8E" w:rsidRDefault="002C50EE" w:rsidP="00F44498">
      <w:pPr>
        <w:pStyle w:val="Heading2"/>
      </w:pPr>
      <w:r>
        <w:t>4.9. Предозиране</w:t>
      </w:r>
    </w:p>
    <w:p w:rsidR="005A3387" w:rsidRDefault="005A3387" w:rsidP="005A3387"/>
    <w:p w:rsidR="005A3387" w:rsidRPr="005A3387" w:rsidRDefault="005A3387" w:rsidP="005A3387">
      <w:pPr>
        <w:spacing w:line="240" w:lineRule="auto"/>
        <w:rPr>
          <w:rFonts w:eastAsia="Times New Roman" w:cs="Arial"/>
          <w:sz w:val="24"/>
          <w:szCs w:val="24"/>
        </w:rPr>
      </w:pPr>
      <w:r w:rsidRPr="005A3387">
        <w:rPr>
          <w:rFonts w:eastAsia="Times New Roman" w:cs="Arial"/>
          <w:color w:val="000000"/>
          <w:lang w:eastAsia="bg-BG"/>
        </w:rPr>
        <w:t xml:space="preserve">Поглъщането на повече от 400 </w:t>
      </w:r>
      <w:r w:rsidRPr="005A3387">
        <w:rPr>
          <w:rFonts w:eastAsia="Times New Roman" w:cs="Arial"/>
          <w:color w:val="000000"/>
          <w:lang w:val="en-US"/>
        </w:rPr>
        <w:t>mg</w:t>
      </w:r>
      <w:r w:rsidRPr="005A3387">
        <w:rPr>
          <w:rFonts w:eastAsia="Times New Roman" w:cs="Arial"/>
          <w:color w:val="000000"/>
          <w:lang w:val="ru-RU"/>
        </w:rPr>
        <w:t>/</w:t>
      </w:r>
      <w:r w:rsidRPr="005A3387">
        <w:rPr>
          <w:rFonts w:eastAsia="Times New Roman" w:cs="Arial"/>
          <w:color w:val="000000"/>
          <w:lang w:val="en-US"/>
        </w:rPr>
        <w:t>kg</w:t>
      </w:r>
      <w:r w:rsidRPr="005A3387">
        <w:rPr>
          <w:rFonts w:eastAsia="Times New Roman" w:cs="Arial"/>
          <w:color w:val="000000"/>
          <w:lang w:val="ru-RU"/>
        </w:rPr>
        <w:t xml:space="preserve"> </w:t>
      </w:r>
      <w:r w:rsidRPr="005A3387">
        <w:rPr>
          <w:rFonts w:eastAsia="Times New Roman" w:cs="Arial"/>
          <w:color w:val="000000"/>
          <w:lang w:eastAsia="bg-BG"/>
        </w:rPr>
        <w:t>от деца може да се прояви чрез различни симптоми. При възрастни реакциите на предозиране не са така изразени. Периодът на полуживот при предозиране е 1,5-3 часа.</w:t>
      </w:r>
    </w:p>
    <w:p w:rsidR="005A3387" w:rsidRPr="005A3387" w:rsidRDefault="005A3387" w:rsidP="005A3387">
      <w:pPr>
        <w:spacing w:line="240" w:lineRule="auto"/>
        <w:rPr>
          <w:rFonts w:eastAsia="Times New Roman" w:cs="Arial"/>
          <w:sz w:val="24"/>
          <w:szCs w:val="24"/>
        </w:rPr>
      </w:pPr>
      <w:r w:rsidRPr="005A3387">
        <w:rPr>
          <w:rFonts w:eastAsia="Times New Roman" w:cs="Arial"/>
          <w:color w:val="000000"/>
          <w:lang w:eastAsia="bg-BG"/>
        </w:rPr>
        <w:t>При сериозно отравяне може да настъпи метаболитна ацидоза.</w:t>
      </w:r>
    </w:p>
    <w:p w:rsidR="005A3387" w:rsidRPr="005A3387" w:rsidRDefault="005A3387" w:rsidP="005A3387">
      <w:pPr>
        <w:spacing w:line="240" w:lineRule="auto"/>
        <w:rPr>
          <w:rFonts w:eastAsia="Times New Roman" w:cs="Arial"/>
          <w:i/>
          <w:iCs/>
          <w:color w:val="000000"/>
          <w:u w:val="single"/>
          <w:lang w:eastAsia="bg-BG"/>
        </w:rPr>
      </w:pPr>
    </w:p>
    <w:p w:rsidR="005A3387" w:rsidRPr="005A3387" w:rsidRDefault="005A3387" w:rsidP="005A3387">
      <w:pPr>
        <w:spacing w:line="240" w:lineRule="auto"/>
        <w:rPr>
          <w:rFonts w:eastAsia="Times New Roman" w:cs="Arial"/>
          <w:sz w:val="24"/>
          <w:szCs w:val="24"/>
        </w:rPr>
      </w:pPr>
      <w:r w:rsidRPr="005A3387">
        <w:rPr>
          <w:rFonts w:eastAsia="Times New Roman" w:cs="Arial"/>
          <w:i/>
          <w:iCs/>
          <w:color w:val="000000"/>
          <w:u w:val="single"/>
          <w:lang w:eastAsia="bg-BG"/>
        </w:rPr>
        <w:t>Симптоми</w:t>
      </w:r>
    </w:p>
    <w:p w:rsidR="005A3387" w:rsidRPr="005A3387" w:rsidRDefault="005A3387" w:rsidP="005A3387">
      <w:pPr>
        <w:spacing w:line="240" w:lineRule="auto"/>
        <w:rPr>
          <w:rFonts w:eastAsia="Times New Roman" w:cs="Arial"/>
          <w:color w:val="000000"/>
          <w:lang w:eastAsia="bg-BG"/>
        </w:rPr>
      </w:pPr>
      <w:r w:rsidRPr="005A3387">
        <w:rPr>
          <w:rFonts w:eastAsia="Times New Roman" w:cs="Arial"/>
          <w:color w:val="000000"/>
          <w:lang w:eastAsia="bg-BG"/>
        </w:rPr>
        <w:t>Симптомите на предозиране включват гадене, повръщане, болки в епигастриума или по-рядко диария. Възможно е да настъпят тинитус, главоболие, замайване, световъртеж и гастроинтестинално кървене. При по-сериозно отравяне се наблюдава токсичност в ЦНС, която се изразява в сънливост, понякога възбуда и дезориентация или кома. Понякога пациентите изпадат в</w:t>
      </w:r>
      <w:r w:rsidRPr="005A3387">
        <w:rPr>
          <w:rFonts w:eastAsia="Times New Roman" w:cs="Arial"/>
          <w:color w:val="000000"/>
          <w:lang w:val="ru-RU"/>
        </w:rPr>
        <w:t xml:space="preserve"> </w:t>
      </w:r>
      <w:r w:rsidRPr="005A3387">
        <w:rPr>
          <w:rFonts w:eastAsia="Times New Roman" w:cs="Arial"/>
          <w:color w:val="000000"/>
          <w:lang w:eastAsia="bg-BG"/>
        </w:rPr>
        <w:t xml:space="preserve">конвулсии. При деца може да се наблюдава миоклонус с крампи. При сериозно отравяне може да настъпи метаболитна ацидоза и протромбиновото време може да се удължи, вероятно поради действието н ациркулиращите кръвосъсирващи фактори. Възможни са остра бъбречна недостатъчност, чернодробно увреждане, хипотония, потискане на дишането и цианоза. При </w:t>
      </w:r>
    </w:p>
    <w:p w:rsidR="005A3387" w:rsidRPr="005A3387" w:rsidRDefault="005A3387" w:rsidP="005A3387">
      <w:pPr>
        <w:spacing w:line="240" w:lineRule="auto"/>
        <w:rPr>
          <w:rFonts w:eastAsia="Times New Roman" w:cs="Arial"/>
          <w:sz w:val="24"/>
          <w:szCs w:val="24"/>
        </w:rPr>
      </w:pPr>
      <w:r w:rsidRPr="005A3387">
        <w:rPr>
          <w:rFonts w:eastAsia="Times New Roman" w:cs="Arial"/>
          <w:color w:val="000000"/>
          <w:lang w:eastAsia="bg-BG"/>
        </w:rPr>
        <w:t>астматиците е възможно обостряне на астмата.</w:t>
      </w:r>
    </w:p>
    <w:p w:rsidR="005A3387" w:rsidRPr="005A3387" w:rsidRDefault="005A3387" w:rsidP="005A3387">
      <w:pPr>
        <w:spacing w:line="240" w:lineRule="auto"/>
        <w:rPr>
          <w:rFonts w:eastAsia="Times New Roman" w:cs="Arial"/>
          <w:i/>
          <w:iCs/>
          <w:color w:val="000000"/>
          <w:u w:val="single"/>
          <w:lang w:eastAsia="bg-BG"/>
        </w:rPr>
      </w:pPr>
    </w:p>
    <w:p w:rsidR="005A3387" w:rsidRPr="005A3387" w:rsidRDefault="005A3387" w:rsidP="005A3387">
      <w:pPr>
        <w:spacing w:line="240" w:lineRule="auto"/>
        <w:rPr>
          <w:rFonts w:eastAsia="Times New Roman" w:cs="Arial"/>
          <w:sz w:val="24"/>
          <w:szCs w:val="24"/>
        </w:rPr>
      </w:pPr>
      <w:r w:rsidRPr="005A3387">
        <w:rPr>
          <w:rFonts w:eastAsia="Times New Roman" w:cs="Arial"/>
          <w:i/>
          <w:iCs/>
          <w:color w:val="000000"/>
          <w:u w:val="single"/>
          <w:lang w:eastAsia="bg-BG"/>
        </w:rPr>
        <w:lastRenderedPageBreak/>
        <w:t>Лечение</w:t>
      </w:r>
    </w:p>
    <w:p w:rsidR="005A3387" w:rsidRPr="005A3387" w:rsidRDefault="005A3387" w:rsidP="005A3387">
      <w:pPr>
        <w:rPr>
          <w:rFonts w:eastAsia="Times New Roman" w:cs="Arial"/>
          <w:color w:val="000000"/>
          <w:lang w:eastAsia="bg-BG"/>
        </w:rPr>
      </w:pPr>
      <w:r w:rsidRPr="005A3387">
        <w:rPr>
          <w:rFonts w:eastAsia="Times New Roman" w:cs="Arial"/>
          <w:color w:val="000000"/>
          <w:lang w:eastAsia="bg-BG"/>
        </w:rPr>
        <w:t>Лечението е поддържащо и симптоматично, като включва поддържането на дихателни пътища и мониториране на сърдечните и жизнени показатели до стабилизиране на пациента.</w:t>
      </w:r>
    </w:p>
    <w:p w:rsidR="005A3387" w:rsidRPr="005A3387" w:rsidRDefault="005A3387" w:rsidP="005A3387">
      <w:pPr>
        <w:rPr>
          <w:rFonts w:eastAsia="Times New Roman" w:cs="Arial"/>
          <w:color w:val="000000"/>
          <w:lang w:eastAsia="bg-BG"/>
        </w:rPr>
      </w:pPr>
    </w:p>
    <w:p w:rsidR="005A3387" w:rsidRPr="005A3387" w:rsidRDefault="005A3387" w:rsidP="005A3387">
      <w:pPr>
        <w:spacing w:line="240" w:lineRule="auto"/>
        <w:rPr>
          <w:rFonts w:eastAsia="Times New Roman" w:cs="Arial"/>
          <w:sz w:val="24"/>
          <w:szCs w:val="24"/>
        </w:rPr>
      </w:pPr>
      <w:r w:rsidRPr="005A3387">
        <w:rPr>
          <w:rFonts w:eastAsia="Times New Roman" w:cs="Arial"/>
          <w:color w:val="000000"/>
          <w:lang w:eastAsia="bg-BG"/>
        </w:rPr>
        <w:t xml:space="preserve">Препоръчва се промивка на стомаха или перорално приложение на активен въглен в срок от 1 час, ако пациентът е приел повече от 400 </w:t>
      </w:r>
      <w:r w:rsidRPr="005A3387">
        <w:rPr>
          <w:rFonts w:eastAsia="Times New Roman" w:cs="Arial"/>
          <w:color w:val="000000"/>
          <w:lang w:val="en-US"/>
        </w:rPr>
        <w:t>mg</w:t>
      </w:r>
      <w:r w:rsidRPr="005A3387">
        <w:rPr>
          <w:rFonts w:eastAsia="Times New Roman" w:cs="Arial"/>
          <w:color w:val="000000"/>
          <w:lang w:val="ru-RU"/>
        </w:rPr>
        <w:t>/</w:t>
      </w:r>
      <w:r w:rsidRPr="005A3387">
        <w:rPr>
          <w:rFonts w:eastAsia="Times New Roman" w:cs="Arial"/>
          <w:color w:val="000000"/>
          <w:lang w:val="en-US"/>
        </w:rPr>
        <w:t>kg</w:t>
      </w:r>
      <w:r w:rsidRPr="005A3387">
        <w:rPr>
          <w:rFonts w:eastAsia="Times New Roman" w:cs="Arial"/>
          <w:color w:val="000000"/>
          <w:lang w:val="ru-RU"/>
        </w:rPr>
        <w:t xml:space="preserve"> </w:t>
      </w:r>
      <w:r w:rsidRPr="005A3387">
        <w:rPr>
          <w:rFonts w:eastAsia="Times New Roman" w:cs="Arial"/>
          <w:color w:val="000000"/>
          <w:lang w:eastAsia="bg-BG"/>
        </w:rPr>
        <w:t>телесно тегло. Ако Ибупрофен вече е абсорбиран е необходимо прилагане на алкални субстанции, за да се ускори екскрецията на киселинния ибупрофен в урината. При наличие на чести или продължителни конвулсии, те трябва да се лекуват с интравенозно приложен диазепам или лоразепам. В случай на астма да се използват бронходилататори. Не съществува специфичен антидот.</w:t>
      </w:r>
    </w:p>
    <w:p w:rsidR="005A3387" w:rsidRPr="005A3387" w:rsidRDefault="005A3387" w:rsidP="005A3387"/>
    <w:p w:rsidR="00395555" w:rsidRPr="00395555" w:rsidRDefault="002C50EE" w:rsidP="008A6AF2">
      <w:pPr>
        <w:pStyle w:val="Heading1"/>
      </w:pPr>
      <w:r>
        <w:t>5. ФАРМАКОЛОГИЧНИ СВОЙСТВА</w:t>
      </w:r>
    </w:p>
    <w:p w:rsidR="00DF4C8E" w:rsidRDefault="002C50EE" w:rsidP="00F44498">
      <w:pPr>
        <w:pStyle w:val="Heading2"/>
      </w:pPr>
      <w:r>
        <w:t>5.1. Фармакодинамични свойства</w:t>
      </w:r>
    </w:p>
    <w:p w:rsidR="005A3387" w:rsidRDefault="005A3387" w:rsidP="005A3387"/>
    <w:p w:rsidR="005A3387" w:rsidRPr="005A3387" w:rsidRDefault="005A3387" w:rsidP="005A3387">
      <w:pPr>
        <w:spacing w:line="240" w:lineRule="auto"/>
        <w:rPr>
          <w:rFonts w:eastAsia="Times New Roman" w:cs="Arial"/>
          <w:sz w:val="24"/>
          <w:szCs w:val="24"/>
        </w:rPr>
      </w:pPr>
      <w:r w:rsidRPr="005A3387">
        <w:rPr>
          <w:rFonts w:eastAsia="Times New Roman" w:cs="Arial"/>
          <w:color w:val="000000"/>
          <w:lang w:eastAsia="bg-BG"/>
        </w:rPr>
        <w:t>Фармакотерапевтична група: нестероидни противовъзпалителни и антиревматични лекарствени продукти, производни на пропионовата киселина АТС код: М01АЕ01</w:t>
      </w:r>
    </w:p>
    <w:p w:rsidR="005A3387" w:rsidRPr="005A3387" w:rsidRDefault="005A3387" w:rsidP="005A3387">
      <w:pPr>
        <w:spacing w:line="240" w:lineRule="auto"/>
        <w:rPr>
          <w:rFonts w:eastAsia="Times New Roman" w:cs="Arial"/>
          <w:color w:val="000000"/>
          <w:lang w:eastAsia="bg-BG"/>
        </w:rPr>
      </w:pPr>
      <w:r w:rsidRPr="005A3387">
        <w:rPr>
          <w:rFonts w:eastAsia="Times New Roman" w:cs="Arial"/>
          <w:color w:val="000000"/>
          <w:lang w:eastAsia="bg-BG"/>
        </w:rPr>
        <w:t xml:space="preserve">Ибупрофен е нестероидно противовъзпалително средство, което притежава аналгетично, противовъзпалително и антипиретично действие. Животински модели за болка и възпаление показват, че ибупрофен ефективно инхибира синтеза на простагландините. При хора, ибупрофен облекчава болката, причинена от възпаление или свързана с него, оток и повишена температура. </w:t>
      </w:r>
    </w:p>
    <w:p w:rsidR="005A3387" w:rsidRPr="005A3387" w:rsidRDefault="005A3387" w:rsidP="005A3387">
      <w:pPr>
        <w:spacing w:line="240" w:lineRule="auto"/>
        <w:rPr>
          <w:rFonts w:eastAsia="Times New Roman" w:cs="Arial"/>
          <w:sz w:val="24"/>
          <w:szCs w:val="24"/>
        </w:rPr>
      </w:pPr>
      <w:r w:rsidRPr="005A3387">
        <w:rPr>
          <w:rFonts w:eastAsia="Times New Roman" w:cs="Arial"/>
          <w:color w:val="000000"/>
          <w:lang w:eastAsia="bg-BG"/>
        </w:rPr>
        <w:t xml:space="preserve">Ибупрофен има инхибиторен ефект върху простагландиновия синтез като инхибира активността на циклооксигеназата. Освен това ибупрофен има инхибиторен ефект върху </w:t>
      </w:r>
      <w:r w:rsidRPr="005A3387">
        <w:rPr>
          <w:rFonts w:eastAsia="Times New Roman" w:cs="Arial"/>
          <w:color w:val="000000"/>
          <w:lang w:val="en-US"/>
        </w:rPr>
        <w:t>ADP</w:t>
      </w:r>
      <w:r w:rsidRPr="005A3387">
        <w:rPr>
          <w:rFonts w:eastAsia="Times New Roman" w:cs="Arial"/>
          <w:color w:val="000000"/>
          <w:lang w:val="ru-RU"/>
        </w:rPr>
        <w:t xml:space="preserve"> </w:t>
      </w:r>
      <w:r w:rsidRPr="005A3387">
        <w:rPr>
          <w:rFonts w:eastAsia="Times New Roman" w:cs="Arial"/>
          <w:color w:val="000000"/>
          <w:lang w:eastAsia="bg-BG"/>
        </w:rPr>
        <w:t>(аденозин дифосфат) или колаген-стимулирана тромбоцитна агрегация.</w:t>
      </w:r>
    </w:p>
    <w:p w:rsidR="005A3387" w:rsidRPr="005A3387" w:rsidRDefault="005A3387" w:rsidP="005A3387">
      <w:pPr>
        <w:spacing w:line="240" w:lineRule="auto"/>
        <w:rPr>
          <w:rFonts w:eastAsia="Times New Roman" w:cs="Arial"/>
          <w:color w:val="000000"/>
          <w:lang w:eastAsia="bg-BG"/>
        </w:rPr>
      </w:pPr>
    </w:p>
    <w:p w:rsidR="005A3387" w:rsidRPr="005A3387" w:rsidRDefault="005A3387" w:rsidP="005A3387">
      <w:pPr>
        <w:spacing w:line="240" w:lineRule="auto"/>
        <w:rPr>
          <w:rFonts w:eastAsia="Times New Roman" w:cs="Arial"/>
          <w:color w:val="000000"/>
          <w:lang w:eastAsia="bg-BG"/>
        </w:rPr>
      </w:pPr>
      <w:r w:rsidRPr="005A3387">
        <w:rPr>
          <w:rFonts w:eastAsia="Times New Roman" w:cs="Arial"/>
          <w:color w:val="000000"/>
          <w:lang w:eastAsia="bg-BG"/>
        </w:rPr>
        <w:t xml:space="preserve">Експериментални данни показват, че ибупрофен може да блокира ефекта на аспирин в ниски дози върху тромбоцитната агрегация, когато се прилагат едновременно. В едно проучване, при което еднократна доза ибупрофен 400 </w:t>
      </w:r>
      <w:r w:rsidRPr="005A3387">
        <w:rPr>
          <w:rFonts w:eastAsia="Times New Roman" w:cs="Arial"/>
          <w:color w:val="000000"/>
          <w:lang w:val="en-US"/>
        </w:rPr>
        <w:t>mg</w:t>
      </w:r>
      <w:r w:rsidRPr="005A3387">
        <w:rPr>
          <w:rFonts w:eastAsia="Times New Roman" w:cs="Arial"/>
          <w:color w:val="000000"/>
          <w:lang w:val="ru-RU"/>
        </w:rPr>
        <w:t xml:space="preserve"> </w:t>
      </w:r>
      <w:r w:rsidRPr="005A3387">
        <w:rPr>
          <w:rFonts w:eastAsia="Times New Roman" w:cs="Arial"/>
          <w:color w:val="000000"/>
          <w:lang w:eastAsia="bg-BG"/>
        </w:rPr>
        <w:t xml:space="preserve">е приложена 8 часа преди или 30 минути след прилагане на ацетилсалицилова киселина с незабавно освобождаване (81 </w:t>
      </w:r>
      <w:r w:rsidRPr="005A3387">
        <w:rPr>
          <w:rFonts w:eastAsia="Times New Roman" w:cs="Arial"/>
          <w:color w:val="000000"/>
          <w:lang w:val="en-US"/>
        </w:rPr>
        <w:t>mg</w:t>
      </w:r>
      <w:r w:rsidRPr="005A3387">
        <w:rPr>
          <w:rFonts w:eastAsia="Times New Roman" w:cs="Arial"/>
          <w:color w:val="000000"/>
          <w:lang w:val="ru-RU"/>
        </w:rPr>
        <w:t xml:space="preserve">), </w:t>
      </w:r>
      <w:r w:rsidRPr="005A3387">
        <w:rPr>
          <w:rFonts w:eastAsia="Times New Roman" w:cs="Arial"/>
          <w:color w:val="000000"/>
          <w:lang w:eastAsia="bg-BG"/>
        </w:rPr>
        <w:t xml:space="preserve">се наблюдава намален ефект на ацетилсалициловата киселина върху образуването на тромбоксан или тромбоцитна агрегация. </w:t>
      </w:r>
    </w:p>
    <w:p w:rsidR="005A3387" w:rsidRPr="005A3387" w:rsidRDefault="005A3387" w:rsidP="005A3387">
      <w:pPr>
        <w:spacing w:line="240" w:lineRule="auto"/>
        <w:rPr>
          <w:rFonts w:eastAsia="Times New Roman" w:cs="Arial"/>
          <w:sz w:val="24"/>
          <w:szCs w:val="24"/>
        </w:rPr>
      </w:pPr>
      <w:r w:rsidRPr="005A3387">
        <w:rPr>
          <w:rFonts w:eastAsia="Times New Roman" w:cs="Arial"/>
          <w:color w:val="000000"/>
          <w:lang w:eastAsia="bg-BG"/>
        </w:rPr>
        <w:t xml:space="preserve">Ограничените данни и несигурността относно екстраполацията на данни </w:t>
      </w:r>
      <w:r w:rsidRPr="005A3387">
        <w:rPr>
          <w:rFonts w:eastAsia="Times New Roman" w:cs="Arial"/>
          <w:color w:val="000000"/>
          <w:lang w:val="en-US"/>
        </w:rPr>
        <w:t>ex</w:t>
      </w:r>
      <w:r w:rsidRPr="005A3387">
        <w:rPr>
          <w:rFonts w:eastAsia="Times New Roman" w:cs="Arial"/>
          <w:color w:val="000000"/>
          <w:lang w:val="ru-RU"/>
        </w:rPr>
        <w:t xml:space="preserve"> </w:t>
      </w:r>
      <w:r w:rsidRPr="005A3387">
        <w:rPr>
          <w:rFonts w:eastAsia="Times New Roman" w:cs="Arial"/>
          <w:color w:val="000000"/>
          <w:lang w:val="en-US"/>
        </w:rPr>
        <w:t>vivo</w:t>
      </w:r>
      <w:r w:rsidRPr="005A3387">
        <w:rPr>
          <w:rFonts w:eastAsia="Times New Roman" w:cs="Arial"/>
          <w:color w:val="000000"/>
          <w:lang w:val="ru-RU"/>
        </w:rPr>
        <w:t xml:space="preserve"> </w:t>
      </w:r>
      <w:r w:rsidRPr="005A3387">
        <w:rPr>
          <w:rFonts w:eastAsia="Times New Roman" w:cs="Arial"/>
          <w:color w:val="000000"/>
          <w:lang w:eastAsia="bg-BG"/>
        </w:rPr>
        <w:t>към клинична ситуация показват, че не могат да се правят твърди заключения за редовната употреба на ибупрофен и че клинично значим ефект е малко вероятен при свободната употреба на ибупрофен.</w:t>
      </w:r>
    </w:p>
    <w:p w:rsidR="005A3387" w:rsidRPr="005A3387" w:rsidRDefault="005A3387" w:rsidP="005A3387">
      <w:pPr>
        <w:spacing w:line="240" w:lineRule="auto"/>
        <w:rPr>
          <w:rFonts w:eastAsia="Times New Roman" w:cs="Arial"/>
          <w:color w:val="000000"/>
          <w:lang w:eastAsia="bg-BG"/>
        </w:rPr>
      </w:pPr>
    </w:p>
    <w:p w:rsidR="005A3387" w:rsidRPr="005A3387" w:rsidRDefault="005A3387" w:rsidP="005A3387">
      <w:pPr>
        <w:spacing w:line="240" w:lineRule="auto"/>
        <w:rPr>
          <w:rFonts w:eastAsia="Times New Roman" w:cs="Arial"/>
          <w:sz w:val="24"/>
          <w:szCs w:val="24"/>
        </w:rPr>
      </w:pPr>
      <w:r w:rsidRPr="005A3387">
        <w:rPr>
          <w:rFonts w:eastAsia="Times New Roman" w:cs="Arial"/>
          <w:color w:val="000000"/>
          <w:lang w:eastAsia="bg-BG"/>
        </w:rPr>
        <w:t>Ибупрофен инхибира простагландиновия синтез в матката, с което намалява отпускането на матката и активното налягане, периодичните контракции на матката и количеството простагландини, които се освобождават в кръвообращението. С тези промени се обяснява облекчаването на менструалните болки. Ибупрофен блокира бъбречния простагландинов синтез, който може да доведе до бъбречна недостатъчност, задържане на течности и сърдечна недостатъчност при рискови пациенти (вж. точка 4.3).</w:t>
      </w:r>
    </w:p>
    <w:p w:rsidR="005A3387" w:rsidRPr="005A3387" w:rsidRDefault="005A3387" w:rsidP="005A3387">
      <w:pPr>
        <w:spacing w:line="240" w:lineRule="auto"/>
        <w:rPr>
          <w:rFonts w:eastAsia="Times New Roman" w:cs="Arial"/>
          <w:color w:val="000000"/>
          <w:lang w:eastAsia="bg-BG"/>
        </w:rPr>
      </w:pPr>
    </w:p>
    <w:p w:rsidR="005A3387" w:rsidRPr="005A3387" w:rsidRDefault="005A3387" w:rsidP="005A3387">
      <w:pPr>
        <w:spacing w:line="240" w:lineRule="auto"/>
        <w:rPr>
          <w:rFonts w:eastAsia="Times New Roman" w:cs="Arial"/>
          <w:sz w:val="24"/>
          <w:szCs w:val="24"/>
        </w:rPr>
      </w:pPr>
      <w:r w:rsidRPr="005A3387">
        <w:rPr>
          <w:rFonts w:eastAsia="Times New Roman" w:cs="Arial"/>
          <w:color w:val="000000"/>
          <w:lang w:eastAsia="bg-BG"/>
        </w:rPr>
        <w:t>Простагландините са свързани с овулацията и затова употребата на лекарствени продукти, които блокират простагландиновия синтез могат да повлияят фертилитета на жените (вж. точка 4.4, 4.6 и 5.3).</w:t>
      </w:r>
    </w:p>
    <w:p w:rsidR="005A3387" w:rsidRPr="005A3387" w:rsidRDefault="005A3387" w:rsidP="005A3387"/>
    <w:p w:rsidR="00DF4C8E" w:rsidRDefault="002C50EE" w:rsidP="00F44498">
      <w:pPr>
        <w:pStyle w:val="Heading2"/>
      </w:pPr>
      <w:r>
        <w:t>5.2. Фармакокинетични свойства</w:t>
      </w:r>
    </w:p>
    <w:p w:rsidR="005A3387" w:rsidRDefault="005A3387" w:rsidP="005A3387"/>
    <w:p w:rsidR="005A3387" w:rsidRPr="005A3387" w:rsidRDefault="005A3387" w:rsidP="005A3387">
      <w:pPr>
        <w:spacing w:line="240" w:lineRule="auto"/>
        <w:rPr>
          <w:rFonts w:eastAsia="Times New Roman" w:cs="Arial"/>
          <w:sz w:val="24"/>
          <w:szCs w:val="24"/>
        </w:rPr>
      </w:pPr>
      <w:r w:rsidRPr="005A3387">
        <w:rPr>
          <w:rFonts w:eastAsia="Times New Roman" w:cs="Arial"/>
          <w:i/>
          <w:iCs/>
          <w:color w:val="000000"/>
          <w:u w:val="single"/>
          <w:lang w:eastAsia="bg-BG"/>
        </w:rPr>
        <w:t>Абсорбция:</w:t>
      </w:r>
    </w:p>
    <w:p w:rsidR="005A3387" w:rsidRPr="005A3387" w:rsidRDefault="005A3387" w:rsidP="005A3387">
      <w:pPr>
        <w:spacing w:line="240" w:lineRule="auto"/>
        <w:rPr>
          <w:rFonts w:eastAsia="Times New Roman" w:cs="Arial"/>
          <w:sz w:val="24"/>
          <w:szCs w:val="24"/>
        </w:rPr>
      </w:pPr>
      <w:r w:rsidRPr="005A3387">
        <w:rPr>
          <w:rFonts w:eastAsia="Times New Roman" w:cs="Arial"/>
          <w:color w:val="000000"/>
          <w:lang w:eastAsia="bg-BG"/>
        </w:rPr>
        <w:t>Ибупрофен се абсорбира бързо от гастроинтестиналния тракт, максималните серумни концентрации се достигат 45 минути след прием на гладно и 1 -2 часа при прием след храна.</w:t>
      </w:r>
    </w:p>
    <w:p w:rsidR="005A3387" w:rsidRPr="005A3387" w:rsidRDefault="005A3387" w:rsidP="005A3387">
      <w:pPr>
        <w:spacing w:line="240" w:lineRule="auto"/>
        <w:rPr>
          <w:rFonts w:eastAsia="Times New Roman" w:cs="Arial"/>
          <w:i/>
          <w:iCs/>
          <w:color w:val="000000"/>
          <w:u w:val="single"/>
          <w:lang w:eastAsia="bg-BG"/>
        </w:rPr>
      </w:pPr>
    </w:p>
    <w:p w:rsidR="005A3387" w:rsidRPr="005A3387" w:rsidRDefault="005A3387" w:rsidP="005A3387">
      <w:pPr>
        <w:spacing w:line="240" w:lineRule="auto"/>
        <w:rPr>
          <w:rFonts w:eastAsia="Times New Roman" w:cs="Arial"/>
          <w:sz w:val="24"/>
          <w:szCs w:val="24"/>
        </w:rPr>
      </w:pPr>
      <w:r w:rsidRPr="005A3387">
        <w:rPr>
          <w:rFonts w:eastAsia="Times New Roman" w:cs="Arial"/>
          <w:i/>
          <w:iCs/>
          <w:color w:val="000000"/>
          <w:u w:val="single"/>
          <w:lang w:eastAsia="bg-BG"/>
        </w:rPr>
        <w:t>Разпределение:</w:t>
      </w:r>
    </w:p>
    <w:p w:rsidR="005A3387" w:rsidRPr="005A3387" w:rsidRDefault="005A3387" w:rsidP="005A3387">
      <w:pPr>
        <w:spacing w:line="240" w:lineRule="auto"/>
        <w:rPr>
          <w:rFonts w:eastAsia="Times New Roman" w:cs="Arial"/>
          <w:sz w:val="24"/>
          <w:szCs w:val="24"/>
        </w:rPr>
      </w:pPr>
      <w:r w:rsidRPr="005A3387">
        <w:rPr>
          <w:rFonts w:eastAsia="Times New Roman" w:cs="Arial"/>
          <w:color w:val="000000"/>
          <w:lang w:eastAsia="bg-BG"/>
        </w:rPr>
        <w:t>Ибупрофен се разпределя бързо в целия организъм. Свързването с плазмените протеини е около 99 %.</w:t>
      </w:r>
    </w:p>
    <w:p w:rsidR="005A3387" w:rsidRPr="005A3387" w:rsidRDefault="005A3387" w:rsidP="005A3387">
      <w:pPr>
        <w:spacing w:line="240" w:lineRule="auto"/>
        <w:rPr>
          <w:rFonts w:eastAsia="Times New Roman" w:cs="Arial"/>
          <w:i/>
          <w:iCs/>
          <w:color w:val="000000"/>
          <w:u w:val="single"/>
          <w:lang w:eastAsia="bg-BG"/>
        </w:rPr>
      </w:pPr>
    </w:p>
    <w:p w:rsidR="005A3387" w:rsidRPr="005A3387" w:rsidRDefault="005A3387" w:rsidP="005A3387">
      <w:pPr>
        <w:spacing w:line="240" w:lineRule="auto"/>
        <w:rPr>
          <w:rFonts w:eastAsia="Times New Roman" w:cs="Arial"/>
          <w:sz w:val="24"/>
          <w:szCs w:val="24"/>
        </w:rPr>
      </w:pPr>
      <w:r w:rsidRPr="005A3387">
        <w:rPr>
          <w:rFonts w:eastAsia="Times New Roman" w:cs="Arial"/>
          <w:i/>
          <w:iCs/>
          <w:color w:val="000000"/>
          <w:u w:val="single"/>
          <w:lang w:eastAsia="bg-BG"/>
        </w:rPr>
        <w:t>Метаболизъм:</w:t>
      </w:r>
    </w:p>
    <w:p w:rsidR="005A3387" w:rsidRPr="005A3387" w:rsidRDefault="005A3387" w:rsidP="005A3387">
      <w:pPr>
        <w:spacing w:line="240" w:lineRule="auto"/>
        <w:rPr>
          <w:rFonts w:eastAsia="Times New Roman" w:cs="Arial"/>
          <w:color w:val="000000"/>
          <w:lang w:eastAsia="bg-BG"/>
        </w:rPr>
      </w:pPr>
      <w:r w:rsidRPr="005A3387">
        <w:rPr>
          <w:rFonts w:eastAsia="Times New Roman" w:cs="Arial"/>
          <w:color w:val="000000"/>
          <w:lang w:eastAsia="bg-BG"/>
        </w:rPr>
        <w:t>Ибупрофен се метаболизира в черния дроб (хидроксилиране, карбоксилиране).</w:t>
      </w:r>
    </w:p>
    <w:p w:rsidR="005A3387" w:rsidRPr="005A3387" w:rsidRDefault="005A3387" w:rsidP="005A3387">
      <w:pPr>
        <w:spacing w:line="240" w:lineRule="auto"/>
        <w:rPr>
          <w:rFonts w:eastAsia="Times New Roman" w:cs="Arial"/>
          <w:color w:val="000000"/>
          <w:lang w:eastAsia="bg-BG"/>
        </w:rPr>
      </w:pPr>
    </w:p>
    <w:p w:rsidR="005A3387" w:rsidRPr="005A3387" w:rsidRDefault="005A3387" w:rsidP="005A3387">
      <w:pPr>
        <w:spacing w:line="240" w:lineRule="auto"/>
        <w:rPr>
          <w:rFonts w:eastAsia="Times New Roman" w:cs="Arial"/>
          <w:sz w:val="24"/>
          <w:szCs w:val="24"/>
        </w:rPr>
      </w:pPr>
      <w:r w:rsidRPr="005A3387">
        <w:rPr>
          <w:rFonts w:eastAsia="Times New Roman" w:cs="Arial"/>
          <w:i/>
          <w:iCs/>
          <w:color w:val="000000"/>
          <w:u w:val="single"/>
          <w:lang w:eastAsia="bg-BG"/>
        </w:rPr>
        <w:t>Екскреция:</w:t>
      </w:r>
    </w:p>
    <w:p w:rsidR="005A3387" w:rsidRPr="005A3387" w:rsidRDefault="005A3387" w:rsidP="005A3387">
      <w:pPr>
        <w:spacing w:line="240" w:lineRule="auto"/>
        <w:rPr>
          <w:rFonts w:eastAsia="Times New Roman" w:cs="Arial"/>
          <w:sz w:val="24"/>
          <w:szCs w:val="24"/>
        </w:rPr>
      </w:pPr>
      <w:r w:rsidRPr="005A3387">
        <w:rPr>
          <w:rFonts w:eastAsia="Times New Roman" w:cs="Arial"/>
          <w:color w:val="000000"/>
          <w:lang w:eastAsia="bg-BG"/>
        </w:rPr>
        <w:t>Елиминационният полуживот е приблизително 2,5 часа при здрави индивиди. Фармакологично неактивните метаболити се екскретират основно (90 %) през бъбреците, но също и през жлъчката.</w:t>
      </w:r>
    </w:p>
    <w:p w:rsidR="005A3387" w:rsidRPr="005A3387" w:rsidRDefault="005A3387" w:rsidP="005A3387">
      <w:pPr>
        <w:spacing w:line="240" w:lineRule="auto"/>
        <w:rPr>
          <w:rFonts w:ascii="Times New Roman" w:eastAsia="Times New Roman" w:hAnsi="Times New Roman" w:cs="Times New Roman"/>
          <w:sz w:val="24"/>
          <w:szCs w:val="24"/>
        </w:rPr>
      </w:pPr>
    </w:p>
    <w:p w:rsidR="005A3387" w:rsidRPr="005A3387" w:rsidRDefault="005A3387" w:rsidP="005A3387"/>
    <w:p w:rsidR="00395555" w:rsidRDefault="002C50EE" w:rsidP="008A6AF2">
      <w:pPr>
        <w:pStyle w:val="Heading2"/>
      </w:pPr>
      <w:r>
        <w:t>5.3. Предклинични данни за безопасност</w:t>
      </w:r>
    </w:p>
    <w:p w:rsidR="005A3387" w:rsidRDefault="005A3387" w:rsidP="005A3387"/>
    <w:p w:rsidR="005A3387" w:rsidRPr="005A3387" w:rsidRDefault="005A3387" w:rsidP="005A3387">
      <w:pPr>
        <w:spacing w:line="240" w:lineRule="auto"/>
        <w:rPr>
          <w:rFonts w:eastAsia="Times New Roman" w:cs="Arial"/>
          <w:sz w:val="24"/>
          <w:szCs w:val="24"/>
        </w:rPr>
      </w:pPr>
      <w:r w:rsidRPr="005A3387">
        <w:rPr>
          <w:rFonts w:eastAsia="Times New Roman" w:cs="Arial"/>
          <w:color w:val="000000"/>
          <w:lang w:eastAsia="bg-BG"/>
        </w:rPr>
        <w:t>Тъй като ибупрофен е добре познат и широко използван, предклиничните данни безопасност са документирани.</w:t>
      </w:r>
    </w:p>
    <w:p w:rsidR="005A3387" w:rsidRPr="005A3387" w:rsidRDefault="005A3387" w:rsidP="005A3387">
      <w:pPr>
        <w:spacing w:line="240" w:lineRule="auto"/>
        <w:rPr>
          <w:rFonts w:eastAsia="Times New Roman" w:cs="Arial"/>
          <w:sz w:val="24"/>
          <w:szCs w:val="24"/>
        </w:rPr>
      </w:pPr>
      <w:r w:rsidRPr="005A3387">
        <w:rPr>
          <w:rFonts w:eastAsia="Times New Roman" w:cs="Arial"/>
          <w:color w:val="000000"/>
          <w:lang w:eastAsia="bg-BG"/>
        </w:rPr>
        <w:t>Субхроничната и хроничната токсичност на ибупрофен е показана главно в проучвания с животни като увреждане на храносмилателния тракт и язви.</w:t>
      </w:r>
    </w:p>
    <w:p w:rsidR="005A3387" w:rsidRPr="005A3387" w:rsidRDefault="005A3387" w:rsidP="005A3387">
      <w:pPr>
        <w:spacing w:line="240" w:lineRule="auto"/>
        <w:rPr>
          <w:rFonts w:eastAsia="Times New Roman" w:cs="Arial"/>
          <w:sz w:val="24"/>
          <w:szCs w:val="24"/>
        </w:rPr>
      </w:pPr>
      <w:r w:rsidRPr="005A3387">
        <w:rPr>
          <w:rFonts w:eastAsia="Times New Roman" w:cs="Arial"/>
          <w:color w:val="000000"/>
          <w:lang w:eastAsia="bg-BG"/>
        </w:rPr>
        <w:t xml:space="preserve">Тестовете </w:t>
      </w:r>
      <w:r w:rsidRPr="005A3387">
        <w:rPr>
          <w:rFonts w:eastAsia="Times New Roman" w:cs="Arial"/>
          <w:i/>
          <w:iCs/>
          <w:color w:val="000000"/>
          <w:lang w:val="en-US"/>
        </w:rPr>
        <w:t>in</w:t>
      </w:r>
      <w:r w:rsidRPr="005A3387">
        <w:rPr>
          <w:rFonts w:eastAsia="Times New Roman" w:cs="Arial"/>
          <w:i/>
          <w:iCs/>
          <w:color w:val="000000"/>
          <w:lang w:val="ru-RU"/>
        </w:rPr>
        <w:t xml:space="preserve"> </w:t>
      </w:r>
      <w:r w:rsidRPr="005A3387">
        <w:rPr>
          <w:rFonts w:eastAsia="Times New Roman" w:cs="Arial"/>
          <w:i/>
          <w:iCs/>
          <w:color w:val="000000"/>
          <w:lang w:val="en-US"/>
        </w:rPr>
        <w:t>vitro</w:t>
      </w:r>
      <w:r w:rsidRPr="005A3387">
        <w:rPr>
          <w:rFonts w:eastAsia="Times New Roman" w:cs="Arial"/>
          <w:color w:val="000000"/>
          <w:lang w:val="ru-RU"/>
        </w:rPr>
        <w:t xml:space="preserve"> </w:t>
      </w:r>
      <w:r w:rsidRPr="005A3387">
        <w:rPr>
          <w:rFonts w:eastAsia="Times New Roman" w:cs="Arial"/>
          <w:color w:val="000000"/>
          <w:lang w:eastAsia="bg-BG"/>
        </w:rPr>
        <w:t xml:space="preserve">и </w:t>
      </w:r>
      <w:r w:rsidRPr="005A3387">
        <w:rPr>
          <w:rFonts w:eastAsia="Times New Roman" w:cs="Arial"/>
          <w:i/>
          <w:iCs/>
          <w:color w:val="000000"/>
          <w:lang w:val="en-US"/>
        </w:rPr>
        <w:t>in</w:t>
      </w:r>
      <w:r w:rsidRPr="005A3387">
        <w:rPr>
          <w:rFonts w:eastAsia="Times New Roman" w:cs="Arial"/>
          <w:i/>
          <w:iCs/>
          <w:color w:val="000000"/>
          <w:lang w:val="ru-RU"/>
        </w:rPr>
        <w:t xml:space="preserve"> </w:t>
      </w:r>
      <w:r w:rsidRPr="005A3387">
        <w:rPr>
          <w:rFonts w:eastAsia="Times New Roman" w:cs="Arial"/>
          <w:i/>
          <w:iCs/>
          <w:color w:val="000000"/>
          <w:lang w:val="en-US"/>
        </w:rPr>
        <w:t>vivo</w:t>
      </w:r>
      <w:r w:rsidRPr="005A3387">
        <w:rPr>
          <w:rFonts w:eastAsia="Times New Roman" w:cs="Arial"/>
          <w:color w:val="000000"/>
          <w:lang w:val="ru-RU"/>
        </w:rPr>
        <w:t xml:space="preserve"> </w:t>
      </w:r>
      <w:r w:rsidRPr="005A3387">
        <w:rPr>
          <w:rFonts w:eastAsia="Times New Roman" w:cs="Arial"/>
          <w:color w:val="000000"/>
          <w:lang w:eastAsia="bg-BG"/>
        </w:rPr>
        <w:t>не показват клинично значими признаци на мутагенен потенциал на ибупрофен.</w:t>
      </w:r>
    </w:p>
    <w:p w:rsidR="005A3387" w:rsidRPr="005A3387" w:rsidRDefault="005A3387" w:rsidP="005A3387">
      <w:pPr>
        <w:spacing w:line="240" w:lineRule="auto"/>
        <w:rPr>
          <w:rFonts w:eastAsia="Times New Roman" w:cs="Arial"/>
          <w:sz w:val="24"/>
          <w:szCs w:val="24"/>
        </w:rPr>
      </w:pPr>
      <w:r w:rsidRPr="005A3387">
        <w:rPr>
          <w:rFonts w:eastAsia="Times New Roman" w:cs="Arial"/>
          <w:color w:val="000000"/>
          <w:lang w:eastAsia="bg-BG"/>
        </w:rPr>
        <w:t>Не са наблюдавани карциногенни ефекти при мишки и плъхове.</w:t>
      </w:r>
    </w:p>
    <w:p w:rsidR="005A3387" w:rsidRPr="005A3387" w:rsidRDefault="005A3387" w:rsidP="005A3387">
      <w:pPr>
        <w:spacing w:line="240" w:lineRule="auto"/>
        <w:rPr>
          <w:rFonts w:eastAsia="Times New Roman" w:cs="Arial"/>
          <w:sz w:val="24"/>
          <w:szCs w:val="24"/>
        </w:rPr>
      </w:pPr>
      <w:r w:rsidRPr="005A3387">
        <w:rPr>
          <w:rFonts w:eastAsia="Times New Roman" w:cs="Arial"/>
          <w:color w:val="000000"/>
          <w:lang w:eastAsia="bg-BG"/>
        </w:rPr>
        <w:t>Ибупрофен инхибира овулацията при зайци и уврежда имплантацията при различни животински видове (зайци, плъхове и мишки). При репродуктивни тестове, проведени с плъхове и зайци, ибупрофен преминава през плацентата. Когато се използват токсични за майката дози, по-често се наблюдават малформации (т.е. вентрикуларен септален дефект).</w:t>
      </w:r>
    </w:p>
    <w:p w:rsidR="005A3387" w:rsidRPr="005A3387" w:rsidRDefault="005A3387" w:rsidP="005A3387"/>
    <w:p w:rsidR="008A6AF2" w:rsidRDefault="002C50EE" w:rsidP="00395555">
      <w:pPr>
        <w:pStyle w:val="Heading1"/>
      </w:pPr>
      <w:r>
        <w:t>7. ПРИТЕЖАТЕЛ НА РАЗРЕШЕНИЕТО ЗА УПОТРЕБА</w:t>
      </w:r>
    </w:p>
    <w:p w:rsidR="005A3387" w:rsidRDefault="005A3387" w:rsidP="005A3387"/>
    <w:p w:rsidR="005A3387" w:rsidRPr="005A3387" w:rsidRDefault="005A3387" w:rsidP="005A3387">
      <w:pPr>
        <w:rPr>
          <w:sz w:val="24"/>
          <w:szCs w:val="24"/>
        </w:rPr>
      </w:pPr>
      <w:r w:rsidRPr="005A3387">
        <w:rPr>
          <w:lang w:eastAsia="bg-BG"/>
        </w:rPr>
        <w:t>ЕКОФАРМ ГРУП АД</w:t>
      </w:r>
    </w:p>
    <w:p w:rsidR="005A3387" w:rsidRDefault="005A3387" w:rsidP="005A3387">
      <w:pPr>
        <w:rPr>
          <w:lang w:eastAsia="bg-BG"/>
        </w:rPr>
      </w:pPr>
      <w:r w:rsidRPr="005A3387">
        <w:rPr>
          <w:lang w:eastAsia="bg-BG"/>
        </w:rPr>
        <w:t xml:space="preserve">ул. Атанас Дуков №29, ет. 3, </w:t>
      </w:r>
    </w:p>
    <w:p w:rsidR="005A3387" w:rsidRDefault="005A3387" w:rsidP="005A3387">
      <w:pPr>
        <w:rPr>
          <w:lang w:eastAsia="bg-BG"/>
        </w:rPr>
      </w:pPr>
      <w:r w:rsidRPr="005A3387">
        <w:rPr>
          <w:lang w:eastAsia="bg-BG"/>
        </w:rPr>
        <w:t xml:space="preserve">1407 София, България </w:t>
      </w:r>
    </w:p>
    <w:p w:rsidR="005A3387" w:rsidRDefault="005A3387" w:rsidP="005A3387">
      <w:pPr>
        <w:rPr>
          <w:lang w:eastAsia="bg-BG"/>
        </w:rPr>
      </w:pPr>
      <w:r w:rsidRPr="005A3387">
        <w:rPr>
          <w:lang w:eastAsia="bg-BG"/>
        </w:rPr>
        <w:t xml:space="preserve">тел.: (02) 906 90 70 </w:t>
      </w:r>
    </w:p>
    <w:p w:rsidR="005A3387" w:rsidRPr="005A3387" w:rsidRDefault="005A3387" w:rsidP="005A3387">
      <w:r w:rsidRPr="005A3387">
        <w:rPr>
          <w:lang w:eastAsia="bg-BG"/>
        </w:rPr>
        <w:t>факс: (02) 906 90 71</w:t>
      </w:r>
    </w:p>
    <w:p w:rsidR="002C50EE" w:rsidRDefault="002C50EE" w:rsidP="00395555">
      <w:pPr>
        <w:pStyle w:val="Heading1"/>
      </w:pPr>
      <w:r>
        <w:t>8. НОМЕР НА РАЗРЕШЕНИЕТО ЗА УПОТРЕБА</w:t>
      </w:r>
    </w:p>
    <w:p w:rsidR="005A3387" w:rsidRDefault="005A3387" w:rsidP="005A3387"/>
    <w:p w:rsidR="005A3387" w:rsidRPr="005A3387" w:rsidRDefault="005A3387" w:rsidP="005A3387">
      <w:pPr>
        <w:rPr>
          <w:sz w:val="24"/>
          <w:szCs w:val="24"/>
        </w:rPr>
      </w:pPr>
      <w:r w:rsidRPr="005A3387">
        <w:rPr>
          <w:lang w:eastAsia="bg-BG"/>
        </w:rPr>
        <w:t xml:space="preserve">ДОЛОРЕН 200 </w:t>
      </w:r>
      <w:r w:rsidRPr="005A3387">
        <w:rPr>
          <w:lang w:val="en-US"/>
        </w:rPr>
        <w:t>mg</w:t>
      </w:r>
      <w:r w:rsidRPr="005A3387">
        <w:rPr>
          <w:lang w:val="ru-RU"/>
        </w:rPr>
        <w:t xml:space="preserve"> </w:t>
      </w:r>
      <w:r w:rsidRPr="005A3387">
        <w:rPr>
          <w:lang w:eastAsia="bg-BG"/>
        </w:rPr>
        <w:t xml:space="preserve">филмирани таблетки - </w:t>
      </w:r>
      <w:r w:rsidRPr="005A3387">
        <w:rPr>
          <w:lang w:val="en-US"/>
        </w:rPr>
        <w:t>Per</w:t>
      </w:r>
      <w:r w:rsidRPr="005A3387">
        <w:rPr>
          <w:lang w:val="ru-RU"/>
        </w:rPr>
        <w:t xml:space="preserve">. </w:t>
      </w:r>
      <w:r w:rsidRPr="005A3387">
        <w:rPr>
          <w:lang w:eastAsia="bg-BG"/>
        </w:rPr>
        <w:t>номер 20120534</w:t>
      </w:r>
    </w:p>
    <w:p w:rsidR="005A3387" w:rsidRPr="005A3387" w:rsidRDefault="005A3387" w:rsidP="005A3387">
      <w:pPr>
        <w:rPr>
          <w:sz w:val="24"/>
          <w:szCs w:val="24"/>
        </w:rPr>
      </w:pPr>
      <w:r w:rsidRPr="005A3387">
        <w:rPr>
          <w:lang w:eastAsia="bg-BG"/>
        </w:rPr>
        <w:lastRenderedPageBreak/>
        <w:t xml:space="preserve">ДОЛОРЕН 400 </w:t>
      </w:r>
      <w:r w:rsidRPr="005A3387">
        <w:rPr>
          <w:lang w:val="en-US"/>
        </w:rPr>
        <w:t>mg</w:t>
      </w:r>
      <w:r w:rsidRPr="005A3387">
        <w:rPr>
          <w:lang w:val="ru-RU"/>
        </w:rPr>
        <w:t xml:space="preserve"> </w:t>
      </w:r>
      <w:r w:rsidRPr="005A3387">
        <w:rPr>
          <w:lang w:eastAsia="bg-BG"/>
        </w:rPr>
        <w:t xml:space="preserve">филмирани таблетки - </w:t>
      </w:r>
      <w:r w:rsidRPr="005A3387">
        <w:rPr>
          <w:lang w:val="en-US"/>
        </w:rPr>
        <w:t>Per</w:t>
      </w:r>
      <w:r w:rsidRPr="005A3387">
        <w:rPr>
          <w:lang w:val="ru-RU"/>
        </w:rPr>
        <w:t xml:space="preserve">. </w:t>
      </w:r>
      <w:r w:rsidRPr="005A3387">
        <w:rPr>
          <w:lang w:eastAsia="bg-BG"/>
        </w:rPr>
        <w:t>номер 20120535</w:t>
      </w:r>
    </w:p>
    <w:p w:rsidR="005A3387" w:rsidRPr="005A3387" w:rsidRDefault="005A3387" w:rsidP="005A3387"/>
    <w:p w:rsidR="007C605B" w:rsidRDefault="002C50EE" w:rsidP="007C605B">
      <w:pPr>
        <w:pStyle w:val="Heading1"/>
      </w:pPr>
      <w:r>
        <w:t>9. ДАТА НА ПЪРВО РАЗРЕШАВАНЕ/ПОДНОВЯВАНЕ НА РАЗРЕШЕНИЕТО ЗА УПОТРЕБА</w:t>
      </w:r>
    </w:p>
    <w:p w:rsidR="005A3387" w:rsidRDefault="005A3387" w:rsidP="005A3387"/>
    <w:p w:rsidR="005A3387" w:rsidRPr="005A3387" w:rsidRDefault="005A3387" w:rsidP="005A3387">
      <w:pPr>
        <w:rPr>
          <w:sz w:val="24"/>
          <w:szCs w:val="24"/>
        </w:rPr>
      </w:pPr>
      <w:r w:rsidRPr="005A3387">
        <w:rPr>
          <w:lang w:eastAsia="bg-BG"/>
        </w:rPr>
        <w:t>Дата на първо разрешаване: 09.11.2012 г.</w:t>
      </w:r>
    </w:p>
    <w:p w:rsidR="005A3387" w:rsidRPr="005A3387" w:rsidRDefault="005A3387" w:rsidP="005A3387">
      <w:r w:rsidRPr="005A3387">
        <w:rPr>
          <w:lang w:eastAsia="bg-BG"/>
        </w:rPr>
        <w:t>Дата на подновяване на разрешението за употреба: 07.11.2017 г.</w:t>
      </w:r>
    </w:p>
    <w:p w:rsidR="002C50EE" w:rsidRDefault="002C50EE" w:rsidP="002C50EE">
      <w:pPr>
        <w:pStyle w:val="Heading1"/>
      </w:pPr>
      <w:r>
        <w:t>10. ДАТА НА АКТУАЛИЗИРАНЕ НА ТЕКСТА</w:t>
      </w:r>
    </w:p>
    <w:bookmarkEnd w:id="0"/>
    <w:p w:rsidR="007C605B" w:rsidRPr="002B0A88" w:rsidRDefault="007C605B" w:rsidP="002B0A88">
      <w:pPr>
        <w:rPr>
          <w:sz w:val="24"/>
          <w:szCs w:val="24"/>
        </w:rPr>
      </w:pPr>
    </w:p>
    <w:sectPr w:rsidR="007C605B" w:rsidRPr="002B0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46DE1"/>
    <w:multiLevelType w:val="hybridMultilevel"/>
    <w:tmpl w:val="559E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1F69DB"/>
    <w:multiLevelType w:val="hybridMultilevel"/>
    <w:tmpl w:val="A2F6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BD4F54"/>
    <w:multiLevelType w:val="hybridMultilevel"/>
    <w:tmpl w:val="0894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B735AB"/>
    <w:multiLevelType w:val="hybridMultilevel"/>
    <w:tmpl w:val="569E6EFA"/>
    <w:lvl w:ilvl="0" w:tplc="24343234">
      <w:start w:val="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2"/>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30"/>
  </w:num>
  <w:num w:numId="12">
    <w:abstractNumId w:val="13"/>
  </w:num>
  <w:num w:numId="13">
    <w:abstractNumId w:val="19"/>
  </w:num>
  <w:num w:numId="14">
    <w:abstractNumId w:val="11"/>
  </w:num>
  <w:num w:numId="15">
    <w:abstractNumId w:val="29"/>
  </w:num>
  <w:num w:numId="16">
    <w:abstractNumId w:val="9"/>
  </w:num>
  <w:num w:numId="17">
    <w:abstractNumId w:val="25"/>
  </w:num>
  <w:num w:numId="18">
    <w:abstractNumId w:val="7"/>
  </w:num>
  <w:num w:numId="19">
    <w:abstractNumId w:val="27"/>
  </w:num>
  <w:num w:numId="20">
    <w:abstractNumId w:val="24"/>
  </w:num>
  <w:num w:numId="21">
    <w:abstractNumId w:val="17"/>
  </w:num>
  <w:num w:numId="22">
    <w:abstractNumId w:val="26"/>
  </w:num>
  <w:num w:numId="23">
    <w:abstractNumId w:val="18"/>
  </w:num>
  <w:num w:numId="24">
    <w:abstractNumId w:val="8"/>
  </w:num>
  <w:num w:numId="25">
    <w:abstractNumId w:val="23"/>
  </w:num>
  <w:num w:numId="26">
    <w:abstractNumId w:val="22"/>
  </w:num>
  <w:num w:numId="27">
    <w:abstractNumId w:val="32"/>
  </w:num>
  <w:num w:numId="28">
    <w:abstractNumId w:val="6"/>
  </w:num>
  <w:num w:numId="29">
    <w:abstractNumId w:val="21"/>
  </w:num>
  <w:num w:numId="30">
    <w:abstractNumId w:val="34"/>
  </w:num>
  <w:num w:numId="31">
    <w:abstractNumId w:val="5"/>
  </w:num>
  <w:num w:numId="32">
    <w:abstractNumId w:val="14"/>
  </w:num>
  <w:num w:numId="33">
    <w:abstractNumId w:val="31"/>
  </w:num>
  <w:num w:numId="34">
    <w:abstractNumId w:val="2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0A88"/>
    <w:rsid w:val="002B3C38"/>
    <w:rsid w:val="002B4DBB"/>
    <w:rsid w:val="002C50EE"/>
    <w:rsid w:val="00340A0A"/>
    <w:rsid w:val="003765DC"/>
    <w:rsid w:val="00395555"/>
    <w:rsid w:val="003E3126"/>
    <w:rsid w:val="004D4D6B"/>
    <w:rsid w:val="00517A5B"/>
    <w:rsid w:val="00593A00"/>
    <w:rsid w:val="005A3387"/>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DF4C8E"/>
    <w:rsid w:val="00EB6364"/>
    <w:rsid w:val="00EE7952"/>
    <w:rsid w:val="00F37B64"/>
    <w:rsid w:val="00F44498"/>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5117</Words>
  <Characters>29169</Characters>
  <Application>Microsoft Office Word</Application>
  <DocSecurity>0</DocSecurity>
  <Lines>243</Lines>
  <Paragraphs>68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SATHealth-Guest</dc:creator>
  <cp:keywords/>
  <dc:description/>
  <cp:lastModifiedBy>SATHealth-Guest</cp:lastModifiedBy>
  <cp:revision>1</cp:revision>
  <dcterms:created xsi:type="dcterms:W3CDTF">2023-03-01T09:08:00Z</dcterms:created>
  <dcterms:modified xsi:type="dcterms:W3CDTF">2023-03-01T09:08:00Z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