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0A9EBC20" w14:textId="07CB191C" w:rsidR="009F77A4" w:rsidRDefault="00DD466D" w:rsidP="00387A66">
      <w:pPr>
        <w:pStyle w:val="Heading1"/>
      </w:pPr>
      <w:r>
        <w:t>1.ИМЕ НА ЛЕКАРСТВЕНИЯ ПРОДУКТ</w:t>
      </w:r>
    </w:p>
    <w:p w14:paraId="158EED77" w14:textId="27389ABD" w:rsidR="00BF091A" w:rsidRDefault="00BF091A" w:rsidP="00BF091A"/>
    <w:p w14:paraId="72379CCD" w14:textId="77777777" w:rsidR="00BF091A" w:rsidRPr="00BF091A" w:rsidRDefault="00BF091A" w:rsidP="00BF091A">
      <w:pPr>
        <w:rPr>
          <w:sz w:val="24"/>
          <w:szCs w:val="24"/>
          <w:lang w:val="en-US" w:eastAsia="bg-BG"/>
        </w:rPr>
      </w:pPr>
      <w:r w:rsidRPr="00BF091A">
        <w:rPr>
          <w:lang w:eastAsia="bg-BG"/>
        </w:rPr>
        <w:t xml:space="preserve">Донецепт 5 </w:t>
      </w:r>
      <w:r w:rsidRPr="00BF091A">
        <w:rPr>
          <w:lang w:val="en-US"/>
        </w:rPr>
        <w:t xml:space="preserve">mg </w:t>
      </w:r>
      <w:r w:rsidRPr="00BF091A">
        <w:rPr>
          <w:lang w:eastAsia="bg-BG"/>
        </w:rPr>
        <w:t>филмирани таблетки</w:t>
      </w:r>
    </w:p>
    <w:p w14:paraId="5A8760C7" w14:textId="77777777" w:rsidR="00BF091A" w:rsidRPr="00BF091A" w:rsidRDefault="00BF091A" w:rsidP="00BF091A">
      <w:pPr>
        <w:rPr>
          <w:sz w:val="24"/>
          <w:szCs w:val="24"/>
          <w:lang w:val="en-US" w:eastAsia="bg-BG"/>
        </w:rPr>
      </w:pPr>
      <w:proofErr w:type="spellStart"/>
      <w:r w:rsidRPr="00BF091A">
        <w:rPr>
          <w:lang w:val="en-US"/>
        </w:rPr>
        <w:t>Donecept</w:t>
      </w:r>
      <w:proofErr w:type="spellEnd"/>
      <w:r w:rsidRPr="00BF091A">
        <w:rPr>
          <w:lang w:val="en-US"/>
        </w:rPr>
        <w:t xml:space="preserve"> </w:t>
      </w:r>
      <w:r w:rsidRPr="00BF091A">
        <w:rPr>
          <w:lang w:eastAsia="bg-BG"/>
        </w:rPr>
        <w:t xml:space="preserve">5 </w:t>
      </w:r>
      <w:r w:rsidRPr="00BF091A">
        <w:rPr>
          <w:lang w:val="en-US"/>
        </w:rPr>
        <w:t>mg film-coated tablets</w:t>
      </w:r>
    </w:p>
    <w:p w14:paraId="00D62799" w14:textId="77777777" w:rsidR="00BF091A" w:rsidRDefault="00BF091A" w:rsidP="00BF091A">
      <w:pPr>
        <w:rPr>
          <w:lang w:eastAsia="bg-BG"/>
        </w:rPr>
      </w:pPr>
    </w:p>
    <w:p w14:paraId="765B7ED0" w14:textId="2F1CD9A4" w:rsidR="00BF091A" w:rsidRDefault="00BF091A" w:rsidP="00BF091A">
      <w:pPr>
        <w:rPr>
          <w:lang w:eastAsia="bg-BG"/>
        </w:rPr>
      </w:pPr>
      <w:r w:rsidRPr="00BF091A">
        <w:rPr>
          <w:lang w:eastAsia="bg-BG"/>
        </w:rPr>
        <w:t xml:space="preserve">Донецепт </w:t>
      </w:r>
      <w:r w:rsidRPr="00BF091A">
        <w:rPr>
          <w:lang w:val="en-US"/>
        </w:rPr>
        <w:t xml:space="preserve">10 mg </w:t>
      </w:r>
      <w:r w:rsidRPr="00BF091A">
        <w:rPr>
          <w:lang w:eastAsia="bg-BG"/>
        </w:rPr>
        <w:t xml:space="preserve">филмирани таблетки </w:t>
      </w:r>
    </w:p>
    <w:p w14:paraId="16989952" w14:textId="6F5A4D7C" w:rsidR="00BF091A" w:rsidRPr="00BF091A" w:rsidRDefault="00BF091A" w:rsidP="00BF091A">
      <w:pPr>
        <w:rPr>
          <w:sz w:val="24"/>
          <w:szCs w:val="24"/>
          <w:lang w:val="en-US" w:eastAsia="bg-BG"/>
        </w:rPr>
      </w:pPr>
      <w:proofErr w:type="spellStart"/>
      <w:r w:rsidRPr="00BF091A">
        <w:rPr>
          <w:lang w:val="en-US"/>
        </w:rPr>
        <w:t>Donecept</w:t>
      </w:r>
      <w:proofErr w:type="spellEnd"/>
      <w:r w:rsidRPr="00BF091A">
        <w:rPr>
          <w:lang w:val="en-US"/>
        </w:rPr>
        <w:t xml:space="preserve"> </w:t>
      </w:r>
      <w:r w:rsidRPr="00BF091A">
        <w:rPr>
          <w:lang w:eastAsia="bg-BG"/>
        </w:rPr>
        <w:t xml:space="preserve">10 </w:t>
      </w:r>
      <w:r w:rsidRPr="00BF091A">
        <w:rPr>
          <w:lang w:val="en-US"/>
        </w:rPr>
        <w:t>mg film-coated tablets</w:t>
      </w:r>
    </w:p>
    <w:p w14:paraId="41951A74" w14:textId="77777777" w:rsidR="00BF091A" w:rsidRPr="00BF091A" w:rsidRDefault="00BF091A" w:rsidP="00BF091A"/>
    <w:p w14:paraId="0DF202EC" w14:textId="42DE027C" w:rsidR="00F53FB7" w:rsidRDefault="00DD466D" w:rsidP="00A93499">
      <w:pPr>
        <w:pStyle w:val="Heading1"/>
      </w:pPr>
      <w:r>
        <w:t>2. КАЧЕСТВЕН И КОЛИЧЕСТВЕН СЪСТАВ</w:t>
      </w:r>
    </w:p>
    <w:p w14:paraId="5A122C08" w14:textId="063018B5" w:rsidR="00BF091A" w:rsidRDefault="00BF091A" w:rsidP="00BF091A"/>
    <w:p w14:paraId="68F04A9E" w14:textId="77777777"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lang w:eastAsia="bg-BG"/>
        </w:rPr>
        <w:t xml:space="preserve">Всяка филмирана таблетка съдържа 5 </w:t>
      </w:r>
      <w:r w:rsidRPr="00BF091A">
        <w:rPr>
          <w:rFonts w:eastAsia="Times New Roman" w:cs="Arial"/>
          <w:color w:val="000000"/>
          <w:lang w:val="en-US"/>
        </w:rPr>
        <w:t xml:space="preserve">mg </w:t>
      </w:r>
      <w:r w:rsidRPr="00BF091A">
        <w:rPr>
          <w:rFonts w:eastAsia="Times New Roman" w:cs="Arial"/>
          <w:color w:val="000000"/>
          <w:lang w:eastAsia="bg-BG"/>
        </w:rPr>
        <w:t xml:space="preserve">или 10 </w:t>
      </w:r>
      <w:r w:rsidRPr="00BF091A">
        <w:rPr>
          <w:rFonts w:eastAsia="Times New Roman" w:cs="Arial"/>
          <w:color w:val="000000"/>
          <w:lang w:val="en-US"/>
        </w:rPr>
        <w:t xml:space="preserve">mg </w:t>
      </w:r>
      <w:r w:rsidRPr="00BF091A">
        <w:rPr>
          <w:rFonts w:eastAsia="Times New Roman" w:cs="Arial"/>
          <w:color w:val="000000"/>
          <w:lang w:eastAsia="bg-BG"/>
        </w:rPr>
        <w:t xml:space="preserve">донепезилов хидрохлорид </w:t>
      </w:r>
      <w:r w:rsidRPr="00BF091A">
        <w:rPr>
          <w:rFonts w:eastAsia="Times New Roman" w:cs="Arial"/>
          <w:color w:val="000000"/>
          <w:lang w:val="en-US"/>
        </w:rPr>
        <w:t xml:space="preserve">(donepezil hydrochloride) </w:t>
      </w:r>
      <w:r w:rsidRPr="00BF091A">
        <w:rPr>
          <w:rFonts w:eastAsia="Times New Roman" w:cs="Arial"/>
          <w:color w:val="000000"/>
          <w:lang w:eastAsia="bg-BG"/>
        </w:rPr>
        <w:t>(като монохидрат).</w:t>
      </w:r>
    </w:p>
    <w:p w14:paraId="3F8D5AF2" w14:textId="77777777" w:rsidR="00BF091A" w:rsidRPr="00BF091A" w:rsidRDefault="00BF091A" w:rsidP="00BF091A">
      <w:pPr>
        <w:spacing w:line="240" w:lineRule="auto"/>
        <w:rPr>
          <w:rFonts w:eastAsia="Times New Roman" w:cs="Arial"/>
          <w:color w:val="000000"/>
          <w:u w:val="single"/>
          <w:lang w:eastAsia="bg-BG"/>
        </w:rPr>
      </w:pPr>
    </w:p>
    <w:p w14:paraId="656B89D4" w14:textId="73BD4858"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u w:val="single"/>
          <w:lang w:eastAsia="bg-BG"/>
        </w:rPr>
        <w:t>Помощно вещество с известно действие</w:t>
      </w:r>
    </w:p>
    <w:p w14:paraId="69938293" w14:textId="77777777"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lang w:eastAsia="bg-BG"/>
        </w:rPr>
        <w:t xml:space="preserve">Всяка филмирана таблетка от 5 </w:t>
      </w:r>
      <w:r w:rsidRPr="00BF091A">
        <w:rPr>
          <w:rFonts w:eastAsia="Times New Roman" w:cs="Arial"/>
          <w:color w:val="000000"/>
          <w:lang w:val="en-US"/>
        </w:rPr>
        <w:t xml:space="preserve">mg </w:t>
      </w:r>
      <w:r w:rsidRPr="00BF091A">
        <w:rPr>
          <w:rFonts w:eastAsia="Times New Roman" w:cs="Arial"/>
          <w:color w:val="000000"/>
          <w:lang w:eastAsia="bg-BG"/>
        </w:rPr>
        <w:t xml:space="preserve">съдържа 97,35 </w:t>
      </w:r>
      <w:r w:rsidRPr="00BF091A">
        <w:rPr>
          <w:rFonts w:eastAsia="Times New Roman" w:cs="Arial"/>
          <w:color w:val="000000"/>
          <w:lang w:val="en-US"/>
        </w:rPr>
        <w:t xml:space="preserve">mg </w:t>
      </w:r>
      <w:r w:rsidRPr="00BF091A">
        <w:rPr>
          <w:rFonts w:eastAsia="Times New Roman" w:cs="Arial"/>
          <w:color w:val="000000"/>
          <w:lang w:eastAsia="bg-BG"/>
        </w:rPr>
        <w:t xml:space="preserve">лактоза монохидрат. Всяка филмирана таблетка от 10 </w:t>
      </w:r>
      <w:r w:rsidRPr="00BF091A">
        <w:rPr>
          <w:rFonts w:eastAsia="Times New Roman" w:cs="Arial"/>
          <w:color w:val="000000"/>
          <w:lang w:val="en-US"/>
        </w:rPr>
        <w:t xml:space="preserve">mg </w:t>
      </w:r>
      <w:r w:rsidRPr="00BF091A">
        <w:rPr>
          <w:rFonts w:eastAsia="Times New Roman" w:cs="Arial"/>
          <w:color w:val="000000"/>
          <w:lang w:eastAsia="bg-BG"/>
        </w:rPr>
        <w:t xml:space="preserve">съдържа 194,70 </w:t>
      </w:r>
      <w:r w:rsidRPr="00BF091A">
        <w:rPr>
          <w:rFonts w:eastAsia="Times New Roman" w:cs="Arial"/>
          <w:color w:val="000000"/>
          <w:lang w:val="en-US"/>
        </w:rPr>
        <w:t xml:space="preserve">mg </w:t>
      </w:r>
      <w:r w:rsidRPr="00BF091A">
        <w:rPr>
          <w:rFonts w:eastAsia="Times New Roman" w:cs="Arial"/>
          <w:color w:val="000000"/>
          <w:lang w:eastAsia="bg-BG"/>
        </w:rPr>
        <w:t>лактоза монохидрат.</w:t>
      </w:r>
    </w:p>
    <w:p w14:paraId="7E309D82" w14:textId="77777777" w:rsidR="00BF091A" w:rsidRPr="00BF091A" w:rsidRDefault="00BF091A" w:rsidP="00BF091A"/>
    <w:p w14:paraId="4CABB9ED" w14:textId="0F7AEA8B" w:rsidR="00F53FB7" w:rsidRDefault="00DD466D" w:rsidP="00A93499">
      <w:pPr>
        <w:pStyle w:val="Heading1"/>
      </w:pPr>
      <w:r>
        <w:t>3. ЛЕКАРСТВЕНА ФОРМА</w:t>
      </w:r>
    </w:p>
    <w:p w14:paraId="79849BCD" w14:textId="6F5A0859" w:rsidR="00BF091A" w:rsidRDefault="00BF091A" w:rsidP="00BF091A"/>
    <w:p w14:paraId="7E4AC828" w14:textId="77777777" w:rsidR="00BF091A" w:rsidRPr="00BF091A" w:rsidRDefault="00BF091A" w:rsidP="00BF091A">
      <w:pPr>
        <w:rPr>
          <w:sz w:val="24"/>
          <w:szCs w:val="24"/>
          <w:lang w:eastAsia="bg-BG"/>
        </w:rPr>
      </w:pPr>
      <w:r w:rsidRPr="00BF091A">
        <w:rPr>
          <w:lang w:eastAsia="bg-BG"/>
        </w:rPr>
        <w:t xml:space="preserve">Донецепт 5 </w:t>
      </w:r>
      <w:r w:rsidRPr="00BF091A">
        <w:rPr>
          <w:lang w:val="en-US"/>
        </w:rPr>
        <w:t xml:space="preserve">mg </w:t>
      </w:r>
      <w:r w:rsidRPr="00BF091A">
        <w:rPr>
          <w:lang w:eastAsia="bg-BG"/>
        </w:rPr>
        <w:t xml:space="preserve">- кръгли, бели, двойноизлъкнали филмирани таблетки с диаметър 7 </w:t>
      </w:r>
      <w:r w:rsidRPr="00BF091A">
        <w:rPr>
          <w:lang w:val="en-US"/>
        </w:rPr>
        <w:t xml:space="preserve">mm, </w:t>
      </w:r>
      <w:r w:rsidRPr="00BF091A">
        <w:rPr>
          <w:lang w:eastAsia="bg-BG"/>
        </w:rPr>
        <w:t xml:space="preserve">гравирани с </w:t>
      </w:r>
      <w:r w:rsidRPr="00BF091A">
        <w:rPr>
          <w:lang w:val="en-US"/>
        </w:rPr>
        <w:t xml:space="preserve">“DZ </w:t>
      </w:r>
      <w:r w:rsidRPr="00BF091A">
        <w:rPr>
          <w:lang w:eastAsia="bg-BG"/>
        </w:rPr>
        <w:t>5” от едната страна.</w:t>
      </w:r>
    </w:p>
    <w:p w14:paraId="66CAB4FF" w14:textId="77777777" w:rsidR="00BF091A" w:rsidRDefault="00BF091A" w:rsidP="00BF091A">
      <w:pPr>
        <w:rPr>
          <w:lang w:eastAsia="bg-BG"/>
        </w:rPr>
      </w:pPr>
    </w:p>
    <w:p w14:paraId="15ED9940" w14:textId="776B3484" w:rsidR="00BF091A" w:rsidRPr="00BF091A" w:rsidRDefault="00BF091A" w:rsidP="00BF091A">
      <w:pPr>
        <w:rPr>
          <w:sz w:val="24"/>
          <w:szCs w:val="24"/>
          <w:lang w:eastAsia="bg-BG"/>
        </w:rPr>
      </w:pPr>
      <w:r w:rsidRPr="00BF091A">
        <w:rPr>
          <w:lang w:eastAsia="bg-BG"/>
        </w:rPr>
        <w:t xml:space="preserve">Донецепт 10 </w:t>
      </w:r>
      <w:r w:rsidRPr="00BF091A">
        <w:rPr>
          <w:lang w:val="en-US"/>
        </w:rPr>
        <w:t xml:space="preserve">mg </w:t>
      </w:r>
      <w:r w:rsidRPr="00BF091A">
        <w:rPr>
          <w:lang w:eastAsia="bg-BG"/>
        </w:rPr>
        <w:t xml:space="preserve">- кръгли, бледожълти, двойноизпъкнали филмирани таблетки с диаметър 9 </w:t>
      </w:r>
      <w:r w:rsidRPr="00BF091A">
        <w:rPr>
          <w:lang w:val="en-US"/>
        </w:rPr>
        <w:t xml:space="preserve">mm, </w:t>
      </w:r>
      <w:r w:rsidRPr="00BF091A">
        <w:rPr>
          <w:lang w:eastAsia="bg-BG"/>
        </w:rPr>
        <w:t xml:space="preserve">гравирани с </w:t>
      </w:r>
      <w:r w:rsidRPr="00BF091A">
        <w:rPr>
          <w:lang w:val="en-US"/>
        </w:rPr>
        <w:t xml:space="preserve">“DZ </w:t>
      </w:r>
      <w:r w:rsidRPr="00BF091A">
        <w:rPr>
          <w:lang w:eastAsia="bg-BG"/>
        </w:rPr>
        <w:t>10” от едната страна.</w:t>
      </w:r>
    </w:p>
    <w:p w14:paraId="6BFF285A" w14:textId="77777777" w:rsidR="00BF091A" w:rsidRPr="00BF091A" w:rsidRDefault="00BF091A" w:rsidP="00BF091A"/>
    <w:p w14:paraId="490FC2C4" w14:textId="6899DE43" w:rsidR="002C50EE" w:rsidRDefault="002C50EE" w:rsidP="002C50EE">
      <w:pPr>
        <w:pStyle w:val="Heading1"/>
      </w:pPr>
      <w:r>
        <w:t>4. КЛИНИЧНИ ДАННИ</w:t>
      </w:r>
    </w:p>
    <w:p w14:paraId="461901E4" w14:textId="30A6957E" w:rsidR="009F77A4" w:rsidRDefault="002C50EE" w:rsidP="00387A66">
      <w:pPr>
        <w:pStyle w:val="Heading2"/>
      </w:pPr>
      <w:r>
        <w:t>4.1. Терапевтични показания</w:t>
      </w:r>
    </w:p>
    <w:p w14:paraId="01C1C4F0" w14:textId="01ACED94" w:rsidR="00BF091A" w:rsidRDefault="00BF091A" w:rsidP="00BF091A"/>
    <w:p w14:paraId="6222F7B2" w14:textId="5081E35E" w:rsidR="00BF091A" w:rsidRDefault="00BF091A" w:rsidP="00BF091A">
      <w:pPr>
        <w:rPr>
          <w:lang w:eastAsia="bg-BG"/>
        </w:rPr>
      </w:pPr>
      <w:r w:rsidRPr="00BF091A">
        <w:rPr>
          <w:lang w:eastAsia="bg-BG"/>
        </w:rPr>
        <w:t>Донецепт се прилага за симптоматично лечение на леки до средно тежки форми на деменция на Алцхаймер.</w:t>
      </w:r>
    </w:p>
    <w:p w14:paraId="21FC6438" w14:textId="77777777" w:rsidR="00BF091A" w:rsidRPr="00BF091A" w:rsidRDefault="00BF091A" w:rsidP="00BF091A">
      <w:pPr>
        <w:rPr>
          <w:sz w:val="24"/>
          <w:szCs w:val="24"/>
          <w:lang w:eastAsia="bg-BG"/>
        </w:rPr>
      </w:pPr>
    </w:p>
    <w:p w14:paraId="31744E5A" w14:textId="40593E0E" w:rsidR="009F77A4" w:rsidRDefault="002C50EE" w:rsidP="00387A66">
      <w:pPr>
        <w:pStyle w:val="Heading2"/>
      </w:pPr>
      <w:r>
        <w:t>4.2. Дозировка и начин на приложение</w:t>
      </w:r>
    </w:p>
    <w:p w14:paraId="3AAE6C6A" w14:textId="6A9D6E5D" w:rsidR="00BF091A" w:rsidRDefault="00BF091A" w:rsidP="00BF091A"/>
    <w:p w14:paraId="47AD95D4" w14:textId="77777777" w:rsidR="00BF091A" w:rsidRPr="00BF091A" w:rsidRDefault="00BF091A" w:rsidP="00BF091A">
      <w:pPr>
        <w:pStyle w:val="Heading3"/>
        <w:rPr>
          <w:rFonts w:eastAsia="Times New Roman"/>
          <w:sz w:val="28"/>
          <w:szCs w:val="28"/>
          <w:u w:val="single"/>
          <w:lang w:eastAsia="bg-BG"/>
        </w:rPr>
      </w:pPr>
      <w:r w:rsidRPr="00BF091A">
        <w:rPr>
          <w:rFonts w:eastAsia="Times New Roman"/>
          <w:u w:val="single"/>
          <w:lang w:eastAsia="bg-BG"/>
        </w:rPr>
        <w:t>Дозировка</w:t>
      </w:r>
    </w:p>
    <w:p w14:paraId="6959BCA1" w14:textId="77777777" w:rsidR="00BF091A" w:rsidRPr="00BF091A" w:rsidRDefault="00BF091A" w:rsidP="00BF091A">
      <w:pPr>
        <w:spacing w:line="240" w:lineRule="auto"/>
        <w:rPr>
          <w:rFonts w:eastAsia="Times New Roman" w:cs="Arial"/>
          <w:sz w:val="28"/>
          <w:szCs w:val="28"/>
          <w:lang w:eastAsia="bg-BG"/>
        </w:rPr>
      </w:pPr>
      <w:r w:rsidRPr="00BF091A">
        <w:rPr>
          <w:rFonts w:eastAsia="Times New Roman" w:cs="Arial"/>
          <w:i/>
          <w:iCs/>
          <w:color w:val="000000"/>
          <w:lang w:eastAsia="bg-BG"/>
        </w:rPr>
        <w:t>Възрастни/Пациенти в старческа възраст</w:t>
      </w:r>
    </w:p>
    <w:p w14:paraId="32A66BCB" w14:textId="77777777"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lang w:eastAsia="bg-BG"/>
        </w:rPr>
        <w:t xml:space="preserve">Лечението започва с доза от 5 </w:t>
      </w:r>
      <w:r w:rsidRPr="00BF091A">
        <w:rPr>
          <w:rFonts w:eastAsia="Times New Roman" w:cs="Arial"/>
          <w:color w:val="000000"/>
          <w:lang w:val="en-US"/>
        </w:rPr>
        <w:t xml:space="preserve">mg </w:t>
      </w:r>
      <w:r w:rsidRPr="00BF091A">
        <w:rPr>
          <w:rFonts w:eastAsia="Times New Roman" w:cs="Arial"/>
          <w:color w:val="000000"/>
          <w:lang w:eastAsia="bg-BG"/>
        </w:rPr>
        <w:t xml:space="preserve">еднократно дневно. Донепезил трябва да се приема вечер преди лягане. Дневната доза от 5 </w:t>
      </w:r>
      <w:r w:rsidRPr="00BF091A">
        <w:rPr>
          <w:rFonts w:eastAsia="Times New Roman" w:cs="Arial"/>
          <w:color w:val="000000"/>
          <w:lang w:val="en-US"/>
        </w:rPr>
        <w:t xml:space="preserve">mg </w:t>
      </w:r>
      <w:r w:rsidRPr="00BF091A">
        <w:rPr>
          <w:rFonts w:eastAsia="Times New Roman" w:cs="Arial"/>
          <w:color w:val="000000"/>
          <w:lang w:eastAsia="bg-BG"/>
        </w:rPr>
        <w:t xml:space="preserve">трябва да се прилага най-малко 1 месец, за да се достигнат равновесни концентрации, след което да се направи оценка на терапевтичния отговор. След оценка на едномесечното лечение дозата може да се </w:t>
      </w:r>
      <w:r w:rsidRPr="00BF091A">
        <w:rPr>
          <w:rFonts w:eastAsia="Times New Roman" w:cs="Arial"/>
          <w:color w:val="000000"/>
          <w:lang w:eastAsia="bg-BG"/>
        </w:rPr>
        <w:lastRenderedPageBreak/>
        <w:t xml:space="preserve">повиши до 10 </w:t>
      </w:r>
      <w:r w:rsidRPr="00BF091A">
        <w:rPr>
          <w:rFonts w:eastAsia="Times New Roman" w:cs="Arial"/>
          <w:color w:val="000000"/>
          <w:lang w:val="en-US"/>
        </w:rPr>
        <w:t xml:space="preserve">mg </w:t>
      </w:r>
      <w:r w:rsidRPr="00BF091A">
        <w:rPr>
          <w:rFonts w:eastAsia="Times New Roman" w:cs="Arial"/>
          <w:color w:val="000000"/>
          <w:lang w:eastAsia="bg-BG"/>
        </w:rPr>
        <w:t xml:space="preserve">еднократно дневно. Максималната препоръчвана доза е 10 </w:t>
      </w:r>
      <w:r w:rsidRPr="00BF091A">
        <w:rPr>
          <w:rFonts w:eastAsia="Times New Roman" w:cs="Arial"/>
          <w:color w:val="000000"/>
          <w:lang w:val="en-US"/>
        </w:rPr>
        <w:t xml:space="preserve">mg </w:t>
      </w:r>
      <w:r w:rsidRPr="00BF091A">
        <w:rPr>
          <w:rFonts w:eastAsia="Times New Roman" w:cs="Arial"/>
          <w:color w:val="000000"/>
          <w:lang w:eastAsia="bg-BG"/>
        </w:rPr>
        <w:t xml:space="preserve">дневно. Приложението на дневни дози по-високи от 10 </w:t>
      </w:r>
      <w:r w:rsidRPr="00BF091A">
        <w:rPr>
          <w:rFonts w:eastAsia="Times New Roman" w:cs="Arial"/>
          <w:color w:val="000000"/>
          <w:lang w:val="en-US"/>
        </w:rPr>
        <w:t xml:space="preserve">mg </w:t>
      </w:r>
      <w:r w:rsidRPr="00BF091A">
        <w:rPr>
          <w:rFonts w:eastAsia="Times New Roman" w:cs="Arial"/>
          <w:color w:val="000000"/>
          <w:lang w:eastAsia="bg-BG"/>
        </w:rPr>
        <w:t>не е изследвано в клинични проучвания.</w:t>
      </w:r>
    </w:p>
    <w:p w14:paraId="349FE491" w14:textId="2D13E826" w:rsidR="00BF091A" w:rsidRPr="00BF091A" w:rsidRDefault="00BF091A" w:rsidP="00BF091A">
      <w:pPr>
        <w:rPr>
          <w:rFonts w:eastAsia="Times New Roman" w:cs="Arial"/>
          <w:color w:val="000000"/>
          <w:lang w:eastAsia="bg-BG"/>
        </w:rPr>
      </w:pPr>
      <w:r w:rsidRPr="00BF091A">
        <w:rPr>
          <w:rFonts w:eastAsia="Times New Roman" w:cs="Arial"/>
          <w:color w:val="000000"/>
          <w:lang w:eastAsia="bg-BG"/>
        </w:rPr>
        <w:t xml:space="preserve">Лечението с донепезил трябва да се провежда от лекар с опит в диагностиката и лечението на деменция тип Алцхаймер. Диагнозата трябва да бъде поставена съгласно общопритите принципи </w:t>
      </w:r>
      <w:r w:rsidRPr="00BF091A">
        <w:rPr>
          <w:rFonts w:eastAsia="Times New Roman" w:cs="Arial"/>
          <w:color w:val="000000"/>
          <w:lang w:val="en-US"/>
        </w:rPr>
        <w:t>(DSM</w:t>
      </w:r>
      <w:r w:rsidRPr="00BF091A">
        <w:rPr>
          <w:rFonts w:eastAsia="Times New Roman" w:cs="Arial"/>
          <w:color w:val="000000"/>
          <w:lang w:eastAsia="bg-BG"/>
        </w:rPr>
        <w:t xml:space="preserve"> IV, </w:t>
      </w:r>
      <w:r w:rsidRPr="00BF091A">
        <w:rPr>
          <w:rFonts w:eastAsia="Times New Roman" w:cs="Arial"/>
          <w:color w:val="000000"/>
          <w:lang w:val="en-US"/>
        </w:rPr>
        <w:t xml:space="preserve">ICD </w:t>
      </w:r>
      <w:r w:rsidRPr="00BF091A">
        <w:rPr>
          <w:rFonts w:eastAsia="Times New Roman" w:cs="Arial"/>
          <w:color w:val="000000"/>
          <w:lang w:eastAsia="bg-BG"/>
        </w:rPr>
        <w:t>10). Лечението трябва да започне само при осигурен болногледач, който редовно да следи за приема на лекарството. Поддържащото лечение продължава докато има терапевтична полза за болния. Необходимо е да се провежда периодична оценка на клиничния ефект от лечението с донепезил. Ако се установи липса на лечебен ефект трябва да се обмисли прекратяване на терапията. Индивидуалният отговор към донепезил не може да бъде прогнозиран.</w:t>
      </w:r>
    </w:p>
    <w:p w14:paraId="6FBDC15C" w14:textId="5DAFD22B" w:rsidR="00BF091A" w:rsidRPr="00BF091A" w:rsidRDefault="00BF091A" w:rsidP="00BF091A">
      <w:pPr>
        <w:rPr>
          <w:rFonts w:eastAsia="Times New Roman" w:cs="Arial"/>
          <w:color w:val="000000"/>
          <w:lang w:eastAsia="bg-BG"/>
        </w:rPr>
      </w:pPr>
    </w:p>
    <w:p w14:paraId="7C4AB520" w14:textId="77777777"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lang w:eastAsia="bg-BG"/>
        </w:rPr>
        <w:t>При прекъсване на лечението се наблюдава постепенно отзвучаване на благоприятните ефекти на донепезил.</w:t>
      </w:r>
    </w:p>
    <w:p w14:paraId="5227C6F5" w14:textId="77777777" w:rsidR="00BF091A" w:rsidRPr="00BF091A" w:rsidRDefault="00BF091A" w:rsidP="00BF091A">
      <w:pPr>
        <w:spacing w:line="240" w:lineRule="auto"/>
        <w:rPr>
          <w:rFonts w:eastAsia="Times New Roman" w:cs="Arial"/>
          <w:i/>
          <w:iCs/>
          <w:color w:val="000000"/>
          <w:lang w:eastAsia="bg-BG"/>
        </w:rPr>
      </w:pPr>
    </w:p>
    <w:p w14:paraId="59139691" w14:textId="4867D373" w:rsidR="00BF091A" w:rsidRPr="00BF091A" w:rsidRDefault="00BF091A" w:rsidP="00BF091A">
      <w:pPr>
        <w:spacing w:line="240" w:lineRule="auto"/>
        <w:rPr>
          <w:rFonts w:eastAsia="Times New Roman" w:cs="Arial"/>
          <w:sz w:val="28"/>
          <w:szCs w:val="28"/>
          <w:lang w:eastAsia="bg-BG"/>
        </w:rPr>
      </w:pPr>
      <w:r w:rsidRPr="00BF091A">
        <w:rPr>
          <w:rFonts w:eastAsia="Times New Roman" w:cs="Arial"/>
          <w:i/>
          <w:iCs/>
          <w:color w:val="000000"/>
          <w:lang w:eastAsia="bg-BG"/>
        </w:rPr>
        <w:t>Педиатрична популация</w:t>
      </w:r>
    </w:p>
    <w:p w14:paraId="5F8421F3" w14:textId="77777777"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lang w:eastAsia="bg-BG"/>
        </w:rPr>
        <w:t>Не се препоръчва приложението на донепезил при деца и юноши на възраст под 18 години.</w:t>
      </w:r>
    </w:p>
    <w:p w14:paraId="552004DF" w14:textId="77777777" w:rsidR="00BF091A" w:rsidRPr="00BF091A" w:rsidRDefault="00BF091A" w:rsidP="00BF091A">
      <w:pPr>
        <w:spacing w:line="240" w:lineRule="auto"/>
        <w:rPr>
          <w:rFonts w:eastAsia="Times New Roman" w:cs="Arial"/>
          <w:i/>
          <w:iCs/>
          <w:color w:val="000000"/>
          <w:lang w:eastAsia="bg-BG"/>
        </w:rPr>
      </w:pPr>
    </w:p>
    <w:p w14:paraId="6B1748FB" w14:textId="468AC7CE" w:rsidR="00BF091A" w:rsidRPr="00BF091A" w:rsidRDefault="00BF091A" w:rsidP="00BF091A">
      <w:pPr>
        <w:spacing w:line="240" w:lineRule="auto"/>
        <w:rPr>
          <w:rFonts w:eastAsia="Times New Roman" w:cs="Arial"/>
          <w:sz w:val="28"/>
          <w:szCs w:val="28"/>
          <w:lang w:eastAsia="bg-BG"/>
        </w:rPr>
      </w:pPr>
      <w:r w:rsidRPr="00BF091A">
        <w:rPr>
          <w:rFonts w:eastAsia="Times New Roman" w:cs="Arial"/>
          <w:i/>
          <w:iCs/>
          <w:color w:val="000000"/>
          <w:lang w:eastAsia="bg-BG"/>
        </w:rPr>
        <w:t>Пациенти с бъбречно и чернодробно увреждане</w:t>
      </w:r>
    </w:p>
    <w:p w14:paraId="7757BFFD" w14:textId="77777777"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lang w:eastAsia="bg-BG"/>
        </w:rPr>
        <w:t>Подобна схема на дозиране може да се прилага и при пациенти с бъбречна недостатъчност, тъй като това състояние не оказва влияние върху клирънса на донепезилов хидрохлорид.</w:t>
      </w:r>
    </w:p>
    <w:p w14:paraId="7C6D4205" w14:textId="77777777"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lang w:eastAsia="bg-BG"/>
        </w:rPr>
        <w:t>Поради възможност от увеличаване на концентрацията на донепезил при лека до умерено изразена чернодробна недостатъчност (вж. точка 5.2) повишаването на дозата трябва да става в зависимост от индивидуалната поносимост. Няма данни за приложението на продукта при пациенти с тежко чернодробно увреждане.</w:t>
      </w:r>
    </w:p>
    <w:p w14:paraId="3C849D13" w14:textId="77777777" w:rsidR="00BF091A" w:rsidRPr="00BF091A" w:rsidRDefault="00BF091A" w:rsidP="00BF091A">
      <w:pPr>
        <w:spacing w:line="240" w:lineRule="auto"/>
        <w:rPr>
          <w:rFonts w:eastAsia="Times New Roman" w:cs="Arial"/>
          <w:color w:val="000000"/>
          <w:u w:val="single"/>
          <w:lang w:eastAsia="bg-BG"/>
        </w:rPr>
      </w:pPr>
    </w:p>
    <w:p w14:paraId="068AB66D" w14:textId="0D20C079" w:rsidR="00BF091A" w:rsidRPr="00BF091A" w:rsidRDefault="00BF091A" w:rsidP="00BF091A">
      <w:pPr>
        <w:pStyle w:val="Heading3"/>
        <w:rPr>
          <w:rFonts w:eastAsia="Times New Roman"/>
          <w:sz w:val="28"/>
          <w:szCs w:val="28"/>
          <w:u w:val="single"/>
          <w:lang w:eastAsia="bg-BG"/>
        </w:rPr>
      </w:pPr>
      <w:r w:rsidRPr="00BF091A">
        <w:rPr>
          <w:rFonts w:eastAsia="Times New Roman"/>
          <w:u w:val="single"/>
          <w:lang w:eastAsia="bg-BG"/>
        </w:rPr>
        <w:t>Начин на приложение</w:t>
      </w:r>
    </w:p>
    <w:p w14:paraId="128529C6" w14:textId="77777777"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lang w:eastAsia="bg-BG"/>
        </w:rPr>
        <w:t>Перорално приложение</w:t>
      </w:r>
    </w:p>
    <w:p w14:paraId="19A050EC" w14:textId="77777777"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lang w:eastAsia="bg-BG"/>
        </w:rPr>
        <w:t>Донецепт трябва да се приема вечер преди лягане.</w:t>
      </w:r>
    </w:p>
    <w:p w14:paraId="7E4D25A9" w14:textId="23447CAF" w:rsidR="00BF091A" w:rsidRDefault="00BF091A" w:rsidP="00BF091A">
      <w:pPr>
        <w:rPr>
          <w:rFonts w:eastAsia="Times New Roman" w:cs="Arial"/>
          <w:color w:val="000000"/>
          <w:lang w:eastAsia="bg-BG"/>
        </w:rPr>
      </w:pPr>
      <w:r w:rsidRPr="00BF091A">
        <w:rPr>
          <w:rFonts w:eastAsia="Times New Roman" w:cs="Arial"/>
          <w:color w:val="000000"/>
          <w:lang w:eastAsia="bg-BG"/>
        </w:rPr>
        <w:t>В случай на нарушения на съня, включително патологични сънища, кошмари или безсъние (вж. точка 4.8) може да се обмисли прием на Донецепт сутрин.</w:t>
      </w:r>
    </w:p>
    <w:p w14:paraId="15700CFC" w14:textId="77777777" w:rsidR="00BF091A" w:rsidRPr="00BF091A" w:rsidRDefault="00BF091A" w:rsidP="00BF091A">
      <w:pPr>
        <w:rPr>
          <w:rFonts w:ascii="Times New Roman" w:eastAsia="Times New Roman" w:hAnsi="Times New Roman" w:cs="Times New Roman"/>
          <w:color w:val="000000"/>
          <w:sz w:val="20"/>
          <w:szCs w:val="20"/>
          <w:lang w:eastAsia="bg-BG"/>
        </w:rPr>
      </w:pPr>
    </w:p>
    <w:p w14:paraId="5D9E65DA" w14:textId="639DE3CF" w:rsidR="009F77A4" w:rsidRDefault="002C50EE" w:rsidP="00387A66">
      <w:pPr>
        <w:pStyle w:val="Heading2"/>
      </w:pPr>
      <w:r>
        <w:t>4.3. Противопоказания</w:t>
      </w:r>
    </w:p>
    <w:p w14:paraId="3B3960D4" w14:textId="06AED6FF" w:rsidR="00BF091A" w:rsidRDefault="00BF091A" w:rsidP="00BF091A"/>
    <w:p w14:paraId="7C7AB7FE" w14:textId="3056978F" w:rsidR="00BF091A" w:rsidRDefault="00BF091A" w:rsidP="00BF091A">
      <w:r>
        <w:t>Донепезил е противопоказан при пациенти с известна свръхчувствителност към донепезилов хидрохлорид, пипервдинови производни или към някое от помощните вещества, изброени в точка 6.1.</w:t>
      </w:r>
    </w:p>
    <w:p w14:paraId="05011455" w14:textId="77777777" w:rsidR="00BF091A" w:rsidRPr="00BF091A" w:rsidRDefault="00BF091A" w:rsidP="00BF091A"/>
    <w:p w14:paraId="1C27CE53" w14:textId="294F612A" w:rsidR="009F77A4" w:rsidRDefault="002C50EE" w:rsidP="00387A66">
      <w:pPr>
        <w:pStyle w:val="Heading2"/>
      </w:pPr>
      <w:r>
        <w:t>4.4. Специални предупреждения и предпазни мерки при употреба</w:t>
      </w:r>
    </w:p>
    <w:p w14:paraId="654F5AAD" w14:textId="1575AA04" w:rsidR="00BF091A" w:rsidRDefault="00BF091A" w:rsidP="00BF091A"/>
    <w:p w14:paraId="28643DA9" w14:textId="77777777"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lang w:eastAsia="bg-BG"/>
        </w:rPr>
        <w:t>Няма изследвания за употребата на донепезил при пациенти с тежка деменция на Алцхаймер, други видове деменция или други видове тежки паметови разстройства (напр. възрастово нарушаване на когнитивните функции).</w:t>
      </w:r>
    </w:p>
    <w:p w14:paraId="57EBF34F" w14:textId="77777777" w:rsidR="00BF091A" w:rsidRPr="00BF091A" w:rsidRDefault="00BF091A" w:rsidP="00BF091A">
      <w:pPr>
        <w:spacing w:line="240" w:lineRule="auto"/>
        <w:rPr>
          <w:rFonts w:eastAsia="Times New Roman" w:cs="Arial"/>
          <w:i/>
          <w:iCs/>
          <w:color w:val="000000"/>
          <w:lang w:eastAsia="bg-BG"/>
        </w:rPr>
      </w:pPr>
    </w:p>
    <w:p w14:paraId="289E374A" w14:textId="25DE3034" w:rsidR="00BF091A" w:rsidRPr="00BF091A" w:rsidRDefault="00BF091A" w:rsidP="00BF091A">
      <w:pPr>
        <w:spacing w:line="240" w:lineRule="auto"/>
        <w:rPr>
          <w:rFonts w:eastAsia="Times New Roman" w:cs="Arial"/>
          <w:sz w:val="28"/>
          <w:szCs w:val="28"/>
          <w:lang w:eastAsia="bg-BG"/>
        </w:rPr>
      </w:pPr>
      <w:r w:rsidRPr="00BF091A">
        <w:rPr>
          <w:rFonts w:eastAsia="Times New Roman" w:cs="Arial"/>
          <w:i/>
          <w:iCs/>
          <w:color w:val="000000"/>
          <w:lang w:eastAsia="bg-BG"/>
        </w:rPr>
        <w:t>Анестезия</w:t>
      </w:r>
    </w:p>
    <w:p w14:paraId="58BBE2E1" w14:textId="77777777"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lang w:eastAsia="bg-BG"/>
        </w:rPr>
        <w:lastRenderedPageBreak/>
        <w:t>Донепезил, като холинестеразен инхибитор, вероятно може да потенцира мускулната релаксация от сукцинилхолинов тип по време на анестезия.</w:t>
      </w:r>
    </w:p>
    <w:p w14:paraId="29576777" w14:textId="77777777" w:rsidR="00BF091A" w:rsidRPr="00BF091A" w:rsidRDefault="00BF091A" w:rsidP="00BF091A">
      <w:pPr>
        <w:spacing w:line="240" w:lineRule="auto"/>
        <w:rPr>
          <w:rFonts w:eastAsia="Times New Roman" w:cs="Arial"/>
          <w:i/>
          <w:iCs/>
          <w:color w:val="000000"/>
          <w:lang w:eastAsia="bg-BG"/>
        </w:rPr>
      </w:pPr>
    </w:p>
    <w:p w14:paraId="3AFBB924" w14:textId="11E2154A" w:rsidR="00BF091A" w:rsidRPr="00BF091A" w:rsidRDefault="00BF091A" w:rsidP="00BF091A">
      <w:pPr>
        <w:spacing w:line="240" w:lineRule="auto"/>
        <w:rPr>
          <w:rFonts w:eastAsia="Times New Roman" w:cs="Arial"/>
          <w:sz w:val="28"/>
          <w:szCs w:val="28"/>
          <w:lang w:eastAsia="bg-BG"/>
        </w:rPr>
      </w:pPr>
      <w:r w:rsidRPr="00BF091A">
        <w:rPr>
          <w:rFonts w:eastAsia="Times New Roman" w:cs="Arial"/>
          <w:i/>
          <w:iCs/>
          <w:color w:val="000000"/>
          <w:lang w:eastAsia="bg-BG"/>
        </w:rPr>
        <w:t>Сърдечно-съдови заболявания</w:t>
      </w:r>
    </w:p>
    <w:p w14:paraId="65FA6707" w14:textId="77777777"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lang w:eastAsia="bg-BG"/>
        </w:rPr>
        <w:t>Поради фармакологичното си действие холинестеразните инхибитори могат да имат ваготоничен ефект върху сърдечната честота (напр. брддикардия). Вероятността за такъв ефект може да е от практическо значение за пациенти със синдром на болния синусов възел или други суправентрикуларни нарушения на сърдечната проводимост, като синоатриален или атриовентрикуларен блок. Донецепт трябва да се прилага с повишено внимание при тези пациенти поради риск от задълбочаване на преводните нарушения.</w:t>
      </w:r>
    </w:p>
    <w:p w14:paraId="524F6649" w14:textId="77777777"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lang w:eastAsia="bg-BG"/>
        </w:rPr>
        <w:t>Съществуват съобщения за поява на синкоп и гърчове след употреба на донепезил. При изследване на такива пациенти, трябва да се има предвид възможността за възникване на сърдечен блок или дълги синусови паузи.</w:t>
      </w:r>
    </w:p>
    <w:p w14:paraId="4B13EA31" w14:textId="77777777"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lang w:eastAsia="bg-BG"/>
        </w:rPr>
        <w:t xml:space="preserve">Съществуват постмаркетингови съобщения за удължаване на </w:t>
      </w:r>
      <w:r w:rsidRPr="00BF091A">
        <w:rPr>
          <w:rFonts w:eastAsia="Times New Roman" w:cs="Arial"/>
          <w:color w:val="000000"/>
          <w:lang w:val="en-US"/>
        </w:rPr>
        <w:t xml:space="preserve">QTc </w:t>
      </w:r>
      <w:r w:rsidRPr="00BF091A">
        <w:rPr>
          <w:rFonts w:eastAsia="Times New Roman" w:cs="Arial"/>
          <w:color w:val="000000"/>
          <w:lang w:eastAsia="bg-BG"/>
        </w:rPr>
        <w:t xml:space="preserve">интервала и </w:t>
      </w:r>
      <w:r w:rsidRPr="00BF091A">
        <w:rPr>
          <w:rFonts w:eastAsia="Times New Roman" w:cs="Arial"/>
          <w:color w:val="000000"/>
          <w:lang w:val="en-US"/>
        </w:rPr>
        <w:t xml:space="preserve">torsade de pointes </w:t>
      </w:r>
      <w:r w:rsidRPr="00BF091A">
        <w:rPr>
          <w:rFonts w:eastAsia="Times New Roman" w:cs="Arial"/>
          <w:color w:val="000000"/>
          <w:lang w:eastAsia="bg-BG"/>
        </w:rPr>
        <w:t xml:space="preserve">(вж. точки 4.5 и 4.8). Препоръчва се повишено внимание при пациенти с предшестваща или фамилна анамнеза за удължаване на </w:t>
      </w:r>
      <w:r w:rsidRPr="00BF091A">
        <w:rPr>
          <w:rFonts w:eastAsia="Times New Roman" w:cs="Arial"/>
          <w:color w:val="000000"/>
          <w:lang w:val="en-US"/>
        </w:rPr>
        <w:t xml:space="preserve">QTc </w:t>
      </w:r>
      <w:r w:rsidRPr="00BF091A">
        <w:rPr>
          <w:rFonts w:eastAsia="Times New Roman" w:cs="Arial"/>
          <w:color w:val="000000"/>
          <w:lang w:eastAsia="bg-BG"/>
        </w:rPr>
        <w:t xml:space="preserve">интервала, при пациенти, лекувани с лекарства, които повлияват </w:t>
      </w:r>
      <w:r w:rsidRPr="00BF091A">
        <w:rPr>
          <w:rFonts w:eastAsia="Times New Roman" w:cs="Arial"/>
          <w:color w:val="000000"/>
          <w:lang w:val="en-US"/>
        </w:rPr>
        <w:t xml:space="preserve">QTc </w:t>
      </w:r>
      <w:r w:rsidRPr="00BF091A">
        <w:rPr>
          <w:rFonts w:eastAsia="Times New Roman" w:cs="Arial"/>
          <w:color w:val="000000"/>
          <w:lang w:eastAsia="bg-BG"/>
        </w:rPr>
        <w:t>интервала, или при пациенти със значимо предшестващо сърдечно заб</w:t>
      </w:r>
      <w:r w:rsidRPr="00BF091A">
        <w:rPr>
          <w:rFonts w:eastAsia="Times New Roman" w:cs="Arial"/>
          <w:color w:val="000000"/>
          <w:u w:val="single"/>
          <w:lang w:eastAsia="bg-BG"/>
        </w:rPr>
        <w:t>олява</w:t>
      </w:r>
      <w:r w:rsidRPr="00BF091A">
        <w:rPr>
          <w:rFonts w:eastAsia="Times New Roman" w:cs="Arial"/>
          <w:color w:val="000000"/>
          <w:lang w:eastAsia="bg-BG"/>
        </w:rPr>
        <w:t>не (напр. некомпенсирана сърдечна недостатъчност, скорошен инфаркт на миокарда. брадиаритмии) или нарушения на електролитния баланс (хипокалиемия, хипомагнезиемия). Може да се наложи клинично наблюдение (ЕКГ).</w:t>
      </w:r>
    </w:p>
    <w:p w14:paraId="551141CB" w14:textId="77777777" w:rsidR="00BF091A" w:rsidRPr="00BF091A" w:rsidRDefault="00BF091A" w:rsidP="00BF091A">
      <w:pPr>
        <w:spacing w:line="240" w:lineRule="auto"/>
        <w:rPr>
          <w:rFonts w:eastAsia="Times New Roman" w:cs="Arial"/>
          <w:i/>
          <w:iCs/>
          <w:color w:val="000000"/>
          <w:lang w:eastAsia="bg-BG"/>
        </w:rPr>
      </w:pPr>
    </w:p>
    <w:p w14:paraId="560C3450" w14:textId="192900D2" w:rsidR="00BF091A" w:rsidRPr="00BF091A" w:rsidRDefault="00BF091A" w:rsidP="00BF091A">
      <w:pPr>
        <w:spacing w:line="240" w:lineRule="auto"/>
        <w:rPr>
          <w:rFonts w:eastAsia="Times New Roman" w:cs="Arial"/>
          <w:sz w:val="28"/>
          <w:szCs w:val="28"/>
          <w:lang w:eastAsia="bg-BG"/>
        </w:rPr>
      </w:pPr>
      <w:r w:rsidRPr="00BF091A">
        <w:rPr>
          <w:rFonts w:eastAsia="Times New Roman" w:cs="Arial"/>
          <w:i/>
          <w:iCs/>
          <w:color w:val="000000"/>
          <w:lang w:eastAsia="bg-BG"/>
        </w:rPr>
        <w:t>Стомашно-чревни заболявания</w:t>
      </w:r>
    </w:p>
    <w:p w14:paraId="10C88AA0" w14:textId="77777777" w:rsidR="00BF091A" w:rsidRPr="00BF091A" w:rsidRDefault="00BF091A" w:rsidP="00BF091A">
      <w:pPr>
        <w:rPr>
          <w:rFonts w:eastAsia="Times New Roman" w:cs="Arial"/>
          <w:sz w:val="28"/>
          <w:szCs w:val="28"/>
          <w:lang w:eastAsia="bg-BG"/>
        </w:rPr>
      </w:pPr>
      <w:r w:rsidRPr="00BF091A">
        <w:rPr>
          <w:rFonts w:eastAsia="Times New Roman" w:cs="Arial"/>
          <w:color w:val="000000"/>
          <w:lang w:eastAsia="bg-BG"/>
        </w:rPr>
        <w:t>Пациенти с повишен риск от поява на язва, напр. пациенти с анамнеза за язвена болест или такива, които едновременно приемат нестероидни противовъзпалителни средства, (НСПВС)</w:t>
      </w:r>
      <w:r w:rsidRPr="00BF091A">
        <w:rPr>
          <w:rFonts w:eastAsia="Times New Roman" w:cs="Arial"/>
          <w:color w:val="000000"/>
          <w:lang w:val="en-US" w:eastAsia="bg-BG"/>
        </w:rPr>
        <w:t xml:space="preserve"> </w:t>
      </w:r>
      <w:r w:rsidRPr="00BF091A">
        <w:rPr>
          <w:rFonts w:eastAsia="Times New Roman" w:cs="Arial"/>
          <w:color w:val="000000"/>
          <w:lang w:eastAsia="bg-BG"/>
        </w:rPr>
        <w:t>трябва да се мониторират внимателно за поява на симптоми. От проведените клинични проучвания с донепезил няма данни за повишена честота на кървене от стомашно-чревния тракт или поява на пептична язва в сравнение с плацебо,</w:t>
      </w:r>
    </w:p>
    <w:p w14:paraId="3251A7C1" w14:textId="77777777" w:rsidR="00BF091A" w:rsidRPr="00BF091A" w:rsidRDefault="00BF091A" w:rsidP="00BF091A">
      <w:pPr>
        <w:spacing w:line="240" w:lineRule="auto"/>
        <w:rPr>
          <w:rFonts w:eastAsia="Times New Roman" w:cs="Arial"/>
          <w:i/>
          <w:iCs/>
          <w:color w:val="000000"/>
          <w:lang w:eastAsia="bg-BG"/>
        </w:rPr>
      </w:pPr>
    </w:p>
    <w:p w14:paraId="787AE733" w14:textId="0219C971" w:rsidR="00BF091A" w:rsidRPr="00BF091A" w:rsidRDefault="00BF091A" w:rsidP="00BF091A">
      <w:pPr>
        <w:spacing w:line="240" w:lineRule="auto"/>
        <w:rPr>
          <w:rFonts w:eastAsia="Times New Roman" w:cs="Arial"/>
          <w:sz w:val="28"/>
          <w:szCs w:val="28"/>
          <w:lang w:eastAsia="bg-BG"/>
        </w:rPr>
      </w:pPr>
      <w:r w:rsidRPr="00BF091A">
        <w:rPr>
          <w:rFonts w:eastAsia="Times New Roman" w:cs="Arial"/>
          <w:i/>
          <w:iCs/>
          <w:color w:val="000000"/>
          <w:lang w:eastAsia="bg-BG"/>
        </w:rPr>
        <w:t>Урогенитални заболявания</w:t>
      </w:r>
    </w:p>
    <w:p w14:paraId="1E048FE2" w14:textId="77777777"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lang w:eastAsia="bg-BG"/>
        </w:rPr>
        <w:t>Холиномиметиците могат да предизвикат обструктивни симптоми от страна на пикочния мехур, въпреки че това не е наблюдавано при лечение с донепезил.</w:t>
      </w:r>
    </w:p>
    <w:p w14:paraId="0C2C158C" w14:textId="77777777" w:rsidR="00BF091A" w:rsidRPr="00BF091A" w:rsidRDefault="00BF091A" w:rsidP="00BF091A">
      <w:pPr>
        <w:spacing w:line="240" w:lineRule="auto"/>
        <w:rPr>
          <w:rFonts w:eastAsia="Times New Roman" w:cs="Arial"/>
          <w:i/>
          <w:iCs/>
          <w:color w:val="000000"/>
          <w:lang w:eastAsia="bg-BG"/>
        </w:rPr>
      </w:pPr>
    </w:p>
    <w:p w14:paraId="30108A6C" w14:textId="019D5755" w:rsidR="00BF091A" w:rsidRPr="00BF091A" w:rsidRDefault="00BF091A" w:rsidP="00BF091A">
      <w:pPr>
        <w:spacing w:line="240" w:lineRule="auto"/>
        <w:rPr>
          <w:rFonts w:eastAsia="Times New Roman" w:cs="Arial"/>
          <w:sz w:val="28"/>
          <w:szCs w:val="28"/>
          <w:lang w:eastAsia="bg-BG"/>
        </w:rPr>
      </w:pPr>
      <w:r w:rsidRPr="00BF091A">
        <w:rPr>
          <w:rFonts w:eastAsia="Times New Roman" w:cs="Arial"/>
          <w:i/>
          <w:iCs/>
          <w:color w:val="000000"/>
          <w:lang w:eastAsia="bg-BG"/>
        </w:rPr>
        <w:t>Неврологични заболявания</w:t>
      </w:r>
    </w:p>
    <w:p w14:paraId="059B295B" w14:textId="77777777"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lang w:eastAsia="bg-BG"/>
        </w:rPr>
        <w:t>Гърчове: Холиномиметиците могат да причинят генерализирани конвулсии, въпреки че гърчовете може да са симптоми на болестта на Алцхаймер.</w:t>
      </w:r>
    </w:p>
    <w:p w14:paraId="2C8E2C8D" w14:textId="77777777"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lang w:eastAsia="bg-BG"/>
        </w:rPr>
        <w:t>Холиномиметиците имат потенциал за обостряне или индуциране на екстрапирамидни симптоми.</w:t>
      </w:r>
    </w:p>
    <w:p w14:paraId="3E18F2F5" w14:textId="77777777" w:rsidR="00BF091A" w:rsidRPr="00BF091A" w:rsidRDefault="00BF091A" w:rsidP="00BF091A">
      <w:pPr>
        <w:spacing w:line="240" w:lineRule="auto"/>
        <w:rPr>
          <w:rFonts w:eastAsia="Times New Roman" w:cs="Arial"/>
          <w:color w:val="000000"/>
          <w:u w:val="single"/>
          <w:lang w:eastAsia="bg-BG"/>
        </w:rPr>
      </w:pPr>
    </w:p>
    <w:p w14:paraId="654FE24E" w14:textId="12436225"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u w:val="single"/>
          <w:lang w:eastAsia="bg-BG"/>
        </w:rPr>
        <w:t>Злокачествен невролептичен синдром (ЗНС):</w:t>
      </w:r>
    </w:p>
    <w:p w14:paraId="44A9B64F" w14:textId="77777777"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lang w:eastAsia="bg-BG"/>
        </w:rPr>
        <w:t>ЗНС е потенциално животозастрашаващо състояние, характеризиращо се с хипертермия, мускулна ригидност, вегетативна нестабилност, промени в съзнанието и повишени серумни стойности на креатин фосфокиназата. Допълнителните признаци могат да са миоглобинурия (рабдомиолиза) и остра бъбречна недостатъчност. Много рядко е възможно да се наблюдава ЗНС, свързан с донепезил, особено при пациенти, получаващи едновременно антипсихотици. Ако при пациента се наблюдават признаци и симптоми, показателни за ЗНС, или се появи необяснимо висока температура без други клинични прояви на ЗНС, лечението трябва да се преустанови.</w:t>
      </w:r>
    </w:p>
    <w:p w14:paraId="0E66195B" w14:textId="77777777" w:rsidR="00BF091A" w:rsidRPr="00BF091A" w:rsidRDefault="00BF091A" w:rsidP="00BF091A">
      <w:pPr>
        <w:spacing w:line="240" w:lineRule="auto"/>
        <w:rPr>
          <w:rFonts w:eastAsia="Times New Roman" w:cs="Arial"/>
          <w:i/>
          <w:iCs/>
          <w:color w:val="000000"/>
          <w:lang w:eastAsia="bg-BG"/>
        </w:rPr>
      </w:pPr>
    </w:p>
    <w:p w14:paraId="3DC3C4B9" w14:textId="5E2D641A" w:rsidR="00BF091A" w:rsidRPr="00BF091A" w:rsidRDefault="00BF091A" w:rsidP="00BF091A">
      <w:pPr>
        <w:spacing w:line="240" w:lineRule="auto"/>
        <w:rPr>
          <w:rFonts w:eastAsia="Times New Roman" w:cs="Arial"/>
          <w:sz w:val="28"/>
          <w:szCs w:val="28"/>
          <w:lang w:eastAsia="bg-BG"/>
        </w:rPr>
      </w:pPr>
      <w:r w:rsidRPr="00BF091A">
        <w:rPr>
          <w:rFonts w:eastAsia="Times New Roman" w:cs="Arial"/>
          <w:i/>
          <w:iCs/>
          <w:color w:val="000000"/>
          <w:lang w:eastAsia="bg-BG"/>
        </w:rPr>
        <w:t>Белодробни заболявания</w:t>
      </w:r>
    </w:p>
    <w:p w14:paraId="1A5EC6C0" w14:textId="77777777"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lang w:eastAsia="bg-BG"/>
        </w:rPr>
        <w:lastRenderedPageBreak/>
        <w:t>Поради холиномиметичното си действие холинестеразните инхибитори трябва да се прилагат с повишено внимание при пациенти с астма или обструктивна белодробна болест.</w:t>
      </w:r>
    </w:p>
    <w:p w14:paraId="40FB698C" w14:textId="77777777"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lang w:eastAsia="bg-BG"/>
        </w:rPr>
        <w:t>Приложението на донепезил заедно с други инхибитори на ацетилхолинестеразата, агонисти или антагонисти на холинергичната система трябва да се избягва.</w:t>
      </w:r>
    </w:p>
    <w:p w14:paraId="34F51756" w14:textId="77777777" w:rsidR="00BF091A" w:rsidRPr="00BF091A" w:rsidRDefault="00BF091A" w:rsidP="00BF091A">
      <w:pPr>
        <w:spacing w:line="240" w:lineRule="auto"/>
        <w:rPr>
          <w:rFonts w:eastAsia="Times New Roman" w:cs="Arial"/>
          <w:i/>
          <w:iCs/>
          <w:color w:val="000000"/>
          <w:lang w:eastAsia="bg-BG"/>
        </w:rPr>
      </w:pPr>
    </w:p>
    <w:p w14:paraId="080D09BD" w14:textId="7DE77EB6" w:rsidR="00BF091A" w:rsidRPr="00BF091A" w:rsidRDefault="00BF091A" w:rsidP="00BF091A">
      <w:pPr>
        <w:spacing w:line="240" w:lineRule="auto"/>
        <w:rPr>
          <w:rFonts w:eastAsia="Times New Roman" w:cs="Arial"/>
          <w:sz w:val="28"/>
          <w:szCs w:val="28"/>
          <w:lang w:eastAsia="bg-BG"/>
        </w:rPr>
      </w:pPr>
      <w:r w:rsidRPr="00BF091A">
        <w:rPr>
          <w:rFonts w:eastAsia="Times New Roman" w:cs="Arial"/>
          <w:i/>
          <w:iCs/>
          <w:color w:val="000000"/>
          <w:lang w:eastAsia="bg-BG"/>
        </w:rPr>
        <w:t>Тежко чернодробно увреждане</w:t>
      </w:r>
    </w:p>
    <w:p w14:paraId="773B3E05" w14:textId="77777777"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lang w:eastAsia="bg-BG"/>
        </w:rPr>
        <w:t>Няма данни за приложението на донепезил при пациенти с тежка чернодробна недостатъчност.</w:t>
      </w:r>
    </w:p>
    <w:p w14:paraId="71F650EC" w14:textId="77777777" w:rsidR="00BF091A" w:rsidRPr="00BF091A" w:rsidRDefault="00BF091A" w:rsidP="00BF091A">
      <w:pPr>
        <w:spacing w:line="240" w:lineRule="auto"/>
        <w:rPr>
          <w:rFonts w:eastAsia="Times New Roman" w:cs="Arial"/>
          <w:i/>
          <w:iCs/>
          <w:color w:val="000000"/>
          <w:lang w:eastAsia="bg-BG"/>
        </w:rPr>
      </w:pPr>
    </w:p>
    <w:p w14:paraId="36C74605" w14:textId="398D049A" w:rsidR="00BF091A" w:rsidRPr="00BF091A" w:rsidRDefault="00BF091A" w:rsidP="00BF091A">
      <w:pPr>
        <w:spacing w:line="240" w:lineRule="auto"/>
        <w:rPr>
          <w:rFonts w:eastAsia="Times New Roman" w:cs="Arial"/>
          <w:sz w:val="28"/>
          <w:szCs w:val="28"/>
          <w:lang w:eastAsia="bg-BG"/>
        </w:rPr>
      </w:pPr>
      <w:r w:rsidRPr="00BF091A">
        <w:rPr>
          <w:rFonts w:eastAsia="Times New Roman" w:cs="Arial"/>
          <w:i/>
          <w:iCs/>
          <w:color w:val="000000"/>
          <w:lang w:eastAsia="bg-BG"/>
        </w:rPr>
        <w:t xml:space="preserve">Смъртност, установена при клинични проучвания при пациенти със съдова деменция </w:t>
      </w:r>
      <w:r w:rsidRPr="00BF091A">
        <w:rPr>
          <w:rFonts w:eastAsia="Times New Roman" w:cs="Arial"/>
          <w:color w:val="000000"/>
          <w:lang w:eastAsia="bg-BG"/>
        </w:rPr>
        <w:t xml:space="preserve">Проведени са три клинични проучвания с 6-месечна продължителност за изследване на пациенти, които покриват </w:t>
      </w:r>
      <w:r w:rsidRPr="00BF091A">
        <w:rPr>
          <w:rFonts w:eastAsia="Times New Roman" w:cs="Arial"/>
          <w:color w:val="000000"/>
          <w:lang w:val="en-US"/>
        </w:rPr>
        <w:t xml:space="preserve">NINDS-AIREN </w:t>
      </w:r>
      <w:r w:rsidRPr="00BF091A">
        <w:rPr>
          <w:rFonts w:eastAsia="Times New Roman" w:cs="Arial"/>
          <w:color w:val="000000"/>
          <w:lang w:eastAsia="bg-BG"/>
        </w:rPr>
        <w:t xml:space="preserve">критериите за възможна или вероятна съдова деменция (СД). </w:t>
      </w:r>
      <w:r w:rsidRPr="00BF091A">
        <w:rPr>
          <w:rFonts w:eastAsia="Times New Roman" w:cs="Arial"/>
          <w:color w:val="000000"/>
          <w:lang w:val="en-US"/>
        </w:rPr>
        <w:t xml:space="preserve">NINDS-AIREN </w:t>
      </w:r>
      <w:r w:rsidRPr="00BF091A">
        <w:rPr>
          <w:rFonts w:eastAsia="Times New Roman" w:cs="Arial"/>
          <w:color w:val="000000"/>
          <w:lang w:eastAsia="bg-BG"/>
        </w:rPr>
        <w:t xml:space="preserve">критериите са предназначени за отдиференциране на пациенти със съдова деменция от тези с болестта на Алцхаймер. В първото проучване установената смъртност е 2/198 (1,0%) след лечение с 5 </w:t>
      </w:r>
      <w:r w:rsidRPr="00BF091A">
        <w:rPr>
          <w:rFonts w:eastAsia="Times New Roman" w:cs="Arial"/>
          <w:color w:val="000000"/>
          <w:lang w:val="en-US"/>
        </w:rPr>
        <w:t xml:space="preserve">mg </w:t>
      </w:r>
      <w:r w:rsidRPr="00BF091A">
        <w:rPr>
          <w:rFonts w:eastAsia="Times New Roman" w:cs="Arial"/>
          <w:color w:val="000000"/>
          <w:lang w:eastAsia="bg-BG"/>
        </w:rPr>
        <w:t xml:space="preserve">донепезилов хидрохлорид, 5/206 (2,4%) при лечение с 10 </w:t>
      </w:r>
      <w:r w:rsidRPr="00BF091A">
        <w:rPr>
          <w:rFonts w:eastAsia="Times New Roman" w:cs="Arial"/>
          <w:color w:val="000000"/>
          <w:lang w:val="en-US"/>
        </w:rPr>
        <w:t xml:space="preserve">mg </w:t>
      </w:r>
      <w:r w:rsidRPr="00BF091A">
        <w:rPr>
          <w:rFonts w:eastAsia="Times New Roman" w:cs="Arial"/>
          <w:color w:val="000000"/>
          <w:lang w:eastAsia="bg-BG"/>
        </w:rPr>
        <w:t xml:space="preserve">донепезилов хидрохлорид и 7/199 (3,5%) при плацебо лечение. Във второто проучване, процента на смъртността е 4/208 (1,9%) след лечение с донепезилов хидрохлорид 5 </w:t>
      </w:r>
      <w:r w:rsidRPr="00BF091A">
        <w:rPr>
          <w:rFonts w:eastAsia="Times New Roman" w:cs="Arial"/>
          <w:color w:val="000000"/>
          <w:lang w:val="en-US"/>
        </w:rPr>
        <w:t xml:space="preserve">mg, </w:t>
      </w:r>
      <w:r w:rsidRPr="00BF091A">
        <w:rPr>
          <w:rFonts w:eastAsia="Times New Roman" w:cs="Arial"/>
          <w:color w:val="000000"/>
          <w:lang w:eastAsia="bg-BG"/>
        </w:rPr>
        <w:t xml:space="preserve">3/215 (1,4%) след лечение с донепезилов хидрохлорид 10 </w:t>
      </w:r>
      <w:r w:rsidRPr="00BF091A">
        <w:rPr>
          <w:rFonts w:eastAsia="Times New Roman" w:cs="Arial"/>
          <w:color w:val="000000"/>
          <w:lang w:val="en-US"/>
        </w:rPr>
        <w:t xml:space="preserve">mg </w:t>
      </w:r>
      <w:r w:rsidRPr="00BF091A">
        <w:rPr>
          <w:rFonts w:eastAsia="Times New Roman" w:cs="Arial"/>
          <w:color w:val="000000"/>
          <w:lang w:eastAsia="bg-BG"/>
        </w:rPr>
        <w:t xml:space="preserve">и 1/193 (0,5%) при плацебо лечение. В третото проучване, процентът на смъртността в групата на донепезиловия хидрохлорид 5 </w:t>
      </w:r>
      <w:r w:rsidRPr="00BF091A">
        <w:rPr>
          <w:rFonts w:eastAsia="Times New Roman" w:cs="Arial"/>
          <w:color w:val="000000"/>
          <w:lang w:val="en-US"/>
        </w:rPr>
        <w:t xml:space="preserve">mg </w:t>
      </w:r>
      <w:r w:rsidRPr="00BF091A">
        <w:rPr>
          <w:rFonts w:eastAsia="Times New Roman" w:cs="Arial"/>
          <w:color w:val="000000"/>
          <w:lang w:eastAsia="bg-BG"/>
        </w:rPr>
        <w:t>е 11/648 (1,7%) и 0/326 (0%) в плацебо групата. Процентът на смъртност в трите проучвания за СД обединени в групата на донепезилов хидрохлорид (1,7%) е числено по-висок, отколкото в групата на плацебо (1,1%), като разликата не е статистически значима. По-голямата част от смъртните случаи при пациентите, приемащи донепезилов хидрохлорид или плацебо, изглежда са вследствие на различни съдови причини, които могат да се очакват при популацията в старческа възраст, подлежащи съдови заболявания. Анализ на всички сериозни нефатални и фатални съдови събития не показва разлика в честотата на поява в групата на донепезилов хидрохлорид в сравнение с плацебо групата.</w:t>
      </w:r>
    </w:p>
    <w:p w14:paraId="15D5FF91" w14:textId="77777777"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lang w:eastAsia="bg-BG"/>
        </w:rPr>
        <w:t>В обобщени проучвания при пациенти само с болестта на Алцхаймер (</w:t>
      </w:r>
      <w:r w:rsidRPr="00BF091A">
        <w:rPr>
          <w:rFonts w:eastAsia="Times New Roman" w:cs="Arial"/>
          <w:color w:val="000000"/>
          <w:lang w:val="en-US"/>
        </w:rPr>
        <w:t xml:space="preserve">n= 4146), </w:t>
      </w:r>
      <w:r w:rsidRPr="00BF091A">
        <w:rPr>
          <w:rFonts w:eastAsia="Times New Roman" w:cs="Arial"/>
          <w:color w:val="000000"/>
          <w:lang w:eastAsia="bg-BG"/>
        </w:rPr>
        <w:t>и в проучвания, които обхващат пациенти с Алцхаймер и пациенти с деменция, включително</w:t>
      </w:r>
    </w:p>
    <w:p w14:paraId="5E082A93" w14:textId="118B6ACB" w:rsidR="00BF091A" w:rsidRPr="00BF091A" w:rsidRDefault="00BF091A" w:rsidP="00BF091A">
      <w:pPr>
        <w:rPr>
          <w:rFonts w:eastAsia="Times New Roman" w:cs="Arial"/>
          <w:color w:val="000000"/>
          <w:lang w:eastAsia="bg-BG"/>
        </w:rPr>
      </w:pPr>
      <w:r w:rsidRPr="00BF091A">
        <w:rPr>
          <w:rFonts w:eastAsia="Times New Roman" w:cs="Arial"/>
          <w:color w:val="000000"/>
          <w:lang w:eastAsia="bg-BG"/>
        </w:rPr>
        <w:t xml:space="preserve">съдова деменция (общо </w:t>
      </w:r>
      <w:r w:rsidRPr="00BF091A">
        <w:rPr>
          <w:rFonts w:eastAsia="Times New Roman" w:cs="Arial"/>
          <w:color w:val="000000"/>
          <w:lang w:val="en-US"/>
        </w:rPr>
        <w:t>n</w:t>
      </w:r>
      <w:r w:rsidRPr="00BF091A">
        <w:rPr>
          <w:rFonts w:eastAsia="Times New Roman" w:cs="Arial"/>
          <w:color w:val="000000"/>
          <w:lang w:eastAsia="bg-BG"/>
        </w:rPr>
        <w:t xml:space="preserve"> = 6888), процентът на смъртност в плацебо групата числено надвишава този в групите на донепезилов хидрохлорид.</w:t>
      </w:r>
    </w:p>
    <w:p w14:paraId="2C8CA75E" w14:textId="2AFD8EC7" w:rsidR="00BF091A" w:rsidRPr="00BF091A" w:rsidRDefault="00BF091A" w:rsidP="00BF091A">
      <w:pPr>
        <w:rPr>
          <w:rFonts w:eastAsia="Times New Roman" w:cs="Arial"/>
          <w:color w:val="000000"/>
          <w:lang w:eastAsia="bg-BG"/>
        </w:rPr>
      </w:pPr>
    </w:p>
    <w:p w14:paraId="21FF1D4E" w14:textId="77777777"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u w:val="single"/>
          <w:lang w:eastAsia="bg-BG"/>
        </w:rPr>
        <w:t>Помощни вещества</w:t>
      </w:r>
    </w:p>
    <w:p w14:paraId="531404CA" w14:textId="77777777" w:rsidR="00BF091A" w:rsidRPr="00BF091A" w:rsidRDefault="00BF091A" w:rsidP="00BF091A">
      <w:pPr>
        <w:spacing w:line="240" w:lineRule="auto"/>
        <w:rPr>
          <w:rFonts w:eastAsia="Times New Roman" w:cs="Arial"/>
          <w:sz w:val="28"/>
          <w:szCs w:val="28"/>
          <w:lang w:eastAsia="bg-BG"/>
        </w:rPr>
      </w:pPr>
      <w:r w:rsidRPr="00BF091A">
        <w:rPr>
          <w:rFonts w:eastAsia="Times New Roman" w:cs="Arial"/>
          <w:i/>
          <w:iCs/>
          <w:color w:val="000000"/>
          <w:lang w:eastAsia="bg-BG"/>
        </w:rPr>
        <w:t>Лактоза</w:t>
      </w:r>
    </w:p>
    <w:p w14:paraId="5C5B22A9" w14:textId="54FCADA7" w:rsidR="00BF091A" w:rsidRPr="00BF091A" w:rsidRDefault="00BF091A" w:rsidP="00BF091A">
      <w:pPr>
        <w:rPr>
          <w:rFonts w:eastAsia="Times New Roman" w:cs="Arial"/>
          <w:color w:val="000000"/>
          <w:lang w:eastAsia="bg-BG"/>
        </w:rPr>
      </w:pPr>
      <w:r w:rsidRPr="00BF091A">
        <w:rPr>
          <w:rFonts w:eastAsia="Times New Roman" w:cs="Arial"/>
          <w:color w:val="000000"/>
          <w:lang w:eastAsia="bg-BG"/>
        </w:rPr>
        <w:t>Пациенти с редки наследствени проблеми на непоносимост към галактоза, пълен лактазен дефицит или глюкозо-галактозна малабсорбция не трябва да приемат това лекарство.</w:t>
      </w:r>
    </w:p>
    <w:p w14:paraId="7C9EBB3A" w14:textId="77777777" w:rsidR="00BF091A" w:rsidRPr="00BF091A" w:rsidRDefault="00BF091A" w:rsidP="00BF091A">
      <w:pPr>
        <w:rPr>
          <w:lang w:val="en-US"/>
        </w:rPr>
      </w:pPr>
    </w:p>
    <w:p w14:paraId="1DA47448" w14:textId="72460E8F" w:rsidR="009F77A4" w:rsidRDefault="002C50EE" w:rsidP="00387A66">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04A98548" w14:textId="766ABC0C" w:rsidR="00BF091A" w:rsidRDefault="00BF091A" w:rsidP="00BF091A"/>
    <w:p w14:paraId="18219F63" w14:textId="77777777"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lang w:eastAsia="bg-BG"/>
        </w:rPr>
        <w:t>Донепезиловият хидрохлорид и/или някои от метаболитите му не инхибират метаболизма на теофилин, варфарин, циметидин или дигоксин при хора. Метаболизмът на донепезиловия хидрохлорид не се повлиява при едновременното приложение на дигоксин или циметидин.</w:t>
      </w:r>
    </w:p>
    <w:p w14:paraId="42FEADC4" w14:textId="77777777" w:rsidR="00BF091A" w:rsidRPr="00BF091A" w:rsidRDefault="00BF091A" w:rsidP="00BF091A">
      <w:pPr>
        <w:spacing w:line="240" w:lineRule="auto"/>
        <w:rPr>
          <w:rFonts w:eastAsia="Times New Roman" w:cs="Arial"/>
          <w:color w:val="000000"/>
          <w:lang w:eastAsia="bg-BG"/>
        </w:rPr>
      </w:pPr>
    </w:p>
    <w:p w14:paraId="5CEC501C" w14:textId="30A4F2AD"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lang w:eastAsia="bg-BG"/>
        </w:rPr>
        <w:lastRenderedPageBreak/>
        <w:t xml:space="preserve">Ин витро проучвания показват, че донепезил се метаболизира основно от цитохром Р450, изоензими ЗА4 и в по-малка степен от </w:t>
      </w:r>
      <w:r w:rsidRPr="00BF091A">
        <w:rPr>
          <w:rFonts w:eastAsia="Times New Roman" w:cs="Arial"/>
          <w:color w:val="000000"/>
          <w:lang w:val="en-US"/>
        </w:rPr>
        <w:t xml:space="preserve">2D6. </w:t>
      </w:r>
      <w:r w:rsidRPr="00BF091A">
        <w:rPr>
          <w:rFonts w:eastAsia="Times New Roman" w:cs="Arial"/>
          <w:color w:val="000000"/>
          <w:lang w:eastAsia="bg-BG"/>
        </w:rPr>
        <w:t xml:space="preserve">Проучвания за лекарствени взаимодействия, проведени ин витро показват, че кетоконазол и хинидин (инхибитори на </w:t>
      </w:r>
      <w:r w:rsidRPr="00BF091A">
        <w:rPr>
          <w:rFonts w:eastAsia="Times New Roman" w:cs="Arial"/>
          <w:color w:val="000000"/>
          <w:lang w:val="en-US"/>
        </w:rPr>
        <w:t xml:space="preserve">CYP3A4 </w:t>
      </w:r>
      <w:r w:rsidRPr="00BF091A">
        <w:rPr>
          <w:rFonts w:eastAsia="Times New Roman" w:cs="Arial"/>
          <w:color w:val="000000"/>
          <w:lang w:eastAsia="bg-BG"/>
        </w:rPr>
        <w:t xml:space="preserve">и </w:t>
      </w:r>
      <w:r w:rsidRPr="00BF091A">
        <w:rPr>
          <w:rFonts w:eastAsia="Times New Roman" w:cs="Arial"/>
          <w:color w:val="000000"/>
          <w:lang w:val="en-US"/>
        </w:rPr>
        <w:t xml:space="preserve">2D6 </w:t>
      </w:r>
      <w:r w:rsidRPr="00BF091A">
        <w:rPr>
          <w:rFonts w:eastAsia="Times New Roman" w:cs="Arial"/>
          <w:color w:val="000000"/>
          <w:lang w:eastAsia="bg-BG"/>
        </w:rPr>
        <w:t xml:space="preserve">съответно) потискат метаболизма на донепезил. Следователно тези и други </w:t>
      </w:r>
      <w:r w:rsidRPr="00BF091A">
        <w:rPr>
          <w:rFonts w:eastAsia="Times New Roman" w:cs="Arial"/>
          <w:color w:val="000000"/>
          <w:lang w:val="en-US"/>
        </w:rPr>
        <w:t>CYP3</w:t>
      </w:r>
      <w:r w:rsidRPr="00BF091A">
        <w:rPr>
          <w:rFonts w:eastAsia="Times New Roman" w:cs="Arial"/>
          <w:color w:val="000000"/>
          <w:lang w:eastAsia="bg-BG"/>
        </w:rPr>
        <w:t xml:space="preserve">А4 ихибитори като итраконазол и еритромицин и </w:t>
      </w:r>
      <w:r w:rsidRPr="00BF091A">
        <w:rPr>
          <w:rFonts w:eastAsia="Times New Roman" w:cs="Arial"/>
          <w:color w:val="000000"/>
          <w:lang w:val="en-US"/>
        </w:rPr>
        <w:t xml:space="preserve">CYP 2D6 </w:t>
      </w:r>
      <w:r w:rsidRPr="00BF091A">
        <w:rPr>
          <w:rFonts w:eastAsia="Times New Roman" w:cs="Arial"/>
          <w:color w:val="000000"/>
          <w:lang w:eastAsia="bg-BG"/>
        </w:rPr>
        <w:t>инхибитори, като флуоксетин могат да инхибират метаболизма на донепезил. В проучвания при здрави доброволци кетоконазол повишава концентрациите на донепезил средно с около 30%.</w:t>
      </w:r>
    </w:p>
    <w:p w14:paraId="6ED51553" w14:textId="77777777" w:rsidR="00BF091A" w:rsidRPr="00BF091A" w:rsidRDefault="00BF091A" w:rsidP="00BF091A">
      <w:pPr>
        <w:spacing w:line="240" w:lineRule="auto"/>
        <w:rPr>
          <w:rFonts w:eastAsia="Times New Roman" w:cs="Arial"/>
          <w:color w:val="000000"/>
          <w:lang w:eastAsia="bg-BG"/>
        </w:rPr>
      </w:pPr>
    </w:p>
    <w:p w14:paraId="70CA3662" w14:textId="3F5D06A7"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lang w:eastAsia="bg-BG"/>
        </w:rPr>
        <w:t>Ензимни индуктори, като рифампицин, фенитоин, карбамазепин и алкохол могат да намалят концентрациите на продукта. Тъй като степента на ихибиране или индукция не са известни тези лекарствени комбинации трябва да се използват с повишено внимание.</w:t>
      </w:r>
    </w:p>
    <w:p w14:paraId="1895433E" w14:textId="77777777"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lang w:eastAsia="bg-BG"/>
        </w:rPr>
        <w:t>Донепезил може да взаимодейства с антихолинергични лекарствени средства. Може да се наблюдава синергичност при едновременно лечение с продукти, които съдържат сукцинилхолин, други нервно-мускулни блокери или холинергични агонисти или бета-блокери, които имат ефект върху сърдечната проводимост.</w:t>
      </w:r>
    </w:p>
    <w:p w14:paraId="36D88F12" w14:textId="77777777" w:rsidR="00BF091A" w:rsidRPr="00BF091A" w:rsidRDefault="00BF091A" w:rsidP="00BF091A">
      <w:pPr>
        <w:spacing w:line="240" w:lineRule="auto"/>
        <w:rPr>
          <w:rFonts w:eastAsia="Times New Roman" w:cs="Arial"/>
          <w:color w:val="000000"/>
          <w:lang w:eastAsia="bg-BG"/>
        </w:rPr>
      </w:pPr>
    </w:p>
    <w:p w14:paraId="31415BE5" w14:textId="7F9FF720"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lang w:eastAsia="bg-BG"/>
        </w:rPr>
        <w:t xml:space="preserve">Съобщени са случаи на удължаване на </w:t>
      </w:r>
      <w:r w:rsidRPr="00BF091A">
        <w:rPr>
          <w:rFonts w:eastAsia="Times New Roman" w:cs="Arial"/>
          <w:color w:val="000000"/>
          <w:lang w:val="en-US"/>
        </w:rPr>
        <w:t xml:space="preserve">QTc </w:t>
      </w:r>
      <w:r w:rsidRPr="00BF091A">
        <w:rPr>
          <w:rFonts w:eastAsia="Times New Roman" w:cs="Arial"/>
          <w:color w:val="000000"/>
          <w:lang w:eastAsia="bg-BG"/>
        </w:rPr>
        <w:t xml:space="preserve">интервала и </w:t>
      </w:r>
      <w:r w:rsidRPr="00BF091A">
        <w:rPr>
          <w:rFonts w:eastAsia="Times New Roman" w:cs="Arial"/>
          <w:color w:val="000000"/>
          <w:lang w:val="en-US"/>
        </w:rPr>
        <w:t xml:space="preserve">torsade de pointes </w:t>
      </w:r>
      <w:r w:rsidRPr="00BF091A">
        <w:rPr>
          <w:rFonts w:eastAsia="Times New Roman" w:cs="Arial"/>
          <w:color w:val="000000"/>
          <w:lang w:eastAsia="bg-BG"/>
        </w:rPr>
        <w:t xml:space="preserve">при донепезил. Препоръчва се повишено внимание при употреба на донепезил в комбинация с други лекарствени продукти, за които е известно, че удължават </w:t>
      </w:r>
      <w:r w:rsidRPr="00BF091A">
        <w:rPr>
          <w:rFonts w:eastAsia="Times New Roman" w:cs="Arial"/>
          <w:color w:val="000000"/>
          <w:lang w:val="en-US"/>
        </w:rPr>
        <w:t xml:space="preserve">QTc </w:t>
      </w:r>
      <w:r w:rsidRPr="00BF091A">
        <w:rPr>
          <w:rFonts w:eastAsia="Times New Roman" w:cs="Arial"/>
          <w:color w:val="000000"/>
          <w:lang w:eastAsia="bg-BG"/>
        </w:rPr>
        <w:t>интервала, и може да се наложи клинично наблюдение (ЕКГ). Примерите включват:</w:t>
      </w:r>
    </w:p>
    <w:p w14:paraId="7C1058BA" w14:textId="77777777" w:rsidR="00BF091A" w:rsidRPr="00BF091A" w:rsidRDefault="00BF091A" w:rsidP="00BF091A">
      <w:pPr>
        <w:pStyle w:val="ListParagraph"/>
        <w:numPr>
          <w:ilvl w:val="0"/>
          <w:numId w:val="40"/>
        </w:numPr>
        <w:spacing w:line="240" w:lineRule="auto"/>
        <w:rPr>
          <w:rFonts w:eastAsia="Times New Roman" w:cs="Arial"/>
          <w:sz w:val="28"/>
          <w:szCs w:val="28"/>
          <w:lang w:eastAsia="bg-BG"/>
        </w:rPr>
      </w:pPr>
      <w:r w:rsidRPr="00BF091A">
        <w:rPr>
          <w:rFonts w:eastAsia="Times New Roman" w:cs="Arial"/>
          <w:color w:val="000000"/>
          <w:lang w:eastAsia="bg-BG"/>
        </w:rPr>
        <w:t xml:space="preserve">антиаритмични средства клас </w:t>
      </w:r>
      <w:r w:rsidRPr="00BF091A">
        <w:rPr>
          <w:rFonts w:eastAsia="Times New Roman" w:cs="Arial"/>
          <w:color w:val="000000"/>
          <w:lang w:val="en-US"/>
        </w:rPr>
        <w:t xml:space="preserve">IA </w:t>
      </w:r>
      <w:r w:rsidRPr="00BF091A">
        <w:rPr>
          <w:rFonts w:eastAsia="Times New Roman" w:cs="Arial"/>
          <w:color w:val="000000"/>
          <w:lang w:eastAsia="bg-BG"/>
        </w:rPr>
        <w:t>(напр. хинидин);</w:t>
      </w:r>
    </w:p>
    <w:p w14:paraId="09A10FBA" w14:textId="77777777" w:rsidR="00BF091A" w:rsidRPr="00BF091A" w:rsidRDefault="00BF091A" w:rsidP="00BF091A">
      <w:pPr>
        <w:pStyle w:val="ListParagraph"/>
        <w:numPr>
          <w:ilvl w:val="0"/>
          <w:numId w:val="40"/>
        </w:numPr>
        <w:spacing w:line="240" w:lineRule="auto"/>
        <w:rPr>
          <w:rFonts w:eastAsia="Times New Roman" w:cs="Arial"/>
          <w:sz w:val="28"/>
          <w:szCs w:val="28"/>
          <w:lang w:eastAsia="bg-BG"/>
        </w:rPr>
      </w:pPr>
      <w:r w:rsidRPr="00BF091A">
        <w:rPr>
          <w:rFonts w:eastAsia="Times New Roman" w:cs="Arial"/>
          <w:color w:val="000000"/>
          <w:lang w:eastAsia="bg-BG"/>
        </w:rPr>
        <w:t>антиаритмични средства клас III (напр. амиодарон, соталол);</w:t>
      </w:r>
    </w:p>
    <w:p w14:paraId="14997EC2" w14:textId="77777777" w:rsidR="00BF091A" w:rsidRPr="00BF091A" w:rsidRDefault="00BF091A" w:rsidP="00BF091A">
      <w:pPr>
        <w:pStyle w:val="ListParagraph"/>
        <w:numPr>
          <w:ilvl w:val="0"/>
          <w:numId w:val="40"/>
        </w:numPr>
        <w:spacing w:line="240" w:lineRule="auto"/>
        <w:rPr>
          <w:rFonts w:eastAsia="Times New Roman" w:cs="Arial"/>
          <w:sz w:val="28"/>
          <w:szCs w:val="28"/>
          <w:lang w:eastAsia="bg-BG"/>
        </w:rPr>
      </w:pPr>
      <w:r w:rsidRPr="00BF091A">
        <w:rPr>
          <w:rFonts w:eastAsia="Times New Roman" w:cs="Arial"/>
          <w:color w:val="000000"/>
          <w:lang w:eastAsia="bg-BG"/>
        </w:rPr>
        <w:t>някои антидепресанти (напр. циталопрам, есциталопрам, амитриптилин);</w:t>
      </w:r>
    </w:p>
    <w:p w14:paraId="70EB0827" w14:textId="77777777" w:rsidR="00BF091A" w:rsidRPr="00BF091A" w:rsidRDefault="00BF091A" w:rsidP="00BF091A">
      <w:pPr>
        <w:pStyle w:val="ListParagraph"/>
        <w:numPr>
          <w:ilvl w:val="0"/>
          <w:numId w:val="40"/>
        </w:numPr>
        <w:spacing w:line="240" w:lineRule="auto"/>
        <w:rPr>
          <w:rFonts w:eastAsia="Times New Roman" w:cs="Arial"/>
          <w:sz w:val="28"/>
          <w:szCs w:val="28"/>
          <w:lang w:eastAsia="bg-BG"/>
        </w:rPr>
      </w:pPr>
      <w:r w:rsidRPr="00BF091A">
        <w:rPr>
          <w:rFonts w:eastAsia="Times New Roman" w:cs="Arial"/>
          <w:color w:val="000000"/>
          <w:lang w:eastAsia="bg-BG"/>
        </w:rPr>
        <w:t>други антипсихотици (напр. фенотиазинови производни, сертиндол, пимозид, зипразидон);</w:t>
      </w:r>
    </w:p>
    <w:p w14:paraId="3C03B166" w14:textId="0FD4C735" w:rsidR="00BF091A" w:rsidRPr="00BF091A" w:rsidRDefault="00BF091A" w:rsidP="00BF091A">
      <w:pPr>
        <w:pStyle w:val="ListParagraph"/>
        <w:numPr>
          <w:ilvl w:val="0"/>
          <w:numId w:val="40"/>
        </w:numPr>
        <w:spacing w:line="240" w:lineRule="auto"/>
        <w:rPr>
          <w:rFonts w:eastAsia="Times New Roman" w:cs="Arial"/>
          <w:sz w:val="28"/>
          <w:szCs w:val="28"/>
          <w:lang w:eastAsia="bg-BG"/>
        </w:rPr>
      </w:pPr>
      <w:r w:rsidRPr="00BF091A">
        <w:rPr>
          <w:rFonts w:eastAsia="Times New Roman" w:cs="Arial"/>
          <w:color w:val="000000"/>
          <w:lang w:eastAsia="bg-BG"/>
        </w:rPr>
        <w:t>някои антибиотици (напр. кларитромицин, еритромицин, левофлоксацин, моксифлоксацин).</w:t>
      </w:r>
    </w:p>
    <w:p w14:paraId="77BD0E98" w14:textId="77777777" w:rsidR="00BF091A" w:rsidRPr="00BF091A" w:rsidRDefault="00BF091A" w:rsidP="00BF091A"/>
    <w:p w14:paraId="48846BBA" w14:textId="02959176" w:rsidR="009F77A4" w:rsidRDefault="002C50EE" w:rsidP="00387A66">
      <w:pPr>
        <w:pStyle w:val="Heading2"/>
      </w:pPr>
      <w:r>
        <w:t>4.6. Фертилитет, бременност и кърмене</w:t>
      </w:r>
    </w:p>
    <w:p w14:paraId="3EFA072D" w14:textId="18F222BE" w:rsidR="00BF091A" w:rsidRDefault="00BF091A" w:rsidP="00BF091A"/>
    <w:p w14:paraId="36A542BB" w14:textId="77777777" w:rsidR="00BF091A" w:rsidRPr="00BF091A" w:rsidRDefault="00BF091A" w:rsidP="00BF091A">
      <w:pPr>
        <w:pStyle w:val="Heading3"/>
        <w:rPr>
          <w:rFonts w:eastAsia="Times New Roman"/>
          <w:sz w:val="28"/>
          <w:szCs w:val="28"/>
          <w:u w:val="single"/>
          <w:lang w:eastAsia="bg-BG"/>
        </w:rPr>
      </w:pPr>
      <w:r w:rsidRPr="00BF091A">
        <w:rPr>
          <w:rFonts w:eastAsia="Times New Roman"/>
          <w:u w:val="single"/>
          <w:lang w:eastAsia="bg-BG"/>
        </w:rPr>
        <w:t>Бременност</w:t>
      </w:r>
    </w:p>
    <w:p w14:paraId="7CFDC29E" w14:textId="77777777"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lang w:eastAsia="bg-BG"/>
        </w:rPr>
        <w:t>Няма достатъчно данни от използването на донепезил при бременни жени.</w:t>
      </w:r>
    </w:p>
    <w:p w14:paraId="2E201A91" w14:textId="77777777"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lang w:eastAsia="bg-BG"/>
        </w:rPr>
        <w:t>Не е установен тератогенен потенциал при изследвания върху опитни животни, но се наблюдава пери- и постнатална токсичност (вж. точка 5.3). Потенциалният риск при хора е неизвестен. Донепезил не трябва да се използва по време на бременност, освен в случай на категорична необходимост.</w:t>
      </w:r>
    </w:p>
    <w:p w14:paraId="1D930D8A" w14:textId="77777777" w:rsidR="00BF091A" w:rsidRPr="00BF091A" w:rsidRDefault="00BF091A" w:rsidP="00BF091A">
      <w:pPr>
        <w:spacing w:line="240" w:lineRule="auto"/>
        <w:rPr>
          <w:rFonts w:eastAsia="Times New Roman" w:cs="Arial"/>
          <w:color w:val="000000"/>
          <w:u w:val="single"/>
          <w:lang w:eastAsia="bg-BG"/>
        </w:rPr>
      </w:pPr>
    </w:p>
    <w:p w14:paraId="20A7E732" w14:textId="69F6010C" w:rsidR="00BF091A" w:rsidRPr="00BF091A" w:rsidRDefault="00BF091A" w:rsidP="00BF091A">
      <w:pPr>
        <w:pStyle w:val="Heading3"/>
        <w:rPr>
          <w:rFonts w:eastAsia="Times New Roman"/>
          <w:sz w:val="28"/>
          <w:szCs w:val="28"/>
          <w:u w:val="single"/>
          <w:lang w:eastAsia="bg-BG"/>
        </w:rPr>
      </w:pPr>
      <w:r w:rsidRPr="00BF091A">
        <w:rPr>
          <w:rFonts w:eastAsia="Times New Roman"/>
          <w:u w:val="single"/>
          <w:lang w:eastAsia="bg-BG"/>
        </w:rPr>
        <w:t>Кърмене</w:t>
      </w:r>
    </w:p>
    <w:p w14:paraId="1C2B91E4" w14:textId="11CB417B" w:rsidR="00BF091A" w:rsidRDefault="00BF091A" w:rsidP="00BF091A">
      <w:pPr>
        <w:rPr>
          <w:rFonts w:eastAsia="Times New Roman" w:cs="Arial"/>
          <w:color w:val="000000"/>
          <w:lang w:eastAsia="bg-BG"/>
        </w:rPr>
      </w:pPr>
      <w:r w:rsidRPr="00BF091A">
        <w:rPr>
          <w:rFonts w:eastAsia="Times New Roman" w:cs="Arial"/>
          <w:color w:val="000000"/>
          <w:lang w:eastAsia="bg-BG"/>
        </w:rPr>
        <w:t>Донепезил се екскретира в кърмата при плъхове. Не е известно дали донепезил</w:t>
      </w:r>
      <w:r w:rsidRPr="00BF091A">
        <w:rPr>
          <w:rFonts w:eastAsia="Times New Roman" w:cs="Arial"/>
          <w:color w:val="000000"/>
          <w:lang w:val="en-US"/>
        </w:rPr>
        <w:t xml:space="preserve"> </w:t>
      </w:r>
      <w:r w:rsidRPr="00BF091A">
        <w:rPr>
          <w:rFonts w:eastAsia="Times New Roman" w:cs="Arial"/>
          <w:color w:val="000000"/>
          <w:lang w:eastAsia="bg-BG"/>
        </w:rPr>
        <w:t>хидрохлорид се секретира в майчиното мляко; няма проучвания при кърмачки, поради което жени, които</w:t>
      </w:r>
      <w:r w:rsidRPr="00BF091A">
        <w:rPr>
          <w:rFonts w:eastAsia="Times New Roman" w:cs="Arial"/>
          <w:i/>
          <w:iCs/>
          <w:color w:val="000000"/>
          <w:lang w:eastAsia="bg-BG"/>
        </w:rPr>
        <w:t xml:space="preserve"> </w:t>
      </w:r>
      <w:r w:rsidRPr="00BF091A">
        <w:rPr>
          <w:rFonts w:eastAsia="Times New Roman" w:cs="Arial"/>
          <w:color w:val="000000"/>
          <w:lang w:eastAsia="bg-BG"/>
        </w:rPr>
        <w:t>приемат донепезил не трябва да кърмят.</w:t>
      </w:r>
    </w:p>
    <w:p w14:paraId="3D9BD5CA" w14:textId="77777777" w:rsidR="00BF091A" w:rsidRPr="00BF091A" w:rsidRDefault="00BF091A" w:rsidP="00BF091A">
      <w:pPr>
        <w:rPr>
          <w:rFonts w:cs="Arial"/>
          <w:sz w:val="24"/>
          <w:szCs w:val="24"/>
        </w:rPr>
      </w:pPr>
    </w:p>
    <w:p w14:paraId="321AAB00" w14:textId="3199FBE5" w:rsidR="009F77A4" w:rsidRDefault="002C50EE" w:rsidP="00387A66">
      <w:pPr>
        <w:pStyle w:val="Heading2"/>
      </w:pPr>
      <w:r>
        <w:t>4.7. Ефекти върху способността за шофиране и работа с машини</w:t>
      </w:r>
    </w:p>
    <w:p w14:paraId="7B6143D9" w14:textId="5D74DCDB" w:rsidR="00BF091A" w:rsidRDefault="00BF091A" w:rsidP="00BF091A"/>
    <w:p w14:paraId="34E6D40C" w14:textId="36BE0450" w:rsidR="00BF091A" w:rsidRPr="00BF091A" w:rsidRDefault="00BF091A" w:rsidP="00BF091A">
      <w:pPr>
        <w:rPr>
          <w:rFonts w:cs="Arial"/>
        </w:rPr>
      </w:pPr>
      <w:r w:rsidRPr="00BF091A">
        <w:rPr>
          <w:rFonts w:cs="Arial"/>
        </w:rPr>
        <w:t>Донепезил има слабо или умерено влияние върху способността за шофиране и работа с машини.</w:t>
      </w:r>
    </w:p>
    <w:p w14:paraId="32B8316D" w14:textId="5F4CFD8F" w:rsidR="00BF091A" w:rsidRPr="00BF091A" w:rsidRDefault="00BF091A" w:rsidP="00BF091A">
      <w:pPr>
        <w:rPr>
          <w:rFonts w:cs="Arial"/>
        </w:rPr>
      </w:pPr>
    </w:p>
    <w:p w14:paraId="36B1E492" w14:textId="77777777" w:rsidR="00BF091A" w:rsidRPr="00BF091A" w:rsidRDefault="00BF091A" w:rsidP="00BF091A">
      <w:pPr>
        <w:spacing w:line="240" w:lineRule="auto"/>
        <w:rPr>
          <w:rFonts w:ascii="Times New Roman" w:eastAsia="Times New Roman" w:hAnsi="Times New Roman" w:cs="Times New Roman"/>
          <w:sz w:val="24"/>
          <w:szCs w:val="24"/>
          <w:lang w:eastAsia="bg-BG"/>
        </w:rPr>
      </w:pPr>
      <w:r w:rsidRPr="00BF091A">
        <w:rPr>
          <w:rFonts w:eastAsia="Times New Roman" w:cs="Arial"/>
          <w:color w:val="000000"/>
          <w:lang w:eastAsia="bg-BG"/>
        </w:rPr>
        <w:lastRenderedPageBreak/>
        <w:t>Деменцията на Алцхаймер може да наруши способността за шофиране или да компрометира способността за работа с машини. Освен това донепезил може да предизвика умора, световъртеж и мускулни крампи, предимно в началото на лечението или при повишаване на дозата. Лекуващият лекар трябва рутинно да оценява способността на пациентите с Алцхаймер да продължат да шофират или да работят с машини.</w:t>
      </w:r>
    </w:p>
    <w:p w14:paraId="02C1DB67" w14:textId="77777777" w:rsidR="00BF091A" w:rsidRPr="00BF091A" w:rsidRDefault="00BF091A" w:rsidP="00BF091A"/>
    <w:p w14:paraId="136C86B8" w14:textId="620AB484" w:rsidR="009F77A4" w:rsidRDefault="002C50EE" w:rsidP="00387A66">
      <w:pPr>
        <w:pStyle w:val="Heading2"/>
      </w:pPr>
      <w:r>
        <w:t>4.8. Нежелани лекарствени реакции</w:t>
      </w:r>
    </w:p>
    <w:p w14:paraId="4FBC0B57" w14:textId="7C0BDBD9" w:rsidR="00BF091A" w:rsidRDefault="00BF091A" w:rsidP="00BF091A"/>
    <w:p w14:paraId="5E1FB325" w14:textId="77777777"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lang w:eastAsia="bg-BG"/>
        </w:rPr>
        <w:t>Най-честите нежелани лекарствени реакции са: диария, мускулни крампи, умора, гадене, повръщане и безсъние.</w:t>
      </w:r>
    </w:p>
    <w:p w14:paraId="6DFE0C77" w14:textId="3B7B0A61" w:rsidR="00BF091A" w:rsidRDefault="00BF091A" w:rsidP="00BF091A">
      <w:pPr>
        <w:rPr>
          <w:rFonts w:eastAsia="Times New Roman" w:cs="Arial"/>
          <w:color w:val="000000"/>
          <w:lang w:eastAsia="bg-BG"/>
        </w:rPr>
      </w:pPr>
      <w:r w:rsidRPr="00BF091A">
        <w:rPr>
          <w:rFonts w:eastAsia="Times New Roman" w:cs="Arial"/>
          <w:color w:val="000000"/>
          <w:lang w:eastAsia="bg-BG"/>
        </w:rPr>
        <w:t>Нежеланите реакции, съобщавани по-често, отколкото в изолирани случаи са изброени по-долу по системо-органни класове и по честота. Честотата е дефинирана, като: много чести (≥1/10), чести (≥1/100 до &lt;1/10), нечести (≥1/1 000 до &lt;1/100), редки (≥1/10 000 до &lt;1/1 000), много редки (&lt;1/10 000) и с неизвестна честота (от наличните данни не може да бъде направена оценка).</w:t>
      </w:r>
    </w:p>
    <w:p w14:paraId="7A4A0748" w14:textId="05065729" w:rsidR="00BF091A" w:rsidRDefault="00BF091A" w:rsidP="00BF091A">
      <w:pPr>
        <w:rPr>
          <w:rFonts w:eastAsia="Times New Roman" w:cs="Arial"/>
          <w:color w:val="000000"/>
          <w:lang w:eastAsia="bg-BG"/>
        </w:rPr>
      </w:pPr>
    </w:p>
    <w:tbl>
      <w:tblPr>
        <w:tblStyle w:val="TableGrid"/>
        <w:tblW w:w="0" w:type="auto"/>
        <w:tblLook w:val="04A0" w:firstRow="1" w:lastRow="0" w:firstColumn="1" w:lastColumn="0" w:noHBand="0" w:noVBand="1"/>
      </w:tblPr>
      <w:tblGrid>
        <w:gridCol w:w="1587"/>
        <w:gridCol w:w="848"/>
        <w:gridCol w:w="1394"/>
        <w:gridCol w:w="1238"/>
        <w:gridCol w:w="1378"/>
        <w:gridCol w:w="1391"/>
        <w:gridCol w:w="1514"/>
      </w:tblGrid>
      <w:tr w:rsidR="00BF091A" w14:paraId="45AFF75B" w14:textId="77777777" w:rsidTr="00BF091A">
        <w:tc>
          <w:tcPr>
            <w:tcW w:w="1487" w:type="dxa"/>
            <w:vAlign w:val="bottom"/>
          </w:tcPr>
          <w:p w14:paraId="47D4FC00" w14:textId="2B93FA74" w:rsidR="00BF091A" w:rsidRPr="00BF091A" w:rsidRDefault="00BF091A" w:rsidP="00BF091A">
            <w:pPr>
              <w:rPr>
                <w:rFonts w:eastAsia="Times New Roman" w:cs="Arial"/>
                <w:color w:val="000000"/>
                <w:lang w:eastAsia="bg-BG"/>
              </w:rPr>
            </w:pPr>
            <w:r w:rsidRPr="00BF091A">
              <w:rPr>
                <w:rFonts w:cs="Arial"/>
                <w:b/>
                <w:bCs/>
              </w:rPr>
              <w:t>Системо- органни класове</w:t>
            </w:r>
          </w:p>
        </w:tc>
        <w:tc>
          <w:tcPr>
            <w:tcW w:w="880" w:type="dxa"/>
          </w:tcPr>
          <w:p w14:paraId="50D46457" w14:textId="66FC0D9A" w:rsidR="00BF091A" w:rsidRPr="00BF091A" w:rsidRDefault="00BF091A" w:rsidP="00BF091A">
            <w:pPr>
              <w:rPr>
                <w:rFonts w:eastAsia="Times New Roman" w:cs="Arial"/>
                <w:color w:val="000000"/>
                <w:lang w:eastAsia="bg-BG"/>
              </w:rPr>
            </w:pPr>
            <w:r w:rsidRPr="00BF091A">
              <w:rPr>
                <w:rFonts w:cs="Arial"/>
                <w:b/>
                <w:bCs/>
              </w:rPr>
              <w:t>Много чести</w:t>
            </w:r>
          </w:p>
        </w:tc>
        <w:tc>
          <w:tcPr>
            <w:tcW w:w="1453" w:type="dxa"/>
          </w:tcPr>
          <w:p w14:paraId="7F1A3D5C" w14:textId="6EA2C880" w:rsidR="00BF091A" w:rsidRPr="00BF091A" w:rsidRDefault="00BF091A" w:rsidP="00BF091A">
            <w:pPr>
              <w:rPr>
                <w:rFonts w:eastAsia="Times New Roman" w:cs="Arial"/>
                <w:color w:val="000000"/>
                <w:lang w:eastAsia="bg-BG"/>
              </w:rPr>
            </w:pPr>
            <w:r w:rsidRPr="00BF091A">
              <w:rPr>
                <w:rFonts w:cs="Arial"/>
                <w:b/>
                <w:bCs/>
              </w:rPr>
              <w:t>Чести</w:t>
            </w:r>
          </w:p>
        </w:tc>
        <w:tc>
          <w:tcPr>
            <w:tcW w:w="1290" w:type="dxa"/>
          </w:tcPr>
          <w:p w14:paraId="2CB0F7DF" w14:textId="75F2C47E" w:rsidR="00BF091A" w:rsidRPr="00BF091A" w:rsidRDefault="00BF091A" w:rsidP="00BF091A">
            <w:pPr>
              <w:rPr>
                <w:rFonts w:eastAsia="Times New Roman" w:cs="Arial"/>
                <w:color w:val="000000"/>
                <w:lang w:eastAsia="bg-BG"/>
              </w:rPr>
            </w:pPr>
            <w:r w:rsidRPr="00BF091A">
              <w:rPr>
                <w:rFonts w:cs="Arial"/>
                <w:b/>
                <w:bCs/>
              </w:rPr>
              <w:t>Нечестн</w:t>
            </w:r>
          </w:p>
        </w:tc>
        <w:tc>
          <w:tcPr>
            <w:tcW w:w="1437" w:type="dxa"/>
          </w:tcPr>
          <w:p w14:paraId="1C21ECD2" w14:textId="7D69087C" w:rsidR="00BF091A" w:rsidRPr="00BF091A" w:rsidRDefault="00BF091A" w:rsidP="00BF091A">
            <w:pPr>
              <w:rPr>
                <w:rFonts w:eastAsia="Times New Roman" w:cs="Arial"/>
                <w:color w:val="000000"/>
                <w:lang w:eastAsia="bg-BG"/>
              </w:rPr>
            </w:pPr>
            <w:r w:rsidRPr="00BF091A">
              <w:rPr>
                <w:rFonts w:cs="Arial"/>
                <w:b/>
                <w:bCs/>
              </w:rPr>
              <w:t>Редки</w:t>
            </w:r>
          </w:p>
        </w:tc>
        <w:tc>
          <w:tcPr>
            <w:tcW w:w="1450" w:type="dxa"/>
          </w:tcPr>
          <w:p w14:paraId="5C8700B7" w14:textId="417780D9" w:rsidR="00BF091A" w:rsidRPr="00BF091A" w:rsidRDefault="00BF091A" w:rsidP="00BF091A">
            <w:pPr>
              <w:rPr>
                <w:rFonts w:eastAsia="Times New Roman" w:cs="Arial"/>
                <w:color w:val="000000"/>
                <w:lang w:eastAsia="bg-BG"/>
              </w:rPr>
            </w:pPr>
            <w:r w:rsidRPr="00BF091A">
              <w:rPr>
                <w:rFonts w:cs="Arial"/>
                <w:b/>
                <w:bCs/>
              </w:rPr>
              <w:t>Много редки</w:t>
            </w:r>
          </w:p>
        </w:tc>
        <w:tc>
          <w:tcPr>
            <w:tcW w:w="1579" w:type="dxa"/>
          </w:tcPr>
          <w:p w14:paraId="423350CF" w14:textId="2096CBCB" w:rsidR="00BF091A" w:rsidRPr="00BF091A" w:rsidRDefault="00BF091A" w:rsidP="00BF091A">
            <w:pPr>
              <w:rPr>
                <w:rFonts w:eastAsia="Times New Roman" w:cs="Arial"/>
                <w:color w:val="000000"/>
                <w:lang w:eastAsia="bg-BG"/>
              </w:rPr>
            </w:pPr>
            <w:r w:rsidRPr="00BF091A">
              <w:rPr>
                <w:rFonts w:cs="Arial"/>
                <w:b/>
                <w:bCs/>
              </w:rPr>
              <w:t>С неизвестна честота</w:t>
            </w:r>
          </w:p>
        </w:tc>
      </w:tr>
      <w:tr w:rsidR="00BF091A" w14:paraId="14222D5A" w14:textId="77777777" w:rsidTr="00BF091A">
        <w:tc>
          <w:tcPr>
            <w:tcW w:w="1487" w:type="dxa"/>
            <w:vAlign w:val="bottom"/>
          </w:tcPr>
          <w:p w14:paraId="0AB135F4" w14:textId="5414DEBF" w:rsidR="00BF091A" w:rsidRPr="00BF091A" w:rsidRDefault="00BF091A" w:rsidP="00BF091A">
            <w:pPr>
              <w:rPr>
                <w:rFonts w:eastAsia="Times New Roman" w:cs="Arial"/>
                <w:color w:val="000000"/>
                <w:lang w:eastAsia="bg-BG"/>
              </w:rPr>
            </w:pPr>
            <w:r w:rsidRPr="00BF091A">
              <w:rPr>
                <w:rFonts w:cs="Arial"/>
                <w:b/>
                <w:bCs/>
              </w:rPr>
              <w:t>Инфекции и инфестации</w:t>
            </w:r>
          </w:p>
        </w:tc>
        <w:tc>
          <w:tcPr>
            <w:tcW w:w="880" w:type="dxa"/>
          </w:tcPr>
          <w:p w14:paraId="4B6F8797" w14:textId="77777777" w:rsidR="00BF091A" w:rsidRPr="00BF091A" w:rsidRDefault="00BF091A" w:rsidP="00BF091A">
            <w:pPr>
              <w:rPr>
                <w:rFonts w:eastAsia="Times New Roman" w:cs="Arial"/>
                <w:color w:val="000000"/>
                <w:lang w:eastAsia="bg-BG"/>
              </w:rPr>
            </w:pPr>
          </w:p>
        </w:tc>
        <w:tc>
          <w:tcPr>
            <w:tcW w:w="1453" w:type="dxa"/>
          </w:tcPr>
          <w:p w14:paraId="10B17D4E" w14:textId="3FB22179" w:rsidR="00BF091A" w:rsidRPr="00BF091A" w:rsidRDefault="00BF091A" w:rsidP="00BF091A">
            <w:pPr>
              <w:rPr>
                <w:rFonts w:eastAsia="Times New Roman" w:cs="Arial"/>
                <w:color w:val="000000"/>
                <w:lang w:eastAsia="bg-BG"/>
              </w:rPr>
            </w:pPr>
            <w:r w:rsidRPr="00BF091A">
              <w:rPr>
                <w:rFonts w:cs="Arial"/>
              </w:rPr>
              <w:t>Простуда</w:t>
            </w:r>
          </w:p>
        </w:tc>
        <w:tc>
          <w:tcPr>
            <w:tcW w:w="1290" w:type="dxa"/>
          </w:tcPr>
          <w:p w14:paraId="0420DDD3" w14:textId="77777777" w:rsidR="00BF091A" w:rsidRPr="00BF091A" w:rsidRDefault="00BF091A" w:rsidP="00BF091A">
            <w:pPr>
              <w:rPr>
                <w:rFonts w:eastAsia="Times New Roman" w:cs="Arial"/>
                <w:color w:val="000000"/>
                <w:lang w:eastAsia="bg-BG"/>
              </w:rPr>
            </w:pPr>
          </w:p>
        </w:tc>
        <w:tc>
          <w:tcPr>
            <w:tcW w:w="1437" w:type="dxa"/>
          </w:tcPr>
          <w:p w14:paraId="7BEA9BE0" w14:textId="77777777" w:rsidR="00BF091A" w:rsidRPr="00BF091A" w:rsidRDefault="00BF091A" w:rsidP="00BF091A">
            <w:pPr>
              <w:rPr>
                <w:rFonts w:eastAsia="Times New Roman" w:cs="Arial"/>
                <w:color w:val="000000"/>
                <w:lang w:eastAsia="bg-BG"/>
              </w:rPr>
            </w:pPr>
          </w:p>
        </w:tc>
        <w:tc>
          <w:tcPr>
            <w:tcW w:w="1450" w:type="dxa"/>
          </w:tcPr>
          <w:p w14:paraId="726AD15D" w14:textId="77777777" w:rsidR="00BF091A" w:rsidRPr="00BF091A" w:rsidRDefault="00BF091A" w:rsidP="00BF091A">
            <w:pPr>
              <w:rPr>
                <w:rFonts w:eastAsia="Times New Roman" w:cs="Arial"/>
                <w:color w:val="000000"/>
                <w:lang w:eastAsia="bg-BG"/>
              </w:rPr>
            </w:pPr>
          </w:p>
        </w:tc>
        <w:tc>
          <w:tcPr>
            <w:tcW w:w="1579" w:type="dxa"/>
          </w:tcPr>
          <w:p w14:paraId="06EED9B2" w14:textId="77777777" w:rsidR="00BF091A" w:rsidRPr="00BF091A" w:rsidRDefault="00BF091A" w:rsidP="00BF091A">
            <w:pPr>
              <w:rPr>
                <w:rFonts w:eastAsia="Times New Roman" w:cs="Arial"/>
                <w:color w:val="000000"/>
                <w:lang w:eastAsia="bg-BG"/>
              </w:rPr>
            </w:pPr>
          </w:p>
        </w:tc>
      </w:tr>
      <w:tr w:rsidR="00BF091A" w14:paraId="33324F5E" w14:textId="77777777" w:rsidTr="00BF091A">
        <w:tc>
          <w:tcPr>
            <w:tcW w:w="1487" w:type="dxa"/>
            <w:vAlign w:val="bottom"/>
          </w:tcPr>
          <w:p w14:paraId="7E328532" w14:textId="2FBB01DD" w:rsidR="00BF091A" w:rsidRPr="00BF091A" w:rsidRDefault="00BF091A" w:rsidP="00BF091A">
            <w:pPr>
              <w:rPr>
                <w:rFonts w:eastAsia="Times New Roman" w:cs="Arial"/>
                <w:color w:val="000000"/>
                <w:lang w:eastAsia="bg-BG"/>
              </w:rPr>
            </w:pPr>
            <w:r w:rsidRPr="00BF091A">
              <w:rPr>
                <w:rFonts w:cs="Arial"/>
                <w:b/>
                <w:bCs/>
              </w:rPr>
              <w:t>Нарушения на метаболизма и храненето</w:t>
            </w:r>
          </w:p>
        </w:tc>
        <w:tc>
          <w:tcPr>
            <w:tcW w:w="880" w:type="dxa"/>
          </w:tcPr>
          <w:p w14:paraId="732CD582" w14:textId="77777777" w:rsidR="00BF091A" w:rsidRPr="00BF091A" w:rsidRDefault="00BF091A" w:rsidP="00BF091A">
            <w:pPr>
              <w:rPr>
                <w:rFonts w:eastAsia="Times New Roman" w:cs="Arial"/>
                <w:color w:val="000000"/>
                <w:lang w:eastAsia="bg-BG"/>
              </w:rPr>
            </w:pPr>
          </w:p>
        </w:tc>
        <w:tc>
          <w:tcPr>
            <w:tcW w:w="1453" w:type="dxa"/>
          </w:tcPr>
          <w:p w14:paraId="1A07D04B" w14:textId="34434C22" w:rsidR="00BF091A" w:rsidRPr="00BF091A" w:rsidRDefault="00BF091A" w:rsidP="00BF091A">
            <w:pPr>
              <w:rPr>
                <w:rFonts w:eastAsia="Times New Roman" w:cs="Arial"/>
                <w:color w:val="000000"/>
                <w:lang w:eastAsia="bg-BG"/>
              </w:rPr>
            </w:pPr>
            <w:r w:rsidRPr="00BF091A">
              <w:rPr>
                <w:rFonts w:cs="Arial"/>
              </w:rPr>
              <w:t>Анорексия</w:t>
            </w:r>
          </w:p>
        </w:tc>
        <w:tc>
          <w:tcPr>
            <w:tcW w:w="1290" w:type="dxa"/>
          </w:tcPr>
          <w:p w14:paraId="38CE8EA9" w14:textId="77777777" w:rsidR="00BF091A" w:rsidRPr="00BF091A" w:rsidRDefault="00BF091A" w:rsidP="00BF091A">
            <w:pPr>
              <w:rPr>
                <w:rFonts w:eastAsia="Times New Roman" w:cs="Arial"/>
                <w:color w:val="000000"/>
                <w:lang w:eastAsia="bg-BG"/>
              </w:rPr>
            </w:pPr>
          </w:p>
        </w:tc>
        <w:tc>
          <w:tcPr>
            <w:tcW w:w="1437" w:type="dxa"/>
          </w:tcPr>
          <w:p w14:paraId="6743B2D2" w14:textId="77777777" w:rsidR="00BF091A" w:rsidRPr="00BF091A" w:rsidRDefault="00BF091A" w:rsidP="00BF091A">
            <w:pPr>
              <w:rPr>
                <w:rFonts w:eastAsia="Times New Roman" w:cs="Arial"/>
                <w:color w:val="000000"/>
                <w:lang w:eastAsia="bg-BG"/>
              </w:rPr>
            </w:pPr>
          </w:p>
        </w:tc>
        <w:tc>
          <w:tcPr>
            <w:tcW w:w="1450" w:type="dxa"/>
          </w:tcPr>
          <w:p w14:paraId="2B3022CB" w14:textId="77777777" w:rsidR="00BF091A" w:rsidRPr="00BF091A" w:rsidRDefault="00BF091A" w:rsidP="00BF091A">
            <w:pPr>
              <w:rPr>
                <w:rFonts w:eastAsia="Times New Roman" w:cs="Arial"/>
                <w:color w:val="000000"/>
                <w:lang w:eastAsia="bg-BG"/>
              </w:rPr>
            </w:pPr>
          </w:p>
        </w:tc>
        <w:tc>
          <w:tcPr>
            <w:tcW w:w="1579" w:type="dxa"/>
          </w:tcPr>
          <w:p w14:paraId="70B38CED" w14:textId="77777777" w:rsidR="00BF091A" w:rsidRPr="00BF091A" w:rsidRDefault="00BF091A" w:rsidP="00BF091A">
            <w:pPr>
              <w:rPr>
                <w:rFonts w:eastAsia="Times New Roman" w:cs="Arial"/>
                <w:color w:val="000000"/>
                <w:lang w:eastAsia="bg-BG"/>
              </w:rPr>
            </w:pPr>
          </w:p>
        </w:tc>
      </w:tr>
      <w:tr w:rsidR="00BF091A" w14:paraId="38CC1B77" w14:textId="77777777" w:rsidTr="00BF091A">
        <w:tc>
          <w:tcPr>
            <w:tcW w:w="1487" w:type="dxa"/>
          </w:tcPr>
          <w:p w14:paraId="2C1B98F3" w14:textId="14CC8DD2" w:rsidR="00BF091A" w:rsidRPr="00BF091A" w:rsidRDefault="00BF091A" w:rsidP="00BF091A">
            <w:pPr>
              <w:rPr>
                <w:rFonts w:eastAsia="Times New Roman" w:cs="Arial"/>
                <w:color w:val="000000"/>
                <w:lang w:eastAsia="bg-BG"/>
              </w:rPr>
            </w:pPr>
            <w:r w:rsidRPr="00BF091A">
              <w:rPr>
                <w:rFonts w:cs="Arial"/>
                <w:b/>
                <w:bCs/>
              </w:rPr>
              <w:t>Психични нарушения</w:t>
            </w:r>
          </w:p>
        </w:tc>
        <w:tc>
          <w:tcPr>
            <w:tcW w:w="880" w:type="dxa"/>
          </w:tcPr>
          <w:p w14:paraId="39C766EA" w14:textId="77777777" w:rsidR="00BF091A" w:rsidRPr="00BF091A" w:rsidRDefault="00BF091A" w:rsidP="00BF091A">
            <w:pPr>
              <w:rPr>
                <w:rFonts w:eastAsia="Times New Roman" w:cs="Arial"/>
                <w:color w:val="000000"/>
                <w:lang w:eastAsia="bg-BG"/>
              </w:rPr>
            </w:pPr>
          </w:p>
        </w:tc>
        <w:tc>
          <w:tcPr>
            <w:tcW w:w="1453" w:type="dxa"/>
            <w:vAlign w:val="bottom"/>
          </w:tcPr>
          <w:p w14:paraId="31C3E12C" w14:textId="06696020" w:rsidR="00BF091A" w:rsidRPr="00BF091A" w:rsidRDefault="00BF091A" w:rsidP="00BF091A">
            <w:pPr>
              <w:rPr>
                <w:rFonts w:eastAsia="Times New Roman" w:cs="Arial"/>
                <w:color w:val="000000"/>
                <w:lang w:eastAsia="bg-BG"/>
              </w:rPr>
            </w:pPr>
            <w:r w:rsidRPr="00BF091A">
              <w:rPr>
                <w:rFonts w:cs="Arial"/>
              </w:rPr>
              <w:t>Халюцина</w:t>
            </w:r>
            <w:r w:rsidRPr="00BF091A">
              <w:rPr>
                <w:rFonts w:cs="Arial"/>
              </w:rPr>
              <w:softHyphen/>
              <w:t>ции** Ажити- раност** Агресивно поведение** Необичайни сънища и кошмари**</w:t>
            </w:r>
          </w:p>
        </w:tc>
        <w:tc>
          <w:tcPr>
            <w:tcW w:w="1290" w:type="dxa"/>
          </w:tcPr>
          <w:p w14:paraId="42A2175F" w14:textId="77777777" w:rsidR="00BF091A" w:rsidRPr="00BF091A" w:rsidRDefault="00BF091A" w:rsidP="00BF091A">
            <w:pPr>
              <w:rPr>
                <w:rFonts w:eastAsia="Times New Roman" w:cs="Arial"/>
                <w:color w:val="000000"/>
                <w:lang w:eastAsia="bg-BG"/>
              </w:rPr>
            </w:pPr>
          </w:p>
        </w:tc>
        <w:tc>
          <w:tcPr>
            <w:tcW w:w="1437" w:type="dxa"/>
          </w:tcPr>
          <w:p w14:paraId="5F676ECD" w14:textId="77777777" w:rsidR="00BF091A" w:rsidRPr="00BF091A" w:rsidRDefault="00BF091A" w:rsidP="00BF091A">
            <w:pPr>
              <w:rPr>
                <w:rFonts w:eastAsia="Times New Roman" w:cs="Arial"/>
                <w:color w:val="000000"/>
                <w:lang w:eastAsia="bg-BG"/>
              </w:rPr>
            </w:pPr>
          </w:p>
        </w:tc>
        <w:tc>
          <w:tcPr>
            <w:tcW w:w="1450" w:type="dxa"/>
          </w:tcPr>
          <w:p w14:paraId="1E129FC4" w14:textId="77777777" w:rsidR="00BF091A" w:rsidRPr="00BF091A" w:rsidRDefault="00BF091A" w:rsidP="00BF091A">
            <w:pPr>
              <w:rPr>
                <w:rFonts w:eastAsia="Times New Roman" w:cs="Arial"/>
                <w:color w:val="000000"/>
                <w:lang w:eastAsia="bg-BG"/>
              </w:rPr>
            </w:pPr>
          </w:p>
        </w:tc>
        <w:tc>
          <w:tcPr>
            <w:tcW w:w="1579" w:type="dxa"/>
          </w:tcPr>
          <w:p w14:paraId="4B87EE41" w14:textId="13994CE5" w:rsidR="00BF091A" w:rsidRPr="00BF091A" w:rsidRDefault="00BF091A" w:rsidP="00BF091A">
            <w:pPr>
              <w:rPr>
                <w:rFonts w:eastAsia="Times New Roman" w:cs="Arial"/>
                <w:color w:val="000000"/>
                <w:lang w:eastAsia="bg-BG"/>
              </w:rPr>
            </w:pPr>
            <w:r w:rsidRPr="00BF091A">
              <w:rPr>
                <w:rFonts w:cs="Arial"/>
              </w:rPr>
              <w:t>Повишено либидо Свръх- сексуалност</w:t>
            </w:r>
          </w:p>
        </w:tc>
      </w:tr>
      <w:tr w:rsidR="00BF091A" w14:paraId="5D89CDF0" w14:textId="77777777" w:rsidTr="00BF091A">
        <w:tc>
          <w:tcPr>
            <w:tcW w:w="1487" w:type="dxa"/>
            <w:vAlign w:val="bottom"/>
          </w:tcPr>
          <w:p w14:paraId="094674A2" w14:textId="7B27B98A" w:rsidR="00BF091A" w:rsidRPr="00BF091A" w:rsidRDefault="00BF091A" w:rsidP="00BF091A">
            <w:pPr>
              <w:rPr>
                <w:rFonts w:eastAsia="Times New Roman" w:cs="Arial"/>
                <w:color w:val="000000"/>
                <w:lang w:eastAsia="bg-BG"/>
              </w:rPr>
            </w:pPr>
            <w:r w:rsidRPr="00BF091A">
              <w:rPr>
                <w:rFonts w:cs="Arial"/>
                <w:b/>
                <w:bCs/>
              </w:rPr>
              <w:t>Нарушения на нервната система</w:t>
            </w:r>
          </w:p>
        </w:tc>
        <w:tc>
          <w:tcPr>
            <w:tcW w:w="880" w:type="dxa"/>
          </w:tcPr>
          <w:p w14:paraId="6EF51A81" w14:textId="77777777" w:rsidR="00BF091A" w:rsidRPr="00BF091A" w:rsidRDefault="00BF091A" w:rsidP="00BF091A">
            <w:pPr>
              <w:rPr>
                <w:rFonts w:eastAsia="Times New Roman" w:cs="Arial"/>
                <w:color w:val="000000"/>
                <w:lang w:eastAsia="bg-BG"/>
              </w:rPr>
            </w:pPr>
          </w:p>
        </w:tc>
        <w:tc>
          <w:tcPr>
            <w:tcW w:w="1453" w:type="dxa"/>
            <w:vAlign w:val="bottom"/>
          </w:tcPr>
          <w:p w14:paraId="4C06B4C8" w14:textId="3E05E6DB" w:rsidR="00BF091A" w:rsidRPr="00BF091A" w:rsidRDefault="00BF091A" w:rsidP="00BF091A">
            <w:pPr>
              <w:rPr>
                <w:rFonts w:eastAsia="Times New Roman" w:cs="Arial"/>
                <w:color w:val="000000"/>
                <w:lang w:eastAsia="bg-BG"/>
              </w:rPr>
            </w:pPr>
            <w:r w:rsidRPr="00BF091A">
              <w:rPr>
                <w:rFonts w:cs="Arial"/>
              </w:rPr>
              <w:t>Синкоп* Световъртеж Инсомния</w:t>
            </w:r>
          </w:p>
        </w:tc>
        <w:tc>
          <w:tcPr>
            <w:tcW w:w="1290" w:type="dxa"/>
          </w:tcPr>
          <w:p w14:paraId="3852487B" w14:textId="037645FD" w:rsidR="00BF091A" w:rsidRPr="00BF091A" w:rsidRDefault="00BF091A" w:rsidP="00BF091A">
            <w:pPr>
              <w:rPr>
                <w:rFonts w:eastAsia="Times New Roman" w:cs="Arial"/>
                <w:color w:val="000000"/>
                <w:lang w:eastAsia="bg-BG"/>
              </w:rPr>
            </w:pPr>
            <w:r w:rsidRPr="00BF091A">
              <w:rPr>
                <w:rFonts w:cs="Arial"/>
              </w:rPr>
              <w:t>Гърчове*</w:t>
            </w:r>
          </w:p>
        </w:tc>
        <w:tc>
          <w:tcPr>
            <w:tcW w:w="1437" w:type="dxa"/>
            <w:vAlign w:val="bottom"/>
          </w:tcPr>
          <w:p w14:paraId="47B358C5" w14:textId="6B67B9FF" w:rsidR="00BF091A" w:rsidRPr="00BF091A" w:rsidRDefault="00BF091A" w:rsidP="00BF091A">
            <w:pPr>
              <w:rPr>
                <w:rFonts w:eastAsia="Times New Roman" w:cs="Arial"/>
                <w:color w:val="000000"/>
                <w:lang w:eastAsia="bg-BG"/>
              </w:rPr>
            </w:pPr>
            <w:r w:rsidRPr="00BF091A">
              <w:rPr>
                <w:rFonts w:cs="Arial"/>
              </w:rPr>
              <w:t>Ексграпира- мвдни симптоми</w:t>
            </w:r>
          </w:p>
        </w:tc>
        <w:tc>
          <w:tcPr>
            <w:tcW w:w="1450" w:type="dxa"/>
            <w:vAlign w:val="bottom"/>
          </w:tcPr>
          <w:p w14:paraId="46615F59" w14:textId="05576998" w:rsidR="00BF091A" w:rsidRPr="00BF091A" w:rsidRDefault="00BF091A" w:rsidP="00BF091A">
            <w:pPr>
              <w:rPr>
                <w:rFonts w:eastAsia="Times New Roman" w:cs="Arial"/>
                <w:color w:val="000000"/>
                <w:lang w:eastAsia="bg-BG"/>
              </w:rPr>
            </w:pPr>
            <w:r w:rsidRPr="00BF091A">
              <w:rPr>
                <w:rFonts w:cs="Arial"/>
              </w:rPr>
              <w:t>Злокачествен невролепти- чен синдром</w:t>
            </w:r>
          </w:p>
        </w:tc>
        <w:tc>
          <w:tcPr>
            <w:tcW w:w="1579" w:type="dxa"/>
            <w:vAlign w:val="bottom"/>
          </w:tcPr>
          <w:p w14:paraId="2093B4BF" w14:textId="057AACBC" w:rsidR="00BF091A" w:rsidRPr="00BF091A" w:rsidRDefault="00BF091A" w:rsidP="00BF091A">
            <w:pPr>
              <w:rPr>
                <w:rFonts w:eastAsia="Times New Roman" w:cs="Arial"/>
                <w:color w:val="000000"/>
                <w:lang w:eastAsia="bg-BG"/>
              </w:rPr>
            </w:pPr>
            <w:r w:rsidRPr="00BF091A">
              <w:rPr>
                <w:rFonts w:cs="Arial"/>
              </w:rPr>
              <w:t>Плеврототонус („Пиза“ синдром)</w:t>
            </w:r>
          </w:p>
        </w:tc>
      </w:tr>
      <w:tr w:rsidR="00BF091A" w14:paraId="198AB725" w14:textId="77777777" w:rsidTr="00BF091A">
        <w:tc>
          <w:tcPr>
            <w:tcW w:w="1487" w:type="dxa"/>
          </w:tcPr>
          <w:p w14:paraId="0AAE6621" w14:textId="4E416AD5" w:rsidR="00BF091A" w:rsidRPr="00BF091A" w:rsidRDefault="00BF091A" w:rsidP="00BF091A">
            <w:pPr>
              <w:rPr>
                <w:rFonts w:eastAsia="Times New Roman" w:cs="Arial"/>
                <w:color w:val="000000"/>
                <w:lang w:eastAsia="bg-BG"/>
              </w:rPr>
            </w:pPr>
            <w:r w:rsidRPr="00BF091A">
              <w:rPr>
                <w:rFonts w:cs="Arial"/>
                <w:b/>
                <w:bCs/>
              </w:rPr>
              <w:t>Сърдечни нарушения</w:t>
            </w:r>
          </w:p>
        </w:tc>
        <w:tc>
          <w:tcPr>
            <w:tcW w:w="880" w:type="dxa"/>
          </w:tcPr>
          <w:p w14:paraId="5F90AFB7" w14:textId="77777777" w:rsidR="00BF091A" w:rsidRPr="00BF091A" w:rsidRDefault="00BF091A" w:rsidP="00BF091A">
            <w:pPr>
              <w:rPr>
                <w:rFonts w:eastAsia="Times New Roman" w:cs="Arial"/>
                <w:color w:val="000000"/>
                <w:lang w:eastAsia="bg-BG"/>
              </w:rPr>
            </w:pPr>
          </w:p>
        </w:tc>
        <w:tc>
          <w:tcPr>
            <w:tcW w:w="1453" w:type="dxa"/>
          </w:tcPr>
          <w:p w14:paraId="4CB1F45E" w14:textId="77777777" w:rsidR="00BF091A" w:rsidRPr="00BF091A" w:rsidRDefault="00BF091A" w:rsidP="00BF091A">
            <w:pPr>
              <w:rPr>
                <w:rFonts w:eastAsia="Times New Roman" w:cs="Arial"/>
                <w:color w:val="000000"/>
                <w:lang w:eastAsia="bg-BG"/>
              </w:rPr>
            </w:pPr>
          </w:p>
        </w:tc>
        <w:tc>
          <w:tcPr>
            <w:tcW w:w="1290" w:type="dxa"/>
          </w:tcPr>
          <w:p w14:paraId="61F8A1C6" w14:textId="3EAC529C" w:rsidR="00BF091A" w:rsidRPr="00BF091A" w:rsidRDefault="00BF091A" w:rsidP="00BF091A">
            <w:pPr>
              <w:rPr>
                <w:rFonts w:eastAsia="Times New Roman" w:cs="Arial"/>
                <w:color w:val="000000"/>
                <w:lang w:eastAsia="bg-BG"/>
              </w:rPr>
            </w:pPr>
            <w:r w:rsidRPr="00BF091A">
              <w:rPr>
                <w:rFonts w:cs="Arial"/>
              </w:rPr>
              <w:t>Брадикар- дия</w:t>
            </w:r>
          </w:p>
        </w:tc>
        <w:tc>
          <w:tcPr>
            <w:tcW w:w="1437" w:type="dxa"/>
          </w:tcPr>
          <w:p w14:paraId="1A630ACA" w14:textId="73E9ED5B" w:rsidR="00BF091A" w:rsidRPr="00BF091A" w:rsidRDefault="00BF091A" w:rsidP="00BF091A">
            <w:pPr>
              <w:rPr>
                <w:rFonts w:eastAsia="Times New Roman" w:cs="Arial"/>
                <w:color w:val="000000"/>
                <w:lang w:eastAsia="bg-BG"/>
              </w:rPr>
            </w:pPr>
            <w:r w:rsidRPr="00BF091A">
              <w:rPr>
                <w:rFonts w:cs="Arial"/>
              </w:rPr>
              <w:t xml:space="preserve">Сшюатриа- лен блок Атриовентри- куларен </w:t>
            </w:r>
            <w:r w:rsidRPr="00BF091A">
              <w:rPr>
                <w:rFonts w:cs="Arial"/>
              </w:rPr>
              <w:lastRenderedPageBreak/>
              <w:t>блок</w:t>
            </w:r>
          </w:p>
        </w:tc>
        <w:tc>
          <w:tcPr>
            <w:tcW w:w="1450" w:type="dxa"/>
          </w:tcPr>
          <w:p w14:paraId="64A1A366" w14:textId="77777777" w:rsidR="00BF091A" w:rsidRPr="00BF091A" w:rsidRDefault="00BF091A" w:rsidP="00BF091A">
            <w:pPr>
              <w:rPr>
                <w:rFonts w:eastAsia="Times New Roman" w:cs="Arial"/>
                <w:color w:val="000000"/>
                <w:lang w:eastAsia="bg-BG"/>
              </w:rPr>
            </w:pPr>
          </w:p>
        </w:tc>
        <w:tc>
          <w:tcPr>
            <w:tcW w:w="1579" w:type="dxa"/>
            <w:vAlign w:val="bottom"/>
          </w:tcPr>
          <w:p w14:paraId="28066CDA" w14:textId="7043AF39" w:rsidR="00BF091A" w:rsidRPr="00BF091A" w:rsidRDefault="00BF091A" w:rsidP="00BF091A">
            <w:pPr>
              <w:rPr>
                <w:rFonts w:eastAsia="Times New Roman" w:cs="Arial"/>
                <w:color w:val="000000"/>
                <w:lang w:eastAsia="bg-BG"/>
              </w:rPr>
            </w:pPr>
            <w:r w:rsidRPr="00BF091A">
              <w:rPr>
                <w:rFonts w:cs="Arial"/>
              </w:rPr>
              <w:t xml:space="preserve">Полиморфна камерна тахикардия, включително </w:t>
            </w:r>
            <w:r w:rsidRPr="00BF091A">
              <w:rPr>
                <w:rFonts w:cs="Arial"/>
                <w:lang w:val="en-US"/>
              </w:rPr>
              <w:t xml:space="preserve">torsade de </w:t>
            </w:r>
            <w:r w:rsidRPr="00BF091A">
              <w:rPr>
                <w:rFonts w:cs="Arial"/>
                <w:lang w:val="en-US"/>
              </w:rPr>
              <w:lastRenderedPageBreak/>
              <w:t xml:space="preserve">pointes </w:t>
            </w:r>
            <w:r w:rsidRPr="00BF091A">
              <w:rPr>
                <w:rFonts w:cs="Arial"/>
              </w:rPr>
              <w:t xml:space="preserve">Удължен </w:t>
            </w:r>
            <w:r w:rsidRPr="00BF091A">
              <w:rPr>
                <w:rFonts w:cs="Arial"/>
                <w:lang w:val="en-US"/>
              </w:rPr>
              <w:t xml:space="preserve">QT </w:t>
            </w:r>
            <w:r w:rsidRPr="00BF091A">
              <w:rPr>
                <w:rFonts w:cs="Arial"/>
              </w:rPr>
              <w:t>интервал на електрокар- диограмата</w:t>
            </w:r>
          </w:p>
        </w:tc>
      </w:tr>
      <w:tr w:rsidR="00BF091A" w14:paraId="7CD4486A" w14:textId="77777777" w:rsidTr="00BF091A">
        <w:tc>
          <w:tcPr>
            <w:tcW w:w="1487" w:type="dxa"/>
          </w:tcPr>
          <w:p w14:paraId="79A0D902" w14:textId="6FA5FE96" w:rsidR="00BF091A" w:rsidRPr="00BF091A" w:rsidRDefault="00BF091A" w:rsidP="00BF091A">
            <w:pPr>
              <w:rPr>
                <w:rFonts w:eastAsia="Times New Roman" w:cs="Arial"/>
                <w:color w:val="000000"/>
                <w:lang w:eastAsia="bg-BG"/>
              </w:rPr>
            </w:pPr>
            <w:r w:rsidRPr="00BF091A">
              <w:rPr>
                <w:rFonts w:cs="Arial"/>
                <w:b/>
                <w:bCs/>
              </w:rPr>
              <w:lastRenderedPageBreak/>
              <w:t>Стомашно* чревни нарушения</w:t>
            </w:r>
          </w:p>
        </w:tc>
        <w:tc>
          <w:tcPr>
            <w:tcW w:w="880" w:type="dxa"/>
          </w:tcPr>
          <w:p w14:paraId="4E24BB73" w14:textId="77777777" w:rsidR="00BF091A" w:rsidRPr="00BF091A" w:rsidRDefault="00BF091A" w:rsidP="00BF091A">
            <w:pPr>
              <w:rPr>
                <w:rFonts w:cs="Arial"/>
              </w:rPr>
            </w:pPr>
            <w:r w:rsidRPr="00BF091A">
              <w:rPr>
                <w:rFonts w:cs="Arial"/>
              </w:rPr>
              <w:t>Диария</w:t>
            </w:r>
          </w:p>
          <w:p w14:paraId="2AB22860" w14:textId="72380776" w:rsidR="00BF091A" w:rsidRPr="00BF091A" w:rsidRDefault="00BF091A" w:rsidP="00BF091A">
            <w:pPr>
              <w:rPr>
                <w:rFonts w:eastAsia="Times New Roman" w:cs="Arial"/>
                <w:color w:val="000000"/>
                <w:lang w:eastAsia="bg-BG"/>
              </w:rPr>
            </w:pPr>
            <w:r w:rsidRPr="00BF091A">
              <w:rPr>
                <w:rFonts w:cs="Arial"/>
              </w:rPr>
              <w:t>Гадене</w:t>
            </w:r>
          </w:p>
        </w:tc>
        <w:tc>
          <w:tcPr>
            <w:tcW w:w="1453" w:type="dxa"/>
          </w:tcPr>
          <w:p w14:paraId="0FC3AE17" w14:textId="6A832E27" w:rsidR="00BF091A" w:rsidRPr="00BF091A" w:rsidRDefault="00BF091A" w:rsidP="00BF091A">
            <w:pPr>
              <w:rPr>
                <w:rFonts w:eastAsia="Times New Roman" w:cs="Arial"/>
                <w:color w:val="000000"/>
                <w:lang w:eastAsia="bg-BG"/>
              </w:rPr>
            </w:pPr>
            <w:r w:rsidRPr="00BF091A">
              <w:rPr>
                <w:rFonts w:cs="Arial"/>
              </w:rPr>
              <w:t>Повръщане Абдоминални смущения</w:t>
            </w:r>
          </w:p>
        </w:tc>
        <w:tc>
          <w:tcPr>
            <w:tcW w:w="1290" w:type="dxa"/>
            <w:vAlign w:val="bottom"/>
          </w:tcPr>
          <w:p w14:paraId="60FA5935" w14:textId="458E8AC6" w:rsidR="00BF091A" w:rsidRPr="00BF091A" w:rsidRDefault="00BF091A" w:rsidP="00BF091A">
            <w:pPr>
              <w:rPr>
                <w:rFonts w:eastAsia="Times New Roman" w:cs="Arial"/>
                <w:color w:val="000000"/>
                <w:lang w:eastAsia="bg-BG"/>
              </w:rPr>
            </w:pPr>
            <w:r w:rsidRPr="00BF091A">
              <w:rPr>
                <w:rFonts w:cs="Arial"/>
              </w:rPr>
              <w:t>Стомашно- чревен кръвоизлив Стомашна и дуоденална язва Хиперса- ливация</w:t>
            </w:r>
          </w:p>
        </w:tc>
        <w:tc>
          <w:tcPr>
            <w:tcW w:w="1437" w:type="dxa"/>
          </w:tcPr>
          <w:p w14:paraId="7F3D3093" w14:textId="77777777" w:rsidR="00BF091A" w:rsidRPr="00BF091A" w:rsidRDefault="00BF091A" w:rsidP="00BF091A">
            <w:pPr>
              <w:rPr>
                <w:rFonts w:eastAsia="Times New Roman" w:cs="Arial"/>
                <w:color w:val="000000"/>
                <w:lang w:eastAsia="bg-BG"/>
              </w:rPr>
            </w:pPr>
          </w:p>
        </w:tc>
        <w:tc>
          <w:tcPr>
            <w:tcW w:w="1450" w:type="dxa"/>
          </w:tcPr>
          <w:p w14:paraId="697D6DF0" w14:textId="77777777" w:rsidR="00BF091A" w:rsidRPr="00BF091A" w:rsidRDefault="00BF091A" w:rsidP="00BF091A">
            <w:pPr>
              <w:rPr>
                <w:rFonts w:eastAsia="Times New Roman" w:cs="Arial"/>
                <w:color w:val="000000"/>
                <w:lang w:eastAsia="bg-BG"/>
              </w:rPr>
            </w:pPr>
          </w:p>
        </w:tc>
        <w:tc>
          <w:tcPr>
            <w:tcW w:w="1579" w:type="dxa"/>
          </w:tcPr>
          <w:p w14:paraId="0BEF77D1" w14:textId="77777777" w:rsidR="00BF091A" w:rsidRPr="00BF091A" w:rsidRDefault="00BF091A" w:rsidP="00BF091A">
            <w:pPr>
              <w:rPr>
                <w:rFonts w:eastAsia="Times New Roman" w:cs="Arial"/>
                <w:color w:val="000000"/>
                <w:lang w:eastAsia="bg-BG"/>
              </w:rPr>
            </w:pPr>
          </w:p>
        </w:tc>
      </w:tr>
      <w:tr w:rsidR="00BF091A" w14:paraId="5501FC5F" w14:textId="77777777" w:rsidTr="00BF091A">
        <w:tc>
          <w:tcPr>
            <w:tcW w:w="1487" w:type="dxa"/>
          </w:tcPr>
          <w:p w14:paraId="76EB1340" w14:textId="086EAA65" w:rsidR="00BF091A" w:rsidRPr="00BF091A" w:rsidRDefault="00BF091A" w:rsidP="00BF091A">
            <w:pPr>
              <w:rPr>
                <w:rFonts w:eastAsia="Times New Roman" w:cs="Arial"/>
                <w:color w:val="000000"/>
                <w:lang w:eastAsia="bg-BG"/>
              </w:rPr>
            </w:pPr>
            <w:r w:rsidRPr="00BF091A">
              <w:rPr>
                <w:rFonts w:cs="Arial"/>
                <w:b/>
                <w:bCs/>
              </w:rPr>
              <w:t>Хепато- билиарни нарушения</w:t>
            </w:r>
          </w:p>
        </w:tc>
        <w:tc>
          <w:tcPr>
            <w:tcW w:w="880" w:type="dxa"/>
          </w:tcPr>
          <w:p w14:paraId="334E6B1F" w14:textId="77777777" w:rsidR="00BF091A" w:rsidRPr="00BF091A" w:rsidRDefault="00BF091A" w:rsidP="00BF091A">
            <w:pPr>
              <w:rPr>
                <w:rFonts w:eastAsia="Times New Roman" w:cs="Arial"/>
                <w:color w:val="000000"/>
                <w:lang w:eastAsia="bg-BG"/>
              </w:rPr>
            </w:pPr>
          </w:p>
        </w:tc>
        <w:tc>
          <w:tcPr>
            <w:tcW w:w="1453" w:type="dxa"/>
          </w:tcPr>
          <w:p w14:paraId="62705B40" w14:textId="77777777" w:rsidR="00BF091A" w:rsidRPr="00BF091A" w:rsidRDefault="00BF091A" w:rsidP="00BF091A">
            <w:pPr>
              <w:rPr>
                <w:rFonts w:eastAsia="Times New Roman" w:cs="Arial"/>
                <w:color w:val="000000"/>
                <w:lang w:eastAsia="bg-BG"/>
              </w:rPr>
            </w:pPr>
          </w:p>
        </w:tc>
        <w:tc>
          <w:tcPr>
            <w:tcW w:w="1290" w:type="dxa"/>
          </w:tcPr>
          <w:p w14:paraId="0B69A209" w14:textId="77777777" w:rsidR="00BF091A" w:rsidRPr="00BF091A" w:rsidRDefault="00BF091A" w:rsidP="00BF091A">
            <w:pPr>
              <w:rPr>
                <w:rFonts w:eastAsia="Times New Roman" w:cs="Arial"/>
                <w:color w:val="000000"/>
                <w:lang w:eastAsia="bg-BG"/>
              </w:rPr>
            </w:pPr>
          </w:p>
        </w:tc>
        <w:tc>
          <w:tcPr>
            <w:tcW w:w="1437" w:type="dxa"/>
            <w:vAlign w:val="bottom"/>
          </w:tcPr>
          <w:p w14:paraId="6E79E971" w14:textId="188B9DB7" w:rsidR="00BF091A" w:rsidRPr="00BF091A" w:rsidRDefault="00BF091A" w:rsidP="00BF091A">
            <w:pPr>
              <w:rPr>
                <w:rFonts w:eastAsia="Times New Roman" w:cs="Arial"/>
                <w:color w:val="000000"/>
                <w:lang w:eastAsia="bg-BG"/>
              </w:rPr>
            </w:pPr>
            <w:r w:rsidRPr="00BF091A">
              <w:rPr>
                <w:rFonts w:cs="Arial"/>
              </w:rPr>
              <w:t>Чернодробни увреждания, вкл. хепатит***</w:t>
            </w:r>
          </w:p>
        </w:tc>
        <w:tc>
          <w:tcPr>
            <w:tcW w:w="1450" w:type="dxa"/>
            <w:textDirection w:val="btLr"/>
          </w:tcPr>
          <w:p w14:paraId="55FD7A67" w14:textId="77777777" w:rsidR="00BF091A" w:rsidRPr="00BF091A" w:rsidRDefault="00BF091A" w:rsidP="00BF091A">
            <w:pPr>
              <w:rPr>
                <w:rFonts w:eastAsia="Times New Roman" w:cs="Arial"/>
                <w:color w:val="000000"/>
                <w:lang w:eastAsia="bg-BG"/>
              </w:rPr>
            </w:pPr>
          </w:p>
        </w:tc>
        <w:tc>
          <w:tcPr>
            <w:tcW w:w="1579" w:type="dxa"/>
          </w:tcPr>
          <w:p w14:paraId="784DA00D" w14:textId="77777777" w:rsidR="00BF091A" w:rsidRPr="00BF091A" w:rsidRDefault="00BF091A" w:rsidP="00BF091A">
            <w:pPr>
              <w:rPr>
                <w:rFonts w:eastAsia="Times New Roman" w:cs="Arial"/>
                <w:color w:val="000000"/>
                <w:lang w:eastAsia="bg-BG"/>
              </w:rPr>
            </w:pPr>
          </w:p>
        </w:tc>
      </w:tr>
      <w:tr w:rsidR="00BF091A" w14:paraId="5C9ACC2C" w14:textId="77777777" w:rsidTr="00BF091A">
        <w:trPr>
          <w:trHeight w:val="259"/>
        </w:trPr>
        <w:tc>
          <w:tcPr>
            <w:tcW w:w="1487" w:type="dxa"/>
          </w:tcPr>
          <w:p w14:paraId="483BA6D9" w14:textId="7C1A20FD" w:rsidR="00BF091A" w:rsidRPr="00BF091A" w:rsidRDefault="00BF091A" w:rsidP="00BF091A">
            <w:pPr>
              <w:rPr>
                <w:rFonts w:eastAsia="Times New Roman" w:cs="Arial"/>
                <w:color w:val="000000"/>
                <w:lang w:eastAsia="bg-BG"/>
              </w:rPr>
            </w:pPr>
            <w:r w:rsidRPr="00BF091A">
              <w:rPr>
                <w:b/>
                <w:bCs/>
              </w:rPr>
              <w:t>Нарушения на кожата и подкожната тъкан</w:t>
            </w:r>
          </w:p>
        </w:tc>
        <w:tc>
          <w:tcPr>
            <w:tcW w:w="880" w:type="dxa"/>
          </w:tcPr>
          <w:p w14:paraId="337CA09C" w14:textId="1170786F" w:rsidR="00BF091A" w:rsidRPr="00BF091A" w:rsidRDefault="00BF091A" w:rsidP="00BF091A">
            <w:pPr>
              <w:rPr>
                <w:rFonts w:eastAsia="Times New Roman" w:cs="Arial"/>
                <w:color w:val="000000"/>
                <w:lang w:eastAsia="bg-BG"/>
              </w:rPr>
            </w:pPr>
            <w:r w:rsidRPr="00BF091A">
              <w:rPr>
                <w:rFonts w:cs="Arial"/>
                <w:vertAlign w:val="superscript"/>
              </w:rPr>
              <w:t>1</w:t>
            </w:r>
          </w:p>
        </w:tc>
        <w:tc>
          <w:tcPr>
            <w:tcW w:w="1453" w:type="dxa"/>
          </w:tcPr>
          <w:p w14:paraId="4F2A48FA" w14:textId="22C8EACE" w:rsidR="00BF091A" w:rsidRPr="00BF091A" w:rsidRDefault="00BF091A" w:rsidP="00BF091A">
            <w:pPr>
              <w:rPr>
                <w:rFonts w:eastAsia="Times New Roman" w:cs="Arial"/>
                <w:color w:val="000000"/>
                <w:lang w:eastAsia="bg-BG"/>
              </w:rPr>
            </w:pPr>
            <w:r w:rsidRPr="00BF091A">
              <w:t>Обрив, Пруритус</w:t>
            </w:r>
          </w:p>
        </w:tc>
        <w:tc>
          <w:tcPr>
            <w:tcW w:w="1290" w:type="dxa"/>
          </w:tcPr>
          <w:p w14:paraId="243E8387" w14:textId="77777777" w:rsidR="00BF091A" w:rsidRPr="00BF091A" w:rsidRDefault="00BF091A" w:rsidP="00BF091A">
            <w:pPr>
              <w:rPr>
                <w:rFonts w:eastAsia="Times New Roman" w:cs="Arial"/>
                <w:color w:val="000000"/>
                <w:lang w:eastAsia="bg-BG"/>
              </w:rPr>
            </w:pPr>
          </w:p>
        </w:tc>
        <w:tc>
          <w:tcPr>
            <w:tcW w:w="1437" w:type="dxa"/>
          </w:tcPr>
          <w:p w14:paraId="0D488A51" w14:textId="77777777" w:rsidR="00BF091A" w:rsidRPr="00BF091A" w:rsidRDefault="00BF091A" w:rsidP="00BF091A">
            <w:pPr>
              <w:rPr>
                <w:rFonts w:eastAsia="Times New Roman" w:cs="Arial"/>
                <w:color w:val="000000"/>
                <w:lang w:eastAsia="bg-BG"/>
              </w:rPr>
            </w:pPr>
          </w:p>
        </w:tc>
        <w:tc>
          <w:tcPr>
            <w:tcW w:w="1450" w:type="dxa"/>
          </w:tcPr>
          <w:p w14:paraId="32EF08B6" w14:textId="77777777" w:rsidR="00BF091A" w:rsidRPr="00BF091A" w:rsidRDefault="00BF091A" w:rsidP="00BF091A">
            <w:pPr>
              <w:rPr>
                <w:rFonts w:eastAsia="Times New Roman" w:cs="Arial"/>
                <w:color w:val="000000"/>
                <w:lang w:eastAsia="bg-BG"/>
              </w:rPr>
            </w:pPr>
          </w:p>
        </w:tc>
        <w:tc>
          <w:tcPr>
            <w:tcW w:w="1579" w:type="dxa"/>
          </w:tcPr>
          <w:p w14:paraId="172E0C4E" w14:textId="77777777" w:rsidR="00BF091A" w:rsidRPr="00BF091A" w:rsidRDefault="00BF091A" w:rsidP="00BF091A">
            <w:pPr>
              <w:rPr>
                <w:rFonts w:eastAsia="Times New Roman" w:cs="Arial"/>
                <w:color w:val="000000"/>
                <w:lang w:eastAsia="bg-BG"/>
              </w:rPr>
            </w:pPr>
          </w:p>
        </w:tc>
      </w:tr>
      <w:tr w:rsidR="00BF091A" w14:paraId="506502E1" w14:textId="77777777" w:rsidTr="00BF091A">
        <w:tc>
          <w:tcPr>
            <w:tcW w:w="1487" w:type="dxa"/>
          </w:tcPr>
          <w:p w14:paraId="3997AAE5" w14:textId="10E4A852" w:rsidR="00BF091A" w:rsidRPr="00BF091A" w:rsidRDefault="00BF091A" w:rsidP="00BF091A">
            <w:pPr>
              <w:rPr>
                <w:rFonts w:eastAsia="Times New Roman" w:cs="Arial"/>
                <w:color w:val="000000"/>
                <w:lang w:eastAsia="bg-BG"/>
              </w:rPr>
            </w:pPr>
            <w:r w:rsidRPr="00BF091A">
              <w:rPr>
                <w:b/>
                <w:bCs/>
              </w:rPr>
              <w:t>Нарушения на мускуло- скелетната система и съединителна</w:t>
            </w:r>
            <w:r w:rsidRPr="00BF091A">
              <w:rPr>
                <w:b/>
                <w:bCs/>
              </w:rPr>
              <w:softHyphen/>
              <w:t>та тъкан</w:t>
            </w:r>
          </w:p>
        </w:tc>
        <w:tc>
          <w:tcPr>
            <w:tcW w:w="880" w:type="dxa"/>
          </w:tcPr>
          <w:p w14:paraId="0A83F726" w14:textId="77777777" w:rsidR="00BF091A" w:rsidRPr="00BF091A" w:rsidRDefault="00BF091A" w:rsidP="00BF091A">
            <w:pPr>
              <w:rPr>
                <w:rFonts w:eastAsia="Times New Roman" w:cs="Arial"/>
                <w:color w:val="000000"/>
                <w:lang w:eastAsia="bg-BG"/>
              </w:rPr>
            </w:pPr>
          </w:p>
        </w:tc>
        <w:tc>
          <w:tcPr>
            <w:tcW w:w="1453" w:type="dxa"/>
          </w:tcPr>
          <w:p w14:paraId="03AD2C20" w14:textId="2F1A1035" w:rsidR="00BF091A" w:rsidRPr="00BF091A" w:rsidRDefault="00BF091A" w:rsidP="00BF091A">
            <w:pPr>
              <w:rPr>
                <w:rFonts w:eastAsia="Times New Roman" w:cs="Arial"/>
                <w:color w:val="000000"/>
                <w:lang w:eastAsia="bg-BG"/>
              </w:rPr>
            </w:pPr>
            <w:r w:rsidRPr="00BF091A">
              <w:t>Мускулни крампи</w:t>
            </w:r>
          </w:p>
        </w:tc>
        <w:tc>
          <w:tcPr>
            <w:tcW w:w="1290" w:type="dxa"/>
          </w:tcPr>
          <w:p w14:paraId="25826766" w14:textId="77777777" w:rsidR="00BF091A" w:rsidRPr="00BF091A" w:rsidRDefault="00BF091A" w:rsidP="00BF091A">
            <w:pPr>
              <w:rPr>
                <w:rFonts w:eastAsia="Times New Roman" w:cs="Arial"/>
                <w:color w:val="000000"/>
                <w:lang w:eastAsia="bg-BG"/>
              </w:rPr>
            </w:pPr>
          </w:p>
        </w:tc>
        <w:tc>
          <w:tcPr>
            <w:tcW w:w="1437" w:type="dxa"/>
          </w:tcPr>
          <w:p w14:paraId="16C56822" w14:textId="77777777" w:rsidR="00BF091A" w:rsidRPr="00BF091A" w:rsidRDefault="00BF091A" w:rsidP="00BF091A">
            <w:pPr>
              <w:rPr>
                <w:rFonts w:eastAsia="Times New Roman" w:cs="Arial"/>
                <w:color w:val="000000"/>
                <w:lang w:eastAsia="bg-BG"/>
              </w:rPr>
            </w:pPr>
          </w:p>
        </w:tc>
        <w:tc>
          <w:tcPr>
            <w:tcW w:w="1450" w:type="dxa"/>
          </w:tcPr>
          <w:p w14:paraId="2E389D0B" w14:textId="15EC807F" w:rsidR="00BF091A" w:rsidRPr="00BF091A" w:rsidRDefault="00BF091A" w:rsidP="00BF091A">
            <w:pPr>
              <w:rPr>
                <w:rFonts w:eastAsia="Times New Roman" w:cs="Arial"/>
                <w:color w:val="000000"/>
                <w:lang w:eastAsia="bg-BG"/>
              </w:rPr>
            </w:pPr>
            <w:r w:rsidRPr="00BF091A">
              <w:t>Рабдомио- лиза****</w:t>
            </w:r>
          </w:p>
        </w:tc>
        <w:tc>
          <w:tcPr>
            <w:tcW w:w="1579" w:type="dxa"/>
          </w:tcPr>
          <w:p w14:paraId="4CED8DC8" w14:textId="77777777" w:rsidR="00BF091A" w:rsidRPr="00BF091A" w:rsidRDefault="00BF091A" w:rsidP="00BF091A">
            <w:pPr>
              <w:rPr>
                <w:rFonts w:eastAsia="Times New Roman" w:cs="Arial"/>
                <w:color w:val="000000"/>
                <w:lang w:eastAsia="bg-BG"/>
              </w:rPr>
            </w:pPr>
          </w:p>
        </w:tc>
      </w:tr>
      <w:tr w:rsidR="00BF091A" w14:paraId="2DB5EC8D" w14:textId="77777777" w:rsidTr="00BF091A">
        <w:tc>
          <w:tcPr>
            <w:tcW w:w="1487" w:type="dxa"/>
          </w:tcPr>
          <w:p w14:paraId="4E2C47AE" w14:textId="2D0A474E" w:rsidR="00BF091A" w:rsidRPr="00BF091A" w:rsidRDefault="00BF091A" w:rsidP="00BF091A">
            <w:pPr>
              <w:rPr>
                <w:rFonts w:eastAsia="Times New Roman" w:cs="Arial"/>
                <w:color w:val="000000"/>
                <w:lang w:eastAsia="bg-BG"/>
              </w:rPr>
            </w:pPr>
            <w:r w:rsidRPr="00BF091A">
              <w:rPr>
                <w:b/>
                <w:bCs/>
              </w:rPr>
              <w:t>Нарушения иа бъбреците и пикочните пътища</w:t>
            </w:r>
          </w:p>
        </w:tc>
        <w:tc>
          <w:tcPr>
            <w:tcW w:w="880" w:type="dxa"/>
          </w:tcPr>
          <w:p w14:paraId="13C6C52A" w14:textId="77777777" w:rsidR="00BF091A" w:rsidRPr="00BF091A" w:rsidRDefault="00BF091A" w:rsidP="00BF091A">
            <w:pPr>
              <w:rPr>
                <w:rFonts w:eastAsia="Times New Roman" w:cs="Arial"/>
                <w:color w:val="000000"/>
                <w:lang w:eastAsia="bg-BG"/>
              </w:rPr>
            </w:pPr>
          </w:p>
        </w:tc>
        <w:tc>
          <w:tcPr>
            <w:tcW w:w="1453" w:type="dxa"/>
          </w:tcPr>
          <w:p w14:paraId="4B86A5C3" w14:textId="7E5E3387" w:rsidR="00BF091A" w:rsidRPr="00BF091A" w:rsidRDefault="00BF091A" w:rsidP="00BF091A">
            <w:pPr>
              <w:rPr>
                <w:rFonts w:eastAsia="Times New Roman" w:cs="Arial"/>
                <w:color w:val="000000"/>
                <w:lang w:eastAsia="bg-BG"/>
              </w:rPr>
            </w:pPr>
            <w:r w:rsidRPr="00BF091A">
              <w:t>Инконти- ненция на урината</w:t>
            </w:r>
          </w:p>
        </w:tc>
        <w:tc>
          <w:tcPr>
            <w:tcW w:w="1290" w:type="dxa"/>
          </w:tcPr>
          <w:p w14:paraId="07920AF3" w14:textId="77777777" w:rsidR="00BF091A" w:rsidRPr="00BF091A" w:rsidRDefault="00BF091A" w:rsidP="00BF091A">
            <w:pPr>
              <w:rPr>
                <w:rFonts w:eastAsia="Times New Roman" w:cs="Arial"/>
                <w:color w:val="000000"/>
                <w:lang w:eastAsia="bg-BG"/>
              </w:rPr>
            </w:pPr>
          </w:p>
        </w:tc>
        <w:tc>
          <w:tcPr>
            <w:tcW w:w="1437" w:type="dxa"/>
          </w:tcPr>
          <w:p w14:paraId="08BACF58" w14:textId="77777777" w:rsidR="00BF091A" w:rsidRPr="00BF091A" w:rsidRDefault="00BF091A" w:rsidP="00BF091A">
            <w:pPr>
              <w:rPr>
                <w:rFonts w:eastAsia="Times New Roman" w:cs="Arial"/>
                <w:color w:val="000000"/>
                <w:lang w:eastAsia="bg-BG"/>
              </w:rPr>
            </w:pPr>
          </w:p>
        </w:tc>
        <w:tc>
          <w:tcPr>
            <w:tcW w:w="1450" w:type="dxa"/>
          </w:tcPr>
          <w:p w14:paraId="01B105E4" w14:textId="77777777" w:rsidR="00BF091A" w:rsidRPr="00BF091A" w:rsidRDefault="00BF091A" w:rsidP="00BF091A">
            <w:pPr>
              <w:rPr>
                <w:rFonts w:eastAsia="Times New Roman" w:cs="Arial"/>
                <w:color w:val="000000"/>
                <w:lang w:eastAsia="bg-BG"/>
              </w:rPr>
            </w:pPr>
          </w:p>
        </w:tc>
        <w:tc>
          <w:tcPr>
            <w:tcW w:w="1579" w:type="dxa"/>
          </w:tcPr>
          <w:p w14:paraId="7F3BA1AA" w14:textId="77777777" w:rsidR="00BF091A" w:rsidRPr="00BF091A" w:rsidRDefault="00BF091A" w:rsidP="00BF091A">
            <w:pPr>
              <w:rPr>
                <w:rFonts w:eastAsia="Times New Roman" w:cs="Arial"/>
                <w:color w:val="000000"/>
                <w:lang w:eastAsia="bg-BG"/>
              </w:rPr>
            </w:pPr>
          </w:p>
        </w:tc>
      </w:tr>
      <w:tr w:rsidR="00BF091A" w14:paraId="5E125571" w14:textId="77777777" w:rsidTr="00BF091A">
        <w:tc>
          <w:tcPr>
            <w:tcW w:w="1487" w:type="dxa"/>
          </w:tcPr>
          <w:p w14:paraId="37409618" w14:textId="7EEBCB15" w:rsidR="00BF091A" w:rsidRPr="00BF091A" w:rsidRDefault="00BF091A" w:rsidP="00BF091A">
            <w:pPr>
              <w:rPr>
                <w:rFonts w:eastAsia="Times New Roman" w:cs="Arial"/>
                <w:color w:val="000000"/>
                <w:lang w:eastAsia="bg-BG"/>
              </w:rPr>
            </w:pPr>
            <w:r w:rsidRPr="00BF091A">
              <w:rPr>
                <w:b/>
                <w:bCs/>
              </w:rPr>
              <w:t>Общи нарушения</w:t>
            </w:r>
          </w:p>
        </w:tc>
        <w:tc>
          <w:tcPr>
            <w:tcW w:w="880" w:type="dxa"/>
          </w:tcPr>
          <w:p w14:paraId="43CAEB63" w14:textId="36DAED60" w:rsidR="00BF091A" w:rsidRPr="00BF091A" w:rsidRDefault="00BF091A" w:rsidP="00BF091A">
            <w:pPr>
              <w:rPr>
                <w:rFonts w:eastAsia="Times New Roman" w:cs="Arial"/>
                <w:color w:val="000000"/>
                <w:lang w:eastAsia="bg-BG"/>
              </w:rPr>
            </w:pPr>
            <w:r w:rsidRPr="00BF091A">
              <w:t>Главо</w:t>
            </w:r>
            <w:r w:rsidRPr="00BF091A">
              <w:softHyphen/>
              <w:t>болие</w:t>
            </w:r>
          </w:p>
        </w:tc>
        <w:tc>
          <w:tcPr>
            <w:tcW w:w="1453" w:type="dxa"/>
          </w:tcPr>
          <w:p w14:paraId="5AB5188B" w14:textId="07D14263" w:rsidR="00BF091A" w:rsidRPr="00BF091A" w:rsidRDefault="00BF091A" w:rsidP="00BF091A">
            <w:pPr>
              <w:rPr>
                <w:rFonts w:eastAsia="Times New Roman" w:cs="Arial"/>
                <w:color w:val="000000"/>
                <w:lang w:eastAsia="bg-BG"/>
              </w:rPr>
            </w:pPr>
            <w:r w:rsidRPr="00BF091A">
              <w:t>Умора Болка</w:t>
            </w:r>
          </w:p>
        </w:tc>
        <w:tc>
          <w:tcPr>
            <w:tcW w:w="1290" w:type="dxa"/>
          </w:tcPr>
          <w:p w14:paraId="707B75B1" w14:textId="77777777" w:rsidR="00BF091A" w:rsidRPr="00BF091A" w:rsidRDefault="00BF091A" w:rsidP="00BF091A">
            <w:pPr>
              <w:rPr>
                <w:rFonts w:eastAsia="Times New Roman" w:cs="Arial"/>
                <w:color w:val="000000"/>
                <w:lang w:eastAsia="bg-BG"/>
              </w:rPr>
            </w:pPr>
          </w:p>
        </w:tc>
        <w:tc>
          <w:tcPr>
            <w:tcW w:w="1437" w:type="dxa"/>
          </w:tcPr>
          <w:p w14:paraId="4B5F0867" w14:textId="77777777" w:rsidR="00BF091A" w:rsidRPr="00BF091A" w:rsidRDefault="00BF091A" w:rsidP="00BF091A">
            <w:pPr>
              <w:rPr>
                <w:rFonts w:eastAsia="Times New Roman" w:cs="Arial"/>
                <w:color w:val="000000"/>
                <w:lang w:eastAsia="bg-BG"/>
              </w:rPr>
            </w:pPr>
          </w:p>
        </w:tc>
        <w:tc>
          <w:tcPr>
            <w:tcW w:w="1450" w:type="dxa"/>
          </w:tcPr>
          <w:p w14:paraId="17D23010" w14:textId="77777777" w:rsidR="00BF091A" w:rsidRPr="00BF091A" w:rsidRDefault="00BF091A" w:rsidP="00BF091A">
            <w:pPr>
              <w:rPr>
                <w:rFonts w:eastAsia="Times New Roman" w:cs="Arial"/>
                <w:color w:val="000000"/>
                <w:lang w:eastAsia="bg-BG"/>
              </w:rPr>
            </w:pPr>
          </w:p>
        </w:tc>
        <w:tc>
          <w:tcPr>
            <w:tcW w:w="1579" w:type="dxa"/>
          </w:tcPr>
          <w:p w14:paraId="758A84B7" w14:textId="77777777" w:rsidR="00BF091A" w:rsidRPr="00BF091A" w:rsidRDefault="00BF091A" w:rsidP="00BF091A">
            <w:pPr>
              <w:rPr>
                <w:rFonts w:eastAsia="Times New Roman" w:cs="Arial"/>
                <w:color w:val="000000"/>
                <w:lang w:eastAsia="bg-BG"/>
              </w:rPr>
            </w:pPr>
          </w:p>
        </w:tc>
      </w:tr>
      <w:tr w:rsidR="00BF091A" w14:paraId="6ADF68FB" w14:textId="77777777" w:rsidTr="00BF091A">
        <w:tc>
          <w:tcPr>
            <w:tcW w:w="1487" w:type="dxa"/>
          </w:tcPr>
          <w:p w14:paraId="0064BEB9" w14:textId="01EC8086" w:rsidR="00BF091A" w:rsidRPr="00BF091A" w:rsidRDefault="00BF091A" w:rsidP="00BF091A">
            <w:pPr>
              <w:rPr>
                <w:rFonts w:eastAsia="Times New Roman" w:cs="Arial"/>
                <w:color w:val="000000"/>
                <w:lang w:eastAsia="bg-BG"/>
              </w:rPr>
            </w:pPr>
            <w:r w:rsidRPr="00BF091A">
              <w:rPr>
                <w:b/>
                <w:bCs/>
              </w:rPr>
              <w:t>Изследвания</w:t>
            </w:r>
          </w:p>
        </w:tc>
        <w:tc>
          <w:tcPr>
            <w:tcW w:w="880" w:type="dxa"/>
          </w:tcPr>
          <w:p w14:paraId="33F57D8C" w14:textId="77777777" w:rsidR="00BF091A" w:rsidRPr="00BF091A" w:rsidRDefault="00BF091A" w:rsidP="00BF091A">
            <w:pPr>
              <w:rPr>
                <w:rFonts w:eastAsia="Times New Roman" w:cs="Arial"/>
                <w:color w:val="000000"/>
                <w:lang w:eastAsia="bg-BG"/>
              </w:rPr>
            </w:pPr>
          </w:p>
        </w:tc>
        <w:tc>
          <w:tcPr>
            <w:tcW w:w="1453" w:type="dxa"/>
          </w:tcPr>
          <w:p w14:paraId="6BDE427E" w14:textId="77777777" w:rsidR="00BF091A" w:rsidRPr="00BF091A" w:rsidRDefault="00BF091A" w:rsidP="00BF091A">
            <w:pPr>
              <w:rPr>
                <w:rFonts w:eastAsia="Times New Roman" w:cs="Arial"/>
                <w:color w:val="000000"/>
                <w:lang w:eastAsia="bg-BG"/>
              </w:rPr>
            </w:pPr>
          </w:p>
        </w:tc>
        <w:tc>
          <w:tcPr>
            <w:tcW w:w="1290" w:type="dxa"/>
          </w:tcPr>
          <w:p w14:paraId="48A9D3CF" w14:textId="690B3CC4" w:rsidR="00BF091A" w:rsidRPr="00BF091A" w:rsidRDefault="00BF091A" w:rsidP="00BF091A">
            <w:pPr>
              <w:rPr>
                <w:rFonts w:eastAsia="Times New Roman" w:cs="Arial"/>
                <w:color w:val="000000"/>
                <w:lang w:eastAsia="bg-BG"/>
              </w:rPr>
            </w:pPr>
            <w:r w:rsidRPr="00BF091A">
              <w:t>Минимал</w:t>
            </w:r>
            <w:r w:rsidRPr="00BF091A">
              <w:softHyphen/>
              <w:t>но повише</w:t>
            </w:r>
            <w:r w:rsidRPr="00BF091A">
              <w:softHyphen/>
              <w:t>ние на серумните концентра</w:t>
            </w:r>
            <w:r w:rsidRPr="00BF091A">
              <w:softHyphen/>
              <w:t xml:space="preserve">ции на мускулната </w:t>
            </w:r>
            <w:r w:rsidRPr="00BF091A">
              <w:lastRenderedPageBreak/>
              <w:t>креатин- киназа</w:t>
            </w:r>
          </w:p>
        </w:tc>
        <w:tc>
          <w:tcPr>
            <w:tcW w:w="1437" w:type="dxa"/>
          </w:tcPr>
          <w:p w14:paraId="362F85BD" w14:textId="77777777" w:rsidR="00BF091A" w:rsidRPr="00BF091A" w:rsidRDefault="00BF091A" w:rsidP="00BF091A">
            <w:pPr>
              <w:rPr>
                <w:rFonts w:eastAsia="Times New Roman" w:cs="Arial"/>
                <w:color w:val="000000"/>
                <w:lang w:eastAsia="bg-BG"/>
              </w:rPr>
            </w:pPr>
          </w:p>
        </w:tc>
        <w:tc>
          <w:tcPr>
            <w:tcW w:w="1450" w:type="dxa"/>
          </w:tcPr>
          <w:p w14:paraId="582A7FD2" w14:textId="77777777" w:rsidR="00BF091A" w:rsidRPr="00BF091A" w:rsidRDefault="00BF091A" w:rsidP="00BF091A">
            <w:pPr>
              <w:rPr>
                <w:rFonts w:eastAsia="Times New Roman" w:cs="Arial"/>
                <w:color w:val="000000"/>
                <w:lang w:eastAsia="bg-BG"/>
              </w:rPr>
            </w:pPr>
          </w:p>
        </w:tc>
        <w:tc>
          <w:tcPr>
            <w:tcW w:w="1579" w:type="dxa"/>
          </w:tcPr>
          <w:p w14:paraId="71768529" w14:textId="77777777" w:rsidR="00BF091A" w:rsidRPr="00BF091A" w:rsidRDefault="00BF091A" w:rsidP="00BF091A">
            <w:pPr>
              <w:rPr>
                <w:rFonts w:eastAsia="Times New Roman" w:cs="Arial"/>
                <w:color w:val="000000"/>
                <w:lang w:eastAsia="bg-BG"/>
              </w:rPr>
            </w:pPr>
          </w:p>
        </w:tc>
      </w:tr>
      <w:tr w:rsidR="00BF091A" w14:paraId="26BF7A6C" w14:textId="77777777" w:rsidTr="00BF091A">
        <w:tc>
          <w:tcPr>
            <w:tcW w:w="1487" w:type="dxa"/>
          </w:tcPr>
          <w:p w14:paraId="17CB6564" w14:textId="6F270BDC" w:rsidR="00BF091A" w:rsidRPr="00BF091A" w:rsidRDefault="00BF091A" w:rsidP="00BF091A">
            <w:pPr>
              <w:rPr>
                <w:rFonts w:eastAsia="Times New Roman" w:cs="Arial"/>
                <w:color w:val="000000"/>
                <w:lang w:eastAsia="bg-BG"/>
              </w:rPr>
            </w:pPr>
            <w:r w:rsidRPr="00BF091A">
              <w:rPr>
                <w:b/>
                <w:bCs/>
              </w:rPr>
              <w:t>Наранявания, отравяния, възникнали в резултат на интервенции</w:t>
            </w:r>
          </w:p>
        </w:tc>
        <w:tc>
          <w:tcPr>
            <w:tcW w:w="880" w:type="dxa"/>
          </w:tcPr>
          <w:p w14:paraId="70FD58B5" w14:textId="77777777" w:rsidR="00BF091A" w:rsidRPr="00BF091A" w:rsidRDefault="00BF091A" w:rsidP="00BF091A">
            <w:pPr>
              <w:rPr>
                <w:rFonts w:eastAsia="Times New Roman" w:cs="Arial"/>
                <w:color w:val="000000"/>
                <w:lang w:eastAsia="bg-BG"/>
              </w:rPr>
            </w:pPr>
          </w:p>
        </w:tc>
        <w:tc>
          <w:tcPr>
            <w:tcW w:w="1453" w:type="dxa"/>
          </w:tcPr>
          <w:p w14:paraId="42411E7A" w14:textId="47FEF3E7" w:rsidR="00BF091A" w:rsidRPr="00BF091A" w:rsidRDefault="00BF091A" w:rsidP="00BF091A">
            <w:pPr>
              <w:rPr>
                <w:rFonts w:eastAsia="Times New Roman" w:cs="Arial"/>
                <w:color w:val="000000"/>
                <w:lang w:eastAsia="bg-BG"/>
              </w:rPr>
            </w:pPr>
            <w:r w:rsidRPr="00BF091A">
              <w:t>Злополуки, включително падания</w:t>
            </w:r>
          </w:p>
        </w:tc>
        <w:tc>
          <w:tcPr>
            <w:tcW w:w="1290" w:type="dxa"/>
          </w:tcPr>
          <w:p w14:paraId="573AF893" w14:textId="77777777" w:rsidR="00BF091A" w:rsidRPr="00BF091A" w:rsidRDefault="00BF091A" w:rsidP="00BF091A">
            <w:pPr>
              <w:rPr>
                <w:rFonts w:eastAsia="Times New Roman" w:cs="Arial"/>
                <w:color w:val="000000"/>
                <w:lang w:eastAsia="bg-BG"/>
              </w:rPr>
            </w:pPr>
          </w:p>
        </w:tc>
        <w:tc>
          <w:tcPr>
            <w:tcW w:w="1437" w:type="dxa"/>
          </w:tcPr>
          <w:p w14:paraId="0C5EF978" w14:textId="77777777" w:rsidR="00BF091A" w:rsidRPr="00BF091A" w:rsidRDefault="00BF091A" w:rsidP="00BF091A">
            <w:pPr>
              <w:rPr>
                <w:rFonts w:eastAsia="Times New Roman" w:cs="Arial"/>
                <w:color w:val="000000"/>
                <w:lang w:eastAsia="bg-BG"/>
              </w:rPr>
            </w:pPr>
          </w:p>
        </w:tc>
        <w:tc>
          <w:tcPr>
            <w:tcW w:w="1450" w:type="dxa"/>
          </w:tcPr>
          <w:p w14:paraId="329530CF" w14:textId="77777777" w:rsidR="00BF091A" w:rsidRPr="00BF091A" w:rsidRDefault="00BF091A" w:rsidP="00BF091A">
            <w:pPr>
              <w:rPr>
                <w:rFonts w:eastAsia="Times New Roman" w:cs="Arial"/>
                <w:color w:val="000000"/>
                <w:lang w:eastAsia="bg-BG"/>
              </w:rPr>
            </w:pPr>
          </w:p>
        </w:tc>
        <w:tc>
          <w:tcPr>
            <w:tcW w:w="1579" w:type="dxa"/>
          </w:tcPr>
          <w:p w14:paraId="207E423A" w14:textId="77777777" w:rsidR="00BF091A" w:rsidRPr="00BF091A" w:rsidRDefault="00BF091A" w:rsidP="00BF091A">
            <w:pPr>
              <w:rPr>
                <w:rFonts w:eastAsia="Times New Roman" w:cs="Arial"/>
                <w:color w:val="000000"/>
                <w:lang w:eastAsia="bg-BG"/>
              </w:rPr>
            </w:pPr>
          </w:p>
        </w:tc>
      </w:tr>
    </w:tbl>
    <w:p w14:paraId="3B260526" w14:textId="77777777" w:rsidR="00BF091A" w:rsidRPr="00BF091A" w:rsidRDefault="00BF091A" w:rsidP="00BF091A">
      <w:pPr>
        <w:spacing w:line="240" w:lineRule="auto"/>
        <w:rPr>
          <w:rFonts w:eastAsia="Times New Roman" w:cs="Arial"/>
          <w:lang w:eastAsia="bg-BG"/>
        </w:rPr>
      </w:pPr>
      <w:r w:rsidRPr="00BF091A">
        <w:rPr>
          <w:rFonts w:eastAsia="Times New Roman" w:cs="Arial"/>
          <w:color w:val="000000"/>
          <w:lang w:eastAsia="bg-BG"/>
        </w:rPr>
        <w:t xml:space="preserve">*При изследване на пациенти със синкоп или припадъци, трябва да се има предвид възможността от възникване на сърдечен блок или дълги синусови паузи (вж. точка 4.4). **Честотата на случаите с халюцинации, необичайни съншца, кошмари, ажитация </w:t>
      </w:r>
      <w:r w:rsidRPr="00BF091A">
        <w:rPr>
          <w:rFonts w:eastAsia="Times New Roman" w:cs="Arial"/>
          <w:i/>
          <w:iCs/>
          <w:color w:val="000000"/>
          <w:lang w:eastAsia="bg-BG"/>
        </w:rPr>
        <w:t>и</w:t>
      </w:r>
      <w:r w:rsidRPr="00BF091A">
        <w:rPr>
          <w:rFonts w:eastAsia="Times New Roman" w:cs="Arial"/>
          <w:color w:val="000000"/>
          <w:lang w:eastAsia="bg-BG"/>
        </w:rPr>
        <w:t xml:space="preserve"> агресивно поведение намалява с понижаване на дозата или при прекратяване на лечението.</w:t>
      </w:r>
    </w:p>
    <w:p w14:paraId="3CA0633D" w14:textId="77777777" w:rsidR="00BF091A" w:rsidRPr="00BF091A" w:rsidRDefault="00BF091A" w:rsidP="00BF091A">
      <w:pPr>
        <w:spacing w:line="240" w:lineRule="auto"/>
        <w:rPr>
          <w:rFonts w:eastAsia="Times New Roman" w:cs="Arial"/>
          <w:lang w:eastAsia="bg-BG"/>
        </w:rPr>
      </w:pPr>
      <w:r w:rsidRPr="00BF091A">
        <w:rPr>
          <w:rFonts w:eastAsia="Times New Roman" w:cs="Arial"/>
          <w:color w:val="000000"/>
          <w:lang w:eastAsia="bg-BG"/>
        </w:rPr>
        <w:t>***При необяснима чернодробна дисфункция трябва да се обсъди прекратяване на лечението с донепезил.</w:t>
      </w:r>
    </w:p>
    <w:p w14:paraId="700BEC3B" w14:textId="77777777" w:rsidR="00BF091A" w:rsidRPr="00BF091A" w:rsidRDefault="00BF091A" w:rsidP="00BF091A">
      <w:pPr>
        <w:spacing w:line="240" w:lineRule="auto"/>
        <w:rPr>
          <w:rFonts w:eastAsia="Times New Roman" w:cs="Arial"/>
          <w:lang w:eastAsia="bg-BG"/>
        </w:rPr>
      </w:pPr>
      <w:r w:rsidRPr="00BF091A">
        <w:rPr>
          <w:rFonts w:eastAsia="Times New Roman" w:cs="Arial"/>
          <w:color w:val="000000"/>
          <w:lang w:eastAsia="bg-BG"/>
        </w:rPr>
        <w:t>****Съобщава се, че рабдомиолиза се развива независимо от злокачествения невролептичен синдром и в тясна времева връзка след започване на лечението с донепезил или с повишаване на дозата.</w:t>
      </w:r>
    </w:p>
    <w:p w14:paraId="5EF77FC9" w14:textId="77777777" w:rsidR="00BF091A" w:rsidRPr="00BF091A" w:rsidRDefault="00BF091A" w:rsidP="00BF091A">
      <w:pPr>
        <w:spacing w:line="240" w:lineRule="auto"/>
        <w:rPr>
          <w:rFonts w:eastAsia="Times New Roman" w:cs="Arial"/>
          <w:color w:val="000000"/>
          <w:u w:val="single"/>
          <w:lang w:eastAsia="bg-BG"/>
        </w:rPr>
      </w:pPr>
    </w:p>
    <w:p w14:paraId="147281CE" w14:textId="31DF4F71" w:rsidR="00BF091A" w:rsidRPr="00BF091A" w:rsidRDefault="00BF091A" w:rsidP="00BF091A">
      <w:pPr>
        <w:spacing w:line="240" w:lineRule="auto"/>
        <w:rPr>
          <w:rFonts w:eastAsia="Times New Roman" w:cs="Arial"/>
          <w:lang w:eastAsia="bg-BG"/>
        </w:rPr>
      </w:pPr>
      <w:r w:rsidRPr="00BF091A">
        <w:rPr>
          <w:rFonts w:eastAsia="Times New Roman" w:cs="Arial"/>
          <w:color w:val="000000"/>
          <w:u w:val="single"/>
          <w:lang w:eastAsia="bg-BG"/>
        </w:rPr>
        <w:t>Съобщаване на подозирани нежелани реакции</w:t>
      </w:r>
    </w:p>
    <w:p w14:paraId="4752F751" w14:textId="57EE24C6" w:rsidR="00BF091A" w:rsidRPr="00BF091A" w:rsidRDefault="00BF091A" w:rsidP="00BF091A">
      <w:pPr>
        <w:rPr>
          <w:rFonts w:eastAsia="Times New Roman" w:cs="Arial"/>
          <w:color w:val="000000"/>
          <w:lang w:val="en-US"/>
        </w:rPr>
      </w:pPr>
      <w:r w:rsidRPr="00BF091A">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 02 8903417, уебсайт: </w:t>
      </w:r>
      <w:r w:rsidRPr="00BF091A">
        <w:rPr>
          <w:rFonts w:eastAsia="Times New Roman" w:cs="Arial"/>
          <w:lang w:eastAsia="bg-BG"/>
        </w:rPr>
        <w:fldChar w:fldCharType="begin"/>
      </w:r>
      <w:r w:rsidRPr="00BF091A">
        <w:rPr>
          <w:rFonts w:eastAsia="Times New Roman" w:cs="Arial"/>
          <w:lang w:eastAsia="bg-BG"/>
        </w:rPr>
        <w:instrText xml:space="preserve"> HYPERLINK "http://www.bda.bg" </w:instrText>
      </w:r>
      <w:r w:rsidRPr="00BF091A">
        <w:rPr>
          <w:rFonts w:eastAsia="Times New Roman" w:cs="Arial"/>
          <w:lang w:eastAsia="bg-BG"/>
        </w:rPr>
      </w:r>
      <w:r w:rsidRPr="00BF091A">
        <w:rPr>
          <w:rFonts w:eastAsia="Times New Roman" w:cs="Arial"/>
          <w:lang w:eastAsia="bg-BG"/>
        </w:rPr>
        <w:fldChar w:fldCharType="separate"/>
      </w:r>
      <w:r w:rsidRPr="00BF091A">
        <w:rPr>
          <w:rFonts w:eastAsia="Times New Roman" w:cs="Arial"/>
          <w:color w:val="000000"/>
          <w:lang w:val="en-US"/>
        </w:rPr>
        <w:t>www.bda.bg</w:t>
      </w:r>
      <w:r w:rsidRPr="00BF091A">
        <w:rPr>
          <w:rFonts w:eastAsia="Times New Roman" w:cs="Arial"/>
          <w:lang w:eastAsia="bg-BG"/>
        </w:rPr>
        <w:fldChar w:fldCharType="end"/>
      </w:r>
      <w:r w:rsidRPr="00BF091A">
        <w:rPr>
          <w:rFonts w:eastAsia="Times New Roman" w:cs="Arial"/>
          <w:color w:val="000000"/>
          <w:lang w:val="en-US"/>
        </w:rPr>
        <w:t>.</w:t>
      </w:r>
    </w:p>
    <w:p w14:paraId="6605A934" w14:textId="77777777" w:rsidR="00BF091A" w:rsidRPr="00BF091A" w:rsidRDefault="00BF091A" w:rsidP="00BF091A"/>
    <w:p w14:paraId="378A0F20" w14:textId="32671F68" w:rsidR="001D095A" w:rsidRDefault="002C50EE" w:rsidP="00340E8D">
      <w:pPr>
        <w:pStyle w:val="Heading2"/>
      </w:pPr>
      <w:r>
        <w:t>4.9. Предозиране</w:t>
      </w:r>
    </w:p>
    <w:p w14:paraId="392CAF40" w14:textId="024BF542" w:rsidR="00BF091A" w:rsidRDefault="00BF091A" w:rsidP="00BF091A"/>
    <w:p w14:paraId="30E002AD" w14:textId="77777777" w:rsidR="00BF091A" w:rsidRPr="00BF091A" w:rsidRDefault="00BF091A" w:rsidP="00BF091A">
      <w:pPr>
        <w:rPr>
          <w:sz w:val="24"/>
          <w:szCs w:val="24"/>
          <w:lang w:eastAsia="bg-BG"/>
        </w:rPr>
      </w:pPr>
      <w:r w:rsidRPr="00BF091A">
        <w:rPr>
          <w:lang w:eastAsia="bg-BG"/>
        </w:rPr>
        <w:t xml:space="preserve">Установената средна летална доза на донепезил, след прилагане на еднократна доза от 45 </w:t>
      </w:r>
      <w:r w:rsidRPr="00BF091A">
        <w:rPr>
          <w:lang w:val="en-US"/>
        </w:rPr>
        <w:t xml:space="preserve">mg/kg </w:t>
      </w:r>
      <w:r w:rsidRPr="00BF091A">
        <w:rPr>
          <w:lang w:eastAsia="bg-BG"/>
        </w:rPr>
        <w:t xml:space="preserve">при мишки и 32 </w:t>
      </w:r>
      <w:r w:rsidRPr="00BF091A">
        <w:rPr>
          <w:lang w:val="en-US"/>
        </w:rPr>
        <w:t xml:space="preserve">mg/kg </w:t>
      </w:r>
      <w:r w:rsidRPr="00BF091A">
        <w:rPr>
          <w:lang w:eastAsia="bg-BG"/>
        </w:rPr>
        <w:t xml:space="preserve">при плъхове, респективно е приблизително 225 и 160 пъти по-висока от 10 </w:t>
      </w:r>
      <w:r w:rsidRPr="00BF091A">
        <w:rPr>
          <w:lang w:val="en-US"/>
        </w:rPr>
        <w:t xml:space="preserve">mg </w:t>
      </w:r>
      <w:r w:rsidRPr="00BF091A">
        <w:rPr>
          <w:lang w:eastAsia="bg-BG"/>
        </w:rPr>
        <w:t>- максималната препоръчителна дневна доза при хора. При животни се наблюдават дозозависими симптоми на холинергична стимулация, включително редуцирани спонтанни движения, свита позиция с невъзможност за изправяне, олюляваща се походка, лакримация клонични гърчове, потискане на дишането, саливация, миоза, фасцикулации и понижена</w:t>
      </w:r>
      <w:r w:rsidRPr="00BF091A">
        <w:rPr>
          <w:i/>
          <w:iCs/>
          <w:lang w:eastAsia="bg-BG"/>
        </w:rPr>
        <w:t xml:space="preserve"> </w:t>
      </w:r>
      <w:r w:rsidRPr="00BF091A">
        <w:rPr>
          <w:lang w:eastAsia="bg-BG"/>
        </w:rPr>
        <w:t>повърхностна телесна температура.</w:t>
      </w:r>
    </w:p>
    <w:p w14:paraId="7F61DC2D" w14:textId="77777777" w:rsidR="00BF091A" w:rsidRDefault="00BF091A" w:rsidP="00BF091A">
      <w:pPr>
        <w:rPr>
          <w:lang w:eastAsia="bg-BG"/>
        </w:rPr>
      </w:pPr>
    </w:p>
    <w:p w14:paraId="497930B1" w14:textId="77777777" w:rsidR="00BF091A" w:rsidRPr="00BF091A" w:rsidRDefault="00BF091A" w:rsidP="00BF091A">
      <w:pPr>
        <w:rPr>
          <w:sz w:val="24"/>
          <w:szCs w:val="24"/>
          <w:lang w:eastAsia="bg-BG"/>
        </w:rPr>
      </w:pPr>
      <w:r w:rsidRPr="00BF091A">
        <w:rPr>
          <w:lang w:eastAsia="bg-BG"/>
        </w:rPr>
        <w:t>Предозирането с холинестеразни инхибитори може да доведе до холинергична криза, която се характеризира с гадене, повръщане, повишена саливация, повишено изпотяване, брадикардия</w:t>
      </w:r>
      <w:r>
        <w:rPr>
          <w:lang w:val="en-US" w:eastAsia="bg-BG"/>
        </w:rPr>
        <w:t xml:space="preserve"> </w:t>
      </w:r>
      <w:r w:rsidRPr="00BF091A">
        <w:rPr>
          <w:lang w:eastAsia="bg-BG"/>
        </w:rPr>
        <w:t>хипотония, потискане на дишането, колапс и конвулсии. Възможна е изразена мускулна слабост, която да доведе до смърт при засягане на дихателната мускулатура.</w:t>
      </w:r>
    </w:p>
    <w:p w14:paraId="494DD0E4" w14:textId="77777777" w:rsidR="00BF091A" w:rsidRPr="00BF091A" w:rsidRDefault="00BF091A" w:rsidP="00BF091A">
      <w:pPr>
        <w:rPr>
          <w:sz w:val="24"/>
          <w:szCs w:val="24"/>
          <w:lang w:eastAsia="bg-BG"/>
        </w:rPr>
      </w:pPr>
      <w:r w:rsidRPr="00BF091A">
        <w:rPr>
          <w:lang w:eastAsia="bg-BG"/>
        </w:rPr>
        <w:t xml:space="preserve">Като при всеки случай на предозиране се прилагат общи поддържащи мерки. Като антидот при предозиране с донепезил могат да се използват терциерни антихолинергици като атропин. Започва се с 1,0 до 2,0 </w:t>
      </w:r>
      <w:r w:rsidRPr="00BF091A">
        <w:rPr>
          <w:lang w:val="en-US"/>
        </w:rPr>
        <w:t xml:space="preserve">mg </w:t>
      </w:r>
      <w:proofErr w:type="spellStart"/>
      <w:r w:rsidRPr="00BF091A">
        <w:rPr>
          <w:lang w:val="en-US"/>
        </w:rPr>
        <w:t>i.v.</w:t>
      </w:r>
      <w:proofErr w:type="spellEnd"/>
      <w:r w:rsidRPr="00BF091A">
        <w:rPr>
          <w:lang w:val="en-US"/>
        </w:rPr>
        <w:t xml:space="preserve">, </w:t>
      </w:r>
      <w:r w:rsidRPr="00BF091A">
        <w:rPr>
          <w:lang w:eastAsia="bg-BG"/>
        </w:rPr>
        <w:t xml:space="preserve">след което дозата се определя според клиничното повлияване. При едновременно приложение на холиномиметици с </w:t>
      </w:r>
      <w:r w:rsidRPr="00BF091A">
        <w:rPr>
          <w:lang w:eastAsia="bg-BG"/>
        </w:rPr>
        <w:lastRenderedPageBreak/>
        <w:t>кватернерни антихолинергици като гликопиролат се наблюдава атипично повлияване на артериалното налягане и сърдечната честота.</w:t>
      </w:r>
    </w:p>
    <w:p w14:paraId="49538575" w14:textId="77777777" w:rsidR="00BF091A" w:rsidRPr="00BF091A" w:rsidRDefault="00BF091A" w:rsidP="00BF091A">
      <w:pPr>
        <w:rPr>
          <w:sz w:val="24"/>
          <w:szCs w:val="24"/>
          <w:lang w:eastAsia="bg-BG"/>
        </w:rPr>
      </w:pPr>
      <w:r w:rsidRPr="00BF091A">
        <w:rPr>
          <w:lang w:eastAsia="bg-BG"/>
        </w:rPr>
        <w:t>Не е известно дали донепезиловият хидрохлорид и/или метаболитите му могат да се отстранят чрез диализа (хемодиализа, перитонеална диализа или хемофилтрация).</w:t>
      </w:r>
    </w:p>
    <w:p w14:paraId="370C91A2" w14:textId="2433B00C" w:rsidR="00BF091A" w:rsidRPr="00BF091A" w:rsidRDefault="00BF091A" w:rsidP="00BF091A">
      <w:pPr>
        <w:rPr>
          <w:lang w:val="en-US"/>
        </w:rPr>
      </w:pPr>
    </w:p>
    <w:p w14:paraId="02081B24" w14:textId="36FE76F4" w:rsidR="00395555" w:rsidRPr="00395555" w:rsidRDefault="002C50EE" w:rsidP="008A6AF2">
      <w:pPr>
        <w:pStyle w:val="Heading1"/>
      </w:pPr>
      <w:r>
        <w:t>5. ФАРМАКОЛОГИЧНИ СВОЙСТВА</w:t>
      </w:r>
    </w:p>
    <w:p w14:paraId="7F6CC5E1" w14:textId="589D2A8B" w:rsidR="00F62E44" w:rsidRDefault="002C50EE" w:rsidP="00387A66">
      <w:pPr>
        <w:pStyle w:val="Heading2"/>
      </w:pPr>
      <w:r>
        <w:t>5.1. Фармакодинамични свойства</w:t>
      </w:r>
    </w:p>
    <w:p w14:paraId="20760671" w14:textId="6AE1DEC3" w:rsidR="00BF091A" w:rsidRDefault="00BF091A" w:rsidP="00BF091A"/>
    <w:p w14:paraId="3C1F9D22" w14:textId="77777777"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lang w:eastAsia="bg-BG"/>
        </w:rPr>
        <w:t xml:space="preserve">Фармакотерапевтична група - Лекарства за деменция, антихолинестеразни, АТС код: </w:t>
      </w:r>
      <w:r w:rsidRPr="00BF091A">
        <w:rPr>
          <w:rFonts w:eastAsia="Times New Roman" w:cs="Arial"/>
          <w:color w:val="000000"/>
          <w:lang w:val="en-US"/>
        </w:rPr>
        <w:t>N06DA02</w:t>
      </w:r>
    </w:p>
    <w:p w14:paraId="3A335C40" w14:textId="77777777" w:rsidR="00BF091A" w:rsidRPr="00BF091A" w:rsidRDefault="00BF091A" w:rsidP="00BF091A">
      <w:pPr>
        <w:spacing w:line="240" w:lineRule="auto"/>
        <w:rPr>
          <w:rFonts w:eastAsia="Times New Roman" w:cs="Arial"/>
          <w:color w:val="000000"/>
          <w:u w:val="single"/>
          <w:lang w:eastAsia="bg-BG"/>
        </w:rPr>
      </w:pPr>
    </w:p>
    <w:p w14:paraId="23DBFE31" w14:textId="65E91765"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u w:val="single"/>
          <w:lang w:eastAsia="bg-BG"/>
        </w:rPr>
        <w:t>Механизъм на действие</w:t>
      </w:r>
    </w:p>
    <w:p w14:paraId="49B3534D" w14:textId="77777777"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lang w:eastAsia="bg-BG"/>
        </w:rPr>
        <w:t xml:space="preserve">Донепезиловият хидрохлорид е специфичен и обратим инхибитор на ацетилхолинестеразата, преобладаващата холинестераза в мозъчната тъкан. Донепезиловият хидрохлорид </w:t>
      </w:r>
      <w:r w:rsidRPr="00BF091A">
        <w:rPr>
          <w:rFonts w:eastAsia="Times New Roman" w:cs="Arial"/>
          <w:i/>
          <w:iCs/>
          <w:color w:val="000000"/>
          <w:lang w:val="en-US"/>
        </w:rPr>
        <w:t>in vitro</w:t>
      </w:r>
      <w:r w:rsidRPr="00BF091A">
        <w:rPr>
          <w:rFonts w:eastAsia="Times New Roman" w:cs="Arial"/>
          <w:color w:val="000000"/>
          <w:lang w:val="en-US"/>
        </w:rPr>
        <w:t xml:space="preserve"> </w:t>
      </w:r>
      <w:r w:rsidRPr="00BF091A">
        <w:rPr>
          <w:rFonts w:eastAsia="Times New Roman" w:cs="Arial"/>
          <w:color w:val="000000"/>
          <w:lang w:eastAsia="bg-BG"/>
        </w:rPr>
        <w:t>е 1 000 пъти по-мощен инхибигор на този ензим, отколкото на бутирилхолинестеразата, ензим, който е разпространен преди всичко извън ЦНС.</w:t>
      </w:r>
    </w:p>
    <w:p w14:paraId="098FBDC5" w14:textId="77777777" w:rsidR="00BF091A" w:rsidRPr="00BF091A" w:rsidRDefault="00BF091A" w:rsidP="00BF091A">
      <w:pPr>
        <w:spacing w:line="240" w:lineRule="auto"/>
        <w:rPr>
          <w:rFonts w:eastAsia="Times New Roman" w:cs="Arial"/>
          <w:color w:val="000000"/>
          <w:u w:val="single"/>
          <w:lang w:eastAsia="bg-BG"/>
        </w:rPr>
      </w:pPr>
    </w:p>
    <w:p w14:paraId="7F8F7EF8" w14:textId="5F66E5EE"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u w:val="single"/>
          <w:lang w:eastAsia="bg-BG"/>
        </w:rPr>
        <w:t>Деменция на Алпхаймер</w:t>
      </w:r>
    </w:p>
    <w:p w14:paraId="3F06F3AB" w14:textId="77777777"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lang w:eastAsia="bg-BG"/>
        </w:rPr>
        <w:t xml:space="preserve">При пациенти с деменция на Алцхаймер, включени в клинични проучвания, приложението на донепезил веднъж дневно в доза от 5 </w:t>
      </w:r>
      <w:r w:rsidRPr="00BF091A">
        <w:rPr>
          <w:rFonts w:eastAsia="Times New Roman" w:cs="Arial"/>
          <w:color w:val="000000"/>
          <w:lang w:val="en-US"/>
        </w:rPr>
        <w:t xml:space="preserve">mg </w:t>
      </w:r>
      <w:r w:rsidRPr="00BF091A">
        <w:rPr>
          <w:rFonts w:eastAsia="Times New Roman" w:cs="Arial"/>
          <w:color w:val="000000"/>
          <w:lang w:eastAsia="bg-BG"/>
        </w:rPr>
        <w:t xml:space="preserve">или 10 </w:t>
      </w:r>
      <w:r w:rsidRPr="00BF091A">
        <w:rPr>
          <w:rFonts w:eastAsia="Times New Roman" w:cs="Arial"/>
          <w:color w:val="000000"/>
          <w:lang w:val="en-US"/>
        </w:rPr>
        <w:t xml:space="preserve">mg </w:t>
      </w:r>
      <w:r w:rsidRPr="00BF091A">
        <w:rPr>
          <w:rFonts w:eastAsia="Times New Roman" w:cs="Arial"/>
          <w:color w:val="000000"/>
          <w:lang w:eastAsia="bg-BG"/>
        </w:rPr>
        <w:t xml:space="preserve">води до равновесно инхибиране съответно на 63,6% и 77,3% от ацетилхолинестеразната активност (измерена в еритроцитните мембрани) при измерване след прием на дозата. Инхибирането на ацетилхолинестеразата (АХЕ) в еритроцитите от донепезилов хидрохлорид корелира във висока степен с промените на </w:t>
      </w:r>
      <w:r w:rsidRPr="00BF091A">
        <w:rPr>
          <w:rFonts w:eastAsia="Times New Roman" w:cs="Arial"/>
          <w:color w:val="000000"/>
          <w:lang w:val="en-US"/>
        </w:rPr>
        <w:t xml:space="preserve">ADAS- cog </w:t>
      </w:r>
      <w:r w:rsidRPr="00BF091A">
        <w:rPr>
          <w:rFonts w:eastAsia="Times New Roman" w:cs="Arial"/>
          <w:color w:val="000000"/>
          <w:lang w:eastAsia="bg-BG"/>
        </w:rPr>
        <w:t>- чувствителна скала, с която се проучват определени аспекти от когнитивните функции. Потенциалът на донепезиловия хидрохлорид да оказва влияние върху протичането на налична невропатология не е изследван, поради което не може да се счита, че донепезил има някакъв ефект върху прогресирането на заболяването.</w:t>
      </w:r>
    </w:p>
    <w:p w14:paraId="08BEBF77" w14:textId="77777777"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lang w:eastAsia="bg-BG"/>
        </w:rPr>
        <w:t>Ефективността от лечението с донепезил е изследвана в четири плацебо-контролирани проучвания - 2 проучвания с продължителност 6 месеца и 2 проучвания с продължителност 1 година.</w:t>
      </w:r>
    </w:p>
    <w:p w14:paraId="18C3F1A1" w14:textId="77777777"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lang w:eastAsia="bg-BG"/>
        </w:rPr>
        <w:t xml:space="preserve">В 6-месечно клиничнио проучване е направен анализ в края на терапията с донепезил, с помощта на комбинация от три критерия за ефективност: </w:t>
      </w:r>
      <w:r w:rsidRPr="00BF091A">
        <w:rPr>
          <w:rFonts w:eastAsia="Times New Roman" w:cs="Arial"/>
          <w:color w:val="000000"/>
          <w:lang w:val="en-US"/>
        </w:rPr>
        <w:t xml:space="preserve">ADAS-Cog </w:t>
      </w:r>
      <w:r w:rsidRPr="00BF091A">
        <w:rPr>
          <w:rFonts w:eastAsia="Times New Roman" w:cs="Arial"/>
          <w:color w:val="000000"/>
          <w:lang w:eastAsia="bg-BG"/>
        </w:rPr>
        <w:t xml:space="preserve">(измерване на когнитивните функции), Впечатление за промяна на клинициста, основано на интервю и с информация от болногледача </w:t>
      </w:r>
      <w:r w:rsidRPr="00BF091A">
        <w:rPr>
          <w:rFonts w:eastAsia="Times New Roman" w:cs="Arial"/>
          <w:color w:val="000000"/>
          <w:lang w:val="en-US"/>
        </w:rPr>
        <w:t xml:space="preserve">(Clinician Interview Based Impression of Change with Caregiver Input, CIBIC) </w:t>
      </w:r>
      <w:r w:rsidRPr="00BF091A">
        <w:rPr>
          <w:rFonts w:eastAsia="Times New Roman" w:cs="Arial"/>
          <w:color w:val="000000"/>
          <w:lang w:eastAsia="bg-BG"/>
        </w:rPr>
        <w:t>(мярка за общото функциониране) и подскала за ежедневните активности на Клиничната оценъчна скала за деменция (мярка за възможностите в обществото, у дома, хобитата и грижата за себе си).</w:t>
      </w:r>
    </w:p>
    <w:p w14:paraId="30196636" w14:textId="77777777"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lang w:eastAsia="bg-BG"/>
        </w:rPr>
        <w:t>Счита се, че пациентите, които отговарят на критериите, изброени по-долу се повлияват от лечението.</w:t>
      </w:r>
    </w:p>
    <w:p w14:paraId="630B7CF9" w14:textId="77777777" w:rsidR="00BF091A" w:rsidRPr="00BF091A" w:rsidRDefault="00BF091A" w:rsidP="00BF091A">
      <w:pPr>
        <w:spacing w:line="240" w:lineRule="auto"/>
        <w:rPr>
          <w:rFonts w:eastAsia="Times New Roman" w:cs="Arial"/>
          <w:color w:val="000000"/>
          <w:lang w:eastAsia="bg-BG"/>
        </w:rPr>
      </w:pPr>
    </w:p>
    <w:p w14:paraId="5972EC59" w14:textId="6A6FEE07"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lang w:eastAsia="bg-BG"/>
        </w:rPr>
        <w:t xml:space="preserve">Повлияване = Подобряване на </w:t>
      </w:r>
      <w:r w:rsidRPr="00BF091A">
        <w:rPr>
          <w:rFonts w:eastAsia="Times New Roman" w:cs="Arial"/>
          <w:color w:val="000000"/>
          <w:lang w:val="en-US"/>
        </w:rPr>
        <w:t xml:space="preserve">ADAS-Cog </w:t>
      </w:r>
      <w:r w:rsidRPr="00BF091A">
        <w:rPr>
          <w:rFonts w:eastAsia="Times New Roman" w:cs="Arial"/>
          <w:color w:val="000000"/>
          <w:lang w:eastAsia="bg-BG"/>
        </w:rPr>
        <w:t>с не по-малко от 4 точки</w:t>
      </w:r>
    </w:p>
    <w:p w14:paraId="28E1FE28" w14:textId="77777777"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lang w:eastAsia="bg-BG"/>
        </w:rPr>
        <w:t xml:space="preserve">Липса на влошаване на </w:t>
      </w:r>
      <w:r w:rsidRPr="00BF091A">
        <w:rPr>
          <w:rFonts w:eastAsia="Times New Roman" w:cs="Arial"/>
          <w:color w:val="000000"/>
          <w:lang w:val="en-US"/>
        </w:rPr>
        <w:t xml:space="preserve">CIBIC </w:t>
      </w:r>
      <w:r w:rsidRPr="00BF091A">
        <w:rPr>
          <w:rFonts w:eastAsia="Times New Roman" w:cs="Arial"/>
          <w:color w:val="000000"/>
          <w:lang w:eastAsia="bg-BG"/>
        </w:rPr>
        <w:t>+</w:t>
      </w:r>
    </w:p>
    <w:p w14:paraId="762BC424" w14:textId="4E30F0BF" w:rsidR="00BF091A" w:rsidRPr="00BF091A" w:rsidRDefault="00BF091A" w:rsidP="00BF091A">
      <w:pPr>
        <w:rPr>
          <w:rFonts w:eastAsia="Times New Roman" w:cs="Arial"/>
          <w:color w:val="000000"/>
          <w:lang w:eastAsia="bg-BG"/>
        </w:rPr>
      </w:pPr>
      <w:r w:rsidRPr="00BF091A">
        <w:rPr>
          <w:rFonts w:eastAsia="Times New Roman" w:cs="Arial"/>
          <w:color w:val="000000"/>
          <w:lang w:eastAsia="bg-BG"/>
        </w:rPr>
        <w:t>Липса на влошаване по Подскалата за ежедневните активности на Клиничната оценъчна скала за деменция</w:t>
      </w:r>
    </w:p>
    <w:p w14:paraId="4690A8C7" w14:textId="31888199" w:rsidR="00BF091A" w:rsidRDefault="00BF091A" w:rsidP="00BF091A"/>
    <w:tbl>
      <w:tblPr>
        <w:tblStyle w:val="TableGrid"/>
        <w:tblW w:w="0" w:type="auto"/>
        <w:tblLook w:val="04A0" w:firstRow="1" w:lastRow="0" w:firstColumn="1" w:lastColumn="0" w:noHBand="0" w:noVBand="1"/>
      </w:tblPr>
      <w:tblGrid>
        <w:gridCol w:w="3112"/>
        <w:gridCol w:w="3122"/>
        <w:gridCol w:w="3116"/>
      </w:tblGrid>
      <w:tr w:rsidR="00BF091A" w14:paraId="02445481" w14:textId="77777777" w:rsidTr="005329DE">
        <w:tc>
          <w:tcPr>
            <w:tcW w:w="3166" w:type="dxa"/>
          </w:tcPr>
          <w:p w14:paraId="75E90918" w14:textId="77777777" w:rsidR="00BF091A" w:rsidRDefault="00BF091A" w:rsidP="00BF091A"/>
        </w:tc>
        <w:tc>
          <w:tcPr>
            <w:tcW w:w="6334" w:type="dxa"/>
            <w:gridSpan w:val="2"/>
          </w:tcPr>
          <w:p w14:paraId="19556833" w14:textId="77777777" w:rsidR="00BF091A" w:rsidRPr="00BF091A" w:rsidRDefault="00BF091A" w:rsidP="00BF091A">
            <w:pPr>
              <w:jc w:val="center"/>
              <w:rPr>
                <w:sz w:val="24"/>
                <w:szCs w:val="24"/>
                <w:lang w:eastAsia="bg-BG"/>
              </w:rPr>
            </w:pPr>
            <w:r w:rsidRPr="00BF091A">
              <w:rPr>
                <w:lang w:eastAsia="bg-BG"/>
              </w:rPr>
              <w:t>% Повлияване</w:t>
            </w:r>
          </w:p>
          <w:p w14:paraId="39F4E00E" w14:textId="77777777" w:rsidR="00BF091A" w:rsidRDefault="00BF091A" w:rsidP="00BF091A">
            <w:pPr>
              <w:jc w:val="center"/>
            </w:pPr>
          </w:p>
        </w:tc>
      </w:tr>
      <w:tr w:rsidR="00BF091A" w14:paraId="123D803C" w14:textId="77777777" w:rsidTr="00D23DCA">
        <w:tc>
          <w:tcPr>
            <w:tcW w:w="3166" w:type="dxa"/>
          </w:tcPr>
          <w:p w14:paraId="126A7D0F" w14:textId="77777777" w:rsidR="00BF091A" w:rsidRPr="00BF091A" w:rsidRDefault="00BF091A" w:rsidP="00BF091A"/>
        </w:tc>
        <w:tc>
          <w:tcPr>
            <w:tcW w:w="3167" w:type="dxa"/>
            <w:vAlign w:val="bottom"/>
          </w:tcPr>
          <w:p w14:paraId="1A4C51AA" w14:textId="21998F0A" w:rsidR="00BF091A" w:rsidRPr="00BF091A" w:rsidRDefault="00BF091A" w:rsidP="00BF091A">
            <w:r w:rsidRPr="00BF091A">
              <w:t>Общ брой пациенти, започнали проучването (</w:t>
            </w:r>
            <w:r w:rsidRPr="00BF091A">
              <w:rPr>
                <w:lang w:val="en-US"/>
              </w:rPr>
              <w:t>n</w:t>
            </w:r>
            <w:r w:rsidRPr="00BF091A">
              <w:t>=365)</w:t>
            </w:r>
          </w:p>
        </w:tc>
        <w:tc>
          <w:tcPr>
            <w:tcW w:w="3167" w:type="dxa"/>
          </w:tcPr>
          <w:p w14:paraId="1B11243D" w14:textId="77777777" w:rsidR="00BF091A" w:rsidRPr="00BF091A" w:rsidRDefault="00BF091A" w:rsidP="00BF091A">
            <w:r w:rsidRPr="00BF091A">
              <w:t>Пациенти, които</w:t>
            </w:r>
            <w:r w:rsidRPr="00BF091A">
              <w:rPr>
                <w:lang w:val="en-US"/>
              </w:rPr>
              <w:t xml:space="preserve"> </w:t>
            </w:r>
            <w:r w:rsidRPr="00BF091A">
              <w:t>подлежат на оценка</w:t>
            </w:r>
          </w:p>
          <w:p w14:paraId="7CE5AD7D" w14:textId="7BA7F513" w:rsidR="00BF091A" w:rsidRPr="00BF091A" w:rsidRDefault="00BF091A" w:rsidP="00BF091A">
            <w:r w:rsidRPr="00BF091A">
              <w:t>(</w:t>
            </w:r>
            <w:r w:rsidRPr="00BF091A">
              <w:rPr>
                <w:lang w:val="en-US"/>
              </w:rPr>
              <w:t>n-352</w:t>
            </w:r>
          </w:p>
        </w:tc>
      </w:tr>
      <w:tr w:rsidR="00BF091A" w14:paraId="5DED49B5" w14:textId="77777777" w:rsidTr="00D23DCA">
        <w:tc>
          <w:tcPr>
            <w:tcW w:w="3166" w:type="dxa"/>
            <w:vAlign w:val="bottom"/>
          </w:tcPr>
          <w:p w14:paraId="5C6D3FF5" w14:textId="7571CD97" w:rsidR="00BF091A" w:rsidRPr="00BF091A" w:rsidRDefault="00BF091A" w:rsidP="00BF091A">
            <w:r w:rsidRPr="00BF091A">
              <w:t>Плацебо</w:t>
            </w:r>
          </w:p>
        </w:tc>
        <w:tc>
          <w:tcPr>
            <w:tcW w:w="3167" w:type="dxa"/>
            <w:vAlign w:val="bottom"/>
          </w:tcPr>
          <w:p w14:paraId="663B82C0" w14:textId="29E90514" w:rsidR="00BF091A" w:rsidRPr="00BF091A" w:rsidRDefault="00BF091A" w:rsidP="00BF091A">
            <w:r w:rsidRPr="00BF091A">
              <w:t>10%</w:t>
            </w:r>
          </w:p>
        </w:tc>
        <w:tc>
          <w:tcPr>
            <w:tcW w:w="3167" w:type="dxa"/>
            <w:vAlign w:val="bottom"/>
          </w:tcPr>
          <w:p w14:paraId="1413FD68" w14:textId="6B74A768" w:rsidR="00BF091A" w:rsidRPr="00BF091A" w:rsidRDefault="00BF091A" w:rsidP="00BF091A">
            <w:r w:rsidRPr="00BF091A">
              <w:rPr>
                <w:lang w:val="en-US"/>
              </w:rPr>
              <w:t>10%</w:t>
            </w:r>
          </w:p>
        </w:tc>
      </w:tr>
      <w:tr w:rsidR="00BF091A" w14:paraId="721FF6D1" w14:textId="77777777" w:rsidTr="00D23DCA">
        <w:tc>
          <w:tcPr>
            <w:tcW w:w="3166" w:type="dxa"/>
            <w:vAlign w:val="bottom"/>
          </w:tcPr>
          <w:p w14:paraId="7331972B" w14:textId="75472422" w:rsidR="00BF091A" w:rsidRPr="00BF091A" w:rsidRDefault="00BF091A" w:rsidP="00BF091A">
            <w:r w:rsidRPr="00BF091A">
              <w:t>Донецепт 5</w:t>
            </w:r>
            <w:r w:rsidRPr="00BF091A">
              <w:rPr>
                <w:lang w:val="en-US"/>
              </w:rPr>
              <w:t xml:space="preserve"> mg</w:t>
            </w:r>
          </w:p>
        </w:tc>
        <w:tc>
          <w:tcPr>
            <w:tcW w:w="3167" w:type="dxa"/>
          </w:tcPr>
          <w:p w14:paraId="50813479" w14:textId="45422729" w:rsidR="00BF091A" w:rsidRPr="00BF091A" w:rsidRDefault="00BF091A" w:rsidP="00BF091A">
            <w:r w:rsidRPr="00BF091A">
              <w:t>18%*</w:t>
            </w:r>
          </w:p>
        </w:tc>
        <w:tc>
          <w:tcPr>
            <w:tcW w:w="3167" w:type="dxa"/>
            <w:vAlign w:val="bottom"/>
          </w:tcPr>
          <w:p w14:paraId="07C6D682" w14:textId="15E51EA6" w:rsidR="00BF091A" w:rsidRPr="00BF091A" w:rsidRDefault="00BF091A" w:rsidP="00BF091A">
            <w:r w:rsidRPr="00BF091A">
              <w:rPr>
                <w:lang w:val="en-US"/>
              </w:rPr>
              <w:t>18%</w:t>
            </w:r>
          </w:p>
        </w:tc>
      </w:tr>
      <w:tr w:rsidR="00BF091A" w14:paraId="6238F65B" w14:textId="77777777" w:rsidTr="00BF091A">
        <w:tc>
          <w:tcPr>
            <w:tcW w:w="3166" w:type="dxa"/>
          </w:tcPr>
          <w:p w14:paraId="4F4C959A" w14:textId="4E553C40" w:rsidR="00BF091A" w:rsidRDefault="00BF091A" w:rsidP="00BF091A">
            <w:r>
              <w:rPr>
                <w:sz w:val="20"/>
                <w:szCs w:val="20"/>
              </w:rPr>
              <w:t xml:space="preserve">Донецепт 10 </w:t>
            </w:r>
            <w:r>
              <w:rPr>
                <w:sz w:val="20"/>
                <w:szCs w:val="20"/>
                <w:lang w:val="en-US"/>
              </w:rPr>
              <w:t>mg</w:t>
            </w:r>
          </w:p>
        </w:tc>
        <w:tc>
          <w:tcPr>
            <w:tcW w:w="3167" w:type="dxa"/>
          </w:tcPr>
          <w:p w14:paraId="48142184" w14:textId="36F53DFD" w:rsidR="00BF091A" w:rsidRDefault="00BF091A" w:rsidP="00BF091A">
            <w:r>
              <w:rPr>
                <w:sz w:val="20"/>
                <w:szCs w:val="20"/>
              </w:rPr>
              <w:t>21%*</w:t>
            </w:r>
          </w:p>
        </w:tc>
        <w:tc>
          <w:tcPr>
            <w:tcW w:w="3167" w:type="dxa"/>
          </w:tcPr>
          <w:p w14:paraId="4756A65C" w14:textId="7957EB79" w:rsidR="00BF091A" w:rsidRDefault="00BF091A" w:rsidP="00BF091A">
            <w:r>
              <w:rPr>
                <w:sz w:val="20"/>
                <w:szCs w:val="20"/>
              </w:rPr>
              <w:t>22%*»</w:t>
            </w:r>
          </w:p>
        </w:tc>
      </w:tr>
    </w:tbl>
    <w:p w14:paraId="1B57ABB2" w14:textId="77777777" w:rsidR="00BF091A" w:rsidRPr="00BF091A" w:rsidRDefault="00BF091A" w:rsidP="00BF091A">
      <w:pPr>
        <w:rPr>
          <w:sz w:val="24"/>
          <w:szCs w:val="24"/>
          <w:lang w:eastAsia="bg-BG"/>
        </w:rPr>
      </w:pPr>
      <w:r w:rsidRPr="00BF091A">
        <w:rPr>
          <w:lang w:eastAsia="bg-BG"/>
        </w:rPr>
        <w:t>* р&lt;0,05</w:t>
      </w:r>
    </w:p>
    <w:p w14:paraId="0D628F07" w14:textId="77777777" w:rsidR="00BF091A" w:rsidRPr="00BF091A" w:rsidRDefault="00BF091A" w:rsidP="00BF091A">
      <w:pPr>
        <w:rPr>
          <w:sz w:val="24"/>
          <w:szCs w:val="24"/>
          <w:lang w:eastAsia="bg-BG"/>
        </w:rPr>
      </w:pPr>
      <w:r w:rsidRPr="00BF091A">
        <w:rPr>
          <w:lang w:eastAsia="bg-BG"/>
        </w:rPr>
        <w:t>** р&lt;0,01</w:t>
      </w:r>
    </w:p>
    <w:p w14:paraId="08D8C866" w14:textId="77777777" w:rsidR="00BF091A" w:rsidRDefault="00BF091A" w:rsidP="00BF091A">
      <w:pPr>
        <w:rPr>
          <w:lang w:eastAsia="bg-BG"/>
        </w:rPr>
      </w:pPr>
    </w:p>
    <w:p w14:paraId="1915BE56" w14:textId="4AB47AD3" w:rsidR="00BF091A" w:rsidRPr="00BF091A" w:rsidRDefault="00BF091A" w:rsidP="00BF091A">
      <w:pPr>
        <w:rPr>
          <w:sz w:val="24"/>
          <w:szCs w:val="24"/>
          <w:lang w:eastAsia="bg-BG"/>
        </w:rPr>
      </w:pPr>
      <w:r w:rsidRPr="00BF091A">
        <w:rPr>
          <w:lang w:eastAsia="bg-BG"/>
        </w:rPr>
        <w:t>Донецепт предизвиква дозозависимо статистически значимо повишаване на процента пациенти, които се определят като отговорили на лечението.</w:t>
      </w:r>
    </w:p>
    <w:p w14:paraId="163A278F" w14:textId="77777777" w:rsidR="00BF091A" w:rsidRPr="00BF091A" w:rsidRDefault="00BF091A" w:rsidP="00BF091A"/>
    <w:p w14:paraId="544FFDAF" w14:textId="1E7EAD22" w:rsidR="00F62E44" w:rsidRDefault="002C50EE" w:rsidP="00387A66">
      <w:pPr>
        <w:pStyle w:val="Heading2"/>
      </w:pPr>
      <w:r>
        <w:t>5.2. Фармакокинетични свойства</w:t>
      </w:r>
    </w:p>
    <w:p w14:paraId="7CC4AC8B" w14:textId="201C3D5F" w:rsidR="00BF091A" w:rsidRDefault="00BF091A" w:rsidP="00BF091A"/>
    <w:p w14:paraId="0FCB539C" w14:textId="77777777"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u w:val="single"/>
          <w:lang w:eastAsia="bg-BG"/>
        </w:rPr>
        <w:t>Абсорбция</w:t>
      </w:r>
    </w:p>
    <w:p w14:paraId="065338FB" w14:textId="77777777"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lang w:eastAsia="bg-BG"/>
        </w:rPr>
        <w:t>Максимални плазмени концентрации се достигат приблизително 3-4 часа след перорално приложение. Плазмените концентрации и площта под кривата нарастват пропорционално на дозата. Терминалният диспозиционен полуживот е приблизително 70 часа; многократното приложение на еднократни дневни дози води до постепенно достигане на равновесни концентрации. Равновесни концентрации се достигат за приблизително 3 седмици след започване на терапията. Веднъж достигнали стационарно състояние, плазмените концентрации на донепезиловия хидрохлорид и съответната им фармакодинамична активност показват слаба вариабилност в течение на деня.</w:t>
      </w:r>
    </w:p>
    <w:p w14:paraId="41BD963A" w14:textId="77777777"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lang w:eastAsia="bg-BG"/>
        </w:rPr>
        <w:t>Храната не оказва влияние върху абсорбцията на донепезилов хидрохлорид.</w:t>
      </w:r>
    </w:p>
    <w:p w14:paraId="7DA6CD75" w14:textId="77777777" w:rsidR="00BF091A" w:rsidRPr="00BF091A" w:rsidRDefault="00BF091A" w:rsidP="00BF091A">
      <w:pPr>
        <w:spacing w:line="240" w:lineRule="auto"/>
        <w:rPr>
          <w:rFonts w:eastAsia="Times New Roman" w:cs="Arial"/>
          <w:color w:val="000000"/>
          <w:u w:val="single"/>
          <w:lang w:eastAsia="bg-BG"/>
        </w:rPr>
      </w:pPr>
    </w:p>
    <w:p w14:paraId="21390CE2" w14:textId="7A111D87"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u w:val="single"/>
          <w:lang w:eastAsia="bg-BG"/>
        </w:rPr>
        <w:t>Разпределение</w:t>
      </w:r>
    </w:p>
    <w:p w14:paraId="24AFFD77" w14:textId="77777777"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lang w:eastAsia="bg-BG"/>
        </w:rPr>
        <w:t xml:space="preserve">Донепезиловият хидрохлорид се свързва приблизително 95% с плазмените протеини. Не е известно до каква степен неговият метаболит 6-О-дезметил донепезил се свързва с плазмените протеини. Разпределението на донепезилов хидрохлорид в различните тъкани не е напълно изследвано, въпреки че в проучване, проведено при здрави мъже доброволци, 240 часа след прилагането на еднократна доза от 5 </w:t>
      </w:r>
      <w:r w:rsidRPr="00BF091A">
        <w:rPr>
          <w:rFonts w:eastAsia="Times New Roman" w:cs="Arial"/>
          <w:color w:val="000000"/>
          <w:lang w:val="en-US"/>
        </w:rPr>
        <w:t xml:space="preserve">mg </w:t>
      </w:r>
      <w:r w:rsidRPr="00BF091A">
        <w:rPr>
          <w:rFonts w:eastAsia="Times New Roman" w:cs="Arial"/>
          <w:color w:val="000000"/>
          <w:lang w:eastAsia="bg-BG"/>
        </w:rPr>
        <w:t xml:space="preserve">донепезилов хидрохлорид, маркиран с </w:t>
      </w:r>
      <w:r w:rsidRPr="00BF091A">
        <w:rPr>
          <w:rFonts w:eastAsia="Times New Roman" w:cs="Arial"/>
          <w:color w:val="000000"/>
          <w:vertAlign w:val="superscript"/>
          <w:lang w:eastAsia="bg-BG"/>
        </w:rPr>
        <w:t>14</w:t>
      </w:r>
      <w:r w:rsidRPr="00BF091A">
        <w:rPr>
          <w:rFonts w:eastAsia="Times New Roman" w:cs="Arial"/>
          <w:color w:val="000000"/>
          <w:lang w:eastAsia="bg-BG"/>
        </w:rPr>
        <w:t xml:space="preserve">С, приблизително 28% от </w:t>
      </w:r>
      <w:r w:rsidRPr="00BF091A">
        <w:rPr>
          <w:rFonts w:eastAsia="Times New Roman" w:cs="Arial"/>
          <w:color w:val="000000"/>
          <w:vertAlign w:val="superscript"/>
          <w:lang w:eastAsia="bg-BG"/>
        </w:rPr>
        <w:t>14</w:t>
      </w:r>
      <w:r w:rsidRPr="00BF091A">
        <w:rPr>
          <w:rFonts w:eastAsia="Times New Roman" w:cs="Arial"/>
          <w:color w:val="000000"/>
          <w:lang w:eastAsia="bg-BG"/>
        </w:rPr>
        <w:t>С-маркирания донепезил остават невъзстановени. Това показва, че донепезиловият хидрохлорид и/или неговите метаболити персистират в тялото за повече от 10 дни.</w:t>
      </w:r>
    </w:p>
    <w:p w14:paraId="3E82C5B5" w14:textId="77777777" w:rsidR="00BF091A" w:rsidRPr="00BF091A" w:rsidRDefault="00BF091A" w:rsidP="00BF091A">
      <w:pPr>
        <w:spacing w:line="240" w:lineRule="auto"/>
        <w:rPr>
          <w:rFonts w:eastAsia="Times New Roman" w:cs="Arial"/>
          <w:color w:val="000000"/>
          <w:u w:val="single"/>
          <w:lang w:eastAsia="bg-BG"/>
        </w:rPr>
      </w:pPr>
    </w:p>
    <w:p w14:paraId="0E9B7D06" w14:textId="032506CE"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u w:val="single"/>
          <w:lang w:eastAsia="bg-BG"/>
        </w:rPr>
        <w:t>Биотрансформация/елиминиране</w:t>
      </w:r>
    </w:p>
    <w:p w14:paraId="7E180AE5" w14:textId="77777777"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lang w:eastAsia="bg-BG"/>
        </w:rPr>
        <w:t xml:space="preserve">Донепезиловият хидрохлорид се отделя чрез урината непроменен и метаболизиран от цитохром Р-450 системата до множество метаболити, някои от които не са идентифицирани. След прилагане на еднократна доза от 5 </w:t>
      </w:r>
      <w:r w:rsidRPr="00BF091A">
        <w:rPr>
          <w:rFonts w:eastAsia="Times New Roman" w:cs="Arial"/>
          <w:color w:val="000000"/>
          <w:lang w:val="en-US"/>
        </w:rPr>
        <w:t xml:space="preserve">mg </w:t>
      </w:r>
      <w:r w:rsidRPr="00BF091A">
        <w:rPr>
          <w:rFonts w:eastAsia="Times New Roman" w:cs="Arial"/>
          <w:color w:val="000000"/>
          <w:vertAlign w:val="superscript"/>
          <w:lang w:eastAsia="bg-BG"/>
        </w:rPr>
        <w:t>14</w:t>
      </w:r>
      <w:r w:rsidRPr="00BF091A">
        <w:rPr>
          <w:rFonts w:eastAsia="Times New Roman" w:cs="Arial"/>
          <w:color w:val="000000"/>
          <w:lang w:eastAsia="bg-BG"/>
        </w:rPr>
        <w:t>С-маркиран донепезил, плазмената радиоактивност, изразена като процент от приложената доза се състои от непроменен донепезил (30%), 6-О- дезметилдонепезил (11%-единственият метаболит, който проявява активност, подобна на тази на донепезилов хидрохлорид), донепезил-цис</w:t>
      </w:r>
      <w:r w:rsidRPr="00BF091A">
        <w:rPr>
          <w:rFonts w:eastAsia="Times New Roman" w:cs="Arial"/>
          <w:color w:val="000000"/>
          <w:lang w:val="en-US"/>
        </w:rPr>
        <w:t>-N</w:t>
      </w:r>
      <w:r w:rsidRPr="00BF091A">
        <w:rPr>
          <w:rFonts w:eastAsia="Times New Roman" w:cs="Arial"/>
          <w:color w:val="000000"/>
          <w:lang w:eastAsia="bg-BG"/>
        </w:rPr>
        <w:t>-оксид (9%), 5-О-дезметилдонепезил (3%).</w:t>
      </w:r>
    </w:p>
    <w:p w14:paraId="7B66EA79" w14:textId="77777777"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lang w:eastAsia="bg-BG"/>
        </w:rPr>
        <w:t>Приблизително 57% от общата радиоакгивномаркирана доза се установява в урината (17% като непроменен донепезил) и 14,5% в изпражненията, което дава основание да се счита, че биотрансформацията и екскрецията в урината са първични пътища за елиминиране. Няма данни за ентерохепатална рециркулация на донепезилов хидрохлорид и/или неговите метаболити.</w:t>
      </w:r>
    </w:p>
    <w:p w14:paraId="01F67AD2" w14:textId="77777777" w:rsidR="00BF091A" w:rsidRPr="00BF091A" w:rsidRDefault="00BF091A" w:rsidP="00BF091A">
      <w:pPr>
        <w:spacing w:line="240" w:lineRule="auto"/>
        <w:rPr>
          <w:rFonts w:eastAsia="Times New Roman" w:cs="Arial"/>
          <w:color w:val="000000"/>
          <w:lang w:eastAsia="bg-BG"/>
        </w:rPr>
      </w:pPr>
    </w:p>
    <w:p w14:paraId="363E2AC1" w14:textId="39E7856D"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lang w:eastAsia="bg-BG"/>
        </w:rPr>
        <w:t>Плазмените концентрации на донепезил се понижават с полуживот от приблизително 70 часа.</w:t>
      </w:r>
    </w:p>
    <w:p w14:paraId="12210F04" w14:textId="77777777" w:rsidR="00BF091A" w:rsidRPr="00BF091A" w:rsidRDefault="00BF091A" w:rsidP="00BF091A">
      <w:pPr>
        <w:spacing w:line="240" w:lineRule="auto"/>
        <w:rPr>
          <w:rFonts w:eastAsia="Times New Roman" w:cs="Arial"/>
          <w:color w:val="000000"/>
          <w:lang w:eastAsia="bg-BG"/>
        </w:rPr>
      </w:pPr>
    </w:p>
    <w:p w14:paraId="09FAFF44" w14:textId="67D2840F" w:rsidR="00BF091A" w:rsidRPr="00BF091A" w:rsidRDefault="00BF091A" w:rsidP="00BF091A">
      <w:pPr>
        <w:spacing w:line="240" w:lineRule="auto"/>
        <w:rPr>
          <w:rFonts w:eastAsia="Times New Roman" w:cs="Arial"/>
          <w:sz w:val="28"/>
          <w:szCs w:val="28"/>
          <w:lang w:eastAsia="bg-BG"/>
        </w:rPr>
      </w:pPr>
      <w:r w:rsidRPr="00BF091A">
        <w:rPr>
          <w:rFonts w:eastAsia="Times New Roman" w:cs="Arial"/>
          <w:color w:val="000000"/>
          <w:lang w:eastAsia="bg-BG"/>
        </w:rPr>
        <w:t>Полът, расата и тютюнопушенето не повлияват клинично значимо плазмените концентрации на донепезилов хидрохлорид. Фармакокинетиката на донепезил не е специално изследвана при здрави пациенти в старческа възраст или при пациенти с болестта на Алцхаймер или пациенти със съдова деменция. В същото време средните плазмени концентрации при тези пациенти са сходни до голяма степен с тези при млади здрави доброволци.</w:t>
      </w:r>
    </w:p>
    <w:p w14:paraId="409399C2" w14:textId="77777777" w:rsidR="00BF091A" w:rsidRPr="00BF091A" w:rsidRDefault="00BF091A" w:rsidP="00BF091A">
      <w:pPr>
        <w:rPr>
          <w:rFonts w:eastAsia="Times New Roman" w:cs="Arial"/>
          <w:color w:val="000000"/>
          <w:lang w:eastAsia="bg-BG"/>
        </w:rPr>
      </w:pPr>
    </w:p>
    <w:p w14:paraId="766B1623" w14:textId="797E7F24" w:rsidR="00BF091A" w:rsidRPr="00BF091A" w:rsidRDefault="00BF091A" w:rsidP="00BF091A">
      <w:pPr>
        <w:rPr>
          <w:rFonts w:eastAsia="Times New Roman" w:cs="Arial"/>
          <w:color w:val="000000"/>
          <w:lang w:eastAsia="bg-BG"/>
        </w:rPr>
      </w:pPr>
      <w:r w:rsidRPr="00BF091A">
        <w:rPr>
          <w:rFonts w:eastAsia="Times New Roman" w:cs="Arial"/>
          <w:color w:val="000000"/>
          <w:lang w:eastAsia="bg-BG"/>
        </w:rPr>
        <w:t>При пациенти с лека до умерена чернодробна недостатъчност равновесните концентрации на</w:t>
      </w:r>
      <w:r w:rsidRPr="00BF091A">
        <w:rPr>
          <w:rFonts w:eastAsia="Times New Roman" w:cs="Arial"/>
          <w:smallCaps/>
          <w:color w:val="000000"/>
          <w:lang w:eastAsia="bg-BG"/>
        </w:rPr>
        <w:t xml:space="preserve"> </w:t>
      </w:r>
      <w:r w:rsidRPr="00BF091A">
        <w:rPr>
          <w:rFonts w:eastAsia="Times New Roman" w:cs="Arial"/>
          <w:color w:val="000000"/>
          <w:lang w:eastAsia="bg-BG"/>
        </w:rPr>
        <w:t xml:space="preserve">донепезил се повишават - средната </w:t>
      </w:r>
      <w:r w:rsidRPr="00BF091A">
        <w:rPr>
          <w:rFonts w:eastAsia="Times New Roman" w:cs="Arial"/>
          <w:color w:val="000000"/>
          <w:lang w:val="en-US"/>
        </w:rPr>
        <w:t xml:space="preserve">AUC </w:t>
      </w:r>
      <w:r w:rsidRPr="00BF091A">
        <w:rPr>
          <w:rFonts w:eastAsia="Times New Roman" w:cs="Arial"/>
          <w:color w:val="000000"/>
          <w:lang w:eastAsia="bg-BG"/>
        </w:rPr>
        <w:t>с 48% и средната С</w:t>
      </w:r>
      <w:r w:rsidRPr="00BF091A">
        <w:rPr>
          <w:rFonts w:eastAsia="Times New Roman" w:cs="Arial"/>
          <w:color w:val="000000"/>
          <w:vertAlign w:val="subscript"/>
          <w:lang w:val="en-US"/>
        </w:rPr>
        <w:t>max</w:t>
      </w:r>
      <w:r w:rsidRPr="00BF091A">
        <w:rPr>
          <w:rFonts w:eastAsia="Times New Roman" w:cs="Arial"/>
          <w:color w:val="000000"/>
          <w:lang w:eastAsia="bg-BG"/>
        </w:rPr>
        <w:t xml:space="preserve"> с 39% (вж. точка 4.2).</w:t>
      </w:r>
    </w:p>
    <w:p w14:paraId="0CCDD42D" w14:textId="77777777" w:rsidR="00BF091A" w:rsidRPr="00BF091A" w:rsidRDefault="00BF091A" w:rsidP="00BF091A"/>
    <w:p w14:paraId="6925FEB0" w14:textId="6D36C861" w:rsidR="00F62E44" w:rsidRDefault="002C50EE" w:rsidP="00387A66">
      <w:pPr>
        <w:pStyle w:val="Heading2"/>
      </w:pPr>
      <w:r>
        <w:t>5.3. Предклинични данни за безопасност</w:t>
      </w:r>
    </w:p>
    <w:p w14:paraId="69B220F4" w14:textId="71A72A3F" w:rsidR="00BF091A" w:rsidRDefault="00BF091A" w:rsidP="00BF091A"/>
    <w:p w14:paraId="0E456663" w14:textId="77777777" w:rsidR="00BF091A" w:rsidRPr="00BF091A" w:rsidRDefault="00BF091A" w:rsidP="00BF091A">
      <w:pPr>
        <w:rPr>
          <w:sz w:val="24"/>
          <w:szCs w:val="24"/>
          <w:lang w:eastAsia="bg-BG"/>
        </w:rPr>
      </w:pPr>
      <w:r w:rsidRPr="00BF091A">
        <w:rPr>
          <w:lang w:eastAsia="bg-BG"/>
        </w:rPr>
        <w:t>Продължителни проучвания върху експериментални животни показват, че това съединение предизвиква малко ефекти, различни от предвидените фармакологични ефекти, характерни за действието му като холинергичен стимулатор (вж. точка 4.9). Донепезил не показва мутагенност при анализ на тестове за мутагенност, където са използвани клетки на бактерии и бозайници. Някои кластогенни ефекти се наблюдават ин витро при концентрации, които са явно токсични за клетките и надхвърлят повече от 3 000 пъти равновесните плазмени концентрации. Не са наблюдавани кластогенни или други генотоксични ефекти при използване на ин виво микронуклеарен модел върху мишки. Няма данни за онкогенен потенциал при дългосрочни проучвания за канцерогенност при плъхове или мишки.</w:t>
      </w:r>
    </w:p>
    <w:p w14:paraId="7B001A36" w14:textId="77777777" w:rsidR="00BF091A" w:rsidRDefault="00BF091A" w:rsidP="00BF091A">
      <w:pPr>
        <w:rPr>
          <w:lang w:eastAsia="bg-BG"/>
        </w:rPr>
      </w:pPr>
    </w:p>
    <w:p w14:paraId="350CAB86" w14:textId="544F230A" w:rsidR="00BF091A" w:rsidRPr="00BF091A" w:rsidRDefault="00BF091A" w:rsidP="00BF091A">
      <w:r w:rsidRPr="00BF091A">
        <w:rPr>
          <w:lang w:eastAsia="bg-BG"/>
        </w:rPr>
        <w:t>Донепезиловият хидрохлорид не оказва ефект върху фертилитета при плъхове и не е тератогенен при плъхове или зайци, но има слаб ефект върху броя на мъртвите раждания и върху ранната преживяемост на новородените, когато се прилага при бременни плъхове в дози, надхвърлящи 50 пъти дозата, прилагана при хора (вж. точка 4.6).</w:t>
      </w:r>
    </w:p>
    <w:p w14:paraId="357049A8" w14:textId="049AB937" w:rsidR="00BB22B4" w:rsidRDefault="002C50EE" w:rsidP="00471F10">
      <w:pPr>
        <w:pStyle w:val="Heading1"/>
      </w:pPr>
      <w:r>
        <w:t>7. ПРИТЕЖАТЕЛ НА РАЗРЕШЕНИЕТО ЗА УПОТРЕБА</w:t>
      </w:r>
    </w:p>
    <w:p w14:paraId="3EC01C1E" w14:textId="6B037A05" w:rsidR="00BF091A" w:rsidRDefault="00BF091A" w:rsidP="00BF091A"/>
    <w:p w14:paraId="6E5B0C9E" w14:textId="77777777" w:rsidR="00BF091A" w:rsidRPr="00BF091A" w:rsidRDefault="00BF091A" w:rsidP="00BF091A">
      <w:pPr>
        <w:rPr>
          <w:sz w:val="24"/>
          <w:szCs w:val="24"/>
          <w:lang w:eastAsia="bg-BG"/>
        </w:rPr>
      </w:pPr>
      <w:r w:rsidRPr="00BF091A">
        <w:rPr>
          <w:lang w:eastAsia="bg-BG"/>
        </w:rPr>
        <w:t>Тева Фарма ЕАД</w:t>
      </w:r>
    </w:p>
    <w:p w14:paraId="5B5652DC" w14:textId="77777777" w:rsidR="00BF091A" w:rsidRDefault="00BF091A" w:rsidP="00BF091A">
      <w:pPr>
        <w:rPr>
          <w:lang w:eastAsia="bg-BG"/>
        </w:rPr>
      </w:pPr>
      <w:r w:rsidRPr="00BF091A">
        <w:rPr>
          <w:lang w:eastAsia="bg-BG"/>
        </w:rPr>
        <w:t xml:space="preserve">ул. „Люба Величкова“ № 9,1407 София </w:t>
      </w:r>
    </w:p>
    <w:p w14:paraId="7F6D0AD2" w14:textId="6A1FA6FE" w:rsidR="00BF091A" w:rsidRPr="00BF091A" w:rsidRDefault="00BF091A" w:rsidP="00BF091A">
      <w:r w:rsidRPr="00BF091A">
        <w:rPr>
          <w:lang w:eastAsia="bg-BG"/>
        </w:rPr>
        <w:t>България</w:t>
      </w:r>
    </w:p>
    <w:p w14:paraId="0A53321D" w14:textId="74FBD4FB" w:rsidR="00EE6C97" w:rsidRDefault="00936AD0" w:rsidP="00A93499">
      <w:pPr>
        <w:pStyle w:val="Heading1"/>
      </w:pPr>
      <w:r>
        <w:t>8.</w:t>
      </w:r>
      <w:r w:rsidR="002C50EE">
        <w:t>НОМЕР НА РАЗРЕШЕНИЕТО ЗА УПОТРЕБА</w:t>
      </w:r>
    </w:p>
    <w:p w14:paraId="7C2688F5" w14:textId="19B5B40A" w:rsidR="00F62E44" w:rsidRDefault="00F62E44" w:rsidP="00F62E44"/>
    <w:p w14:paraId="1E5730E8" w14:textId="77777777" w:rsidR="00C63504" w:rsidRPr="00C63504" w:rsidRDefault="00C63504" w:rsidP="00C63504">
      <w:pPr>
        <w:rPr>
          <w:sz w:val="24"/>
          <w:szCs w:val="24"/>
          <w:lang w:eastAsia="bg-BG"/>
        </w:rPr>
      </w:pPr>
      <w:r w:rsidRPr="00C63504">
        <w:rPr>
          <w:lang w:eastAsia="bg-BG"/>
        </w:rPr>
        <w:t xml:space="preserve">Донецепт 5 </w:t>
      </w:r>
      <w:r w:rsidRPr="00C63504">
        <w:rPr>
          <w:lang w:val="en-US"/>
        </w:rPr>
        <w:t xml:space="preserve">mg </w:t>
      </w:r>
      <w:r w:rsidRPr="00C63504">
        <w:rPr>
          <w:lang w:eastAsia="bg-BG"/>
        </w:rPr>
        <w:t xml:space="preserve">филмирани таблетки - </w:t>
      </w:r>
      <w:r w:rsidRPr="00C63504">
        <w:rPr>
          <w:lang w:val="en-US"/>
        </w:rPr>
        <w:t xml:space="preserve">per. </w:t>
      </w:r>
      <w:r w:rsidRPr="00C63504">
        <w:rPr>
          <w:lang w:eastAsia="bg-BG"/>
        </w:rPr>
        <w:t>№ 20080022</w:t>
      </w:r>
    </w:p>
    <w:p w14:paraId="6AC8AF9C" w14:textId="11FBFA6B" w:rsidR="00BF091A" w:rsidRDefault="00C63504" w:rsidP="00C63504">
      <w:r w:rsidRPr="00C63504">
        <w:rPr>
          <w:lang w:eastAsia="bg-BG"/>
        </w:rPr>
        <w:t xml:space="preserve">Донецепт 10 </w:t>
      </w:r>
      <w:r w:rsidRPr="00C63504">
        <w:rPr>
          <w:lang w:val="en-US"/>
        </w:rPr>
        <w:t xml:space="preserve">mg </w:t>
      </w:r>
      <w:r w:rsidRPr="00C63504">
        <w:rPr>
          <w:lang w:eastAsia="bg-BG"/>
        </w:rPr>
        <w:t xml:space="preserve">филмирани таблетки - </w:t>
      </w:r>
      <w:r w:rsidRPr="00C63504">
        <w:rPr>
          <w:lang w:val="en-US"/>
        </w:rPr>
        <w:t xml:space="preserve">per. </w:t>
      </w:r>
      <w:r w:rsidRPr="00C63504">
        <w:rPr>
          <w:lang w:eastAsia="bg-BG"/>
        </w:rPr>
        <w:t>№ 20080023</w:t>
      </w:r>
    </w:p>
    <w:p w14:paraId="00481C21" w14:textId="7E46FD89" w:rsidR="00F62E44" w:rsidRDefault="002C50EE" w:rsidP="00387A66">
      <w:pPr>
        <w:pStyle w:val="Heading1"/>
      </w:pPr>
      <w:r>
        <w:lastRenderedPageBreak/>
        <w:t>9. ДАТА НА ПЪРВО РАЗРЕШАВАНЕ/ПОДНОВЯВАНЕ НА РАЗРЕШЕНИЕТО ЗА УПОТРЕБА</w:t>
      </w:r>
    </w:p>
    <w:p w14:paraId="04797758" w14:textId="42E42723" w:rsidR="00C63504" w:rsidRDefault="00C63504" w:rsidP="00C63504"/>
    <w:p w14:paraId="2CE59DFC" w14:textId="77777777" w:rsidR="00C63504" w:rsidRPr="00C63504" w:rsidRDefault="00C63504" w:rsidP="00C63504">
      <w:pPr>
        <w:rPr>
          <w:sz w:val="24"/>
          <w:szCs w:val="24"/>
          <w:lang w:eastAsia="bg-BG"/>
        </w:rPr>
      </w:pPr>
      <w:r w:rsidRPr="00C63504">
        <w:rPr>
          <w:lang w:eastAsia="bg-BG"/>
        </w:rPr>
        <w:t>Дата на първо разрешаване: 11 август 2008 г.</w:t>
      </w:r>
    </w:p>
    <w:p w14:paraId="45BE3E16" w14:textId="7FEAA33C" w:rsidR="00C63504" w:rsidRPr="00C63504" w:rsidRDefault="00C63504" w:rsidP="00C63504">
      <w:r w:rsidRPr="00C63504">
        <w:rPr>
          <w:lang w:eastAsia="bg-BG"/>
        </w:rPr>
        <w:t>Дата на последно подновяване: 12 март 2013 г.</w:t>
      </w:r>
    </w:p>
    <w:p w14:paraId="43FB38A2" w14:textId="0C18A683" w:rsidR="007C605B" w:rsidRDefault="002C50EE" w:rsidP="005726E3">
      <w:pPr>
        <w:pStyle w:val="Heading1"/>
      </w:pPr>
      <w:r>
        <w:t>10. ДАТА НА АКТУАЛИЗИРАНЕ НА ТЕКСТА</w:t>
      </w:r>
      <w:bookmarkEnd w:id="0"/>
    </w:p>
    <w:p w14:paraId="472617BD" w14:textId="0C752613" w:rsidR="00BB22B4" w:rsidRPr="00BB22B4" w:rsidRDefault="00C63504" w:rsidP="00C63504">
      <w:r>
        <w:t>18/10/2022</w:t>
      </w:r>
    </w:p>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1260F8"/>
    <w:multiLevelType w:val="hybridMultilevel"/>
    <w:tmpl w:val="AEC09362"/>
    <w:lvl w:ilvl="0" w:tplc="278EC0F2">
      <w:start w:val="4"/>
      <w:numFmt w:val="bullet"/>
      <w:lvlText w:val="-"/>
      <w:lvlJc w:val="left"/>
      <w:pPr>
        <w:ind w:left="720" w:hanging="360"/>
      </w:pPr>
      <w:rPr>
        <w:rFonts w:ascii="Times New Roman" w:eastAsia="Times New Roman" w:hAnsi="Times New Roman" w:cs="Times New Roman" w:hint="default"/>
        <w:color w:val="000000"/>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5"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1"/>
  </w:num>
  <w:num w:numId="2" w16cid:durableId="1612932146">
    <w:abstractNumId w:val="0"/>
  </w:num>
  <w:num w:numId="3" w16cid:durableId="1810323821">
    <w:abstractNumId w:val="15"/>
  </w:num>
  <w:num w:numId="4" w16cid:durableId="2135319613">
    <w:abstractNumId w:val="3"/>
  </w:num>
  <w:num w:numId="5" w16cid:durableId="740105516">
    <w:abstractNumId w:val="1"/>
  </w:num>
  <w:num w:numId="6" w16cid:durableId="1668363208">
    <w:abstractNumId w:val="20"/>
  </w:num>
  <w:num w:numId="7" w16cid:durableId="1241988161">
    <w:abstractNumId w:val="12"/>
  </w:num>
  <w:num w:numId="8" w16cid:durableId="2102022361">
    <w:abstractNumId w:val="19"/>
  </w:num>
  <w:num w:numId="9" w16cid:durableId="1154613663">
    <w:abstractNumId w:val="2"/>
  </w:num>
  <w:num w:numId="10" w16cid:durableId="1733848127">
    <w:abstractNumId w:val="4"/>
  </w:num>
  <w:num w:numId="11" w16cid:durableId="1861704680">
    <w:abstractNumId w:val="34"/>
  </w:num>
  <w:num w:numId="12" w16cid:durableId="1434934028">
    <w:abstractNumId w:val="16"/>
  </w:num>
  <w:num w:numId="13" w16cid:durableId="479157895">
    <w:abstractNumId w:val="23"/>
  </w:num>
  <w:num w:numId="14" w16cid:durableId="1670476636">
    <w:abstractNumId w:val="14"/>
  </w:num>
  <w:num w:numId="15" w16cid:durableId="1000155783">
    <w:abstractNumId w:val="33"/>
  </w:num>
  <w:num w:numId="16" w16cid:durableId="2056420707">
    <w:abstractNumId w:val="11"/>
  </w:num>
  <w:num w:numId="17" w16cid:durableId="1787119182">
    <w:abstractNumId w:val="28"/>
  </w:num>
  <w:num w:numId="18" w16cid:durableId="722945139">
    <w:abstractNumId w:val="8"/>
  </w:num>
  <w:num w:numId="19" w16cid:durableId="1678728408">
    <w:abstractNumId w:val="30"/>
  </w:num>
  <w:num w:numId="20" w16cid:durableId="1970816657">
    <w:abstractNumId w:val="27"/>
  </w:num>
  <w:num w:numId="21" w16cid:durableId="1531146514">
    <w:abstractNumId w:val="21"/>
  </w:num>
  <w:num w:numId="22" w16cid:durableId="1276465">
    <w:abstractNumId w:val="29"/>
  </w:num>
  <w:num w:numId="23" w16cid:durableId="1624310558">
    <w:abstractNumId w:val="22"/>
  </w:num>
  <w:num w:numId="24" w16cid:durableId="1692877547">
    <w:abstractNumId w:val="9"/>
  </w:num>
  <w:num w:numId="25" w16cid:durableId="50930855">
    <w:abstractNumId w:val="26"/>
  </w:num>
  <w:num w:numId="26" w16cid:durableId="176701536">
    <w:abstractNumId w:val="25"/>
  </w:num>
  <w:num w:numId="27" w16cid:durableId="2050564750">
    <w:abstractNumId w:val="35"/>
  </w:num>
  <w:num w:numId="28" w16cid:durableId="1820733422">
    <w:abstractNumId w:val="6"/>
  </w:num>
  <w:num w:numId="29" w16cid:durableId="973678124">
    <w:abstractNumId w:val="24"/>
  </w:num>
  <w:num w:numId="30" w16cid:durableId="154884452">
    <w:abstractNumId w:val="39"/>
  </w:num>
  <w:num w:numId="31" w16cid:durableId="1053964910">
    <w:abstractNumId w:val="5"/>
  </w:num>
  <w:num w:numId="32" w16cid:durableId="2073575793">
    <w:abstractNumId w:val="37"/>
  </w:num>
  <w:num w:numId="33" w16cid:durableId="1566643170">
    <w:abstractNumId w:val="32"/>
  </w:num>
  <w:num w:numId="34" w16cid:durableId="2060787732">
    <w:abstractNumId w:val="36"/>
  </w:num>
  <w:num w:numId="35" w16cid:durableId="34161354">
    <w:abstractNumId w:val="7"/>
  </w:num>
  <w:num w:numId="36" w16cid:durableId="1976908676">
    <w:abstractNumId w:val="10"/>
  </w:num>
  <w:num w:numId="37" w16cid:durableId="758528303">
    <w:abstractNumId w:val="17"/>
  </w:num>
  <w:num w:numId="38" w16cid:durableId="178396561">
    <w:abstractNumId w:val="38"/>
  </w:num>
  <w:num w:numId="39" w16cid:durableId="934825996">
    <w:abstractNumId w:val="13"/>
  </w:num>
  <w:num w:numId="40" w16cid:durableId="20476386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85A46"/>
    <w:rsid w:val="001915B6"/>
    <w:rsid w:val="001A6EBD"/>
    <w:rsid w:val="001D095A"/>
    <w:rsid w:val="001D1B23"/>
    <w:rsid w:val="002B3C38"/>
    <w:rsid w:val="002B4DBB"/>
    <w:rsid w:val="002C50EE"/>
    <w:rsid w:val="00340A0A"/>
    <w:rsid w:val="00340E8D"/>
    <w:rsid w:val="003765DC"/>
    <w:rsid w:val="00387A66"/>
    <w:rsid w:val="00395555"/>
    <w:rsid w:val="003E3126"/>
    <w:rsid w:val="00426E5F"/>
    <w:rsid w:val="00471F10"/>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8F7F23"/>
    <w:rsid w:val="00936AD0"/>
    <w:rsid w:val="00954129"/>
    <w:rsid w:val="009773E4"/>
    <w:rsid w:val="009B171C"/>
    <w:rsid w:val="009F1313"/>
    <w:rsid w:val="009F77A4"/>
    <w:rsid w:val="00A20351"/>
    <w:rsid w:val="00A428B7"/>
    <w:rsid w:val="00A65A81"/>
    <w:rsid w:val="00A71DCF"/>
    <w:rsid w:val="00A93499"/>
    <w:rsid w:val="00AA23EC"/>
    <w:rsid w:val="00AC63CE"/>
    <w:rsid w:val="00AE2107"/>
    <w:rsid w:val="00B275A8"/>
    <w:rsid w:val="00B6672E"/>
    <w:rsid w:val="00BA5B74"/>
    <w:rsid w:val="00BB22B4"/>
    <w:rsid w:val="00BF091A"/>
    <w:rsid w:val="00BF2600"/>
    <w:rsid w:val="00C0049F"/>
    <w:rsid w:val="00C07B84"/>
    <w:rsid w:val="00C33464"/>
    <w:rsid w:val="00C40420"/>
    <w:rsid w:val="00C63504"/>
    <w:rsid w:val="00C809A7"/>
    <w:rsid w:val="00C83063"/>
    <w:rsid w:val="00C87E90"/>
    <w:rsid w:val="00CA1B57"/>
    <w:rsid w:val="00CF77F7"/>
    <w:rsid w:val="00D86297"/>
    <w:rsid w:val="00DB32D3"/>
    <w:rsid w:val="00DD466D"/>
    <w:rsid w:val="00E9184E"/>
    <w:rsid w:val="00EB6364"/>
    <w:rsid w:val="00EE6C97"/>
    <w:rsid w:val="00F37B64"/>
    <w:rsid w:val="00F53FB7"/>
    <w:rsid w:val="00F62E4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3563</Words>
  <Characters>20315</Characters>
  <Application>Microsoft Office Word</Application>
  <DocSecurity>0</DocSecurity>
  <Lines>169</Lines>
  <Paragraphs>47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2023-03-02T16:50:00Z</dcterms:created>
  <dcterms:modified xsi:type="dcterms:W3CDTF">2023-03-02T16:50:00Z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