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698FE4DB" w:rsidR="00AA23EC" w:rsidRDefault="00DD466D" w:rsidP="00DD466D">
      <w:pPr>
        <w:pStyle w:val="Heading1"/>
      </w:pPr>
      <w:r>
        <w:t>1.ИМЕ НА ЛЕКАРСТВЕНИЯ ПРОДУКТ</w:t>
      </w:r>
    </w:p>
    <w:p w14:paraId="504BA084" w14:textId="0059C492" w:rsidR="009331DC" w:rsidRDefault="009331DC" w:rsidP="009331DC"/>
    <w:p w14:paraId="553DB885"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 xml:space="preserve">Донепезил Акорд 5 </w:t>
      </w:r>
      <w:r w:rsidRPr="009331DC">
        <w:rPr>
          <w:rFonts w:eastAsia="Times New Roman" w:cs="Arial"/>
          <w:color w:val="000000"/>
          <w:lang w:val="en-US"/>
        </w:rPr>
        <w:t>mg</w:t>
      </w:r>
      <w:r w:rsidRPr="009331DC">
        <w:rPr>
          <w:rFonts w:eastAsia="Times New Roman" w:cs="Arial"/>
          <w:color w:val="000000"/>
        </w:rPr>
        <w:t xml:space="preserve"> </w:t>
      </w:r>
      <w:r w:rsidRPr="009331DC">
        <w:rPr>
          <w:rFonts w:eastAsia="Times New Roman" w:cs="Arial"/>
          <w:color w:val="000000"/>
          <w:lang w:eastAsia="bg-BG"/>
        </w:rPr>
        <w:t>филмирани таблетки</w:t>
      </w:r>
    </w:p>
    <w:p w14:paraId="3A8ECF8B" w14:textId="77777777" w:rsidR="009331DC" w:rsidRPr="009331DC" w:rsidRDefault="009331DC" w:rsidP="009331DC">
      <w:pPr>
        <w:spacing w:line="240" w:lineRule="auto"/>
        <w:rPr>
          <w:rFonts w:eastAsia="Times New Roman" w:cs="Arial"/>
          <w:color w:val="000000"/>
        </w:rPr>
      </w:pPr>
      <w:r w:rsidRPr="009331DC">
        <w:rPr>
          <w:rFonts w:eastAsia="Times New Roman" w:cs="Arial"/>
          <w:color w:val="000000"/>
          <w:lang w:val="en-US"/>
        </w:rPr>
        <w:t>Donepezil</w:t>
      </w:r>
      <w:r w:rsidRPr="009331DC">
        <w:rPr>
          <w:rFonts w:eastAsia="Times New Roman" w:cs="Arial"/>
          <w:color w:val="000000"/>
        </w:rPr>
        <w:t xml:space="preserve"> </w:t>
      </w:r>
      <w:r w:rsidRPr="009331DC">
        <w:rPr>
          <w:rFonts w:eastAsia="Times New Roman" w:cs="Arial"/>
          <w:color w:val="000000"/>
          <w:lang w:val="en-US"/>
        </w:rPr>
        <w:t>Accord</w:t>
      </w:r>
      <w:r w:rsidRPr="009331DC">
        <w:rPr>
          <w:rFonts w:eastAsia="Times New Roman" w:cs="Arial"/>
          <w:color w:val="000000"/>
        </w:rPr>
        <w:t xml:space="preserve"> </w:t>
      </w:r>
      <w:r w:rsidRPr="009331DC">
        <w:rPr>
          <w:rFonts w:eastAsia="Times New Roman" w:cs="Arial"/>
          <w:color w:val="000000"/>
          <w:lang w:eastAsia="bg-BG"/>
        </w:rPr>
        <w:t xml:space="preserve">5 </w:t>
      </w:r>
      <w:r w:rsidRPr="009331DC">
        <w:rPr>
          <w:rFonts w:eastAsia="Times New Roman" w:cs="Arial"/>
          <w:color w:val="000000"/>
          <w:lang w:val="en-US"/>
        </w:rPr>
        <w:t>mg</w:t>
      </w:r>
      <w:r w:rsidRPr="009331DC">
        <w:rPr>
          <w:rFonts w:eastAsia="Times New Roman" w:cs="Arial"/>
          <w:color w:val="000000"/>
        </w:rPr>
        <w:t xml:space="preserve"> </w:t>
      </w:r>
      <w:r w:rsidRPr="009331DC">
        <w:rPr>
          <w:rFonts w:eastAsia="Times New Roman" w:cs="Arial"/>
          <w:color w:val="000000"/>
          <w:lang w:val="en-US"/>
        </w:rPr>
        <w:t>film</w:t>
      </w:r>
      <w:r w:rsidRPr="009331DC">
        <w:rPr>
          <w:rFonts w:eastAsia="Times New Roman" w:cs="Arial"/>
          <w:color w:val="000000"/>
        </w:rPr>
        <w:t>-</w:t>
      </w:r>
      <w:r w:rsidRPr="009331DC">
        <w:rPr>
          <w:rFonts w:eastAsia="Times New Roman" w:cs="Arial"/>
          <w:color w:val="000000"/>
          <w:lang w:val="en-US"/>
        </w:rPr>
        <w:t>coated</w:t>
      </w:r>
      <w:r w:rsidRPr="009331DC">
        <w:rPr>
          <w:rFonts w:eastAsia="Times New Roman" w:cs="Arial"/>
          <w:color w:val="000000"/>
        </w:rPr>
        <w:t xml:space="preserve"> </w:t>
      </w:r>
      <w:r w:rsidRPr="009331DC">
        <w:rPr>
          <w:rFonts w:eastAsia="Times New Roman" w:cs="Arial"/>
          <w:color w:val="000000"/>
          <w:lang w:val="en-US"/>
        </w:rPr>
        <w:t>tablets</w:t>
      </w:r>
      <w:r w:rsidRPr="009331DC">
        <w:rPr>
          <w:rFonts w:eastAsia="Times New Roman" w:cs="Arial"/>
          <w:color w:val="000000"/>
        </w:rPr>
        <w:t xml:space="preserve"> </w:t>
      </w:r>
    </w:p>
    <w:p w14:paraId="4FFDD356" w14:textId="77777777" w:rsidR="009331DC" w:rsidRPr="009331DC" w:rsidRDefault="009331DC" w:rsidP="009331DC">
      <w:pPr>
        <w:spacing w:line="240" w:lineRule="auto"/>
        <w:rPr>
          <w:rFonts w:eastAsia="Times New Roman" w:cs="Arial"/>
          <w:color w:val="000000"/>
          <w:lang w:eastAsia="bg-BG"/>
        </w:rPr>
      </w:pPr>
      <w:r w:rsidRPr="009331DC">
        <w:rPr>
          <w:rFonts w:eastAsia="Times New Roman" w:cs="Arial"/>
          <w:color w:val="000000"/>
          <w:lang w:eastAsia="bg-BG"/>
        </w:rPr>
        <w:t xml:space="preserve">Донепезил Акорд </w:t>
      </w:r>
      <w:r w:rsidRPr="009331DC">
        <w:rPr>
          <w:rFonts w:eastAsia="Times New Roman" w:cs="Arial"/>
          <w:color w:val="000000"/>
        </w:rPr>
        <w:t xml:space="preserve">10 </w:t>
      </w:r>
      <w:r w:rsidRPr="009331DC">
        <w:rPr>
          <w:rFonts w:eastAsia="Times New Roman" w:cs="Arial"/>
          <w:color w:val="000000"/>
          <w:lang w:val="en-US"/>
        </w:rPr>
        <w:t>mg</w:t>
      </w:r>
      <w:r w:rsidRPr="009331DC">
        <w:rPr>
          <w:rFonts w:eastAsia="Times New Roman" w:cs="Arial"/>
          <w:color w:val="000000"/>
        </w:rPr>
        <w:t xml:space="preserve"> </w:t>
      </w:r>
      <w:r w:rsidRPr="009331DC">
        <w:rPr>
          <w:rFonts w:eastAsia="Times New Roman" w:cs="Arial"/>
          <w:color w:val="000000"/>
          <w:lang w:eastAsia="bg-BG"/>
        </w:rPr>
        <w:t xml:space="preserve">филмирани таблетки </w:t>
      </w:r>
    </w:p>
    <w:p w14:paraId="3BDCB955" w14:textId="13BCE084"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val="en-US"/>
        </w:rPr>
        <w:t>Donepezil</w:t>
      </w:r>
      <w:r w:rsidRPr="009331DC">
        <w:rPr>
          <w:rFonts w:eastAsia="Times New Roman" w:cs="Arial"/>
          <w:color w:val="000000"/>
        </w:rPr>
        <w:t xml:space="preserve"> </w:t>
      </w:r>
      <w:r w:rsidRPr="009331DC">
        <w:rPr>
          <w:rFonts w:eastAsia="Times New Roman" w:cs="Arial"/>
          <w:color w:val="000000"/>
          <w:lang w:val="en-US"/>
        </w:rPr>
        <w:t>Accord</w:t>
      </w:r>
      <w:r w:rsidRPr="009331DC">
        <w:rPr>
          <w:rFonts w:eastAsia="Times New Roman" w:cs="Arial"/>
          <w:color w:val="000000"/>
        </w:rPr>
        <w:t xml:space="preserve"> 10 </w:t>
      </w:r>
      <w:r w:rsidRPr="009331DC">
        <w:rPr>
          <w:rFonts w:eastAsia="Times New Roman" w:cs="Arial"/>
          <w:color w:val="000000"/>
          <w:lang w:val="en-US"/>
        </w:rPr>
        <w:t>mg</w:t>
      </w:r>
      <w:r w:rsidRPr="009331DC">
        <w:rPr>
          <w:rFonts w:eastAsia="Times New Roman" w:cs="Arial"/>
          <w:color w:val="000000"/>
        </w:rPr>
        <w:t xml:space="preserve"> </w:t>
      </w:r>
      <w:r w:rsidRPr="009331DC">
        <w:rPr>
          <w:rFonts w:eastAsia="Times New Roman" w:cs="Arial"/>
          <w:color w:val="000000"/>
          <w:lang w:val="en-US"/>
        </w:rPr>
        <w:t>film</w:t>
      </w:r>
      <w:r w:rsidRPr="009331DC">
        <w:rPr>
          <w:rFonts w:eastAsia="Times New Roman" w:cs="Arial"/>
          <w:color w:val="000000"/>
        </w:rPr>
        <w:t>-</w:t>
      </w:r>
      <w:r w:rsidRPr="009331DC">
        <w:rPr>
          <w:rFonts w:eastAsia="Times New Roman" w:cs="Arial"/>
          <w:color w:val="000000"/>
          <w:lang w:val="en-US"/>
        </w:rPr>
        <w:t>coated</w:t>
      </w:r>
      <w:r w:rsidRPr="009331DC">
        <w:rPr>
          <w:rFonts w:eastAsia="Times New Roman" w:cs="Arial"/>
          <w:color w:val="000000"/>
        </w:rPr>
        <w:t xml:space="preserve"> </w:t>
      </w:r>
      <w:r w:rsidRPr="009331DC">
        <w:rPr>
          <w:rFonts w:eastAsia="Times New Roman" w:cs="Arial"/>
          <w:color w:val="000000"/>
          <w:lang w:val="en-US"/>
        </w:rPr>
        <w:t>tablets</w:t>
      </w:r>
    </w:p>
    <w:p w14:paraId="0ED6B5A3" w14:textId="77777777" w:rsidR="009331DC" w:rsidRPr="009331DC" w:rsidRDefault="009331DC" w:rsidP="009331DC"/>
    <w:p w14:paraId="0A368469" w14:textId="3AC2D9A7" w:rsidR="00C0049F" w:rsidRDefault="00DD466D" w:rsidP="009F1313">
      <w:pPr>
        <w:pStyle w:val="Heading1"/>
      </w:pPr>
      <w:r>
        <w:t>2. КАЧЕСТВЕН И КОЛИЧЕСТВЕН СЪСТАВ</w:t>
      </w:r>
    </w:p>
    <w:p w14:paraId="6024A7F1" w14:textId="794BC54E" w:rsidR="009331DC" w:rsidRDefault="009331DC" w:rsidP="009331DC"/>
    <w:p w14:paraId="3F5F5DA2" w14:textId="77777777" w:rsidR="009331DC" w:rsidRPr="009331DC" w:rsidRDefault="009331DC" w:rsidP="009331DC">
      <w:pPr>
        <w:spacing w:line="240" w:lineRule="auto"/>
        <w:rPr>
          <w:rFonts w:eastAsia="Times New Roman" w:cs="Arial"/>
        </w:rPr>
      </w:pPr>
      <w:r w:rsidRPr="009331DC">
        <w:rPr>
          <w:rFonts w:eastAsia="Times New Roman" w:cs="Arial"/>
          <w:color w:val="000000"/>
          <w:u w:val="single"/>
          <w:lang w:eastAsia="bg-BG"/>
        </w:rPr>
        <w:t xml:space="preserve">За 5 </w:t>
      </w:r>
      <w:r w:rsidRPr="009331DC">
        <w:rPr>
          <w:rFonts w:eastAsia="Times New Roman" w:cs="Arial"/>
          <w:color w:val="000000"/>
          <w:u w:val="single"/>
          <w:lang w:val="en-US"/>
        </w:rPr>
        <w:t>mg</w:t>
      </w:r>
      <w:r w:rsidRPr="009331DC">
        <w:rPr>
          <w:rFonts w:eastAsia="Times New Roman" w:cs="Arial"/>
          <w:color w:val="000000"/>
          <w:u w:val="single"/>
        </w:rPr>
        <w:t>:</w:t>
      </w:r>
    </w:p>
    <w:p w14:paraId="4897E066" w14:textId="77777777" w:rsidR="009331DC" w:rsidRPr="009331DC" w:rsidRDefault="009331DC" w:rsidP="009331DC">
      <w:pPr>
        <w:spacing w:line="240" w:lineRule="auto"/>
        <w:rPr>
          <w:rFonts w:eastAsia="Times New Roman" w:cs="Arial"/>
        </w:rPr>
      </w:pPr>
      <w:r w:rsidRPr="009331DC">
        <w:rPr>
          <w:rFonts w:eastAsia="Times New Roman" w:cs="Arial"/>
          <w:color w:val="000000"/>
          <w:lang w:eastAsia="bg-BG"/>
        </w:rPr>
        <w:t xml:space="preserve">Всяка филмирана таблетка съдържа: Донепезил хидрохлорид монохидрат </w:t>
      </w:r>
      <w:r w:rsidRPr="009331DC">
        <w:rPr>
          <w:rFonts w:eastAsia="Times New Roman" w:cs="Arial"/>
          <w:i/>
          <w:iCs/>
          <w:color w:val="000000"/>
        </w:rPr>
        <w:t>(</w:t>
      </w:r>
      <w:r w:rsidRPr="009331DC">
        <w:rPr>
          <w:rFonts w:eastAsia="Times New Roman" w:cs="Arial"/>
          <w:i/>
          <w:iCs/>
          <w:color w:val="000000"/>
          <w:lang w:val="en-US"/>
        </w:rPr>
        <w:t>donepezil</w:t>
      </w:r>
      <w:r w:rsidRPr="009331DC">
        <w:rPr>
          <w:rFonts w:eastAsia="Times New Roman" w:cs="Arial"/>
          <w:i/>
          <w:iCs/>
          <w:color w:val="000000"/>
        </w:rPr>
        <w:t xml:space="preserve"> </w:t>
      </w:r>
      <w:r w:rsidRPr="009331DC">
        <w:rPr>
          <w:rFonts w:eastAsia="Times New Roman" w:cs="Arial"/>
          <w:i/>
          <w:iCs/>
          <w:color w:val="000000"/>
          <w:lang w:val="en-US"/>
        </w:rPr>
        <w:t>hydrochloride</w:t>
      </w:r>
      <w:r w:rsidRPr="009331DC">
        <w:rPr>
          <w:rFonts w:eastAsia="Times New Roman" w:cs="Arial"/>
          <w:i/>
          <w:iCs/>
          <w:color w:val="000000"/>
        </w:rPr>
        <w:t xml:space="preserve"> </w:t>
      </w:r>
      <w:r w:rsidRPr="009331DC">
        <w:rPr>
          <w:rFonts w:eastAsia="Times New Roman" w:cs="Arial"/>
          <w:i/>
          <w:iCs/>
          <w:color w:val="000000"/>
          <w:lang w:val="en-US"/>
        </w:rPr>
        <w:t>monohydrate</w:t>
      </w:r>
      <w:r w:rsidRPr="009331DC">
        <w:rPr>
          <w:rFonts w:eastAsia="Times New Roman" w:cs="Arial"/>
          <w:i/>
          <w:iCs/>
          <w:color w:val="000000"/>
        </w:rPr>
        <w:t>),</w:t>
      </w:r>
      <w:r w:rsidRPr="009331DC">
        <w:rPr>
          <w:rFonts w:eastAsia="Times New Roman" w:cs="Arial"/>
          <w:color w:val="000000"/>
        </w:rPr>
        <w:t xml:space="preserve"> </w:t>
      </w:r>
      <w:r w:rsidRPr="009331DC">
        <w:rPr>
          <w:rFonts w:eastAsia="Times New Roman" w:cs="Arial"/>
          <w:color w:val="000000"/>
          <w:lang w:eastAsia="bg-BG"/>
        </w:rPr>
        <w:t xml:space="preserve">еквивалентен на 5 </w:t>
      </w:r>
      <w:r w:rsidRPr="009331DC">
        <w:rPr>
          <w:rFonts w:eastAsia="Times New Roman" w:cs="Arial"/>
          <w:color w:val="000000"/>
          <w:lang w:val="en-US"/>
        </w:rPr>
        <w:t>mg</w:t>
      </w:r>
      <w:r w:rsidRPr="009331DC">
        <w:rPr>
          <w:rFonts w:eastAsia="Times New Roman" w:cs="Arial"/>
          <w:color w:val="000000"/>
        </w:rPr>
        <w:t xml:space="preserve"> </w:t>
      </w:r>
      <w:r w:rsidRPr="009331DC">
        <w:rPr>
          <w:rFonts w:eastAsia="Times New Roman" w:cs="Arial"/>
          <w:color w:val="000000"/>
          <w:lang w:eastAsia="bg-BG"/>
        </w:rPr>
        <w:t>донепезил хидрохлорид.</w:t>
      </w:r>
    </w:p>
    <w:p w14:paraId="05888D03" w14:textId="77777777" w:rsidR="009331DC" w:rsidRPr="009331DC" w:rsidRDefault="009331DC" w:rsidP="009331DC">
      <w:pPr>
        <w:spacing w:line="240" w:lineRule="auto"/>
        <w:rPr>
          <w:rFonts w:eastAsia="Times New Roman" w:cs="Arial"/>
        </w:rPr>
      </w:pPr>
      <w:r w:rsidRPr="009331DC">
        <w:rPr>
          <w:rFonts w:eastAsia="Times New Roman" w:cs="Arial"/>
          <w:color w:val="000000"/>
          <w:lang w:eastAsia="bg-BG"/>
        </w:rPr>
        <w:t xml:space="preserve">Помощно вещество </w:t>
      </w:r>
      <w:r w:rsidRPr="009331DC">
        <w:rPr>
          <w:rFonts w:eastAsia="Times New Roman" w:cs="Arial"/>
          <w:color w:val="000000"/>
          <w:u w:val="single"/>
          <w:lang w:eastAsia="bg-BG"/>
        </w:rPr>
        <w:t>с известно действие:</w:t>
      </w:r>
      <w:r w:rsidRPr="009331DC">
        <w:rPr>
          <w:rFonts w:eastAsia="Times New Roman" w:cs="Arial"/>
          <w:color w:val="000000"/>
          <w:lang w:eastAsia="bg-BG"/>
        </w:rPr>
        <w:t xml:space="preserve"> лактоза монохидрат 98,00 </w:t>
      </w:r>
      <w:r w:rsidRPr="009331DC">
        <w:rPr>
          <w:rFonts w:eastAsia="Times New Roman" w:cs="Arial"/>
          <w:color w:val="000000"/>
          <w:lang w:val="en-US"/>
        </w:rPr>
        <w:t>mg</w:t>
      </w:r>
    </w:p>
    <w:p w14:paraId="07709788" w14:textId="77777777" w:rsidR="009331DC" w:rsidRPr="009331DC" w:rsidRDefault="009331DC" w:rsidP="009331DC">
      <w:pPr>
        <w:spacing w:line="240" w:lineRule="auto"/>
        <w:rPr>
          <w:rFonts w:eastAsia="Times New Roman" w:cs="Arial"/>
          <w:color w:val="000000"/>
          <w:u w:val="single"/>
          <w:lang w:eastAsia="bg-BG"/>
        </w:rPr>
      </w:pPr>
    </w:p>
    <w:p w14:paraId="62966B67" w14:textId="5762E178" w:rsidR="009331DC" w:rsidRPr="009331DC" w:rsidRDefault="009331DC" w:rsidP="009331DC">
      <w:pPr>
        <w:spacing w:line="240" w:lineRule="auto"/>
        <w:rPr>
          <w:rFonts w:eastAsia="Times New Roman" w:cs="Arial"/>
        </w:rPr>
      </w:pPr>
      <w:r w:rsidRPr="009331DC">
        <w:rPr>
          <w:rFonts w:eastAsia="Times New Roman" w:cs="Arial"/>
          <w:color w:val="000000"/>
          <w:u w:val="single"/>
          <w:lang w:eastAsia="bg-BG"/>
        </w:rPr>
        <w:t>За 10</w:t>
      </w:r>
      <w:r w:rsidRPr="009331DC">
        <w:rPr>
          <w:rFonts w:eastAsia="Times New Roman" w:cs="Arial"/>
          <w:color w:val="000000"/>
          <w:u w:val="single"/>
        </w:rPr>
        <w:t xml:space="preserve"> </w:t>
      </w:r>
      <w:r w:rsidRPr="009331DC">
        <w:rPr>
          <w:rFonts w:eastAsia="Times New Roman" w:cs="Arial"/>
          <w:color w:val="000000"/>
          <w:u w:val="single"/>
          <w:lang w:val="en-US"/>
        </w:rPr>
        <w:t>mg</w:t>
      </w:r>
      <w:r w:rsidRPr="009331DC">
        <w:rPr>
          <w:rFonts w:eastAsia="Times New Roman" w:cs="Arial"/>
          <w:color w:val="000000"/>
          <w:u w:val="single"/>
        </w:rPr>
        <w:t>:</w:t>
      </w:r>
    </w:p>
    <w:p w14:paraId="3FA33AEA" w14:textId="77777777" w:rsidR="009331DC" w:rsidRPr="009331DC" w:rsidRDefault="009331DC" w:rsidP="009331DC">
      <w:pPr>
        <w:spacing w:line="240" w:lineRule="auto"/>
        <w:rPr>
          <w:rFonts w:eastAsia="Times New Roman" w:cs="Arial"/>
        </w:rPr>
      </w:pPr>
      <w:r w:rsidRPr="009331DC">
        <w:rPr>
          <w:rFonts w:eastAsia="Times New Roman" w:cs="Arial"/>
          <w:color w:val="000000"/>
          <w:lang w:eastAsia="bg-BG"/>
        </w:rPr>
        <w:t xml:space="preserve">Всяка филмирана таблетка съдържа: Донепезил хидрохлорид монохидрат </w:t>
      </w:r>
      <w:r w:rsidRPr="009331DC">
        <w:rPr>
          <w:rFonts w:eastAsia="Times New Roman" w:cs="Arial"/>
          <w:i/>
          <w:iCs/>
          <w:color w:val="000000"/>
        </w:rPr>
        <w:t>(</w:t>
      </w:r>
      <w:r w:rsidRPr="009331DC">
        <w:rPr>
          <w:rFonts w:eastAsia="Times New Roman" w:cs="Arial"/>
          <w:i/>
          <w:iCs/>
          <w:color w:val="000000"/>
          <w:lang w:val="en-US"/>
        </w:rPr>
        <w:t>donepezil</w:t>
      </w:r>
      <w:r w:rsidRPr="009331DC">
        <w:rPr>
          <w:rFonts w:eastAsia="Times New Roman" w:cs="Arial"/>
          <w:i/>
          <w:iCs/>
          <w:color w:val="000000"/>
        </w:rPr>
        <w:t xml:space="preserve"> </w:t>
      </w:r>
      <w:r w:rsidRPr="009331DC">
        <w:rPr>
          <w:rFonts w:eastAsia="Times New Roman" w:cs="Arial"/>
          <w:i/>
          <w:iCs/>
          <w:color w:val="000000"/>
          <w:lang w:val="en-US"/>
        </w:rPr>
        <w:t>hydrochloride</w:t>
      </w:r>
      <w:r w:rsidRPr="009331DC">
        <w:rPr>
          <w:rFonts w:eastAsia="Times New Roman" w:cs="Arial"/>
          <w:i/>
          <w:iCs/>
          <w:color w:val="000000"/>
        </w:rPr>
        <w:t xml:space="preserve"> </w:t>
      </w:r>
      <w:r w:rsidRPr="009331DC">
        <w:rPr>
          <w:rFonts w:eastAsia="Times New Roman" w:cs="Arial"/>
          <w:i/>
          <w:iCs/>
          <w:color w:val="000000"/>
          <w:lang w:val="en-US"/>
        </w:rPr>
        <w:t>monohydrate</w:t>
      </w:r>
      <w:r w:rsidRPr="009331DC">
        <w:rPr>
          <w:rFonts w:eastAsia="Times New Roman" w:cs="Arial"/>
          <w:i/>
          <w:iCs/>
          <w:color w:val="000000"/>
        </w:rPr>
        <w:t>),</w:t>
      </w:r>
      <w:r w:rsidRPr="009331DC">
        <w:rPr>
          <w:rFonts w:eastAsia="Times New Roman" w:cs="Arial"/>
          <w:color w:val="000000"/>
        </w:rPr>
        <w:t xml:space="preserve"> </w:t>
      </w:r>
      <w:r w:rsidRPr="009331DC">
        <w:rPr>
          <w:rFonts w:eastAsia="Times New Roman" w:cs="Arial"/>
          <w:color w:val="000000"/>
          <w:lang w:eastAsia="bg-BG"/>
        </w:rPr>
        <w:t xml:space="preserve">еквивалентен на 10 </w:t>
      </w:r>
      <w:r w:rsidRPr="009331DC">
        <w:rPr>
          <w:rFonts w:eastAsia="Times New Roman" w:cs="Arial"/>
          <w:color w:val="000000"/>
          <w:lang w:val="en-US"/>
        </w:rPr>
        <w:t>mg</w:t>
      </w:r>
      <w:r w:rsidRPr="009331DC">
        <w:rPr>
          <w:rFonts w:eastAsia="Times New Roman" w:cs="Arial"/>
          <w:color w:val="000000"/>
        </w:rPr>
        <w:t xml:space="preserve"> </w:t>
      </w:r>
      <w:r w:rsidRPr="009331DC">
        <w:rPr>
          <w:rFonts w:eastAsia="Times New Roman" w:cs="Arial"/>
          <w:color w:val="000000"/>
          <w:lang w:eastAsia="bg-BG"/>
        </w:rPr>
        <w:t>донепезил хидрохлорид.</w:t>
      </w:r>
    </w:p>
    <w:p w14:paraId="7417FD72" w14:textId="77777777" w:rsidR="009331DC" w:rsidRPr="009331DC" w:rsidRDefault="009331DC" w:rsidP="009331DC">
      <w:pPr>
        <w:spacing w:line="240" w:lineRule="auto"/>
        <w:rPr>
          <w:rFonts w:eastAsia="Times New Roman" w:cs="Arial"/>
        </w:rPr>
      </w:pPr>
      <w:r w:rsidRPr="009331DC">
        <w:rPr>
          <w:rFonts w:eastAsia="Times New Roman" w:cs="Arial"/>
          <w:color w:val="000000"/>
          <w:lang w:eastAsia="bg-BG"/>
        </w:rPr>
        <w:t xml:space="preserve">Помощно вещество </w:t>
      </w:r>
      <w:r w:rsidRPr="009331DC">
        <w:rPr>
          <w:rFonts w:eastAsia="Times New Roman" w:cs="Arial"/>
          <w:color w:val="000000"/>
          <w:u w:val="single"/>
          <w:lang w:eastAsia="bg-BG"/>
        </w:rPr>
        <w:t>с известно действие:</w:t>
      </w:r>
      <w:r w:rsidRPr="009331DC">
        <w:rPr>
          <w:rFonts w:eastAsia="Times New Roman" w:cs="Arial"/>
          <w:color w:val="000000"/>
          <w:lang w:eastAsia="bg-BG"/>
        </w:rPr>
        <w:t xml:space="preserve"> Лактоза монохидрат 196,00 </w:t>
      </w:r>
      <w:r w:rsidRPr="009331DC">
        <w:rPr>
          <w:rFonts w:eastAsia="Times New Roman" w:cs="Arial"/>
          <w:color w:val="000000"/>
          <w:lang w:val="en-US"/>
        </w:rPr>
        <w:t>mg</w:t>
      </w:r>
    </w:p>
    <w:p w14:paraId="6ADD2BBB" w14:textId="77777777" w:rsidR="009331DC" w:rsidRPr="009331DC" w:rsidRDefault="009331DC" w:rsidP="009331DC"/>
    <w:p w14:paraId="614984C4" w14:textId="5DB8CF67" w:rsidR="008A6AF2" w:rsidRDefault="00DD466D" w:rsidP="002C50EE">
      <w:pPr>
        <w:pStyle w:val="Heading1"/>
      </w:pPr>
      <w:r>
        <w:t>3. ЛЕКАРСТВЕНА ФОРМА</w:t>
      </w:r>
    </w:p>
    <w:p w14:paraId="15F98F97" w14:textId="22066049" w:rsidR="009331DC" w:rsidRDefault="009331DC" w:rsidP="009331DC"/>
    <w:p w14:paraId="10E1DC24"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Филмирана таблетка</w:t>
      </w:r>
    </w:p>
    <w:p w14:paraId="43C709CD"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 xml:space="preserve">5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t xml:space="preserve">Бяла до светлосива, кръгла, приблизително 7,14 </w:t>
      </w:r>
      <w:r w:rsidRPr="009331DC">
        <w:rPr>
          <w:rFonts w:eastAsia="Times New Roman" w:cs="Arial"/>
          <w:color w:val="000000"/>
          <w:lang w:val="en-US"/>
        </w:rPr>
        <w:t>mm</w:t>
      </w:r>
      <w:r w:rsidRPr="009331DC">
        <w:rPr>
          <w:rFonts w:eastAsia="Times New Roman" w:cs="Arial"/>
          <w:color w:val="000000"/>
          <w:lang w:val="ru-RU"/>
        </w:rPr>
        <w:t xml:space="preserve"> </w:t>
      </w:r>
      <w:r w:rsidRPr="009331DC">
        <w:rPr>
          <w:rFonts w:eastAsia="Times New Roman" w:cs="Arial"/>
          <w:color w:val="000000"/>
          <w:lang w:eastAsia="bg-BG"/>
        </w:rPr>
        <w:t>в диаметър, със скосени ръбове, двойноизпъкнала, филмирана таблетка, с надпис "5" от едната страна и без надпис от другата.</w:t>
      </w:r>
    </w:p>
    <w:p w14:paraId="74873090" w14:textId="77777777" w:rsidR="009331DC" w:rsidRPr="009331DC" w:rsidRDefault="009331DC" w:rsidP="009331DC">
      <w:pPr>
        <w:spacing w:line="240" w:lineRule="auto"/>
        <w:rPr>
          <w:rFonts w:eastAsia="Times New Roman" w:cs="Arial"/>
          <w:color w:val="000000"/>
          <w:lang w:eastAsia="bg-BG"/>
        </w:rPr>
      </w:pPr>
    </w:p>
    <w:p w14:paraId="45CFC434" w14:textId="4EA6EAB6"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 xml:space="preserve">10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t xml:space="preserve">Жълта, кръгла, приблизително 8,73 </w:t>
      </w:r>
      <w:r w:rsidRPr="009331DC">
        <w:rPr>
          <w:rFonts w:eastAsia="Times New Roman" w:cs="Arial"/>
          <w:color w:val="000000"/>
          <w:lang w:val="en-US"/>
        </w:rPr>
        <w:t>mm</w:t>
      </w:r>
      <w:r w:rsidRPr="009331DC">
        <w:rPr>
          <w:rFonts w:eastAsia="Times New Roman" w:cs="Arial"/>
          <w:color w:val="000000"/>
          <w:lang w:val="ru-RU"/>
        </w:rPr>
        <w:t xml:space="preserve"> </w:t>
      </w:r>
      <w:r w:rsidRPr="009331DC">
        <w:rPr>
          <w:rFonts w:eastAsia="Times New Roman" w:cs="Arial"/>
          <w:color w:val="000000"/>
          <w:lang w:eastAsia="bg-BG"/>
        </w:rPr>
        <w:t>в диаметър, двойноизпъкнала, филмирана таблетка, с надпис "10" от едната страна и без надпис от другата.</w:t>
      </w:r>
    </w:p>
    <w:p w14:paraId="69A88E7C" w14:textId="77777777" w:rsidR="009331DC" w:rsidRPr="009331DC" w:rsidRDefault="009331DC" w:rsidP="009331DC"/>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2B6B44CC" w:rsidR="00395555" w:rsidRDefault="00395555" w:rsidP="00395555"/>
    <w:p w14:paraId="4D3B1D07" w14:textId="746743C0" w:rsidR="009331DC" w:rsidRDefault="009331DC" w:rsidP="009331DC">
      <w:pPr>
        <w:rPr>
          <w:lang w:eastAsia="bg-BG"/>
        </w:rPr>
      </w:pPr>
      <w:r w:rsidRPr="009331DC">
        <w:rPr>
          <w:lang w:eastAsia="bg-BG"/>
        </w:rPr>
        <w:t>Донепезил Акорд е показан за симптоматично лечение на лека до умерено тежка деменция на Алцхаймер.</w:t>
      </w:r>
    </w:p>
    <w:p w14:paraId="44883B4E" w14:textId="223118BE" w:rsidR="009331DC" w:rsidRPr="009331DC" w:rsidRDefault="009331DC" w:rsidP="009331DC">
      <w:pPr>
        <w:rPr>
          <w:sz w:val="24"/>
          <w:szCs w:val="24"/>
        </w:rPr>
      </w:pPr>
    </w:p>
    <w:p w14:paraId="7C0CA5EB" w14:textId="3957FCEC" w:rsidR="00C0049F" w:rsidRDefault="002C50EE" w:rsidP="009F1313">
      <w:pPr>
        <w:pStyle w:val="Heading2"/>
      </w:pPr>
      <w:r>
        <w:t>4.2. Дозировка и начин на приложение</w:t>
      </w:r>
    </w:p>
    <w:p w14:paraId="7F8EBE8D" w14:textId="508EEBB1" w:rsidR="009331DC" w:rsidRDefault="009331DC" w:rsidP="009331DC"/>
    <w:p w14:paraId="2BF57BA5"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u w:val="single"/>
          <w:lang w:eastAsia="bg-BG"/>
        </w:rPr>
        <w:t>Възрастни и лица в старческа възраст</w:t>
      </w:r>
    </w:p>
    <w:p w14:paraId="039526D6"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 xml:space="preserve">Лечението започва с 5 </w:t>
      </w:r>
      <w:r w:rsidRPr="009331DC">
        <w:rPr>
          <w:rFonts w:eastAsia="Times New Roman" w:cs="Arial"/>
          <w:color w:val="000000"/>
          <w:lang w:val="en-US"/>
        </w:rPr>
        <w:t>mg</w:t>
      </w:r>
      <w:r w:rsidRPr="009331DC">
        <w:rPr>
          <w:rFonts w:eastAsia="Times New Roman" w:cs="Arial"/>
          <w:color w:val="000000"/>
          <w:lang w:eastAsia="bg-BG"/>
        </w:rPr>
        <w:t xml:space="preserve">/дневно (еднократен дневен прием). Донепезил Акорд трябва да се приема през устата, вечер, непосредствено преди лягане. Дневната доза от 5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lastRenderedPageBreak/>
        <w:t xml:space="preserve">трябва да се приема в продължение на минимум един месец, с цел да се даде възможност за оценка на най-ранния клиничен отговор към лечението и да се постигнат равновесни концентрации на донепезил хидрохлорид. След едномесечна клинична оценка на лечението с 5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t>дневно, дозата на Донепезил Акорд може да</w:t>
      </w:r>
      <w:r w:rsidRPr="009331DC">
        <w:rPr>
          <w:rFonts w:eastAsia="Times New Roman" w:cs="Arial"/>
          <w:color w:val="000000"/>
          <w:lang w:val="ru-RU"/>
        </w:rPr>
        <w:t xml:space="preserve"> </w:t>
      </w:r>
      <w:r w:rsidRPr="009331DC">
        <w:rPr>
          <w:rFonts w:eastAsia="Times New Roman" w:cs="Arial"/>
          <w:color w:val="000000"/>
          <w:lang w:eastAsia="bg-BG"/>
        </w:rPr>
        <w:t xml:space="preserve">бъде повишена до 10 </w:t>
      </w:r>
      <w:r w:rsidRPr="009331DC">
        <w:rPr>
          <w:rFonts w:eastAsia="Times New Roman" w:cs="Arial"/>
          <w:color w:val="000000"/>
          <w:lang w:val="en-US"/>
        </w:rPr>
        <w:t>mg</w:t>
      </w:r>
      <w:r w:rsidRPr="009331DC">
        <w:rPr>
          <w:rFonts w:eastAsia="Times New Roman" w:cs="Arial"/>
          <w:color w:val="000000"/>
          <w:lang w:eastAsia="bg-BG"/>
        </w:rPr>
        <w:t xml:space="preserve">/дневно (еднократен дневен прием). Максималната препоръчителна доза е 10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t xml:space="preserve">Дози, по-високи от 10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t>дневно не са били изследвани в клинични проучвания.</w:t>
      </w:r>
      <w:bookmarkStart w:id="1" w:name="bookmark0"/>
      <w:bookmarkEnd w:id="1"/>
    </w:p>
    <w:p w14:paraId="0BFF9492" w14:textId="77777777" w:rsidR="009331DC" w:rsidRPr="009331DC" w:rsidRDefault="009331DC" w:rsidP="009331DC">
      <w:pPr>
        <w:spacing w:line="240" w:lineRule="auto"/>
        <w:rPr>
          <w:rFonts w:eastAsia="Times New Roman" w:cs="Arial"/>
          <w:sz w:val="24"/>
          <w:szCs w:val="24"/>
        </w:rPr>
      </w:pPr>
    </w:p>
    <w:p w14:paraId="4389BDBB" w14:textId="77777777" w:rsidR="009331DC" w:rsidRPr="009331DC" w:rsidRDefault="009331DC" w:rsidP="009331DC">
      <w:pPr>
        <w:rPr>
          <w:rFonts w:eastAsia="Times New Roman" w:cs="Arial"/>
          <w:sz w:val="24"/>
          <w:szCs w:val="24"/>
        </w:rPr>
      </w:pPr>
      <w:r w:rsidRPr="009331DC">
        <w:rPr>
          <w:rFonts w:eastAsia="Times New Roman" w:cs="Arial"/>
          <w:color w:val="000000"/>
          <w:lang w:eastAsia="bg-BG"/>
        </w:rPr>
        <w:t>Лечението трябва да започне и да бъде наблюдавано от лекар с опит в диагностиката и лечението на деменцията на Алцхаймер. Диагнозата трябва да бъде поставена съгласно</w:t>
      </w:r>
      <w:r w:rsidRPr="009331DC">
        <w:rPr>
          <w:rFonts w:eastAsia="Times New Roman" w:cs="Arial"/>
          <w:color w:val="000000"/>
          <w:lang w:val="ru-RU" w:eastAsia="bg-BG"/>
        </w:rPr>
        <w:t xml:space="preserve"> </w:t>
      </w:r>
      <w:r w:rsidRPr="009331DC">
        <w:rPr>
          <w:rFonts w:eastAsia="Times New Roman" w:cs="Arial"/>
          <w:color w:val="000000"/>
          <w:lang w:eastAsia="bg-BG"/>
        </w:rPr>
        <w:t xml:space="preserve">приетите ръководства (напр. Диагностичен и статисически наръчник за психични болести </w:t>
      </w:r>
      <w:r w:rsidRPr="009331DC">
        <w:rPr>
          <w:rFonts w:eastAsia="Times New Roman" w:cs="Arial"/>
          <w:color w:val="000000"/>
          <w:lang w:val="ru-RU"/>
        </w:rPr>
        <w:t>(</w:t>
      </w:r>
      <w:r w:rsidRPr="009331DC">
        <w:rPr>
          <w:rFonts w:eastAsia="Times New Roman" w:cs="Arial"/>
          <w:color w:val="000000"/>
          <w:lang w:val="en-US"/>
        </w:rPr>
        <w:t>DSM</w:t>
      </w:r>
      <w:r w:rsidRPr="009331DC">
        <w:rPr>
          <w:rFonts w:eastAsia="Times New Roman" w:cs="Arial"/>
          <w:color w:val="000000"/>
          <w:lang w:val="ru-RU"/>
        </w:rPr>
        <w:t xml:space="preserve"> </w:t>
      </w:r>
      <w:r w:rsidRPr="009331DC">
        <w:rPr>
          <w:rFonts w:eastAsia="Times New Roman" w:cs="Arial"/>
          <w:color w:val="000000"/>
          <w:lang w:eastAsia="bg-BG"/>
        </w:rPr>
        <w:t>IV), :МКБ 10). Лечението с донепезил трябва да започне само при наличие на болногледач, който редовно да проследява приема на лекарството от пациента. Поддържащото лечение може да продължи докато съществува терапевтичната полза за пациента. Следователно клиничната полза от донепезил трябва да бъде преоценявана регулярно. Прекъсване на лечението трябва да се обмисли, когато вече няма доказателства за наличие на лечебен ефект. Индивидуалният отговор към донепезил не може да бъде предвиден.</w:t>
      </w:r>
    </w:p>
    <w:p w14:paraId="453A19E5" w14:textId="77777777" w:rsidR="009331DC" w:rsidRPr="009331DC" w:rsidRDefault="009331DC" w:rsidP="009331DC">
      <w:pPr>
        <w:spacing w:line="240" w:lineRule="auto"/>
        <w:rPr>
          <w:rFonts w:eastAsia="Times New Roman" w:cs="Arial"/>
          <w:color w:val="000000"/>
          <w:lang w:eastAsia="bg-BG"/>
        </w:rPr>
      </w:pPr>
    </w:p>
    <w:p w14:paraId="570B6381" w14:textId="579D3654"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При прекъсване на лечението се наблюдава постепенно отслабване на полезните ефекти на Донепезил Акорд.</w:t>
      </w:r>
    </w:p>
    <w:p w14:paraId="7CD22C77" w14:textId="77777777" w:rsidR="009331DC" w:rsidRPr="009331DC" w:rsidRDefault="009331DC" w:rsidP="009331DC">
      <w:pPr>
        <w:spacing w:line="240" w:lineRule="auto"/>
        <w:rPr>
          <w:rFonts w:eastAsia="Times New Roman" w:cs="Arial"/>
          <w:color w:val="000000"/>
          <w:u w:val="single"/>
          <w:lang w:eastAsia="bg-BG"/>
        </w:rPr>
      </w:pPr>
    </w:p>
    <w:p w14:paraId="476107DB" w14:textId="13E96B9D" w:rsidR="009331DC" w:rsidRPr="009331DC" w:rsidRDefault="009331DC" w:rsidP="009331DC">
      <w:pPr>
        <w:spacing w:line="240" w:lineRule="auto"/>
        <w:rPr>
          <w:rFonts w:eastAsia="Times New Roman" w:cs="Arial"/>
          <w:sz w:val="24"/>
          <w:szCs w:val="24"/>
        </w:rPr>
      </w:pPr>
      <w:r w:rsidRPr="009331DC">
        <w:rPr>
          <w:rFonts w:eastAsia="Times New Roman" w:cs="Arial"/>
          <w:color w:val="000000"/>
          <w:u w:val="single"/>
          <w:lang w:eastAsia="bg-BG"/>
        </w:rPr>
        <w:t>Бъбречни и чернодробни нарушения:</w:t>
      </w:r>
    </w:p>
    <w:p w14:paraId="7077412F" w14:textId="4B6244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Подобна схема на дозиране може да бъде следвана и при пациенти с бъбречни нарушения, тъй като клиърънсът на донепезил хидрохлорид не се повлиява от тези състояния.</w:t>
      </w:r>
    </w:p>
    <w:p w14:paraId="06F3F225" w14:textId="77777777" w:rsidR="009331DC" w:rsidRPr="009331DC" w:rsidRDefault="009331DC" w:rsidP="009331DC">
      <w:pPr>
        <w:spacing w:line="240" w:lineRule="auto"/>
        <w:rPr>
          <w:rFonts w:eastAsia="Times New Roman" w:cs="Arial"/>
          <w:color w:val="000000"/>
          <w:lang w:eastAsia="bg-BG"/>
        </w:rPr>
      </w:pPr>
    </w:p>
    <w:p w14:paraId="2A0CA61B" w14:textId="2600C78B"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Поради възможно преекспониране при леки до умерени чернодробни нарушения (вж. точка 5.2), повишаването на дозата трябва да бъде извършено в съответствие с индивидуалната поносимост. Няма данни за приложение при пациенти с тежко чернодробно нарушение.</w:t>
      </w:r>
    </w:p>
    <w:p w14:paraId="271E7C5F" w14:textId="77777777" w:rsidR="009331DC" w:rsidRPr="009331DC" w:rsidRDefault="009331DC" w:rsidP="009331DC">
      <w:pPr>
        <w:spacing w:line="240" w:lineRule="auto"/>
        <w:rPr>
          <w:rFonts w:eastAsia="Times New Roman" w:cs="Arial"/>
          <w:color w:val="000000"/>
          <w:u w:val="single"/>
          <w:lang w:eastAsia="bg-BG"/>
        </w:rPr>
      </w:pPr>
    </w:p>
    <w:p w14:paraId="424D215E" w14:textId="0F50BAE4" w:rsidR="009331DC" w:rsidRPr="009331DC" w:rsidRDefault="009331DC" w:rsidP="009331DC">
      <w:pPr>
        <w:spacing w:line="240" w:lineRule="auto"/>
        <w:rPr>
          <w:rFonts w:eastAsia="Times New Roman" w:cs="Arial"/>
          <w:sz w:val="24"/>
          <w:szCs w:val="24"/>
        </w:rPr>
      </w:pPr>
      <w:r w:rsidRPr="009331DC">
        <w:rPr>
          <w:rFonts w:eastAsia="Times New Roman" w:cs="Arial"/>
          <w:color w:val="000000"/>
          <w:u w:val="single"/>
          <w:lang w:eastAsia="bg-BG"/>
        </w:rPr>
        <w:t>Деца и юноши</w:t>
      </w:r>
    </w:p>
    <w:p w14:paraId="2405D889" w14:textId="77777777" w:rsidR="009331DC" w:rsidRPr="009331DC" w:rsidRDefault="009331DC" w:rsidP="009331DC">
      <w:pPr>
        <w:spacing w:line="240" w:lineRule="auto"/>
        <w:rPr>
          <w:rFonts w:ascii="Times New Roman" w:eastAsia="Times New Roman" w:hAnsi="Times New Roman" w:cs="Times New Roman"/>
          <w:sz w:val="24"/>
          <w:szCs w:val="24"/>
        </w:rPr>
      </w:pPr>
      <w:r w:rsidRPr="009331DC">
        <w:rPr>
          <w:rFonts w:eastAsia="Times New Roman" w:cs="Arial"/>
          <w:color w:val="000000"/>
          <w:lang w:eastAsia="bg-BG"/>
        </w:rPr>
        <w:t>Донепезил Акорд не се препоръчва за употреба при деца и юноши.</w:t>
      </w:r>
    </w:p>
    <w:p w14:paraId="15F4C7C2" w14:textId="20EAEDE0" w:rsidR="009331DC" w:rsidRPr="009331DC" w:rsidRDefault="009331DC" w:rsidP="009331DC"/>
    <w:p w14:paraId="62B13D0B" w14:textId="206FDA9B" w:rsidR="00395555" w:rsidRDefault="002C50EE" w:rsidP="008A6AF2">
      <w:pPr>
        <w:pStyle w:val="Heading2"/>
      </w:pPr>
      <w:r>
        <w:t>4.3. Противопоказания</w:t>
      </w:r>
    </w:p>
    <w:p w14:paraId="7E2232D0" w14:textId="010452D9" w:rsidR="009331DC" w:rsidRDefault="009331DC" w:rsidP="009331DC"/>
    <w:p w14:paraId="6C40074D" w14:textId="77777777" w:rsidR="009331DC" w:rsidRPr="009331DC" w:rsidRDefault="009331DC" w:rsidP="009331DC">
      <w:pPr>
        <w:rPr>
          <w:sz w:val="24"/>
          <w:szCs w:val="24"/>
        </w:rPr>
      </w:pPr>
      <w:r w:rsidRPr="009331DC">
        <w:rPr>
          <w:lang w:eastAsia="bg-BG"/>
        </w:rPr>
        <w:t>Донепезил Акорд е противопоказен при пациенти, които са свръхчувствителни към донепезил хидрохлорид, пиперидинови деривати или към някое от помощните вещества, изброени в точка 6.1.</w:t>
      </w:r>
    </w:p>
    <w:p w14:paraId="1DEAF6EC" w14:textId="77777777" w:rsidR="009331DC" w:rsidRPr="009331DC" w:rsidRDefault="009331DC" w:rsidP="009331DC"/>
    <w:p w14:paraId="5A4AC413" w14:textId="6F650EBB" w:rsidR="00395555" w:rsidRDefault="002C50EE" w:rsidP="008A6AF2">
      <w:pPr>
        <w:pStyle w:val="Heading2"/>
      </w:pPr>
      <w:r>
        <w:t>4.4. Специални предупреждения и предпазни мерки при употреба</w:t>
      </w:r>
    </w:p>
    <w:p w14:paraId="12F2FC38" w14:textId="0EC2B38F" w:rsidR="009331DC" w:rsidRDefault="009331DC" w:rsidP="009331DC"/>
    <w:p w14:paraId="7041D3FB"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Приложението на Донепезил Акорд при пациенти с тежка деменция на Алцхаймер, други видове деменция или друг вид нарушения на паметта (напр. възрастови когнитивни отклонения), не е било изследвано.</w:t>
      </w:r>
    </w:p>
    <w:p w14:paraId="27A8A5D5" w14:textId="77777777" w:rsidR="009331DC" w:rsidRPr="009331DC" w:rsidRDefault="009331DC" w:rsidP="009331DC">
      <w:pPr>
        <w:spacing w:line="240" w:lineRule="auto"/>
        <w:rPr>
          <w:rFonts w:eastAsia="Times New Roman" w:cs="Arial"/>
          <w:i/>
          <w:iCs/>
          <w:color w:val="000000"/>
          <w:lang w:eastAsia="bg-BG"/>
        </w:rPr>
      </w:pPr>
    </w:p>
    <w:p w14:paraId="286E3986" w14:textId="0E928FF0" w:rsidR="009331DC" w:rsidRPr="009331DC" w:rsidRDefault="009331DC" w:rsidP="009331DC">
      <w:pPr>
        <w:spacing w:line="240" w:lineRule="auto"/>
        <w:rPr>
          <w:rFonts w:eastAsia="Times New Roman" w:cs="Arial"/>
          <w:sz w:val="24"/>
          <w:szCs w:val="24"/>
        </w:rPr>
      </w:pPr>
      <w:r w:rsidRPr="009331DC">
        <w:rPr>
          <w:rFonts w:eastAsia="Times New Roman" w:cs="Arial"/>
          <w:i/>
          <w:iCs/>
          <w:color w:val="000000"/>
          <w:lang w:eastAsia="bg-BG"/>
        </w:rPr>
        <w:t>Анестезия:</w:t>
      </w:r>
      <w:r w:rsidRPr="009331DC">
        <w:rPr>
          <w:rFonts w:eastAsia="Times New Roman" w:cs="Arial"/>
          <w:color w:val="000000"/>
          <w:lang w:eastAsia="bg-BG"/>
        </w:rPr>
        <w:t xml:space="preserve"> Донепезил Акорд, като инхибитор на холинестеразата, е възможно да засили сукцинилхолин-медиираната мускулна релаксация по време на анестезия.</w:t>
      </w:r>
    </w:p>
    <w:p w14:paraId="41F92879" w14:textId="77777777" w:rsidR="009331DC" w:rsidRPr="009331DC" w:rsidRDefault="009331DC" w:rsidP="009331DC">
      <w:pPr>
        <w:spacing w:line="240" w:lineRule="auto"/>
        <w:rPr>
          <w:rFonts w:eastAsia="Times New Roman" w:cs="Arial"/>
          <w:i/>
          <w:iCs/>
          <w:color w:val="000000"/>
          <w:lang w:eastAsia="bg-BG"/>
        </w:rPr>
      </w:pPr>
    </w:p>
    <w:p w14:paraId="27A18E8A" w14:textId="78A73715" w:rsidR="009331DC" w:rsidRPr="009331DC" w:rsidRDefault="009331DC" w:rsidP="009331DC">
      <w:pPr>
        <w:spacing w:line="240" w:lineRule="auto"/>
        <w:rPr>
          <w:rFonts w:eastAsia="Times New Roman" w:cs="Arial"/>
          <w:sz w:val="24"/>
          <w:szCs w:val="24"/>
        </w:rPr>
      </w:pPr>
      <w:r w:rsidRPr="009331DC">
        <w:rPr>
          <w:rFonts w:eastAsia="Times New Roman" w:cs="Arial"/>
          <w:i/>
          <w:iCs/>
          <w:color w:val="000000"/>
          <w:lang w:eastAsia="bg-BG"/>
        </w:rPr>
        <w:lastRenderedPageBreak/>
        <w:t>Сърдечно-съдови заболявания:</w:t>
      </w:r>
      <w:r w:rsidRPr="009331DC">
        <w:rPr>
          <w:rFonts w:eastAsia="Times New Roman" w:cs="Arial"/>
          <w:color w:val="000000"/>
          <w:lang w:eastAsia="bg-BG"/>
        </w:rPr>
        <w:t xml:space="preserve"> Поради тяхното фармакологично действие, холинестеразните инхибитори могат да имат ваготонични ефекти върху сърдечната честота (напр. брадикардия). Потенциалът на това действие може да бъде особено важен при пациенти със "сицдром на болния синусов възел" или други надкамерни проводни сърдечни нарушения като синуатриален или атриовентрикуларен блок.</w:t>
      </w:r>
    </w:p>
    <w:p w14:paraId="342B3544" w14:textId="77777777" w:rsidR="009331DC" w:rsidRPr="009331DC" w:rsidRDefault="009331DC" w:rsidP="009331DC">
      <w:pPr>
        <w:spacing w:line="240" w:lineRule="auto"/>
        <w:rPr>
          <w:rFonts w:eastAsia="Times New Roman" w:cs="Arial"/>
          <w:color w:val="000000"/>
          <w:lang w:eastAsia="bg-BG"/>
        </w:rPr>
      </w:pPr>
    </w:p>
    <w:p w14:paraId="7BE61B32" w14:textId="69E93F38"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Има съобщения за синкоп и припадъци. При изследване на тези пациенти трябва да се вземе предвид възможността за сърдечен арест или продължителни синусови паузи.</w:t>
      </w:r>
    </w:p>
    <w:p w14:paraId="6F4CA1D4" w14:textId="77777777" w:rsidR="009331DC" w:rsidRPr="009331DC" w:rsidRDefault="009331DC" w:rsidP="009331DC">
      <w:pPr>
        <w:rPr>
          <w:rFonts w:eastAsia="Times New Roman" w:cs="Arial"/>
          <w:i/>
          <w:iCs/>
          <w:color w:val="000000"/>
          <w:lang w:eastAsia="bg-BG"/>
        </w:rPr>
      </w:pPr>
    </w:p>
    <w:p w14:paraId="5E6F25CD" w14:textId="2A414606" w:rsidR="009331DC" w:rsidRDefault="009331DC" w:rsidP="009331DC">
      <w:pPr>
        <w:rPr>
          <w:rFonts w:eastAsia="Times New Roman" w:cs="Arial"/>
          <w:color w:val="000000"/>
          <w:lang w:eastAsia="bg-BG"/>
        </w:rPr>
      </w:pPr>
      <w:r w:rsidRPr="009331DC">
        <w:rPr>
          <w:rFonts w:eastAsia="Times New Roman" w:cs="Arial"/>
          <w:i/>
          <w:iCs/>
          <w:color w:val="000000"/>
          <w:lang w:eastAsia="bg-BG"/>
        </w:rPr>
        <w:t>Стомашно-чревни заболявания:</w:t>
      </w:r>
      <w:r w:rsidRPr="009331DC">
        <w:rPr>
          <w:rFonts w:eastAsia="Times New Roman" w:cs="Arial"/>
          <w:color w:val="000000"/>
          <w:lang w:eastAsia="bg-BG"/>
        </w:rPr>
        <w:t xml:space="preserve"> Пациенти с повишен риск от развитие на язви, напр. тези с анамнеза за язвена болест или такива, приемащи едновременно нестероидни противовъзпалителни средства (НСПВС), трябва да бъдат контролирани за поява на симптоматика. Въпреки това, клиничните проучвания с Донепезил Акорд не показват повишаване на честотата както на пептичната язвена болест, така и на гастро- интестинален кръвоизлив, в сравнение с плацебо.</w:t>
      </w:r>
    </w:p>
    <w:p w14:paraId="25281FB6" w14:textId="4D745081" w:rsidR="009331DC" w:rsidRDefault="009331DC" w:rsidP="009331DC">
      <w:pPr>
        <w:rPr>
          <w:rFonts w:cs="Arial"/>
        </w:rPr>
      </w:pPr>
    </w:p>
    <w:p w14:paraId="2E87E22F" w14:textId="77777777" w:rsidR="009331DC" w:rsidRPr="009331DC" w:rsidRDefault="009331DC" w:rsidP="009331DC">
      <w:pPr>
        <w:spacing w:line="240" w:lineRule="auto"/>
        <w:rPr>
          <w:rFonts w:eastAsia="Times New Roman" w:cs="Arial"/>
          <w:sz w:val="24"/>
          <w:szCs w:val="24"/>
        </w:rPr>
      </w:pPr>
      <w:r w:rsidRPr="009331DC">
        <w:rPr>
          <w:rFonts w:eastAsia="Times New Roman" w:cs="Arial"/>
          <w:i/>
          <w:iCs/>
          <w:color w:val="000000"/>
          <w:lang w:eastAsia="bg-BG"/>
        </w:rPr>
        <w:t>Урогенитални нарушения:</w:t>
      </w:r>
      <w:r w:rsidRPr="009331DC">
        <w:rPr>
          <w:rFonts w:eastAsia="Times New Roman" w:cs="Arial"/>
          <w:color w:val="000000"/>
          <w:lang w:eastAsia="bg-BG"/>
        </w:rPr>
        <w:t xml:space="preserve"> Въпреки че няма наблюдения в клинични изпитвания с Донепезил Акорд, холиномиметиците могат да предизвикат обструктивни нарушения от страна на пикочния мехур.</w:t>
      </w:r>
    </w:p>
    <w:p w14:paraId="792C8D1C" w14:textId="77777777" w:rsidR="009331DC" w:rsidRPr="009331DC" w:rsidRDefault="009331DC" w:rsidP="009331DC">
      <w:pPr>
        <w:spacing w:line="240" w:lineRule="auto"/>
        <w:rPr>
          <w:rFonts w:eastAsia="Times New Roman" w:cs="Arial"/>
          <w:i/>
          <w:iCs/>
          <w:color w:val="000000"/>
          <w:lang w:eastAsia="bg-BG"/>
        </w:rPr>
      </w:pPr>
    </w:p>
    <w:p w14:paraId="2DFCE597" w14:textId="77F7D17C" w:rsidR="009331DC" w:rsidRPr="009331DC" w:rsidRDefault="009331DC" w:rsidP="009331DC">
      <w:pPr>
        <w:spacing w:line="240" w:lineRule="auto"/>
        <w:rPr>
          <w:rFonts w:eastAsia="Times New Roman" w:cs="Arial"/>
          <w:sz w:val="24"/>
          <w:szCs w:val="24"/>
        </w:rPr>
      </w:pPr>
      <w:r w:rsidRPr="009331DC">
        <w:rPr>
          <w:rFonts w:eastAsia="Times New Roman" w:cs="Arial"/>
          <w:i/>
          <w:iCs/>
          <w:color w:val="000000"/>
          <w:lang w:eastAsia="bg-BG"/>
        </w:rPr>
        <w:t>Неврологични заболявания:</w:t>
      </w:r>
      <w:r w:rsidRPr="009331DC">
        <w:rPr>
          <w:rFonts w:eastAsia="Times New Roman" w:cs="Arial"/>
          <w:color w:val="000000"/>
          <w:lang w:eastAsia="bg-BG"/>
        </w:rPr>
        <w:t xml:space="preserve"> Припадъци: Счита се, че холиномиметиците имат способността да предизвикват генерализирани гърчове. От друга страна, конвулсивна активност може да бъде проява на болестта на Алцхаймер.</w:t>
      </w:r>
    </w:p>
    <w:p w14:paraId="5A009464"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Холиномиметиците могат да имат потенциала да обострят или индуцират екстрапирамидна симптоматика.</w:t>
      </w:r>
    </w:p>
    <w:p w14:paraId="232C5CFB" w14:textId="77777777" w:rsidR="009331DC" w:rsidRPr="009331DC" w:rsidRDefault="009331DC" w:rsidP="009331DC">
      <w:pPr>
        <w:spacing w:line="240" w:lineRule="auto"/>
        <w:rPr>
          <w:rFonts w:eastAsia="Times New Roman" w:cs="Arial"/>
          <w:color w:val="000000"/>
          <w:lang w:eastAsia="bg-BG"/>
        </w:rPr>
      </w:pPr>
    </w:p>
    <w:p w14:paraId="6349A58E" w14:textId="3D87F0C4"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Невролептичен малигнен синдром (НМС)</w:t>
      </w:r>
    </w:p>
    <w:p w14:paraId="1B6121A3" w14:textId="1D715FC1" w:rsidR="009331DC" w:rsidRPr="009331DC" w:rsidRDefault="009331DC" w:rsidP="009331DC">
      <w:pPr>
        <w:pStyle w:val="ListParagraph"/>
        <w:numPr>
          <w:ilvl w:val="0"/>
          <w:numId w:val="32"/>
        </w:numPr>
        <w:spacing w:line="240" w:lineRule="auto"/>
        <w:rPr>
          <w:rFonts w:eastAsia="Times New Roman" w:cs="Arial"/>
          <w:sz w:val="24"/>
          <w:szCs w:val="24"/>
        </w:rPr>
      </w:pPr>
      <w:r w:rsidRPr="009331DC">
        <w:rPr>
          <w:rFonts w:eastAsia="Times New Roman" w:cs="Arial"/>
          <w:color w:val="000000"/>
          <w:lang w:eastAsia="bg-BG"/>
        </w:rPr>
        <w:t>НМС е потенциално животозастрашаващо състояние и се характеризира с хипертермия, мускулна ригидност, вегетативна нестабилност, промени в съзнанието и повишени нива на серумната креатинфосфокиназа. Допълнителните симптоми могат да включват миоглобинурия (рабдомиолиза) и остра бъбречна недостатъчност;</w:t>
      </w:r>
    </w:p>
    <w:p w14:paraId="78543703" w14:textId="6BF043B2" w:rsidR="009331DC" w:rsidRPr="009331DC" w:rsidRDefault="009331DC" w:rsidP="009331DC">
      <w:pPr>
        <w:pStyle w:val="ListParagraph"/>
        <w:numPr>
          <w:ilvl w:val="0"/>
          <w:numId w:val="32"/>
        </w:numPr>
        <w:spacing w:line="240" w:lineRule="auto"/>
        <w:rPr>
          <w:rFonts w:eastAsia="Times New Roman" w:cs="Arial"/>
          <w:sz w:val="24"/>
          <w:szCs w:val="24"/>
        </w:rPr>
      </w:pPr>
      <w:r w:rsidRPr="009331DC">
        <w:rPr>
          <w:rFonts w:eastAsia="Times New Roman" w:cs="Arial"/>
          <w:color w:val="000000"/>
          <w:lang w:eastAsia="bg-BG"/>
        </w:rPr>
        <w:t>Невролептичният малигнен синдром е съобщаван много рядко във връзка с донепезил, и по-специално при пациенти, получаващи едновременно антипсихотици;</w:t>
      </w:r>
    </w:p>
    <w:p w14:paraId="51CF7542" w14:textId="08D4A3AA" w:rsidR="009331DC" w:rsidRPr="009331DC" w:rsidRDefault="009331DC" w:rsidP="009331DC">
      <w:pPr>
        <w:pStyle w:val="ListParagraph"/>
        <w:numPr>
          <w:ilvl w:val="0"/>
          <w:numId w:val="32"/>
        </w:numPr>
        <w:spacing w:line="240" w:lineRule="auto"/>
        <w:rPr>
          <w:rFonts w:eastAsia="Times New Roman" w:cs="Arial"/>
          <w:sz w:val="24"/>
          <w:szCs w:val="24"/>
        </w:rPr>
      </w:pPr>
      <w:r w:rsidRPr="009331DC">
        <w:rPr>
          <w:rFonts w:eastAsia="Times New Roman" w:cs="Arial"/>
          <w:color w:val="000000"/>
          <w:lang w:eastAsia="bg-BG"/>
        </w:rPr>
        <w:t>Ако пациентът развие признаци и симптоми, характерни за невролептичен малигнен синдром или има необяснимо висока температура без други клинични прояви на НМС, лечението с донепезил трябва да се прекрати.</w:t>
      </w:r>
    </w:p>
    <w:p w14:paraId="1B5F9947" w14:textId="77777777" w:rsidR="009331DC" w:rsidRPr="009331DC" w:rsidRDefault="009331DC" w:rsidP="009331DC">
      <w:pPr>
        <w:spacing w:line="240" w:lineRule="auto"/>
        <w:rPr>
          <w:rFonts w:eastAsia="Times New Roman" w:cs="Arial"/>
          <w:i/>
          <w:iCs/>
          <w:color w:val="000000"/>
          <w:lang w:eastAsia="bg-BG"/>
        </w:rPr>
      </w:pPr>
    </w:p>
    <w:p w14:paraId="1ED258E5" w14:textId="32B315FF" w:rsidR="009331DC" w:rsidRPr="009331DC" w:rsidRDefault="009331DC" w:rsidP="009331DC">
      <w:pPr>
        <w:spacing w:line="240" w:lineRule="auto"/>
        <w:rPr>
          <w:rFonts w:eastAsia="Times New Roman" w:cs="Arial"/>
          <w:sz w:val="24"/>
          <w:szCs w:val="24"/>
        </w:rPr>
      </w:pPr>
      <w:r w:rsidRPr="009331DC">
        <w:rPr>
          <w:rFonts w:eastAsia="Times New Roman" w:cs="Arial"/>
          <w:i/>
          <w:iCs/>
          <w:color w:val="000000"/>
          <w:lang w:eastAsia="bg-BG"/>
        </w:rPr>
        <w:t>Белодробни заболявания:</w:t>
      </w:r>
      <w:r w:rsidRPr="009331DC">
        <w:rPr>
          <w:rFonts w:eastAsia="Times New Roman" w:cs="Arial"/>
          <w:color w:val="000000"/>
          <w:lang w:eastAsia="bg-BG"/>
        </w:rPr>
        <w:t xml:space="preserve"> Поради тяхната холиномиметична активност, холинестеразните инхибитори трябва да бъдат назначавани с внимание при пациенти с анамнеза за астма или обструктивни белодробни заболявания.</w:t>
      </w:r>
    </w:p>
    <w:p w14:paraId="06A8FC99"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Приложението на Донепезил Акорд едновременно с други инхибитори на ацетилхолинестеразата, агонисти или антагонисти на холинергичната система трябва да се избягва.</w:t>
      </w:r>
    </w:p>
    <w:p w14:paraId="161EB283" w14:textId="77777777" w:rsidR="009331DC" w:rsidRPr="009331DC" w:rsidRDefault="009331DC" w:rsidP="009331DC">
      <w:pPr>
        <w:spacing w:line="240" w:lineRule="auto"/>
        <w:rPr>
          <w:rFonts w:eastAsia="Times New Roman" w:cs="Arial"/>
          <w:i/>
          <w:iCs/>
          <w:color w:val="000000"/>
          <w:lang w:eastAsia="bg-BG"/>
        </w:rPr>
      </w:pPr>
    </w:p>
    <w:p w14:paraId="1BEF1DED" w14:textId="10688E10" w:rsidR="009331DC" w:rsidRPr="009331DC" w:rsidRDefault="009331DC" w:rsidP="009331DC">
      <w:pPr>
        <w:spacing w:line="240" w:lineRule="auto"/>
        <w:rPr>
          <w:rFonts w:eastAsia="Times New Roman" w:cs="Arial"/>
          <w:sz w:val="24"/>
          <w:szCs w:val="24"/>
        </w:rPr>
      </w:pPr>
      <w:r w:rsidRPr="009331DC">
        <w:rPr>
          <w:rFonts w:eastAsia="Times New Roman" w:cs="Arial"/>
          <w:i/>
          <w:iCs/>
          <w:color w:val="000000"/>
          <w:lang w:eastAsia="bg-BG"/>
        </w:rPr>
        <w:t>Тежки чернодробни нарушения:</w:t>
      </w:r>
      <w:r w:rsidRPr="009331DC">
        <w:rPr>
          <w:rFonts w:eastAsia="Times New Roman" w:cs="Arial"/>
          <w:color w:val="000000"/>
          <w:lang w:eastAsia="bg-BG"/>
        </w:rPr>
        <w:t xml:space="preserve"> Няма данни за приложение при пациенти с тежка чернодробна недостатъчност.</w:t>
      </w:r>
    </w:p>
    <w:p w14:paraId="6976DF7C" w14:textId="77777777" w:rsidR="009331DC" w:rsidRPr="009331DC" w:rsidRDefault="009331DC" w:rsidP="009331DC">
      <w:pPr>
        <w:spacing w:line="240" w:lineRule="auto"/>
        <w:rPr>
          <w:rFonts w:eastAsia="Times New Roman" w:cs="Arial"/>
          <w:color w:val="000000"/>
          <w:lang w:eastAsia="bg-BG"/>
        </w:rPr>
      </w:pPr>
    </w:p>
    <w:p w14:paraId="3F5BC43F" w14:textId="25D14CAA"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lastRenderedPageBreak/>
        <w:t xml:space="preserve">Този лекарствен продукт съдържа лактоза. Пациенти с редки наследствени проблеми на галактозна интолерантност, наследствена лактазна недостатъчност </w:t>
      </w:r>
      <w:r w:rsidRPr="009331DC">
        <w:rPr>
          <w:rFonts w:eastAsia="Times New Roman" w:cs="Arial"/>
          <w:color w:val="000000"/>
          <w:lang w:val="ru-RU"/>
        </w:rPr>
        <w:t>(</w:t>
      </w:r>
      <w:r w:rsidRPr="009331DC">
        <w:rPr>
          <w:rFonts w:eastAsia="Times New Roman" w:cs="Arial"/>
          <w:color w:val="000000"/>
          <w:lang w:val="en-US"/>
        </w:rPr>
        <w:t>Lapp</w:t>
      </w:r>
      <w:r w:rsidRPr="009331DC">
        <w:rPr>
          <w:rFonts w:eastAsia="Times New Roman" w:cs="Arial"/>
          <w:color w:val="000000"/>
          <w:lang w:val="ru-RU"/>
        </w:rPr>
        <w:t xml:space="preserve"> </w:t>
      </w:r>
      <w:r w:rsidRPr="009331DC">
        <w:rPr>
          <w:rFonts w:eastAsia="Times New Roman" w:cs="Arial"/>
          <w:color w:val="000000"/>
          <w:lang w:val="en-US"/>
        </w:rPr>
        <w:t>lactase</w:t>
      </w:r>
      <w:r w:rsidRPr="009331DC">
        <w:rPr>
          <w:rFonts w:eastAsia="Times New Roman" w:cs="Arial"/>
          <w:color w:val="000000"/>
          <w:lang w:val="ru-RU"/>
        </w:rPr>
        <w:t xml:space="preserve">) </w:t>
      </w:r>
      <w:r w:rsidRPr="009331DC">
        <w:rPr>
          <w:rFonts w:eastAsia="Times New Roman" w:cs="Arial"/>
          <w:color w:val="000000"/>
          <w:lang w:eastAsia="bg-BG"/>
        </w:rPr>
        <w:t>или глюкозо-галактозна малабсорбция не трябва да използват този лекарствен продукт.</w:t>
      </w:r>
    </w:p>
    <w:p w14:paraId="2D60E4DE" w14:textId="77777777" w:rsidR="009331DC" w:rsidRPr="009331DC" w:rsidRDefault="009331DC" w:rsidP="009331DC">
      <w:pPr>
        <w:spacing w:line="240" w:lineRule="auto"/>
        <w:rPr>
          <w:rFonts w:eastAsia="Times New Roman" w:cs="Arial"/>
          <w:color w:val="000000"/>
          <w:lang w:eastAsia="bg-BG"/>
        </w:rPr>
      </w:pPr>
    </w:p>
    <w:p w14:paraId="3E8472BD" w14:textId="002F3069"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Смъртност в клинични изпитвания при съдова деменция</w:t>
      </w:r>
    </w:p>
    <w:p w14:paraId="24757074" w14:textId="77777777" w:rsidR="009331DC" w:rsidRPr="009331DC" w:rsidRDefault="009331DC" w:rsidP="009331DC">
      <w:pPr>
        <w:rPr>
          <w:rFonts w:eastAsia="Times New Roman" w:cs="Arial"/>
          <w:sz w:val="24"/>
          <w:szCs w:val="24"/>
        </w:rPr>
      </w:pPr>
      <w:r w:rsidRPr="009331DC">
        <w:rPr>
          <w:rFonts w:eastAsia="Times New Roman" w:cs="Arial"/>
          <w:color w:val="000000"/>
          <w:lang w:eastAsia="bg-BG"/>
        </w:rPr>
        <w:t xml:space="preserve">Били са проведени три клинични изпитвания с 6 месечна продължителност за изследване на индивиди, покриващи </w:t>
      </w:r>
      <w:r w:rsidRPr="009331DC">
        <w:rPr>
          <w:rFonts w:eastAsia="Times New Roman" w:cs="Arial"/>
          <w:color w:val="000000"/>
          <w:lang w:val="en-US"/>
        </w:rPr>
        <w:t>NINDS</w:t>
      </w:r>
      <w:r w:rsidRPr="009331DC">
        <w:rPr>
          <w:rFonts w:eastAsia="Times New Roman" w:cs="Arial"/>
          <w:color w:val="000000"/>
          <w:lang w:val="ru-RU"/>
        </w:rPr>
        <w:t>-</w:t>
      </w:r>
      <w:r w:rsidRPr="009331DC">
        <w:rPr>
          <w:rFonts w:eastAsia="Times New Roman" w:cs="Arial"/>
          <w:color w:val="000000"/>
          <w:lang w:val="en-US"/>
        </w:rPr>
        <w:t>AIREN</w:t>
      </w:r>
      <w:r w:rsidRPr="009331DC">
        <w:rPr>
          <w:rFonts w:eastAsia="Times New Roman" w:cs="Arial"/>
          <w:color w:val="000000"/>
          <w:lang w:val="ru-RU"/>
        </w:rPr>
        <w:t xml:space="preserve"> </w:t>
      </w:r>
      <w:r w:rsidRPr="009331DC">
        <w:rPr>
          <w:rFonts w:eastAsia="Times New Roman" w:cs="Arial"/>
          <w:color w:val="000000"/>
          <w:lang w:eastAsia="bg-BG"/>
        </w:rPr>
        <w:t xml:space="preserve">критериите са вероятна или възможна васкуларна деменция. </w:t>
      </w:r>
      <w:proofErr w:type="gramStart"/>
      <w:r w:rsidRPr="009331DC">
        <w:rPr>
          <w:rFonts w:eastAsia="Times New Roman" w:cs="Arial"/>
          <w:color w:val="000000"/>
          <w:lang w:val="en-US"/>
        </w:rPr>
        <w:t>NINDS</w:t>
      </w:r>
      <w:r w:rsidRPr="009331DC">
        <w:rPr>
          <w:rFonts w:eastAsia="Times New Roman" w:cs="Arial"/>
          <w:color w:val="000000"/>
          <w:lang w:val="ru-RU"/>
        </w:rPr>
        <w:t>-</w:t>
      </w:r>
      <w:r w:rsidRPr="009331DC">
        <w:rPr>
          <w:rFonts w:eastAsia="Times New Roman" w:cs="Arial"/>
          <w:color w:val="000000"/>
          <w:lang w:val="en-US"/>
        </w:rPr>
        <w:t>AIREN</w:t>
      </w:r>
      <w:r w:rsidRPr="009331DC">
        <w:rPr>
          <w:rFonts w:eastAsia="Times New Roman" w:cs="Arial"/>
          <w:color w:val="000000"/>
          <w:lang w:val="ru-RU"/>
        </w:rPr>
        <w:t xml:space="preserve"> </w:t>
      </w:r>
      <w:r w:rsidRPr="009331DC">
        <w:rPr>
          <w:rFonts w:eastAsia="Times New Roman" w:cs="Arial"/>
          <w:color w:val="000000"/>
          <w:lang w:eastAsia="bg-BG"/>
        </w:rPr>
        <w:t>критериите са създадени за идентифициране на пациенти с деменция, която</w:t>
      </w:r>
      <w:r w:rsidRPr="009331DC">
        <w:rPr>
          <w:rFonts w:eastAsia="Times New Roman" w:cs="Arial"/>
          <w:color w:val="000000"/>
          <w:lang w:val="ru-RU" w:eastAsia="bg-BG"/>
        </w:rPr>
        <w:t xml:space="preserve"> </w:t>
      </w:r>
      <w:r w:rsidRPr="009331DC">
        <w:rPr>
          <w:rFonts w:eastAsia="Times New Roman" w:cs="Arial"/>
          <w:color w:val="000000"/>
          <w:lang w:eastAsia="bg-BG"/>
        </w:rPr>
        <w:t>навярно е свързана единствено със съдови причини и за да се изключат па</w:t>
      </w:r>
      <w:r>
        <w:rPr>
          <w:rFonts w:eastAsia="Times New Roman" w:cs="Arial"/>
          <w:color w:val="000000"/>
          <w:lang w:eastAsia="bg-BG"/>
        </w:rPr>
        <w:t xml:space="preserve">циентите с болест на Алцхаймер. </w:t>
      </w:r>
      <w:r w:rsidRPr="009331DC">
        <w:rPr>
          <w:rFonts w:eastAsia="Times New Roman" w:cs="Arial"/>
          <w:color w:val="000000"/>
          <w:lang w:eastAsia="bg-BG"/>
        </w:rPr>
        <w:t>В първото проучван</w:t>
      </w:r>
      <w:r>
        <w:rPr>
          <w:rFonts w:eastAsia="Times New Roman" w:cs="Arial"/>
          <w:color w:val="000000"/>
          <w:lang w:eastAsia="bg-BG"/>
        </w:rPr>
        <w:t xml:space="preserve">е, процентът на смъртност е бил </w:t>
      </w:r>
      <w:r w:rsidRPr="009331DC">
        <w:rPr>
          <w:rFonts w:eastAsia="Times New Roman" w:cs="Arial"/>
          <w:color w:val="000000"/>
          <w:lang w:eastAsia="bg-BG"/>
        </w:rPr>
        <w:t xml:space="preserve">2/198 (1,0%) при прием на донепезил хидрохлорид 5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t xml:space="preserve">5/206 (2,4%) при прием на донепезил хидрохлорид 10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t>и 7/1</w:t>
      </w:r>
      <w:r>
        <w:rPr>
          <w:rFonts w:eastAsia="Times New Roman" w:cs="Arial"/>
          <w:color w:val="000000"/>
          <w:lang w:eastAsia="bg-BG"/>
        </w:rPr>
        <w:t>99 (3,5%) при прием на плацебо.</w:t>
      </w:r>
      <w:proofErr w:type="gramEnd"/>
      <w:r w:rsidRPr="009331DC">
        <w:rPr>
          <w:rFonts w:eastAsia="Times New Roman" w:cs="Arial"/>
          <w:color w:val="000000"/>
          <w:lang w:val="ru-RU" w:eastAsia="bg-BG"/>
        </w:rPr>
        <w:t xml:space="preserve"> </w:t>
      </w:r>
      <w:r w:rsidRPr="009331DC">
        <w:rPr>
          <w:rFonts w:eastAsia="Times New Roman" w:cs="Arial"/>
          <w:color w:val="000000"/>
          <w:lang w:eastAsia="bg-BG"/>
        </w:rPr>
        <w:t xml:space="preserve">Във второто проучване, процентът на смъртност е бил 4/208 (1,9%) при прием на донепезил хидрохлорид 5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t xml:space="preserve">3/215 (1,4%) при прием на донепезил хидрохлорид 10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t xml:space="preserve">и 1/193 (0,5%) при прием на плацебо. В третото проучване процентът на смъртност е бил 11/648 (1,7%) при прием на донепезил хидрохлорид 5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t>0/326 (0%) при прием на плацебо. Процентът на смъртност общо за трите изследвания е бил 1,7% за групата, приемала донепезил хидрохлорид и е бил числено по-висок от този в групата, приемала плацебо (1,1%), макар тази разлика да не е статистически значима. Големият процент смъртни случаи при пациентите, приемащи или донепезил хидрохлориди или плацебо, изглежда е резултат на различни причини,</w:t>
      </w:r>
      <w:r w:rsidRPr="009331DC">
        <w:rPr>
          <w:rFonts w:eastAsia="Times New Roman" w:cs="Arial"/>
          <w:color w:val="000000"/>
          <w:lang w:val="ru-RU" w:eastAsia="bg-BG"/>
        </w:rPr>
        <w:t xml:space="preserve"> </w:t>
      </w:r>
      <w:r w:rsidRPr="009331DC">
        <w:rPr>
          <w:rFonts w:eastAsia="Times New Roman" w:cs="Arial"/>
          <w:color w:val="000000"/>
          <w:lang w:eastAsia="bg-BG"/>
        </w:rPr>
        <w:t>свързани със съдови заболявания, които могат да бъдат очаквани при тази популация от лица в напреднала възраст, които имат предходни съдови заболявания. Анализ на всички сериозни нефатални и фатални съдови инциденти не показва различия в процента на събитията в групата, приемала донепезил хидрохлорид по отношение на плацебо.</w:t>
      </w:r>
    </w:p>
    <w:p w14:paraId="4867C923"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В общата база на проучванията при болест Алцхаймер (</w:t>
      </w:r>
      <w:r w:rsidRPr="009331DC">
        <w:rPr>
          <w:rFonts w:eastAsia="Times New Roman" w:cs="Arial"/>
          <w:color w:val="000000"/>
          <w:lang w:val="en-US"/>
        </w:rPr>
        <w:t>n</w:t>
      </w:r>
      <w:r w:rsidRPr="009331DC">
        <w:rPr>
          <w:rFonts w:eastAsia="Times New Roman" w:cs="Arial"/>
          <w:color w:val="000000"/>
          <w:lang w:eastAsia="bg-BG"/>
        </w:rPr>
        <w:t>=4146) и когато тези проучвания се обединят в обща база с други проучвания при деменция, включително и изследвания при съдова деменция (</w:t>
      </w:r>
      <w:r w:rsidRPr="009331DC">
        <w:rPr>
          <w:rFonts w:eastAsia="Times New Roman" w:cs="Arial"/>
          <w:color w:val="000000"/>
          <w:lang w:val="en-US"/>
        </w:rPr>
        <w:t>n</w:t>
      </w:r>
      <w:r w:rsidRPr="009331DC">
        <w:rPr>
          <w:rFonts w:eastAsia="Times New Roman" w:cs="Arial"/>
          <w:color w:val="000000"/>
          <w:lang w:eastAsia="bg-BG"/>
        </w:rPr>
        <w:t>=6888), процентът на смъртност в плацебо групите числено надвишава този в групите, приемали донепезил хидрохлорид.</w:t>
      </w:r>
    </w:p>
    <w:p w14:paraId="0241393D" w14:textId="5243AD71" w:rsidR="009331DC" w:rsidRPr="009331DC" w:rsidRDefault="009331DC" w:rsidP="009331DC">
      <w:pPr>
        <w:rPr>
          <w:rFonts w:cs="Arial"/>
        </w:rPr>
      </w:pPr>
    </w:p>
    <w:p w14:paraId="1244F76A" w14:textId="0F554031" w:rsidR="00395555" w:rsidRDefault="002C50EE" w:rsidP="008A6AF2">
      <w:pPr>
        <w:pStyle w:val="Heading2"/>
      </w:pPr>
      <w:r>
        <w:t>4.5. Взаимодействие с други лекарствени продукти и други форми на взаимодействие</w:t>
      </w:r>
    </w:p>
    <w:p w14:paraId="07D6C109" w14:textId="354FE4C1" w:rsidR="009331DC" w:rsidRDefault="009331DC" w:rsidP="009331DC"/>
    <w:p w14:paraId="3F0A2A13"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 xml:space="preserve">Донепезил хидрохлорид и/или всеки един от неговите метаболити не инхибира метаболизма на теофилин, варфарин, циметидин или дигоксин при хора. Метаболизмът на донепезил хидрохлорид не се повлиява при едновременно приложение с дигоксин или циметидин. Ин витро изследвания са показали, че цитохром Р450 изоензими ЗА4 и в по-малка степен </w:t>
      </w:r>
      <w:r w:rsidRPr="009331DC">
        <w:rPr>
          <w:rFonts w:eastAsia="Times New Roman" w:cs="Arial"/>
          <w:color w:val="000000"/>
          <w:lang w:val="ru-RU"/>
        </w:rPr>
        <w:t>2</w:t>
      </w:r>
      <w:r w:rsidRPr="009331DC">
        <w:rPr>
          <w:rFonts w:eastAsia="Times New Roman" w:cs="Arial"/>
          <w:color w:val="000000"/>
          <w:lang w:val="en-US"/>
        </w:rPr>
        <w:t>D</w:t>
      </w:r>
      <w:r w:rsidRPr="009331DC">
        <w:rPr>
          <w:rFonts w:eastAsia="Times New Roman" w:cs="Arial"/>
          <w:color w:val="000000"/>
          <w:lang w:val="ru-RU"/>
        </w:rPr>
        <w:t xml:space="preserve">6 </w:t>
      </w:r>
      <w:r w:rsidRPr="009331DC">
        <w:rPr>
          <w:rFonts w:eastAsia="Times New Roman" w:cs="Arial"/>
          <w:color w:val="000000"/>
          <w:lang w:eastAsia="bg-BG"/>
        </w:rPr>
        <w:t xml:space="preserve">участват в метаболизма на донепезил. Изследвания за лекарствени взаимодействия, проведени в условия ин витро, показват, че кетоконазол и хиниднн, инхибитори на </w:t>
      </w:r>
      <w:r w:rsidRPr="009331DC">
        <w:rPr>
          <w:rFonts w:eastAsia="Times New Roman" w:cs="Arial"/>
          <w:color w:val="000000"/>
          <w:lang w:val="en-US"/>
        </w:rPr>
        <w:t>CYP</w:t>
      </w:r>
      <w:r w:rsidRPr="009331DC">
        <w:rPr>
          <w:rFonts w:eastAsia="Times New Roman" w:cs="Arial"/>
          <w:color w:val="000000"/>
          <w:lang w:val="ru-RU"/>
        </w:rPr>
        <w:t>3</w:t>
      </w:r>
      <w:r w:rsidRPr="009331DC">
        <w:rPr>
          <w:rFonts w:eastAsia="Times New Roman" w:cs="Arial"/>
          <w:color w:val="000000"/>
          <w:lang w:val="en-US"/>
        </w:rPr>
        <w:t>A</w:t>
      </w:r>
      <w:r w:rsidRPr="009331DC">
        <w:rPr>
          <w:rFonts w:eastAsia="Times New Roman" w:cs="Arial"/>
          <w:color w:val="000000"/>
          <w:lang w:val="ru-RU"/>
        </w:rPr>
        <w:t xml:space="preserve">4 </w:t>
      </w:r>
      <w:r w:rsidRPr="009331DC">
        <w:rPr>
          <w:rFonts w:eastAsia="Times New Roman" w:cs="Arial"/>
          <w:color w:val="000000"/>
          <w:lang w:eastAsia="bg-BG"/>
        </w:rPr>
        <w:t xml:space="preserve">и съответно на </w:t>
      </w:r>
      <w:r w:rsidRPr="009331DC">
        <w:rPr>
          <w:rFonts w:eastAsia="Times New Roman" w:cs="Arial"/>
          <w:color w:val="000000"/>
          <w:lang w:val="ru-RU"/>
        </w:rPr>
        <w:t>2</w:t>
      </w:r>
      <w:r w:rsidRPr="009331DC">
        <w:rPr>
          <w:rFonts w:eastAsia="Times New Roman" w:cs="Arial"/>
          <w:color w:val="000000"/>
          <w:lang w:val="en-US"/>
        </w:rPr>
        <w:t>D</w:t>
      </w:r>
      <w:r w:rsidRPr="009331DC">
        <w:rPr>
          <w:rFonts w:eastAsia="Times New Roman" w:cs="Arial"/>
          <w:color w:val="000000"/>
          <w:lang w:val="ru-RU"/>
        </w:rPr>
        <w:t xml:space="preserve">6, </w:t>
      </w:r>
      <w:r w:rsidRPr="009331DC">
        <w:rPr>
          <w:rFonts w:eastAsia="Times New Roman" w:cs="Arial"/>
          <w:color w:val="000000"/>
          <w:lang w:eastAsia="bg-BG"/>
        </w:rPr>
        <w:t xml:space="preserve">инхибират метаболизма на донепезил. Следователно тези и други </w:t>
      </w:r>
      <w:r w:rsidRPr="009331DC">
        <w:rPr>
          <w:rFonts w:eastAsia="Times New Roman" w:cs="Arial"/>
          <w:color w:val="000000"/>
          <w:lang w:val="en-US"/>
        </w:rPr>
        <w:t>CYP</w:t>
      </w:r>
      <w:r w:rsidRPr="009331DC">
        <w:rPr>
          <w:rFonts w:eastAsia="Times New Roman" w:cs="Arial"/>
          <w:color w:val="000000"/>
          <w:lang w:val="ru-RU"/>
        </w:rPr>
        <w:t>3</w:t>
      </w:r>
      <w:r w:rsidRPr="009331DC">
        <w:rPr>
          <w:rFonts w:eastAsia="Times New Roman" w:cs="Arial"/>
          <w:color w:val="000000"/>
          <w:lang w:val="en-US"/>
        </w:rPr>
        <w:t>A</w:t>
      </w:r>
      <w:r w:rsidRPr="009331DC">
        <w:rPr>
          <w:rFonts w:eastAsia="Times New Roman" w:cs="Arial"/>
          <w:color w:val="000000"/>
          <w:lang w:val="ru-RU"/>
        </w:rPr>
        <w:t xml:space="preserve">4 </w:t>
      </w:r>
      <w:r w:rsidRPr="009331DC">
        <w:rPr>
          <w:rFonts w:eastAsia="Times New Roman" w:cs="Arial"/>
          <w:color w:val="000000"/>
          <w:lang w:eastAsia="bg-BG"/>
        </w:rPr>
        <w:t xml:space="preserve">инхибитори, като интраконазол и еритромицин и </w:t>
      </w:r>
      <w:r w:rsidRPr="009331DC">
        <w:rPr>
          <w:rFonts w:eastAsia="Times New Roman" w:cs="Arial"/>
          <w:color w:val="000000"/>
          <w:lang w:val="en-US"/>
        </w:rPr>
        <w:t>CYP</w:t>
      </w:r>
      <w:r w:rsidRPr="009331DC">
        <w:rPr>
          <w:rFonts w:eastAsia="Times New Roman" w:cs="Arial"/>
          <w:color w:val="000000"/>
          <w:lang w:val="ru-RU"/>
        </w:rPr>
        <w:t>2</w:t>
      </w:r>
      <w:r w:rsidRPr="009331DC">
        <w:rPr>
          <w:rFonts w:eastAsia="Times New Roman" w:cs="Arial"/>
          <w:color w:val="000000"/>
          <w:lang w:val="en-US"/>
        </w:rPr>
        <w:t>D</w:t>
      </w:r>
      <w:r w:rsidRPr="009331DC">
        <w:rPr>
          <w:rFonts w:eastAsia="Times New Roman" w:cs="Arial"/>
          <w:color w:val="000000"/>
          <w:lang w:val="ru-RU"/>
        </w:rPr>
        <w:t xml:space="preserve">6 </w:t>
      </w:r>
      <w:r w:rsidRPr="009331DC">
        <w:rPr>
          <w:rFonts w:eastAsia="Times New Roman" w:cs="Arial"/>
          <w:color w:val="000000"/>
          <w:lang w:eastAsia="bg-BG"/>
        </w:rPr>
        <w:t xml:space="preserve">инхибитори, като флуоксетин, могат да инхибират метаболизма на донепезил. В изследване при здрави доброволци, кетоконазол повишава средните концентрации на донепезил с около 30%. Ензимните индуктори, като рифампицин, фенитоин, карбамазепин и алкохол могат да понижат нивата на донепезил. Докато големината на ефекта на инхибиране или индукция е неизвестен, такива лекарствени комбинации трябва да бъдат използвани с внимание. Донепезил хидрохлорид има способността да взаимодейства с лекарства, притежаващи антихолинергична активност. Имат също вероятност за синергична активност при едновременно лечение, включващо лекарства </w:t>
      </w:r>
      <w:r w:rsidRPr="009331DC">
        <w:rPr>
          <w:rFonts w:eastAsia="Times New Roman" w:cs="Arial"/>
          <w:color w:val="000000"/>
          <w:lang w:eastAsia="bg-BG"/>
        </w:rPr>
        <w:lastRenderedPageBreak/>
        <w:t>като сукцинилхолин, други нервно- мускулни блокери или холинергични агонисти или бета-блокиращи агенти, които имат ефекти върху сърдечната проводимост.</w:t>
      </w:r>
    </w:p>
    <w:p w14:paraId="55078D4A" w14:textId="77777777" w:rsidR="009331DC" w:rsidRPr="009331DC" w:rsidRDefault="009331DC" w:rsidP="009331DC"/>
    <w:p w14:paraId="6EADE4D6" w14:textId="782F671D" w:rsidR="00395555" w:rsidRDefault="002C50EE" w:rsidP="008A6AF2">
      <w:pPr>
        <w:pStyle w:val="Heading2"/>
      </w:pPr>
      <w:r>
        <w:t>4.6. Фертилитет, бременност и кърмене</w:t>
      </w:r>
    </w:p>
    <w:p w14:paraId="4D93ADA2" w14:textId="3579017C" w:rsidR="009331DC" w:rsidRDefault="009331DC" w:rsidP="009331DC"/>
    <w:p w14:paraId="39B3C4E4" w14:textId="77777777" w:rsidR="009331DC" w:rsidRPr="009331DC" w:rsidRDefault="009331DC" w:rsidP="009331DC">
      <w:pPr>
        <w:pStyle w:val="Heading3"/>
        <w:rPr>
          <w:rFonts w:eastAsia="Times New Roman"/>
          <w:u w:val="single"/>
        </w:rPr>
      </w:pPr>
      <w:r w:rsidRPr="009331DC">
        <w:rPr>
          <w:rFonts w:eastAsia="Times New Roman"/>
          <w:u w:val="single"/>
          <w:lang w:eastAsia="bg-BG"/>
        </w:rPr>
        <w:t>Бременност:</w:t>
      </w:r>
    </w:p>
    <w:p w14:paraId="409529D5"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Липсва адекватна информация за употребата на донепезил при бременни жени. Изследвания при животни не са показали тератогенен ефект, но са показали пери- и постнатална токсичност (вж. т. 5.3). Потенциалният риск при човека е неизвестен.</w:t>
      </w:r>
    </w:p>
    <w:p w14:paraId="3572BA67"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Донепезил Акорд не трябва да се използва по време на бременност, освен ако няма абсолютна необходимост.</w:t>
      </w:r>
    </w:p>
    <w:p w14:paraId="2023861F" w14:textId="77777777" w:rsidR="009331DC" w:rsidRPr="009331DC" w:rsidRDefault="009331DC" w:rsidP="009331DC">
      <w:pPr>
        <w:spacing w:line="240" w:lineRule="auto"/>
        <w:rPr>
          <w:rFonts w:eastAsia="Times New Roman" w:cs="Arial"/>
          <w:color w:val="000000"/>
          <w:lang w:eastAsia="bg-BG"/>
        </w:rPr>
      </w:pPr>
    </w:p>
    <w:p w14:paraId="0D65DC16" w14:textId="2AF1FA7E" w:rsidR="009331DC" w:rsidRPr="009331DC" w:rsidRDefault="009331DC" w:rsidP="009331DC">
      <w:pPr>
        <w:pStyle w:val="Heading3"/>
        <w:rPr>
          <w:rFonts w:eastAsia="Times New Roman"/>
          <w:u w:val="single"/>
        </w:rPr>
      </w:pPr>
      <w:r w:rsidRPr="009331DC">
        <w:rPr>
          <w:rFonts w:eastAsia="Times New Roman"/>
          <w:u w:val="single"/>
          <w:lang w:eastAsia="bg-BG"/>
        </w:rPr>
        <w:t>Кърмене:</w:t>
      </w:r>
    </w:p>
    <w:p w14:paraId="17B8E33B"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Донепезил се екскретира с млякото при плъхове. Не е известно дали донепезил хидрохлорид се екскретира с човешката кърма и липсват изследвания при кърмачки. Следователно жени, приемащи донепезил, не трябва да кърмят.</w:t>
      </w:r>
    </w:p>
    <w:p w14:paraId="7E3ABF85" w14:textId="77777777" w:rsidR="009331DC" w:rsidRPr="009331DC" w:rsidRDefault="009331DC" w:rsidP="009331DC"/>
    <w:p w14:paraId="5766770B" w14:textId="100938B6" w:rsidR="00395555" w:rsidRDefault="002C50EE" w:rsidP="008A6AF2">
      <w:pPr>
        <w:pStyle w:val="Heading2"/>
      </w:pPr>
      <w:r>
        <w:t>4.7. Ефекти върху способността за шофиране и работа с машини</w:t>
      </w:r>
    </w:p>
    <w:p w14:paraId="4CD15D22" w14:textId="16EEB1FA" w:rsidR="009331DC" w:rsidRDefault="009331DC" w:rsidP="009331DC"/>
    <w:p w14:paraId="1BC1AF34"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Донепезил има слабо или умерено влияние върху способността за шофирне и работа с машини.</w:t>
      </w:r>
    </w:p>
    <w:p w14:paraId="5E2E8861" w14:textId="058ECB56" w:rsidR="009331DC" w:rsidRPr="009331DC" w:rsidRDefault="009331DC" w:rsidP="009331DC">
      <w:pPr>
        <w:spacing w:line="240" w:lineRule="auto"/>
        <w:rPr>
          <w:rFonts w:eastAsia="Times New Roman" w:cs="Arial"/>
          <w:sz w:val="24"/>
          <w:szCs w:val="24"/>
          <w:lang w:val="ru-RU"/>
        </w:rPr>
      </w:pPr>
      <w:r w:rsidRPr="009331DC">
        <w:rPr>
          <w:rFonts w:eastAsia="Times New Roman" w:cs="Arial"/>
          <w:color w:val="000000"/>
          <w:lang w:eastAsia="bg-BG"/>
        </w:rPr>
        <w:t>Деменцията може да предизвика нарушения на способността за шофиране или да намали способността за работа с машини. Нещо повече, донепезил може да предизвика умора, замаяност и мускулни крампи, основно при започване на лечението или</w:t>
      </w:r>
      <w:r w:rsidRPr="009331DC">
        <w:rPr>
          <w:rFonts w:eastAsia="Times New Roman" w:cs="Arial"/>
          <w:sz w:val="24"/>
          <w:szCs w:val="24"/>
          <w:lang w:val="ru-RU"/>
        </w:rPr>
        <w:t xml:space="preserve"> </w:t>
      </w:r>
      <w:r w:rsidRPr="009331DC">
        <w:rPr>
          <w:rFonts w:eastAsia="Times New Roman" w:cs="Arial"/>
          <w:color w:val="000000"/>
          <w:lang w:eastAsia="bg-BG"/>
        </w:rPr>
        <w:t>повишаване на дозата. Лекуващият лекар трябва рутинно да оценява способността на</w:t>
      </w:r>
      <w:r w:rsidRPr="009331DC">
        <w:rPr>
          <w:rFonts w:eastAsia="Times New Roman" w:cs="Arial"/>
          <w:color w:val="000000"/>
          <w:lang w:val="ru-RU" w:eastAsia="bg-BG"/>
        </w:rPr>
        <w:t xml:space="preserve"> </w:t>
      </w:r>
      <w:r w:rsidRPr="009331DC">
        <w:rPr>
          <w:rFonts w:cs="Arial"/>
        </w:rPr>
        <w:t>пациентите, приемащи донепезил дали да продължават да шофират или да работят със сложни машини.</w:t>
      </w:r>
    </w:p>
    <w:p w14:paraId="2986B64F" w14:textId="77777777" w:rsidR="009331DC" w:rsidRPr="009331DC" w:rsidRDefault="009331DC" w:rsidP="009331DC"/>
    <w:p w14:paraId="4FE16E21" w14:textId="60D8F835" w:rsidR="00395555" w:rsidRDefault="002C50EE" w:rsidP="008A6AF2">
      <w:pPr>
        <w:pStyle w:val="Heading2"/>
      </w:pPr>
      <w:r>
        <w:t>4.8. Нежелани лекарствени реакции</w:t>
      </w:r>
    </w:p>
    <w:p w14:paraId="7EB6FFB6" w14:textId="4D7CEFFD" w:rsidR="009331DC" w:rsidRDefault="009331DC" w:rsidP="009331DC"/>
    <w:p w14:paraId="3A6F8524"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Най-честите неблагоприятни реакции са диария, мускулни крампи, умора, повдигане, повръщане и безсъние.</w:t>
      </w:r>
    </w:p>
    <w:p w14:paraId="63537DA2" w14:textId="0D3331B8" w:rsidR="009331DC" w:rsidRDefault="009331DC" w:rsidP="009331DC">
      <w:pPr>
        <w:spacing w:line="240" w:lineRule="auto"/>
        <w:rPr>
          <w:rFonts w:eastAsia="Times New Roman" w:cs="Arial"/>
          <w:color w:val="000000"/>
          <w:lang w:eastAsia="bg-BG"/>
        </w:rPr>
      </w:pPr>
      <w:r w:rsidRPr="009331DC">
        <w:rPr>
          <w:rFonts w:eastAsia="Times New Roman" w:cs="Arial"/>
          <w:color w:val="000000"/>
          <w:lang w:eastAsia="bg-BG"/>
        </w:rPr>
        <w:t>Неблагоприятните реакции, извън докладвани от изолирани случаи, са изброени по- долу, по системи и органи и по честота. Честотите се определят като: много чести (</w:t>
      </w:r>
      <w:r w:rsidRPr="009331DC">
        <w:rPr>
          <w:rFonts w:eastAsia="Times New Roman" w:cs="Arial"/>
          <w:color w:val="000000"/>
          <w:lang w:val="ru-RU"/>
        </w:rPr>
        <w:t>≥</w:t>
      </w:r>
      <w:r w:rsidRPr="009331DC">
        <w:rPr>
          <w:rFonts w:eastAsia="Times New Roman" w:cs="Arial"/>
          <w:color w:val="000000"/>
          <w:lang w:eastAsia="bg-BG"/>
        </w:rPr>
        <w:t xml:space="preserve"> 1/10); чести (</w:t>
      </w:r>
      <w:r w:rsidRPr="009331DC">
        <w:rPr>
          <w:rFonts w:eastAsia="Times New Roman" w:cs="Arial"/>
          <w:color w:val="000000"/>
          <w:lang w:val="ru-RU"/>
        </w:rPr>
        <w:t>≥</w:t>
      </w:r>
      <w:r w:rsidRPr="009331DC">
        <w:rPr>
          <w:rFonts w:eastAsia="Times New Roman" w:cs="Arial"/>
          <w:color w:val="000000"/>
          <w:lang w:eastAsia="bg-BG"/>
        </w:rPr>
        <w:t xml:space="preserve"> 1/100 до &lt; 1/10); нечести (</w:t>
      </w:r>
      <w:r w:rsidRPr="009331DC">
        <w:rPr>
          <w:rFonts w:eastAsia="Times New Roman" w:cs="Arial"/>
          <w:color w:val="000000"/>
          <w:lang w:val="ru-RU"/>
        </w:rPr>
        <w:t>≥</w:t>
      </w:r>
      <w:r w:rsidRPr="009331DC">
        <w:rPr>
          <w:rFonts w:eastAsia="Times New Roman" w:cs="Arial"/>
          <w:color w:val="000000"/>
          <w:lang w:eastAsia="bg-BG"/>
        </w:rPr>
        <w:t xml:space="preserve"> 1/1 000 до &lt; 1/100); редки (</w:t>
      </w:r>
      <w:r w:rsidRPr="009331DC">
        <w:rPr>
          <w:rFonts w:eastAsia="Times New Roman" w:cs="Arial"/>
          <w:color w:val="000000"/>
          <w:lang w:val="ru-RU"/>
        </w:rPr>
        <w:t>≥</w:t>
      </w:r>
      <w:r w:rsidRPr="009331DC">
        <w:rPr>
          <w:rFonts w:eastAsia="Times New Roman" w:cs="Arial"/>
          <w:color w:val="000000"/>
          <w:lang w:eastAsia="bg-BG"/>
        </w:rPr>
        <w:t>1/10 000 до &lt; 1/1 000); много редки (&lt; 1/10 000), с неизвестна честота (от наличните данни не може да бъде направени оценка).</w:t>
      </w:r>
    </w:p>
    <w:p w14:paraId="00071486" w14:textId="2AAB0065" w:rsidR="009331DC" w:rsidRDefault="009331DC" w:rsidP="009331DC">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1632"/>
        <w:gridCol w:w="1229"/>
        <w:gridCol w:w="1531"/>
        <w:gridCol w:w="1445"/>
        <w:gridCol w:w="1979"/>
        <w:gridCol w:w="1534"/>
      </w:tblGrid>
      <w:tr w:rsidR="009331DC" w14:paraId="1FC5BBC2" w14:textId="77777777" w:rsidTr="009331DC">
        <w:tc>
          <w:tcPr>
            <w:tcW w:w="1672" w:type="dxa"/>
            <w:vAlign w:val="bottom"/>
          </w:tcPr>
          <w:p w14:paraId="59109773" w14:textId="277CB053" w:rsidR="009331DC" w:rsidRDefault="009331DC" w:rsidP="009331DC">
            <w:pPr>
              <w:spacing w:line="240" w:lineRule="auto"/>
              <w:rPr>
                <w:rFonts w:eastAsia="Times New Roman" w:cs="Arial"/>
                <w:sz w:val="24"/>
                <w:szCs w:val="24"/>
              </w:rPr>
            </w:pPr>
            <w:r>
              <w:rPr>
                <w:b/>
                <w:bCs/>
              </w:rPr>
              <w:t>Системо- органен клас</w:t>
            </w:r>
          </w:p>
        </w:tc>
        <w:tc>
          <w:tcPr>
            <w:tcW w:w="1257" w:type="dxa"/>
            <w:vAlign w:val="bottom"/>
          </w:tcPr>
          <w:p w14:paraId="6C8F0D63" w14:textId="7585326C" w:rsidR="009331DC" w:rsidRDefault="009331DC" w:rsidP="009331DC">
            <w:pPr>
              <w:spacing w:line="240" w:lineRule="auto"/>
              <w:rPr>
                <w:rFonts w:eastAsia="Times New Roman" w:cs="Arial"/>
                <w:sz w:val="24"/>
                <w:szCs w:val="24"/>
              </w:rPr>
            </w:pPr>
            <w:r>
              <w:rPr>
                <w:b/>
                <w:bCs/>
              </w:rPr>
              <w:t>Много чести</w:t>
            </w:r>
          </w:p>
        </w:tc>
        <w:tc>
          <w:tcPr>
            <w:tcW w:w="1567" w:type="dxa"/>
          </w:tcPr>
          <w:p w14:paraId="47017D69" w14:textId="11EC4403" w:rsidR="009331DC" w:rsidRDefault="009331DC" w:rsidP="009331DC">
            <w:pPr>
              <w:spacing w:line="240" w:lineRule="auto"/>
              <w:rPr>
                <w:rFonts w:eastAsia="Times New Roman" w:cs="Arial"/>
                <w:sz w:val="24"/>
                <w:szCs w:val="24"/>
              </w:rPr>
            </w:pPr>
            <w:r>
              <w:rPr>
                <w:b/>
                <w:bCs/>
              </w:rPr>
              <w:t>Чести</w:t>
            </w:r>
          </w:p>
        </w:tc>
        <w:tc>
          <w:tcPr>
            <w:tcW w:w="1480" w:type="dxa"/>
          </w:tcPr>
          <w:p w14:paraId="1F34F518" w14:textId="2FF9D46C" w:rsidR="009331DC" w:rsidRDefault="009331DC" w:rsidP="009331DC">
            <w:pPr>
              <w:spacing w:line="240" w:lineRule="auto"/>
              <w:rPr>
                <w:rFonts w:eastAsia="Times New Roman" w:cs="Arial"/>
                <w:sz w:val="24"/>
                <w:szCs w:val="24"/>
              </w:rPr>
            </w:pPr>
            <w:r>
              <w:rPr>
                <w:b/>
                <w:bCs/>
              </w:rPr>
              <w:t>Нечести</w:t>
            </w:r>
          </w:p>
        </w:tc>
        <w:tc>
          <w:tcPr>
            <w:tcW w:w="2029" w:type="dxa"/>
          </w:tcPr>
          <w:p w14:paraId="4DAB6C4A" w14:textId="1E5708F4" w:rsidR="009331DC" w:rsidRDefault="009331DC" w:rsidP="009331DC">
            <w:pPr>
              <w:spacing w:line="240" w:lineRule="auto"/>
              <w:rPr>
                <w:rFonts w:eastAsia="Times New Roman" w:cs="Arial"/>
                <w:sz w:val="24"/>
                <w:szCs w:val="24"/>
              </w:rPr>
            </w:pPr>
            <w:r>
              <w:rPr>
                <w:b/>
                <w:bCs/>
              </w:rPr>
              <w:t>Редки</w:t>
            </w:r>
          </w:p>
        </w:tc>
        <w:tc>
          <w:tcPr>
            <w:tcW w:w="1571" w:type="dxa"/>
          </w:tcPr>
          <w:p w14:paraId="4466332A" w14:textId="0BFF4AB1" w:rsidR="009331DC" w:rsidRDefault="009331DC" w:rsidP="009331DC">
            <w:pPr>
              <w:spacing w:line="240" w:lineRule="auto"/>
              <w:rPr>
                <w:rFonts w:eastAsia="Times New Roman" w:cs="Arial"/>
                <w:sz w:val="24"/>
                <w:szCs w:val="24"/>
              </w:rPr>
            </w:pPr>
            <w:r>
              <w:rPr>
                <w:b/>
                <w:bCs/>
              </w:rPr>
              <w:t>Много редки</w:t>
            </w:r>
          </w:p>
        </w:tc>
      </w:tr>
      <w:tr w:rsidR="009331DC" w14:paraId="57D0DE1F" w14:textId="77777777" w:rsidTr="009331DC">
        <w:tc>
          <w:tcPr>
            <w:tcW w:w="1672" w:type="dxa"/>
            <w:vAlign w:val="bottom"/>
          </w:tcPr>
          <w:p w14:paraId="7FC0D1B9" w14:textId="5BE117CE" w:rsidR="009331DC" w:rsidRDefault="009331DC" w:rsidP="009331DC">
            <w:pPr>
              <w:spacing w:line="240" w:lineRule="auto"/>
              <w:rPr>
                <w:rFonts w:eastAsia="Times New Roman" w:cs="Arial"/>
                <w:sz w:val="24"/>
                <w:szCs w:val="24"/>
              </w:rPr>
            </w:pPr>
            <w:r>
              <w:t>Инфекции и инфестации</w:t>
            </w:r>
          </w:p>
        </w:tc>
        <w:tc>
          <w:tcPr>
            <w:tcW w:w="1257" w:type="dxa"/>
          </w:tcPr>
          <w:p w14:paraId="233A94A7" w14:textId="77777777" w:rsidR="009331DC" w:rsidRDefault="009331DC" w:rsidP="009331DC">
            <w:pPr>
              <w:spacing w:line="240" w:lineRule="auto"/>
              <w:rPr>
                <w:rFonts w:eastAsia="Times New Roman" w:cs="Arial"/>
                <w:sz w:val="24"/>
                <w:szCs w:val="24"/>
              </w:rPr>
            </w:pPr>
          </w:p>
        </w:tc>
        <w:tc>
          <w:tcPr>
            <w:tcW w:w="1567" w:type="dxa"/>
          </w:tcPr>
          <w:p w14:paraId="19659A9E" w14:textId="655B19D1" w:rsidR="009331DC" w:rsidRDefault="009331DC" w:rsidP="009331DC">
            <w:pPr>
              <w:spacing w:line="240" w:lineRule="auto"/>
              <w:rPr>
                <w:rFonts w:eastAsia="Times New Roman" w:cs="Arial"/>
                <w:sz w:val="24"/>
                <w:szCs w:val="24"/>
              </w:rPr>
            </w:pPr>
            <w:r>
              <w:t>Простуда</w:t>
            </w:r>
          </w:p>
        </w:tc>
        <w:tc>
          <w:tcPr>
            <w:tcW w:w="1480" w:type="dxa"/>
          </w:tcPr>
          <w:p w14:paraId="69E971F8" w14:textId="77777777" w:rsidR="009331DC" w:rsidRDefault="009331DC" w:rsidP="009331DC">
            <w:pPr>
              <w:spacing w:line="240" w:lineRule="auto"/>
              <w:rPr>
                <w:rFonts w:eastAsia="Times New Roman" w:cs="Arial"/>
                <w:sz w:val="24"/>
                <w:szCs w:val="24"/>
              </w:rPr>
            </w:pPr>
          </w:p>
        </w:tc>
        <w:tc>
          <w:tcPr>
            <w:tcW w:w="2029" w:type="dxa"/>
          </w:tcPr>
          <w:p w14:paraId="3BC61761" w14:textId="77777777" w:rsidR="009331DC" w:rsidRDefault="009331DC" w:rsidP="009331DC">
            <w:pPr>
              <w:spacing w:line="240" w:lineRule="auto"/>
              <w:rPr>
                <w:rFonts w:eastAsia="Times New Roman" w:cs="Arial"/>
                <w:sz w:val="24"/>
                <w:szCs w:val="24"/>
              </w:rPr>
            </w:pPr>
          </w:p>
        </w:tc>
        <w:tc>
          <w:tcPr>
            <w:tcW w:w="1571" w:type="dxa"/>
          </w:tcPr>
          <w:p w14:paraId="397BA760" w14:textId="77777777" w:rsidR="009331DC" w:rsidRDefault="009331DC" w:rsidP="009331DC">
            <w:pPr>
              <w:spacing w:line="240" w:lineRule="auto"/>
              <w:rPr>
                <w:rFonts w:eastAsia="Times New Roman" w:cs="Arial"/>
                <w:sz w:val="24"/>
                <w:szCs w:val="24"/>
              </w:rPr>
            </w:pPr>
          </w:p>
        </w:tc>
      </w:tr>
      <w:tr w:rsidR="009331DC" w14:paraId="1CC26083" w14:textId="77777777" w:rsidTr="009331DC">
        <w:tc>
          <w:tcPr>
            <w:tcW w:w="1672" w:type="dxa"/>
            <w:vAlign w:val="bottom"/>
          </w:tcPr>
          <w:p w14:paraId="02E639B6" w14:textId="72FA5AE9" w:rsidR="009331DC" w:rsidRDefault="009331DC" w:rsidP="009331DC">
            <w:pPr>
              <w:spacing w:line="240" w:lineRule="auto"/>
              <w:rPr>
                <w:rFonts w:eastAsia="Times New Roman" w:cs="Arial"/>
                <w:sz w:val="24"/>
                <w:szCs w:val="24"/>
              </w:rPr>
            </w:pPr>
            <w:r>
              <w:t>Нарушения на метаболизма и храненето</w:t>
            </w:r>
          </w:p>
        </w:tc>
        <w:tc>
          <w:tcPr>
            <w:tcW w:w="1257" w:type="dxa"/>
          </w:tcPr>
          <w:p w14:paraId="5540A48D" w14:textId="77777777" w:rsidR="009331DC" w:rsidRDefault="009331DC" w:rsidP="009331DC">
            <w:pPr>
              <w:spacing w:line="240" w:lineRule="auto"/>
              <w:rPr>
                <w:rFonts w:eastAsia="Times New Roman" w:cs="Arial"/>
                <w:sz w:val="24"/>
                <w:szCs w:val="24"/>
              </w:rPr>
            </w:pPr>
          </w:p>
        </w:tc>
        <w:tc>
          <w:tcPr>
            <w:tcW w:w="1567" w:type="dxa"/>
          </w:tcPr>
          <w:p w14:paraId="2BF5A039" w14:textId="097EA3BE" w:rsidR="009331DC" w:rsidRDefault="009331DC" w:rsidP="009331DC">
            <w:pPr>
              <w:spacing w:line="240" w:lineRule="auto"/>
              <w:rPr>
                <w:rFonts w:eastAsia="Times New Roman" w:cs="Arial"/>
                <w:sz w:val="24"/>
                <w:szCs w:val="24"/>
              </w:rPr>
            </w:pPr>
            <w:r>
              <w:t>Анорексия</w:t>
            </w:r>
          </w:p>
        </w:tc>
        <w:tc>
          <w:tcPr>
            <w:tcW w:w="1480" w:type="dxa"/>
          </w:tcPr>
          <w:p w14:paraId="091083E0" w14:textId="77777777" w:rsidR="009331DC" w:rsidRDefault="009331DC" w:rsidP="009331DC">
            <w:pPr>
              <w:spacing w:line="240" w:lineRule="auto"/>
              <w:rPr>
                <w:rFonts w:eastAsia="Times New Roman" w:cs="Arial"/>
                <w:sz w:val="24"/>
                <w:szCs w:val="24"/>
              </w:rPr>
            </w:pPr>
          </w:p>
        </w:tc>
        <w:tc>
          <w:tcPr>
            <w:tcW w:w="2029" w:type="dxa"/>
          </w:tcPr>
          <w:p w14:paraId="599FE1B2" w14:textId="77777777" w:rsidR="009331DC" w:rsidRDefault="009331DC" w:rsidP="009331DC">
            <w:pPr>
              <w:spacing w:line="240" w:lineRule="auto"/>
              <w:rPr>
                <w:rFonts w:eastAsia="Times New Roman" w:cs="Arial"/>
                <w:sz w:val="24"/>
                <w:szCs w:val="24"/>
              </w:rPr>
            </w:pPr>
          </w:p>
        </w:tc>
        <w:tc>
          <w:tcPr>
            <w:tcW w:w="1571" w:type="dxa"/>
          </w:tcPr>
          <w:p w14:paraId="65A241C7" w14:textId="77777777" w:rsidR="009331DC" w:rsidRDefault="009331DC" w:rsidP="009331DC">
            <w:pPr>
              <w:spacing w:line="240" w:lineRule="auto"/>
              <w:rPr>
                <w:rFonts w:eastAsia="Times New Roman" w:cs="Arial"/>
                <w:sz w:val="24"/>
                <w:szCs w:val="24"/>
              </w:rPr>
            </w:pPr>
          </w:p>
        </w:tc>
      </w:tr>
      <w:tr w:rsidR="009331DC" w14:paraId="288C6B34" w14:textId="77777777" w:rsidTr="009331DC">
        <w:tc>
          <w:tcPr>
            <w:tcW w:w="1672" w:type="dxa"/>
          </w:tcPr>
          <w:p w14:paraId="67FD46AC" w14:textId="5A5C76AE" w:rsidR="009331DC" w:rsidRDefault="009331DC" w:rsidP="009331DC">
            <w:pPr>
              <w:spacing w:line="240" w:lineRule="auto"/>
              <w:rPr>
                <w:rFonts w:eastAsia="Times New Roman" w:cs="Arial"/>
                <w:sz w:val="24"/>
                <w:szCs w:val="24"/>
              </w:rPr>
            </w:pPr>
            <w:r>
              <w:lastRenderedPageBreak/>
              <w:t>Психични нарушения</w:t>
            </w:r>
          </w:p>
        </w:tc>
        <w:tc>
          <w:tcPr>
            <w:tcW w:w="1257" w:type="dxa"/>
          </w:tcPr>
          <w:p w14:paraId="7A8D2074" w14:textId="77777777" w:rsidR="009331DC" w:rsidRDefault="009331DC" w:rsidP="009331DC">
            <w:pPr>
              <w:spacing w:line="240" w:lineRule="auto"/>
              <w:rPr>
                <w:rFonts w:eastAsia="Times New Roman" w:cs="Arial"/>
                <w:sz w:val="24"/>
                <w:szCs w:val="24"/>
              </w:rPr>
            </w:pPr>
          </w:p>
        </w:tc>
        <w:tc>
          <w:tcPr>
            <w:tcW w:w="1567" w:type="dxa"/>
            <w:vAlign w:val="bottom"/>
          </w:tcPr>
          <w:p w14:paraId="2841D611" w14:textId="77777777" w:rsidR="009331DC" w:rsidRDefault="009331DC" w:rsidP="009331DC">
            <w:r>
              <w:t>Халюцинации**</w:t>
            </w:r>
          </w:p>
          <w:p w14:paraId="00BE1063" w14:textId="77777777" w:rsidR="009331DC" w:rsidRDefault="009331DC" w:rsidP="009331DC">
            <w:r>
              <w:t>Възбуда**</w:t>
            </w:r>
          </w:p>
          <w:p w14:paraId="16876103" w14:textId="77777777" w:rsidR="009331DC" w:rsidRDefault="009331DC" w:rsidP="009331DC">
            <w:r>
              <w:t>Агресивно поведение**</w:t>
            </w:r>
          </w:p>
          <w:p w14:paraId="1322F888" w14:textId="62A168A9" w:rsidR="009331DC" w:rsidRDefault="009331DC" w:rsidP="009331DC">
            <w:pPr>
              <w:spacing w:line="240" w:lineRule="auto"/>
              <w:rPr>
                <w:rFonts w:eastAsia="Times New Roman" w:cs="Arial"/>
                <w:sz w:val="24"/>
                <w:szCs w:val="24"/>
              </w:rPr>
            </w:pPr>
            <w:r>
              <w:t>Патологични сънища и кошмари **</w:t>
            </w:r>
          </w:p>
        </w:tc>
        <w:tc>
          <w:tcPr>
            <w:tcW w:w="1480" w:type="dxa"/>
          </w:tcPr>
          <w:p w14:paraId="3FA52C95" w14:textId="77777777" w:rsidR="009331DC" w:rsidRDefault="009331DC" w:rsidP="009331DC">
            <w:pPr>
              <w:spacing w:line="240" w:lineRule="auto"/>
              <w:rPr>
                <w:rFonts w:eastAsia="Times New Roman" w:cs="Arial"/>
                <w:sz w:val="24"/>
                <w:szCs w:val="24"/>
              </w:rPr>
            </w:pPr>
          </w:p>
        </w:tc>
        <w:tc>
          <w:tcPr>
            <w:tcW w:w="2029" w:type="dxa"/>
          </w:tcPr>
          <w:p w14:paraId="3EAC2C4B" w14:textId="77777777" w:rsidR="009331DC" w:rsidRDefault="009331DC" w:rsidP="009331DC">
            <w:pPr>
              <w:spacing w:line="240" w:lineRule="auto"/>
              <w:rPr>
                <w:rFonts w:eastAsia="Times New Roman" w:cs="Arial"/>
                <w:sz w:val="24"/>
                <w:szCs w:val="24"/>
              </w:rPr>
            </w:pPr>
          </w:p>
        </w:tc>
        <w:tc>
          <w:tcPr>
            <w:tcW w:w="1571" w:type="dxa"/>
          </w:tcPr>
          <w:p w14:paraId="6E2BFCC1" w14:textId="77777777" w:rsidR="009331DC" w:rsidRDefault="009331DC" w:rsidP="009331DC">
            <w:pPr>
              <w:spacing w:line="240" w:lineRule="auto"/>
              <w:rPr>
                <w:rFonts w:eastAsia="Times New Roman" w:cs="Arial"/>
                <w:sz w:val="24"/>
                <w:szCs w:val="24"/>
              </w:rPr>
            </w:pPr>
          </w:p>
        </w:tc>
      </w:tr>
      <w:tr w:rsidR="009331DC" w14:paraId="585FEC82" w14:textId="77777777" w:rsidTr="009331DC">
        <w:tc>
          <w:tcPr>
            <w:tcW w:w="1672" w:type="dxa"/>
          </w:tcPr>
          <w:p w14:paraId="2DF983BB" w14:textId="6539060E" w:rsidR="009331DC" w:rsidRDefault="009331DC" w:rsidP="009331DC">
            <w:pPr>
              <w:spacing w:line="240" w:lineRule="auto"/>
              <w:rPr>
                <w:rFonts w:eastAsia="Times New Roman" w:cs="Arial"/>
                <w:sz w:val="24"/>
                <w:szCs w:val="24"/>
              </w:rPr>
            </w:pPr>
            <w:r>
              <w:t>Нарушения на нервната система</w:t>
            </w:r>
          </w:p>
        </w:tc>
        <w:tc>
          <w:tcPr>
            <w:tcW w:w="1257" w:type="dxa"/>
          </w:tcPr>
          <w:p w14:paraId="583F6E9B" w14:textId="77777777" w:rsidR="009331DC" w:rsidRDefault="009331DC" w:rsidP="009331DC">
            <w:pPr>
              <w:spacing w:line="240" w:lineRule="auto"/>
              <w:rPr>
                <w:rFonts w:eastAsia="Times New Roman" w:cs="Arial"/>
                <w:sz w:val="24"/>
                <w:szCs w:val="24"/>
              </w:rPr>
            </w:pPr>
          </w:p>
        </w:tc>
        <w:tc>
          <w:tcPr>
            <w:tcW w:w="1567" w:type="dxa"/>
          </w:tcPr>
          <w:p w14:paraId="57AA2365" w14:textId="77777777" w:rsidR="009331DC" w:rsidRDefault="009331DC" w:rsidP="009331DC">
            <w:r>
              <w:t>Синкоп*</w:t>
            </w:r>
          </w:p>
          <w:p w14:paraId="351CD181" w14:textId="77777777" w:rsidR="009331DC" w:rsidRDefault="009331DC" w:rsidP="009331DC">
            <w:r>
              <w:t>Замайване</w:t>
            </w:r>
          </w:p>
          <w:p w14:paraId="148309B3" w14:textId="2D9E0659" w:rsidR="009331DC" w:rsidRDefault="009331DC" w:rsidP="009331DC">
            <w:pPr>
              <w:spacing w:line="240" w:lineRule="auto"/>
              <w:rPr>
                <w:rFonts w:eastAsia="Times New Roman" w:cs="Arial"/>
                <w:sz w:val="24"/>
                <w:szCs w:val="24"/>
              </w:rPr>
            </w:pPr>
            <w:r>
              <w:t>Безсъние</w:t>
            </w:r>
          </w:p>
        </w:tc>
        <w:tc>
          <w:tcPr>
            <w:tcW w:w="1480" w:type="dxa"/>
          </w:tcPr>
          <w:p w14:paraId="0217E642" w14:textId="22665EEC" w:rsidR="009331DC" w:rsidRDefault="009331DC" w:rsidP="009331DC">
            <w:pPr>
              <w:spacing w:line="240" w:lineRule="auto"/>
              <w:rPr>
                <w:rFonts w:eastAsia="Times New Roman" w:cs="Arial"/>
                <w:sz w:val="24"/>
                <w:szCs w:val="24"/>
              </w:rPr>
            </w:pPr>
            <w:r>
              <w:t>Припадъци*</w:t>
            </w:r>
          </w:p>
        </w:tc>
        <w:tc>
          <w:tcPr>
            <w:tcW w:w="2029" w:type="dxa"/>
          </w:tcPr>
          <w:p w14:paraId="69E9175D" w14:textId="4C544E5D" w:rsidR="009331DC" w:rsidRDefault="009331DC" w:rsidP="009331DC">
            <w:pPr>
              <w:spacing w:line="240" w:lineRule="auto"/>
              <w:rPr>
                <w:rFonts w:eastAsia="Times New Roman" w:cs="Arial"/>
                <w:sz w:val="24"/>
                <w:szCs w:val="24"/>
              </w:rPr>
            </w:pPr>
            <w:r>
              <w:t>Екстрапирамидни симптоми</w:t>
            </w:r>
          </w:p>
        </w:tc>
        <w:tc>
          <w:tcPr>
            <w:tcW w:w="1571" w:type="dxa"/>
          </w:tcPr>
          <w:p w14:paraId="2E323D21" w14:textId="594F1C53" w:rsidR="009331DC" w:rsidRDefault="009331DC" w:rsidP="009331DC">
            <w:pPr>
              <w:spacing w:line="240" w:lineRule="auto"/>
              <w:rPr>
                <w:rFonts w:eastAsia="Times New Roman" w:cs="Arial"/>
                <w:sz w:val="24"/>
                <w:szCs w:val="24"/>
              </w:rPr>
            </w:pPr>
            <w:r>
              <w:t xml:space="preserve">Невролептичен малигнен синдром </w:t>
            </w:r>
            <w:r>
              <w:rPr>
                <w:lang w:val="en-US"/>
              </w:rPr>
              <w:t>(NMS)</w:t>
            </w:r>
          </w:p>
        </w:tc>
      </w:tr>
      <w:tr w:rsidR="009331DC" w14:paraId="15D26313" w14:textId="77777777" w:rsidTr="009331DC">
        <w:tc>
          <w:tcPr>
            <w:tcW w:w="1672" w:type="dxa"/>
          </w:tcPr>
          <w:p w14:paraId="7301290A" w14:textId="4964337F" w:rsidR="009331DC" w:rsidRDefault="009331DC" w:rsidP="009331DC">
            <w:pPr>
              <w:spacing w:line="240" w:lineRule="auto"/>
              <w:rPr>
                <w:rFonts w:eastAsia="Times New Roman" w:cs="Arial"/>
                <w:sz w:val="24"/>
                <w:szCs w:val="24"/>
              </w:rPr>
            </w:pPr>
            <w:r>
              <w:t>Сърдечни нарушения</w:t>
            </w:r>
          </w:p>
        </w:tc>
        <w:tc>
          <w:tcPr>
            <w:tcW w:w="1257" w:type="dxa"/>
          </w:tcPr>
          <w:p w14:paraId="0E906177" w14:textId="77777777" w:rsidR="009331DC" w:rsidRDefault="009331DC" w:rsidP="009331DC">
            <w:pPr>
              <w:spacing w:line="240" w:lineRule="auto"/>
              <w:rPr>
                <w:rFonts w:eastAsia="Times New Roman" w:cs="Arial"/>
                <w:sz w:val="24"/>
                <w:szCs w:val="24"/>
              </w:rPr>
            </w:pPr>
          </w:p>
        </w:tc>
        <w:tc>
          <w:tcPr>
            <w:tcW w:w="1567" w:type="dxa"/>
          </w:tcPr>
          <w:p w14:paraId="53F7DD62" w14:textId="77777777" w:rsidR="009331DC" w:rsidRDefault="009331DC" w:rsidP="009331DC">
            <w:pPr>
              <w:spacing w:line="240" w:lineRule="auto"/>
              <w:rPr>
                <w:rFonts w:eastAsia="Times New Roman" w:cs="Arial"/>
                <w:sz w:val="24"/>
                <w:szCs w:val="24"/>
              </w:rPr>
            </w:pPr>
          </w:p>
        </w:tc>
        <w:tc>
          <w:tcPr>
            <w:tcW w:w="1480" w:type="dxa"/>
          </w:tcPr>
          <w:p w14:paraId="66F4D98F" w14:textId="2418726B" w:rsidR="009331DC" w:rsidRDefault="009331DC" w:rsidP="009331DC">
            <w:pPr>
              <w:spacing w:line="240" w:lineRule="auto"/>
              <w:rPr>
                <w:rFonts w:eastAsia="Times New Roman" w:cs="Arial"/>
                <w:sz w:val="24"/>
                <w:szCs w:val="24"/>
              </w:rPr>
            </w:pPr>
            <w:r>
              <w:t>Брадикардия</w:t>
            </w:r>
          </w:p>
        </w:tc>
        <w:tc>
          <w:tcPr>
            <w:tcW w:w="2029" w:type="dxa"/>
          </w:tcPr>
          <w:p w14:paraId="58EA4032" w14:textId="77777777" w:rsidR="009331DC" w:rsidRDefault="009331DC" w:rsidP="009331DC">
            <w:r>
              <w:t>Синуатриален блок</w:t>
            </w:r>
          </w:p>
          <w:p w14:paraId="5A4B1E6F" w14:textId="2DADA963" w:rsidR="009331DC" w:rsidRDefault="009331DC" w:rsidP="009331DC">
            <w:pPr>
              <w:spacing w:line="240" w:lineRule="auto"/>
              <w:rPr>
                <w:rFonts w:eastAsia="Times New Roman" w:cs="Arial"/>
                <w:sz w:val="24"/>
                <w:szCs w:val="24"/>
              </w:rPr>
            </w:pPr>
            <w:r>
              <w:t>Атриовентрикуларен блок</w:t>
            </w:r>
          </w:p>
        </w:tc>
        <w:tc>
          <w:tcPr>
            <w:tcW w:w="1571" w:type="dxa"/>
          </w:tcPr>
          <w:p w14:paraId="0EDB8036" w14:textId="77777777" w:rsidR="009331DC" w:rsidRDefault="009331DC" w:rsidP="009331DC">
            <w:pPr>
              <w:spacing w:line="240" w:lineRule="auto"/>
              <w:rPr>
                <w:rFonts w:eastAsia="Times New Roman" w:cs="Arial"/>
                <w:sz w:val="24"/>
                <w:szCs w:val="24"/>
              </w:rPr>
            </w:pPr>
          </w:p>
        </w:tc>
      </w:tr>
      <w:tr w:rsidR="009331DC" w14:paraId="40F4E5C5" w14:textId="77777777" w:rsidTr="009331DC">
        <w:tc>
          <w:tcPr>
            <w:tcW w:w="1672" w:type="dxa"/>
          </w:tcPr>
          <w:p w14:paraId="432F8002" w14:textId="7A481207" w:rsidR="009331DC" w:rsidRDefault="009331DC" w:rsidP="009331DC">
            <w:pPr>
              <w:spacing w:line="240" w:lineRule="auto"/>
              <w:rPr>
                <w:rFonts w:eastAsia="Times New Roman" w:cs="Arial"/>
                <w:sz w:val="24"/>
                <w:szCs w:val="24"/>
              </w:rPr>
            </w:pPr>
            <w:r>
              <w:t>Стомашно- чревни нарушения</w:t>
            </w:r>
          </w:p>
        </w:tc>
        <w:tc>
          <w:tcPr>
            <w:tcW w:w="1257" w:type="dxa"/>
          </w:tcPr>
          <w:p w14:paraId="39E8994B" w14:textId="77777777" w:rsidR="009331DC" w:rsidRDefault="009331DC" w:rsidP="009331DC">
            <w:r>
              <w:t>Диария</w:t>
            </w:r>
          </w:p>
          <w:p w14:paraId="104E97BC" w14:textId="2B4DAABD" w:rsidR="009331DC" w:rsidRDefault="009331DC" w:rsidP="009331DC">
            <w:pPr>
              <w:spacing w:line="240" w:lineRule="auto"/>
              <w:rPr>
                <w:rFonts w:eastAsia="Times New Roman" w:cs="Arial"/>
                <w:sz w:val="24"/>
                <w:szCs w:val="24"/>
              </w:rPr>
            </w:pPr>
            <w:r>
              <w:t>Повдигане</w:t>
            </w:r>
          </w:p>
        </w:tc>
        <w:tc>
          <w:tcPr>
            <w:tcW w:w="1567" w:type="dxa"/>
          </w:tcPr>
          <w:p w14:paraId="5D9BDBFE" w14:textId="77777777" w:rsidR="009331DC" w:rsidRDefault="009331DC" w:rsidP="009331DC">
            <w:r>
              <w:t>Повръщане</w:t>
            </w:r>
          </w:p>
          <w:p w14:paraId="321FB3F5" w14:textId="3F53761E" w:rsidR="009331DC" w:rsidRDefault="009331DC" w:rsidP="009331DC">
            <w:pPr>
              <w:spacing w:line="240" w:lineRule="auto"/>
              <w:rPr>
                <w:rFonts w:eastAsia="Times New Roman" w:cs="Arial"/>
                <w:sz w:val="24"/>
                <w:szCs w:val="24"/>
              </w:rPr>
            </w:pPr>
            <w:r>
              <w:t>Абдоминални смущения</w:t>
            </w:r>
          </w:p>
        </w:tc>
        <w:tc>
          <w:tcPr>
            <w:tcW w:w="1480" w:type="dxa"/>
          </w:tcPr>
          <w:p w14:paraId="7FE72460" w14:textId="77777777" w:rsidR="009331DC" w:rsidRDefault="009331DC" w:rsidP="009331DC">
            <w:r>
              <w:t>Стомашно- чревен кръвоизлив</w:t>
            </w:r>
          </w:p>
          <w:p w14:paraId="05477B60" w14:textId="616B8204" w:rsidR="009331DC" w:rsidRDefault="009331DC" w:rsidP="009331DC">
            <w:pPr>
              <w:spacing w:line="240" w:lineRule="auto"/>
              <w:rPr>
                <w:rFonts w:eastAsia="Times New Roman" w:cs="Arial"/>
                <w:sz w:val="24"/>
                <w:szCs w:val="24"/>
              </w:rPr>
            </w:pPr>
            <w:r>
              <w:t>Стомашна и дуоденална язва</w:t>
            </w:r>
          </w:p>
        </w:tc>
        <w:tc>
          <w:tcPr>
            <w:tcW w:w="2029" w:type="dxa"/>
          </w:tcPr>
          <w:p w14:paraId="2254BC49" w14:textId="77777777" w:rsidR="009331DC" w:rsidRDefault="009331DC" w:rsidP="009331DC">
            <w:pPr>
              <w:spacing w:line="240" w:lineRule="auto"/>
              <w:rPr>
                <w:rFonts w:eastAsia="Times New Roman" w:cs="Arial"/>
                <w:sz w:val="24"/>
                <w:szCs w:val="24"/>
              </w:rPr>
            </w:pPr>
          </w:p>
        </w:tc>
        <w:tc>
          <w:tcPr>
            <w:tcW w:w="1571" w:type="dxa"/>
          </w:tcPr>
          <w:p w14:paraId="27C80F04" w14:textId="77777777" w:rsidR="009331DC" w:rsidRDefault="009331DC" w:rsidP="009331DC">
            <w:pPr>
              <w:spacing w:line="240" w:lineRule="auto"/>
              <w:rPr>
                <w:rFonts w:eastAsia="Times New Roman" w:cs="Arial"/>
                <w:sz w:val="24"/>
                <w:szCs w:val="24"/>
              </w:rPr>
            </w:pPr>
          </w:p>
        </w:tc>
      </w:tr>
      <w:tr w:rsidR="009331DC" w14:paraId="5C2D5C0A" w14:textId="77777777" w:rsidTr="009331DC">
        <w:tc>
          <w:tcPr>
            <w:tcW w:w="1672" w:type="dxa"/>
          </w:tcPr>
          <w:p w14:paraId="0E1F7DD4" w14:textId="7467B921" w:rsidR="009331DC" w:rsidRDefault="009331DC" w:rsidP="009331DC">
            <w:pPr>
              <w:spacing w:line="240" w:lineRule="auto"/>
              <w:rPr>
                <w:rFonts w:eastAsia="Times New Roman" w:cs="Arial"/>
                <w:sz w:val="24"/>
                <w:szCs w:val="24"/>
              </w:rPr>
            </w:pPr>
            <w:r>
              <w:t>Хепатобилиарни нарушения</w:t>
            </w:r>
          </w:p>
        </w:tc>
        <w:tc>
          <w:tcPr>
            <w:tcW w:w="1257" w:type="dxa"/>
          </w:tcPr>
          <w:p w14:paraId="692AD786" w14:textId="77777777" w:rsidR="009331DC" w:rsidRDefault="009331DC" w:rsidP="009331DC">
            <w:pPr>
              <w:spacing w:line="240" w:lineRule="auto"/>
              <w:rPr>
                <w:rFonts w:eastAsia="Times New Roman" w:cs="Arial"/>
                <w:sz w:val="24"/>
                <w:szCs w:val="24"/>
              </w:rPr>
            </w:pPr>
          </w:p>
        </w:tc>
        <w:tc>
          <w:tcPr>
            <w:tcW w:w="1567" w:type="dxa"/>
          </w:tcPr>
          <w:p w14:paraId="2B9B21A6" w14:textId="77777777" w:rsidR="009331DC" w:rsidRDefault="009331DC" w:rsidP="009331DC">
            <w:pPr>
              <w:spacing w:line="240" w:lineRule="auto"/>
              <w:rPr>
                <w:rFonts w:eastAsia="Times New Roman" w:cs="Arial"/>
                <w:sz w:val="24"/>
                <w:szCs w:val="24"/>
              </w:rPr>
            </w:pPr>
          </w:p>
        </w:tc>
        <w:tc>
          <w:tcPr>
            <w:tcW w:w="1480" w:type="dxa"/>
          </w:tcPr>
          <w:p w14:paraId="79669B58" w14:textId="77777777" w:rsidR="009331DC" w:rsidRDefault="009331DC" w:rsidP="009331DC">
            <w:pPr>
              <w:spacing w:line="240" w:lineRule="auto"/>
              <w:rPr>
                <w:rFonts w:eastAsia="Times New Roman" w:cs="Arial"/>
                <w:sz w:val="24"/>
                <w:szCs w:val="24"/>
              </w:rPr>
            </w:pPr>
          </w:p>
        </w:tc>
        <w:tc>
          <w:tcPr>
            <w:tcW w:w="2029" w:type="dxa"/>
          </w:tcPr>
          <w:p w14:paraId="70626817" w14:textId="4A36137C" w:rsidR="009331DC" w:rsidRDefault="009331DC" w:rsidP="009331DC">
            <w:pPr>
              <w:spacing w:line="240" w:lineRule="auto"/>
              <w:rPr>
                <w:rFonts w:eastAsia="Times New Roman" w:cs="Arial"/>
                <w:sz w:val="24"/>
                <w:szCs w:val="24"/>
              </w:rPr>
            </w:pPr>
            <w:r>
              <w:t>Чернодробна дисфункция, вкл. хепатит***</w:t>
            </w:r>
          </w:p>
        </w:tc>
        <w:tc>
          <w:tcPr>
            <w:tcW w:w="1571" w:type="dxa"/>
          </w:tcPr>
          <w:p w14:paraId="0A403491" w14:textId="77777777" w:rsidR="009331DC" w:rsidRDefault="009331DC" w:rsidP="009331DC">
            <w:pPr>
              <w:spacing w:line="240" w:lineRule="auto"/>
              <w:rPr>
                <w:rFonts w:eastAsia="Times New Roman" w:cs="Arial"/>
                <w:sz w:val="24"/>
                <w:szCs w:val="24"/>
              </w:rPr>
            </w:pPr>
          </w:p>
        </w:tc>
      </w:tr>
      <w:tr w:rsidR="009331DC" w14:paraId="6C971D74" w14:textId="77777777" w:rsidTr="009331DC">
        <w:tc>
          <w:tcPr>
            <w:tcW w:w="1672" w:type="dxa"/>
          </w:tcPr>
          <w:p w14:paraId="5330E2C5" w14:textId="1796567D" w:rsidR="009331DC" w:rsidRDefault="009331DC" w:rsidP="009331DC">
            <w:pPr>
              <w:spacing w:line="240" w:lineRule="auto"/>
              <w:rPr>
                <w:rFonts w:eastAsia="Times New Roman" w:cs="Arial"/>
                <w:sz w:val="24"/>
                <w:szCs w:val="24"/>
              </w:rPr>
            </w:pPr>
            <w:r>
              <w:t>Нарушения на кожата и подкожната тъкан</w:t>
            </w:r>
          </w:p>
        </w:tc>
        <w:tc>
          <w:tcPr>
            <w:tcW w:w="1257" w:type="dxa"/>
          </w:tcPr>
          <w:p w14:paraId="15787211" w14:textId="77777777" w:rsidR="009331DC" w:rsidRDefault="009331DC" w:rsidP="009331DC">
            <w:pPr>
              <w:spacing w:line="240" w:lineRule="auto"/>
              <w:rPr>
                <w:rFonts w:eastAsia="Times New Roman" w:cs="Arial"/>
                <w:sz w:val="24"/>
                <w:szCs w:val="24"/>
              </w:rPr>
            </w:pPr>
          </w:p>
        </w:tc>
        <w:tc>
          <w:tcPr>
            <w:tcW w:w="1567" w:type="dxa"/>
          </w:tcPr>
          <w:p w14:paraId="7D80B619" w14:textId="77777777" w:rsidR="009331DC" w:rsidRDefault="009331DC" w:rsidP="009331DC">
            <w:r>
              <w:t>Обрив</w:t>
            </w:r>
          </w:p>
          <w:p w14:paraId="48BCA920" w14:textId="4DD6E23B" w:rsidR="009331DC" w:rsidRDefault="009331DC" w:rsidP="009331DC">
            <w:pPr>
              <w:spacing w:line="240" w:lineRule="auto"/>
              <w:rPr>
                <w:rFonts w:eastAsia="Times New Roman" w:cs="Arial"/>
                <w:sz w:val="24"/>
                <w:szCs w:val="24"/>
              </w:rPr>
            </w:pPr>
            <w:r>
              <w:t>Сърбеж</w:t>
            </w:r>
          </w:p>
        </w:tc>
        <w:tc>
          <w:tcPr>
            <w:tcW w:w="1480" w:type="dxa"/>
          </w:tcPr>
          <w:p w14:paraId="08B11E40" w14:textId="77777777" w:rsidR="009331DC" w:rsidRDefault="009331DC" w:rsidP="009331DC">
            <w:pPr>
              <w:spacing w:line="240" w:lineRule="auto"/>
              <w:rPr>
                <w:rFonts w:eastAsia="Times New Roman" w:cs="Arial"/>
                <w:sz w:val="24"/>
                <w:szCs w:val="24"/>
              </w:rPr>
            </w:pPr>
          </w:p>
        </w:tc>
        <w:tc>
          <w:tcPr>
            <w:tcW w:w="2029" w:type="dxa"/>
            <w:vAlign w:val="bottom"/>
          </w:tcPr>
          <w:p w14:paraId="0DE226C3" w14:textId="77777777" w:rsidR="009331DC" w:rsidRDefault="009331DC" w:rsidP="009331DC">
            <w:pPr>
              <w:spacing w:line="240" w:lineRule="auto"/>
              <w:rPr>
                <w:rFonts w:eastAsia="Times New Roman" w:cs="Arial"/>
                <w:sz w:val="24"/>
                <w:szCs w:val="24"/>
              </w:rPr>
            </w:pPr>
          </w:p>
        </w:tc>
        <w:tc>
          <w:tcPr>
            <w:tcW w:w="1571" w:type="dxa"/>
            <w:vAlign w:val="center"/>
          </w:tcPr>
          <w:p w14:paraId="37F5D271" w14:textId="77777777" w:rsidR="009331DC" w:rsidRDefault="009331DC" w:rsidP="009331DC">
            <w:pPr>
              <w:spacing w:line="240" w:lineRule="auto"/>
              <w:rPr>
                <w:rFonts w:eastAsia="Times New Roman" w:cs="Arial"/>
                <w:sz w:val="24"/>
                <w:szCs w:val="24"/>
              </w:rPr>
            </w:pPr>
          </w:p>
        </w:tc>
      </w:tr>
      <w:tr w:rsidR="009331DC" w14:paraId="7DD26E8A" w14:textId="77777777" w:rsidTr="009331DC">
        <w:tc>
          <w:tcPr>
            <w:tcW w:w="1672" w:type="dxa"/>
          </w:tcPr>
          <w:p w14:paraId="7C51D443" w14:textId="1EBA6DFB" w:rsidR="009331DC" w:rsidRDefault="009331DC" w:rsidP="009331DC">
            <w:pPr>
              <w:spacing w:line="240" w:lineRule="auto"/>
              <w:rPr>
                <w:rFonts w:eastAsia="Times New Roman" w:cs="Arial"/>
                <w:sz w:val="24"/>
                <w:szCs w:val="24"/>
              </w:rPr>
            </w:pPr>
            <w:r>
              <w:t>Нарушения на мускулно- скелетната и съединителната тъкан</w:t>
            </w:r>
          </w:p>
        </w:tc>
        <w:tc>
          <w:tcPr>
            <w:tcW w:w="1257" w:type="dxa"/>
          </w:tcPr>
          <w:p w14:paraId="6A49088C" w14:textId="77777777" w:rsidR="009331DC" w:rsidRDefault="009331DC" w:rsidP="009331DC">
            <w:pPr>
              <w:spacing w:line="240" w:lineRule="auto"/>
              <w:rPr>
                <w:rFonts w:eastAsia="Times New Roman" w:cs="Arial"/>
                <w:sz w:val="24"/>
                <w:szCs w:val="24"/>
              </w:rPr>
            </w:pPr>
          </w:p>
        </w:tc>
        <w:tc>
          <w:tcPr>
            <w:tcW w:w="1567" w:type="dxa"/>
          </w:tcPr>
          <w:p w14:paraId="0ED9C698" w14:textId="7119F8A4" w:rsidR="009331DC" w:rsidRDefault="009331DC" w:rsidP="009331DC">
            <w:pPr>
              <w:spacing w:line="240" w:lineRule="auto"/>
              <w:rPr>
                <w:rFonts w:eastAsia="Times New Roman" w:cs="Arial"/>
                <w:sz w:val="24"/>
                <w:szCs w:val="24"/>
              </w:rPr>
            </w:pPr>
            <w:r>
              <w:t>Мускулни спазми</w:t>
            </w:r>
          </w:p>
        </w:tc>
        <w:tc>
          <w:tcPr>
            <w:tcW w:w="1480" w:type="dxa"/>
          </w:tcPr>
          <w:p w14:paraId="53A45FA1" w14:textId="77777777" w:rsidR="009331DC" w:rsidRDefault="009331DC" w:rsidP="009331DC">
            <w:pPr>
              <w:spacing w:line="240" w:lineRule="auto"/>
              <w:rPr>
                <w:rFonts w:eastAsia="Times New Roman" w:cs="Arial"/>
                <w:sz w:val="24"/>
                <w:szCs w:val="24"/>
              </w:rPr>
            </w:pPr>
          </w:p>
        </w:tc>
        <w:tc>
          <w:tcPr>
            <w:tcW w:w="2029" w:type="dxa"/>
          </w:tcPr>
          <w:p w14:paraId="63F575FC" w14:textId="77777777" w:rsidR="009331DC" w:rsidRDefault="009331DC" w:rsidP="009331DC">
            <w:pPr>
              <w:spacing w:line="240" w:lineRule="auto"/>
              <w:rPr>
                <w:rFonts w:eastAsia="Times New Roman" w:cs="Arial"/>
                <w:sz w:val="24"/>
                <w:szCs w:val="24"/>
              </w:rPr>
            </w:pPr>
          </w:p>
        </w:tc>
        <w:tc>
          <w:tcPr>
            <w:tcW w:w="1571" w:type="dxa"/>
          </w:tcPr>
          <w:p w14:paraId="5ABC1DDC" w14:textId="0C64B034" w:rsidR="009331DC" w:rsidRDefault="009331DC" w:rsidP="009331DC">
            <w:pPr>
              <w:spacing w:line="240" w:lineRule="auto"/>
              <w:rPr>
                <w:rFonts w:eastAsia="Times New Roman" w:cs="Arial"/>
                <w:sz w:val="24"/>
                <w:szCs w:val="24"/>
              </w:rPr>
            </w:pPr>
            <w:r>
              <w:t>Рабдомиолиза* * * *</w:t>
            </w:r>
          </w:p>
        </w:tc>
      </w:tr>
      <w:tr w:rsidR="009331DC" w14:paraId="19F10FCF" w14:textId="77777777" w:rsidTr="009331DC">
        <w:tc>
          <w:tcPr>
            <w:tcW w:w="1672" w:type="dxa"/>
          </w:tcPr>
          <w:p w14:paraId="0CE79A60" w14:textId="0DC881DA" w:rsidR="009331DC" w:rsidRDefault="009331DC" w:rsidP="009331DC">
            <w:pPr>
              <w:spacing w:line="240" w:lineRule="auto"/>
              <w:rPr>
                <w:rFonts w:eastAsia="Times New Roman" w:cs="Arial"/>
                <w:sz w:val="24"/>
                <w:szCs w:val="24"/>
              </w:rPr>
            </w:pPr>
            <w:r>
              <w:t>Нарушения на бъбреците и пикочните пътища</w:t>
            </w:r>
          </w:p>
        </w:tc>
        <w:tc>
          <w:tcPr>
            <w:tcW w:w="1257" w:type="dxa"/>
          </w:tcPr>
          <w:p w14:paraId="2C19FA44" w14:textId="77777777" w:rsidR="009331DC" w:rsidRDefault="009331DC" w:rsidP="009331DC">
            <w:pPr>
              <w:spacing w:line="240" w:lineRule="auto"/>
              <w:rPr>
                <w:rFonts w:eastAsia="Times New Roman" w:cs="Arial"/>
                <w:sz w:val="24"/>
                <w:szCs w:val="24"/>
              </w:rPr>
            </w:pPr>
          </w:p>
        </w:tc>
        <w:tc>
          <w:tcPr>
            <w:tcW w:w="1567" w:type="dxa"/>
          </w:tcPr>
          <w:p w14:paraId="7BA2CEAD" w14:textId="602A3C32" w:rsidR="009331DC" w:rsidRDefault="009331DC" w:rsidP="009331DC">
            <w:pPr>
              <w:spacing w:line="240" w:lineRule="auto"/>
              <w:rPr>
                <w:rFonts w:eastAsia="Times New Roman" w:cs="Arial"/>
                <w:sz w:val="24"/>
                <w:szCs w:val="24"/>
              </w:rPr>
            </w:pPr>
            <w:r>
              <w:t>Инконтиненция на урината</w:t>
            </w:r>
          </w:p>
        </w:tc>
        <w:tc>
          <w:tcPr>
            <w:tcW w:w="1480" w:type="dxa"/>
          </w:tcPr>
          <w:p w14:paraId="2FDFCA18" w14:textId="77777777" w:rsidR="009331DC" w:rsidRDefault="009331DC" w:rsidP="009331DC">
            <w:pPr>
              <w:spacing w:line="240" w:lineRule="auto"/>
              <w:rPr>
                <w:rFonts w:eastAsia="Times New Roman" w:cs="Arial"/>
                <w:sz w:val="24"/>
                <w:szCs w:val="24"/>
              </w:rPr>
            </w:pPr>
          </w:p>
        </w:tc>
        <w:tc>
          <w:tcPr>
            <w:tcW w:w="2029" w:type="dxa"/>
          </w:tcPr>
          <w:p w14:paraId="3758CF50" w14:textId="77777777" w:rsidR="009331DC" w:rsidRDefault="009331DC" w:rsidP="009331DC">
            <w:pPr>
              <w:spacing w:line="240" w:lineRule="auto"/>
              <w:rPr>
                <w:rFonts w:eastAsia="Times New Roman" w:cs="Arial"/>
                <w:sz w:val="24"/>
                <w:szCs w:val="24"/>
              </w:rPr>
            </w:pPr>
          </w:p>
        </w:tc>
        <w:tc>
          <w:tcPr>
            <w:tcW w:w="1571" w:type="dxa"/>
          </w:tcPr>
          <w:p w14:paraId="65160CAC" w14:textId="77777777" w:rsidR="009331DC" w:rsidRDefault="009331DC" w:rsidP="009331DC">
            <w:pPr>
              <w:spacing w:line="240" w:lineRule="auto"/>
              <w:rPr>
                <w:rFonts w:eastAsia="Times New Roman" w:cs="Arial"/>
                <w:sz w:val="24"/>
                <w:szCs w:val="24"/>
              </w:rPr>
            </w:pPr>
          </w:p>
        </w:tc>
      </w:tr>
      <w:tr w:rsidR="009331DC" w14:paraId="0903DD0B" w14:textId="77777777" w:rsidTr="009331DC">
        <w:tc>
          <w:tcPr>
            <w:tcW w:w="1672" w:type="dxa"/>
          </w:tcPr>
          <w:p w14:paraId="4FF82C33" w14:textId="4F542640" w:rsidR="009331DC" w:rsidRDefault="009331DC" w:rsidP="009331DC">
            <w:pPr>
              <w:spacing w:line="240" w:lineRule="auto"/>
              <w:rPr>
                <w:rFonts w:eastAsia="Times New Roman" w:cs="Arial"/>
                <w:sz w:val="24"/>
                <w:szCs w:val="24"/>
              </w:rPr>
            </w:pPr>
            <w:r>
              <w:t>Общи нарушения и ефекти на мястото на приложение</w:t>
            </w:r>
          </w:p>
        </w:tc>
        <w:tc>
          <w:tcPr>
            <w:tcW w:w="1257" w:type="dxa"/>
          </w:tcPr>
          <w:p w14:paraId="7EC47C9C" w14:textId="6A4C4827" w:rsidR="009331DC" w:rsidRDefault="009331DC" w:rsidP="009331DC">
            <w:pPr>
              <w:spacing w:line="240" w:lineRule="auto"/>
              <w:rPr>
                <w:rFonts w:eastAsia="Times New Roman" w:cs="Arial"/>
                <w:sz w:val="24"/>
                <w:szCs w:val="24"/>
              </w:rPr>
            </w:pPr>
            <w:r>
              <w:t>Главоболие</w:t>
            </w:r>
          </w:p>
        </w:tc>
        <w:tc>
          <w:tcPr>
            <w:tcW w:w="1567" w:type="dxa"/>
          </w:tcPr>
          <w:p w14:paraId="0B78F762" w14:textId="77777777" w:rsidR="009331DC" w:rsidRDefault="009331DC" w:rsidP="009331DC">
            <w:r>
              <w:t>Умора</w:t>
            </w:r>
          </w:p>
          <w:p w14:paraId="52ED75F1" w14:textId="3AB71DB4" w:rsidR="009331DC" w:rsidRDefault="009331DC" w:rsidP="009331DC">
            <w:pPr>
              <w:spacing w:line="240" w:lineRule="auto"/>
              <w:rPr>
                <w:rFonts w:eastAsia="Times New Roman" w:cs="Arial"/>
                <w:sz w:val="24"/>
                <w:szCs w:val="24"/>
              </w:rPr>
            </w:pPr>
            <w:r>
              <w:t>Болка</w:t>
            </w:r>
          </w:p>
        </w:tc>
        <w:tc>
          <w:tcPr>
            <w:tcW w:w="1480" w:type="dxa"/>
          </w:tcPr>
          <w:p w14:paraId="7AD26F65" w14:textId="77777777" w:rsidR="009331DC" w:rsidRDefault="009331DC" w:rsidP="009331DC">
            <w:pPr>
              <w:spacing w:line="240" w:lineRule="auto"/>
              <w:rPr>
                <w:rFonts w:eastAsia="Times New Roman" w:cs="Arial"/>
                <w:sz w:val="24"/>
                <w:szCs w:val="24"/>
              </w:rPr>
            </w:pPr>
          </w:p>
        </w:tc>
        <w:tc>
          <w:tcPr>
            <w:tcW w:w="2029" w:type="dxa"/>
          </w:tcPr>
          <w:p w14:paraId="76087584" w14:textId="77777777" w:rsidR="009331DC" w:rsidRDefault="009331DC" w:rsidP="009331DC">
            <w:pPr>
              <w:spacing w:line="240" w:lineRule="auto"/>
              <w:rPr>
                <w:rFonts w:eastAsia="Times New Roman" w:cs="Arial"/>
                <w:sz w:val="24"/>
                <w:szCs w:val="24"/>
              </w:rPr>
            </w:pPr>
          </w:p>
        </w:tc>
        <w:tc>
          <w:tcPr>
            <w:tcW w:w="1571" w:type="dxa"/>
          </w:tcPr>
          <w:p w14:paraId="3D9144A9" w14:textId="77777777" w:rsidR="009331DC" w:rsidRDefault="009331DC" w:rsidP="009331DC">
            <w:pPr>
              <w:spacing w:line="240" w:lineRule="auto"/>
              <w:rPr>
                <w:rFonts w:eastAsia="Times New Roman" w:cs="Arial"/>
                <w:sz w:val="24"/>
                <w:szCs w:val="24"/>
              </w:rPr>
            </w:pPr>
          </w:p>
        </w:tc>
      </w:tr>
      <w:tr w:rsidR="009331DC" w14:paraId="1EF90EF3" w14:textId="77777777" w:rsidTr="009331DC">
        <w:tc>
          <w:tcPr>
            <w:tcW w:w="1672" w:type="dxa"/>
          </w:tcPr>
          <w:p w14:paraId="744393B5" w14:textId="1DFB5796" w:rsidR="009331DC" w:rsidRDefault="009331DC" w:rsidP="009331DC">
            <w:pPr>
              <w:spacing w:line="240" w:lineRule="auto"/>
              <w:rPr>
                <w:rFonts w:eastAsia="Times New Roman" w:cs="Arial"/>
                <w:sz w:val="24"/>
                <w:szCs w:val="24"/>
              </w:rPr>
            </w:pPr>
            <w:r>
              <w:t>Изследвания</w:t>
            </w:r>
          </w:p>
        </w:tc>
        <w:tc>
          <w:tcPr>
            <w:tcW w:w="1257" w:type="dxa"/>
          </w:tcPr>
          <w:p w14:paraId="5F86871B" w14:textId="77777777" w:rsidR="009331DC" w:rsidRDefault="009331DC" w:rsidP="009331DC">
            <w:pPr>
              <w:spacing w:line="240" w:lineRule="auto"/>
              <w:rPr>
                <w:rFonts w:eastAsia="Times New Roman" w:cs="Arial"/>
                <w:sz w:val="24"/>
                <w:szCs w:val="24"/>
              </w:rPr>
            </w:pPr>
          </w:p>
        </w:tc>
        <w:tc>
          <w:tcPr>
            <w:tcW w:w="1567" w:type="dxa"/>
          </w:tcPr>
          <w:p w14:paraId="46F9F67E" w14:textId="77777777" w:rsidR="009331DC" w:rsidRDefault="009331DC" w:rsidP="009331DC">
            <w:pPr>
              <w:spacing w:line="240" w:lineRule="auto"/>
              <w:rPr>
                <w:rFonts w:eastAsia="Times New Roman" w:cs="Arial"/>
                <w:sz w:val="24"/>
                <w:szCs w:val="24"/>
              </w:rPr>
            </w:pPr>
          </w:p>
        </w:tc>
        <w:tc>
          <w:tcPr>
            <w:tcW w:w="1480" w:type="dxa"/>
          </w:tcPr>
          <w:p w14:paraId="7E7217E3" w14:textId="4E5BDD20" w:rsidR="009331DC" w:rsidRDefault="009331DC" w:rsidP="009331DC">
            <w:pPr>
              <w:spacing w:line="240" w:lineRule="auto"/>
              <w:rPr>
                <w:rFonts w:eastAsia="Times New Roman" w:cs="Arial"/>
                <w:sz w:val="24"/>
                <w:szCs w:val="24"/>
              </w:rPr>
            </w:pPr>
            <w:r>
              <w:t>Малко повишаване в серумната концентрац</w:t>
            </w:r>
            <w:r>
              <w:lastRenderedPageBreak/>
              <w:t>ия на мускулната креатинкиназа</w:t>
            </w:r>
          </w:p>
        </w:tc>
        <w:tc>
          <w:tcPr>
            <w:tcW w:w="2029" w:type="dxa"/>
          </w:tcPr>
          <w:p w14:paraId="7A0B50AE" w14:textId="77777777" w:rsidR="009331DC" w:rsidRDefault="009331DC" w:rsidP="009331DC">
            <w:pPr>
              <w:spacing w:line="240" w:lineRule="auto"/>
              <w:rPr>
                <w:rFonts w:eastAsia="Times New Roman" w:cs="Arial"/>
                <w:sz w:val="24"/>
                <w:szCs w:val="24"/>
              </w:rPr>
            </w:pPr>
          </w:p>
        </w:tc>
        <w:tc>
          <w:tcPr>
            <w:tcW w:w="1571" w:type="dxa"/>
          </w:tcPr>
          <w:p w14:paraId="1F230EBC" w14:textId="77777777" w:rsidR="009331DC" w:rsidRDefault="009331DC" w:rsidP="009331DC">
            <w:pPr>
              <w:spacing w:line="240" w:lineRule="auto"/>
              <w:rPr>
                <w:rFonts w:eastAsia="Times New Roman" w:cs="Arial"/>
                <w:sz w:val="24"/>
                <w:szCs w:val="24"/>
              </w:rPr>
            </w:pPr>
          </w:p>
        </w:tc>
      </w:tr>
      <w:tr w:rsidR="009331DC" w14:paraId="55CD268D" w14:textId="77777777" w:rsidTr="009331DC">
        <w:tc>
          <w:tcPr>
            <w:tcW w:w="1672" w:type="dxa"/>
          </w:tcPr>
          <w:p w14:paraId="53BF5326" w14:textId="353EE0FA" w:rsidR="009331DC" w:rsidRDefault="009331DC" w:rsidP="009331DC">
            <w:pPr>
              <w:spacing w:line="240" w:lineRule="auto"/>
              <w:rPr>
                <w:rFonts w:eastAsia="Times New Roman" w:cs="Arial"/>
                <w:sz w:val="24"/>
                <w:szCs w:val="24"/>
              </w:rPr>
            </w:pPr>
            <w:r>
              <w:t>Наранявания, отравяния и усложнения, възникнали в резултат на интервенции</w:t>
            </w:r>
          </w:p>
        </w:tc>
        <w:tc>
          <w:tcPr>
            <w:tcW w:w="1257" w:type="dxa"/>
          </w:tcPr>
          <w:p w14:paraId="6DE5AE98" w14:textId="77777777" w:rsidR="009331DC" w:rsidRDefault="009331DC" w:rsidP="009331DC">
            <w:pPr>
              <w:spacing w:line="240" w:lineRule="auto"/>
              <w:rPr>
                <w:rFonts w:eastAsia="Times New Roman" w:cs="Arial"/>
                <w:sz w:val="24"/>
                <w:szCs w:val="24"/>
              </w:rPr>
            </w:pPr>
          </w:p>
        </w:tc>
        <w:tc>
          <w:tcPr>
            <w:tcW w:w="1567" w:type="dxa"/>
          </w:tcPr>
          <w:p w14:paraId="1F67FC99" w14:textId="4849B42E" w:rsidR="009331DC" w:rsidRDefault="009331DC" w:rsidP="009331DC">
            <w:pPr>
              <w:spacing w:line="240" w:lineRule="auto"/>
              <w:rPr>
                <w:rFonts w:eastAsia="Times New Roman" w:cs="Arial"/>
                <w:sz w:val="24"/>
                <w:szCs w:val="24"/>
              </w:rPr>
            </w:pPr>
            <w:r>
              <w:t>Инциденти</w:t>
            </w:r>
          </w:p>
        </w:tc>
        <w:tc>
          <w:tcPr>
            <w:tcW w:w="1480" w:type="dxa"/>
          </w:tcPr>
          <w:p w14:paraId="73524B53" w14:textId="77777777" w:rsidR="009331DC" w:rsidRDefault="009331DC" w:rsidP="009331DC">
            <w:pPr>
              <w:spacing w:line="240" w:lineRule="auto"/>
              <w:rPr>
                <w:rFonts w:eastAsia="Times New Roman" w:cs="Arial"/>
                <w:sz w:val="24"/>
                <w:szCs w:val="24"/>
              </w:rPr>
            </w:pPr>
          </w:p>
        </w:tc>
        <w:tc>
          <w:tcPr>
            <w:tcW w:w="2029" w:type="dxa"/>
          </w:tcPr>
          <w:p w14:paraId="3720B5E0" w14:textId="77777777" w:rsidR="009331DC" w:rsidRDefault="009331DC" w:rsidP="009331DC">
            <w:pPr>
              <w:spacing w:line="240" w:lineRule="auto"/>
              <w:rPr>
                <w:rFonts w:eastAsia="Times New Roman" w:cs="Arial"/>
                <w:sz w:val="24"/>
                <w:szCs w:val="24"/>
              </w:rPr>
            </w:pPr>
          </w:p>
        </w:tc>
        <w:tc>
          <w:tcPr>
            <w:tcW w:w="1571" w:type="dxa"/>
          </w:tcPr>
          <w:p w14:paraId="7CEE1CA0" w14:textId="77777777" w:rsidR="009331DC" w:rsidRDefault="009331DC" w:rsidP="009331DC">
            <w:pPr>
              <w:spacing w:line="240" w:lineRule="auto"/>
              <w:rPr>
                <w:rFonts w:eastAsia="Times New Roman" w:cs="Arial"/>
                <w:sz w:val="24"/>
                <w:szCs w:val="24"/>
              </w:rPr>
            </w:pPr>
          </w:p>
        </w:tc>
      </w:tr>
    </w:tbl>
    <w:p w14:paraId="64EF8B49" w14:textId="77777777" w:rsidR="009331DC" w:rsidRPr="009331DC" w:rsidRDefault="009331DC" w:rsidP="009331DC">
      <w:pPr>
        <w:spacing w:line="240" w:lineRule="auto"/>
        <w:rPr>
          <w:rFonts w:eastAsia="Times New Roman" w:cs="Arial"/>
        </w:rPr>
      </w:pPr>
      <w:r w:rsidRPr="009331DC">
        <w:rPr>
          <w:rFonts w:eastAsia="Times New Roman" w:cs="Arial"/>
          <w:color w:val="000000"/>
          <w:lang w:eastAsia="bg-BG"/>
        </w:rPr>
        <w:t>*В изследваните пациенти със синкоп или загуба на съзнание, следва да бъде взета под внимание възможността за сърдечен блок или продължителни синусови паузи (вж. т. 4.4)</w:t>
      </w:r>
    </w:p>
    <w:p w14:paraId="54BF4BC1" w14:textId="77777777" w:rsidR="009331DC" w:rsidRPr="009331DC" w:rsidRDefault="009331DC" w:rsidP="009331DC">
      <w:pPr>
        <w:spacing w:line="240" w:lineRule="auto"/>
        <w:rPr>
          <w:rFonts w:eastAsia="Times New Roman" w:cs="Arial"/>
        </w:rPr>
      </w:pPr>
      <w:r w:rsidRPr="009331DC">
        <w:rPr>
          <w:rFonts w:eastAsia="Times New Roman" w:cs="Arial"/>
          <w:color w:val="000000"/>
          <w:lang w:eastAsia="bg-BG"/>
        </w:rPr>
        <w:t>**Докладваните халюцинации, патологични сънища, кошмари, възбуда и агресивно поведение са били овладяни чрез намаляване на дозата или прекъсване на лечението ***В случаи на необяснима чернодробна дисфункция, трябва да бъде обмислено прекратяването на приема на Донепезил Акорд.</w:t>
      </w:r>
    </w:p>
    <w:p w14:paraId="49CA1BF4" w14:textId="77777777" w:rsidR="009331DC" w:rsidRPr="009331DC" w:rsidRDefault="009331DC" w:rsidP="009331DC">
      <w:pPr>
        <w:spacing w:line="240" w:lineRule="auto"/>
        <w:rPr>
          <w:rFonts w:eastAsia="Times New Roman" w:cs="Arial"/>
        </w:rPr>
      </w:pPr>
      <w:r w:rsidRPr="009331DC">
        <w:rPr>
          <w:rFonts w:eastAsia="Times New Roman" w:cs="Arial"/>
          <w:color w:val="000000"/>
          <w:lang w:eastAsia="bg-BG"/>
        </w:rPr>
        <w:t>* * * *Съобщава се, че рабдомиолиза се развива независимо от злокачествения невролептичен синдром и в тясна времева връзка след започване на лечението с донепезил или с повишаване на дозата.</w:t>
      </w:r>
    </w:p>
    <w:p w14:paraId="6AC5D5C4" w14:textId="77777777" w:rsidR="009331DC" w:rsidRPr="009331DC" w:rsidRDefault="009331DC" w:rsidP="009331DC">
      <w:pPr>
        <w:spacing w:line="240" w:lineRule="auto"/>
        <w:rPr>
          <w:rFonts w:eastAsia="Times New Roman" w:cs="Arial"/>
          <w:color w:val="000000"/>
          <w:u w:val="single"/>
          <w:lang w:eastAsia="bg-BG"/>
        </w:rPr>
      </w:pPr>
    </w:p>
    <w:p w14:paraId="699F4E9B" w14:textId="468155D0" w:rsidR="009331DC" w:rsidRPr="009331DC" w:rsidRDefault="009331DC" w:rsidP="009331DC">
      <w:pPr>
        <w:spacing w:line="240" w:lineRule="auto"/>
        <w:rPr>
          <w:rFonts w:eastAsia="Times New Roman" w:cs="Arial"/>
        </w:rPr>
      </w:pPr>
      <w:r w:rsidRPr="009331DC">
        <w:rPr>
          <w:rFonts w:eastAsia="Times New Roman" w:cs="Arial"/>
          <w:color w:val="000000"/>
          <w:u w:val="single"/>
          <w:lang w:eastAsia="bg-BG"/>
        </w:rPr>
        <w:t>Съобщаване на подозирани нежелани реакции</w:t>
      </w:r>
    </w:p>
    <w:p w14:paraId="1F9790E3" w14:textId="77777777" w:rsidR="009331DC" w:rsidRPr="009331DC" w:rsidRDefault="009331DC" w:rsidP="009331DC">
      <w:pPr>
        <w:spacing w:line="240" w:lineRule="auto"/>
        <w:rPr>
          <w:rFonts w:eastAsia="Times New Roman" w:cs="Arial"/>
        </w:rPr>
      </w:pPr>
      <w:r w:rsidRPr="009331DC">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149E229E" w14:textId="77777777" w:rsidR="009331DC" w:rsidRPr="009331DC" w:rsidRDefault="009331DC" w:rsidP="009331DC">
      <w:pPr>
        <w:spacing w:line="240" w:lineRule="auto"/>
        <w:rPr>
          <w:rFonts w:eastAsia="Times New Roman" w:cs="Arial"/>
        </w:rPr>
      </w:pPr>
      <w:r w:rsidRPr="009331DC">
        <w:rPr>
          <w:rFonts w:eastAsia="Times New Roman" w:cs="Arial"/>
          <w:color w:val="000000"/>
          <w:lang w:eastAsia="bg-BG"/>
        </w:rPr>
        <w:t>Изпълнителна агенция по лекарствата</w:t>
      </w:r>
    </w:p>
    <w:p w14:paraId="11A2CC30" w14:textId="77777777" w:rsidR="009331DC" w:rsidRPr="009331DC" w:rsidRDefault="009331DC" w:rsidP="009331DC">
      <w:pPr>
        <w:spacing w:line="240" w:lineRule="auto"/>
        <w:rPr>
          <w:rFonts w:eastAsia="Times New Roman" w:cs="Arial"/>
        </w:rPr>
      </w:pPr>
      <w:r w:rsidRPr="009331DC">
        <w:rPr>
          <w:rFonts w:eastAsia="Times New Roman" w:cs="Arial"/>
          <w:color w:val="000000"/>
          <w:lang w:eastAsia="bg-BG"/>
        </w:rPr>
        <w:t>ул. „Дамян Груев” № 8</w:t>
      </w:r>
    </w:p>
    <w:p w14:paraId="2D7FF72D" w14:textId="77777777" w:rsidR="009331DC" w:rsidRPr="009331DC" w:rsidRDefault="009331DC" w:rsidP="009331DC">
      <w:pPr>
        <w:spacing w:line="240" w:lineRule="auto"/>
        <w:rPr>
          <w:rFonts w:eastAsia="Times New Roman" w:cs="Arial"/>
        </w:rPr>
      </w:pPr>
      <w:r w:rsidRPr="009331DC">
        <w:rPr>
          <w:rFonts w:eastAsia="Times New Roman" w:cs="Arial"/>
          <w:color w:val="000000"/>
          <w:lang w:eastAsia="bg-BG"/>
        </w:rPr>
        <w:t>1303 София</w:t>
      </w:r>
    </w:p>
    <w:p w14:paraId="213A337F" w14:textId="77777777" w:rsidR="009331DC" w:rsidRPr="009331DC" w:rsidRDefault="009331DC" w:rsidP="009331DC">
      <w:pPr>
        <w:spacing w:line="240" w:lineRule="auto"/>
        <w:rPr>
          <w:rFonts w:eastAsia="Times New Roman" w:cs="Arial"/>
        </w:rPr>
      </w:pPr>
      <w:r w:rsidRPr="009331DC">
        <w:rPr>
          <w:rFonts w:eastAsia="Times New Roman" w:cs="Arial"/>
          <w:color w:val="000000"/>
          <w:lang w:eastAsia="bg-BG"/>
        </w:rPr>
        <w:t>Тел.:+359 2 8903417</w:t>
      </w:r>
    </w:p>
    <w:p w14:paraId="50D640D0" w14:textId="25138459" w:rsidR="009331DC" w:rsidRPr="009331DC" w:rsidRDefault="009331DC" w:rsidP="009331DC">
      <w:pPr>
        <w:spacing w:line="240" w:lineRule="auto"/>
        <w:rPr>
          <w:rFonts w:eastAsia="Times New Roman" w:cs="Arial"/>
          <w:lang w:val="en-US"/>
        </w:rPr>
      </w:pPr>
      <w:r w:rsidRPr="009331DC">
        <w:rPr>
          <w:rFonts w:eastAsia="Times New Roman" w:cs="Arial"/>
          <w:color w:val="000000"/>
          <w:lang w:eastAsia="bg-BG"/>
        </w:rPr>
        <w:t xml:space="preserve">уебсайт: </w:t>
      </w:r>
      <w:r w:rsidRPr="009331DC">
        <w:rPr>
          <w:rFonts w:eastAsia="Times New Roman" w:cs="Arial"/>
          <w:lang w:val="en-US"/>
        </w:rPr>
        <w:t>www.bda.bg</w:t>
      </w:r>
    </w:p>
    <w:p w14:paraId="4D0F94F3" w14:textId="2DCF9F3A" w:rsidR="009331DC" w:rsidRPr="009331DC" w:rsidRDefault="009331DC" w:rsidP="009331DC"/>
    <w:p w14:paraId="4ED30546" w14:textId="111C4E4A" w:rsidR="007C605B" w:rsidRDefault="002C50EE" w:rsidP="009F1313">
      <w:pPr>
        <w:pStyle w:val="Heading2"/>
      </w:pPr>
      <w:r>
        <w:t>4.9. Предозиране</w:t>
      </w:r>
    </w:p>
    <w:p w14:paraId="05F414AC" w14:textId="7FC9CF44" w:rsidR="009331DC" w:rsidRDefault="009331DC" w:rsidP="009331DC"/>
    <w:p w14:paraId="3D536A53" w14:textId="77777777" w:rsidR="009331DC" w:rsidRPr="009331DC" w:rsidRDefault="009331DC" w:rsidP="009331DC">
      <w:pPr>
        <w:rPr>
          <w:rFonts w:eastAsia="Times New Roman" w:cs="Arial"/>
          <w:sz w:val="24"/>
          <w:szCs w:val="24"/>
        </w:rPr>
      </w:pPr>
      <w:r w:rsidRPr="009331DC">
        <w:rPr>
          <w:rFonts w:eastAsia="Times New Roman" w:cs="Arial"/>
          <w:color w:val="000000"/>
          <w:lang w:eastAsia="bg-BG"/>
        </w:rPr>
        <w:t>Установената средна летална доза за донепезил хидрохлорид след приложение на</w:t>
      </w:r>
      <w:r w:rsidRPr="009331DC">
        <w:rPr>
          <w:rFonts w:eastAsia="Times New Roman" w:cs="Arial"/>
          <w:color w:val="000000"/>
          <w:vertAlign w:val="subscript"/>
          <w:lang w:eastAsia="bg-BG"/>
        </w:rPr>
        <w:t xml:space="preserve"> </w:t>
      </w:r>
      <w:r w:rsidRPr="009331DC">
        <w:rPr>
          <w:rFonts w:eastAsia="Times New Roman" w:cs="Arial"/>
          <w:color w:val="000000"/>
          <w:lang w:eastAsia="bg-BG"/>
        </w:rPr>
        <w:t xml:space="preserve">единична перорална доза при мишки и плъхове е 45 и </w:t>
      </w:r>
      <w:r w:rsidRPr="009331DC">
        <w:rPr>
          <w:rFonts w:eastAsia="Times New Roman" w:cs="Arial"/>
          <w:i/>
          <w:iCs/>
          <w:color w:val="000000"/>
          <w:lang w:eastAsia="bg-BG"/>
        </w:rPr>
        <w:t>32</w:t>
      </w:r>
      <w:r w:rsidRPr="009331DC">
        <w:rPr>
          <w:rFonts w:eastAsia="Times New Roman" w:cs="Arial"/>
          <w:color w:val="000000"/>
          <w:lang w:eastAsia="bg-BG"/>
        </w:rPr>
        <w:t xml:space="preserve"> </w:t>
      </w:r>
      <w:r w:rsidRPr="009331DC">
        <w:rPr>
          <w:rFonts w:eastAsia="Times New Roman" w:cs="Arial"/>
          <w:color w:val="000000"/>
          <w:lang w:val="en-US"/>
        </w:rPr>
        <w:t>mg</w:t>
      </w:r>
      <w:r w:rsidRPr="009331DC">
        <w:rPr>
          <w:rFonts w:eastAsia="Times New Roman" w:cs="Arial"/>
          <w:color w:val="000000"/>
          <w:lang w:val="ru-RU"/>
        </w:rPr>
        <w:t>/</w:t>
      </w:r>
      <w:r w:rsidRPr="009331DC">
        <w:rPr>
          <w:rFonts w:eastAsia="Times New Roman" w:cs="Arial"/>
          <w:color w:val="000000"/>
          <w:lang w:val="en-US"/>
        </w:rPr>
        <w:t>kg</w:t>
      </w:r>
      <w:r w:rsidRPr="009331DC">
        <w:rPr>
          <w:rFonts w:eastAsia="Times New Roman" w:cs="Arial"/>
          <w:color w:val="000000"/>
          <w:lang w:eastAsia="bg-BG"/>
        </w:rPr>
        <w:t xml:space="preserve"> респективно или</w:t>
      </w:r>
      <w:r w:rsidRPr="009331DC">
        <w:rPr>
          <w:rFonts w:eastAsia="Times New Roman" w:cs="Arial"/>
          <w:color w:val="000000"/>
          <w:lang w:val="ru-RU" w:eastAsia="bg-BG"/>
        </w:rPr>
        <w:t xml:space="preserve"> </w:t>
      </w:r>
      <w:r w:rsidRPr="009331DC">
        <w:rPr>
          <w:rFonts w:eastAsia="Times New Roman" w:cs="Arial"/>
          <w:color w:val="000000"/>
          <w:lang w:eastAsia="bg-BG"/>
        </w:rPr>
        <w:t xml:space="preserve">средно 225 и 160 пъти по-висока от максималната препоръчвана дневна доза от 10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t>при хора. Дозо-зависими прояви на холинергична стимулация са били наблюдавани при животни и включват намаляване на спонтанните движения, наведена поза, олюляваща се походка, сълзотечение, клонични гърчове, потискане на дишането, саливация, миоза, фасцикулации и понижена телесна температура.</w:t>
      </w:r>
    </w:p>
    <w:p w14:paraId="52A6BB53" w14:textId="77777777" w:rsidR="009331DC" w:rsidRPr="009331DC" w:rsidRDefault="009331DC" w:rsidP="009331DC">
      <w:pPr>
        <w:spacing w:line="240" w:lineRule="auto"/>
        <w:rPr>
          <w:rFonts w:eastAsia="Times New Roman" w:cs="Arial"/>
          <w:color w:val="000000"/>
          <w:lang w:eastAsia="bg-BG"/>
        </w:rPr>
      </w:pPr>
    </w:p>
    <w:p w14:paraId="4422CFF6" w14:textId="2DA5F4A2"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Предозирането с холинестеразни инхибитори може да доведе до холинергична криза, характеризираща се с тежко гадене, повръщане, саливация, изпотяване, брадикардия, хипотония, потискане на дишането, колапс и конвулсии. Възможна е повишена мускулна слабост, която може да доведе до смърт, ако е засегната дихателната мускулатура.</w:t>
      </w:r>
    </w:p>
    <w:p w14:paraId="0690FA18" w14:textId="2373D458"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 xml:space="preserve">В случай на предозиране, трябва да бъдат приложени общи поддържащи мерки. Третични антихолинергични средства, като атропин, могат да бъдат използвани като антидот при предозиране с Донепезил Акорд. Препоръчва се интравенозно приложение </w:t>
      </w:r>
      <w:r w:rsidRPr="009331DC">
        <w:rPr>
          <w:rFonts w:eastAsia="Times New Roman" w:cs="Arial"/>
          <w:color w:val="000000"/>
          <w:lang w:eastAsia="bg-BG"/>
        </w:rPr>
        <w:lastRenderedPageBreak/>
        <w:t xml:space="preserve">на атропин сулфат, титриран до постигане на ефект: начална доза от 1,0 до 2,0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t>IV с последващи дози според клиничното повлияване.</w:t>
      </w:r>
    </w:p>
    <w:p w14:paraId="6EDCA19F" w14:textId="77777777" w:rsidR="009331DC" w:rsidRPr="009331DC" w:rsidRDefault="009331DC" w:rsidP="009331DC">
      <w:pPr>
        <w:spacing w:line="240" w:lineRule="auto"/>
        <w:rPr>
          <w:rFonts w:eastAsia="Times New Roman" w:cs="Arial"/>
          <w:color w:val="000000"/>
          <w:lang w:eastAsia="bg-BG"/>
        </w:rPr>
      </w:pPr>
    </w:p>
    <w:p w14:paraId="7C215A29" w14:textId="785504E6" w:rsidR="009331DC" w:rsidRDefault="009331DC" w:rsidP="009331DC">
      <w:pPr>
        <w:spacing w:line="240" w:lineRule="auto"/>
        <w:rPr>
          <w:rFonts w:eastAsia="Times New Roman" w:cs="Arial"/>
          <w:sz w:val="24"/>
          <w:szCs w:val="24"/>
        </w:rPr>
      </w:pPr>
      <w:r w:rsidRPr="009331DC">
        <w:rPr>
          <w:rFonts w:eastAsia="Times New Roman" w:cs="Arial"/>
          <w:color w:val="000000"/>
          <w:lang w:eastAsia="bg-BG"/>
        </w:rPr>
        <w:t>Атипични реакции от страна на кръвното налягане и сърдечната честота са били докладвани с други холиномиметици, когато са прилагани едновременно с четвъртични антихолинергични средства, като например глюкопиролат. Не е известно дали донепезил хидрохлорид и/или неговите метаболити могат да се отстранят чрез диализа (хемодиализа, перитонеална диализа или хемофилтрация).</w:t>
      </w:r>
    </w:p>
    <w:p w14:paraId="70A9EFE0" w14:textId="77777777" w:rsidR="009331DC" w:rsidRPr="009331DC" w:rsidRDefault="009331DC" w:rsidP="009331DC">
      <w:pPr>
        <w:spacing w:line="240" w:lineRule="auto"/>
        <w:rPr>
          <w:rFonts w:eastAsia="Times New Roman" w:cs="Arial"/>
          <w:sz w:val="24"/>
          <w:szCs w:val="24"/>
        </w:rPr>
      </w:pPr>
    </w:p>
    <w:p w14:paraId="02081B24" w14:textId="1F46E296" w:rsidR="00395555" w:rsidRPr="00395555" w:rsidRDefault="002C50EE" w:rsidP="008A6AF2">
      <w:pPr>
        <w:pStyle w:val="Heading1"/>
      </w:pPr>
      <w:r>
        <w:t>5. ФАРМАКОЛОГИЧНИ СВОЙСТВА</w:t>
      </w:r>
    </w:p>
    <w:p w14:paraId="5350637D" w14:textId="42645C2F" w:rsidR="00395555" w:rsidRDefault="002C50EE" w:rsidP="008A6AF2">
      <w:pPr>
        <w:pStyle w:val="Heading2"/>
      </w:pPr>
      <w:r>
        <w:t>5.1. Фармакодинамични свойства</w:t>
      </w:r>
    </w:p>
    <w:p w14:paraId="1F316200" w14:textId="44895532" w:rsidR="009331DC" w:rsidRDefault="009331DC" w:rsidP="009331DC"/>
    <w:p w14:paraId="59C92E22"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Фармакотерапевтична група: средства за лечение на деменция, антихолинестеразни инхибитори;</w:t>
      </w:r>
    </w:p>
    <w:p w14:paraId="15FBBF7F"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val="en-US"/>
        </w:rPr>
        <w:t>ATC</w:t>
      </w:r>
      <w:r w:rsidRPr="009331DC">
        <w:rPr>
          <w:rFonts w:eastAsia="Times New Roman" w:cs="Arial"/>
          <w:color w:val="000000"/>
          <w:lang w:val="ru-RU"/>
        </w:rPr>
        <w:t xml:space="preserve"> </w:t>
      </w:r>
      <w:proofErr w:type="spellStart"/>
      <w:r w:rsidRPr="009331DC">
        <w:rPr>
          <w:rFonts w:eastAsia="Times New Roman" w:cs="Arial"/>
          <w:smallCaps/>
          <w:color w:val="000000"/>
          <w:lang w:val="en-US"/>
        </w:rPr>
        <w:t>ko</w:t>
      </w:r>
      <w:proofErr w:type="spellEnd"/>
      <w:r w:rsidRPr="009331DC">
        <w:rPr>
          <w:rFonts w:eastAsia="Times New Roman" w:cs="Arial"/>
          <w:smallCaps/>
          <w:color w:val="000000"/>
          <w:lang w:val="ru-RU"/>
        </w:rPr>
        <w:t>4</w:t>
      </w:r>
      <w:r w:rsidRPr="009331DC">
        <w:rPr>
          <w:rFonts w:eastAsia="Times New Roman" w:cs="Arial"/>
          <w:smallCaps/>
          <w:color w:val="000000"/>
          <w:lang w:val="en-US"/>
        </w:rPr>
        <w:t>N</w:t>
      </w:r>
      <w:r w:rsidRPr="009331DC">
        <w:rPr>
          <w:rFonts w:eastAsia="Times New Roman" w:cs="Arial"/>
          <w:smallCaps/>
          <w:color w:val="000000"/>
          <w:lang w:val="ru-RU"/>
        </w:rPr>
        <w:t>06</w:t>
      </w:r>
      <w:r w:rsidRPr="009331DC">
        <w:rPr>
          <w:rFonts w:eastAsia="Times New Roman" w:cs="Arial"/>
          <w:smallCaps/>
          <w:color w:val="000000"/>
          <w:lang w:val="en-US"/>
        </w:rPr>
        <w:t>DA</w:t>
      </w:r>
      <w:r w:rsidRPr="009331DC">
        <w:rPr>
          <w:rFonts w:eastAsia="Times New Roman" w:cs="Arial"/>
          <w:smallCaps/>
          <w:color w:val="000000"/>
          <w:lang w:val="ru-RU"/>
        </w:rPr>
        <w:t>02.</w:t>
      </w:r>
    </w:p>
    <w:p w14:paraId="35EA5280" w14:textId="77777777" w:rsidR="009331DC" w:rsidRPr="009331DC" w:rsidRDefault="009331DC" w:rsidP="009331DC">
      <w:pPr>
        <w:spacing w:line="240" w:lineRule="auto"/>
        <w:rPr>
          <w:rFonts w:eastAsia="Times New Roman" w:cs="Arial"/>
          <w:color w:val="000000"/>
          <w:lang w:eastAsia="bg-BG"/>
        </w:rPr>
      </w:pPr>
    </w:p>
    <w:p w14:paraId="75EE2940" w14:textId="459D12E2"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Донепезил хидрохлорид е специфичен и обратим инхибитор на ацетилхолинестеразата, предимно на мозъчната холинестераза. Донепезил хидрохлорид е 1000 пъти по-мощен инхибитор на този ензим ин витро, отколкото бутирилхолинестеразата, ензим, разпространен основно извън централната нервна система.</w:t>
      </w:r>
    </w:p>
    <w:p w14:paraId="181D0E5E" w14:textId="77777777" w:rsidR="009331DC" w:rsidRPr="009331DC" w:rsidRDefault="009331DC" w:rsidP="009331DC">
      <w:pPr>
        <w:spacing w:line="240" w:lineRule="auto"/>
        <w:rPr>
          <w:rFonts w:eastAsia="Times New Roman" w:cs="Arial"/>
          <w:color w:val="000000"/>
          <w:u w:val="single"/>
          <w:lang w:eastAsia="bg-BG"/>
        </w:rPr>
      </w:pPr>
    </w:p>
    <w:p w14:paraId="4CB16C58" w14:textId="72072B82" w:rsidR="009331DC" w:rsidRPr="009331DC" w:rsidRDefault="009331DC" w:rsidP="009331DC">
      <w:pPr>
        <w:spacing w:line="240" w:lineRule="auto"/>
        <w:rPr>
          <w:rFonts w:eastAsia="Times New Roman" w:cs="Arial"/>
          <w:sz w:val="24"/>
          <w:szCs w:val="24"/>
        </w:rPr>
      </w:pPr>
      <w:r w:rsidRPr="009331DC">
        <w:rPr>
          <w:rFonts w:eastAsia="Times New Roman" w:cs="Arial"/>
          <w:color w:val="000000"/>
          <w:u w:val="single"/>
          <w:lang w:eastAsia="bg-BG"/>
        </w:rPr>
        <w:t>Деменция на Алцхаймер</w:t>
      </w:r>
    </w:p>
    <w:p w14:paraId="4500AA96" w14:textId="77777777" w:rsidR="009331DC" w:rsidRPr="009331DC" w:rsidRDefault="009331DC" w:rsidP="009331DC">
      <w:pPr>
        <w:spacing w:line="240" w:lineRule="auto"/>
        <w:rPr>
          <w:rFonts w:eastAsia="Times New Roman" w:cs="Arial"/>
          <w:color w:val="000000"/>
          <w:lang w:eastAsia="bg-BG"/>
        </w:rPr>
      </w:pPr>
    </w:p>
    <w:p w14:paraId="4D963B9E" w14:textId="2DBCF49B"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 xml:space="preserve">При пациенти с деменция на Алцхаймер, участващи в клинични изпитвания, приложението на единична дневна доза от 5 или 10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t>донепезил хидрохлорид води до равновесно инхибиране на ацетилхолинестеразната активност (измерена в еритроцитни мембрани) съответно на 63,6% и 77,3% при измерване след прием на дозата. Инхибирането на ацетилхолинестеразата (АС</w:t>
      </w:r>
      <w:r w:rsidRPr="009331DC">
        <w:rPr>
          <w:rFonts w:eastAsia="Times New Roman" w:cs="Arial"/>
          <w:color w:val="000000"/>
          <w:lang w:val="en-US"/>
        </w:rPr>
        <w:t>h</w:t>
      </w:r>
      <w:r w:rsidRPr="009331DC">
        <w:rPr>
          <w:rFonts w:eastAsia="Times New Roman" w:cs="Arial"/>
          <w:color w:val="000000"/>
          <w:lang w:eastAsia="bg-BG"/>
        </w:rPr>
        <w:t xml:space="preserve">Е) в еритроцитите от донепезил хидрохлорид колерира с промени в </w:t>
      </w:r>
      <w:r w:rsidRPr="009331DC">
        <w:rPr>
          <w:rFonts w:eastAsia="Times New Roman" w:cs="Arial"/>
          <w:color w:val="000000"/>
          <w:lang w:val="en-US"/>
        </w:rPr>
        <w:t>ADAS</w:t>
      </w:r>
      <w:r w:rsidRPr="009331DC">
        <w:rPr>
          <w:rFonts w:eastAsia="Times New Roman" w:cs="Arial"/>
          <w:color w:val="000000"/>
          <w:lang w:val="ru-RU"/>
        </w:rPr>
        <w:t>-</w:t>
      </w:r>
      <w:r w:rsidRPr="009331DC">
        <w:rPr>
          <w:rFonts w:eastAsia="Times New Roman" w:cs="Arial"/>
          <w:color w:val="000000"/>
          <w:lang w:val="en-US"/>
        </w:rPr>
        <w:t>cog</w:t>
      </w:r>
      <w:r w:rsidRPr="009331DC">
        <w:rPr>
          <w:rFonts w:eastAsia="Times New Roman" w:cs="Arial"/>
          <w:color w:val="000000"/>
          <w:lang w:val="ru-RU"/>
        </w:rPr>
        <w:t xml:space="preserve">, </w:t>
      </w:r>
      <w:r w:rsidRPr="009331DC">
        <w:rPr>
          <w:rFonts w:eastAsia="Times New Roman" w:cs="Arial"/>
          <w:color w:val="000000"/>
          <w:lang w:eastAsia="bg-BG"/>
        </w:rPr>
        <w:t>чувствителна скала, с която се проучват избрани аспекти на познавателната способност. Потенциалът на донепезил хидрохлорид да променя хода на подчертана невропатология не е изследван. Поради това не може да се счита, че Донепезил Акорд има някакъв ефект върху прогресирането на заболяването.</w:t>
      </w:r>
    </w:p>
    <w:p w14:paraId="3DB8B511" w14:textId="77777777" w:rsidR="009331DC" w:rsidRPr="009331DC" w:rsidRDefault="009331DC" w:rsidP="009331DC">
      <w:pPr>
        <w:rPr>
          <w:rFonts w:eastAsia="Times New Roman" w:cs="Arial"/>
          <w:color w:val="000000"/>
          <w:lang w:eastAsia="bg-BG"/>
        </w:rPr>
      </w:pPr>
    </w:p>
    <w:p w14:paraId="639625AB" w14:textId="796BCFA3" w:rsidR="009331DC" w:rsidRPr="009331DC" w:rsidRDefault="009331DC" w:rsidP="009331DC">
      <w:pPr>
        <w:rPr>
          <w:rFonts w:eastAsia="Times New Roman" w:cs="Arial"/>
          <w:color w:val="000000"/>
          <w:lang w:eastAsia="bg-BG"/>
        </w:rPr>
      </w:pPr>
      <w:r w:rsidRPr="009331DC">
        <w:rPr>
          <w:rFonts w:eastAsia="Times New Roman" w:cs="Arial"/>
          <w:color w:val="000000"/>
          <w:lang w:eastAsia="bg-BG"/>
        </w:rPr>
        <w:t>Ефикасността на лечението с Донепезил Акорд е била изследвана и 4 плацебо контролирани проучвания, 2 проучвания с 6 месечна продължителност и 2 проучвания с едногодишна продължителност.</w:t>
      </w:r>
    </w:p>
    <w:p w14:paraId="3809A9EF" w14:textId="65C90A44" w:rsidR="009331DC" w:rsidRPr="009331DC" w:rsidRDefault="009331DC" w:rsidP="009331DC">
      <w:pPr>
        <w:rPr>
          <w:rFonts w:eastAsia="Times New Roman" w:cs="Arial"/>
          <w:color w:val="000000"/>
          <w:lang w:eastAsia="bg-BG"/>
        </w:rPr>
      </w:pPr>
    </w:p>
    <w:p w14:paraId="4C961F48"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 xml:space="preserve">В 6 месечното клинично изпитване, след края на лечението с донепезил е направен анализ при използване на комбинация от три критерия за ефикасност: </w:t>
      </w:r>
      <w:r w:rsidRPr="009331DC">
        <w:rPr>
          <w:rFonts w:eastAsia="Times New Roman" w:cs="Arial"/>
          <w:color w:val="000000"/>
          <w:lang w:val="en-US"/>
        </w:rPr>
        <w:t>ADAS</w:t>
      </w:r>
      <w:r w:rsidRPr="009331DC">
        <w:rPr>
          <w:rFonts w:eastAsia="Times New Roman" w:cs="Arial"/>
          <w:color w:val="000000"/>
        </w:rPr>
        <w:t>-</w:t>
      </w:r>
      <w:r w:rsidRPr="009331DC">
        <w:rPr>
          <w:rFonts w:eastAsia="Times New Roman" w:cs="Arial"/>
          <w:color w:val="000000"/>
          <w:lang w:val="en-US"/>
        </w:rPr>
        <w:t>cog</w:t>
      </w:r>
      <w:r w:rsidRPr="009331DC">
        <w:rPr>
          <w:rFonts w:eastAsia="Times New Roman" w:cs="Arial"/>
          <w:color w:val="000000"/>
        </w:rPr>
        <w:t xml:space="preserve"> </w:t>
      </w:r>
      <w:r w:rsidRPr="009331DC">
        <w:rPr>
          <w:rFonts w:eastAsia="Times New Roman" w:cs="Arial"/>
          <w:color w:val="000000"/>
          <w:lang w:eastAsia="bg-BG"/>
        </w:rPr>
        <w:t xml:space="preserve">(за оценка на познавателните способности), </w:t>
      </w:r>
      <w:r w:rsidRPr="009331DC">
        <w:rPr>
          <w:rFonts w:eastAsia="Times New Roman" w:cs="Arial"/>
          <w:color w:val="000000"/>
          <w:lang w:val="en-US"/>
        </w:rPr>
        <w:t>Clinician</w:t>
      </w:r>
      <w:r w:rsidRPr="009331DC">
        <w:rPr>
          <w:rFonts w:eastAsia="Times New Roman" w:cs="Arial"/>
          <w:color w:val="000000"/>
        </w:rPr>
        <w:t xml:space="preserve"> </w:t>
      </w:r>
      <w:r w:rsidRPr="009331DC">
        <w:rPr>
          <w:rFonts w:eastAsia="Times New Roman" w:cs="Arial"/>
          <w:color w:val="000000"/>
          <w:lang w:val="en-US"/>
        </w:rPr>
        <w:t>Interview</w:t>
      </w:r>
      <w:r w:rsidRPr="009331DC">
        <w:rPr>
          <w:rFonts w:eastAsia="Times New Roman" w:cs="Arial"/>
          <w:color w:val="000000"/>
        </w:rPr>
        <w:t xml:space="preserve"> </w:t>
      </w:r>
      <w:r w:rsidRPr="009331DC">
        <w:rPr>
          <w:rFonts w:eastAsia="Times New Roman" w:cs="Arial"/>
          <w:color w:val="000000"/>
          <w:lang w:val="en-US"/>
        </w:rPr>
        <w:t>Based</w:t>
      </w:r>
      <w:r w:rsidRPr="009331DC">
        <w:rPr>
          <w:rFonts w:eastAsia="Times New Roman" w:cs="Arial"/>
          <w:color w:val="000000"/>
        </w:rPr>
        <w:t xml:space="preserve"> </w:t>
      </w:r>
      <w:r w:rsidRPr="009331DC">
        <w:rPr>
          <w:rFonts w:eastAsia="Times New Roman" w:cs="Arial"/>
          <w:color w:val="000000"/>
          <w:lang w:val="en-US"/>
        </w:rPr>
        <w:t>Impression</w:t>
      </w:r>
      <w:r w:rsidRPr="009331DC">
        <w:rPr>
          <w:rFonts w:eastAsia="Times New Roman" w:cs="Arial"/>
          <w:color w:val="000000"/>
        </w:rPr>
        <w:t xml:space="preserve"> </w:t>
      </w:r>
      <w:r w:rsidRPr="009331DC">
        <w:rPr>
          <w:rFonts w:eastAsia="Times New Roman" w:cs="Arial"/>
          <w:color w:val="000000"/>
          <w:lang w:val="en-US"/>
        </w:rPr>
        <w:t>of</w:t>
      </w:r>
      <w:r w:rsidRPr="009331DC">
        <w:rPr>
          <w:rFonts w:eastAsia="Times New Roman" w:cs="Arial"/>
          <w:color w:val="000000"/>
        </w:rPr>
        <w:t xml:space="preserve"> </w:t>
      </w:r>
      <w:r w:rsidRPr="009331DC">
        <w:rPr>
          <w:rFonts w:eastAsia="Times New Roman" w:cs="Arial"/>
          <w:color w:val="000000"/>
          <w:lang w:val="en-US"/>
        </w:rPr>
        <w:t>Change</w:t>
      </w:r>
      <w:r w:rsidRPr="009331DC">
        <w:rPr>
          <w:rFonts w:eastAsia="Times New Roman" w:cs="Arial"/>
          <w:color w:val="000000"/>
        </w:rPr>
        <w:t xml:space="preserve"> </w:t>
      </w:r>
      <w:r w:rsidRPr="009331DC">
        <w:rPr>
          <w:rFonts w:eastAsia="Times New Roman" w:cs="Arial"/>
          <w:color w:val="000000"/>
          <w:lang w:val="en-US"/>
        </w:rPr>
        <w:t>with</w:t>
      </w:r>
      <w:r w:rsidRPr="009331DC">
        <w:rPr>
          <w:rFonts w:eastAsia="Times New Roman" w:cs="Arial"/>
          <w:color w:val="000000"/>
        </w:rPr>
        <w:t xml:space="preserve"> </w:t>
      </w:r>
      <w:r w:rsidRPr="009331DC">
        <w:rPr>
          <w:rFonts w:eastAsia="Times New Roman" w:cs="Arial"/>
          <w:color w:val="000000"/>
          <w:lang w:val="en-US"/>
        </w:rPr>
        <w:t>Caregiver</w:t>
      </w:r>
      <w:r w:rsidRPr="009331DC">
        <w:rPr>
          <w:rFonts w:eastAsia="Times New Roman" w:cs="Arial"/>
          <w:color w:val="000000"/>
        </w:rPr>
        <w:t xml:space="preserve"> </w:t>
      </w:r>
      <w:r w:rsidRPr="009331DC">
        <w:rPr>
          <w:rFonts w:eastAsia="Times New Roman" w:cs="Arial"/>
          <w:color w:val="000000"/>
          <w:lang w:val="en-US"/>
        </w:rPr>
        <w:t>Input</w:t>
      </w:r>
      <w:r w:rsidRPr="009331DC">
        <w:rPr>
          <w:rFonts w:eastAsia="Times New Roman" w:cs="Arial"/>
          <w:color w:val="000000"/>
        </w:rPr>
        <w:t xml:space="preserve"> (</w:t>
      </w:r>
      <w:r w:rsidRPr="009331DC">
        <w:rPr>
          <w:rFonts w:eastAsia="Times New Roman" w:cs="Arial"/>
          <w:color w:val="000000"/>
          <w:lang w:val="en-US"/>
        </w:rPr>
        <w:t>CIBIC</w:t>
      </w:r>
      <w:r w:rsidRPr="009331DC">
        <w:rPr>
          <w:rFonts w:eastAsia="Times New Roman" w:cs="Arial"/>
          <w:color w:val="000000"/>
        </w:rPr>
        <w:t xml:space="preserve">) </w:t>
      </w:r>
      <w:r w:rsidRPr="009331DC">
        <w:rPr>
          <w:rFonts w:eastAsia="Times New Roman" w:cs="Arial"/>
          <w:color w:val="000000"/>
          <w:lang w:eastAsia="bg-BG"/>
        </w:rPr>
        <w:t xml:space="preserve">(за оценка на общите функции) и </w:t>
      </w:r>
      <w:r w:rsidRPr="009331DC">
        <w:rPr>
          <w:rFonts w:eastAsia="Times New Roman" w:cs="Arial"/>
          <w:color w:val="000000"/>
          <w:lang w:val="en-US"/>
        </w:rPr>
        <w:t>Activities</w:t>
      </w:r>
      <w:r w:rsidRPr="009331DC">
        <w:rPr>
          <w:rFonts w:eastAsia="Times New Roman" w:cs="Arial"/>
          <w:color w:val="000000"/>
        </w:rPr>
        <w:t xml:space="preserve"> </w:t>
      </w:r>
      <w:r w:rsidRPr="009331DC">
        <w:rPr>
          <w:rFonts w:eastAsia="Times New Roman" w:cs="Arial"/>
          <w:color w:val="000000"/>
          <w:lang w:val="en-US"/>
        </w:rPr>
        <w:t>of</w:t>
      </w:r>
      <w:r w:rsidRPr="009331DC">
        <w:rPr>
          <w:rFonts w:eastAsia="Times New Roman" w:cs="Arial"/>
          <w:color w:val="000000"/>
        </w:rPr>
        <w:t xml:space="preserve"> </w:t>
      </w:r>
      <w:r w:rsidRPr="009331DC">
        <w:rPr>
          <w:rFonts w:eastAsia="Times New Roman" w:cs="Arial"/>
          <w:color w:val="000000"/>
          <w:lang w:val="en-US"/>
        </w:rPr>
        <w:t>Daily</w:t>
      </w:r>
      <w:r w:rsidRPr="009331DC">
        <w:rPr>
          <w:rFonts w:eastAsia="Times New Roman" w:cs="Arial"/>
          <w:color w:val="000000"/>
        </w:rPr>
        <w:t xml:space="preserve"> </w:t>
      </w:r>
      <w:r w:rsidRPr="009331DC">
        <w:rPr>
          <w:rFonts w:eastAsia="Times New Roman" w:cs="Arial"/>
          <w:color w:val="000000"/>
          <w:lang w:val="en-US"/>
        </w:rPr>
        <w:t>Living</w:t>
      </w:r>
      <w:r w:rsidRPr="009331DC">
        <w:rPr>
          <w:rFonts w:eastAsia="Times New Roman" w:cs="Arial"/>
          <w:color w:val="000000"/>
        </w:rPr>
        <w:t xml:space="preserve"> </w:t>
      </w:r>
      <w:r w:rsidRPr="009331DC">
        <w:rPr>
          <w:rFonts w:eastAsia="Times New Roman" w:cs="Arial"/>
          <w:color w:val="000000"/>
          <w:lang w:val="en-US"/>
        </w:rPr>
        <w:t>Subscale</w:t>
      </w:r>
      <w:r w:rsidRPr="009331DC">
        <w:rPr>
          <w:rFonts w:eastAsia="Times New Roman" w:cs="Arial"/>
          <w:color w:val="000000"/>
        </w:rPr>
        <w:t xml:space="preserve"> </w:t>
      </w:r>
      <w:r w:rsidRPr="009331DC">
        <w:rPr>
          <w:rFonts w:eastAsia="Times New Roman" w:cs="Arial"/>
          <w:color w:val="000000"/>
          <w:lang w:val="en-US"/>
        </w:rPr>
        <w:t>of</w:t>
      </w:r>
      <w:r w:rsidRPr="009331DC">
        <w:rPr>
          <w:rFonts w:eastAsia="Times New Roman" w:cs="Arial"/>
          <w:color w:val="000000"/>
        </w:rPr>
        <w:t xml:space="preserve"> </w:t>
      </w:r>
      <w:r w:rsidRPr="009331DC">
        <w:rPr>
          <w:rFonts w:eastAsia="Times New Roman" w:cs="Arial"/>
          <w:color w:val="000000"/>
          <w:lang w:val="en-US"/>
        </w:rPr>
        <w:t>the</w:t>
      </w:r>
      <w:r w:rsidRPr="009331DC">
        <w:rPr>
          <w:rFonts w:eastAsia="Times New Roman" w:cs="Arial"/>
          <w:color w:val="000000"/>
        </w:rPr>
        <w:t xml:space="preserve"> </w:t>
      </w:r>
      <w:r w:rsidRPr="009331DC">
        <w:rPr>
          <w:rFonts w:eastAsia="Times New Roman" w:cs="Arial"/>
          <w:color w:val="000000"/>
          <w:lang w:val="en-US"/>
        </w:rPr>
        <w:t>Clinical</w:t>
      </w:r>
      <w:r w:rsidRPr="009331DC">
        <w:rPr>
          <w:rFonts w:eastAsia="Times New Roman" w:cs="Arial"/>
          <w:color w:val="000000"/>
        </w:rPr>
        <w:t xml:space="preserve"> </w:t>
      </w:r>
      <w:r w:rsidRPr="009331DC">
        <w:rPr>
          <w:rFonts w:eastAsia="Times New Roman" w:cs="Arial"/>
          <w:color w:val="000000"/>
          <w:lang w:val="en-US"/>
        </w:rPr>
        <w:t>Dementia</w:t>
      </w:r>
      <w:r w:rsidRPr="009331DC">
        <w:rPr>
          <w:rFonts w:eastAsia="Times New Roman" w:cs="Arial"/>
          <w:color w:val="000000"/>
        </w:rPr>
        <w:t xml:space="preserve"> </w:t>
      </w:r>
      <w:r w:rsidRPr="009331DC">
        <w:rPr>
          <w:rFonts w:eastAsia="Times New Roman" w:cs="Arial"/>
          <w:color w:val="000000"/>
          <w:lang w:val="en-US"/>
        </w:rPr>
        <w:t>Rating</w:t>
      </w:r>
      <w:r w:rsidRPr="009331DC">
        <w:rPr>
          <w:rFonts w:eastAsia="Times New Roman" w:cs="Arial"/>
          <w:color w:val="000000"/>
        </w:rPr>
        <w:t xml:space="preserve"> </w:t>
      </w:r>
      <w:r w:rsidRPr="009331DC">
        <w:rPr>
          <w:rFonts w:eastAsia="Times New Roman" w:cs="Arial"/>
          <w:color w:val="000000"/>
          <w:lang w:val="en-US"/>
        </w:rPr>
        <w:t>Scale</w:t>
      </w:r>
      <w:r w:rsidRPr="009331DC">
        <w:rPr>
          <w:rFonts w:eastAsia="Times New Roman" w:cs="Arial"/>
          <w:color w:val="000000"/>
        </w:rPr>
        <w:t xml:space="preserve"> </w:t>
      </w:r>
      <w:r w:rsidRPr="009331DC">
        <w:rPr>
          <w:rFonts w:eastAsia="Times New Roman" w:cs="Arial"/>
          <w:color w:val="000000"/>
          <w:lang w:eastAsia="bg-BG"/>
        </w:rPr>
        <w:t>(за оценка на способностите в социалната сфера, дом, хобита и лична грижа).</w:t>
      </w:r>
    </w:p>
    <w:p w14:paraId="290B38B6" w14:textId="77777777" w:rsidR="009331DC" w:rsidRPr="009331DC" w:rsidRDefault="009331DC" w:rsidP="009331DC">
      <w:pPr>
        <w:spacing w:line="240" w:lineRule="auto"/>
        <w:rPr>
          <w:rFonts w:eastAsia="Times New Roman" w:cs="Arial"/>
          <w:color w:val="000000"/>
          <w:lang w:eastAsia="bg-BG"/>
        </w:rPr>
      </w:pPr>
    </w:p>
    <w:p w14:paraId="363AE798" w14:textId="6263C862"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Пациентите, които са отговаряли изброените критерии, са били отчетени като повлияващи се от лечението.</w:t>
      </w:r>
    </w:p>
    <w:p w14:paraId="570B2A54" w14:textId="77777777" w:rsidR="009331DC" w:rsidRPr="009331DC" w:rsidRDefault="009331DC" w:rsidP="009331DC">
      <w:pPr>
        <w:spacing w:line="240" w:lineRule="auto"/>
        <w:rPr>
          <w:rFonts w:eastAsia="Times New Roman" w:cs="Arial"/>
          <w:color w:val="000000"/>
          <w:lang w:eastAsia="bg-BG"/>
        </w:rPr>
      </w:pPr>
    </w:p>
    <w:p w14:paraId="1F93D395"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 xml:space="preserve">Отговор </w:t>
      </w:r>
      <w:r w:rsidRPr="009331DC">
        <w:rPr>
          <w:rFonts w:eastAsia="Times New Roman" w:cs="Arial"/>
          <w:color w:val="000000"/>
          <w:lang w:val="ru-RU" w:eastAsia="bg-BG"/>
        </w:rPr>
        <w:t xml:space="preserve">= </w:t>
      </w:r>
      <w:r w:rsidRPr="009331DC">
        <w:rPr>
          <w:rFonts w:eastAsia="Times New Roman" w:cs="Arial"/>
          <w:color w:val="000000"/>
          <w:lang w:eastAsia="bg-BG"/>
        </w:rPr>
        <w:t xml:space="preserve">Подобрение по </w:t>
      </w:r>
      <w:r w:rsidRPr="009331DC">
        <w:rPr>
          <w:rFonts w:eastAsia="Times New Roman" w:cs="Arial"/>
          <w:color w:val="000000"/>
          <w:lang w:val="en-US"/>
        </w:rPr>
        <w:t>ADAS</w:t>
      </w:r>
      <w:r w:rsidRPr="009331DC">
        <w:rPr>
          <w:rFonts w:eastAsia="Times New Roman" w:cs="Arial"/>
          <w:color w:val="000000"/>
          <w:lang w:val="ru-RU"/>
        </w:rPr>
        <w:t>-</w:t>
      </w:r>
      <w:r w:rsidRPr="009331DC">
        <w:rPr>
          <w:rFonts w:eastAsia="Times New Roman" w:cs="Arial"/>
          <w:color w:val="000000"/>
          <w:lang w:val="en-US"/>
        </w:rPr>
        <w:t>Cog</w:t>
      </w:r>
      <w:r w:rsidRPr="009331DC">
        <w:rPr>
          <w:rFonts w:eastAsia="Times New Roman" w:cs="Arial"/>
          <w:color w:val="000000"/>
          <w:lang w:val="ru-RU"/>
        </w:rPr>
        <w:t xml:space="preserve"> </w:t>
      </w:r>
      <w:r w:rsidRPr="009331DC">
        <w:rPr>
          <w:rFonts w:eastAsia="Times New Roman" w:cs="Arial"/>
          <w:color w:val="000000"/>
          <w:lang w:eastAsia="bg-BG"/>
        </w:rPr>
        <w:t>най-малко по 4 пункта</w:t>
      </w:r>
    </w:p>
    <w:p w14:paraId="2C127D37" w14:textId="7A8D7379"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lastRenderedPageBreak/>
        <w:t xml:space="preserve">Липса на влошаване по </w:t>
      </w:r>
      <w:r w:rsidRPr="009331DC">
        <w:rPr>
          <w:rFonts w:eastAsia="Times New Roman" w:cs="Arial"/>
          <w:color w:val="000000"/>
          <w:lang w:val="en-US"/>
        </w:rPr>
        <w:t>CIBIC</w:t>
      </w:r>
      <w:r w:rsidRPr="009331DC">
        <w:rPr>
          <w:rFonts w:eastAsia="Times New Roman" w:cs="Arial"/>
          <w:color w:val="000000"/>
          <w:lang w:val="ru-RU"/>
        </w:rPr>
        <w:t xml:space="preserve"> </w:t>
      </w:r>
      <w:r w:rsidRPr="009331DC">
        <w:rPr>
          <w:rFonts w:eastAsia="Times New Roman" w:cs="Arial"/>
          <w:color w:val="000000"/>
          <w:lang w:eastAsia="bg-BG"/>
        </w:rPr>
        <w:t>+</w:t>
      </w:r>
    </w:p>
    <w:p w14:paraId="5C5A7834"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 xml:space="preserve">Липса на влошаване по </w:t>
      </w:r>
      <w:r w:rsidRPr="009331DC">
        <w:rPr>
          <w:rFonts w:eastAsia="Times New Roman" w:cs="Arial"/>
          <w:color w:val="000000"/>
          <w:lang w:val="en-US"/>
        </w:rPr>
        <w:t>Activities of Daily Living Subscale of the Clinical Dementia Rating Scale</w:t>
      </w:r>
    </w:p>
    <w:p w14:paraId="6C9BC7BD" w14:textId="537000E5" w:rsidR="009331DC" w:rsidRDefault="009331DC" w:rsidP="009331DC"/>
    <w:tbl>
      <w:tblPr>
        <w:tblStyle w:val="TableGrid"/>
        <w:tblW w:w="0" w:type="auto"/>
        <w:tblLook w:val="04A0" w:firstRow="1" w:lastRow="0" w:firstColumn="1" w:lastColumn="0" w:noHBand="0" w:noVBand="1"/>
      </w:tblPr>
      <w:tblGrid>
        <w:gridCol w:w="3124"/>
        <w:gridCol w:w="3113"/>
        <w:gridCol w:w="3113"/>
      </w:tblGrid>
      <w:tr w:rsidR="009331DC" w14:paraId="0CA56931" w14:textId="77777777" w:rsidTr="006C56B2">
        <w:tc>
          <w:tcPr>
            <w:tcW w:w="3192" w:type="dxa"/>
          </w:tcPr>
          <w:p w14:paraId="089C6593" w14:textId="77777777" w:rsidR="009331DC" w:rsidRDefault="009331DC" w:rsidP="009331DC"/>
        </w:tc>
        <w:tc>
          <w:tcPr>
            <w:tcW w:w="6384" w:type="dxa"/>
            <w:gridSpan w:val="2"/>
          </w:tcPr>
          <w:p w14:paraId="31FB3177" w14:textId="3D6E1AEB"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 Отговор</w:t>
            </w:r>
          </w:p>
        </w:tc>
      </w:tr>
      <w:tr w:rsidR="009331DC" w14:paraId="3D45D668" w14:textId="77777777" w:rsidTr="009331DC">
        <w:tc>
          <w:tcPr>
            <w:tcW w:w="3192" w:type="dxa"/>
          </w:tcPr>
          <w:p w14:paraId="40C130CD" w14:textId="77777777" w:rsidR="009331DC" w:rsidRDefault="009331DC" w:rsidP="009331DC"/>
        </w:tc>
        <w:tc>
          <w:tcPr>
            <w:tcW w:w="3192" w:type="dxa"/>
          </w:tcPr>
          <w:p w14:paraId="4E7A048F" w14:textId="62FEB121" w:rsidR="009331DC" w:rsidRDefault="009331DC" w:rsidP="009331DC">
            <w:r>
              <w:t xml:space="preserve">Прицелна за лечение популация </w:t>
            </w:r>
            <w:r>
              <w:rPr>
                <w:lang w:val="en-US"/>
              </w:rPr>
              <w:t>n</w:t>
            </w:r>
            <w:r>
              <w:t>=365</w:t>
            </w:r>
          </w:p>
        </w:tc>
        <w:tc>
          <w:tcPr>
            <w:tcW w:w="3192" w:type="dxa"/>
          </w:tcPr>
          <w:p w14:paraId="5FDE366C" w14:textId="77777777" w:rsidR="009331DC" w:rsidRDefault="009331DC" w:rsidP="009331DC">
            <w:r>
              <w:t>Оценена популация</w:t>
            </w:r>
          </w:p>
          <w:p w14:paraId="3A0DC4DB" w14:textId="6ADABB9A" w:rsidR="009331DC" w:rsidRDefault="009331DC" w:rsidP="009331DC">
            <w:r>
              <w:rPr>
                <w:lang w:val="en-US"/>
              </w:rPr>
              <w:t>n</w:t>
            </w:r>
            <w:r>
              <w:t>=352</w:t>
            </w:r>
          </w:p>
        </w:tc>
      </w:tr>
      <w:tr w:rsidR="009331DC" w14:paraId="579CC6B1" w14:textId="77777777" w:rsidTr="009331DC">
        <w:tc>
          <w:tcPr>
            <w:tcW w:w="3192" w:type="dxa"/>
          </w:tcPr>
          <w:p w14:paraId="3B3F2D3F" w14:textId="0E2FA4F9" w:rsidR="009331DC" w:rsidRDefault="009331DC" w:rsidP="009331DC">
            <w:r>
              <w:t>Плацебо група</w:t>
            </w:r>
          </w:p>
        </w:tc>
        <w:tc>
          <w:tcPr>
            <w:tcW w:w="3192" w:type="dxa"/>
          </w:tcPr>
          <w:p w14:paraId="01B79F16" w14:textId="645BF223" w:rsidR="009331DC" w:rsidRDefault="009331DC" w:rsidP="009331DC">
            <w:r>
              <w:t>10%</w:t>
            </w:r>
          </w:p>
        </w:tc>
        <w:tc>
          <w:tcPr>
            <w:tcW w:w="3192" w:type="dxa"/>
          </w:tcPr>
          <w:p w14:paraId="7C5EB042" w14:textId="366517D6" w:rsidR="009331DC" w:rsidRDefault="009331DC" w:rsidP="009331DC">
            <w:r>
              <w:t>10%</w:t>
            </w:r>
          </w:p>
        </w:tc>
      </w:tr>
      <w:tr w:rsidR="009331DC" w14:paraId="78E8CA14" w14:textId="77777777" w:rsidTr="009331DC">
        <w:tc>
          <w:tcPr>
            <w:tcW w:w="3192" w:type="dxa"/>
          </w:tcPr>
          <w:p w14:paraId="347F68AA" w14:textId="54D89AA1" w:rsidR="009331DC" w:rsidRDefault="009331DC" w:rsidP="009331DC">
            <w:r>
              <w:t xml:space="preserve">Донепезил хидрохлорид таблетки </w:t>
            </w:r>
            <w:r w:rsidRPr="009331DC">
              <w:rPr>
                <w:lang w:val="ru-RU"/>
              </w:rPr>
              <w:t>5-</w:t>
            </w:r>
            <w:r>
              <w:rPr>
                <w:lang w:val="en-US"/>
              </w:rPr>
              <w:t>mg</w:t>
            </w:r>
            <w:r w:rsidRPr="009331DC">
              <w:rPr>
                <w:lang w:val="ru-RU"/>
              </w:rPr>
              <w:t xml:space="preserve"> </w:t>
            </w:r>
            <w:r>
              <w:t>група</w:t>
            </w:r>
          </w:p>
        </w:tc>
        <w:tc>
          <w:tcPr>
            <w:tcW w:w="3192" w:type="dxa"/>
          </w:tcPr>
          <w:p w14:paraId="16DF1EF9" w14:textId="5F502E87" w:rsidR="009331DC" w:rsidRDefault="009331DC" w:rsidP="009331DC">
            <w:r>
              <w:t>18%*</w:t>
            </w:r>
          </w:p>
        </w:tc>
        <w:tc>
          <w:tcPr>
            <w:tcW w:w="3192" w:type="dxa"/>
          </w:tcPr>
          <w:p w14:paraId="08B3E870" w14:textId="2215DD51" w:rsidR="009331DC" w:rsidRDefault="009331DC" w:rsidP="009331DC">
            <w:r>
              <w:t>18%*</w:t>
            </w:r>
          </w:p>
        </w:tc>
      </w:tr>
      <w:tr w:rsidR="009331DC" w14:paraId="01723B08" w14:textId="77777777" w:rsidTr="009331DC">
        <w:tc>
          <w:tcPr>
            <w:tcW w:w="3192" w:type="dxa"/>
          </w:tcPr>
          <w:p w14:paraId="159D66B7" w14:textId="14B0F8D8" w:rsidR="009331DC" w:rsidRDefault="009331DC" w:rsidP="009331DC">
            <w:r>
              <w:t xml:space="preserve">Донепезил хидрохлорид таблетки </w:t>
            </w:r>
            <w:r w:rsidRPr="009331DC">
              <w:rPr>
                <w:lang w:val="ru-RU"/>
              </w:rPr>
              <w:t>10-</w:t>
            </w:r>
            <w:r>
              <w:rPr>
                <w:lang w:val="en-US"/>
              </w:rPr>
              <w:t>mg</w:t>
            </w:r>
            <w:r w:rsidRPr="009331DC">
              <w:rPr>
                <w:lang w:val="ru-RU"/>
              </w:rPr>
              <w:t xml:space="preserve"> </w:t>
            </w:r>
            <w:r>
              <w:t>група</w:t>
            </w:r>
          </w:p>
        </w:tc>
        <w:tc>
          <w:tcPr>
            <w:tcW w:w="3192" w:type="dxa"/>
          </w:tcPr>
          <w:p w14:paraId="527A4149" w14:textId="3BD831F6" w:rsidR="009331DC" w:rsidRDefault="009331DC" w:rsidP="009331DC">
            <w:r>
              <w:t>21%*</w:t>
            </w:r>
          </w:p>
        </w:tc>
        <w:tc>
          <w:tcPr>
            <w:tcW w:w="3192" w:type="dxa"/>
          </w:tcPr>
          <w:p w14:paraId="3727804F" w14:textId="7001736B" w:rsidR="009331DC" w:rsidRDefault="009331DC" w:rsidP="009331DC">
            <w:r>
              <w:t>22%**</w:t>
            </w:r>
          </w:p>
        </w:tc>
      </w:tr>
    </w:tbl>
    <w:p w14:paraId="6A18659D"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val="en-US"/>
        </w:rPr>
        <w:t>* p&lt;0.05</w:t>
      </w:r>
    </w:p>
    <w:p w14:paraId="44FF365D"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val="en-US"/>
        </w:rPr>
        <w:t>** p&lt;0.01</w:t>
      </w:r>
    </w:p>
    <w:p w14:paraId="0DD57112"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Донепезил Акорд води до статистически значимо дозо-зависимо повишение на процента пациенти, които са оценени като повлияващи се от лечението.</w:t>
      </w:r>
    </w:p>
    <w:p w14:paraId="0ADF2E1B" w14:textId="77777777" w:rsidR="009331DC" w:rsidRPr="009331DC" w:rsidRDefault="009331DC" w:rsidP="009331DC"/>
    <w:p w14:paraId="26535098" w14:textId="15211216" w:rsidR="00395555" w:rsidRDefault="002C50EE" w:rsidP="008A6AF2">
      <w:pPr>
        <w:pStyle w:val="Heading2"/>
      </w:pPr>
      <w:r>
        <w:t>5.2. Фармакокинетични свойства</w:t>
      </w:r>
    </w:p>
    <w:p w14:paraId="30BF8E1D" w14:textId="3FBBCA3F" w:rsidR="009331DC" w:rsidRDefault="009331DC" w:rsidP="009331DC"/>
    <w:p w14:paraId="6CAE0C47" w14:textId="77777777" w:rsidR="009331DC" w:rsidRPr="009331DC" w:rsidRDefault="009331DC" w:rsidP="009331DC">
      <w:pPr>
        <w:pStyle w:val="Heading3"/>
        <w:rPr>
          <w:rFonts w:eastAsia="Times New Roman"/>
          <w:i/>
        </w:rPr>
      </w:pPr>
      <w:r w:rsidRPr="009331DC">
        <w:rPr>
          <w:rFonts w:eastAsia="Times New Roman"/>
          <w:i/>
          <w:lang w:eastAsia="bg-BG"/>
        </w:rPr>
        <w:t>Абсорбция:</w:t>
      </w:r>
    </w:p>
    <w:p w14:paraId="6C19F67A"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Максимални плазмени нива се достигат приблизително 3 до 4 часа след перорално приложение. Плазмените концентрации и площта под кривата нарастват пропорционално на дозата. Терминалното време на полуживот е приблизително 70 часа, поради което приложението на многократна единична дневна доза води до постепенно достигане на равновесни концентрации. Приблизителни равновесни плазмени концентрации се достигат в продължение на 3 седмици след началото на лечението. След достигане на равновесие, плазмените концентрации на донепезил хидрохлорид и свързаната фармакодинамична активност в хода на лечебния курс показват малка вариабилност.</w:t>
      </w:r>
    </w:p>
    <w:p w14:paraId="3B119BBC"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Храната не повлиява резорбцията на донепезил хидрохлорид.</w:t>
      </w:r>
    </w:p>
    <w:p w14:paraId="20315800" w14:textId="77777777" w:rsidR="009331DC" w:rsidRPr="009331DC" w:rsidRDefault="009331DC" w:rsidP="009331DC">
      <w:pPr>
        <w:spacing w:line="240" w:lineRule="auto"/>
        <w:rPr>
          <w:rFonts w:eastAsia="Times New Roman" w:cs="Arial"/>
          <w:i/>
          <w:iCs/>
          <w:color w:val="000000"/>
          <w:lang w:eastAsia="bg-BG"/>
        </w:rPr>
      </w:pPr>
    </w:p>
    <w:p w14:paraId="2D90470D" w14:textId="052CBBE8" w:rsidR="009331DC" w:rsidRPr="009331DC" w:rsidRDefault="009331DC" w:rsidP="009331DC">
      <w:pPr>
        <w:pStyle w:val="Heading3"/>
        <w:rPr>
          <w:rFonts w:eastAsia="Times New Roman"/>
          <w:i/>
        </w:rPr>
      </w:pPr>
      <w:r w:rsidRPr="009331DC">
        <w:rPr>
          <w:rFonts w:eastAsia="Times New Roman"/>
          <w:i/>
          <w:lang w:eastAsia="bg-BG"/>
        </w:rPr>
        <w:t>Разпределение:</w:t>
      </w:r>
    </w:p>
    <w:p w14:paraId="130289B4"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Донепезил хидрохлорид се свързва приблизително в 95% с човешките плазмени протеини. Степента на свързване с плазмените протеини на активния 6-0- дезметилдонепезил не е известна. Разпределението на донепезил хидрохлорид в различните телесни тъкани не е изследвано окончателно. Освен това в изследване при</w:t>
      </w:r>
    </w:p>
    <w:p w14:paraId="636978E8"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 xml:space="preserve">здрави доброволци на общия баланс, 240 часа след приложението на единична доза от 5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lang w:eastAsia="bg-BG"/>
        </w:rPr>
        <w:t xml:space="preserve">на </w:t>
      </w:r>
      <w:r w:rsidRPr="009331DC">
        <w:rPr>
          <w:rFonts w:eastAsia="Times New Roman" w:cs="Arial"/>
          <w:color w:val="000000"/>
          <w:vertAlign w:val="superscript"/>
          <w:lang w:eastAsia="bg-BG"/>
        </w:rPr>
        <w:t>14</w:t>
      </w:r>
      <w:r w:rsidRPr="009331DC">
        <w:rPr>
          <w:rFonts w:eastAsia="Times New Roman" w:cs="Arial"/>
          <w:color w:val="000000"/>
          <w:lang w:eastAsia="bg-BG"/>
        </w:rPr>
        <w:t>С-белязан донепезил хидрохлорид, приблизително 28% от него остава</w:t>
      </w:r>
    </w:p>
    <w:p w14:paraId="224AB951" w14:textId="2009ABA1" w:rsidR="009331DC" w:rsidRPr="009331DC" w:rsidRDefault="009331DC" w:rsidP="009331DC">
      <w:pPr>
        <w:rPr>
          <w:rFonts w:eastAsia="Times New Roman" w:cs="Arial"/>
          <w:color w:val="000000"/>
          <w:lang w:eastAsia="bg-BG"/>
        </w:rPr>
      </w:pPr>
      <w:r w:rsidRPr="009331DC">
        <w:rPr>
          <w:rFonts w:eastAsia="Times New Roman" w:cs="Arial"/>
          <w:color w:val="000000"/>
          <w:lang w:eastAsia="bg-BG"/>
        </w:rPr>
        <w:t>невъзстановен. Това предполага, че донепезил хидрохлорид и/или неговите метаболити персистират в тялото повече от 10 дни.</w:t>
      </w:r>
    </w:p>
    <w:p w14:paraId="2E09F8BC" w14:textId="4F981572" w:rsidR="009331DC" w:rsidRPr="009331DC" w:rsidRDefault="009331DC" w:rsidP="009331DC">
      <w:pPr>
        <w:rPr>
          <w:rFonts w:eastAsia="Times New Roman" w:cs="Arial"/>
          <w:color w:val="000000"/>
          <w:lang w:eastAsia="bg-BG"/>
        </w:rPr>
      </w:pPr>
    </w:p>
    <w:p w14:paraId="458CA894" w14:textId="77777777" w:rsidR="009331DC" w:rsidRPr="009331DC" w:rsidRDefault="009331DC" w:rsidP="009331DC">
      <w:pPr>
        <w:spacing w:line="240" w:lineRule="auto"/>
        <w:rPr>
          <w:rFonts w:eastAsia="Times New Roman" w:cs="Arial"/>
          <w:sz w:val="24"/>
          <w:szCs w:val="24"/>
        </w:rPr>
      </w:pPr>
      <w:r w:rsidRPr="009331DC">
        <w:rPr>
          <w:rFonts w:eastAsia="Times New Roman" w:cs="Arial"/>
          <w:i/>
          <w:iCs/>
          <w:color w:val="000000"/>
          <w:lang w:eastAsia="bg-BG"/>
        </w:rPr>
        <w:t>Биотрансформация/Елиминиране:</w:t>
      </w:r>
      <w:r w:rsidRPr="009331DC">
        <w:rPr>
          <w:rFonts w:eastAsia="Times New Roman" w:cs="Arial"/>
          <w:color w:val="000000"/>
          <w:lang w:eastAsia="bg-BG"/>
        </w:rPr>
        <w:t xml:space="preserve"> Донепезил хидрохлорид се екскретира непроменен с урината и се метаболизира от Р450 цитохромната система до множество метаболити, не всички от които са идентифицирани. След приложение на единична доза от 5 </w:t>
      </w:r>
      <w:r w:rsidRPr="009331DC">
        <w:rPr>
          <w:rFonts w:eastAsia="Times New Roman" w:cs="Arial"/>
          <w:color w:val="000000"/>
          <w:lang w:val="en-US"/>
        </w:rPr>
        <w:t>mg</w:t>
      </w:r>
      <w:r w:rsidRPr="009331DC">
        <w:rPr>
          <w:rFonts w:eastAsia="Times New Roman" w:cs="Arial"/>
          <w:color w:val="000000"/>
          <w:lang w:val="ru-RU"/>
        </w:rPr>
        <w:t xml:space="preserve"> </w:t>
      </w:r>
      <w:r w:rsidRPr="009331DC">
        <w:rPr>
          <w:rFonts w:eastAsia="Times New Roman" w:cs="Arial"/>
          <w:color w:val="000000"/>
          <w:vertAlign w:val="superscript"/>
          <w:lang w:eastAsia="bg-BG"/>
        </w:rPr>
        <w:t>14</w:t>
      </w:r>
      <w:r w:rsidRPr="009331DC">
        <w:rPr>
          <w:rFonts w:eastAsia="Times New Roman" w:cs="Arial"/>
          <w:color w:val="000000"/>
          <w:lang w:eastAsia="bg-BG"/>
        </w:rPr>
        <w:t>С-белязан донепезил хидрохлорид, плазмената радиоактивност, изразена в проценти от приложената доза, е била основно представена като непроменен донепезил хидрохлорид (30%), 6-О-дезметилдонепезил (11% - единствен метаболит, който показва активност подобна на тази на донепезил хидрохлорид), донепезил</w:t>
      </w:r>
      <w:r w:rsidRPr="009331DC">
        <w:rPr>
          <w:rFonts w:eastAsia="Times New Roman" w:cs="Arial"/>
          <w:color w:val="000000"/>
          <w:lang w:val="ru-RU"/>
        </w:rPr>
        <w:t>-</w:t>
      </w:r>
      <w:r w:rsidRPr="009331DC">
        <w:rPr>
          <w:rFonts w:eastAsia="Times New Roman" w:cs="Arial"/>
          <w:color w:val="000000"/>
          <w:lang w:val="en-US"/>
        </w:rPr>
        <w:t>cis</w:t>
      </w:r>
      <w:r w:rsidRPr="009331DC">
        <w:rPr>
          <w:rFonts w:eastAsia="Times New Roman" w:cs="Arial"/>
          <w:color w:val="000000"/>
          <w:lang w:val="ru-RU"/>
        </w:rPr>
        <w:t>-</w:t>
      </w:r>
      <w:r w:rsidRPr="009331DC">
        <w:rPr>
          <w:rFonts w:eastAsia="Times New Roman" w:cs="Arial"/>
          <w:color w:val="000000"/>
          <w:lang w:val="en-US"/>
        </w:rPr>
        <w:t>N</w:t>
      </w:r>
      <w:r w:rsidRPr="009331DC">
        <w:rPr>
          <w:rFonts w:eastAsia="Times New Roman" w:cs="Arial"/>
          <w:color w:val="000000"/>
          <w:lang w:val="ru-RU"/>
        </w:rPr>
        <w:t xml:space="preserve">- </w:t>
      </w:r>
      <w:r w:rsidRPr="009331DC">
        <w:rPr>
          <w:rFonts w:eastAsia="Times New Roman" w:cs="Arial"/>
          <w:color w:val="000000"/>
          <w:lang w:val="en-US"/>
        </w:rPr>
        <w:t>oxide</w:t>
      </w:r>
      <w:r w:rsidRPr="009331DC">
        <w:rPr>
          <w:rFonts w:eastAsia="Times New Roman" w:cs="Arial"/>
          <w:color w:val="000000"/>
          <w:lang w:val="ru-RU"/>
        </w:rPr>
        <w:t xml:space="preserve"> </w:t>
      </w:r>
      <w:r w:rsidRPr="009331DC">
        <w:rPr>
          <w:rFonts w:eastAsia="Times New Roman" w:cs="Arial"/>
          <w:color w:val="000000"/>
          <w:lang w:eastAsia="bg-BG"/>
        </w:rPr>
        <w:t xml:space="preserve">(9%), </w:t>
      </w:r>
      <w:r w:rsidRPr="009331DC">
        <w:rPr>
          <w:rFonts w:eastAsia="Times New Roman" w:cs="Arial"/>
          <w:color w:val="000000"/>
          <w:lang w:val="ru-RU"/>
        </w:rPr>
        <w:t>5-</w:t>
      </w:r>
      <w:r w:rsidRPr="009331DC">
        <w:rPr>
          <w:rFonts w:eastAsia="Times New Roman" w:cs="Arial"/>
          <w:color w:val="000000"/>
          <w:lang w:val="en-US"/>
        </w:rPr>
        <w:t>O</w:t>
      </w:r>
      <w:r w:rsidRPr="009331DC">
        <w:rPr>
          <w:rFonts w:eastAsia="Times New Roman" w:cs="Arial"/>
          <w:color w:val="000000"/>
          <w:lang w:val="ru-RU"/>
        </w:rPr>
        <w:t>-</w:t>
      </w:r>
      <w:proofErr w:type="spellStart"/>
      <w:r w:rsidRPr="009331DC">
        <w:rPr>
          <w:rFonts w:eastAsia="Times New Roman" w:cs="Arial"/>
          <w:color w:val="000000"/>
          <w:lang w:val="en-US"/>
        </w:rPr>
        <w:t>desmethyl</w:t>
      </w:r>
      <w:proofErr w:type="spellEnd"/>
      <w:r w:rsidRPr="009331DC">
        <w:rPr>
          <w:rFonts w:eastAsia="Times New Roman" w:cs="Arial"/>
          <w:color w:val="000000"/>
          <w:lang w:val="ru-RU"/>
        </w:rPr>
        <w:t xml:space="preserve"> </w:t>
      </w:r>
      <w:r w:rsidRPr="009331DC">
        <w:rPr>
          <w:rFonts w:eastAsia="Times New Roman" w:cs="Arial"/>
          <w:color w:val="000000"/>
          <w:lang w:val="en-US"/>
        </w:rPr>
        <w:t>donepezil</w:t>
      </w:r>
      <w:r w:rsidRPr="009331DC">
        <w:rPr>
          <w:rFonts w:eastAsia="Times New Roman" w:cs="Arial"/>
          <w:color w:val="000000"/>
          <w:lang w:val="ru-RU"/>
        </w:rPr>
        <w:t xml:space="preserve"> </w:t>
      </w:r>
      <w:r w:rsidRPr="009331DC">
        <w:rPr>
          <w:rFonts w:eastAsia="Times New Roman" w:cs="Arial"/>
          <w:color w:val="000000"/>
          <w:lang w:eastAsia="bg-BG"/>
        </w:rPr>
        <w:t xml:space="preserve">(7%) и глюкурониран конюгат на </w:t>
      </w:r>
      <w:r w:rsidRPr="009331DC">
        <w:rPr>
          <w:rFonts w:eastAsia="Times New Roman" w:cs="Arial"/>
          <w:color w:val="000000"/>
          <w:lang w:val="ru-RU"/>
        </w:rPr>
        <w:t>5-</w:t>
      </w:r>
      <w:r w:rsidRPr="009331DC">
        <w:rPr>
          <w:rFonts w:eastAsia="Times New Roman" w:cs="Arial"/>
          <w:color w:val="000000"/>
          <w:lang w:val="en-US"/>
        </w:rPr>
        <w:t>O</w:t>
      </w:r>
      <w:r w:rsidRPr="009331DC">
        <w:rPr>
          <w:rFonts w:eastAsia="Times New Roman" w:cs="Arial"/>
          <w:color w:val="000000"/>
          <w:lang w:val="ru-RU"/>
        </w:rPr>
        <w:t>-</w:t>
      </w:r>
      <w:proofErr w:type="spellStart"/>
      <w:r w:rsidRPr="009331DC">
        <w:rPr>
          <w:rFonts w:eastAsia="Times New Roman" w:cs="Arial"/>
          <w:color w:val="000000"/>
          <w:lang w:val="en-US"/>
        </w:rPr>
        <w:t>desmethyl</w:t>
      </w:r>
      <w:proofErr w:type="spellEnd"/>
      <w:r w:rsidRPr="009331DC">
        <w:rPr>
          <w:rFonts w:eastAsia="Times New Roman" w:cs="Arial"/>
          <w:color w:val="000000"/>
          <w:lang w:val="ru-RU"/>
        </w:rPr>
        <w:t xml:space="preserve"> </w:t>
      </w:r>
      <w:r w:rsidRPr="009331DC">
        <w:rPr>
          <w:rFonts w:eastAsia="Times New Roman" w:cs="Arial"/>
          <w:color w:val="000000"/>
          <w:lang w:eastAsia="bg-BG"/>
        </w:rPr>
        <w:t xml:space="preserve">донепезил (3%). Приблизително </w:t>
      </w:r>
      <w:r w:rsidRPr="009331DC">
        <w:rPr>
          <w:rFonts w:eastAsia="Times New Roman" w:cs="Arial"/>
          <w:color w:val="000000"/>
          <w:lang w:eastAsia="bg-BG"/>
        </w:rPr>
        <w:lastRenderedPageBreak/>
        <w:t>57% от общо приложената радиоактивност е била открита в урината (17% като непроменен донепезил) и 14.5% е била установена във фекалиите, което говори за биотрансформация и уринна екскреция като основен път на елиминиране. Няма доказателства, които да предполагат ентерохепатална рециркулация на донепезил хидрохлорид и/или на някой от неговите метаболити.</w:t>
      </w:r>
    </w:p>
    <w:p w14:paraId="402C1599" w14:textId="19BA96A2"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Плазмените концентрации на донепезил намаляват с полуживот от приблизително 70 часа. Полът, расата и анамнезата за тютюнопушене нямат клинично значимо влияние върху плазмените концентрации на донепезил хидрохлорид. Фармакокинетиката на донепезил не е била специално изследвана при здрави лица в напреднала възраст или при пациенти с деменция на АлцхаЙмер или съдова такава. Освен това средните плазмени нива при пациенти тясно корелират с тези при млади здрави доброволци.</w:t>
      </w:r>
    </w:p>
    <w:p w14:paraId="561DDAF1" w14:textId="77777777" w:rsidR="009331DC" w:rsidRPr="009331DC" w:rsidRDefault="009331DC" w:rsidP="009331DC">
      <w:pPr>
        <w:spacing w:line="240" w:lineRule="auto"/>
        <w:rPr>
          <w:rFonts w:eastAsia="Times New Roman" w:cs="Arial"/>
          <w:color w:val="000000"/>
          <w:lang w:eastAsia="bg-BG"/>
        </w:rPr>
      </w:pPr>
    </w:p>
    <w:p w14:paraId="764574A2" w14:textId="26318DE9" w:rsidR="009331DC" w:rsidRPr="009331DC" w:rsidRDefault="009331DC" w:rsidP="009331DC">
      <w:pPr>
        <w:spacing w:line="240" w:lineRule="auto"/>
        <w:rPr>
          <w:rFonts w:ascii="Times New Roman" w:eastAsia="Times New Roman" w:hAnsi="Times New Roman" w:cs="Times New Roman"/>
          <w:sz w:val="24"/>
          <w:szCs w:val="24"/>
        </w:rPr>
      </w:pPr>
      <w:r w:rsidRPr="009331DC">
        <w:rPr>
          <w:rFonts w:eastAsia="Times New Roman" w:cs="Arial"/>
          <w:color w:val="000000"/>
          <w:lang w:eastAsia="bg-BG"/>
        </w:rPr>
        <w:t xml:space="preserve">Пациенти с леки до умерени чернодробни нарушения са имали повишени равновесни плазмени концентрации на донепезил, като за площта под кривата </w:t>
      </w:r>
      <w:r w:rsidRPr="009331DC">
        <w:rPr>
          <w:rFonts w:eastAsia="Times New Roman" w:cs="Arial"/>
          <w:color w:val="000000"/>
          <w:lang w:val="ru-RU"/>
        </w:rPr>
        <w:t>(</w:t>
      </w:r>
      <w:r w:rsidRPr="009331DC">
        <w:rPr>
          <w:rFonts w:eastAsia="Times New Roman" w:cs="Arial"/>
          <w:color w:val="000000"/>
          <w:lang w:val="en-US"/>
        </w:rPr>
        <w:t>AUC</w:t>
      </w:r>
      <w:r w:rsidRPr="009331DC">
        <w:rPr>
          <w:rFonts w:eastAsia="Times New Roman" w:cs="Arial"/>
          <w:color w:val="000000"/>
          <w:lang w:val="ru-RU"/>
        </w:rPr>
        <w:t xml:space="preserve">) </w:t>
      </w:r>
      <w:r w:rsidRPr="009331DC">
        <w:rPr>
          <w:rFonts w:eastAsia="Times New Roman" w:cs="Arial"/>
          <w:color w:val="000000"/>
          <w:lang w:eastAsia="bg-BG"/>
        </w:rPr>
        <w:t>то е средно с 48%, а за С</w:t>
      </w:r>
      <w:r w:rsidRPr="009331DC">
        <w:rPr>
          <w:rFonts w:eastAsia="Times New Roman" w:cs="Arial"/>
          <w:color w:val="000000"/>
          <w:vertAlign w:val="subscript"/>
          <w:lang w:val="en-US"/>
        </w:rPr>
        <w:t>max</w:t>
      </w:r>
      <w:r w:rsidRPr="009331DC">
        <w:rPr>
          <w:rFonts w:eastAsia="Times New Roman" w:cs="Arial"/>
          <w:color w:val="000000"/>
          <w:lang w:eastAsia="bg-BG"/>
        </w:rPr>
        <w:t xml:space="preserve"> е средно с 39% (вж. т. 4.2).</w:t>
      </w:r>
    </w:p>
    <w:p w14:paraId="187B8564" w14:textId="77777777" w:rsidR="009331DC" w:rsidRPr="009331DC" w:rsidRDefault="009331DC" w:rsidP="009331DC"/>
    <w:p w14:paraId="028E658A" w14:textId="3F93A18C" w:rsidR="00395555" w:rsidRDefault="002C50EE" w:rsidP="008A6AF2">
      <w:pPr>
        <w:pStyle w:val="Heading2"/>
      </w:pPr>
      <w:r>
        <w:t>5.3. Предклинични данни за безопасност</w:t>
      </w:r>
    </w:p>
    <w:p w14:paraId="1DA94FD4" w14:textId="036834F0" w:rsidR="009331DC" w:rsidRDefault="009331DC" w:rsidP="009331DC"/>
    <w:p w14:paraId="1A3E3FB4" w14:textId="77777777"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Екстензивни изследвания при експериментални животни са показали, че това съединение води до малко ефекти извън тези, които са очаквани като фармакологични ефекти, свързани с неговото действие като холинергичен стимулатор (вж. т. 4.9). Донепезил не притежава мутагенно действие в бактериални клетки и клетки на бозайници при изследване на клетъчни мутации. Някои кластогенни ефекти са били наблюдавани ин витро при концентрации надвишаващи токсичните клетъчни концентрации и повече от 3000 пъти равновесните плазмени концентрации. Не са наблюдавани кластогенни или други генотоксични ефекти при мишки при микронулеус тест в условия ин витро. Няма доказателства за онкогенен потенциал при дългосрочни изследвания за канцерогенност, както при мишки, така и при плъхове.</w:t>
      </w:r>
    </w:p>
    <w:p w14:paraId="377774E5" w14:textId="77777777" w:rsidR="009331DC" w:rsidRPr="009331DC" w:rsidRDefault="009331DC" w:rsidP="009331DC">
      <w:pPr>
        <w:spacing w:line="240" w:lineRule="auto"/>
        <w:rPr>
          <w:rFonts w:eastAsia="Times New Roman" w:cs="Arial"/>
          <w:color w:val="000000"/>
          <w:lang w:eastAsia="bg-BG"/>
        </w:rPr>
      </w:pPr>
    </w:p>
    <w:p w14:paraId="611EA96A" w14:textId="452EB582" w:rsidR="009331DC" w:rsidRPr="009331DC" w:rsidRDefault="009331DC" w:rsidP="009331DC">
      <w:pPr>
        <w:spacing w:line="240" w:lineRule="auto"/>
        <w:rPr>
          <w:rFonts w:eastAsia="Times New Roman" w:cs="Arial"/>
          <w:sz w:val="24"/>
          <w:szCs w:val="24"/>
        </w:rPr>
      </w:pPr>
      <w:r w:rsidRPr="009331DC">
        <w:rPr>
          <w:rFonts w:eastAsia="Times New Roman" w:cs="Arial"/>
          <w:color w:val="000000"/>
          <w:lang w:eastAsia="bg-BG"/>
        </w:rPr>
        <w:t>Донепезил хидрохлорид няма ефект върху фертилитета при плъхове и не е тератогенен при плъхове и зайци, но има слаб ефект върху раждането и ранната преживяемост на новородените, приложен на бременни плъхове в доза, 50 пъти по-висока от човешката (виж точка 4.6.).</w:t>
      </w:r>
    </w:p>
    <w:p w14:paraId="4FC38226" w14:textId="77777777" w:rsidR="009331DC" w:rsidRPr="009331DC" w:rsidRDefault="009331DC" w:rsidP="009331DC"/>
    <w:p w14:paraId="6A7820AB" w14:textId="228755EB" w:rsidR="008A6AF2" w:rsidRDefault="002C50EE" w:rsidP="00395555">
      <w:pPr>
        <w:pStyle w:val="Heading1"/>
      </w:pPr>
      <w:r>
        <w:t>7. ПРИТЕЖАТЕЛ НА РАЗРЕШЕНИЕТО ЗА УПОТРЕБА</w:t>
      </w:r>
    </w:p>
    <w:p w14:paraId="3CF7CE52" w14:textId="09B2F13D" w:rsidR="009331DC" w:rsidRDefault="009331DC" w:rsidP="009331DC"/>
    <w:p w14:paraId="35506DBB" w14:textId="77777777" w:rsidR="009331DC" w:rsidRPr="009331DC" w:rsidRDefault="009331DC" w:rsidP="009331DC">
      <w:pPr>
        <w:rPr>
          <w:sz w:val="24"/>
          <w:szCs w:val="24"/>
          <w:lang w:val="en-US"/>
        </w:rPr>
      </w:pPr>
      <w:r w:rsidRPr="009331DC">
        <w:rPr>
          <w:lang w:val="en-US"/>
        </w:rPr>
        <w:t xml:space="preserve">Accord Healthcare </w:t>
      </w:r>
      <w:proofErr w:type="spellStart"/>
      <w:r w:rsidRPr="009331DC">
        <w:rPr>
          <w:lang w:val="en-US"/>
        </w:rPr>
        <w:t>Polska</w:t>
      </w:r>
      <w:proofErr w:type="spellEnd"/>
      <w:r w:rsidRPr="009331DC">
        <w:rPr>
          <w:lang w:val="en-US"/>
        </w:rPr>
        <w:t xml:space="preserve"> Sp. z </w:t>
      </w:r>
      <w:proofErr w:type="spellStart"/>
      <w:r w:rsidRPr="009331DC">
        <w:rPr>
          <w:lang w:val="en-US"/>
        </w:rPr>
        <w:t>o.o</w:t>
      </w:r>
      <w:proofErr w:type="spellEnd"/>
      <w:proofErr w:type="gramStart"/>
      <w:r w:rsidRPr="009331DC">
        <w:rPr>
          <w:lang w:val="en-US"/>
        </w:rPr>
        <w:t>.,</w:t>
      </w:r>
      <w:proofErr w:type="gramEnd"/>
    </w:p>
    <w:p w14:paraId="698E6789" w14:textId="77777777" w:rsidR="009331DC" w:rsidRPr="009331DC" w:rsidRDefault="009331DC" w:rsidP="009331DC">
      <w:pPr>
        <w:rPr>
          <w:sz w:val="24"/>
          <w:szCs w:val="24"/>
          <w:lang w:val="ru-RU"/>
        </w:rPr>
      </w:pPr>
      <w:proofErr w:type="spellStart"/>
      <w:proofErr w:type="gramStart"/>
      <w:r w:rsidRPr="009331DC">
        <w:rPr>
          <w:lang w:val="en-US"/>
        </w:rPr>
        <w:t>ul</w:t>
      </w:r>
      <w:proofErr w:type="spellEnd"/>
      <w:proofErr w:type="gramEnd"/>
      <w:r w:rsidRPr="009331DC">
        <w:rPr>
          <w:lang w:val="ru-RU"/>
        </w:rPr>
        <w:t xml:space="preserve">. </w:t>
      </w:r>
      <w:proofErr w:type="spellStart"/>
      <w:r w:rsidRPr="009331DC">
        <w:rPr>
          <w:lang w:val="en-US"/>
        </w:rPr>
        <w:t>Tasmowa</w:t>
      </w:r>
      <w:proofErr w:type="spellEnd"/>
      <w:r w:rsidRPr="009331DC">
        <w:rPr>
          <w:lang w:val="ru-RU"/>
        </w:rPr>
        <w:t xml:space="preserve"> 7,</w:t>
      </w:r>
    </w:p>
    <w:p w14:paraId="1726F359" w14:textId="77777777" w:rsidR="009331DC" w:rsidRPr="009331DC" w:rsidRDefault="009331DC" w:rsidP="009331DC">
      <w:pPr>
        <w:rPr>
          <w:sz w:val="24"/>
          <w:szCs w:val="24"/>
          <w:lang w:val="ru-RU"/>
        </w:rPr>
      </w:pPr>
      <w:r w:rsidRPr="009331DC">
        <w:rPr>
          <w:lang w:val="ru-RU"/>
        </w:rPr>
        <w:t xml:space="preserve">02-677, </w:t>
      </w:r>
      <w:r w:rsidRPr="009331DC">
        <w:rPr>
          <w:lang w:val="en-US"/>
        </w:rPr>
        <w:t>Warszawa</w:t>
      </w:r>
      <w:r w:rsidRPr="009331DC">
        <w:rPr>
          <w:lang w:val="ru-RU"/>
        </w:rPr>
        <w:t xml:space="preserve">, </w:t>
      </w:r>
      <w:proofErr w:type="spellStart"/>
      <w:r w:rsidRPr="009331DC">
        <w:rPr>
          <w:lang w:val="en-US"/>
        </w:rPr>
        <w:t>Mazowieckie</w:t>
      </w:r>
      <w:proofErr w:type="spellEnd"/>
      <w:r w:rsidRPr="009331DC">
        <w:rPr>
          <w:lang w:val="ru-RU"/>
        </w:rPr>
        <w:t>,</w:t>
      </w:r>
    </w:p>
    <w:p w14:paraId="4C526B7B" w14:textId="77777777" w:rsidR="009331DC" w:rsidRPr="009331DC" w:rsidRDefault="009331DC" w:rsidP="009331DC">
      <w:pPr>
        <w:rPr>
          <w:sz w:val="24"/>
          <w:szCs w:val="24"/>
          <w:lang w:val="ru-RU"/>
        </w:rPr>
      </w:pPr>
      <w:r w:rsidRPr="009331DC">
        <w:rPr>
          <w:lang w:eastAsia="bg-BG"/>
        </w:rPr>
        <w:t>Полша</w:t>
      </w:r>
    </w:p>
    <w:p w14:paraId="30DD75A5" w14:textId="77777777" w:rsidR="009331DC" w:rsidRPr="009331DC" w:rsidRDefault="009331DC" w:rsidP="009331DC">
      <w:pPr>
        <w:rPr>
          <w:lang w:val="ru-RU"/>
        </w:rPr>
      </w:pPr>
    </w:p>
    <w:p w14:paraId="04840D59" w14:textId="10F238D6" w:rsidR="002C50EE" w:rsidRDefault="002C50EE" w:rsidP="00395555">
      <w:pPr>
        <w:pStyle w:val="Heading1"/>
      </w:pPr>
      <w:r>
        <w:t>8. НОМЕР НА РАЗРЕШЕНИЕТО ЗА УПОТРЕБА</w:t>
      </w:r>
    </w:p>
    <w:p w14:paraId="377B137A" w14:textId="07A70FD5" w:rsidR="009331DC" w:rsidRDefault="009331DC" w:rsidP="009331DC"/>
    <w:p w14:paraId="393F8EDE" w14:textId="77777777" w:rsidR="009331DC" w:rsidRPr="009331DC" w:rsidRDefault="009331DC" w:rsidP="009331DC">
      <w:pPr>
        <w:rPr>
          <w:sz w:val="24"/>
          <w:szCs w:val="24"/>
        </w:rPr>
      </w:pPr>
      <w:r w:rsidRPr="009331DC">
        <w:rPr>
          <w:lang w:eastAsia="bg-BG"/>
        </w:rPr>
        <w:t xml:space="preserve">Донепезил Акорд 5 </w:t>
      </w:r>
      <w:r w:rsidRPr="009331DC">
        <w:rPr>
          <w:lang w:val="en-US"/>
        </w:rPr>
        <w:t>mg</w:t>
      </w:r>
      <w:r w:rsidRPr="009331DC">
        <w:rPr>
          <w:lang w:val="ru-RU"/>
        </w:rPr>
        <w:t xml:space="preserve"> </w:t>
      </w:r>
      <w:r w:rsidRPr="009331DC">
        <w:rPr>
          <w:lang w:eastAsia="bg-BG"/>
        </w:rPr>
        <w:t>филмирани таблетки Рег.№ 20100391</w:t>
      </w:r>
    </w:p>
    <w:p w14:paraId="2F17100F" w14:textId="5658ACEB" w:rsidR="009331DC" w:rsidRPr="009331DC" w:rsidRDefault="009331DC" w:rsidP="009331DC">
      <w:r w:rsidRPr="009331DC">
        <w:rPr>
          <w:lang w:eastAsia="bg-BG"/>
        </w:rPr>
        <w:t xml:space="preserve">Донепезил Акорд 10 </w:t>
      </w:r>
      <w:r w:rsidRPr="009331DC">
        <w:rPr>
          <w:lang w:val="en-US"/>
        </w:rPr>
        <w:t>mg</w:t>
      </w:r>
      <w:r w:rsidRPr="009331DC">
        <w:rPr>
          <w:lang w:val="ru-RU"/>
        </w:rPr>
        <w:t xml:space="preserve"> </w:t>
      </w:r>
      <w:r w:rsidRPr="009331DC">
        <w:rPr>
          <w:lang w:eastAsia="bg-BG"/>
        </w:rPr>
        <w:t>филмирани таблетки Рег.№ 20100392</w:t>
      </w:r>
    </w:p>
    <w:p w14:paraId="2CCB5832" w14:textId="22EE9E25" w:rsidR="007C605B" w:rsidRDefault="002C50EE" w:rsidP="007C605B">
      <w:pPr>
        <w:pStyle w:val="Heading1"/>
      </w:pPr>
      <w:r>
        <w:lastRenderedPageBreak/>
        <w:t>9. ДАТА НА ПЪРВО РАЗРЕШАВАНЕ/ПОДНОВЯВАНЕ НА РАЗРЕШЕНИЕТО ЗА УПОТРЕБА</w:t>
      </w:r>
    </w:p>
    <w:p w14:paraId="1DF37EEB" w14:textId="77777777" w:rsidR="009331DC" w:rsidRPr="009331DC" w:rsidRDefault="009331DC" w:rsidP="009331DC">
      <w:pPr>
        <w:rPr>
          <w:sz w:val="24"/>
          <w:szCs w:val="24"/>
        </w:rPr>
      </w:pPr>
      <w:r w:rsidRPr="009331DC">
        <w:rPr>
          <w:lang w:eastAsia="bg-BG"/>
        </w:rPr>
        <w:t>Дата на първо разрешаване: 17.06.2010 г.</w:t>
      </w:r>
    </w:p>
    <w:p w14:paraId="2158BDA9" w14:textId="77777777" w:rsidR="009331DC" w:rsidRPr="009331DC" w:rsidRDefault="009331DC" w:rsidP="009331DC">
      <w:pPr>
        <w:rPr>
          <w:sz w:val="24"/>
          <w:szCs w:val="24"/>
        </w:rPr>
      </w:pPr>
      <w:r w:rsidRPr="009331DC">
        <w:rPr>
          <w:lang w:eastAsia="bg-BG"/>
        </w:rPr>
        <w:t>Дата на последно подновяване: 20.04.2016 г.</w:t>
      </w:r>
    </w:p>
    <w:p w14:paraId="3735C510" w14:textId="77777777" w:rsidR="009331DC" w:rsidRPr="009331DC" w:rsidRDefault="009331DC" w:rsidP="009331DC"/>
    <w:p w14:paraId="0E9D0119" w14:textId="0245C6D7" w:rsidR="002C50EE" w:rsidRDefault="002C50EE" w:rsidP="002C50EE">
      <w:pPr>
        <w:pStyle w:val="Heading1"/>
      </w:pPr>
      <w:r>
        <w:t>10. ДАТА НА АКТУАЛИЗИРАНЕ НА ТЕКСТА</w:t>
      </w:r>
    </w:p>
    <w:bookmarkEnd w:id="0"/>
    <w:p w14:paraId="43FB38A2" w14:textId="7CE044DC" w:rsidR="007C605B" w:rsidRPr="003E3126" w:rsidRDefault="009331DC" w:rsidP="009331DC">
      <w:r>
        <w:t>Януари 2019 г.</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25913"/>
    <w:multiLevelType w:val="hybridMultilevel"/>
    <w:tmpl w:val="0F50C708"/>
    <w:lvl w:ilvl="0" w:tplc="60C4DCCC">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29"/>
  </w:num>
  <w:num w:numId="12">
    <w:abstractNumId w:val="14"/>
  </w:num>
  <w:num w:numId="13">
    <w:abstractNumId w:val="19"/>
  </w:num>
  <w:num w:numId="14">
    <w:abstractNumId w:val="12"/>
  </w:num>
  <w:num w:numId="15">
    <w:abstractNumId w:val="28"/>
  </w:num>
  <w:num w:numId="16">
    <w:abstractNumId w:val="10"/>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0"/>
  </w:num>
  <w:num w:numId="28">
    <w:abstractNumId w:val="6"/>
  </w:num>
  <w:num w:numId="29">
    <w:abstractNumId w:val="20"/>
  </w:num>
  <w:num w:numId="30">
    <w:abstractNumId w:val="31"/>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331DC"/>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3425</Words>
  <Characters>19524</Characters>
  <Application>Microsoft Office Word</Application>
  <DocSecurity>0</DocSecurity>
  <Lines>162</Lines>
  <Paragraphs>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2021-11-27T19:05:00Z</dcterms:created>
  <dcterms:modified xsi:type="dcterms:W3CDTF">2021-11-27T19:05:00Z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