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2BE34EF6" w14:textId="62CF83F9" w:rsidR="007122AD" w:rsidRDefault="00DD466D" w:rsidP="00936AD0">
      <w:pPr>
        <w:pStyle w:val="Heading1"/>
      </w:pPr>
      <w:r>
        <w:t>1.ИМЕ НА ЛЕКАРСТВЕНИЯ ПРОДУКТ</w:t>
      </w:r>
    </w:p>
    <w:p w14:paraId="4E06D1DB" w14:textId="76AD95B2" w:rsidR="000F12EE" w:rsidRDefault="000F12EE" w:rsidP="000F12EE"/>
    <w:p w14:paraId="2FD27681" w14:textId="77777777" w:rsidR="000F12EE" w:rsidRPr="000F12EE" w:rsidRDefault="000F12EE" w:rsidP="000F12EE">
      <w:pPr>
        <w:rPr>
          <w:sz w:val="24"/>
          <w:szCs w:val="24"/>
          <w:lang w:val="ru-RU"/>
        </w:rPr>
      </w:pPr>
      <w:r w:rsidRPr="000F12EE">
        <w:rPr>
          <w:lang w:eastAsia="bg-BG"/>
        </w:rPr>
        <w:t xml:space="preserve">Доксазосин-Чайкафарма 2 </w:t>
      </w:r>
      <w:r w:rsidRPr="000F12EE">
        <w:rPr>
          <w:lang w:val="en-US"/>
        </w:rPr>
        <w:t>mg</w:t>
      </w:r>
      <w:r w:rsidRPr="000F12EE">
        <w:rPr>
          <w:lang w:val="ru-RU"/>
        </w:rPr>
        <w:t xml:space="preserve"> </w:t>
      </w:r>
      <w:r w:rsidRPr="000F12EE">
        <w:rPr>
          <w:lang w:eastAsia="bg-BG"/>
        </w:rPr>
        <w:t>таблетки</w:t>
      </w:r>
    </w:p>
    <w:p w14:paraId="3818F985" w14:textId="77777777" w:rsidR="000F12EE" w:rsidRPr="000F12EE" w:rsidRDefault="000F12EE" w:rsidP="000F12EE">
      <w:pPr>
        <w:rPr>
          <w:sz w:val="24"/>
          <w:szCs w:val="24"/>
          <w:lang w:val="ru-RU"/>
        </w:rPr>
      </w:pPr>
      <w:r w:rsidRPr="000F12EE">
        <w:rPr>
          <w:lang w:eastAsia="bg-BG"/>
        </w:rPr>
        <w:t xml:space="preserve">Доксазосин-Чайкафарма 4 </w:t>
      </w:r>
      <w:r w:rsidRPr="000F12EE">
        <w:rPr>
          <w:lang w:val="en-US"/>
        </w:rPr>
        <w:t>mg</w:t>
      </w:r>
      <w:r w:rsidRPr="000F12EE">
        <w:rPr>
          <w:lang w:val="ru-RU"/>
        </w:rPr>
        <w:t xml:space="preserve"> </w:t>
      </w:r>
      <w:r w:rsidRPr="000F12EE">
        <w:rPr>
          <w:lang w:eastAsia="bg-BG"/>
        </w:rPr>
        <w:t>таблетки</w:t>
      </w:r>
    </w:p>
    <w:p w14:paraId="308CBB30" w14:textId="77777777" w:rsidR="000F12EE" w:rsidRPr="000F12EE" w:rsidRDefault="000F12EE" w:rsidP="000F12EE">
      <w:pPr>
        <w:rPr>
          <w:lang w:val="ru-RU"/>
        </w:rPr>
      </w:pPr>
    </w:p>
    <w:p w14:paraId="3129482C" w14:textId="1CA2E736" w:rsidR="000F12EE" w:rsidRPr="000F12EE" w:rsidRDefault="000F12EE" w:rsidP="000F12EE">
      <w:pPr>
        <w:rPr>
          <w:sz w:val="24"/>
          <w:szCs w:val="24"/>
          <w:lang w:val="en-US"/>
        </w:rPr>
      </w:pPr>
      <w:r w:rsidRPr="000F12EE">
        <w:rPr>
          <w:lang w:val="en-US"/>
        </w:rPr>
        <w:t>Doxazosin-</w:t>
      </w:r>
      <w:proofErr w:type="spellStart"/>
      <w:r w:rsidRPr="000F12EE">
        <w:rPr>
          <w:lang w:val="en-US"/>
        </w:rPr>
        <w:t>Tchaikapharma</w:t>
      </w:r>
      <w:proofErr w:type="spellEnd"/>
      <w:r w:rsidRPr="000F12EE">
        <w:rPr>
          <w:lang w:val="en-US"/>
        </w:rPr>
        <w:t xml:space="preserve"> </w:t>
      </w:r>
      <w:r w:rsidRPr="000F12EE">
        <w:rPr>
          <w:lang w:eastAsia="bg-BG"/>
        </w:rPr>
        <w:t xml:space="preserve">2 </w:t>
      </w:r>
      <w:r w:rsidRPr="000F12EE">
        <w:rPr>
          <w:lang w:val="en-US"/>
        </w:rPr>
        <w:t>mg tablets</w:t>
      </w:r>
    </w:p>
    <w:p w14:paraId="7C54D761" w14:textId="17C28632" w:rsidR="000F12EE" w:rsidRPr="000F12EE" w:rsidRDefault="000F12EE" w:rsidP="000F12EE">
      <w:r w:rsidRPr="000F12EE">
        <w:rPr>
          <w:lang w:val="en-US"/>
        </w:rPr>
        <w:t>Doxazosin-</w:t>
      </w:r>
      <w:proofErr w:type="spellStart"/>
      <w:r w:rsidRPr="000F12EE">
        <w:rPr>
          <w:lang w:val="en-US"/>
        </w:rPr>
        <w:t>Tchaikapharma</w:t>
      </w:r>
      <w:proofErr w:type="spellEnd"/>
      <w:r w:rsidRPr="000F12EE">
        <w:rPr>
          <w:lang w:val="en-US"/>
        </w:rPr>
        <w:t xml:space="preserve"> 4 mg tablets</w:t>
      </w:r>
    </w:p>
    <w:p w14:paraId="6920A680" w14:textId="21F5FF99" w:rsidR="00C40420" w:rsidRDefault="00DD466D" w:rsidP="004A448E">
      <w:pPr>
        <w:pStyle w:val="Heading1"/>
      </w:pPr>
      <w:r>
        <w:t>2. КАЧЕСТВЕН И КОЛИЧЕСТВЕН СЪСТАВ</w:t>
      </w:r>
    </w:p>
    <w:p w14:paraId="755B5E48" w14:textId="4D3CD7DB" w:rsidR="000F12EE" w:rsidRDefault="000F12EE" w:rsidP="000F12EE"/>
    <w:p w14:paraId="345E3BE2" w14:textId="65D384DD" w:rsidR="000F12EE" w:rsidRPr="000F12EE" w:rsidRDefault="000F12EE" w:rsidP="000F12EE">
      <w:pPr>
        <w:rPr>
          <w:lang w:eastAsia="bg-BG"/>
        </w:rPr>
      </w:pPr>
      <w:r w:rsidRPr="000F12EE">
        <w:rPr>
          <w:lang w:eastAsia="bg-BG"/>
        </w:rPr>
        <w:t xml:space="preserve">Всяка таблетка съдържа: доксазосинов мезилат </w:t>
      </w:r>
      <w:r w:rsidRPr="000F12EE">
        <w:rPr>
          <w:i/>
          <w:iCs/>
        </w:rPr>
        <w:t>(</w:t>
      </w:r>
      <w:r w:rsidRPr="000F12EE">
        <w:rPr>
          <w:i/>
          <w:iCs/>
          <w:lang w:val="en-US"/>
        </w:rPr>
        <w:t>doxazosin</w:t>
      </w:r>
      <w:r w:rsidRPr="000F12EE">
        <w:rPr>
          <w:i/>
          <w:iCs/>
        </w:rPr>
        <w:t xml:space="preserve"> </w:t>
      </w:r>
      <w:proofErr w:type="spellStart"/>
      <w:r w:rsidRPr="000F12EE">
        <w:rPr>
          <w:i/>
          <w:iCs/>
          <w:lang w:val="en-US"/>
        </w:rPr>
        <w:t>mesylate</w:t>
      </w:r>
      <w:proofErr w:type="spellEnd"/>
      <w:r w:rsidRPr="000F12EE">
        <w:rPr>
          <w:i/>
          <w:iCs/>
        </w:rPr>
        <w:t>),</w:t>
      </w:r>
      <w:r w:rsidRPr="000F12EE">
        <w:t xml:space="preserve"> </w:t>
      </w:r>
      <w:r w:rsidRPr="000F12EE">
        <w:rPr>
          <w:lang w:eastAsia="bg-BG"/>
        </w:rPr>
        <w:t xml:space="preserve">еквивалентен на 2 и 4 </w:t>
      </w:r>
      <w:r w:rsidRPr="000F12EE">
        <w:rPr>
          <w:lang w:val="en-US"/>
        </w:rPr>
        <w:t>mg</w:t>
      </w:r>
      <w:r w:rsidRPr="000F12EE">
        <w:t xml:space="preserve"> </w:t>
      </w:r>
      <w:r w:rsidRPr="000F12EE">
        <w:rPr>
          <w:lang w:eastAsia="bg-BG"/>
        </w:rPr>
        <w:t>доксазосин.</w:t>
      </w:r>
    </w:p>
    <w:p w14:paraId="614984C4" w14:textId="1E2C0CB8" w:rsidR="008A6AF2" w:rsidRDefault="00DD466D" w:rsidP="002C50EE">
      <w:pPr>
        <w:pStyle w:val="Heading1"/>
      </w:pPr>
      <w:r>
        <w:t>3. ЛЕКАРСТВЕНА ФОРМА</w:t>
      </w:r>
    </w:p>
    <w:p w14:paraId="1AF0AA7D" w14:textId="1DC9475E" w:rsidR="000F12EE" w:rsidRDefault="000F12EE" w:rsidP="000F12EE"/>
    <w:p w14:paraId="4DC39F57" w14:textId="2FF1CB14" w:rsidR="000F12EE" w:rsidRPr="000F12EE" w:rsidRDefault="000F12EE" w:rsidP="000F12EE">
      <w:r>
        <w:t>Таблетка</w:t>
      </w:r>
    </w:p>
    <w:p w14:paraId="490FC2C4" w14:textId="0F4A4A75" w:rsidR="002C50EE" w:rsidRDefault="002C50EE" w:rsidP="002C50EE">
      <w:pPr>
        <w:pStyle w:val="Heading1"/>
      </w:pPr>
      <w:r>
        <w:t>4. КЛИНИЧНИ ДАННИ</w:t>
      </w:r>
    </w:p>
    <w:p w14:paraId="74330405" w14:textId="6A087FFA" w:rsidR="007122AD" w:rsidRDefault="002C50EE" w:rsidP="00936AD0">
      <w:pPr>
        <w:pStyle w:val="Heading2"/>
      </w:pPr>
      <w:r>
        <w:t>4.1. Терапевтични показания</w:t>
      </w:r>
    </w:p>
    <w:p w14:paraId="63227F1F" w14:textId="3D73B848" w:rsidR="000F12EE" w:rsidRDefault="000F12EE" w:rsidP="000F12EE"/>
    <w:p w14:paraId="1A6A1BBD" w14:textId="77777777" w:rsidR="000F12EE" w:rsidRPr="000F12EE" w:rsidRDefault="000F12EE" w:rsidP="000F12EE">
      <w:pPr>
        <w:spacing w:line="240" w:lineRule="auto"/>
        <w:rPr>
          <w:rFonts w:eastAsia="Times New Roman" w:cs="Arial"/>
          <w:sz w:val="28"/>
          <w:szCs w:val="24"/>
        </w:rPr>
      </w:pPr>
      <w:r w:rsidRPr="000F12EE">
        <w:rPr>
          <w:rFonts w:eastAsia="Times New Roman" w:cs="Arial"/>
          <w:i/>
          <w:iCs/>
          <w:color w:val="000000"/>
          <w:szCs w:val="20"/>
          <w:lang w:eastAsia="bg-BG"/>
        </w:rPr>
        <w:t>Хипертония</w:t>
      </w:r>
    </w:p>
    <w:p w14:paraId="73B6EADD" w14:textId="77777777" w:rsidR="000F12EE" w:rsidRPr="000F12EE" w:rsidRDefault="000F12EE" w:rsidP="000F12EE">
      <w:pPr>
        <w:spacing w:line="240" w:lineRule="auto"/>
        <w:rPr>
          <w:rFonts w:eastAsia="Times New Roman" w:cs="Arial"/>
          <w:sz w:val="28"/>
          <w:szCs w:val="24"/>
        </w:rPr>
      </w:pPr>
      <w:r w:rsidRPr="000F12EE">
        <w:rPr>
          <w:rFonts w:eastAsia="Times New Roman" w:cs="Arial"/>
          <w:color w:val="000000"/>
          <w:szCs w:val="20"/>
          <w:lang w:eastAsia="bg-BG"/>
        </w:rPr>
        <w:t>Доксазосин е показан за лечение на хипертония и може да бъде използван като самостоятелно средство за контролиране на кръвното налягане при повечето пациенти. При пациенти, при които кръвното налягане не може да се контролира само с едно лекарство, доксазосин може да се използва в комбинация с тиазидни диуретици, бета-блокери, калциеви антагонисти или АСЕ инхибитори.</w:t>
      </w:r>
    </w:p>
    <w:p w14:paraId="286D5E48" w14:textId="77777777" w:rsidR="000F12EE" w:rsidRPr="000F12EE" w:rsidRDefault="000F12EE" w:rsidP="000F12EE">
      <w:pPr>
        <w:spacing w:line="240" w:lineRule="auto"/>
        <w:rPr>
          <w:rFonts w:eastAsia="Times New Roman" w:cs="Arial"/>
          <w:i/>
          <w:iCs/>
          <w:color w:val="000000"/>
          <w:szCs w:val="20"/>
          <w:lang w:eastAsia="bg-BG"/>
        </w:rPr>
      </w:pPr>
    </w:p>
    <w:p w14:paraId="4B5D0BE2" w14:textId="7B8E9815" w:rsidR="000F12EE" w:rsidRPr="000F12EE" w:rsidRDefault="000F12EE" w:rsidP="000F12EE">
      <w:pPr>
        <w:spacing w:line="240" w:lineRule="auto"/>
        <w:rPr>
          <w:rFonts w:eastAsia="Times New Roman" w:cs="Arial"/>
          <w:sz w:val="28"/>
          <w:szCs w:val="24"/>
        </w:rPr>
      </w:pPr>
      <w:r w:rsidRPr="000F12EE">
        <w:rPr>
          <w:rFonts w:eastAsia="Times New Roman" w:cs="Arial"/>
          <w:i/>
          <w:iCs/>
          <w:color w:val="000000"/>
          <w:szCs w:val="20"/>
          <w:lang w:eastAsia="bg-BG"/>
        </w:rPr>
        <w:t>Доброкачествена хиперплазия на простатата (ДХП)</w:t>
      </w:r>
    </w:p>
    <w:p w14:paraId="1B716AD7" w14:textId="44A4F50E" w:rsidR="000F12EE" w:rsidRDefault="000F12EE" w:rsidP="000F12EE">
      <w:pPr>
        <w:rPr>
          <w:rFonts w:eastAsia="Times New Roman" w:cs="Arial"/>
          <w:color w:val="000000"/>
          <w:szCs w:val="20"/>
          <w:lang w:eastAsia="bg-BG"/>
        </w:rPr>
      </w:pPr>
      <w:r w:rsidRPr="000F12EE">
        <w:rPr>
          <w:rFonts w:eastAsia="Times New Roman" w:cs="Arial"/>
          <w:color w:val="000000"/>
          <w:szCs w:val="20"/>
          <w:lang w:eastAsia="bg-BG"/>
        </w:rPr>
        <w:t>Доксазосин е показан за лечение на клиничните симптоми при доброкачествена хиперплазия на простата (ДХП) и при намален уринарен ток. свързан с ДХП. Доксазосин може да се използва при пациенти с ДХП, които са хипертензивни или нормотензивни. Докато при нормотензивни пациенти промените в кръвното налягане са клинично незначителни, то при пациенти с хипертония и ДХП двете състояния са били лекувани ефективно с монотерапия с доксазосин.</w:t>
      </w:r>
    </w:p>
    <w:p w14:paraId="0759F966" w14:textId="77777777" w:rsidR="000F12EE" w:rsidRPr="000F12EE" w:rsidRDefault="000F12EE" w:rsidP="000F12EE">
      <w:pPr>
        <w:rPr>
          <w:rFonts w:cs="Arial"/>
          <w:sz w:val="24"/>
        </w:rPr>
      </w:pPr>
    </w:p>
    <w:p w14:paraId="53F5B866" w14:textId="0FE1A30D" w:rsidR="007122AD" w:rsidRDefault="002C50EE" w:rsidP="00936AD0">
      <w:pPr>
        <w:pStyle w:val="Heading2"/>
      </w:pPr>
      <w:r>
        <w:t>4.2. Дозировка и начин на приложение</w:t>
      </w:r>
    </w:p>
    <w:p w14:paraId="5E38D089" w14:textId="21C17355" w:rsidR="000F12EE" w:rsidRDefault="000F12EE" w:rsidP="000F12EE"/>
    <w:p w14:paraId="41586AFD" w14:textId="77777777" w:rsidR="000F12EE" w:rsidRPr="000F12EE" w:rsidRDefault="000F12EE" w:rsidP="000F12EE">
      <w:pPr>
        <w:pStyle w:val="Heading3"/>
        <w:rPr>
          <w:rFonts w:eastAsia="Times New Roman"/>
          <w:sz w:val="28"/>
          <w:u w:val="single"/>
        </w:rPr>
      </w:pPr>
      <w:r w:rsidRPr="000F12EE">
        <w:rPr>
          <w:rFonts w:eastAsia="Times New Roman"/>
          <w:u w:val="single"/>
          <w:lang w:eastAsia="bg-BG"/>
        </w:rPr>
        <w:t>Дозировка</w:t>
      </w:r>
    </w:p>
    <w:p w14:paraId="780D30FE" w14:textId="77777777" w:rsidR="000F12EE" w:rsidRPr="000F12EE" w:rsidRDefault="000F12EE" w:rsidP="000F12EE">
      <w:pPr>
        <w:spacing w:line="240" w:lineRule="auto"/>
        <w:rPr>
          <w:rFonts w:eastAsia="Times New Roman" w:cs="Arial"/>
          <w:sz w:val="28"/>
          <w:szCs w:val="24"/>
        </w:rPr>
      </w:pPr>
      <w:r w:rsidRPr="000F12EE">
        <w:rPr>
          <w:rFonts w:eastAsia="Times New Roman" w:cs="Arial"/>
          <w:color w:val="000000"/>
          <w:szCs w:val="20"/>
          <w:lang w:eastAsia="bg-BG"/>
        </w:rPr>
        <w:t>Доксазосин може да се приема сутрин или вечер.</w:t>
      </w:r>
    </w:p>
    <w:p w14:paraId="43BAA473" w14:textId="77777777" w:rsidR="000F12EE" w:rsidRPr="000F12EE" w:rsidRDefault="000F12EE" w:rsidP="000F12EE">
      <w:pPr>
        <w:spacing w:line="240" w:lineRule="auto"/>
        <w:rPr>
          <w:rFonts w:eastAsia="Times New Roman" w:cs="Arial"/>
          <w:i/>
          <w:iCs/>
          <w:color w:val="000000"/>
          <w:szCs w:val="20"/>
          <w:lang w:eastAsia="bg-BG"/>
        </w:rPr>
      </w:pPr>
    </w:p>
    <w:p w14:paraId="2D1D6C3F" w14:textId="160472F3" w:rsidR="000F12EE" w:rsidRPr="000F12EE" w:rsidRDefault="000F12EE" w:rsidP="000F12EE">
      <w:pPr>
        <w:spacing w:line="240" w:lineRule="auto"/>
        <w:rPr>
          <w:rFonts w:eastAsia="Times New Roman" w:cs="Arial"/>
          <w:sz w:val="28"/>
          <w:szCs w:val="24"/>
        </w:rPr>
      </w:pPr>
      <w:r w:rsidRPr="000F12EE">
        <w:rPr>
          <w:rFonts w:eastAsia="Times New Roman" w:cs="Arial"/>
          <w:i/>
          <w:iCs/>
          <w:color w:val="000000"/>
          <w:szCs w:val="20"/>
          <w:lang w:eastAsia="bg-BG"/>
        </w:rPr>
        <w:t>Хипертония</w:t>
      </w:r>
    </w:p>
    <w:p w14:paraId="5CCE7CFC" w14:textId="77777777" w:rsidR="000F12EE" w:rsidRPr="000F12EE" w:rsidRDefault="000F12EE" w:rsidP="000F12EE">
      <w:pPr>
        <w:spacing w:line="240" w:lineRule="auto"/>
        <w:rPr>
          <w:rFonts w:eastAsia="Times New Roman" w:cs="Arial"/>
          <w:sz w:val="28"/>
          <w:szCs w:val="24"/>
        </w:rPr>
      </w:pPr>
      <w:r w:rsidRPr="000F12EE">
        <w:rPr>
          <w:rFonts w:eastAsia="Times New Roman" w:cs="Arial"/>
          <w:color w:val="000000"/>
          <w:szCs w:val="20"/>
          <w:lang w:eastAsia="bg-BG"/>
        </w:rPr>
        <w:t xml:space="preserve">Пълният диапазон на дозиране на доксазосин варира от 1 </w:t>
      </w:r>
      <w:r w:rsidRPr="000F12EE">
        <w:rPr>
          <w:rFonts w:eastAsia="Times New Roman" w:cs="Arial"/>
          <w:color w:val="000000"/>
          <w:szCs w:val="20"/>
          <w:lang w:val="en-US"/>
        </w:rPr>
        <w:t>mg</w:t>
      </w:r>
      <w:r w:rsidRPr="000F12EE">
        <w:rPr>
          <w:rFonts w:eastAsia="Times New Roman" w:cs="Arial"/>
          <w:color w:val="000000"/>
          <w:szCs w:val="20"/>
          <w:lang w:val="ru-RU"/>
        </w:rPr>
        <w:t xml:space="preserve"> </w:t>
      </w:r>
      <w:r w:rsidRPr="000F12EE">
        <w:rPr>
          <w:rFonts w:eastAsia="Times New Roman" w:cs="Arial"/>
          <w:color w:val="000000"/>
          <w:szCs w:val="20"/>
          <w:lang w:eastAsia="bg-BG"/>
        </w:rPr>
        <w:t xml:space="preserve">до 16 </w:t>
      </w:r>
      <w:r w:rsidRPr="000F12EE">
        <w:rPr>
          <w:rFonts w:eastAsia="Times New Roman" w:cs="Arial"/>
          <w:color w:val="000000"/>
          <w:szCs w:val="20"/>
          <w:lang w:val="en-US"/>
        </w:rPr>
        <w:t>mg</w:t>
      </w:r>
      <w:r w:rsidRPr="000F12EE">
        <w:rPr>
          <w:rFonts w:eastAsia="Times New Roman" w:cs="Arial"/>
          <w:color w:val="000000"/>
          <w:szCs w:val="20"/>
          <w:lang w:val="ru-RU"/>
        </w:rPr>
        <w:t xml:space="preserve"> </w:t>
      </w:r>
      <w:r w:rsidRPr="000F12EE">
        <w:rPr>
          <w:rFonts w:eastAsia="Times New Roman" w:cs="Arial"/>
          <w:color w:val="000000"/>
          <w:szCs w:val="20"/>
          <w:lang w:eastAsia="bg-BG"/>
        </w:rPr>
        <w:t xml:space="preserve">дневно. Препоръчително е лечението да започне с 1 </w:t>
      </w:r>
      <w:r w:rsidRPr="000F12EE">
        <w:rPr>
          <w:rFonts w:eastAsia="Times New Roman" w:cs="Arial"/>
          <w:color w:val="000000"/>
          <w:szCs w:val="20"/>
          <w:lang w:val="en-US"/>
        </w:rPr>
        <w:t>mg</w:t>
      </w:r>
      <w:r w:rsidRPr="000F12EE">
        <w:rPr>
          <w:rFonts w:eastAsia="Times New Roman" w:cs="Arial"/>
          <w:color w:val="000000"/>
          <w:szCs w:val="20"/>
          <w:lang w:val="ru-RU"/>
        </w:rPr>
        <w:t xml:space="preserve"> </w:t>
      </w:r>
      <w:r w:rsidRPr="000F12EE">
        <w:rPr>
          <w:rFonts w:eastAsia="Times New Roman" w:cs="Arial"/>
          <w:color w:val="000000"/>
          <w:szCs w:val="20"/>
          <w:lang w:eastAsia="bg-BG"/>
        </w:rPr>
        <w:t xml:space="preserve">веднъж дневно за една или две седмици, </w:t>
      </w:r>
      <w:r w:rsidRPr="000F12EE">
        <w:rPr>
          <w:rFonts w:eastAsia="Times New Roman" w:cs="Arial"/>
          <w:color w:val="000000"/>
          <w:szCs w:val="20"/>
          <w:lang w:eastAsia="bg-BG"/>
        </w:rPr>
        <w:lastRenderedPageBreak/>
        <w:t xml:space="preserve">за да се сведе до минимум рискът за възникване на постурална хипотония и/или синкоп (вижте точка 4.4). След това дозата може да се увеличи на 2 </w:t>
      </w:r>
      <w:r w:rsidRPr="000F12EE">
        <w:rPr>
          <w:rFonts w:eastAsia="Times New Roman" w:cs="Arial"/>
          <w:color w:val="000000"/>
          <w:szCs w:val="20"/>
          <w:lang w:val="en-US"/>
        </w:rPr>
        <w:t>mg</w:t>
      </w:r>
      <w:r w:rsidRPr="000F12EE">
        <w:rPr>
          <w:rFonts w:eastAsia="Times New Roman" w:cs="Arial"/>
          <w:color w:val="000000"/>
          <w:szCs w:val="20"/>
          <w:lang w:val="ru-RU"/>
        </w:rPr>
        <w:t xml:space="preserve"> </w:t>
      </w:r>
      <w:r w:rsidRPr="000F12EE">
        <w:rPr>
          <w:rFonts w:eastAsia="Times New Roman" w:cs="Arial"/>
          <w:color w:val="000000"/>
          <w:szCs w:val="20"/>
          <w:lang w:eastAsia="bg-BG"/>
        </w:rPr>
        <w:t xml:space="preserve">веднъж дневно за още една или две седмици. При необходимост след това дневната доза трябва да се увеличава постепенно през равни интервали от време, съответно на 4 </w:t>
      </w:r>
      <w:r w:rsidRPr="000F12EE">
        <w:rPr>
          <w:rFonts w:eastAsia="Times New Roman" w:cs="Arial"/>
          <w:color w:val="000000"/>
          <w:szCs w:val="20"/>
          <w:lang w:val="en-US"/>
        </w:rPr>
        <w:t>mg</w:t>
      </w:r>
      <w:r w:rsidRPr="000F12EE">
        <w:rPr>
          <w:rFonts w:eastAsia="Times New Roman" w:cs="Arial"/>
          <w:color w:val="000000"/>
          <w:szCs w:val="20"/>
          <w:lang w:val="ru-RU"/>
        </w:rPr>
        <w:t xml:space="preserve">. </w:t>
      </w:r>
      <w:r w:rsidRPr="000F12EE">
        <w:rPr>
          <w:rFonts w:eastAsia="Times New Roman" w:cs="Arial"/>
          <w:color w:val="000000"/>
          <w:szCs w:val="20"/>
          <w:lang w:eastAsia="bg-BG"/>
        </w:rPr>
        <w:t xml:space="preserve">8 </w:t>
      </w:r>
      <w:r w:rsidRPr="000F12EE">
        <w:rPr>
          <w:rFonts w:eastAsia="Times New Roman" w:cs="Arial"/>
          <w:color w:val="000000"/>
          <w:szCs w:val="20"/>
          <w:lang w:val="en-US"/>
        </w:rPr>
        <w:t>mg</w:t>
      </w:r>
      <w:r w:rsidRPr="000F12EE">
        <w:rPr>
          <w:rFonts w:eastAsia="Times New Roman" w:cs="Arial"/>
          <w:color w:val="000000"/>
          <w:szCs w:val="20"/>
          <w:lang w:val="ru-RU"/>
        </w:rPr>
        <w:t xml:space="preserve"> </w:t>
      </w:r>
      <w:r w:rsidRPr="000F12EE">
        <w:rPr>
          <w:rFonts w:eastAsia="Times New Roman" w:cs="Arial"/>
          <w:color w:val="000000"/>
          <w:szCs w:val="20"/>
          <w:lang w:eastAsia="bg-BG"/>
        </w:rPr>
        <w:t xml:space="preserve">и 16 </w:t>
      </w:r>
      <w:r w:rsidRPr="000F12EE">
        <w:rPr>
          <w:rFonts w:eastAsia="Times New Roman" w:cs="Arial"/>
          <w:color w:val="000000"/>
          <w:szCs w:val="20"/>
          <w:lang w:val="en-US"/>
        </w:rPr>
        <w:t>mg</w:t>
      </w:r>
      <w:r w:rsidRPr="000F12EE">
        <w:rPr>
          <w:rFonts w:eastAsia="Times New Roman" w:cs="Arial"/>
          <w:color w:val="000000"/>
          <w:szCs w:val="20"/>
          <w:lang w:val="ru-RU"/>
        </w:rPr>
        <w:t xml:space="preserve">, </w:t>
      </w:r>
      <w:r w:rsidRPr="000F12EE">
        <w:rPr>
          <w:rFonts w:eastAsia="Times New Roman" w:cs="Arial"/>
          <w:color w:val="000000"/>
          <w:szCs w:val="20"/>
          <w:lang w:eastAsia="bg-BG"/>
        </w:rPr>
        <w:t xml:space="preserve">в зависимост от отговора на пациента за достигане на желаното намаляване на кръвното налягане. Обичайната доза е 2 </w:t>
      </w:r>
      <w:r w:rsidRPr="000F12EE">
        <w:rPr>
          <w:rFonts w:eastAsia="Times New Roman" w:cs="Arial"/>
          <w:color w:val="000000"/>
          <w:szCs w:val="20"/>
          <w:lang w:val="en-US"/>
        </w:rPr>
        <w:t>mg</w:t>
      </w:r>
      <w:r w:rsidRPr="000F12EE">
        <w:rPr>
          <w:rFonts w:eastAsia="Times New Roman" w:cs="Arial"/>
          <w:color w:val="000000"/>
          <w:szCs w:val="20"/>
          <w:lang w:val="ru-RU"/>
        </w:rPr>
        <w:t xml:space="preserve"> </w:t>
      </w:r>
      <w:r w:rsidRPr="000F12EE">
        <w:rPr>
          <w:rFonts w:eastAsia="Times New Roman" w:cs="Arial"/>
          <w:color w:val="000000"/>
          <w:szCs w:val="20"/>
          <w:lang w:eastAsia="bg-BG"/>
        </w:rPr>
        <w:t xml:space="preserve">до 4 </w:t>
      </w:r>
      <w:r w:rsidRPr="000F12EE">
        <w:rPr>
          <w:rFonts w:eastAsia="Times New Roman" w:cs="Arial"/>
          <w:color w:val="000000"/>
          <w:szCs w:val="20"/>
          <w:lang w:val="en-US"/>
        </w:rPr>
        <w:t>mg</w:t>
      </w:r>
      <w:r w:rsidRPr="000F12EE">
        <w:rPr>
          <w:rFonts w:eastAsia="Times New Roman" w:cs="Arial"/>
          <w:color w:val="000000"/>
          <w:szCs w:val="20"/>
          <w:lang w:val="ru-RU"/>
        </w:rPr>
        <w:t xml:space="preserve"> </w:t>
      </w:r>
      <w:r w:rsidRPr="000F12EE">
        <w:rPr>
          <w:rFonts w:eastAsia="Times New Roman" w:cs="Arial"/>
          <w:color w:val="000000"/>
          <w:szCs w:val="20"/>
          <w:lang w:eastAsia="bg-BG"/>
        </w:rPr>
        <w:t>веднъж дневно.</w:t>
      </w:r>
    </w:p>
    <w:p w14:paraId="42DA0C88" w14:textId="77777777" w:rsidR="000F12EE" w:rsidRPr="000F12EE" w:rsidRDefault="000F12EE" w:rsidP="000F12EE">
      <w:pPr>
        <w:spacing w:line="240" w:lineRule="auto"/>
        <w:rPr>
          <w:rFonts w:eastAsia="Times New Roman" w:cs="Arial"/>
          <w:i/>
          <w:iCs/>
          <w:color w:val="000000"/>
          <w:szCs w:val="20"/>
          <w:lang w:eastAsia="bg-BG"/>
        </w:rPr>
      </w:pPr>
    </w:p>
    <w:p w14:paraId="789DB00D" w14:textId="6A43B740" w:rsidR="000F12EE" w:rsidRPr="000F12EE" w:rsidRDefault="000F12EE" w:rsidP="000F12EE">
      <w:pPr>
        <w:spacing w:line="240" w:lineRule="auto"/>
        <w:rPr>
          <w:rFonts w:eastAsia="Times New Roman" w:cs="Arial"/>
          <w:sz w:val="28"/>
          <w:szCs w:val="24"/>
        </w:rPr>
      </w:pPr>
      <w:r w:rsidRPr="000F12EE">
        <w:rPr>
          <w:rFonts w:eastAsia="Times New Roman" w:cs="Arial"/>
          <w:i/>
          <w:iCs/>
          <w:color w:val="000000"/>
          <w:szCs w:val="20"/>
          <w:lang w:eastAsia="bg-BG"/>
        </w:rPr>
        <w:t>Доброкачествена хиперплазия на простатата</w:t>
      </w:r>
    </w:p>
    <w:p w14:paraId="2435F66E" w14:textId="77777777" w:rsidR="000F12EE" w:rsidRPr="000F12EE" w:rsidRDefault="000F12EE" w:rsidP="000F12EE">
      <w:pPr>
        <w:rPr>
          <w:rFonts w:eastAsia="Times New Roman" w:cs="Arial"/>
          <w:sz w:val="28"/>
          <w:szCs w:val="24"/>
        </w:rPr>
      </w:pPr>
      <w:r w:rsidRPr="000F12EE">
        <w:rPr>
          <w:rFonts w:eastAsia="Times New Roman" w:cs="Arial"/>
          <w:color w:val="000000"/>
          <w:szCs w:val="20"/>
          <w:lang w:eastAsia="bg-BG"/>
        </w:rPr>
        <w:t xml:space="preserve">Начална препоръчителна доза на доксазосин е 1 </w:t>
      </w:r>
      <w:r w:rsidRPr="000F12EE">
        <w:rPr>
          <w:rFonts w:eastAsia="Times New Roman" w:cs="Arial"/>
          <w:color w:val="000000"/>
          <w:szCs w:val="20"/>
          <w:lang w:val="en-US"/>
        </w:rPr>
        <w:t>mg</w:t>
      </w:r>
      <w:r w:rsidRPr="000F12EE">
        <w:rPr>
          <w:rFonts w:eastAsia="Times New Roman" w:cs="Arial"/>
          <w:color w:val="000000"/>
          <w:szCs w:val="20"/>
          <w:lang w:val="ru-RU"/>
        </w:rPr>
        <w:t xml:space="preserve"> </w:t>
      </w:r>
      <w:r w:rsidRPr="000F12EE">
        <w:rPr>
          <w:rFonts w:eastAsia="Times New Roman" w:cs="Arial"/>
          <w:color w:val="000000"/>
          <w:szCs w:val="20"/>
          <w:lang w:eastAsia="bg-BG"/>
        </w:rPr>
        <w:t xml:space="preserve">веднъж дневно, за да се сведе до минимум рискът за възникване на постурална хипотония и/или синкоп (вижте т.4.4). В зависимост от индивидуалната уродинамика на пациента и симптоматиката на ДХП дозата може да се увеличи до 2 </w:t>
      </w:r>
      <w:r w:rsidRPr="000F12EE">
        <w:rPr>
          <w:rFonts w:eastAsia="Times New Roman" w:cs="Arial"/>
          <w:color w:val="000000"/>
          <w:szCs w:val="20"/>
          <w:lang w:val="en-US"/>
        </w:rPr>
        <w:t>mg</w:t>
      </w:r>
      <w:r w:rsidRPr="000F12EE">
        <w:rPr>
          <w:rFonts w:eastAsia="Times New Roman" w:cs="Arial"/>
          <w:color w:val="000000"/>
          <w:szCs w:val="20"/>
          <w:lang w:val="ru-RU"/>
        </w:rPr>
        <w:t xml:space="preserve">, </w:t>
      </w:r>
      <w:r w:rsidRPr="000F12EE">
        <w:rPr>
          <w:rFonts w:eastAsia="Times New Roman" w:cs="Arial"/>
          <w:color w:val="000000"/>
          <w:szCs w:val="20"/>
          <w:lang w:eastAsia="bg-BG"/>
        </w:rPr>
        <w:t xml:space="preserve">а след това до 4 </w:t>
      </w:r>
      <w:r w:rsidRPr="000F12EE">
        <w:rPr>
          <w:rFonts w:eastAsia="Times New Roman" w:cs="Arial"/>
          <w:color w:val="000000"/>
          <w:szCs w:val="20"/>
          <w:lang w:val="en-US"/>
        </w:rPr>
        <w:t>mg</w:t>
      </w:r>
      <w:r w:rsidRPr="000F12EE">
        <w:rPr>
          <w:rFonts w:eastAsia="Times New Roman" w:cs="Arial"/>
          <w:color w:val="000000"/>
          <w:szCs w:val="20"/>
          <w:lang w:val="ru-RU"/>
        </w:rPr>
        <w:t xml:space="preserve">, </w:t>
      </w:r>
      <w:r w:rsidRPr="000F12EE">
        <w:rPr>
          <w:rFonts w:eastAsia="Times New Roman" w:cs="Arial"/>
          <w:color w:val="000000"/>
          <w:szCs w:val="20"/>
          <w:lang w:eastAsia="bg-BG"/>
        </w:rPr>
        <w:t xml:space="preserve">до достигане на максималната препоръчителна доза от 8 </w:t>
      </w:r>
      <w:r w:rsidRPr="000F12EE">
        <w:rPr>
          <w:rFonts w:eastAsia="Times New Roman" w:cs="Arial"/>
          <w:color w:val="000000"/>
          <w:szCs w:val="20"/>
          <w:lang w:val="en-US"/>
        </w:rPr>
        <w:t>mg</w:t>
      </w:r>
      <w:r w:rsidRPr="000F12EE">
        <w:rPr>
          <w:rFonts w:eastAsia="Times New Roman" w:cs="Arial"/>
          <w:color w:val="000000"/>
          <w:szCs w:val="20"/>
          <w:lang w:val="ru-RU"/>
        </w:rPr>
        <w:t xml:space="preserve">. </w:t>
      </w:r>
      <w:r w:rsidRPr="000F12EE">
        <w:rPr>
          <w:rFonts w:eastAsia="Times New Roman" w:cs="Arial"/>
          <w:color w:val="000000"/>
          <w:szCs w:val="20"/>
          <w:lang w:eastAsia="bg-BG"/>
        </w:rPr>
        <w:t xml:space="preserve">Препоръчителният интервал на титриране е 1 до 2 седмици. Обичайната препоръчвана доза е 2 </w:t>
      </w:r>
      <w:r w:rsidRPr="000F12EE">
        <w:rPr>
          <w:rFonts w:eastAsia="Times New Roman" w:cs="Arial"/>
          <w:color w:val="000000"/>
          <w:szCs w:val="20"/>
          <w:lang w:val="en-US"/>
        </w:rPr>
        <w:t>mg</w:t>
      </w:r>
      <w:r w:rsidRPr="000F12EE">
        <w:rPr>
          <w:rFonts w:eastAsia="Times New Roman" w:cs="Arial"/>
          <w:color w:val="000000"/>
          <w:szCs w:val="20"/>
          <w:lang w:val="ru-RU"/>
        </w:rPr>
        <w:t xml:space="preserve"> </w:t>
      </w:r>
      <w:r w:rsidRPr="000F12EE">
        <w:rPr>
          <w:rFonts w:eastAsia="Times New Roman" w:cs="Arial"/>
          <w:color w:val="000000"/>
          <w:szCs w:val="20"/>
          <w:lang w:eastAsia="bg-BG"/>
        </w:rPr>
        <w:t xml:space="preserve">до 4 </w:t>
      </w:r>
      <w:r w:rsidRPr="000F12EE">
        <w:rPr>
          <w:rFonts w:eastAsia="Times New Roman" w:cs="Arial"/>
          <w:color w:val="000000"/>
          <w:szCs w:val="20"/>
          <w:lang w:val="en-US"/>
        </w:rPr>
        <w:t>mg</w:t>
      </w:r>
      <w:r w:rsidRPr="000F12EE">
        <w:rPr>
          <w:rFonts w:eastAsia="Times New Roman" w:cs="Arial"/>
          <w:color w:val="000000"/>
          <w:szCs w:val="20"/>
          <w:lang w:val="ru-RU"/>
        </w:rPr>
        <w:t xml:space="preserve"> </w:t>
      </w:r>
      <w:r w:rsidRPr="000F12EE">
        <w:rPr>
          <w:rFonts w:eastAsia="Times New Roman" w:cs="Arial"/>
          <w:color w:val="000000"/>
          <w:szCs w:val="20"/>
          <w:lang w:eastAsia="bg-BG"/>
        </w:rPr>
        <w:t>веднъж дневно.</w:t>
      </w:r>
    </w:p>
    <w:p w14:paraId="485A9AC7" w14:textId="77777777" w:rsidR="000F12EE" w:rsidRPr="000F12EE" w:rsidRDefault="000F12EE" w:rsidP="000F12EE">
      <w:pPr>
        <w:spacing w:line="240" w:lineRule="auto"/>
        <w:rPr>
          <w:rFonts w:eastAsia="Times New Roman" w:cs="Arial"/>
          <w:i/>
          <w:iCs/>
          <w:color w:val="000000"/>
          <w:szCs w:val="20"/>
          <w:lang w:eastAsia="bg-BG"/>
        </w:rPr>
      </w:pPr>
    </w:p>
    <w:p w14:paraId="453B9E38" w14:textId="2C761043" w:rsidR="000F12EE" w:rsidRPr="000F12EE" w:rsidRDefault="000F12EE" w:rsidP="000F12EE">
      <w:pPr>
        <w:spacing w:line="240" w:lineRule="auto"/>
        <w:rPr>
          <w:rFonts w:eastAsia="Times New Roman" w:cs="Arial"/>
          <w:sz w:val="28"/>
          <w:szCs w:val="24"/>
        </w:rPr>
      </w:pPr>
      <w:r w:rsidRPr="000F12EE">
        <w:rPr>
          <w:rFonts w:eastAsia="Times New Roman" w:cs="Arial"/>
          <w:i/>
          <w:iCs/>
          <w:color w:val="000000"/>
          <w:szCs w:val="20"/>
          <w:lang w:eastAsia="bg-BG"/>
        </w:rPr>
        <w:t>Пациенти в старческа възраст</w:t>
      </w:r>
    </w:p>
    <w:p w14:paraId="1B31B665" w14:textId="77777777" w:rsidR="000F12EE" w:rsidRPr="000F12EE" w:rsidRDefault="000F12EE" w:rsidP="000F12EE">
      <w:pPr>
        <w:spacing w:line="240" w:lineRule="auto"/>
        <w:rPr>
          <w:rFonts w:eastAsia="Times New Roman" w:cs="Arial"/>
          <w:sz w:val="28"/>
          <w:szCs w:val="24"/>
        </w:rPr>
      </w:pPr>
      <w:r w:rsidRPr="000F12EE">
        <w:rPr>
          <w:rFonts w:eastAsia="Times New Roman" w:cs="Arial"/>
          <w:color w:val="000000"/>
          <w:szCs w:val="20"/>
          <w:lang w:eastAsia="bg-BG"/>
        </w:rPr>
        <w:t>Прилага се обичайната доза, използвана при възрастни пациенти.</w:t>
      </w:r>
    </w:p>
    <w:p w14:paraId="6925C20E" w14:textId="77777777" w:rsidR="000F12EE" w:rsidRPr="000F12EE" w:rsidRDefault="000F12EE" w:rsidP="000F12EE">
      <w:pPr>
        <w:spacing w:line="240" w:lineRule="auto"/>
        <w:rPr>
          <w:rFonts w:eastAsia="Times New Roman" w:cs="Arial"/>
          <w:i/>
          <w:iCs/>
          <w:color w:val="000000"/>
          <w:szCs w:val="20"/>
          <w:lang w:eastAsia="bg-BG"/>
        </w:rPr>
      </w:pPr>
    </w:p>
    <w:p w14:paraId="5D2EF152" w14:textId="56F0A639" w:rsidR="000F12EE" w:rsidRPr="000F12EE" w:rsidRDefault="000F12EE" w:rsidP="000F12EE">
      <w:pPr>
        <w:spacing w:line="240" w:lineRule="auto"/>
        <w:rPr>
          <w:rFonts w:eastAsia="Times New Roman" w:cs="Arial"/>
          <w:sz w:val="28"/>
          <w:szCs w:val="24"/>
        </w:rPr>
      </w:pPr>
      <w:r w:rsidRPr="000F12EE">
        <w:rPr>
          <w:rFonts w:eastAsia="Times New Roman" w:cs="Arial"/>
          <w:i/>
          <w:iCs/>
          <w:color w:val="000000"/>
          <w:szCs w:val="20"/>
          <w:lang w:eastAsia="bg-BG"/>
        </w:rPr>
        <w:t>Бъбречно увреждане</w:t>
      </w:r>
    </w:p>
    <w:p w14:paraId="6CECAC34" w14:textId="77777777" w:rsidR="000F12EE" w:rsidRPr="000F12EE" w:rsidRDefault="000F12EE" w:rsidP="000F12EE">
      <w:pPr>
        <w:spacing w:line="240" w:lineRule="auto"/>
        <w:rPr>
          <w:rFonts w:eastAsia="Times New Roman" w:cs="Arial"/>
          <w:sz w:val="28"/>
          <w:szCs w:val="24"/>
        </w:rPr>
      </w:pPr>
      <w:r w:rsidRPr="000F12EE">
        <w:rPr>
          <w:rFonts w:eastAsia="Times New Roman" w:cs="Arial"/>
          <w:color w:val="000000"/>
          <w:szCs w:val="20"/>
          <w:lang w:eastAsia="bg-BG"/>
        </w:rPr>
        <w:t>Тъй като фармакокинетиката на доксазосин не се променя при пациенти с бъбречна недостатъчност и няма данни, че доксазосин влошава съществуваща бъбречна дисфункция, обичайната доза може да се използва при тези пациенти.</w:t>
      </w:r>
    </w:p>
    <w:p w14:paraId="56A2B829" w14:textId="77777777" w:rsidR="000F12EE" w:rsidRPr="000F12EE" w:rsidRDefault="000F12EE" w:rsidP="000F12EE">
      <w:pPr>
        <w:spacing w:line="240" w:lineRule="auto"/>
        <w:rPr>
          <w:rFonts w:eastAsia="Times New Roman" w:cs="Arial"/>
          <w:i/>
          <w:iCs/>
          <w:color w:val="000000"/>
          <w:szCs w:val="20"/>
          <w:lang w:eastAsia="bg-BG"/>
        </w:rPr>
      </w:pPr>
    </w:p>
    <w:p w14:paraId="0F3F2246" w14:textId="77777777" w:rsidR="000F12EE" w:rsidRPr="000F12EE" w:rsidRDefault="000F12EE" w:rsidP="000F12EE">
      <w:pPr>
        <w:pStyle w:val="Heading3"/>
        <w:rPr>
          <w:rFonts w:eastAsia="Times New Roman"/>
          <w:lang w:eastAsia="bg-BG"/>
        </w:rPr>
      </w:pPr>
      <w:r w:rsidRPr="000F12EE">
        <w:rPr>
          <w:rFonts w:eastAsia="Times New Roman"/>
          <w:lang w:eastAsia="bg-BG"/>
        </w:rPr>
        <w:t xml:space="preserve">Чернодробно увреждане </w:t>
      </w:r>
    </w:p>
    <w:p w14:paraId="4E9749CA" w14:textId="2747F999" w:rsidR="000F12EE" w:rsidRPr="000F12EE" w:rsidRDefault="000F12EE" w:rsidP="000F12EE">
      <w:pPr>
        <w:spacing w:line="240" w:lineRule="auto"/>
        <w:rPr>
          <w:rFonts w:eastAsia="Times New Roman" w:cs="Arial"/>
          <w:color w:val="000000"/>
          <w:szCs w:val="20"/>
          <w:lang w:eastAsia="bg-BG"/>
        </w:rPr>
      </w:pPr>
      <w:r w:rsidRPr="000F12EE">
        <w:rPr>
          <w:rFonts w:eastAsia="Times New Roman" w:cs="Arial"/>
          <w:color w:val="000000"/>
          <w:szCs w:val="20"/>
          <w:lang w:eastAsia="bg-BG"/>
        </w:rPr>
        <w:t>Вижте точка 4.4.</w:t>
      </w:r>
    </w:p>
    <w:p w14:paraId="367F8C61" w14:textId="77777777" w:rsidR="000F12EE" w:rsidRPr="000F12EE" w:rsidRDefault="000F12EE" w:rsidP="000F12EE">
      <w:pPr>
        <w:spacing w:line="240" w:lineRule="auto"/>
        <w:rPr>
          <w:rFonts w:eastAsia="Times New Roman" w:cs="Arial"/>
          <w:i/>
          <w:iCs/>
          <w:color w:val="000000"/>
          <w:szCs w:val="20"/>
          <w:lang w:eastAsia="bg-BG"/>
        </w:rPr>
      </w:pPr>
    </w:p>
    <w:p w14:paraId="1CF6B0D0" w14:textId="3B7FF24F" w:rsidR="000F12EE" w:rsidRPr="000F12EE" w:rsidRDefault="000F12EE" w:rsidP="000F12EE">
      <w:pPr>
        <w:spacing w:line="240" w:lineRule="auto"/>
        <w:rPr>
          <w:rFonts w:eastAsia="Times New Roman" w:cs="Arial"/>
          <w:sz w:val="28"/>
          <w:szCs w:val="24"/>
        </w:rPr>
      </w:pPr>
      <w:r w:rsidRPr="000F12EE">
        <w:rPr>
          <w:rFonts w:eastAsia="Times New Roman" w:cs="Arial"/>
          <w:i/>
          <w:iCs/>
          <w:color w:val="000000"/>
          <w:szCs w:val="20"/>
          <w:lang w:eastAsia="bg-BG"/>
        </w:rPr>
        <w:t>Педиатрична популация</w:t>
      </w:r>
    </w:p>
    <w:p w14:paraId="3EE9DAA7" w14:textId="77777777" w:rsidR="000F12EE" w:rsidRPr="000F12EE" w:rsidRDefault="000F12EE" w:rsidP="000F12EE">
      <w:pPr>
        <w:spacing w:line="240" w:lineRule="auto"/>
        <w:rPr>
          <w:rFonts w:eastAsia="Times New Roman" w:cs="Arial"/>
          <w:sz w:val="28"/>
          <w:szCs w:val="24"/>
        </w:rPr>
      </w:pPr>
      <w:r w:rsidRPr="000F12EE">
        <w:rPr>
          <w:rFonts w:eastAsia="Times New Roman" w:cs="Arial"/>
          <w:color w:val="000000"/>
          <w:szCs w:val="20"/>
          <w:lang w:eastAsia="bg-BG"/>
        </w:rPr>
        <w:t>Безопасността и ефикасността на доксазосин при деца не са установени.</w:t>
      </w:r>
    </w:p>
    <w:p w14:paraId="15723CFA" w14:textId="421FA808" w:rsidR="000F12EE" w:rsidRPr="000F12EE" w:rsidRDefault="000F12EE" w:rsidP="000F12EE"/>
    <w:p w14:paraId="0F253247" w14:textId="679872F1" w:rsidR="007122AD" w:rsidRDefault="002C50EE" w:rsidP="00936AD0">
      <w:pPr>
        <w:pStyle w:val="Heading2"/>
      </w:pPr>
      <w:r>
        <w:t>4.3. Противопоказания</w:t>
      </w:r>
    </w:p>
    <w:p w14:paraId="5E7E7B17" w14:textId="3544FEA4" w:rsidR="000F12EE" w:rsidRDefault="000F12EE" w:rsidP="000F12EE"/>
    <w:p w14:paraId="4F91D710" w14:textId="77777777" w:rsidR="000F12EE" w:rsidRPr="000F12EE" w:rsidRDefault="000F12EE" w:rsidP="000F12EE">
      <w:pPr>
        <w:spacing w:line="240" w:lineRule="auto"/>
        <w:rPr>
          <w:rFonts w:eastAsia="Times New Roman" w:cs="Arial"/>
          <w:sz w:val="28"/>
          <w:szCs w:val="24"/>
        </w:rPr>
      </w:pPr>
      <w:r w:rsidRPr="000F12EE">
        <w:rPr>
          <w:rFonts w:eastAsia="Times New Roman" w:cs="Arial"/>
          <w:color w:val="000000"/>
          <w:szCs w:val="20"/>
          <w:lang w:eastAsia="bg-BG"/>
        </w:rPr>
        <w:t>Доксазосин е противопоказан при:</w:t>
      </w:r>
    </w:p>
    <w:p w14:paraId="19A33CFC" w14:textId="77777777" w:rsidR="000F12EE" w:rsidRPr="000F12EE" w:rsidRDefault="000F12EE" w:rsidP="000F12EE">
      <w:pPr>
        <w:pStyle w:val="ListParagraph"/>
        <w:numPr>
          <w:ilvl w:val="0"/>
          <w:numId w:val="37"/>
        </w:numPr>
        <w:spacing w:line="240" w:lineRule="auto"/>
        <w:rPr>
          <w:rFonts w:eastAsia="Times New Roman" w:cs="Arial"/>
          <w:sz w:val="28"/>
          <w:szCs w:val="24"/>
        </w:rPr>
      </w:pPr>
      <w:r w:rsidRPr="000F12EE">
        <w:rPr>
          <w:rFonts w:eastAsia="Times New Roman" w:cs="Arial"/>
          <w:color w:val="000000"/>
          <w:szCs w:val="20"/>
          <w:lang w:eastAsia="bg-BG"/>
        </w:rPr>
        <w:t>пациенти с установена свръхчувствителност към квиназолини (напр. празосин, теразозин, доксазосин) или към някое от помощните вещества, изброени в точка 6.1;</w:t>
      </w:r>
    </w:p>
    <w:p w14:paraId="3731C4AE" w14:textId="77777777" w:rsidR="000F12EE" w:rsidRPr="000F12EE" w:rsidRDefault="000F12EE" w:rsidP="000F12EE">
      <w:pPr>
        <w:pStyle w:val="ListParagraph"/>
        <w:numPr>
          <w:ilvl w:val="0"/>
          <w:numId w:val="37"/>
        </w:numPr>
        <w:spacing w:line="240" w:lineRule="auto"/>
        <w:rPr>
          <w:rFonts w:eastAsia="Times New Roman" w:cs="Arial"/>
          <w:sz w:val="28"/>
          <w:szCs w:val="24"/>
        </w:rPr>
      </w:pPr>
      <w:r w:rsidRPr="000F12EE">
        <w:rPr>
          <w:rFonts w:eastAsia="Times New Roman" w:cs="Arial"/>
          <w:color w:val="000000"/>
          <w:szCs w:val="20"/>
          <w:lang w:eastAsia="bg-BG"/>
        </w:rPr>
        <w:t>пациенти с анамнеза за ортостатична хипотония;</w:t>
      </w:r>
    </w:p>
    <w:p w14:paraId="14CC3877" w14:textId="77777777" w:rsidR="000F12EE" w:rsidRPr="000F12EE" w:rsidRDefault="000F12EE" w:rsidP="000F12EE">
      <w:pPr>
        <w:pStyle w:val="ListParagraph"/>
        <w:numPr>
          <w:ilvl w:val="0"/>
          <w:numId w:val="37"/>
        </w:numPr>
        <w:spacing w:line="240" w:lineRule="auto"/>
        <w:rPr>
          <w:rFonts w:eastAsia="Times New Roman" w:cs="Arial"/>
          <w:sz w:val="28"/>
          <w:szCs w:val="24"/>
        </w:rPr>
      </w:pPr>
      <w:r w:rsidRPr="000F12EE">
        <w:rPr>
          <w:rFonts w:eastAsia="Times New Roman" w:cs="Arial"/>
          <w:color w:val="000000"/>
          <w:szCs w:val="20"/>
          <w:lang w:eastAsia="bg-BG"/>
        </w:rPr>
        <w:t>пациенти с ДХП и съпътстващи застойни промени в горните уринарни пътища, хронична инфекция на уринарния тракт или камъни в пикочния мехур;</w:t>
      </w:r>
    </w:p>
    <w:p w14:paraId="7E1B5005" w14:textId="6179B2C6" w:rsidR="000F12EE" w:rsidRPr="000F12EE" w:rsidRDefault="000F12EE" w:rsidP="000F12EE">
      <w:pPr>
        <w:pStyle w:val="ListParagraph"/>
        <w:numPr>
          <w:ilvl w:val="0"/>
          <w:numId w:val="37"/>
        </w:numPr>
        <w:spacing w:line="240" w:lineRule="auto"/>
        <w:rPr>
          <w:rFonts w:eastAsia="Times New Roman" w:cs="Arial"/>
          <w:sz w:val="28"/>
          <w:szCs w:val="24"/>
        </w:rPr>
      </w:pPr>
      <w:r w:rsidRPr="000F12EE">
        <w:rPr>
          <w:rFonts w:eastAsia="Times New Roman" w:cs="Arial"/>
          <w:color w:val="000000"/>
          <w:szCs w:val="20"/>
          <w:lang w:eastAsia="bg-BG"/>
        </w:rPr>
        <w:t>пациенти с хипотония</w:t>
      </w:r>
      <w:r w:rsidRPr="000F12EE">
        <w:rPr>
          <w:rFonts w:eastAsia="Times New Roman" w:cs="Arial"/>
          <w:color w:val="000000"/>
          <w:szCs w:val="20"/>
          <w:vertAlign w:val="superscript"/>
          <w:lang w:eastAsia="bg-BG"/>
        </w:rPr>
        <w:t>1</w:t>
      </w:r>
      <w:r w:rsidRPr="000F12EE">
        <w:rPr>
          <w:rFonts w:eastAsia="Times New Roman" w:cs="Arial"/>
          <w:color w:val="000000"/>
          <w:szCs w:val="20"/>
          <w:lang w:eastAsia="bg-BG"/>
        </w:rPr>
        <w:t>.</w:t>
      </w:r>
    </w:p>
    <w:p w14:paraId="34A14AE4" w14:textId="77777777" w:rsidR="000F12EE" w:rsidRPr="000F12EE" w:rsidRDefault="000F12EE" w:rsidP="000F12EE">
      <w:pPr>
        <w:spacing w:line="240" w:lineRule="auto"/>
        <w:rPr>
          <w:rFonts w:eastAsia="Times New Roman" w:cs="Arial"/>
          <w:color w:val="000000"/>
          <w:szCs w:val="20"/>
          <w:lang w:eastAsia="bg-BG"/>
        </w:rPr>
      </w:pPr>
    </w:p>
    <w:p w14:paraId="78D9D0B1" w14:textId="57280053" w:rsidR="000F12EE" w:rsidRPr="000F12EE" w:rsidRDefault="000F12EE" w:rsidP="000F12EE">
      <w:pPr>
        <w:spacing w:line="240" w:lineRule="auto"/>
        <w:rPr>
          <w:rFonts w:eastAsia="Times New Roman" w:cs="Arial"/>
          <w:sz w:val="28"/>
          <w:szCs w:val="24"/>
        </w:rPr>
      </w:pPr>
      <w:r w:rsidRPr="000F12EE">
        <w:rPr>
          <w:rFonts w:eastAsia="Times New Roman" w:cs="Arial"/>
          <w:color w:val="000000"/>
          <w:szCs w:val="20"/>
          <w:lang w:eastAsia="bg-BG"/>
        </w:rPr>
        <w:t>Доксазосин е противопоказан като монотерапия при пациенти с незадържане на урина в резултат на препълнен пикочен мехур или анурия, със или без прогресивна бъбречна недостатъчност.</w:t>
      </w:r>
    </w:p>
    <w:p w14:paraId="32E9B8E3" w14:textId="77777777" w:rsidR="000F12EE" w:rsidRPr="000F12EE" w:rsidRDefault="000F12EE" w:rsidP="000F12EE"/>
    <w:p w14:paraId="0E0BDCC7" w14:textId="4AFB956C" w:rsidR="007122AD" w:rsidRDefault="002C50EE" w:rsidP="00936AD0">
      <w:pPr>
        <w:pStyle w:val="Heading2"/>
      </w:pPr>
      <w:r>
        <w:t>4.4. Специални предупреждения и предпазни мерки при употреба</w:t>
      </w:r>
    </w:p>
    <w:p w14:paraId="30A0249B" w14:textId="0AA91605" w:rsidR="000F12EE" w:rsidRDefault="000F12EE" w:rsidP="000F12EE"/>
    <w:p w14:paraId="7483D1A7" w14:textId="77777777" w:rsidR="000F12EE" w:rsidRPr="000F12EE" w:rsidRDefault="000F12EE" w:rsidP="000F12EE">
      <w:pPr>
        <w:spacing w:line="240" w:lineRule="auto"/>
        <w:rPr>
          <w:rFonts w:eastAsia="Times New Roman" w:cs="Arial"/>
          <w:sz w:val="28"/>
          <w:szCs w:val="24"/>
        </w:rPr>
      </w:pPr>
      <w:r w:rsidRPr="000F12EE">
        <w:rPr>
          <w:rFonts w:eastAsia="Times New Roman" w:cs="Arial"/>
          <w:color w:val="000000"/>
          <w:szCs w:val="20"/>
          <w:u w:val="single"/>
          <w:lang w:eastAsia="bg-BG"/>
        </w:rPr>
        <w:t>Начало на лечението</w:t>
      </w:r>
    </w:p>
    <w:p w14:paraId="000EE663" w14:textId="77777777" w:rsidR="000F12EE" w:rsidRPr="000F12EE" w:rsidRDefault="000F12EE" w:rsidP="000F12EE">
      <w:pPr>
        <w:spacing w:line="240" w:lineRule="auto"/>
        <w:rPr>
          <w:rFonts w:eastAsia="Times New Roman" w:cs="Arial"/>
          <w:sz w:val="28"/>
          <w:szCs w:val="24"/>
        </w:rPr>
      </w:pPr>
      <w:r w:rsidRPr="000F12EE">
        <w:rPr>
          <w:rFonts w:eastAsia="Times New Roman" w:cs="Arial"/>
          <w:color w:val="000000"/>
          <w:szCs w:val="20"/>
          <w:lang w:eastAsia="bg-BG"/>
        </w:rPr>
        <w:t xml:space="preserve">Във връзка с качествата на доксазосин като алфа-блокер, при пациентите може да бъде наблюдавана постурална хипотония, изразяваща се в замайване и слабост, или в редки </w:t>
      </w:r>
      <w:r w:rsidRPr="000F12EE">
        <w:rPr>
          <w:rFonts w:eastAsia="Times New Roman" w:cs="Arial"/>
          <w:color w:val="000000"/>
          <w:szCs w:val="20"/>
          <w:lang w:eastAsia="bg-BG"/>
        </w:rPr>
        <w:lastRenderedPageBreak/>
        <w:t>случаи, загуба на съзнание (синкоп), особено в началото на лечението. Поради тази причина разумна лекарска практика е проследяване на кръвното налягане в началото на терапията, целящо минимизиране на възможните постурални ефекти. Пациентът трябва да бъде предупреден да избягва ситуации, в които може да се нарани, ако почувства замайване или слабост при започване на терапията с доксазосин.</w:t>
      </w:r>
    </w:p>
    <w:p w14:paraId="3A9025AE" w14:textId="77777777" w:rsidR="000F12EE" w:rsidRPr="000F12EE" w:rsidRDefault="000F12EE" w:rsidP="000F12EE">
      <w:pPr>
        <w:spacing w:line="240" w:lineRule="auto"/>
        <w:rPr>
          <w:rFonts w:eastAsia="Times New Roman" w:cs="Arial"/>
          <w:color w:val="000000"/>
          <w:szCs w:val="20"/>
          <w:u w:val="single"/>
          <w:lang w:eastAsia="bg-BG"/>
        </w:rPr>
      </w:pPr>
    </w:p>
    <w:p w14:paraId="56A91B09" w14:textId="019E8CE7" w:rsidR="000F12EE" w:rsidRPr="000F12EE" w:rsidRDefault="000F12EE" w:rsidP="000F12EE">
      <w:pPr>
        <w:spacing w:line="240" w:lineRule="auto"/>
        <w:rPr>
          <w:rFonts w:eastAsia="Times New Roman" w:cs="Arial"/>
          <w:sz w:val="28"/>
          <w:szCs w:val="24"/>
        </w:rPr>
      </w:pPr>
      <w:r w:rsidRPr="000F12EE">
        <w:rPr>
          <w:rFonts w:eastAsia="Times New Roman" w:cs="Arial"/>
          <w:color w:val="000000"/>
          <w:szCs w:val="20"/>
          <w:u w:val="single"/>
          <w:lang w:eastAsia="bg-BG"/>
        </w:rPr>
        <w:t>Употреба при пациенти с остри сърдечни заболявания</w:t>
      </w:r>
    </w:p>
    <w:p w14:paraId="307F1585" w14:textId="77777777" w:rsidR="000F12EE" w:rsidRPr="000F12EE" w:rsidRDefault="000F12EE" w:rsidP="000F12EE">
      <w:pPr>
        <w:spacing w:line="240" w:lineRule="auto"/>
        <w:rPr>
          <w:rFonts w:eastAsia="Times New Roman" w:cs="Arial"/>
          <w:sz w:val="28"/>
          <w:szCs w:val="24"/>
        </w:rPr>
      </w:pPr>
      <w:r w:rsidRPr="000F12EE">
        <w:rPr>
          <w:rFonts w:eastAsia="Times New Roman" w:cs="Arial"/>
          <w:color w:val="000000"/>
          <w:szCs w:val="20"/>
          <w:lang w:eastAsia="bg-BG"/>
        </w:rPr>
        <w:t>Както при всички други вазодилататорни антихипертензивни средства, разумна лекарска практика е да се обърне внимание, когато доксазосин се приема от пациенти със следните остри сърдечни заболявания:</w:t>
      </w:r>
    </w:p>
    <w:p w14:paraId="766DD998" w14:textId="77777777" w:rsidR="000F12EE" w:rsidRPr="000F12EE" w:rsidRDefault="000F12EE" w:rsidP="000F12EE">
      <w:pPr>
        <w:pStyle w:val="ListParagraph"/>
        <w:numPr>
          <w:ilvl w:val="0"/>
          <w:numId w:val="37"/>
        </w:numPr>
        <w:spacing w:line="240" w:lineRule="auto"/>
        <w:rPr>
          <w:rFonts w:eastAsia="Times New Roman" w:cs="Arial"/>
          <w:sz w:val="28"/>
          <w:szCs w:val="24"/>
        </w:rPr>
      </w:pPr>
      <w:r w:rsidRPr="000F12EE">
        <w:rPr>
          <w:rFonts w:eastAsia="Times New Roman" w:cs="Arial"/>
          <w:color w:val="000000"/>
          <w:szCs w:val="20"/>
          <w:lang w:eastAsia="bg-BG"/>
        </w:rPr>
        <w:t>белодробен оток, дължащ се на аортна или митрална стеноза;</w:t>
      </w:r>
    </w:p>
    <w:p w14:paraId="670E284E" w14:textId="77777777" w:rsidR="000F12EE" w:rsidRPr="000F12EE" w:rsidRDefault="000F12EE" w:rsidP="000F12EE">
      <w:pPr>
        <w:pStyle w:val="ListParagraph"/>
        <w:numPr>
          <w:ilvl w:val="0"/>
          <w:numId w:val="37"/>
        </w:numPr>
        <w:spacing w:line="240" w:lineRule="auto"/>
        <w:rPr>
          <w:rFonts w:eastAsia="Times New Roman" w:cs="Arial"/>
          <w:sz w:val="28"/>
          <w:szCs w:val="24"/>
        </w:rPr>
      </w:pPr>
      <w:r w:rsidRPr="000F12EE">
        <w:rPr>
          <w:rFonts w:eastAsia="Times New Roman" w:cs="Arial"/>
          <w:color w:val="000000"/>
          <w:szCs w:val="20"/>
          <w:lang w:eastAsia="bg-BG"/>
        </w:rPr>
        <w:t>сърдечна недостатъчност с висок дебит;</w:t>
      </w:r>
    </w:p>
    <w:p w14:paraId="1741B424" w14:textId="77777777" w:rsidR="000F12EE" w:rsidRPr="000F12EE" w:rsidRDefault="000F12EE" w:rsidP="000F12EE">
      <w:pPr>
        <w:pStyle w:val="ListParagraph"/>
        <w:numPr>
          <w:ilvl w:val="0"/>
          <w:numId w:val="37"/>
        </w:numPr>
        <w:spacing w:line="240" w:lineRule="auto"/>
        <w:rPr>
          <w:rFonts w:eastAsia="Times New Roman" w:cs="Arial"/>
          <w:sz w:val="28"/>
          <w:szCs w:val="24"/>
        </w:rPr>
      </w:pPr>
      <w:r w:rsidRPr="000F12EE">
        <w:rPr>
          <w:rFonts w:eastAsia="Times New Roman" w:cs="Arial"/>
          <w:color w:val="000000"/>
          <w:szCs w:val="20"/>
          <w:lang w:eastAsia="bg-BG"/>
        </w:rPr>
        <w:t>десностранна сърдечна недостатъчност, дължаща се на белодробен емболизъм или перикарден излив;</w:t>
      </w:r>
    </w:p>
    <w:p w14:paraId="50593508" w14:textId="78C77789" w:rsidR="000F12EE" w:rsidRPr="000F12EE" w:rsidRDefault="000F12EE" w:rsidP="000F12EE">
      <w:pPr>
        <w:pStyle w:val="ListParagraph"/>
        <w:numPr>
          <w:ilvl w:val="0"/>
          <w:numId w:val="37"/>
        </w:numPr>
        <w:spacing w:line="240" w:lineRule="auto"/>
        <w:rPr>
          <w:rFonts w:eastAsia="Times New Roman" w:cs="Arial"/>
          <w:sz w:val="28"/>
          <w:szCs w:val="24"/>
        </w:rPr>
      </w:pPr>
      <w:r w:rsidRPr="000F12EE">
        <w:rPr>
          <w:rFonts w:eastAsia="Times New Roman" w:cs="Arial"/>
          <w:color w:val="000000"/>
          <w:szCs w:val="20"/>
          <w:lang w:eastAsia="bg-BG"/>
        </w:rPr>
        <w:t>левокамерна сърдечна недостатъчност с ниско налягане на напълване.</w:t>
      </w:r>
    </w:p>
    <w:p w14:paraId="2FBC70E6" w14:textId="77777777" w:rsidR="000F12EE" w:rsidRPr="000F12EE" w:rsidRDefault="000F12EE" w:rsidP="000F12EE">
      <w:pPr>
        <w:spacing w:line="240" w:lineRule="auto"/>
        <w:rPr>
          <w:rFonts w:eastAsia="Times New Roman" w:cs="Arial"/>
          <w:color w:val="000000"/>
          <w:szCs w:val="20"/>
          <w:u w:val="single"/>
          <w:lang w:eastAsia="bg-BG"/>
        </w:rPr>
      </w:pPr>
    </w:p>
    <w:p w14:paraId="095446DB" w14:textId="4EA875CF" w:rsidR="000F12EE" w:rsidRPr="000F12EE" w:rsidRDefault="000F12EE" w:rsidP="000F12EE">
      <w:pPr>
        <w:spacing w:line="240" w:lineRule="auto"/>
        <w:rPr>
          <w:rFonts w:eastAsia="Times New Roman" w:cs="Arial"/>
          <w:sz w:val="28"/>
          <w:szCs w:val="24"/>
        </w:rPr>
      </w:pPr>
      <w:r w:rsidRPr="000F12EE">
        <w:rPr>
          <w:rFonts w:eastAsia="Times New Roman" w:cs="Arial"/>
          <w:color w:val="000000"/>
          <w:szCs w:val="20"/>
          <w:u w:val="single"/>
          <w:lang w:eastAsia="bg-BG"/>
        </w:rPr>
        <w:t>Употреба при пациенти с чернодробно увреждане</w:t>
      </w:r>
    </w:p>
    <w:p w14:paraId="13BE6AC7" w14:textId="6B43F434" w:rsidR="000F12EE" w:rsidRPr="000F12EE" w:rsidRDefault="000F12EE" w:rsidP="000F12EE">
      <w:pPr>
        <w:rPr>
          <w:rFonts w:eastAsia="Times New Roman" w:cs="Arial"/>
          <w:color w:val="000000"/>
          <w:szCs w:val="20"/>
          <w:lang w:eastAsia="bg-BG"/>
        </w:rPr>
      </w:pPr>
      <w:r w:rsidRPr="000F12EE">
        <w:rPr>
          <w:rFonts w:eastAsia="Times New Roman" w:cs="Arial"/>
          <w:color w:val="000000"/>
          <w:szCs w:val="20"/>
          <w:lang w:eastAsia="bg-BG"/>
        </w:rPr>
        <w:t>Както всяко лекарство, изцяло метаболизирано от черния дроб, доксазосин трябва да се прилага с особено внимание при пациенти с данни за увредена чернодробна функция.</w:t>
      </w:r>
    </w:p>
    <w:p w14:paraId="28FC6820" w14:textId="76336991" w:rsidR="000F12EE" w:rsidRDefault="000F12EE" w:rsidP="000F12EE">
      <w:pPr>
        <w:rPr>
          <w:rFonts w:ascii="Times New Roman" w:eastAsia="Times New Roman" w:hAnsi="Times New Roman" w:cs="Times New Roman"/>
          <w:color w:val="000000"/>
          <w:sz w:val="20"/>
          <w:szCs w:val="20"/>
          <w:lang w:eastAsia="bg-BG"/>
        </w:rPr>
      </w:pPr>
    </w:p>
    <w:p w14:paraId="55BCCE0E" w14:textId="4739D12B" w:rsidR="000F12EE" w:rsidRPr="000F12EE" w:rsidRDefault="000F12EE" w:rsidP="000F12EE">
      <w:pPr>
        <w:spacing w:line="240" w:lineRule="auto"/>
        <w:rPr>
          <w:rFonts w:eastAsia="Times New Roman" w:cs="Arial"/>
          <w:sz w:val="28"/>
          <w:szCs w:val="24"/>
        </w:rPr>
      </w:pPr>
      <w:r w:rsidRPr="000F12EE">
        <w:rPr>
          <w:rFonts w:eastAsia="Times New Roman" w:cs="Arial"/>
          <w:color w:val="000000"/>
          <w:sz w:val="18"/>
          <w:szCs w:val="17"/>
          <w:vertAlign w:val="superscript"/>
          <w:lang w:eastAsia="bg-BG"/>
        </w:rPr>
        <w:t>1</w:t>
      </w:r>
      <w:r w:rsidRPr="000F12EE">
        <w:rPr>
          <w:rFonts w:eastAsia="Times New Roman" w:cs="Arial"/>
          <w:color w:val="000000"/>
          <w:sz w:val="18"/>
          <w:szCs w:val="17"/>
          <w:lang w:eastAsia="bg-BG"/>
        </w:rPr>
        <w:t>Само за показание доброкачествена хиперплазия на простатата</w:t>
      </w:r>
    </w:p>
    <w:p w14:paraId="2D65C6A1" w14:textId="101A2F8C" w:rsidR="000F12EE" w:rsidRDefault="000F12EE" w:rsidP="000F12EE"/>
    <w:p w14:paraId="6CF3B2E6" w14:textId="77777777" w:rsidR="000F12EE" w:rsidRPr="000F12EE" w:rsidRDefault="000F12EE" w:rsidP="000F12EE">
      <w:pPr>
        <w:spacing w:line="240" w:lineRule="auto"/>
        <w:rPr>
          <w:rFonts w:eastAsia="Times New Roman" w:cs="Arial"/>
          <w:sz w:val="28"/>
          <w:szCs w:val="24"/>
        </w:rPr>
      </w:pPr>
      <w:r w:rsidRPr="000F12EE">
        <w:rPr>
          <w:rFonts w:eastAsia="Times New Roman" w:cs="Arial"/>
          <w:color w:val="000000"/>
          <w:szCs w:val="20"/>
          <w:lang w:eastAsia="bg-BG"/>
        </w:rPr>
        <w:t>Тъй като няма клиничен опит при пациенти с тежко чернодробно увреждане, употребата при тези пациенти не се препоръчва.</w:t>
      </w:r>
    </w:p>
    <w:p w14:paraId="25EAE31C" w14:textId="77777777" w:rsidR="000F12EE" w:rsidRPr="000F12EE" w:rsidRDefault="000F12EE" w:rsidP="000F12EE">
      <w:pPr>
        <w:spacing w:line="240" w:lineRule="auto"/>
        <w:rPr>
          <w:rFonts w:eastAsia="Times New Roman" w:cs="Arial"/>
          <w:color w:val="000000"/>
          <w:szCs w:val="20"/>
          <w:u w:val="single"/>
          <w:lang w:eastAsia="bg-BG"/>
        </w:rPr>
      </w:pPr>
    </w:p>
    <w:p w14:paraId="5C2321E8" w14:textId="6F04CAF4" w:rsidR="000F12EE" w:rsidRPr="000F12EE" w:rsidRDefault="000F12EE" w:rsidP="000F12EE">
      <w:pPr>
        <w:spacing w:line="240" w:lineRule="auto"/>
        <w:rPr>
          <w:rFonts w:eastAsia="Times New Roman" w:cs="Arial"/>
          <w:sz w:val="28"/>
          <w:szCs w:val="24"/>
        </w:rPr>
      </w:pPr>
      <w:r w:rsidRPr="000F12EE">
        <w:rPr>
          <w:rFonts w:eastAsia="Times New Roman" w:cs="Arial"/>
          <w:color w:val="000000"/>
          <w:szCs w:val="20"/>
          <w:u w:val="single"/>
          <w:lang w:eastAsia="bg-BG"/>
        </w:rPr>
        <w:t xml:space="preserve">Употреба с инхибитори на фосфодиестераза-5 </w:t>
      </w:r>
      <w:r w:rsidRPr="000F12EE">
        <w:rPr>
          <w:rFonts w:eastAsia="Times New Roman" w:cs="Arial"/>
          <w:color w:val="000000"/>
          <w:szCs w:val="20"/>
          <w:u w:val="single"/>
          <w:lang w:val="ru-RU"/>
        </w:rPr>
        <w:t>(</w:t>
      </w:r>
      <w:r w:rsidRPr="000F12EE">
        <w:rPr>
          <w:rFonts w:eastAsia="Times New Roman" w:cs="Arial"/>
          <w:color w:val="000000"/>
          <w:szCs w:val="20"/>
          <w:u w:val="single"/>
          <w:lang w:val="en-US"/>
        </w:rPr>
        <w:t>PDE</w:t>
      </w:r>
      <w:r w:rsidRPr="000F12EE">
        <w:rPr>
          <w:rFonts w:eastAsia="Times New Roman" w:cs="Arial"/>
          <w:color w:val="000000"/>
          <w:szCs w:val="20"/>
          <w:u w:val="single"/>
          <w:lang w:val="ru-RU"/>
        </w:rPr>
        <w:t xml:space="preserve">-5 </w:t>
      </w:r>
      <w:r w:rsidRPr="000F12EE">
        <w:rPr>
          <w:rFonts w:eastAsia="Times New Roman" w:cs="Arial"/>
          <w:color w:val="000000"/>
          <w:szCs w:val="20"/>
          <w:u w:val="single"/>
          <w:lang w:eastAsia="bg-BG"/>
        </w:rPr>
        <w:t>инхибитори)</w:t>
      </w:r>
    </w:p>
    <w:p w14:paraId="4AD8A0F7" w14:textId="77777777" w:rsidR="000F12EE" w:rsidRPr="000F12EE" w:rsidRDefault="000F12EE" w:rsidP="000F12EE">
      <w:pPr>
        <w:spacing w:line="240" w:lineRule="auto"/>
        <w:rPr>
          <w:rFonts w:eastAsia="Times New Roman" w:cs="Arial"/>
          <w:sz w:val="28"/>
          <w:szCs w:val="24"/>
        </w:rPr>
      </w:pPr>
      <w:r w:rsidRPr="000F12EE">
        <w:rPr>
          <w:rFonts w:eastAsia="Times New Roman" w:cs="Arial"/>
          <w:color w:val="000000"/>
          <w:szCs w:val="20"/>
          <w:lang w:eastAsia="bg-BG"/>
        </w:rPr>
        <w:t xml:space="preserve">Едновременното приложение на доксазосин и </w:t>
      </w:r>
      <w:r w:rsidRPr="000F12EE">
        <w:rPr>
          <w:rFonts w:eastAsia="Times New Roman" w:cs="Arial"/>
          <w:color w:val="000000"/>
          <w:szCs w:val="20"/>
          <w:lang w:val="en-US"/>
        </w:rPr>
        <w:t>PDE</w:t>
      </w:r>
      <w:r w:rsidRPr="000F12EE">
        <w:rPr>
          <w:rFonts w:eastAsia="Times New Roman" w:cs="Arial"/>
          <w:color w:val="000000"/>
          <w:szCs w:val="20"/>
          <w:lang w:val="ru-RU"/>
        </w:rPr>
        <w:t xml:space="preserve">-5 </w:t>
      </w:r>
      <w:r w:rsidRPr="000F12EE">
        <w:rPr>
          <w:rFonts w:eastAsia="Times New Roman" w:cs="Arial"/>
          <w:color w:val="000000"/>
          <w:szCs w:val="20"/>
          <w:lang w:eastAsia="bg-BG"/>
        </w:rPr>
        <w:t xml:space="preserve">инхибитори (напр. силденафил, тадалафил и варденафил) изисква повишено внимание, тъй като и двете лекарства имат съдоразширяващ ефект и при някои пациенти могат да доведат до симптоматична хипотония. За да се намали рискът от ортостатична хипотония, е препоръчително започване на лечение с </w:t>
      </w:r>
      <w:r w:rsidRPr="000F12EE">
        <w:rPr>
          <w:rFonts w:eastAsia="Times New Roman" w:cs="Arial"/>
          <w:color w:val="000000"/>
          <w:szCs w:val="20"/>
          <w:lang w:val="en-US"/>
        </w:rPr>
        <w:t>PDE</w:t>
      </w:r>
      <w:r w:rsidRPr="000F12EE">
        <w:rPr>
          <w:rFonts w:eastAsia="Times New Roman" w:cs="Arial"/>
          <w:color w:val="000000"/>
          <w:szCs w:val="20"/>
          <w:lang w:val="ru-RU"/>
        </w:rPr>
        <w:t xml:space="preserve">-5 </w:t>
      </w:r>
      <w:r w:rsidRPr="000F12EE">
        <w:rPr>
          <w:rFonts w:eastAsia="Times New Roman" w:cs="Arial"/>
          <w:color w:val="000000"/>
          <w:szCs w:val="20"/>
          <w:lang w:eastAsia="bg-BG"/>
        </w:rPr>
        <w:t xml:space="preserve">инхибитори, само ако пациентът е хемодинамично стабилизиран на терапия с алфа-блокер. Препоръчва се също така да се започне лечение с </w:t>
      </w:r>
      <w:r w:rsidRPr="000F12EE">
        <w:rPr>
          <w:rFonts w:eastAsia="Times New Roman" w:cs="Arial"/>
          <w:color w:val="000000"/>
          <w:szCs w:val="20"/>
          <w:lang w:val="en-US"/>
        </w:rPr>
        <w:t>PDE</w:t>
      </w:r>
      <w:r w:rsidRPr="000F12EE">
        <w:rPr>
          <w:rFonts w:eastAsia="Times New Roman" w:cs="Arial"/>
          <w:color w:val="000000"/>
          <w:szCs w:val="20"/>
          <w:lang w:val="ru-RU"/>
        </w:rPr>
        <w:t xml:space="preserve">-5 </w:t>
      </w:r>
      <w:r w:rsidRPr="000F12EE">
        <w:rPr>
          <w:rFonts w:eastAsia="Times New Roman" w:cs="Arial"/>
          <w:color w:val="000000"/>
          <w:szCs w:val="20"/>
          <w:lang w:eastAsia="bg-BG"/>
        </w:rPr>
        <w:t>инхибитор с най-ниската възможна доза и да се спази 6-часов интервал от приема на доксазосин. Не са провеждани проучвания с лекарствените форми с удължено освобождаване на доксазосин.</w:t>
      </w:r>
    </w:p>
    <w:p w14:paraId="01FEB34E" w14:textId="77777777" w:rsidR="000F12EE" w:rsidRPr="000F12EE" w:rsidRDefault="000F12EE" w:rsidP="000F12EE">
      <w:pPr>
        <w:spacing w:line="240" w:lineRule="auto"/>
        <w:rPr>
          <w:rFonts w:eastAsia="Times New Roman" w:cs="Arial"/>
          <w:color w:val="000000"/>
          <w:szCs w:val="20"/>
          <w:u w:val="single"/>
          <w:lang w:eastAsia="bg-BG"/>
        </w:rPr>
      </w:pPr>
    </w:p>
    <w:p w14:paraId="73A3FBD8" w14:textId="3F177560" w:rsidR="000F12EE" w:rsidRPr="000F12EE" w:rsidRDefault="000F12EE" w:rsidP="000F12EE">
      <w:pPr>
        <w:spacing w:line="240" w:lineRule="auto"/>
        <w:rPr>
          <w:rFonts w:eastAsia="Times New Roman" w:cs="Arial"/>
          <w:sz w:val="28"/>
          <w:szCs w:val="24"/>
        </w:rPr>
      </w:pPr>
      <w:r w:rsidRPr="000F12EE">
        <w:rPr>
          <w:rFonts w:eastAsia="Times New Roman" w:cs="Arial"/>
          <w:color w:val="000000"/>
          <w:szCs w:val="20"/>
          <w:u w:val="single"/>
          <w:lang w:eastAsia="bg-BG"/>
        </w:rPr>
        <w:t>Употреба при пациенти, на които предстои операция на катаракта</w:t>
      </w:r>
    </w:p>
    <w:p w14:paraId="75017EAF" w14:textId="77777777" w:rsidR="000F12EE" w:rsidRPr="000F12EE" w:rsidRDefault="000F12EE" w:rsidP="000F12EE">
      <w:pPr>
        <w:spacing w:line="240" w:lineRule="auto"/>
        <w:rPr>
          <w:rFonts w:eastAsia="Times New Roman" w:cs="Arial"/>
          <w:sz w:val="28"/>
          <w:szCs w:val="24"/>
        </w:rPr>
      </w:pPr>
      <w:r w:rsidRPr="000F12EE">
        <w:rPr>
          <w:rFonts w:eastAsia="Times New Roman" w:cs="Arial"/>
          <w:color w:val="000000"/>
          <w:szCs w:val="20"/>
          <w:lang w:eastAsia="bg-BG"/>
        </w:rPr>
        <w:t>Интраоперативен Флопи Ирис Синдром (ИФИС, вариант на синдрома на малката зеница) се наблюдава по време на операция на катаракта при някои пациенти, приемащи или приемали тамсулозин. Получени са също изолирани съобщения с други алфа-1-блокери и възможността за клас-ефект не може да се изключи. Тъй като ИФИС може да доведе до увеличена честота на усложнения по време на операция на катаракта, трябва да се съобщи на очния хирург преди операцията за настояща или минала употреба на алфа-1-блокери.</w:t>
      </w:r>
    </w:p>
    <w:p w14:paraId="5C2B17E5" w14:textId="77777777" w:rsidR="000F12EE" w:rsidRPr="000F12EE" w:rsidRDefault="000F12EE" w:rsidP="000F12EE">
      <w:pPr>
        <w:spacing w:line="240" w:lineRule="auto"/>
        <w:rPr>
          <w:rFonts w:eastAsia="Times New Roman" w:cs="Arial"/>
          <w:color w:val="000000"/>
          <w:szCs w:val="20"/>
          <w:u w:val="single"/>
          <w:lang w:eastAsia="bg-BG"/>
        </w:rPr>
      </w:pPr>
    </w:p>
    <w:p w14:paraId="5565EB18" w14:textId="21D0A3DD" w:rsidR="000F12EE" w:rsidRPr="000F12EE" w:rsidRDefault="000F12EE" w:rsidP="000F12EE">
      <w:pPr>
        <w:spacing w:line="240" w:lineRule="auto"/>
        <w:rPr>
          <w:rFonts w:eastAsia="Times New Roman" w:cs="Arial"/>
          <w:sz w:val="28"/>
          <w:szCs w:val="24"/>
        </w:rPr>
      </w:pPr>
      <w:r w:rsidRPr="000F12EE">
        <w:rPr>
          <w:rFonts w:eastAsia="Times New Roman" w:cs="Arial"/>
          <w:color w:val="000000"/>
          <w:szCs w:val="20"/>
          <w:u w:val="single"/>
          <w:lang w:eastAsia="bg-BG"/>
        </w:rPr>
        <w:t>Приапизъм</w:t>
      </w:r>
    </w:p>
    <w:p w14:paraId="41F8EABC" w14:textId="77777777" w:rsidR="000F12EE" w:rsidRPr="000F12EE" w:rsidRDefault="000F12EE" w:rsidP="000F12EE">
      <w:pPr>
        <w:spacing w:line="240" w:lineRule="auto"/>
        <w:rPr>
          <w:rFonts w:eastAsia="Times New Roman" w:cs="Arial"/>
          <w:sz w:val="28"/>
          <w:szCs w:val="24"/>
        </w:rPr>
      </w:pPr>
      <w:r w:rsidRPr="000F12EE">
        <w:rPr>
          <w:rFonts w:eastAsia="Times New Roman" w:cs="Arial"/>
          <w:color w:val="000000"/>
          <w:szCs w:val="20"/>
          <w:lang w:eastAsia="bg-BG"/>
        </w:rPr>
        <w:t>Съобщава се за продължителна ерекция и приапизъм при постмаркетинговия опит с алфа-1 блокери, включително доксазосин. Ако приапизмът не се лекува незабавно, той може да доведе до увреждане на тъканите на пениса и трайна загуба на потентност, поради което пациентът трябва незабавно да потърси медицинска помощ.</w:t>
      </w:r>
    </w:p>
    <w:p w14:paraId="5522F2E4" w14:textId="77777777" w:rsidR="000F12EE" w:rsidRPr="000F12EE" w:rsidRDefault="000F12EE" w:rsidP="000F12EE">
      <w:pPr>
        <w:spacing w:line="240" w:lineRule="auto"/>
        <w:rPr>
          <w:rFonts w:eastAsia="Times New Roman" w:cs="Arial"/>
          <w:color w:val="000000"/>
          <w:szCs w:val="20"/>
          <w:u w:val="single"/>
          <w:lang w:eastAsia="bg-BG"/>
        </w:rPr>
      </w:pPr>
    </w:p>
    <w:p w14:paraId="0552012C" w14:textId="7C409862" w:rsidR="000F12EE" w:rsidRPr="000F12EE" w:rsidRDefault="000F12EE" w:rsidP="000F12EE">
      <w:pPr>
        <w:spacing w:line="240" w:lineRule="auto"/>
        <w:rPr>
          <w:rFonts w:eastAsia="Times New Roman" w:cs="Arial"/>
          <w:sz w:val="28"/>
          <w:szCs w:val="24"/>
        </w:rPr>
      </w:pPr>
      <w:r w:rsidRPr="000F12EE">
        <w:rPr>
          <w:rFonts w:eastAsia="Times New Roman" w:cs="Arial"/>
          <w:color w:val="000000"/>
          <w:szCs w:val="20"/>
          <w:u w:val="single"/>
          <w:lang w:eastAsia="bg-BG"/>
        </w:rPr>
        <w:lastRenderedPageBreak/>
        <w:t>Скрининг за рак на простатата</w:t>
      </w:r>
    </w:p>
    <w:p w14:paraId="3603A46A" w14:textId="77777777" w:rsidR="000F12EE" w:rsidRPr="000F12EE" w:rsidRDefault="000F12EE" w:rsidP="000F12EE">
      <w:pPr>
        <w:spacing w:line="240" w:lineRule="auto"/>
        <w:rPr>
          <w:rFonts w:eastAsia="Times New Roman" w:cs="Arial"/>
          <w:sz w:val="28"/>
          <w:szCs w:val="24"/>
        </w:rPr>
      </w:pPr>
      <w:r w:rsidRPr="000F12EE">
        <w:rPr>
          <w:rFonts w:eastAsia="Times New Roman" w:cs="Arial"/>
          <w:color w:val="000000"/>
          <w:szCs w:val="20"/>
          <w:lang w:eastAsia="bg-BG"/>
        </w:rPr>
        <w:t>Карциномът на простатата причинява много от симптомите, свързани с ДХП, като двете заболявания могат да протичат едновременно. Следователно трябва да се изключи възможността за рак на простата преди започване на лечение с доксазосин за лечение на ДХП.</w:t>
      </w:r>
    </w:p>
    <w:p w14:paraId="2CC9BB4E" w14:textId="77777777" w:rsidR="000F12EE" w:rsidRPr="000F12EE" w:rsidRDefault="000F12EE" w:rsidP="000F12EE">
      <w:pPr>
        <w:spacing w:line="240" w:lineRule="auto"/>
        <w:rPr>
          <w:rFonts w:eastAsia="Times New Roman" w:cs="Arial"/>
          <w:color w:val="000000"/>
          <w:szCs w:val="20"/>
          <w:lang w:eastAsia="bg-BG"/>
        </w:rPr>
      </w:pPr>
    </w:p>
    <w:p w14:paraId="44C74F86" w14:textId="38CD0871" w:rsidR="000F12EE" w:rsidRPr="000F12EE" w:rsidRDefault="000F12EE" w:rsidP="000F12EE">
      <w:pPr>
        <w:spacing w:line="240" w:lineRule="auto"/>
        <w:rPr>
          <w:rFonts w:eastAsia="Times New Roman" w:cs="Arial"/>
          <w:sz w:val="28"/>
          <w:szCs w:val="24"/>
        </w:rPr>
      </w:pPr>
      <w:r w:rsidRPr="000F12EE">
        <w:rPr>
          <w:rFonts w:eastAsia="Times New Roman" w:cs="Arial"/>
          <w:color w:val="000000"/>
          <w:szCs w:val="20"/>
          <w:lang w:eastAsia="bg-BG"/>
        </w:rPr>
        <w:t xml:space="preserve">Този лекарствен продукт съдържа лактоза. Пациенти с редки наследствени проблеми на галактозна непоносимост, </w:t>
      </w:r>
      <w:r w:rsidRPr="000F12EE">
        <w:rPr>
          <w:rFonts w:eastAsia="Times New Roman" w:cs="Arial"/>
          <w:color w:val="000000"/>
          <w:szCs w:val="20"/>
          <w:lang w:val="en-US"/>
        </w:rPr>
        <w:t>Lapp</w:t>
      </w:r>
      <w:r w:rsidRPr="000F12EE">
        <w:rPr>
          <w:rFonts w:eastAsia="Times New Roman" w:cs="Arial"/>
          <w:color w:val="000000"/>
          <w:szCs w:val="20"/>
          <w:lang w:val="ru-RU"/>
        </w:rPr>
        <w:t xml:space="preserve"> </w:t>
      </w:r>
      <w:r w:rsidRPr="000F12EE">
        <w:rPr>
          <w:rFonts w:eastAsia="Times New Roman" w:cs="Arial"/>
          <w:color w:val="000000"/>
          <w:szCs w:val="20"/>
          <w:lang w:eastAsia="bg-BG"/>
        </w:rPr>
        <w:t>лактазен дефицит или глюкозо-галактозна малабсорбция не трябва да приемат това лекарство.</w:t>
      </w:r>
    </w:p>
    <w:p w14:paraId="362042B1" w14:textId="77777777" w:rsidR="000F12EE" w:rsidRPr="000F12EE" w:rsidRDefault="000F12EE" w:rsidP="000F12EE">
      <w:pPr>
        <w:spacing w:line="240" w:lineRule="auto"/>
        <w:rPr>
          <w:rFonts w:eastAsia="Times New Roman" w:cs="Arial"/>
          <w:color w:val="000000"/>
          <w:szCs w:val="20"/>
          <w:lang w:eastAsia="bg-BG"/>
        </w:rPr>
      </w:pPr>
    </w:p>
    <w:p w14:paraId="2D42996E" w14:textId="52237A86" w:rsidR="000F12EE" w:rsidRPr="000F12EE" w:rsidRDefault="000F12EE" w:rsidP="000F12EE">
      <w:pPr>
        <w:spacing w:line="240" w:lineRule="auto"/>
        <w:rPr>
          <w:rFonts w:ascii="Times New Roman" w:eastAsia="Times New Roman" w:hAnsi="Times New Roman" w:cs="Times New Roman"/>
          <w:sz w:val="24"/>
          <w:szCs w:val="24"/>
        </w:rPr>
      </w:pPr>
      <w:r w:rsidRPr="000F12EE">
        <w:rPr>
          <w:rFonts w:eastAsia="Times New Roman" w:cs="Arial"/>
          <w:color w:val="000000"/>
          <w:szCs w:val="20"/>
          <w:lang w:eastAsia="bg-BG"/>
        </w:rPr>
        <w:t xml:space="preserve">Този лекарствен продукт съдържа по-малко от 1 </w:t>
      </w:r>
      <w:proofErr w:type="spellStart"/>
      <w:r w:rsidRPr="000F12EE">
        <w:rPr>
          <w:rFonts w:eastAsia="Times New Roman" w:cs="Arial"/>
          <w:color w:val="000000"/>
          <w:szCs w:val="20"/>
          <w:lang w:val="en-US"/>
        </w:rPr>
        <w:t>mmol</w:t>
      </w:r>
      <w:proofErr w:type="spellEnd"/>
      <w:r w:rsidRPr="000F12EE">
        <w:rPr>
          <w:rFonts w:eastAsia="Times New Roman" w:cs="Arial"/>
          <w:color w:val="000000"/>
          <w:szCs w:val="20"/>
          <w:lang w:val="ru-RU"/>
        </w:rPr>
        <w:t xml:space="preserve"> </w:t>
      </w:r>
      <w:r w:rsidRPr="000F12EE">
        <w:rPr>
          <w:rFonts w:eastAsia="Times New Roman" w:cs="Arial"/>
          <w:color w:val="000000"/>
          <w:szCs w:val="20"/>
          <w:lang w:eastAsia="bg-BG"/>
        </w:rPr>
        <w:t xml:space="preserve">натрий (23 </w:t>
      </w:r>
      <w:r w:rsidRPr="000F12EE">
        <w:rPr>
          <w:rFonts w:eastAsia="Times New Roman" w:cs="Arial"/>
          <w:color w:val="000000"/>
          <w:szCs w:val="20"/>
          <w:lang w:val="en-US"/>
        </w:rPr>
        <w:t>mg</w:t>
      </w:r>
      <w:r w:rsidRPr="000F12EE">
        <w:rPr>
          <w:rFonts w:eastAsia="Times New Roman" w:cs="Arial"/>
          <w:color w:val="000000"/>
          <w:szCs w:val="20"/>
          <w:lang w:val="ru-RU"/>
        </w:rPr>
        <w:t xml:space="preserve">) </w:t>
      </w:r>
      <w:r w:rsidRPr="000F12EE">
        <w:rPr>
          <w:rFonts w:eastAsia="Times New Roman" w:cs="Arial"/>
          <w:color w:val="000000"/>
          <w:szCs w:val="20"/>
          <w:lang w:eastAsia="bg-BG"/>
        </w:rPr>
        <w:t>на една таблетка, т.е. може да се каже,че практически не съдържа натрий.</w:t>
      </w:r>
    </w:p>
    <w:p w14:paraId="579EC7ED" w14:textId="77777777" w:rsidR="000F12EE" w:rsidRPr="000F12EE" w:rsidRDefault="000F12EE" w:rsidP="000F12EE"/>
    <w:p w14:paraId="0734264C" w14:textId="4EC51A3C" w:rsidR="007122AD" w:rsidRDefault="002C50EE" w:rsidP="00936AD0">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7A8C57F2" w14:textId="7516CB2F" w:rsidR="000F12EE" w:rsidRDefault="000F12EE" w:rsidP="000F12EE"/>
    <w:p w14:paraId="53D10623" w14:textId="77777777" w:rsidR="000F12EE" w:rsidRPr="000F12EE" w:rsidRDefault="000F12EE" w:rsidP="000F12EE">
      <w:pPr>
        <w:spacing w:line="240" w:lineRule="auto"/>
        <w:rPr>
          <w:rFonts w:eastAsia="Times New Roman" w:cs="Arial"/>
          <w:sz w:val="28"/>
          <w:szCs w:val="24"/>
        </w:rPr>
      </w:pPr>
      <w:r w:rsidRPr="000F12EE">
        <w:rPr>
          <w:rFonts w:eastAsia="Times New Roman" w:cs="Arial"/>
          <w:color w:val="000000"/>
          <w:szCs w:val="20"/>
          <w:lang w:eastAsia="bg-BG"/>
        </w:rPr>
        <w:t xml:space="preserve">Едновременното приложение на доксазосин и </w:t>
      </w:r>
      <w:r w:rsidRPr="000F12EE">
        <w:rPr>
          <w:rFonts w:eastAsia="Times New Roman" w:cs="Arial"/>
          <w:color w:val="000000"/>
          <w:szCs w:val="20"/>
          <w:lang w:val="en-US"/>
        </w:rPr>
        <w:t>PDE</w:t>
      </w:r>
      <w:r w:rsidRPr="000F12EE">
        <w:rPr>
          <w:rFonts w:eastAsia="Times New Roman" w:cs="Arial"/>
          <w:color w:val="000000"/>
          <w:szCs w:val="20"/>
          <w:lang w:val="ru-RU"/>
        </w:rPr>
        <w:t xml:space="preserve">-5 </w:t>
      </w:r>
      <w:r w:rsidRPr="000F12EE">
        <w:rPr>
          <w:rFonts w:eastAsia="Times New Roman" w:cs="Arial"/>
          <w:color w:val="000000"/>
          <w:szCs w:val="20"/>
          <w:lang w:eastAsia="bg-BG"/>
        </w:rPr>
        <w:t>инхибитор може да доведе до симптоматична хипотония при някои пациенти (вижте точка 4.4). Не са провеждани проучвания с лекарствени форми с удължено освобождаване на доксазосин.</w:t>
      </w:r>
    </w:p>
    <w:p w14:paraId="7358FEF0" w14:textId="77777777" w:rsidR="000F12EE" w:rsidRPr="000F12EE" w:rsidRDefault="000F12EE" w:rsidP="000F12EE">
      <w:pPr>
        <w:spacing w:line="240" w:lineRule="auto"/>
        <w:rPr>
          <w:rFonts w:eastAsia="Times New Roman" w:cs="Arial"/>
          <w:color w:val="000000"/>
          <w:szCs w:val="20"/>
          <w:lang w:eastAsia="bg-BG"/>
        </w:rPr>
      </w:pPr>
    </w:p>
    <w:p w14:paraId="14E56235" w14:textId="657C79C9" w:rsidR="000F12EE" w:rsidRPr="000F12EE" w:rsidRDefault="000F12EE" w:rsidP="000F12EE">
      <w:pPr>
        <w:spacing w:line="240" w:lineRule="auto"/>
        <w:rPr>
          <w:rFonts w:eastAsia="Times New Roman" w:cs="Arial"/>
          <w:sz w:val="28"/>
          <w:szCs w:val="24"/>
        </w:rPr>
      </w:pPr>
      <w:r w:rsidRPr="000F12EE">
        <w:rPr>
          <w:rFonts w:eastAsia="Times New Roman" w:cs="Arial"/>
          <w:color w:val="000000"/>
          <w:szCs w:val="20"/>
          <w:lang w:eastAsia="bg-BG"/>
        </w:rPr>
        <w:t xml:space="preserve">Доксазосин се свързва във висока степен с плазмените протеини (98%). </w:t>
      </w:r>
      <w:r w:rsidRPr="000F12EE">
        <w:rPr>
          <w:rFonts w:eastAsia="Times New Roman" w:cs="Arial"/>
          <w:i/>
          <w:iCs/>
          <w:color w:val="000000"/>
          <w:szCs w:val="20"/>
          <w:lang w:val="en-US"/>
        </w:rPr>
        <w:t>In</w:t>
      </w:r>
      <w:r w:rsidRPr="000F12EE">
        <w:rPr>
          <w:rFonts w:eastAsia="Times New Roman" w:cs="Arial"/>
          <w:i/>
          <w:iCs/>
          <w:color w:val="000000"/>
          <w:szCs w:val="20"/>
          <w:lang w:val="ru-RU"/>
        </w:rPr>
        <w:t xml:space="preserve"> </w:t>
      </w:r>
      <w:r w:rsidRPr="000F12EE">
        <w:rPr>
          <w:rFonts w:eastAsia="Times New Roman" w:cs="Arial"/>
          <w:i/>
          <w:iCs/>
          <w:color w:val="000000"/>
          <w:szCs w:val="20"/>
          <w:lang w:val="en-US"/>
        </w:rPr>
        <w:t>vitro</w:t>
      </w:r>
      <w:r w:rsidRPr="000F12EE">
        <w:rPr>
          <w:rFonts w:eastAsia="Times New Roman" w:cs="Arial"/>
          <w:color w:val="000000"/>
          <w:szCs w:val="20"/>
          <w:lang w:val="ru-RU"/>
        </w:rPr>
        <w:t xml:space="preserve"> </w:t>
      </w:r>
      <w:r w:rsidRPr="000F12EE">
        <w:rPr>
          <w:rFonts w:eastAsia="Times New Roman" w:cs="Arial"/>
          <w:color w:val="000000"/>
          <w:szCs w:val="20"/>
          <w:lang w:eastAsia="bg-BG"/>
        </w:rPr>
        <w:t>данни с човешка плазма показват, че доксазосин не повлиява свързването с плазмените протеини на дигоксин, варфарин, фенитоин или индометацин.</w:t>
      </w:r>
    </w:p>
    <w:p w14:paraId="081D09D5" w14:textId="77777777" w:rsidR="000F12EE" w:rsidRPr="000F12EE" w:rsidRDefault="000F12EE" w:rsidP="000F12EE">
      <w:pPr>
        <w:spacing w:line="240" w:lineRule="auto"/>
        <w:rPr>
          <w:rFonts w:eastAsia="Times New Roman" w:cs="Arial"/>
          <w:i/>
          <w:iCs/>
          <w:color w:val="000000"/>
          <w:szCs w:val="20"/>
          <w:lang w:val="en-US"/>
        </w:rPr>
      </w:pPr>
    </w:p>
    <w:p w14:paraId="3EF53789" w14:textId="3839451C" w:rsidR="000F12EE" w:rsidRPr="000F12EE" w:rsidRDefault="000F12EE" w:rsidP="000F12EE">
      <w:pPr>
        <w:spacing w:line="240" w:lineRule="auto"/>
        <w:rPr>
          <w:rFonts w:eastAsia="Times New Roman" w:cs="Arial"/>
          <w:sz w:val="28"/>
          <w:szCs w:val="24"/>
        </w:rPr>
      </w:pPr>
      <w:r w:rsidRPr="000F12EE">
        <w:rPr>
          <w:rFonts w:eastAsia="Times New Roman" w:cs="Arial"/>
          <w:i/>
          <w:iCs/>
          <w:color w:val="000000"/>
          <w:szCs w:val="20"/>
          <w:lang w:val="en-US"/>
        </w:rPr>
        <w:t>In</w:t>
      </w:r>
      <w:r w:rsidRPr="000F12EE">
        <w:rPr>
          <w:rFonts w:eastAsia="Times New Roman" w:cs="Arial"/>
          <w:i/>
          <w:iCs/>
          <w:color w:val="000000"/>
          <w:szCs w:val="20"/>
          <w:lang w:val="ru-RU"/>
        </w:rPr>
        <w:t xml:space="preserve"> </w:t>
      </w:r>
      <w:r w:rsidRPr="000F12EE">
        <w:rPr>
          <w:rFonts w:eastAsia="Times New Roman" w:cs="Arial"/>
          <w:i/>
          <w:iCs/>
          <w:color w:val="000000"/>
          <w:szCs w:val="20"/>
          <w:lang w:val="en-US"/>
        </w:rPr>
        <w:t>vitro</w:t>
      </w:r>
      <w:r w:rsidRPr="000F12EE">
        <w:rPr>
          <w:rFonts w:eastAsia="Times New Roman" w:cs="Arial"/>
          <w:color w:val="000000"/>
          <w:szCs w:val="20"/>
          <w:lang w:val="ru-RU"/>
        </w:rPr>
        <w:t xml:space="preserve"> </w:t>
      </w:r>
      <w:r w:rsidRPr="000F12EE">
        <w:rPr>
          <w:rFonts w:eastAsia="Times New Roman" w:cs="Arial"/>
          <w:color w:val="000000"/>
          <w:szCs w:val="20"/>
          <w:lang w:eastAsia="bg-BG"/>
        </w:rPr>
        <w:t xml:space="preserve">проучвания предполагат, че доксазосин е субстрат на цитохром Р450 ЗА4 </w:t>
      </w:r>
      <w:r w:rsidRPr="000F12EE">
        <w:rPr>
          <w:rFonts w:eastAsia="Times New Roman" w:cs="Arial"/>
          <w:color w:val="000000"/>
          <w:szCs w:val="20"/>
          <w:lang w:val="ru-RU"/>
        </w:rPr>
        <w:t>(</w:t>
      </w:r>
      <w:r w:rsidRPr="000F12EE">
        <w:rPr>
          <w:rFonts w:eastAsia="Times New Roman" w:cs="Arial"/>
          <w:color w:val="000000"/>
          <w:szCs w:val="20"/>
          <w:lang w:val="en-US"/>
        </w:rPr>
        <w:t>CYP</w:t>
      </w:r>
      <w:r w:rsidRPr="000F12EE">
        <w:rPr>
          <w:rFonts w:eastAsia="Times New Roman" w:cs="Arial"/>
          <w:color w:val="000000"/>
          <w:szCs w:val="20"/>
          <w:lang w:val="ru-RU"/>
        </w:rPr>
        <w:t xml:space="preserve"> </w:t>
      </w:r>
      <w:r w:rsidRPr="000F12EE">
        <w:rPr>
          <w:rFonts w:eastAsia="Times New Roman" w:cs="Arial"/>
          <w:color w:val="000000"/>
          <w:szCs w:val="20"/>
          <w:lang w:eastAsia="bg-BG"/>
        </w:rPr>
        <w:t xml:space="preserve">ЗА4). Необходимо е повишено внимание, когато доксазосин се прилага едновременно с мощен инхибитор на </w:t>
      </w:r>
      <w:r w:rsidRPr="000F12EE">
        <w:rPr>
          <w:rFonts w:eastAsia="Times New Roman" w:cs="Arial"/>
          <w:color w:val="000000"/>
          <w:szCs w:val="20"/>
          <w:lang w:val="en-US"/>
        </w:rPr>
        <w:t>CYP</w:t>
      </w:r>
      <w:r w:rsidRPr="000F12EE">
        <w:rPr>
          <w:rFonts w:eastAsia="Times New Roman" w:cs="Arial"/>
          <w:color w:val="000000"/>
          <w:szCs w:val="20"/>
          <w:lang w:val="ru-RU"/>
        </w:rPr>
        <w:t xml:space="preserve"> </w:t>
      </w:r>
      <w:r w:rsidRPr="000F12EE">
        <w:rPr>
          <w:rFonts w:eastAsia="Times New Roman" w:cs="Arial"/>
          <w:color w:val="000000"/>
          <w:szCs w:val="20"/>
          <w:lang w:eastAsia="bg-BG"/>
        </w:rPr>
        <w:t>ЗА4, като кларитромицин, индинавир, итраконазол, кетоконазол, нефазодон, нелфинавир, ритонавир, саквинавир, телмитромицин или вориконазол (вж. точка 5.2).</w:t>
      </w:r>
    </w:p>
    <w:p w14:paraId="20EEA739" w14:textId="77777777" w:rsidR="000F12EE" w:rsidRPr="000F12EE" w:rsidRDefault="000F12EE" w:rsidP="000F12EE">
      <w:pPr>
        <w:spacing w:line="240" w:lineRule="auto"/>
        <w:rPr>
          <w:rFonts w:eastAsia="Times New Roman" w:cs="Arial"/>
          <w:color w:val="000000"/>
          <w:szCs w:val="20"/>
          <w:lang w:eastAsia="bg-BG"/>
        </w:rPr>
      </w:pPr>
    </w:p>
    <w:p w14:paraId="60606A05" w14:textId="5D0EEEDE" w:rsidR="000F12EE" w:rsidRPr="000F12EE" w:rsidRDefault="000F12EE" w:rsidP="000F12EE">
      <w:pPr>
        <w:spacing w:line="240" w:lineRule="auto"/>
        <w:rPr>
          <w:rFonts w:eastAsia="Times New Roman" w:cs="Arial"/>
          <w:sz w:val="28"/>
          <w:szCs w:val="24"/>
        </w:rPr>
      </w:pPr>
      <w:r w:rsidRPr="000F12EE">
        <w:rPr>
          <w:rFonts w:eastAsia="Times New Roman" w:cs="Arial"/>
          <w:color w:val="000000"/>
          <w:szCs w:val="20"/>
          <w:lang w:eastAsia="bg-BG"/>
        </w:rPr>
        <w:t>В клиничната практика конвенционален доксазосин е бил прилаган, без да са наблюдавани нежелани лекарствени взаймодействия с тиазидни диуретици, фуроземид, бета-блокери,</w:t>
      </w:r>
    </w:p>
    <w:p w14:paraId="25F4EA15" w14:textId="77777777" w:rsidR="000F12EE" w:rsidRPr="000F12EE" w:rsidRDefault="000F12EE" w:rsidP="000F12EE">
      <w:pPr>
        <w:rPr>
          <w:rFonts w:eastAsia="Times New Roman" w:cs="Arial"/>
          <w:sz w:val="28"/>
          <w:szCs w:val="24"/>
        </w:rPr>
      </w:pPr>
      <w:r w:rsidRPr="000F12EE">
        <w:rPr>
          <w:rFonts w:eastAsia="Times New Roman" w:cs="Arial"/>
          <w:color w:val="000000"/>
          <w:szCs w:val="20"/>
          <w:lang w:eastAsia="bg-BG"/>
        </w:rPr>
        <w:t>нестероидни противовъзпалителни средства, антибиотици, перорални хипогликемични лекарства, урикозурични средства или антикоагуланти. Няма обаче данни от официални проучвания за лекарствени взаимодействия.</w:t>
      </w:r>
    </w:p>
    <w:p w14:paraId="2A1B962E" w14:textId="77777777" w:rsidR="000F12EE" w:rsidRPr="000F12EE" w:rsidRDefault="000F12EE" w:rsidP="000F12EE">
      <w:pPr>
        <w:spacing w:line="240" w:lineRule="auto"/>
        <w:rPr>
          <w:rFonts w:eastAsia="Times New Roman" w:cs="Arial"/>
          <w:color w:val="000000"/>
          <w:szCs w:val="20"/>
          <w:lang w:eastAsia="bg-BG"/>
        </w:rPr>
      </w:pPr>
    </w:p>
    <w:p w14:paraId="3FC4EA51" w14:textId="1E9DE309" w:rsidR="000F12EE" w:rsidRPr="000F12EE" w:rsidRDefault="000F12EE" w:rsidP="000F12EE">
      <w:pPr>
        <w:spacing w:line="240" w:lineRule="auto"/>
        <w:rPr>
          <w:rFonts w:eastAsia="Times New Roman" w:cs="Arial"/>
          <w:sz w:val="28"/>
          <w:szCs w:val="24"/>
        </w:rPr>
      </w:pPr>
      <w:r w:rsidRPr="000F12EE">
        <w:rPr>
          <w:rFonts w:eastAsia="Times New Roman" w:cs="Arial"/>
          <w:color w:val="000000"/>
          <w:szCs w:val="20"/>
          <w:lang w:eastAsia="bg-BG"/>
        </w:rPr>
        <w:t>Доксазосин потенцира понижаващото действие върху кръвното налягане на други алфа- блокери и други антихипертензивни лекарства.</w:t>
      </w:r>
    </w:p>
    <w:p w14:paraId="58F7344A" w14:textId="77777777" w:rsidR="000F12EE" w:rsidRPr="000F12EE" w:rsidRDefault="000F12EE" w:rsidP="000F12EE">
      <w:pPr>
        <w:spacing w:line="240" w:lineRule="auto"/>
        <w:rPr>
          <w:rFonts w:eastAsia="Times New Roman" w:cs="Arial"/>
          <w:color w:val="000000"/>
          <w:szCs w:val="20"/>
          <w:lang w:eastAsia="bg-BG"/>
        </w:rPr>
      </w:pPr>
    </w:p>
    <w:p w14:paraId="005DF23B" w14:textId="2F227BE1" w:rsidR="000F12EE" w:rsidRPr="000F12EE" w:rsidRDefault="000F12EE" w:rsidP="000F12EE">
      <w:pPr>
        <w:spacing w:line="240" w:lineRule="auto"/>
        <w:rPr>
          <w:rFonts w:eastAsia="Times New Roman" w:cs="Arial"/>
          <w:sz w:val="28"/>
          <w:szCs w:val="24"/>
        </w:rPr>
      </w:pPr>
      <w:r w:rsidRPr="000F12EE">
        <w:rPr>
          <w:rFonts w:eastAsia="Times New Roman" w:cs="Arial"/>
          <w:color w:val="000000"/>
          <w:szCs w:val="20"/>
          <w:lang w:eastAsia="bg-BG"/>
        </w:rPr>
        <w:t xml:space="preserve">В отворено, рандомизирано, плацебо-контролирано проучване с 22 здрави доброволци мъже, приложението на единична доза от 1 </w:t>
      </w:r>
      <w:r w:rsidRPr="000F12EE">
        <w:rPr>
          <w:rFonts w:eastAsia="Times New Roman" w:cs="Arial"/>
          <w:color w:val="000000"/>
          <w:szCs w:val="20"/>
          <w:lang w:val="en-US"/>
        </w:rPr>
        <w:t>mg</w:t>
      </w:r>
      <w:r w:rsidRPr="000F12EE">
        <w:rPr>
          <w:rFonts w:eastAsia="Times New Roman" w:cs="Arial"/>
          <w:color w:val="000000"/>
          <w:szCs w:val="20"/>
          <w:lang w:val="ru-RU"/>
        </w:rPr>
        <w:t xml:space="preserve"> </w:t>
      </w:r>
      <w:r w:rsidRPr="000F12EE">
        <w:rPr>
          <w:rFonts w:eastAsia="Times New Roman" w:cs="Arial"/>
          <w:color w:val="000000"/>
          <w:szCs w:val="20"/>
          <w:lang w:eastAsia="bg-BG"/>
        </w:rPr>
        <w:t xml:space="preserve">доксазосин в ден 1 от четиридневен период на приложение на перорален циметидин (400 </w:t>
      </w:r>
      <w:r w:rsidRPr="000F12EE">
        <w:rPr>
          <w:rFonts w:eastAsia="Times New Roman" w:cs="Arial"/>
          <w:color w:val="000000"/>
          <w:szCs w:val="20"/>
          <w:lang w:val="en-US"/>
        </w:rPr>
        <w:t>mg</w:t>
      </w:r>
      <w:r w:rsidRPr="000F12EE">
        <w:rPr>
          <w:rFonts w:eastAsia="Times New Roman" w:cs="Arial"/>
          <w:color w:val="000000"/>
          <w:szCs w:val="20"/>
          <w:lang w:val="ru-RU"/>
        </w:rPr>
        <w:t xml:space="preserve"> </w:t>
      </w:r>
      <w:r w:rsidRPr="000F12EE">
        <w:rPr>
          <w:rFonts w:eastAsia="Times New Roman" w:cs="Arial"/>
          <w:color w:val="000000"/>
          <w:szCs w:val="20"/>
          <w:lang w:eastAsia="bg-BG"/>
        </w:rPr>
        <w:t xml:space="preserve">два пъти дневно) е довел до 10% увеличение на средната </w:t>
      </w:r>
      <w:r w:rsidRPr="000F12EE">
        <w:rPr>
          <w:rFonts w:eastAsia="Times New Roman" w:cs="Arial"/>
          <w:color w:val="000000"/>
          <w:szCs w:val="20"/>
          <w:lang w:val="en-US"/>
        </w:rPr>
        <w:t>AUC</w:t>
      </w:r>
      <w:r w:rsidRPr="000F12EE">
        <w:rPr>
          <w:rFonts w:eastAsia="Times New Roman" w:cs="Arial"/>
          <w:color w:val="000000"/>
          <w:szCs w:val="20"/>
          <w:lang w:val="ru-RU"/>
        </w:rPr>
        <w:t xml:space="preserve"> </w:t>
      </w:r>
      <w:r w:rsidRPr="000F12EE">
        <w:rPr>
          <w:rFonts w:eastAsia="Times New Roman" w:cs="Arial"/>
          <w:color w:val="000000"/>
          <w:szCs w:val="20"/>
          <w:lang w:eastAsia="bg-BG"/>
        </w:rPr>
        <w:t>на доксазосин, без статистически значими промени в средната С</w:t>
      </w:r>
      <w:r w:rsidRPr="000F12EE">
        <w:rPr>
          <w:rFonts w:eastAsia="Times New Roman" w:cs="Arial"/>
          <w:color w:val="000000"/>
          <w:szCs w:val="20"/>
          <w:vertAlign w:val="subscript"/>
          <w:lang w:val="en-US"/>
        </w:rPr>
        <w:t>max</w:t>
      </w:r>
      <w:r w:rsidRPr="000F12EE">
        <w:rPr>
          <w:rFonts w:eastAsia="Times New Roman" w:cs="Arial"/>
          <w:color w:val="000000"/>
          <w:szCs w:val="20"/>
          <w:lang w:eastAsia="bg-BG"/>
        </w:rPr>
        <w:t xml:space="preserve"> и средния полуживот на доксазосин. 10%-ното увеличение на средната </w:t>
      </w:r>
      <w:r w:rsidRPr="000F12EE">
        <w:rPr>
          <w:rFonts w:eastAsia="Times New Roman" w:cs="Arial"/>
          <w:color w:val="000000"/>
          <w:szCs w:val="20"/>
          <w:lang w:val="en-US"/>
        </w:rPr>
        <w:t>AUC</w:t>
      </w:r>
      <w:r w:rsidRPr="000F12EE">
        <w:rPr>
          <w:rFonts w:eastAsia="Times New Roman" w:cs="Arial"/>
          <w:color w:val="000000"/>
          <w:szCs w:val="20"/>
          <w:lang w:val="ru-RU"/>
        </w:rPr>
        <w:t xml:space="preserve"> </w:t>
      </w:r>
      <w:r w:rsidRPr="000F12EE">
        <w:rPr>
          <w:rFonts w:eastAsia="Times New Roman" w:cs="Arial"/>
          <w:color w:val="000000"/>
          <w:szCs w:val="20"/>
          <w:lang w:eastAsia="bg-BG"/>
        </w:rPr>
        <w:t xml:space="preserve">на доксазосин, прилаган едновременно с циметидин, е в рамките на интериндивидуалната вариация (27%) на средната </w:t>
      </w:r>
      <w:r w:rsidRPr="000F12EE">
        <w:rPr>
          <w:rFonts w:eastAsia="Times New Roman" w:cs="Arial"/>
          <w:color w:val="000000"/>
          <w:szCs w:val="20"/>
          <w:lang w:val="en-US"/>
        </w:rPr>
        <w:t>AUC</w:t>
      </w:r>
      <w:r w:rsidRPr="000F12EE">
        <w:rPr>
          <w:rFonts w:eastAsia="Times New Roman" w:cs="Arial"/>
          <w:color w:val="000000"/>
          <w:szCs w:val="20"/>
          <w:lang w:val="ru-RU"/>
        </w:rPr>
        <w:t xml:space="preserve"> </w:t>
      </w:r>
      <w:r w:rsidRPr="000F12EE">
        <w:rPr>
          <w:rFonts w:eastAsia="Times New Roman" w:cs="Arial"/>
          <w:color w:val="000000"/>
          <w:szCs w:val="20"/>
          <w:lang w:eastAsia="bg-BG"/>
        </w:rPr>
        <w:t>за доксазосин, прилаган с плацебо.</w:t>
      </w:r>
    </w:p>
    <w:p w14:paraId="067DB60D" w14:textId="7E91F0BF" w:rsidR="000F12EE" w:rsidRPr="000F12EE" w:rsidRDefault="000F12EE" w:rsidP="000F12EE"/>
    <w:p w14:paraId="5D9F40EA" w14:textId="18F1E5B5" w:rsidR="007122AD" w:rsidRDefault="002C50EE" w:rsidP="00936AD0">
      <w:pPr>
        <w:pStyle w:val="Heading2"/>
      </w:pPr>
      <w:r>
        <w:lastRenderedPageBreak/>
        <w:t>4.6. Фертилитет, бременност и кърмене</w:t>
      </w:r>
    </w:p>
    <w:p w14:paraId="13060C1A" w14:textId="6A0AEF86" w:rsidR="000F12EE" w:rsidRDefault="000F12EE" w:rsidP="000F12EE"/>
    <w:p w14:paraId="24893C13" w14:textId="77777777" w:rsidR="000F12EE" w:rsidRPr="000F12EE" w:rsidRDefault="000F12EE" w:rsidP="000F12EE">
      <w:pPr>
        <w:pStyle w:val="Heading3"/>
        <w:rPr>
          <w:rFonts w:eastAsia="Times New Roman"/>
          <w:sz w:val="28"/>
          <w:u w:val="single"/>
        </w:rPr>
      </w:pPr>
      <w:r w:rsidRPr="000F12EE">
        <w:rPr>
          <w:rFonts w:eastAsia="Times New Roman"/>
          <w:u w:val="single"/>
          <w:lang w:eastAsia="bg-BG"/>
        </w:rPr>
        <w:t>Бременност</w:t>
      </w:r>
    </w:p>
    <w:p w14:paraId="465C47B7" w14:textId="77777777" w:rsidR="000F12EE" w:rsidRPr="000F12EE" w:rsidRDefault="000F12EE" w:rsidP="000F12EE">
      <w:pPr>
        <w:spacing w:line="240" w:lineRule="auto"/>
        <w:rPr>
          <w:rFonts w:eastAsia="Times New Roman" w:cs="Arial"/>
          <w:i/>
          <w:iCs/>
          <w:color w:val="000000"/>
          <w:szCs w:val="20"/>
          <w:lang w:eastAsia="bg-BG"/>
        </w:rPr>
      </w:pPr>
    </w:p>
    <w:p w14:paraId="3FD2584E" w14:textId="6C424BA1" w:rsidR="000F12EE" w:rsidRPr="000F12EE" w:rsidRDefault="000F12EE" w:rsidP="000F12EE">
      <w:pPr>
        <w:spacing w:line="240" w:lineRule="auto"/>
        <w:rPr>
          <w:rFonts w:eastAsia="Times New Roman" w:cs="Arial"/>
          <w:sz w:val="28"/>
          <w:szCs w:val="24"/>
        </w:rPr>
      </w:pPr>
      <w:r w:rsidRPr="000F12EE">
        <w:rPr>
          <w:rFonts w:eastAsia="Times New Roman" w:cs="Arial"/>
          <w:i/>
          <w:iCs/>
          <w:color w:val="000000"/>
          <w:szCs w:val="20"/>
          <w:lang w:eastAsia="bg-BG"/>
        </w:rPr>
        <w:t>Хипертония:</w:t>
      </w:r>
      <w:r w:rsidRPr="000F12EE">
        <w:rPr>
          <w:rFonts w:eastAsia="Times New Roman" w:cs="Arial"/>
          <w:color w:val="000000"/>
          <w:szCs w:val="20"/>
          <w:lang w:eastAsia="bg-BG"/>
        </w:rPr>
        <w:t xml:space="preserve"> Поради липса на адекватни и добре контролирани клинични изпитвания при бременни жени, безопасността на доксазосин по време на бременност не е установена. Следователно доксазосин трябва да се използва само когато потенциалната полза превишава риска.</w:t>
      </w:r>
    </w:p>
    <w:p w14:paraId="0392730B" w14:textId="77777777" w:rsidR="000F12EE" w:rsidRPr="000F12EE" w:rsidRDefault="000F12EE" w:rsidP="000F12EE">
      <w:pPr>
        <w:spacing w:line="240" w:lineRule="auto"/>
        <w:rPr>
          <w:rFonts w:eastAsia="Times New Roman" w:cs="Arial"/>
          <w:sz w:val="28"/>
          <w:szCs w:val="24"/>
        </w:rPr>
      </w:pPr>
      <w:r w:rsidRPr="000F12EE">
        <w:rPr>
          <w:rFonts w:eastAsia="Times New Roman" w:cs="Arial"/>
          <w:color w:val="000000"/>
          <w:szCs w:val="20"/>
          <w:lang w:eastAsia="bg-BG"/>
        </w:rPr>
        <w:t>Независимо, че не са наблюдавани тератогенни ефекти при проучвания с животни, при използване на изключително високи дози е наблюдавана намалена преживяемост на плода при животни, (вижте точка 5.3).</w:t>
      </w:r>
    </w:p>
    <w:p w14:paraId="6DE7AF70" w14:textId="77777777" w:rsidR="000F12EE" w:rsidRPr="000F12EE" w:rsidRDefault="000F12EE" w:rsidP="000F12EE">
      <w:pPr>
        <w:spacing w:line="240" w:lineRule="auto"/>
        <w:rPr>
          <w:rFonts w:eastAsia="Times New Roman" w:cs="Arial"/>
          <w:color w:val="000000"/>
          <w:szCs w:val="20"/>
          <w:u w:val="single"/>
          <w:lang w:eastAsia="bg-BG"/>
        </w:rPr>
      </w:pPr>
    </w:p>
    <w:p w14:paraId="24542425" w14:textId="0A7CB991" w:rsidR="000F12EE" w:rsidRPr="000F12EE" w:rsidRDefault="000F12EE" w:rsidP="000F12EE">
      <w:pPr>
        <w:pStyle w:val="Heading3"/>
        <w:rPr>
          <w:rFonts w:eastAsia="Times New Roman"/>
          <w:sz w:val="28"/>
          <w:u w:val="single"/>
        </w:rPr>
      </w:pPr>
      <w:r w:rsidRPr="000F12EE">
        <w:rPr>
          <w:rFonts w:eastAsia="Times New Roman"/>
          <w:u w:val="single"/>
          <w:lang w:eastAsia="bg-BG"/>
        </w:rPr>
        <w:t>Кърмене</w:t>
      </w:r>
    </w:p>
    <w:p w14:paraId="5686BFE6" w14:textId="77777777" w:rsidR="000F12EE" w:rsidRPr="000F12EE" w:rsidRDefault="000F12EE" w:rsidP="000F12EE">
      <w:pPr>
        <w:spacing w:line="240" w:lineRule="auto"/>
        <w:rPr>
          <w:rFonts w:eastAsia="Times New Roman" w:cs="Arial"/>
          <w:i/>
          <w:iCs/>
          <w:color w:val="000000"/>
          <w:szCs w:val="20"/>
          <w:lang w:eastAsia="bg-BG"/>
        </w:rPr>
      </w:pPr>
    </w:p>
    <w:p w14:paraId="4AFB6D4B" w14:textId="2A9CA586" w:rsidR="000F12EE" w:rsidRPr="000F12EE" w:rsidRDefault="000F12EE" w:rsidP="000F12EE">
      <w:pPr>
        <w:spacing w:line="240" w:lineRule="auto"/>
        <w:rPr>
          <w:rFonts w:eastAsia="Times New Roman" w:cs="Arial"/>
          <w:sz w:val="28"/>
          <w:szCs w:val="24"/>
        </w:rPr>
      </w:pPr>
      <w:r w:rsidRPr="000F12EE">
        <w:rPr>
          <w:rFonts w:eastAsia="Times New Roman" w:cs="Arial"/>
          <w:i/>
          <w:iCs/>
          <w:color w:val="000000"/>
          <w:szCs w:val="20"/>
          <w:lang w:eastAsia="bg-BG"/>
        </w:rPr>
        <w:t>Хипертония:</w:t>
      </w:r>
      <w:r w:rsidRPr="000F12EE">
        <w:rPr>
          <w:rFonts w:eastAsia="Times New Roman" w:cs="Arial"/>
          <w:color w:val="000000"/>
          <w:szCs w:val="20"/>
          <w:lang w:eastAsia="bg-BG"/>
        </w:rPr>
        <w:t xml:space="preserve"> Има доказателства, че екскрецията на доксазосин в кърмата е много ниска (с относителна доза на кърмене по-малко от 1%). Количеството на данните при хора, обаче, е много ограничено. Рискът за новороденото или кърмачето не може да бъде изключен и затова доксазосин трябва да се използва само когато по мнението на лекуващия лекар потенциалната полза превишава възможния риск.</w:t>
      </w:r>
    </w:p>
    <w:p w14:paraId="4093DCB8" w14:textId="77777777" w:rsidR="000F12EE" w:rsidRPr="000F12EE" w:rsidRDefault="000F12EE" w:rsidP="000F12EE"/>
    <w:p w14:paraId="5DD7A76D" w14:textId="5A828B10" w:rsidR="007122AD" w:rsidRDefault="002C50EE" w:rsidP="00936AD0">
      <w:pPr>
        <w:pStyle w:val="Heading2"/>
      </w:pPr>
      <w:r>
        <w:t>4.7. Ефекти върху способността за шофиране и работа с машини</w:t>
      </w:r>
    </w:p>
    <w:p w14:paraId="5D1DBF53" w14:textId="5941BD2D" w:rsidR="000F12EE" w:rsidRDefault="000F12EE" w:rsidP="000F12EE"/>
    <w:p w14:paraId="4A034203" w14:textId="511E609B" w:rsidR="000F12EE" w:rsidRDefault="000F12EE" w:rsidP="000F12EE">
      <w:pPr>
        <w:rPr>
          <w:lang w:eastAsia="bg-BG"/>
        </w:rPr>
      </w:pPr>
      <w:r w:rsidRPr="000F12EE">
        <w:rPr>
          <w:lang w:eastAsia="bg-BG"/>
        </w:rPr>
        <w:t>Способността за шофиране и работа с машини може да бъде нарушена, особено в началото на лечението.</w:t>
      </w:r>
    </w:p>
    <w:p w14:paraId="156CF14E" w14:textId="77777777" w:rsidR="000F12EE" w:rsidRPr="000F12EE" w:rsidRDefault="000F12EE" w:rsidP="000F12EE">
      <w:pPr>
        <w:rPr>
          <w:sz w:val="24"/>
          <w:szCs w:val="24"/>
        </w:rPr>
      </w:pPr>
    </w:p>
    <w:p w14:paraId="44CE30A3" w14:textId="0F71EC65" w:rsidR="007122AD" w:rsidRDefault="002C50EE" w:rsidP="00936AD0">
      <w:pPr>
        <w:pStyle w:val="Heading2"/>
      </w:pPr>
      <w:r>
        <w:t>4.8. Нежелани лекарствени реакции</w:t>
      </w:r>
    </w:p>
    <w:p w14:paraId="208694DE" w14:textId="6609C8A3" w:rsidR="000F12EE" w:rsidRDefault="000F12EE" w:rsidP="000F12EE"/>
    <w:p w14:paraId="62A14316" w14:textId="77777777" w:rsidR="000F12EE" w:rsidRPr="000F12EE" w:rsidRDefault="000F12EE" w:rsidP="000F12EE">
      <w:pPr>
        <w:rPr>
          <w:sz w:val="24"/>
          <w:szCs w:val="24"/>
        </w:rPr>
      </w:pPr>
      <w:r w:rsidRPr="000F12EE">
        <w:rPr>
          <w:lang w:eastAsia="bg-BG"/>
        </w:rPr>
        <w:t>Използваните честоти са определени, както следва: много чести (≥1/10), чести (≥ 1/100 до &lt; 1/10), нечести (≥ 1/1 000 до &lt; 1/100), редки (≥ 1/10 000 и &lt; 1/1 000), много редки (&lt; 1/10 000), с неизвестна честота (от наличните данни не може да бъде направена оценка).</w:t>
      </w:r>
    </w:p>
    <w:p w14:paraId="2062F3B4" w14:textId="5F979CC0" w:rsidR="000F12EE" w:rsidRDefault="000F12EE" w:rsidP="000F12EE"/>
    <w:tbl>
      <w:tblPr>
        <w:tblStyle w:val="TableGrid"/>
        <w:tblW w:w="0" w:type="auto"/>
        <w:tblLook w:val="04A0" w:firstRow="1" w:lastRow="0" w:firstColumn="1" w:lastColumn="0" w:noHBand="0" w:noVBand="1"/>
      </w:tblPr>
      <w:tblGrid>
        <w:gridCol w:w="3156"/>
        <w:gridCol w:w="3076"/>
        <w:gridCol w:w="3118"/>
      </w:tblGrid>
      <w:tr w:rsidR="000F12EE" w14:paraId="6FB46A2F" w14:textId="77777777" w:rsidTr="000F12EE">
        <w:tc>
          <w:tcPr>
            <w:tcW w:w="3192" w:type="dxa"/>
          </w:tcPr>
          <w:p w14:paraId="56BA9D99" w14:textId="69712742" w:rsidR="000F12EE" w:rsidRPr="000F12EE" w:rsidRDefault="000F12EE" w:rsidP="000F12EE">
            <w:proofErr w:type="spellStart"/>
            <w:r w:rsidRPr="000F12EE">
              <w:rPr>
                <w:b/>
                <w:bCs/>
                <w:szCs w:val="20"/>
                <w:lang w:val="en-US"/>
              </w:rPr>
              <w:t>MedDRA</w:t>
            </w:r>
            <w:proofErr w:type="spellEnd"/>
            <w:r w:rsidRPr="000F12EE">
              <w:rPr>
                <w:b/>
                <w:bCs/>
                <w:szCs w:val="20"/>
                <w:lang w:val="en-US"/>
              </w:rPr>
              <w:t xml:space="preserve"> </w:t>
            </w:r>
            <w:r w:rsidRPr="000F12EE">
              <w:rPr>
                <w:b/>
                <w:bCs/>
                <w:szCs w:val="20"/>
              </w:rPr>
              <w:t>системно-органни класове</w:t>
            </w:r>
          </w:p>
        </w:tc>
        <w:tc>
          <w:tcPr>
            <w:tcW w:w="3192" w:type="dxa"/>
          </w:tcPr>
          <w:p w14:paraId="503CCEB2" w14:textId="34FBF8ED" w:rsidR="000F12EE" w:rsidRPr="000F12EE" w:rsidRDefault="000F12EE" w:rsidP="000F12EE">
            <w:r w:rsidRPr="000F12EE">
              <w:rPr>
                <w:b/>
                <w:bCs/>
                <w:szCs w:val="20"/>
              </w:rPr>
              <w:t>Честота</w:t>
            </w:r>
          </w:p>
        </w:tc>
        <w:tc>
          <w:tcPr>
            <w:tcW w:w="3192" w:type="dxa"/>
          </w:tcPr>
          <w:p w14:paraId="47D273E1" w14:textId="41896FCB" w:rsidR="000F12EE" w:rsidRPr="000F12EE" w:rsidRDefault="000F12EE" w:rsidP="000F12EE">
            <w:r w:rsidRPr="000F12EE">
              <w:rPr>
                <w:b/>
                <w:bCs/>
                <w:szCs w:val="20"/>
              </w:rPr>
              <w:t>Нежелани лекарствени реакции</w:t>
            </w:r>
          </w:p>
        </w:tc>
      </w:tr>
      <w:tr w:rsidR="000F12EE" w14:paraId="22A32901" w14:textId="77777777" w:rsidTr="000F12EE">
        <w:tc>
          <w:tcPr>
            <w:tcW w:w="3192" w:type="dxa"/>
          </w:tcPr>
          <w:p w14:paraId="775A790B" w14:textId="50929477" w:rsidR="000F12EE" w:rsidRPr="000F12EE" w:rsidRDefault="000F12EE" w:rsidP="000F12EE">
            <w:r w:rsidRPr="000F12EE">
              <w:rPr>
                <w:i/>
                <w:iCs/>
                <w:szCs w:val="20"/>
              </w:rPr>
              <w:t>Инфекции и инфестации</w:t>
            </w:r>
          </w:p>
        </w:tc>
        <w:tc>
          <w:tcPr>
            <w:tcW w:w="3192" w:type="dxa"/>
          </w:tcPr>
          <w:p w14:paraId="64E29175" w14:textId="22566B47" w:rsidR="000F12EE" w:rsidRPr="000F12EE" w:rsidRDefault="000F12EE" w:rsidP="000F12EE">
            <w:r w:rsidRPr="000F12EE">
              <w:rPr>
                <w:szCs w:val="20"/>
              </w:rPr>
              <w:t>Чести</w:t>
            </w:r>
          </w:p>
        </w:tc>
        <w:tc>
          <w:tcPr>
            <w:tcW w:w="3192" w:type="dxa"/>
          </w:tcPr>
          <w:p w14:paraId="62F31616" w14:textId="685E58A9" w:rsidR="000F12EE" w:rsidRPr="000F12EE" w:rsidRDefault="000F12EE" w:rsidP="000F12EE">
            <w:r w:rsidRPr="000F12EE">
              <w:rPr>
                <w:szCs w:val="20"/>
              </w:rPr>
              <w:t>Инфекция на дихателните пътища, инфекция на пикочните пътища</w:t>
            </w:r>
          </w:p>
        </w:tc>
      </w:tr>
      <w:tr w:rsidR="000F12EE" w14:paraId="31694F0E" w14:textId="77777777" w:rsidTr="000F12EE">
        <w:tc>
          <w:tcPr>
            <w:tcW w:w="3192" w:type="dxa"/>
          </w:tcPr>
          <w:p w14:paraId="6868CB20" w14:textId="067C2B62" w:rsidR="000F12EE" w:rsidRPr="000F12EE" w:rsidRDefault="000F12EE" w:rsidP="000F12EE">
            <w:r w:rsidRPr="000F12EE">
              <w:rPr>
                <w:i/>
                <w:iCs/>
                <w:szCs w:val="20"/>
              </w:rPr>
              <w:t>Нарушения на кръвта и лимфната система</w:t>
            </w:r>
          </w:p>
        </w:tc>
        <w:tc>
          <w:tcPr>
            <w:tcW w:w="3192" w:type="dxa"/>
          </w:tcPr>
          <w:p w14:paraId="17457A92" w14:textId="6498F5DD" w:rsidR="000F12EE" w:rsidRPr="000F12EE" w:rsidRDefault="000F12EE" w:rsidP="000F12EE">
            <w:r w:rsidRPr="000F12EE">
              <w:rPr>
                <w:szCs w:val="20"/>
              </w:rPr>
              <w:t>Много редки</w:t>
            </w:r>
          </w:p>
        </w:tc>
        <w:tc>
          <w:tcPr>
            <w:tcW w:w="3192" w:type="dxa"/>
          </w:tcPr>
          <w:p w14:paraId="5F7BF4C0" w14:textId="5B1D0004" w:rsidR="000F12EE" w:rsidRPr="000F12EE" w:rsidRDefault="000F12EE" w:rsidP="000F12EE">
            <w:r w:rsidRPr="000F12EE">
              <w:rPr>
                <w:szCs w:val="20"/>
              </w:rPr>
              <w:t>Левкопения, тромбоцитопения</w:t>
            </w:r>
          </w:p>
        </w:tc>
      </w:tr>
      <w:tr w:rsidR="000F12EE" w14:paraId="2DF6F56F" w14:textId="77777777" w:rsidTr="000F12EE">
        <w:tc>
          <w:tcPr>
            <w:tcW w:w="3192" w:type="dxa"/>
          </w:tcPr>
          <w:p w14:paraId="300A95BE" w14:textId="02968667" w:rsidR="000F12EE" w:rsidRPr="000F12EE" w:rsidRDefault="000F12EE" w:rsidP="000F12EE">
            <w:r w:rsidRPr="000F12EE">
              <w:rPr>
                <w:i/>
                <w:iCs/>
                <w:szCs w:val="20"/>
              </w:rPr>
              <w:t>Нарушения на имунната система</w:t>
            </w:r>
          </w:p>
        </w:tc>
        <w:tc>
          <w:tcPr>
            <w:tcW w:w="3192" w:type="dxa"/>
          </w:tcPr>
          <w:p w14:paraId="211F62B5" w14:textId="63AED4F0" w:rsidR="000F12EE" w:rsidRPr="000F12EE" w:rsidRDefault="000F12EE" w:rsidP="000F12EE">
            <w:r w:rsidRPr="000F12EE">
              <w:rPr>
                <w:szCs w:val="20"/>
              </w:rPr>
              <w:t>Нечести</w:t>
            </w:r>
          </w:p>
        </w:tc>
        <w:tc>
          <w:tcPr>
            <w:tcW w:w="3192" w:type="dxa"/>
          </w:tcPr>
          <w:p w14:paraId="4C1A7492" w14:textId="452BEBE2" w:rsidR="000F12EE" w:rsidRPr="000F12EE" w:rsidRDefault="000F12EE" w:rsidP="000F12EE">
            <w:r w:rsidRPr="000F12EE">
              <w:rPr>
                <w:szCs w:val="20"/>
              </w:rPr>
              <w:t>Алергична лекарствена реакция</w:t>
            </w:r>
          </w:p>
        </w:tc>
      </w:tr>
      <w:tr w:rsidR="000F12EE" w14:paraId="2A4FC533" w14:textId="77777777" w:rsidTr="000F12EE">
        <w:tc>
          <w:tcPr>
            <w:tcW w:w="3192" w:type="dxa"/>
          </w:tcPr>
          <w:p w14:paraId="7632687B" w14:textId="41050EC6" w:rsidR="000F12EE" w:rsidRPr="000F12EE" w:rsidRDefault="000F12EE" w:rsidP="000F12EE">
            <w:r w:rsidRPr="000F12EE">
              <w:rPr>
                <w:i/>
                <w:iCs/>
                <w:szCs w:val="20"/>
              </w:rPr>
              <w:t>Нарушения на метаболизма и храненето</w:t>
            </w:r>
          </w:p>
        </w:tc>
        <w:tc>
          <w:tcPr>
            <w:tcW w:w="3192" w:type="dxa"/>
          </w:tcPr>
          <w:p w14:paraId="06DF29A1" w14:textId="7A149B51" w:rsidR="000F12EE" w:rsidRPr="000F12EE" w:rsidRDefault="000F12EE" w:rsidP="000F12EE">
            <w:r w:rsidRPr="000F12EE">
              <w:rPr>
                <w:szCs w:val="20"/>
              </w:rPr>
              <w:t>Нечести</w:t>
            </w:r>
          </w:p>
        </w:tc>
        <w:tc>
          <w:tcPr>
            <w:tcW w:w="3192" w:type="dxa"/>
          </w:tcPr>
          <w:p w14:paraId="3A4CAB2E" w14:textId="03976705" w:rsidR="000F12EE" w:rsidRPr="000F12EE" w:rsidRDefault="000F12EE" w:rsidP="000F12EE">
            <w:r w:rsidRPr="000F12EE">
              <w:rPr>
                <w:szCs w:val="20"/>
              </w:rPr>
              <w:t>Подагра, увеличен апетит, анорексия</w:t>
            </w:r>
          </w:p>
        </w:tc>
      </w:tr>
      <w:tr w:rsidR="000F12EE" w14:paraId="139A7EE4" w14:textId="77777777" w:rsidTr="000F12EE">
        <w:tc>
          <w:tcPr>
            <w:tcW w:w="3192" w:type="dxa"/>
          </w:tcPr>
          <w:p w14:paraId="514D05ED" w14:textId="6257D034" w:rsidR="000F12EE" w:rsidRPr="000F12EE" w:rsidRDefault="000F12EE" w:rsidP="000F12EE">
            <w:r w:rsidRPr="000F12EE">
              <w:rPr>
                <w:i/>
                <w:iCs/>
                <w:szCs w:val="20"/>
              </w:rPr>
              <w:t>Психични нарушения</w:t>
            </w:r>
          </w:p>
        </w:tc>
        <w:tc>
          <w:tcPr>
            <w:tcW w:w="3192" w:type="dxa"/>
          </w:tcPr>
          <w:p w14:paraId="12E92B1E" w14:textId="5DDB4D3B" w:rsidR="000F12EE" w:rsidRPr="000F12EE" w:rsidRDefault="000F12EE" w:rsidP="000F12EE">
            <w:r w:rsidRPr="000F12EE">
              <w:rPr>
                <w:szCs w:val="20"/>
              </w:rPr>
              <w:t>Нечести</w:t>
            </w:r>
          </w:p>
        </w:tc>
        <w:tc>
          <w:tcPr>
            <w:tcW w:w="3192" w:type="dxa"/>
          </w:tcPr>
          <w:p w14:paraId="1627E575" w14:textId="412EB151" w:rsidR="000F12EE" w:rsidRPr="000F12EE" w:rsidRDefault="000F12EE" w:rsidP="000F12EE">
            <w:r w:rsidRPr="000F12EE">
              <w:rPr>
                <w:szCs w:val="20"/>
              </w:rPr>
              <w:t>Възбуда, депресия, тревожност, безсъние, нервност</w:t>
            </w:r>
          </w:p>
        </w:tc>
      </w:tr>
      <w:tr w:rsidR="000F12EE" w14:paraId="184955CF" w14:textId="77777777" w:rsidTr="000F12EE">
        <w:tc>
          <w:tcPr>
            <w:tcW w:w="3192" w:type="dxa"/>
            <w:vMerge w:val="restart"/>
          </w:tcPr>
          <w:p w14:paraId="2902ABF3" w14:textId="40076F5E" w:rsidR="000F12EE" w:rsidRPr="000F12EE" w:rsidRDefault="000F12EE" w:rsidP="000F12EE">
            <w:r w:rsidRPr="000F12EE">
              <w:rPr>
                <w:i/>
                <w:iCs/>
                <w:szCs w:val="20"/>
              </w:rPr>
              <w:t>Нарушения на нервната система</w:t>
            </w:r>
          </w:p>
        </w:tc>
        <w:tc>
          <w:tcPr>
            <w:tcW w:w="3192" w:type="dxa"/>
          </w:tcPr>
          <w:p w14:paraId="668B48D1" w14:textId="78484B87" w:rsidR="000F12EE" w:rsidRPr="000F12EE" w:rsidRDefault="000F12EE" w:rsidP="000F12EE">
            <w:r w:rsidRPr="000F12EE">
              <w:rPr>
                <w:szCs w:val="20"/>
              </w:rPr>
              <w:t>Чести</w:t>
            </w:r>
          </w:p>
        </w:tc>
        <w:tc>
          <w:tcPr>
            <w:tcW w:w="3192" w:type="dxa"/>
          </w:tcPr>
          <w:p w14:paraId="087554F8" w14:textId="088666D8" w:rsidR="000F12EE" w:rsidRPr="000F12EE" w:rsidRDefault="000F12EE" w:rsidP="000F12EE">
            <w:r w:rsidRPr="000F12EE">
              <w:rPr>
                <w:szCs w:val="20"/>
              </w:rPr>
              <w:t>Сънливост, замаяност, главоболие</w:t>
            </w:r>
          </w:p>
        </w:tc>
      </w:tr>
      <w:tr w:rsidR="000F12EE" w14:paraId="151A9FF7" w14:textId="77777777" w:rsidTr="000F12EE">
        <w:tc>
          <w:tcPr>
            <w:tcW w:w="3192" w:type="dxa"/>
            <w:vMerge/>
          </w:tcPr>
          <w:p w14:paraId="506DA404" w14:textId="77777777" w:rsidR="000F12EE" w:rsidRPr="000F12EE" w:rsidRDefault="000F12EE" w:rsidP="000F12EE"/>
        </w:tc>
        <w:tc>
          <w:tcPr>
            <w:tcW w:w="3192" w:type="dxa"/>
          </w:tcPr>
          <w:p w14:paraId="193A01AD" w14:textId="2724160E" w:rsidR="000F12EE" w:rsidRPr="000F12EE" w:rsidRDefault="000F12EE" w:rsidP="000F12EE">
            <w:r w:rsidRPr="000F12EE">
              <w:rPr>
                <w:szCs w:val="20"/>
              </w:rPr>
              <w:t>Нечести</w:t>
            </w:r>
          </w:p>
        </w:tc>
        <w:tc>
          <w:tcPr>
            <w:tcW w:w="3192" w:type="dxa"/>
          </w:tcPr>
          <w:p w14:paraId="615F039E" w14:textId="2E6EE9A9" w:rsidR="000F12EE" w:rsidRPr="000F12EE" w:rsidRDefault="000F12EE" w:rsidP="000F12EE">
            <w:r w:rsidRPr="000F12EE">
              <w:rPr>
                <w:szCs w:val="20"/>
              </w:rPr>
              <w:t>Мозъчно-съдов инцидент, хипоестезия, синкоп, тремор</w:t>
            </w:r>
          </w:p>
        </w:tc>
      </w:tr>
      <w:tr w:rsidR="000F12EE" w14:paraId="474D62FC" w14:textId="77777777" w:rsidTr="000F12EE">
        <w:tc>
          <w:tcPr>
            <w:tcW w:w="3192" w:type="dxa"/>
            <w:vMerge/>
          </w:tcPr>
          <w:p w14:paraId="397778DC" w14:textId="77777777" w:rsidR="000F12EE" w:rsidRPr="000F12EE" w:rsidRDefault="000F12EE" w:rsidP="000F12EE"/>
        </w:tc>
        <w:tc>
          <w:tcPr>
            <w:tcW w:w="3192" w:type="dxa"/>
          </w:tcPr>
          <w:p w14:paraId="37645741" w14:textId="7006B250" w:rsidR="000F12EE" w:rsidRPr="000F12EE" w:rsidRDefault="000F12EE" w:rsidP="000F12EE">
            <w:r w:rsidRPr="000F12EE">
              <w:rPr>
                <w:szCs w:val="20"/>
              </w:rPr>
              <w:t>Много редки</w:t>
            </w:r>
          </w:p>
        </w:tc>
        <w:tc>
          <w:tcPr>
            <w:tcW w:w="3192" w:type="dxa"/>
          </w:tcPr>
          <w:p w14:paraId="1F742F75" w14:textId="4BF39090" w:rsidR="000F12EE" w:rsidRPr="000F12EE" w:rsidRDefault="000F12EE" w:rsidP="000F12EE">
            <w:r w:rsidRPr="000F12EE">
              <w:rPr>
                <w:szCs w:val="20"/>
              </w:rPr>
              <w:t>Постурална замаяност, парестезия</w:t>
            </w:r>
          </w:p>
        </w:tc>
      </w:tr>
      <w:tr w:rsidR="000F12EE" w14:paraId="3FD96623" w14:textId="77777777" w:rsidTr="000F12EE">
        <w:tc>
          <w:tcPr>
            <w:tcW w:w="3192" w:type="dxa"/>
            <w:vMerge w:val="restart"/>
          </w:tcPr>
          <w:p w14:paraId="7EDB4252" w14:textId="59FDB48F" w:rsidR="000F12EE" w:rsidRPr="000F12EE" w:rsidRDefault="000F12EE" w:rsidP="000F12EE">
            <w:r w:rsidRPr="000F12EE">
              <w:rPr>
                <w:i/>
                <w:iCs/>
                <w:szCs w:val="20"/>
              </w:rPr>
              <w:t>Нарушения на очите</w:t>
            </w:r>
          </w:p>
        </w:tc>
        <w:tc>
          <w:tcPr>
            <w:tcW w:w="3192" w:type="dxa"/>
          </w:tcPr>
          <w:p w14:paraId="3C8C4FC1" w14:textId="7504C064" w:rsidR="000F12EE" w:rsidRPr="000F12EE" w:rsidRDefault="000F12EE" w:rsidP="000F12EE">
            <w:r w:rsidRPr="000F12EE">
              <w:rPr>
                <w:szCs w:val="20"/>
              </w:rPr>
              <w:t>Много редки</w:t>
            </w:r>
          </w:p>
        </w:tc>
        <w:tc>
          <w:tcPr>
            <w:tcW w:w="3192" w:type="dxa"/>
          </w:tcPr>
          <w:p w14:paraId="6DDC84A3" w14:textId="5255B27D" w:rsidR="000F12EE" w:rsidRPr="000F12EE" w:rsidRDefault="000F12EE" w:rsidP="000F12EE">
            <w:r w:rsidRPr="000F12EE">
              <w:rPr>
                <w:szCs w:val="20"/>
              </w:rPr>
              <w:t>Замъглено зрение</w:t>
            </w:r>
          </w:p>
        </w:tc>
      </w:tr>
      <w:tr w:rsidR="000F12EE" w14:paraId="4A0C84B5" w14:textId="77777777" w:rsidTr="000F12EE">
        <w:tc>
          <w:tcPr>
            <w:tcW w:w="3192" w:type="dxa"/>
            <w:vMerge/>
          </w:tcPr>
          <w:p w14:paraId="12302F8C" w14:textId="77777777" w:rsidR="000F12EE" w:rsidRPr="000F12EE" w:rsidRDefault="000F12EE" w:rsidP="000F12EE"/>
        </w:tc>
        <w:tc>
          <w:tcPr>
            <w:tcW w:w="3192" w:type="dxa"/>
          </w:tcPr>
          <w:p w14:paraId="5D9CD7BD" w14:textId="3CAD507C" w:rsidR="000F12EE" w:rsidRPr="000F12EE" w:rsidRDefault="000F12EE" w:rsidP="000F12EE">
            <w:r w:rsidRPr="000F12EE">
              <w:rPr>
                <w:szCs w:val="20"/>
              </w:rPr>
              <w:t>С неизвестна честота</w:t>
            </w:r>
          </w:p>
        </w:tc>
        <w:tc>
          <w:tcPr>
            <w:tcW w:w="3192" w:type="dxa"/>
          </w:tcPr>
          <w:p w14:paraId="650D4B3E" w14:textId="5FF56E2D" w:rsidR="000F12EE" w:rsidRPr="000F12EE" w:rsidRDefault="000F12EE" w:rsidP="000F12EE">
            <w:r w:rsidRPr="000F12EE">
              <w:rPr>
                <w:szCs w:val="20"/>
              </w:rPr>
              <w:t>Интраоперативен флопи ирис синдром (вижте точка 4.4)</w:t>
            </w:r>
          </w:p>
        </w:tc>
      </w:tr>
      <w:tr w:rsidR="000F12EE" w14:paraId="682237D3" w14:textId="77777777" w:rsidTr="000F12EE">
        <w:tc>
          <w:tcPr>
            <w:tcW w:w="3192" w:type="dxa"/>
            <w:vMerge w:val="restart"/>
          </w:tcPr>
          <w:p w14:paraId="5D4BDEE8" w14:textId="659098F9" w:rsidR="000F12EE" w:rsidRPr="000F12EE" w:rsidRDefault="000F12EE" w:rsidP="000F12EE">
            <w:r w:rsidRPr="000F12EE">
              <w:rPr>
                <w:i/>
                <w:iCs/>
                <w:szCs w:val="20"/>
              </w:rPr>
              <w:t>Нарушения наухото и лабиринта</w:t>
            </w:r>
          </w:p>
        </w:tc>
        <w:tc>
          <w:tcPr>
            <w:tcW w:w="3192" w:type="dxa"/>
          </w:tcPr>
          <w:p w14:paraId="42B34B3D" w14:textId="7749867C" w:rsidR="000F12EE" w:rsidRPr="000F12EE" w:rsidRDefault="000F12EE" w:rsidP="000F12EE">
            <w:r w:rsidRPr="000F12EE">
              <w:rPr>
                <w:szCs w:val="20"/>
              </w:rPr>
              <w:t>Чести</w:t>
            </w:r>
          </w:p>
        </w:tc>
        <w:tc>
          <w:tcPr>
            <w:tcW w:w="3192" w:type="dxa"/>
          </w:tcPr>
          <w:p w14:paraId="735A3EA5" w14:textId="5AB930D1" w:rsidR="000F12EE" w:rsidRPr="000F12EE" w:rsidRDefault="000F12EE" w:rsidP="000F12EE">
            <w:r w:rsidRPr="000F12EE">
              <w:rPr>
                <w:szCs w:val="20"/>
              </w:rPr>
              <w:t>Вертиго</w:t>
            </w:r>
          </w:p>
        </w:tc>
      </w:tr>
      <w:tr w:rsidR="000F12EE" w14:paraId="1B7C2DF3" w14:textId="77777777" w:rsidTr="000F12EE">
        <w:tc>
          <w:tcPr>
            <w:tcW w:w="3192" w:type="dxa"/>
            <w:vMerge/>
          </w:tcPr>
          <w:p w14:paraId="03C48B79" w14:textId="77777777" w:rsidR="000F12EE" w:rsidRPr="000F12EE" w:rsidRDefault="000F12EE" w:rsidP="000F12EE"/>
        </w:tc>
        <w:tc>
          <w:tcPr>
            <w:tcW w:w="3192" w:type="dxa"/>
          </w:tcPr>
          <w:p w14:paraId="26275110" w14:textId="0D929FD0" w:rsidR="000F12EE" w:rsidRPr="000F12EE" w:rsidRDefault="000F12EE" w:rsidP="000F12EE">
            <w:r w:rsidRPr="000F12EE">
              <w:rPr>
                <w:szCs w:val="20"/>
              </w:rPr>
              <w:t>Нечести</w:t>
            </w:r>
          </w:p>
        </w:tc>
        <w:tc>
          <w:tcPr>
            <w:tcW w:w="3192" w:type="dxa"/>
          </w:tcPr>
          <w:p w14:paraId="4D5D9DD1" w14:textId="4D09B8E4" w:rsidR="000F12EE" w:rsidRPr="000F12EE" w:rsidRDefault="000F12EE" w:rsidP="000F12EE">
            <w:r w:rsidRPr="000F12EE">
              <w:rPr>
                <w:szCs w:val="20"/>
              </w:rPr>
              <w:t>Тинитус</w:t>
            </w:r>
          </w:p>
        </w:tc>
      </w:tr>
      <w:tr w:rsidR="000F12EE" w14:paraId="0949B023" w14:textId="77777777" w:rsidTr="000F12EE">
        <w:tc>
          <w:tcPr>
            <w:tcW w:w="3192" w:type="dxa"/>
            <w:vMerge w:val="restart"/>
          </w:tcPr>
          <w:p w14:paraId="05FB80A6" w14:textId="0906E3DD" w:rsidR="000F12EE" w:rsidRPr="000F12EE" w:rsidRDefault="000F12EE" w:rsidP="000F12EE">
            <w:r w:rsidRPr="000F12EE">
              <w:rPr>
                <w:i/>
                <w:iCs/>
                <w:szCs w:val="20"/>
              </w:rPr>
              <w:t>Сърдечни нарушения</w:t>
            </w:r>
          </w:p>
        </w:tc>
        <w:tc>
          <w:tcPr>
            <w:tcW w:w="3192" w:type="dxa"/>
          </w:tcPr>
          <w:p w14:paraId="1C830AB7" w14:textId="68605160" w:rsidR="000F12EE" w:rsidRPr="000F12EE" w:rsidRDefault="000F12EE" w:rsidP="000F12EE">
            <w:r w:rsidRPr="000F12EE">
              <w:rPr>
                <w:szCs w:val="20"/>
              </w:rPr>
              <w:t>Чести</w:t>
            </w:r>
          </w:p>
        </w:tc>
        <w:tc>
          <w:tcPr>
            <w:tcW w:w="3192" w:type="dxa"/>
          </w:tcPr>
          <w:p w14:paraId="6A3EE0F9" w14:textId="521EC3A3" w:rsidR="000F12EE" w:rsidRPr="000F12EE" w:rsidRDefault="000F12EE" w:rsidP="000F12EE">
            <w:r w:rsidRPr="000F12EE">
              <w:rPr>
                <w:szCs w:val="20"/>
              </w:rPr>
              <w:t>Сърцебиене, тахикардия</w:t>
            </w:r>
          </w:p>
        </w:tc>
      </w:tr>
      <w:tr w:rsidR="000F12EE" w14:paraId="6ED163D4" w14:textId="77777777" w:rsidTr="000F12EE">
        <w:tc>
          <w:tcPr>
            <w:tcW w:w="3192" w:type="dxa"/>
            <w:vMerge/>
          </w:tcPr>
          <w:p w14:paraId="6AF6F5F8" w14:textId="77777777" w:rsidR="000F12EE" w:rsidRPr="000F12EE" w:rsidRDefault="000F12EE" w:rsidP="000F12EE"/>
        </w:tc>
        <w:tc>
          <w:tcPr>
            <w:tcW w:w="3192" w:type="dxa"/>
          </w:tcPr>
          <w:p w14:paraId="1F472155" w14:textId="01443669" w:rsidR="000F12EE" w:rsidRPr="000F12EE" w:rsidRDefault="000F12EE" w:rsidP="000F12EE">
            <w:r w:rsidRPr="000F12EE">
              <w:rPr>
                <w:szCs w:val="20"/>
              </w:rPr>
              <w:t>Нечести</w:t>
            </w:r>
          </w:p>
        </w:tc>
        <w:tc>
          <w:tcPr>
            <w:tcW w:w="3192" w:type="dxa"/>
          </w:tcPr>
          <w:p w14:paraId="06D685A3" w14:textId="30E806BA" w:rsidR="000F12EE" w:rsidRPr="000F12EE" w:rsidRDefault="000F12EE" w:rsidP="000F12EE">
            <w:r w:rsidRPr="000F12EE">
              <w:rPr>
                <w:szCs w:val="20"/>
              </w:rPr>
              <w:t>Стенокардия, инфаркт на миокарда</w:t>
            </w:r>
          </w:p>
        </w:tc>
      </w:tr>
      <w:tr w:rsidR="000F12EE" w14:paraId="28BDFDB3" w14:textId="77777777" w:rsidTr="000F12EE">
        <w:tc>
          <w:tcPr>
            <w:tcW w:w="3192" w:type="dxa"/>
            <w:vMerge/>
          </w:tcPr>
          <w:p w14:paraId="71EF9CE5" w14:textId="77777777" w:rsidR="000F12EE" w:rsidRPr="000F12EE" w:rsidRDefault="000F12EE" w:rsidP="000F12EE"/>
        </w:tc>
        <w:tc>
          <w:tcPr>
            <w:tcW w:w="3192" w:type="dxa"/>
          </w:tcPr>
          <w:p w14:paraId="1062F827" w14:textId="5056EA55" w:rsidR="000F12EE" w:rsidRPr="000F12EE" w:rsidRDefault="000F12EE" w:rsidP="000F12EE">
            <w:r w:rsidRPr="000F12EE">
              <w:rPr>
                <w:szCs w:val="20"/>
              </w:rPr>
              <w:t>Много редки</w:t>
            </w:r>
          </w:p>
        </w:tc>
        <w:tc>
          <w:tcPr>
            <w:tcW w:w="3192" w:type="dxa"/>
          </w:tcPr>
          <w:p w14:paraId="3FD6A67E" w14:textId="31689F46" w:rsidR="000F12EE" w:rsidRPr="000F12EE" w:rsidRDefault="000F12EE" w:rsidP="000F12EE">
            <w:r w:rsidRPr="000F12EE">
              <w:rPr>
                <w:szCs w:val="20"/>
              </w:rPr>
              <w:t>Брадикардия, сърдечни аритмии</w:t>
            </w:r>
          </w:p>
        </w:tc>
      </w:tr>
      <w:tr w:rsidR="000F12EE" w14:paraId="75928F33" w14:textId="77777777" w:rsidTr="000F12EE">
        <w:tc>
          <w:tcPr>
            <w:tcW w:w="3192" w:type="dxa"/>
            <w:vMerge w:val="restart"/>
          </w:tcPr>
          <w:p w14:paraId="1BBA9246" w14:textId="440F9B6B" w:rsidR="000F12EE" w:rsidRPr="000F12EE" w:rsidRDefault="000F12EE" w:rsidP="000F12EE">
            <w:r w:rsidRPr="000F12EE">
              <w:rPr>
                <w:i/>
                <w:iCs/>
                <w:szCs w:val="20"/>
              </w:rPr>
              <w:t>Съдови нарушения</w:t>
            </w:r>
          </w:p>
        </w:tc>
        <w:tc>
          <w:tcPr>
            <w:tcW w:w="3192" w:type="dxa"/>
          </w:tcPr>
          <w:p w14:paraId="5F8A3D87" w14:textId="25CA293F" w:rsidR="000F12EE" w:rsidRPr="000F12EE" w:rsidRDefault="000F12EE" w:rsidP="000F12EE">
            <w:r w:rsidRPr="000F12EE">
              <w:rPr>
                <w:szCs w:val="20"/>
              </w:rPr>
              <w:t>Чести</w:t>
            </w:r>
          </w:p>
        </w:tc>
        <w:tc>
          <w:tcPr>
            <w:tcW w:w="3192" w:type="dxa"/>
          </w:tcPr>
          <w:p w14:paraId="5567436D" w14:textId="579D1367" w:rsidR="000F12EE" w:rsidRPr="000F12EE" w:rsidRDefault="000F12EE" w:rsidP="000F12EE">
            <w:r w:rsidRPr="000F12EE">
              <w:rPr>
                <w:szCs w:val="20"/>
              </w:rPr>
              <w:t>Хипотония, постурална хипотония</w:t>
            </w:r>
          </w:p>
        </w:tc>
      </w:tr>
      <w:tr w:rsidR="000F12EE" w14:paraId="0CD3F834" w14:textId="77777777" w:rsidTr="000F12EE">
        <w:tc>
          <w:tcPr>
            <w:tcW w:w="3192" w:type="dxa"/>
            <w:vMerge/>
          </w:tcPr>
          <w:p w14:paraId="128C993B" w14:textId="77777777" w:rsidR="000F12EE" w:rsidRPr="000F12EE" w:rsidRDefault="000F12EE" w:rsidP="000F12EE"/>
        </w:tc>
        <w:tc>
          <w:tcPr>
            <w:tcW w:w="3192" w:type="dxa"/>
          </w:tcPr>
          <w:p w14:paraId="36DF3018" w14:textId="3FFE3521" w:rsidR="000F12EE" w:rsidRPr="000F12EE" w:rsidRDefault="000F12EE" w:rsidP="000F12EE">
            <w:r w:rsidRPr="000F12EE">
              <w:rPr>
                <w:szCs w:val="20"/>
              </w:rPr>
              <w:t>Много редки</w:t>
            </w:r>
          </w:p>
        </w:tc>
        <w:tc>
          <w:tcPr>
            <w:tcW w:w="3192" w:type="dxa"/>
          </w:tcPr>
          <w:p w14:paraId="2B44E362" w14:textId="1648FD3F" w:rsidR="000F12EE" w:rsidRPr="000F12EE" w:rsidRDefault="000F12EE" w:rsidP="000F12EE">
            <w:r w:rsidRPr="000F12EE">
              <w:rPr>
                <w:szCs w:val="20"/>
              </w:rPr>
              <w:t>Горещи вълни</w:t>
            </w:r>
          </w:p>
        </w:tc>
      </w:tr>
      <w:tr w:rsidR="000F12EE" w14:paraId="6B19975C" w14:textId="77777777" w:rsidTr="000F12EE">
        <w:tc>
          <w:tcPr>
            <w:tcW w:w="3192" w:type="dxa"/>
            <w:vMerge w:val="restart"/>
          </w:tcPr>
          <w:p w14:paraId="3AE58EF3" w14:textId="09280D97" w:rsidR="000F12EE" w:rsidRPr="000F12EE" w:rsidRDefault="000F12EE" w:rsidP="000F12EE">
            <w:r w:rsidRPr="000F12EE">
              <w:rPr>
                <w:i/>
                <w:iCs/>
                <w:szCs w:val="20"/>
              </w:rPr>
              <w:t>Респираторни, гръдни и медиастинални нарушения</w:t>
            </w:r>
          </w:p>
        </w:tc>
        <w:tc>
          <w:tcPr>
            <w:tcW w:w="3192" w:type="dxa"/>
          </w:tcPr>
          <w:p w14:paraId="13A9D2A0" w14:textId="609E1A11" w:rsidR="000F12EE" w:rsidRPr="000F12EE" w:rsidRDefault="000F12EE" w:rsidP="000F12EE">
            <w:r w:rsidRPr="000F12EE">
              <w:rPr>
                <w:szCs w:val="20"/>
              </w:rPr>
              <w:t>Чести</w:t>
            </w:r>
          </w:p>
        </w:tc>
        <w:tc>
          <w:tcPr>
            <w:tcW w:w="3192" w:type="dxa"/>
          </w:tcPr>
          <w:p w14:paraId="75020F80" w14:textId="2C5AF191" w:rsidR="000F12EE" w:rsidRPr="000F12EE" w:rsidRDefault="000F12EE" w:rsidP="000F12EE">
            <w:r w:rsidRPr="000F12EE">
              <w:rPr>
                <w:szCs w:val="20"/>
              </w:rPr>
              <w:t>Бронхит, кашлица, диспнея, ринит</w:t>
            </w:r>
          </w:p>
        </w:tc>
      </w:tr>
      <w:tr w:rsidR="000F12EE" w14:paraId="2FAF5FD3" w14:textId="77777777" w:rsidTr="000F12EE">
        <w:tc>
          <w:tcPr>
            <w:tcW w:w="3192" w:type="dxa"/>
            <w:vMerge/>
          </w:tcPr>
          <w:p w14:paraId="4FD099FC" w14:textId="77777777" w:rsidR="000F12EE" w:rsidRPr="000F12EE" w:rsidRDefault="000F12EE" w:rsidP="000F12EE"/>
        </w:tc>
        <w:tc>
          <w:tcPr>
            <w:tcW w:w="3192" w:type="dxa"/>
          </w:tcPr>
          <w:p w14:paraId="10B0323D" w14:textId="37F21707" w:rsidR="000F12EE" w:rsidRPr="000F12EE" w:rsidRDefault="000F12EE" w:rsidP="000F12EE">
            <w:r w:rsidRPr="000F12EE">
              <w:rPr>
                <w:szCs w:val="20"/>
              </w:rPr>
              <w:t>Нечести</w:t>
            </w:r>
          </w:p>
        </w:tc>
        <w:tc>
          <w:tcPr>
            <w:tcW w:w="3192" w:type="dxa"/>
          </w:tcPr>
          <w:p w14:paraId="528411E5" w14:textId="5D6A28BB" w:rsidR="000F12EE" w:rsidRPr="000F12EE" w:rsidRDefault="000F12EE" w:rsidP="000F12EE">
            <w:r w:rsidRPr="000F12EE">
              <w:rPr>
                <w:szCs w:val="20"/>
              </w:rPr>
              <w:t>Епистаксис</w:t>
            </w:r>
          </w:p>
        </w:tc>
      </w:tr>
      <w:tr w:rsidR="000F12EE" w14:paraId="1140C37A" w14:textId="77777777" w:rsidTr="000F12EE">
        <w:tc>
          <w:tcPr>
            <w:tcW w:w="3192" w:type="dxa"/>
            <w:vMerge/>
          </w:tcPr>
          <w:p w14:paraId="75FBEF20" w14:textId="77777777" w:rsidR="000F12EE" w:rsidRPr="000F12EE" w:rsidRDefault="000F12EE" w:rsidP="000F12EE"/>
        </w:tc>
        <w:tc>
          <w:tcPr>
            <w:tcW w:w="3192" w:type="dxa"/>
          </w:tcPr>
          <w:p w14:paraId="5D1197C8" w14:textId="4CA968D2" w:rsidR="000F12EE" w:rsidRPr="000F12EE" w:rsidRDefault="000F12EE" w:rsidP="000F12EE">
            <w:r w:rsidRPr="000F12EE">
              <w:rPr>
                <w:szCs w:val="20"/>
              </w:rPr>
              <w:t>Много редки</w:t>
            </w:r>
          </w:p>
        </w:tc>
        <w:tc>
          <w:tcPr>
            <w:tcW w:w="3192" w:type="dxa"/>
          </w:tcPr>
          <w:p w14:paraId="06F8C8EC" w14:textId="1A2726CB" w:rsidR="000F12EE" w:rsidRPr="000F12EE" w:rsidRDefault="000F12EE" w:rsidP="000F12EE">
            <w:r w:rsidRPr="000F12EE">
              <w:rPr>
                <w:szCs w:val="20"/>
              </w:rPr>
              <w:t>Бронхоспазъм</w:t>
            </w:r>
          </w:p>
        </w:tc>
      </w:tr>
      <w:tr w:rsidR="000F12EE" w14:paraId="1E893F28" w14:textId="77777777" w:rsidTr="000F12EE">
        <w:tc>
          <w:tcPr>
            <w:tcW w:w="3192" w:type="dxa"/>
            <w:vMerge w:val="restart"/>
          </w:tcPr>
          <w:p w14:paraId="7C97EC91" w14:textId="6B07FFCD" w:rsidR="000F12EE" w:rsidRPr="000F12EE" w:rsidRDefault="000F12EE" w:rsidP="000F12EE">
            <w:r w:rsidRPr="000F12EE">
              <w:rPr>
                <w:i/>
                <w:iCs/>
                <w:szCs w:val="20"/>
              </w:rPr>
              <w:t>Стомашно-чревни нарушения</w:t>
            </w:r>
          </w:p>
        </w:tc>
        <w:tc>
          <w:tcPr>
            <w:tcW w:w="3192" w:type="dxa"/>
          </w:tcPr>
          <w:p w14:paraId="6B5B814A" w14:textId="2CED554F" w:rsidR="000F12EE" w:rsidRPr="000F12EE" w:rsidRDefault="000F12EE" w:rsidP="000F12EE">
            <w:r w:rsidRPr="000F12EE">
              <w:rPr>
                <w:szCs w:val="20"/>
              </w:rPr>
              <w:t>Чести</w:t>
            </w:r>
          </w:p>
        </w:tc>
        <w:tc>
          <w:tcPr>
            <w:tcW w:w="3192" w:type="dxa"/>
          </w:tcPr>
          <w:p w14:paraId="307BF596" w14:textId="27EE78AA" w:rsidR="000F12EE" w:rsidRPr="000F12EE" w:rsidRDefault="000F12EE" w:rsidP="000F12EE">
            <w:r w:rsidRPr="000F12EE">
              <w:rPr>
                <w:szCs w:val="20"/>
              </w:rPr>
              <w:t>Коремна болка, диспепсия, сухота в устата, гадене</w:t>
            </w:r>
          </w:p>
        </w:tc>
      </w:tr>
      <w:tr w:rsidR="000F12EE" w14:paraId="72EF26DE" w14:textId="77777777" w:rsidTr="000F12EE">
        <w:tc>
          <w:tcPr>
            <w:tcW w:w="3192" w:type="dxa"/>
            <w:vMerge/>
          </w:tcPr>
          <w:p w14:paraId="124895D6" w14:textId="77777777" w:rsidR="000F12EE" w:rsidRPr="000F12EE" w:rsidRDefault="000F12EE" w:rsidP="000F12EE"/>
        </w:tc>
        <w:tc>
          <w:tcPr>
            <w:tcW w:w="3192" w:type="dxa"/>
          </w:tcPr>
          <w:p w14:paraId="05A8DDFB" w14:textId="0297D7BF" w:rsidR="000F12EE" w:rsidRPr="000F12EE" w:rsidRDefault="000F12EE" w:rsidP="000F12EE">
            <w:r w:rsidRPr="000F12EE">
              <w:rPr>
                <w:szCs w:val="20"/>
              </w:rPr>
              <w:t>Нечести</w:t>
            </w:r>
          </w:p>
        </w:tc>
        <w:tc>
          <w:tcPr>
            <w:tcW w:w="3192" w:type="dxa"/>
          </w:tcPr>
          <w:p w14:paraId="3A58923E" w14:textId="163C6087" w:rsidR="000F12EE" w:rsidRPr="000F12EE" w:rsidRDefault="000F12EE" w:rsidP="000F12EE">
            <w:r w:rsidRPr="000F12EE">
              <w:rPr>
                <w:szCs w:val="20"/>
              </w:rPr>
              <w:t>Запек, флатуленция, повръщане, гастроентерит, диария</w:t>
            </w:r>
          </w:p>
        </w:tc>
      </w:tr>
      <w:tr w:rsidR="000F12EE" w14:paraId="291946A8" w14:textId="77777777" w:rsidTr="000F12EE">
        <w:tc>
          <w:tcPr>
            <w:tcW w:w="3192" w:type="dxa"/>
            <w:vMerge w:val="restart"/>
          </w:tcPr>
          <w:p w14:paraId="5BB30463" w14:textId="44A2027C" w:rsidR="000F12EE" w:rsidRPr="000F12EE" w:rsidRDefault="000F12EE" w:rsidP="000F12EE">
            <w:r w:rsidRPr="000F12EE">
              <w:rPr>
                <w:i/>
                <w:iCs/>
                <w:szCs w:val="20"/>
              </w:rPr>
              <w:t>Хепато-билиарни нарушения</w:t>
            </w:r>
          </w:p>
        </w:tc>
        <w:tc>
          <w:tcPr>
            <w:tcW w:w="3192" w:type="dxa"/>
          </w:tcPr>
          <w:p w14:paraId="7DBC3FF9" w14:textId="16462C56" w:rsidR="000F12EE" w:rsidRPr="000F12EE" w:rsidRDefault="000F12EE" w:rsidP="000F12EE">
            <w:r w:rsidRPr="000F12EE">
              <w:rPr>
                <w:szCs w:val="20"/>
              </w:rPr>
              <w:t>Нечести</w:t>
            </w:r>
          </w:p>
        </w:tc>
        <w:tc>
          <w:tcPr>
            <w:tcW w:w="3192" w:type="dxa"/>
          </w:tcPr>
          <w:p w14:paraId="39EF36E2" w14:textId="1D1F9831" w:rsidR="000F12EE" w:rsidRPr="000F12EE" w:rsidRDefault="000F12EE" w:rsidP="000F12EE">
            <w:r w:rsidRPr="000F12EE">
              <w:rPr>
                <w:szCs w:val="20"/>
              </w:rPr>
              <w:t>Абнормни резултати от изследвания на чернодробната функция</w:t>
            </w:r>
          </w:p>
        </w:tc>
      </w:tr>
      <w:tr w:rsidR="000F12EE" w14:paraId="660BD02D" w14:textId="77777777" w:rsidTr="000F12EE">
        <w:tc>
          <w:tcPr>
            <w:tcW w:w="3192" w:type="dxa"/>
            <w:vMerge/>
          </w:tcPr>
          <w:p w14:paraId="49B86A9B" w14:textId="77777777" w:rsidR="000F12EE" w:rsidRPr="000F12EE" w:rsidRDefault="000F12EE" w:rsidP="000F12EE"/>
        </w:tc>
        <w:tc>
          <w:tcPr>
            <w:tcW w:w="3192" w:type="dxa"/>
          </w:tcPr>
          <w:p w14:paraId="42DE9267" w14:textId="601E4513" w:rsidR="000F12EE" w:rsidRPr="000F12EE" w:rsidRDefault="000F12EE" w:rsidP="000F12EE">
            <w:r w:rsidRPr="000F12EE">
              <w:rPr>
                <w:szCs w:val="20"/>
              </w:rPr>
              <w:t>Много редки</w:t>
            </w:r>
          </w:p>
        </w:tc>
        <w:tc>
          <w:tcPr>
            <w:tcW w:w="3192" w:type="dxa"/>
          </w:tcPr>
          <w:p w14:paraId="6FA347F1" w14:textId="044CC95D" w:rsidR="000F12EE" w:rsidRPr="000F12EE" w:rsidRDefault="000F12EE" w:rsidP="000F12EE">
            <w:r w:rsidRPr="000F12EE">
              <w:rPr>
                <w:szCs w:val="20"/>
              </w:rPr>
              <w:t>Холестаза, хепатит, жълтеница</w:t>
            </w:r>
          </w:p>
        </w:tc>
      </w:tr>
      <w:tr w:rsidR="000F12EE" w14:paraId="50911A2D" w14:textId="77777777" w:rsidTr="000F12EE">
        <w:tc>
          <w:tcPr>
            <w:tcW w:w="3192" w:type="dxa"/>
            <w:vMerge w:val="restart"/>
          </w:tcPr>
          <w:p w14:paraId="6E3E3047" w14:textId="10D5B800" w:rsidR="000F12EE" w:rsidRPr="000F12EE" w:rsidRDefault="000F12EE" w:rsidP="000F12EE">
            <w:r w:rsidRPr="000F12EE">
              <w:rPr>
                <w:i/>
                <w:iCs/>
                <w:szCs w:val="20"/>
              </w:rPr>
              <w:t>Нарушения на кожата и подкожната тъкан</w:t>
            </w:r>
          </w:p>
        </w:tc>
        <w:tc>
          <w:tcPr>
            <w:tcW w:w="3192" w:type="dxa"/>
          </w:tcPr>
          <w:p w14:paraId="62CEFD24" w14:textId="720088DA" w:rsidR="000F12EE" w:rsidRPr="000F12EE" w:rsidRDefault="000F12EE" w:rsidP="000F12EE">
            <w:r w:rsidRPr="000F12EE">
              <w:rPr>
                <w:szCs w:val="20"/>
              </w:rPr>
              <w:t>Чести</w:t>
            </w:r>
          </w:p>
        </w:tc>
        <w:tc>
          <w:tcPr>
            <w:tcW w:w="3192" w:type="dxa"/>
          </w:tcPr>
          <w:p w14:paraId="39D236E7" w14:textId="198EFD85" w:rsidR="000F12EE" w:rsidRPr="000F12EE" w:rsidRDefault="000F12EE" w:rsidP="000F12EE">
            <w:r w:rsidRPr="000F12EE">
              <w:rPr>
                <w:szCs w:val="20"/>
              </w:rPr>
              <w:t>Пруритус</w:t>
            </w:r>
          </w:p>
        </w:tc>
      </w:tr>
      <w:tr w:rsidR="000F12EE" w14:paraId="16D9C2DB" w14:textId="77777777" w:rsidTr="000F12EE">
        <w:tc>
          <w:tcPr>
            <w:tcW w:w="3192" w:type="dxa"/>
            <w:vMerge/>
          </w:tcPr>
          <w:p w14:paraId="69A61D84" w14:textId="77777777" w:rsidR="000F12EE" w:rsidRPr="000F12EE" w:rsidRDefault="000F12EE" w:rsidP="000F12EE"/>
        </w:tc>
        <w:tc>
          <w:tcPr>
            <w:tcW w:w="3192" w:type="dxa"/>
          </w:tcPr>
          <w:p w14:paraId="24C743BF" w14:textId="1DA0A791" w:rsidR="000F12EE" w:rsidRPr="000F12EE" w:rsidRDefault="000F12EE" w:rsidP="000F12EE">
            <w:r w:rsidRPr="000F12EE">
              <w:rPr>
                <w:szCs w:val="20"/>
              </w:rPr>
              <w:t>Нечести</w:t>
            </w:r>
          </w:p>
        </w:tc>
        <w:tc>
          <w:tcPr>
            <w:tcW w:w="3192" w:type="dxa"/>
          </w:tcPr>
          <w:p w14:paraId="0B7EB45B" w14:textId="37492DC2" w:rsidR="000F12EE" w:rsidRPr="000F12EE" w:rsidRDefault="000F12EE" w:rsidP="000F12EE">
            <w:r w:rsidRPr="000F12EE">
              <w:rPr>
                <w:szCs w:val="20"/>
              </w:rPr>
              <w:t>Кожен обрив</w:t>
            </w:r>
          </w:p>
        </w:tc>
      </w:tr>
      <w:tr w:rsidR="000F12EE" w14:paraId="2F801981" w14:textId="77777777" w:rsidTr="000F12EE">
        <w:tc>
          <w:tcPr>
            <w:tcW w:w="3192" w:type="dxa"/>
            <w:vMerge/>
          </w:tcPr>
          <w:p w14:paraId="3B14FD16" w14:textId="77777777" w:rsidR="000F12EE" w:rsidRPr="000F12EE" w:rsidRDefault="000F12EE" w:rsidP="000F12EE"/>
        </w:tc>
        <w:tc>
          <w:tcPr>
            <w:tcW w:w="3192" w:type="dxa"/>
          </w:tcPr>
          <w:p w14:paraId="2F3E114E" w14:textId="0D6D3B47" w:rsidR="000F12EE" w:rsidRPr="000F12EE" w:rsidRDefault="000F12EE" w:rsidP="000F12EE">
            <w:r w:rsidRPr="000F12EE">
              <w:rPr>
                <w:szCs w:val="20"/>
              </w:rPr>
              <w:t>Много редки</w:t>
            </w:r>
          </w:p>
        </w:tc>
        <w:tc>
          <w:tcPr>
            <w:tcW w:w="3192" w:type="dxa"/>
          </w:tcPr>
          <w:p w14:paraId="7B2AAEC8" w14:textId="3287D76E" w:rsidR="000F12EE" w:rsidRPr="000F12EE" w:rsidRDefault="000F12EE" w:rsidP="000F12EE">
            <w:r w:rsidRPr="000F12EE">
              <w:rPr>
                <w:szCs w:val="20"/>
              </w:rPr>
              <w:t>Уртикария, алопеция, пурпура</w:t>
            </w:r>
          </w:p>
        </w:tc>
      </w:tr>
      <w:tr w:rsidR="000F12EE" w14:paraId="09DDF08D" w14:textId="77777777" w:rsidTr="000F12EE">
        <w:tc>
          <w:tcPr>
            <w:tcW w:w="3192" w:type="dxa"/>
            <w:vMerge w:val="restart"/>
          </w:tcPr>
          <w:p w14:paraId="605F449A" w14:textId="20605920" w:rsidR="000F12EE" w:rsidRPr="000F12EE" w:rsidRDefault="000F12EE" w:rsidP="000F12EE">
            <w:r w:rsidRPr="000F12EE">
              <w:rPr>
                <w:i/>
                <w:iCs/>
                <w:szCs w:val="20"/>
              </w:rPr>
              <w:t>Нарушения на мускулно- скелетната система и съединителната тъкан</w:t>
            </w:r>
          </w:p>
        </w:tc>
        <w:tc>
          <w:tcPr>
            <w:tcW w:w="3192" w:type="dxa"/>
          </w:tcPr>
          <w:p w14:paraId="41D7A083" w14:textId="2B47E303" w:rsidR="000F12EE" w:rsidRPr="000F12EE" w:rsidRDefault="000F12EE" w:rsidP="000F12EE">
            <w:r w:rsidRPr="000F12EE">
              <w:rPr>
                <w:szCs w:val="20"/>
              </w:rPr>
              <w:t>Чести</w:t>
            </w:r>
          </w:p>
        </w:tc>
        <w:tc>
          <w:tcPr>
            <w:tcW w:w="3192" w:type="dxa"/>
          </w:tcPr>
          <w:p w14:paraId="08358FE5" w14:textId="7FDCC161" w:rsidR="000F12EE" w:rsidRPr="000F12EE" w:rsidRDefault="000F12EE" w:rsidP="000F12EE">
            <w:r w:rsidRPr="000F12EE">
              <w:rPr>
                <w:szCs w:val="20"/>
              </w:rPr>
              <w:t>Болки в гърба, миалгия</w:t>
            </w:r>
          </w:p>
        </w:tc>
      </w:tr>
      <w:tr w:rsidR="000F12EE" w14:paraId="5A61623F" w14:textId="77777777" w:rsidTr="000F12EE">
        <w:tc>
          <w:tcPr>
            <w:tcW w:w="3192" w:type="dxa"/>
            <w:vMerge/>
          </w:tcPr>
          <w:p w14:paraId="22621915" w14:textId="77777777" w:rsidR="000F12EE" w:rsidRPr="000F12EE" w:rsidRDefault="000F12EE" w:rsidP="000F12EE"/>
        </w:tc>
        <w:tc>
          <w:tcPr>
            <w:tcW w:w="3192" w:type="dxa"/>
          </w:tcPr>
          <w:p w14:paraId="2868F586" w14:textId="52F39787" w:rsidR="000F12EE" w:rsidRPr="000F12EE" w:rsidRDefault="000F12EE" w:rsidP="000F12EE">
            <w:r w:rsidRPr="000F12EE">
              <w:rPr>
                <w:szCs w:val="20"/>
              </w:rPr>
              <w:t>Нечести</w:t>
            </w:r>
          </w:p>
        </w:tc>
        <w:tc>
          <w:tcPr>
            <w:tcW w:w="3192" w:type="dxa"/>
          </w:tcPr>
          <w:p w14:paraId="5D9FE6AD" w14:textId="66090875" w:rsidR="000F12EE" w:rsidRPr="000F12EE" w:rsidRDefault="000F12EE" w:rsidP="000F12EE">
            <w:r w:rsidRPr="000F12EE">
              <w:rPr>
                <w:szCs w:val="20"/>
              </w:rPr>
              <w:t>Артралгия</w:t>
            </w:r>
          </w:p>
        </w:tc>
      </w:tr>
      <w:tr w:rsidR="000F12EE" w14:paraId="3095882D" w14:textId="77777777" w:rsidTr="000F12EE">
        <w:tc>
          <w:tcPr>
            <w:tcW w:w="3192" w:type="dxa"/>
            <w:vMerge/>
          </w:tcPr>
          <w:p w14:paraId="6502FE33" w14:textId="77777777" w:rsidR="000F12EE" w:rsidRPr="000F12EE" w:rsidRDefault="000F12EE" w:rsidP="000F12EE"/>
        </w:tc>
        <w:tc>
          <w:tcPr>
            <w:tcW w:w="3192" w:type="dxa"/>
          </w:tcPr>
          <w:p w14:paraId="3EDED946" w14:textId="0396585C" w:rsidR="000F12EE" w:rsidRPr="000F12EE" w:rsidRDefault="000F12EE" w:rsidP="000F12EE">
            <w:r w:rsidRPr="000F12EE">
              <w:rPr>
                <w:szCs w:val="20"/>
              </w:rPr>
              <w:t>Редки</w:t>
            </w:r>
          </w:p>
        </w:tc>
        <w:tc>
          <w:tcPr>
            <w:tcW w:w="3192" w:type="dxa"/>
          </w:tcPr>
          <w:p w14:paraId="064217BE" w14:textId="39C86B75" w:rsidR="000F12EE" w:rsidRPr="000F12EE" w:rsidRDefault="000F12EE" w:rsidP="000F12EE">
            <w:r w:rsidRPr="000F12EE">
              <w:rPr>
                <w:szCs w:val="20"/>
              </w:rPr>
              <w:t>Мускулни крампи, мускулна слабост</w:t>
            </w:r>
          </w:p>
        </w:tc>
      </w:tr>
      <w:tr w:rsidR="000F12EE" w14:paraId="5F99C042" w14:textId="77777777" w:rsidTr="000F12EE">
        <w:tc>
          <w:tcPr>
            <w:tcW w:w="3192" w:type="dxa"/>
            <w:vMerge w:val="restart"/>
          </w:tcPr>
          <w:p w14:paraId="7395EA01" w14:textId="58CF3D85" w:rsidR="000F12EE" w:rsidRPr="000F12EE" w:rsidRDefault="000F12EE" w:rsidP="000F12EE">
            <w:r w:rsidRPr="000F12EE">
              <w:rPr>
                <w:i/>
                <w:iCs/>
                <w:szCs w:val="20"/>
              </w:rPr>
              <w:t>Нарушения на бъбреците и пикочните пътища</w:t>
            </w:r>
          </w:p>
        </w:tc>
        <w:tc>
          <w:tcPr>
            <w:tcW w:w="3192" w:type="dxa"/>
          </w:tcPr>
          <w:p w14:paraId="593F2963" w14:textId="2178053D" w:rsidR="000F12EE" w:rsidRPr="000F12EE" w:rsidRDefault="000F12EE" w:rsidP="000F12EE">
            <w:r w:rsidRPr="000F12EE">
              <w:rPr>
                <w:szCs w:val="20"/>
              </w:rPr>
              <w:t>Чести</w:t>
            </w:r>
          </w:p>
        </w:tc>
        <w:tc>
          <w:tcPr>
            <w:tcW w:w="3192" w:type="dxa"/>
          </w:tcPr>
          <w:p w14:paraId="6723B313" w14:textId="146DBA8C" w:rsidR="000F12EE" w:rsidRPr="000F12EE" w:rsidRDefault="000F12EE" w:rsidP="000F12EE">
            <w:r w:rsidRPr="000F12EE">
              <w:rPr>
                <w:szCs w:val="20"/>
              </w:rPr>
              <w:t>Цистит, уринарна инконтиненция</w:t>
            </w:r>
          </w:p>
        </w:tc>
      </w:tr>
      <w:tr w:rsidR="000F12EE" w14:paraId="2DF995EB" w14:textId="77777777" w:rsidTr="000F12EE">
        <w:tc>
          <w:tcPr>
            <w:tcW w:w="3192" w:type="dxa"/>
            <w:vMerge/>
          </w:tcPr>
          <w:p w14:paraId="28719472" w14:textId="77777777" w:rsidR="000F12EE" w:rsidRPr="000F12EE" w:rsidRDefault="000F12EE" w:rsidP="000F12EE"/>
        </w:tc>
        <w:tc>
          <w:tcPr>
            <w:tcW w:w="3192" w:type="dxa"/>
          </w:tcPr>
          <w:p w14:paraId="2858A58B" w14:textId="509A47FA" w:rsidR="000F12EE" w:rsidRPr="000F12EE" w:rsidRDefault="000F12EE" w:rsidP="000F12EE">
            <w:r w:rsidRPr="000F12EE">
              <w:rPr>
                <w:szCs w:val="20"/>
              </w:rPr>
              <w:t>Нечести</w:t>
            </w:r>
          </w:p>
        </w:tc>
        <w:tc>
          <w:tcPr>
            <w:tcW w:w="3192" w:type="dxa"/>
          </w:tcPr>
          <w:p w14:paraId="6BD38DF3" w14:textId="49C827B9" w:rsidR="000F12EE" w:rsidRPr="000F12EE" w:rsidRDefault="000F12EE" w:rsidP="000F12EE">
            <w:r w:rsidRPr="000F12EE">
              <w:rPr>
                <w:szCs w:val="20"/>
              </w:rPr>
              <w:t>Дизурия, често уриниране, хематурия</w:t>
            </w:r>
          </w:p>
        </w:tc>
      </w:tr>
      <w:tr w:rsidR="000F12EE" w14:paraId="25A99DBC" w14:textId="77777777" w:rsidTr="000F12EE">
        <w:tc>
          <w:tcPr>
            <w:tcW w:w="3192" w:type="dxa"/>
            <w:vMerge/>
          </w:tcPr>
          <w:p w14:paraId="5AF92EE9" w14:textId="77777777" w:rsidR="000F12EE" w:rsidRPr="000F12EE" w:rsidRDefault="000F12EE" w:rsidP="000F12EE"/>
        </w:tc>
        <w:tc>
          <w:tcPr>
            <w:tcW w:w="3192" w:type="dxa"/>
          </w:tcPr>
          <w:p w14:paraId="248998FB" w14:textId="1EA8BF3F" w:rsidR="000F12EE" w:rsidRPr="000F12EE" w:rsidRDefault="000F12EE" w:rsidP="000F12EE">
            <w:r w:rsidRPr="000F12EE">
              <w:rPr>
                <w:szCs w:val="20"/>
              </w:rPr>
              <w:t>Редки</w:t>
            </w:r>
          </w:p>
        </w:tc>
        <w:tc>
          <w:tcPr>
            <w:tcW w:w="3192" w:type="dxa"/>
          </w:tcPr>
          <w:p w14:paraId="4DBEA415" w14:textId="4ABDA1F6" w:rsidR="000F12EE" w:rsidRPr="000F12EE" w:rsidRDefault="000F12EE" w:rsidP="000F12EE">
            <w:r w:rsidRPr="000F12EE">
              <w:rPr>
                <w:szCs w:val="20"/>
              </w:rPr>
              <w:t>Полиурия</w:t>
            </w:r>
          </w:p>
        </w:tc>
      </w:tr>
      <w:tr w:rsidR="000F12EE" w14:paraId="1133FD0A" w14:textId="77777777" w:rsidTr="000F12EE">
        <w:tc>
          <w:tcPr>
            <w:tcW w:w="3192" w:type="dxa"/>
            <w:vMerge/>
          </w:tcPr>
          <w:p w14:paraId="7715028B" w14:textId="77777777" w:rsidR="000F12EE" w:rsidRPr="000F12EE" w:rsidRDefault="000F12EE" w:rsidP="000F12EE"/>
        </w:tc>
        <w:tc>
          <w:tcPr>
            <w:tcW w:w="3192" w:type="dxa"/>
          </w:tcPr>
          <w:p w14:paraId="7C0F991C" w14:textId="67FB3E8B" w:rsidR="000F12EE" w:rsidRPr="000F12EE" w:rsidRDefault="000F12EE" w:rsidP="000F12EE">
            <w:r w:rsidRPr="000F12EE">
              <w:rPr>
                <w:szCs w:val="20"/>
              </w:rPr>
              <w:t>Много редки</w:t>
            </w:r>
          </w:p>
        </w:tc>
        <w:tc>
          <w:tcPr>
            <w:tcW w:w="3192" w:type="dxa"/>
          </w:tcPr>
          <w:p w14:paraId="7D71C8DF" w14:textId="2C9B5515" w:rsidR="000F12EE" w:rsidRPr="000F12EE" w:rsidRDefault="000F12EE" w:rsidP="000F12EE">
            <w:r w:rsidRPr="000F12EE">
              <w:rPr>
                <w:szCs w:val="20"/>
              </w:rPr>
              <w:t>Повишена диуреза, нарушено уриниране, никтурия</w:t>
            </w:r>
          </w:p>
        </w:tc>
      </w:tr>
      <w:tr w:rsidR="000F12EE" w14:paraId="23466A95" w14:textId="77777777" w:rsidTr="000F12EE">
        <w:tc>
          <w:tcPr>
            <w:tcW w:w="3192" w:type="dxa"/>
            <w:vMerge w:val="restart"/>
          </w:tcPr>
          <w:p w14:paraId="127F1D03" w14:textId="730300C2" w:rsidR="000F12EE" w:rsidRPr="000F12EE" w:rsidRDefault="000F12EE" w:rsidP="000F12EE">
            <w:r w:rsidRPr="000F12EE">
              <w:rPr>
                <w:i/>
                <w:iCs/>
                <w:szCs w:val="20"/>
              </w:rPr>
              <w:t>Нарушения на възпроизводителната система и гърдата</w:t>
            </w:r>
          </w:p>
        </w:tc>
        <w:tc>
          <w:tcPr>
            <w:tcW w:w="3192" w:type="dxa"/>
          </w:tcPr>
          <w:p w14:paraId="3188AE4B" w14:textId="5540FD06" w:rsidR="000F12EE" w:rsidRPr="000F12EE" w:rsidRDefault="000F12EE" w:rsidP="000F12EE">
            <w:r w:rsidRPr="000F12EE">
              <w:rPr>
                <w:szCs w:val="20"/>
              </w:rPr>
              <w:t>Нечести</w:t>
            </w:r>
          </w:p>
        </w:tc>
        <w:tc>
          <w:tcPr>
            <w:tcW w:w="3192" w:type="dxa"/>
          </w:tcPr>
          <w:p w14:paraId="6393418B" w14:textId="3937B469" w:rsidR="000F12EE" w:rsidRPr="000F12EE" w:rsidRDefault="000F12EE" w:rsidP="000F12EE">
            <w:r w:rsidRPr="000F12EE">
              <w:rPr>
                <w:szCs w:val="20"/>
              </w:rPr>
              <w:t>Импотентност</w:t>
            </w:r>
          </w:p>
        </w:tc>
      </w:tr>
      <w:tr w:rsidR="000F12EE" w14:paraId="26C63ADB" w14:textId="77777777" w:rsidTr="000F12EE">
        <w:tc>
          <w:tcPr>
            <w:tcW w:w="3192" w:type="dxa"/>
            <w:vMerge/>
          </w:tcPr>
          <w:p w14:paraId="5F739DFC" w14:textId="77777777" w:rsidR="000F12EE" w:rsidRPr="000F12EE" w:rsidRDefault="000F12EE" w:rsidP="000F12EE"/>
        </w:tc>
        <w:tc>
          <w:tcPr>
            <w:tcW w:w="3192" w:type="dxa"/>
          </w:tcPr>
          <w:p w14:paraId="7180ADCD" w14:textId="2910E2D5" w:rsidR="000F12EE" w:rsidRPr="000F12EE" w:rsidRDefault="000F12EE" w:rsidP="000F12EE">
            <w:r w:rsidRPr="000F12EE">
              <w:rPr>
                <w:szCs w:val="20"/>
              </w:rPr>
              <w:t>Много редки</w:t>
            </w:r>
          </w:p>
        </w:tc>
        <w:tc>
          <w:tcPr>
            <w:tcW w:w="3192" w:type="dxa"/>
          </w:tcPr>
          <w:p w14:paraId="709888D5" w14:textId="07DAD22F" w:rsidR="000F12EE" w:rsidRPr="000F12EE" w:rsidRDefault="000F12EE" w:rsidP="000F12EE">
            <w:r w:rsidRPr="000F12EE">
              <w:rPr>
                <w:szCs w:val="20"/>
              </w:rPr>
              <w:t>Гинекомастия, приапизъм</w:t>
            </w:r>
          </w:p>
        </w:tc>
      </w:tr>
      <w:tr w:rsidR="000F12EE" w14:paraId="40F62EC7" w14:textId="77777777" w:rsidTr="000F12EE">
        <w:tc>
          <w:tcPr>
            <w:tcW w:w="3192" w:type="dxa"/>
            <w:vMerge/>
          </w:tcPr>
          <w:p w14:paraId="1DCCB78E" w14:textId="77777777" w:rsidR="000F12EE" w:rsidRPr="000F12EE" w:rsidRDefault="000F12EE" w:rsidP="000F12EE"/>
        </w:tc>
        <w:tc>
          <w:tcPr>
            <w:tcW w:w="3192" w:type="dxa"/>
          </w:tcPr>
          <w:p w14:paraId="51AA8DD0" w14:textId="70BE0F84" w:rsidR="000F12EE" w:rsidRPr="000F12EE" w:rsidRDefault="000F12EE" w:rsidP="000F12EE">
            <w:r w:rsidRPr="000F12EE">
              <w:rPr>
                <w:szCs w:val="20"/>
              </w:rPr>
              <w:t>С неизвестна честота</w:t>
            </w:r>
          </w:p>
        </w:tc>
        <w:tc>
          <w:tcPr>
            <w:tcW w:w="3192" w:type="dxa"/>
          </w:tcPr>
          <w:p w14:paraId="170F4C7E" w14:textId="46662EDE" w:rsidR="000F12EE" w:rsidRPr="000F12EE" w:rsidRDefault="000F12EE" w:rsidP="000F12EE">
            <w:r w:rsidRPr="000F12EE">
              <w:rPr>
                <w:szCs w:val="20"/>
              </w:rPr>
              <w:t>Ретроградна еякулация</w:t>
            </w:r>
          </w:p>
        </w:tc>
      </w:tr>
      <w:tr w:rsidR="000F12EE" w14:paraId="246780C6" w14:textId="77777777" w:rsidTr="000F12EE">
        <w:tc>
          <w:tcPr>
            <w:tcW w:w="3192" w:type="dxa"/>
            <w:vMerge w:val="restart"/>
          </w:tcPr>
          <w:p w14:paraId="3F6D5A31" w14:textId="5920D47C" w:rsidR="000F12EE" w:rsidRPr="000F12EE" w:rsidRDefault="000F12EE" w:rsidP="000F12EE">
            <w:r w:rsidRPr="000F12EE">
              <w:rPr>
                <w:i/>
                <w:iCs/>
                <w:szCs w:val="20"/>
              </w:rPr>
              <w:t>Общи нарушения и ефекти на мястото на приложение</w:t>
            </w:r>
          </w:p>
        </w:tc>
        <w:tc>
          <w:tcPr>
            <w:tcW w:w="3192" w:type="dxa"/>
          </w:tcPr>
          <w:p w14:paraId="6129D1BB" w14:textId="5B849115" w:rsidR="000F12EE" w:rsidRPr="000F12EE" w:rsidRDefault="000F12EE" w:rsidP="000F12EE">
            <w:r w:rsidRPr="000F12EE">
              <w:rPr>
                <w:szCs w:val="20"/>
              </w:rPr>
              <w:t>Чести</w:t>
            </w:r>
          </w:p>
        </w:tc>
        <w:tc>
          <w:tcPr>
            <w:tcW w:w="3192" w:type="dxa"/>
          </w:tcPr>
          <w:p w14:paraId="1C5FDB29" w14:textId="07BEAC06" w:rsidR="000F12EE" w:rsidRPr="000F12EE" w:rsidRDefault="000F12EE" w:rsidP="000F12EE">
            <w:r w:rsidRPr="000F12EE">
              <w:rPr>
                <w:szCs w:val="20"/>
              </w:rPr>
              <w:t>Астения, болки в гърдите, грипни симптоми, периферен оток</w:t>
            </w:r>
          </w:p>
        </w:tc>
      </w:tr>
      <w:tr w:rsidR="000F12EE" w14:paraId="3DB41E59" w14:textId="77777777" w:rsidTr="000F12EE">
        <w:tc>
          <w:tcPr>
            <w:tcW w:w="3192" w:type="dxa"/>
            <w:vMerge/>
          </w:tcPr>
          <w:p w14:paraId="31C3ED58" w14:textId="77777777" w:rsidR="000F12EE" w:rsidRPr="000F12EE" w:rsidRDefault="000F12EE" w:rsidP="000F12EE"/>
        </w:tc>
        <w:tc>
          <w:tcPr>
            <w:tcW w:w="3192" w:type="dxa"/>
          </w:tcPr>
          <w:p w14:paraId="44751266" w14:textId="38DA0A0B" w:rsidR="000F12EE" w:rsidRPr="000F12EE" w:rsidRDefault="000F12EE" w:rsidP="000F12EE">
            <w:r w:rsidRPr="000F12EE">
              <w:rPr>
                <w:szCs w:val="20"/>
              </w:rPr>
              <w:t>Нечести</w:t>
            </w:r>
          </w:p>
        </w:tc>
        <w:tc>
          <w:tcPr>
            <w:tcW w:w="3192" w:type="dxa"/>
          </w:tcPr>
          <w:p w14:paraId="5A4FAD31" w14:textId="1FC013C0" w:rsidR="000F12EE" w:rsidRPr="000F12EE" w:rsidRDefault="000F12EE" w:rsidP="000F12EE">
            <w:r w:rsidRPr="000F12EE">
              <w:rPr>
                <w:szCs w:val="20"/>
              </w:rPr>
              <w:t>Болка, оток на лицето</w:t>
            </w:r>
          </w:p>
        </w:tc>
      </w:tr>
      <w:tr w:rsidR="000F12EE" w14:paraId="46563CA2" w14:textId="77777777" w:rsidTr="000F12EE">
        <w:tc>
          <w:tcPr>
            <w:tcW w:w="3192" w:type="dxa"/>
            <w:vMerge/>
          </w:tcPr>
          <w:p w14:paraId="41FD053D" w14:textId="77777777" w:rsidR="000F12EE" w:rsidRPr="000F12EE" w:rsidRDefault="000F12EE" w:rsidP="000F12EE"/>
        </w:tc>
        <w:tc>
          <w:tcPr>
            <w:tcW w:w="3192" w:type="dxa"/>
          </w:tcPr>
          <w:p w14:paraId="22BEC4E3" w14:textId="26C278BB" w:rsidR="000F12EE" w:rsidRPr="000F12EE" w:rsidRDefault="000F12EE" w:rsidP="000F12EE">
            <w:r w:rsidRPr="000F12EE">
              <w:rPr>
                <w:szCs w:val="20"/>
              </w:rPr>
              <w:t>Много редки</w:t>
            </w:r>
          </w:p>
        </w:tc>
        <w:tc>
          <w:tcPr>
            <w:tcW w:w="3192" w:type="dxa"/>
          </w:tcPr>
          <w:p w14:paraId="0B93F622" w14:textId="0D9E5875" w:rsidR="000F12EE" w:rsidRPr="000F12EE" w:rsidRDefault="000F12EE" w:rsidP="000F12EE">
            <w:r w:rsidRPr="000F12EE">
              <w:rPr>
                <w:szCs w:val="20"/>
              </w:rPr>
              <w:t>Уморяемост, отпадналост</w:t>
            </w:r>
          </w:p>
        </w:tc>
      </w:tr>
      <w:tr w:rsidR="000F12EE" w14:paraId="3BB3EA65" w14:textId="77777777" w:rsidTr="000F12EE">
        <w:tc>
          <w:tcPr>
            <w:tcW w:w="3192" w:type="dxa"/>
          </w:tcPr>
          <w:p w14:paraId="7560FB39" w14:textId="0EB42EAA" w:rsidR="000F12EE" w:rsidRPr="000F12EE" w:rsidRDefault="000F12EE" w:rsidP="000F12EE">
            <w:r w:rsidRPr="000F12EE">
              <w:rPr>
                <w:i/>
                <w:iCs/>
                <w:szCs w:val="20"/>
              </w:rPr>
              <w:t>Изследвания</w:t>
            </w:r>
          </w:p>
        </w:tc>
        <w:tc>
          <w:tcPr>
            <w:tcW w:w="3192" w:type="dxa"/>
          </w:tcPr>
          <w:p w14:paraId="2492BAE3" w14:textId="316EDF0A" w:rsidR="000F12EE" w:rsidRPr="000F12EE" w:rsidRDefault="000F12EE" w:rsidP="000F12EE">
            <w:r w:rsidRPr="000F12EE">
              <w:rPr>
                <w:szCs w:val="20"/>
              </w:rPr>
              <w:t>Нечести</w:t>
            </w:r>
          </w:p>
        </w:tc>
        <w:tc>
          <w:tcPr>
            <w:tcW w:w="3192" w:type="dxa"/>
          </w:tcPr>
          <w:p w14:paraId="2C184FA3" w14:textId="056F4DB7" w:rsidR="000F12EE" w:rsidRPr="000F12EE" w:rsidRDefault="000F12EE" w:rsidP="000F12EE">
            <w:r w:rsidRPr="000F12EE">
              <w:rPr>
                <w:szCs w:val="20"/>
              </w:rPr>
              <w:t>Увеличаване на теглото</w:t>
            </w:r>
          </w:p>
        </w:tc>
      </w:tr>
    </w:tbl>
    <w:p w14:paraId="60DE6C8B" w14:textId="77777777" w:rsidR="000F12EE" w:rsidRDefault="000F12EE" w:rsidP="000F12EE">
      <w:pPr>
        <w:spacing w:line="240" w:lineRule="auto"/>
        <w:rPr>
          <w:rFonts w:ascii="Times New Roman" w:eastAsia="Times New Roman" w:hAnsi="Times New Roman" w:cs="Times New Roman"/>
          <w:b/>
          <w:bCs/>
          <w:color w:val="000000"/>
          <w:sz w:val="20"/>
          <w:szCs w:val="20"/>
          <w:lang w:eastAsia="bg-BG"/>
        </w:rPr>
      </w:pPr>
      <w:bookmarkStart w:id="1" w:name="bookmark0"/>
    </w:p>
    <w:p w14:paraId="19A0E869" w14:textId="756FE62E" w:rsidR="000F12EE" w:rsidRPr="000F12EE" w:rsidRDefault="000F12EE" w:rsidP="000F12EE">
      <w:pPr>
        <w:spacing w:line="240" w:lineRule="auto"/>
        <w:rPr>
          <w:rFonts w:eastAsia="Times New Roman" w:cs="Arial"/>
        </w:rPr>
      </w:pPr>
      <w:r w:rsidRPr="000F12EE">
        <w:rPr>
          <w:rFonts w:eastAsia="Times New Roman" w:cs="Arial"/>
          <w:b/>
          <w:bCs/>
          <w:color w:val="000000"/>
          <w:lang w:eastAsia="bg-BG"/>
        </w:rPr>
        <w:t>Съобщаване на подозирани нежелани реакции</w:t>
      </w:r>
      <w:bookmarkEnd w:id="1"/>
    </w:p>
    <w:p w14:paraId="4D00B8AB" w14:textId="77777777" w:rsidR="000F12EE" w:rsidRPr="000F12EE" w:rsidRDefault="000F12EE" w:rsidP="000F12EE">
      <w:pPr>
        <w:spacing w:line="240" w:lineRule="auto"/>
        <w:rPr>
          <w:rFonts w:eastAsia="Times New Roman" w:cs="Arial"/>
        </w:rPr>
      </w:pPr>
      <w:r w:rsidRPr="000F12EE">
        <w:rPr>
          <w:rFonts w:eastAsia="Times New Roman" w:cs="Arial"/>
          <w:color w:val="000000"/>
          <w:lang w:eastAsia="bg-BG"/>
        </w:rPr>
        <w:t>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w:t>
      </w:r>
    </w:p>
    <w:p w14:paraId="508E1FA2" w14:textId="77777777" w:rsidR="000F12EE" w:rsidRPr="000F12EE" w:rsidRDefault="000F12EE" w:rsidP="000F12EE">
      <w:pPr>
        <w:spacing w:line="240" w:lineRule="auto"/>
        <w:rPr>
          <w:rFonts w:eastAsia="Times New Roman" w:cs="Arial"/>
          <w:color w:val="000000"/>
          <w:lang w:eastAsia="bg-BG"/>
        </w:rPr>
      </w:pPr>
    </w:p>
    <w:p w14:paraId="4B9D63C7" w14:textId="77777777" w:rsidR="000F12EE" w:rsidRPr="000F12EE" w:rsidRDefault="000F12EE" w:rsidP="000F12EE">
      <w:pPr>
        <w:spacing w:line="240" w:lineRule="auto"/>
        <w:rPr>
          <w:rFonts w:eastAsia="Times New Roman" w:cs="Arial"/>
          <w:color w:val="000000"/>
          <w:lang w:eastAsia="bg-BG"/>
        </w:rPr>
      </w:pPr>
      <w:r w:rsidRPr="000F12EE">
        <w:rPr>
          <w:rFonts w:eastAsia="Times New Roman" w:cs="Arial"/>
          <w:color w:val="000000"/>
          <w:lang w:eastAsia="bg-BG"/>
        </w:rPr>
        <w:t xml:space="preserve">Изпълнителна агенция по лекарствата </w:t>
      </w:r>
    </w:p>
    <w:p w14:paraId="3D6519C8" w14:textId="77777777" w:rsidR="000F12EE" w:rsidRPr="000F12EE" w:rsidRDefault="000F12EE" w:rsidP="000F12EE">
      <w:pPr>
        <w:spacing w:line="240" w:lineRule="auto"/>
        <w:rPr>
          <w:rFonts w:eastAsia="Times New Roman" w:cs="Arial"/>
          <w:color w:val="000000"/>
          <w:lang w:eastAsia="bg-BG"/>
        </w:rPr>
      </w:pPr>
      <w:r w:rsidRPr="000F12EE">
        <w:rPr>
          <w:rFonts w:eastAsia="Times New Roman" w:cs="Arial"/>
          <w:color w:val="000000"/>
          <w:lang w:eastAsia="bg-BG"/>
        </w:rPr>
        <w:t xml:space="preserve">ул. „Дамян Груев” № 8 </w:t>
      </w:r>
    </w:p>
    <w:p w14:paraId="2FB95EA0" w14:textId="6A9AE698" w:rsidR="000F12EE" w:rsidRPr="000F12EE" w:rsidRDefault="000F12EE" w:rsidP="000F12EE">
      <w:pPr>
        <w:spacing w:line="240" w:lineRule="auto"/>
        <w:rPr>
          <w:rFonts w:eastAsia="Times New Roman" w:cs="Arial"/>
          <w:color w:val="000000"/>
          <w:lang w:eastAsia="bg-BG"/>
        </w:rPr>
      </w:pPr>
      <w:r w:rsidRPr="000F12EE">
        <w:rPr>
          <w:rFonts w:eastAsia="Times New Roman" w:cs="Arial"/>
          <w:color w:val="000000"/>
          <w:lang w:eastAsia="bg-BG"/>
        </w:rPr>
        <w:t>1303 София</w:t>
      </w:r>
    </w:p>
    <w:p w14:paraId="6E3D4C18" w14:textId="643BB4A0" w:rsidR="000F12EE" w:rsidRPr="000F12EE" w:rsidRDefault="000F12EE" w:rsidP="000F12EE">
      <w:pPr>
        <w:spacing w:line="240" w:lineRule="auto"/>
        <w:rPr>
          <w:rFonts w:eastAsia="Times New Roman" w:cs="Arial"/>
        </w:rPr>
      </w:pPr>
      <w:r w:rsidRPr="000F12EE">
        <w:rPr>
          <w:rFonts w:eastAsia="Times New Roman" w:cs="Arial"/>
          <w:color w:val="000000"/>
          <w:lang w:eastAsia="bg-BG"/>
        </w:rPr>
        <w:t>Тел.: +359 2 8903417</w:t>
      </w:r>
    </w:p>
    <w:p w14:paraId="409D32C0" w14:textId="77777777" w:rsidR="000F12EE" w:rsidRPr="000F12EE" w:rsidRDefault="000F12EE" w:rsidP="000F12EE">
      <w:pPr>
        <w:spacing w:line="240" w:lineRule="auto"/>
        <w:rPr>
          <w:rFonts w:eastAsia="Times New Roman" w:cs="Arial"/>
        </w:rPr>
      </w:pPr>
      <w:r w:rsidRPr="000F12EE">
        <w:rPr>
          <w:rFonts w:eastAsia="Times New Roman" w:cs="Arial"/>
          <w:color w:val="000000"/>
          <w:lang w:eastAsia="bg-BG"/>
        </w:rPr>
        <w:t xml:space="preserve">уебсайт: </w:t>
      </w:r>
      <w:r w:rsidRPr="000F12EE">
        <w:rPr>
          <w:rFonts w:eastAsia="Times New Roman" w:cs="Arial"/>
        </w:rPr>
        <w:fldChar w:fldCharType="begin"/>
      </w:r>
      <w:r w:rsidRPr="000F12EE">
        <w:rPr>
          <w:rFonts w:eastAsia="Times New Roman" w:cs="Arial"/>
        </w:rPr>
        <w:instrText xml:space="preserve"> HYPERLINK "http://www.bda.bg" </w:instrText>
      </w:r>
      <w:r w:rsidRPr="000F12EE">
        <w:rPr>
          <w:rFonts w:eastAsia="Times New Roman" w:cs="Arial"/>
        </w:rPr>
      </w:r>
      <w:r w:rsidRPr="000F12EE">
        <w:rPr>
          <w:rFonts w:eastAsia="Times New Roman" w:cs="Arial"/>
        </w:rPr>
        <w:fldChar w:fldCharType="separate"/>
      </w:r>
      <w:r w:rsidRPr="000F12EE">
        <w:rPr>
          <w:rFonts w:eastAsia="Times New Roman" w:cs="Arial"/>
          <w:color w:val="000000"/>
          <w:lang w:val="en-US"/>
        </w:rPr>
        <w:t>www</w:t>
      </w:r>
      <w:r w:rsidRPr="000F12EE">
        <w:rPr>
          <w:rFonts w:eastAsia="Times New Roman" w:cs="Arial"/>
          <w:color w:val="000000"/>
          <w:lang w:val="ru-RU"/>
        </w:rPr>
        <w:t>.</w:t>
      </w:r>
      <w:proofErr w:type="spellStart"/>
      <w:r w:rsidRPr="000F12EE">
        <w:rPr>
          <w:rFonts w:eastAsia="Times New Roman" w:cs="Arial"/>
          <w:color w:val="000000"/>
          <w:lang w:val="en-US"/>
        </w:rPr>
        <w:t>bda</w:t>
      </w:r>
      <w:proofErr w:type="spellEnd"/>
      <w:r w:rsidRPr="000F12EE">
        <w:rPr>
          <w:rFonts w:eastAsia="Times New Roman" w:cs="Arial"/>
          <w:color w:val="000000"/>
          <w:lang w:val="ru-RU"/>
        </w:rPr>
        <w:t>.</w:t>
      </w:r>
      <w:proofErr w:type="spellStart"/>
      <w:r w:rsidRPr="000F12EE">
        <w:rPr>
          <w:rFonts w:eastAsia="Times New Roman" w:cs="Arial"/>
          <w:color w:val="000000"/>
          <w:lang w:val="en-US"/>
        </w:rPr>
        <w:t>bg</w:t>
      </w:r>
      <w:proofErr w:type="spellEnd"/>
      <w:r w:rsidRPr="000F12EE">
        <w:rPr>
          <w:rFonts w:eastAsia="Times New Roman" w:cs="Arial"/>
        </w:rPr>
        <w:fldChar w:fldCharType="end"/>
      </w:r>
    </w:p>
    <w:p w14:paraId="69B0B74E" w14:textId="77777777" w:rsidR="000F12EE" w:rsidRPr="000F12EE" w:rsidRDefault="000F12EE" w:rsidP="000F12EE">
      <w:pPr>
        <w:spacing w:line="240" w:lineRule="auto"/>
        <w:rPr>
          <w:rFonts w:eastAsia="Times New Roman" w:cs="Arial"/>
        </w:rPr>
      </w:pPr>
      <w:r w:rsidRPr="000F12EE">
        <w:rPr>
          <w:rFonts w:eastAsia="Times New Roman" w:cs="Arial"/>
          <w:color w:val="000000"/>
          <w:lang w:eastAsia="bg-BG"/>
        </w:rPr>
        <w:t>Като съобщавате нежелани реакции, можете да дадете своя принос за получаване на повече информация относно безопасността на това лекарство.</w:t>
      </w:r>
    </w:p>
    <w:p w14:paraId="0A2836A7" w14:textId="43C54DF4" w:rsidR="000F12EE" w:rsidRPr="000F12EE" w:rsidRDefault="000F12EE" w:rsidP="000F12EE">
      <w:pPr>
        <w:spacing w:line="240" w:lineRule="auto"/>
        <w:rPr>
          <w:rFonts w:ascii="Times New Roman" w:eastAsia="Times New Roman" w:hAnsi="Times New Roman" w:cs="Times New Roman"/>
          <w:sz w:val="24"/>
          <w:szCs w:val="24"/>
        </w:rPr>
      </w:pPr>
    </w:p>
    <w:p w14:paraId="566551F5" w14:textId="77777777" w:rsidR="000F12EE" w:rsidRPr="000F12EE" w:rsidRDefault="000F12EE" w:rsidP="000F12EE"/>
    <w:p w14:paraId="5A87DBA3" w14:textId="4B379046" w:rsidR="007122AD" w:rsidRDefault="002C50EE" w:rsidP="00936AD0">
      <w:pPr>
        <w:pStyle w:val="Heading2"/>
      </w:pPr>
      <w:r>
        <w:t>4.9. Предозиране</w:t>
      </w:r>
    </w:p>
    <w:p w14:paraId="2DA6B20F" w14:textId="6F09C11D" w:rsidR="000F12EE" w:rsidRDefault="000F12EE" w:rsidP="000F12EE"/>
    <w:p w14:paraId="754EF3D1" w14:textId="77777777" w:rsidR="000F12EE" w:rsidRPr="000F12EE" w:rsidRDefault="000F12EE" w:rsidP="000F12EE">
      <w:pPr>
        <w:rPr>
          <w:sz w:val="24"/>
          <w:szCs w:val="24"/>
        </w:rPr>
      </w:pPr>
      <w:r w:rsidRPr="000F12EE">
        <w:rPr>
          <w:lang w:eastAsia="bg-BG"/>
        </w:rPr>
        <w:t>В случай, че предозирането доведе до хипотония, пациентът трябва незабавно да се поставя в легнало положение по гръб, като главата се разположи на по-ниско ниво от тялото. При необходимост се предприемат допълнителни мерки в зависимост от конкретния случай. Тъй като доксазосин се свързва във висока степен с плазмените протеини, диализата не е показана.</w:t>
      </w:r>
    </w:p>
    <w:p w14:paraId="2F44BEF9" w14:textId="77777777" w:rsidR="000F12EE" w:rsidRDefault="000F12EE" w:rsidP="000F12EE">
      <w:pPr>
        <w:rPr>
          <w:lang w:eastAsia="bg-BG"/>
        </w:rPr>
      </w:pPr>
    </w:p>
    <w:p w14:paraId="70EC8725" w14:textId="3D0977C6" w:rsidR="000F12EE" w:rsidRPr="000F12EE" w:rsidRDefault="000F12EE" w:rsidP="000F12EE">
      <w:pPr>
        <w:rPr>
          <w:sz w:val="24"/>
          <w:szCs w:val="24"/>
        </w:rPr>
      </w:pPr>
      <w:r w:rsidRPr="000F12EE">
        <w:rPr>
          <w:lang w:eastAsia="bg-BG"/>
        </w:rPr>
        <w:t>Ако тази мярка е незадоволителна, шокът трябва първо да се лекува с плазма заместители. Ако е необходимо, да се използва вазопресорно средство. Бъбречната функция трябва да се проследява и подпомага при необходимост. Тъй като доксазосин се свързва във висока степен с плазмените протеини, не се назначава диализа.</w:t>
      </w:r>
    </w:p>
    <w:p w14:paraId="6442634E" w14:textId="77777777" w:rsidR="000F12EE" w:rsidRPr="000F12EE" w:rsidRDefault="000F12EE" w:rsidP="000F12EE"/>
    <w:p w14:paraId="02081B24" w14:textId="1F46E296" w:rsidR="00395555" w:rsidRPr="00395555" w:rsidRDefault="002C50EE" w:rsidP="008A6AF2">
      <w:pPr>
        <w:pStyle w:val="Heading1"/>
      </w:pPr>
      <w:r>
        <w:t>5. ФАРМАКОЛОГИЧНИ СВОЙСТВА</w:t>
      </w:r>
    </w:p>
    <w:p w14:paraId="7DE36AC8" w14:textId="7B5F1A57" w:rsidR="00B6672E" w:rsidRDefault="002C50EE" w:rsidP="00936AD0">
      <w:pPr>
        <w:pStyle w:val="Heading2"/>
      </w:pPr>
      <w:r>
        <w:t>5.1. Фармакодинамични свойства</w:t>
      </w:r>
    </w:p>
    <w:p w14:paraId="0A826B2D" w14:textId="485662A8" w:rsidR="000F12EE" w:rsidRDefault="000F12EE" w:rsidP="000F12EE"/>
    <w:p w14:paraId="3428F2FD" w14:textId="77777777" w:rsidR="000F12EE" w:rsidRPr="000F12EE" w:rsidRDefault="000F12EE" w:rsidP="000F12EE">
      <w:pPr>
        <w:spacing w:line="240" w:lineRule="auto"/>
        <w:rPr>
          <w:rFonts w:eastAsia="Times New Roman" w:cs="Arial"/>
          <w:sz w:val="28"/>
          <w:szCs w:val="24"/>
        </w:rPr>
      </w:pPr>
      <w:r w:rsidRPr="000F12EE">
        <w:rPr>
          <w:rFonts w:eastAsia="Times New Roman" w:cs="Arial"/>
          <w:color w:val="000000"/>
          <w:szCs w:val="20"/>
          <w:lang w:eastAsia="bg-BG"/>
        </w:rPr>
        <w:t>Фармакотерапевтична група: алфа-адренорецепторни антагонисти АТС код: С02СА04</w:t>
      </w:r>
    </w:p>
    <w:p w14:paraId="184E09DA" w14:textId="77777777" w:rsidR="000F12EE" w:rsidRPr="000F12EE" w:rsidRDefault="000F12EE" w:rsidP="000F12EE">
      <w:pPr>
        <w:spacing w:line="240" w:lineRule="auto"/>
        <w:rPr>
          <w:rFonts w:eastAsia="Times New Roman" w:cs="Arial"/>
          <w:i/>
          <w:iCs/>
          <w:color w:val="000000"/>
          <w:szCs w:val="20"/>
          <w:lang w:eastAsia="bg-BG"/>
        </w:rPr>
      </w:pPr>
    </w:p>
    <w:p w14:paraId="21FEAB21" w14:textId="5BC7BA97" w:rsidR="000F12EE" w:rsidRPr="000F12EE" w:rsidRDefault="000F12EE" w:rsidP="000F12EE">
      <w:pPr>
        <w:spacing w:line="240" w:lineRule="auto"/>
        <w:rPr>
          <w:rFonts w:eastAsia="Times New Roman" w:cs="Arial"/>
          <w:sz w:val="28"/>
          <w:szCs w:val="24"/>
        </w:rPr>
      </w:pPr>
      <w:r w:rsidRPr="000F12EE">
        <w:rPr>
          <w:rFonts w:eastAsia="Times New Roman" w:cs="Arial"/>
          <w:i/>
          <w:iCs/>
          <w:color w:val="000000"/>
          <w:szCs w:val="20"/>
          <w:lang w:eastAsia="bg-BG"/>
        </w:rPr>
        <w:lastRenderedPageBreak/>
        <w:t>Хипертония</w:t>
      </w:r>
    </w:p>
    <w:p w14:paraId="1ED636CA" w14:textId="77777777" w:rsidR="000F12EE" w:rsidRPr="000F12EE" w:rsidRDefault="000F12EE" w:rsidP="000F12EE">
      <w:pPr>
        <w:spacing w:line="240" w:lineRule="auto"/>
        <w:rPr>
          <w:rFonts w:eastAsia="Times New Roman" w:cs="Arial"/>
          <w:color w:val="000000"/>
          <w:szCs w:val="20"/>
          <w:u w:val="single"/>
          <w:lang w:eastAsia="bg-BG"/>
        </w:rPr>
      </w:pPr>
    </w:p>
    <w:p w14:paraId="41F7D4F3" w14:textId="04DC9F41" w:rsidR="000F12EE" w:rsidRPr="000F12EE" w:rsidRDefault="000F12EE" w:rsidP="000F12EE">
      <w:pPr>
        <w:spacing w:line="240" w:lineRule="auto"/>
        <w:rPr>
          <w:rFonts w:eastAsia="Times New Roman" w:cs="Arial"/>
          <w:sz w:val="28"/>
          <w:szCs w:val="24"/>
        </w:rPr>
      </w:pPr>
      <w:r w:rsidRPr="000F12EE">
        <w:rPr>
          <w:rFonts w:eastAsia="Times New Roman" w:cs="Arial"/>
          <w:color w:val="000000"/>
          <w:szCs w:val="20"/>
          <w:u w:val="single"/>
          <w:lang w:eastAsia="bg-BG"/>
        </w:rPr>
        <w:t>Механизъм на действие</w:t>
      </w:r>
    </w:p>
    <w:p w14:paraId="5BB13E73" w14:textId="77777777" w:rsidR="000F12EE" w:rsidRPr="000F12EE" w:rsidRDefault="000F12EE" w:rsidP="000F12EE">
      <w:pPr>
        <w:spacing w:line="240" w:lineRule="auto"/>
        <w:rPr>
          <w:rFonts w:eastAsia="Times New Roman" w:cs="Arial"/>
          <w:sz w:val="28"/>
          <w:szCs w:val="24"/>
        </w:rPr>
      </w:pPr>
      <w:r w:rsidRPr="000F12EE">
        <w:rPr>
          <w:rFonts w:eastAsia="Times New Roman" w:cs="Arial"/>
          <w:color w:val="000000"/>
          <w:szCs w:val="20"/>
          <w:lang w:eastAsia="bg-BG"/>
        </w:rPr>
        <w:t>Приложението на доксазосин при пациенти с хипертония предизвиква клинично значимо понижение на кръвното налягане в резултат от намаляване на системното съдово съпротивление. Счита се, че този ефект е резултат от селективната блокада на алфа-1- адренорецепторите, намиращи се в кръвоносните съдовете. При еднократно дозиране веднъж дневно се наблюдава клинично значимо понижение на кръвното налягане в рамките на деня и до 24 часа след приема на дозата. Наблюдава се постепенно намаляване на кръвното налягане, като максималните понижения обикновено настъпват 2 до 6 часа след приема на дозата. При пациенти с хипертония кръвното налягане по време на лечение с доксазосин е било сходно в легнало и в изправено положение. За разлика от неселективните алфа-адреноблокери при продължително лечение с доксазосин не са наблюдава поява и развитие на толерантност. При продължително лечение се наблюдават нечесто повишения в активността на плазмения ренин и тахикардия.</w:t>
      </w:r>
    </w:p>
    <w:p w14:paraId="02885200" w14:textId="77777777" w:rsidR="000F12EE" w:rsidRPr="000F12EE" w:rsidRDefault="000F12EE" w:rsidP="000F12EE">
      <w:pPr>
        <w:spacing w:line="240" w:lineRule="auto"/>
        <w:rPr>
          <w:rFonts w:eastAsia="Times New Roman" w:cs="Arial"/>
          <w:color w:val="000000"/>
          <w:szCs w:val="20"/>
          <w:lang w:eastAsia="bg-BG"/>
        </w:rPr>
      </w:pPr>
    </w:p>
    <w:p w14:paraId="39B5A941" w14:textId="1B00A360" w:rsidR="000F12EE" w:rsidRPr="000F12EE" w:rsidRDefault="000F12EE" w:rsidP="000F12EE">
      <w:pPr>
        <w:spacing w:line="240" w:lineRule="auto"/>
        <w:rPr>
          <w:rFonts w:eastAsia="Times New Roman" w:cs="Arial"/>
          <w:sz w:val="28"/>
          <w:szCs w:val="24"/>
        </w:rPr>
      </w:pPr>
      <w:r w:rsidRPr="000F12EE">
        <w:rPr>
          <w:rFonts w:eastAsia="Times New Roman" w:cs="Arial"/>
          <w:color w:val="000000"/>
          <w:szCs w:val="20"/>
          <w:lang w:eastAsia="bg-BG"/>
        </w:rPr>
        <w:t xml:space="preserve">Лечението с доксазосин оказва благоприятен ефект върху кръвните липиди, със значително повишение в съотношението липопротеини с висока плътност </w:t>
      </w:r>
      <w:r w:rsidRPr="000F12EE">
        <w:rPr>
          <w:rFonts w:eastAsia="Times New Roman" w:cs="Arial"/>
          <w:smallCaps/>
          <w:color w:val="000000"/>
          <w:szCs w:val="20"/>
          <w:lang w:val="ru-RU"/>
        </w:rPr>
        <w:t>(</w:t>
      </w:r>
      <w:r w:rsidRPr="000F12EE">
        <w:rPr>
          <w:rFonts w:eastAsia="Times New Roman" w:cs="Arial"/>
          <w:smallCaps/>
          <w:color w:val="000000"/>
          <w:szCs w:val="20"/>
          <w:lang w:val="en-US"/>
        </w:rPr>
        <w:t>HDL</w:t>
      </w:r>
      <w:r w:rsidRPr="000F12EE">
        <w:rPr>
          <w:rFonts w:eastAsia="Times New Roman" w:cs="Arial"/>
          <w:smallCaps/>
          <w:color w:val="000000"/>
          <w:szCs w:val="20"/>
          <w:lang w:val="ru-RU"/>
        </w:rPr>
        <w:t>)/</w:t>
      </w:r>
      <w:r w:rsidRPr="000F12EE">
        <w:rPr>
          <w:rFonts w:eastAsia="Times New Roman" w:cs="Arial"/>
          <w:smallCaps/>
          <w:color w:val="000000"/>
          <w:szCs w:val="20"/>
          <w:lang w:eastAsia="bg-BG"/>
        </w:rPr>
        <w:t>общо</w:t>
      </w:r>
      <w:r w:rsidRPr="000F12EE">
        <w:rPr>
          <w:rFonts w:eastAsia="Times New Roman" w:cs="Arial"/>
          <w:color w:val="000000"/>
          <w:szCs w:val="20"/>
          <w:lang w:val="ru-RU"/>
        </w:rPr>
        <w:t xml:space="preserve"> </w:t>
      </w:r>
      <w:r w:rsidRPr="000F12EE">
        <w:rPr>
          <w:rFonts w:eastAsia="Times New Roman" w:cs="Arial"/>
          <w:color w:val="000000"/>
          <w:szCs w:val="20"/>
          <w:lang w:eastAsia="bg-BG"/>
        </w:rPr>
        <w:t>холестерол, и значително понижение на обшите триглицериди и общия холестерол. Ето защо, това се счита за предимство пред диуретиците и бета-блокерите, които оказват негативно влияние върху тези параметри. Въз основа на установената връзка на хипертонията и кръвните липиди с коронарно сърдечно заболяване, благоприятните ефекти на лечението с доксазосин върху кръвното налягане и липидите показват редукция на риска от развитие на коронарно сърдечно заболяване.</w:t>
      </w:r>
    </w:p>
    <w:p w14:paraId="21285FC3" w14:textId="77777777" w:rsidR="000F12EE" w:rsidRPr="000F12EE" w:rsidRDefault="000F12EE" w:rsidP="000F12EE">
      <w:pPr>
        <w:spacing w:line="240" w:lineRule="auto"/>
        <w:rPr>
          <w:rFonts w:eastAsia="Times New Roman" w:cs="Arial"/>
          <w:color w:val="000000"/>
          <w:szCs w:val="20"/>
          <w:lang w:eastAsia="bg-BG"/>
        </w:rPr>
      </w:pPr>
    </w:p>
    <w:p w14:paraId="092AF689" w14:textId="42BE7F59" w:rsidR="000F12EE" w:rsidRPr="000F12EE" w:rsidRDefault="000F12EE" w:rsidP="000F12EE">
      <w:pPr>
        <w:spacing w:line="240" w:lineRule="auto"/>
        <w:rPr>
          <w:rFonts w:eastAsia="Times New Roman" w:cs="Arial"/>
          <w:sz w:val="28"/>
          <w:szCs w:val="24"/>
        </w:rPr>
      </w:pPr>
      <w:r w:rsidRPr="000F12EE">
        <w:rPr>
          <w:rFonts w:eastAsia="Times New Roman" w:cs="Arial"/>
          <w:color w:val="000000"/>
          <w:szCs w:val="20"/>
          <w:lang w:eastAsia="bg-BG"/>
        </w:rPr>
        <w:t>Установено е, че терапията с доксазосин води до обратно развитие на левокамерната хипертрофия, потискане на тромбоцитната агрегация и усилване на активността на тъканния плазминоген активатор. В допълнение, доксазосин подобрява чувствителността към инсулин при диабетно болните пациенти.</w:t>
      </w:r>
    </w:p>
    <w:p w14:paraId="6F614C59" w14:textId="77777777" w:rsidR="000F12EE" w:rsidRPr="000F12EE" w:rsidRDefault="000F12EE" w:rsidP="000F12EE">
      <w:pPr>
        <w:rPr>
          <w:rFonts w:eastAsia="Times New Roman" w:cs="Arial"/>
          <w:color w:val="000000"/>
          <w:szCs w:val="20"/>
          <w:lang w:eastAsia="bg-BG"/>
        </w:rPr>
      </w:pPr>
    </w:p>
    <w:p w14:paraId="3513A18C" w14:textId="1E4D4A39" w:rsidR="000F12EE" w:rsidRPr="000F12EE" w:rsidRDefault="000F12EE" w:rsidP="000F12EE">
      <w:pPr>
        <w:rPr>
          <w:rFonts w:eastAsia="Times New Roman" w:cs="Arial"/>
          <w:color w:val="000000"/>
          <w:szCs w:val="20"/>
          <w:lang w:eastAsia="bg-BG"/>
        </w:rPr>
      </w:pPr>
      <w:r w:rsidRPr="000F12EE">
        <w:rPr>
          <w:rFonts w:eastAsia="Times New Roman" w:cs="Arial"/>
          <w:color w:val="000000"/>
          <w:szCs w:val="20"/>
          <w:lang w:eastAsia="bg-BG"/>
        </w:rPr>
        <w:t>Доксазосин няма нежелани метаболитни ефекти и е подходящ за употреба при пациенти с астма, диабет, левокамерна дисфункция и подагра.</w:t>
      </w:r>
    </w:p>
    <w:p w14:paraId="162534CA" w14:textId="2C66F92F" w:rsidR="000F12EE" w:rsidRPr="000F12EE" w:rsidRDefault="000F12EE" w:rsidP="000F12EE">
      <w:pPr>
        <w:rPr>
          <w:rFonts w:eastAsia="Times New Roman" w:cs="Arial"/>
          <w:color w:val="000000"/>
          <w:szCs w:val="20"/>
          <w:lang w:eastAsia="bg-BG"/>
        </w:rPr>
      </w:pPr>
    </w:p>
    <w:p w14:paraId="62B36F62" w14:textId="77777777" w:rsidR="000F12EE" w:rsidRPr="000F12EE" w:rsidRDefault="000F12EE" w:rsidP="000F12EE">
      <w:pPr>
        <w:spacing w:line="240" w:lineRule="auto"/>
        <w:rPr>
          <w:rFonts w:eastAsia="Times New Roman" w:cs="Arial"/>
          <w:sz w:val="28"/>
          <w:szCs w:val="24"/>
        </w:rPr>
      </w:pPr>
      <w:r w:rsidRPr="000F12EE">
        <w:rPr>
          <w:rFonts w:eastAsia="Times New Roman" w:cs="Arial"/>
          <w:i/>
          <w:iCs/>
          <w:color w:val="000000"/>
          <w:szCs w:val="20"/>
          <w:lang w:val="en-US"/>
        </w:rPr>
        <w:t>In</w:t>
      </w:r>
      <w:r w:rsidRPr="000F12EE">
        <w:rPr>
          <w:rFonts w:eastAsia="Times New Roman" w:cs="Arial"/>
          <w:i/>
          <w:iCs/>
          <w:color w:val="000000"/>
          <w:szCs w:val="20"/>
          <w:lang w:val="ru-RU"/>
        </w:rPr>
        <w:t xml:space="preserve"> </w:t>
      </w:r>
      <w:r w:rsidRPr="000F12EE">
        <w:rPr>
          <w:rFonts w:eastAsia="Times New Roman" w:cs="Arial"/>
          <w:i/>
          <w:iCs/>
          <w:color w:val="000000"/>
          <w:szCs w:val="20"/>
          <w:lang w:val="en-US"/>
        </w:rPr>
        <w:t>vitro</w:t>
      </w:r>
      <w:r w:rsidRPr="000F12EE">
        <w:rPr>
          <w:rFonts w:eastAsia="Times New Roman" w:cs="Arial"/>
          <w:color w:val="000000"/>
          <w:szCs w:val="20"/>
          <w:lang w:val="ru-RU"/>
        </w:rPr>
        <w:t xml:space="preserve"> </w:t>
      </w:r>
      <w:r w:rsidRPr="000F12EE">
        <w:rPr>
          <w:rFonts w:eastAsia="Times New Roman" w:cs="Arial"/>
          <w:color w:val="000000"/>
          <w:szCs w:val="20"/>
          <w:lang w:eastAsia="bg-BG"/>
        </w:rPr>
        <w:t>проучване показва антиокдантните свойства на 6’- и 7’-хидрокси метаболитите на доксазосин при концентрации 5 микромола.</w:t>
      </w:r>
    </w:p>
    <w:p w14:paraId="3279A71A" w14:textId="77777777" w:rsidR="000F12EE" w:rsidRPr="000F12EE" w:rsidRDefault="000F12EE" w:rsidP="000F12EE">
      <w:pPr>
        <w:spacing w:line="240" w:lineRule="auto"/>
        <w:rPr>
          <w:rFonts w:eastAsia="Times New Roman" w:cs="Arial"/>
          <w:color w:val="000000"/>
          <w:szCs w:val="20"/>
          <w:lang w:eastAsia="bg-BG"/>
        </w:rPr>
      </w:pPr>
    </w:p>
    <w:p w14:paraId="18C4FF36" w14:textId="1CA64A35" w:rsidR="000F12EE" w:rsidRPr="000F12EE" w:rsidRDefault="000F12EE" w:rsidP="000F12EE">
      <w:pPr>
        <w:spacing w:line="240" w:lineRule="auto"/>
        <w:rPr>
          <w:rFonts w:eastAsia="Times New Roman" w:cs="Arial"/>
          <w:sz w:val="28"/>
          <w:szCs w:val="24"/>
        </w:rPr>
      </w:pPr>
      <w:r w:rsidRPr="000F12EE">
        <w:rPr>
          <w:rFonts w:eastAsia="Times New Roman" w:cs="Arial"/>
          <w:color w:val="000000"/>
          <w:szCs w:val="20"/>
          <w:lang w:eastAsia="bg-BG"/>
        </w:rPr>
        <w:t>В контролирано клинично проучване при пациенти с хипертония лечението с доксазосин се свързва с подобряване на еректилната дисфункция. В допълнение пациентите, които са приемали доксазосин, са съобщили по-малко нови случаи на еректилна дисфункция от тези, които са приемали други антихипертензивни лекарства.</w:t>
      </w:r>
    </w:p>
    <w:p w14:paraId="730F1576" w14:textId="77777777" w:rsidR="000F12EE" w:rsidRPr="000F12EE" w:rsidRDefault="000F12EE" w:rsidP="000F12EE">
      <w:pPr>
        <w:spacing w:line="240" w:lineRule="auto"/>
        <w:rPr>
          <w:rFonts w:eastAsia="Times New Roman" w:cs="Arial"/>
          <w:i/>
          <w:iCs/>
          <w:color w:val="000000"/>
          <w:szCs w:val="20"/>
          <w:lang w:eastAsia="bg-BG"/>
        </w:rPr>
      </w:pPr>
    </w:p>
    <w:p w14:paraId="587F70B7" w14:textId="000C4DBE" w:rsidR="000F12EE" w:rsidRPr="000F12EE" w:rsidRDefault="000F12EE" w:rsidP="000F12EE">
      <w:pPr>
        <w:spacing w:line="240" w:lineRule="auto"/>
        <w:rPr>
          <w:rFonts w:eastAsia="Times New Roman" w:cs="Arial"/>
          <w:sz w:val="28"/>
          <w:szCs w:val="24"/>
        </w:rPr>
      </w:pPr>
      <w:r w:rsidRPr="000F12EE">
        <w:rPr>
          <w:rFonts w:eastAsia="Times New Roman" w:cs="Arial"/>
          <w:i/>
          <w:iCs/>
          <w:color w:val="000000"/>
          <w:szCs w:val="20"/>
          <w:lang w:eastAsia="bg-BG"/>
        </w:rPr>
        <w:t>Доброкачествена хиперплазия на простата</w:t>
      </w:r>
    </w:p>
    <w:p w14:paraId="2C13FBDE" w14:textId="77777777" w:rsidR="000F12EE" w:rsidRPr="000F12EE" w:rsidRDefault="000F12EE" w:rsidP="000F12EE">
      <w:pPr>
        <w:spacing w:line="240" w:lineRule="auto"/>
        <w:rPr>
          <w:rFonts w:eastAsia="Times New Roman" w:cs="Arial"/>
          <w:sz w:val="28"/>
          <w:szCs w:val="24"/>
        </w:rPr>
      </w:pPr>
      <w:r w:rsidRPr="000F12EE">
        <w:rPr>
          <w:rFonts w:eastAsia="Times New Roman" w:cs="Arial"/>
          <w:color w:val="000000"/>
          <w:szCs w:val="20"/>
          <w:lang w:eastAsia="bg-BG"/>
        </w:rPr>
        <w:t>Приложението на доксазосин при пациенти със симптоматична ДХП подобрява в значителна степен уродинамиката и сиптомите. Счита се, че ефектът при ДХП е резултат от селективно блокиране на алфа-адренорецепторите, локализирани в мускулната строма и капсулата на простатата и шийката на пикочния мехур.</w:t>
      </w:r>
    </w:p>
    <w:p w14:paraId="270C0790" w14:textId="77777777" w:rsidR="000F12EE" w:rsidRPr="000F12EE" w:rsidRDefault="000F12EE" w:rsidP="000F12EE">
      <w:pPr>
        <w:spacing w:line="240" w:lineRule="auto"/>
        <w:rPr>
          <w:rFonts w:eastAsia="Times New Roman" w:cs="Arial"/>
          <w:color w:val="000000"/>
          <w:szCs w:val="20"/>
          <w:lang w:eastAsia="bg-BG"/>
        </w:rPr>
      </w:pPr>
    </w:p>
    <w:p w14:paraId="15B22FE5" w14:textId="24B74CDA" w:rsidR="000F12EE" w:rsidRPr="000F12EE" w:rsidRDefault="000F12EE" w:rsidP="000F12EE">
      <w:pPr>
        <w:spacing w:line="240" w:lineRule="auto"/>
        <w:rPr>
          <w:rFonts w:eastAsia="Times New Roman" w:cs="Arial"/>
          <w:sz w:val="28"/>
          <w:szCs w:val="24"/>
        </w:rPr>
      </w:pPr>
      <w:r w:rsidRPr="000F12EE">
        <w:rPr>
          <w:rFonts w:eastAsia="Times New Roman" w:cs="Arial"/>
          <w:color w:val="000000"/>
          <w:szCs w:val="20"/>
          <w:lang w:eastAsia="bg-BG"/>
        </w:rPr>
        <w:lastRenderedPageBreak/>
        <w:t>Доказано е, че доксазосин е ефективен блокер на 1А подтип на алфа-1-адренорецепторите, които представляват над 70% от подтиповете в простатата. Това се отнася за действието при пациентите с ДХП.</w:t>
      </w:r>
    </w:p>
    <w:p w14:paraId="4FF07F1D" w14:textId="77777777" w:rsidR="000F12EE" w:rsidRPr="000F12EE" w:rsidRDefault="000F12EE" w:rsidP="000F12EE">
      <w:pPr>
        <w:spacing w:line="240" w:lineRule="auto"/>
        <w:rPr>
          <w:rFonts w:eastAsia="Times New Roman" w:cs="Arial"/>
          <w:color w:val="000000"/>
          <w:szCs w:val="20"/>
          <w:lang w:eastAsia="bg-BG"/>
        </w:rPr>
      </w:pPr>
    </w:p>
    <w:p w14:paraId="6FE4192A" w14:textId="138AD3EA" w:rsidR="000F12EE" w:rsidRPr="000F12EE" w:rsidRDefault="000F12EE" w:rsidP="000F12EE">
      <w:pPr>
        <w:spacing w:line="240" w:lineRule="auto"/>
        <w:rPr>
          <w:rFonts w:eastAsia="Times New Roman" w:cs="Arial"/>
          <w:sz w:val="28"/>
          <w:szCs w:val="24"/>
        </w:rPr>
      </w:pPr>
      <w:r w:rsidRPr="000F12EE">
        <w:rPr>
          <w:rFonts w:eastAsia="Times New Roman" w:cs="Arial"/>
          <w:color w:val="000000"/>
          <w:szCs w:val="20"/>
          <w:lang w:eastAsia="bg-BG"/>
        </w:rPr>
        <w:t>Доксазосин показва постоянна ефикасност и безопасност при дългосрочно лечение на ДХП (до 48 месеца).</w:t>
      </w:r>
    </w:p>
    <w:p w14:paraId="78B9BEA9" w14:textId="584963D6" w:rsidR="000F12EE" w:rsidRPr="000F12EE" w:rsidRDefault="000F12EE" w:rsidP="000F12EE"/>
    <w:p w14:paraId="78DD93AA" w14:textId="52B53467" w:rsidR="00B6672E" w:rsidRDefault="002C50EE" w:rsidP="00936AD0">
      <w:pPr>
        <w:pStyle w:val="Heading2"/>
      </w:pPr>
      <w:r>
        <w:t>5.2. Фармакокинетични свойства</w:t>
      </w:r>
    </w:p>
    <w:p w14:paraId="0CA825FE" w14:textId="29C63B32" w:rsidR="000F12EE" w:rsidRDefault="000F12EE" w:rsidP="000F12EE"/>
    <w:p w14:paraId="3884ECF1" w14:textId="77777777" w:rsidR="000F12EE" w:rsidRPr="000F12EE" w:rsidRDefault="000F12EE" w:rsidP="000F12EE">
      <w:pPr>
        <w:pStyle w:val="Heading3"/>
        <w:rPr>
          <w:rFonts w:eastAsia="Times New Roman"/>
          <w:sz w:val="28"/>
          <w:u w:val="single"/>
        </w:rPr>
      </w:pPr>
      <w:r w:rsidRPr="000F12EE">
        <w:rPr>
          <w:rFonts w:eastAsia="Times New Roman"/>
          <w:u w:val="single"/>
          <w:lang w:eastAsia="bg-BG"/>
        </w:rPr>
        <w:t>Абсорбция</w:t>
      </w:r>
    </w:p>
    <w:p w14:paraId="5E829B90" w14:textId="77777777" w:rsidR="000F12EE" w:rsidRPr="000F12EE" w:rsidRDefault="000F12EE" w:rsidP="000F12EE">
      <w:pPr>
        <w:spacing w:line="240" w:lineRule="auto"/>
        <w:rPr>
          <w:rFonts w:eastAsia="Times New Roman" w:cs="Arial"/>
          <w:sz w:val="28"/>
          <w:szCs w:val="24"/>
        </w:rPr>
      </w:pPr>
      <w:r w:rsidRPr="000F12EE">
        <w:rPr>
          <w:rFonts w:eastAsia="Times New Roman" w:cs="Arial"/>
          <w:color w:val="000000"/>
          <w:szCs w:val="20"/>
          <w:lang w:eastAsia="bg-BG"/>
        </w:rPr>
        <w:t>След перорално приложение на терапевтична доза доксазосин се абсорбира добре с пикова плазмена концентрация, която настъпва след около 2 часа.</w:t>
      </w:r>
    </w:p>
    <w:p w14:paraId="67B74D52" w14:textId="77777777" w:rsidR="000F12EE" w:rsidRPr="000F12EE" w:rsidRDefault="000F12EE" w:rsidP="000F12EE">
      <w:pPr>
        <w:spacing w:line="240" w:lineRule="auto"/>
        <w:rPr>
          <w:rFonts w:eastAsia="Times New Roman" w:cs="Arial"/>
          <w:color w:val="000000"/>
          <w:szCs w:val="20"/>
          <w:u w:val="single"/>
          <w:lang w:eastAsia="bg-BG"/>
        </w:rPr>
      </w:pPr>
    </w:p>
    <w:p w14:paraId="5396BE20" w14:textId="5BF8829B" w:rsidR="000F12EE" w:rsidRPr="000F12EE" w:rsidRDefault="000F12EE" w:rsidP="000F12EE">
      <w:pPr>
        <w:pStyle w:val="Heading3"/>
        <w:rPr>
          <w:rFonts w:eastAsia="Times New Roman"/>
          <w:sz w:val="28"/>
          <w:u w:val="single"/>
        </w:rPr>
      </w:pPr>
      <w:r w:rsidRPr="000F12EE">
        <w:rPr>
          <w:rFonts w:eastAsia="Times New Roman"/>
          <w:u w:val="single"/>
          <w:lang w:eastAsia="bg-BG"/>
        </w:rPr>
        <w:t>Биотрансформация/Елиминиране</w:t>
      </w:r>
    </w:p>
    <w:p w14:paraId="5908B128" w14:textId="77777777" w:rsidR="000F12EE" w:rsidRPr="000F12EE" w:rsidRDefault="000F12EE" w:rsidP="000F12EE">
      <w:pPr>
        <w:spacing w:line="240" w:lineRule="auto"/>
        <w:rPr>
          <w:rFonts w:eastAsia="Times New Roman" w:cs="Arial"/>
          <w:sz w:val="28"/>
          <w:szCs w:val="24"/>
        </w:rPr>
      </w:pPr>
      <w:r w:rsidRPr="000F12EE">
        <w:rPr>
          <w:rFonts w:eastAsia="Times New Roman" w:cs="Arial"/>
          <w:color w:val="000000"/>
          <w:szCs w:val="20"/>
          <w:lang w:eastAsia="bg-BG"/>
        </w:rPr>
        <w:t>Плазмената елиминация е бифазна с краен елиминационен полуживот 22 часа, което прави лекарството подходящо за еднократно дневно приложение. Доксазосин се метаболизира в значителна степен и &lt;5% се елиминира непроменен.</w:t>
      </w:r>
    </w:p>
    <w:p w14:paraId="68C669E9" w14:textId="77777777" w:rsidR="000F12EE" w:rsidRPr="000F12EE" w:rsidRDefault="000F12EE" w:rsidP="000F12EE">
      <w:pPr>
        <w:spacing w:line="240" w:lineRule="auto"/>
        <w:rPr>
          <w:rFonts w:eastAsia="Times New Roman" w:cs="Arial"/>
          <w:color w:val="000000"/>
          <w:szCs w:val="20"/>
          <w:lang w:eastAsia="bg-BG"/>
        </w:rPr>
      </w:pPr>
    </w:p>
    <w:p w14:paraId="3D813C13" w14:textId="7E1E3AE5" w:rsidR="000F12EE" w:rsidRPr="000F12EE" w:rsidRDefault="000F12EE" w:rsidP="000F12EE">
      <w:pPr>
        <w:spacing w:line="240" w:lineRule="auto"/>
        <w:rPr>
          <w:rFonts w:eastAsia="Times New Roman" w:cs="Arial"/>
          <w:sz w:val="28"/>
          <w:szCs w:val="24"/>
        </w:rPr>
      </w:pPr>
      <w:r w:rsidRPr="000F12EE">
        <w:rPr>
          <w:rFonts w:eastAsia="Times New Roman" w:cs="Arial"/>
          <w:color w:val="000000"/>
          <w:szCs w:val="20"/>
          <w:lang w:eastAsia="bg-BG"/>
        </w:rPr>
        <w:t>При фармакокинетични проучвания, проведени при пациенти с бъбречна недостатъчност, не са установени значими промени в сравнение с пациенти с нормална бъбречна функция.</w:t>
      </w:r>
    </w:p>
    <w:p w14:paraId="2C48E468" w14:textId="77777777" w:rsidR="000F12EE" w:rsidRPr="000F12EE" w:rsidRDefault="000F12EE" w:rsidP="000F12EE">
      <w:pPr>
        <w:spacing w:line="240" w:lineRule="auto"/>
        <w:rPr>
          <w:rFonts w:eastAsia="Times New Roman" w:cs="Arial"/>
          <w:color w:val="000000"/>
          <w:szCs w:val="20"/>
          <w:lang w:eastAsia="bg-BG"/>
        </w:rPr>
      </w:pPr>
    </w:p>
    <w:p w14:paraId="21EA7800" w14:textId="1EDA0044" w:rsidR="000F12EE" w:rsidRPr="000F12EE" w:rsidRDefault="000F12EE" w:rsidP="000F12EE">
      <w:pPr>
        <w:spacing w:line="240" w:lineRule="auto"/>
        <w:rPr>
          <w:rFonts w:eastAsia="Times New Roman" w:cs="Arial"/>
          <w:sz w:val="28"/>
          <w:szCs w:val="24"/>
        </w:rPr>
      </w:pPr>
      <w:r w:rsidRPr="000F12EE">
        <w:rPr>
          <w:rFonts w:eastAsia="Times New Roman" w:cs="Arial"/>
          <w:color w:val="000000"/>
          <w:szCs w:val="20"/>
          <w:lang w:eastAsia="bg-BG"/>
        </w:rPr>
        <w:t xml:space="preserve">Има ограничени данни при пациенти с чернодробна недостатъчност и за ефекта на лекарства, за които е известно, че повлияват чернодробния метаболизъм (напр., циметидин). В клинично проучване с 12 пациенти с умерена степен на чернодробно увреждане след приложение на еднократна доза доксазосин е налице повишаване на </w:t>
      </w:r>
      <w:r w:rsidRPr="000F12EE">
        <w:rPr>
          <w:rFonts w:eastAsia="Times New Roman" w:cs="Arial"/>
          <w:color w:val="000000"/>
          <w:szCs w:val="20"/>
          <w:lang w:val="en-US"/>
        </w:rPr>
        <w:t>AUC</w:t>
      </w:r>
      <w:r w:rsidRPr="000F12EE">
        <w:rPr>
          <w:rFonts w:eastAsia="Times New Roman" w:cs="Arial"/>
          <w:color w:val="000000"/>
          <w:szCs w:val="20"/>
          <w:lang w:val="ru-RU"/>
        </w:rPr>
        <w:t xml:space="preserve"> </w:t>
      </w:r>
      <w:r w:rsidRPr="000F12EE">
        <w:rPr>
          <w:rFonts w:eastAsia="Times New Roman" w:cs="Arial"/>
          <w:color w:val="000000"/>
          <w:szCs w:val="20"/>
          <w:lang w:eastAsia="bg-BG"/>
        </w:rPr>
        <w:t>с 43% и намаляване на реалния перорален клирънс с 40%.</w:t>
      </w:r>
    </w:p>
    <w:p w14:paraId="3B0A5C56" w14:textId="77777777" w:rsidR="000F12EE" w:rsidRPr="000F12EE" w:rsidRDefault="000F12EE" w:rsidP="000F12EE">
      <w:pPr>
        <w:spacing w:line="240" w:lineRule="auto"/>
        <w:rPr>
          <w:rFonts w:eastAsia="Times New Roman" w:cs="Arial"/>
          <w:sz w:val="28"/>
          <w:szCs w:val="24"/>
        </w:rPr>
      </w:pPr>
      <w:r w:rsidRPr="000F12EE">
        <w:rPr>
          <w:rFonts w:eastAsia="Times New Roman" w:cs="Arial"/>
          <w:color w:val="000000"/>
          <w:szCs w:val="20"/>
          <w:lang w:eastAsia="bg-BG"/>
        </w:rPr>
        <w:t>Както при всеки лекарствен продукт, метаболизиран изцяло в черния дроб, използването на доксазосин при пациенти с нарушена чернодробна функция трябва да става внимателно (вижте точка 4.4).</w:t>
      </w:r>
    </w:p>
    <w:p w14:paraId="5AAAE8A9" w14:textId="77777777" w:rsidR="000F12EE" w:rsidRPr="000F12EE" w:rsidRDefault="000F12EE" w:rsidP="000F12EE">
      <w:pPr>
        <w:spacing w:line="240" w:lineRule="auto"/>
        <w:rPr>
          <w:rFonts w:eastAsia="Times New Roman" w:cs="Arial"/>
          <w:color w:val="000000"/>
          <w:szCs w:val="20"/>
          <w:lang w:eastAsia="bg-BG"/>
        </w:rPr>
      </w:pPr>
    </w:p>
    <w:p w14:paraId="17851BE6" w14:textId="036F2A00" w:rsidR="000F12EE" w:rsidRPr="000F12EE" w:rsidRDefault="000F12EE" w:rsidP="000F12EE">
      <w:pPr>
        <w:spacing w:line="240" w:lineRule="auto"/>
        <w:rPr>
          <w:rFonts w:eastAsia="Times New Roman" w:cs="Arial"/>
          <w:sz w:val="28"/>
          <w:szCs w:val="24"/>
        </w:rPr>
      </w:pPr>
      <w:r w:rsidRPr="000F12EE">
        <w:rPr>
          <w:rFonts w:eastAsia="Times New Roman" w:cs="Arial"/>
          <w:color w:val="000000"/>
          <w:szCs w:val="20"/>
          <w:lang w:eastAsia="bg-BG"/>
        </w:rPr>
        <w:t>Приблизително 98% от доксазосин е свързан с плазмените протеини.</w:t>
      </w:r>
    </w:p>
    <w:p w14:paraId="1C47A05D" w14:textId="77777777" w:rsidR="000F12EE" w:rsidRPr="000F12EE" w:rsidRDefault="000F12EE" w:rsidP="000F12EE">
      <w:pPr>
        <w:rPr>
          <w:rFonts w:eastAsia="Times New Roman" w:cs="Arial"/>
          <w:color w:val="000000"/>
          <w:szCs w:val="20"/>
          <w:lang w:eastAsia="bg-BG"/>
        </w:rPr>
      </w:pPr>
    </w:p>
    <w:p w14:paraId="34D9B04D" w14:textId="02DFC450" w:rsidR="000F12EE" w:rsidRPr="000F12EE" w:rsidRDefault="000F12EE" w:rsidP="000F12EE">
      <w:pPr>
        <w:rPr>
          <w:rFonts w:eastAsia="Times New Roman" w:cs="Arial"/>
          <w:color w:val="000000"/>
          <w:szCs w:val="20"/>
          <w:lang w:eastAsia="bg-BG"/>
        </w:rPr>
      </w:pPr>
      <w:r w:rsidRPr="000F12EE">
        <w:rPr>
          <w:rFonts w:eastAsia="Times New Roman" w:cs="Arial"/>
          <w:color w:val="000000"/>
          <w:szCs w:val="20"/>
          <w:lang w:eastAsia="bg-BG"/>
        </w:rPr>
        <w:t xml:space="preserve">Доксазосин основно се метаболизира чрез О-деметилация и хидроксилация. Доксазосин се метаболизира в голяма степен в черния дроб. </w:t>
      </w:r>
      <w:r w:rsidRPr="000F12EE">
        <w:rPr>
          <w:rFonts w:eastAsia="Times New Roman" w:cs="Arial"/>
          <w:i/>
          <w:iCs/>
          <w:color w:val="000000"/>
          <w:szCs w:val="20"/>
          <w:lang w:val="en-US"/>
        </w:rPr>
        <w:t>In</w:t>
      </w:r>
      <w:r w:rsidRPr="000F12EE">
        <w:rPr>
          <w:rFonts w:eastAsia="Times New Roman" w:cs="Arial"/>
          <w:i/>
          <w:iCs/>
          <w:color w:val="000000"/>
          <w:szCs w:val="20"/>
          <w:lang w:val="ru-RU"/>
        </w:rPr>
        <w:t xml:space="preserve"> </w:t>
      </w:r>
      <w:r w:rsidRPr="000F12EE">
        <w:rPr>
          <w:rFonts w:eastAsia="Times New Roman" w:cs="Arial"/>
          <w:i/>
          <w:iCs/>
          <w:color w:val="000000"/>
          <w:szCs w:val="20"/>
          <w:lang w:val="en-US"/>
        </w:rPr>
        <w:t>vitro</w:t>
      </w:r>
      <w:r w:rsidRPr="000F12EE">
        <w:rPr>
          <w:rFonts w:eastAsia="Times New Roman" w:cs="Arial"/>
          <w:color w:val="000000"/>
          <w:szCs w:val="20"/>
          <w:lang w:val="ru-RU"/>
        </w:rPr>
        <w:t xml:space="preserve"> </w:t>
      </w:r>
      <w:r w:rsidRPr="000F12EE">
        <w:rPr>
          <w:rFonts w:eastAsia="Times New Roman" w:cs="Arial"/>
          <w:color w:val="000000"/>
          <w:szCs w:val="20"/>
          <w:lang w:eastAsia="bg-BG"/>
        </w:rPr>
        <w:t xml:space="preserve">проучвания предполагат, че основният път на елиминиране е чрез </w:t>
      </w:r>
      <w:r w:rsidRPr="000F12EE">
        <w:rPr>
          <w:rFonts w:eastAsia="Times New Roman" w:cs="Arial"/>
          <w:color w:val="000000"/>
          <w:szCs w:val="20"/>
          <w:lang w:val="en-US"/>
        </w:rPr>
        <w:t>CYP</w:t>
      </w:r>
      <w:r w:rsidRPr="000F12EE">
        <w:rPr>
          <w:rFonts w:eastAsia="Times New Roman" w:cs="Arial"/>
          <w:color w:val="000000"/>
          <w:szCs w:val="20"/>
          <w:lang w:val="ru-RU"/>
        </w:rPr>
        <w:t xml:space="preserve"> </w:t>
      </w:r>
      <w:r w:rsidRPr="000F12EE">
        <w:rPr>
          <w:rFonts w:eastAsia="Times New Roman" w:cs="Arial"/>
          <w:color w:val="000000"/>
          <w:szCs w:val="20"/>
          <w:lang w:eastAsia="bg-BG"/>
        </w:rPr>
        <w:t xml:space="preserve">ЗА4. Метаболитните пътища чрез </w:t>
      </w:r>
      <w:r w:rsidRPr="000F12EE">
        <w:rPr>
          <w:rFonts w:eastAsia="Times New Roman" w:cs="Arial"/>
          <w:color w:val="000000"/>
          <w:szCs w:val="20"/>
          <w:lang w:val="en-US"/>
        </w:rPr>
        <w:t>CYP</w:t>
      </w:r>
      <w:r w:rsidRPr="000F12EE">
        <w:rPr>
          <w:rFonts w:eastAsia="Times New Roman" w:cs="Arial"/>
          <w:color w:val="000000"/>
          <w:szCs w:val="20"/>
          <w:lang w:val="ru-RU"/>
        </w:rPr>
        <w:t xml:space="preserve"> 2</w:t>
      </w:r>
      <w:r w:rsidRPr="000F12EE">
        <w:rPr>
          <w:rFonts w:eastAsia="Times New Roman" w:cs="Arial"/>
          <w:color w:val="000000"/>
          <w:szCs w:val="20"/>
          <w:lang w:val="en-US"/>
        </w:rPr>
        <w:t>D</w:t>
      </w:r>
      <w:r w:rsidRPr="000F12EE">
        <w:rPr>
          <w:rFonts w:eastAsia="Times New Roman" w:cs="Arial"/>
          <w:color w:val="000000"/>
          <w:szCs w:val="20"/>
          <w:lang w:val="ru-RU"/>
        </w:rPr>
        <w:t xml:space="preserve">6 </w:t>
      </w:r>
      <w:r w:rsidRPr="000F12EE">
        <w:rPr>
          <w:rFonts w:eastAsia="Times New Roman" w:cs="Arial"/>
          <w:color w:val="000000"/>
          <w:szCs w:val="20"/>
          <w:lang w:eastAsia="bg-BG"/>
        </w:rPr>
        <w:t xml:space="preserve">и </w:t>
      </w:r>
      <w:r w:rsidRPr="000F12EE">
        <w:rPr>
          <w:rFonts w:eastAsia="Times New Roman" w:cs="Arial"/>
          <w:color w:val="000000"/>
          <w:szCs w:val="20"/>
          <w:lang w:val="en-US"/>
        </w:rPr>
        <w:t>CYP</w:t>
      </w:r>
      <w:r w:rsidRPr="000F12EE">
        <w:rPr>
          <w:rFonts w:eastAsia="Times New Roman" w:cs="Arial"/>
          <w:color w:val="000000"/>
          <w:szCs w:val="20"/>
          <w:lang w:val="ru-RU"/>
        </w:rPr>
        <w:t xml:space="preserve"> </w:t>
      </w:r>
      <w:r w:rsidRPr="000F12EE">
        <w:rPr>
          <w:rFonts w:eastAsia="Times New Roman" w:cs="Arial"/>
          <w:color w:val="000000"/>
          <w:szCs w:val="20"/>
          <w:lang w:eastAsia="bg-BG"/>
        </w:rPr>
        <w:t>2С9 обаче също имат роля в елиминирането му, но в по-малка степен.</w:t>
      </w:r>
    </w:p>
    <w:p w14:paraId="5D7AF133" w14:textId="77777777" w:rsidR="000F12EE" w:rsidRPr="000F12EE" w:rsidRDefault="000F12EE" w:rsidP="000F12EE"/>
    <w:p w14:paraId="4FB791BE" w14:textId="32B0ECDC" w:rsidR="00B6672E" w:rsidRDefault="002C50EE" w:rsidP="00936AD0">
      <w:pPr>
        <w:pStyle w:val="Heading2"/>
      </w:pPr>
      <w:r>
        <w:t>5.3. Предклинични данни за безопасност</w:t>
      </w:r>
    </w:p>
    <w:p w14:paraId="487B9328" w14:textId="47C93A33" w:rsidR="000F12EE" w:rsidRDefault="000F12EE" w:rsidP="000F12EE"/>
    <w:p w14:paraId="73B001B0" w14:textId="77777777" w:rsidR="000F12EE" w:rsidRPr="000F12EE" w:rsidRDefault="000F12EE" w:rsidP="000F12EE">
      <w:pPr>
        <w:spacing w:line="240" w:lineRule="auto"/>
        <w:rPr>
          <w:rFonts w:eastAsia="Times New Roman" w:cs="Arial"/>
          <w:sz w:val="28"/>
          <w:szCs w:val="24"/>
        </w:rPr>
      </w:pPr>
      <w:r w:rsidRPr="000F12EE">
        <w:rPr>
          <w:rFonts w:eastAsia="Times New Roman" w:cs="Arial"/>
          <w:color w:val="000000"/>
          <w:szCs w:val="20"/>
          <w:u w:val="single"/>
          <w:lang w:eastAsia="bg-BG"/>
        </w:rPr>
        <w:t>Карциногенност</w:t>
      </w:r>
    </w:p>
    <w:p w14:paraId="0B6730D8" w14:textId="77777777" w:rsidR="000F12EE" w:rsidRPr="000F12EE" w:rsidRDefault="000F12EE" w:rsidP="000F12EE">
      <w:pPr>
        <w:rPr>
          <w:rFonts w:eastAsia="Times New Roman" w:cs="Arial"/>
          <w:sz w:val="28"/>
          <w:szCs w:val="24"/>
        </w:rPr>
      </w:pPr>
      <w:r w:rsidRPr="000F12EE">
        <w:rPr>
          <w:rFonts w:eastAsia="Times New Roman" w:cs="Arial"/>
          <w:color w:val="000000"/>
          <w:szCs w:val="20"/>
          <w:lang w:eastAsia="bg-BG"/>
        </w:rPr>
        <w:t xml:space="preserve">Продължителен прием на доксазосин с храна (до 24 месеца) в максимално толерирани дози от 40 </w:t>
      </w:r>
      <w:r w:rsidRPr="000F12EE">
        <w:rPr>
          <w:rFonts w:eastAsia="Times New Roman" w:cs="Arial"/>
          <w:color w:val="000000"/>
          <w:szCs w:val="20"/>
          <w:lang w:val="en-US"/>
        </w:rPr>
        <w:t>mg</w:t>
      </w:r>
      <w:r w:rsidRPr="000F12EE">
        <w:rPr>
          <w:rFonts w:eastAsia="Times New Roman" w:cs="Arial"/>
          <w:color w:val="000000"/>
          <w:szCs w:val="20"/>
          <w:lang w:val="ru-RU"/>
        </w:rPr>
        <w:t>/</w:t>
      </w:r>
      <w:r w:rsidRPr="000F12EE">
        <w:rPr>
          <w:rFonts w:eastAsia="Times New Roman" w:cs="Arial"/>
          <w:color w:val="000000"/>
          <w:szCs w:val="20"/>
          <w:lang w:val="en-US"/>
        </w:rPr>
        <w:t>kg</w:t>
      </w:r>
      <w:r w:rsidRPr="000F12EE">
        <w:rPr>
          <w:rFonts w:eastAsia="Times New Roman" w:cs="Arial"/>
          <w:color w:val="000000"/>
          <w:szCs w:val="20"/>
          <w:lang w:eastAsia="bg-BG"/>
        </w:rPr>
        <w:t xml:space="preserve">/дневно при плъхове и 120 </w:t>
      </w:r>
      <w:r w:rsidRPr="000F12EE">
        <w:rPr>
          <w:rFonts w:eastAsia="Times New Roman" w:cs="Arial"/>
          <w:color w:val="000000"/>
          <w:szCs w:val="20"/>
          <w:lang w:val="en-US"/>
        </w:rPr>
        <w:t>mg</w:t>
      </w:r>
      <w:r w:rsidRPr="000F12EE">
        <w:rPr>
          <w:rFonts w:eastAsia="Times New Roman" w:cs="Arial"/>
          <w:color w:val="000000"/>
          <w:szCs w:val="20"/>
          <w:lang w:val="ru-RU"/>
        </w:rPr>
        <w:t>/</w:t>
      </w:r>
      <w:r w:rsidRPr="000F12EE">
        <w:rPr>
          <w:rFonts w:eastAsia="Times New Roman" w:cs="Arial"/>
          <w:color w:val="000000"/>
          <w:szCs w:val="20"/>
          <w:lang w:val="en-US"/>
        </w:rPr>
        <w:t>kg</w:t>
      </w:r>
      <w:r w:rsidRPr="000F12EE">
        <w:rPr>
          <w:rFonts w:eastAsia="Times New Roman" w:cs="Arial"/>
          <w:color w:val="000000"/>
          <w:szCs w:val="20"/>
          <w:lang w:eastAsia="bg-BG"/>
        </w:rPr>
        <w:t xml:space="preserve">/дневно при мишки не представя доказателства за карциногенен потенциал. Най-високите дози, оценени в проучвания при плъхове и мижки, се свързват с </w:t>
      </w:r>
      <w:r w:rsidRPr="000F12EE">
        <w:rPr>
          <w:rFonts w:eastAsia="Times New Roman" w:cs="Arial"/>
          <w:color w:val="000000"/>
          <w:szCs w:val="20"/>
          <w:lang w:val="en-US"/>
        </w:rPr>
        <w:t>AUC</w:t>
      </w:r>
      <w:r w:rsidRPr="000F12EE">
        <w:rPr>
          <w:rFonts w:eastAsia="Times New Roman" w:cs="Arial"/>
          <w:color w:val="000000"/>
          <w:szCs w:val="20"/>
          <w:lang w:val="ru-RU"/>
        </w:rPr>
        <w:t xml:space="preserve"> </w:t>
      </w:r>
      <w:r w:rsidRPr="000F12EE">
        <w:rPr>
          <w:rFonts w:eastAsia="Times New Roman" w:cs="Arial"/>
          <w:color w:val="000000"/>
          <w:szCs w:val="20"/>
          <w:lang w:eastAsia="bg-BG"/>
        </w:rPr>
        <w:t xml:space="preserve">(показател за системна експозиция), които са съответно 8 пъти и 4 пъти по- високи от </w:t>
      </w:r>
      <w:r w:rsidRPr="000F12EE">
        <w:rPr>
          <w:rFonts w:eastAsia="Times New Roman" w:cs="Arial"/>
          <w:color w:val="000000"/>
          <w:szCs w:val="20"/>
          <w:lang w:val="en-US"/>
        </w:rPr>
        <w:t>AUC</w:t>
      </w:r>
      <w:r w:rsidRPr="000F12EE">
        <w:rPr>
          <w:rFonts w:eastAsia="Times New Roman" w:cs="Arial"/>
          <w:color w:val="000000"/>
          <w:szCs w:val="20"/>
          <w:lang w:val="ru-RU"/>
        </w:rPr>
        <w:t xml:space="preserve"> </w:t>
      </w:r>
      <w:r w:rsidRPr="000F12EE">
        <w:rPr>
          <w:rFonts w:eastAsia="Times New Roman" w:cs="Arial"/>
          <w:color w:val="000000"/>
          <w:szCs w:val="20"/>
          <w:lang w:eastAsia="bg-BG"/>
        </w:rPr>
        <w:t xml:space="preserve">при хора при доза от 16 </w:t>
      </w:r>
      <w:r w:rsidRPr="000F12EE">
        <w:rPr>
          <w:rFonts w:eastAsia="Times New Roman" w:cs="Arial"/>
          <w:color w:val="000000"/>
          <w:szCs w:val="20"/>
          <w:lang w:val="en-US"/>
        </w:rPr>
        <w:t>mg</w:t>
      </w:r>
      <w:r w:rsidRPr="000F12EE">
        <w:rPr>
          <w:rFonts w:eastAsia="Times New Roman" w:cs="Arial"/>
          <w:color w:val="000000"/>
          <w:szCs w:val="20"/>
          <w:lang w:val="ru-RU"/>
        </w:rPr>
        <w:t xml:space="preserve"> </w:t>
      </w:r>
      <w:r w:rsidRPr="000F12EE">
        <w:rPr>
          <w:rFonts w:eastAsia="Times New Roman" w:cs="Arial"/>
          <w:color w:val="000000"/>
          <w:szCs w:val="20"/>
          <w:lang w:eastAsia="bg-BG"/>
        </w:rPr>
        <w:t>дневно.</w:t>
      </w:r>
    </w:p>
    <w:p w14:paraId="73F1D265" w14:textId="77777777" w:rsidR="000F12EE" w:rsidRPr="000F12EE" w:rsidRDefault="000F12EE" w:rsidP="000F12EE">
      <w:pPr>
        <w:spacing w:line="240" w:lineRule="auto"/>
        <w:rPr>
          <w:rFonts w:eastAsia="Times New Roman" w:cs="Arial"/>
          <w:color w:val="000000"/>
          <w:szCs w:val="20"/>
          <w:u w:val="single"/>
          <w:lang w:eastAsia="bg-BG"/>
        </w:rPr>
      </w:pPr>
    </w:p>
    <w:p w14:paraId="10C9907C" w14:textId="06728F58" w:rsidR="000F12EE" w:rsidRPr="000F12EE" w:rsidRDefault="000F12EE" w:rsidP="000F12EE">
      <w:pPr>
        <w:spacing w:line="240" w:lineRule="auto"/>
        <w:rPr>
          <w:rFonts w:eastAsia="Times New Roman" w:cs="Arial"/>
          <w:sz w:val="28"/>
          <w:szCs w:val="24"/>
        </w:rPr>
      </w:pPr>
      <w:r w:rsidRPr="000F12EE">
        <w:rPr>
          <w:rFonts w:eastAsia="Times New Roman" w:cs="Arial"/>
          <w:color w:val="000000"/>
          <w:szCs w:val="20"/>
          <w:u w:val="single"/>
          <w:lang w:eastAsia="bg-BG"/>
        </w:rPr>
        <w:t>Мутагенност</w:t>
      </w:r>
    </w:p>
    <w:p w14:paraId="1FB89980" w14:textId="77777777" w:rsidR="000F12EE" w:rsidRPr="000F12EE" w:rsidRDefault="000F12EE" w:rsidP="000F12EE">
      <w:pPr>
        <w:spacing w:line="240" w:lineRule="auto"/>
        <w:rPr>
          <w:rFonts w:eastAsia="Times New Roman" w:cs="Arial"/>
          <w:sz w:val="28"/>
          <w:szCs w:val="24"/>
        </w:rPr>
      </w:pPr>
      <w:r w:rsidRPr="000F12EE">
        <w:rPr>
          <w:rFonts w:eastAsia="Times New Roman" w:cs="Arial"/>
          <w:color w:val="000000"/>
          <w:szCs w:val="20"/>
          <w:lang w:eastAsia="bg-BG"/>
        </w:rPr>
        <w:lastRenderedPageBreak/>
        <w:t>Проучванията за мутагенност не показват ефекти, свързани с лекарството или неговите метаболити нито на хромозомно, нито на субхромозомно ниво.</w:t>
      </w:r>
    </w:p>
    <w:p w14:paraId="603BC049" w14:textId="77777777" w:rsidR="000F12EE" w:rsidRPr="000F12EE" w:rsidRDefault="000F12EE" w:rsidP="000F12EE">
      <w:pPr>
        <w:spacing w:line="240" w:lineRule="auto"/>
        <w:rPr>
          <w:rFonts w:eastAsia="Times New Roman" w:cs="Arial"/>
          <w:color w:val="000000"/>
          <w:szCs w:val="20"/>
          <w:u w:val="single"/>
          <w:lang w:eastAsia="bg-BG"/>
        </w:rPr>
      </w:pPr>
    </w:p>
    <w:p w14:paraId="07E57CAD" w14:textId="1F216C12" w:rsidR="000F12EE" w:rsidRPr="000F12EE" w:rsidRDefault="000F12EE" w:rsidP="000F12EE">
      <w:pPr>
        <w:spacing w:line="240" w:lineRule="auto"/>
        <w:rPr>
          <w:rFonts w:eastAsia="Times New Roman" w:cs="Arial"/>
          <w:sz w:val="28"/>
          <w:szCs w:val="24"/>
        </w:rPr>
      </w:pPr>
      <w:r w:rsidRPr="000F12EE">
        <w:rPr>
          <w:rFonts w:eastAsia="Times New Roman" w:cs="Arial"/>
          <w:color w:val="000000"/>
          <w:szCs w:val="20"/>
          <w:u w:val="single"/>
          <w:lang w:eastAsia="bg-BG"/>
        </w:rPr>
        <w:t>Нарушения на фертилитета</w:t>
      </w:r>
    </w:p>
    <w:p w14:paraId="09EC9CAB" w14:textId="77777777" w:rsidR="000F12EE" w:rsidRPr="000F12EE" w:rsidRDefault="000F12EE" w:rsidP="000F12EE">
      <w:pPr>
        <w:spacing w:line="240" w:lineRule="auto"/>
        <w:rPr>
          <w:rFonts w:eastAsia="Times New Roman" w:cs="Arial"/>
          <w:sz w:val="28"/>
          <w:szCs w:val="24"/>
        </w:rPr>
      </w:pPr>
      <w:r w:rsidRPr="000F12EE">
        <w:rPr>
          <w:rFonts w:eastAsia="Times New Roman" w:cs="Arial"/>
          <w:color w:val="000000"/>
          <w:szCs w:val="20"/>
          <w:lang w:eastAsia="bg-BG"/>
        </w:rPr>
        <w:t xml:space="preserve">Проучвания при плъхове показват намален фертилитет при мъжки индивиди, приемали доксазосин в перорални дози от 20 </w:t>
      </w:r>
      <w:r w:rsidRPr="000F12EE">
        <w:rPr>
          <w:rFonts w:eastAsia="Times New Roman" w:cs="Arial"/>
          <w:color w:val="000000"/>
          <w:szCs w:val="20"/>
          <w:lang w:val="en-US"/>
        </w:rPr>
        <w:t>mg</w:t>
      </w:r>
      <w:r w:rsidRPr="000F12EE">
        <w:rPr>
          <w:rFonts w:eastAsia="Times New Roman" w:cs="Arial"/>
          <w:color w:val="000000"/>
          <w:szCs w:val="20"/>
          <w:lang w:val="ru-RU"/>
        </w:rPr>
        <w:t>/</w:t>
      </w:r>
      <w:r w:rsidRPr="000F12EE">
        <w:rPr>
          <w:rFonts w:eastAsia="Times New Roman" w:cs="Arial"/>
          <w:color w:val="000000"/>
          <w:szCs w:val="20"/>
          <w:lang w:val="en-US"/>
        </w:rPr>
        <w:t>kg</w:t>
      </w:r>
      <w:r w:rsidRPr="000F12EE">
        <w:rPr>
          <w:rFonts w:eastAsia="Times New Roman" w:cs="Arial"/>
          <w:color w:val="000000"/>
          <w:szCs w:val="20"/>
          <w:lang w:eastAsia="bg-BG"/>
        </w:rPr>
        <w:t xml:space="preserve">/дневно (но не 5 или 10 </w:t>
      </w:r>
      <w:r w:rsidRPr="000F12EE">
        <w:rPr>
          <w:rFonts w:eastAsia="Times New Roman" w:cs="Arial"/>
          <w:color w:val="000000"/>
          <w:szCs w:val="20"/>
          <w:lang w:val="en-US"/>
        </w:rPr>
        <w:t>mg</w:t>
      </w:r>
      <w:r w:rsidRPr="000F12EE">
        <w:rPr>
          <w:rFonts w:eastAsia="Times New Roman" w:cs="Arial"/>
          <w:color w:val="000000"/>
          <w:szCs w:val="20"/>
          <w:lang w:val="ru-RU"/>
        </w:rPr>
        <w:t>/</w:t>
      </w:r>
      <w:r w:rsidRPr="000F12EE">
        <w:rPr>
          <w:rFonts w:eastAsia="Times New Roman" w:cs="Arial"/>
          <w:color w:val="000000"/>
          <w:szCs w:val="20"/>
          <w:lang w:val="en-US"/>
        </w:rPr>
        <w:t>kg</w:t>
      </w:r>
      <w:r w:rsidRPr="000F12EE">
        <w:rPr>
          <w:rFonts w:eastAsia="Times New Roman" w:cs="Arial"/>
          <w:color w:val="000000"/>
          <w:szCs w:val="20"/>
          <w:lang w:eastAsia="bg-BG"/>
        </w:rPr>
        <w:t xml:space="preserve">/дневно), около 4 пъти </w:t>
      </w:r>
      <w:r w:rsidRPr="000F12EE">
        <w:rPr>
          <w:rFonts w:eastAsia="Times New Roman" w:cs="Arial"/>
          <w:color w:val="000000"/>
          <w:szCs w:val="20"/>
          <w:lang w:val="en-US"/>
        </w:rPr>
        <w:t>AUC</w:t>
      </w:r>
      <w:r w:rsidRPr="000F12EE">
        <w:rPr>
          <w:rFonts w:eastAsia="Times New Roman" w:cs="Arial"/>
          <w:color w:val="000000"/>
          <w:szCs w:val="20"/>
          <w:lang w:val="ru-RU"/>
        </w:rPr>
        <w:t xml:space="preserve"> </w:t>
      </w:r>
      <w:r w:rsidRPr="000F12EE">
        <w:rPr>
          <w:rFonts w:eastAsia="Times New Roman" w:cs="Arial"/>
          <w:color w:val="000000"/>
          <w:szCs w:val="20"/>
          <w:lang w:eastAsia="bg-BG"/>
        </w:rPr>
        <w:t xml:space="preserve">при хора с доза от 12 </w:t>
      </w:r>
      <w:r w:rsidRPr="000F12EE">
        <w:rPr>
          <w:rFonts w:eastAsia="Times New Roman" w:cs="Arial"/>
          <w:color w:val="000000"/>
          <w:szCs w:val="20"/>
          <w:lang w:val="en-US"/>
        </w:rPr>
        <w:t>mg</w:t>
      </w:r>
      <w:r w:rsidRPr="000F12EE">
        <w:rPr>
          <w:rFonts w:eastAsia="Times New Roman" w:cs="Arial"/>
          <w:color w:val="000000"/>
          <w:szCs w:val="20"/>
          <w:lang w:eastAsia="bg-BG"/>
        </w:rPr>
        <w:t>/дневно. Този ефект е бил обратим в рамките на 2 седмици от прекратяване на приема на лекарството. Няма съобщения за каквито и да било ефекти на доксазосин върху мъжкия фертилитет при хора.</w:t>
      </w:r>
    </w:p>
    <w:p w14:paraId="675ED1D7" w14:textId="77777777" w:rsidR="000F12EE" w:rsidRPr="000F12EE" w:rsidRDefault="000F12EE" w:rsidP="000F12EE">
      <w:pPr>
        <w:spacing w:line="240" w:lineRule="auto"/>
        <w:rPr>
          <w:rFonts w:eastAsia="Times New Roman" w:cs="Arial"/>
          <w:color w:val="000000"/>
          <w:szCs w:val="20"/>
          <w:u w:val="single"/>
          <w:lang w:eastAsia="bg-BG"/>
        </w:rPr>
      </w:pPr>
    </w:p>
    <w:p w14:paraId="5542F8DA" w14:textId="6F4C90E0" w:rsidR="000F12EE" w:rsidRPr="000F12EE" w:rsidRDefault="000F12EE" w:rsidP="000F12EE">
      <w:pPr>
        <w:spacing w:line="240" w:lineRule="auto"/>
        <w:rPr>
          <w:rFonts w:eastAsia="Times New Roman" w:cs="Arial"/>
          <w:sz w:val="28"/>
          <w:szCs w:val="24"/>
        </w:rPr>
      </w:pPr>
      <w:r w:rsidRPr="000F12EE">
        <w:rPr>
          <w:rFonts w:eastAsia="Times New Roman" w:cs="Arial"/>
          <w:color w:val="000000"/>
          <w:szCs w:val="20"/>
          <w:u w:val="single"/>
          <w:lang w:eastAsia="bg-BG"/>
        </w:rPr>
        <w:t>Кърмене</w:t>
      </w:r>
    </w:p>
    <w:p w14:paraId="0551ADE6" w14:textId="77777777" w:rsidR="000F12EE" w:rsidRPr="000F12EE" w:rsidRDefault="000F12EE" w:rsidP="000F12EE">
      <w:pPr>
        <w:spacing w:line="240" w:lineRule="auto"/>
        <w:rPr>
          <w:rFonts w:eastAsia="Times New Roman" w:cs="Arial"/>
          <w:sz w:val="28"/>
          <w:szCs w:val="24"/>
        </w:rPr>
      </w:pPr>
      <w:r w:rsidRPr="000F12EE">
        <w:rPr>
          <w:rFonts w:eastAsia="Times New Roman" w:cs="Arial"/>
          <w:color w:val="000000"/>
          <w:szCs w:val="20"/>
          <w:lang w:eastAsia="bg-BG"/>
        </w:rPr>
        <w:t xml:space="preserve">Проучвания при кърмещи плъхове, на които е дадена единична перорална доза 1 </w:t>
      </w:r>
      <w:r w:rsidRPr="000F12EE">
        <w:rPr>
          <w:rFonts w:eastAsia="Times New Roman" w:cs="Arial"/>
          <w:color w:val="000000"/>
          <w:szCs w:val="20"/>
          <w:lang w:val="en-US"/>
        </w:rPr>
        <w:t>mg</w:t>
      </w:r>
      <w:r w:rsidRPr="000F12EE">
        <w:rPr>
          <w:rFonts w:eastAsia="Times New Roman" w:cs="Arial"/>
          <w:color w:val="000000"/>
          <w:szCs w:val="20"/>
          <w:lang w:val="ru-RU"/>
        </w:rPr>
        <w:t>/</w:t>
      </w:r>
      <w:r w:rsidRPr="000F12EE">
        <w:rPr>
          <w:rFonts w:eastAsia="Times New Roman" w:cs="Arial"/>
          <w:color w:val="000000"/>
          <w:szCs w:val="20"/>
          <w:lang w:val="en-US"/>
        </w:rPr>
        <w:t>kg</w:t>
      </w:r>
      <w:r w:rsidRPr="000F12EE">
        <w:rPr>
          <w:rFonts w:eastAsia="Times New Roman" w:cs="Arial"/>
          <w:color w:val="000000"/>
          <w:szCs w:val="20"/>
          <w:lang w:val="ru-RU"/>
        </w:rPr>
        <w:t xml:space="preserve"> </w:t>
      </w:r>
      <w:r w:rsidRPr="000F12EE">
        <w:rPr>
          <w:rFonts w:eastAsia="Times New Roman" w:cs="Arial"/>
          <w:color w:val="000000"/>
          <w:szCs w:val="20"/>
          <w:lang w:eastAsia="bg-BG"/>
        </w:rPr>
        <w:t>[2-</w:t>
      </w:r>
      <w:r w:rsidRPr="000F12EE">
        <w:rPr>
          <w:rFonts w:eastAsia="Times New Roman" w:cs="Arial"/>
          <w:color w:val="000000"/>
          <w:szCs w:val="20"/>
          <w:vertAlign w:val="superscript"/>
          <w:lang w:eastAsia="bg-BG"/>
        </w:rPr>
        <w:t>14</w:t>
      </w:r>
      <w:r w:rsidRPr="000F12EE">
        <w:rPr>
          <w:rFonts w:eastAsia="Times New Roman" w:cs="Arial"/>
          <w:color w:val="000000"/>
          <w:szCs w:val="20"/>
          <w:lang w:eastAsia="bg-BG"/>
        </w:rPr>
        <w:t>С]- доксазосин, показват че доксазосин се акумулира в кърмата на плъховете с максимална концентрация около 20 пъти по-висока в сравнение с майчината плазмена концентрация.</w:t>
      </w:r>
    </w:p>
    <w:p w14:paraId="4789F0E9" w14:textId="77777777" w:rsidR="000F12EE" w:rsidRPr="000F12EE" w:rsidRDefault="000F12EE" w:rsidP="000F12EE">
      <w:pPr>
        <w:spacing w:line="240" w:lineRule="auto"/>
        <w:rPr>
          <w:rFonts w:eastAsia="Times New Roman" w:cs="Arial"/>
          <w:color w:val="000000"/>
          <w:szCs w:val="20"/>
          <w:lang w:eastAsia="bg-BG"/>
        </w:rPr>
      </w:pPr>
    </w:p>
    <w:p w14:paraId="2988F6D8" w14:textId="3BA517AC" w:rsidR="000F12EE" w:rsidRPr="000F12EE" w:rsidRDefault="000F12EE" w:rsidP="000F12EE">
      <w:pPr>
        <w:spacing w:line="240" w:lineRule="auto"/>
        <w:rPr>
          <w:rFonts w:eastAsia="Times New Roman" w:cs="Arial"/>
          <w:sz w:val="28"/>
          <w:szCs w:val="24"/>
        </w:rPr>
      </w:pPr>
      <w:r w:rsidRPr="000F12EE">
        <w:rPr>
          <w:rFonts w:eastAsia="Times New Roman" w:cs="Arial"/>
          <w:color w:val="000000"/>
          <w:szCs w:val="20"/>
          <w:lang w:eastAsia="bg-BG"/>
        </w:rPr>
        <w:t>За повече информация вижте точка 4.6.</w:t>
      </w:r>
    </w:p>
    <w:p w14:paraId="0DCA9A1C" w14:textId="028E40DA" w:rsidR="000F12EE" w:rsidRPr="000F12EE" w:rsidRDefault="000F12EE" w:rsidP="000F12EE"/>
    <w:p w14:paraId="1BA6531D" w14:textId="265AADE2" w:rsidR="00B6672E" w:rsidRDefault="002C50EE" w:rsidP="00936AD0">
      <w:pPr>
        <w:pStyle w:val="Heading1"/>
      </w:pPr>
      <w:r>
        <w:t>7. ПРИТЕЖАТЕЛ НА РАЗРЕШЕНИЕТО ЗА УПОТРЕБА</w:t>
      </w:r>
    </w:p>
    <w:p w14:paraId="7FCD83E7" w14:textId="0A4A2CBB" w:rsidR="000F12EE" w:rsidRDefault="000F12EE" w:rsidP="000F12EE"/>
    <w:p w14:paraId="5BF5C93A" w14:textId="77777777" w:rsidR="000F12EE" w:rsidRDefault="000F12EE" w:rsidP="000F12EE">
      <w:pPr>
        <w:rPr>
          <w:lang w:eastAsia="bg-BG"/>
        </w:rPr>
      </w:pPr>
      <w:r w:rsidRPr="000F12EE">
        <w:rPr>
          <w:lang w:eastAsia="bg-BG"/>
        </w:rPr>
        <w:t xml:space="preserve">“Чайкафарма Висококачествените Лекарства”, АД </w:t>
      </w:r>
    </w:p>
    <w:p w14:paraId="495F5B75" w14:textId="77777777" w:rsidR="000F12EE" w:rsidRDefault="000F12EE" w:rsidP="000F12EE">
      <w:pPr>
        <w:rPr>
          <w:lang w:eastAsia="bg-BG"/>
        </w:rPr>
      </w:pPr>
      <w:r w:rsidRPr="000F12EE">
        <w:rPr>
          <w:lang w:eastAsia="bg-BG"/>
        </w:rPr>
        <w:t xml:space="preserve">бул. “Г. М. Димитров” № 1, гр. София 1172, България </w:t>
      </w:r>
    </w:p>
    <w:p w14:paraId="566AF6C4" w14:textId="7F35ADF4" w:rsidR="000F12EE" w:rsidRPr="000F12EE" w:rsidRDefault="000F12EE" w:rsidP="000F12EE">
      <w:pPr>
        <w:rPr>
          <w:sz w:val="24"/>
          <w:szCs w:val="24"/>
        </w:rPr>
      </w:pPr>
      <w:r w:rsidRPr="000F12EE">
        <w:rPr>
          <w:lang w:eastAsia="bg-BG"/>
        </w:rPr>
        <w:t>тел.: 02/ 962 54 54</w:t>
      </w:r>
    </w:p>
    <w:p w14:paraId="60899205" w14:textId="77777777" w:rsidR="000F12EE" w:rsidRPr="000F12EE" w:rsidRDefault="000F12EE" w:rsidP="000F12EE">
      <w:pPr>
        <w:rPr>
          <w:sz w:val="24"/>
          <w:szCs w:val="24"/>
        </w:rPr>
      </w:pPr>
      <w:r w:rsidRPr="000F12EE">
        <w:rPr>
          <w:lang w:eastAsia="bg-BG"/>
        </w:rPr>
        <w:t>факс; 02/ 960 37 03</w:t>
      </w:r>
    </w:p>
    <w:p w14:paraId="18B3BB56" w14:textId="77777777" w:rsidR="000F12EE" w:rsidRPr="000F12EE" w:rsidRDefault="000F12EE" w:rsidP="000F12EE">
      <w:pPr>
        <w:rPr>
          <w:sz w:val="24"/>
          <w:szCs w:val="24"/>
        </w:rPr>
      </w:pPr>
      <w:proofErr w:type="gramStart"/>
      <w:r w:rsidRPr="000F12EE">
        <w:rPr>
          <w:lang w:val="en-US"/>
        </w:rPr>
        <w:t>e-mail</w:t>
      </w:r>
      <w:proofErr w:type="gramEnd"/>
      <w:r w:rsidRPr="000F12EE">
        <w:rPr>
          <w:lang w:val="en-US"/>
        </w:rPr>
        <w:t xml:space="preserve">: </w:t>
      </w:r>
      <w:hyperlink r:id="rId5" w:history="1">
        <w:r w:rsidRPr="000F12EE">
          <w:rPr>
            <w:lang w:val="en-US"/>
          </w:rPr>
          <w:t>info@tchaikapharma.com</w:t>
        </w:r>
      </w:hyperlink>
    </w:p>
    <w:p w14:paraId="5AA2C67E" w14:textId="77777777" w:rsidR="000F12EE" w:rsidRPr="000F12EE" w:rsidRDefault="000F12EE" w:rsidP="000F12EE"/>
    <w:p w14:paraId="508F3A54" w14:textId="6A446E0B" w:rsidR="00B6672E" w:rsidRDefault="00936AD0" w:rsidP="00936AD0">
      <w:pPr>
        <w:pStyle w:val="Heading1"/>
      </w:pPr>
      <w:r>
        <w:t>8.</w:t>
      </w:r>
      <w:r w:rsidR="002C50EE">
        <w:t>НОМЕР НА РАЗРЕШЕНИЕТО ЗА УПОТРЕБА</w:t>
      </w:r>
    </w:p>
    <w:p w14:paraId="5E3E9454" w14:textId="21CD4FC8" w:rsidR="000F12EE" w:rsidRDefault="000F12EE" w:rsidP="000F12EE"/>
    <w:p w14:paraId="2BD1A273" w14:textId="77777777" w:rsidR="000F12EE" w:rsidRPr="000F12EE" w:rsidRDefault="000F12EE" w:rsidP="000F12EE">
      <w:pPr>
        <w:rPr>
          <w:sz w:val="24"/>
          <w:szCs w:val="24"/>
          <w:lang w:val="en-US"/>
        </w:rPr>
      </w:pPr>
      <w:r w:rsidRPr="000F12EE">
        <w:rPr>
          <w:lang w:val="en-US"/>
        </w:rPr>
        <w:t>Doxazosin-</w:t>
      </w:r>
      <w:proofErr w:type="spellStart"/>
      <w:r w:rsidRPr="000F12EE">
        <w:rPr>
          <w:lang w:val="en-US"/>
        </w:rPr>
        <w:t>Tchaikapharma</w:t>
      </w:r>
      <w:proofErr w:type="spellEnd"/>
      <w:r w:rsidRPr="000F12EE">
        <w:rPr>
          <w:lang w:val="en-US"/>
        </w:rPr>
        <w:t xml:space="preserve"> </w:t>
      </w:r>
      <w:r w:rsidRPr="000F12EE">
        <w:rPr>
          <w:lang w:eastAsia="bg-BG"/>
        </w:rPr>
        <w:t xml:space="preserve">2 </w:t>
      </w:r>
      <w:r w:rsidRPr="000F12EE">
        <w:rPr>
          <w:lang w:val="en-US"/>
        </w:rPr>
        <w:t xml:space="preserve">mg </w:t>
      </w:r>
      <w:r w:rsidRPr="000F12EE">
        <w:rPr>
          <w:lang w:eastAsia="bg-BG"/>
        </w:rPr>
        <w:t>- 20020287</w:t>
      </w:r>
    </w:p>
    <w:p w14:paraId="2451CF06" w14:textId="77777777" w:rsidR="000F12EE" w:rsidRPr="000F12EE" w:rsidRDefault="000F12EE" w:rsidP="000F12EE">
      <w:pPr>
        <w:rPr>
          <w:sz w:val="24"/>
          <w:szCs w:val="24"/>
          <w:lang w:val="en-US"/>
        </w:rPr>
      </w:pPr>
      <w:r w:rsidRPr="000F12EE">
        <w:rPr>
          <w:lang w:val="en-US"/>
        </w:rPr>
        <w:t>Doxazosin-</w:t>
      </w:r>
      <w:proofErr w:type="spellStart"/>
      <w:r w:rsidRPr="000F12EE">
        <w:rPr>
          <w:lang w:val="en-US"/>
        </w:rPr>
        <w:t>Tchaikapharma</w:t>
      </w:r>
      <w:proofErr w:type="spellEnd"/>
      <w:r w:rsidRPr="000F12EE">
        <w:rPr>
          <w:lang w:val="en-US"/>
        </w:rPr>
        <w:t xml:space="preserve"> </w:t>
      </w:r>
      <w:r w:rsidRPr="000F12EE">
        <w:rPr>
          <w:lang w:eastAsia="bg-BG"/>
        </w:rPr>
        <w:t xml:space="preserve">4 </w:t>
      </w:r>
      <w:r w:rsidRPr="000F12EE">
        <w:rPr>
          <w:lang w:val="en-US"/>
        </w:rPr>
        <w:t xml:space="preserve">mg </w:t>
      </w:r>
      <w:r w:rsidRPr="000F12EE">
        <w:rPr>
          <w:lang w:eastAsia="bg-BG"/>
        </w:rPr>
        <w:t xml:space="preserve">- </w:t>
      </w:r>
      <w:r w:rsidRPr="000F12EE">
        <w:rPr>
          <w:lang w:val="en-US"/>
        </w:rPr>
        <w:t>20050288</w:t>
      </w:r>
    </w:p>
    <w:p w14:paraId="5C7A6965" w14:textId="77777777" w:rsidR="000F12EE" w:rsidRPr="000F12EE" w:rsidRDefault="000F12EE" w:rsidP="000F12EE">
      <w:pPr>
        <w:rPr>
          <w:lang w:val="en-US"/>
        </w:rPr>
      </w:pPr>
    </w:p>
    <w:p w14:paraId="2CCB5832" w14:textId="717FEA53" w:rsidR="007C605B" w:rsidRDefault="002C50EE" w:rsidP="007C605B">
      <w:pPr>
        <w:pStyle w:val="Heading1"/>
      </w:pPr>
      <w:r>
        <w:t>9. ДАТА НА ПЪРВО РАЗРЕШАВАНЕ/ПОДНОВЯВАНЕ НА РАЗРЕШЕНИЕТО ЗА УПОТРЕБА</w:t>
      </w:r>
    </w:p>
    <w:p w14:paraId="534D677D" w14:textId="5B8811A2" w:rsidR="000F12EE" w:rsidRDefault="000F12EE" w:rsidP="000F12EE"/>
    <w:p w14:paraId="3244C3F0" w14:textId="77777777" w:rsidR="000F12EE" w:rsidRPr="000F12EE" w:rsidRDefault="000F12EE" w:rsidP="000F12EE">
      <w:pPr>
        <w:rPr>
          <w:sz w:val="24"/>
          <w:szCs w:val="24"/>
        </w:rPr>
      </w:pPr>
      <w:r w:rsidRPr="000F12EE">
        <w:rPr>
          <w:lang w:eastAsia="bg-BG"/>
        </w:rPr>
        <w:t>Дата на първо разрешаване: 12.05.2005</w:t>
      </w:r>
    </w:p>
    <w:p w14:paraId="131DAD6D" w14:textId="77777777" w:rsidR="000F12EE" w:rsidRPr="000F12EE" w:rsidRDefault="000F12EE" w:rsidP="000F12EE">
      <w:pPr>
        <w:rPr>
          <w:sz w:val="24"/>
          <w:szCs w:val="24"/>
        </w:rPr>
      </w:pPr>
      <w:r w:rsidRPr="000F12EE">
        <w:rPr>
          <w:lang w:eastAsia="bg-BG"/>
        </w:rPr>
        <w:t>Дата на последно подновяване: 16.03.2011</w:t>
      </w:r>
    </w:p>
    <w:p w14:paraId="0E194AEC" w14:textId="77777777" w:rsidR="000F12EE" w:rsidRPr="000F12EE" w:rsidRDefault="000F12EE" w:rsidP="000F12EE"/>
    <w:p w14:paraId="0E9D0119" w14:textId="0245C6D7" w:rsidR="002C50EE" w:rsidRDefault="002C50EE" w:rsidP="002C50EE">
      <w:pPr>
        <w:pStyle w:val="Heading1"/>
      </w:pPr>
      <w:r>
        <w:t>10. ДАТА НА АКТУАЛИЗИРАНЕ НА ТЕКСТА</w:t>
      </w:r>
    </w:p>
    <w:bookmarkEnd w:id="0"/>
    <w:p w14:paraId="43FB38A2" w14:textId="450F00A9" w:rsidR="007C605B" w:rsidRPr="003E3126" w:rsidRDefault="000F12EE" w:rsidP="000F12EE">
      <w:r>
        <w:t>01/2021</w:t>
      </w:r>
      <w:bookmarkStart w:id="2" w:name="_GoBack"/>
      <w:bookmarkEnd w:id="2"/>
    </w:p>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74D0D9E"/>
    <w:multiLevelType w:val="hybridMultilevel"/>
    <w:tmpl w:val="4E6C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C16F5"/>
    <w:multiLevelType w:val="hybridMultilevel"/>
    <w:tmpl w:val="E5EA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2"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7"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2"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103672"/>
    <w:multiLevelType w:val="hybridMultilevel"/>
    <w:tmpl w:val="33D6FC0E"/>
    <w:lvl w:ilvl="0" w:tplc="81BA2852">
      <w:start w:val="4"/>
      <w:numFmt w:val="bullet"/>
      <w:lvlText w:val="-"/>
      <w:lvlJc w:val="left"/>
      <w:pPr>
        <w:ind w:left="720" w:hanging="360"/>
      </w:pPr>
      <w:rPr>
        <w:rFonts w:ascii="Times New Roman" w:eastAsia="Times New Roman" w:hAnsi="Times New Roman"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9"/>
  </w:num>
  <w:num w:numId="2">
    <w:abstractNumId w:val="0"/>
  </w:num>
  <w:num w:numId="3">
    <w:abstractNumId w:val="14"/>
  </w:num>
  <w:num w:numId="4">
    <w:abstractNumId w:val="3"/>
  </w:num>
  <w:num w:numId="5">
    <w:abstractNumId w:val="1"/>
  </w:num>
  <w:num w:numId="6">
    <w:abstractNumId w:val="17"/>
  </w:num>
  <w:num w:numId="7">
    <w:abstractNumId w:val="12"/>
  </w:num>
  <w:num w:numId="8">
    <w:abstractNumId w:val="16"/>
  </w:num>
  <w:num w:numId="9">
    <w:abstractNumId w:val="2"/>
  </w:num>
  <w:num w:numId="10">
    <w:abstractNumId w:val="4"/>
  </w:num>
  <w:num w:numId="11">
    <w:abstractNumId w:val="32"/>
  </w:num>
  <w:num w:numId="12">
    <w:abstractNumId w:val="15"/>
  </w:num>
  <w:num w:numId="13">
    <w:abstractNumId w:val="20"/>
  </w:num>
  <w:num w:numId="14">
    <w:abstractNumId w:val="13"/>
  </w:num>
  <w:num w:numId="15">
    <w:abstractNumId w:val="31"/>
  </w:num>
  <w:num w:numId="16">
    <w:abstractNumId w:val="11"/>
  </w:num>
  <w:num w:numId="17">
    <w:abstractNumId w:val="25"/>
  </w:num>
  <w:num w:numId="18">
    <w:abstractNumId w:val="8"/>
  </w:num>
  <w:num w:numId="19">
    <w:abstractNumId w:val="27"/>
  </w:num>
  <w:num w:numId="20">
    <w:abstractNumId w:val="24"/>
  </w:num>
  <w:num w:numId="21">
    <w:abstractNumId w:val="18"/>
  </w:num>
  <w:num w:numId="22">
    <w:abstractNumId w:val="26"/>
  </w:num>
  <w:num w:numId="23">
    <w:abstractNumId w:val="19"/>
  </w:num>
  <w:num w:numId="24">
    <w:abstractNumId w:val="9"/>
  </w:num>
  <w:num w:numId="25">
    <w:abstractNumId w:val="23"/>
  </w:num>
  <w:num w:numId="26">
    <w:abstractNumId w:val="22"/>
  </w:num>
  <w:num w:numId="27">
    <w:abstractNumId w:val="33"/>
  </w:num>
  <w:num w:numId="28">
    <w:abstractNumId w:val="6"/>
  </w:num>
  <w:num w:numId="29">
    <w:abstractNumId w:val="21"/>
  </w:num>
  <w:num w:numId="30">
    <w:abstractNumId w:val="36"/>
  </w:num>
  <w:num w:numId="31">
    <w:abstractNumId w:val="5"/>
  </w:num>
  <w:num w:numId="32">
    <w:abstractNumId w:val="35"/>
  </w:num>
  <w:num w:numId="33">
    <w:abstractNumId w:val="30"/>
  </w:num>
  <w:num w:numId="34">
    <w:abstractNumId w:val="34"/>
  </w:num>
  <w:num w:numId="35">
    <w:abstractNumId w:val="7"/>
  </w:num>
  <w:num w:numId="36">
    <w:abstractNumId w:val="10"/>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0F12EE"/>
    <w:rsid w:val="00185A46"/>
    <w:rsid w:val="001915B6"/>
    <w:rsid w:val="001D1B23"/>
    <w:rsid w:val="002B3C38"/>
    <w:rsid w:val="002B4DBB"/>
    <w:rsid w:val="002C50EE"/>
    <w:rsid w:val="00340A0A"/>
    <w:rsid w:val="003765DC"/>
    <w:rsid w:val="00395555"/>
    <w:rsid w:val="003E3126"/>
    <w:rsid w:val="00426E5F"/>
    <w:rsid w:val="004A448E"/>
    <w:rsid w:val="004D4D6B"/>
    <w:rsid w:val="004F1CE7"/>
    <w:rsid w:val="004F498A"/>
    <w:rsid w:val="00517A5B"/>
    <w:rsid w:val="00593A00"/>
    <w:rsid w:val="005A66D9"/>
    <w:rsid w:val="00605BCA"/>
    <w:rsid w:val="006158A1"/>
    <w:rsid w:val="00617B1F"/>
    <w:rsid w:val="00672487"/>
    <w:rsid w:val="00672600"/>
    <w:rsid w:val="00681D4A"/>
    <w:rsid w:val="00685882"/>
    <w:rsid w:val="007122AD"/>
    <w:rsid w:val="0075649D"/>
    <w:rsid w:val="007C605B"/>
    <w:rsid w:val="008134C8"/>
    <w:rsid w:val="00814073"/>
    <w:rsid w:val="00826F0D"/>
    <w:rsid w:val="00893B92"/>
    <w:rsid w:val="008A6AF2"/>
    <w:rsid w:val="008C70A2"/>
    <w:rsid w:val="00936AD0"/>
    <w:rsid w:val="009773E4"/>
    <w:rsid w:val="009B171C"/>
    <w:rsid w:val="009F1313"/>
    <w:rsid w:val="00A20351"/>
    <w:rsid w:val="00A65A81"/>
    <w:rsid w:val="00A86CAC"/>
    <w:rsid w:val="00AA23EC"/>
    <w:rsid w:val="00AC63CE"/>
    <w:rsid w:val="00AE2107"/>
    <w:rsid w:val="00B275A8"/>
    <w:rsid w:val="00B6672E"/>
    <w:rsid w:val="00BF2600"/>
    <w:rsid w:val="00C0049F"/>
    <w:rsid w:val="00C07B84"/>
    <w:rsid w:val="00C33464"/>
    <w:rsid w:val="00C40420"/>
    <w:rsid w:val="00C809A7"/>
    <w:rsid w:val="00C83063"/>
    <w:rsid w:val="00C87E90"/>
    <w:rsid w:val="00CA1B57"/>
    <w:rsid w:val="00CF77F7"/>
    <w:rsid w:val="00D86297"/>
    <w:rsid w:val="00DD466D"/>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tchaikapharma.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3146</Words>
  <Characters>17934</Characters>
  <Application>Microsoft Office Word</Application>
  <DocSecurity>0</DocSecurity>
  <Lines>149</Lines>
  <Paragraphs>42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2022-07-14T15:37:00Z</dcterms:created>
  <dcterms:modified xsi:type="dcterms:W3CDTF">2022-07-14T15:37:00Z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