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A92A5BB" w:rsidR="00AA23EC" w:rsidRDefault="00DD466D" w:rsidP="00DD466D">
      <w:pPr>
        <w:pStyle w:val="Heading1"/>
      </w:pPr>
      <w:r>
        <w:t>1.ИМЕ НА ЛЕКАРСТВЕНИЯ ПРОДУКТ</w:t>
      </w:r>
    </w:p>
    <w:p w14:paraId="66ECF350" w14:textId="2B3F31FC" w:rsidR="002372AF" w:rsidRDefault="002372AF" w:rsidP="002372AF"/>
    <w:p w14:paraId="5A2D228A" w14:textId="77777777" w:rsidR="002372AF" w:rsidRPr="002372AF" w:rsidRDefault="002372AF" w:rsidP="002372AF">
      <w:pPr>
        <w:rPr>
          <w:sz w:val="24"/>
          <w:szCs w:val="24"/>
        </w:rPr>
      </w:pPr>
      <w:r w:rsidRPr="002372AF">
        <w:rPr>
          <w:lang w:eastAsia="bg-BG"/>
        </w:rPr>
        <w:t xml:space="preserve">ДОКСИУМ 500 </w:t>
      </w:r>
      <w:r w:rsidRPr="002372AF">
        <w:rPr>
          <w:lang w:val="en-US"/>
        </w:rPr>
        <w:t>mg</w:t>
      </w:r>
      <w:r w:rsidRPr="002372AF">
        <w:t xml:space="preserve"> </w:t>
      </w:r>
      <w:r w:rsidRPr="002372AF">
        <w:rPr>
          <w:lang w:eastAsia="bg-BG"/>
        </w:rPr>
        <w:t>твърди капсули</w:t>
      </w:r>
    </w:p>
    <w:p w14:paraId="326D55EE" w14:textId="1092F9E1" w:rsidR="002372AF" w:rsidRPr="002372AF" w:rsidRDefault="002372AF" w:rsidP="002372AF">
      <w:r w:rsidRPr="002372AF">
        <w:rPr>
          <w:lang w:val="en-US"/>
        </w:rPr>
        <w:t>DOXIUM</w:t>
      </w:r>
      <w:r w:rsidRPr="002372AF">
        <w:t xml:space="preserve"> </w:t>
      </w:r>
      <w:r w:rsidRPr="002372AF">
        <w:rPr>
          <w:lang w:eastAsia="bg-BG"/>
        </w:rPr>
        <w:t xml:space="preserve">500 </w:t>
      </w:r>
      <w:r w:rsidRPr="002372AF">
        <w:rPr>
          <w:lang w:val="en-US"/>
        </w:rPr>
        <w:t>mg</w:t>
      </w:r>
      <w:r w:rsidRPr="002372AF">
        <w:t xml:space="preserve"> </w:t>
      </w:r>
      <w:r w:rsidRPr="002372AF">
        <w:rPr>
          <w:lang w:val="en-US"/>
        </w:rPr>
        <w:t>hard</w:t>
      </w:r>
      <w:r w:rsidRPr="002372AF">
        <w:t xml:space="preserve"> </w:t>
      </w:r>
      <w:r w:rsidRPr="002372AF">
        <w:rPr>
          <w:lang w:val="en-US"/>
        </w:rPr>
        <w:t>capsules</w:t>
      </w:r>
    </w:p>
    <w:p w14:paraId="0A368469" w14:textId="7188E156" w:rsidR="00C0049F" w:rsidRDefault="00DD466D" w:rsidP="009F1313">
      <w:pPr>
        <w:pStyle w:val="Heading1"/>
      </w:pPr>
      <w:r>
        <w:t>2. КАЧЕСТВЕН И КОЛИЧЕСТВЕН СЪСТАВ</w:t>
      </w:r>
    </w:p>
    <w:p w14:paraId="2B398DB7" w14:textId="59FE677E" w:rsidR="002372AF" w:rsidRDefault="002372AF" w:rsidP="002372AF"/>
    <w:p w14:paraId="0FD52797" w14:textId="7C941696" w:rsidR="002372AF" w:rsidRPr="002372AF" w:rsidRDefault="002372AF" w:rsidP="002372AF">
      <w:r w:rsidRPr="002372AF">
        <w:t xml:space="preserve">1 </w:t>
      </w:r>
      <w:r>
        <w:t xml:space="preserve">твърда капсула съдържа 500 </w:t>
      </w:r>
      <w:r>
        <w:rPr>
          <w:lang w:val="en-US"/>
        </w:rPr>
        <w:t>mg</w:t>
      </w:r>
      <w:r w:rsidRPr="002372AF">
        <w:t xml:space="preserve"> </w:t>
      </w:r>
      <w:r>
        <w:t xml:space="preserve">калциев добезилат </w:t>
      </w:r>
      <w:r w:rsidRPr="002372AF">
        <w:t>(</w:t>
      </w:r>
      <w:r>
        <w:rPr>
          <w:lang w:val="en-US"/>
        </w:rPr>
        <w:t>calcium</w:t>
      </w:r>
      <w:r w:rsidRPr="002372AF">
        <w:t xml:space="preserve"> </w:t>
      </w:r>
      <w:proofErr w:type="spellStart"/>
      <w:r>
        <w:rPr>
          <w:lang w:val="en-US"/>
        </w:rPr>
        <w:t>dobesilate</w:t>
      </w:r>
      <w:proofErr w:type="spellEnd"/>
      <w:r w:rsidRPr="002372AF">
        <w:t>).</w:t>
      </w:r>
    </w:p>
    <w:p w14:paraId="614984C4" w14:textId="583370FA" w:rsidR="008A6AF2" w:rsidRDefault="00DD466D" w:rsidP="002C50EE">
      <w:pPr>
        <w:pStyle w:val="Heading1"/>
      </w:pPr>
      <w:r>
        <w:t>3. ЛЕКАРСТВЕНА ФОРМА</w:t>
      </w:r>
    </w:p>
    <w:p w14:paraId="488203A8" w14:textId="3ED31FE5" w:rsidR="002372AF" w:rsidRDefault="002372AF" w:rsidP="002372AF"/>
    <w:p w14:paraId="4896E03B" w14:textId="77777777" w:rsidR="002372AF" w:rsidRPr="002372AF" w:rsidRDefault="002372AF" w:rsidP="002372AF">
      <w:pPr>
        <w:rPr>
          <w:sz w:val="24"/>
          <w:szCs w:val="24"/>
        </w:rPr>
      </w:pPr>
      <w:r w:rsidRPr="002372AF">
        <w:rPr>
          <w:lang w:eastAsia="bg-BG"/>
        </w:rPr>
        <w:t>Твърда капсула</w:t>
      </w:r>
    </w:p>
    <w:p w14:paraId="5F250DE6" w14:textId="77777777" w:rsidR="002372AF" w:rsidRPr="002372AF" w:rsidRDefault="002372AF" w:rsidP="002372AF">
      <w:pPr>
        <w:rPr>
          <w:sz w:val="24"/>
          <w:szCs w:val="24"/>
        </w:rPr>
      </w:pPr>
      <w:r w:rsidRPr="002372AF">
        <w:rPr>
          <w:lang w:eastAsia="bg-BG"/>
        </w:rPr>
        <w:t>Непрозрачни капсули с жълто тяло и тъмнозелена капачка</w:t>
      </w:r>
    </w:p>
    <w:p w14:paraId="447B6231" w14:textId="77777777" w:rsidR="002372AF" w:rsidRPr="002372AF" w:rsidRDefault="002372AF" w:rsidP="002372AF"/>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2B9321EC" w:rsidR="00395555" w:rsidRDefault="00395555" w:rsidP="00395555"/>
    <w:p w14:paraId="73099583" w14:textId="77777777" w:rsidR="002372AF" w:rsidRPr="002372AF" w:rsidRDefault="002372AF" w:rsidP="002372AF">
      <w:pPr>
        <w:pStyle w:val="ListParagraph"/>
        <w:numPr>
          <w:ilvl w:val="0"/>
          <w:numId w:val="32"/>
        </w:numPr>
        <w:rPr>
          <w:lang w:eastAsia="bg-BG"/>
        </w:rPr>
      </w:pPr>
      <w:r w:rsidRPr="002372AF">
        <w:rPr>
          <w:lang w:eastAsia="bg-BG"/>
        </w:rPr>
        <w:t>Микроангиопатии, диабетна ретинопатия.</w:t>
      </w:r>
    </w:p>
    <w:p w14:paraId="51B9B543" w14:textId="77777777" w:rsidR="002372AF" w:rsidRPr="002372AF" w:rsidRDefault="002372AF" w:rsidP="002372AF">
      <w:pPr>
        <w:pStyle w:val="ListParagraph"/>
        <w:numPr>
          <w:ilvl w:val="0"/>
          <w:numId w:val="32"/>
        </w:numPr>
        <w:rPr>
          <w:lang w:eastAsia="bg-BG"/>
        </w:rPr>
      </w:pPr>
      <w:r w:rsidRPr="002372AF">
        <w:rPr>
          <w:lang w:eastAsia="bg-BG"/>
        </w:rPr>
        <w:t>Симптоматично лечение на хронична венозна недостатъчност на долните крайници (болки в краката, тежест в краката, оток, застой, дерматоза, парестезии, нарушения на сетивността или сърбеж в краката и крампи).</w:t>
      </w:r>
    </w:p>
    <w:p w14:paraId="5C6BB0DE" w14:textId="77777777" w:rsidR="002372AF" w:rsidRPr="002372AF" w:rsidRDefault="002372AF" w:rsidP="002372AF">
      <w:pPr>
        <w:pStyle w:val="ListParagraph"/>
        <w:numPr>
          <w:ilvl w:val="0"/>
          <w:numId w:val="32"/>
        </w:numPr>
        <w:rPr>
          <w:lang w:eastAsia="bg-BG"/>
        </w:rPr>
      </w:pPr>
      <w:r w:rsidRPr="002372AF">
        <w:rPr>
          <w:lang w:eastAsia="bg-BG"/>
        </w:rPr>
        <w:t>Съпътстващо лечение при повърхностен тромбофлебит.</w:t>
      </w:r>
    </w:p>
    <w:p w14:paraId="2A6D1336" w14:textId="77777777" w:rsidR="002372AF" w:rsidRPr="002372AF" w:rsidRDefault="002372AF" w:rsidP="002372AF">
      <w:pPr>
        <w:pStyle w:val="ListParagraph"/>
        <w:numPr>
          <w:ilvl w:val="0"/>
          <w:numId w:val="32"/>
        </w:numPr>
        <w:rPr>
          <w:lang w:eastAsia="bg-BG"/>
        </w:rPr>
      </w:pPr>
      <w:r w:rsidRPr="002372AF">
        <w:rPr>
          <w:lang w:eastAsia="bg-BG"/>
        </w:rPr>
        <w:t>Хемороидални синдроми, микроциркулаторни нарушения от артерио-венозен произход.</w:t>
      </w:r>
    </w:p>
    <w:p w14:paraId="46892DC1" w14:textId="77777777" w:rsidR="002372AF" w:rsidRPr="00395555" w:rsidRDefault="002372AF" w:rsidP="00395555"/>
    <w:p w14:paraId="7C0CA5EB" w14:textId="28CC4FDB" w:rsidR="00C0049F" w:rsidRDefault="002C50EE" w:rsidP="009F1313">
      <w:pPr>
        <w:pStyle w:val="Heading2"/>
      </w:pPr>
      <w:r>
        <w:t>4.2. Дозировка и начин на приложение</w:t>
      </w:r>
    </w:p>
    <w:p w14:paraId="41204F43" w14:textId="0F8D9ADB" w:rsidR="002372AF" w:rsidRDefault="002372AF" w:rsidP="002372AF"/>
    <w:p w14:paraId="6957F880" w14:textId="77777777" w:rsidR="002372AF" w:rsidRPr="002372AF" w:rsidRDefault="002372AF" w:rsidP="002372AF">
      <w:pPr>
        <w:pStyle w:val="Heading3"/>
        <w:rPr>
          <w:rFonts w:eastAsia="Times New Roman"/>
          <w:u w:val="single"/>
        </w:rPr>
      </w:pPr>
      <w:r w:rsidRPr="002372AF">
        <w:rPr>
          <w:rFonts w:eastAsia="Times New Roman"/>
          <w:u w:val="single"/>
          <w:lang w:eastAsia="bg-BG"/>
        </w:rPr>
        <w:t>Дозировка</w:t>
      </w:r>
    </w:p>
    <w:p w14:paraId="6EE53491" w14:textId="77777777" w:rsidR="002372AF" w:rsidRPr="002372AF" w:rsidRDefault="002372AF" w:rsidP="002372AF">
      <w:pPr>
        <w:spacing w:line="240" w:lineRule="auto"/>
        <w:rPr>
          <w:rFonts w:eastAsia="Times New Roman" w:cs="Arial"/>
        </w:rPr>
      </w:pPr>
      <w:r w:rsidRPr="002372AF">
        <w:rPr>
          <w:rFonts w:eastAsia="Times New Roman" w:cs="Arial"/>
          <w:i/>
          <w:iCs/>
          <w:color w:val="000000"/>
          <w:lang w:eastAsia="bg-BG"/>
        </w:rPr>
        <w:t>Само за възрастни</w:t>
      </w:r>
    </w:p>
    <w:p w14:paraId="6A1E985B"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 xml:space="preserve">Обичайната доза е 500-1000 </w:t>
      </w:r>
      <w:r w:rsidRPr="002372AF">
        <w:rPr>
          <w:rFonts w:eastAsia="Times New Roman" w:cs="Arial"/>
          <w:color w:val="000000"/>
          <w:lang w:val="en-US"/>
        </w:rPr>
        <w:t>mg</w:t>
      </w:r>
      <w:r w:rsidRPr="002372AF">
        <w:rPr>
          <w:rFonts w:eastAsia="Times New Roman" w:cs="Arial"/>
          <w:color w:val="000000"/>
          <w:lang w:val="ru-RU"/>
        </w:rPr>
        <w:t xml:space="preserve"> </w:t>
      </w:r>
      <w:r w:rsidRPr="002372AF">
        <w:rPr>
          <w:rFonts w:eastAsia="Times New Roman" w:cs="Arial"/>
          <w:color w:val="000000"/>
          <w:lang w:eastAsia="bg-BG"/>
        </w:rPr>
        <w:t>дневно (по 1 капсула веднъж или два пъти дневно).</w:t>
      </w:r>
    </w:p>
    <w:p w14:paraId="32C7DAAA"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Дозата трябва да се адаптира индивидуално съобразно тежестта на случая. Продължителността на лечението зависи от болестта и повлияването, като може да бъде от няколко седмици до няколко месеца.</w:t>
      </w:r>
    </w:p>
    <w:p w14:paraId="1B8F8A73" w14:textId="77777777" w:rsidR="002372AF" w:rsidRPr="002372AF" w:rsidRDefault="002372AF" w:rsidP="002372AF">
      <w:pPr>
        <w:spacing w:line="240" w:lineRule="auto"/>
        <w:rPr>
          <w:rFonts w:eastAsia="Times New Roman" w:cs="Arial"/>
          <w:i/>
          <w:iCs/>
          <w:color w:val="000000"/>
          <w:lang w:eastAsia="bg-BG"/>
        </w:rPr>
      </w:pPr>
    </w:p>
    <w:p w14:paraId="381C6C0C" w14:textId="39375A4A" w:rsidR="002372AF" w:rsidRPr="002372AF" w:rsidRDefault="002372AF" w:rsidP="002372AF">
      <w:pPr>
        <w:spacing w:line="240" w:lineRule="auto"/>
        <w:rPr>
          <w:rFonts w:eastAsia="Times New Roman" w:cs="Arial"/>
        </w:rPr>
      </w:pPr>
      <w:r w:rsidRPr="002372AF">
        <w:rPr>
          <w:rFonts w:eastAsia="Times New Roman" w:cs="Arial"/>
          <w:i/>
          <w:iCs/>
          <w:color w:val="000000"/>
          <w:lang w:eastAsia="bg-BG"/>
        </w:rPr>
        <w:t>Бъбречно увреждане</w:t>
      </w:r>
    </w:p>
    <w:p w14:paraId="467A6B0C" w14:textId="6CBF0EC7" w:rsidR="002372AF" w:rsidRPr="002372AF" w:rsidRDefault="002372AF" w:rsidP="002372AF">
      <w:pPr>
        <w:rPr>
          <w:rFonts w:eastAsia="Times New Roman" w:cs="Arial"/>
          <w:color w:val="000000"/>
          <w:lang w:eastAsia="bg-BG"/>
        </w:rPr>
      </w:pPr>
      <w:r w:rsidRPr="002372AF">
        <w:rPr>
          <w:rFonts w:eastAsia="Times New Roman" w:cs="Arial"/>
          <w:color w:val="000000"/>
          <w:lang w:eastAsia="bg-BG"/>
        </w:rPr>
        <w:t>Безопасността и ефикасността на калциевия добезилат не са проучени при пациенти с бъбречно увреждане. Тъй като лекарството се отделя чрез пикочните пътища, необходимо е повишено</w:t>
      </w:r>
      <w:r w:rsidRPr="002372AF">
        <w:rPr>
          <w:rFonts w:eastAsia="Times New Roman" w:cs="Arial"/>
          <w:b/>
          <w:bCs/>
          <w:color w:val="000000"/>
          <w:lang w:eastAsia="bg-BG"/>
        </w:rPr>
        <w:t xml:space="preserve"> </w:t>
      </w:r>
      <w:r w:rsidRPr="002372AF">
        <w:rPr>
          <w:rFonts w:eastAsia="Times New Roman" w:cs="Arial"/>
          <w:color w:val="000000"/>
          <w:lang w:eastAsia="bg-BG"/>
        </w:rPr>
        <w:t>внимание в случай на бъбречна недостатъчност. Следователно дозата може да бъде намалена когато се прилага Доксиум при тези пациенти, особено при пациенти с тежка</w:t>
      </w:r>
      <w:r w:rsidRPr="002372AF">
        <w:rPr>
          <w:rFonts w:eastAsia="Times New Roman" w:cs="Arial"/>
          <w:color w:val="000000"/>
          <w:lang w:val="ru-RU"/>
        </w:rPr>
        <w:t xml:space="preserve"> </w:t>
      </w:r>
      <w:r w:rsidRPr="002372AF">
        <w:rPr>
          <w:rFonts w:eastAsia="Times New Roman" w:cs="Arial"/>
          <w:color w:val="000000"/>
          <w:lang w:eastAsia="bg-BG"/>
        </w:rPr>
        <w:t>бъбречна недостатъчност, изискваща диализа.</w:t>
      </w:r>
    </w:p>
    <w:p w14:paraId="78A6E08D" w14:textId="35016F98" w:rsidR="002372AF" w:rsidRPr="002372AF" w:rsidRDefault="002372AF" w:rsidP="002372AF">
      <w:pPr>
        <w:rPr>
          <w:rFonts w:eastAsia="Times New Roman" w:cs="Arial"/>
          <w:color w:val="000000"/>
          <w:lang w:eastAsia="bg-BG"/>
        </w:rPr>
      </w:pPr>
    </w:p>
    <w:p w14:paraId="3871DF31" w14:textId="77777777" w:rsidR="002372AF" w:rsidRPr="002372AF" w:rsidRDefault="002372AF" w:rsidP="002372AF">
      <w:pPr>
        <w:spacing w:line="240" w:lineRule="auto"/>
        <w:rPr>
          <w:rFonts w:eastAsia="Times New Roman" w:cs="Arial"/>
        </w:rPr>
      </w:pPr>
      <w:r w:rsidRPr="002372AF">
        <w:rPr>
          <w:rFonts w:eastAsia="Times New Roman" w:cs="Arial"/>
          <w:i/>
          <w:iCs/>
          <w:color w:val="000000"/>
          <w:lang w:eastAsia="bg-BG"/>
        </w:rPr>
        <w:lastRenderedPageBreak/>
        <w:t>Чернодробно увреждане</w:t>
      </w:r>
    </w:p>
    <w:p w14:paraId="038C2A27"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Безопасността и ефикасността на калциевия добезилат не са проучени при пациенти с чернодробно увреждане. Следователно прилагането на Доксиум при тези пациенти трябва да става с повишено внимание.</w:t>
      </w:r>
    </w:p>
    <w:p w14:paraId="15837CEF" w14:textId="77777777" w:rsidR="002372AF" w:rsidRPr="002372AF" w:rsidRDefault="002372AF" w:rsidP="002372AF">
      <w:pPr>
        <w:spacing w:line="240" w:lineRule="auto"/>
        <w:rPr>
          <w:rFonts w:eastAsia="Times New Roman" w:cs="Arial"/>
          <w:color w:val="000000"/>
          <w:u w:val="single"/>
          <w:lang w:eastAsia="bg-BG"/>
        </w:rPr>
      </w:pPr>
    </w:p>
    <w:p w14:paraId="3339DB5B" w14:textId="367A866B" w:rsidR="002372AF" w:rsidRPr="002372AF" w:rsidRDefault="002372AF" w:rsidP="002372AF">
      <w:pPr>
        <w:pStyle w:val="Heading3"/>
        <w:rPr>
          <w:rFonts w:eastAsia="Times New Roman"/>
          <w:u w:val="single"/>
        </w:rPr>
      </w:pPr>
      <w:r w:rsidRPr="002372AF">
        <w:rPr>
          <w:rFonts w:eastAsia="Times New Roman"/>
          <w:u w:val="single"/>
          <w:lang w:eastAsia="bg-BG"/>
        </w:rPr>
        <w:t>Начин на приложение</w:t>
      </w:r>
    </w:p>
    <w:p w14:paraId="1322E321" w14:textId="3CF40016" w:rsidR="002372AF" w:rsidRDefault="002372AF" w:rsidP="002372AF">
      <w:pPr>
        <w:rPr>
          <w:rFonts w:eastAsia="Times New Roman" w:cs="Arial"/>
          <w:color w:val="000000"/>
          <w:lang w:eastAsia="bg-BG"/>
        </w:rPr>
      </w:pPr>
      <w:r w:rsidRPr="002372AF">
        <w:rPr>
          <w:rFonts w:eastAsia="Times New Roman" w:cs="Arial"/>
          <w:color w:val="000000"/>
          <w:lang w:eastAsia="bg-BG"/>
        </w:rPr>
        <w:t>Доксиум е предназначен за перорално приложение и капсулите трябва да се поглъщат без да се отварят. Доксиум трябва да се приема по време на или веднага след хранене, за да се минимизира всякакъв стомашен дискомфорт.</w:t>
      </w:r>
    </w:p>
    <w:p w14:paraId="77B43171" w14:textId="77777777" w:rsidR="002372AF" w:rsidRPr="002372AF" w:rsidRDefault="002372AF" w:rsidP="002372AF">
      <w:pPr>
        <w:rPr>
          <w:rFonts w:cs="Arial"/>
        </w:rPr>
      </w:pPr>
    </w:p>
    <w:p w14:paraId="62B13D0B" w14:textId="56D9BA01" w:rsidR="00395555" w:rsidRDefault="002C50EE" w:rsidP="008A6AF2">
      <w:pPr>
        <w:pStyle w:val="Heading2"/>
      </w:pPr>
      <w:r>
        <w:t>4.3. Противопоказания</w:t>
      </w:r>
    </w:p>
    <w:p w14:paraId="79C19F3D" w14:textId="1406D010" w:rsidR="002372AF" w:rsidRDefault="002372AF" w:rsidP="002372AF"/>
    <w:p w14:paraId="1E5FABB1" w14:textId="77777777" w:rsidR="002372AF" w:rsidRPr="002372AF" w:rsidRDefault="002372AF" w:rsidP="002372AF">
      <w:pPr>
        <w:rPr>
          <w:sz w:val="24"/>
          <w:szCs w:val="24"/>
        </w:rPr>
      </w:pPr>
      <w:r w:rsidRPr="002372AF">
        <w:rPr>
          <w:lang w:eastAsia="bg-BG"/>
        </w:rPr>
        <w:t>Свръхчувствителност към активното вещество или към някое от помощните вещества, изброени в точка 6.1.</w:t>
      </w:r>
    </w:p>
    <w:p w14:paraId="6468B4AD" w14:textId="77777777" w:rsidR="002372AF" w:rsidRPr="002372AF" w:rsidRDefault="002372AF" w:rsidP="002372AF"/>
    <w:p w14:paraId="5A4AC413" w14:textId="574A6C42" w:rsidR="00395555" w:rsidRDefault="002C50EE" w:rsidP="008A6AF2">
      <w:pPr>
        <w:pStyle w:val="Heading2"/>
      </w:pPr>
      <w:r>
        <w:t>4.4. Специални предупреждения и предпазни мерки при употреба</w:t>
      </w:r>
    </w:p>
    <w:p w14:paraId="5D27FA57" w14:textId="61BBB7B1" w:rsidR="002372AF" w:rsidRPr="002372AF" w:rsidRDefault="002372AF" w:rsidP="002372AF">
      <w:pPr>
        <w:rPr>
          <w:rFonts w:cs="Arial"/>
        </w:rPr>
      </w:pPr>
    </w:p>
    <w:p w14:paraId="1B228E08"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Дозата може да бъде намалена в случай на тежка бъбречна недостатъчност, изискваща диализа.</w:t>
      </w:r>
    </w:p>
    <w:p w14:paraId="793903E9" w14:textId="77777777" w:rsidR="002372AF" w:rsidRPr="002372AF" w:rsidRDefault="002372AF" w:rsidP="002372AF">
      <w:pPr>
        <w:spacing w:line="240" w:lineRule="auto"/>
        <w:rPr>
          <w:rFonts w:eastAsia="Times New Roman" w:cs="Arial"/>
          <w:color w:val="000000"/>
          <w:lang w:eastAsia="bg-BG"/>
        </w:rPr>
      </w:pPr>
    </w:p>
    <w:p w14:paraId="6B588E3E" w14:textId="4F39D8A5" w:rsidR="002372AF" w:rsidRPr="002372AF" w:rsidRDefault="002372AF" w:rsidP="002372AF">
      <w:pPr>
        <w:spacing w:line="240" w:lineRule="auto"/>
        <w:rPr>
          <w:rFonts w:eastAsia="Times New Roman" w:cs="Arial"/>
          <w:color w:val="000000"/>
          <w:lang w:eastAsia="bg-BG"/>
        </w:rPr>
      </w:pPr>
      <w:r w:rsidRPr="002372AF">
        <w:rPr>
          <w:rFonts w:eastAsia="Times New Roman" w:cs="Arial"/>
          <w:color w:val="000000"/>
          <w:lang w:eastAsia="bg-BG"/>
        </w:rPr>
        <w:t xml:space="preserve">В много редки случаи приложението на калциев добезилат може да предизвика агранулоцитоза (вж. точка 4.8). В тази ситуация симптомите могат да включват висока температура, инфекции на устната кухина (тонзилит), болки в гърлото, възпаление на ануса и гениталиите и други симптоми, които са общи признаци на инфекция. Ако се появи който и да е от тези симптоми, лечението трябва да бъде спряно. </w:t>
      </w:r>
    </w:p>
    <w:p w14:paraId="17AF97BC" w14:textId="10BD74E3" w:rsidR="002372AF" w:rsidRPr="002372AF" w:rsidRDefault="002372AF" w:rsidP="002372AF">
      <w:pPr>
        <w:spacing w:line="240" w:lineRule="auto"/>
        <w:rPr>
          <w:rFonts w:eastAsia="Times New Roman" w:cs="Arial"/>
        </w:rPr>
      </w:pPr>
      <w:r w:rsidRPr="002372AF">
        <w:rPr>
          <w:rFonts w:eastAsia="Times New Roman" w:cs="Arial"/>
          <w:color w:val="000000"/>
          <w:lang w:eastAsia="bg-BG"/>
        </w:rPr>
        <w:t>След това е важно веднага да се направи оценка на състава на кръвта и левкограмата.</w:t>
      </w:r>
    </w:p>
    <w:p w14:paraId="0431B2D6" w14:textId="77777777" w:rsidR="002372AF" w:rsidRPr="002372AF" w:rsidRDefault="002372AF" w:rsidP="002372AF">
      <w:pPr>
        <w:spacing w:line="240" w:lineRule="auto"/>
        <w:rPr>
          <w:rFonts w:eastAsia="Times New Roman" w:cs="Arial"/>
          <w:color w:val="000000"/>
          <w:lang w:eastAsia="bg-BG"/>
        </w:rPr>
      </w:pPr>
    </w:p>
    <w:p w14:paraId="465CBE12" w14:textId="689A5813" w:rsidR="002372AF" w:rsidRPr="002372AF" w:rsidRDefault="002372AF" w:rsidP="002372AF">
      <w:pPr>
        <w:spacing w:line="240" w:lineRule="auto"/>
        <w:rPr>
          <w:rFonts w:eastAsia="Times New Roman" w:cs="Arial"/>
        </w:rPr>
      </w:pPr>
      <w:r w:rsidRPr="002372AF">
        <w:rPr>
          <w:rFonts w:eastAsia="Times New Roman" w:cs="Arial"/>
          <w:color w:val="000000"/>
          <w:lang w:eastAsia="bg-BG"/>
        </w:rPr>
        <w:t>Доксиум може да отключи силни реакции на свръхчувствителност (анафилактична реакция или шок). В случай на реакции на свръхчувствителност лечението трябва да бъде спряно.</w:t>
      </w:r>
    </w:p>
    <w:p w14:paraId="13ACD5FF" w14:textId="77777777" w:rsidR="002372AF" w:rsidRPr="002372AF" w:rsidRDefault="002372AF" w:rsidP="002372AF">
      <w:pPr>
        <w:spacing w:line="240" w:lineRule="auto"/>
        <w:rPr>
          <w:rFonts w:eastAsia="Times New Roman" w:cs="Arial"/>
          <w:i/>
          <w:iCs/>
          <w:color w:val="000000"/>
          <w:lang w:eastAsia="bg-BG"/>
        </w:rPr>
      </w:pPr>
    </w:p>
    <w:p w14:paraId="6EF489E9" w14:textId="0D446394" w:rsidR="002372AF" w:rsidRPr="002372AF" w:rsidRDefault="002372AF" w:rsidP="002372AF">
      <w:pPr>
        <w:spacing w:line="240" w:lineRule="auto"/>
        <w:rPr>
          <w:rFonts w:eastAsia="Times New Roman" w:cs="Arial"/>
        </w:rPr>
      </w:pPr>
      <w:r w:rsidRPr="002372AF">
        <w:rPr>
          <w:rFonts w:eastAsia="Times New Roman" w:cs="Arial"/>
          <w:i/>
          <w:iCs/>
          <w:color w:val="000000"/>
          <w:lang w:eastAsia="bg-BG"/>
        </w:rPr>
        <w:t>Хора в старческа възраст</w:t>
      </w:r>
    </w:p>
    <w:p w14:paraId="365B9386"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Популацията в старческа възраст е широко представена в клиничните проучвания с калциев добезилат и като цяло не са възникнали опасения за безопасността.</w:t>
      </w:r>
    </w:p>
    <w:p w14:paraId="3568D13E" w14:textId="77777777" w:rsidR="002372AF" w:rsidRPr="002372AF" w:rsidRDefault="002372AF" w:rsidP="002372AF">
      <w:pPr>
        <w:spacing w:line="240" w:lineRule="auto"/>
        <w:rPr>
          <w:rFonts w:eastAsia="Times New Roman" w:cs="Arial"/>
          <w:i/>
          <w:iCs/>
          <w:color w:val="000000"/>
          <w:lang w:eastAsia="bg-BG"/>
        </w:rPr>
      </w:pPr>
    </w:p>
    <w:p w14:paraId="72375A76" w14:textId="6E28FC6D" w:rsidR="002372AF" w:rsidRPr="002372AF" w:rsidRDefault="002372AF" w:rsidP="002372AF">
      <w:pPr>
        <w:spacing w:line="240" w:lineRule="auto"/>
        <w:rPr>
          <w:rFonts w:eastAsia="Times New Roman" w:cs="Arial"/>
        </w:rPr>
      </w:pPr>
      <w:r w:rsidRPr="002372AF">
        <w:rPr>
          <w:rFonts w:eastAsia="Times New Roman" w:cs="Arial"/>
          <w:i/>
          <w:iCs/>
          <w:color w:val="000000"/>
          <w:lang w:eastAsia="bg-BG"/>
        </w:rPr>
        <w:t>Педиатрична популация</w:t>
      </w:r>
    </w:p>
    <w:p w14:paraId="50965874"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Не са провеждани изпитвания за проучване на употребата на калциев добезилат в педиатричната популация.</w:t>
      </w:r>
    </w:p>
    <w:p w14:paraId="7A1185BC" w14:textId="77777777" w:rsidR="002372AF" w:rsidRPr="002372AF" w:rsidRDefault="002372AF" w:rsidP="002372AF">
      <w:pPr>
        <w:spacing w:line="240" w:lineRule="auto"/>
        <w:rPr>
          <w:rFonts w:eastAsia="Times New Roman" w:cs="Arial"/>
          <w:color w:val="000000"/>
          <w:lang w:eastAsia="bg-BG"/>
        </w:rPr>
      </w:pPr>
    </w:p>
    <w:p w14:paraId="32CC3016" w14:textId="113003E1" w:rsidR="002372AF" w:rsidRPr="002372AF" w:rsidRDefault="002372AF" w:rsidP="002372AF">
      <w:pPr>
        <w:spacing w:line="240" w:lineRule="auto"/>
        <w:rPr>
          <w:rFonts w:eastAsia="Times New Roman" w:cs="Arial"/>
        </w:rPr>
      </w:pPr>
      <w:r w:rsidRPr="002372AF">
        <w:rPr>
          <w:rFonts w:eastAsia="Times New Roman" w:cs="Arial"/>
          <w:color w:val="000000"/>
          <w:lang w:eastAsia="bg-BG"/>
        </w:rPr>
        <w:t>Специални предпазни мерки трябва да се спазват:</w:t>
      </w:r>
    </w:p>
    <w:p w14:paraId="5E5D7C94" w14:textId="52F0FF01" w:rsidR="002372AF" w:rsidRPr="002372AF" w:rsidRDefault="002372AF" w:rsidP="002372AF">
      <w:pPr>
        <w:pStyle w:val="ListParagraph"/>
        <w:numPr>
          <w:ilvl w:val="0"/>
          <w:numId w:val="33"/>
        </w:numPr>
        <w:spacing w:line="240" w:lineRule="auto"/>
        <w:rPr>
          <w:rFonts w:eastAsia="Times New Roman" w:cs="Arial"/>
        </w:rPr>
      </w:pPr>
      <w:r w:rsidRPr="002372AF">
        <w:rPr>
          <w:rFonts w:eastAsia="Times New Roman" w:cs="Arial"/>
          <w:color w:val="000000"/>
          <w:lang w:eastAsia="bg-BG"/>
        </w:rPr>
        <w:t>при пациенти, приемащи други съдържащи калций лекарства;</w:t>
      </w:r>
    </w:p>
    <w:p w14:paraId="438129A2" w14:textId="5A340828" w:rsidR="002372AF" w:rsidRPr="002372AF" w:rsidRDefault="002372AF" w:rsidP="002372AF">
      <w:pPr>
        <w:pStyle w:val="ListParagraph"/>
        <w:numPr>
          <w:ilvl w:val="0"/>
          <w:numId w:val="33"/>
        </w:numPr>
        <w:spacing w:line="240" w:lineRule="auto"/>
        <w:rPr>
          <w:rFonts w:eastAsia="Times New Roman" w:cs="Arial"/>
        </w:rPr>
      </w:pPr>
      <w:r w:rsidRPr="002372AF">
        <w:rPr>
          <w:rFonts w:eastAsia="Times New Roman" w:cs="Arial"/>
          <w:color w:val="000000"/>
          <w:lang w:eastAsia="bg-BG"/>
        </w:rPr>
        <w:t>при пациенти, страдащи от стомашна или дуоденална язва, както и от рецидивиращ гастрит;</w:t>
      </w:r>
    </w:p>
    <w:p w14:paraId="4D270CF5" w14:textId="23382940" w:rsidR="002372AF" w:rsidRPr="002372AF" w:rsidRDefault="002372AF" w:rsidP="002372AF">
      <w:pPr>
        <w:pStyle w:val="ListParagraph"/>
        <w:numPr>
          <w:ilvl w:val="0"/>
          <w:numId w:val="33"/>
        </w:numPr>
        <w:spacing w:line="240" w:lineRule="auto"/>
        <w:rPr>
          <w:rFonts w:eastAsia="Times New Roman" w:cs="Arial"/>
        </w:rPr>
      </w:pPr>
      <w:r w:rsidRPr="002372AF">
        <w:rPr>
          <w:rFonts w:eastAsia="Times New Roman" w:cs="Arial"/>
          <w:color w:val="000000"/>
          <w:lang w:eastAsia="bg-BG"/>
        </w:rPr>
        <w:t>при пациенти с диабет и ретинопатия се препоръчва да се контролира нивото на кръвната глюкоза.</w:t>
      </w:r>
    </w:p>
    <w:p w14:paraId="7982E434" w14:textId="77777777" w:rsidR="002372AF" w:rsidRPr="002372AF" w:rsidRDefault="002372AF" w:rsidP="002372AF"/>
    <w:p w14:paraId="1244F76A" w14:textId="6AB1794B" w:rsidR="00395555" w:rsidRDefault="002C50EE" w:rsidP="008A6AF2">
      <w:pPr>
        <w:pStyle w:val="Heading2"/>
      </w:pPr>
      <w:r>
        <w:lastRenderedPageBreak/>
        <w:t>4.5. Взаимодействие с други лекарствени продукти и други форми на взаимодействие</w:t>
      </w:r>
    </w:p>
    <w:p w14:paraId="35871142" w14:textId="19ADD0BE" w:rsidR="002372AF" w:rsidRDefault="002372AF" w:rsidP="002372AF"/>
    <w:p w14:paraId="067CF61F" w14:textId="77777777" w:rsidR="002372AF" w:rsidRPr="002372AF" w:rsidRDefault="002372AF" w:rsidP="002372AF">
      <w:pPr>
        <w:rPr>
          <w:sz w:val="24"/>
          <w:szCs w:val="24"/>
        </w:rPr>
      </w:pPr>
      <w:r w:rsidRPr="002372AF">
        <w:rPr>
          <w:lang w:eastAsia="bg-BG"/>
        </w:rPr>
        <w:t>Не са известни взаимодействия с други лекарствени продукти.</w:t>
      </w:r>
    </w:p>
    <w:p w14:paraId="3589504F" w14:textId="77777777" w:rsidR="002372AF" w:rsidRDefault="002372AF" w:rsidP="002372AF">
      <w:pPr>
        <w:rPr>
          <w:lang w:eastAsia="bg-BG"/>
        </w:rPr>
      </w:pPr>
    </w:p>
    <w:p w14:paraId="02FAC62D" w14:textId="65061610" w:rsidR="002372AF" w:rsidRPr="002372AF" w:rsidRDefault="002372AF" w:rsidP="002372AF">
      <w:pPr>
        <w:rPr>
          <w:sz w:val="24"/>
          <w:szCs w:val="24"/>
        </w:rPr>
      </w:pPr>
      <w:r w:rsidRPr="002372AF">
        <w:rPr>
          <w:lang w:eastAsia="bg-BG"/>
        </w:rPr>
        <w:t>В терапевтични дози калциевият добезилат може да наруши ензимния анализ на креатинина, което води до по-ниски от очакваните стойности.</w:t>
      </w:r>
    </w:p>
    <w:p w14:paraId="3C2DD29B" w14:textId="30050FA9" w:rsidR="002372AF" w:rsidRDefault="002372AF" w:rsidP="002372AF">
      <w:pPr>
        <w:rPr>
          <w:lang w:eastAsia="bg-BG"/>
        </w:rPr>
      </w:pPr>
      <w:r w:rsidRPr="002372AF">
        <w:rPr>
          <w:lang w:eastAsia="bg-BG"/>
        </w:rPr>
        <w:t>По време на курса на лечение с калциев добезилат, вземането на проби (напр. кръвни проби), необходими за лабораторни изследвания, трябва да се извършва преди първата дневна доза на лекарството, за да се намали до минимум потенциалното взаимодействие на калциев добезилат</w:t>
      </w:r>
      <w:r>
        <w:rPr>
          <w:sz w:val="24"/>
          <w:szCs w:val="24"/>
        </w:rPr>
        <w:t xml:space="preserve"> </w:t>
      </w:r>
      <w:r w:rsidRPr="002372AF">
        <w:rPr>
          <w:lang w:eastAsia="bg-BG"/>
        </w:rPr>
        <w:t>с лабораторните тестове.</w:t>
      </w:r>
    </w:p>
    <w:p w14:paraId="4D36943F" w14:textId="77777777" w:rsidR="002372AF" w:rsidRPr="002372AF" w:rsidRDefault="002372AF" w:rsidP="002372AF">
      <w:pPr>
        <w:rPr>
          <w:sz w:val="24"/>
          <w:szCs w:val="24"/>
        </w:rPr>
      </w:pPr>
    </w:p>
    <w:p w14:paraId="6EADE4D6" w14:textId="41E20429" w:rsidR="00395555" w:rsidRDefault="002C50EE" w:rsidP="008A6AF2">
      <w:pPr>
        <w:pStyle w:val="Heading2"/>
      </w:pPr>
      <w:r>
        <w:t>4.6. Фертилитет, бременност и кърмене</w:t>
      </w:r>
    </w:p>
    <w:p w14:paraId="16C6797B" w14:textId="572F1C54" w:rsidR="002372AF" w:rsidRDefault="002372AF" w:rsidP="002372AF"/>
    <w:p w14:paraId="33E415C9" w14:textId="77777777" w:rsidR="002372AF" w:rsidRPr="002372AF" w:rsidRDefault="002372AF" w:rsidP="002372AF">
      <w:pPr>
        <w:pStyle w:val="Heading3"/>
        <w:rPr>
          <w:rFonts w:eastAsia="Times New Roman"/>
          <w:u w:val="single"/>
        </w:rPr>
      </w:pPr>
      <w:r w:rsidRPr="002372AF">
        <w:rPr>
          <w:rFonts w:eastAsia="Times New Roman"/>
          <w:u w:val="single"/>
          <w:lang w:eastAsia="bg-BG"/>
        </w:rPr>
        <w:t>Бременност</w:t>
      </w:r>
    </w:p>
    <w:p w14:paraId="502496DC" w14:textId="77777777" w:rsidR="002372AF" w:rsidRPr="002372AF" w:rsidRDefault="002372AF" w:rsidP="002372AF">
      <w:pPr>
        <w:rPr>
          <w:sz w:val="24"/>
          <w:szCs w:val="24"/>
        </w:rPr>
      </w:pPr>
      <w:r w:rsidRPr="002372AF">
        <w:rPr>
          <w:lang w:eastAsia="bg-BG"/>
        </w:rPr>
        <w:t>Има ограничени данни от употребата на калциев добезилат при бременни жени.</w:t>
      </w:r>
    </w:p>
    <w:p w14:paraId="26BC63C5" w14:textId="77777777" w:rsidR="002372AF" w:rsidRPr="002372AF" w:rsidRDefault="002372AF" w:rsidP="002372AF">
      <w:pPr>
        <w:rPr>
          <w:sz w:val="24"/>
          <w:szCs w:val="24"/>
        </w:rPr>
      </w:pPr>
      <w:r w:rsidRPr="002372AF">
        <w:rPr>
          <w:lang w:eastAsia="bg-BG"/>
        </w:rPr>
        <w:t>Проучванията при животни не показват преки или непреки вредни ефекти, свързани с репродуктивна токсичност.</w:t>
      </w:r>
    </w:p>
    <w:p w14:paraId="244C3AFC" w14:textId="77777777" w:rsidR="002372AF" w:rsidRPr="002372AF" w:rsidRDefault="002372AF" w:rsidP="002372AF">
      <w:pPr>
        <w:rPr>
          <w:sz w:val="24"/>
          <w:szCs w:val="24"/>
        </w:rPr>
      </w:pPr>
      <w:r w:rsidRPr="002372AF">
        <w:rPr>
          <w:lang w:eastAsia="bg-BG"/>
        </w:rPr>
        <w:t>Като предпазна мярка е за предпочитане да се избягва употребата на калциев добезилат по време на бременност.</w:t>
      </w:r>
    </w:p>
    <w:p w14:paraId="784C51D2" w14:textId="77777777" w:rsidR="002372AF" w:rsidRDefault="002372AF" w:rsidP="002372AF">
      <w:pPr>
        <w:rPr>
          <w:lang w:eastAsia="bg-BG"/>
        </w:rPr>
      </w:pPr>
    </w:p>
    <w:p w14:paraId="1B7F94CA" w14:textId="6E742214" w:rsidR="002372AF" w:rsidRPr="002372AF" w:rsidRDefault="002372AF" w:rsidP="002372AF">
      <w:pPr>
        <w:pStyle w:val="Heading3"/>
        <w:rPr>
          <w:rFonts w:eastAsia="Times New Roman"/>
          <w:u w:val="single"/>
        </w:rPr>
      </w:pPr>
      <w:r w:rsidRPr="002372AF">
        <w:rPr>
          <w:rFonts w:eastAsia="Times New Roman"/>
          <w:u w:val="single"/>
          <w:lang w:eastAsia="bg-BG"/>
        </w:rPr>
        <w:t>Кърмене</w:t>
      </w:r>
    </w:p>
    <w:p w14:paraId="087BC88D" w14:textId="77777777" w:rsidR="002372AF" w:rsidRPr="002372AF" w:rsidRDefault="002372AF" w:rsidP="002372AF">
      <w:pPr>
        <w:rPr>
          <w:sz w:val="24"/>
          <w:szCs w:val="24"/>
        </w:rPr>
      </w:pPr>
      <w:r w:rsidRPr="002372AF">
        <w:rPr>
          <w:lang w:eastAsia="bg-BG"/>
        </w:rPr>
        <w:t xml:space="preserve">Калциев добезилат преминава в майчиното мляко в много малки количества (0,4 </w:t>
      </w:r>
      <w:proofErr w:type="spellStart"/>
      <w:r w:rsidRPr="002372AF">
        <w:rPr>
          <w:lang w:val="en-US"/>
        </w:rPr>
        <w:t>μg</w:t>
      </w:r>
      <w:proofErr w:type="spellEnd"/>
      <w:r w:rsidRPr="002372AF">
        <w:rPr>
          <w:lang w:val="ru-RU"/>
        </w:rPr>
        <w:t>/</w:t>
      </w:r>
      <w:r w:rsidRPr="002372AF">
        <w:rPr>
          <w:lang w:val="en-US"/>
        </w:rPr>
        <w:t>ml</w:t>
      </w:r>
      <w:r w:rsidRPr="002372AF">
        <w:rPr>
          <w:lang w:val="ru-RU"/>
        </w:rPr>
        <w:t xml:space="preserve"> </w:t>
      </w:r>
      <w:r w:rsidRPr="002372AF">
        <w:rPr>
          <w:lang w:eastAsia="bg-BG"/>
        </w:rPr>
        <w:t xml:space="preserve">след прием на 3 х 500 </w:t>
      </w:r>
      <w:r w:rsidRPr="002372AF">
        <w:rPr>
          <w:lang w:val="en-US"/>
        </w:rPr>
        <w:t>mg</w:t>
      </w:r>
      <w:r w:rsidRPr="002372AF">
        <w:rPr>
          <w:lang w:val="ru-RU"/>
        </w:rPr>
        <w:t xml:space="preserve">). </w:t>
      </w:r>
      <w:r w:rsidRPr="002372AF">
        <w:rPr>
          <w:lang w:eastAsia="bg-BG"/>
        </w:rPr>
        <w:t>Приложението на Доксиум не е показано по време на кърмене. Като предпазна мярка трябва да се спре или лечението, или кърменето.</w:t>
      </w:r>
    </w:p>
    <w:p w14:paraId="455EA8A5" w14:textId="77777777" w:rsidR="002372AF" w:rsidRPr="002372AF" w:rsidRDefault="002372AF" w:rsidP="002372AF"/>
    <w:p w14:paraId="5766770B" w14:textId="22EBEF89" w:rsidR="00395555" w:rsidRDefault="002C50EE" w:rsidP="008A6AF2">
      <w:pPr>
        <w:pStyle w:val="Heading2"/>
      </w:pPr>
      <w:r>
        <w:t>4.7. Ефекти върху способността за шофиране и работа с машини</w:t>
      </w:r>
    </w:p>
    <w:p w14:paraId="50511331" w14:textId="515A1006" w:rsidR="002372AF" w:rsidRDefault="002372AF" w:rsidP="002372AF"/>
    <w:p w14:paraId="525E2675" w14:textId="77777777" w:rsidR="002372AF" w:rsidRPr="002372AF" w:rsidRDefault="002372AF" w:rsidP="002372AF">
      <w:pPr>
        <w:rPr>
          <w:sz w:val="24"/>
          <w:szCs w:val="24"/>
        </w:rPr>
      </w:pPr>
      <w:r w:rsidRPr="002372AF">
        <w:rPr>
          <w:lang w:eastAsia="bg-BG"/>
        </w:rPr>
        <w:t>Доксиум не повлиява способността за шофиране и работа с машини.</w:t>
      </w:r>
    </w:p>
    <w:p w14:paraId="07258C20" w14:textId="77777777" w:rsidR="002372AF" w:rsidRPr="002372AF" w:rsidRDefault="002372AF" w:rsidP="002372AF"/>
    <w:p w14:paraId="4FE16E21" w14:textId="00F63FA2" w:rsidR="00395555" w:rsidRDefault="002C50EE" w:rsidP="008A6AF2">
      <w:pPr>
        <w:pStyle w:val="Heading2"/>
      </w:pPr>
      <w:r>
        <w:t>4.8. Нежелани лекарствени реакции</w:t>
      </w:r>
    </w:p>
    <w:p w14:paraId="01F3D743" w14:textId="0295DBAB" w:rsidR="002372AF" w:rsidRDefault="002372AF" w:rsidP="002372AF"/>
    <w:p w14:paraId="727C9D85"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 xml:space="preserve">Нежеланите лекарствени реакции са класифицирани съгласно </w:t>
      </w:r>
      <w:proofErr w:type="spellStart"/>
      <w:r w:rsidRPr="002372AF">
        <w:rPr>
          <w:rFonts w:eastAsia="Times New Roman" w:cs="Arial"/>
          <w:color w:val="000000"/>
          <w:lang w:val="en-US"/>
        </w:rPr>
        <w:t>MedDRA</w:t>
      </w:r>
      <w:proofErr w:type="spellEnd"/>
      <w:r w:rsidRPr="002372AF">
        <w:rPr>
          <w:rFonts w:eastAsia="Times New Roman" w:cs="Arial"/>
          <w:color w:val="000000"/>
          <w:lang w:val="ru-RU"/>
        </w:rPr>
        <w:t xml:space="preserve"> </w:t>
      </w:r>
      <w:r w:rsidRPr="002372AF">
        <w:rPr>
          <w:rFonts w:eastAsia="Times New Roman" w:cs="Arial"/>
          <w:color w:val="000000"/>
          <w:lang w:eastAsia="bg-BG"/>
        </w:rPr>
        <w:t>по системо-органни класове и по честота, както следва:</w:t>
      </w:r>
    </w:p>
    <w:p w14:paraId="7D510B63" w14:textId="77777777" w:rsidR="002372AF" w:rsidRPr="002372AF" w:rsidRDefault="002372AF" w:rsidP="002372AF">
      <w:pPr>
        <w:spacing w:line="240" w:lineRule="auto"/>
        <w:rPr>
          <w:rFonts w:eastAsia="Times New Roman" w:cs="Arial"/>
          <w:color w:val="000000"/>
          <w:lang w:eastAsia="bg-BG"/>
        </w:rPr>
      </w:pPr>
    </w:p>
    <w:p w14:paraId="31B3E2D7" w14:textId="351B8F31" w:rsidR="002372AF" w:rsidRPr="002372AF" w:rsidRDefault="002372AF" w:rsidP="002372AF">
      <w:pPr>
        <w:spacing w:line="240" w:lineRule="auto"/>
        <w:rPr>
          <w:rFonts w:eastAsia="Times New Roman" w:cs="Arial"/>
        </w:rPr>
      </w:pPr>
      <w:r w:rsidRPr="002372AF">
        <w:rPr>
          <w:rFonts w:eastAsia="Times New Roman" w:cs="Arial"/>
          <w:color w:val="000000"/>
          <w:lang w:eastAsia="bg-BG"/>
        </w:rPr>
        <w:t>Много чести (</w:t>
      </w:r>
      <w:r w:rsidRPr="002372AF">
        <w:rPr>
          <w:rFonts w:eastAsia="Times New Roman" w:cs="Arial"/>
          <w:color w:val="000000"/>
          <w:lang w:val="ru-RU"/>
        </w:rPr>
        <w:t>≥</w:t>
      </w:r>
      <w:r w:rsidRPr="002372AF">
        <w:rPr>
          <w:rFonts w:eastAsia="Times New Roman" w:cs="Arial"/>
          <w:color w:val="000000"/>
          <w:lang w:eastAsia="bg-BG"/>
        </w:rPr>
        <w:t xml:space="preserve"> 1/10)</w:t>
      </w:r>
    </w:p>
    <w:p w14:paraId="5D121EC1"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Чести (</w:t>
      </w:r>
      <w:r w:rsidRPr="002372AF">
        <w:rPr>
          <w:rFonts w:eastAsia="Times New Roman" w:cs="Arial"/>
          <w:color w:val="000000"/>
          <w:lang w:val="ru-RU"/>
        </w:rPr>
        <w:t>≥</w:t>
      </w:r>
      <w:r w:rsidRPr="002372AF">
        <w:rPr>
          <w:rFonts w:eastAsia="Times New Roman" w:cs="Arial"/>
          <w:color w:val="000000"/>
          <w:lang w:eastAsia="bg-BG"/>
        </w:rPr>
        <w:t xml:space="preserve"> 1/100 до &lt; 1/10)</w:t>
      </w:r>
    </w:p>
    <w:p w14:paraId="1B32CB5A"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Нечести (</w:t>
      </w:r>
      <w:r w:rsidRPr="002372AF">
        <w:rPr>
          <w:rFonts w:eastAsia="Times New Roman" w:cs="Arial"/>
          <w:color w:val="000000"/>
          <w:lang w:val="ru-RU"/>
        </w:rPr>
        <w:t>≥</w:t>
      </w:r>
      <w:r w:rsidRPr="002372AF">
        <w:rPr>
          <w:rFonts w:eastAsia="Times New Roman" w:cs="Arial"/>
          <w:color w:val="000000"/>
          <w:lang w:eastAsia="bg-BG"/>
        </w:rPr>
        <w:t xml:space="preserve"> 1/1000 до &lt; 1/100)</w:t>
      </w:r>
    </w:p>
    <w:p w14:paraId="06AFEB21"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Редки (</w:t>
      </w:r>
      <w:r w:rsidRPr="002372AF">
        <w:rPr>
          <w:rFonts w:eastAsia="Times New Roman" w:cs="Arial"/>
          <w:color w:val="000000"/>
          <w:lang w:val="ru-RU"/>
        </w:rPr>
        <w:t>≥</w:t>
      </w:r>
      <w:r w:rsidRPr="002372AF">
        <w:rPr>
          <w:rFonts w:eastAsia="Times New Roman" w:cs="Arial"/>
          <w:color w:val="000000"/>
          <w:lang w:eastAsia="bg-BG"/>
        </w:rPr>
        <w:t xml:space="preserve"> 1/10 000 до &lt; 1/1000)</w:t>
      </w:r>
    </w:p>
    <w:p w14:paraId="25DC03A4"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Много редки (&lt;1/10 000)</w:t>
      </w:r>
    </w:p>
    <w:p w14:paraId="04847C54"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С неизвестна честота (от наличните данни не може да бъде направена оценка)</w:t>
      </w:r>
    </w:p>
    <w:p w14:paraId="02420091" w14:textId="77777777" w:rsidR="002372AF" w:rsidRPr="002372AF" w:rsidRDefault="002372AF" w:rsidP="002372AF">
      <w:pPr>
        <w:spacing w:line="240" w:lineRule="auto"/>
        <w:rPr>
          <w:rFonts w:eastAsia="Times New Roman" w:cs="Arial"/>
          <w:color w:val="000000"/>
          <w:u w:val="single"/>
          <w:lang w:eastAsia="bg-BG"/>
        </w:rPr>
      </w:pPr>
    </w:p>
    <w:p w14:paraId="69A25C82" w14:textId="292EC4D6"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t>Нарушения на кръвта и лимфната система</w:t>
      </w:r>
    </w:p>
    <w:p w14:paraId="14C3D7B2"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Много редки: агранулоцитоза (вж. точка 4.4)</w:t>
      </w:r>
    </w:p>
    <w:p w14:paraId="383693CB"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С неизвестна честота: неутропения, левкопения</w:t>
      </w:r>
    </w:p>
    <w:p w14:paraId="105C1B22" w14:textId="77777777" w:rsidR="002372AF" w:rsidRPr="002372AF" w:rsidRDefault="002372AF" w:rsidP="002372AF">
      <w:pPr>
        <w:spacing w:line="240" w:lineRule="auto"/>
        <w:rPr>
          <w:rFonts w:eastAsia="Times New Roman" w:cs="Arial"/>
          <w:color w:val="000000"/>
          <w:u w:val="single"/>
          <w:lang w:eastAsia="bg-BG"/>
        </w:rPr>
      </w:pPr>
    </w:p>
    <w:p w14:paraId="20D09B34" w14:textId="391C5E58"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lastRenderedPageBreak/>
        <w:t>Нарушения на имунната система</w:t>
      </w:r>
    </w:p>
    <w:p w14:paraId="7DDEE62A"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Нечести: свръхчувствителност (обрив, алергичен дерматит, сърбеж, уртикария, оток на лицето; вж. точка 4.4)</w:t>
      </w:r>
    </w:p>
    <w:p w14:paraId="6B30D603"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Много редки: анафилактична реакция (вж. точка 4.4)</w:t>
      </w:r>
    </w:p>
    <w:p w14:paraId="137B37E1" w14:textId="77777777" w:rsidR="002372AF" w:rsidRPr="002372AF" w:rsidRDefault="002372AF" w:rsidP="002372AF">
      <w:pPr>
        <w:spacing w:line="240" w:lineRule="auto"/>
        <w:rPr>
          <w:rFonts w:eastAsia="Times New Roman" w:cs="Arial"/>
          <w:color w:val="000000"/>
          <w:u w:val="single"/>
          <w:lang w:eastAsia="bg-BG"/>
        </w:rPr>
      </w:pPr>
    </w:p>
    <w:p w14:paraId="4B8F1B90" w14:textId="3889A492"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t>Нарушения на нервната система</w:t>
      </w:r>
    </w:p>
    <w:p w14:paraId="4C21417F"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Чести: главоболие</w:t>
      </w:r>
    </w:p>
    <w:p w14:paraId="2B4F9C1A" w14:textId="77777777" w:rsidR="002372AF" w:rsidRPr="002372AF" w:rsidRDefault="002372AF" w:rsidP="002372AF">
      <w:pPr>
        <w:spacing w:line="240" w:lineRule="auto"/>
        <w:rPr>
          <w:rFonts w:eastAsia="Times New Roman" w:cs="Arial"/>
          <w:color w:val="000000"/>
          <w:u w:val="single"/>
          <w:lang w:eastAsia="bg-BG"/>
        </w:rPr>
      </w:pPr>
    </w:p>
    <w:p w14:paraId="32DA8B57" w14:textId="791B671C"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t>Стомашно-чревни нарушения</w:t>
      </w:r>
    </w:p>
    <w:p w14:paraId="05205928"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Чести: коремна болка, гадене, диария, повръщане</w:t>
      </w:r>
    </w:p>
    <w:p w14:paraId="167FB4DA" w14:textId="77777777" w:rsidR="002372AF" w:rsidRPr="002372AF" w:rsidRDefault="002372AF" w:rsidP="002372AF">
      <w:pPr>
        <w:spacing w:line="240" w:lineRule="auto"/>
        <w:rPr>
          <w:rFonts w:eastAsia="Times New Roman" w:cs="Arial"/>
          <w:color w:val="000000"/>
          <w:u w:val="single"/>
          <w:lang w:eastAsia="bg-BG"/>
        </w:rPr>
      </w:pPr>
    </w:p>
    <w:p w14:paraId="4509111F" w14:textId="28245FE6"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t>Нарушения на мускулно-скелетната система и съединителната тъкан</w:t>
      </w:r>
    </w:p>
    <w:p w14:paraId="07E2B7F1"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Чести: артралгия, миалгия</w:t>
      </w:r>
    </w:p>
    <w:p w14:paraId="768FBD34" w14:textId="77777777" w:rsidR="002372AF" w:rsidRPr="002372AF" w:rsidRDefault="002372AF" w:rsidP="002372AF">
      <w:pPr>
        <w:spacing w:line="240" w:lineRule="auto"/>
        <w:rPr>
          <w:rFonts w:eastAsia="Times New Roman" w:cs="Arial"/>
          <w:color w:val="000000"/>
          <w:u w:val="single"/>
          <w:lang w:eastAsia="bg-BG"/>
        </w:rPr>
      </w:pPr>
    </w:p>
    <w:p w14:paraId="1FB75EB0" w14:textId="3C49CECF"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t>Общи нарушения и ефекти на мястото на приложение</w:t>
      </w:r>
    </w:p>
    <w:p w14:paraId="58B83A03"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Чести: пирексия</w:t>
      </w:r>
    </w:p>
    <w:p w14:paraId="2E966825"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Нечести: втрисане, астения, умора</w:t>
      </w:r>
    </w:p>
    <w:p w14:paraId="3DC329E2" w14:textId="77777777" w:rsidR="002372AF" w:rsidRPr="002372AF" w:rsidRDefault="002372AF" w:rsidP="002372AF">
      <w:pPr>
        <w:spacing w:line="240" w:lineRule="auto"/>
        <w:rPr>
          <w:rFonts w:eastAsia="Times New Roman" w:cs="Arial"/>
          <w:color w:val="000000"/>
          <w:u w:val="single"/>
          <w:lang w:eastAsia="bg-BG"/>
        </w:rPr>
      </w:pPr>
    </w:p>
    <w:p w14:paraId="5B263239" w14:textId="035A6436" w:rsidR="002372AF" w:rsidRPr="002372AF" w:rsidRDefault="002372AF" w:rsidP="002372AF">
      <w:pPr>
        <w:spacing w:line="240" w:lineRule="auto"/>
        <w:rPr>
          <w:rFonts w:eastAsia="Times New Roman" w:cs="Arial"/>
        </w:rPr>
      </w:pPr>
      <w:r w:rsidRPr="002372AF">
        <w:rPr>
          <w:rFonts w:eastAsia="Times New Roman" w:cs="Arial"/>
          <w:color w:val="000000"/>
          <w:u w:val="single"/>
          <w:lang w:eastAsia="bg-BG"/>
        </w:rPr>
        <w:t>Изследвания</w:t>
      </w:r>
    </w:p>
    <w:p w14:paraId="6361AC4A" w14:textId="032A9AC6" w:rsidR="002372AF" w:rsidRPr="002372AF" w:rsidRDefault="002372AF" w:rsidP="002372AF">
      <w:pPr>
        <w:spacing w:line="240" w:lineRule="auto"/>
        <w:rPr>
          <w:rFonts w:eastAsia="Times New Roman" w:cs="Arial"/>
          <w:color w:val="000000"/>
          <w:lang w:eastAsia="bg-BG"/>
        </w:rPr>
      </w:pPr>
      <w:r w:rsidRPr="002372AF">
        <w:rPr>
          <w:rFonts w:eastAsia="Times New Roman" w:cs="Arial"/>
          <w:color w:val="000000"/>
          <w:lang w:eastAsia="bg-BG"/>
        </w:rPr>
        <w:t>Чести: повишение на аланин аминотрансферазата</w:t>
      </w:r>
    </w:p>
    <w:p w14:paraId="14803EFA" w14:textId="16FCB446" w:rsidR="002372AF" w:rsidRPr="002372AF" w:rsidRDefault="002372AF" w:rsidP="002372AF">
      <w:pPr>
        <w:spacing w:line="240" w:lineRule="auto"/>
        <w:rPr>
          <w:rFonts w:eastAsia="Times New Roman" w:cs="Arial"/>
          <w:color w:val="000000"/>
          <w:lang w:eastAsia="bg-BG"/>
        </w:rPr>
      </w:pPr>
    </w:p>
    <w:p w14:paraId="179407A5"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Тези реакции обикновено са обратими след спиране на лечението.</w:t>
      </w:r>
    </w:p>
    <w:p w14:paraId="09526343" w14:textId="77777777" w:rsidR="002372AF" w:rsidRPr="002372AF" w:rsidRDefault="002372AF" w:rsidP="002372AF">
      <w:pPr>
        <w:spacing w:line="240" w:lineRule="auto"/>
        <w:rPr>
          <w:rFonts w:eastAsia="Times New Roman" w:cs="Arial"/>
          <w:color w:val="000000"/>
          <w:lang w:eastAsia="bg-BG"/>
        </w:rPr>
      </w:pPr>
      <w:bookmarkStart w:id="1" w:name="bookmark0"/>
    </w:p>
    <w:p w14:paraId="24F608E7" w14:textId="6A6394DA" w:rsidR="002372AF" w:rsidRPr="002372AF" w:rsidRDefault="002372AF" w:rsidP="002372AF">
      <w:pPr>
        <w:spacing w:line="240" w:lineRule="auto"/>
        <w:rPr>
          <w:rFonts w:eastAsia="Times New Roman" w:cs="Arial"/>
        </w:rPr>
      </w:pPr>
      <w:r w:rsidRPr="002372AF">
        <w:rPr>
          <w:rFonts w:eastAsia="Times New Roman" w:cs="Arial"/>
          <w:color w:val="000000"/>
          <w:lang w:eastAsia="bg-BG"/>
        </w:rPr>
        <w:t xml:space="preserve">Съобщаване </w:t>
      </w:r>
      <w:r w:rsidRPr="002372AF">
        <w:rPr>
          <w:rFonts w:eastAsia="Times New Roman" w:cs="Arial"/>
          <w:b/>
          <w:bCs/>
          <w:color w:val="000000"/>
          <w:lang w:eastAsia="bg-BG"/>
        </w:rPr>
        <w:t>на подозирани нежелани реакции</w:t>
      </w:r>
      <w:bookmarkEnd w:id="1"/>
    </w:p>
    <w:p w14:paraId="0DC05618"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6B397D5"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Изпълнителна агенция по лекарствата</w:t>
      </w:r>
    </w:p>
    <w:p w14:paraId="52D49A4C"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ул. „Дамян Груев“ № 8</w:t>
      </w:r>
    </w:p>
    <w:p w14:paraId="4130403C"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1303 София</w:t>
      </w:r>
    </w:p>
    <w:p w14:paraId="731D037A"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Тел.:+359 2 8903417</w:t>
      </w:r>
    </w:p>
    <w:p w14:paraId="4A18E22F" w14:textId="1513FC62" w:rsidR="002372AF" w:rsidRDefault="002372AF" w:rsidP="002372AF">
      <w:pPr>
        <w:spacing w:line="240" w:lineRule="auto"/>
        <w:rPr>
          <w:rFonts w:eastAsia="Times New Roman" w:cs="Arial"/>
        </w:rPr>
      </w:pPr>
      <w:r w:rsidRPr="002372AF">
        <w:rPr>
          <w:rFonts w:eastAsia="Times New Roman" w:cs="Arial"/>
          <w:color w:val="000000"/>
          <w:lang w:eastAsia="bg-BG"/>
        </w:rPr>
        <w:t xml:space="preserve">уебсайт: </w:t>
      </w:r>
      <w:r w:rsidRPr="002372AF">
        <w:rPr>
          <w:rFonts w:eastAsia="Times New Roman" w:cs="Arial"/>
        </w:rPr>
        <w:fldChar w:fldCharType="begin"/>
      </w:r>
      <w:r w:rsidRPr="002372AF">
        <w:rPr>
          <w:rFonts w:eastAsia="Times New Roman" w:cs="Arial"/>
        </w:rPr>
        <w:instrText xml:space="preserve"> HYPERLINK "http://www.bda.bg" </w:instrText>
      </w:r>
      <w:r w:rsidRPr="002372AF">
        <w:rPr>
          <w:rFonts w:eastAsia="Times New Roman" w:cs="Arial"/>
        </w:rPr>
      </w:r>
      <w:r w:rsidRPr="002372AF">
        <w:rPr>
          <w:rFonts w:eastAsia="Times New Roman" w:cs="Arial"/>
        </w:rPr>
        <w:fldChar w:fldCharType="separate"/>
      </w:r>
      <w:r w:rsidRPr="002372AF">
        <w:rPr>
          <w:rFonts w:eastAsia="Times New Roman" w:cs="Arial"/>
          <w:color w:val="000000"/>
          <w:lang w:val="en-US"/>
        </w:rPr>
        <w:t>www</w:t>
      </w:r>
      <w:r w:rsidRPr="002372AF">
        <w:rPr>
          <w:rFonts w:eastAsia="Times New Roman" w:cs="Arial"/>
          <w:color w:val="000000"/>
          <w:lang w:val="ru-RU"/>
        </w:rPr>
        <w:t>.</w:t>
      </w:r>
      <w:proofErr w:type="spellStart"/>
      <w:r w:rsidRPr="002372AF">
        <w:rPr>
          <w:rFonts w:eastAsia="Times New Roman" w:cs="Arial"/>
          <w:color w:val="000000"/>
          <w:lang w:val="en-US"/>
        </w:rPr>
        <w:t>bda</w:t>
      </w:r>
      <w:proofErr w:type="spellEnd"/>
      <w:r w:rsidRPr="002372AF">
        <w:rPr>
          <w:rFonts w:eastAsia="Times New Roman" w:cs="Arial"/>
          <w:color w:val="000000"/>
          <w:lang w:val="ru-RU"/>
        </w:rPr>
        <w:t>.</w:t>
      </w:r>
      <w:proofErr w:type="spellStart"/>
      <w:r w:rsidRPr="002372AF">
        <w:rPr>
          <w:rFonts w:eastAsia="Times New Roman" w:cs="Arial"/>
          <w:color w:val="000000"/>
          <w:lang w:val="en-US"/>
        </w:rPr>
        <w:t>bg</w:t>
      </w:r>
      <w:proofErr w:type="spellEnd"/>
      <w:r w:rsidRPr="002372AF">
        <w:rPr>
          <w:rFonts w:eastAsia="Times New Roman" w:cs="Arial"/>
        </w:rPr>
        <w:fldChar w:fldCharType="end"/>
      </w:r>
    </w:p>
    <w:p w14:paraId="3AC5EAA8" w14:textId="77777777" w:rsidR="002372AF" w:rsidRPr="002372AF" w:rsidRDefault="002372AF" w:rsidP="002372AF">
      <w:pPr>
        <w:spacing w:line="240" w:lineRule="auto"/>
        <w:rPr>
          <w:rFonts w:eastAsia="Times New Roman" w:cs="Arial"/>
        </w:rPr>
      </w:pPr>
    </w:p>
    <w:p w14:paraId="4ED30546" w14:textId="5519A7AA" w:rsidR="007C605B" w:rsidRDefault="002C50EE" w:rsidP="009F1313">
      <w:pPr>
        <w:pStyle w:val="Heading2"/>
      </w:pPr>
      <w:r>
        <w:t>4.9. Предозиране</w:t>
      </w:r>
    </w:p>
    <w:p w14:paraId="5442100E" w14:textId="056EC720" w:rsidR="002372AF" w:rsidRDefault="002372AF" w:rsidP="002372AF"/>
    <w:p w14:paraId="7670A006" w14:textId="596AE173" w:rsidR="002372AF" w:rsidRDefault="002372AF" w:rsidP="002372AF">
      <w:pPr>
        <w:rPr>
          <w:lang w:eastAsia="bg-BG"/>
        </w:rPr>
      </w:pPr>
      <w:r w:rsidRPr="002372AF">
        <w:rPr>
          <w:lang w:eastAsia="bg-BG"/>
        </w:rPr>
        <w:t>Няма съобщения за случаи на предозиране и клиничните признаци на предозирането не са известни. Предозирането трябва да бъде лекувано съгласно стандартната медицинска практика.</w:t>
      </w:r>
    </w:p>
    <w:p w14:paraId="7457D40A" w14:textId="77777777" w:rsidR="002372AF" w:rsidRPr="002372AF" w:rsidRDefault="002372AF" w:rsidP="002372AF">
      <w:pPr>
        <w:rPr>
          <w:sz w:val="24"/>
          <w:szCs w:val="24"/>
        </w:rPr>
      </w:pPr>
    </w:p>
    <w:p w14:paraId="02081B24" w14:textId="1F46E296" w:rsidR="00395555" w:rsidRPr="00395555" w:rsidRDefault="002C50EE" w:rsidP="008A6AF2">
      <w:pPr>
        <w:pStyle w:val="Heading1"/>
      </w:pPr>
      <w:r>
        <w:t>5. ФАРМАКОЛОГИЧНИ СВОЙСТВА</w:t>
      </w:r>
    </w:p>
    <w:p w14:paraId="5350637D" w14:textId="59B80B07" w:rsidR="00395555" w:rsidRDefault="002C50EE" w:rsidP="008A6AF2">
      <w:pPr>
        <w:pStyle w:val="Heading2"/>
      </w:pPr>
      <w:r>
        <w:t>5.1. Фармакодинамични свойства</w:t>
      </w:r>
    </w:p>
    <w:p w14:paraId="048BE756" w14:textId="686E669C" w:rsidR="002372AF" w:rsidRDefault="002372AF" w:rsidP="002372AF"/>
    <w:p w14:paraId="50E0D614" w14:textId="77777777" w:rsidR="002372AF" w:rsidRPr="002372AF" w:rsidRDefault="002372AF" w:rsidP="002372AF">
      <w:pPr>
        <w:rPr>
          <w:sz w:val="24"/>
          <w:szCs w:val="24"/>
        </w:rPr>
      </w:pPr>
      <w:r w:rsidRPr="002372AF">
        <w:rPr>
          <w:lang w:eastAsia="bg-BG"/>
        </w:rPr>
        <w:t>Фармакотерапевтична група: 3.6 Венотропни средства, АТС код: С05ВХ01 Калциев добезилат</w:t>
      </w:r>
    </w:p>
    <w:p w14:paraId="2D0382EB" w14:textId="77777777" w:rsidR="002372AF" w:rsidRDefault="002372AF" w:rsidP="002372AF">
      <w:pPr>
        <w:rPr>
          <w:lang w:eastAsia="bg-BG"/>
        </w:rPr>
      </w:pPr>
    </w:p>
    <w:p w14:paraId="5C819E39" w14:textId="29C606E7" w:rsidR="002372AF" w:rsidRPr="002372AF" w:rsidRDefault="002372AF" w:rsidP="002372AF">
      <w:pPr>
        <w:rPr>
          <w:sz w:val="24"/>
          <w:szCs w:val="24"/>
        </w:rPr>
      </w:pPr>
      <w:r w:rsidRPr="002372AF">
        <w:rPr>
          <w:lang w:eastAsia="bg-BG"/>
        </w:rPr>
        <w:t xml:space="preserve">Калциевият добезилат действа върху капилярните стени, където регулира увредените им физиологични функции, а именно намалените пермеабилитет и резистентност. Той </w:t>
      </w:r>
      <w:r w:rsidRPr="002372AF">
        <w:rPr>
          <w:lang w:eastAsia="bg-BG"/>
        </w:rPr>
        <w:lastRenderedPageBreak/>
        <w:t>повишава гъвкавостта на еритроцитите, потиска свръхагрегацията на тромбоцитите и намалява хипервискозитета на кръвта и плазмата, като по този начин подобрява както реологичните свойства на кръвта, така и тъканното кръвоснабдяване.</w:t>
      </w:r>
    </w:p>
    <w:p w14:paraId="739FE332" w14:textId="77777777" w:rsidR="002372AF" w:rsidRPr="002372AF" w:rsidRDefault="002372AF" w:rsidP="002372AF">
      <w:pPr>
        <w:rPr>
          <w:sz w:val="24"/>
          <w:szCs w:val="24"/>
        </w:rPr>
      </w:pPr>
      <w:r w:rsidRPr="002372AF">
        <w:rPr>
          <w:lang w:eastAsia="bg-BG"/>
        </w:rPr>
        <w:t>Освен това калциевият добезилат допринася за намаляването на отоците.</w:t>
      </w:r>
    </w:p>
    <w:p w14:paraId="57DBE3FB" w14:textId="77777777" w:rsidR="002372AF" w:rsidRPr="002372AF" w:rsidRDefault="002372AF" w:rsidP="002372AF">
      <w:pPr>
        <w:rPr>
          <w:sz w:val="24"/>
          <w:szCs w:val="24"/>
        </w:rPr>
      </w:pPr>
      <w:r w:rsidRPr="002372AF">
        <w:rPr>
          <w:lang w:eastAsia="bg-BG"/>
        </w:rPr>
        <w:t>Тези ефекти на калциевия добезилат позволяват да се коригира капилярната недостатъчност, която може да бъде функционална или свързана с вродени или придобити метаболитни нарушения.</w:t>
      </w:r>
    </w:p>
    <w:p w14:paraId="6E636CEC" w14:textId="77777777" w:rsidR="002372AF" w:rsidRPr="002372AF" w:rsidRDefault="002372AF" w:rsidP="002372AF"/>
    <w:p w14:paraId="26535098" w14:textId="7AC23148" w:rsidR="00395555" w:rsidRDefault="002C50EE" w:rsidP="008A6AF2">
      <w:pPr>
        <w:pStyle w:val="Heading2"/>
      </w:pPr>
      <w:r>
        <w:t>5.2. Фармакокинетични свойства</w:t>
      </w:r>
    </w:p>
    <w:p w14:paraId="06E9950A" w14:textId="4A075A1A" w:rsidR="002372AF" w:rsidRDefault="002372AF" w:rsidP="002372AF"/>
    <w:p w14:paraId="61A851CF"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 xml:space="preserve">След перорален прием на 500 </w:t>
      </w:r>
      <w:r w:rsidRPr="002372AF">
        <w:rPr>
          <w:rFonts w:eastAsia="Times New Roman" w:cs="Arial"/>
          <w:color w:val="000000"/>
          <w:lang w:val="en-US"/>
        </w:rPr>
        <w:t>mg</w:t>
      </w:r>
      <w:r w:rsidRPr="002372AF">
        <w:rPr>
          <w:rFonts w:eastAsia="Times New Roman" w:cs="Arial"/>
          <w:color w:val="000000"/>
          <w:lang w:val="ru-RU"/>
        </w:rPr>
        <w:t xml:space="preserve"> </w:t>
      </w:r>
      <w:r w:rsidRPr="002372AF">
        <w:rPr>
          <w:rFonts w:eastAsia="Times New Roman" w:cs="Arial"/>
          <w:color w:val="000000"/>
          <w:lang w:eastAsia="bg-BG"/>
        </w:rPr>
        <w:t xml:space="preserve">калциев добезилат кръвните му нива между третия и десетия час са над 6 </w:t>
      </w:r>
      <w:proofErr w:type="spellStart"/>
      <w:r w:rsidRPr="002372AF">
        <w:rPr>
          <w:rFonts w:eastAsia="Times New Roman" w:cs="Arial"/>
          <w:color w:val="000000"/>
          <w:lang w:val="en-US"/>
        </w:rPr>
        <w:t>μg</w:t>
      </w:r>
      <w:proofErr w:type="spellEnd"/>
      <w:r w:rsidRPr="002372AF">
        <w:rPr>
          <w:rFonts w:eastAsia="Times New Roman" w:cs="Arial"/>
          <w:color w:val="000000"/>
          <w:lang w:val="ru-RU"/>
        </w:rPr>
        <w:t>/</w:t>
      </w:r>
      <w:r w:rsidRPr="002372AF">
        <w:rPr>
          <w:rFonts w:eastAsia="Times New Roman" w:cs="Arial"/>
          <w:color w:val="000000"/>
          <w:lang w:val="en-US"/>
        </w:rPr>
        <w:t>ml</w:t>
      </w:r>
      <w:r w:rsidRPr="002372AF">
        <w:rPr>
          <w:rFonts w:eastAsia="Times New Roman" w:cs="Arial"/>
          <w:color w:val="000000"/>
          <w:lang w:val="ru-RU"/>
        </w:rPr>
        <w:t xml:space="preserve">, </w:t>
      </w:r>
      <w:r w:rsidRPr="002372AF">
        <w:rPr>
          <w:rFonts w:eastAsia="Times New Roman" w:cs="Arial"/>
          <w:color w:val="000000"/>
          <w:lang w:eastAsia="bg-BG"/>
        </w:rPr>
        <w:t>с усреднен пик (С</w:t>
      </w:r>
      <w:r w:rsidRPr="002372AF">
        <w:rPr>
          <w:rFonts w:eastAsia="Times New Roman" w:cs="Arial"/>
          <w:color w:val="000000"/>
          <w:vertAlign w:val="subscript"/>
          <w:lang w:val="en-US"/>
        </w:rPr>
        <w:t>max</w:t>
      </w:r>
      <w:r w:rsidRPr="002372AF">
        <w:rPr>
          <w:rFonts w:eastAsia="Times New Roman" w:cs="Arial"/>
          <w:color w:val="000000"/>
          <w:lang w:eastAsia="bg-BG"/>
        </w:rPr>
        <w:t xml:space="preserve">) 8 </w:t>
      </w:r>
      <w:proofErr w:type="spellStart"/>
      <w:r w:rsidRPr="002372AF">
        <w:rPr>
          <w:rFonts w:eastAsia="Times New Roman" w:cs="Arial"/>
          <w:color w:val="000000"/>
          <w:lang w:val="en-US"/>
        </w:rPr>
        <w:t>μg</w:t>
      </w:r>
      <w:proofErr w:type="spellEnd"/>
      <w:r w:rsidRPr="002372AF">
        <w:rPr>
          <w:rFonts w:eastAsia="Times New Roman" w:cs="Arial"/>
          <w:color w:val="000000"/>
          <w:lang w:val="ru-RU"/>
        </w:rPr>
        <w:t>/</w:t>
      </w:r>
      <w:r w:rsidRPr="002372AF">
        <w:rPr>
          <w:rFonts w:eastAsia="Times New Roman" w:cs="Arial"/>
          <w:color w:val="000000"/>
          <w:lang w:val="en-US"/>
        </w:rPr>
        <w:t>ml</w:t>
      </w:r>
      <w:r w:rsidRPr="002372AF">
        <w:rPr>
          <w:rFonts w:eastAsia="Times New Roman" w:cs="Arial"/>
          <w:color w:val="000000"/>
          <w:lang w:val="ru-RU"/>
        </w:rPr>
        <w:t xml:space="preserve"> </w:t>
      </w:r>
      <w:r w:rsidRPr="002372AF">
        <w:rPr>
          <w:rFonts w:eastAsia="Times New Roman" w:cs="Arial"/>
          <w:color w:val="000000"/>
          <w:lang w:eastAsia="bg-BG"/>
        </w:rPr>
        <w:t xml:space="preserve">след 6 часа </w:t>
      </w:r>
      <w:r w:rsidRPr="002372AF">
        <w:rPr>
          <w:rFonts w:eastAsia="Times New Roman" w:cs="Arial"/>
          <w:color w:val="000000"/>
          <w:lang w:val="ru-RU"/>
        </w:rPr>
        <w:t>(</w:t>
      </w:r>
      <w:proofErr w:type="spellStart"/>
      <w:r w:rsidRPr="002372AF">
        <w:rPr>
          <w:rFonts w:eastAsia="Times New Roman" w:cs="Arial"/>
          <w:color w:val="000000"/>
          <w:lang w:val="en-US"/>
        </w:rPr>
        <w:t>T</w:t>
      </w:r>
      <w:r w:rsidRPr="002372AF">
        <w:rPr>
          <w:rFonts w:eastAsia="Times New Roman" w:cs="Arial"/>
          <w:color w:val="000000"/>
          <w:vertAlign w:val="subscript"/>
          <w:lang w:val="en-US"/>
        </w:rPr>
        <w:t>max</w:t>
      </w:r>
      <w:proofErr w:type="spellEnd"/>
      <w:r w:rsidRPr="002372AF">
        <w:rPr>
          <w:rFonts w:eastAsia="Times New Roman" w:cs="Arial"/>
          <w:color w:val="000000"/>
          <w:lang w:val="ru-RU"/>
        </w:rPr>
        <w:t xml:space="preserve">). </w:t>
      </w:r>
      <w:r w:rsidRPr="002372AF">
        <w:rPr>
          <w:rFonts w:eastAsia="Times New Roman" w:cs="Arial"/>
          <w:color w:val="000000"/>
          <w:lang w:eastAsia="bg-BG"/>
        </w:rPr>
        <w:t xml:space="preserve">Кръвните нива са от порядъка на 3 </w:t>
      </w:r>
      <w:proofErr w:type="spellStart"/>
      <w:r w:rsidRPr="002372AF">
        <w:rPr>
          <w:rFonts w:eastAsia="Times New Roman" w:cs="Arial"/>
          <w:color w:val="000000"/>
          <w:lang w:val="en-US"/>
        </w:rPr>
        <w:t>μg</w:t>
      </w:r>
      <w:proofErr w:type="spellEnd"/>
      <w:r w:rsidRPr="002372AF">
        <w:rPr>
          <w:rFonts w:eastAsia="Times New Roman" w:cs="Arial"/>
          <w:color w:val="000000"/>
          <w:lang w:val="ru-RU"/>
        </w:rPr>
        <w:t>/</w:t>
      </w:r>
      <w:r w:rsidRPr="002372AF">
        <w:rPr>
          <w:rFonts w:eastAsia="Times New Roman" w:cs="Arial"/>
          <w:color w:val="000000"/>
          <w:lang w:val="en-US"/>
        </w:rPr>
        <w:t>ml</w:t>
      </w:r>
      <w:r w:rsidRPr="002372AF">
        <w:rPr>
          <w:rFonts w:eastAsia="Times New Roman" w:cs="Arial"/>
          <w:color w:val="000000"/>
          <w:lang w:val="ru-RU"/>
        </w:rPr>
        <w:t xml:space="preserve"> </w:t>
      </w:r>
      <w:r w:rsidRPr="002372AF">
        <w:rPr>
          <w:rFonts w:eastAsia="Times New Roman" w:cs="Arial"/>
          <w:color w:val="000000"/>
          <w:lang w:eastAsia="bg-BG"/>
        </w:rPr>
        <w:t xml:space="preserve">24 часа след приложението. Свързването с плазмените протеини е 20-25%. При животни калциевият добезилат не преминава кръвно-мозъчната или плацентарната бариери, но не е известно дали това е така и при хора. Калциевият добезилат преминава в кърмата в много малки количества (резултати, наблюдавани в едно проучване: 0,4 </w:t>
      </w:r>
      <w:proofErr w:type="spellStart"/>
      <w:r w:rsidRPr="002372AF">
        <w:rPr>
          <w:rFonts w:eastAsia="Times New Roman" w:cs="Arial"/>
          <w:color w:val="000000"/>
          <w:lang w:val="en-US"/>
        </w:rPr>
        <w:t>μg</w:t>
      </w:r>
      <w:proofErr w:type="spellEnd"/>
      <w:r w:rsidRPr="002372AF">
        <w:rPr>
          <w:rFonts w:eastAsia="Times New Roman" w:cs="Arial"/>
          <w:color w:val="000000"/>
          <w:lang w:val="ru-RU"/>
        </w:rPr>
        <w:t>/</w:t>
      </w:r>
      <w:r w:rsidRPr="002372AF">
        <w:rPr>
          <w:rFonts w:eastAsia="Times New Roman" w:cs="Arial"/>
          <w:color w:val="000000"/>
          <w:lang w:val="en-US"/>
        </w:rPr>
        <w:t>ml</w:t>
      </w:r>
      <w:r w:rsidRPr="002372AF">
        <w:rPr>
          <w:rFonts w:eastAsia="Times New Roman" w:cs="Arial"/>
          <w:color w:val="000000"/>
          <w:lang w:val="ru-RU"/>
        </w:rPr>
        <w:t xml:space="preserve"> </w:t>
      </w:r>
      <w:r w:rsidRPr="002372AF">
        <w:rPr>
          <w:rFonts w:eastAsia="Times New Roman" w:cs="Arial"/>
          <w:color w:val="000000"/>
          <w:lang w:eastAsia="bg-BG"/>
        </w:rPr>
        <w:t xml:space="preserve">след прием на 1500 </w:t>
      </w:r>
      <w:r w:rsidRPr="002372AF">
        <w:rPr>
          <w:rFonts w:eastAsia="Times New Roman" w:cs="Arial"/>
          <w:color w:val="000000"/>
          <w:lang w:val="en-US"/>
        </w:rPr>
        <w:t>mg</w:t>
      </w:r>
      <w:r w:rsidRPr="002372AF">
        <w:rPr>
          <w:rFonts w:eastAsia="Times New Roman" w:cs="Arial"/>
          <w:color w:val="000000"/>
          <w:lang w:val="ru-RU"/>
        </w:rPr>
        <w:t>).</w:t>
      </w:r>
    </w:p>
    <w:p w14:paraId="11576B5D"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Калциевият добезилат не се подлага на ентерохепатален кръговрат и се отделя главно непроменен, като само 10% се отделят под формата на метаболити.</w:t>
      </w:r>
    </w:p>
    <w:p w14:paraId="61BE773F"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През първите 24 часа около 50% от перорално приетата доза се отделя с урината, а приблизително 10% с фекалиите.</w:t>
      </w:r>
    </w:p>
    <w:p w14:paraId="62F18905"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Плазменият полуживот е около 5 часа.</w:t>
      </w:r>
    </w:p>
    <w:p w14:paraId="3C3555C9" w14:textId="77777777" w:rsidR="002372AF" w:rsidRPr="002372AF" w:rsidRDefault="002372AF" w:rsidP="002372AF">
      <w:pPr>
        <w:spacing w:line="240" w:lineRule="auto"/>
        <w:rPr>
          <w:rFonts w:eastAsia="Times New Roman" w:cs="Arial"/>
          <w:i/>
          <w:iCs/>
          <w:color w:val="000000"/>
          <w:lang w:eastAsia="bg-BG"/>
        </w:rPr>
      </w:pPr>
    </w:p>
    <w:p w14:paraId="67227C8D" w14:textId="76C9F127" w:rsidR="002372AF" w:rsidRPr="002372AF" w:rsidRDefault="002372AF" w:rsidP="002372AF">
      <w:pPr>
        <w:spacing w:line="240" w:lineRule="auto"/>
        <w:rPr>
          <w:rFonts w:eastAsia="Times New Roman" w:cs="Arial"/>
        </w:rPr>
      </w:pPr>
      <w:r w:rsidRPr="002372AF">
        <w:rPr>
          <w:rFonts w:eastAsia="Times New Roman" w:cs="Arial"/>
          <w:i/>
          <w:iCs/>
          <w:color w:val="000000"/>
          <w:lang w:eastAsia="bg-BG"/>
        </w:rPr>
        <w:t>Фармакокинетика при особени клинични случаи:</w:t>
      </w:r>
    </w:p>
    <w:p w14:paraId="17187D80" w14:textId="7BFCAE2B" w:rsidR="002372AF" w:rsidRDefault="002372AF" w:rsidP="002372AF">
      <w:pPr>
        <w:rPr>
          <w:rFonts w:eastAsia="Times New Roman" w:cs="Arial"/>
          <w:color w:val="000000"/>
          <w:lang w:eastAsia="bg-BG"/>
        </w:rPr>
      </w:pPr>
      <w:r w:rsidRPr="002372AF">
        <w:rPr>
          <w:rFonts w:eastAsia="Times New Roman" w:cs="Arial"/>
          <w:color w:val="000000"/>
          <w:lang w:eastAsia="bg-BG"/>
        </w:rPr>
        <w:t>Не е известно до каква степен нарушенията на бъбречната функция могат да повлияят върху фармакокинетиката на калциевия добезилат (вж. точки 4.2 и 4.4).</w:t>
      </w:r>
    </w:p>
    <w:p w14:paraId="27B29DC9" w14:textId="77777777" w:rsidR="002372AF" w:rsidRPr="002372AF" w:rsidRDefault="002372AF" w:rsidP="002372AF">
      <w:pPr>
        <w:rPr>
          <w:rFonts w:cs="Arial"/>
        </w:rPr>
      </w:pPr>
    </w:p>
    <w:p w14:paraId="028E658A" w14:textId="0A5BECBB" w:rsidR="00395555" w:rsidRDefault="002C50EE" w:rsidP="008A6AF2">
      <w:pPr>
        <w:pStyle w:val="Heading2"/>
      </w:pPr>
      <w:r>
        <w:t>5.3. Предклинични данни за безопасност</w:t>
      </w:r>
    </w:p>
    <w:p w14:paraId="03958B11" w14:textId="1B04C972" w:rsidR="002372AF" w:rsidRDefault="002372AF" w:rsidP="002372AF"/>
    <w:p w14:paraId="77556003" w14:textId="77777777" w:rsidR="002372AF" w:rsidRPr="002372AF" w:rsidRDefault="002372AF" w:rsidP="002372AF">
      <w:pPr>
        <w:spacing w:line="240" w:lineRule="auto"/>
        <w:rPr>
          <w:rFonts w:eastAsia="Times New Roman" w:cs="Arial"/>
        </w:rPr>
      </w:pPr>
      <w:r w:rsidRPr="002372AF">
        <w:rPr>
          <w:rFonts w:eastAsia="Times New Roman" w:cs="Arial"/>
          <w:color w:val="000000"/>
          <w:lang w:eastAsia="bg-BG"/>
        </w:rPr>
        <w:t>При проучвания за хронична токсичност при плъхове калциевият добезилат предизвиква увеличение на честотата на бъбречните хистологични промени от дози, които са около 13,5 пъти по-високи от максималната терапевтична доза. Тези промени се свързват с по-голямата експозиция на калций. Калциевият добезилат няма фетотоксичен или тератогенен ефект при мишки, плъхове и зайци при перорални дози, които са до 30 пъти (при плъхове) и съответно 13,5 пъти (при зайци) по-високи от максималната терапевтична доза. Лекарството не показва генотоксичен потенциал. Проучвания за карциногенен потенциал не са провеждани.</w:t>
      </w:r>
    </w:p>
    <w:p w14:paraId="21B0CBB8" w14:textId="77777777" w:rsidR="002372AF" w:rsidRPr="002372AF" w:rsidRDefault="002372AF" w:rsidP="002372AF"/>
    <w:p w14:paraId="6A7820AB" w14:textId="2195A3B8" w:rsidR="008A6AF2" w:rsidRDefault="002C50EE" w:rsidP="00395555">
      <w:pPr>
        <w:pStyle w:val="Heading1"/>
      </w:pPr>
      <w:r>
        <w:t>7. ПРИТЕЖАТЕЛ НА РАЗРЕШЕНИЕТО ЗА УПОТРЕБА</w:t>
      </w:r>
    </w:p>
    <w:p w14:paraId="04B69500" w14:textId="6B7EDB97" w:rsidR="002372AF" w:rsidRDefault="002372AF" w:rsidP="002372AF"/>
    <w:p w14:paraId="7F9184D6" w14:textId="77777777" w:rsidR="002372AF" w:rsidRPr="002372AF" w:rsidRDefault="002372AF" w:rsidP="002372AF">
      <w:pPr>
        <w:rPr>
          <w:sz w:val="24"/>
          <w:szCs w:val="24"/>
          <w:lang w:val="en-US"/>
        </w:rPr>
      </w:pPr>
      <w:r w:rsidRPr="002372AF">
        <w:rPr>
          <w:lang w:eastAsia="bg-BG"/>
        </w:rPr>
        <w:t xml:space="preserve">ОМ </w:t>
      </w:r>
      <w:r w:rsidRPr="002372AF">
        <w:rPr>
          <w:lang w:val="en-US"/>
        </w:rPr>
        <w:t>PHARMA S.A.</w:t>
      </w:r>
    </w:p>
    <w:p w14:paraId="61AED2A9" w14:textId="77777777" w:rsidR="002372AF" w:rsidRDefault="002372AF" w:rsidP="002372AF">
      <w:pPr>
        <w:rPr>
          <w:lang w:val="en-US"/>
        </w:rPr>
      </w:pPr>
      <w:r w:rsidRPr="002372AF">
        <w:rPr>
          <w:lang w:val="en-US"/>
        </w:rPr>
        <w:t xml:space="preserve">R. da </w:t>
      </w:r>
      <w:proofErr w:type="spellStart"/>
      <w:r w:rsidRPr="002372AF">
        <w:rPr>
          <w:lang w:val="en-US"/>
        </w:rPr>
        <w:t>Industria</w:t>
      </w:r>
      <w:proofErr w:type="spellEnd"/>
      <w:r w:rsidRPr="002372AF">
        <w:rPr>
          <w:lang w:val="en-US"/>
        </w:rPr>
        <w:t xml:space="preserve">, </w:t>
      </w:r>
      <w:r w:rsidRPr="002372AF">
        <w:rPr>
          <w:lang w:eastAsia="bg-BG"/>
        </w:rPr>
        <w:t xml:space="preserve">2 - </w:t>
      </w:r>
      <w:r w:rsidRPr="002372AF">
        <w:rPr>
          <w:lang w:val="en-US"/>
        </w:rPr>
        <w:t xml:space="preserve">Quinta Grande </w:t>
      </w:r>
    </w:p>
    <w:p w14:paraId="16B7EA66" w14:textId="77777777" w:rsidR="002372AF" w:rsidRDefault="002372AF" w:rsidP="002372AF">
      <w:pPr>
        <w:rPr>
          <w:lang w:eastAsia="bg-BG"/>
        </w:rPr>
      </w:pPr>
      <w:r w:rsidRPr="002372AF">
        <w:rPr>
          <w:lang w:val="en-US"/>
        </w:rPr>
        <w:t xml:space="preserve">2610-088 </w:t>
      </w:r>
      <w:proofErr w:type="spellStart"/>
      <w:r w:rsidRPr="002372AF">
        <w:rPr>
          <w:lang w:val="en-US"/>
        </w:rPr>
        <w:t>Amadora</w:t>
      </w:r>
      <w:proofErr w:type="spellEnd"/>
      <w:r w:rsidRPr="002372AF">
        <w:rPr>
          <w:lang w:val="en-US"/>
        </w:rPr>
        <w:t xml:space="preserve"> - </w:t>
      </w:r>
      <w:proofErr w:type="spellStart"/>
      <w:r w:rsidRPr="002372AF">
        <w:rPr>
          <w:lang w:val="en-US"/>
        </w:rPr>
        <w:t>Lisboa</w:t>
      </w:r>
      <w:proofErr w:type="spellEnd"/>
      <w:r w:rsidRPr="002372AF">
        <w:rPr>
          <w:lang w:val="en-US"/>
        </w:rPr>
        <w:t xml:space="preserve"> - </w:t>
      </w:r>
      <w:r w:rsidRPr="002372AF">
        <w:rPr>
          <w:lang w:eastAsia="bg-BG"/>
        </w:rPr>
        <w:t xml:space="preserve">Португалия </w:t>
      </w:r>
    </w:p>
    <w:p w14:paraId="0CA1F923" w14:textId="0AD489D2" w:rsidR="002372AF" w:rsidRPr="002372AF" w:rsidRDefault="002372AF" w:rsidP="002372AF">
      <w:pPr>
        <w:rPr>
          <w:sz w:val="24"/>
          <w:szCs w:val="24"/>
          <w:lang w:val="en-US"/>
        </w:rPr>
      </w:pPr>
      <w:r w:rsidRPr="002372AF">
        <w:rPr>
          <w:lang w:eastAsia="bg-BG"/>
        </w:rPr>
        <w:t>Тел.:</w:t>
      </w:r>
      <w:r w:rsidRPr="002372AF">
        <w:rPr>
          <w:lang w:val="en-US"/>
        </w:rPr>
        <w:t>+351 21 470 85 00</w:t>
      </w:r>
    </w:p>
    <w:p w14:paraId="6EE8266A" w14:textId="77777777" w:rsidR="002372AF" w:rsidRPr="002372AF" w:rsidRDefault="002372AF" w:rsidP="002372AF">
      <w:pPr>
        <w:rPr>
          <w:sz w:val="24"/>
          <w:szCs w:val="24"/>
        </w:rPr>
      </w:pPr>
      <w:r w:rsidRPr="002372AF">
        <w:rPr>
          <w:lang w:eastAsia="bg-BG"/>
        </w:rPr>
        <w:t>Факс: +351 21 470 85 06</w:t>
      </w:r>
    </w:p>
    <w:p w14:paraId="5B16A2B2" w14:textId="672CBF6D" w:rsidR="002372AF" w:rsidRPr="002372AF" w:rsidRDefault="002372AF" w:rsidP="002372AF">
      <w:pPr>
        <w:rPr>
          <w:lang w:eastAsia="bg-BG"/>
        </w:rPr>
      </w:pPr>
      <w:r>
        <w:rPr>
          <w:lang w:eastAsia="bg-BG"/>
        </w:rPr>
        <w:t>Имейл:</w:t>
      </w:r>
      <w:r>
        <w:rPr>
          <w:lang w:val="en-US"/>
        </w:rPr>
        <w:fldChar w:fldCharType="begin"/>
      </w:r>
      <w:r>
        <w:rPr>
          <w:lang w:val="en-US"/>
        </w:rPr>
        <w:instrText xml:space="preserve"> HYPERLINK "mailto:</w:instrText>
      </w:r>
      <w:r w:rsidRPr="002372AF">
        <w:rPr>
          <w:lang w:val="en-US"/>
        </w:rPr>
        <w:instrText>mailbox</w:instrText>
      </w:r>
      <w:r w:rsidRPr="002372AF">
        <w:rPr>
          <w:lang w:val="ru-RU"/>
        </w:rPr>
        <w:instrText>@</w:instrText>
      </w:r>
      <w:r>
        <w:rPr>
          <w:lang w:val="en-US"/>
        </w:rPr>
        <w:instrText>ompharm</w:instrText>
      </w:r>
      <w:r w:rsidRPr="002372AF">
        <w:rPr>
          <w:lang w:val="en-US"/>
        </w:rPr>
        <w:instrText>a</w:instrText>
      </w:r>
      <w:r w:rsidRPr="002372AF">
        <w:rPr>
          <w:lang w:val="ru-RU"/>
        </w:rPr>
        <w:instrText>.</w:instrText>
      </w:r>
      <w:r w:rsidRPr="002372AF">
        <w:rPr>
          <w:lang w:val="en-US"/>
        </w:rPr>
        <w:instrText>pt</w:instrText>
      </w:r>
      <w:r>
        <w:rPr>
          <w:lang w:val="en-US"/>
        </w:rPr>
        <w:instrText xml:space="preserve">" </w:instrText>
      </w:r>
      <w:r>
        <w:rPr>
          <w:lang w:val="en-US"/>
        </w:rPr>
        <w:fldChar w:fldCharType="separate"/>
      </w:r>
      <w:r w:rsidRPr="00770B9D">
        <w:rPr>
          <w:rStyle w:val="Hyperlink"/>
          <w:lang w:val="en-US"/>
        </w:rPr>
        <w:t>mailbox</w:t>
      </w:r>
      <w:r w:rsidRPr="00770B9D">
        <w:rPr>
          <w:rStyle w:val="Hyperlink"/>
          <w:lang w:val="ru-RU"/>
        </w:rPr>
        <w:t>@</w:t>
      </w:r>
      <w:proofErr w:type="spellStart"/>
      <w:r w:rsidRPr="00770B9D">
        <w:rPr>
          <w:rStyle w:val="Hyperlink"/>
          <w:lang w:val="en-US"/>
        </w:rPr>
        <w:t>ompharma</w:t>
      </w:r>
      <w:proofErr w:type="spellEnd"/>
      <w:r w:rsidRPr="00770B9D">
        <w:rPr>
          <w:rStyle w:val="Hyperlink"/>
          <w:lang w:val="ru-RU"/>
        </w:rPr>
        <w:t>.</w:t>
      </w:r>
      <w:proofErr w:type="spellStart"/>
      <w:r w:rsidRPr="00770B9D">
        <w:rPr>
          <w:rStyle w:val="Hyperlink"/>
          <w:lang w:val="en-US"/>
        </w:rPr>
        <w:t>pt</w:t>
      </w:r>
      <w:proofErr w:type="spellEnd"/>
      <w:r>
        <w:rPr>
          <w:lang w:val="en-US"/>
        </w:rPr>
        <w:fldChar w:fldCharType="end"/>
      </w:r>
    </w:p>
    <w:p w14:paraId="51DC220F" w14:textId="05136E32" w:rsidR="002372AF" w:rsidRPr="002372AF" w:rsidRDefault="002372AF" w:rsidP="002372AF"/>
    <w:p w14:paraId="04840D59" w14:textId="3AB8A35F" w:rsidR="002C50EE" w:rsidRDefault="002C50EE" w:rsidP="00395555">
      <w:pPr>
        <w:pStyle w:val="Heading1"/>
      </w:pPr>
      <w:r>
        <w:lastRenderedPageBreak/>
        <w:t>8. НОМЕР НА РАЗРЕШЕНИЕТО ЗА УПОТРЕБА</w:t>
      </w:r>
    </w:p>
    <w:p w14:paraId="58604721" w14:textId="0095B21B" w:rsidR="002372AF" w:rsidRDefault="002372AF" w:rsidP="002372AF"/>
    <w:p w14:paraId="09DE659E" w14:textId="1DAED793" w:rsidR="002372AF" w:rsidRPr="002372AF" w:rsidRDefault="002372AF" w:rsidP="002372AF">
      <w:r>
        <w:t>9900127</w:t>
      </w:r>
    </w:p>
    <w:p w14:paraId="2CCB5832" w14:textId="5790E0D1" w:rsidR="007C605B" w:rsidRDefault="002C50EE" w:rsidP="007C605B">
      <w:pPr>
        <w:pStyle w:val="Heading1"/>
      </w:pPr>
      <w:r>
        <w:t>9. ДАТА НА ПЪРВО РАЗРЕШАВАНЕ/ПОДНОВЯВАНЕ НА РАЗРЕШЕНИЕТО ЗА УПОТРЕБА</w:t>
      </w:r>
    </w:p>
    <w:p w14:paraId="6C0D9787" w14:textId="607AFB92" w:rsidR="002372AF" w:rsidRDefault="002372AF" w:rsidP="002372AF"/>
    <w:p w14:paraId="674DD22B" w14:textId="77777777" w:rsidR="002372AF" w:rsidRPr="002372AF" w:rsidRDefault="002372AF" w:rsidP="002372AF">
      <w:pPr>
        <w:rPr>
          <w:sz w:val="24"/>
          <w:szCs w:val="24"/>
        </w:rPr>
      </w:pPr>
      <w:r w:rsidRPr="002372AF">
        <w:rPr>
          <w:lang w:eastAsia="bg-BG"/>
        </w:rPr>
        <w:t>Дата на първо разрешаване: 26 април 1999 г.</w:t>
      </w:r>
    </w:p>
    <w:p w14:paraId="6911EEAC" w14:textId="2F84A725" w:rsidR="002372AF" w:rsidRPr="002372AF" w:rsidRDefault="002372AF" w:rsidP="002372AF">
      <w:r w:rsidRPr="002372AF">
        <w:rPr>
          <w:lang w:eastAsia="bg-BG"/>
        </w:rPr>
        <w:t>Дата на последно подновяване: 12 май 2005 г.</w:t>
      </w:r>
    </w:p>
    <w:p w14:paraId="0E9D0119" w14:textId="0245C6D7" w:rsidR="002C50EE" w:rsidRDefault="002C50EE" w:rsidP="002C50EE">
      <w:pPr>
        <w:pStyle w:val="Heading1"/>
      </w:pPr>
      <w:r>
        <w:t>10. ДАТА НА АКТУАЛИЗИРАНЕ НА ТЕКСТА</w:t>
      </w:r>
    </w:p>
    <w:bookmarkEnd w:id="0"/>
    <w:p w14:paraId="43FB38A2" w14:textId="6446638B" w:rsidR="007C605B" w:rsidRPr="003E3126" w:rsidRDefault="002372AF" w:rsidP="002372AF">
      <w:r>
        <w:t>мм/гггг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732C14"/>
    <w:multiLevelType w:val="hybridMultilevel"/>
    <w:tmpl w:val="86DC3FE0"/>
    <w:lvl w:ilvl="0" w:tplc="FB92B306">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60CBE"/>
    <w:multiLevelType w:val="hybridMultilevel"/>
    <w:tmpl w:val="F4D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5"/>
  </w:num>
  <w:num w:numId="11">
    <w:abstractNumId w:val="30"/>
  </w:num>
  <w:num w:numId="12">
    <w:abstractNumId w:val="15"/>
  </w:num>
  <w:num w:numId="13">
    <w:abstractNumId w:val="20"/>
  </w:num>
  <w:num w:numId="14">
    <w:abstractNumId w:val="12"/>
  </w:num>
  <w:num w:numId="15">
    <w:abstractNumId w:val="29"/>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1"/>
  </w:num>
  <w:num w:numId="28">
    <w:abstractNumId w:val="7"/>
  </w:num>
  <w:num w:numId="29">
    <w:abstractNumId w:val="21"/>
  </w:num>
  <w:num w:numId="30">
    <w:abstractNumId w:val="32"/>
  </w:num>
  <w:num w:numId="31">
    <w:abstractNumId w:val="6"/>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372AF"/>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8139</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2021-11-24T11:47:00Z</dcterms:created>
  <dcterms:modified xsi:type="dcterms:W3CDTF">2021-11-24T11:47:00Z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