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7A328C" w14:textId="16329281" w:rsidR="002C50EE" w:rsidRDefault="002C50EE" w:rsidP="002C50EE">
      <w:pPr>
        <w:pStyle w:val="Heading1"/>
        <w:jc w:val="center"/>
      </w:pPr>
      <w:bookmarkStart w:id="0" w:name="_Hlk63124480"/>
      <w:r>
        <w:t>КРАТКА ХАРАКТЕРИСТИКА НА ПРОДУКТА</w:t>
      </w:r>
    </w:p>
    <w:p w14:paraId="3B239815" w14:textId="67A8D7B3" w:rsidR="00AA23EC" w:rsidRDefault="00DD466D" w:rsidP="00DD466D">
      <w:pPr>
        <w:pStyle w:val="Heading1"/>
      </w:pPr>
      <w:r>
        <w:t>1.ИМЕ НА ЛЕКАРСТВЕНИЯ ПРОДУКТ</w:t>
      </w:r>
    </w:p>
    <w:p w14:paraId="03285595" w14:textId="77777777" w:rsidR="0078269E" w:rsidRPr="0078269E" w:rsidRDefault="0078269E" w:rsidP="0078269E">
      <w:pPr>
        <w:rPr>
          <w:sz w:val="24"/>
          <w:szCs w:val="24"/>
        </w:rPr>
      </w:pPr>
      <w:proofErr w:type="spellStart"/>
      <w:r w:rsidRPr="0078269E">
        <w:rPr>
          <w:lang w:eastAsia="bg-BG"/>
        </w:rPr>
        <w:t>Дрозунал</w:t>
      </w:r>
      <w:proofErr w:type="spellEnd"/>
      <w:r w:rsidRPr="0078269E">
        <w:rPr>
          <w:lang w:eastAsia="bg-BG"/>
        </w:rPr>
        <w:t xml:space="preserve"> 50 </w:t>
      </w:r>
      <w:r w:rsidRPr="0078269E">
        <w:rPr>
          <w:lang w:val="en-US"/>
        </w:rPr>
        <w:t xml:space="preserve">mg </w:t>
      </w:r>
      <w:r w:rsidRPr="0078269E">
        <w:rPr>
          <w:lang w:eastAsia="bg-BG"/>
        </w:rPr>
        <w:t>обвити таблетки</w:t>
      </w:r>
    </w:p>
    <w:p w14:paraId="5367E709" w14:textId="3D67F2F2" w:rsidR="0078269E" w:rsidRPr="0078269E" w:rsidRDefault="0078269E" w:rsidP="0078269E">
      <w:proofErr w:type="spellStart"/>
      <w:r w:rsidRPr="0078269E">
        <w:rPr>
          <w:lang w:val="en-US"/>
        </w:rPr>
        <w:t>Drosunal</w:t>
      </w:r>
      <w:proofErr w:type="spellEnd"/>
      <w:r w:rsidRPr="0078269E">
        <w:rPr>
          <w:lang w:val="en-US"/>
        </w:rPr>
        <w:t xml:space="preserve"> </w:t>
      </w:r>
      <w:r w:rsidRPr="0078269E">
        <w:rPr>
          <w:lang w:eastAsia="bg-BG"/>
        </w:rPr>
        <w:t xml:space="preserve">50 </w:t>
      </w:r>
      <w:r w:rsidRPr="0078269E">
        <w:rPr>
          <w:lang w:val="en-US"/>
        </w:rPr>
        <w:t>mg coated tablets</w:t>
      </w:r>
    </w:p>
    <w:p w14:paraId="4D88B710" w14:textId="57E00222" w:rsidR="00D86297" w:rsidRDefault="00DD466D" w:rsidP="00AA23EC">
      <w:pPr>
        <w:pStyle w:val="Heading1"/>
      </w:pPr>
      <w:r>
        <w:t>2. КАЧЕСТВЕН И КОЛИЧЕСТВЕН СЪСТАВ</w:t>
      </w:r>
    </w:p>
    <w:p w14:paraId="4DBF1BB9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4C631B5" w14:textId="5717F92D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Всяка обвита таблетка съдържа 50 </w:t>
      </w:r>
      <w:r w:rsidRPr="0078269E">
        <w:rPr>
          <w:rFonts w:eastAsia="Times New Roman" w:cs="Arial"/>
          <w:color w:val="000000"/>
          <w:lang w:val="en-US"/>
        </w:rPr>
        <w:t xml:space="preserve">mg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нафтидрофурилов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хидрогеноксалат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r w:rsidRPr="0078269E">
        <w:rPr>
          <w:rFonts w:eastAsia="Times New Roman" w:cs="Arial"/>
          <w:i/>
          <w:iCs/>
          <w:color w:val="000000"/>
          <w:lang w:val="en-US"/>
        </w:rPr>
        <w:t>(</w:t>
      </w:r>
      <w:proofErr w:type="spellStart"/>
      <w:r w:rsidRPr="0078269E">
        <w:rPr>
          <w:rFonts w:eastAsia="Times New Roman" w:cs="Arial"/>
          <w:i/>
          <w:iCs/>
          <w:color w:val="000000"/>
          <w:lang w:val="en-US"/>
        </w:rPr>
        <w:t>naftidrofuryl</w:t>
      </w:r>
      <w:proofErr w:type="spellEnd"/>
      <w:r w:rsidRPr="0078269E">
        <w:rPr>
          <w:rFonts w:eastAsia="Times New Roman" w:cs="Arial"/>
          <w:i/>
          <w:iCs/>
          <w:color w:val="000000"/>
          <w:lang w:val="en-US"/>
        </w:rPr>
        <w:t xml:space="preserve"> hydrogen oxalate).</w:t>
      </w:r>
    </w:p>
    <w:p w14:paraId="11DDFD2C" w14:textId="77777777" w:rsidR="0078269E" w:rsidRPr="0078269E" w:rsidRDefault="0078269E" w:rsidP="0078269E">
      <w:pPr>
        <w:rPr>
          <w:rFonts w:eastAsia="Times New Roman" w:cs="Arial"/>
          <w:color w:val="000000"/>
          <w:u w:val="single"/>
          <w:lang w:eastAsia="bg-BG"/>
        </w:rPr>
      </w:pPr>
    </w:p>
    <w:p w14:paraId="47BEC97D" w14:textId="7A906E22" w:rsidR="0078269E" w:rsidRPr="0078269E" w:rsidRDefault="0078269E" w:rsidP="0078269E">
      <w:pPr>
        <w:rPr>
          <w:rFonts w:cs="Arial"/>
        </w:rPr>
      </w:pPr>
      <w:r w:rsidRPr="0078269E">
        <w:rPr>
          <w:rFonts w:eastAsia="Times New Roman" w:cs="Arial"/>
          <w:color w:val="000000"/>
          <w:u w:val="single"/>
          <w:lang w:eastAsia="bg-BG"/>
        </w:rPr>
        <w:t>Помощни вещества с известно действие</w:t>
      </w:r>
      <w:r w:rsidRPr="0078269E">
        <w:rPr>
          <w:rFonts w:eastAsia="Times New Roman" w:cs="Arial"/>
          <w:color w:val="000000"/>
          <w:lang w:eastAsia="bg-BG"/>
        </w:rPr>
        <w:t xml:space="preserve">: лактоза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78269E">
        <w:rPr>
          <w:rFonts w:eastAsia="Times New Roman" w:cs="Arial"/>
          <w:color w:val="000000"/>
          <w:lang w:eastAsia="bg-BG"/>
        </w:rPr>
        <w:t>, пшенично нишесте, Е110.</w:t>
      </w:r>
    </w:p>
    <w:p w14:paraId="5E332777" w14:textId="37976305" w:rsidR="005A66D9" w:rsidRDefault="00DD466D" w:rsidP="00CA1B57">
      <w:pPr>
        <w:pStyle w:val="Heading1"/>
      </w:pPr>
      <w:r>
        <w:t>3. ЛЕКАРСТВЕНА ФОРМА</w:t>
      </w:r>
    </w:p>
    <w:p w14:paraId="12E671E5" w14:textId="77777777" w:rsidR="0078269E" w:rsidRPr="0078269E" w:rsidRDefault="0078269E" w:rsidP="0078269E">
      <w:pPr>
        <w:rPr>
          <w:sz w:val="24"/>
          <w:szCs w:val="24"/>
        </w:rPr>
      </w:pPr>
      <w:r w:rsidRPr="0078269E">
        <w:rPr>
          <w:lang w:eastAsia="bg-BG"/>
        </w:rPr>
        <w:t>Обвита таблетка.</w:t>
      </w:r>
    </w:p>
    <w:p w14:paraId="45BE965A" w14:textId="2DAC180A" w:rsidR="0078269E" w:rsidRPr="0078269E" w:rsidRDefault="0078269E" w:rsidP="0078269E">
      <w:r w:rsidRPr="0078269E">
        <w:rPr>
          <w:lang w:eastAsia="bg-BG"/>
        </w:rPr>
        <w:t xml:space="preserve">Кръгли, </w:t>
      </w:r>
      <w:proofErr w:type="spellStart"/>
      <w:r w:rsidRPr="0078269E">
        <w:rPr>
          <w:lang w:eastAsia="bg-BG"/>
        </w:rPr>
        <w:t>двоЙноизпъкнали</w:t>
      </w:r>
      <w:proofErr w:type="spellEnd"/>
      <w:r w:rsidRPr="0078269E">
        <w:rPr>
          <w:lang w:eastAsia="bg-BG"/>
        </w:rPr>
        <w:t xml:space="preserve"> обвити таблетки с оранжев цвят.</w:t>
      </w:r>
    </w:p>
    <w:p w14:paraId="490FC2C4" w14:textId="77777777" w:rsidR="002C50EE" w:rsidRDefault="002C50EE" w:rsidP="002C50EE">
      <w:pPr>
        <w:pStyle w:val="Heading1"/>
      </w:pPr>
      <w:r>
        <w:t>4. КЛИНИЧНИ ДАННИ</w:t>
      </w:r>
    </w:p>
    <w:p w14:paraId="1512A286" w14:textId="2888A462" w:rsidR="00FD69E8" w:rsidRDefault="002C50EE" w:rsidP="00AA23EC">
      <w:pPr>
        <w:pStyle w:val="Heading2"/>
      </w:pPr>
      <w:r>
        <w:t>4.1. Терапевтични показания</w:t>
      </w:r>
    </w:p>
    <w:p w14:paraId="6A5AD42D" w14:textId="77777777" w:rsidR="0078269E" w:rsidRDefault="0078269E" w:rsidP="0078269E">
      <w:pPr>
        <w:rPr>
          <w:i/>
          <w:iCs/>
          <w:lang w:eastAsia="bg-BG"/>
        </w:rPr>
      </w:pPr>
    </w:p>
    <w:p w14:paraId="5345DF47" w14:textId="6460A305" w:rsidR="0078269E" w:rsidRPr="0078269E" w:rsidRDefault="0078269E" w:rsidP="0078269E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78269E">
        <w:rPr>
          <w:i/>
          <w:iCs/>
          <w:lang w:eastAsia="bg-BG"/>
        </w:rPr>
        <w:t>Симптоматично лечение на периферни съдови нарушения:</w:t>
      </w:r>
      <w:r w:rsidRPr="0078269E">
        <w:rPr>
          <w:lang w:eastAsia="bg-BG"/>
        </w:rPr>
        <w:t xml:space="preserve"> </w:t>
      </w:r>
      <w:proofErr w:type="spellStart"/>
      <w:r w:rsidRPr="0078269E">
        <w:rPr>
          <w:lang w:val="en-US"/>
        </w:rPr>
        <w:t>claudicatio</w:t>
      </w:r>
      <w:proofErr w:type="spellEnd"/>
      <w:r w:rsidRPr="0078269E">
        <w:rPr>
          <w:lang w:val="en-US"/>
        </w:rPr>
        <w:t xml:space="preserve"> </w:t>
      </w:r>
      <w:proofErr w:type="spellStart"/>
      <w:r w:rsidRPr="0078269E">
        <w:rPr>
          <w:lang w:val="en-US"/>
        </w:rPr>
        <w:t>intermittens</w:t>
      </w:r>
      <w:proofErr w:type="spellEnd"/>
      <w:r w:rsidRPr="0078269E">
        <w:rPr>
          <w:lang w:val="en-US"/>
        </w:rPr>
        <w:t xml:space="preserve">, </w:t>
      </w:r>
      <w:r w:rsidRPr="0078269E">
        <w:rPr>
          <w:lang w:eastAsia="bg-BG"/>
        </w:rPr>
        <w:t xml:space="preserve">синдром на </w:t>
      </w:r>
      <w:r w:rsidRPr="0078269E">
        <w:rPr>
          <w:lang w:val="en-US"/>
        </w:rPr>
        <w:t xml:space="preserve">Raynaud, </w:t>
      </w:r>
      <w:r w:rsidRPr="0078269E">
        <w:rPr>
          <w:lang w:eastAsia="bg-BG"/>
        </w:rPr>
        <w:t xml:space="preserve">нощни </w:t>
      </w:r>
      <w:proofErr w:type="spellStart"/>
      <w:r w:rsidRPr="0078269E">
        <w:rPr>
          <w:lang w:eastAsia="bg-BG"/>
        </w:rPr>
        <w:t>парестезии</w:t>
      </w:r>
      <w:proofErr w:type="spellEnd"/>
      <w:r w:rsidRPr="0078269E">
        <w:rPr>
          <w:lang w:eastAsia="bg-BG"/>
        </w:rPr>
        <w:t xml:space="preserve"> и </w:t>
      </w:r>
      <w:proofErr w:type="spellStart"/>
      <w:r w:rsidRPr="0078269E">
        <w:rPr>
          <w:lang w:eastAsia="bg-BG"/>
        </w:rPr>
        <w:t>крампи</w:t>
      </w:r>
      <w:proofErr w:type="spellEnd"/>
      <w:r w:rsidRPr="0078269E">
        <w:rPr>
          <w:lang w:eastAsia="bg-BG"/>
        </w:rPr>
        <w:t xml:space="preserve">, болки в крайниците при покой, </w:t>
      </w:r>
      <w:proofErr w:type="spellStart"/>
      <w:r w:rsidRPr="0078269E">
        <w:rPr>
          <w:lang w:eastAsia="bg-BG"/>
        </w:rPr>
        <w:t>трофични</w:t>
      </w:r>
      <w:proofErr w:type="spellEnd"/>
      <w:r w:rsidRPr="0078269E">
        <w:rPr>
          <w:lang w:eastAsia="bg-BG"/>
        </w:rPr>
        <w:t xml:space="preserve"> кожни промени (гангрена в начален стадий, </w:t>
      </w:r>
      <w:proofErr w:type="spellStart"/>
      <w:r w:rsidRPr="0078269E">
        <w:rPr>
          <w:lang w:eastAsia="bg-BG"/>
        </w:rPr>
        <w:t>трофични</w:t>
      </w:r>
      <w:proofErr w:type="spellEnd"/>
      <w:r w:rsidRPr="0078269E">
        <w:rPr>
          <w:lang w:eastAsia="bg-BG"/>
        </w:rPr>
        <w:t xml:space="preserve"> язви), </w:t>
      </w:r>
      <w:proofErr w:type="spellStart"/>
      <w:r w:rsidRPr="0078269E">
        <w:rPr>
          <w:lang w:eastAsia="bg-BG"/>
        </w:rPr>
        <w:t>акроцианоза</w:t>
      </w:r>
      <w:proofErr w:type="spellEnd"/>
      <w:r w:rsidRPr="0078269E">
        <w:rPr>
          <w:lang w:eastAsia="bg-BG"/>
        </w:rPr>
        <w:t xml:space="preserve">, диабетна </w:t>
      </w:r>
      <w:proofErr w:type="spellStart"/>
      <w:r w:rsidRPr="0078269E">
        <w:rPr>
          <w:lang w:eastAsia="bg-BG"/>
        </w:rPr>
        <w:t>ангиопатия</w:t>
      </w:r>
      <w:proofErr w:type="spellEnd"/>
      <w:r w:rsidRPr="0078269E">
        <w:rPr>
          <w:lang w:eastAsia="bg-BG"/>
        </w:rPr>
        <w:t>.</w:t>
      </w:r>
    </w:p>
    <w:p w14:paraId="1773D9A5" w14:textId="77777777" w:rsidR="0078269E" w:rsidRDefault="0078269E" w:rsidP="0078269E">
      <w:pPr>
        <w:rPr>
          <w:i/>
          <w:iCs/>
          <w:lang w:eastAsia="bg-BG"/>
        </w:rPr>
      </w:pPr>
    </w:p>
    <w:p w14:paraId="4A2D3C54" w14:textId="4D11A8D0" w:rsidR="0078269E" w:rsidRPr="0078269E" w:rsidRDefault="0078269E" w:rsidP="0078269E">
      <w:pPr>
        <w:pStyle w:val="ListParagraph"/>
        <w:numPr>
          <w:ilvl w:val="0"/>
          <w:numId w:val="26"/>
        </w:numPr>
        <w:rPr>
          <w:i/>
          <w:iCs/>
          <w:lang w:eastAsia="bg-BG"/>
        </w:rPr>
      </w:pPr>
      <w:r w:rsidRPr="0078269E">
        <w:rPr>
          <w:i/>
          <w:iCs/>
          <w:lang w:eastAsia="bg-BG"/>
        </w:rPr>
        <w:t>Симптоматично лечение на исхемични мозъчни съдови нарушения,</w:t>
      </w:r>
      <w:r w:rsidRPr="0078269E">
        <w:rPr>
          <w:lang w:eastAsia="bg-BG"/>
        </w:rPr>
        <w:t xml:space="preserve"> (причинени от</w:t>
      </w:r>
      <w:r>
        <w:rPr>
          <w:lang w:eastAsia="bg-BG"/>
        </w:rPr>
        <w:t xml:space="preserve"> </w:t>
      </w:r>
      <w:r w:rsidRPr="0078269E">
        <w:rPr>
          <w:lang w:eastAsia="bg-BG"/>
        </w:rPr>
        <w:t xml:space="preserve">артериална хипертония, атеросклероза, захарен диабет, </w:t>
      </w:r>
      <w:proofErr w:type="spellStart"/>
      <w:r w:rsidRPr="0078269E">
        <w:rPr>
          <w:lang w:eastAsia="bg-BG"/>
        </w:rPr>
        <w:t>васкулити</w:t>
      </w:r>
      <w:proofErr w:type="spellEnd"/>
      <w:r w:rsidRPr="0078269E">
        <w:rPr>
          <w:lang w:eastAsia="bg-BG"/>
        </w:rPr>
        <w:t xml:space="preserve">), придружени с когнитивен и </w:t>
      </w:r>
      <w:proofErr w:type="spellStart"/>
      <w:r w:rsidRPr="0078269E">
        <w:rPr>
          <w:lang w:eastAsia="bg-BG"/>
        </w:rPr>
        <w:t>невросензорен</w:t>
      </w:r>
      <w:proofErr w:type="spellEnd"/>
      <w:r w:rsidRPr="0078269E">
        <w:rPr>
          <w:lang w:eastAsia="bg-BG"/>
        </w:rPr>
        <w:t xml:space="preserve"> дефицит при възрастни пациенти, с изключение на болестта на Алцхаймер.</w:t>
      </w:r>
    </w:p>
    <w:p w14:paraId="1D171A12" w14:textId="77777777" w:rsidR="003765DC" w:rsidRPr="003765DC" w:rsidRDefault="003765DC" w:rsidP="003765DC"/>
    <w:p w14:paraId="66024DB0" w14:textId="39862049" w:rsidR="003765DC" w:rsidRDefault="002C50EE" w:rsidP="002B3C38">
      <w:pPr>
        <w:pStyle w:val="Heading2"/>
      </w:pPr>
      <w:r>
        <w:t>4.2. Дозировка и начин на приложение</w:t>
      </w:r>
    </w:p>
    <w:p w14:paraId="3ECDAB9A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CEBDBD5" w14:textId="6EBF5FDE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Дозировка</w:t>
      </w:r>
    </w:p>
    <w:p w14:paraId="0F5D5917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Дозата и продължителността на лечението се определят от лекуващия лекар.</w:t>
      </w:r>
    </w:p>
    <w:p w14:paraId="5C86CD29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0B2F919D" w14:textId="41E07F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Възрастни:</w:t>
      </w:r>
    </w:p>
    <w:p w14:paraId="216304E4" w14:textId="77777777" w:rsidR="0078269E" w:rsidRPr="0078269E" w:rsidRDefault="0078269E" w:rsidP="0078269E">
      <w:pPr>
        <w:pStyle w:val="ListParagraph"/>
        <w:numPr>
          <w:ilvl w:val="0"/>
          <w:numId w:val="27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Периферни съдови нарушения:</w:t>
      </w:r>
      <w:r w:rsidRPr="0078269E">
        <w:rPr>
          <w:rFonts w:eastAsia="Times New Roman" w:cs="Arial"/>
          <w:color w:val="000000"/>
          <w:lang w:eastAsia="bg-BG"/>
        </w:rPr>
        <w:t xml:space="preserve"> От 100 </w:t>
      </w:r>
      <w:r w:rsidRPr="0078269E">
        <w:rPr>
          <w:rFonts w:eastAsia="Times New Roman" w:cs="Arial"/>
          <w:color w:val="000000"/>
          <w:lang w:val="en-US"/>
        </w:rPr>
        <w:t xml:space="preserve">mg </w:t>
      </w:r>
      <w:r w:rsidRPr="0078269E">
        <w:rPr>
          <w:rFonts w:eastAsia="Times New Roman" w:cs="Arial"/>
          <w:color w:val="000000"/>
          <w:lang w:eastAsia="bg-BG"/>
        </w:rPr>
        <w:t xml:space="preserve">до 200 </w:t>
      </w:r>
      <w:r w:rsidRPr="0078269E">
        <w:rPr>
          <w:rFonts w:eastAsia="Times New Roman" w:cs="Arial"/>
          <w:color w:val="000000"/>
          <w:lang w:val="en-US"/>
        </w:rPr>
        <w:t xml:space="preserve">mg </w:t>
      </w:r>
      <w:r w:rsidRPr="0078269E">
        <w:rPr>
          <w:rFonts w:eastAsia="Times New Roman" w:cs="Arial"/>
          <w:color w:val="000000"/>
          <w:lang w:eastAsia="bg-BG"/>
        </w:rPr>
        <w:t xml:space="preserve">3 пъти дневно. Общата дневна доза е от 300 </w:t>
      </w:r>
      <w:r w:rsidRPr="0078269E">
        <w:rPr>
          <w:rFonts w:eastAsia="Times New Roman" w:cs="Arial"/>
          <w:color w:val="000000"/>
          <w:lang w:val="en-US"/>
        </w:rPr>
        <w:t xml:space="preserve">mg </w:t>
      </w:r>
      <w:r w:rsidRPr="0078269E">
        <w:rPr>
          <w:rFonts w:eastAsia="Times New Roman" w:cs="Arial"/>
          <w:color w:val="000000"/>
          <w:lang w:eastAsia="bg-BG"/>
        </w:rPr>
        <w:t xml:space="preserve">до 600 </w:t>
      </w:r>
      <w:r w:rsidRPr="0078269E">
        <w:rPr>
          <w:rFonts w:eastAsia="Times New Roman" w:cs="Arial"/>
          <w:color w:val="000000"/>
          <w:lang w:val="en-US"/>
        </w:rPr>
        <w:t>mg.</w:t>
      </w:r>
    </w:p>
    <w:p w14:paraId="6D53FDDF" w14:textId="02AF7D35" w:rsidR="0078269E" w:rsidRPr="0078269E" w:rsidRDefault="0078269E" w:rsidP="0078269E">
      <w:pPr>
        <w:pStyle w:val="ListParagraph"/>
        <w:numPr>
          <w:ilvl w:val="0"/>
          <w:numId w:val="27"/>
        </w:num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Мозъчни съдови нарушения:</w:t>
      </w:r>
      <w:r w:rsidRPr="0078269E">
        <w:rPr>
          <w:rFonts w:eastAsia="Times New Roman" w:cs="Arial"/>
          <w:color w:val="000000"/>
          <w:lang w:eastAsia="bg-BG"/>
        </w:rPr>
        <w:t xml:space="preserve"> 100 </w:t>
      </w:r>
      <w:r w:rsidRPr="0078269E">
        <w:rPr>
          <w:rFonts w:eastAsia="Times New Roman" w:cs="Arial"/>
          <w:color w:val="000000"/>
          <w:lang w:val="en-US"/>
        </w:rPr>
        <w:t xml:space="preserve">mg </w:t>
      </w:r>
      <w:r w:rsidRPr="0078269E">
        <w:rPr>
          <w:rFonts w:eastAsia="Times New Roman" w:cs="Arial"/>
          <w:color w:val="000000"/>
          <w:lang w:eastAsia="bg-BG"/>
        </w:rPr>
        <w:t xml:space="preserve">3 пъти дневно. Общата дневна доза е 300 </w:t>
      </w:r>
      <w:r w:rsidRPr="0078269E">
        <w:rPr>
          <w:rFonts w:eastAsia="Times New Roman" w:cs="Arial"/>
          <w:color w:val="000000"/>
          <w:lang w:val="en-US"/>
        </w:rPr>
        <w:t>mg.</w:t>
      </w:r>
    </w:p>
    <w:p w14:paraId="705DCA9F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4A3F4767" w14:textId="2699ABBA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Деца и юноши:</w:t>
      </w:r>
    </w:p>
    <w:p w14:paraId="78A309C4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Дрозунал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няма подходящи показания за употреба при деца.</w:t>
      </w:r>
    </w:p>
    <w:p w14:paraId="21BA8BC2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</w:p>
    <w:p w14:paraId="632F3F3B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0C904628" w14:textId="3A7986A5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lastRenderedPageBreak/>
        <w:t>Начин на приложение</w:t>
      </w:r>
    </w:p>
    <w:p w14:paraId="15E0143F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Прилага се перорално. Таблетките се приемат по време или непосредствен</w:t>
      </w:r>
    </w:p>
    <w:p w14:paraId="6991597F" w14:textId="733D18C5" w:rsidR="0078269E" w:rsidRDefault="0078269E" w:rsidP="0078269E">
      <w:pPr>
        <w:rPr>
          <w:rFonts w:eastAsia="Times New Roman" w:cs="Arial"/>
          <w:color w:val="000000"/>
          <w:lang w:eastAsia="bg-BG"/>
        </w:rPr>
      </w:pPr>
      <w:r w:rsidRPr="0078269E">
        <w:rPr>
          <w:rFonts w:eastAsia="Times New Roman" w:cs="Arial"/>
          <w:color w:val="000000"/>
          <w:lang w:eastAsia="bg-BG"/>
        </w:rPr>
        <w:t>чаша вода, без да се дъвчат.</w:t>
      </w:r>
    </w:p>
    <w:p w14:paraId="09EC3801" w14:textId="77777777" w:rsidR="0078269E" w:rsidRPr="0078269E" w:rsidRDefault="0078269E" w:rsidP="0078269E">
      <w:pPr>
        <w:rPr>
          <w:rFonts w:cs="Arial"/>
        </w:rPr>
      </w:pPr>
    </w:p>
    <w:p w14:paraId="1A261012" w14:textId="462D2A59" w:rsidR="003765DC" w:rsidRDefault="002C50EE" w:rsidP="002B3C38">
      <w:pPr>
        <w:pStyle w:val="Heading2"/>
      </w:pPr>
      <w:r>
        <w:t>4.3. Противопоказания</w:t>
      </w:r>
    </w:p>
    <w:p w14:paraId="2B380753" w14:textId="77777777" w:rsidR="0078269E" w:rsidRDefault="0078269E" w:rsidP="0078269E">
      <w:pPr>
        <w:rPr>
          <w:lang w:eastAsia="bg-BG"/>
        </w:rPr>
      </w:pPr>
    </w:p>
    <w:p w14:paraId="0570C92E" w14:textId="2B4FB0A2" w:rsidR="0078269E" w:rsidRPr="0078269E" w:rsidRDefault="0078269E" w:rsidP="0078269E">
      <w:pPr>
        <w:pStyle w:val="ListParagraph"/>
        <w:numPr>
          <w:ilvl w:val="0"/>
          <w:numId w:val="28"/>
        </w:numPr>
        <w:rPr>
          <w:lang w:eastAsia="bg-BG"/>
        </w:rPr>
      </w:pPr>
      <w:r w:rsidRPr="0078269E">
        <w:rPr>
          <w:lang w:eastAsia="bg-BG"/>
        </w:rPr>
        <w:t>Свръхчувствителност към активното вещество или към някое от помощните вещества, изброени в точка 6.1;</w:t>
      </w:r>
    </w:p>
    <w:p w14:paraId="4DBE63B6" w14:textId="4355767F" w:rsidR="0078269E" w:rsidRDefault="0078269E" w:rsidP="0078269E">
      <w:pPr>
        <w:pStyle w:val="ListParagraph"/>
        <w:numPr>
          <w:ilvl w:val="0"/>
          <w:numId w:val="28"/>
        </w:numPr>
      </w:pPr>
      <w:r w:rsidRPr="0078269E">
        <w:rPr>
          <w:lang w:eastAsia="bg-BG"/>
        </w:rPr>
        <w:t xml:space="preserve">Анамнеза за </w:t>
      </w:r>
      <w:proofErr w:type="spellStart"/>
      <w:r w:rsidRPr="0078269E">
        <w:rPr>
          <w:lang w:eastAsia="bg-BG"/>
        </w:rPr>
        <w:t>хипероксалурия</w:t>
      </w:r>
      <w:proofErr w:type="spellEnd"/>
      <w:r w:rsidRPr="0078269E">
        <w:rPr>
          <w:lang w:eastAsia="bg-BG"/>
        </w:rPr>
        <w:t xml:space="preserve"> и/или рецидивираща калциево-</w:t>
      </w:r>
      <w:proofErr w:type="spellStart"/>
      <w:r w:rsidRPr="0078269E">
        <w:rPr>
          <w:lang w:eastAsia="bg-BG"/>
        </w:rPr>
        <w:t>оксалатна</w:t>
      </w:r>
      <w:proofErr w:type="spellEnd"/>
      <w:r w:rsidRPr="0078269E">
        <w:rPr>
          <w:lang w:eastAsia="bg-BG"/>
        </w:rPr>
        <w:t xml:space="preserve"> </w:t>
      </w:r>
      <w:proofErr w:type="spellStart"/>
      <w:r w:rsidRPr="0078269E">
        <w:rPr>
          <w:lang w:eastAsia="bg-BG"/>
        </w:rPr>
        <w:t>нефролитиаза</w:t>
      </w:r>
      <w:proofErr w:type="spellEnd"/>
      <w:r w:rsidRPr="0078269E">
        <w:rPr>
          <w:lang w:eastAsia="bg-BG"/>
        </w:rPr>
        <w:t>.</w:t>
      </w:r>
    </w:p>
    <w:p w14:paraId="1006A616" w14:textId="77777777" w:rsidR="0078269E" w:rsidRPr="0078269E" w:rsidRDefault="0078269E" w:rsidP="0078269E"/>
    <w:p w14:paraId="5EF6E7D6" w14:textId="6A1E418D" w:rsidR="003765DC" w:rsidRDefault="002C50EE" w:rsidP="002B3C38">
      <w:pPr>
        <w:pStyle w:val="Heading2"/>
      </w:pPr>
      <w:r>
        <w:t>4.4. Специални предупреждения и предпазни мерки при употреба</w:t>
      </w:r>
    </w:p>
    <w:p w14:paraId="25C5BAD5" w14:textId="2D9D337B" w:rsidR="0078269E" w:rsidRDefault="0078269E" w:rsidP="0078269E"/>
    <w:p w14:paraId="133C42FD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Нафтидрофурил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оксалат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трябва да се прилага с повишено внимание при пациенти с чернодробни и бъбречни нарушения, тъй като се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в черния дроб и се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екскретира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предимно чрез урината.</w:t>
      </w:r>
    </w:p>
    <w:p w14:paraId="36A20021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09E29644" w14:textId="3A645873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Лекарственият продукт е сол 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оксаловата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киселина и употребата му може да доведе до промяна в състава на урината и да увеличи склонността към образуване на калциево-</w:t>
      </w:r>
      <w:proofErr w:type="spellStart"/>
      <w:r w:rsidRPr="0078269E">
        <w:rPr>
          <w:rFonts w:eastAsia="Times New Roman" w:cs="Arial"/>
          <w:color w:val="000000"/>
          <w:lang w:eastAsia="bg-BG"/>
        </w:rPr>
        <w:t>оксалатни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камъни в бъбреците, поради което по време на лечението трябва да се приемат течности, в количество достатъчно за поддържане на адекватна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диуреза</w:t>
      </w:r>
      <w:proofErr w:type="spellEnd"/>
      <w:r w:rsidRPr="0078269E">
        <w:rPr>
          <w:rFonts w:eastAsia="Times New Roman" w:cs="Arial"/>
          <w:color w:val="000000"/>
          <w:lang w:eastAsia="bg-BG"/>
        </w:rPr>
        <w:t>.</w:t>
      </w:r>
    </w:p>
    <w:p w14:paraId="7E591415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4AB6493" w14:textId="6C4A6D89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Необходимо е повишено внимание при лечение с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Дрозунал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на пациенти с повишена склонност към конвулсии.</w:t>
      </w:r>
    </w:p>
    <w:p w14:paraId="5C0C2459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E3E4C3E" w14:textId="08450CE3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Дрозунал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съдържа лактоза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монохидрат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и захароза. Пациенти с редки наследствени проблеми на непоносимост към фруктоза,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галактозна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непоносимост,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сукразо-изомалтазана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недостатъчност, </w:t>
      </w:r>
      <w:r w:rsidRPr="0078269E">
        <w:rPr>
          <w:rFonts w:eastAsia="Times New Roman" w:cs="Arial"/>
          <w:color w:val="000000"/>
          <w:lang w:val="en-US"/>
        </w:rPr>
        <w:t xml:space="preserve">Lapp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лактазен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дефицит или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глюкозо-галактозна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малабсорбция не трябва да приемат това лекарство.</w:t>
      </w:r>
    </w:p>
    <w:p w14:paraId="06410AB9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46FFD57E" w14:textId="3CD303AE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Пшенично нишесте в състава на продукта може да съдържа само следи от глутен и се счита за безопасно при хора с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цьолиакия</w:t>
      </w:r>
      <w:proofErr w:type="spellEnd"/>
      <w:r w:rsidRPr="0078269E">
        <w:rPr>
          <w:rFonts w:eastAsia="Times New Roman" w:cs="Arial"/>
          <w:color w:val="000000"/>
          <w:lang w:eastAsia="bg-BG"/>
        </w:rPr>
        <w:t>.</w:t>
      </w:r>
    </w:p>
    <w:p w14:paraId="122BFE9A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5FAE1CFC" w14:textId="359AE410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Оцветителят Е 110, който се съдържа в продукта може да причини алергични реакции.</w:t>
      </w:r>
    </w:p>
    <w:p w14:paraId="02CCAEB5" w14:textId="77777777" w:rsidR="0078269E" w:rsidRPr="0078269E" w:rsidRDefault="0078269E" w:rsidP="0078269E"/>
    <w:p w14:paraId="297352C8" w14:textId="518C8B43" w:rsidR="003765DC" w:rsidRDefault="002C50EE" w:rsidP="002B3C38">
      <w:pPr>
        <w:pStyle w:val="Heading2"/>
      </w:pPr>
      <w:r>
        <w:t>4.5. Взаимодействие с други лекарствени продукти и други форми на взаимодействие</w:t>
      </w:r>
    </w:p>
    <w:p w14:paraId="072796A0" w14:textId="77777777" w:rsidR="0078269E" w:rsidRDefault="0078269E" w:rsidP="0078269E">
      <w:pPr>
        <w:rPr>
          <w:lang w:eastAsia="bg-BG"/>
        </w:rPr>
      </w:pPr>
    </w:p>
    <w:p w14:paraId="334D0170" w14:textId="3777BA01" w:rsidR="0078269E" w:rsidRPr="0078269E" w:rsidRDefault="0078269E" w:rsidP="0078269E">
      <w:pPr>
        <w:rPr>
          <w:sz w:val="24"/>
          <w:szCs w:val="24"/>
        </w:rPr>
      </w:pPr>
      <w:proofErr w:type="spellStart"/>
      <w:r w:rsidRPr="0078269E">
        <w:rPr>
          <w:lang w:eastAsia="bg-BG"/>
        </w:rPr>
        <w:t>Дрозунал</w:t>
      </w:r>
      <w:proofErr w:type="spellEnd"/>
      <w:r w:rsidRPr="0078269E">
        <w:rPr>
          <w:lang w:eastAsia="bg-BG"/>
        </w:rPr>
        <w:t xml:space="preserve"> не се намесва активно в метаболизма на други лекарствени продукти.</w:t>
      </w:r>
    </w:p>
    <w:p w14:paraId="2C3CE707" w14:textId="77777777" w:rsidR="0078269E" w:rsidRPr="0078269E" w:rsidRDefault="0078269E" w:rsidP="0078269E">
      <w:pPr>
        <w:rPr>
          <w:sz w:val="24"/>
          <w:szCs w:val="24"/>
        </w:rPr>
      </w:pPr>
      <w:r w:rsidRPr="0078269E">
        <w:rPr>
          <w:lang w:eastAsia="bg-BG"/>
        </w:rPr>
        <w:t>Няма данни за лекарствени и други взаимодействия.</w:t>
      </w:r>
    </w:p>
    <w:p w14:paraId="17C77025" w14:textId="77777777" w:rsidR="0078269E" w:rsidRPr="0078269E" w:rsidRDefault="0078269E" w:rsidP="0078269E"/>
    <w:p w14:paraId="20B09708" w14:textId="14CA3EEF" w:rsidR="003765DC" w:rsidRDefault="002C50EE" w:rsidP="002B3C38">
      <w:pPr>
        <w:pStyle w:val="Heading2"/>
      </w:pPr>
      <w:r>
        <w:t xml:space="preserve">4.6. </w:t>
      </w:r>
      <w:proofErr w:type="spellStart"/>
      <w:r>
        <w:t>Фертилитет</w:t>
      </w:r>
      <w:proofErr w:type="spellEnd"/>
      <w:r>
        <w:t>, бременност и кърмене</w:t>
      </w:r>
    </w:p>
    <w:p w14:paraId="6B5BEA5B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31A29CE7" w14:textId="4273B10C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Бременност</w:t>
      </w:r>
    </w:p>
    <w:p w14:paraId="466A1093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Няма достатъчно данни за безопасност от приложението 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нафтидрофурил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оксалат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по време на бременността при хора, но широката му употреба в продължение на много години без видими последствие и проучванията върху животни показват, че не </w:t>
      </w:r>
      <w:r w:rsidRPr="0078269E">
        <w:rPr>
          <w:rFonts w:eastAsia="Times New Roman" w:cs="Arial"/>
          <w:color w:val="000000"/>
          <w:lang w:eastAsia="bg-BG"/>
        </w:rPr>
        <w:lastRenderedPageBreak/>
        <w:t>съществува опасност. Ако по време на бременност е необходимо провеждане на лечение трябва да се прецени съотношението между ползата и потенциалния риск.</w:t>
      </w:r>
    </w:p>
    <w:p w14:paraId="39CA0F7D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0ABC41" w14:textId="66C54A8E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Кърмене</w:t>
      </w:r>
    </w:p>
    <w:p w14:paraId="2DDD2341" w14:textId="16D4DBAC" w:rsidR="0078269E" w:rsidRDefault="0078269E" w:rsidP="0078269E">
      <w:pPr>
        <w:rPr>
          <w:rFonts w:eastAsia="Times New Roman" w:cs="Arial"/>
          <w:color w:val="000000"/>
          <w:lang w:eastAsia="bg-BG"/>
        </w:rPr>
      </w:pPr>
      <w:r w:rsidRPr="0078269E">
        <w:rPr>
          <w:rFonts w:eastAsia="Times New Roman" w:cs="Arial"/>
          <w:color w:val="000000"/>
          <w:lang w:eastAsia="bg-BG"/>
        </w:rPr>
        <w:t>Поради недостатъчни данни за екскреция в кърмата, не се препоръчва употребата му по време на кърмене</w:t>
      </w:r>
      <w:r>
        <w:rPr>
          <w:rFonts w:eastAsia="Times New Roman" w:cs="Arial"/>
          <w:color w:val="000000"/>
          <w:lang w:eastAsia="bg-BG"/>
        </w:rPr>
        <w:t>.</w:t>
      </w:r>
    </w:p>
    <w:p w14:paraId="212B57D2" w14:textId="77777777" w:rsidR="0078269E" w:rsidRPr="0078269E" w:rsidRDefault="0078269E" w:rsidP="0078269E">
      <w:pPr>
        <w:rPr>
          <w:rFonts w:cs="Arial"/>
        </w:rPr>
      </w:pPr>
    </w:p>
    <w:p w14:paraId="13465597" w14:textId="7EFC1ACA" w:rsidR="003765DC" w:rsidRDefault="002C50EE" w:rsidP="002B3C38">
      <w:pPr>
        <w:pStyle w:val="Heading2"/>
      </w:pPr>
      <w:r>
        <w:t>4.7. Ефекти върху способността за шофиране и работа с машини</w:t>
      </w:r>
    </w:p>
    <w:p w14:paraId="5538D25A" w14:textId="77777777" w:rsidR="0078269E" w:rsidRDefault="0078269E" w:rsidP="0078269E"/>
    <w:p w14:paraId="289CB843" w14:textId="7FEA9883" w:rsidR="0078269E" w:rsidRDefault="0078269E" w:rsidP="0078269E">
      <w:r>
        <w:t xml:space="preserve">Тъй като </w:t>
      </w:r>
      <w:proofErr w:type="spellStart"/>
      <w:r>
        <w:t>нафтидрофурил</w:t>
      </w:r>
      <w:proofErr w:type="spellEnd"/>
      <w:r>
        <w:t xml:space="preserve"> може да предизвика замаяност преди да шофират и управляват машини пациентите трябва да се уверят, че не са засегнати по този начин.</w:t>
      </w:r>
    </w:p>
    <w:p w14:paraId="65E9E747" w14:textId="77777777" w:rsidR="0078269E" w:rsidRPr="0078269E" w:rsidRDefault="0078269E" w:rsidP="0078269E"/>
    <w:p w14:paraId="5D66F04B" w14:textId="595A7B37" w:rsidR="003765DC" w:rsidRDefault="002C50EE" w:rsidP="002B3C38">
      <w:pPr>
        <w:pStyle w:val="Heading2"/>
      </w:pPr>
      <w:r>
        <w:t>4.8. Нежелани лекарствени реакции</w:t>
      </w:r>
    </w:p>
    <w:p w14:paraId="76F047DF" w14:textId="77777777" w:rsidR="0078269E" w:rsidRDefault="0078269E" w:rsidP="0078269E">
      <w:pPr>
        <w:rPr>
          <w:lang w:eastAsia="bg-BG"/>
        </w:rPr>
      </w:pPr>
    </w:p>
    <w:p w14:paraId="74F665A9" w14:textId="77777777" w:rsidR="0078269E" w:rsidRPr="0078269E" w:rsidRDefault="0078269E" w:rsidP="0078269E">
      <w:pPr>
        <w:rPr>
          <w:rFonts w:eastAsia="Times New Roman" w:cs="Arial"/>
        </w:rPr>
      </w:pPr>
      <w:r w:rsidRPr="0078269E">
        <w:rPr>
          <w:lang w:eastAsia="bg-BG"/>
        </w:rPr>
        <w:t>Нежеланите лекарствени реакции, които са съобщавани по-често от изолирани случаи</w:t>
      </w:r>
      <w:r w:rsidRPr="0078269E">
        <w:rPr>
          <w:lang w:val="en-US"/>
        </w:rPr>
        <w:t xml:space="preserve"> </w:t>
      </w:r>
      <w:r w:rsidRPr="0078269E">
        <w:rPr>
          <w:lang w:eastAsia="bg-BG"/>
        </w:rPr>
        <w:t xml:space="preserve">са подредени по-долу по </w:t>
      </w:r>
      <w:proofErr w:type="spellStart"/>
      <w:r w:rsidRPr="0078269E">
        <w:rPr>
          <w:lang w:eastAsia="bg-BG"/>
        </w:rPr>
        <w:t>системо</w:t>
      </w:r>
      <w:proofErr w:type="spellEnd"/>
      <w:r w:rsidRPr="0078269E">
        <w:rPr>
          <w:lang w:eastAsia="bg-BG"/>
        </w:rPr>
        <w:t xml:space="preserve"> органни класове и по честота. Честотата е определена съгласно</w:t>
      </w:r>
      <w:r>
        <w:rPr>
          <w:lang w:eastAsia="bg-BG"/>
        </w:rPr>
        <w:t xml:space="preserve"> </w:t>
      </w:r>
      <w:r w:rsidRPr="0078269E">
        <w:rPr>
          <w:rFonts w:eastAsia="Times New Roman" w:cs="Arial"/>
          <w:color w:val="000000"/>
          <w:lang w:eastAsia="bg-BG"/>
        </w:rPr>
        <w:t>следната конвенция: много чести (</w:t>
      </w:r>
      <w:r w:rsidRPr="0078269E">
        <w:rPr>
          <w:rFonts w:eastAsia="Times New Roman" w:cs="Arial"/>
          <w:color w:val="000000"/>
          <w:lang w:val="en-US"/>
        </w:rPr>
        <w:t>≥</w:t>
      </w:r>
      <w:r w:rsidRPr="0078269E">
        <w:rPr>
          <w:rFonts w:eastAsia="Times New Roman" w:cs="Arial"/>
          <w:color w:val="000000"/>
          <w:lang w:eastAsia="bg-BG"/>
        </w:rPr>
        <w:t>1/10), чести (</w:t>
      </w:r>
      <w:r w:rsidRPr="0078269E">
        <w:rPr>
          <w:rFonts w:eastAsia="Times New Roman" w:cs="Arial"/>
          <w:color w:val="000000"/>
          <w:lang w:val="en-US"/>
        </w:rPr>
        <w:t>≥</w:t>
      </w:r>
      <w:r w:rsidRPr="0078269E">
        <w:rPr>
          <w:rFonts w:eastAsia="Times New Roman" w:cs="Arial"/>
          <w:color w:val="000000"/>
          <w:lang w:eastAsia="bg-BG"/>
        </w:rPr>
        <w:t>1/100 до &lt; 1/10, нечести (</w:t>
      </w:r>
      <w:r w:rsidRPr="0078269E">
        <w:rPr>
          <w:rFonts w:eastAsia="Times New Roman" w:cs="Arial"/>
          <w:color w:val="000000"/>
          <w:lang w:val="en-US"/>
        </w:rPr>
        <w:t>≥</w:t>
      </w:r>
      <w:r w:rsidRPr="0078269E">
        <w:rPr>
          <w:rFonts w:eastAsia="Times New Roman" w:cs="Arial"/>
          <w:color w:val="000000"/>
          <w:lang w:eastAsia="bg-BG"/>
        </w:rPr>
        <w:t>1/1 000 до &lt; 1/100), редки (</w:t>
      </w:r>
      <w:r w:rsidRPr="0078269E">
        <w:rPr>
          <w:rFonts w:eastAsia="Times New Roman" w:cs="Arial"/>
          <w:color w:val="000000"/>
          <w:lang w:val="en-US"/>
        </w:rPr>
        <w:t>≥</w:t>
      </w:r>
      <w:r w:rsidRPr="0078269E">
        <w:rPr>
          <w:rFonts w:eastAsia="Times New Roman" w:cs="Arial"/>
          <w:color w:val="000000"/>
          <w:lang w:eastAsia="bg-BG"/>
        </w:rPr>
        <w:t>1/10 000 до &lt; 1/1 000) и много редки (&lt; 1/10 000), с неизвестна честота (от наличните данни не може да бъде направена оценка).</w:t>
      </w:r>
    </w:p>
    <w:p w14:paraId="08D2039A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BA6F636" w14:textId="2DB1608E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Стомашно-чревни нарушения:</w:t>
      </w:r>
    </w:p>
    <w:p w14:paraId="3F404C29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Чести: гадене, диария,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епигастрална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болка.</w:t>
      </w:r>
    </w:p>
    <w:p w14:paraId="1033C8F7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0B692DE" w14:textId="63BE2239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i/>
          <w:iCs/>
          <w:color w:val="000000"/>
          <w:lang w:eastAsia="bg-BG"/>
        </w:rPr>
        <w:t>Хепатобилиарни</w:t>
      </w:r>
      <w:proofErr w:type="spellEnd"/>
      <w:r w:rsidRPr="0078269E">
        <w:rPr>
          <w:rFonts w:eastAsia="Times New Roman" w:cs="Arial"/>
          <w:i/>
          <w:iCs/>
          <w:color w:val="000000"/>
          <w:lang w:eastAsia="bg-BG"/>
        </w:rPr>
        <w:t xml:space="preserve"> нарушения:</w:t>
      </w:r>
    </w:p>
    <w:p w14:paraId="172D1D8D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Много редки: хепатит и чернодробна недостатъчност.</w:t>
      </w:r>
    </w:p>
    <w:p w14:paraId="11EA474D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38D367F7" w14:textId="457418DA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Нарушения на кожата и подкожната тъкан:</w:t>
      </w:r>
    </w:p>
    <w:p w14:paraId="21483BFC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Редки: кожен обрив.</w:t>
      </w:r>
    </w:p>
    <w:p w14:paraId="5B256A83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6B31F06F" w14:textId="3664FC0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>Нарушения на нервната система:</w:t>
      </w:r>
    </w:p>
    <w:p w14:paraId="75E1D3DF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Нечести: главоболие,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инсомния</w:t>
      </w:r>
      <w:proofErr w:type="spellEnd"/>
      <w:r w:rsidRPr="0078269E">
        <w:rPr>
          <w:rFonts w:eastAsia="Times New Roman" w:cs="Arial"/>
          <w:color w:val="000000"/>
          <w:lang w:eastAsia="bg-BG"/>
        </w:rPr>
        <w:t>, световъртеж.</w:t>
      </w:r>
    </w:p>
    <w:p w14:paraId="69B3EBAB" w14:textId="77777777" w:rsidR="0078269E" w:rsidRP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</w:p>
    <w:p w14:paraId="2EB87934" w14:textId="77777777" w:rsidR="0078269E" w:rsidRDefault="0078269E" w:rsidP="0078269E">
      <w:pPr>
        <w:spacing w:line="240" w:lineRule="auto"/>
        <w:rPr>
          <w:rFonts w:eastAsia="Times New Roman" w:cs="Arial"/>
          <w:i/>
          <w:iCs/>
          <w:color w:val="000000"/>
          <w:lang w:eastAsia="bg-BG"/>
        </w:rPr>
      </w:pPr>
      <w:r w:rsidRPr="0078269E">
        <w:rPr>
          <w:rFonts w:eastAsia="Times New Roman" w:cs="Arial"/>
          <w:i/>
          <w:iCs/>
          <w:color w:val="000000"/>
          <w:lang w:eastAsia="bg-BG"/>
        </w:rPr>
        <w:t xml:space="preserve">Нарушения на бъбреците и пикочните пътища: </w:t>
      </w:r>
    </w:p>
    <w:p w14:paraId="738A1476" w14:textId="3BE080C2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Много редки: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нефролитиаза</w:t>
      </w:r>
      <w:proofErr w:type="spellEnd"/>
      <w:r w:rsidRPr="0078269E">
        <w:rPr>
          <w:rFonts w:eastAsia="Times New Roman" w:cs="Arial"/>
          <w:color w:val="000000"/>
          <w:lang w:eastAsia="bg-BG"/>
        </w:rPr>
        <w:t>.</w:t>
      </w:r>
    </w:p>
    <w:p w14:paraId="17DA34B1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33FD5DA" w14:textId="442D45C3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u w:val="single"/>
          <w:lang w:eastAsia="bg-BG"/>
        </w:rPr>
        <w:t>Съобщаване на подозирани нежелани реакции</w:t>
      </w:r>
    </w:p>
    <w:p w14:paraId="12FBBDBA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Съобщаването на подозирани нежелани реакции след разрешаване за употреба на лекарствения продукт е важно. Това позволява да продължи наблюдението на съотношението полза/риск за лекарствения продукт. От медицинските специалисти се изисква да съобщават всяка подозирана нежелана реакция чрез Изпълнителна агенция по лекарствата, ул. „Дамян Груев” № 8, 1303 София, тел.: 02 8903417, уебсайт: </w:t>
      </w:r>
      <w:hyperlink r:id="rId5" w:history="1">
        <w:r w:rsidRPr="0078269E">
          <w:rPr>
            <w:rFonts w:eastAsia="Times New Roman" w:cs="Arial"/>
            <w:color w:val="000000"/>
            <w:lang w:val="en-US"/>
          </w:rPr>
          <w:t>www.bda.bg</w:t>
        </w:r>
      </w:hyperlink>
      <w:r w:rsidRPr="0078269E">
        <w:rPr>
          <w:rFonts w:eastAsia="Times New Roman" w:cs="Arial"/>
          <w:color w:val="000000"/>
          <w:lang w:val="en-US"/>
        </w:rPr>
        <w:t>.</w:t>
      </w:r>
    </w:p>
    <w:p w14:paraId="7F35C072" w14:textId="77777777" w:rsidR="0078269E" w:rsidRPr="0078269E" w:rsidRDefault="0078269E" w:rsidP="0078269E"/>
    <w:p w14:paraId="42DF9851" w14:textId="760E9ADA" w:rsidR="003765DC" w:rsidRDefault="002C50EE" w:rsidP="002B3C38">
      <w:pPr>
        <w:pStyle w:val="Heading2"/>
      </w:pPr>
      <w:r>
        <w:t>4.9. Предозиране</w:t>
      </w:r>
    </w:p>
    <w:p w14:paraId="39CDDA3A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CA0C4D9" w14:textId="4B0FD792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lastRenderedPageBreak/>
        <w:t>Симптоми</w:t>
      </w:r>
    </w:p>
    <w:p w14:paraId="5EAC827C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При случаи на предозиране, поради поглъщане на много големи дози, могат да се наблюдават симптоми от страна на сърдечно-съдовата и централната нервна системи: обърканост, конвулсии, нарушение на сърдечната проводимост, аритмия,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хипотензия</w:t>
      </w:r>
      <w:proofErr w:type="spellEnd"/>
      <w:r w:rsidRPr="0078269E">
        <w:rPr>
          <w:rFonts w:eastAsia="Times New Roman" w:cs="Arial"/>
          <w:color w:val="000000"/>
          <w:lang w:eastAsia="bg-BG"/>
        </w:rPr>
        <w:t>.</w:t>
      </w:r>
    </w:p>
    <w:p w14:paraId="0E05896C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1B16BE18" w14:textId="2D82CD2A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Лечение</w:t>
      </w:r>
    </w:p>
    <w:p w14:paraId="52875989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Прилагат се мерки за ускорено извеждане на лекарственото вещество от организма - предизвикване на повръщане, стомашен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лаваж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,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лаксативи</w:t>
      </w:r>
      <w:proofErr w:type="spellEnd"/>
      <w:r w:rsidRPr="0078269E">
        <w:rPr>
          <w:rFonts w:eastAsia="Times New Roman" w:cs="Arial"/>
          <w:color w:val="000000"/>
          <w:lang w:eastAsia="bg-BG"/>
        </w:rPr>
        <w:t>, мониториране на дишането и функцията на сърдечно-съдовата система. При поява на конвулсии се прилага диазепам. При нужда се включват и други симптоматични средства.</w:t>
      </w:r>
    </w:p>
    <w:p w14:paraId="29578AAB" w14:textId="77777777" w:rsidR="0078269E" w:rsidRPr="0078269E" w:rsidRDefault="0078269E" w:rsidP="0078269E"/>
    <w:p w14:paraId="18EF4AFE" w14:textId="77777777" w:rsidR="002C50EE" w:rsidRDefault="002C50EE" w:rsidP="002C50EE">
      <w:pPr>
        <w:pStyle w:val="Heading1"/>
      </w:pPr>
      <w:r>
        <w:t>5. ФАРМАКОЛОГИЧНИ СВОЙСТВА</w:t>
      </w:r>
    </w:p>
    <w:p w14:paraId="7635AD51" w14:textId="2939A2E9" w:rsidR="003765DC" w:rsidRDefault="002C50EE" w:rsidP="002B3C38">
      <w:pPr>
        <w:pStyle w:val="Heading2"/>
      </w:pPr>
      <w:r>
        <w:t xml:space="preserve">5.1. </w:t>
      </w:r>
      <w:proofErr w:type="spellStart"/>
      <w:r>
        <w:t>Фармакодинамични</w:t>
      </w:r>
      <w:proofErr w:type="spellEnd"/>
      <w:r>
        <w:t xml:space="preserve"> свойства</w:t>
      </w:r>
    </w:p>
    <w:p w14:paraId="020AE6B8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7110938E" w14:textId="61512BD1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Фармакотерапевтична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група: Сърдечно-съдова система. Други периферни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вазодилататори</w:t>
      </w:r>
      <w:proofErr w:type="spellEnd"/>
      <w:r w:rsidRPr="0078269E">
        <w:rPr>
          <w:rFonts w:eastAsia="Times New Roman" w:cs="Arial"/>
          <w:color w:val="000000"/>
          <w:lang w:eastAsia="bg-BG"/>
        </w:rPr>
        <w:t>, АТС кодС04АХ21.</w:t>
      </w:r>
    </w:p>
    <w:p w14:paraId="3BFE5A0D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</w:p>
    <w:p w14:paraId="30D4BDFC" w14:textId="6C894423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lang w:eastAsia="bg-BG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Нафтидрофурил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притежава спазмолитично 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съдоразширяващо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действие посредством</w:t>
      </w:r>
      <w:r w:rsidRPr="0078269E">
        <w:rPr>
          <w:rFonts w:eastAsia="Times New Roman" w:cs="Arial"/>
          <w:color w:val="000000"/>
          <w:lang w:val="en-US"/>
        </w:rPr>
        <w:t xml:space="preserve"> </w:t>
      </w:r>
      <w:r w:rsidRPr="0078269E">
        <w:rPr>
          <w:rFonts w:eastAsia="Times New Roman" w:cs="Arial"/>
          <w:color w:val="000000"/>
          <w:lang w:eastAsia="bg-BG"/>
        </w:rPr>
        <w:t xml:space="preserve">директно повлияване върху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ганглиите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аксоните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симпатикусовия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нерв.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Нафтидрофурил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е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блокер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на 5-</w:t>
      </w:r>
      <w:r w:rsidRPr="0078269E">
        <w:rPr>
          <w:rFonts w:eastAsia="Times New Roman" w:cs="Arial"/>
          <w:color w:val="000000"/>
          <w:lang w:val="en-US"/>
        </w:rPr>
        <w:t>HT</w:t>
      </w:r>
      <w:r w:rsidRPr="0078269E">
        <w:rPr>
          <w:rFonts w:eastAsia="Times New Roman" w:cs="Arial"/>
          <w:color w:val="000000"/>
          <w:vertAlign w:val="subscript"/>
          <w:lang w:val="en-US"/>
        </w:rPr>
        <w:t>2</w:t>
      </w:r>
      <w:proofErr w:type="spellStart"/>
      <w:r w:rsidRPr="0078269E">
        <w:rPr>
          <w:rFonts w:eastAsia="Times New Roman" w:cs="Arial"/>
          <w:color w:val="000000"/>
          <w:lang w:eastAsia="bg-BG"/>
        </w:rPr>
        <w:t>серотониновите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рецептори. Той повишава освобождаването 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ендотелно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продуцирания релаксиращ фактор </w:t>
      </w:r>
      <w:r w:rsidRPr="0078269E">
        <w:rPr>
          <w:rFonts w:eastAsia="Times New Roman" w:cs="Arial"/>
          <w:color w:val="000000"/>
          <w:lang w:val="en-US"/>
        </w:rPr>
        <w:t xml:space="preserve">(EDRF), </w:t>
      </w:r>
      <w:r w:rsidRPr="0078269E">
        <w:rPr>
          <w:rFonts w:eastAsia="Times New Roman" w:cs="Arial"/>
          <w:color w:val="000000"/>
          <w:lang w:eastAsia="bg-BG"/>
        </w:rPr>
        <w:t xml:space="preserve">инхибира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пресинаптично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норадренергичното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провеждане и осъществява неселективна релаксация на съдовата гладка мускулатура. Активира вътреклетъчния аеробен метаболизъм, покачва стойностите на глюкоза и АТФ и Така повишава</w:t>
      </w:r>
      <w:r w:rsidRPr="0078269E">
        <w:rPr>
          <w:rFonts w:eastAsia="Times New Roman" w:cs="Arial"/>
          <w:i/>
          <w:iCs/>
          <w:color w:val="000000"/>
          <w:lang w:eastAsia="bg-BG"/>
        </w:rPr>
        <w:t xml:space="preserve"> </w:t>
      </w:r>
      <w:r w:rsidRPr="0078269E">
        <w:rPr>
          <w:rFonts w:eastAsia="Times New Roman" w:cs="Arial"/>
          <w:color w:val="000000"/>
          <w:lang w:eastAsia="bg-BG"/>
        </w:rPr>
        <w:t xml:space="preserve">устойчивостта към хипоксия. Предотвратява агрегацията 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тромбоцитите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, предизвиква умерена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вазодилатация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, активизира метаболизма в областите с нарушено кръвообращение Притежава слаб аналгетичен ефект, поради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антисеротониновата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антибрадикининовата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си активност.</w:t>
      </w:r>
    </w:p>
    <w:p w14:paraId="232B9532" w14:textId="77777777" w:rsidR="0078269E" w:rsidRPr="0078269E" w:rsidRDefault="0078269E" w:rsidP="0078269E"/>
    <w:p w14:paraId="4D7DA0E3" w14:textId="6907D984" w:rsidR="004D4D6B" w:rsidRDefault="002C50EE" w:rsidP="002B3C38">
      <w:pPr>
        <w:pStyle w:val="Heading2"/>
      </w:pPr>
      <w:r>
        <w:t xml:space="preserve">5.2. </w:t>
      </w:r>
      <w:proofErr w:type="spellStart"/>
      <w:r>
        <w:t>Фармакокинетични</w:t>
      </w:r>
      <w:proofErr w:type="spellEnd"/>
      <w:r>
        <w:t xml:space="preserve"> свойства</w:t>
      </w:r>
    </w:p>
    <w:p w14:paraId="75C430A6" w14:textId="77777777" w:rsid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ACB8BF6" w14:textId="17D587B7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Абсорбция</w:t>
      </w:r>
    </w:p>
    <w:p w14:paraId="6DC54C88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>Абсорбира се бързо в стомашно-чревния тракт. Максимални плазмени концентрации се установяват 0,5-0,75 час след перорален прием.</w:t>
      </w:r>
    </w:p>
    <w:p w14:paraId="45D59088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4515FA76" w14:textId="6058B2F0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Биотрансформация</w:t>
      </w:r>
    </w:p>
    <w:p w14:paraId="773660D9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proofErr w:type="spellStart"/>
      <w:r w:rsidRPr="0078269E">
        <w:rPr>
          <w:rFonts w:eastAsia="Times New Roman" w:cs="Arial"/>
          <w:color w:val="000000"/>
          <w:lang w:eastAsia="bg-BG"/>
        </w:rPr>
        <w:t>Метаболизира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се в черния дроб чрез хидролиза и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конюгация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. Хидролизира се от серумната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естераза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до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диетиламиноетанол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и циркулира в кръвообращението под формата на основен естер, свързан с плазмените протеини.</w:t>
      </w:r>
    </w:p>
    <w:p w14:paraId="547006FD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7C2E58D1" w14:textId="2D16881A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t>Разпределение</w:t>
      </w:r>
    </w:p>
    <w:p w14:paraId="19125106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Свързва се в 80% с албумина. Преминава кръвно-мозъчната и вероятно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плацентарната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бариера. Притежава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тропизъм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към мускулната тъкан. </w:t>
      </w:r>
      <w:proofErr w:type="spellStart"/>
      <w:r w:rsidRPr="0078269E">
        <w:rPr>
          <w:rFonts w:eastAsia="Times New Roman" w:cs="Arial"/>
          <w:color w:val="000000"/>
          <w:lang w:eastAsia="bg-BG"/>
        </w:rPr>
        <w:t>Участвува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в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ентерохепаталния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кръговрат.</w:t>
      </w:r>
    </w:p>
    <w:p w14:paraId="02CF0352" w14:textId="77777777" w:rsidR="0078269E" w:rsidRPr="0078269E" w:rsidRDefault="0078269E" w:rsidP="0078269E">
      <w:pPr>
        <w:spacing w:line="240" w:lineRule="auto"/>
        <w:rPr>
          <w:rFonts w:eastAsia="Times New Roman" w:cs="Arial"/>
          <w:color w:val="000000"/>
          <w:u w:val="single"/>
          <w:lang w:eastAsia="bg-BG"/>
        </w:rPr>
      </w:pPr>
    </w:p>
    <w:p w14:paraId="6EBB19D6" w14:textId="68C904EE" w:rsidR="0078269E" w:rsidRPr="0078269E" w:rsidRDefault="0078269E" w:rsidP="0078269E">
      <w:pPr>
        <w:pStyle w:val="Heading3"/>
        <w:rPr>
          <w:rFonts w:eastAsia="Times New Roman"/>
          <w:u w:val="single"/>
        </w:rPr>
      </w:pPr>
      <w:r w:rsidRPr="0078269E">
        <w:rPr>
          <w:rFonts w:eastAsia="Times New Roman"/>
          <w:u w:val="single"/>
          <w:lang w:eastAsia="bg-BG"/>
        </w:rPr>
        <w:lastRenderedPageBreak/>
        <w:t>Елиминиране</w:t>
      </w:r>
    </w:p>
    <w:p w14:paraId="1ADB0B99" w14:textId="77777777" w:rsidR="0078269E" w:rsidRPr="0078269E" w:rsidRDefault="0078269E" w:rsidP="0078269E">
      <w:pPr>
        <w:spacing w:line="240" w:lineRule="auto"/>
        <w:rPr>
          <w:rFonts w:eastAsia="Times New Roman" w:cs="Arial"/>
        </w:rPr>
      </w:pPr>
      <w:r w:rsidRPr="0078269E">
        <w:rPr>
          <w:rFonts w:eastAsia="Times New Roman" w:cs="Arial"/>
          <w:color w:val="000000"/>
          <w:lang w:eastAsia="bg-BG"/>
        </w:rPr>
        <w:t xml:space="preserve">Плазменият му полуживот е около 1 час (в рамките 0,8-1,6 часа). Елиминира се основно чрез изпражненията под формата на метаболити и по-слабо чрез бъбреците като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глюкуронови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</w:t>
      </w:r>
      <w:proofErr w:type="spellStart"/>
      <w:r w:rsidRPr="0078269E">
        <w:rPr>
          <w:rFonts w:eastAsia="Times New Roman" w:cs="Arial"/>
          <w:color w:val="000000"/>
          <w:lang w:eastAsia="bg-BG"/>
        </w:rPr>
        <w:t>конюгати</w:t>
      </w:r>
      <w:proofErr w:type="spellEnd"/>
      <w:r w:rsidRPr="0078269E">
        <w:rPr>
          <w:rFonts w:eastAsia="Times New Roman" w:cs="Arial"/>
          <w:color w:val="000000"/>
          <w:lang w:eastAsia="bg-BG"/>
        </w:rPr>
        <w:t xml:space="preserve"> и в непроменен вид.</w:t>
      </w:r>
    </w:p>
    <w:p w14:paraId="6D307EE2" w14:textId="77777777" w:rsidR="0078269E" w:rsidRPr="0078269E" w:rsidRDefault="0078269E" w:rsidP="0078269E"/>
    <w:p w14:paraId="1BDBE06B" w14:textId="028B40DA" w:rsidR="004D4D6B" w:rsidRDefault="002C50EE" w:rsidP="002B3C38">
      <w:pPr>
        <w:pStyle w:val="Heading2"/>
      </w:pPr>
      <w:r>
        <w:t>5.3. Предклинични данни за безопасност</w:t>
      </w:r>
    </w:p>
    <w:p w14:paraId="3DBD2897" w14:textId="77777777" w:rsidR="0078269E" w:rsidRDefault="0078269E" w:rsidP="0078269E">
      <w:pPr>
        <w:rPr>
          <w:lang w:eastAsia="bg-BG"/>
        </w:rPr>
      </w:pPr>
    </w:p>
    <w:p w14:paraId="70E7916B" w14:textId="73CA94D8" w:rsidR="0078269E" w:rsidRPr="0078269E" w:rsidRDefault="0078269E" w:rsidP="0078269E">
      <w:pPr>
        <w:rPr>
          <w:sz w:val="24"/>
          <w:szCs w:val="24"/>
        </w:rPr>
      </w:pPr>
      <w:r w:rsidRPr="0078269E">
        <w:rPr>
          <w:lang w:eastAsia="bg-BG"/>
        </w:rPr>
        <w:t xml:space="preserve">Неклиничните данни не показват особен риск за хората на база на конвенционалните фармакологични изпитвания за безопасност, токсичност при многократно прилагане, </w:t>
      </w:r>
      <w:proofErr w:type="spellStart"/>
      <w:r w:rsidRPr="0078269E">
        <w:rPr>
          <w:lang w:eastAsia="bg-BG"/>
        </w:rPr>
        <w:t>генотоксичност</w:t>
      </w:r>
      <w:proofErr w:type="spellEnd"/>
      <w:r w:rsidRPr="0078269E">
        <w:rPr>
          <w:lang w:eastAsia="bg-BG"/>
        </w:rPr>
        <w:t>, карциногенен потенциал, репродуктивна токсичност.</w:t>
      </w:r>
    </w:p>
    <w:p w14:paraId="7EC2ADD4" w14:textId="77777777" w:rsidR="0078269E" w:rsidRPr="0078269E" w:rsidRDefault="0078269E" w:rsidP="0078269E">
      <w:pPr>
        <w:rPr>
          <w:sz w:val="24"/>
          <w:szCs w:val="24"/>
        </w:rPr>
      </w:pPr>
      <w:r w:rsidRPr="0078269E">
        <w:rPr>
          <w:lang w:eastAsia="bg-BG"/>
        </w:rPr>
        <w:t xml:space="preserve">При изследвания с многократно дозиране, не е установено увреждане при дози от 25 </w:t>
      </w:r>
      <w:r w:rsidRPr="0078269E">
        <w:rPr>
          <w:lang w:val="en-US"/>
        </w:rPr>
        <w:t xml:space="preserve">mg/kg </w:t>
      </w:r>
      <w:r w:rsidRPr="0078269E">
        <w:rPr>
          <w:lang w:eastAsia="bg-BG"/>
        </w:rPr>
        <w:t>дневно.</w:t>
      </w:r>
    </w:p>
    <w:p w14:paraId="0D93A26B" w14:textId="77777777" w:rsidR="0078269E" w:rsidRPr="0078269E" w:rsidRDefault="0078269E" w:rsidP="0078269E">
      <w:pPr>
        <w:rPr>
          <w:sz w:val="24"/>
          <w:szCs w:val="24"/>
        </w:rPr>
      </w:pPr>
      <w:r w:rsidRPr="0078269E">
        <w:rPr>
          <w:lang w:eastAsia="bg-BG"/>
        </w:rPr>
        <w:t>Не е установено засягане на репродуктивната функция при дози по-ниски от тези, които предизвикват токсични ефекти върху майката.</w:t>
      </w:r>
    </w:p>
    <w:p w14:paraId="33439814" w14:textId="77777777" w:rsidR="0078269E" w:rsidRPr="0078269E" w:rsidRDefault="0078269E" w:rsidP="0078269E"/>
    <w:p w14:paraId="6940F72E" w14:textId="1CCB0818" w:rsidR="009B171C" w:rsidRDefault="002C50EE" w:rsidP="00CA1B57">
      <w:pPr>
        <w:pStyle w:val="Heading1"/>
      </w:pPr>
      <w:r>
        <w:t>7. ПРИТЕЖАТЕЛ НА РАЗРЕШЕНИЕТО ЗА УПОТРЕБА</w:t>
      </w:r>
    </w:p>
    <w:p w14:paraId="381AF129" w14:textId="77777777" w:rsidR="0078269E" w:rsidRDefault="0078269E" w:rsidP="0078269E">
      <w:pPr>
        <w:rPr>
          <w:lang w:eastAsia="bg-BG"/>
        </w:rPr>
      </w:pPr>
    </w:p>
    <w:p w14:paraId="4147D906" w14:textId="541B5865" w:rsidR="0078269E" w:rsidRPr="0078269E" w:rsidRDefault="0078269E" w:rsidP="0078269E">
      <w:pPr>
        <w:rPr>
          <w:rFonts w:ascii="Times New Roman" w:hAnsi="Times New Roman" w:cs="Times New Roman"/>
          <w:sz w:val="24"/>
          <w:szCs w:val="24"/>
        </w:rPr>
      </w:pPr>
      <w:r w:rsidRPr="0078269E">
        <w:rPr>
          <w:lang w:eastAsia="bg-BG"/>
        </w:rPr>
        <w:t>Актавис ЕАД</w:t>
      </w:r>
    </w:p>
    <w:p w14:paraId="7C5D96AA" w14:textId="77777777" w:rsidR="0078269E" w:rsidRPr="0078269E" w:rsidRDefault="0078269E" w:rsidP="0078269E">
      <w:pPr>
        <w:rPr>
          <w:rFonts w:ascii="Times New Roman" w:hAnsi="Times New Roman" w:cs="Times New Roman"/>
          <w:sz w:val="24"/>
          <w:szCs w:val="24"/>
        </w:rPr>
      </w:pPr>
      <w:r w:rsidRPr="0078269E">
        <w:rPr>
          <w:lang w:eastAsia="bg-BG"/>
        </w:rPr>
        <w:t>ул. "Атанас Дуков" № 29</w:t>
      </w:r>
    </w:p>
    <w:p w14:paraId="34022F07" w14:textId="2D69EFA5" w:rsidR="0078269E" w:rsidRPr="0078269E" w:rsidRDefault="0078269E" w:rsidP="0078269E">
      <w:r w:rsidRPr="0078269E">
        <w:rPr>
          <w:lang w:eastAsia="bg-BG"/>
        </w:rPr>
        <w:t>1407 София, България</w:t>
      </w:r>
    </w:p>
    <w:p w14:paraId="04840D59" w14:textId="7CA27CE5" w:rsidR="002C50EE" w:rsidRDefault="002C50EE" w:rsidP="002C50EE">
      <w:pPr>
        <w:pStyle w:val="Heading1"/>
      </w:pPr>
      <w:r>
        <w:t>8. НОМЕР НА РАЗРЕШЕНИЕТО ЗА УПОТРЕБА</w:t>
      </w:r>
    </w:p>
    <w:p w14:paraId="2FF7B56E" w14:textId="77777777" w:rsidR="0078269E" w:rsidRDefault="0078269E" w:rsidP="0078269E">
      <w:pPr>
        <w:rPr>
          <w:lang w:val="en-US"/>
        </w:rPr>
      </w:pPr>
    </w:p>
    <w:p w14:paraId="009E5694" w14:textId="742AFB4D" w:rsidR="0078269E" w:rsidRPr="0078269E" w:rsidRDefault="0078269E" w:rsidP="0078269E">
      <w:r>
        <w:rPr>
          <w:lang w:val="en-US"/>
        </w:rPr>
        <w:t xml:space="preserve">Per. </w:t>
      </w:r>
      <w:r>
        <w:t>№ 9700360</w:t>
      </w:r>
    </w:p>
    <w:p w14:paraId="5900CBF3" w14:textId="4CF80B8F" w:rsidR="002C50EE" w:rsidRDefault="002C50EE" w:rsidP="002C50EE">
      <w:pPr>
        <w:pStyle w:val="Heading1"/>
      </w:pPr>
      <w:r>
        <w:t>9. ДАТА НА ПЪРВО РАЗРЕШАВАНЕ/ПОДНОВЯВАНЕ НА РАЗРЕШЕНИЕТО ЗА УПОТРЕБА</w:t>
      </w:r>
    </w:p>
    <w:p w14:paraId="1178BEB2" w14:textId="77777777" w:rsidR="0078269E" w:rsidRDefault="0078269E" w:rsidP="0078269E">
      <w:pPr>
        <w:rPr>
          <w:lang w:eastAsia="bg-BG"/>
        </w:rPr>
      </w:pPr>
    </w:p>
    <w:p w14:paraId="07B936D9" w14:textId="46CF1581" w:rsidR="0078269E" w:rsidRPr="0078269E" w:rsidRDefault="0078269E" w:rsidP="0078269E">
      <w:pPr>
        <w:rPr>
          <w:rFonts w:ascii="Times New Roman" w:hAnsi="Times New Roman" w:cs="Times New Roman"/>
          <w:sz w:val="24"/>
          <w:szCs w:val="24"/>
        </w:rPr>
      </w:pPr>
      <w:r w:rsidRPr="0078269E">
        <w:rPr>
          <w:lang w:eastAsia="bg-BG"/>
        </w:rPr>
        <w:t>Дата на първо разрешаване: 07.08,1997 г.</w:t>
      </w:r>
    </w:p>
    <w:p w14:paraId="62E05B8B" w14:textId="6779CD8A" w:rsidR="0078269E" w:rsidRPr="0078269E" w:rsidRDefault="0078269E" w:rsidP="0078269E">
      <w:r w:rsidRPr="0078269E">
        <w:rPr>
          <w:lang w:eastAsia="bg-BG"/>
        </w:rPr>
        <w:t>Дата на последно подновяване: 18.06.2008 г.</w:t>
      </w:r>
    </w:p>
    <w:p w14:paraId="0E9D0119" w14:textId="0245C6D7" w:rsidR="002C50EE" w:rsidRDefault="002C50EE" w:rsidP="002C50EE">
      <w:pPr>
        <w:pStyle w:val="Heading1"/>
      </w:pPr>
      <w:r>
        <w:t>10. ДАТА НА АКТУАЛИЗИРАНЕ НА ТЕКСТА</w:t>
      </w:r>
    </w:p>
    <w:bookmarkEnd w:id="0"/>
    <w:p w14:paraId="423F4C2A" w14:textId="5DAD30AF" w:rsidR="00C87E90" w:rsidRPr="003E3126" w:rsidRDefault="0078269E" w:rsidP="0078269E">
      <w:r>
        <w:t>31.03.2016</w:t>
      </w:r>
    </w:p>
    <w:sectPr w:rsidR="00C87E90" w:rsidRPr="003E312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•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2" w15:restartNumberingAfterBreak="0">
    <w:nsid w:val="00894126"/>
    <w:multiLevelType w:val="multilevel"/>
    <w:tmpl w:val="588ED07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00AE4925"/>
    <w:multiLevelType w:val="multilevel"/>
    <w:tmpl w:val="4CC8ED5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04834C69"/>
    <w:multiLevelType w:val="multilevel"/>
    <w:tmpl w:val="DC0A14F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5" w15:restartNumberingAfterBreak="0">
    <w:nsid w:val="0CA015B6"/>
    <w:multiLevelType w:val="hybridMultilevel"/>
    <w:tmpl w:val="54E65D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016EEE"/>
    <w:multiLevelType w:val="hybridMultilevel"/>
    <w:tmpl w:val="52F6376E"/>
    <w:lvl w:ilvl="0" w:tplc="4F7A9382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343B0"/>
    <w:multiLevelType w:val="hybridMultilevel"/>
    <w:tmpl w:val="DD4E8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7D39D9"/>
    <w:multiLevelType w:val="hybridMultilevel"/>
    <w:tmpl w:val="76702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1258ED"/>
    <w:multiLevelType w:val="hybridMultilevel"/>
    <w:tmpl w:val="AA423BD4"/>
    <w:lvl w:ilvl="0" w:tplc="04090001">
      <w:start w:val="1"/>
      <w:numFmt w:val="bullet"/>
      <w:lvlText w:val=""/>
      <w:lvlJc w:val="left"/>
      <w:pPr>
        <w:ind w:left="163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97" w:hanging="360"/>
      </w:pPr>
      <w:rPr>
        <w:rFonts w:ascii="Wingdings" w:hAnsi="Wingdings" w:hint="default"/>
      </w:rPr>
    </w:lvl>
  </w:abstractNum>
  <w:abstractNum w:abstractNumId="10" w15:restartNumberingAfterBreak="0">
    <w:nsid w:val="26177103"/>
    <w:multiLevelType w:val="multilevel"/>
    <w:tmpl w:val="E82C6D46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1" w15:restartNumberingAfterBreak="0">
    <w:nsid w:val="2C0F0359"/>
    <w:multiLevelType w:val="hybridMultilevel"/>
    <w:tmpl w:val="44CA7B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CA60FB9"/>
    <w:multiLevelType w:val="hybridMultilevel"/>
    <w:tmpl w:val="BA3E8EEE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A002FE"/>
    <w:multiLevelType w:val="hybridMultilevel"/>
    <w:tmpl w:val="60D40E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D687B88"/>
    <w:multiLevelType w:val="multilevel"/>
    <w:tmpl w:val="00000000"/>
    <w:lvl w:ilvl="0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bullet"/>
      <w:lvlText w:val="-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5" w15:restartNumberingAfterBreak="0">
    <w:nsid w:val="403D3417"/>
    <w:multiLevelType w:val="multilevel"/>
    <w:tmpl w:val="B57254D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6" w15:restartNumberingAfterBreak="0">
    <w:nsid w:val="42823E3C"/>
    <w:multiLevelType w:val="hybridMultilevel"/>
    <w:tmpl w:val="80B077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0E33D8"/>
    <w:multiLevelType w:val="hybridMultilevel"/>
    <w:tmpl w:val="71309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3ED0C31"/>
    <w:multiLevelType w:val="hybridMultilevel"/>
    <w:tmpl w:val="2946DD8C"/>
    <w:lvl w:ilvl="0" w:tplc="83C2330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D31061F"/>
    <w:multiLevelType w:val="hybridMultilevel"/>
    <w:tmpl w:val="7BE09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FE48DA"/>
    <w:multiLevelType w:val="hybridMultilevel"/>
    <w:tmpl w:val="8D98AC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F088CA4">
      <w:numFmt w:val="bullet"/>
      <w:lvlText w:val="•"/>
      <w:lvlJc w:val="left"/>
      <w:pPr>
        <w:ind w:left="1800" w:hanging="720"/>
      </w:pPr>
      <w:rPr>
        <w:rFonts w:ascii="Arial" w:eastAsiaTheme="minorHAnsi" w:hAnsi="Arial" w:cs="Arial" w:hint="default"/>
        <w:sz w:val="22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FAB1ABA"/>
    <w:multiLevelType w:val="hybridMultilevel"/>
    <w:tmpl w:val="EEEC7F7E"/>
    <w:lvl w:ilvl="0" w:tplc="E38E44DA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0A8116B"/>
    <w:multiLevelType w:val="hybridMultilevel"/>
    <w:tmpl w:val="F18C2434"/>
    <w:lvl w:ilvl="0" w:tplc="04B87F8E">
      <w:start w:val="4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705EF3"/>
    <w:multiLevelType w:val="hybridMultilevel"/>
    <w:tmpl w:val="934070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5C2302E"/>
    <w:multiLevelType w:val="hybridMultilevel"/>
    <w:tmpl w:val="FF02BB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1F677A"/>
    <w:multiLevelType w:val="hybridMultilevel"/>
    <w:tmpl w:val="96EC7004"/>
    <w:lvl w:ilvl="0" w:tplc="D63C3370">
      <w:start w:val="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color w:val="000000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1B539E2"/>
    <w:multiLevelType w:val="hybridMultilevel"/>
    <w:tmpl w:val="E3BC6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BC7DEC"/>
    <w:multiLevelType w:val="hybridMultilevel"/>
    <w:tmpl w:val="EE04B8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0"/>
  </w:num>
  <w:num w:numId="3">
    <w:abstractNumId w:val="12"/>
  </w:num>
  <w:num w:numId="4">
    <w:abstractNumId w:val="3"/>
  </w:num>
  <w:num w:numId="5">
    <w:abstractNumId w:val="1"/>
  </w:num>
  <w:num w:numId="6">
    <w:abstractNumId w:val="15"/>
  </w:num>
  <w:num w:numId="7">
    <w:abstractNumId w:val="10"/>
  </w:num>
  <w:num w:numId="8">
    <w:abstractNumId w:val="14"/>
  </w:num>
  <w:num w:numId="9">
    <w:abstractNumId w:val="2"/>
  </w:num>
  <w:num w:numId="10">
    <w:abstractNumId w:val="4"/>
  </w:num>
  <w:num w:numId="11">
    <w:abstractNumId w:val="27"/>
  </w:num>
  <w:num w:numId="12">
    <w:abstractNumId w:val="13"/>
  </w:num>
  <w:num w:numId="13">
    <w:abstractNumId w:val="18"/>
  </w:num>
  <w:num w:numId="14">
    <w:abstractNumId w:val="11"/>
  </w:num>
  <w:num w:numId="15">
    <w:abstractNumId w:val="26"/>
  </w:num>
  <w:num w:numId="16">
    <w:abstractNumId w:val="9"/>
  </w:num>
  <w:num w:numId="17">
    <w:abstractNumId w:val="21"/>
  </w:num>
  <w:num w:numId="18">
    <w:abstractNumId w:val="6"/>
  </w:num>
  <w:num w:numId="19">
    <w:abstractNumId w:val="24"/>
  </w:num>
  <w:num w:numId="20">
    <w:abstractNumId w:val="20"/>
  </w:num>
  <w:num w:numId="21">
    <w:abstractNumId w:val="16"/>
  </w:num>
  <w:num w:numId="22">
    <w:abstractNumId w:val="22"/>
  </w:num>
  <w:num w:numId="23">
    <w:abstractNumId w:val="17"/>
  </w:num>
  <w:num w:numId="24">
    <w:abstractNumId w:val="7"/>
  </w:num>
  <w:num w:numId="25">
    <w:abstractNumId w:val="19"/>
  </w:num>
  <w:num w:numId="26">
    <w:abstractNumId w:val="23"/>
  </w:num>
  <w:num w:numId="27">
    <w:abstractNumId w:val="5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93A00"/>
    <w:rsid w:val="00185A46"/>
    <w:rsid w:val="001915B6"/>
    <w:rsid w:val="001D1B23"/>
    <w:rsid w:val="002B3C38"/>
    <w:rsid w:val="002B4DBB"/>
    <w:rsid w:val="002C50EE"/>
    <w:rsid w:val="00340A0A"/>
    <w:rsid w:val="003765DC"/>
    <w:rsid w:val="003E3126"/>
    <w:rsid w:val="004D4D6B"/>
    <w:rsid w:val="00517A5B"/>
    <w:rsid w:val="00593A00"/>
    <w:rsid w:val="005A66D9"/>
    <w:rsid w:val="00605BCA"/>
    <w:rsid w:val="006158A1"/>
    <w:rsid w:val="00617B1F"/>
    <w:rsid w:val="00672487"/>
    <w:rsid w:val="00672600"/>
    <w:rsid w:val="00681D4A"/>
    <w:rsid w:val="00685882"/>
    <w:rsid w:val="0075649D"/>
    <w:rsid w:val="0078269E"/>
    <w:rsid w:val="00814073"/>
    <w:rsid w:val="00826F0D"/>
    <w:rsid w:val="00893B92"/>
    <w:rsid w:val="008C70A2"/>
    <w:rsid w:val="009773E4"/>
    <w:rsid w:val="009B171C"/>
    <w:rsid w:val="00A20351"/>
    <w:rsid w:val="00AA23EC"/>
    <w:rsid w:val="00AC63CE"/>
    <w:rsid w:val="00AE2107"/>
    <w:rsid w:val="00B275A8"/>
    <w:rsid w:val="00BF2600"/>
    <w:rsid w:val="00C07B84"/>
    <w:rsid w:val="00C33464"/>
    <w:rsid w:val="00C809A7"/>
    <w:rsid w:val="00C83063"/>
    <w:rsid w:val="00C87E90"/>
    <w:rsid w:val="00CA1B57"/>
    <w:rsid w:val="00D86297"/>
    <w:rsid w:val="00DD466D"/>
    <w:rsid w:val="00EB6364"/>
    <w:rsid w:val="00F37B64"/>
    <w:rsid w:val="00FD69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84BA7"/>
  <w15:docId w15:val="{3DA60348-CCDC-4D6D-877F-EA9575E07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6364"/>
    <w:pPr>
      <w:spacing w:after="0" w:line="256" w:lineRule="auto"/>
    </w:pPr>
    <w:rPr>
      <w:rFonts w:ascii="Arial" w:hAnsi="Arial"/>
      <w:lang w:val="bg-BG"/>
    </w:rPr>
  </w:style>
  <w:style w:type="paragraph" w:styleId="Heading1">
    <w:name w:val="heading 1"/>
    <w:basedOn w:val="Normal"/>
    <w:next w:val="Normal"/>
    <w:link w:val="Heading1Char"/>
    <w:uiPriority w:val="9"/>
    <w:qFormat/>
    <w:rsid w:val="00681D4A"/>
    <w:pPr>
      <w:keepNext/>
      <w:keepLines/>
      <w:spacing w:before="240" w:line="259" w:lineRule="auto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1D4A"/>
    <w:pPr>
      <w:keepNext/>
      <w:keepLines/>
      <w:spacing w:before="40" w:line="259" w:lineRule="auto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81D4A"/>
    <w:pPr>
      <w:keepNext/>
      <w:keepLines/>
      <w:spacing w:before="40" w:line="259" w:lineRule="auto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81D4A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Стил1"/>
    <w:basedOn w:val="Heading3"/>
    <w:next w:val="Normal"/>
    <w:link w:val="10"/>
    <w:qFormat/>
    <w:rsid w:val="00C87E90"/>
    <w:pPr>
      <w:widowControl w:val="0"/>
      <w:spacing w:after="1080" w:line="240" w:lineRule="auto"/>
      <w:ind w:left="4400"/>
      <w:jc w:val="center"/>
    </w:pPr>
    <w:rPr>
      <w:b/>
      <w:sz w:val="22"/>
      <w:szCs w:val="22"/>
    </w:rPr>
  </w:style>
  <w:style w:type="character" w:customStyle="1" w:styleId="10">
    <w:name w:val="Стил1 Знак"/>
    <w:basedOn w:val="Heading3Char"/>
    <w:link w:val="1"/>
    <w:rsid w:val="00C87E90"/>
    <w:rPr>
      <w:rFonts w:ascii="Arial" w:eastAsiaTheme="majorEastAsia" w:hAnsi="Arial" w:cstheme="majorBidi"/>
      <w:b/>
      <w:color w:val="000000" w:themeColor="text1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681D4A"/>
    <w:rPr>
      <w:rFonts w:ascii="Arial" w:eastAsiaTheme="majorEastAsia" w:hAnsi="Arial" w:cstheme="majorBidi"/>
      <w:color w:val="000000" w:themeColor="text1"/>
      <w:sz w:val="24"/>
      <w:szCs w:val="24"/>
    </w:rPr>
  </w:style>
  <w:style w:type="paragraph" w:styleId="ListParagraph">
    <w:name w:val="List Paragraph"/>
    <w:basedOn w:val="Normal"/>
    <w:uiPriority w:val="34"/>
    <w:qFormat/>
    <w:rsid w:val="00685882"/>
    <w:pPr>
      <w:spacing w:line="259" w:lineRule="auto"/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681D4A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1D4A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681D4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table" w:styleId="TableGrid">
    <w:name w:val="Table Grid"/>
    <w:basedOn w:val="TableNormal"/>
    <w:uiPriority w:val="39"/>
    <w:rsid w:val="007564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6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da.b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1235</Words>
  <Characters>7046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petar vasilev</dc:creator>
  <cp:keywords/>
  <dc:description/>
  <cp:lastModifiedBy>petar vasilev</cp:lastModifiedBy>
  <cp:revision>2</cp:revision>
  <dcterms:created xsi:type="dcterms:W3CDTF">2021-09-16T10:42:00Z</dcterms:created>
  <dcterms:modified xsi:type="dcterms:W3CDTF">2021-09-16T10:42:00Z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78080e56-8894-418a-9b19-f357e77b996f_Enabled">
    <vt:lpwstr>true</vt:lpwstr>
  </property>
  <property fmtid="{D5CDD505-2E9C-101B-9397-08002B2CF9AE}" pid="3" name="MSIP_Label_78080e56-8894-418a-9b19-f357e77b996f_SetDate">
    <vt:lpwstr>2021-02-06T20:50:59Z</vt:lpwstr>
  </property>
  <property fmtid="{D5CDD505-2E9C-101B-9397-08002B2CF9AE}" pid="4" name="MSIP_Label_78080e56-8894-418a-9b19-f357e77b996f_Method">
    <vt:lpwstr>Standard</vt:lpwstr>
  </property>
  <property fmtid="{D5CDD505-2E9C-101B-9397-08002B2CF9AE}" pid="5" name="MSIP_Label_78080e56-8894-418a-9b19-f357e77b996f_Name">
    <vt:lpwstr>Internal Use Unencrypted</vt:lpwstr>
  </property>
  <property fmtid="{D5CDD505-2E9C-101B-9397-08002B2CF9AE}" pid="6" name="MSIP_Label_78080e56-8894-418a-9b19-f357e77b996f_SiteId">
    <vt:lpwstr>6c7fadf5-6b9d-485a-85cb-f8112e9720ec</vt:lpwstr>
  </property>
  <property fmtid="{D5CDD505-2E9C-101B-9397-08002B2CF9AE}" pid="7" name="MSIP_Label_78080e56-8894-418a-9b19-f357e77b996f_ActionId">
    <vt:lpwstr>0a32757c-47c4-4949-90c3-637a5e65fde2</vt:lpwstr>
  </property>
  <property fmtid="{D5CDD505-2E9C-101B-9397-08002B2CF9AE}" pid="8" name="MSIP_Label_78080e56-8894-418a-9b19-f357e77b996f_ContentBits">
    <vt:lpwstr>2</vt:lpwstr>
  </property>
</Properties>
</file>