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5B5BA17" w:rsidR="007122AD" w:rsidRDefault="00DD466D" w:rsidP="00936AD0">
      <w:pPr>
        <w:pStyle w:val="Heading1"/>
      </w:pPr>
      <w:r>
        <w:t>1.ИМЕ НА ЛЕКАРСТВЕНИЯ ПРОДУКТ</w:t>
      </w:r>
    </w:p>
    <w:p w14:paraId="27B0C253" w14:textId="431BA5F2" w:rsidR="00ED17BA" w:rsidRDefault="00ED17BA" w:rsidP="00ED17BA"/>
    <w:p w14:paraId="1C83C04B" w14:textId="77777777" w:rsidR="00ED17BA" w:rsidRDefault="00ED17BA" w:rsidP="00ED17BA">
      <w:pPr>
        <w:rPr>
          <w:lang w:eastAsia="bg-BG"/>
        </w:rPr>
      </w:pPr>
      <w:r w:rsidRPr="00ED17BA">
        <w:rPr>
          <w:lang w:eastAsia="bg-BG"/>
        </w:rPr>
        <w:t xml:space="preserve">Дуласолан 30 </w:t>
      </w:r>
      <w:r w:rsidRPr="00ED17BA">
        <w:rPr>
          <w:lang w:val="en-US"/>
        </w:rPr>
        <w:t>mg</w:t>
      </w:r>
      <w:r w:rsidRPr="00ED17BA">
        <w:rPr>
          <w:lang w:val="ru-RU"/>
        </w:rPr>
        <w:t xml:space="preserve"> </w:t>
      </w:r>
      <w:r w:rsidRPr="00ED17BA">
        <w:rPr>
          <w:lang w:eastAsia="bg-BG"/>
        </w:rPr>
        <w:t xml:space="preserve">стомашно-устойчиви твърди капсули </w:t>
      </w:r>
    </w:p>
    <w:p w14:paraId="0069FBAA" w14:textId="7087959E" w:rsidR="00ED17BA" w:rsidRPr="00ED17BA" w:rsidRDefault="00ED17BA" w:rsidP="00ED17BA">
      <w:pPr>
        <w:rPr>
          <w:sz w:val="24"/>
          <w:szCs w:val="24"/>
        </w:rPr>
      </w:pPr>
      <w:proofErr w:type="spellStart"/>
      <w:r w:rsidRPr="00ED17BA">
        <w:rPr>
          <w:lang w:val="en-US"/>
        </w:rPr>
        <w:t>Dulasolan</w:t>
      </w:r>
      <w:proofErr w:type="spellEnd"/>
      <w:r w:rsidRPr="00ED17BA">
        <w:rPr>
          <w:lang w:val="en-US"/>
        </w:rPr>
        <w:t xml:space="preserve"> </w:t>
      </w:r>
      <w:r w:rsidRPr="00ED17BA">
        <w:rPr>
          <w:lang w:eastAsia="bg-BG"/>
        </w:rPr>
        <w:t xml:space="preserve">30 </w:t>
      </w:r>
      <w:r w:rsidRPr="00ED17BA">
        <w:rPr>
          <w:lang w:val="en-US"/>
        </w:rPr>
        <w:t>mg gastro-resistant capsules, hard</w:t>
      </w:r>
    </w:p>
    <w:p w14:paraId="61EA31DB" w14:textId="77777777" w:rsidR="00ED17BA" w:rsidRDefault="00ED17BA" w:rsidP="00ED17BA">
      <w:pPr>
        <w:rPr>
          <w:u w:val="single"/>
          <w:lang w:eastAsia="bg-BG"/>
        </w:rPr>
      </w:pPr>
    </w:p>
    <w:p w14:paraId="16BA0CCF" w14:textId="6926BDE1" w:rsidR="00ED17BA" w:rsidRDefault="00ED17BA" w:rsidP="00ED17BA">
      <w:pPr>
        <w:rPr>
          <w:lang w:eastAsia="bg-BG"/>
        </w:rPr>
      </w:pPr>
      <w:r w:rsidRPr="00ED17BA">
        <w:rPr>
          <w:u w:val="single"/>
          <w:lang w:eastAsia="bg-BG"/>
        </w:rPr>
        <w:t xml:space="preserve">Дуласолан </w:t>
      </w:r>
      <w:r w:rsidRPr="00ED17BA">
        <w:rPr>
          <w:u w:val="single"/>
          <w:lang w:val="ru-RU"/>
        </w:rPr>
        <w:t xml:space="preserve">60 </w:t>
      </w:r>
      <w:r w:rsidRPr="00ED17BA">
        <w:rPr>
          <w:u w:val="single"/>
          <w:lang w:val="en-US"/>
        </w:rPr>
        <w:t>mg</w:t>
      </w:r>
      <w:r w:rsidRPr="00ED17BA">
        <w:rPr>
          <w:u w:val="single"/>
          <w:lang w:val="ru-RU"/>
        </w:rPr>
        <w:t xml:space="preserve"> </w:t>
      </w:r>
      <w:r w:rsidRPr="00ED17BA">
        <w:rPr>
          <w:u w:val="single"/>
          <w:lang w:eastAsia="bg-BG"/>
        </w:rPr>
        <w:t>стомашно-устойчиви твърди</w:t>
      </w:r>
      <w:r w:rsidRPr="00ED17BA">
        <w:rPr>
          <w:lang w:eastAsia="bg-BG"/>
        </w:rPr>
        <w:t xml:space="preserve"> капсули</w:t>
      </w:r>
    </w:p>
    <w:p w14:paraId="117B6673" w14:textId="2DEFCDD4" w:rsidR="00ED17BA" w:rsidRPr="00ED17BA" w:rsidRDefault="00ED17BA" w:rsidP="00ED17BA">
      <w:pPr>
        <w:rPr>
          <w:sz w:val="24"/>
          <w:szCs w:val="24"/>
        </w:rPr>
      </w:pPr>
      <w:proofErr w:type="spellStart"/>
      <w:r w:rsidRPr="00ED17BA">
        <w:rPr>
          <w:lang w:val="en-US"/>
        </w:rPr>
        <w:t>Dulasolan</w:t>
      </w:r>
      <w:proofErr w:type="spellEnd"/>
      <w:r w:rsidRPr="00ED17BA">
        <w:rPr>
          <w:lang w:val="en-US"/>
        </w:rPr>
        <w:t xml:space="preserve"> </w:t>
      </w:r>
      <w:r>
        <w:rPr>
          <w:lang w:eastAsia="bg-BG"/>
        </w:rPr>
        <w:t>60</w:t>
      </w:r>
      <w:r w:rsidRPr="00ED17BA">
        <w:rPr>
          <w:lang w:eastAsia="bg-BG"/>
        </w:rPr>
        <w:t xml:space="preserve"> </w:t>
      </w:r>
      <w:r w:rsidRPr="00ED17BA">
        <w:rPr>
          <w:lang w:val="en-US"/>
        </w:rPr>
        <w:t>mg gastro-resistant capsules, hard</w:t>
      </w:r>
    </w:p>
    <w:p w14:paraId="0E4F40F3" w14:textId="77777777" w:rsidR="00ED17BA" w:rsidRPr="00ED17BA" w:rsidRDefault="00ED17BA" w:rsidP="00ED17BA"/>
    <w:p w14:paraId="6920A680" w14:textId="63B81202" w:rsidR="00C40420" w:rsidRDefault="00DD466D" w:rsidP="004A448E">
      <w:pPr>
        <w:pStyle w:val="Heading1"/>
      </w:pPr>
      <w:r>
        <w:t>2. КАЧЕСТВЕН И КОЛИЧЕСТВЕН СЪСТАВ</w:t>
      </w:r>
    </w:p>
    <w:p w14:paraId="2797C852" w14:textId="04ECB35B" w:rsidR="00ED17BA" w:rsidRDefault="00ED17BA" w:rsidP="00ED17BA"/>
    <w:p w14:paraId="562E7D0B"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 xml:space="preserve">Всяка капсула съдържа 30 </w:t>
      </w:r>
      <w:r w:rsidRPr="00ED17BA">
        <w:rPr>
          <w:rFonts w:eastAsia="Times New Roman" w:cs="Arial"/>
          <w:color w:val="000000"/>
          <w:szCs w:val="20"/>
          <w:u w:val="single"/>
          <w:lang w:val="en-US"/>
        </w:rPr>
        <w:t>mg</w:t>
      </w:r>
      <w:r w:rsidRPr="00ED17BA">
        <w:rPr>
          <w:rFonts w:eastAsia="Times New Roman" w:cs="Arial"/>
          <w:color w:val="000000"/>
          <w:szCs w:val="20"/>
          <w:u w:val="single"/>
        </w:rPr>
        <w:t xml:space="preserve"> </w:t>
      </w:r>
      <w:r w:rsidRPr="00ED17BA">
        <w:rPr>
          <w:rFonts w:eastAsia="Times New Roman" w:cs="Arial"/>
          <w:i/>
          <w:iCs/>
          <w:color w:val="000000"/>
          <w:szCs w:val="20"/>
          <w:u w:val="single"/>
        </w:rPr>
        <w:t>(</w:t>
      </w:r>
      <w:r w:rsidRPr="00ED17BA">
        <w:rPr>
          <w:rFonts w:eastAsia="Times New Roman" w:cs="Arial"/>
          <w:i/>
          <w:iCs/>
          <w:color w:val="000000"/>
          <w:szCs w:val="20"/>
          <w:u w:val="single"/>
          <w:lang w:val="en-US"/>
        </w:rPr>
        <w:t>duloxetine</w:t>
      </w:r>
      <w:r w:rsidRPr="00ED17BA">
        <w:rPr>
          <w:rFonts w:eastAsia="Times New Roman" w:cs="Arial"/>
          <w:i/>
          <w:iCs/>
          <w:color w:val="000000"/>
          <w:szCs w:val="20"/>
          <w:u w:val="single"/>
        </w:rPr>
        <w:t>)</w:t>
      </w:r>
      <w:r w:rsidRPr="00ED17BA">
        <w:rPr>
          <w:rFonts w:eastAsia="Times New Roman" w:cs="Arial"/>
          <w:color w:val="000000"/>
          <w:szCs w:val="20"/>
          <w:u w:val="single"/>
        </w:rPr>
        <w:t xml:space="preserve"> </w:t>
      </w:r>
      <w:r w:rsidRPr="00ED17BA">
        <w:rPr>
          <w:rFonts w:eastAsia="Times New Roman" w:cs="Arial"/>
          <w:color w:val="000000"/>
          <w:szCs w:val="20"/>
          <w:u w:val="single"/>
          <w:lang w:eastAsia="bg-BG"/>
        </w:rPr>
        <w:t>(като хидрохлорид)</w:t>
      </w:r>
    </w:p>
    <w:p w14:paraId="507FFC0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Всяка капсула съдържа 60 </w:t>
      </w:r>
      <w:r w:rsidRPr="00ED17BA">
        <w:rPr>
          <w:rFonts w:eastAsia="Times New Roman" w:cs="Arial"/>
          <w:color w:val="000000"/>
          <w:szCs w:val="20"/>
          <w:lang w:val="en-US"/>
        </w:rPr>
        <w:t>mg</w:t>
      </w:r>
      <w:r w:rsidRPr="00ED17BA">
        <w:rPr>
          <w:rFonts w:eastAsia="Times New Roman" w:cs="Arial"/>
          <w:color w:val="000000"/>
          <w:szCs w:val="20"/>
        </w:rPr>
        <w:t xml:space="preserve"> </w:t>
      </w:r>
      <w:r w:rsidRPr="00ED17BA">
        <w:rPr>
          <w:rFonts w:eastAsia="Times New Roman" w:cs="Arial"/>
          <w:i/>
          <w:iCs/>
          <w:color w:val="000000"/>
          <w:szCs w:val="20"/>
        </w:rPr>
        <w:t>(</w:t>
      </w:r>
      <w:r w:rsidRPr="00ED17BA">
        <w:rPr>
          <w:rFonts w:eastAsia="Times New Roman" w:cs="Arial"/>
          <w:i/>
          <w:iCs/>
          <w:color w:val="000000"/>
          <w:szCs w:val="20"/>
          <w:lang w:val="en-US"/>
        </w:rPr>
        <w:t>duloxetine</w:t>
      </w:r>
      <w:r w:rsidRPr="00ED17BA">
        <w:rPr>
          <w:rFonts w:eastAsia="Times New Roman" w:cs="Arial"/>
          <w:i/>
          <w:iCs/>
          <w:color w:val="000000"/>
          <w:szCs w:val="20"/>
        </w:rPr>
        <w:t>)</w:t>
      </w:r>
      <w:r w:rsidRPr="00ED17BA">
        <w:rPr>
          <w:rFonts w:eastAsia="Times New Roman" w:cs="Arial"/>
          <w:color w:val="000000"/>
          <w:szCs w:val="20"/>
        </w:rPr>
        <w:t xml:space="preserve"> </w:t>
      </w:r>
      <w:r w:rsidRPr="00ED17BA">
        <w:rPr>
          <w:rFonts w:eastAsia="Times New Roman" w:cs="Arial"/>
          <w:color w:val="000000"/>
          <w:szCs w:val="20"/>
          <w:lang w:eastAsia="bg-BG"/>
        </w:rPr>
        <w:t>(като хидрохлорид).</w:t>
      </w:r>
    </w:p>
    <w:p w14:paraId="507A932C" w14:textId="77777777" w:rsidR="00ED17BA" w:rsidRPr="00ED17BA" w:rsidRDefault="00ED17BA" w:rsidP="00ED17BA">
      <w:pPr>
        <w:spacing w:line="240" w:lineRule="auto"/>
        <w:rPr>
          <w:rFonts w:eastAsia="Times New Roman" w:cs="Arial"/>
          <w:color w:val="000000"/>
          <w:szCs w:val="20"/>
          <w:u w:val="single"/>
          <w:lang w:eastAsia="bg-BG"/>
        </w:rPr>
      </w:pPr>
    </w:p>
    <w:p w14:paraId="58F40A4E" w14:textId="0606DDE0"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Помощно(и) вещество(а) с известно действие:</w:t>
      </w:r>
    </w:p>
    <w:p w14:paraId="2DF53D47" w14:textId="77777777" w:rsidR="00ED17BA" w:rsidRPr="00ED17BA" w:rsidRDefault="00ED17BA" w:rsidP="00ED17BA">
      <w:pPr>
        <w:spacing w:line="240" w:lineRule="auto"/>
        <w:rPr>
          <w:rFonts w:eastAsia="Times New Roman" w:cs="Arial"/>
          <w:color w:val="000000"/>
          <w:szCs w:val="20"/>
          <w:u w:val="single"/>
          <w:lang w:eastAsia="bg-BG"/>
        </w:rPr>
      </w:pPr>
    </w:p>
    <w:p w14:paraId="253C3EE9" w14:textId="096CCCB0"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 xml:space="preserve">Всяка капсула съдържа 52,38 - 70,92 </w:t>
      </w:r>
      <w:r w:rsidRPr="00ED17BA">
        <w:rPr>
          <w:rFonts w:eastAsia="Times New Roman" w:cs="Arial"/>
          <w:color w:val="000000"/>
          <w:szCs w:val="20"/>
          <w:u w:val="single"/>
          <w:lang w:val="en-US"/>
        </w:rPr>
        <w:t>mg</w:t>
      </w:r>
      <w:r w:rsidRPr="00ED17BA">
        <w:rPr>
          <w:rFonts w:eastAsia="Times New Roman" w:cs="Arial"/>
          <w:color w:val="000000"/>
          <w:szCs w:val="20"/>
          <w:u w:val="single"/>
          <w:lang w:val="ru-RU"/>
        </w:rPr>
        <w:t xml:space="preserve"> </w:t>
      </w:r>
      <w:r w:rsidRPr="00ED17BA">
        <w:rPr>
          <w:rFonts w:eastAsia="Times New Roman" w:cs="Arial"/>
          <w:color w:val="000000"/>
          <w:szCs w:val="20"/>
          <w:u w:val="single"/>
          <w:lang w:eastAsia="bg-BG"/>
        </w:rPr>
        <w:t>захароза.</w:t>
      </w:r>
    </w:p>
    <w:p w14:paraId="13462BB1"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Всяка капсула съдържа 104,74 - 141,83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захароза.</w:t>
      </w:r>
    </w:p>
    <w:p w14:paraId="07A95B11" w14:textId="77777777" w:rsidR="00ED17BA" w:rsidRPr="00ED17BA" w:rsidRDefault="00ED17BA" w:rsidP="00ED17BA"/>
    <w:p w14:paraId="614984C4" w14:textId="3602BE07" w:rsidR="008A6AF2" w:rsidRDefault="00DD466D" w:rsidP="002C50EE">
      <w:pPr>
        <w:pStyle w:val="Heading1"/>
      </w:pPr>
      <w:r>
        <w:t>3. ЛЕКАРСТВЕНА ФОРМА</w:t>
      </w:r>
    </w:p>
    <w:p w14:paraId="2240D681" w14:textId="2C71E30A" w:rsidR="00ED17BA" w:rsidRDefault="00ED17BA" w:rsidP="00ED17BA"/>
    <w:p w14:paraId="6D42237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Стомашно-устойчива твърда капсула.</w:t>
      </w:r>
    </w:p>
    <w:p w14:paraId="7E1D62C3" w14:textId="77777777" w:rsidR="00ED17BA" w:rsidRPr="00ED17BA" w:rsidRDefault="00ED17BA" w:rsidP="00ED17BA">
      <w:pPr>
        <w:spacing w:line="240" w:lineRule="auto"/>
        <w:rPr>
          <w:rFonts w:eastAsia="Times New Roman" w:cs="Arial"/>
          <w:color w:val="000000"/>
          <w:szCs w:val="20"/>
          <w:lang w:eastAsia="bg-BG"/>
        </w:rPr>
      </w:pPr>
    </w:p>
    <w:p w14:paraId="1D579D25" w14:textId="036CC064"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Твърда желатинова капсула #3, с отпечатан с мастило жълт надпис </w:t>
      </w:r>
      <w:r w:rsidRPr="00ED17BA">
        <w:rPr>
          <w:rFonts w:eastAsia="Times New Roman" w:cs="Arial"/>
          <w:color w:val="000000"/>
          <w:szCs w:val="20"/>
          <w:lang w:val="ru-RU"/>
        </w:rPr>
        <w:t>“</w:t>
      </w:r>
      <w:r w:rsidRPr="00ED17BA">
        <w:rPr>
          <w:rFonts w:eastAsia="Times New Roman" w:cs="Arial"/>
          <w:color w:val="000000"/>
          <w:szCs w:val="20"/>
          <w:lang w:val="en-US"/>
        </w:rPr>
        <w:t>DLX</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върху непрозрачното синьо капаче и “30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върху непрозрачното бяло тяло.</w:t>
      </w:r>
    </w:p>
    <w:p w14:paraId="281FB7BF" w14:textId="4534534E" w:rsidR="00ED17BA" w:rsidRPr="00ED17BA" w:rsidRDefault="00ED17BA" w:rsidP="00ED17BA">
      <w:pPr>
        <w:rPr>
          <w:rFonts w:cs="Arial"/>
          <w:sz w:val="24"/>
        </w:rPr>
      </w:pPr>
      <w:r w:rsidRPr="00ED17BA">
        <w:rPr>
          <w:rFonts w:eastAsia="Times New Roman" w:cs="Arial"/>
          <w:color w:val="000000"/>
          <w:szCs w:val="20"/>
          <w:lang w:eastAsia="bg-BG"/>
        </w:rPr>
        <w:t xml:space="preserve">Твърда желатинова капсула #1, с отпечатан с мастило бял надпис </w:t>
      </w:r>
      <w:r w:rsidRPr="00ED17BA">
        <w:rPr>
          <w:rFonts w:eastAsia="Times New Roman" w:cs="Arial"/>
          <w:color w:val="000000"/>
          <w:szCs w:val="20"/>
          <w:lang w:val="ru-RU"/>
        </w:rPr>
        <w:t>“</w:t>
      </w:r>
      <w:r w:rsidRPr="00ED17BA">
        <w:rPr>
          <w:rFonts w:eastAsia="Times New Roman" w:cs="Arial"/>
          <w:color w:val="000000"/>
          <w:szCs w:val="20"/>
          <w:lang w:val="en-US"/>
        </w:rPr>
        <w:t>DLX</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върху непрозрачното синьо капаче и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върху непрозрачното зелено тяло.</w:t>
      </w:r>
    </w:p>
    <w:p w14:paraId="490FC2C4" w14:textId="0F4A4A75" w:rsidR="002C50EE" w:rsidRDefault="002C50EE" w:rsidP="002C50EE">
      <w:pPr>
        <w:pStyle w:val="Heading1"/>
      </w:pPr>
      <w:r>
        <w:t>4. КЛИНИЧНИ ДАННИ</w:t>
      </w:r>
    </w:p>
    <w:p w14:paraId="74330405" w14:textId="533A44FE" w:rsidR="007122AD" w:rsidRDefault="002C50EE" w:rsidP="00936AD0">
      <w:pPr>
        <w:pStyle w:val="Heading2"/>
      </w:pPr>
      <w:r>
        <w:t>4.1. Терапевтични показания</w:t>
      </w:r>
    </w:p>
    <w:p w14:paraId="7D75B87C" w14:textId="283362B0" w:rsidR="00ED17BA" w:rsidRDefault="00ED17BA" w:rsidP="00ED17BA"/>
    <w:p w14:paraId="1F249A5F" w14:textId="77777777" w:rsidR="00ED17BA" w:rsidRPr="00ED17BA" w:rsidRDefault="00ED17BA" w:rsidP="00ED17BA">
      <w:pPr>
        <w:rPr>
          <w:sz w:val="24"/>
          <w:szCs w:val="24"/>
        </w:rPr>
      </w:pPr>
      <w:r w:rsidRPr="00ED17BA">
        <w:rPr>
          <w:lang w:eastAsia="bg-BG"/>
        </w:rPr>
        <w:t>Лечение на голямо депресивно разстройство.</w:t>
      </w:r>
    </w:p>
    <w:p w14:paraId="5A42FF5C" w14:textId="77777777" w:rsidR="00ED17BA" w:rsidRPr="00ED17BA" w:rsidRDefault="00ED17BA" w:rsidP="00ED17BA">
      <w:pPr>
        <w:rPr>
          <w:sz w:val="24"/>
          <w:szCs w:val="24"/>
        </w:rPr>
      </w:pPr>
      <w:r w:rsidRPr="00ED17BA">
        <w:rPr>
          <w:lang w:eastAsia="bg-BG"/>
        </w:rPr>
        <w:t>Лечение на диабетна периферна невропатна болка.</w:t>
      </w:r>
    </w:p>
    <w:p w14:paraId="574B45E3" w14:textId="77777777" w:rsidR="00ED17BA" w:rsidRPr="00ED17BA" w:rsidRDefault="00ED17BA" w:rsidP="00ED17BA">
      <w:pPr>
        <w:rPr>
          <w:sz w:val="24"/>
          <w:szCs w:val="24"/>
        </w:rPr>
      </w:pPr>
      <w:r w:rsidRPr="00ED17BA">
        <w:rPr>
          <w:lang w:eastAsia="bg-BG"/>
        </w:rPr>
        <w:t>Лечение на генерализирано тревожно разстройство.</w:t>
      </w:r>
    </w:p>
    <w:p w14:paraId="3EC96B8D" w14:textId="77777777" w:rsidR="00ED17BA" w:rsidRDefault="00ED17BA" w:rsidP="00ED17BA">
      <w:pPr>
        <w:rPr>
          <w:lang w:eastAsia="bg-BG"/>
        </w:rPr>
      </w:pPr>
    </w:p>
    <w:p w14:paraId="7DC4EAA8" w14:textId="564561E5" w:rsidR="00ED17BA" w:rsidRPr="00ED17BA" w:rsidRDefault="00ED17BA" w:rsidP="00ED17BA">
      <w:pPr>
        <w:rPr>
          <w:sz w:val="24"/>
          <w:szCs w:val="24"/>
        </w:rPr>
      </w:pPr>
      <w:r w:rsidRPr="00ED17BA">
        <w:rPr>
          <w:lang w:eastAsia="bg-BG"/>
        </w:rPr>
        <w:t>Дуласолан е показан при възрастни.</w:t>
      </w:r>
    </w:p>
    <w:p w14:paraId="565DB44E" w14:textId="22FD3D4A" w:rsidR="00ED17BA" w:rsidRDefault="00ED17BA" w:rsidP="00ED17BA">
      <w:pPr>
        <w:rPr>
          <w:lang w:eastAsia="bg-BG"/>
        </w:rPr>
      </w:pPr>
      <w:r w:rsidRPr="00ED17BA">
        <w:rPr>
          <w:lang w:eastAsia="bg-BG"/>
        </w:rPr>
        <w:t>За допълнителна информация вижте точка 5.1.</w:t>
      </w:r>
    </w:p>
    <w:p w14:paraId="6824FF92" w14:textId="77777777" w:rsidR="00ED17BA" w:rsidRPr="00ED17BA" w:rsidRDefault="00ED17BA" w:rsidP="00ED17BA"/>
    <w:p w14:paraId="53F5B866" w14:textId="502FE680" w:rsidR="007122AD" w:rsidRDefault="002C50EE" w:rsidP="00936AD0">
      <w:pPr>
        <w:pStyle w:val="Heading2"/>
      </w:pPr>
      <w:r>
        <w:t>4.2. Дозировка и начин на приложение</w:t>
      </w:r>
    </w:p>
    <w:p w14:paraId="58AA9404" w14:textId="6E6D6D03" w:rsidR="00ED17BA" w:rsidRDefault="00ED17BA" w:rsidP="00ED17BA"/>
    <w:p w14:paraId="7ACA6E83" w14:textId="77777777" w:rsidR="00ED17BA" w:rsidRPr="00ED17BA" w:rsidRDefault="00ED17BA" w:rsidP="00ED17BA">
      <w:pPr>
        <w:pStyle w:val="Heading3"/>
        <w:rPr>
          <w:rFonts w:eastAsia="Times New Roman"/>
          <w:sz w:val="28"/>
          <w:u w:val="single"/>
        </w:rPr>
      </w:pPr>
      <w:r w:rsidRPr="00ED17BA">
        <w:rPr>
          <w:rFonts w:eastAsia="Times New Roman"/>
          <w:u w:val="single"/>
          <w:lang w:eastAsia="bg-BG"/>
        </w:rPr>
        <w:t>Дозировка</w:t>
      </w:r>
    </w:p>
    <w:p w14:paraId="553469CE" w14:textId="77777777" w:rsidR="00ED17BA" w:rsidRPr="00ED17BA" w:rsidRDefault="00ED17BA" w:rsidP="00ED17BA">
      <w:pPr>
        <w:spacing w:line="240" w:lineRule="auto"/>
        <w:rPr>
          <w:rFonts w:eastAsia="Times New Roman" w:cs="Arial"/>
          <w:i/>
          <w:iCs/>
          <w:color w:val="000000"/>
          <w:szCs w:val="20"/>
          <w:lang w:eastAsia="bg-BG"/>
        </w:rPr>
      </w:pPr>
    </w:p>
    <w:p w14:paraId="42FE8B47" w14:textId="054578B5"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lastRenderedPageBreak/>
        <w:t>Голямо депресивно разстройство</w:t>
      </w:r>
    </w:p>
    <w:p w14:paraId="3A320E0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Началната и препоръчителната поддържаща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със или без храна. В клинични проучвания са оценявани от гледна точка на безопасността дози над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до максимална доза от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веднъж дневно. Въпреки това, няма клинични доказателства предполагащи, че пациентите неотговорили на началната препоръчителна доза могат да имат полза от покачващо титриране на дозата.</w:t>
      </w:r>
    </w:p>
    <w:p w14:paraId="76FBF849" w14:textId="56CBEA90"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Обикновено терапевтичен отговор се наблюдава след 2-4 седмици на лечение.</w:t>
      </w:r>
    </w:p>
    <w:p w14:paraId="67F27146" w14:textId="5AF077E6" w:rsidR="00ED17BA" w:rsidRPr="00ED17BA" w:rsidRDefault="00ED17BA" w:rsidP="00ED17BA">
      <w:pPr>
        <w:rPr>
          <w:rFonts w:eastAsia="Times New Roman" w:cs="Arial"/>
          <w:color w:val="000000"/>
          <w:szCs w:val="20"/>
          <w:lang w:eastAsia="bg-BG"/>
        </w:rPr>
      </w:pPr>
    </w:p>
    <w:p w14:paraId="4ACD444D"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помисли за по-нататъшно дългосрочно лечение с доза от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до 120 </w:t>
      </w:r>
      <w:r w:rsidRPr="00ED17BA">
        <w:rPr>
          <w:rFonts w:eastAsia="Times New Roman" w:cs="Arial"/>
          <w:color w:val="000000"/>
          <w:szCs w:val="20"/>
          <w:lang w:val="en-US"/>
        </w:rPr>
        <w:t>mg</w:t>
      </w:r>
      <w:r w:rsidRPr="00ED17BA">
        <w:rPr>
          <w:rFonts w:eastAsia="Times New Roman" w:cs="Arial"/>
          <w:color w:val="000000"/>
          <w:szCs w:val="20"/>
          <w:lang w:eastAsia="bg-BG"/>
        </w:rPr>
        <w:t>/ден.</w:t>
      </w:r>
    </w:p>
    <w:p w14:paraId="119100A7" w14:textId="77777777" w:rsidR="00ED17BA" w:rsidRPr="00ED17BA" w:rsidRDefault="00ED17BA" w:rsidP="00ED17BA">
      <w:pPr>
        <w:spacing w:line="240" w:lineRule="auto"/>
        <w:rPr>
          <w:rFonts w:eastAsia="Times New Roman" w:cs="Arial"/>
          <w:i/>
          <w:iCs/>
          <w:color w:val="000000"/>
          <w:szCs w:val="20"/>
          <w:lang w:eastAsia="bg-BG"/>
        </w:rPr>
      </w:pPr>
    </w:p>
    <w:p w14:paraId="3FC22440" w14:textId="4BB8F4B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Генерализирано тревожно разстройство</w:t>
      </w:r>
    </w:p>
    <w:p w14:paraId="15F582C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Препоръчваната начална доза при пациенти с генерализирано тревожно разстройство е 30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със или без храна. При пациенти с незадоволителен отговор дозата трябва да се увеличи до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което е обичайната поддържаща доза при повечето пациенти.</w:t>
      </w:r>
    </w:p>
    <w:p w14:paraId="06A6790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При пациенти с коморбидни големи депресивни епизоди началната и поддържащата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веднъж дневно (моля, вижте също препоръките за дозиране по-горе).</w:t>
      </w:r>
    </w:p>
    <w:p w14:paraId="3B7E3453"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Дози до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може да се има предвид увеличение до 90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или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Увеличението на дозата трябва да е въз основа на клиничния отговор и поносимостта.</w:t>
      </w:r>
    </w:p>
    <w:p w14:paraId="73AA16C3"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След консолидиране на отговора се препоръчва да се продължи лечението за няколко месеца, за да се избегне рецидив.</w:t>
      </w:r>
    </w:p>
    <w:p w14:paraId="68C054AC" w14:textId="77777777" w:rsidR="00ED17BA" w:rsidRPr="00ED17BA" w:rsidRDefault="00ED17BA" w:rsidP="00ED17BA">
      <w:pPr>
        <w:spacing w:line="240" w:lineRule="auto"/>
        <w:rPr>
          <w:rFonts w:eastAsia="Times New Roman" w:cs="Arial"/>
          <w:i/>
          <w:iCs/>
          <w:color w:val="000000"/>
          <w:szCs w:val="20"/>
          <w:lang w:eastAsia="bg-BG"/>
        </w:rPr>
      </w:pPr>
    </w:p>
    <w:p w14:paraId="5F382309" w14:textId="02D2B6E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Диабетна периферна невропатна болка</w:t>
      </w:r>
    </w:p>
    <w:p w14:paraId="07A4F53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Началната и препоръчителната поддържаща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дневно, със или без храна. В клинични проучвания са оценявани от гледна точка на безопасността дози над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до максимална доза от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дневно, приложена като равно разделени приеми.</w:t>
      </w:r>
    </w:p>
    <w:p w14:paraId="5E5F72B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Плазмената концентрация на дулоксетин проявява голяма интериндивидуална вариабилност (вж. точка 5.2). Следователно, при някои пациенти </w:t>
      </w:r>
      <w:r w:rsidRPr="00ED17BA">
        <w:rPr>
          <w:rFonts w:eastAsia="Times New Roman" w:cs="Arial"/>
          <w:i/>
          <w:iCs/>
          <w:color w:val="000000"/>
          <w:szCs w:val="20"/>
          <w:lang w:eastAsia="bg-BG"/>
        </w:rPr>
        <w:t>с</w:t>
      </w:r>
      <w:r w:rsidRPr="00ED17BA">
        <w:rPr>
          <w:rFonts w:eastAsia="Times New Roman" w:cs="Arial"/>
          <w:color w:val="000000"/>
          <w:szCs w:val="20"/>
          <w:lang w:eastAsia="bg-BG"/>
        </w:rPr>
        <w:t xml:space="preserve"> недостатъчен отговор на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по- големите дози могат да са от полза.</w:t>
      </w:r>
    </w:p>
    <w:p w14:paraId="0EC040AE"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Отговорът към лечението трябва да бъде оценяван след 2 месеца. При пациенти с недостатъчен първоначален отговор е малко вероятен допълнителен отговор след този период.</w:t>
      </w:r>
    </w:p>
    <w:p w14:paraId="007E0C29"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Терапевтичната полза трябва да бъде преоценявана редовно (поне на всеки три месеца) (вж. точка 5.1).</w:t>
      </w:r>
    </w:p>
    <w:p w14:paraId="2065649C" w14:textId="77777777" w:rsidR="00ED17BA" w:rsidRPr="00ED17BA" w:rsidRDefault="00ED17BA" w:rsidP="00ED17BA">
      <w:pPr>
        <w:spacing w:line="240" w:lineRule="auto"/>
        <w:rPr>
          <w:rFonts w:eastAsia="Times New Roman" w:cs="Arial"/>
          <w:i/>
          <w:iCs/>
          <w:color w:val="000000"/>
          <w:szCs w:val="20"/>
          <w:lang w:eastAsia="bg-BG"/>
        </w:rPr>
      </w:pPr>
    </w:p>
    <w:p w14:paraId="7EA5362A" w14:textId="357D3BA1"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Специални популации</w:t>
      </w:r>
    </w:p>
    <w:p w14:paraId="3A8F34B7" w14:textId="77777777" w:rsidR="00ED17BA" w:rsidRPr="00ED17BA" w:rsidRDefault="00ED17BA" w:rsidP="00ED17BA">
      <w:pPr>
        <w:spacing w:line="240" w:lineRule="auto"/>
        <w:rPr>
          <w:rFonts w:eastAsia="Times New Roman" w:cs="Arial"/>
          <w:i/>
          <w:iCs/>
          <w:color w:val="000000"/>
          <w:szCs w:val="20"/>
          <w:lang w:eastAsia="bg-BG"/>
        </w:rPr>
      </w:pPr>
    </w:p>
    <w:p w14:paraId="231BEF15" w14:textId="6CD17555"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Пациенти в старческа възраст</w:t>
      </w:r>
    </w:p>
    <w:p w14:paraId="01AFC762"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При пациенти в старческа възраст не се препоръчва адаптиране на дозата само въз основа на възрастта. Въпреки това, както при всяко лекарство, трябва да се внимава, когато се лекуват пациенти в старческа възраст, особено със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дулоксетин дневно при големи депресивни епизоди или генерализирано тревожно разстройство, за което има ограничени данни (вж. точка 4.4 и точка 5.2).</w:t>
      </w:r>
    </w:p>
    <w:p w14:paraId="7370D7C5" w14:textId="77777777" w:rsidR="00ED17BA" w:rsidRPr="00ED17BA" w:rsidRDefault="00ED17BA" w:rsidP="00ED17BA">
      <w:pPr>
        <w:spacing w:line="240" w:lineRule="auto"/>
        <w:rPr>
          <w:rFonts w:eastAsia="Times New Roman" w:cs="Arial"/>
          <w:i/>
          <w:iCs/>
          <w:color w:val="000000"/>
          <w:szCs w:val="20"/>
          <w:lang w:eastAsia="bg-BG"/>
        </w:rPr>
      </w:pPr>
    </w:p>
    <w:p w14:paraId="4F80AA68" w14:textId="22E62D9E"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Чернодробно увреждане</w:t>
      </w:r>
    </w:p>
    <w:p w14:paraId="16162D4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lastRenderedPageBreak/>
        <w:t>Дуласолан не трябва да се прилага при пациенти с чернодробно заболяване, довело до чернодробна недостатъчност (вж. точка 4.3. и точка 5.2).</w:t>
      </w:r>
    </w:p>
    <w:p w14:paraId="206FE833" w14:textId="77777777" w:rsidR="00ED17BA" w:rsidRPr="00ED17BA" w:rsidRDefault="00ED17BA" w:rsidP="00ED17BA">
      <w:pPr>
        <w:spacing w:line="240" w:lineRule="auto"/>
        <w:rPr>
          <w:rFonts w:eastAsia="Times New Roman" w:cs="Arial"/>
          <w:i/>
          <w:iCs/>
          <w:color w:val="000000"/>
          <w:szCs w:val="20"/>
          <w:lang w:eastAsia="bg-BG"/>
        </w:rPr>
      </w:pPr>
    </w:p>
    <w:p w14:paraId="6BD3D0EF" w14:textId="4B128472"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Бъбречно увреждане</w:t>
      </w:r>
    </w:p>
    <w:p w14:paraId="3803605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Не е необходимо коригиране на дозата при пациенти с лека до умерена бъбречна дисфункция (креатининов клирънс 30 до 80 </w:t>
      </w:r>
      <w:r w:rsidRPr="00ED17BA">
        <w:rPr>
          <w:rFonts w:eastAsia="Times New Roman" w:cs="Arial"/>
          <w:color w:val="000000"/>
          <w:szCs w:val="20"/>
          <w:lang w:val="en-US"/>
        </w:rPr>
        <w:t>ml</w:t>
      </w:r>
      <w:r w:rsidRPr="00ED17BA">
        <w:rPr>
          <w:rFonts w:eastAsia="Times New Roman" w:cs="Arial"/>
          <w:color w:val="000000"/>
          <w:szCs w:val="20"/>
          <w:lang w:val="ru-RU"/>
        </w:rPr>
        <w:t>/</w:t>
      </w:r>
      <w:r w:rsidRPr="00ED17BA">
        <w:rPr>
          <w:rFonts w:eastAsia="Times New Roman" w:cs="Arial"/>
          <w:color w:val="000000"/>
          <w:szCs w:val="20"/>
          <w:lang w:val="en-US"/>
        </w:rPr>
        <w:t>min</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Дуласолан не трябва да се прилага при пациенти с тежко бъбречно увреждане (креатининов клирънс &lt;30 </w:t>
      </w:r>
      <w:r w:rsidRPr="00ED17BA">
        <w:rPr>
          <w:rFonts w:eastAsia="Times New Roman" w:cs="Arial"/>
          <w:color w:val="000000"/>
          <w:szCs w:val="20"/>
          <w:lang w:val="en-US"/>
        </w:rPr>
        <w:t>ml</w:t>
      </w:r>
      <w:r w:rsidRPr="00ED17BA">
        <w:rPr>
          <w:rFonts w:eastAsia="Times New Roman" w:cs="Arial"/>
          <w:color w:val="000000"/>
          <w:szCs w:val="20"/>
          <w:lang w:val="ru-RU"/>
        </w:rPr>
        <w:t>/</w:t>
      </w:r>
      <w:r w:rsidRPr="00ED17BA">
        <w:rPr>
          <w:rFonts w:eastAsia="Times New Roman" w:cs="Arial"/>
          <w:color w:val="000000"/>
          <w:szCs w:val="20"/>
          <w:lang w:val="en-US"/>
        </w:rPr>
        <w:t>min</w:t>
      </w:r>
      <w:r w:rsidRPr="00ED17BA">
        <w:rPr>
          <w:rFonts w:eastAsia="Times New Roman" w:cs="Arial"/>
          <w:color w:val="000000"/>
          <w:szCs w:val="20"/>
          <w:lang w:val="ru-RU"/>
        </w:rPr>
        <w:t xml:space="preserve">; </w:t>
      </w:r>
      <w:r w:rsidRPr="00ED17BA">
        <w:rPr>
          <w:rFonts w:eastAsia="Times New Roman" w:cs="Arial"/>
          <w:color w:val="000000"/>
          <w:szCs w:val="20"/>
          <w:lang w:eastAsia="bg-BG"/>
        </w:rPr>
        <w:t>вж. точка 4.3).</w:t>
      </w:r>
    </w:p>
    <w:p w14:paraId="291B44B2" w14:textId="77777777" w:rsidR="00ED17BA" w:rsidRPr="00ED17BA" w:rsidRDefault="00ED17BA" w:rsidP="00ED17BA">
      <w:pPr>
        <w:spacing w:line="240" w:lineRule="auto"/>
        <w:rPr>
          <w:rFonts w:eastAsia="Times New Roman" w:cs="Arial"/>
          <w:i/>
          <w:iCs/>
          <w:color w:val="000000"/>
          <w:szCs w:val="20"/>
          <w:lang w:eastAsia="bg-BG"/>
        </w:rPr>
      </w:pPr>
    </w:p>
    <w:p w14:paraId="74943C87" w14:textId="002BBDC1"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Педиатрична популация</w:t>
      </w:r>
    </w:p>
    <w:p w14:paraId="75E2ED1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Дулоксетин не трябва да се прилага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1DAE9AD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Безопасността и ефикасността на дулоксетин за лечение на генерализирано тревожно разстройство при деца на възраст 7 до 17 години не са установени. Наличните понастоящем данни са описани в точки 4.8,5.1 и 5.2.</w:t>
      </w:r>
    </w:p>
    <w:p w14:paraId="56349ADB" w14:textId="16272142"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76339280" w14:textId="33883B2D" w:rsidR="00ED17BA" w:rsidRPr="00ED17BA" w:rsidRDefault="00ED17BA" w:rsidP="00ED17BA">
      <w:pPr>
        <w:rPr>
          <w:rFonts w:eastAsia="Times New Roman" w:cs="Arial"/>
          <w:color w:val="000000"/>
          <w:szCs w:val="20"/>
          <w:lang w:eastAsia="bg-BG"/>
        </w:rPr>
      </w:pPr>
    </w:p>
    <w:p w14:paraId="46482070" w14:textId="7777777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Прекъсване на лечението</w:t>
      </w:r>
    </w:p>
    <w:p w14:paraId="58114346"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Трябва да се избягва рязко прекъсване. Когато се прекъсва лечение с Дуласолан,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по-постепенно.</w:t>
      </w:r>
    </w:p>
    <w:p w14:paraId="76D85999" w14:textId="77777777" w:rsidR="00ED17BA" w:rsidRPr="00ED17BA" w:rsidRDefault="00ED17BA" w:rsidP="00ED17BA">
      <w:pPr>
        <w:spacing w:line="240" w:lineRule="auto"/>
        <w:rPr>
          <w:rFonts w:eastAsia="Times New Roman" w:cs="Arial"/>
          <w:color w:val="000000"/>
          <w:szCs w:val="20"/>
          <w:u w:val="single"/>
          <w:lang w:eastAsia="bg-BG"/>
        </w:rPr>
      </w:pPr>
    </w:p>
    <w:p w14:paraId="294EC56C" w14:textId="54BD2243" w:rsidR="00ED17BA" w:rsidRPr="00ED17BA" w:rsidRDefault="00ED17BA" w:rsidP="00ED17BA">
      <w:pPr>
        <w:pStyle w:val="Heading3"/>
        <w:rPr>
          <w:rFonts w:eastAsia="Times New Roman"/>
          <w:sz w:val="28"/>
          <w:u w:val="single"/>
        </w:rPr>
      </w:pPr>
      <w:r w:rsidRPr="00ED17BA">
        <w:rPr>
          <w:rFonts w:eastAsia="Times New Roman"/>
          <w:u w:val="single"/>
          <w:lang w:eastAsia="bg-BG"/>
        </w:rPr>
        <w:t>Начин на приложение</w:t>
      </w:r>
    </w:p>
    <w:p w14:paraId="4DF896C7"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Перорално приложение.</w:t>
      </w:r>
    </w:p>
    <w:p w14:paraId="0C52FECC" w14:textId="77777777" w:rsidR="00ED17BA" w:rsidRPr="00ED17BA" w:rsidRDefault="00ED17BA" w:rsidP="00ED17BA"/>
    <w:p w14:paraId="0F253247" w14:textId="24AEF55A" w:rsidR="007122AD" w:rsidRDefault="002C50EE" w:rsidP="00936AD0">
      <w:pPr>
        <w:pStyle w:val="Heading2"/>
      </w:pPr>
      <w:r>
        <w:t>4.3. Противопоказания</w:t>
      </w:r>
    </w:p>
    <w:p w14:paraId="67073344" w14:textId="1A46B30A" w:rsidR="00ED17BA" w:rsidRDefault="00ED17BA" w:rsidP="00ED17BA"/>
    <w:p w14:paraId="0F80A138" w14:textId="77777777" w:rsidR="00ED17BA" w:rsidRPr="00ED17BA" w:rsidRDefault="00ED17BA" w:rsidP="00ED17BA">
      <w:pPr>
        <w:pStyle w:val="ListParagraph"/>
        <w:numPr>
          <w:ilvl w:val="0"/>
          <w:numId w:val="37"/>
        </w:numPr>
        <w:rPr>
          <w:lang w:eastAsia="bg-BG"/>
        </w:rPr>
      </w:pPr>
      <w:r w:rsidRPr="00ED17BA">
        <w:rPr>
          <w:lang w:eastAsia="bg-BG"/>
        </w:rPr>
        <w:t>Свръхчувствителност към активното вещество или към някое от помощните вещества, изброени в точка 6.1.</w:t>
      </w:r>
    </w:p>
    <w:p w14:paraId="54B5A9E0" w14:textId="77777777" w:rsidR="00ED17BA" w:rsidRPr="00ED17BA" w:rsidRDefault="00ED17BA" w:rsidP="00ED17BA">
      <w:pPr>
        <w:pStyle w:val="ListParagraph"/>
        <w:numPr>
          <w:ilvl w:val="0"/>
          <w:numId w:val="37"/>
        </w:numPr>
        <w:rPr>
          <w:lang w:eastAsia="bg-BG"/>
        </w:rPr>
      </w:pPr>
      <w:r w:rsidRPr="00ED17BA">
        <w:rPr>
          <w:lang w:eastAsia="bg-BG"/>
        </w:rPr>
        <w:t xml:space="preserve">Едновременното приложение на Дуласолан с неселекгивни, необратими инхибитори на моноаминооксидазата </w:t>
      </w:r>
      <w:r w:rsidRPr="00ED17BA">
        <w:rPr>
          <w:lang w:val="ru-RU"/>
        </w:rPr>
        <w:t>(</w:t>
      </w:r>
      <w:r w:rsidRPr="00ED17BA">
        <w:rPr>
          <w:lang w:val="en-US"/>
        </w:rPr>
        <w:t>MAO</w:t>
      </w:r>
      <w:r w:rsidRPr="00ED17BA">
        <w:rPr>
          <w:lang w:eastAsia="bg-BG"/>
        </w:rPr>
        <w:t>-инхибитори) е противопоказано (вж. точка 4.5).</w:t>
      </w:r>
    </w:p>
    <w:p w14:paraId="5842C99F" w14:textId="77777777" w:rsidR="00ED17BA" w:rsidRPr="00ED17BA" w:rsidRDefault="00ED17BA" w:rsidP="00ED17BA">
      <w:pPr>
        <w:pStyle w:val="ListParagraph"/>
        <w:numPr>
          <w:ilvl w:val="0"/>
          <w:numId w:val="37"/>
        </w:numPr>
        <w:rPr>
          <w:lang w:eastAsia="bg-BG"/>
        </w:rPr>
      </w:pPr>
      <w:r w:rsidRPr="00ED17BA">
        <w:rPr>
          <w:lang w:eastAsia="bg-BG"/>
        </w:rPr>
        <w:t>Чернодробно заболяване, водещо до чернодробно увреждане (вж. точка 5.2).</w:t>
      </w:r>
    </w:p>
    <w:p w14:paraId="153DAB09" w14:textId="77777777" w:rsidR="00ED17BA" w:rsidRPr="00ED17BA" w:rsidRDefault="00ED17BA" w:rsidP="00ED17BA">
      <w:pPr>
        <w:pStyle w:val="ListParagraph"/>
        <w:numPr>
          <w:ilvl w:val="0"/>
          <w:numId w:val="37"/>
        </w:numPr>
        <w:rPr>
          <w:lang w:eastAsia="bg-BG"/>
        </w:rPr>
      </w:pPr>
      <w:r w:rsidRPr="00ED17BA">
        <w:rPr>
          <w:lang w:eastAsia="bg-BG"/>
        </w:rPr>
        <w:t xml:space="preserve">Дуласолан не трябва да се прилага в комбинация с флувоксамин, ципрофлоксацин или еноксацин (т.е. мощни </w:t>
      </w:r>
      <w:r w:rsidRPr="00ED17BA">
        <w:rPr>
          <w:lang w:val="en-US"/>
        </w:rPr>
        <w:t>CYP</w:t>
      </w:r>
      <w:r w:rsidRPr="00ED17BA">
        <w:rPr>
          <w:lang w:val="ru-RU"/>
        </w:rPr>
        <w:t>1</w:t>
      </w:r>
      <w:r w:rsidRPr="00ED17BA">
        <w:rPr>
          <w:lang w:val="en-US"/>
        </w:rPr>
        <w:t>A</w:t>
      </w:r>
      <w:r w:rsidRPr="00ED17BA">
        <w:rPr>
          <w:lang w:val="ru-RU"/>
        </w:rPr>
        <w:t xml:space="preserve">2 </w:t>
      </w:r>
      <w:r w:rsidRPr="00ED17BA">
        <w:rPr>
          <w:lang w:eastAsia="bg-BG"/>
        </w:rPr>
        <w:t>инхибитори), тъй като комбинацията води до повишени плазмени концентрации на дулоксетин (вж. точка 4.5).</w:t>
      </w:r>
    </w:p>
    <w:p w14:paraId="79D73CAD" w14:textId="77777777" w:rsidR="00ED17BA" w:rsidRPr="00ED17BA" w:rsidRDefault="00ED17BA" w:rsidP="00ED17BA">
      <w:pPr>
        <w:pStyle w:val="ListParagraph"/>
        <w:numPr>
          <w:ilvl w:val="0"/>
          <w:numId w:val="37"/>
        </w:numPr>
        <w:rPr>
          <w:lang w:eastAsia="bg-BG"/>
        </w:rPr>
      </w:pPr>
      <w:r w:rsidRPr="00ED17BA">
        <w:rPr>
          <w:lang w:eastAsia="bg-BG"/>
        </w:rPr>
        <w:t xml:space="preserve">Тежко бъбречно увреждане (креатининов клирьнс &lt;30 </w:t>
      </w:r>
      <w:r w:rsidRPr="00ED17BA">
        <w:rPr>
          <w:lang w:val="en-US"/>
        </w:rPr>
        <w:t>ml</w:t>
      </w:r>
      <w:r w:rsidRPr="00ED17BA">
        <w:rPr>
          <w:lang w:val="ru-RU"/>
        </w:rPr>
        <w:t>/</w:t>
      </w:r>
      <w:r w:rsidRPr="00ED17BA">
        <w:rPr>
          <w:lang w:val="en-US"/>
        </w:rPr>
        <w:t>min</w:t>
      </w:r>
      <w:r w:rsidRPr="00ED17BA">
        <w:rPr>
          <w:lang w:val="ru-RU"/>
        </w:rPr>
        <w:t xml:space="preserve">) </w:t>
      </w:r>
      <w:r w:rsidRPr="00ED17BA">
        <w:rPr>
          <w:lang w:eastAsia="bg-BG"/>
        </w:rPr>
        <w:t>(вж. точка 4.4).</w:t>
      </w:r>
    </w:p>
    <w:p w14:paraId="254F395C" w14:textId="1BDCA80F" w:rsidR="00ED17BA" w:rsidRDefault="00ED17BA" w:rsidP="00ED17BA">
      <w:pPr>
        <w:pStyle w:val="ListParagraph"/>
        <w:numPr>
          <w:ilvl w:val="0"/>
          <w:numId w:val="37"/>
        </w:numPr>
      </w:pPr>
      <w:r w:rsidRPr="00ED17BA">
        <w:rPr>
          <w:lang w:eastAsia="bg-BG"/>
        </w:rPr>
        <w:t>Започването на лечение със Дуласолан е противопоказано при пациенти с неконтролирана хипертония, което може да изложи пациентите на потенциален риск от хипертонична криза (вж. точка 4.4 и точка 4.8)</w:t>
      </w:r>
    </w:p>
    <w:p w14:paraId="7B2805C9" w14:textId="77777777" w:rsidR="00ED17BA" w:rsidRPr="00ED17BA" w:rsidRDefault="00ED17BA" w:rsidP="00ED17BA"/>
    <w:p w14:paraId="0E0BDCC7" w14:textId="2C39074D" w:rsidR="007122AD" w:rsidRDefault="002C50EE" w:rsidP="00936AD0">
      <w:pPr>
        <w:pStyle w:val="Heading2"/>
      </w:pPr>
      <w:r>
        <w:t>4.4. Специални предупреждения и предпазни мерки при употреба</w:t>
      </w:r>
    </w:p>
    <w:p w14:paraId="22D9E2C0" w14:textId="251DC728" w:rsidR="00ED17BA" w:rsidRDefault="00ED17BA" w:rsidP="00ED17BA"/>
    <w:p w14:paraId="70A9D818"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lastRenderedPageBreak/>
        <w:t>Мания и припадъци</w:t>
      </w:r>
    </w:p>
    <w:p w14:paraId="3ED415DE"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Дуласолан трябва да се прилага с внимание при пациенти с анамнеза за мания или с диагноза биполярно разстройство, и/или припадъци.</w:t>
      </w:r>
    </w:p>
    <w:p w14:paraId="13E534F5" w14:textId="77777777" w:rsidR="00ED17BA" w:rsidRPr="00ED17BA" w:rsidRDefault="00ED17BA" w:rsidP="00ED17BA">
      <w:pPr>
        <w:spacing w:line="240" w:lineRule="auto"/>
        <w:rPr>
          <w:rFonts w:eastAsia="Times New Roman" w:cs="Arial"/>
          <w:i/>
          <w:iCs/>
          <w:color w:val="000000"/>
          <w:lang w:eastAsia="bg-BG"/>
        </w:rPr>
      </w:pPr>
    </w:p>
    <w:p w14:paraId="6957B6F2" w14:textId="68BF7480"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Мидриаза</w:t>
      </w:r>
    </w:p>
    <w:p w14:paraId="65123ED3"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мидриаза, свързана с дулоксетин, затова трябва да се внимава при предписване на дулоксетин на пациенти с повишено вътреочно налягане или тези с повишен риск от остра тясноъгълна глаукома.</w:t>
      </w:r>
    </w:p>
    <w:p w14:paraId="552AD3A8" w14:textId="77777777" w:rsidR="00ED17BA" w:rsidRPr="00ED17BA" w:rsidRDefault="00ED17BA" w:rsidP="00ED17BA">
      <w:pPr>
        <w:spacing w:line="240" w:lineRule="auto"/>
        <w:rPr>
          <w:rFonts w:eastAsia="Times New Roman" w:cs="Arial"/>
          <w:i/>
          <w:iCs/>
          <w:color w:val="000000"/>
          <w:lang w:eastAsia="bg-BG"/>
        </w:rPr>
      </w:pPr>
    </w:p>
    <w:p w14:paraId="0801077D" w14:textId="6BE5423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Кръвно налягане и сърдечна честота</w:t>
      </w:r>
    </w:p>
    <w:p w14:paraId="2A88E9EE" w14:textId="5F48189E" w:rsidR="00ED17BA" w:rsidRPr="00ED17BA" w:rsidRDefault="00ED17BA" w:rsidP="00ED17BA">
      <w:pPr>
        <w:spacing w:line="240" w:lineRule="auto"/>
        <w:rPr>
          <w:rFonts w:eastAsia="Times New Roman" w:cs="Arial"/>
        </w:rPr>
      </w:pPr>
      <w:r w:rsidRPr="00ED17BA">
        <w:rPr>
          <w:rFonts w:eastAsia="Times New Roman" w:cs="Arial"/>
          <w:color w:val="000000"/>
          <w:lang w:eastAsia="bg-BG"/>
        </w:rPr>
        <w:t>При някои пациенти дулоксетин се свързва с повишаване на кръвното налягане и клинично значима хипертония. Това може да се дължи на норадренергичния ефект на дулоксетин. Има съобщения за случаи на хипертонични кризи, особено при пациенти с преди съществуваща хипертония. Затова при пациенти с установена хипертония и/или друго сърдечно заболяване се препоръчва проследяване на кръвното налягане, особено по време на първия месец от лечението. Дулоксетин трябва да се използва внимателно при пациенти, чието състояние може да се влоши от повишаване на сърдечната честота или от повишаване на кръвното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 на дулоксетин трябва да се обсъди понижаване на дозата или постепенно прекратяване на лечението (вж. точка 4.8). При пациенти с неконтролирана хипертония не трябва да се започва лечение с дулоксетин (вж. точка 4.3).</w:t>
      </w:r>
    </w:p>
    <w:p w14:paraId="0A4867A6" w14:textId="77777777" w:rsidR="00ED17BA" w:rsidRPr="00ED17BA" w:rsidRDefault="00ED17BA" w:rsidP="00ED17BA">
      <w:pPr>
        <w:spacing w:line="240" w:lineRule="auto"/>
        <w:rPr>
          <w:rFonts w:eastAsia="Times New Roman" w:cs="Arial"/>
          <w:i/>
          <w:iCs/>
          <w:color w:val="000000"/>
          <w:lang w:eastAsia="bg-BG"/>
        </w:rPr>
      </w:pPr>
    </w:p>
    <w:p w14:paraId="618306AE" w14:textId="6706C88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Бъбречно увреждане</w:t>
      </w:r>
    </w:p>
    <w:p w14:paraId="7AA43C64"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Повишени плазмени концентрации на дулоксетин са наблюдавани при пациенти с тежко</w:t>
      </w:r>
    </w:p>
    <w:p w14:paraId="0B9F1FC2" w14:textId="77777777" w:rsidR="00ED17BA" w:rsidRPr="00ED17BA" w:rsidRDefault="00ED17BA" w:rsidP="00ED17BA">
      <w:pPr>
        <w:rPr>
          <w:rFonts w:eastAsia="Times New Roman" w:cs="Arial"/>
        </w:rPr>
      </w:pPr>
      <w:r w:rsidRPr="00ED17BA">
        <w:rPr>
          <w:rFonts w:eastAsia="Times New Roman" w:cs="Arial"/>
          <w:color w:val="000000"/>
          <w:lang w:eastAsia="bg-BG"/>
        </w:rPr>
        <w:t xml:space="preserve">бъбречно увреждане, подложени на хемодиализа(креатининов клирънс &lt;30 </w:t>
      </w:r>
      <w:r w:rsidRPr="00ED17BA">
        <w:rPr>
          <w:rFonts w:eastAsia="Times New Roman" w:cs="Arial"/>
          <w:color w:val="000000"/>
          <w:lang w:val="en-US"/>
        </w:rPr>
        <w:t>ml</w:t>
      </w:r>
      <w:r w:rsidRPr="00ED17BA">
        <w:rPr>
          <w:rFonts w:eastAsia="Times New Roman" w:cs="Arial"/>
          <w:color w:val="000000"/>
          <w:lang w:val="ru-RU"/>
        </w:rPr>
        <w:t>/</w:t>
      </w:r>
      <w:r w:rsidRPr="00ED17BA">
        <w:rPr>
          <w:rFonts w:eastAsia="Times New Roman" w:cs="Arial"/>
          <w:color w:val="000000"/>
          <w:lang w:val="en-US"/>
        </w:rPr>
        <w:t>min</w:t>
      </w:r>
      <w:r w:rsidRPr="00ED17BA">
        <w:rPr>
          <w:rFonts w:eastAsia="Times New Roman" w:cs="Arial"/>
          <w:color w:val="000000"/>
          <w:lang w:val="ru-RU"/>
        </w:rPr>
        <w:t xml:space="preserve">). </w:t>
      </w:r>
      <w:r w:rsidRPr="00ED17BA">
        <w:rPr>
          <w:rFonts w:eastAsia="Times New Roman" w:cs="Arial"/>
          <w:color w:val="000000"/>
          <w:lang w:eastAsia="bg-BG"/>
        </w:rPr>
        <w:t>За пациенти с тежко бъбречно увреждане вижте точка 4,3, За информация относно пациентите с лека до умерена бъбречна недостатъчност вижте точка 4.2.</w:t>
      </w:r>
    </w:p>
    <w:p w14:paraId="0BFB4140" w14:textId="77777777" w:rsidR="00ED17BA" w:rsidRPr="00ED17BA" w:rsidRDefault="00ED17BA" w:rsidP="00ED17BA">
      <w:pPr>
        <w:spacing w:line="240" w:lineRule="auto"/>
        <w:rPr>
          <w:rFonts w:eastAsia="Times New Roman" w:cs="Arial"/>
          <w:i/>
          <w:iCs/>
          <w:color w:val="000000"/>
          <w:lang w:eastAsia="bg-BG"/>
        </w:rPr>
      </w:pPr>
    </w:p>
    <w:p w14:paraId="72920DBF" w14:textId="6E31EA6D"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Серотонинов синдром</w:t>
      </w:r>
    </w:p>
    <w:p w14:paraId="68264209"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Както при други серотонинергични .лекарствени средства, така и при лечение с дулоксетин може да се появи серотонинов синдром- едно потенциално животозастрашаващо състояние, особено при едновременна употреба с други серотонинергични лекарствени средства (включително </w:t>
      </w:r>
      <w:r w:rsidRPr="00ED17BA">
        <w:rPr>
          <w:rFonts w:eastAsia="Times New Roman" w:cs="Arial"/>
          <w:color w:val="000000"/>
          <w:lang w:val="en-US"/>
        </w:rPr>
        <w:t>SSRI</w:t>
      </w:r>
      <w:r w:rsidRPr="00ED17BA">
        <w:rPr>
          <w:rFonts w:eastAsia="Times New Roman" w:cs="Arial"/>
          <w:color w:val="000000"/>
          <w:lang w:val="ru-RU"/>
        </w:rPr>
        <w:t xml:space="preserve">, </w:t>
      </w:r>
      <w:r w:rsidRPr="00ED17BA">
        <w:rPr>
          <w:rFonts w:eastAsia="Times New Roman" w:cs="Arial"/>
          <w:color w:val="000000"/>
          <w:lang w:val="en-US"/>
        </w:rPr>
        <w:t>SNRI</w:t>
      </w:r>
      <w:r w:rsidRPr="00ED17BA">
        <w:rPr>
          <w:rFonts w:eastAsia="Times New Roman" w:cs="Arial"/>
          <w:color w:val="000000"/>
          <w:lang w:val="ru-RU"/>
        </w:rPr>
        <w:t xml:space="preserve">, </w:t>
      </w:r>
      <w:r w:rsidRPr="00ED17BA">
        <w:rPr>
          <w:rFonts w:eastAsia="Times New Roman" w:cs="Arial"/>
          <w:color w:val="000000"/>
          <w:lang w:eastAsia="bg-BG"/>
        </w:rPr>
        <w:t>трициклични антидепресанти или триптани), с лекарствени средства, които нарушават метаболизма на серотонина, като МАО-инхибитори, или с антипсихотични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1EC0319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Симптомите на серотонинов синдром могат да включват промени в менталния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 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повишаването на дозата.</w:t>
      </w:r>
    </w:p>
    <w:p w14:paraId="282D147C" w14:textId="77777777" w:rsidR="00ED17BA" w:rsidRPr="00ED17BA" w:rsidRDefault="00ED17BA" w:rsidP="00ED17BA">
      <w:pPr>
        <w:spacing w:line="240" w:lineRule="auto"/>
        <w:rPr>
          <w:rFonts w:eastAsia="Times New Roman" w:cs="Arial"/>
          <w:i/>
          <w:iCs/>
          <w:color w:val="000000"/>
          <w:lang w:eastAsia="bg-BG"/>
        </w:rPr>
      </w:pPr>
    </w:p>
    <w:p w14:paraId="4E3BD515" w14:textId="4102EC39"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Жълт кантарион</w:t>
      </w:r>
    </w:p>
    <w:p w14:paraId="686A754C"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lastRenderedPageBreak/>
        <w:t xml:space="preserve">По време на едновременното приложение на Дуласолан и растителни препарати, съдържащи жълт кантарион </w:t>
      </w:r>
      <w:r w:rsidRPr="00ED17BA">
        <w:rPr>
          <w:rFonts w:eastAsia="Times New Roman" w:cs="Arial"/>
          <w:i/>
          <w:iCs/>
          <w:color w:val="000000"/>
          <w:lang w:val="ru-RU"/>
        </w:rPr>
        <w:t>(</w:t>
      </w:r>
      <w:proofErr w:type="spellStart"/>
      <w:r w:rsidRPr="00ED17BA">
        <w:rPr>
          <w:rFonts w:eastAsia="Times New Roman" w:cs="Arial"/>
          <w:i/>
          <w:iCs/>
          <w:color w:val="000000"/>
          <w:lang w:val="en-US"/>
        </w:rPr>
        <w:t>Hypericum</w:t>
      </w:r>
      <w:proofErr w:type="spellEnd"/>
      <w:r w:rsidRPr="00ED17BA">
        <w:rPr>
          <w:rFonts w:eastAsia="Times New Roman" w:cs="Arial"/>
          <w:i/>
          <w:iCs/>
          <w:color w:val="000000"/>
          <w:lang w:val="ru-RU"/>
        </w:rPr>
        <w:t xml:space="preserve"> </w:t>
      </w:r>
      <w:proofErr w:type="spellStart"/>
      <w:r w:rsidRPr="00ED17BA">
        <w:rPr>
          <w:rFonts w:eastAsia="Times New Roman" w:cs="Arial"/>
          <w:i/>
          <w:iCs/>
          <w:color w:val="000000"/>
          <w:lang w:val="en-US"/>
        </w:rPr>
        <w:t>perforatum</w:t>
      </w:r>
      <w:proofErr w:type="spellEnd"/>
      <w:r w:rsidRPr="00ED17BA">
        <w:rPr>
          <w:rFonts w:eastAsia="Times New Roman" w:cs="Arial"/>
          <w:i/>
          <w:iCs/>
          <w:color w:val="000000"/>
          <w:lang w:val="ru-RU"/>
        </w:rPr>
        <w:t>)</w:t>
      </w:r>
      <w:r w:rsidRPr="00ED17BA">
        <w:rPr>
          <w:rFonts w:eastAsia="Times New Roman" w:cs="Arial"/>
          <w:color w:val="000000"/>
          <w:lang w:val="ru-RU"/>
        </w:rPr>
        <w:t xml:space="preserve"> </w:t>
      </w:r>
      <w:r w:rsidRPr="00ED17BA">
        <w:rPr>
          <w:rFonts w:eastAsia="Times New Roman" w:cs="Arial"/>
          <w:color w:val="000000"/>
          <w:lang w:eastAsia="bg-BG"/>
        </w:rPr>
        <w:t>нежеланите реакции може да са по-чести.</w:t>
      </w:r>
    </w:p>
    <w:p w14:paraId="5C75DE66" w14:textId="77777777" w:rsidR="00ED17BA" w:rsidRPr="00ED17BA" w:rsidRDefault="00ED17BA" w:rsidP="00ED17BA">
      <w:pPr>
        <w:spacing w:line="240" w:lineRule="auto"/>
        <w:rPr>
          <w:rFonts w:eastAsia="Times New Roman" w:cs="Arial"/>
          <w:i/>
          <w:iCs/>
          <w:color w:val="000000"/>
          <w:lang w:eastAsia="bg-BG"/>
        </w:rPr>
      </w:pPr>
    </w:p>
    <w:p w14:paraId="5722C950" w14:textId="6477A15A"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Самоубийство</w:t>
      </w:r>
    </w:p>
    <w:p w14:paraId="6C91E0B2"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Голямо депресивно разстройство и генерализирано тревожно разстройство:</w:t>
      </w:r>
      <w:r w:rsidRPr="00ED17BA">
        <w:rPr>
          <w:rFonts w:eastAsia="Times New Roman" w:cs="Arial"/>
          <w:color w:val="000000"/>
          <w:lang w:eastAsia="bg-BG"/>
        </w:rPr>
        <w:t xml:space="preserve"> Депресията се свързва с повишен риск от суицидни мисли, самонараняване и самоубийство (събития, свързани със самоубийство). Рискът се запазва до настъпване на значима ремисия. Тъй като може да не настъпи подобрение по време на първите няколко седмици или повече от лечението, пациентите трябва да бъдат проследявани внимателно до настъпване на такова подобрение. Общ клиничен опит е, че рискът от самоубийство може да се повиши през ранните етапи на възстановяване.</w:t>
      </w:r>
    </w:p>
    <w:p w14:paraId="3365F65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Други психични състояния, за които се предписва Дуласолан,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69A73965"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Известно е, че пациенти с анамнеза за събития, свързани със самоубийство или такива, проявяващи значителна степен на суицидни мисли преди началото на лечението, са с по-висок риск от суицидни мисли или суицидно поведение и трябва да се проследяват внимателно по време на лечението. Един 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4F51CBD4"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случаи на суицидни мисли и суицидно поведение по време на лечение с дулоксетин или скоро след прекратяване на лечението (вж. точка 4.8).</w:t>
      </w:r>
    </w:p>
    <w:p w14:paraId="100572B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Медикаментозното лечение трябва да се съпътства от внимателно наблюдение на пациентите и най-вече тези с висок риск, особено в началото на лечението и след промяна на дозата. Пациентите (и тези, които се грижат за пациенти) трябва да бъдат подготвени за необходимостта от проследяване за поява на някакво клинично влошаване, суицидно поведение или мисли и за необичайни промени в поведението и, ако има такива симптоми, незабавно да се посъветват с лекар.</w:t>
      </w:r>
    </w:p>
    <w:p w14:paraId="619CC296" w14:textId="77777777" w:rsidR="00ED17BA" w:rsidRPr="00ED17BA" w:rsidRDefault="00ED17BA" w:rsidP="00ED17BA">
      <w:pPr>
        <w:spacing w:line="240" w:lineRule="auto"/>
        <w:rPr>
          <w:rFonts w:eastAsia="Times New Roman" w:cs="Arial"/>
          <w:i/>
          <w:iCs/>
          <w:color w:val="000000"/>
          <w:lang w:eastAsia="bg-BG"/>
        </w:rPr>
      </w:pPr>
    </w:p>
    <w:p w14:paraId="3C0D8847" w14:textId="55E1D2AD" w:rsidR="00ED17BA" w:rsidRPr="00ED17BA" w:rsidRDefault="00ED17BA" w:rsidP="00ED17BA">
      <w:pPr>
        <w:spacing w:line="240" w:lineRule="auto"/>
        <w:rPr>
          <w:rFonts w:eastAsia="Times New Roman" w:cs="Arial"/>
          <w:color w:val="000000"/>
          <w:lang w:eastAsia="bg-BG"/>
        </w:rPr>
      </w:pPr>
      <w:r w:rsidRPr="00ED17BA">
        <w:rPr>
          <w:rFonts w:eastAsia="Times New Roman" w:cs="Arial"/>
          <w:i/>
          <w:iCs/>
          <w:color w:val="000000"/>
          <w:lang w:eastAsia="bg-BG"/>
        </w:rPr>
        <w:t>Диабетна периферна невропатна болка:</w:t>
      </w:r>
      <w:r w:rsidRPr="00ED17BA">
        <w:rPr>
          <w:rFonts w:eastAsia="Times New Roman" w:cs="Arial"/>
          <w:color w:val="000000"/>
          <w:lang w:eastAsia="bg-BG"/>
        </w:rPr>
        <w:t xml:space="preserve"> Както при други лекарствени продукти с подобно фармакологично действие (антидепресанти) се съобщава за отделни случаи </w:t>
      </w:r>
      <w:r w:rsidRPr="00ED17BA">
        <w:rPr>
          <w:rFonts w:eastAsia="Times New Roman" w:cs="Arial"/>
          <w:i/>
          <w:iCs/>
          <w:color w:val="000000"/>
          <w:lang w:eastAsia="bg-BG"/>
        </w:rPr>
        <w:t xml:space="preserve">на суицидна </w:t>
      </w:r>
      <w:r w:rsidRPr="00ED17BA">
        <w:rPr>
          <w:rFonts w:eastAsia="Times New Roman" w:cs="Arial"/>
          <w:color w:val="000000"/>
          <w:lang w:eastAsia="bg-BG"/>
        </w:rPr>
        <w:t>идеация и суицидно поведение по време на терапия с дулоксетин или скоро след прекратяване на лечението. Относно рисковите фактори за суицидност при депресия, вижте по-горе.</w:t>
      </w:r>
    </w:p>
    <w:p w14:paraId="535C1D0D" w14:textId="0FD34C46" w:rsidR="00ED17BA" w:rsidRPr="00ED17BA" w:rsidRDefault="00ED17BA" w:rsidP="00ED17BA">
      <w:pPr>
        <w:spacing w:line="240" w:lineRule="auto"/>
        <w:rPr>
          <w:rFonts w:eastAsia="Times New Roman" w:cs="Arial"/>
          <w:color w:val="000000"/>
          <w:lang w:eastAsia="bg-BG"/>
        </w:rPr>
      </w:pPr>
    </w:p>
    <w:p w14:paraId="51C827A2"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Лекарите трябва да насърчават пациентите по всяко време да съобщават за всякакви тъжни мисли или чувства.</w:t>
      </w:r>
    </w:p>
    <w:p w14:paraId="330DD7A6" w14:textId="77777777" w:rsidR="00ED17BA" w:rsidRPr="00ED17BA" w:rsidRDefault="00ED17BA" w:rsidP="00ED17BA">
      <w:pPr>
        <w:spacing w:line="240" w:lineRule="auto"/>
        <w:rPr>
          <w:rFonts w:eastAsia="Times New Roman" w:cs="Arial"/>
          <w:i/>
          <w:iCs/>
          <w:color w:val="000000"/>
          <w:lang w:eastAsia="bg-BG"/>
        </w:rPr>
      </w:pPr>
    </w:p>
    <w:p w14:paraId="06A551C3" w14:textId="71BB21D5"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Употреба при деца и юноши под 18-годишна възраст</w:t>
      </w:r>
    </w:p>
    <w:p w14:paraId="0F3E6C8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Дуласолан не трябва да се използва за лечение на деца и юноши под 18-годишна възраст. Суицидно поведение (опити за самоубийство и суицидни мисли), и враждебност (предимно агресия, опозиционно поведение и гняв) са наблюдавани в клинични проучвания по-често при деца и юноши лекувани с антидепресанти, в сравнение с тези лекувани с плацебо. Ако, независимо от това се вземе решение за лечение въз основа на клинична необходимост, пациентите трябва внимателно да бъдат проследявани за поява на суицидни симптоми (вж. точка 5.1). В допълнение, при деца и юноши липсват данни за </w:t>
      </w:r>
      <w:r w:rsidRPr="00ED17BA">
        <w:rPr>
          <w:rFonts w:eastAsia="Times New Roman" w:cs="Arial"/>
          <w:color w:val="000000"/>
          <w:lang w:eastAsia="bg-BG"/>
        </w:rPr>
        <w:lastRenderedPageBreak/>
        <w:t>дългосрочна безопасност по отношение на растежа, съзряването и когнитивното и поведенческо развитие (вж. точка 4.8).</w:t>
      </w:r>
    </w:p>
    <w:p w14:paraId="467A8F71" w14:textId="77777777" w:rsidR="00ED17BA" w:rsidRPr="00ED17BA" w:rsidRDefault="00ED17BA" w:rsidP="00ED17BA">
      <w:pPr>
        <w:spacing w:line="240" w:lineRule="auto"/>
        <w:rPr>
          <w:rFonts w:eastAsia="Times New Roman" w:cs="Arial"/>
          <w:i/>
          <w:iCs/>
          <w:color w:val="000000"/>
          <w:lang w:eastAsia="bg-BG"/>
        </w:rPr>
      </w:pPr>
    </w:p>
    <w:p w14:paraId="68D528FD" w14:textId="3516CB1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Кръвоизливи</w:t>
      </w:r>
    </w:p>
    <w:p w14:paraId="54925E7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Има съобщения за абнормно кървене, като екхимози, пурпура и стомашно-чревни кръвоизливи при употреба на селективни инхибитори на обратното захващане на серотонина </w:t>
      </w:r>
      <w:r w:rsidRPr="00ED17BA">
        <w:rPr>
          <w:rFonts w:eastAsia="Times New Roman" w:cs="Arial"/>
          <w:color w:val="000000"/>
        </w:rPr>
        <w:t>(</w:t>
      </w:r>
      <w:r w:rsidRPr="00ED17BA">
        <w:rPr>
          <w:rFonts w:eastAsia="Times New Roman" w:cs="Arial"/>
          <w:color w:val="000000"/>
          <w:lang w:val="en-US"/>
        </w:rPr>
        <w:t>selective</w:t>
      </w:r>
      <w:r w:rsidRPr="00ED17BA">
        <w:rPr>
          <w:rFonts w:eastAsia="Times New Roman" w:cs="Arial"/>
          <w:color w:val="000000"/>
        </w:rPr>
        <w:t xml:space="preserve"> </w:t>
      </w:r>
      <w:r w:rsidRPr="00ED17BA">
        <w:rPr>
          <w:rFonts w:eastAsia="Times New Roman" w:cs="Arial"/>
          <w:color w:val="000000"/>
          <w:lang w:val="en-US"/>
        </w:rPr>
        <w:t>serotonin</w:t>
      </w:r>
      <w:r w:rsidRPr="00ED17BA">
        <w:rPr>
          <w:rFonts w:eastAsia="Times New Roman" w:cs="Arial"/>
          <w:color w:val="000000"/>
        </w:rPr>
        <w:t xml:space="preserve"> </w:t>
      </w:r>
      <w:r w:rsidRPr="00ED17BA">
        <w:rPr>
          <w:rFonts w:eastAsia="Times New Roman" w:cs="Arial"/>
          <w:color w:val="000000"/>
          <w:lang w:val="en-US"/>
        </w:rPr>
        <w:t>reuptake</w:t>
      </w:r>
      <w:r w:rsidRPr="00ED17BA">
        <w:rPr>
          <w:rFonts w:eastAsia="Times New Roman" w:cs="Arial"/>
          <w:color w:val="000000"/>
        </w:rPr>
        <w:t xml:space="preserve"> </w:t>
      </w:r>
      <w:r w:rsidRPr="00ED17BA">
        <w:rPr>
          <w:rFonts w:eastAsia="Times New Roman" w:cs="Arial"/>
          <w:color w:val="000000"/>
          <w:lang w:val="en-US"/>
        </w:rPr>
        <w:t>inhibitors</w:t>
      </w:r>
      <w:r w:rsidRPr="00ED17BA">
        <w:rPr>
          <w:rFonts w:eastAsia="Times New Roman" w:cs="Arial"/>
          <w:color w:val="000000"/>
        </w:rPr>
        <w:t xml:space="preserve">, </w:t>
      </w:r>
      <w:r w:rsidRPr="00ED17BA">
        <w:rPr>
          <w:rFonts w:eastAsia="Times New Roman" w:cs="Arial"/>
          <w:color w:val="000000"/>
          <w:lang w:val="en-US"/>
        </w:rPr>
        <w:t>SSRI</w:t>
      </w:r>
      <w:r w:rsidRPr="00ED17BA">
        <w:rPr>
          <w:rFonts w:eastAsia="Times New Roman" w:cs="Arial"/>
          <w:color w:val="000000"/>
        </w:rPr>
        <w:t xml:space="preserve">) </w:t>
      </w:r>
      <w:r w:rsidRPr="00ED17BA">
        <w:rPr>
          <w:rFonts w:eastAsia="Times New Roman" w:cs="Arial"/>
          <w:color w:val="000000"/>
          <w:lang w:eastAsia="bg-BG"/>
        </w:rPr>
        <w:t xml:space="preserve">и инхибитори на обратното захващане на серотонина/норадреналина </w:t>
      </w:r>
      <w:r w:rsidRPr="00ED17BA">
        <w:rPr>
          <w:rFonts w:eastAsia="Times New Roman" w:cs="Arial"/>
          <w:color w:val="000000"/>
        </w:rPr>
        <w:t>(</w:t>
      </w:r>
      <w:r w:rsidRPr="00ED17BA">
        <w:rPr>
          <w:rFonts w:eastAsia="Times New Roman" w:cs="Arial"/>
          <w:color w:val="000000"/>
          <w:lang w:val="en-US"/>
        </w:rPr>
        <w:t>serotonin</w:t>
      </w:r>
      <w:r w:rsidRPr="00ED17BA">
        <w:rPr>
          <w:rFonts w:eastAsia="Times New Roman" w:cs="Arial"/>
          <w:color w:val="000000"/>
        </w:rPr>
        <w:t>/</w:t>
      </w:r>
      <w:r w:rsidRPr="00ED17BA">
        <w:rPr>
          <w:rFonts w:eastAsia="Times New Roman" w:cs="Arial"/>
          <w:color w:val="000000"/>
          <w:lang w:val="en-US"/>
        </w:rPr>
        <w:t>noradrenaline</w:t>
      </w:r>
      <w:r w:rsidRPr="00ED17BA">
        <w:rPr>
          <w:rFonts w:eastAsia="Times New Roman" w:cs="Arial"/>
          <w:color w:val="000000"/>
        </w:rPr>
        <w:t xml:space="preserve"> </w:t>
      </w:r>
      <w:r w:rsidRPr="00ED17BA">
        <w:rPr>
          <w:rFonts w:eastAsia="Times New Roman" w:cs="Arial"/>
          <w:color w:val="000000"/>
          <w:lang w:val="en-US"/>
        </w:rPr>
        <w:t>reuptake</w:t>
      </w:r>
      <w:r w:rsidRPr="00ED17BA">
        <w:rPr>
          <w:rFonts w:eastAsia="Times New Roman" w:cs="Arial"/>
          <w:color w:val="000000"/>
        </w:rPr>
        <w:t xml:space="preserve"> </w:t>
      </w:r>
      <w:r w:rsidRPr="00ED17BA">
        <w:rPr>
          <w:rFonts w:eastAsia="Times New Roman" w:cs="Arial"/>
          <w:color w:val="000000"/>
          <w:lang w:val="en-US"/>
        </w:rPr>
        <w:t>inhibitors</w:t>
      </w:r>
      <w:r w:rsidRPr="00ED17BA">
        <w:rPr>
          <w:rFonts w:eastAsia="Times New Roman" w:cs="Arial"/>
          <w:color w:val="000000"/>
        </w:rPr>
        <w:t xml:space="preserve">, </w:t>
      </w:r>
      <w:r w:rsidRPr="00ED17BA">
        <w:rPr>
          <w:rFonts w:eastAsia="Times New Roman" w:cs="Arial"/>
          <w:color w:val="000000"/>
          <w:lang w:val="en-US"/>
        </w:rPr>
        <w:t>SNRI</w:t>
      </w:r>
      <w:r w:rsidRPr="00ED17BA">
        <w:rPr>
          <w:rFonts w:eastAsia="Times New Roman" w:cs="Arial"/>
          <w:color w:val="000000"/>
        </w:rPr>
        <w:t xml:space="preserve">), </w:t>
      </w:r>
      <w:r w:rsidRPr="00ED17BA">
        <w:rPr>
          <w:rFonts w:eastAsia="Times New Roman" w:cs="Arial"/>
          <w:color w:val="000000"/>
          <w:lang w:eastAsia="bg-BG"/>
        </w:rPr>
        <w:t>включително дулоксетин. Дулоксетин може да повиши риска от постпартална хеморагия (вижте точка 4.6). Препоръчва се да се внимава при пациенти, приемащи антикоагулаати и/или лекарствени продукти, за които е известно, че повлияват тромбоцитната функция (напр., НСПВС или ацетилсалицилова киселина (АСК)), и при пациенти с известна тенденция към кървене.</w:t>
      </w:r>
    </w:p>
    <w:p w14:paraId="65B15226" w14:textId="77777777" w:rsidR="00ED17BA" w:rsidRPr="00ED17BA" w:rsidRDefault="00ED17BA" w:rsidP="00ED17BA">
      <w:pPr>
        <w:spacing w:line="240" w:lineRule="auto"/>
        <w:rPr>
          <w:rFonts w:eastAsia="Times New Roman" w:cs="Arial"/>
          <w:i/>
          <w:iCs/>
          <w:color w:val="000000"/>
          <w:lang w:eastAsia="bg-BG"/>
        </w:rPr>
      </w:pPr>
    </w:p>
    <w:p w14:paraId="0E3F7618" w14:textId="66DDCA93"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Хипонатриемия</w:t>
      </w:r>
    </w:p>
    <w:p w14:paraId="33A22F4A"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При приложение на дулоксетин се съобщава за хипонатриемия, включително случаи със серумен натрий по-нисък от 110 </w:t>
      </w:r>
      <w:proofErr w:type="spellStart"/>
      <w:r w:rsidRPr="00ED17BA">
        <w:rPr>
          <w:rFonts w:eastAsia="Times New Roman" w:cs="Arial"/>
          <w:color w:val="000000"/>
          <w:lang w:val="en-US"/>
        </w:rPr>
        <w:t>mmol</w:t>
      </w:r>
      <w:proofErr w:type="spellEnd"/>
      <w:r w:rsidRPr="00ED17BA">
        <w:rPr>
          <w:rFonts w:eastAsia="Times New Roman" w:cs="Arial"/>
          <w:color w:val="000000"/>
          <w:lang w:val="ru-RU"/>
        </w:rPr>
        <w:t xml:space="preserve">/1. </w:t>
      </w:r>
      <w:r w:rsidRPr="00ED17BA">
        <w:rPr>
          <w:rFonts w:eastAsia="Times New Roman" w:cs="Arial"/>
          <w:color w:val="000000"/>
          <w:lang w:eastAsia="bg-BG"/>
        </w:rPr>
        <w:t>Хипонатриемията може да се дължи на синдром на неадекватна секреция на антидиуретичен хормон (СНАДХ).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26A56ECC" w14:textId="77777777" w:rsidR="00ED17BA" w:rsidRPr="00ED17BA" w:rsidRDefault="00ED17BA" w:rsidP="00ED17BA">
      <w:pPr>
        <w:spacing w:line="240" w:lineRule="auto"/>
        <w:rPr>
          <w:rFonts w:eastAsia="Times New Roman" w:cs="Arial"/>
          <w:i/>
          <w:iCs/>
          <w:color w:val="000000"/>
          <w:lang w:eastAsia="bg-BG"/>
        </w:rPr>
      </w:pPr>
    </w:p>
    <w:p w14:paraId="6FFD090A" w14:textId="5EA97975"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Преустановяване на лечението</w:t>
      </w:r>
    </w:p>
    <w:p w14:paraId="5950B8B2"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Симптомите на отнемане при прекъсване на лечението са чести, особено ако прекъсването е рязко (вж. точка 4.8). В клинични проучвания, нежелани реакции, наблюдавани при рязко прекъсване на лечението са се появили при около 45% от пациентите лекувани с дулоксетин и при 23% от пациентите приемали плацебо. Рискът от симптоми на отнемане, наблюдавани при </w:t>
      </w:r>
      <w:r w:rsidRPr="00ED17BA">
        <w:rPr>
          <w:rFonts w:eastAsia="Times New Roman" w:cs="Arial"/>
          <w:color w:val="000000"/>
          <w:lang w:val="en-US"/>
        </w:rPr>
        <w:t>SSRI</w:t>
      </w:r>
      <w:r w:rsidRPr="00ED17BA">
        <w:rPr>
          <w:rFonts w:eastAsia="Times New Roman" w:cs="Arial"/>
          <w:color w:val="000000"/>
          <w:lang w:val="ru-RU"/>
        </w:rPr>
        <w:t xml:space="preserve"> </w:t>
      </w:r>
      <w:r w:rsidRPr="00ED17BA">
        <w:rPr>
          <w:rFonts w:eastAsia="Times New Roman" w:cs="Arial"/>
          <w:color w:val="000000"/>
          <w:lang w:eastAsia="bg-BG"/>
        </w:rPr>
        <w:t xml:space="preserve">и </w:t>
      </w:r>
      <w:r w:rsidRPr="00ED17BA">
        <w:rPr>
          <w:rFonts w:eastAsia="Times New Roman" w:cs="Arial"/>
          <w:color w:val="000000"/>
          <w:lang w:val="en-US"/>
        </w:rPr>
        <w:t>SRNI</w:t>
      </w:r>
      <w:r w:rsidRPr="00ED17BA">
        <w:rPr>
          <w:rFonts w:eastAsia="Times New Roman" w:cs="Arial"/>
          <w:color w:val="000000"/>
          <w:lang w:val="ru-RU"/>
        </w:rPr>
        <w:t xml:space="preserve"> </w:t>
      </w:r>
      <w:r w:rsidRPr="00ED17BA">
        <w:rPr>
          <w:rFonts w:eastAsia="Times New Roman" w:cs="Arial"/>
          <w:color w:val="000000"/>
          <w:lang w:eastAsia="bg-BG"/>
        </w:rPr>
        <w:t>може да зависи от множество фактори, включително продължителността на лечението и дозировката, и от степента на намаляване на дозата. Най-често наблюдаваните реакции са посочени в точка 4.8. Обикновено тези симптомите са леки до умерени, въпреки, че при някои пациенти те могат да бъдат тежки по интензивност. Обикновено възникват в рамките на първите няколко дни от преустановяване на лечението, но има много редки съобщения за такива симптоми при пациенти, пропуснали доза по невнимание. Като цяло, тези симптоми са самоограничаващи се и обикновено отзвучават в рамките на 2 седмици, но при някои индивиди, те могат да са продължителни (2-3 месеца и повече). Ето защо, се препоръчва постепенно намаляване на дозата на дулоксетин при преустановяване на лечението за период не по-малък от 2 седмици, в зависимост от потребностите на пациента (вж. точка 4.2).</w:t>
      </w:r>
    </w:p>
    <w:p w14:paraId="75E190BE" w14:textId="77777777" w:rsidR="00ED17BA" w:rsidRPr="00ED17BA" w:rsidRDefault="00ED17BA" w:rsidP="00ED17BA">
      <w:pPr>
        <w:spacing w:line="240" w:lineRule="auto"/>
        <w:rPr>
          <w:rFonts w:eastAsia="Times New Roman" w:cs="Arial"/>
          <w:i/>
          <w:iCs/>
          <w:color w:val="000000"/>
          <w:lang w:eastAsia="bg-BG"/>
        </w:rPr>
      </w:pPr>
    </w:p>
    <w:p w14:paraId="08CA6C72" w14:textId="3398542A"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Пациенти в старческа възраст</w:t>
      </w:r>
    </w:p>
    <w:p w14:paraId="58AEF47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Данните за употреба на 120 </w:t>
      </w:r>
      <w:r w:rsidRPr="00ED17BA">
        <w:rPr>
          <w:rFonts w:eastAsia="Times New Roman" w:cs="Arial"/>
          <w:color w:val="000000"/>
          <w:lang w:val="en-US"/>
        </w:rPr>
        <w:t>mg</w:t>
      </w:r>
      <w:r w:rsidRPr="00ED17BA">
        <w:rPr>
          <w:rFonts w:eastAsia="Times New Roman" w:cs="Arial"/>
          <w:color w:val="000000"/>
          <w:lang w:val="ru-RU"/>
        </w:rPr>
        <w:t xml:space="preserve"> </w:t>
      </w:r>
      <w:r w:rsidRPr="00ED17BA">
        <w:rPr>
          <w:rFonts w:eastAsia="Times New Roman" w:cs="Arial"/>
          <w:color w:val="000000"/>
          <w:lang w:eastAsia="bg-BG"/>
        </w:rPr>
        <w:t>дулоксетин при пациенти в старческа възраст с голямо</w:t>
      </w:r>
    </w:p>
    <w:p w14:paraId="3821D706" w14:textId="4AE5ECD2" w:rsidR="00ED17BA" w:rsidRPr="00ED17BA" w:rsidRDefault="00ED17BA" w:rsidP="00ED17BA">
      <w:pPr>
        <w:spacing w:line="240" w:lineRule="auto"/>
        <w:rPr>
          <w:rFonts w:eastAsia="Times New Roman" w:cs="Arial"/>
        </w:rPr>
      </w:pPr>
      <w:r w:rsidRPr="00ED17BA">
        <w:rPr>
          <w:rFonts w:eastAsia="Times New Roman" w:cs="Arial"/>
          <w:color w:val="000000"/>
          <w:lang w:eastAsia="bg-BG"/>
        </w:rPr>
        <w:t>депресивно разстройство и генерализирано тревожно разстройство са ограничени. Затова трябва да се внимава при лечение на пациенти в старческа възраст с максимална доза (вж. точка 4.2 и точка 5.2).</w:t>
      </w:r>
    </w:p>
    <w:p w14:paraId="026E1AAF" w14:textId="697ABFC8" w:rsidR="00ED17BA" w:rsidRPr="00ED17BA" w:rsidRDefault="00ED17BA" w:rsidP="00ED17BA">
      <w:pPr>
        <w:rPr>
          <w:rFonts w:cs="Arial"/>
        </w:rPr>
      </w:pPr>
    </w:p>
    <w:p w14:paraId="1A4C0C73"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Акатизия/психомоторно безпокойство</w:t>
      </w:r>
    </w:p>
    <w:p w14:paraId="72864D0C"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Употребата на дулоксетин се свързва с развитие на акатизия, характеризираща се със субективно неприятно или изтощително безпокойства и необходимост от често движение, </w:t>
      </w:r>
      <w:r w:rsidRPr="00ED17BA">
        <w:rPr>
          <w:rFonts w:eastAsia="Times New Roman" w:cs="Arial"/>
          <w:color w:val="000000"/>
          <w:lang w:eastAsia="bg-BG"/>
        </w:rPr>
        <w:lastRenderedPageBreak/>
        <w:t>съпроводена от неспособност за седене и стоене на едно място. По-вероятно е това да се прояви в рамките на първите няколко седмици от лечението. При пациенти, развиващи тези симптоми, повишаването на дозата може да е вредно.</w:t>
      </w:r>
    </w:p>
    <w:p w14:paraId="43DBB955" w14:textId="77777777" w:rsidR="00ED17BA" w:rsidRPr="00ED17BA" w:rsidRDefault="00ED17BA" w:rsidP="00ED17BA">
      <w:pPr>
        <w:spacing w:line="240" w:lineRule="auto"/>
        <w:rPr>
          <w:rFonts w:eastAsia="Times New Roman" w:cs="Arial"/>
          <w:i/>
          <w:iCs/>
          <w:color w:val="000000"/>
          <w:lang w:eastAsia="bg-BG"/>
        </w:rPr>
      </w:pPr>
    </w:p>
    <w:p w14:paraId="2546CB2F" w14:textId="5CEE7A6E"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Лекарствени продукти, съдържащи дулоксетин</w:t>
      </w:r>
    </w:p>
    <w:p w14:paraId="27ED8D7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голямо депресивно разстройство, генерализирано тревожно разстройство и уринна стрес инконтиненция). Трябва да се избягва употребата на повече от един от тези продукти.</w:t>
      </w:r>
    </w:p>
    <w:p w14:paraId="477D703F" w14:textId="77777777" w:rsidR="00ED17BA" w:rsidRPr="00ED17BA" w:rsidRDefault="00ED17BA" w:rsidP="00ED17BA">
      <w:pPr>
        <w:spacing w:line="240" w:lineRule="auto"/>
        <w:rPr>
          <w:rFonts w:eastAsia="Times New Roman" w:cs="Arial"/>
          <w:i/>
          <w:iCs/>
          <w:color w:val="000000"/>
          <w:lang w:eastAsia="bg-BG"/>
        </w:rPr>
      </w:pPr>
    </w:p>
    <w:p w14:paraId="5F57C07A" w14:textId="5F61D6E1"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Хепатит/повишени чернодробни ензими</w:t>
      </w:r>
    </w:p>
    <w:p w14:paraId="447FEA67"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случаи на чернодробно увреждане, включително тежко повишение на чернодробните ензими (&gt;10 пъти горната граница на нормата), хепатит и жълтеница, с дулоксетин (вж. точка 4.8). Повечето от тях настъпват по време на първите месеци на лечение. Характерът на чернодробното увреждане е предимно хепатоцелуларен. Дулоксетин трябва да се използва внимателно при пациенти, лекувани с други лекарствени продукти, свързвани с чернодробно увреждане.</w:t>
      </w:r>
    </w:p>
    <w:p w14:paraId="0E50A469" w14:textId="77777777" w:rsidR="00ED17BA" w:rsidRPr="00ED17BA" w:rsidRDefault="00ED17BA" w:rsidP="00ED17BA">
      <w:pPr>
        <w:spacing w:line="240" w:lineRule="auto"/>
        <w:rPr>
          <w:rFonts w:eastAsia="Times New Roman" w:cs="Arial"/>
          <w:i/>
          <w:iCs/>
          <w:color w:val="000000"/>
          <w:lang w:eastAsia="bg-BG"/>
        </w:rPr>
      </w:pPr>
    </w:p>
    <w:p w14:paraId="7A504256" w14:textId="3247FA0D"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Сексуална дисфункция</w:t>
      </w:r>
    </w:p>
    <w:p w14:paraId="740DE409"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Селективните инхибитори на обратното захващане на серотонина (</w:t>
      </w:r>
      <w:r w:rsidRPr="00ED17BA">
        <w:rPr>
          <w:rFonts w:eastAsia="Times New Roman" w:cs="Arial"/>
          <w:color w:val="000000"/>
          <w:lang w:val="en-US"/>
        </w:rPr>
        <w:t>SSRIs</w:t>
      </w:r>
      <w:r w:rsidRPr="00ED17BA">
        <w:rPr>
          <w:rFonts w:eastAsia="Times New Roman" w:cs="Arial"/>
          <w:color w:val="000000"/>
          <w:lang w:eastAsia="bg-BG"/>
        </w:rPr>
        <w:t xml:space="preserve">)/инхибиторите на обратното захващане на серотонина и норадреналина </w:t>
      </w:r>
      <w:r w:rsidRPr="00ED17BA">
        <w:rPr>
          <w:rFonts w:eastAsia="Times New Roman" w:cs="Arial"/>
          <w:color w:val="000000"/>
          <w:lang w:val="ru-RU"/>
        </w:rPr>
        <w:t>(</w:t>
      </w:r>
      <w:r w:rsidRPr="00ED17BA">
        <w:rPr>
          <w:rFonts w:eastAsia="Times New Roman" w:cs="Arial"/>
          <w:color w:val="000000"/>
          <w:lang w:val="en-US"/>
        </w:rPr>
        <w:t>SNRIs</w:t>
      </w:r>
      <w:r w:rsidRPr="00ED17BA">
        <w:rPr>
          <w:rFonts w:eastAsia="Times New Roman" w:cs="Arial"/>
          <w:color w:val="000000"/>
          <w:lang w:val="ru-RU"/>
        </w:rPr>
        <w:t xml:space="preserve">) </w:t>
      </w:r>
      <w:r w:rsidRPr="00ED17BA">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ED17BA">
        <w:rPr>
          <w:rFonts w:eastAsia="Times New Roman" w:cs="Arial"/>
          <w:color w:val="000000"/>
          <w:lang w:val="en-US"/>
        </w:rPr>
        <w:t>SSRIs</w:t>
      </w:r>
      <w:r w:rsidRPr="00ED17BA">
        <w:rPr>
          <w:rFonts w:eastAsia="Times New Roman" w:cs="Arial"/>
          <w:color w:val="000000"/>
          <w:lang w:val="ru-RU"/>
        </w:rPr>
        <w:t>/</w:t>
      </w:r>
      <w:r w:rsidRPr="00ED17BA">
        <w:rPr>
          <w:rFonts w:eastAsia="Times New Roman" w:cs="Arial"/>
          <w:color w:val="000000"/>
          <w:lang w:val="en-US"/>
        </w:rPr>
        <w:t>SNRI</w:t>
      </w:r>
      <w:r w:rsidRPr="00ED17BA">
        <w:rPr>
          <w:rFonts w:eastAsia="Times New Roman" w:cs="Arial"/>
          <w:color w:val="000000"/>
          <w:lang w:val="ru-RU"/>
        </w:rPr>
        <w:t>.</w:t>
      </w:r>
    </w:p>
    <w:p w14:paraId="4F159F68" w14:textId="77777777" w:rsidR="00ED17BA" w:rsidRPr="00ED17BA" w:rsidRDefault="00ED17BA" w:rsidP="00ED17BA">
      <w:pPr>
        <w:spacing w:line="240" w:lineRule="auto"/>
        <w:rPr>
          <w:rFonts w:eastAsia="Times New Roman" w:cs="Arial"/>
          <w:i/>
          <w:iCs/>
          <w:color w:val="000000"/>
          <w:lang w:eastAsia="bg-BG"/>
        </w:rPr>
      </w:pPr>
    </w:p>
    <w:p w14:paraId="53F224C7" w14:textId="46C001E6"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Захароза</w:t>
      </w:r>
    </w:p>
    <w:p w14:paraId="0B79DBB6"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Дуласолан твърди стомашно-устойчиви капсули съдържа захароза. Пациентите с редки наследствени проблеми на непоносимост към фруктоза, глюкозо-галактозна малабсорбция или сукраза-изомалтазна недостатъчност не трябва да приемат това лекарство.</w:t>
      </w:r>
    </w:p>
    <w:p w14:paraId="2B0446D6" w14:textId="5E1E4E91" w:rsidR="00ED17BA" w:rsidRPr="00ED17BA" w:rsidRDefault="00ED17BA" w:rsidP="00ED17BA"/>
    <w:p w14:paraId="0734264C" w14:textId="42C98E1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5C2261" w14:textId="6E9FB4E8" w:rsidR="00ED17BA" w:rsidRDefault="00ED17BA" w:rsidP="00ED17BA"/>
    <w:p w14:paraId="57B5B557" w14:textId="7777777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Инхибитори на моноамино оксидазата </w:t>
      </w:r>
      <w:r w:rsidRPr="00ED17BA">
        <w:rPr>
          <w:rFonts w:eastAsia="Times New Roman" w:cs="Arial"/>
          <w:i/>
          <w:iCs/>
          <w:color w:val="000000"/>
          <w:szCs w:val="20"/>
          <w:lang w:val="ru-RU"/>
        </w:rPr>
        <w:t>(</w:t>
      </w:r>
      <w:r w:rsidRPr="00ED17BA">
        <w:rPr>
          <w:rFonts w:eastAsia="Times New Roman" w:cs="Arial"/>
          <w:i/>
          <w:iCs/>
          <w:color w:val="000000"/>
          <w:szCs w:val="20"/>
          <w:lang w:val="en-US"/>
        </w:rPr>
        <w:t>MAO</w:t>
      </w:r>
      <w:r w:rsidRPr="00ED17BA">
        <w:rPr>
          <w:rFonts w:eastAsia="Times New Roman" w:cs="Arial"/>
          <w:i/>
          <w:iCs/>
          <w:color w:val="000000"/>
          <w:szCs w:val="20"/>
          <w:lang w:eastAsia="bg-BG"/>
        </w:rPr>
        <w:t>-инхибитори):</w:t>
      </w:r>
      <w:r w:rsidRPr="00ED17BA">
        <w:rPr>
          <w:rFonts w:eastAsia="Times New Roman" w:cs="Arial"/>
          <w:color w:val="000000"/>
          <w:szCs w:val="2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w:t>
      </w:r>
      <w:r w:rsidRPr="00ED17BA">
        <w:rPr>
          <w:rFonts w:eastAsia="Times New Roman" w:cs="Arial"/>
          <w:color w:val="000000"/>
          <w:szCs w:val="20"/>
          <w:lang w:val="ru-RU"/>
        </w:rPr>
        <w:t>(</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или в рамките на поне 14 дни от прекъсване на лечението с </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Въз основа на полуживота на дулоксетин, е необходимо да изминат поне 5 дни след спиране на Дуласолан и преди започване на лечение с </w:t>
      </w:r>
      <w:r w:rsidRPr="00ED17BA">
        <w:rPr>
          <w:rFonts w:eastAsia="Times New Roman" w:cs="Arial"/>
          <w:color w:val="000000"/>
          <w:szCs w:val="20"/>
          <w:lang w:val="en-US"/>
        </w:rPr>
        <w:t>MAO</w:t>
      </w:r>
      <w:r w:rsidRPr="00ED17BA">
        <w:rPr>
          <w:rFonts w:eastAsia="Times New Roman" w:cs="Arial"/>
          <w:color w:val="000000"/>
          <w:szCs w:val="20"/>
          <w:lang w:eastAsia="bg-BG"/>
        </w:rPr>
        <w:t>-инхибитори (вж. точка 4.3).</w:t>
      </w:r>
    </w:p>
    <w:p w14:paraId="70FAA26C"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Не се препоръчва едновременна употреба на Дуласолан със селективни, обратими МАО- инхибитори, като моклобемид (вж. точка 4.4). Антибиотикът линезолид е обратим неселективен МАО-инхибитор и не трябва да се дава на пациенти, лекувани с Дуласолан (вж. точка 4.4).</w:t>
      </w:r>
    </w:p>
    <w:p w14:paraId="4A78B8D6" w14:textId="77777777" w:rsidR="00ED17BA" w:rsidRPr="00ED17BA" w:rsidRDefault="00ED17BA" w:rsidP="00ED17BA">
      <w:pPr>
        <w:spacing w:line="240" w:lineRule="auto"/>
        <w:rPr>
          <w:rFonts w:eastAsia="Times New Roman" w:cs="Arial"/>
          <w:i/>
          <w:iCs/>
          <w:color w:val="000000"/>
          <w:szCs w:val="20"/>
          <w:lang w:eastAsia="bg-BG"/>
        </w:rPr>
      </w:pPr>
    </w:p>
    <w:p w14:paraId="5A35F594" w14:textId="22EBC88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Инхибитори на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Тъй като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А2 е включен в метаболизма на дулоксетин, има вероятност едновременната употреба на дулоксетин с мощни инхибитори на С</w:t>
      </w:r>
      <w:r w:rsidRPr="00ED17BA">
        <w:rPr>
          <w:rFonts w:eastAsia="Times New Roman" w:cs="Arial"/>
          <w:color w:val="000000"/>
          <w:szCs w:val="20"/>
          <w:lang w:val="en-US"/>
        </w:rPr>
        <w:t>YP</w:t>
      </w:r>
      <w:r w:rsidRPr="00ED17BA">
        <w:rPr>
          <w:rFonts w:eastAsia="Times New Roman" w:cs="Arial"/>
          <w:color w:val="000000"/>
          <w:szCs w:val="20"/>
          <w:lang w:eastAsia="bg-BG"/>
        </w:rPr>
        <w:t xml:space="preserve">1А2 да доведе до по-високи концентрации на дулоксетин. Флувоксамин (100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мощен инхибитор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val="en-US"/>
        </w:rPr>
        <w:t>A</w:t>
      </w:r>
      <w:r w:rsidRPr="00ED17BA">
        <w:rPr>
          <w:rFonts w:eastAsia="Times New Roman" w:cs="Arial"/>
          <w:color w:val="000000"/>
          <w:szCs w:val="20"/>
          <w:lang w:val="ru-RU"/>
        </w:rPr>
        <w:t xml:space="preserve">2, </w:t>
      </w:r>
      <w:r w:rsidRPr="00ED17BA">
        <w:rPr>
          <w:rFonts w:eastAsia="Times New Roman" w:cs="Arial"/>
          <w:color w:val="000000"/>
          <w:szCs w:val="20"/>
          <w:lang w:eastAsia="bg-BG"/>
        </w:rPr>
        <w:t xml:space="preserve">намалява привидния плазмен клирънс на дулоксетин с </w:t>
      </w:r>
      <w:r w:rsidRPr="00ED17BA">
        <w:rPr>
          <w:rFonts w:eastAsia="Times New Roman" w:cs="Arial"/>
          <w:color w:val="000000"/>
          <w:szCs w:val="20"/>
          <w:lang w:eastAsia="bg-BG"/>
        </w:rPr>
        <w:lastRenderedPageBreak/>
        <w:t xml:space="preserve">около 77% и повишава </w:t>
      </w:r>
      <w:proofErr w:type="spellStart"/>
      <w:r w:rsidRPr="00ED17BA">
        <w:rPr>
          <w:rFonts w:eastAsia="Times New Roman" w:cs="Arial"/>
          <w:color w:val="000000"/>
          <w:szCs w:val="20"/>
          <w:lang w:val="en-US"/>
        </w:rPr>
        <w:t>AUCo</w:t>
      </w:r>
      <w:proofErr w:type="spellEnd"/>
      <w:r w:rsidRPr="00ED17BA">
        <w:rPr>
          <w:rFonts w:eastAsia="Times New Roman" w:cs="Arial"/>
          <w:color w:val="000000"/>
          <w:szCs w:val="20"/>
          <w:lang w:val="ru-RU"/>
        </w:rPr>
        <w:t>-</w:t>
      </w:r>
      <w:r w:rsidRPr="00ED17BA">
        <w:rPr>
          <w:rFonts w:eastAsia="Times New Roman" w:cs="Arial"/>
          <w:color w:val="000000"/>
          <w:szCs w:val="20"/>
          <w:lang w:val="en-US"/>
        </w:rPr>
        <w:t>t</w:t>
      </w:r>
      <w:r w:rsidRPr="00ED17BA">
        <w:rPr>
          <w:rFonts w:eastAsia="Times New Roman" w:cs="Arial"/>
          <w:color w:val="000000"/>
          <w:szCs w:val="20"/>
          <w:lang w:val="ru-RU"/>
        </w:rPr>
        <w:t xml:space="preserve"> </w:t>
      </w:r>
      <w:r w:rsidRPr="00ED17BA">
        <w:rPr>
          <w:rFonts w:eastAsia="Times New Roman" w:cs="Arial"/>
          <w:color w:val="000000"/>
          <w:szCs w:val="20"/>
          <w:lang w:eastAsia="bg-BG"/>
        </w:rPr>
        <w:t>6 пъти. Затова Дуласолан не трябва да се прилага в комбинация с мощни</w:t>
      </w:r>
      <w:r w:rsidRPr="00ED17BA">
        <w:rPr>
          <w:rFonts w:eastAsia="Times New Roman" w:cs="Arial"/>
          <w:color w:val="000000"/>
          <w:szCs w:val="20"/>
          <w:u w:val="single"/>
          <w:lang w:eastAsia="bg-BG"/>
        </w:rPr>
        <w:t xml:space="preserve"> </w:t>
      </w:r>
      <w:r w:rsidRPr="00ED17BA">
        <w:rPr>
          <w:rFonts w:eastAsia="Times New Roman" w:cs="Arial"/>
          <w:color w:val="000000"/>
          <w:szCs w:val="20"/>
          <w:lang w:eastAsia="bg-BG"/>
        </w:rPr>
        <w:t xml:space="preserve">инхибитори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А2 като флувоксамин (вж. точка 4.3).</w:t>
      </w:r>
    </w:p>
    <w:p w14:paraId="05D75E3A" w14:textId="77777777" w:rsidR="00ED17BA" w:rsidRPr="00ED17BA" w:rsidRDefault="00ED17BA" w:rsidP="00ED17BA">
      <w:pPr>
        <w:rPr>
          <w:rFonts w:eastAsia="Times New Roman" w:cs="Arial"/>
          <w:i/>
          <w:iCs/>
          <w:color w:val="000000"/>
          <w:szCs w:val="20"/>
          <w:lang w:eastAsia="bg-BG"/>
        </w:rPr>
      </w:pPr>
    </w:p>
    <w:p w14:paraId="4099886F" w14:textId="77777777" w:rsidR="00ED17BA" w:rsidRPr="00ED17BA" w:rsidRDefault="00ED17BA" w:rsidP="00ED17BA">
      <w:pPr>
        <w:rPr>
          <w:rFonts w:eastAsia="Times New Roman" w:cs="Arial"/>
          <w:sz w:val="28"/>
          <w:szCs w:val="24"/>
        </w:rPr>
      </w:pPr>
      <w:r w:rsidRPr="00ED17BA">
        <w:rPr>
          <w:rFonts w:eastAsia="Times New Roman" w:cs="Arial"/>
          <w:i/>
          <w:iCs/>
          <w:color w:val="000000"/>
          <w:szCs w:val="20"/>
          <w:lang w:eastAsia="bg-BG"/>
        </w:rPr>
        <w:t>Лекарствени продукти, действащи върху ЦНС:</w:t>
      </w:r>
      <w:r w:rsidRPr="00ED17BA">
        <w:rPr>
          <w:rFonts w:eastAsia="Times New Roman" w:cs="Arial"/>
          <w:color w:val="000000"/>
          <w:szCs w:val="20"/>
          <w:lang w:eastAsia="bg-BG"/>
        </w:rPr>
        <w:t xml:space="preserve"> Рискът от употреба на дилоксетин в комбинация с други повлияващи ЦНС лекарствени продукти не е системно оценяван освен в случаите, описани в тази точка. Следователно, препоръчва се повишено внимание, когато Дуласолан се приема в комбинация с други централно действащи лекарствени продукти или вещества, включително алкохол и седативни лекарствени продукти (напр. бензодиазепини, морфиномиметици, антипсихотици, фенобарбитал, седативни антихистамини).</w:t>
      </w:r>
    </w:p>
    <w:p w14:paraId="7C9F8C1F" w14:textId="77777777" w:rsidR="00ED17BA" w:rsidRPr="00ED17BA" w:rsidRDefault="00ED17BA" w:rsidP="00ED17BA">
      <w:pPr>
        <w:spacing w:line="240" w:lineRule="auto"/>
        <w:rPr>
          <w:rFonts w:eastAsia="Times New Roman" w:cs="Arial"/>
          <w:i/>
          <w:iCs/>
          <w:color w:val="000000"/>
          <w:szCs w:val="20"/>
          <w:lang w:eastAsia="bg-BG"/>
        </w:rPr>
      </w:pPr>
    </w:p>
    <w:p w14:paraId="5D13D8B3" w14:textId="493E7872"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Серотонинергични лекарствени средства:</w:t>
      </w:r>
      <w:r w:rsidRPr="00ED17BA">
        <w:rPr>
          <w:rFonts w:eastAsia="Times New Roman" w:cs="Arial"/>
          <w:color w:val="000000"/>
          <w:szCs w:val="20"/>
          <w:lang w:eastAsia="bg-BG"/>
        </w:rPr>
        <w:t xml:space="preserve"> В редки случаи се съобщава за серотонинов синдром при пациенти, употребяващи </w:t>
      </w:r>
      <w:r w:rsidRPr="00ED17BA">
        <w:rPr>
          <w:rFonts w:eastAsia="Times New Roman" w:cs="Arial"/>
          <w:color w:val="000000"/>
          <w:szCs w:val="20"/>
          <w:lang w:val="en-US"/>
        </w:rPr>
        <w:t>SSRI</w:t>
      </w:r>
      <w:r w:rsidRPr="00ED17BA">
        <w:rPr>
          <w:rFonts w:eastAsia="Times New Roman" w:cs="Arial"/>
          <w:color w:val="000000"/>
          <w:szCs w:val="20"/>
          <w:lang w:val="ru-RU"/>
        </w:rPr>
        <w:t>/</w:t>
      </w:r>
      <w:r w:rsidRPr="00ED17BA">
        <w:rPr>
          <w:rFonts w:eastAsia="Times New Roman" w:cs="Arial"/>
          <w:color w:val="000000"/>
          <w:szCs w:val="20"/>
          <w:lang w:val="en-US"/>
        </w:rPr>
        <w:t>SNRI</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едновременно със серотонинергични лекарствени средства. Препоръчва се да се внимава при употреба на Дуласолан едновременно със серотонинергични лекарствени средства, като </w:t>
      </w:r>
      <w:r w:rsidRPr="00ED17BA">
        <w:rPr>
          <w:rFonts w:eastAsia="Times New Roman" w:cs="Arial"/>
          <w:color w:val="000000"/>
          <w:szCs w:val="20"/>
          <w:lang w:val="en-US"/>
        </w:rPr>
        <w:t>SSRI</w:t>
      </w:r>
      <w:r w:rsidRPr="00ED17BA">
        <w:rPr>
          <w:rFonts w:eastAsia="Times New Roman" w:cs="Arial"/>
          <w:color w:val="000000"/>
          <w:szCs w:val="20"/>
        </w:rPr>
        <w:t xml:space="preserve">, </w:t>
      </w:r>
      <w:r w:rsidRPr="00ED17BA">
        <w:rPr>
          <w:rFonts w:eastAsia="Times New Roman" w:cs="Arial"/>
          <w:color w:val="000000"/>
          <w:szCs w:val="20"/>
          <w:lang w:val="en-US"/>
        </w:rPr>
        <w:t>SNRI</w:t>
      </w:r>
      <w:r w:rsidRPr="00ED17BA">
        <w:rPr>
          <w:rFonts w:eastAsia="Times New Roman" w:cs="Arial"/>
          <w:color w:val="000000"/>
          <w:szCs w:val="20"/>
        </w:rPr>
        <w:t xml:space="preserve">, </w:t>
      </w:r>
      <w:r w:rsidRPr="00ED17BA">
        <w:rPr>
          <w:rFonts w:eastAsia="Times New Roman" w:cs="Arial"/>
          <w:color w:val="000000"/>
          <w:szCs w:val="20"/>
          <w:lang w:eastAsia="bg-BG"/>
        </w:rPr>
        <w:t xml:space="preserve">трициклични антидепресанти, като кломипрамин или амитриптилин, </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като моклобемид или линезолид, жълт кантарион </w:t>
      </w:r>
      <w:r w:rsidRPr="00ED17BA">
        <w:rPr>
          <w:rFonts w:eastAsia="Times New Roman" w:cs="Arial"/>
          <w:i/>
          <w:iCs/>
          <w:color w:val="000000"/>
          <w:szCs w:val="20"/>
        </w:rPr>
        <w:t>(</w:t>
      </w:r>
      <w:proofErr w:type="spellStart"/>
      <w:r w:rsidRPr="00ED17BA">
        <w:rPr>
          <w:rFonts w:eastAsia="Times New Roman" w:cs="Arial"/>
          <w:i/>
          <w:iCs/>
          <w:color w:val="000000"/>
          <w:szCs w:val="20"/>
          <w:lang w:val="en-US"/>
        </w:rPr>
        <w:t>Hypericum</w:t>
      </w:r>
      <w:proofErr w:type="spellEnd"/>
      <w:r w:rsidRPr="00ED17BA">
        <w:rPr>
          <w:rFonts w:eastAsia="Times New Roman" w:cs="Arial"/>
          <w:i/>
          <w:iCs/>
          <w:color w:val="000000"/>
          <w:szCs w:val="20"/>
        </w:rPr>
        <w:t xml:space="preserve"> </w:t>
      </w:r>
      <w:proofErr w:type="spellStart"/>
      <w:r w:rsidRPr="00ED17BA">
        <w:rPr>
          <w:rFonts w:eastAsia="Times New Roman" w:cs="Arial"/>
          <w:i/>
          <w:iCs/>
          <w:color w:val="000000"/>
          <w:szCs w:val="20"/>
          <w:lang w:val="en-US"/>
        </w:rPr>
        <w:t>perforatum</w:t>
      </w:r>
      <w:proofErr w:type="spellEnd"/>
      <w:r w:rsidRPr="00ED17BA">
        <w:rPr>
          <w:rFonts w:eastAsia="Times New Roman" w:cs="Arial"/>
          <w:i/>
          <w:iCs/>
          <w:color w:val="000000"/>
          <w:szCs w:val="20"/>
        </w:rPr>
        <w:t>}</w:t>
      </w:r>
      <w:r w:rsidRPr="00ED17BA">
        <w:rPr>
          <w:rFonts w:eastAsia="Times New Roman" w:cs="Arial"/>
          <w:color w:val="000000"/>
          <w:szCs w:val="20"/>
        </w:rPr>
        <w:t xml:space="preserve"> </w:t>
      </w:r>
      <w:r w:rsidRPr="00ED17BA">
        <w:rPr>
          <w:rFonts w:eastAsia="Times New Roman" w:cs="Arial"/>
          <w:color w:val="000000"/>
          <w:szCs w:val="20"/>
          <w:lang w:eastAsia="bg-BG"/>
        </w:rPr>
        <w:t>или триптани, трамадол, петидин и триптофан (вж. точка 4.4).</w:t>
      </w:r>
    </w:p>
    <w:p w14:paraId="24509EE1" w14:textId="77777777" w:rsidR="00ED17BA" w:rsidRPr="00ED17BA" w:rsidRDefault="00ED17BA" w:rsidP="00ED17BA">
      <w:pPr>
        <w:spacing w:line="240" w:lineRule="auto"/>
        <w:rPr>
          <w:rFonts w:eastAsia="Times New Roman" w:cs="Arial"/>
          <w:color w:val="000000"/>
          <w:szCs w:val="20"/>
          <w:u w:val="single"/>
          <w:lang w:eastAsia="bg-BG"/>
        </w:rPr>
      </w:pPr>
    </w:p>
    <w:p w14:paraId="5D6D24B7" w14:textId="0FCF71E2"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Ефект на дулоксетин върху други лекарствени продукти</w:t>
      </w:r>
    </w:p>
    <w:p w14:paraId="4BB9FAA4" w14:textId="77777777" w:rsidR="00ED17BA" w:rsidRPr="00ED17BA" w:rsidRDefault="00ED17BA" w:rsidP="00ED17BA">
      <w:pPr>
        <w:spacing w:line="240" w:lineRule="auto"/>
        <w:rPr>
          <w:rFonts w:eastAsia="Times New Roman" w:cs="Arial"/>
          <w:i/>
          <w:iCs/>
          <w:color w:val="000000"/>
          <w:szCs w:val="20"/>
          <w:lang w:eastAsia="bg-BG"/>
        </w:rPr>
      </w:pPr>
    </w:p>
    <w:p w14:paraId="3F266A94" w14:textId="43EBE4EC"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Лекарствени продукти, метаболизирани от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Фармакокинетиката на теофилин, субстрат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 xml:space="preserve">А2 не се повлиява значително от съвместното приложение с дулоксетин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два пъти дневно).</w:t>
      </w:r>
    </w:p>
    <w:p w14:paraId="4CF6AF00" w14:textId="77777777" w:rsidR="00ED17BA" w:rsidRPr="00ED17BA" w:rsidRDefault="00ED17BA" w:rsidP="00ED17BA">
      <w:pPr>
        <w:spacing w:line="240" w:lineRule="auto"/>
        <w:rPr>
          <w:rFonts w:eastAsia="Times New Roman" w:cs="Arial"/>
          <w:i/>
          <w:iCs/>
          <w:color w:val="000000"/>
          <w:szCs w:val="20"/>
          <w:lang w:eastAsia="bg-BG"/>
        </w:rPr>
      </w:pPr>
    </w:p>
    <w:p w14:paraId="3FD39166" w14:textId="38D1354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Лекарствени продукти метаболизирани от </w:t>
      </w:r>
      <w:r w:rsidRPr="00ED17BA">
        <w:rPr>
          <w:rFonts w:eastAsia="Times New Roman" w:cs="Arial"/>
          <w:i/>
          <w:iCs/>
          <w:color w:val="000000"/>
          <w:szCs w:val="20"/>
          <w:lang w:val="en-US"/>
        </w:rPr>
        <w:t>CYP</w:t>
      </w:r>
      <w:r w:rsidRPr="00ED17BA">
        <w:rPr>
          <w:rFonts w:eastAsia="Times New Roman" w:cs="Arial"/>
          <w:i/>
          <w:iCs/>
          <w:color w:val="000000"/>
          <w:szCs w:val="20"/>
          <w:lang w:val="ru-RU"/>
        </w:rPr>
        <w:t>2</w:t>
      </w:r>
      <w:r w:rsidRPr="00ED17BA">
        <w:rPr>
          <w:rFonts w:eastAsia="Times New Roman" w:cs="Arial"/>
          <w:i/>
          <w:iCs/>
          <w:color w:val="000000"/>
          <w:szCs w:val="20"/>
          <w:lang w:val="en-US"/>
        </w:rPr>
        <w:t>D</w:t>
      </w:r>
      <w:r w:rsidRPr="00ED17BA">
        <w:rPr>
          <w:rFonts w:eastAsia="Times New Roman" w:cs="Arial"/>
          <w:i/>
          <w:iCs/>
          <w:color w:val="000000"/>
          <w:szCs w:val="20"/>
          <w:lang w:val="ru-RU"/>
        </w:rPr>
        <w:t>6:</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Дулоксетин е умерен инхибитор на </w:t>
      </w:r>
      <w:r w:rsidRPr="00ED17BA">
        <w:rPr>
          <w:rFonts w:eastAsia="Times New Roman" w:cs="Arial"/>
          <w:color w:val="000000"/>
          <w:szCs w:val="20"/>
          <w:lang w:val="en-US"/>
        </w:rPr>
        <w:t>CYP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 xml:space="preserve">Когато дулоксетин се прилага в доза от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с единична доза дезипрамин, който е С </w:t>
      </w:r>
      <w:r w:rsidRPr="00ED17BA">
        <w:rPr>
          <w:rFonts w:eastAsia="Times New Roman" w:cs="Arial"/>
          <w:color w:val="000000"/>
          <w:szCs w:val="20"/>
          <w:lang w:val="en-US"/>
        </w:rPr>
        <w:t>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 xml:space="preserve">субстрат, </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на дезипрамин се увеличава 3 пъти. Съвместното приложение с дулоксетин (40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повишава стационарната </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на толтеродин (2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със 71%,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Дуласолан се прилага едновременно с лекарствени продукти, които се метаболизират главно от </w:t>
      </w:r>
      <w:r w:rsidRPr="00ED17BA">
        <w:rPr>
          <w:rFonts w:eastAsia="Times New Roman" w:cs="Arial"/>
          <w:color w:val="000000"/>
          <w:szCs w:val="20"/>
          <w:lang w:val="en-US"/>
        </w:rPr>
        <w:t>CYP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(рисперидон, трициклични антидепресанти [ТЦА] като нортриптилин, амитриптилин и имипрамин) особено, ако те имат тесен терапевтичен индекс (като флекаинид, пропафенон и метопролол).</w:t>
      </w:r>
    </w:p>
    <w:p w14:paraId="77C1C550" w14:textId="77777777" w:rsidR="00ED17BA" w:rsidRPr="00ED17BA" w:rsidRDefault="00ED17BA" w:rsidP="00ED17BA">
      <w:pPr>
        <w:spacing w:line="240" w:lineRule="auto"/>
        <w:rPr>
          <w:rFonts w:eastAsia="Times New Roman" w:cs="Arial"/>
          <w:i/>
          <w:iCs/>
          <w:color w:val="000000"/>
          <w:szCs w:val="20"/>
          <w:lang w:eastAsia="bg-BG"/>
        </w:rPr>
      </w:pPr>
    </w:p>
    <w:p w14:paraId="327DC388" w14:textId="2EA47FA6"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Перорални контрацептиви и други стероидни лекарствени средства: </w:t>
      </w:r>
      <w:r w:rsidRPr="00ED17BA">
        <w:rPr>
          <w:rFonts w:eastAsia="Times New Roman" w:cs="Arial"/>
          <w:color w:val="000000"/>
          <w:szCs w:val="20"/>
          <w:lang w:eastAsia="bg-BG"/>
        </w:rPr>
        <w:t xml:space="preserve">Резултатите от </w:t>
      </w:r>
      <w:r w:rsidRPr="00ED17BA">
        <w:rPr>
          <w:rFonts w:eastAsia="Times New Roman" w:cs="Arial"/>
          <w:i/>
          <w:iCs/>
          <w:color w:val="000000"/>
          <w:szCs w:val="20"/>
          <w:lang w:val="en-US"/>
        </w:rPr>
        <w:t>in</w:t>
      </w:r>
      <w:r w:rsidRPr="00ED17BA">
        <w:rPr>
          <w:rFonts w:eastAsia="Times New Roman" w:cs="Arial"/>
          <w:i/>
          <w:iCs/>
          <w:color w:val="000000"/>
          <w:szCs w:val="20"/>
          <w:lang w:val="ru-RU"/>
        </w:rPr>
        <w:t xml:space="preserve"> </w:t>
      </w:r>
      <w:r w:rsidRPr="00ED17BA">
        <w:rPr>
          <w:rFonts w:eastAsia="Times New Roman" w:cs="Arial"/>
          <w:i/>
          <w:iCs/>
          <w:color w:val="000000"/>
          <w:szCs w:val="20"/>
          <w:lang w:val="en-US"/>
        </w:rPr>
        <w:t>vitro</w:t>
      </w:r>
      <w:r w:rsidRPr="00ED17BA">
        <w:rPr>
          <w:rFonts w:eastAsia="Times New Roman" w:cs="Arial"/>
          <w:i/>
          <w:iCs/>
          <w:color w:val="000000"/>
          <w:szCs w:val="20"/>
          <w:lang w:val="ru-RU"/>
        </w:rPr>
        <w:t xml:space="preserve"> </w:t>
      </w:r>
      <w:r w:rsidRPr="00ED17BA">
        <w:rPr>
          <w:rFonts w:eastAsia="Times New Roman" w:cs="Arial"/>
          <w:color w:val="000000"/>
          <w:szCs w:val="20"/>
          <w:lang w:eastAsia="bg-BG"/>
        </w:rPr>
        <w:t xml:space="preserve">проучвания показват, че дулоксетин не индуцира каталитичната активност на </w:t>
      </w:r>
      <w:r w:rsidRPr="00ED17BA">
        <w:rPr>
          <w:rFonts w:eastAsia="Times New Roman" w:cs="Arial"/>
          <w:color w:val="000000"/>
          <w:szCs w:val="20"/>
          <w:lang w:val="en-US"/>
        </w:rPr>
        <w:t>CYP</w:t>
      </w:r>
      <w:r w:rsidRPr="00ED17BA">
        <w:rPr>
          <w:rFonts w:eastAsia="Times New Roman" w:cs="Arial"/>
          <w:color w:val="000000"/>
          <w:szCs w:val="20"/>
          <w:lang w:val="ru-RU"/>
        </w:rPr>
        <w:t>3</w:t>
      </w:r>
      <w:r w:rsidRPr="00ED17BA">
        <w:rPr>
          <w:rFonts w:eastAsia="Times New Roman" w:cs="Arial"/>
          <w:color w:val="000000"/>
          <w:szCs w:val="20"/>
          <w:lang w:eastAsia="bg-BG"/>
        </w:rPr>
        <w:t xml:space="preserve">А. Специфични </w:t>
      </w:r>
      <w:r w:rsidRPr="00ED17BA">
        <w:rPr>
          <w:rFonts w:eastAsia="Times New Roman" w:cs="Arial"/>
          <w:i/>
          <w:iCs/>
          <w:color w:val="000000"/>
          <w:szCs w:val="20"/>
          <w:lang w:val="en-US"/>
        </w:rPr>
        <w:t>in</w:t>
      </w:r>
      <w:r w:rsidRPr="00ED17BA">
        <w:rPr>
          <w:rFonts w:eastAsia="Times New Roman" w:cs="Arial"/>
          <w:i/>
          <w:iCs/>
          <w:color w:val="000000"/>
          <w:szCs w:val="20"/>
          <w:lang w:val="ru-RU"/>
        </w:rPr>
        <w:t xml:space="preserve"> </w:t>
      </w:r>
      <w:r w:rsidRPr="00ED17BA">
        <w:rPr>
          <w:rFonts w:eastAsia="Times New Roman" w:cs="Arial"/>
          <w:i/>
          <w:iCs/>
          <w:color w:val="000000"/>
          <w:szCs w:val="20"/>
          <w:lang w:val="en-US"/>
        </w:rPr>
        <w:t>vivo</w:t>
      </w:r>
      <w:r w:rsidRPr="00ED17BA">
        <w:rPr>
          <w:rFonts w:eastAsia="Times New Roman" w:cs="Arial"/>
          <w:color w:val="000000"/>
          <w:szCs w:val="20"/>
          <w:lang w:val="ru-RU"/>
        </w:rPr>
        <w:t xml:space="preserve"> </w:t>
      </w:r>
      <w:r w:rsidRPr="00ED17BA">
        <w:rPr>
          <w:rFonts w:eastAsia="Times New Roman" w:cs="Arial"/>
          <w:color w:val="000000"/>
          <w:szCs w:val="20"/>
          <w:lang w:eastAsia="bg-BG"/>
        </w:rPr>
        <w:t>проучвания за лекарствени взаимодействия не са провеждани.</w:t>
      </w:r>
    </w:p>
    <w:p w14:paraId="3972F6B2" w14:textId="77777777" w:rsidR="00ED17BA" w:rsidRPr="00ED17BA" w:rsidRDefault="00ED17BA" w:rsidP="00ED17BA">
      <w:pPr>
        <w:spacing w:line="240" w:lineRule="auto"/>
        <w:rPr>
          <w:rFonts w:eastAsia="Times New Roman" w:cs="Arial"/>
          <w:i/>
          <w:iCs/>
          <w:color w:val="000000"/>
          <w:szCs w:val="20"/>
          <w:lang w:eastAsia="bg-BG"/>
        </w:rPr>
      </w:pPr>
    </w:p>
    <w:p w14:paraId="1DC30B34" w14:textId="5FBB8F3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Антикоагуланти и антиагреганти:</w:t>
      </w:r>
      <w:r w:rsidRPr="00ED17BA">
        <w:rPr>
          <w:rFonts w:eastAsia="Times New Roman" w:cs="Arial"/>
          <w:color w:val="000000"/>
          <w:szCs w:val="20"/>
          <w:lang w:eastAsia="bg-BG"/>
        </w:rPr>
        <w:t xml:space="preserve"> Изисква се повишено внимание, когато дулоксетин се комбинира с перорални антикоагуланти или антиагреганти поради потенциално повишен риск от кървене, което може да се обясни с фармакодинамично взаимодействие. Освен това се съобщава за повишаване на стойностите на </w:t>
      </w:r>
      <w:r w:rsidRPr="00ED17BA">
        <w:rPr>
          <w:rFonts w:eastAsia="Times New Roman" w:cs="Arial"/>
          <w:color w:val="000000"/>
          <w:szCs w:val="20"/>
          <w:lang w:val="en-US"/>
        </w:rPr>
        <w:t>INR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когато на пациенти, лекувани с варфарин, се прилага едновременно дулоксетин. Все пак, едновременното приложение на дулоксетин и варфарин на здрави доброволци, като част от клинично фармакологично проучване, в условията на стационарно състояние не води до клинично значима промяна в </w:t>
      </w:r>
      <w:r w:rsidRPr="00ED17BA">
        <w:rPr>
          <w:rFonts w:eastAsia="Times New Roman" w:cs="Arial"/>
          <w:color w:val="000000"/>
          <w:szCs w:val="20"/>
          <w:lang w:val="en-US"/>
        </w:rPr>
        <w:t>INR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спрямо изходното ниво или във фармакокинетиката на </w:t>
      </w:r>
      <w:r w:rsidRPr="00ED17BA">
        <w:rPr>
          <w:rFonts w:eastAsia="Times New Roman" w:cs="Arial"/>
          <w:color w:val="000000"/>
          <w:szCs w:val="20"/>
          <w:lang w:val="en-US"/>
        </w:rPr>
        <w:t>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или </w:t>
      </w:r>
      <w:r w:rsidRPr="00ED17BA">
        <w:rPr>
          <w:rFonts w:eastAsia="Times New Roman" w:cs="Arial"/>
          <w:color w:val="000000"/>
          <w:szCs w:val="20"/>
          <w:lang w:val="en-US"/>
        </w:rPr>
        <w:t>S</w:t>
      </w:r>
      <w:r w:rsidRPr="00ED17BA">
        <w:rPr>
          <w:rFonts w:eastAsia="Times New Roman" w:cs="Arial"/>
          <w:color w:val="000000"/>
          <w:szCs w:val="20"/>
          <w:lang w:val="ru-RU"/>
        </w:rPr>
        <w:t xml:space="preserve">- </w:t>
      </w:r>
      <w:r w:rsidRPr="00ED17BA">
        <w:rPr>
          <w:rFonts w:eastAsia="Times New Roman" w:cs="Arial"/>
          <w:color w:val="000000"/>
          <w:szCs w:val="20"/>
          <w:lang w:eastAsia="bg-BG"/>
        </w:rPr>
        <w:t>варфарин</w:t>
      </w:r>
    </w:p>
    <w:p w14:paraId="58E83590" w14:textId="77777777" w:rsidR="00ED17BA" w:rsidRPr="00ED17BA" w:rsidRDefault="00ED17BA" w:rsidP="00ED17BA">
      <w:pPr>
        <w:spacing w:line="240" w:lineRule="auto"/>
        <w:rPr>
          <w:rFonts w:eastAsia="Times New Roman" w:cs="Arial"/>
          <w:color w:val="000000"/>
          <w:szCs w:val="20"/>
          <w:u w:val="single"/>
          <w:lang w:eastAsia="bg-BG"/>
        </w:rPr>
      </w:pPr>
    </w:p>
    <w:p w14:paraId="5E9198B7" w14:textId="0A6ED4D9"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Ефекти на други лекарствени продукти върху дулоксетин</w:t>
      </w:r>
    </w:p>
    <w:p w14:paraId="6B059CFB" w14:textId="77777777" w:rsidR="00ED17BA" w:rsidRPr="00ED17BA" w:rsidRDefault="00ED17BA" w:rsidP="00ED17BA">
      <w:pPr>
        <w:spacing w:line="240" w:lineRule="auto"/>
        <w:rPr>
          <w:rFonts w:eastAsia="Times New Roman" w:cs="Arial"/>
          <w:i/>
          <w:iCs/>
          <w:color w:val="000000"/>
          <w:szCs w:val="20"/>
          <w:lang w:eastAsia="bg-BG"/>
        </w:rPr>
      </w:pPr>
    </w:p>
    <w:p w14:paraId="5DE1FFBD" w14:textId="421CEEE5" w:rsidR="00ED17BA" w:rsidRPr="00ED17BA" w:rsidRDefault="00ED17BA" w:rsidP="00ED17BA">
      <w:pPr>
        <w:spacing w:line="240" w:lineRule="auto"/>
        <w:rPr>
          <w:rFonts w:eastAsia="Times New Roman" w:cs="Arial"/>
          <w:color w:val="000000"/>
          <w:szCs w:val="20"/>
          <w:lang w:eastAsia="bg-BG"/>
        </w:rPr>
      </w:pPr>
      <w:r w:rsidRPr="00ED17BA">
        <w:rPr>
          <w:rFonts w:eastAsia="Times New Roman" w:cs="Arial"/>
          <w:i/>
          <w:iCs/>
          <w:color w:val="000000"/>
          <w:szCs w:val="20"/>
          <w:lang w:eastAsia="bg-BG"/>
        </w:rPr>
        <w:t>Антиацидни средства и Н2 антагонисти:</w:t>
      </w:r>
      <w:r w:rsidRPr="00ED17BA">
        <w:rPr>
          <w:rFonts w:eastAsia="Times New Roman" w:cs="Arial"/>
          <w:color w:val="000000"/>
          <w:szCs w:val="20"/>
          <w:lang w:eastAsia="bg-BG"/>
        </w:rPr>
        <w:t xml:space="preserve"> Съвместното приложение на дулоксетин с антиациди, съдържащи </w:t>
      </w:r>
    </w:p>
    <w:p w14:paraId="129C819F" w14:textId="5F5BC002"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алуминий и магнезий, или на дулоксетин с фамотидин, няма значим ефект върху скоростта или степента на резорбция на дулоксетин след перорална доза от 40 </w:t>
      </w:r>
      <w:r w:rsidRPr="00ED17BA">
        <w:rPr>
          <w:rFonts w:eastAsia="Times New Roman" w:cs="Arial"/>
          <w:color w:val="000000"/>
          <w:szCs w:val="20"/>
          <w:lang w:val="en-US"/>
        </w:rPr>
        <w:t>mg</w:t>
      </w:r>
      <w:r w:rsidRPr="00ED17BA">
        <w:rPr>
          <w:rFonts w:eastAsia="Times New Roman" w:cs="Arial"/>
          <w:color w:val="000000"/>
          <w:szCs w:val="20"/>
          <w:lang w:val="ru-RU"/>
        </w:rPr>
        <w:t>.</w:t>
      </w:r>
    </w:p>
    <w:p w14:paraId="0F408E10" w14:textId="77777777" w:rsidR="00ED17BA" w:rsidRPr="00ED17BA" w:rsidRDefault="00ED17BA" w:rsidP="00ED17BA">
      <w:pPr>
        <w:rPr>
          <w:rFonts w:eastAsia="Times New Roman" w:cs="Arial"/>
          <w:i/>
          <w:iCs/>
          <w:color w:val="000000"/>
          <w:szCs w:val="20"/>
          <w:lang w:eastAsia="bg-BG"/>
        </w:rPr>
      </w:pPr>
    </w:p>
    <w:p w14:paraId="108815F0" w14:textId="54C96137" w:rsidR="00ED17BA" w:rsidRDefault="00ED17BA" w:rsidP="00ED17BA">
      <w:pPr>
        <w:rPr>
          <w:rFonts w:eastAsia="Times New Roman" w:cs="Arial"/>
          <w:color w:val="000000"/>
          <w:szCs w:val="20"/>
          <w:lang w:eastAsia="bg-BG"/>
        </w:rPr>
      </w:pPr>
      <w:r w:rsidRPr="00ED17BA">
        <w:rPr>
          <w:rFonts w:eastAsia="Times New Roman" w:cs="Arial"/>
          <w:i/>
          <w:iCs/>
          <w:color w:val="000000"/>
          <w:szCs w:val="20"/>
          <w:lang w:eastAsia="bg-BG"/>
        </w:rPr>
        <w:t xml:space="preserve">Индуктори на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Популационни фармакокинетични анализи показват, че пушачите имат почти 50% по-ниски плазмени концентрации на дулоксетин, в сравнение с непушачите.</w:t>
      </w:r>
    </w:p>
    <w:p w14:paraId="4CA3515F" w14:textId="77777777" w:rsidR="00ED17BA" w:rsidRPr="00ED17BA" w:rsidRDefault="00ED17BA" w:rsidP="00ED17BA">
      <w:pPr>
        <w:rPr>
          <w:rFonts w:cs="Arial"/>
          <w:sz w:val="24"/>
        </w:rPr>
      </w:pPr>
    </w:p>
    <w:p w14:paraId="5D9F40EA" w14:textId="307593E9" w:rsidR="007122AD" w:rsidRDefault="002C50EE" w:rsidP="00936AD0">
      <w:pPr>
        <w:pStyle w:val="Heading2"/>
      </w:pPr>
      <w:r>
        <w:t>4.6. Фертилитет, бременност и кърмене</w:t>
      </w:r>
    </w:p>
    <w:p w14:paraId="29B828CA" w14:textId="19018A61" w:rsidR="00ED17BA" w:rsidRDefault="00ED17BA" w:rsidP="00ED17BA"/>
    <w:p w14:paraId="353E0EA3" w14:textId="77777777" w:rsidR="00ED17BA" w:rsidRPr="00ED17BA" w:rsidRDefault="00ED17BA" w:rsidP="00ED17BA">
      <w:pPr>
        <w:pStyle w:val="Heading3"/>
        <w:rPr>
          <w:rFonts w:eastAsia="Times New Roman"/>
          <w:sz w:val="28"/>
          <w:u w:val="single"/>
        </w:rPr>
      </w:pPr>
      <w:r w:rsidRPr="00ED17BA">
        <w:rPr>
          <w:rFonts w:eastAsia="Times New Roman"/>
          <w:u w:val="single"/>
          <w:lang w:eastAsia="bg-BG"/>
        </w:rPr>
        <w:t>Бременност</w:t>
      </w:r>
    </w:p>
    <w:p w14:paraId="28C4415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Проучвания при животни показват репродуктивна токсичност при нива на системна експозиция</w:t>
      </w:r>
    </w:p>
    <w:p w14:paraId="6B26592B" w14:textId="2261E753"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val="ru-RU"/>
        </w:rPr>
        <w:t>(</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на дулоксетин по-ниски от максималната клинична експозиция (вж. точка 5.3).</w:t>
      </w:r>
    </w:p>
    <w:p w14:paraId="20F411DA" w14:textId="4E5DA299" w:rsidR="00ED17BA" w:rsidRPr="00ED17BA" w:rsidRDefault="00ED17BA" w:rsidP="00ED17BA">
      <w:pPr>
        <w:rPr>
          <w:rFonts w:eastAsia="Times New Roman" w:cs="Arial"/>
          <w:color w:val="000000"/>
          <w:szCs w:val="20"/>
          <w:lang w:eastAsia="bg-BG"/>
        </w:rPr>
      </w:pPr>
    </w:p>
    <w:p w14:paraId="193E4E2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Две големи обсервационни проучвания (едно от САЩ, включващо 2500 бременни, с експозиция на дулоксетин през първия триместьр, и едно от ЕС, включващо 1500 бременни, с експозиция на дулоксетин през първия триместьр) не предполагат общ повишен риск от големи вродени малформации. Анализът на конкретни малформации, като сърдечни малформации, показва неубедителни резултати.</w:t>
      </w:r>
    </w:p>
    <w:p w14:paraId="0648897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В проучването от ЕС е направена връзка между експозицията на дулоксетин на майката по време на напреднала бременност (по всяко време от 20-та гестационна седмица до раждането) с повишен риск от преждевременно раждане (по-малко от 2 пъти, което приблизително съответства на 6 допълнителни преждевременни раждания на 100 жени, на терапия с дулоксетин в напреднала бременност). По-голямата част е възникнала между 35 и 36 гестационна седмица. Тази връзка не е наблюдавана в проучването от САЩ.</w:t>
      </w:r>
    </w:p>
    <w:p w14:paraId="27CE00D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Американски данни от наблюдения предоставят доказателства за повишен риск (по-малко от 2 пъти) от послеродово кръвотечение след експозиция на дулоксетин в рамките на месец преди раждането.</w:t>
      </w:r>
    </w:p>
    <w:p w14:paraId="2502AF1E"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Епидемиологичните данни предполагат, че употребата на </w:t>
      </w:r>
      <w:r w:rsidRPr="00ED17BA">
        <w:rPr>
          <w:rFonts w:eastAsia="Times New Roman" w:cs="Arial"/>
          <w:color w:val="000000"/>
          <w:szCs w:val="20"/>
          <w:lang w:val="en-US"/>
        </w:rPr>
        <w:t>SSRI</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по време на бременност, особено в напреднала бременност, може да повиши риска от персистираща пулмонална хипертония на новороденото (ППХН). Макар в никакви проучвания да не е изследвана връзката на ППХН с лечението със </w:t>
      </w:r>
      <w:r w:rsidRPr="00ED17BA">
        <w:rPr>
          <w:rFonts w:eastAsia="Times New Roman" w:cs="Arial"/>
          <w:color w:val="000000"/>
          <w:szCs w:val="20"/>
          <w:lang w:val="en-US"/>
        </w:rPr>
        <w:t>SNRI</w:t>
      </w:r>
      <w:r w:rsidRPr="00ED17BA">
        <w:rPr>
          <w:rFonts w:eastAsia="Times New Roman" w:cs="Arial"/>
          <w:color w:val="000000"/>
          <w:szCs w:val="20"/>
          <w:lang w:val="ru-RU"/>
        </w:rPr>
        <w:t xml:space="preserve">, </w:t>
      </w:r>
      <w:r w:rsidRPr="00ED17BA">
        <w:rPr>
          <w:rFonts w:eastAsia="Times New Roman" w:cs="Arial"/>
          <w:color w:val="000000"/>
          <w:szCs w:val="20"/>
          <w:lang w:eastAsia="bg-BG"/>
        </w:rPr>
        <w:t>този потенциален риск не може да бъде изключен при дулоксетин, като се има предвид свързания механизъм на действие (инхибиране на обратното захващане на серотонина).</w:t>
      </w:r>
    </w:p>
    <w:p w14:paraId="7304CD2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Подобно на другите серотонергични лекарствени продукти, могат да се появят симптоми на отнемане при новородени след употреба на дулоксетин от майката при наближаване на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w:t>
      </w:r>
      <w:r w:rsidRPr="00ED17BA">
        <w:rPr>
          <w:rFonts w:eastAsia="Times New Roman" w:cs="Arial"/>
          <w:color w:val="000000"/>
          <w:szCs w:val="20"/>
          <w:u w:val="single"/>
          <w:lang w:eastAsia="bg-BG"/>
        </w:rPr>
        <w:t>давани</w:t>
      </w:r>
      <w:r w:rsidRPr="00ED17BA">
        <w:rPr>
          <w:rFonts w:eastAsia="Times New Roman" w:cs="Arial"/>
          <w:color w:val="000000"/>
          <w:szCs w:val="20"/>
          <w:lang w:eastAsia="bg-BG"/>
        </w:rPr>
        <w:t xml:space="preserve"> или при раждането, или в течение на няколко дни след раждането.</w:t>
      </w:r>
    </w:p>
    <w:p w14:paraId="1A3FB819"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Дуласолан трябва да се използва по време на бременност, само ако потенциалната полза оправдава потенциалния риск за плода. Жените трябва да бъдат съветвани да </w:t>
      </w:r>
      <w:r w:rsidRPr="00ED17BA">
        <w:rPr>
          <w:rFonts w:eastAsia="Times New Roman" w:cs="Arial"/>
          <w:color w:val="000000"/>
          <w:szCs w:val="20"/>
          <w:lang w:eastAsia="bg-BG"/>
        </w:rPr>
        <w:lastRenderedPageBreak/>
        <w:t>информират техния лекар, ако забременеят, или планират бременност по време на лечението.</w:t>
      </w:r>
    </w:p>
    <w:p w14:paraId="7F885371" w14:textId="77777777" w:rsidR="00ED17BA" w:rsidRPr="00ED17BA" w:rsidRDefault="00ED17BA" w:rsidP="00ED17BA">
      <w:pPr>
        <w:spacing w:line="240" w:lineRule="auto"/>
        <w:rPr>
          <w:rFonts w:eastAsia="Times New Roman" w:cs="Arial"/>
          <w:color w:val="000000"/>
          <w:szCs w:val="20"/>
          <w:u w:val="single"/>
          <w:lang w:eastAsia="bg-BG"/>
        </w:rPr>
      </w:pPr>
    </w:p>
    <w:p w14:paraId="19866A08" w14:textId="372E1FD7" w:rsidR="00ED17BA" w:rsidRPr="00ED17BA" w:rsidRDefault="00ED17BA" w:rsidP="00ED17BA">
      <w:pPr>
        <w:pStyle w:val="Heading3"/>
        <w:rPr>
          <w:rFonts w:eastAsia="Times New Roman"/>
          <w:sz w:val="28"/>
          <w:u w:val="single"/>
        </w:rPr>
      </w:pPr>
      <w:r w:rsidRPr="00ED17BA">
        <w:rPr>
          <w:rFonts w:eastAsia="Times New Roman"/>
          <w:u w:val="single"/>
          <w:lang w:eastAsia="bg-BG"/>
        </w:rPr>
        <w:t>Кърмене</w:t>
      </w:r>
    </w:p>
    <w:p w14:paraId="549E6B4E" w14:textId="64DAC115"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Дулоксетин се отделя в много малка степен в кърмата на базата на проучване на 6 пациентки с лактация, които не са кърмили децата си. Измерената дневна доза на бебетата, на база </w:t>
      </w:r>
      <w:r w:rsidRPr="00ED17BA">
        <w:rPr>
          <w:rFonts w:eastAsia="Times New Roman" w:cs="Arial"/>
          <w:color w:val="000000"/>
          <w:szCs w:val="20"/>
          <w:lang w:val="en-US"/>
        </w:rPr>
        <w:t>mg</w:t>
      </w:r>
      <w:r w:rsidRPr="00ED17BA">
        <w:rPr>
          <w:rFonts w:eastAsia="Times New Roman" w:cs="Arial"/>
          <w:color w:val="000000"/>
          <w:szCs w:val="20"/>
          <w:lang w:val="ru-RU"/>
        </w:rPr>
        <w:t>/</w:t>
      </w:r>
      <w:r w:rsidRPr="00ED17BA">
        <w:rPr>
          <w:rFonts w:eastAsia="Times New Roman" w:cs="Arial"/>
          <w:color w:val="000000"/>
          <w:szCs w:val="20"/>
          <w:lang w:val="en-US"/>
        </w:rPr>
        <w:t>kg</w:t>
      </w:r>
      <w:r w:rsidRPr="00ED17BA">
        <w:rPr>
          <w:rFonts w:eastAsia="Times New Roman" w:cs="Arial"/>
          <w:color w:val="000000"/>
          <w:szCs w:val="20"/>
          <w:lang w:val="ru-RU"/>
        </w:rPr>
        <w:t xml:space="preserve">, </w:t>
      </w:r>
      <w:r w:rsidRPr="00ED17BA">
        <w:rPr>
          <w:rFonts w:eastAsia="Times New Roman" w:cs="Arial"/>
          <w:color w:val="000000"/>
          <w:szCs w:val="20"/>
          <w:lang w:eastAsia="bg-BG"/>
        </w:rPr>
        <w:t>е приблизително 0,14% от дозата на майката (вж. точка 5.2). Тъй като безопасността на дулоксетин при бебета не е установена, употребата на Дуласолан по време на кърмене не се препоръчва.</w:t>
      </w:r>
    </w:p>
    <w:p w14:paraId="1BA3A339" w14:textId="77777777" w:rsidR="00ED17BA" w:rsidRPr="00ED17BA" w:rsidRDefault="00ED17BA" w:rsidP="00ED17BA">
      <w:pPr>
        <w:spacing w:line="240" w:lineRule="auto"/>
        <w:rPr>
          <w:rFonts w:eastAsia="Times New Roman" w:cs="Arial"/>
          <w:color w:val="000000"/>
          <w:szCs w:val="20"/>
          <w:u w:val="single"/>
          <w:lang w:eastAsia="bg-BG"/>
        </w:rPr>
      </w:pPr>
    </w:p>
    <w:p w14:paraId="5C87643A" w14:textId="2BF61C2D" w:rsidR="00ED17BA" w:rsidRPr="00ED17BA" w:rsidRDefault="00ED17BA" w:rsidP="00ED17BA">
      <w:pPr>
        <w:pStyle w:val="Heading3"/>
        <w:rPr>
          <w:rFonts w:eastAsia="Times New Roman"/>
          <w:sz w:val="28"/>
          <w:u w:val="single"/>
        </w:rPr>
      </w:pPr>
      <w:r w:rsidRPr="00ED17BA">
        <w:rPr>
          <w:rFonts w:eastAsia="Times New Roman"/>
          <w:u w:val="single"/>
          <w:lang w:eastAsia="bg-BG"/>
        </w:rPr>
        <w:t>Фертилитет</w:t>
      </w:r>
    </w:p>
    <w:p w14:paraId="7933AF94" w14:textId="7399B68B" w:rsid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В проучвания при животни дулоксетин не е показал ефект върху фертилитета при мъже, а ефекти при жени са наблюдавани са само при матерно-токсични дози.</w:t>
      </w:r>
    </w:p>
    <w:p w14:paraId="6AFCF279" w14:textId="77777777" w:rsidR="002E12CA" w:rsidRPr="00ED17BA" w:rsidRDefault="002E12CA" w:rsidP="00ED17BA">
      <w:pPr>
        <w:rPr>
          <w:rFonts w:cs="Arial"/>
          <w:sz w:val="24"/>
        </w:rPr>
      </w:pPr>
    </w:p>
    <w:p w14:paraId="5DD7A76D" w14:textId="04EEEF17" w:rsidR="007122AD" w:rsidRDefault="002C50EE" w:rsidP="00936AD0">
      <w:pPr>
        <w:pStyle w:val="Heading2"/>
      </w:pPr>
      <w:r>
        <w:t>4.7. Ефекти върху способността за шофиране и работа с машини</w:t>
      </w:r>
    </w:p>
    <w:p w14:paraId="5D5704D1" w14:textId="6E60C05B" w:rsidR="002E12CA" w:rsidRDefault="002E12CA" w:rsidP="002E12CA"/>
    <w:p w14:paraId="01D6D267" w14:textId="77777777" w:rsidR="002E12CA" w:rsidRPr="002E12CA" w:rsidRDefault="002E12CA" w:rsidP="002E12CA">
      <w:pPr>
        <w:rPr>
          <w:sz w:val="24"/>
          <w:szCs w:val="24"/>
        </w:rPr>
      </w:pPr>
      <w:r w:rsidRPr="002E12CA">
        <w:rPr>
          <w:lang w:eastAsia="bg-BG"/>
        </w:rPr>
        <w:t>Не са провеждани проучвания върху способността за шофиране и работа с машини. Дуласолан може да бъде свързана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10C05B9F" w14:textId="77777777" w:rsidR="002E12CA" w:rsidRPr="002E12CA" w:rsidRDefault="002E12CA" w:rsidP="002E12CA"/>
    <w:p w14:paraId="44CE30A3" w14:textId="29526028" w:rsidR="007122AD" w:rsidRDefault="002C50EE" w:rsidP="00936AD0">
      <w:pPr>
        <w:pStyle w:val="Heading2"/>
      </w:pPr>
      <w:r>
        <w:t>4.8. Нежелани лекарствени реакции</w:t>
      </w:r>
    </w:p>
    <w:p w14:paraId="583FB4DA" w14:textId="1F09E344" w:rsidR="002E12CA" w:rsidRDefault="002E12CA" w:rsidP="002E12CA"/>
    <w:p w14:paraId="4A188E46" w14:textId="6B547615" w:rsidR="002E12CA" w:rsidRPr="002E12CA" w:rsidRDefault="002E12CA" w:rsidP="002E12CA">
      <w:pPr>
        <w:spacing w:line="240" w:lineRule="auto"/>
        <w:rPr>
          <w:rFonts w:eastAsia="Times New Roman" w:cs="Arial"/>
          <w:i/>
          <w:iCs/>
          <w:color w:val="000000"/>
          <w:szCs w:val="20"/>
          <w:lang w:eastAsia="bg-BG"/>
        </w:rPr>
      </w:pPr>
      <w:r w:rsidRPr="002E12CA">
        <w:rPr>
          <w:rFonts w:eastAsia="Times New Roman" w:cs="Arial"/>
          <w:i/>
          <w:iCs/>
          <w:color w:val="000000"/>
          <w:szCs w:val="20"/>
          <w:lang w:eastAsia="bg-BG"/>
        </w:rPr>
        <w:t>а.Резюме на профила на безопасност</w:t>
      </w:r>
    </w:p>
    <w:p w14:paraId="4E730DBF" w14:textId="77777777" w:rsidR="002E12CA" w:rsidRPr="002E12CA" w:rsidRDefault="002E12CA" w:rsidP="002E12CA">
      <w:pPr>
        <w:spacing w:line="240" w:lineRule="auto"/>
        <w:rPr>
          <w:rFonts w:eastAsia="Times New Roman" w:cs="Arial"/>
          <w:color w:val="000000"/>
          <w:szCs w:val="20"/>
          <w:lang w:eastAsia="bg-BG"/>
        </w:rPr>
      </w:pPr>
    </w:p>
    <w:p w14:paraId="2B16E075" w14:textId="27ADB7DB"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лченеието, и по-голяма част са с тенденция да отминат, дори при продължаване на терапията.</w:t>
      </w:r>
    </w:p>
    <w:p w14:paraId="596079E6" w14:textId="2242FF0A" w:rsidR="002E12CA" w:rsidRPr="002E12CA" w:rsidRDefault="002E12CA" w:rsidP="002E12CA">
      <w:pPr>
        <w:rPr>
          <w:rFonts w:cs="Arial"/>
          <w:sz w:val="24"/>
        </w:rPr>
      </w:pPr>
    </w:p>
    <w:p w14:paraId="269C9013" w14:textId="1AF13A24" w:rsidR="002E12CA" w:rsidRPr="002E12CA" w:rsidRDefault="002E12CA" w:rsidP="002E12CA">
      <w:pPr>
        <w:spacing w:line="240" w:lineRule="auto"/>
        <w:rPr>
          <w:rFonts w:eastAsia="Times New Roman" w:cs="Arial"/>
          <w:sz w:val="28"/>
          <w:szCs w:val="24"/>
        </w:rPr>
      </w:pPr>
      <w:r w:rsidRPr="002E12CA">
        <w:rPr>
          <w:rFonts w:eastAsia="Times New Roman" w:cs="Arial"/>
          <w:i/>
          <w:iCs/>
          <w:color w:val="000000"/>
          <w:szCs w:val="20"/>
          <w:lang w:eastAsia="bg-BG"/>
        </w:rPr>
        <w:t>б.Резюме на нежеланите лекарствени реакции в табличен вид</w:t>
      </w:r>
    </w:p>
    <w:p w14:paraId="0AEEF05B" w14:textId="77777777" w:rsidR="002E12CA" w:rsidRPr="002E12CA" w:rsidRDefault="002E12CA" w:rsidP="002E12CA">
      <w:pPr>
        <w:spacing w:line="240" w:lineRule="auto"/>
        <w:rPr>
          <w:rFonts w:eastAsia="Times New Roman" w:cs="Arial"/>
          <w:color w:val="000000"/>
          <w:szCs w:val="20"/>
          <w:lang w:eastAsia="bg-BG"/>
        </w:rPr>
      </w:pPr>
    </w:p>
    <w:p w14:paraId="5F4FEE5C" w14:textId="1D9C2973"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Таблица 1 показва нежеланите реакции, наблюдавани от спонтанни съобщения и при плацебо- контролирани клинични изпитвания.</w:t>
      </w:r>
    </w:p>
    <w:p w14:paraId="68B14DE8" w14:textId="77777777" w:rsidR="002E12CA" w:rsidRPr="002E12CA" w:rsidRDefault="002E12CA" w:rsidP="002E12CA">
      <w:pPr>
        <w:spacing w:line="240" w:lineRule="auto"/>
        <w:rPr>
          <w:rFonts w:eastAsia="Times New Roman" w:cs="Arial"/>
          <w:i/>
          <w:iCs/>
          <w:color w:val="000000"/>
          <w:szCs w:val="20"/>
          <w:lang w:eastAsia="bg-BG"/>
        </w:rPr>
      </w:pPr>
    </w:p>
    <w:p w14:paraId="187827E0" w14:textId="0B8782CB" w:rsidR="002E12CA" w:rsidRPr="002E12CA" w:rsidRDefault="002E12CA" w:rsidP="002E12CA">
      <w:pPr>
        <w:spacing w:line="240" w:lineRule="auto"/>
        <w:rPr>
          <w:rFonts w:eastAsia="Times New Roman" w:cs="Arial"/>
          <w:sz w:val="28"/>
          <w:szCs w:val="24"/>
        </w:rPr>
      </w:pPr>
      <w:r w:rsidRPr="002E12CA">
        <w:rPr>
          <w:rFonts w:eastAsia="Times New Roman" w:cs="Arial"/>
          <w:i/>
          <w:iCs/>
          <w:color w:val="000000"/>
          <w:szCs w:val="20"/>
          <w:lang w:eastAsia="bg-BG"/>
        </w:rPr>
        <w:t>Таблица 1: Нежелани реакции</w:t>
      </w:r>
    </w:p>
    <w:p w14:paraId="549E77CB"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Оценка по честота: Много чести (≥1/10), чести (≥1/100 до &lt;1/10), нечести (≥1/1 000 до &lt;1/100), редки (≥1/10 000 до &lt;1/1 000), много редки (&lt;1/10 000).</w:t>
      </w:r>
    </w:p>
    <w:p w14:paraId="5E668228"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7F3EDC66" w14:textId="2F87C56F" w:rsidR="002E12CA" w:rsidRDefault="002E12CA" w:rsidP="002E12CA"/>
    <w:tbl>
      <w:tblPr>
        <w:tblStyle w:val="TableGrid"/>
        <w:tblW w:w="0" w:type="auto"/>
        <w:tblLook w:val="04A0" w:firstRow="1" w:lastRow="0" w:firstColumn="1" w:lastColumn="0" w:noHBand="0" w:noVBand="1"/>
      </w:tblPr>
      <w:tblGrid>
        <w:gridCol w:w="1946"/>
        <w:gridCol w:w="1654"/>
        <w:gridCol w:w="1972"/>
        <w:gridCol w:w="2422"/>
        <w:gridCol w:w="1356"/>
      </w:tblGrid>
      <w:tr w:rsidR="002E12CA" w14:paraId="67885407" w14:textId="77777777" w:rsidTr="002E12CA">
        <w:tc>
          <w:tcPr>
            <w:tcW w:w="2012" w:type="dxa"/>
          </w:tcPr>
          <w:p w14:paraId="19B27CC1" w14:textId="49C40E5D" w:rsidR="002E12CA" w:rsidRPr="002E12CA" w:rsidRDefault="002E12CA" w:rsidP="002E12CA">
            <w:pPr>
              <w:rPr>
                <w:rFonts w:cs="Arial"/>
              </w:rPr>
            </w:pPr>
            <w:r w:rsidRPr="002E12CA">
              <w:rPr>
                <w:rFonts w:cs="Arial"/>
                <w:b/>
                <w:bCs/>
              </w:rPr>
              <w:t>Много чести</w:t>
            </w:r>
          </w:p>
        </w:tc>
        <w:tc>
          <w:tcPr>
            <w:tcW w:w="1691" w:type="dxa"/>
          </w:tcPr>
          <w:p w14:paraId="6F68C0F1" w14:textId="0167EC4B" w:rsidR="002E12CA" w:rsidRPr="002E12CA" w:rsidRDefault="002E12CA" w:rsidP="002E12CA">
            <w:pPr>
              <w:rPr>
                <w:rFonts w:cs="Arial"/>
              </w:rPr>
            </w:pPr>
            <w:r w:rsidRPr="002E12CA">
              <w:rPr>
                <w:rFonts w:cs="Arial"/>
                <w:b/>
                <w:bCs/>
              </w:rPr>
              <w:t>Чести</w:t>
            </w:r>
          </w:p>
        </w:tc>
        <w:tc>
          <w:tcPr>
            <w:tcW w:w="1972" w:type="dxa"/>
          </w:tcPr>
          <w:p w14:paraId="20BECCAC" w14:textId="0AE098F2" w:rsidR="002E12CA" w:rsidRPr="002E12CA" w:rsidRDefault="002E12CA" w:rsidP="002E12CA">
            <w:pPr>
              <w:rPr>
                <w:rFonts w:cs="Arial"/>
              </w:rPr>
            </w:pPr>
            <w:r w:rsidRPr="002E12CA">
              <w:rPr>
                <w:rFonts w:cs="Arial"/>
                <w:b/>
                <w:bCs/>
              </w:rPr>
              <w:t>Нечести</w:t>
            </w:r>
          </w:p>
        </w:tc>
        <w:tc>
          <w:tcPr>
            <w:tcW w:w="2422" w:type="dxa"/>
          </w:tcPr>
          <w:p w14:paraId="52BEA458" w14:textId="65582905" w:rsidR="002E12CA" w:rsidRPr="002E12CA" w:rsidRDefault="002E12CA" w:rsidP="002E12CA">
            <w:pPr>
              <w:rPr>
                <w:rFonts w:cs="Arial"/>
              </w:rPr>
            </w:pPr>
            <w:r w:rsidRPr="002E12CA">
              <w:rPr>
                <w:rFonts w:cs="Arial"/>
                <w:b/>
                <w:bCs/>
              </w:rPr>
              <w:t>Редки</w:t>
            </w:r>
          </w:p>
        </w:tc>
        <w:tc>
          <w:tcPr>
            <w:tcW w:w="1479" w:type="dxa"/>
          </w:tcPr>
          <w:p w14:paraId="76B3B735" w14:textId="022A9780" w:rsidR="002E12CA" w:rsidRPr="002E12CA" w:rsidRDefault="002E12CA" w:rsidP="002E12CA">
            <w:pPr>
              <w:rPr>
                <w:rFonts w:cs="Arial"/>
              </w:rPr>
            </w:pPr>
            <w:r w:rsidRPr="002E12CA">
              <w:rPr>
                <w:rFonts w:cs="Arial"/>
                <w:b/>
                <w:bCs/>
              </w:rPr>
              <w:t>Много редки</w:t>
            </w:r>
          </w:p>
        </w:tc>
      </w:tr>
      <w:tr w:rsidR="002E12CA" w14:paraId="4107403A" w14:textId="77777777" w:rsidTr="002E12CA">
        <w:tc>
          <w:tcPr>
            <w:tcW w:w="9576" w:type="dxa"/>
            <w:gridSpan w:val="5"/>
          </w:tcPr>
          <w:p w14:paraId="273BED31" w14:textId="6DB79322" w:rsidR="002E12CA" w:rsidRPr="002E12CA" w:rsidRDefault="002E12CA" w:rsidP="002E12CA">
            <w:pPr>
              <w:rPr>
                <w:rFonts w:cs="Arial"/>
              </w:rPr>
            </w:pPr>
            <w:r w:rsidRPr="002E12CA">
              <w:rPr>
                <w:rFonts w:eastAsia="Times New Roman" w:cs="Arial"/>
                <w:i/>
                <w:iCs/>
                <w:color w:val="000000"/>
                <w:lang w:eastAsia="bg-BG"/>
              </w:rPr>
              <w:t>Инфекции и инфестации</w:t>
            </w:r>
          </w:p>
        </w:tc>
      </w:tr>
      <w:tr w:rsidR="002E12CA" w14:paraId="151E3CCB" w14:textId="77777777" w:rsidTr="002E12CA">
        <w:tc>
          <w:tcPr>
            <w:tcW w:w="2012" w:type="dxa"/>
          </w:tcPr>
          <w:p w14:paraId="4E37B93A" w14:textId="77777777" w:rsidR="002E12CA" w:rsidRPr="002E12CA" w:rsidRDefault="002E12CA" w:rsidP="002E12CA">
            <w:pPr>
              <w:rPr>
                <w:rFonts w:cs="Arial"/>
              </w:rPr>
            </w:pPr>
          </w:p>
        </w:tc>
        <w:tc>
          <w:tcPr>
            <w:tcW w:w="1691" w:type="dxa"/>
          </w:tcPr>
          <w:p w14:paraId="4AC9BCD6" w14:textId="77777777" w:rsidR="002E12CA" w:rsidRPr="002E12CA" w:rsidRDefault="002E12CA" w:rsidP="002E12CA">
            <w:pPr>
              <w:rPr>
                <w:rFonts w:cs="Arial"/>
              </w:rPr>
            </w:pPr>
          </w:p>
        </w:tc>
        <w:tc>
          <w:tcPr>
            <w:tcW w:w="1972" w:type="dxa"/>
          </w:tcPr>
          <w:p w14:paraId="385E449F" w14:textId="05FDAA13" w:rsidR="002E12CA" w:rsidRPr="002E12CA" w:rsidRDefault="002E12CA" w:rsidP="002E12CA">
            <w:pPr>
              <w:spacing w:line="240" w:lineRule="auto"/>
              <w:rPr>
                <w:rFonts w:eastAsia="Times New Roman" w:cs="Arial"/>
              </w:rPr>
            </w:pPr>
            <w:r w:rsidRPr="002E12CA">
              <w:rPr>
                <w:rFonts w:eastAsia="Times New Roman" w:cs="Arial"/>
                <w:color w:val="000000"/>
                <w:lang w:eastAsia="bg-BG"/>
              </w:rPr>
              <w:t>Ларингит</w:t>
            </w:r>
          </w:p>
        </w:tc>
        <w:tc>
          <w:tcPr>
            <w:tcW w:w="2422" w:type="dxa"/>
          </w:tcPr>
          <w:p w14:paraId="137B4A4D" w14:textId="77777777" w:rsidR="002E12CA" w:rsidRPr="002E12CA" w:rsidRDefault="002E12CA" w:rsidP="002E12CA">
            <w:pPr>
              <w:rPr>
                <w:rFonts w:cs="Arial"/>
              </w:rPr>
            </w:pPr>
          </w:p>
        </w:tc>
        <w:tc>
          <w:tcPr>
            <w:tcW w:w="1479" w:type="dxa"/>
          </w:tcPr>
          <w:p w14:paraId="7BDE2AD6" w14:textId="77777777" w:rsidR="002E12CA" w:rsidRPr="002E12CA" w:rsidRDefault="002E12CA" w:rsidP="002E12CA">
            <w:pPr>
              <w:rPr>
                <w:rFonts w:cs="Arial"/>
              </w:rPr>
            </w:pPr>
          </w:p>
        </w:tc>
      </w:tr>
      <w:tr w:rsidR="002E12CA" w14:paraId="557870F7" w14:textId="77777777" w:rsidTr="002E12CA">
        <w:tc>
          <w:tcPr>
            <w:tcW w:w="9576" w:type="dxa"/>
            <w:gridSpan w:val="5"/>
          </w:tcPr>
          <w:p w14:paraId="5A6450B1" w14:textId="5A49E0A5" w:rsidR="002E12CA" w:rsidRPr="002E12CA" w:rsidRDefault="002E12CA" w:rsidP="002E12CA">
            <w:pPr>
              <w:rPr>
                <w:rFonts w:cs="Arial"/>
              </w:rPr>
            </w:pPr>
            <w:r w:rsidRPr="002E12CA">
              <w:rPr>
                <w:rFonts w:eastAsia="Times New Roman" w:cs="Arial"/>
                <w:i/>
                <w:iCs/>
                <w:color w:val="000000"/>
                <w:lang w:eastAsia="bg-BG"/>
              </w:rPr>
              <w:t>Нарушения на имунната система</w:t>
            </w:r>
          </w:p>
        </w:tc>
      </w:tr>
      <w:tr w:rsidR="002E12CA" w14:paraId="0A91E75B" w14:textId="77777777" w:rsidTr="002E12CA">
        <w:tc>
          <w:tcPr>
            <w:tcW w:w="2012" w:type="dxa"/>
          </w:tcPr>
          <w:p w14:paraId="08928555" w14:textId="77777777" w:rsidR="002E12CA" w:rsidRPr="002E12CA" w:rsidRDefault="002E12CA" w:rsidP="002E12CA">
            <w:pPr>
              <w:rPr>
                <w:rFonts w:cs="Arial"/>
              </w:rPr>
            </w:pPr>
          </w:p>
        </w:tc>
        <w:tc>
          <w:tcPr>
            <w:tcW w:w="1691" w:type="dxa"/>
          </w:tcPr>
          <w:p w14:paraId="7811B9EF" w14:textId="77777777" w:rsidR="002E12CA" w:rsidRPr="002E12CA" w:rsidRDefault="002E12CA" w:rsidP="002E12CA">
            <w:pPr>
              <w:rPr>
                <w:rFonts w:cs="Arial"/>
              </w:rPr>
            </w:pPr>
          </w:p>
        </w:tc>
        <w:tc>
          <w:tcPr>
            <w:tcW w:w="1972" w:type="dxa"/>
          </w:tcPr>
          <w:p w14:paraId="5B16FE88" w14:textId="77777777" w:rsidR="002E12CA" w:rsidRPr="002E12CA" w:rsidRDefault="002E12CA" w:rsidP="002E12CA">
            <w:pPr>
              <w:rPr>
                <w:rFonts w:cs="Arial"/>
              </w:rPr>
            </w:pPr>
          </w:p>
        </w:tc>
        <w:tc>
          <w:tcPr>
            <w:tcW w:w="2422" w:type="dxa"/>
          </w:tcPr>
          <w:p w14:paraId="5609FEAB" w14:textId="77777777" w:rsidR="002E12CA" w:rsidRPr="002E12CA" w:rsidRDefault="002E12CA" w:rsidP="002E12CA">
            <w:pPr>
              <w:rPr>
                <w:rFonts w:cs="Arial"/>
              </w:rPr>
            </w:pPr>
            <w:r w:rsidRPr="002E12CA">
              <w:rPr>
                <w:rFonts w:cs="Arial"/>
              </w:rPr>
              <w:t>Анафилактична реакция</w:t>
            </w:r>
          </w:p>
          <w:p w14:paraId="587BB8C4" w14:textId="77777777" w:rsidR="002E12CA" w:rsidRPr="002E12CA" w:rsidRDefault="002E12CA" w:rsidP="002E12CA">
            <w:pPr>
              <w:rPr>
                <w:rFonts w:cs="Arial"/>
              </w:rPr>
            </w:pPr>
            <w:r w:rsidRPr="002E12CA">
              <w:rPr>
                <w:rFonts w:cs="Arial"/>
              </w:rPr>
              <w:t>Нарушения, свързани със</w:t>
            </w:r>
          </w:p>
          <w:p w14:paraId="1C2F993A" w14:textId="1D6C1E75" w:rsidR="002E12CA" w:rsidRPr="002E12CA" w:rsidRDefault="002E12CA" w:rsidP="002E12CA">
            <w:pPr>
              <w:rPr>
                <w:rFonts w:cs="Arial"/>
              </w:rPr>
            </w:pPr>
            <w:r w:rsidRPr="002E12CA">
              <w:rPr>
                <w:rFonts w:cs="Arial"/>
              </w:rPr>
              <w:t>свръхчувствителност</w:t>
            </w:r>
          </w:p>
        </w:tc>
        <w:tc>
          <w:tcPr>
            <w:tcW w:w="1479" w:type="dxa"/>
          </w:tcPr>
          <w:p w14:paraId="6915F62C" w14:textId="77777777" w:rsidR="002E12CA" w:rsidRPr="002E12CA" w:rsidRDefault="002E12CA" w:rsidP="002E12CA">
            <w:pPr>
              <w:rPr>
                <w:rFonts w:cs="Arial"/>
              </w:rPr>
            </w:pPr>
          </w:p>
        </w:tc>
      </w:tr>
      <w:tr w:rsidR="002E12CA" w14:paraId="40FE745A" w14:textId="77777777" w:rsidTr="002E12CA">
        <w:tc>
          <w:tcPr>
            <w:tcW w:w="9576" w:type="dxa"/>
            <w:gridSpan w:val="5"/>
          </w:tcPr>
          <w:p w14:paraId="5CD05FF7" w14:textId="31E91E22" w:rsidR="002E12CA" w:rsidRPr="002E12CA" w:rsidRDefault="002E12CA" w:rsidP="002E12CA">
            <w:pPr>
              <w:rPr>
                <w:rFonts w:cs="Arial"/>
              </w:rPr>
            </w:pPr>
            <w:r w:rsidRPr="002E12CA">
              <w:rPr>
                <w:rFonts w:eastAsia="Times New Roman" w:cs="Arial"/>
                <w:i/>
                <w:iCs/>
                <w:color w:val="000000"/>
                <w:lang w:eastAsia="bg-BG"/>
              </w:rPr>
              <w:t>Нарушения на ендокринната система</w:t>
            </w:r>
          </w:p>
        </w:tc>
      </w:tr>
      <w:tr w:rsidR="002E12CA" w14:paraId="27AD8F7C" w14:textId="77777777" w:rsidTr="002E12CA">
        <w:tc>
          <w:tcPr>
            <w:tcW w:w="2012" w:type="dxa"/>
          </w:tcPr>
          <w:p w14:paraId="7CC27091" w14:textId="77777777" w:rsidR="002E12CA" w:rsidRPr="002E12CA" w:rsidRDefault="002E12CA" w:rsidP="002E12CA">
            <w:pPr>
              <w:rPr>
                <w:rFonts w:cs="Arial"/>
              </w:rPr>
            </w:pPr>
          </w:p>
        </w:tc>
        <w:tc>
          <w:tcPr>
            <w:tcW w:w="1691" w:type="dxa"/>
          </w:tcPr>
          <w:p w14:paraId="4A655CA4" w14:textId="77777777" w:rsidR="002E12CA" w:rsidRPr="002E12CA" w:rsidRDefault="002E12CA" w:rsidP="002E12CA">
            <w:pPr>
              <w:rPr>
                <w:rFonts w:cs="Arial"/>
              </w:rPr>
            </w:pPr>
          </w:p>
        </w:tc>
        <w:tc>
          <w:tcPr>
            <w:tcW w:w="1972" w:type="dxa"/>
          </w:tcPr>
          <w:p w14:paraId="2D9FE40F" w14:textId="77777777" w:rsidR="002E12CA" w:rsidRPr="002E12CA" w:rsidRDefault="002E12CA" w:rsidP="002E12CA">
            <w:pPr>
              <w:rPr>
                <w:rFonts w:cs="Arial"/>
              </w:rPr>
            </w:pPr>
          </w:p>
        </w:tc>
        <w:tc>
          <w:tcPr>
            <w:tcW w:w="2422" w:type="dxa"/>
          </w:tcPr>
          <w:p w14:paraId="69FCDD2D" w14:textId="1C586CD4" w:rsidR="002E12CA" w:rsidRPr="002E12CA" w:rsidRDefault="002E12CA" w:rsidP="002E12CA">
            <w:pPr>
              <w:rPr>
                <w:rFonts w:cs="Arial"/>
              </w:rPr>
            </w:pPr>
            <w:r w:rsidRPr="002E12CA">
              <w:rPr>
                <w:rFonts w:cs="Arial"/>
              </w:rPr>
              <w:t>Хипотиреоидизъм</w:t>
            </w:r>
          </w:p>
        </w:tc>
        <w:tc>
          <w:tcPr>
            <w:tcW w:w="1479" w:type="dxa"/>
          </w:tcPr>
          <w:p w14:paraId="24BDFD5D" w14:textId="77777777" w:rsidR="002E12CA" w:rsidRPr="002E12CA" w:rsidRDefault="002E12CA" w:rsidP="002E12CA">
            <w:pPr>
              <w:rPr>
                <w:rFonts w:cs="Arial"/>
              </w:rPr>
            </w:pPr>
          </w:p>
        </w:tc>
      </w:tr>
      <w:tr w:rsidR="002E12CA" w14:paraId="7D0D312B" w14:textId="77777777" w:rsidTr="002E12CA">
        <w:tc>
          <w:tcPr>
            <w:tcW w:w="9576" w:type="dxa"/>
            <w:gridSpan w:val="5"/>
          </w:tcPr>
          <w:p w14:paraId="0DBF402A" w14:textId="275B153F" w:rsidR="002E12CA" w:rsidRPr="002E12CA" w:rsidRDefault="002E12CA" w:rsidP="002E12CA">
            <w:pPr>
              <w:rPr>
                <w:rFonts w:cs="Arial"/>
              </w:rPr>
            </w:pPr>
            <w:r w:rsidRPr="002E12CA">
              <w:rPr>
                <w:rFonts w:eastAsia="Times New Roman" w:cs="Arial"/>
                <w:i/>
                <w:iCs/>
                <w:color w:val="000000"/>
                <w:lang w:eastAsia="bg-BG"/>
              </w:rPr>
              <w:t>Нарушения на метаболизма и храненето</w:t>
            </w:r>
          </w:p>
        </w:tc>
      </w:tr>
      <w:tr w:rsidR="002E12CA" w14:paraId="11043439" w14:textId="77777777" w:rsidTr="002E12CA">
        <w:tc>
          <w:tcPr>
            <w:tcW w:w="2012" w:type="dxa"/>
          </w:tcPr>
          <w:p w14:paraId="7E243B60" w14:textId="77777777" w:rsidR="002E12CA" w:rsidRPr="002E12CA" w:rsidRDefault="002E12CA" w:rsidP="002E12CA">
            <w:pPr>
              <w:rPr>
                <w:rFonts w:cs="Arial"/>
              </w:rPr>
            </w:pPr>
          </w:p>
        </w:tc>
        <w:tc>
          <w:tcPr>
            <w:tcW w:w="1691" w:type="dxa"/>
          </w:tcPr>
          <w:p w14:paraId="4F06BC59" w14:textId="7F696D4A" w:rsidR="002E12CA" w:rsidRPr="002E12CA" w:rsidRDefault="002E12CA" w:rsidP="002E12CA">
            <w:pPr>
              <w:rPr>
                <w:rFonts w:cs="Arial"/>
              </w:rPr>
            </w:pPr>
            <w:r w:rsidRPr="002E12CA">
              <w:rPr>
                <w:rFonts w:cs="Arial"/>
              </w:rPr>
              <w:t>Намален апетит</w:t>
            </w:r>
          </w:p>
        </w:tc>
        <w:tc>
          <w:tcPr>
            <w:tcW w:w="1972" w:type="dxa"/>
          </w:tcPr>
          <w:p w14:paraId="50748084" w14:textId="0A929A82" w:rsidR="002E12CA" w:rsidRPr="002E12CA" w:rsidRDefault="002E12CA" w:rsidP="002E12CA">
            <w:pPr>
              <w:rPr>
                <w:rFonts w:cs="Arial"/>
              </w:rPr>
            </w:pPr>
            <w:r w:rsidRPr="002E12CA">
              <w:rPr>
                <w:rFonts w:cs="Arial"/>
              </w:rPr>
              <w:t>Хипергликемия (докладвана особено при пациенти- диабетици)</w:t>
            </w:r>
          </w:p>
        </w:tc>
        <w:tc>
          <w:tcPr>
            <w:tcW w:w="2422" w:type="dxa"/>
          </w:tcPr>
          <w:p w14:paraId="20732E28" w14:textId="353E32FC" w:rsidR="002E12CA" w:rsidRPr="002E12CA" w:rsidRDefault="002E12CA" w:rsidP="002E12CA">
            <w:pPr>
              <w:rPr>
                <w:rFonts w:cs="Arial"/>
              </w:rPr>
            </w:pPr>
            <w:r w:rsidRPr="002E12CA">
              <w:rPr>
                <w:rFonts w:cs="Arial"/>
              </w:rPr>
              <w:t>Дехидратация Хипонатриемия СНАДХ (синдром на неадекватна секреция на антидиуретичен хормон)</w:t>
            </w:r>
            <w:r w:rsidRPr="002E12CA">
              <w:rPr>
                <w:rFonts w:cs="Arial"/>
                <w:vertAlign w:val="superscript"/>
              </w:rPr>
              <w:t>6</w:t>
            </w:r>
          </w:p>
        </w:tc>
        <w:tc>
          <w:tcPr>
            <w:tcW w:w="1479" w:type="dxa"/>
          </w:tcPr>
          <w:p w14:paraId="7DBE8513" w14:textId="77777777" w:rsidR="002E12CA" w:rsidRPr="002E12CA" w:rsidRDefault="002E12CA" w:rsidP="002E12CA">
            <w:pPr>
              <w:rPr>
                <w:rFonts w:cs="Arial"/>
              </w:rPr>
            </w:pPr>
          </w:p>
        </w:tc>
      </w:tr>
      <w:tr w:rsidR="002E12CA" w14:paraId="1435EF8D" w14:textId="77777777" w:rsidTr="002E12CA">
        <w:tc>
          <w:tcPr>
            <w:tcW w:w="9576" w:type="dxa"/>
            <w:gridSpan w:val="5"/>
          </w:tcPr>
          <w:p w14:paraId="61ABBB1B" w14:textId="7FB03BD0" w:rsidR="002E12CA" w:rsidRPr="002E12CA" w:rsidRDefault="002E12CA" w:rsidP="002E12CA">
            <w:pPr>
              <w:rPr>
                <w:rFonts w:cs="Arial"/>
              </w:rPr>
            </w:pPr>
            <w:r w:rsidRPr="002E12CA">
              <w:rPr>
                <w:rFonts w:cs="Arial"/>
                <w:i/>
                <w:iCs/>
              </w:rPr>
              <w:t>Психични нарушения</w:t>
            </w:r>
          </w:p>
        </w:tc>
      </w:tr>
      <w:tr w:rsidR="002E12CA" w14:paraId="2C7C6DAB" w14:textId="77777777" w:rsidTr="002E12CA">
        <w:tc>
          <w:tcPr>
            <w:tcW w:w="2012" w:type="dxa"/>
          </w:tcPr>
          <w:p w14:paraId="7433A78C" w14:textId="77777777" w:rsidR="002E12CA" w:rsidRPr="002E12CA" w:rsidRDefault="002E12CA" w:rsidP="002E12CA">
            <w:pPr>
              <w:rPr>
                <w:rFonts w:cs="Arial"/>
              </w:rPr>
            </w:pPr>
          </w:p>
        </w:tc>
        <w:tc>
          <w:tcPr>
            <w:tcW w:w="1691" w:type="dxa"/>
          </w:tcPr>
          <w:p w14:paraId="7CAF8FF4" w14:textId="124F14B3" w:rsidR="002E12CA" w:rsidRPr="002E12CA" w:rsidRDefault="002E12CA" w:rsidP="002E12CA">
            <w:pPr>
              <w:rPr>
                <w:rFonts w:cs="Arial"/>
              </w:rPr>
            </w:pPr>
            <w:r w:rsidRPr="002E12CA">
              <w:rPr>
                <w:rFonts w:cs="Arial"/>
              </w:rPr>
              <w:t>Инсомния Възбуда Намалено либидо Тревожност Абнормен оргазъм Абнормни сънища</w:t>
            </w:r>
          </w:p>
        </w:tc>
        <w:tc>
          <w:tcPr>
            <w:tcW w:w="1972" w:type="dxa"/>
          </w:tcPr>
          <w:p w14:paraId="76328BA2" w14:textId="7ED9C987" w:rsidR="002E12CA" w:rsidRPr="002E12CA" w:rsidRDefault="002E12CA" w:rsidP="002E12CA">
            <w:pPr>
              <w:rPr>
                <w:rFonts w:cs="Arial"/>
              </w:rPr>
            </w:pPr>
            <w:r w:rsidRPr="002E12CA">
              <w:rPr>
                <w:rFonts w:cs="Arial"/>
              </w:rPr>
              <w:t>Суицидна идеация</w:t>
            </w:r>
            <w:r w:rsidRPr="002E12CA">
              <w:rPr>
                <w:rFonts w:cs="Arial"/>
                <w:vertAlign w:val="superscript"/>
              </w:rPr>
              <w:t xml:space="preserve">5,7 </w:t>
            </w:r>
            <w:r w:rsidRPr="002E12CA">
              <w:rPr>
                <w:rFonts w:cs="Arial"/>
              </w:rPr>
              <w:t>Нарушение на съня Бруксизъм Дезориентация Апатия</w:t>
            </w:r>
          </w:p>
        </w:tc>
        <w:tc>
          <w:tcPr>
            <w:tcW w:w="2422" w:type="dxa"/>
          </w:tcPr>
          <w:p w14:paraId="04152A38" w14:textId="77777777" w:rsidR="002E12CA" w:rsidRPr="002E12CA" w:rsidRDefault="002E12CA" w:rsidP="002E12CA">
            <w:pPr>
              <w:rPr>
                <w:rFonts w:cs="Arial"/>
              </w:rPr>
            </w:pPr>
            <w:r w:rsidRPr="002E12CA">
              <w:rPr>
                <w:rFonts w:cs="Arial"/>
              </w:rPr>
              <w:t>Суицидно</w:t>
            </w:r>
          </w:p>
          <w:p w14:paraId="0C23B9C5" w14:textId="3B0168A8" w:rsidR="002E12CA" w:rsidRPr="002E12CA" w:rsidRDefault="002E12CA" w:rsidP="002E12CA">
            <w:pPr>
              <w:rPr>
                <w:rFonts w:cs="Arial"/>
              </w:rPr>
            </w:pPr>
            <w:r w:rsidRPr="002E12CA">
              <w:rPr>
                <w:rFonts w:cs="Arial"/>
              </w:rPr>
              <w:t>поведение</w:t>
            </w:r>
            <w:r w:rsidRPr="002E12CA">
              <w:rPr>
                <w:rFonts w:cs="Arial"/>
                <w:vertAlign w:val="superscript"/>
              </w:rPr>
              <w:t>5,7</w:t>
            </w:r>
            <w:r w:rsidRPr="002E12CA">
              <w:rPr>
                <w:rFonts w:cs="Arial"/>
              </w:rPr>
              <w:t xml:space="preserve"> Мания Халюцинации Враждебност и гняв</w:t>
            </w:r>
            <w:r w:rsidRPr="002E12CA">
              <w:rPr>
                <w:rFonts w:cs="Arial"/>
                <w:vertAlign w:val="superscript"/>
              </w:rPr>
              <w:t>4</w:t>
            </w:r>
          </w:p>
        </w:tc>
        <w:tc>
          <w:tcPr>
            <w:tcW w:w="1479" w:type="dxa"/>
          </w:tcPr>
          <w:p w14:paraId="519A6E0B" w14:textId="77777777" w:rsidR="002E12CA" w:rsidRPr="002E12CA" w:rsidRDefault="002E12CA" w:rsidP="002E12CA">
            <w:pPr>
              <w:rPr>
                <w:rFonts w:cs="Arial"/>
              </w:rPr>
            </w:pPr>
          </w:p>
        </w:tc>
      </w:tr>
      <w:tr w:rsidR="002E12CA" w14:paraId="7C10994E" w14:textId="77777777" w:rsidTr="002E12CA">
        <w:tc>
          <w:tcPr>
            <w:tcW w:w="9576" w:type="dxa"/>
            <w:gridSpan w:val="5"/>
          </w:tcPr>
          <w:p w14:paraId="0D07B753" w14:textId="358ACE72" w:rsidR="002E12CA" w:rsidRPr="002E12CA" w:rsidRDefault="002E12CA" w:rsidP="002E12CA">
            <w:pPr>
              <w:rPr>
                <w:rFonts w:cs="Arial"/>
              </w:rPr>
            </w:pPr>
            <w:r w:rsidRPr="002E12CA">
              <w:rPr>
                <w:rFonts w:cs="Arial"/>
                <w:i/>
                <w:iCs/>
              </w:rPr>
              <w:t>Нарушения на нервната система</w:t>
            </w:r>
          </w:p>
        </w:tc>
      </w:tr>
      <w:tr w:rsidR="002E12CA" w14:paraId="4066B64D" w14:textId="77777777" w:rsidTr="002E12CA">
        <w:tc>
          <w:tcPr>
            <w:tcW w:w="2012" w:type="dxa"/>
          </w:tcPr>
          <w:p w14:paraId="23D64158" w14:textId="77F304EA" w:rsidR="002E12CA" w:rsidRPr="002E12CA" w:rsidRDefault="002E12CA" w:rsidP="002E12CA">
            <w:pPr>
              <w:rPr>
                <w:rFonts w:cs="Arial"/>
              </w:rPr>
            </w:pPr>
            <w:r w:rsidRPr="002E12CA">
              <w:rPr>
                <w:rFonts w:cs="Arial"/>
              </w:rPr>
              <w:t>Главоболие Сомнолентност</w:t>
            </w:r>
          </w:p>
        </w:tc>
        <w:tc>
          <w:tcPr>
            <w:tcW w:w="1691" w:type="dxa"/>
          </w:tcPr>
          <w:p w14:paraId="6D95981F" w14:textId="41107720" w:rsidR="002E12CA" w:rsidRPr="002E12CA" w:rsidRDefault="002E12CA" w:rsidP="002E12CA">
            <w:pPr>
              <w:rPr>
                <w:rFonts w:cs="Arial"/>
              </w:rPr>
            </w:pPr>
            <w:r w:rsidRPr="002E12CA">
              <w:rPr>
                <w:rFonts w:cs="Arial"/>
              </w:rPr>
              <w:t>Замаяност Летаргия Тремор Парестезия</w:t>
            </w:r>
          </w:p>
        </w:tc>
        <w:tc>
          <w:tcPr>
            <w:tcW w:w="1972" w:type="dxa"/>
          </w:tcPr>
          <w:p w14:paraId="2FB6D2AE" w14:textId="77777777" w:rsidR="002E12CA" w:rsidRPr="002E12CA" w:rsidRDefault="002E12CA" w:rsidP="002E12CA">
            <w:pPr>
              <w:rPr>
                <w:rFonts w:cs="Arial"/>
              </w:rPr>
            </w:pPr>
            <w:r w:rsidRPr="002E12CA">
              <w:rPr>
                <w:rFonts w:cs="Arial"/>
              </w:rPr>
              <w:t>Миоклония Акатизия</w:t>
            </w:r>
            <w:r w:rsidRPr="002E12CA">
              <w:rPr>
                <w:rFonts w:cs="Arial"/>
                <w:vertAlign w:val="superscript"/>
              </w:rPr>
              <w:t xml:space="preserve">7 </w:t>
            </w:r>
            <w:r w:rsidRPr="002E12CA">
              <w:rPr>
                <w:rFonts w:cs="Arial"/>
              </w:rPr>
              <w:t>Нервност Нарушение на вниманието Дисгеузия Дискинезия Синдром на неспокойните крака</w:t>
            </w:r>
          </w:p>
          <w:p w14:paraId="1EF9BE39" w14:textId="13BD1EB4" w:rsidR="002E12CA" w:rsidRPr="002E12CA" w:rsidRDefault="002E12CA" w:rsidP="002E12CA">
            <w:pPr>
              <w:rPr>
                <w:rFonts w:cs="Arial"/>
              </w:rPr>
            </w:pPr>
            <w:r w:rsidRPr="002E12CA">
              <w:rPr>
                <w:rFonts w:cs="Arial"/>
              </w:rPr>
              <w:t>Лошо качество на съня</w:t>
            </w:r>
          </w:p>
        </w:tc>
        <w:tc>
          <w:tcPr>
            <w:tcW w:w="2422" w:type="dxa"/>
          </w:tcPr>
          <w:p w14:paraId="6E0345FB" w14:textId="594F896D" w:rsidR="002E12CA" w:rsidRPr="002E12CA" w:rsidRDefault="002E12CA" w:rsidP="002E12CA">
            <w:pPr>
              <w:rPr>
                <w:rFonts w:cs="Arial"/>
              </w:rPr>
            </w:pPr>
            <w:r w:rsidRPr="002E12CA">
              <w:rPr>
                <w:rFonts w:cs="Arial"/>
              </w:rPr>
              <w:t>Серотонинов синдром</w:t>
            </w:r>
            <w:r w:rsidRPr="002E12CA">
              <w:rPr>
                <w:rFonts w:cs="Arial"/>
                <w:vertAlign w:val="superscript"/>
              </w:rPr>
              <w:t xml:space="preserve">6 </w:t>
            </w:r>
            <w:r w:rsidRPr="002E12CA">
              <w:rPr>
                <w:rFonts w:cs="Arial"/>
              </w:rPr>
              <w:t>Конвулсии</w:t>
            </w:r>
            <w:r w:rsidRPr="002E12CA">
              <w:rPr>
                <w:rFonts w:cs="Arial"/>
                <w:vertAlign w:val="superscript"/>
              </w:rPr>
              <w:t xml:space="preserve">1 </w:t>
            </w:r>
            <w:r w:rsidRPr="002E12CA">
              <w:rPr>
                <w:rFonts w:cs="Arial"/>
              </w:rPr>
              <w:t>Психомоторно безпокойство</w:t>
            </w:r>
            <w:r w:rsidRPr="002E12CA">
              <w:rPr>
                <w:rFonts w:cs="Arial"/>
                <w:vertAlign w:val="superscript"/>
              </w:rPr>
              <w:t xml:space="preserve">6 </w:t>
            </w:r>
            <w:r w:rsidRPr="002E12CA">
              <w:rPr>
                <w:rFonts w:cs="Arial"/>
              </w:rPr>
              <w:t>Екстрапирамидни симптоми</w:t>
            </w:r>
            <w:r w:rsidRPr="002E12CA">
              <w:rPr>
                <w:rFonts w:cs="Arial"/>
                <w:vertAlign w:val="superscript"/>
              </w:rPr>
              <w:t>6</w:t>
            </w:r>
          </w:p>
        </w:tc>
        <w:tc>
          <w:tcPr>
            <w:tcW w:w="1479" w:type="dxa"/>
          </w:tcPr>
          <w:p w14:paraId="0EA08DA5" w14:textId="77777777" w:rsidR="002E12CA" w:rsidRPr="002E12CA" w:rsidRDefault="002E12CA" w:rsidP="002E12CA">
            <w:pPr>
              <w:rPr>
                <w:rFonts w:cs="Arial"/>
              </w:rPr>
            </w:pPr>
          </w:p>
        </w:tc>
      </w:tr>
      <w:tr w:rsidR="002E12CA" w14:paraId="03D65972" w14:textId="77777777" w:rsidTr="002E12CA">
        <w:tc>
          <w:tcPr>
            <w:tcW w:w="9576" w:type="dxa"/>
            <w:gridSpan w:val="5"/>
          </w:tcPr>
          <w:p w14:paraId="1B04023B" w14:textId="0B6A3F7C" w:rsidR="002E12CA" w:rsidRPr="002E12CA" w:rsidRDefault="002E12CA" w:rsidP="002E12CA">
            <w:pPr>
              <w:rPr>
                <w:rFonts w:cs="Arial"/>
              </w:rPr>
            </w:pPr>
            <w:r w:rsidRPr="002E12CA">
              <w:rPr>
                <w:rFonts w:cs="Arial"/>
                <w:i/>
                <w:iCs/>
              </w:rPr>
              <w:t>Нарушения на очите</w:t>
            </w:r>
          </w:p>
        </w:tc>
      </w:tr>
      <w:tr w:rsidR="002E12CA" w14:paraId="58FFBD52" w14:textId="77777777" w:rsidTr="002E12CA">
        <w:tc>
          <w:tcPr>
            <w:tcW w:w="2012" w:type="dxa"/>
          </w:tcPr>
          <w:p w14:paraId="51320CE1" w14:textId="77777777" w:rsidR="002E12CA" w:rsidRPr="002E12CA" w:rsidRDefault="002E12CA" w:rsidP="002E12CA">
            <w:pPr>
              <w:rPr>
                <w:rFonts w:cs="Arial"/>
              </w:rPr>
            </w:pPr>
          </w:p>
        </w:tc>
        <w:tc>
          <w:tcPr>
            <w:tcW w:w="1691" w:type="dxa"/>
          </w:tcPr>
          <w:p w14:paraId="082502DC" w14:textId="76D62B0C" w:rsidR="002E12CA" w:rsidRPr="002E12CA" w:rsidRDefault="002E12CA" w:rsidP="002E12CA">
            <w:pPr>
              <w:rPr>
                <w:rFonts w:cs="Arial"/>
              </w:rPr>
            </w:pPr>
            <w:r w:rsidRPr="002E12CA">
              <w:rPr>
                <w:rFonts w:cs="Arial"/>
              </w:rPr>
              <w:t>Замъглено зрение</w:t>
            </w:r>
          </w:p>
        </w:tc>
        <w:tc>
          <w:tcPr>
            <w:tcW w:w="1972" w:type="dxa"/>
            <w:vAlign w:val="bottom"/>
          </w:tcPr>
          <w:p w14:paraId="113E60DA" w14:textId="77777777" w:rsidR="002E12CA" w:rsidRPr="002E12CA" w:rsidRDefault="002E12CA" w:rsidP="002E12CA">
            <w:pPr>
              <w:rPr>
                <w:rFonts w:cs="Arial"/>
              </w:rPr>
            </w:pPr>
            <w:r w:rsidRPr="002E12CA">
              <w:rPr>
                <w:rFonts w:cs="Arial"/>
              </w:rPr>
              <w:t>Мидриаза</w:t>
            </w:r>
          </w:p>
          <w:p w14:paraId="0EEB73B6" w14:textId="2116377B" w:rsidR="002E12CA" w:rsidRPr="002E12CA" w:rsidRDefault="002E12CA" w:rsidP="002E12CA">
            <w:pPr>
              <w:rPr>
                <w:rFonts w:cs="Arial"/>
              </w:rPr>
            </w:pPr>
            <w:r w:rsidRPr="002E12CA">
              <w:rPr>
                <w:rFonts w:cs="Arial"/>
              </w:rPr>
              <w:t>Нарушение на зрението</w:t>
            </w:r>
          </w:p>
        </w:tc>
        <w:tc>
          <w:tcPr>
            <w:tcW w:w="2422" w:type="dxa"/>
          </w:tcPr>
          <w:p w14:paraId="79C2D306" w14:textId="6C5B2A92" w:rsidR="002E12CA" w:rsidRPr="002E12CA" w:rsidRDefault="002E12CA" w:rsidP="002E12CA">
            <w:pPr>
              <w:rPr>
                <w:rFonts w:cs="Arial"/>
              </w:rPr>
            </w:pPr>
            <w:r w:rsidRPr="002E12CA">
              <w:rPr>
                <w:rFonts w:cs="Arial"/>
              </w:rPr>
              <w:t>Глаукома</w:t>
            </w:r>
          </w:p>
        </w:tc>
        <w:tc>
          <w:tcPr>
            <w:tcW w:w="1479" w:type="dxa"/>
          </w:tcPr>
          <w:p w14:paraId="42267914" w14:textId="77777777" w:rsidR="002E12CA" w:rsidRPr="002E12CA" w:rsidRDefault="002E12CA" w:rsidP="002E12CA">
            <w:pPr>
              <w:rPr>
                <w:rFonts w:cs="Arial"/>
              </w:rPr>
            </w:pPr>
          </w:p>
        </w:tc>
      </w:tr>
      <w:tr w:rsidR="002E12CA" w14:paraId="1A22F649" w14:textId="77777777" w:rsidTr="002E12CA">
        <w:tc>
          <w:tcPr>
            <w:tcW w:w="9576" w:type="dxa"/>
            <w:gridSpan w:val="5"/>
          </w:tcPr>
          <w:p w14:paraId="35690CF5" w14:textId="2E2A51FF" w:rsidR="002E12CA" w:rsidRPr="002E12CA" w:rsidRDefault="002E12CA" w:rsidP="002E12CA">
            <w:pPr>
              <w:rPr>
                <w:rFonts w:cs="Arial"/>
              </w:rPr>
            </w:pPr>
            <w:r w:rsidRPr="002E12CA">
              <w:rPr>
                <w:rFonts w:eastAsia="Times New Roman" w:cs="Arial"/>
                <w:i/>
                <w:iCs/>
                <w:color w:val="000000"/>
                <w:lang w:eastAsia="bg-BG"/>
              </w:rPr>
              <w:t>Нарушения на ухото и лабиринта</w:t>
            </w:r>
          </w:p>
        </w:tc>
      </w:tr>
      <w:tr w:rsidR="002E12CA" w14:paraId="5A1A3CCD" w14:textId="77777777" w:rsidTr="002E12CA">
        <w:tc>
          <w:tcPr>
            <w:tcW w:w="2012" w:type="dxa"/>
          </w:tcPr>
          <w:p w14:paraId="4A4F1BD8" w14:textId="77777777" w:rsidR="002E12CA" w:rsidRPr="002E12CA" w:rsidRDefault="002E12CA" w:rsidP="002E12CA">
            <w:pPr>
              <w:rPr>
                <w:rFonts w:cs="Arial"/>
              </w:rPr>
            </w:pPr>
          </w:p>
        </w:tc>
        <w:tc>
          <w:tcPr>
            <w:tcW w:w="1691" w:type="dxa"/>
          </w:tcPr>
          <w:p w14:paraId="57EC18B1" w14:textId="6228841F" w:rsidR="002E12CA" w:rsidRPr="002E12CA" w:rsidRDefault="002E12CA" w:rsidP="002E12CA">
            <w:pPr>
              <w:rPr>
                <w:rFonts w:cs="Arial"/>
              </w:rPr>
            </w:pPr>
            <w:r w:rsidRPr="002E12CA">
              <w:rPr>
                <w:rFonts w:cs="Arial"/>
              </w:rPr>
              <w:t>Шум в ушите</w:t>
            </w:r>
            <w:r w:rsidRPr="002E12CA">
              <w:rPr>
                <w:rFonts w:cs="Arial"/>
                <w:vertAlign w:val="superscript"/>
              </w:rPr>
              <w:t>1</w:t>
            </w:r>
          </w:p>
        </w:tc>
        <w:tc>
          <w:tcPr>
            <w:tcW w:w="1972" w:type="dxa"/>
            <w:vAlign w:val="bottom"/>
          </w:tcPr>
          <w:p w14:paraId="476187B5" w14:textId="77777777" w:rsidR="002E12CA" w:rsidRPr="002E12CA" w:rsidRDefault="002E12CA" w:rsidP="002E12CA">
            <w:pPr>
              <w:rPr>
                <w:rFonts w:cs="Arial"/>
              </w:rPr>
            </w:pPr>
            <w:r w:rsidRPr="002E12CA">
              <w:rPr>
                <w:rFonts w:cs="Arial"/>
              </w:rPr>
              <w:t>Вертиго</w:t>
            </w:r>
          </w:p>
          <w:p w14:paraId="177C155F" w14:textId="039FFA8E" w:rsidR="002E12CA" w:rsidRPr="002E12CA" w:rsidRDefault="002E12CA" w:rsidP="002E12CA">
            <w:pPr>
              <w:rPr>
                <w:rFonts w:cs="Arial"/>
              </w:rPr>
            </w:pPr>
            <w:r w:rsidRPr="002E12CA">
              <w:rPr>
                <w:rFonts w:cs="Arial"/>
              </w:rPr>
              <w:t>Болка в ухото</w:t>
            </w:r>
          </w:p>
        </w:tc>
        <w:tc>
          <w:tcPr>
            <w:tcW w:w="2422" w:type="dxa"/>
          </w:tcPr>
          <w:p w14:paraId="0E4C938A" w14:textId="77777777" w:rsidR="002E12CA" w:rsidRPr="002E12CA" w:rsidRDefault="002E12CA" w:rsidP="002E12CA">
            <w:pPr>
              <w:rPr>
                <w:rFonts w:cs="Arial"/>
              </w:rPr>
            </w:pPr>
          </w:p>
        </w:tc>
        <w:tc>
          <w:tcPr>
            <w:tcW w:w="1479" w:type="dxa"/>
          </w:tcPr>
          <w:p w14:paraId="2AC4C730" w14:textId="77777777" w:rsidR="002E12CA" w:rsidRPr="002E12CA" w:rsidRDefault="002E12CA" w:rsidP="002E12CA">
            <w:pPr>
              <w:rPr>
                <w:rFonts w:cs="Arial"/>
              </w:rPr>
            </w:pPr>
          </w:p>
        </w:tc>
      </w:tr>
      <w:tr w:rsidR="002E12CA" w14:paraId="4DD2F0AA" w14:textId="77777777" w:rsidTr="002E12CA">
        <w:tc>
          <w:tcPr>
            <w:tcW w:w="9576" w:type="dxa"/>
            <w:gridSpan w:val="5"/>
          </w:tcPr>
          <w:p w14:paraId="228B1C8C" w14:textId="7B8A90ED" w:rsidR="002E12CA" w:rsidRPr="002E12CA" w:rsidRDefault="002E12CA" w:rsidP="002E12CA">
            <w:pPr>
              <w:rPr>
                <w:rFonts w:cs="Arial"/>
              </w:rPr>
            </w:pPr>
            <w:r w:rsidRPr="002E12CA">
              <w:rPr>
                <w:rFonts w:cs="Arial"/>
                <w:i/>
                <w:iCs/>
              </w:rPr>
              <w:t>Сърдечни нарушения</w:t>
            </w:r>
          </w:p>
        </w:tc>
      </w:tr>
      <w:tr w:rsidR="002E12CA" w14:paraId="53A5E8AC" w14:textId="77777777" w:rsidTr="002E12CA">
        <w:tc>
          <w:tcPr>
            <w:tcW w:w="2012" w:type="dxa"/>
          </w:tcPr>
          <w:p w14:paraId="30678060" w14:textId="77777777" w:rsidR="002E12CA" w:rsidRPr="002E12CA" w:rsidRDefault="002E12CA" w:rsidP="002E12CA">
            <w:pPr>
              <w:rPr>
                <w:rFonts w:cs="Arial"/>
              </w:rPr>
            </w:pPr>
          </w:p>
        </w:tc>
        <w:tc>
          <w:tcPr>
            <w:tcW w:w="1691" w:type="dxa"/>
          </w:tcPr>
          <w:p w14:paraId="0DB4BBD1" w14:textId="5684FC14" w:rsidR="002E12CA" w:rsidRPr="002E12CA" w:rsidRDefault="002E12CA" w:rsidP="002E12CA">
            <w:pPr>
              <w:rPr>
                <w:rFonts w:cs="Arial"/>
              </w:rPr>
            </w:pPr>
            <w:r w:rsidRPr="002E12CA">
              <w:rPr>
                <w:rFonts w:cs="Arial"/>
              </w:rPr>
              <w:t>Палпитации</w:t>
            </w:r>
          </w:p>
        </w:tc>
        <w:tc>
          <w:tcPr>
            <w:tcW w:w="1972" w:type="dxa"/>
            <w:vAlign w:val="bottom"/>
          </w:tcPr>
          <w:p w14:paraId="69960BB4" w14:textId="46C77FA1" w:rsidR="002E12CA" w:rsidRPr="002E12CA" w:rsidRDefault="002E12CA" w:rsidP="002E12CA">
            <w:pPr>
              <w:rPr>
                <w:rFonts w:cs="Arial"/>
              </w:rPr>
            </w:pPr>
            <w:r w:rsidRPr="002E12CA">
              <w:rPr>
                <w:rFonts w:cs="Arial"/>
              </w:rPr>
              <w:t>Тахикардия Надкамерна аритмия, главно предсърдно мъждене</w:t>
            </w:r>
          </w:p>
        </w:tc>
        <w:tc>
          <w:tcPr>
            <w:tcW w:w="2422" w:type="dxa"/>
          </w:tcPr>
          <w:p w14:paraId="3C4BDCDF" w14:textId="77777777" w:rsidR="002E12CA" w:rsidRPr="002E12CA" w:rsidRDefault="002E12CA" w:rsidP="002E12CA">
            <w:pPr>
              <w:rPr>
                <w:rFonts w:cs="Arial"/>
              </w:rPr>
            </w:pPr>
          </w:p>
        </w:tc>
        <w:tc>
          <w:tcPr>
            <w:tcW w:w="1479" w:type="dxa"/>
          </w:tcPr>
          <w:p w14:paraId="456520BE" w14:textId="77777777" w:rsidR="002E12CA" w:rsidRPr="002E12CA" w:rsidRDefault="002E12CA" w:rsidP="002E12CA">
            <w:pPr>
              <w:rPr>
                <w:rFonts w:cs="Arial"/>
              </w:rPr>
            </w:pPr>
          </w:p>
        </w:tc>
      </w:tr>
      <w:tr w:rsidR="002E12CA" w14:paraId="12263AD3" w14:textId="77777777" w:rsidTr="002E12CA">
        <w:tc>
          <w:tcPr>
            <w:tcW w:w="9576" w:type="dxa"/>
            <w:gridSpan w:val="5"/>
          </w:tcPr>
          <w:p w14:paraId="653A8C53" w14:textId="0308DAA3" w:rsidR="002E12CA" w:rsidRPr="002E12CA" w:rsidRDefault="002E12CA" w:rsidP="002E12CA">
            <w:pPr>
              <w:rPr>
                <w:rFonts w:cs="Arial"/>
              </w:rPr>
            </w:pPr>
            <w:r w:rsidRPr="002E12CA">
              <w:rPr>
                <w:rFonts w:eastAsia="Times New Roman" w:cs="Arial"/>
                <w:i/>
                <w:iCs/>
                <w:color w:val="000000"/>
                <w:lang w:eastAsia="bg-BG"/>
              </w:rPr>
              <w:t>Съдови нарушения</w:t>
            </w:r>
          </w:p>
        </w:tc>
      </w:tr>
      <w:tr w:rsidR="002E12CA" w14:paraId="3DE9C8FD" w14:textId="77777777" w:rsidTr="002E12CA">
        <w:tc>
          <w:tcPr>
            <w:tcW w:w="2012" w:type="dxa"/>
          </w:tcPr>
          <w:p w14:paraId="5FAB6EFE" w14:textId="77777777" w:rsidR="002E12CA" w:rsidRPr="002E12CA" w:rsidRDefault="002E12CA" w:rsidP="002E12CA">
            <w:pPr>
              <w:rPr>
                <w:rFonts w:cs="Arial"/>
              </w:rPr>
            </w:pPr>
          </w:p>
        </w:tc>
        <w:tc>
          <w:tcPr>
            <w:tcW w:w="1691" w:type="dxa"/>
          </w:tcPr>
          <w:p w14:paraId="4ECDE4E8" w14:textId="36A01049" w:rsidR="002E12CA" w:rsidRPr="002E12CA" w:rsidRDefault="002E12CA" w:rsidP="002E12CA">
            <w:pPr>
              <w:rPr>
                <w:rFonts w:cs="Arial"/>
              </w:rPr>
            </w:pPr>
            <w:r w:rsidRPr="002E12CA">
              <w:rPr>
                <w:rFonts w:cs="Arial"/>
              </w:rPr>
              <w:t>Повишено кръвно налягане</w:t>
            </w:r>
            <w:r w:rsidRPr="002E12CA">
              <w:rPr>
                <w:rFonts w:cs="Arial"/>
                <w:vertAlign w:val="superscript"/>
              </w:rPr>
              <w:t xml:space="preserve">3 </w:t>
            </w:r>
            <w:r w:rsidRPr="002E12CA">
              <w:rPr>
                <w:rFonts w:cs="Arial"/>
              </w:rPr>
              <w:t>Зачервяване</w:t>
            </w:r>
          </w:p>
        </w:tc>
        <w:tc>
          <w:tcPr>
            <w:tcW w:w="1972" w:type="dxa"/>
            <w:vAlign w:val="bottom"/>
          </w:tcPr>
          <w:p w14:paraId="4BD381EE" w14:textId="359D95B7" w:rsidR="002E12CA" w:rsidRPr="002E12CA" w:rsidRDefault="002E12CA" w:rsidP="002E12CA">
            <w:pPr>
              <w:rPr>
                <w:rFonts w:cs="Arial"/>
              </w:rPr>
            </w:pPr>
            <w:r w:rsidRPr="002E12CA">
              <w:rPr>
                <w:rFonts w:cs="Arial"/>
              </w:rPr>
              <w:t>Синкоп</w:t>
            </w:r>
            <w:r w:rsidRPr="002E12CA">
              <w:rPr>
                <w:rFonts w:cs="Arial"/>
                <w:vertAlign w:val="superscript"/>
              </w:rPr>
              <w:t xml:space="preserve">2 </w:t>
            </w:r>
            <w:r w:rsidRPr="002E12CA">
              <w:rPr>
                <w:rFonts w:cs="Arial"/>
              </w:rPr>
              <w:t>Хитертония</w:t>
            </w:r>
            <w:r w:rsidRPr="002E12CA">
              <w:rPr>
                <w:rFonts w:cs="Arial"/>
                <w:vertAlign w:val="superscript"/>
              </w:rPr>
              <w:t xml:space="preserve">3,7 </w:t>
            </w:r>
            <w:r w:rsidRPr="002E12CA">
              <w:rPr>
                <w:rFonts w:cs="Arial"/>
              </w:rPr>
              <w:t>Ортостатична хипотония</w:t>
            </w:r>
            <w:r w:rsidRPr="002E12CA">
              <w:rPr>
                <w:rFonts w:cs="Arial"/>
                <w:vertAlign w:val="superscript"/>
              </w:rPr>
              <w:t xml:space="preserve">2 </w:t>
            </w:r>
            <w:r w:rsidRPr="002E12CA">
              <w:rPr>
                <w:rFonts w:cs="Arial"/>
              </w:rPr>
              <w:t>Периферна студенина</w:t>
            </w:r>
          </w:p>
        </w:tc>
        <w:tc>
          <w:tcPr>
            <w:tcW w:w="2422" w:type="dxa"/>
          </w:tcPr>
          <w:p w14:paraId="0C2C65A6" w14:textId="7985551C" w:rsidR="002E12CA" w:rsidRPr="002E12CA" w:rsidRDefault="002E12CA" w:rsidP="002E12CA">
            <w:pPr>
              <w:rPr>
                <w:rFonts w:cs="Arial"/>
              </w:rPr>
            </w:pPr>
            <w:r w:rsidRPr="002E12CA">
              <w:rPr>
                <w:rFonts w:cs="Arial"/>
              </w:rPr>
              <w:t>Хипертонична криза</w:t>
            </w:r>
            <w:r w:rsidRPr="002E12CA">
              <w:rPr>
                <w:rFonts w:cs="Arial"/>
                <w:vertAlign w:val="superscript"/>
              </w:rPr>
              <w:t>3,6</w:t>
            </w:r>
          </w:p>
        </w:tc>
        <w:tc>
          <w:tcPr>
            <w:tcW w:w="1479" w:type="dxa"/>
          </w:tcPr>
          <w:p w14:paraId="1E445125" w14:textId="77777777" w:rsidR="002E12CA" w:rsidRPr="002E12CA" w:rsidRDefault="002E12CA" w:rsidP="002E12CA">
            <w:pPr>
              <w:rPr>
                <w:rFonts w:cs="Arial"/>
              </w:rPr>
            </w:pPr>
          </w:p>
        </w:tc>
      </w:tr>
      <w:tr w:rsidR="002E12CA" w14:paraId="33DDFE20" w14:textId="77777777" w:rsidTr="002E12CA">
        <w:tc>
          <w:tcPr>
            <w:tcW w:w="9576" w:type="dxa"/>
            <w:gridSpan w:val="5"/>
          </w:tcPr>
          <w:p w14:paraId="08A81944" w14:textId="4226C159" w:rsidR="002E12CA" w:rsidRPr="002E12CA" w:rsidRDefault="002E12CA" w:rsidP="002E12CA">
            <w:pPr>
              <w:rPr>
                <w:rFonts w:cs="Arial"/>
              </w:rPr>
            </w:pPr>
            <w:r w:rsidRPr="002E12CA">
              <w:rPr>
                <w:rFonts w:cs="Arial"/>
                <w:i/>
                <w:iCs/>
              </w:rPr>
              <w:t>Респираторни, гръдни имедиастинални нарушения</w:t>
            </w:r>
          </w:p>
        </w:tc>
      </w:tr>
      <w:tr w:rsidR="002E12CA" w14:paraId="6F3547EE" w14:textId="77777777" w:rsidTr="002E12CA">
        <w:tc>
          <w:tcPr>
            <w:tcW w:w="2012" w:type="dxa"/>
          </w:tcPr>
          <w:p w14:paraId="666AE2D8" w14:textId="77777777" w:rsidR="002E12CA" w:rsidRPr="002E12CA" w:rsidRDefault="002E12CA" w:rsidP="002E12CA">
            <w:pPr>
              <w:rPr>
                <w:rFonts w:cs="Arial"/>
              </w:rPr>
            </w:pPr>
          </w:p>
        </w:tc>
        <w:tc>
          <w:tcPr>
            <w:tcW w:w="1691" w:type="dxa"/>
          </w:tcPr>
          <w:p w14:paraId="2D8D74C7" w14:textId="30FC9880" w:rsidR="002E12CA" w:rsidRPr="002E12CA" w:rsidRDefault="002E12CA" w:rsidP="002E12CA">
            <w:pPr>
              <w:rPr>
                <w:rFonts w:cs="Arial"/>
              </w:rPr>
            </w:pPr>
            <w:r w:rsidRPr="002E12CA">
              <w:rPr>
                <w:rFonts w:cs="Arial"/>
              </w:rPr>
              <w:t>Прозяваме</w:t>
            </w:r>
          </w:p>
        </w:tc>
        <w:tc>
          <w:tcPr>
            <w:tcW w:w="1972" w:type="dxa"/>
          </w:tcPr>
          <w:p w14:paraId="26C5B6E2" w14:textId="65733B18" w:rsidR="002E12CA" w:rsidRPr="002E12CA" w:rsidRDefault="002E12CA" w:rsidP="002E12CA">
            <w:pPr>
              <w:rPr>
                <w:rFonts w:cs="Arial"/>
              </w:rPr>
            </w:pPr>
            <w:r w:rsidRPr="002E12CA">
              <w:rPr>
                <w:rFonts w:cs="Arial"/>
              </w:rPr>
              <w:t>Напрежение в гърлото Епистаксис</w:t>
            </w:r>
          </w:p>
        </w:tc>
        <w:tc>
          <w:tcPr>
            <w:tcW w:w="2422" w:type="dxa"/>
            <w:vAlign w:val="bottom"/>
          </w:tcPr>
          <w:p w14:paraId="0A05C59C" w14:textId="10AEE455" w:rsidR="002E12CA" w:rsidRPr="002E12CA" w:rsidRDefault="002E12CA" w:rsidP="002E12CA">
            <w:pPr>
              <w:rPr>
                <w:rFonts w:cs="Arial"/>
              </w:rPr>
            </w:pPr>
            <w:r w:rsidRPr="002E12CA">
              <w:rPr>
                <w:rFonts w:cs="Arial"/>
              </w:rPr>
              <w:t>Интерстициална белодробна болест</w:t>
            </w:r>
            <w:r w:rsidRPr="002E12CA">
              <w:rPr>
                <w:rFonts w:cs="Arial"/>
                <w:vertAlign w:val="superscript"/>
              </w:rPr>
              <w:t xml:space="preserve">10 </w:t>
            </w:r>
            <w:r w:rsidRPr="002E12CA">
              <w:rPr>
                <w:rFonts w:cs="Arial"/>
              </w:rPr>
              <w:t>Еозинофилна пневмония</w:t>
            </w:r>
            <w:r w:rsidRPr="002E12CA">
              <w:rPr>
                <w:rFonts w:cs="Arial"/>
                <w:vertAlign w:val="superscript"/>
              </w:rPr>
              <w:t>11</w:t>
            </w:r>
          </w:p>
        </w:tc>
        <w:tc>
          <w:tcPr>
            <w:tcW w:w="1479" w:type="dxa"/>
          </w:tcPr>
          <w:p w14:paraId="1A7AAC6B" w14:textId="77777777" w:rsidR="002E12CA" w:rsidRPr="002E12CA" w:rsidRDefault="002E12CA" w:rsidP="002E12CA">
            <w:pPr>
              <w:rPr>
                <w:rFonts w:cs="Arial"/>
              </w:rPr>
            </w:pPr>
          </w:p>
        </w:tc>
      </w:tr>
      <w:tr w:rsidR="002E12CA" w14:paraId="0628A7CE" w14:textId="77777777" w:rsidTr="002E12CA">
        <w:tc>
          <w:tcPr>
            <w:tcW w:w="9576" w:type="dxa"/>
            <w:gridSpan w:val="5"/>
          </w:tcPr>
          <w:p w14:paraId="262F7859" w14:textId="31423569" w:rsidR="002E12CA" w:rsidRPr="002E12CA" w:rsidRDefault="002E12CA" w:rsidP="002E12CA">
            <w:pPr>
              <w:rPr>
                <w:rFonts w:cs="Arial"/>
              </w:rPr>
            </w:pPr>
            <w:r w:rsidRPr="002E12CA">
              <w:rPr>
                <w:rFonts w:cs="Arial"/>
                <w:i/>
                <w:iCs/>
              </w:rPr>
              <w:t>Стомашно-чревни нарушения</w:t>
            </w:r>
          </w:p>
        </w:tc>
      </w:tr>
      <w:tr w:rsidR="002E12CA" w14:paraId="444A11D1" w14:textId="77777777" w:rsidTr="002E12CA">
        <w:tc>
          <w:tcPr>
            <w:tcW w:w="2012" w:type="dxa"/>
          </w:tcPr>
          <w:p w14:paraId="58EEE2B2" w14:textId="77777777" w:rsidR="002E12CA" w:rsidRPr="002E12CA" w:rsidRDefault="002E12CA" w:rsidP="002E12CA">
            <w:pPr>
              <w:rPr>
                <w:rFonts w:cs="Arial"/>
              </w:rPr>
            </w:pPr>
            <w:r w:rsidRPr="002E12CA">
              <w:rPr>
                <w:rFonts w:cs="Arial"/>
              </w:rPr>
              <w:t>Гадене</w:t>
            </w:r>
          </w:p>
          <w:p w14:paraId="60BA4986" w14:textId="5F7BBB7A" w:rsidR="002E12CA" w:rsidRPr="002E12CA" w:rsidRDefault="002E12CA" w:rsidP="002E12CA">
            <w:pPr>
              <w:rPr>
                <w:rFonts w:cs="Arial"/>
              </w:rPr>
            </w:pPr>
            <w:r w:rsidRPr="002E12CA">
              <w:rPr>
                <w:rFonts w:cs="Arial"/>
              </w:rPr>
              <w:t>Сухота в устата</w:t>
            </w:r>
          </w:p>
        </w:tc>
        <w:tc>
          <w:tcPr>
            <w:tcW w:w="1691" w:type="dxa"/>
          </w:tcPr>
          <w:p w14:paraId="65A382A7" w14:textId="28D417FB" w:rsidR="002E12CA" w:rsidRPr="002E12CA" w:rsidRDefault="002E12CA" w:rsidP="002E12CA">
            <w:pPr>
              <w:rPr>
                <w:rFonts w:cs="Arial"/>
              </w:rPr>
            </w:pPr>
            <w:r w:rsidRPr="002E12CA">
              <w:rPr>
                <w:rFonts w:cs="Arial"/>
              </w:rPr>
              <w:t>Констипация Диария Коремна болка Повръщане Диспепсия Флатуленция</w:t>
            </w:r>
          </w:p>
        </w:tc>
        <w:tc>
          <w:tcPr>
            <w:tcW w:w="1972" w:type="dxa"/>
            <w:vAlign w:val="bottom"/>
          </w:tcPr>
          <w:p w14:paraId="4CD82CDD" w14:textId="6BA8B7CC" w:rsidR="002E12CA" w:rsidRPr="002E12CA" w:rsidRDefault="002E12CA" w:rsidP="002E12CA">
            <w:pPr>
              <w:rPr>
                <w:rFonts w:cs="Arial"/>
              </w:rPr>
            </w:pPr>
            <w:r w:rsidRPr="002E12CA">
              <w:rPr>
                <w:rFonts w:cs="Arial"/>
              </w:rPr>
              <w:t>Стомашно- чревен кръвоизлив</w:t>
            </w:r>
            <w:r w:rsidRPr="002E12CA">
              <w:rPr>
                <w:rFonts w:cs="Arial"/>
                <w:vertAlign w:val="superscript"/>
              </w:rPr>
              <w:t xml:space="preserve">7 </w:t>
            </w:r>
            <w:r w:rsidRPr="002E12CA">
              <w:rPr>
                <w:rFonts w:cs="Arial"/>
              </w:rPr>
              <w:t>Гастроентерит Оригване Гастрит Дисфагия</w:t>
            </w:r>
          </w:p>
        </w:tc>
        <w:tc>
          <w:tcPr>
            <w:tcW w:w="2422" w:type="dxa"/>
          </w:tcPr>
          <w:p w14:paraId="429FEF1E" w14:textId="77777777" w:rsidR="002E12CA" w:rsidRPr="002E12CA" w:rsidRDefault="002E12CA" w:rsidP="002E12CA">
            <w:pPr>
              <w:rPr>
                <w:rFonts w:cs="Arial"/>
              </w:rPr>
            </w:pPr>
            <w:r w:rsidRPr="002E12CA">
              <w:rPr>
                <w:rFonts w:cs="Arial"/>
              </w:rPr>
              <w:t>Стоматит</w:t>
            </w:r>
          </w:p>
          <w:p w14:paraId="0CA51BDB" w14:textId="77777777" w:rsidR="002E12CA" w:rsidRPr="002E12CA" w:rsidRDefault="002E12CA" w:rsidP="002E12CA">
            <w:pPr>
              <w:rPr>
                <w:rFonts w:cs="Arial"/>
              </w:rPr>
            </w:pPr>
            <w:r w:rsidRPr="002E12CA">
              <w:rPr>
                <w:rFonts w:cs="Arial"/>
              </w:rPr>
              <w:t>Хематохезия</w:t>
            </w:r>
          </w:p>
          <w:p w14:paraId="1C3DFF37" w14:textId="352A5EC0" w:rsidR="002E12CA" w:rsidRPr="002E12CA" w:rsidRDefault="002E12CA" w:rsidP="002E12CA">
            <w:pPr>
              <w:rPr>
                <w:rFonts w:cs="Arial"/>
              </w:rPr>
            </w:pPr>
            <w:r w:rsidRPr="002E12CA">
              <w:rPr>
                <w:rFonts w:cs="Arial"/>
              </w:rPr>
              <w:t>Лош дъх от устата Микроскопски колит</w:t>
            </w:r>
            <w:r w:rsidRPr="002E12CA">
              <w:rPr>
                <w:rFonts w:cs="Arial"/>
                <w:vertAlign w:val="superscript"/>
              </w:rPr>
              <w:t>9</w:t>
            </w:r>
          </w:p>
        </w:tc>
        <w:tc>
          <w:tcPr>
            <w:tcW w:w="1479" w:type="dxa"/>
          </w:tcPr>
          <w:p w14:paraId="1174AE29" w14:textId="77777777" w:rsidR="002E12CA" w:rsidRPr="002E12CA" w:rsidRDefault="002E12CA" w:rsidP="002E12CA">
            <w:pPr>
              <w:rPr>
                <w:rFonts w:cs="Arial"/>
              </w:rPr>
            </w:pPr>
          </w:p>
        </w:tc>
      </w:tr>
      <w:tr w:rsidR="002E12CA" w14:paraId="4BD40680" w14:textId="77777777" w:rsidTr="002E12CA">
        <w:tc>
          <w:tcPr>
            <w:tcW w:w="9576" w:type="dxa"/>
            <w:gridSpan w:val="5"/>
          </w:tcPr>
          <w:p w14:paraId="5E6B0CB9" w14:textId="510A812C" w:rsidR="002E12CA" w:rsidRPr="002E12CA" w:rsidRDefault="002E12CA" w:rsidP="002E12CA">
            <w:pPr>
              <w:rPr>
                <w:rFonts w:cs="Arial"/>
              </w:rPr>
            </w:pPr>
            <w:r w:rsidRPr="002E12CA">
              <w:rPr>
                <w:rFonts w:cs="Arial"/>
                <w:i/>
                <w:iCs/>
              </w:rPr>
              <w:t>Хепатобилиарни нарушения</w:t>
            </w:r>
          </w:p>
        </w:tc>
      </w:tr>
      <w:tr w:rsidR="002E12CA" w14:paraId="035A27C5" w14:textId="77777777" w:rsidTr="002E12CA">
        <w:tc>
          <w:tcPr>
            <w:tcW w:w="2012" w:type="dxa"/>
          </w:tcPr>
          <w:p w14:paraId="200A288E" w14:textId="77777777" w:rsidR="002E12CA" w:rsidRPr="002E12CA" w:rsidRDefault="002E12CA" w:rsidP="002E12CA">
            <w:pPr>
              <w:rPr>
                <w:rFonts w:cs="Arial"/>
              </w:rPr>
            </w:pPr>
          </w:p>
        </w:tc>
        <w:tc>
          <w:tcPr>
            <w:tcW w:w="1691" w:type="dxa"/>
          </w:tcPr>
          <w:p w14:paraId="40C29113" w14:textId="77777777" w:rsidR="002E12CA" w:rsidRPr="002E12CA" w:rsidRDefault="002E12CA" w:rsidP="002E12CA">
            <w:pPr>
              <w:rPr>
                <w:rFonts w:cs="Arial"/>
              </w:rPr>
            </w:pPr>
          </w:p>
        </w:tc>
        <w:tc>
          <w:tcPr>
            <w:tcW w:w="1972" w:type="dxa"/>
            <w:vAlign w:val="bottom"/>
          </w:tcPr>
          <w:p w14:paraId="0344564E" w14:textId="60895E92" w:rsidR="002E12CA" w:rsidRPr="002E12CA" w:rsidRDefault="002E12CA" w:rsidP="002E12CA">
            <w:pPr>
              <w:rPr>
                <w:rFonts w:cs="Arial"/>
              </w:rPr>
            </w:pPr>
            <w:r w:rsidRPr="002E12CA">
              <w:rPr>
                <w:rFonts w:cs="Arial"/>
              </w:rPr>
              <w:t>Хепатит</w:t>
            </w:r>
            <w:r w:rsidRPr="002E12CA">
              <w:rPr>
                <w:rFonts w:cs="Arial"/>
                <w:vertAlign w:val="superscript"/>
              </w:rPr>
              <w:t xml:space="preserve">3 </w:t>
            </w:r>
            <w:r w:rsidRPr="002E12CA">
              <w:rPr>
                <w:rFonts w:cs="Arial"/>
              </w:rPr>
              <w:t xml:space="preserve">Повишени чернодробни ензими </w:t>
            </w:r>
            <w:r w:rsidRPr="002E12CA">
              <w:rPr>
                <w:rFonts w:cs="Arial"/>
                <w:lang w:val="ru-RU"/>
              </w:rPr>
              <w:t>(</w:t>
            </w:r>
            <w:r w:rsidRPr="002E12CA">
              <w:rPr>
                <w:rFonts w:cs="Arial"/>
                <w:lang w:val="en-US"/>
              </w:rPr>
              <w:t>ALT</w:t>
            </w:r>
            <w:r w:rsidRPr="002E12CA">
              <w:rPr>
                <w:rFonts w:cs="Arial"/>
                <w:lang w:val="ru-RU"/>
              </w:rPr>
              <w:t xml:space="preserve">, </w:t>
            </w:r>
            <w:r w:rsidRPr="002E12CA">
              <w:rPr>
                <w:rFonts w:cs="Arial"/>
                <w:lang w:val="en-US"/>
              </w:rPr>
              <w:t>AST</w:t>
            </w:r>
            <w:r w:rsidRPr="002E12CA">
              <w:rPr>
                <w:rFonts w:cs="Arial"/>
                <w:lang w:val="ru-RU"/>
              </w:rPr>
              <w:t xml:space="preserve">, </w:t>
            </w:r>
            <w:r w:rsidRPr="002E12CA">
              <w:rPr>
                <w:rFonts w:cs="Arial"/>
              </w:rPr>
              <w:t>алкална фосфатаза) Остро чернодробно увреждане</w:t>
            </w:r>
          </w:p>
        </w:tc>
        <w:tc>
          <w:tcPr>
            <w:tcW w:w="2422" w:type="dxa"/>
          </w:tcPr>
          <w:p w14:paraId="6FAF9DFD" w14:textId="10FDF5DC" w:rsidR="002E12CA" w:rsidRPr="002E12CA" w:rsidRDefault="002E12CA" w:rsidP="002E12CA">
            <w:pPr>
              <w:rPr>
                <w:rFonts w:cs="Arial"/>
              </w:rPr>
            </w:pPr>
            <w:r w:rsidRPr="002E12CA">
              <w:rPr>
                <w:rFonts w:cs="Arial"/>
              </w:rPr>
              <w:t>Чернодробна недостатъчност</w:t>
            </w:r>
            <w:r w:rsidRPr="002E12CA">
              <w:rPr>
                <w:rFonts w:cs="Arial"/>
                <w:vertAlign w:val="superscript"/>
              </w:rPr>
              <w:t xml:space="preserve">6 </w:t>
            </w:r>
            <w:r w:rsidRPr="002E12CA">
              <w:rPr>
                <w:rFonts w:cs="Arial"/>
              </w:rPr>
              <w:t>Жълтеница</w:t>
            </w:r>
            <w:r w:rsidRPr="002E12CA">
              <w:rPr>
                <w:rFonts w:cs="Arial"/>
                <w:vertAlign w:val="superscript"/>
              </w:rPr>
              <w:t>6</w:t>
            </w:r>
          </w:p>
        </w:tc>
        <w:tc>
          <w:tcPr>
            <w:tcW w:w="1479" w:type="dxa"/>
          </w:tcPr>
          <w:p w14:paraId="3F4CE0D5" w14:textId="77777777" w:rsidR="002E12CA" w:rsidRPr="002E12CA" w:rsidRDefault="002E12CA" w:rsidP="002E12CA">
            <w:pPr>
              <w:rPr>
                <w:rFonts w:cs="Arial"/>
              </w:rPr>
            </w:pPr>
          </w:p>
        </w:tc>
      </w:tr>
      <w:tr w:rsidR="002E12CA" w14:paraId="0CB7AFF8" w14:textId="77777777" w:rsidTr="002E12CA">
        <w:tc>
          <w:tcPr>
            <w:tcW w:w="9576" w:type="dxa"/>
            <w:gridSpan w:val="5"/>
          </w:tcPr>
          <w:p w14:paraId="4CCA6CAB" w14:textId="61EA13D0" w:rsidR="002E12CA" w:rsidRPr="002E12CA" w:rsidRDefault="002E12CA" w:rsidP="002E12CA">
            <w:pPr>
              <w:rPr>
                <w:rFonts w:cs="Arial"/>
              </w:rPr>
            </w:pPr>
            <w:r w:rsidRPr="002E12CA">
              <w:rPr>
                <w:rFonts w:cs="Arial"/>
                <w:i/>
                <w:iCs/>
              </w:rPr>
              <w:t>Нарушения на кожата и подкожната тъкан</w:t>
            </w:r>
          </w:p>
        </w:tc>
      </w:tr>
      <w:tr w:rsidR="002E12CA" w14:paraId="4B39F11D" w14:textId="77777777" w:rsidTr="002E12CA">
        <w:tc>
          <w:tcPr>
            <w:tcW w:w="2012" w:type="dxa"/>
          </w:tcPr>
          <w:p w14:paraId="7DE67A62" w14:textId="77777777" w:rsidR="002E12CA" w:rsidRPr="002E12CA" w:rsidRDefault="002E12CA" w:rsidP="002E12CA">
            <w:pPr>
              <w:rPr>
                <w:rFonts w:cs="Arial"/>
              </w:rPr>
            </w:pPr>
          </w:p>
        </w:tc>
        <w:tc>
          <w:tcPr>
            <w:tcW w:w="1691" w:type="dxa"/>
          </w:tcPr>
          <w:p w14:paraId="0DF1F1C6" w14:textId="3E5315DF" w:rsidR="002E12CA" w:rsidRPr="002E12CA" w:rsidRDefault="002E12CA" w:rsidP="002E12CA">
            <w:pPr>
              <w:rPr>
                <w:rFonts w:cs="Arial"/>
              </w:rPr>
            </w:pPr>
            <w:r w:rsidRPr="002E12CA">
              <w:rPr>
                <w:rFonts w:cs="Arial"/>
              </w:rPr>
              <w:t>Увеличено изпотяване Обрив</w:t>
            </w:r>
          </w:p>
        </w:tc>
        <w:tc>
          <w:tcPr>
            <w:tcW w:w="1972" w:type="dxa"/>
          </w:tcPr>
          <w:p w14:paraId="147ADC1D" w14:textId="77777777" w:rsidR="002E12CA" w:rsidRPr="002E12CA" w:rsidRDefault="002E12CA" w:rsidP="002E12CA">
            <w:pPr>
              <w:rPr>
                <w:rFonts w:cs="Arial"/>
              </w:rPr>
            </w:pPr>
            <w:r w:rsidRPr="002E12CA">
              <w:rPr>
                <w:rFonts w:cs="Arial"/>
              </w:rPr>
              <w:t>Нощно изпотяване Уртикария Контактен дерматит Студена пот Реакции на фоточувствител- ност</w:t>
            </w:r>
          </w:p>
          <w:p w14:paraId="15D4E943" w14:textId="485AFEAE" w:rsidR="002E12CA" w:rsidRPr="002E12CA" w:rsidRDefault="002E12CA" w:rsidP="002E12CA">
            <w:pPr>
              <w:rPr>
                <w:rFonts w:cs="Arial"/>
              </w:rPr>
            </w:pPr>
            <w:r w:rsidRPr="002E12CA">
              <w:rPr>
                <w:rFonts w:cs="Arial"/>
              </w:rPr>
              <w:t xml:space="preserve">Засилена тенденция към </w:t>
            </w:r>
            <w:r w:rsidRPr="002E12CA">
              <w:rPr>
                <w:rFonts w:cs="Arial"/>
              </w:rPr>
              <w:lastRenderedPageBreak/>
              <w:t>поява на хематоми</w:t>
            </w:r>
          </w:p>
        </w:tc>
        <w:tc>
          <w:tcPr>
            <w:tcW w:w="2422" w:type="dxa"/>
          </w:tcPr>
          <w:p w14:paraId="65E93140" w14:textId="77777777" w:rsidR="002E12CA" w:rsidRPr="002E12CA" w:rsidRDefault="002E12CA" w:rsidP="002E12CA">
            <w:pPr>
              <w:rPr>
                <w:rFonts w:cs="Arial"/>
              </w:rPr>
            </w:pPr>
            <w:r w:rsidRPr="002E12CA">
              <w:rPr>
                <w:rFonts w:cs="Arial"/>
              </w:rPr>
              <w:lastRenderedPageBreak/>
              <w:t>Синдром на</w:t>
            </w:r>
          </w:p>
          <w:p w14:paraId="3E134E80" w14:textId="77777777" w:rsidR="002E12CA" w:rsidRPr="002E12CA" w:rsidRDefault="002E12CA" w:rsidP="002E12CA">
            <w:pPr>
              <w:rPr>
                <w:rFonts w:cs="Arial"/>
              </w:rPr>
            </w:pPr>
            <w:r w:rsidRPr="002E12CA">
              <w:rPr>
                <w:rFonts w:cs="Arial"/>
                <w:lang w:val="en-US"/>
              </w:rPr>
              <w:t>Stevens</w:t>
            </w:r>
            <w:r w:rsidRPr="002E12CA">
              <w:rPr>
                <w:rFonts w:cs="Arial"/>
                <w:lang w:val="ru-RU"/>
              </w:rPr>
              <w:t>-</w:t>
            </w:r>
            <w:r w:rsidRPr="002E12CA">
              <w:rPr>
                <w:rFonts w:cs="Arial"/>
                <w:lang w:val="en-US"/>
              </w:rPr>
              <w:t>Johnson</w:t>
            </w:r>
            <w:r w:rsidRPr="002E12CA">
              <w:rPr>
                <w:rFonts w:cs="Arial"/>
                <w:vertAlign w:val="superscript"/>
                <w:lang w:val="ru-RU"/>
              </w:rPr>
              <w:t>6</w:t>
            </w:r>
          </w:p>
          <w:p w14:paraId="240568E3" w14:textId="05B74DB5" w:rsidR="002E12CA" w:rsidRPr="002E12CA" w:rsidRDefault="002E12CA" w:rsidP="002E12CA">
            <w:pPr>
              <w:rPr>
                <w:rFonts w:cs="Arial"/>
              </w:rPr>
            </w:pPr>
            <w:r w:rsidRPr="002E12CA">
              <w:rPr>
                <w:rFonts w:cs="Arial"/>
              </w:rPr>
              <w:t>Ангио-невротичен оток</w:t>
            </w:r>
            <w:r w:rsidRPr="002E12CA">
              <w:rPr>
                <w:rFonts w:cs="Arial"/>
                <w:vertAlign w:val="superscript"/>
              </w:rPr>
              <w:t>6</w:t>
            </w:r>
          </w:p>
        </w:tc>
        <w:tc>
          <w:tcPr>
            <w:tcW w:w="1479" w:type="dxa"/>
          </w:tcPr>
          <w:p w14:paraId="7E95931E" w14:textId="642CDDFC" w:rsidR="002E12CA" w:rsidRPr="002E12CA" w:rsidRDefault="002E12CA" w:rsidP="002E12CA">
            <w:pPr>
              <w:rPr>
                <w:rFonts w:cs="Arial"/>
              </w:rPr>
            </w:pPr>
            <w:r w:rsidRPr="002E12CA">
              <w:rPr>
                <w:rFonts w:cs="Arial"/>
              </w:rPr>
              <w:t>Кожен васкулит</w:t>
            </w:r>
          </w:p>
        </w:tc>
      </w:tr>
      <w:tr w:rsidR="002E12CA" w14:paraId="10A87D61" w14:textId="77777777" w:rsidTr="002E12CA">
        <w:tc>
          <w:tcPr>
            <w:tcW w:w="9576" w:type="dxa"/>
            <w:gridSpan w:val="5"/>
          </w:tcPr>
          <w:p w14:paraId="26972D10" w14:textId="0E337F3D" w:rsidR="002E12CA" w:rsidRPr="002E12CA" w:rsidRDefault="002E12CA" w:rsidP="002E12CA">
            <w:pPr>
              <w:rPr>
                <w:rFonts w:cs="Arial"/>
              </w:rPr>
            </w:pPr>
            <w:r w:rsidRPr="002E12CA">
              <w:rPr>
                <w:rFonts w:eastAsia="Times New Roman" w:cs="Arial"/>
                <w:i/>
                <w:iCs/>
                <w:color w:val="000000"/>
                <w:lang w:eastAsia="bg-BG"/>
              </w:rPr>
              <w:t>Нарушения на мускулно-скелетната система и съединителната тъкан</w:t>
            </w:r>
          </w:p>
        </w:tc>
      </w:tr>
      <w:tr w:rsidR="002E12CA" w14:paraId="29936855" w14:textId="77777777" w:rsidTr="002E12CA">
        <w:tc>
          <w:tcPr>
            <w:tcW w:w="2012" w:type="dxa"/>
          </w:tcPr>
          <w:p w14:paraId="2ADEBF6B" w14:textId="77777777" w:rsidR="002E12CA" w:rsidRPr="002E12CA" w:rsidRDefault="002E12CA" w:rsidP="002E12CA">
            <w:pPr>
              <w:rPr>
                <w:rFonts w:cs="Arial"/>
              </w:rPr>
            </w:pPr>
          </w:p>
        </w:tc>
        <w:tc>
          <w:tcPr>
            <w:tcW w:w="1691" w:type="dxa"/>
          </w:tcPr>
          <w:p w14:paraId="3E6222CB" w14:textId="26F4DA8C" w:rsidR="002E12CA" w:rsidRPr="002E12CA" w:rsidRDefault="002E12CA" w:rsidP="002E12CA">
            <w:pPr>
              <w:rPr>
                <w:rFonts w:cs="Arial"/>
              </w:rPr>
            </w:pPr>
            <w:r w:rsidRPr="002E12CA">
              <w:rPr>
                <w:rFonts w:cs="Arial"/>
              </w:rPr>
              <w:t>Мускулно- скелетна болка Мускулен спазъм</w:t>
            </w:r>
          </w:p>
        </w:tc>
        <w:tc>
          <w:tcPr>
            <w:tcW w:w="1972" w:type="dxa"/>
          </w:tcPr>
          <w:p w14:paraId="55DDA50E" w14:textId="1A70FA30" w:rsidR="002E12CA" w:rsidRPr="002E12CA" w:rsidRDefault="002E12CA" w:rsidP="002E12CA">
            <w:pPr>
              <w:rPr>
                <w:rFonts w:cs="Arial"/>
              </w:rPr>
            </w:pPr>
            <w:r w:rsidRPr="002E12CA">
              <w:rPr>
                <w:rFonts w:cs="Arial"/>
              </w:rPr>
              <w:t>Мускулно напрежение Потрепване на мускулите</w:t>
            </w:r>
          </w:p>
        </w:tc>
        <w:tc>
          <w:tcPr>
            <w:tcW w:w="2422" w:type="dxa"/>
          </w:tcPr>
          <w:p w14:paraId="3311E5B9" w14:textId="7B3AC84B" w:rsidR="002E12CA" w:rsidRPr="002E12CA" w:rsidRDefault="002E12CA" w:rsidP="002E12CA">
            <w:pPr>
              <w:rPr>
                <w:rFonts w:cs="Arial"/>
              </w:rPr>
            </w:pPr>
            <w:r w:rsidRPr="002E12CA">
              <w:rPr>
                <w:rFonts w:cs="Arial"/>
              </w:rPr>
              <w:t>Тризмус</w:t>
            </w:r>
          </w:p>
        </w:tc>
        <w:tc>
          <w:tcPr>
            <w:tcW w:w="1479" w:type="dxa"/>
          </w:tcPr>
          <w:p w14:paraId="50A6C9AA" w14:textId="77777777" w:rsidR="002E12CA" w:rsidRPr="002E12CA" w:rsidRDefault="002E12CA" w:rsidP="002E12CA">
            <w:pPr>
              <w:rPr>
                <w:rFonts w:cs="Arial"/>
              </w:rPr>
            </w:pPr>
          </w:p>
        </w:tc>
      </w:tr>
      <w:tr w:rsidR="002E12CA" w14:paraId="5DB59FA0" w14:textId="77777777" w:rsidTr="002E12CA">
        <w:tc>
          <w:tcPr>
            <w:tcW w:w="9576" w:type="dxa"/>
            <w:gridSpan w:val="5"/>
          </w:tcPr>
          <w:p w14:paraId="04B63901" w14:textId="760890EA" w:rsidR="002E12CA" w:rsidRPr="002E12CA" w:rsidRDefault="002E12CA" w:rsidP="002E12CA">
            <w:pPr>
              <w:rPr>
                <w:rFonts w:cs="Arial"/>
              </w:rPr>
            </w:pPr>
            <w:r w:rsidRPr="002E12CA">
              <w:rPr>
                <w:rFonts w:cs="Arial"/>
                <w:i/>
                <w:iCs/>
              </w:rPr>
              <w:t>Нарушения на бъбреците и пикочните пътища</w:t>
            </w:r>
          </w:p>
        </w:tc>
      </w:tr>
      <w:tr w:rsidR="002E12CA" w14:paraId="1990F0FE" w14:textId="77777777" w:rsidTr="002E12CA">
        <w:tc>
          <w:tcPr>
            <w:tcW w:w="2012" w:type="dxa"/>
          </w:tcPr>
          <w:p w14:paraId="1BB999CE" w14:textId="77777777" w:rsidR="002E12CA" w:rsidRPr="002E12CA" w:rsidRDefault="002E12CA" w:rsidP="002E12CA">
            <w:pPr>
              <w:rPr>
                <w:rFonts w:cs="Arial"/>
              </w:rPr>
            </w:pPr>
          </w:p>
        </w:tc>
        <w:tc>
          <w:tcPr>
            <w:tcW w:w="1691" w:type="dxa"/>
          </w:tcPr>
          <w:p w14:paraId="3A4E327A" w14:textId="6F63CFAD" w:rsidR="002E12CA" w:rsidRPr="002E12CA" w:rsidRDefault="002E12CA" w:rsidP="002E12CA">
            <w:pPr>
              <w:rPr>
                <w:rFonts w:cs="Arial"/>
              </w:rPr>
            </w:pPr>
            <w:r w:rsidRPr="002E12CA">
              <w:rPr>
                <w:rFonts w:cs="Arial"/>
              </w:rPr>
              <w:t>Дизурия Често уриниране</w:t>
            </w:r>
          </w:p>
        </w:tc>
        <w:tc>
          <w:tcPr>
            <w:tcW w:w="1972" w:type="dxa"/>
          </w:tcPr>
          <w:p w14:paraId="64F34676" w14:textId="63230526" w:rsidR="002E12CA" w:rsidRPr="002E12CA" w:rsidRDefault="002E12CA" w:rsidP="002E12CA">
            <w:pPr>
              <w:rPr>
                <w:rFonts w:cs="Arial"/>
              </w:rPr>
            </w:pPr>
            <w:r w:rsidRPr="002E12CA">
              <w:rPr>
                <w:rFonts w:cs="Arial"/>
              </w:rPr>
              <w:t>Задържане на урина Затруднено уриниране Ноктурия Полиурия Намалена диуреза</w:t>
            </w:r>
          </w:p>
        </w:tc>
        <w:tc>
          <w:tcPr>
            <w:tcW w:w="2422" w:type="dxa"/>
          </w:tcPr>
          <w:p w14:paraId="63E31C65" w14:textId="518972D2" w:rsidR="002E12CA" w:rsidRPr="002E12CA" w:rsidRDefault="002E12CA" w:rsidP="002E12CA">
            <w:pPr>
              <w:rPr>
                <w:rFonts w:cs="Arial"/>
              </w:rPr>
            </w:pPr>
            <w:r w:rsidRPr="002E12CA">
              <w:rPr>
                <w:rFonts w:cs="Arial"/>
              </w:rPr>
              <w:t>Променен мирис на урината</w:t>
            </w:r>
          </w:p>
        </w:tc>
        <w:tc>
          <w:tcPr>
            <w:tcW w:w="1479" w:type="dxa"/>
          </w:tcPr>
          <w:p w14:paraId="1AC52E61" w14:textId="77777777" w:rsidR="002E12CA" w:rsidRPr="002E12CA" w:rsidRDefault="002E12CA" w:rsidP="002E12CA">
            <w:pPr>
              <w:rPr>
                <w:rFonts w:cs="Arial"/>
              </w:rPr>
            </w:pPr>
          </w:p>
        </w:tc>
      </w:tr>
      <w:tr w:rsidR="002E12CA" w14:paraId="4E652890" w14:textId="77777777" w:rsidTr="002E12CA">
        <w:tc>
          <w:tcPr>
            <w:tcW w:w="9576" w:type="dxa"/>
            <w:gridSpan w:val="5"/>
          </w:tcPr>
          <w:p w14:paraId="68FD0993" w14:textId="75AD7591" w:rsidR="002E12CA" w:rsidRPr="002E12CA" w:rsidRDefault="002E12CA" w:rsidP="002E12CA">
            <w:pPr>
              <w:rPr>
                <w:rFonts w:cs="Arial"/>
              </w:rPr>
            </w:pPr>
            <w:r w:rsidRPr="002E12CA">
              <w:rPr>
                <w:rFonts w:eastAsia="Times New Roman" w:cs="Arial"/>
                <w:i/>
                <w:iCs/>
                <w:color w:val="000000"/>
                <w:lang w:eastAsia="bg-BG"/>
              </w:rPr>
              <w:t>Нарушения на възпроизводителната система и гърдата</w:t>
            </w:r>
          </w:p>
        </w:tc>
      </w:tr>
      <w:tr w:rsidR="002E12CA" w14:paraId="307F6917" w14:textId="77777777" w:rsidTr="002E12CA">
        <w:tc>
          <w:tcPr>
            <w:tcW w:w="2012" w:type="dxa"/>
          </w:tcPr>
          <w:p w14:paraId="19D20630" w14:textId="77777777" w:rsidR="002E12CA" w:rsidRPr="002E12CA" w:rsidRDefault="002E12CA" w:rsidP="002E12CA">
            <w:pPr>
              <w:jc w:val="right"/>
              <w:rPr>
                <w:rFonts w:cs="Arial"/>
              </w:rPr>
            </w:pPr>
          </w:p>
        </w:tc>
        <w:tc>
          <w:tcPr>
            <w:tcW w:w="1691" w:type="dxa"/>
          </w:tcPr>
          <w:p w14:paraId="29442C2A" w14:textId="0A25321D" w:rsidR="002E12CA" w:rsidRPr="002E12CA" w:rsidRDefault="002E12CA" w:rsidP="002E12CA">
            <w:pPr>
              <w:rPr>
                <w:rFonts w:cs="Arial"/>
              </w:rPr>
            </w:pPr>
            <w:r w:rsidRPr="002E12CA">
              <w:rPr>
                <w:rFonts w:cs="Arial"/>
              </w:rPr>
              <w:t>Еректилна дисфункция Нарушение на еякулацията Забавена еякулация</w:t>
            </w:r>
          </w:p>
        </w:tc>
        <w:tc>
          <w:tcPr>
            <w:tcW w:w="1972" w:type="dxa"/>
          </w:tcPr>
          <w:p w14:paraId="375F2119" w14:textId="5000442C" w:rsidR="002E12CA" w:rsidRPr="002E12CA" w:rsidRDefault="002E12CA" w:rsidP="002E12CA">
            <w:pPr>
              <w:rPr>
                <w:rFonts w:cs="Arial"/>
              </w:rPr>
            </w:pPr>
            <w:r w:rsidRPr="002E12CA">
              <w:rPr>
                <w:rFonts w:cs="Arial"/>
              </w:rPr>
              <w:t>Гинекологично кървене Менструални нарушения Сексуална дисфункция Болка в тестисите</w:t>
            </w:r>
          </w:p>
        </w:tc>
        <w:tc>
          <w:tcPr>
            <w:tcW w:w="2422" w:type="dxa"/>
          </w:tcPr>
          <w:p w14:paraId="57858DC1" w14:textId="35442A52" w:rsidR="002E12CA" w:rsidRPr="002E12CA" w:rsidRDefault="002E12CA" w:rsidP="002E12CA">
            <w:pPr>
              <w:rPr>
                <w:rFonts w:cs="Arial"/>
              </w:rPr>
            </w:pPr>
            <w:r w:rsidRPr="002E12CA">
              <w:rPr>
                <w:rFonts w:cs="Arial"/>
              </w:rPr>
              <w:t>Менопаузални симптоми Галакторея Хиперпролактинемия Постпартална хеморагия</w:t>
            </w:r>
            <w:r w:rsidRPr="002E12CA">
              <w:rPr>
                <w:rFonts w:cs="Arial"/>
                <w:vertAlign w:val="superscript"/>
              </w:rPr>
              <w:t>6</w:t>
            </w:r>
          </w:p>
        </w:tc>
        <w:tc>
          <w:tcPr>
            <w:tcW w:w="1479" w:type="dxa"/>
          </w:tcPr>
          <w:p w14:paraId="399BFE81" w14:textId="77777777" w:rsidR="002E12CA" w:rsidRPr="002E12CA" w:rsidRDefault="002E12CA" w:rsidP="002E12CA">
            <w:pPr>
              <w:rPr>
                <w:rFonts w:cs="Arial"/>
              </w:rPr>
            </w:pPr>
          </w:p>
        </w:tc>
      </w:tr>
      <w:tr w:rsidR="002E12CA" w14:paraId="030B55E3" w14:textId="77777777" w:rsidTr="002E12CA">
        <w:tc>
          <w:tcPr>
            <w:tcW w:w="9576" w:type="dxa"/>
            <w:gridSpan w:val="5"/>
          </w:tcPr>
          <w:p w14:paraId="0D7CAD26" w14:textId="5D647FF9" w:rsidR="002E12CA" w:rsidRPr="002E12CA" w:rsidRDefault="002E12CA" w:rsidP="002E12CA">
            <w:pPr>
              <w:rPr>
                <w:rFonts w:cs="Arial"/>
              </w:rPr>
            </w:pPr>
            <w:r w:rsidRPr="002E12CA">
              <w:rPr>
                <w:rFonts w:cs="Arial"/>
                <w:i/>
                <w:iCs/>
              </w:rPr>
              <w:t>Общи нарушения и ефекти на мястото на приложение</w:t>
            </w:r>
          </w:p>
        </w:tc>
      </w:tr>
      <w:tr w:rsidR="002E12CA" w14:paraId="3CFE1C20" w14:textId="77777777" w:rsidTr="002E12CA">
        <w:tc>
          <w:tcPr>
            <w:tcW w:w="2012" w:type="dxa"/>
          </w:tcPr>
          <w:p w14:paraId="64EA9917" w14:textId="77777777" w:rsidR="002E12CA" w:rsidRPr="002E12CA" w:rsidRDefault="002E12CA" w:rsidP="002E12CA">
            <w:pPr>
              <w:rPr>
                <w:rFonts w:cs="Arial"/>
              </w:rPr>
            </w:pPr>
          </w:p>
        </w:tc>
        <w:tc>
          <w:tcPr>
            <w:tcW w:w="1691" w:type="dxa"/>
          </w:tcPr>
          <w:p w14:paraId="7ED9B3EE" w14:textId="77777777" w:rsidR="002E12CA" w:rsidRPr="002E12CA" w:rsidRDefault="002E12CA" w:rsidP="002E12CA">
            <w:pPr>
              <w:rPr>
                <w:rFonts w:cs="Arial"/>
              </w:rPr>
            </w:pPr>
            <w:r w:rsidRPr="002E12CA">
              <w:rPr>
                <w:rFonts w:cs="Arial"/>
              </w:rPr>
              <w:t>Припадъци</w:t>
            </w:r>
            <w:r w:rsidRPr="002E12CA">
              <w:rPr>
                <w:rFonts w:cs="Arial"/>
                <w:vertAlign w:val="superscript"/>
              </w:rPr>
              <w:t>8</w:t>
            </w:r>
          </w:p>
          <w:p w14:paraId="16FFE6F8" w14:textId="00D8A514" w:rsidR="002E12CA" w:rsidRPr="002E12CA" w:rsidRDefault="002E12CA" w:rsidP="002E12CA">
            <w:pPr>
              <w:rPr>
                <w:rFonts w:cs="Arial"/>
              </w:rPr>
            </w:pPr>
            <w:r w:rsidRPr="002E12CA">
              <w:rPr>
                <w:rFonts w:cs="Arial"/>
              </w:rPr>
              <w:t>Умора</w:t>
            </w:r>
          </w:p>
        </w:tc>
        <w:tc>
          <w:tcPr>
            <w:tcW w:w="1972" w:type="dxa"/>
          </w:tcPr>
          <w:p w14:paraId="724C79E1" w14:textId="1241AE3C" w:rsidR="002E12CA" w:rsidRPr="002E12CA" w:rsidRDefault="002E12CA" w:rsidP="002E12CA">
            <w:pPr>
              <w:rPr>
                <w:rFonts w:cs="Arial"/>
              </w:rPr>
            </w:pPr>
            <w:r w:rsidRPr="002E12CA">
              <w:rPr>
                <w:rFonts w:cs="Arial"/>
              </w:rPr>
              <w:t>Болка в гърдите</w:t>
            </w:r>
            <w:r w:rsidRPr="002E12CA">
              <w:rPr>
                <w:rFonts w:cs="Arial"/>
                <w:vertAlign w:val="superscript"/>
              </w:rPr>
              <w:t xml:space="preserve">7 </w:t>
            </w:r>
            <w:r w:rsidRPr="002E12CA">
              <w:rPr>
                <w:rFonts w:cs="Arial"/>
              </w:rPr>
              <w:t>Абнормни усещания Чувство за студ Жажда Втрисане Неразположение Чувство за топлина Нарушения в походката</w:t>
            </w:r>
          </w:p>
        </w:tc>
        <w:tc>
          <w:tcPr>
            <w:tcW w:w="2422" w:type="dxa"/>
          </w:tcPr>
          <w:p w14:paraId="7AEC9902" w14:textId="77777777" w:rsidR="002E12CA" w:rsidRPr="002E12CA" w:rsidRDefault="002E12CA" w:rsidP="002E12CA">
            <w:pPr>
              <w:rPr>
                <w:rFonts w:cs="Arial"/>
              </w:rPr>
            </w:pPr>
          </w:p>
        </w:tc>
        <w:tc>
          <w:tcPr>
            <w:tcW w:w="1479" w:type="dxa"/>
          </w:tcPr>
          <w:p w14:paraId="61B6CDB2" w14:textId="77777777" w:rsidR="002E12CA" w:rsidRPr="002E12CA" w:rsidRDefault="002E12CA" w:rsidP="002E12CA">
            <w:pPr>
              <w:rPr>
                <w:rFonts w:cs="Arial"/>
              </w:rPr>
            </w:pPr>
          </w:p>
        </w:tc>
      </w:tr>
      <w:tr w:rsidR="002E12CA" w14:paraId="24C840F1" w14:textId="77777777" w:rsidTr="002E12CA">
        <w:tc>
          <w:tcPr>
            <w:tcW w:w="9576" w:type="dxa"/>
            <w:gridSpan w:val="5"/>
          </w:tcPr>
          <w:p w14:paraId="3DB35B74" w14:textId="2F7A955A" w:rsidR="002E12CA" w:rsidRPr="002E12CA" w:rsidRDefault="002E12CA" w:rsidP="002E12CA">
            <w:pPr>
              <w:rPr>
                <w:rFonts w:cs="Arial"/>
              </w:rPr>
            </w:pPr>
            <w:r w:rsidRPr="002E12CA">
              <w:rPr>
                <w:rFonts w:eastAsia="Times New Roman" w:cs="Arial"/>
                <w:i/>
                <w:iCs/>
                <w:color w:val="000000"/>
                <w:lang w:eastAsia="bg-BG"/>
              </w:rPr>
              <w:t>Изследвания</w:t>
            </w:r>
          </w:p>
        </w:tc>
      </w:tr>
      <w:tr w:rsidR="002E12CA" w14:paraId="23E2BEC7" w14:textId="77777777" w:rsidTr="002E12CA">
        <w:tc>
          <w:tcPr>
            <w:tcW w:w="2012" w:type="dxa"/>
          </w:tcPr>
          <w:p w14:paraId="56FDB04E" w14:textId="77777777" w:rsidR="002E12CA" w:rsidRPr="002E12CA" w:rsidRDefault="002E12CA" w:rsidP="002E12CA">
            <w:pPr>
              <w:spacing w:line="240" w:lineRule="auto"/>
              <w:rPr>
                <w:rFonts w:eastAsia="Times New Roman" w:cs="Arial"/>
                <w:i/>
                <w:iCs/>
                <w:color w:val="000000"/>
                <w:lang w:eastAsia="bg-BG"/>
              </w:rPr>
            </w:pPr>
          </w:p>
        </w:tc>
        <w:tc>
          <w:tcPr>
            <w:tcW w:w="1691" w:type="dxa"/>
          </w:tcPr>
          <w:p w14:paraId="5D618723" w14:textId="1C8BBFAF" w:rsidR="002E12CA" w:rsidRPr="002E12CA" w:rsidRDefault="002E12CA" w:rsidP="002E12CA">
            <w:pPr>
              <w:rPr>
                <w:rFonts w:cs="Arial"/>
              </w:rPr>
            </w:pPr>
            <w:r w:rsidRPr="002E12CA">
              <w:rPr>
                <w:rFonts w:cs="Arial"/>
              </w:rPr>
              <w:t>Понижение на теглото</w:t>
            </w:r>
          </w:p>
        </w:tc>
        <w:tc>
          <w:tcPr>
            <w:tcW w:w="1972" w:type="dxa"/>
          </w:tcPr>
          <w:p w14:paraId="018A2BA6" w14:textId="38454F14" w:rsidR="002E12CA" w:rsidRPr="002E12CA" w:rsidRDefault="002E12CA" w:rsidP="002E12CA">
            <w:pPr>
              <w:rPr>
                <w:rFonts w:cs="Arial"/>
              </w:rPr>
            </w:pPr>
            <w:r w:rsidRPr="002E12CA">
              <w:rPr>
                <w:rFonts w:cs="Arial"/>
              </w:rPr>
              <w:t>Покачване на теглото Повишение на креатин фосфокиназата в кръвта Повишение на калия в кръвта</w:t>
            </w:r>
          </w:p>
        </w:tc>
        <w:tc>
          <w:tcPr>
            <w:tcW w:w="2422" w:type="dxa"/>
          </w:tcPr>
          <w:p w14:paraId="2CB9424B" w14:textId="55F77613" w:rsidR="002E12CA" w:rsidRPr="002E12CA" w:rsidRDefault="002E12CA" w:rsidP="002E12CA">
            <w:pPr>
              <w:rPr>
                <w:rFonts w:cs="Arial"/>
              </w:rPr>
            </w:pPr>
            <w:r w:rsidRPr="002E12CA">
              <w:rPr>
                <w:rFonts w:cs="Arial"/>
              </w:rPr>
              <w:t>Увеличаване на холестерола в кръвта</w:t>
            </w:r>
          </w:p>
        </w:tc>
        <w:tc>
          <w:tcPr>
            <w:tcW w:w="1479" w:type="dxa"/>
          </w:tcPr>
          <w:p w14:paraId="5A30F98F" w14:textId="77777777" w:rsidR="002E12CA" w:rsidRPr="002E12CA" w:rsidRDefault="002E12CA" w:rsidP="002E12CA">
            <w:pPr>
              <w:rPr>
                <w:rFonts w:cs="Arial"/>
              </w:rPr>
            </w:pPr>
          </w:p>
        </w:tc>
      </w:tr>
    </w:tbl>
    <w:p w14:paraId="12CF4C4A" w14:textId="2E1197A8"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lastRenderedPageBreak/>
        <w:t>1</w:t>
      </w:r>
      <w:r w:rsidRPr="002E12CA">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35AE6217" w14:textId="429B3AF2"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2</w:t>
      </w:r>
      <w:r w:rsidRPr="002E12CA">
        <w:rPr>
          <w:rFonts w:eastAsia="Times New Roman" w:cs="Arial"/>
          <w:color w:val="000000"/>
          <w:lang w:eastAsia="bg-BG"/>
        </w:rPr>
        <w:t>Случаи на ортостатична хипотония и синкоп са съобщавани особено в началото на лечението.</w:t>
      </w:r>
    </w:p>
    <w:p w14:paraId="7DF5D076" w14:textId="44ED85FE"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3</w:t>
      </w:r>
      <w:r w:rsidRPr="002E12CA">
        <w:rPr>
          <w:rFonts w:eastAsia="Times New Roman" w:cs="Arial"/>
          <w:color w:val="000000"/>
          <w:lang w:eastAsia="bg-BG"/>
        </w:rPr>
        <w:t>Вижте точка 4.4.</w:t>
      </w:r>
    </w:p>
    <w:p w14:paraId="5A4B4357" w14:textId="1E63CE62"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4</w:t>
      </w:r>
      <w:r w:rsidRPr="002E12CA">
        <w:rPr>
          <w:rFonts w:eastAsia="Times New Roman" w:cs="Arial"/>
          <w:color w:val="000000"/>
          <w:lang w:eastAsia="bg-BG"/>
        </w:rPr>
        <w:t>Случаи на враждебност и гняв са съоб</w:t>
      </w:r>
      <w:r w:rsidRPr="002E12CA">
        <w:rPr>
          <w:rFonts w:eastAsia="Times New Roman" w:cs="Arial"/>
          <w:color w:val="000000"/>
          <w:u w:val="single"/>
          <w:lang w:eastAsia="bg-BG"/>
        </w:rPr>
        <w:t>щавани</w:t>
      </w:r>
      <w:r w:rsidRPr="002E12CA">
        <w:rPr>
          <w:rFonts w:eastAsia="Times New Roman" w:cs="Arial"/>
          <w:color w:val="000000"/>
          <w:lang w:eastAsia="bg-BG"/>
        </w:rPr>
        <w:t xml:space="preserve"> особено в началото или след прекъсване на лечението.</w:t>
      </w:r>
    </w:p>
    <w:p w14:paraId="14633FD8" w14:textId="69DD2308"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5</w:t>
      </w:r>
      <w:r w:rsidRPr="002E12CA">
        <w:rPr>
          <w:rFonts w:eastAsia="Times New Roman" w:cs="Arial"/>
          <w:color w:val="000000"/>
          <w:lang w:eastAsia="bg-BG"/>
        </w:rPr>
        <w:t>Случаи на суицидна идеация и суицидно поведение са съобщавани по време на</w:t>
      </w:r>
      <w:r w:rsidRPr="002E12CA">
        <w:rPr>
          <w:rFonts w:eastAsia="Times New Roman" w:cs="Arial"/>
          <w:color w:val="000000"/>
          <w:lang w:val="ru-RU"/>
        </w:rPr>
        <w:t xml:space="preserve"> </w:t>
      </w:r>
      <w:r w:rsidRPr="002E12CA">
        <w:rPr>
          <w:rFonts w:eastAsia="Times New Roman" w:cs="Arial"/>
          <w:color w:val="000000"/>
          <w:lang w:eastAsia="bg-BG"/>
        </w:rPr>
        <w:t>лечение с</w:t>
      </w:r>
    </w:p>
    <w:p w14:paraId="3E94EFC6"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дулоксетин или скоро след прекъсване на лечението (вж. точка 4.4).</w:t>
      </w:r>
    </w:p>
    <w:p w14:paraId="72BF6282" w14:textId="4B2F2873"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6</w:t>
      </w:r>
      <w:r w:rsidRPr="002E12CA">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изпитвания.</w:t>
      </w:r>
    </w:p>
    <w:p w14:paraId="06ADF39E" w14:textId="72F09ECC" w:rsidR="002E12CA" w:rsidRPr="002E12CA" w:rsidRDefault="002E12CA" w:rsidP="002E12CA">
      <w:pPr>
        <w:rPr>
          <w:rFonts w:eastAsia="Times New Roman" w:cs="Arial"/>
          <w:color w:val="000000"/>
          <w:lang w:eastAsia="bg-BG"/>
        </w:rPr>
      </w:pPr>
      <w:r w:rsidRPr="002E12CA">
        <w:rPr>
          <w:rFonts w:eastAsia="Times New Roman" w:cs="Arial"/>
          <w:color w:val="000000"/>
          <w:vertAlign w:val="superscript"/>
          <w:lang w:eastAsia="bg-BG"/>
        </w:rPr>
        <w:t>7</w:t>
      </w:r>
      <w:r w:rsidRPr="002E12CA">
        <w:rPr>
          <w:rFonts w:eastAsia="Times New Roman" w:cs="Arial"/>
          <w:color w:val="000000"/>
          <w:lang w:eastAsia="bg-BG"/>
        </w:rPr>
        <w:t>Не е статистически сигнификантно различна от плацебо.</w:t>
      </w:r>
    </w:p>
    <w:p w14:paraId="6B8F9C4D" w14:textId="1408FD8F"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8</w:t>
      </w:r>
      <w:r w:rsidRPr="002E12CA">
        <w:rPr>
          <w:rFonts w:eastAsia="Times New Roman" w:cs="Arial"/>
          <w:color w:val="000000"/>
          <w:lang w:eastAsia="bg-BG"/>
        </w:rPr>
        <w:t>Припадъците са по-чести при пациенти в старческа възраст (на възраст &gt;65 години).</w:t>
      </w:r>
    </w:p>
    <w:p w14:paraId="7F6C1CFF" w14:textId="7B6CED3E"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9</w:t>
      </w:r>
      <w:r w:rsidRPr="002E12CA">
        <w:rPr>
          <w:rFonts w:eastAsia="Times New Roman" w:cs="Arial"/>
          <w:color w:val="000000"/>
          <w:lang w:eastAsia="bg-BG"/>
        </w:rPr>
        <w:t>Прогнозираната честота се базира на всички данни от клиничните изпитвания.</w:t>
      </w:r>
    </w:p>
    <w:p w14:paraId="71A1598C" w14:textId="68FBBA09"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10</w:t>
      </w:r>
      <w:r w:rsidRPr="002E12CA">
        <w:rPr>
          <w:rFonts w:eastAsia="Times New Roman" w:cs="Arial"/>
          <w:color w:val="000000"/>
          <w:lang w:eastAsia="bg-BG"/>
        </w:rPr>
        <w:t xml:space="preserve">Честотата е изчислена въз основа на плацебо-контролирани клинични изпитвания </w:t>
      </w:r>
      <w:r w:rsidRPr="002E12CA">
        <w:rPr>
          <w:rFonts w:eastAsia="Times New Roman" w:cs="Arial"/>
          <w:color w:val="000000"/>
          <w:vertAlign w:val="superscript"/>
          <w:lang w:eastAsia="bg-BG"/>
        </w:rPr>
        <w:t>11</w:t>
      </w:r>
      <w:r w:rsidRPr="002E12CA">
        <w:rPr>
          <w:rFonts w:eastAsia="Times New Roman" w:cs="Arial"/>
          <w:color w:val="000000"/>
          <w:lang w:eastAsia="bg-BG"/>
        </w:rPr>
        <w:t xml:space="preserve"> Честотата е изчислена от нежеланите реакции, съобщени при постмаркетинговото наблюдение; не се наблюдава при плацебо-контролирани клинични изпитвания</w:t>
      </w:r>
    </w:p>
    <w:p w14:paraId="6BB46D93" w14:textId="77777777" w:rsidR="002E12CA" w:rsidRPr="002E12CA" w:rsidRDefault="002E12CA" w:rsidP="002E12CA">
      <w:pPr>
        <w:spacing w:line="240" w:lineRule="auto"/>
        <w:rPr>
          <w:rFonts w:eastAsia="Times New Roman" w:cs="Arial"/>
          <w:i/>
          <w:iCs/>
          <w:color w:val="000000"/>
          <w:lang w:eastAsia="bg-BG"/>
        </w:rPr>
      </w:pPr>
    </w:p>
    <w:p w14:paraId="55F533E3" w14:textId="33F2D87C" w:rsidR="002E12CA" w:rsidRPr="002E12CA" w:rsidRDefault="002E12CA" w:rsidP="002E12CA">
      <w:pPr>
        <w:spacing w:line="240" w:lineRule="auto"/>
        <w:rPr>
          <w:rFonts w:eastAsia="Times New Roman" w:cs="Arial"/>
          <w:i/>
          <w:iCs/>
          <w:color w:val="000000"/>
          <w:lang w:eastAsia="bg-BG"/>
        </w:rPr>
      </w:pPr>
      <w:r w:rsidRPr="002E12CA">
        <w:rPr>
          <w:rFonts w:eastAsia="Times New Roman" w:cs="Arial"/>
          <w:i/>
          <w:iCs/>
          <w:color w:val="000000"/>
          <w:lang w:eastAsia="bg-BG"/>
        </w:rPr>
        <w:t>в.Описание на избрани нежелани лекарствени реакции</w:t>
      </w:r>
    </w:p>
    <w:p w14:paraId="19381886" w14:textId="77777777" w:rsidR="002E12CA" w:rsidRPr="002E12CA" w:rsidRDefault="002E12CA" w:rsidP="002E12CA">
      <w:pPr>
        <w:spacing w:line="240" w:lineRule="auto"/>
        <w:rPr>
          <w:rFonts w:eastAsia="Times New Roman" w:cs="Arial"/>
          <w:color w:val="000000"/>
          <w:lang w:eastAsia="bg-BG"/>
        </w:rPr>
      </w:pPr>
    </w:p>
    <w:p w14:paraId="3AD47830" w14:textId="1C1CD585" w:rsidR="002E12CA" w:rsidRPr="002E12CA" w:rsidRDefault="002E12CA" w:rsidP="002E12CA">
      <w:pPr>
        <w:spacing w:line="240" w:lineRule="auto"/>
        <w:rPr>
          <w:rFonts w:eastAsia="Times New Roman" w:cs="Arial"/>
        </w:rPr>
      </w:pPr>
      <w:r w:rsidRPr="002E12CA">
        <w:rPr>
          <w:rFonts w:eastAsia="Times New Roman" w:cs="Arial"/>
          <w:color w:val="000000"/>
          <w:lang w:eastAsia="bg-BG"/>
        </w:rPr>
        <w:t>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w:t>
      </w:r>
      <w:r w:rsidRPr="002E12CA">
        <w:rPr>
          <w:rFonts w:eastAsia="Times New Roman" w:cs="Arial"/>
          <w:color w:val="000000"/>
          <w:u w:val="single"/>
          <w:lang w:eastAsia="bg-BG"/>
        </w:rPr>
        <w:t>аванит</w:t>
      </w:r>
      <w:r w:rsidRPr="002E12CA">
        <w:rPr>
          <w:rFonts w:eastAsia="Times New Roman" w:cs="Arial"/>
          <w:color w:val="000000"/>
          <w:lang w:eastAsia="bg-BG"/>
        </w:rPr>
        <w:t>е нежелани реакции.</w:t>
      </w:r>
    </w:p>
    <w:p w14:paraId="0413926C"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за </w:t>
      </w:r>
      <w:r w:rsidRPr="002E12CA">
        <w:rPr>
          <w:rFonts w:eastAsia="Times New Roman" w:cs="Arial"/>
          <w:color w:val="000000"/>
          <w:lang w:val="en-US"/>
        </w:rPr>
        <w:t>SSRI</w:t>
      </w:r>
      <w:r w:rsidRPr="002E12CA">
        <w:rPr>
          <w:rFonts w:eastAsia="Times New Roman" w:cs="Arial"/>
          <w:color w:val="000000"/>
          <w:lang w:val="ru-RU"/>
        </w:rPr>
        <w:t xml:space="preserve"> </w:t>
      </w:r>
      <w:r w:rsidRPr="002E12CA">
        <w:rPr>
          <w:rFonts w:eastAsia="Times New Roman" w:cs="Arial"/>
          <w:color w:val="000000"/>
          <w:lang w:eastAsia="bg-BG"/>
        </w:rPr>
        <w:t xml:space="preserve">и </w:t>
      </w:r>
      <w:r w:rsidRPr="002E12CA">
        <w:rPr>
          <w:rFonts w:eastAsia="Times New Roman" w:cs="Arial"/>
          <w:color w:val="000000"/>
          <w:lang w:val="en-US"/>
        </w:rPr>
        <w:t>SNRI</w:t>
      </w:r>
      <w:r w:rsidRPr="002E12CA">
        <w:rPr>
          <w:rFonts w:eastAsia="Times New Roman" w:cs="Arial"/>
          <w:color w:val="000000"/>
          <w:lang w:val="ru-RU"/>
        </w:rPr>
        <w:t xml:space="preserve">, </w:t>
      </w:r>
      <w:r w:rsidRPr="002E12CA">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повече не се налага лечение с дулоксетин, да се направи постепенно спиране на лекарството чрез намаляване на дозата (вж. точки 4.2 и 4.4).</w:t>
      </w:r>
    </w:p>
    <w:p w14:paraId="7DE4E98F"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2E12CA">
        <w:rPr>
          <w:rFonts w:eastAsia="Times New Roman" w:cs="Arial"/>
          <w:color w:val="000000"/>
          <w:lang w:val="en-US"/>
        </w:rPr>
        <w:t>HbAlc</w:t>
      </w:r>
      <w:proofErr w:type="spellEnd"/>
      <w:r w:rsidRPr="002E12CA">
        <w:rPr>
          <w:rFonts w:eastAsia="Times New Roman" w:cs="Arial"/>
          <w:color w:val="000000"/>
          <w:lang w:val="ru-RU"/>
        </w:rPr>
        <w:t xml:space="preserve"> </w:t>
      </w:r>
      <w:r w:rsidRPr="002E12CA">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продължение на тези проучвания с продължителност до 52 седмици, е имало повишение на </w:t>
      </w:r>
      <w:proofErr w:type="spellStart"/>
      <w:r w:rsidRPr="002E12CA">
        <w:rPr>
          <w:rFonts w:eastAsia="Times New Roman" w:cs="Arial"/>
          <w:color w:val="000000"/>
          <w:lang w:val="en-US"/>
        </w:rPr>
        <w:t>HbAlc</w:t>
      </w:r>
      <w:proofErr w:type="spellEnd"/>
      <w:r w:rsidRPr="002E12CA">
        <w:rPr>
          <w:rFonts w:eastAsia="Times New Roman" w:cs="Arial"/>
          <w:color w:val="000000"/>
          <w:lang w:val="ru-RU"/>
        </w:rPr>
        <w:t xml:space="preserve"> </w:t>
      </w:r>
      <w:r w:rsidRPr="002E12CA">
        <w:rPr>
          <w:rFonts w:eastAsia="Times New Roman" w:cs="Arial"/>
          <w:color w:val="000000"/>
          <w:lang w:eastAsia="bg-BG"/>
        </w:rPr>
        <w:t>и в групата на дулоксетин и в трупата на рутинна терапия, но средното повишение е 0,3% по-голямо в групата на лечение с дулоксетин. Имало е и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51E11938"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Коригираният спрямо сърдечната честота </w:t>
      </w:r>
      <w:r w:rsidRPr="002E12CA">
        <w:rPr>
          <w:rFonts w:eastAsia="Times New Roman" w:cs="Arial"/>
          <w:color w:val="000000"/>
          <w:lang w:val="en-US"/>
        </w:rPr>
        <w:t>QT</w:t>
      </w:r>
      <w:r w:rsidRPr="002E12CA">
        <w:rPr>
          <w:rFonts w:eastAsia="Times New Roman" w:cs="Arial"/>
          <w:color w:val="000000"/>
          <w:lang w:val="ru-RU"/>
        </w:rPr>
        <w:t xml:space="preserve"> </w:t>
      </w:r>
      <w:r w:rsidRPr="002E12CA">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2E12CA">
        <w:rPr>
          <w:rFonts w:eastAsia="Times New Roman" w:cs="Arial"/>
          <w:color w:val="000000"/>
          <w:lang w:val="en-US"/>
        </w:rPr>
        <w:t>QT</w:t>
      </w:r>
      <w:r w:rsidRPr="002E12CA">
        <w:rPr>
          <w:rFonts w:eastAsia="Times New Roman" w:cs="Arial"/>
          <w:color w:val="000000"/>
          <w:lang w:val="ru-RU"/>
        </w:rPr>
        <w:t xml:space="preserve">, </w:t>
      </w:r>
      <w:r w:rsidRPr="002E12CA">
        <w:rPr>
          <w:rFonts w:eastAsia="Times New Roman" w:cs="Arial"/>
          <w:color w:val="000000"/>
          <w:lang w:val="en-US"/>
        </w:rPr>
        <w:t>PR</w:t>
      </w:r>
      <w:r w:rsidRPr="002E12CA">
        <w:rPr>
          <w:rFonts w:eastAsia="Times New Roman" w:cs="Arial"/>
          <w:color w:val="000000"/>
          <w:lang w:val="ru-RU"/>
        </w:rPr>
        <w:t xml:space="preserve">, </w:t>
      </w:r>
      <w:r w:rsidRPr="002E12CA">
        <w:rPr>
          <w:rFonts w:eastAsia="Times New Roman" w:cs="Arial"/>
          <w:color w:val="000000"/>
          <w:lang w:val="en-US"/>
        </w:rPr>
        <w:t>QRS</w:t>
      </w:r>
      <w:r w:rsidRPr="002E12CA">
        <w:rPr>
          <w:rFonts w:eastAsia="Times New Roman" w:cs="Arial"/>
          <w:color w:val="000000"/>
          <w:lang w:val="ru-RU"/>
        </w:rPr>
        <w:t xml:space="preserve"> </w:t>
      </w:r>
      <w:r w:rsidRPr="002E12CA">
        <w:rPr>
          <w:rFonts w:eastAsia="Times New Roman" w:cs="Arial"/>
          <w:color w:val="000000"/>
          <w:lang w:eastAsia="bg-BG"/>
        </w:rPr>
        <w:t xml:space="preserve">или </w:t>
      </w:r>
      <w:r w:rsidRPr="002E12CA">
        <w:rPr>
          <w:rFonts w:eastAsia="Times New Roman" w:cs="Arial"/>
          <w:color w:val="000000"/>
          <w:lang w:val="en-US"/>
        </w:rPr>
        <w:t>QTcB</w:t>
      </w:r>
      <w:r w:rsidRPr="002E12CA">
        <w:rPr>
          <w:rFonts w:eastAsia="Times New Roman" w:cs="Arial"/>
          <w:color w:val="000000"/>
          <w:lang w:val="ru-RU"/>
        </w:rPr>
        <w:t xml:space="preserve"> </w:t>
      </w:r>
      <w:r w:rsidRPr="002E12CA">
        <w:rPr>
          <w:rFonts w:eastAsia="Times New Roman" w:cs="Arial"/>
          <w:color w:val="000000"/>
          <w:lang w:eastAsia="bg-BG"/>
        </w:rPr>
        <w:t>измерванията между пациентите, лекуваните с дулоксетин и тези лекуваните с плацебо.</w:t>
      </w:r>
    </w:p>
    <w:p w14:paraId="7517918D" w14:textId="77777777" w:rsidR="002E12CA" w:rsidRPr="002E12CA" w:rsidRDefault="002E12CA" w:rsidP="002E12CA">
      <w:pPr>
        <w:spacing w:line="240" w:lineRule="auto"/>
        <w:rPr>
          <w:rFonts w:eastAsia="Times New Roman" w:cs="Arial"/>
          <w:i/>
          <w:iCs/>
          <w:color w:val="000000"/>
          <w:lang w:eastAsia="bg-BG"/>
        </w:rPr>
      </w:pPr>
    </w:p>
    <w:p w14:paraId="4391665D" w14:textId="33C266E3" w:rsidR="002E12CA" w:rsidRPr="002E12CA" w:rsidRDefault="002E12CA" w:rsidP="002E12CA">
      <w:pPr>
        <w:spacing w:line="240" w:lineRule="auto"/>
        <w:rPr>
          <w:rFonts w:eastAsia="Times New Roman" w:cs="Arial"/>
          <w:i/>
          <w:iCs/>
          <w:color w:val="000000"/>
          <w:lang w:eastAsia="bg-BG"/>
        </w:rPr>
      </w:pPr>
      <w:r w:rsidRPr="002E12CA">
        <w:rPr>
          <w:rFonts w:eastAsia="Times New Roman" w:cs="Arial"/>
          <w:i/>
          <w:iCs/>
          <w:color w:val="000000"/>
          <w:lang w:eastAsia="bg-BG"/>
        </w:rPr>
        <w:t>г.Педиатрична популация</w:t>
      </w:r>
    </w:p>
    <w:p w14:paraId="2F7F867D" w14:textId="77777777" w:rsidR="002E12CA" w:rsidRPr="002E12CA" w:rsidRDefault="002E12CA" w:rsidP="002E12CA">
      <w:pPr>
        <w:spacing w:line="240" w:lineRule="auto"/>
        <w:rPr>
          <w:rFonts w:eastAsia="Times New Roman" w:cs="Arial"/>
          <w:color w:val="000000"/>
          <w:lang w:eastAsia="bg-BG"/>
        </w:rPr>
      </w:pPr>
    </w:p>
    <w:p w14:paraId="3C10E2A4" w14:textId="43F1D4DA"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509 педиатрични пациенти на възраст от 7 до 17 години с голямо депресивно разстройство и 241 педиатрични пациенти на възраст от 7 до 17 години с генерализирано </w:t>
      </w:r>
      <w:r w:rsidRPr="002E12CA">
        <w:rPr>
          <w:rFonts w:eastAsia="Times New Roman" w:cs="Arial"/>
          <w:color w:val="000000"/>
          <w:lang w:eastAsia="bg-BG"/>
        </w:rPr>
        <w:lastRenderedPageBreak/>
        <w:t>тревожно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6ED373C9"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467 педиатрични пациенти, първоначално рандомизирани да получават дулоксетин в клинични проучвания, са имали средно намаление на теглото 0,1 </w:t>
      </w:r>
      <w:r w:rsidRPr="002E12CA">
        <w:rPr>
          <w:rFonts w:eastAsia="Times New Roman" w:cs="Arial"/>
          <w:color w:val="000000"/>
          <w:lang w:val="en-US"/>
        </w:rPr>
        <w:t>kg</w:t>
      </w:r>
      <w:r w:rsidRPr="002E12CA">
        <w:rPr>
          <w:rFonts w:eastAsia="Times New Roman" w:cs="Arial"/>
          <w:color w:val="000000"/>
          <w:lang w:val="ru-RU"/>
        </w:rPr>
        <w:t xml:space="preserve"> </w:t>
      </w:r>
      <w:r w:rsidRPr="002E12CA">
        <w:rPr>
          <w:rFonts w:eastAsia="Times New Roman" w:cs="Arial"/>
          <w:color w:val="000000"/>
          <w:lang w:eastAsia="bg-BG"/>
        </w:rPr>
        <w:t xml:space="preserve">към 10-та седмица в сравнение със средно увеличение 0,9 </w:t>
      </w:r>
      <w:r w:rsidRPr="002E12CA">
        <w:rPr>
          <w:rFonts w:eastAsia="Times New Roman" w:cs="Arial"/>
          <w:color w:val="000000"/>
          <w:lang w:val="en-US"/>
        </w:rPr>
        <w:t>kg</w:t>
      </w:r>
      <w:r w:rsidRPr="002E12CA">
        <w:rPr>
          <w:rFonts w:eastAsia="Times New Roman" w:cs="Arial"/>
          <w:color w:val="000000"/>
          <w:lang w:val="ru-RU"/>
        </w:rPr>
        <w:t xml:space="preserve"> </w:t>
      </w:r>
      <w:r w:rsidRPr="002E12CA">
        <w:rPr>
          <w:rFonts w:eastAsia="Times New Roman" w:cs="Arial"/>
          <w:color w:val="000000"/>
          <w:lang w:eastAsia="bg-BG"/>
        </w:rPr>
        <w:t>при 353 пациенти, получавали плацебо. След това, в течение на четири- до шест-месечен период на продължение, пациентите средно са имали склонност към възстановяване на очакваното си изходно тегло в перцентила на базата на популационните данни от връстниците, съответни по възраст и пол.</w:t>
      </w:r>
    </w:p>
    <w:p w14:paraId="410DC76D"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В проучвания с продължителност до 9 месеца при педиатрични пациенти, лекувани с дулоксетин, се наблюдава общо средно намаление от 1 % на перцентила за ръст (намаление от 2% при деца (7-11 години) и увеличение с 0,3% при юноши (12-17 години)) (вж. точка 4.4).</w:t>
      </w:r>
    </w:p>
    <w:p w14:paraId="0E7FB9A9" w14:textId="77777777" w:rsidR="002E12CA" w:rsidRPr="002E12CA" w:rsidRDefault="002E12CA" w:rsidP="002E12CA">
      <w:pPr>
        <w:spacing w:line="240" w:lineRule="auto"/>
        <w:rPr>
          <w:rFonts w:eastAsia="Times New Roman" w:cs="Arial"/>
          <w:i/>
          <w:iCs/>
          <w:color w:val="000000"/>
          <w:lang w:eastAsia="bg-BG"/>
        </w:rPr>
      </w:pPr>
    </w:p>
    <w:p w14:paraId="48A87F88" w14:textId="4A573457" w:rsidR="002E12CA" w:rsidRPr="002E12CA" w:rsidRDefault="002E12CA" w:rsidP="002E12CA">
      <w:pPr>
        <w:spacing w:line="240" w:lineRule="auto"/>
        <w:rPr>
          <w:rFonts w:eastAsia="Times New Roman" w:cs="Arial"/>
        </w:rPr>
      </w:pPr>
      <w:r w:rsidRPr="002E12CA">
        <w:rPr>
          <w:rFonts w:eastAsia="Times New Roman" w:cs="Arial"/>
          <w:i/>
          <w:iCs/>
          <w:color w:val="000000"/>
          <w:lang w:eastAsia="bg-BG"/>
        </w:rPr>
        <w:t>Съобщаване на подозирани нежелани реакции</w:t>
      </w:r>
    </w:p>
    <w:p w14:paraId="246399CF" w14:textId="6AF21045" w:rsidR="002E12CA" w:rsidRDefault="002E12CA" w:rsidP="002E12CA">
      <w:pPr>
        <w:rPr>
          <w:rFonts w:eastAsia="Times New Roman" w:cs="Arial"/>
          <w:color w:val="000000"/>
          <w:u w:val="single"/>
          <w:lang w:val="ru-RU"/>
        </w:rPr>
      </w:pPr>
      <w:r w:rsidRPr="002E12C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ул."Дамян Груев” № 8, 1303 София, тел.: +359 2 8903417, уебсайт: </w:t>
      </w:r>
      <w:r w:rsidRPr="002E12CA">
        <w:rPr>
          <w:rFonts w:eastAsia="Times New Roman" w:cs="Arial"/>
        </w:rPr>
        <w:fldChar w:fldCharType="begin"/>
      </w:r>
      <w:r w:rsidRPr="002E12CA">
        <w:rPr>
          <w:rFonts w:eastAsia="Times New Roman" w:cs="Arial"/>
        </w:rPr>
        <w:instrText xml:space="preserve"> HYPERLINK "http://www.bda.bg" </w:instrText>
      </w:r>
      <w:r w:rsidRPr="002E12CA">
        <w:rPr>
          <w:rFonts w:eastAsia="Times New Roman" w:cs="Arial"/>
        </w:rPr>
      </w:r>
      <w:r w:rsidRPr="002E12CA">
        <w:rPr>
          <w:rFonts w:eastAsia="Times New Roman" w:cs="Arial"/>
        </w:rPr>
        <w:fldChar w:fldCharType="separate"/>
      </w:r>
      <w:r w:rsidRPr="002E12CA">
        <w:rPr>
          <w:rFonts w:eastAsia="Times New Roman" w:cs="Arial"/>
          <w:color w:val="000000"/>
          <w:u w:val="single"/>
          <w:lang w:val="en-US"/>
        </w:rPr>
        <w:t>www</w:t>
      </w:r>
      <w:r w:rsidRPr="002E12CA">
        <w:rPr>
          <w:rFonts w:eastAsia="Times New Roman" w:cs="Arial"/>
          <w:color w:val="000000"/>
          <w:u w:val="single"/>
          <w:lang w:val="ru-RU"/>
        </w:rPr>
        <w:t>.</w:t>
      </w:r>
      <w:proofErr w:type="spellStart"/>
      <w:r w:rsidRPr="002E12CA">
        <w:rPr>
          <w:rFonts w:eastAsia="Times New Roman" w:cs="Arial"/>
          <w:color w:val="000000"/>
          <w:u w:val="single"/>
          <w:lang w:val="en-US"/>
        </w:rPr>
        <w:t>bda</w:t>
      </w:r>
      <w:proofErr w:type="spellEnd"/>
      <w:r w:rsidRPr="002E12CA">
        <w:rPr>
          <w:rFonts w:eastAsia="Times New Roman" w:cs="Arial"/>
          <w:color w:val="000000"/>
          <w:u w:val="single"/>
          <w:lang w:val="ru-RU"/>
        </w:rPr>
        <w:t>.</w:t>
      </w:r>
      <w:proofErr w:type="spellStart"/>
      <w:r w:rsidRPr="002E12CA">
        <w:rPr>
          <w:rFonts w:eastAsia="Times New Roman" w:cs="Arial"/>
          <w:color w:val="000000"/>
          <w:u w:val="single"/>
          <w:lang w:val="en-US"/>
        </w:rPr>
        <w:t>bg</w:t>
      </w:r>
      <w:proofErr w:type="spellEnd"/>
      <w:r w:rsidRPr="002E12CA">
        <w:rPr>
          <w:rFonts w:eastAsia="Times New Roman" w:cs="Arial"/>
        </w:rPr>
        <w:fldChar w:fldCharType="end"/>
      </w:r>
      <w:r w:rsidRPr="002E12CA">
        <w:rPr>
          <w:rFonts w:eastAsia="Times New Roman" w:cs="Arial"/>
          <w:color w:val="000000"/>
          <w:u w:val="single"/>
          <w:lang w:val="ru-RU"/>
        </w:rPr>
        <w:t>.</w:t>
      </w:r>
    </w:p>
    <w:p w14:paraId="63670FAA" w14:textId="77777777" w:rsidR="002E12CA" w:rsidRPr="002E12CA" w:rsidRDefault="002E12CA" w:rsidP="002E12CA">
      <w:pPr>
        <w:rPr>
          <w:rFonts w:cs="Arial"/>
          <w:lang w:val="ru-RU"/>
        </w:rPr>
      </w:pPr>
    </w:p>
    <w:p w14:paraId="5A87DBA3" w14:textId="03D0DC7B" w:rsidR="007122AD" w:rsidRDefault="002C50EE" w:rsidP="00936AD0">
      <w:pPr>
        <w:pStyle w:val="Heading2"/>
      </w:pPr>
      <w:r>
        <w:t>4.9. Предозиране</w:t>
      </w:r>
    </w:p>
    <w:p w14:paraId="7EA7077D" w14:textId="68D73813" w:rsidR="002E12CA" w:rsidRDefault="002E12CA" w:rsidP="002E12CA"/>
    <w:p w14:paraId="27F18950"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 xml:space="preserve">Съобщавани </w:t>
      </w:r>
      <w:r w:rsidRPr="002E12CA">
        <w:rPr>
          <w:rFonts w:eastAsia="Times New Roman" w:cs="Arial"/>
          <w:i/>
          <w:iCs/>
          <w:color w:val="000000"/>
          <w:szCs w:val="20"/>
          <w:lang w:eastAsia="bg-BG"/>
        </w:rPr>
        <w:t>са случая</w:t>
      </w:r>
      <w:r w:rsidRPr="002E12CA">
        <w:rPr>
          <w:rFonts w:eastAsia="Times New Roman" w:cs="Arial"/>
          <w:color w:val="000000"/>
          <w:szCs w:val="20"/>
          <w:lang w:eastAsia="bg-BG"/>
        </w:rPr>
        <w:t xml:space="preserve"> на предозиране, самостоятелно или в комбинация с други лекарствени продукти, с дози дулоксетин от 5 400 </w:t>
      </w:r>
      <w:r w:rsidRPr="002E12CA">
        <w:rPr>
          <w:rFonts w:eastAsia="Times New Roman" w:cs="Arial"/>
          <w:color w:val="000000"/>
          <w:szCs w:val="20"/>
          <w:lang w:val="en-US"/>
        </w:rPr>
        <w:t>mg</w:t>
      </w:r>
      <w:r w:rsidRPr="002E12CA">
        <w:rPr>
          <w:rFonts w:eastAsia="Times New Roman" w:cs="Arial"/>
          <w:color w:val="000000"/>
          <w:szCs w:val="20"/>
          <w:lang w:val="ru-RU"/>
        </w:rPr>
        <w:t xml:space="preserve">. </w:t>
      </w:r>
      <w:r w:rsidRPr="002E12CA">
        <w:rPr>
          <w:rFonts w:eastAsia="Times New Roman" w:cs="Arial"/>
          <w:color w:val="000000"/>
          <w:szCs w:val="20"/>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2E12CA">
        <w:rPr>
          <w:rFonts w:eastAsia="Times New Roman" w:cs="Arial"/>
          <w:color w:val="000000"/>
          <w:szCs w:val="20"/>
          <w:lang w:val="en-US"/>
        </w:rPr>
        <w:t>mg</w:t>
      </w:r>
      <w:r w:rsidRPr="002E12CA">
        <w:rPr>
          <w:rFonts w:eastAsia="Times New Roman" w:cs="Arial"/>
          <w:color w:val="000000"/>
          <w:szCs w:val="20"/>
          <w:lang w:val="ru-RU"/>
        </w:rPr>
        <w:t xml:space="preserve">. </w:t>
      </w:r>
      <w:r w:rsidRPr="002E12CA">
        <w:rPr>
          <w:rFonts w:eastAsia="Times New Roman" w:cs="Arial"/>
          <w:color w:val="000000"/>
          <w:szCs w:val="20"/>
          <w:lang w:eastAsia="bg-BG"/>
        </w:rPr>
        <w:t>Белезите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тахикардая.</w:t>
      </w:r>
    </w:p>
    <w:p w14:paraId="05508F3A" w14:textId="77777777" w:rsidR="002E12CA" w:rsidRPr="002E12CA" w:rsidRDefault="002E12CA" w:rsidP="002E12CA">
      <w:pPr>
        <w:spacing w:line="240" w:lineRule="auto"/>
        <w:rPr>
          <w:rFonts w:eastAsia="Times New Roman" w:cs="Arial"/>
          <w:color w:val="000000"/>
          <w:szCs w:val="20"/>
          <w:lang w:eastAsia="bg-BG"/>
        </w:rPr>
      </w:pPr>
    </w:p>
    <w:p w14:paraId="782D7D41" w14:textId="042B1EFD"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 показатели, заедно с подходящи симптоматични и поддържащи мерки. Стомашна промивка може да е показана, ако се направи възможно най-скоро след поглъщането или при пациенти със симптоми. Активният въглен може да е от полза за ограничаване на резорбцията. Дулоксетин има голям обем на разпределение и форсираната диуреза, хемоперфузията и обменната перфузия е малко вероятно да са от полза.</w:t>
      </w:r>
    </w:p>
    <w:p w14:paraId="238F1FE0" w14:textId="77777777" w:rsidR="002E12CA" w:rsidRPr="002E12CA" w:rsidRDefault="002E12CA" w:rsidP="002E12CA"/>
    <w:p w14:paraId="02081B24" w14:textId="1F46E296" w:rsidR="00395555" w:rsidRPr="00395555" w:rsidRDefault="002C50EE" w:rsidP="008A6AF2">
      <w:pPr>
        <w:pStyle w:val="Heading1"/>
      </w:pPr>
      <w:r>
        <w:t>5. ФАРМАКОЛОГИЧНИ СВОЙСТВА</w:t>
      </w:r>
    </w:p>
    <w:p w14:paraId="7DE36AC8" w14:textId="7712E0A2" w:rsidR="00B6672E" w:rsidRDefault="002C50EE" w:rsidP="00936AD0">
      <w:pPr>
        <w:pStyle w:val="Heading2"/>
      </w:pPr>
      <w:r>
        <w:t>5.1. Фармакодинамични свойства</w:t>
      </w:r>
    </w:p>
    <w:p w14:paraId="2A409F6A" w14:textId="0C306307" w:rsidR="002E12CA" w:rsidRDefault="002E12CA" w:rsidP="002E12CA"/>
    <w:p w14:paraId="56B6BE7E"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Фармакотерапевтична група: Други антидепресанти. АТС код: </w:t>
      </w:r>
      <w:r w:rsidRPr="00ED3DF9">
        <w:rPr>
          <w:rFonts w:eastAsia="Times New Roman" w:cs="Arial"/>
          <w:color w:val="000000"/>
          <w:szCs w:val="20"/>
          <w:lang w:val="en-US"/>
        </w:rPr>
        <w:t>N</w:t>
      </w:r>
      <w:r w:rsidRPr="00ED3DF9">
        <w:rPr>
          <w:rFonts w:eastAsia="Times New Roman" w:cs="Arial"/>
          <w:color w:val="000000"/>
          <w:szCs w:val="20"/>
          <w:lang w:val="ru-RU"/>
        </w:rPr>
        <w:t>06</w:t>
      </w:r>
      <w:r w:rsidRPr="00ED3DF9">
        <w:rPr>
          <w:rFonts w:eastAsia="Times New Roman" w:cs="Arial"/>
          <w:color w:val="000000"/>
          <w:szCs w:val="20"/>
          <w:lang w:val="en-US"/>
        </w:rPr>
        <w:t>AX</w:t>
      </w:r>
      <w:r w:rsidRPr="00ED3DF9">
        <w:rPr>
          <w:rFonts w:eastAsia="Times New Roman" w:cs="Arial"/>
          <w:color w:val="000000"/>
          <w:szCs w:val="20"/>
          <w:lang w:val="ru-RU"/>
        </w:rPr>
        <w:t>21.</w:t>
      </w:r>
    </w:p>
    <w:p w14:paraId="51E2699F" w14:textId="77777777" w:rsidR="002E12CA" w:rsidRPr="00ED3DF9" w:rsidRDefault="002E12CA" w:rsidP="002E12CA">
      <w:pPr>
        <w:spacing w:line="240" w:lineRule="auto"/>
        <w:rPr>
          <w:rFonts w:eastAsia="Times New Roman" w:cs="Arial"/>
          <w:color w:val="000000"/>
          <w:szCs w:val="20"/>
          <w:u w:val="single"/>
          <w:lang w:eastAsia="bg-BG"/>
        </w:rPr>
      </w:pPr>
    </w:p>
    <w:p w14:paraId="3BB6D120" w14:textId="3DBE8ADF"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Механизъм на действие</w:t>
      </w:r>
    </w:p>
    <w:p w14:paraId="6F817AE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 xml:space="preserve">Дулоксетин е комбиниран инхибитор на обратното захващане на серотонина </w:t>
      </w:r>
      <w:r w:rsidRPr="00ED3DF9">
        <w:rPr>
          <w:rFonts w:eastAsia="Times New Roman" w:cs="Arial"/>
          <w:i/>
          <w:iCs/>
          <w:color w:val="000000"/>
          <w:szCs w:val="20"/>
          <w:lang w:eastAsia="bg-BG"/>
        </w:rPr>
        <w:t xml:space="preserve">(5-НТ) и </w:t>
      </w:r>
      <w:r w:rsidRPr="00ED3DF9">
        <w:rPr>
          <w:rFonts w:eastAsia="Times New Roman" w:cs="Arial"/>
          <w:color w:val="000000"/>
          <w:szCs w:val="20"/>
          <w:lang w:eastAsia="bg-BG"/>
        </w:rPr>
        <w:t>норадреналина (</w:t>
      </w:r>
      <w:r w:rsidRPr="00ED3DF9">
        <w:rPr>
          <w:rFonts w:eastAsia="Times New Roman" w:cs="Arial"/>
          <w:color w:val="000000"/>
          <w:szCs w:val="20"/>
          <w:lang w:val="en-US"/>
        </w:rPr>
        <w:t>N</w:t>
      </w:r>
      <w:r w:rsidRPr="00ED3DF9">
        <w:rPr>
          <w:rFonts w:eastAsia="Times New Roman" w:cs="Arial"/>
          <w:color w:val="000000"/>
          <w:szCs w:val="20"/>
          <w:lang w:eastAsia="bg-BG"/>
        </w:rPr>
        <w:t>А). Той слабо инхибира обратното захващане на допамина, без значим афинитет към хистаминергичните, допаминергичните, холинергичните и адренергичните рецептори. Дулоксетин доза-зависимо повишава екстрацелуларните нива на серотонина и норадреналина в различни мозъчни области при животни.</w:t>
      </w:r>
    </w:p>
    <w:p w14:paraId="35598DFE" w14:textId="77777777" w:rsidR="002E12CA" w:rsidRPr="00ED3DF9" w:rsidRDefault="002E12CA" w:rsidP="002E12CA">
      <w:pPr>
        <w:spacing w:line="240" w:lineRule="auto"/>
        <w:rPr>
          <w:rFonts w:eastAsia="Times New Roman" w:cs="Arial"/>
          <w:color w:val="000000"/>
          <w:szCs w:val="20"/>
          <w:u w:val="single"/>
          <w:lang w:eastAsia="bg-BG"/>
        </w:rPr>
      </w:pPr>
    </w:p>
    <w:p w14:paraId="55561982" w14:textId="75FAE614"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Фармакодинамични ефекти</w:t>
      </w:r>
    </w:p>
    <w:p w14:paraId="631D85A3"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3F10DD12" w14:textId="77777777" w:rsidR="002E12CA" w:rsidRPr="00ED3DF9" w:rsidRDefault="002E12CA" w:rsidP="002E12CA">
      <w:pPr>
        <w:spacing w:line="240" w:lineRule="auto"/>
        <w:rPr>
          <w:rFonts w:eastAsia="Times New Roman" w:cs="Arial"/>
          <w:color w:val="000000"/>
          <w:szCs w:val="20"/>
          <w:u w:val="single"/>
          <w:lang w:eastAsia="bg-BG"/>
        </w:rPr>
      </w:pPr>
    </w:p>
    <w:p w14:paraId="7E9CB041" w14:textId="47A92583"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Клинична ефикасност и безопасност</w:t>
      </w:r>
    </w:p>
    <w:p w14:paraId="165A99A8" w14:textId="77777777" w:rsidR="002E12CA" w:rsidRPr="00ED3DF9" w:rsidRDefault="002E12CA" w:rsidP="002E12CA">
      <w:pPr>
        <w:spacing w:line="240" w:lineRule="auto"/>
        <w:rPr>
          <w:rFonts w:eastAsia="Times New Roman" w:cs="Arial"/>
          <w:i/>
          <w:iCs/>
          <w:color w:val="000000"/>
          <w:szCs w:val="20"/>
          <w:lang w:eastAsia="bg-BG"/>
        </w:rPr>
      </w:pPr>
    </w:p>
    <w:p w14:paraId="5C2298FC" w14:textId="04FDC426"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Голямо депресивно разстройство</w:t>
      </w:r>
    </w:p>
    <w:p w14:paraId="3653E0A0"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е проучван в клинични програми, включващи 3 158 пациенти (експозиция от 1 285 пациенто-години) отговарящи на </w:t>
      </w:r>
      <w:r w:rsidRPr="00ED3DF9">
        <w:rPr>
          <w:rFonts w:eastAsia="Times New Roman" w:cs="Arial"/>
          <w:color w:val="000000"/>
          <w:szCs w:val="20"/>
          <w:lang w:val="en-US"/>
        </w:rPr>
        <w:t>DMS</w:t>
      </w:r>
      <w:r w:rsidRPr="00ED3DF9">
        <w:rPr>
          <w:rFonts w:eastAsia="Times New Roman" w:cs="Arial"/>
          <w:color w:val="000000"/>
          <w:szCs w:val="20"/>
          <w:lang w:val="ru-RU"/>
        </w:rPr>
        <w:t>-</w:t>
      </w:r>
      <w:r w:rsidRPr="00ED3DF9">
        <w:rPr>
          <w:rFonts w:eastAsia="Times New Roman" w:cs="Arial"/>
          <w:color w:val="000000"/>
          <w:szCs w:val="20"/>
          <w:lang w:val="en-US"/>
        </w:rPr>
        <w:t>IV</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критериите за голяма депресия. Ефикасността на дулоксетин при препоръчителната доза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е демонстрирана при три от трите рандомизирани, двойно-слепи, плацебо контролирани, с фиксирана доза проучвания в остра фаза </w:t>
      </w:r>
      <w:r w:rsidRPr="00ED3DF9">
        <w:rPr>
          <w:rFonts w:eastAsia="Times New Roman" w:cs="Arial"/>
          <w:i/>
          <w:iCs/>
          <w:color w:val="000000"/>
          <w:szCs w:val="20"/>
          <w:lang w:eastAsia="bg-BG"/>
        </w:rPr>
        <w:t>при възрастни амбулаторни пациенти с голямо</w:t>
      </w:r>
      <w:r w:rsidRPr="00ED3DF9">
        <w:rPr>
          <w:rFonts w:eastAsia="Times New Roman" w:cs="Arial"/>
          <w:color w:val="000000"/>
          <w:szCs w:val="20"/>
          <w:lang w:eastAsia="bg-BG"/>
        </w:rPr>
        <w:t xml:space="preserve"> депресивно разстройство. Общо, ефикасността на дулоксетин е демонстрирана при дневни дози между 60 </w:t>
      </w:r>
      <w:r w:rsidRPr="00ED3DF9">
        <w:rPr>
          <w:rFonts w:eastAsia="Times New Roman" w:cs="Arial"/>
          <w:i/>
          <w:iCs/>
          <w:color w:val="000000"/>
          <w:szCs w:val="20"/>
          <w:lang w:eastAsia="bg-BG"/>
        </w:rPr>
        <w:t>и</w:t>
      </w:r>
      <w:r w:rsidRPr="00ED3DF9">
        <w:rPr>
          <w:rFonts w:eastAsia="Times New Roman" w:cs="Arial"/>
          <w:color w:val="000000"/>
          <w:szCs w:val="20"/>
          <w:lang w:eastAsia="bg-BG"/>
        </w:rPr>
        <w:t xml:space="preserve">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голямо депресивно разстройство.</w:t>
      </w:r>
    </w:p>
    <w:p w14:paraId="4ADD353D"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е показал статистическо предимство спрямо плацебо, измерено чрез подобрение на общия скор по 17 точковата скала на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за оценка на депресията </w:t>
      </w:r>
      <w:r w:rsidRPr="00ED3DF9">
        <w:rPr>
          <w:rFonts w:eastAsia="Times New Roman" w:cs="Arial"/>
          <w:color w:val="000000"/>
          <w:szCs w:val="20"/>
          <w:lang w:val="ru-RU"/>
        </w:rPr>
        <w:t>(</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Depression</w:t>
      </w:r>
      <w:r w:rsidRPr="00ED3DF9">
        <w:rPr>
          <w:rFonts w:eastAsia="Times New Roman" w:cs="Arial"/>
          <w:color w:val="000000"/>
          <w:szCs w:val="20"/>
          <w:u w:val="single"/>
          <w:lang w:val="ru-RU"/>
        </w:rPr>
        <w:t xml:space="preserve"> </w:t>
      </w:r>
      <w:r w:rsidRPr="00ED3DF9">
        <w:rPr>
          <w:rFonts w:eastAsia="Times New Roman" w:cs="Arial"/>
          <w:color w:val="000000"/>
          <w:szCs w:val="20"/>
          <w:lang w:val="en-US"/>
        </w:rPr>
        <w:t>Rating</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val="en-US"/>
        </w:rPr>
        <w:t>HAM</w:t>
      </w:r>
      <w:r w:rsidRPr="00ED3DF9">
        <w:rPr>
          <w:rFonts w:eastAsia="Times New Roman" w:cs="Arial"/>
          <w:color w:val="000000"/>
          <w:szCs w:val="20"/>
          <w:lang w:val="ru-RU"/>
        </w:rPr>
        <w:t>-</w:t>
      </w:r>
      <w:r w:rsidRPr="00ED3DF9">
        <w:rPr>
          <w:rFonts w:eastAsia="Times New Roman" w:cs="Arial"/>
          <w:color w:val="000000"/>
          <w:szCs w:val="20"/>
          <w:lang w:val="en-US"/>
        </w:rPr>
        <w:t>D</w:t>
      </w:r>
      <w:r w:rsidRPr="00ED3DF9">
        <w:rPr>
          <w:rFonts w:eastAsia="Times New Roman" w:cs="Arial"/>
          <w:color w:val="000000"/>
          <w:szCs w:val="20"/>
          <w:lang w:val="ru-RU"/>
        </w:rPr>
        <w:t xml:space="preserve">) </w:t>
      </w:r>
      <w:r w:rsidRPr="00ED3DF9">
        <w:rPr>
          <w:rFonts w:eastAsia="Times New Roman" w:cs="Arial"/>
          <w:color w:val="000000"/>
          <w:szCs w:val="20"/>
          <w:lang w:eastAsia="bg-BG"/>
        </w:rPr>
        <w:t>(включително и на емоционалните и на соматичните</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пациентите, включени в пилотни клинични проучвания са били с тежка депресия (изходно ниво </w:t>
      </w:r>
      <w:r w:rsidRPr="00ED3DF9">
        <w:rPr>
          <w:rFonts w:eastAsia="Times New Roman" w:cs="Arial"/>
          <w:color w:val="000000"/>
          <w:szCs w:val="20"/>
          <w:lang w:val="en-US"/>
        </w:rPr>
        <w:t>HAM</w:t>
      </w:r>
      <w:r w:rsidRPr="00ED3DF9">
        <w:rPr>
          <w:rFonts w:eastAsia="Times New Roman" w:cs="Arial"/>
          <w:color w:val="000000"/>
          <w:szCs w:val="20"/>
          <w:lang w:val="ru-RU"/>
        </w:rPr>
        <w:t>-</w:t>
      </w:r>
      <w:r w:rsidRPr="00ED3DF9">
        <w:rPr>
          <w:rFonts w:eastAsia="Times New Roman" w:cs="Arial"/>
          <w:color w:val="000000"/>
          <w:szCs w:val="20"/>
          <w:lang w:val="en-US"/>
        </w:rPr>
        <w:t>D</w:t>
      </w:r>
      <w:r w:rsidRPr="00ED3DF9">
        <w:rPr>
          <w:rFonts w:eastAsia="Times New Roman" w:cs="Arial"/>
          <w:color w:val="000000"/>
          <w:szCs w:val="20"/>
          <w:lang w:val="ru-RU"/>
        </w:rPr>
        <w:t>&gt;25)</w:t>
      </w:r>
    </w:p>
    <w:p w14:paraId="23503A3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В едно проучване за предотвратяване на рецидив, пациентите, повлияли се от 12 седмично</w:t>
      </w:r>
    </w:p>
    <w:p w14:paraId="1A6862D0" w14:textId="77777777" w:rsidR="002E12CA" w:rsidRPr="00ED3DF9" w:rsidRDefault="002E12CA" w:rsidP="002E12CA">
      <w:pPr>
        <w:rPr>
          <w:rFonts w:eastAsia="Times New Roman" w:cs="Arial"/>
          <w:sz w:val="28"/>
          <w:szCs w:val="24"/>
        </w:rPr>
      </w:pPr>
      <w:r w:rsidRPr="00ED3DF9">
        <w:rPr>
          <w:rFonts w:eastAsia="Times New Roman" w:cs="Arial"/>
          <w:color w:val="000000"/>
          <w:szCs w:val="20"/>
          <w:lang w:eastAsia="bg-BG"/>
        </w:rPr>
        <w:t xml:space="preserve">открито лечение в острата фаза с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са рандомизирани или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или на плацебо за още 6 месеца. Прилагането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показа статистическо значимо предимство в сравнение с плацебо (р=0,004) по отношение на показателя първичен резултат, профилактиката на рецидив на депресия, измерен чрез времето до поява на рецидив. Честотата на рецидивите по време на 6- месечния двойно-сляп период на проследяване е 17% и 29%, съответно за дулоксетин и за плацебо.</w:t>
      </w:r>
    </w:p>
    <w:p w14:paraId="31A38926"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По време на 52-седмичното плацебо контролирано, двойно-сляпо лечение лекуваните с дулоксетин пациенти с рецидивиращо голямо депресивно разстройство имат значително по- дълъг безсимптомен период (р&lt;0,001) в сравнение с пациентите, рандомизирани на плацебо. Всички пациенти преди това са били повлияни от лечение с дулоксетин по време на открито лечение с дулоксетин (28 до 34 седмици) при доза от 60 до 120 </w:t>
      </w:r>
      <w:r w:rsidRPr="00ED3DF9">
        <w:rPr>
          <w:rFonts w:eastAsia="Times New Roman" w:cs="Arial"/>
          <w:color w:val="000000"/>
          <w:szCs w:val="20"/>
          <w:lang w:val="en-US"/>
        </w:rPr>
        <w:t>mg</w:t>
      </w:r>
      <w:r w:rsidRPr="00ED3DF9">
        <w:rPr>
          <w:rFonts w:eastAsia="Times New Roman" w:cs="Arial"/>
          <w:color w:val="000000"/>
          <w:szCs w:val="20"/>
          <w:lang w:eastAsia="bg-BG"/>
        </w:rPr>
        <w:t>/ден. По време на 52- седмичната плацебо контролирана двойно-сляпа фаза на лечение при 14,4% от пациентите, лекувани с дулоксетин, и 33,1 % от пациентите, третирани с плацебо, симптомите на депресия са се появили отново (р&lt;0,001).</w:t>
      </w:r>
    </w:p>
    <w:p w14:paraId="69D14A7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 xml:space="preserve">Ефектът от прилагането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с депресия в старческа възраст (&gt;65 години) е оценен специфично в проучване, показващо статистически значима разлика в намаляването на скора по </w:t>
      </w:r>
      <w:r w:rsidRPr="00ED3DF9">
        <w:rPr>
          <w:rFonts w:eastAsia="Times New Roman" w:cs="Arial"/>
          <w:color w:val="000000"/>
          <w:szCs w:val="20"/>
          <w:lang w:val="en-US"/>
        </w:rPr>
        <w:t>HAMD</w:t>
      </w:r>
      <w:r w:rsidRPr="00ED3DF9">
        <w:rPr>
          <w:rFonts w:eastAsia="Times New Roman" w:cs="Arial"/>
          <w:color w:val="000000"/>
          <w:szCs w:val="20"/>
          <w:lang w:val="ru-RU"/>
        </w:rPr>
        <w:t xml:space="preserve">17 </w:t>
      </w:r>
      <w:r w:rsidRPr="00ED3DF9">
        <w:rPr>
          <w:rFonts w:eastAsia="Times New Roman" w:cs="Arial"/>
          <w:color w:val="000000"/>
          <w:szCs w:val="20"/>
          <w:lang w:eastAsia="bg-BG"/>
        </w:rPr>
        <w:t xml:space="preserve">за пациентите, лекувани с дулоксетин, в сравнение с плацебо. Поносимостта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в старческа възраст изложени на максималната доза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дневно) са ограничени и затова се препоръчва повишено внимание при лечение на тази популация.</w:t>
      </w:r>
    </w:p>
    <w:p w14:paraId="506EDE2F" w14:textId="77777777" w:rsidR="002E12CA" w:rsidRPr="00ED3DF9" w:rsidRDefault="002E12CA" w:rsidP="002E12CA">
      <w:pPr>
        <w:spacing w:line="240" w:lineRule="auto"/>
        <w:rPr>
          <w:rFonts w:eastAsia="Times New Roman" w:cs="Arial"/>
          <w:i/>
          <w:iCs/>
          <w:color w:val="000000"/>
          <w:szCs w:val="20"/>
          <w:lang w:eastAsia="bg-BG"/>
        </w:rPr>
      </w:pPr>
    </w:p>
    <w:p w14:paraId="1D23E638" w14:textId="398F7B02"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Генерализирано тревожно разстройство</w:t>
      </w:r>
    </w:p>
    <w:p w14:paraId="0543C46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показа статистически значимо предимство спрямо плацебо при пет от пет проучвания, включващи четири рандомизирани, двойно-слепи, плацебо контролирани проучвания в остра фаза и проучване за профилактика на рецидив при възрастни пациенти с генерализирано тревожно разстройство.</w:t>
      </w:r>
    </w:p>
    <w:p w14:paraId="13D20633"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показа статистически значимо предимство спрямо плацебо, измерено чрез подобрение на общия скор по скалата за тревожност на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Anxiety</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НАМ-А) и скора за общо функционално разстройство по скалата за инвалидност на </w:t>
      </w:r>
      <w:r w:rsidRPr="00ED3DF9">
        <w:rPr>
          <w:rFonts w:eastAsia="Times New Roman" w:cs="Arial"/>
          <w:color w:val="000000"/>
          <w:szCs w:val="20"/>
          <w:lang w:val="en-US"/>
        </w:rPr>
        <w:t>Sheehan</w:t>
      </w:r>
      <w:r w:rsidRPr="00ED3DF9">
        <w:rPr>
          <w:rFonts w:eastAsia="Times New Roman" w:cs="Arial"/>
          <w:color w:val="000000"/>
          <w:szCs w:val="20"/>
          <w:lang w:val="ru-RU"/>
        </w:rPr>
        <w:t xml:space="preserve"> (</w:t>
      </w:r>
      <w:r w:rsidRPr="00ED3DF9">
        <w:rPr>
          <w:rFonts w:eastAsia="Times New Roman" w:cs="Arial"/>
          <w:color w:val="000000"/>
          <w:szCs w:val="20"/>
          <w:lang w:val="en-US"/>
        </w:rPr>
        <w:t>Sheehan</w:t>
      </w:r>
      <w:r w:rsidRPr="00ED3DF9">
        <w:rPr>
          <w:rFonts w:eastAsia="Times New Roman" w:cs="Arial"/>
          <w:color w:val="000000"/>
          <w:szCs w:val="20"/>
          <w:lang w:val="ru-RU"/>
        </w:rPr>
        <w:t xml:space="preserve"> </w:t>
      </w:r>
      <w:r w:rsidRPr="00ED3DF9">
        <w:rPr>
          <w:rFonts w:eastAsia="Times New Roman" w:cs="Arial"/>
          <w:color w:val="000000"/>
          <w:szCs w:val="20"/>
          <w:lang w:val="en-US"/>
        </w:rPr>
        <w:t>Disability</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val="en-US"/>
        </w:rPr>
        <w:t>SDS</w:t>
      </w:r>
      <w:r w:rsidRPr="00ED3DF9">
        <w:rPr>
          <w:rFonts w:eastAsia="Times New Roman" w:cs="Arial"/>
          <w:color w:val="000000"/>
          <w:szCs w:val="20"/>
          <w:lang w:val="ru-RU"/>
        </w:rPr>
        <w:t xml:space="preserve">). </w:t>
      </w:r>
      <w:r w:rsidRPr="00ED3DF9">
        <w:rPr>
          <w:rFonts w:eastAsia="Times New Roman" w:cs="Arial"/>
          <w:color w:val="000000"/>
          <w:szCs w:val="2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на подобрението на общия скор по НАМ-А.</w:t>
      </w:r>
    </w:p>
    <w:p w14:paraId="7B448C2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В едно проучване за профилактика на рецидив пациентите, повлияли се от 6-месечно открито лечение в острата фаза с дулоксетин, са рандомизирани да получават или дулоксетин, или плацебо за още 6 месеца.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до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показва статистически значимо предимство в сравнение с плацебо (р&lt; 0,001) при профилактиката на рецидив, измерено чрез времето до поява на рецидив. Честотата на рецидив през 6-месечния период на двойно-сляпо проследяване е 14% за дулоксетин и 42% за плацебо.</w:t>
      </w:r>
    </w:p>
    <w:p w14:paraId="0FC15B6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Ефикасността на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скор по НАМ-А за пациентите, лекувани с дулоксетин, в сравнение с пациентите, получаващи плацебо.</w:t>
      </w:r>
    </w:p>
    <w:p w14:paraId="07DD6BB2"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Ефикасността и безопасността на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дневно), са ограничени и следователно се препоръчва повишено внимание при използването на тази доза при популацията в старческа възраст.</w:t>
      </w:r>
    </w:p>
    <w:p w14:paraId="0656DA27" w14:textId="77777777" w:rsidR="002E12CA" w:rsidRPr="00ED3DF9" w:rsidRDefault="002E12CA" w:rsidP="002E12CA">
      <w:pPr>
        <w:spacing w:line="240" w:lineRule="auto"/>
        <w:rPr>
          <w:rFonts w:eastAsia="Times New Roman" w:cs="Arial"/>
          <w:i/>
          <w:iCs/>
          <w:color w:val="000000"/>
          <w:szCs w:val="20"/>
          <w:lang w:eastAsia="bg-BG"/>
        </w:rPr>
      </w:pPr>
    </w:p>
    <w:p w14:paraId="5479523F" w14:textId="484E7E7A"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Диабетна периферна невропатна болка</w:t>
      </w:r>
    </w:p>
    <w:p w14:paraId="4D5518C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w:t>
      </w:r>
    </w:p>
    <w:p w14:paraId="1875C07D" w14:textId="77777777" w:rsidR="002E12CA" w:rsidRPr="00ED3DF9" w:rsidRDefault="002E12CA" w:rsidP="002E12CA">
      <w:pPr>
        <w:rPr>
          <w:rFonts w:eastAsia="Times New Roman" w:cs="Arial"/>
          <w:sz w:val="28"/>
          <w:szCs w:val="24"/>
        </w:rPr>
      </w:pPr>
      <w:r w:rsidRPr="00ED3DF9">
        <w:rPr>
          <w:rFonts w:eastAsia="Times New Roman" w:cs="Arial"/>
          <w:color w:val="000000"/>
          <w:szCs w:val="20"/>
          <w:lang w:eastAsia="bg-BG"/>
        </w:rPr>
        <w:t>проучвания при възрастни (22- до 88-годишни) с диабетна невропатна болка в продължение</w:t>
      </w:r>
      <w:r w:rsidRPr="00ED3DF9">
        <w:rPr>
          <w:rFonts w:eastAsia="Times New Roman" w:cs="Arial"/>
          <w:color w:val="000000"/>
          <w:szCs w:val="20"/>
          <w:vertAlign w:val="subscript"/>
          <w:lang w:eastAsia="bg-BG"/>
        </w:rPr>
        <w:t xml:space="preserve"> </w:t>
      </w:r>
      <w:r w:rsidRPr="00ED3DF9">
        <w:rPr>
          <w:rFonts w:eastAsia="Times New Roman" w:cs="Arial"/>
          <w:color w:val="000000"/>
          <w:szCs w:val="20"/>
          <w:lang w:eastAsia="bg-BG"/>
        </w:rPr>
        <w:t xml:space="preserve">поне на 6 месеца. Пациентите, отговарящи на критериите за голямо депресивно разстройство, са изключени от тези проучвания. Първичният показател за изхода на проучването е средната седмична стойност на 24-часовото средно ниво на болката, отразявана в дневник, попълван ежедневно от пациентите, върху 11-точковата скала на </w:t>
      </w:r>
      <w:r w:rsidRPr="00ED3DF9">
        <w:rPr>
          <w:rFonts w:eastAsia="Times New Roman" w:cs="Arial"/>
          <w:color w:val="000000"/>
          <w:szCs w:val="20"/>
          <w:lang w:val="en-US"/>
        </w:rPr>
        <w:t>Likert</w:t>
      </w:r>
    </w:p>
    <w:p w14:paraId="786632C7"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И в двете проучвания,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и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два пъти дневно значително намалява болката, в сравнение с плацебо. Ефектът при някои пациенти е </w:t>
      </w:r>
      <w:r w:rsidRPr="00ED3DF9">
        <w:rPr>
          <w:rFonts w:eastAsia="Times New Roman" w:cs="Arial"/>
          <w:color w:val="000000"/>
          <w:szCs w:val="20"/>
          <w:lang w:eastAsia="bg-BG"/>
        </w:rPr>
        <w:lastRenderedPageBreak/>
        <w:t>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намаление на болката при приблизително 65% от лекуваните с дулоксетин пациенти срещу 40% за плацебо. Съответните цифри за поне 50% намаление на болката са съответно 50% и 26%. Степента на клиничен отговор (50% или повече подобрение на болката) е анализирана според това дали пациентът е имал сомнолентност по време на лечението или не. За пациентите, които не са имали сомнолентност, клиничен отговор е наблюдаван при 47% от пациентите, получаващи дулоксетин и 27% от пациентите на плацебо. Степента на клиничен отговор при пациентите, които са имали сомнолентност е 60% при тези на лечение с дулоксетин и 30% при получавалите плацебо. Пациентите, непроявяващи намаление на болката от 30% в рамките на 60 дни лечение е малко вероятно да достигнат това ниво при по-нататъшно лечение.</w:t>
      </w:r>
    </w:p>
    <w:p w14:paraId="03B7056A"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При открито дългосрочно, неконтролирано проучване намалението на болката при пациенти, повлияни от 8-седмично лечение в острата фаза с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се запазва за още 6 месеца, както е оценено с промяната по скалата за кратка оценка на болката </w:t>
      </w:r>
      <w:r w:rsidRPr="00ED3DF9">
        <w:rPr>
          <w:rFonts w:eastAsia="Times New Roman" w:cs="Arial"/>
          <w:color w:val="000000"/>
          <w:szCs w:val="20"/>
          <w:lang w:val="ru-RU"/>
        </w:rPr>
        <w:t>(</w:t>
      </w:r>
      <w:r w:rsidRPr="00ED3DF9">
        <w:rPr>
          <w:rFonts w:eastAsia="Times New Roman" w:cs="Arial"/>
          <w:color w:val="000000"/>
          <w:szCs w:val="20"/>
          <w:lang w:val="en-US"/>
        </w:rPr>
        <w:t>Brief</w:t>
      </w:r>
      <w:r w:rsidRPr="00ED3DF9">
        <w:rPr>
          <w:rFonts w:eastAsia="Times New Roman" w:cs="Arial"/>
          <w:color w:val="000000"/>
          <w:szCs w:val="20"/>
          <w:lang w:val="ru-RU"/>
        </w:rPr>
        <w:t xml:space="preserve"> </w:t>
      </w:r>
      <w:r w:rsidRPr="00ED3DF9">
        <w:rPr>
          <w:rFonts w:eastAsia="Times New Roman" w:cs="Arial"/>
          <w:color w:val="000000"/>
          <w:szCs w:val="20"/>
          <w:lang w:val="en-US"/>
        </w:rPr>
        <w:t>Pain</w:t>
      </w:r>
      <w:r w:rsidRPr="00ED3DF9">
        <w:rPr>
          <w:rFonts w:eastAsia="Times New Roman" w:cs="Arial"/>
          <w:color w:val="000000"/>
          <w:szCs w:val="20"/>
          <w:lang w:val="ru-RU"/>
        </w:rPr>
        <w:t xml:space="preserve"> </w:t>
      </w:r>
      <w:r w:rsidRPr="00ED3DF9">
        <w:rPr>
          <w:rFonts w:eastAsia="Times New Roman" w:cs="Arial"/>
          <w:color w:val="000000"/>
          <w:szCs w:val="20"/>
          <w:lang w:val="en-US"/>
        </w:rPr>
        <w:t>Inventory</w:t>
      </w:r>
      <w:r w:rsidRPr="00ED3DF9">
        <w:rPr>
          <w:rFonts w:eastAsia="Times New Roman" w:cs="Arial"/>
          <w:color w:val="000000"/>
          <w:szCs w:val="20"/>
          <w:lang w:val="ru-RU"/>
        </w:rPr>
        <w:t xml:space="preserve">,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на 24-часовия среден брой точки за болка</w:t>
      </w:r>
    </w:p>
    <w:p w14:paraId="1CECA191" w14:textId="77777777" w:rsidR="002E12CA" w:rsidRPr="00ED3DF9" w:rsidRDefault="002E12CA" w:rsidP="002E12CA">
      <w:pPr>
        <w:spacing w:line="240" w:lineRule="auto"/>
        <w:rPr>
          <w:rFonts w:eastAsia="Times New Roman" w:cs="Arial"/>
          <w:color w:val="000000"/>
          <w:szCs w:val="20"/>
          <w:u w:val="single"/>
          <w:lang w:eastAsia="bg-BG"/>
        </w:rPr>
      </w:pPr>
    </w:p>
    <w:p w14:paraId="1F577692" w14:textId="1CA5BA66"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Педиатрична популация</w:t>
      </w:r>
    </w:p>
    <w:p w14:paraId="796C8851"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не е проучен при пациенти под 7-годишна възраст.</w:t>
      </w:r>
    </w:p>
    <w:p w14:paraId="1A1FEDE3" w14:textId="77777777" w:rsidR="002E12CA" w:rsidRPr="00ED3DF9" w:rsidRDefault="002E12CA" w:rsidP="002E12CA">
      <w:pPr>
        <w:spacing w:line="240" w:lineRule="auto"/>
        <w:rPr>
          <w:rFonts w:eastAsia="Times New Roman" w:cs="Arial"/>
          <w:color w:val="000000"/>
          <w:szCs w:val="20"/>
          <w:lang w:eastAsia="bg-BG"/>
        </w:rPr>
      </w:pPr>
    </w:p>
    <w:p w14:paraId="53B67DFE" w14:textId="3CFEE83B"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 и активно-контролирана (флуоксетин) остра фаза, последвана от шестмесечен период на продължение на активно контролирано лечение. Нито рамото на лечение с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нито рамото с активна контрола (флуоксетин 20-40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статистически се различават от плацебо по отношение на промяната в общия скор по ревизираната скала за оценка на депресията при деца </w:t>
      </w:r>
      <w:r w:rsidRPr="00ED3DF9">
        <w:rPr>
          <w:rFonts w:eastAsia="Times New Roman" w:cs="Arial"/>
          <w:color w:val="000000"/>
          <w:szCs w:val="20"/>
          <w:lang w:val="ru-RU"/>
        </w:rPr>
        <w:t>(</w:t>
      </w:r>
      <w:r w:rsidRPr="00ED3DF9">
        <w:rPr>
          <w:rFonts w:eastAsia="Times New Roman" w:cs="Arial"/>
          <w:color w:val="000000"/>
          <w:szCs w:val="20"/>
          <w:lang w:val="en-US"/>
        </w:rPr>
        <w:t>Children</w:t>
      </w:r>
      <w:r w:rsidRPr="00ED3DF9">
        <w:rPr>
          <w:rFonts w:eastAsia="Times New Roman" w:cs="Arial"/>
          <w:color w:val="000000"/>
          <w:szCs w:val="20"/>
          <w:lang w:val="ru-RU"/>
        </w:rPr>
        <w:t>'</w:t>
      </w:r>
      <w:r w:rsidRPr="00ED3DF9">
        <w:rPr>
          <w:rFonts w:eastAsia="Times New Roman" w:cs="Arial"/>
          <w:color w:val="000000"/>
          <w:szCs w:val="20"/>
          <w:lang w:val="en-US"/>
        </w:rPr>
        <w:t>s</w:t>
      </w:r>
      <w:r w:rsidRPr="00ED3DF9">
        <w:rPr>
          <w:rFonts w:eastAsia="Times New Roman" w:cs="Arial"/>
          <w:color w:val="000000"/>
          <w:szCs w:val="20"/>
          <w:lang w:val="ru-RU"/>
        </w:rPr>
        <w:t xml:space="preserve"> </w:t>
      </w:r>
      <w:r w:rsidRPr="00ED3DF9">
        <w:rPr>
          <w:rFonts w:eastAsia="Times New Roman" w:cs="Arial"/>
          <w:color w:val="000000"/>
          <w:szCs w:val="20"/>
          <w:lang w:val="en-US"/>
        </w:rPr>
        <w:t>Depression</w:t>
      </w:r>
      <w:r w:rsidRPr="00ED3DF9">
        <w:rPr>
          <w:rFonts w:eastAsia="Times New Roman" w:cs="Arial"/>
          <w:color w:val="000000"/>
          <w:szCs w:val="20"/>
          <w:lang w:val="ru-RU"/>
        </w:rPr>
        <w:t xml:space="preserve"> </w:t>
      </w:r>
      <w:r w:rsidRPr="00ED3DF9">
        <w:rPr>
          <w:rFonts w:eastAsia="Times New Roman" w:cs="Arial"/>
          <w:color w:val="000000"/>
          <w:szCs w:val="20"/>
          <w:lang w:val="en-US"/>
        </w:rPr>
        <w:t>Rating</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w:t>
      </w:r>
      <w:r w:rsidRPr="00ED3DF9">
        <w:rPr>
          <w:rFonts w:eastAsia="Times New Roman" w:cs="Arial"/>
          <w:color w:val="000000"/>
          <w:szCs w:val="20"/>
          <w:lang w:val="en-US"/>
        </w:rPr>
        <w:t>Revised</w:t>
      </w:r>
      <w:r w:rsidRPr="00ED3DF9">
        <w:rPr>
          <w:rFonts w:eastAsia="Times New Roman" w:cs="Arial"/>
          <w:color w:val="000000"/>
          <w:szCs w:val="20"/>
          <w:lang w:val="ru-RU"/>
        </w:rPr>
        <w:t>, (</w:t>
      </w:r>
      <w:r w:rsidRPr="00ED3DF9">
        <w:rPr>
          <w:rFonts w:eastAsia="Times New Roman" w:cs="Arial"/>
          <w:color w:val="000000"/>
          <w:szCs w:val="20"/>
          <w:lang w:val="en-US"/>
        </w:rPr>
        <w:t>CDRS</w:t>
      </w:r>
      <w:r w:rsidRPr="00ED3DF9">
        <w:rPr>
          <w:rFonts w:eastAsia="Times New Roman" w:cs="Arial"/>
          <w:color w:val="000000"/>
          <w:szCs w:val="20"/>
          <w:lang w:val="ru-RU"/>
        </w:rPr>
        <w:t>-</w:t>
      </w:r>
      <w:r w:rsidRPr="00ED3DF9">
        <w:rPr>
          <w:rFonts w:eastAsia="Times New Roman" w:cs="Arial"/>
          <w:color w:val="000000"/>
          <w:szCs w:val="20"/>
          <w:lang w:val="en-US"/>
        </w:rPr>
        <w:t>R</w:t>
      </w:r>
      <w:r w:rsidRPr="00ED3DF9">
        <w:rPr>
          <w:rFonts w:eastAsia="Times New Roman" w:cs="Arial"/>
          <w:color w:val="000000"/>
          <w:szCs w:val="20"/>
          <w:lang w:val="ru-RU"/>
        </w:rPr>
        <w:t xml:space="preserve">) </w:t>
      </w:r>
      <w:r w:rsidRPr="00ED3DF9">
        <w:rPr>
          <w:rFonts w:eastAsia="Times New Roman" w:cs="Arial"/>
          <w:color w:val="000000"/>
          <w:szCs w:val="20"/>
          <w:lang w:eastAsia="bg-BG"/>
        </w:rPr>
        <w:t>от изходната до крайната точка. Прекъсването на лечението поради нежелани реакции е по-често при пациентите, приемащи дулоксетин, в сравнение с тези, лекувани с флуоксетин, в повечето случаи поради гадене. По време на 10- седмичния период на лечение в острата фаза е съобщавано за суицидно поведение (дулоксетин 0/333 [0%], флуоксетин 2/225 [0,9%], плацебо 1/220 [0,5% ]). През целия 36-седмичен ход на проучването, 6 от 333 пациенти, които първоначално са рандомизирани да получават дулоксетин, и 3 от 225 пациенти, първоначално рандомизирани да получават флуоксетин, проявяват суицидно поведение (експозиция-коригираната честота на суицидно поведение е 0,039 събития на пациентогодина за дулоксетин, и 0,026 - за флуоксетин). Освен това, един пациент, преминал от плацебо на дулоксетин, е имал суицидно поведение по време на приема на дулоксетин.</w:t>
      </w:r>
    </w:p>
    <w:p w14:paraId="53631374" w14:textId="77777777" w:rsidR="002E12CA" w:rsidRPr="00ED3DF9" w:rsidRDefault="002E12CA" w:rsidP="002E12CA">
      <w:pPr>
        <w:spacing w:line="240" w:lineRule="auto"/>
        <w:rPr>
          <w:rFonts w:eastAsia="Times New Roman" w:cs="Arial"/>
          <w:color w:val="000000"/>
          <w:szCs w:val="20"/>
          <w:lang w:eastAsia="bg-BG"/>
        </w:rPr>
      </w:pPr>
    </w:p>
    <w:p w14:paraId="1B0C48C6" w14:textId="55F5D7C2"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Проведено е рандомизирано, двойно-сляпо, плацебо контролирано проучване при 272 педиатрични пациенти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до по-високи дози (максимум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Лечението с дулоксетин показва статистически значимо по-голямо подобрение на симптомите на генерализираното тревожно разстройство, както е оценено с помощта на скора по скалата за тежест на генерализирано тревожно разстройство </w:t>
      </w:r>
      <w:r w:rsidRPr="00ED3DF9">
        <w:rPr>
          <w:rFonts w:eastAsia="Times New Roman" w:cs="Arial"/>
          <w:color w:val="000000"/>
          <w:szCs w:val="20"/>
          <w:lang w:val="en-US"/>
        </w:rPr>
        <w:t>PARS</w:t>
      </w:r>
      <w:r w:rsidRPr="00ED3DF9">
        <w:rPr>
          <w:rFonts w:eastAsia="Times New Roman" w:cs="Arial"/>
          <w:color w:val="000000"/>
          <w:szCs w:val="20"/>
          <w:lang w:val="ru-RU"/>
        </w:rPr>
        <w:t xml:space="preserve"> </w:t>
      </w:r>
      <w:r w:rsidRPr="00ED3DF9">
        <w:rPr>
          <w:rFonts w:eastAsia="Times New Roman" w:cs="Arial"/>
          <w:color w:val="000000"/>
          <w:szCs w:val="20"/>
          <w:lang w:eastAsia="bg-BG"/>
        </w:rPr>
        <w:t>(средна разлика между дулоксетин и плацебо 2,7 точки [95%</w:t>
      </w:r>
      <w:r w:rsidRPr="00ED3DF9">
        <w:rPr>
          <w:rFonts w:eastAsia="Times New Roman" w:cs="Arial"/>
          <w:color w:val="000000"/>
          <w:szCs w:val="20"/>
          <w:lang w:val="ru-RU"/>
        </w:rPr>
        <w:t xml:space="preserve"> </w:t>
      </w:r>
      <w:r w:rsidRPr="00ED3DF9">
        <w:rPr>
          <w:rFonts w:eastAsia="Times New Roman" w:cs="Arial"/>
          <w:color w:val="000000"/>
          <w:szCs w:val="20"/>
          <w:lang w:eastAsia="bg-BG"/>
        </w:rPr>
        <w:t>ДИ 1,3-4,0]), след 10 седмици на лечение. Поддържането на ефекта не е оценявано. Няма</w:t>
      </w:r>
    </w:p>
    <w:p w14:paraId="4150A30E" w14:textId="62E7D435"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статистически значима разлика в прекъсването на проучването поради нежелани реакции между групите на дулоксетин и плацебо в течение на 10-седмичното лечение в остра фаза</w:t>
      </w:r>
      <w:r w:rsidR="00ED3DF9" w:rsidRPr="00ED3DF9">
        <w:rPr>
          <w:rFonts w:eastAsia="Times New Roman" w:cs="Arial"/>
          <w:color w:val="000000"/>
          <w:szCs w:val="20"/>
          <w:lang w:eastAsia="bg-BG"/>
        </w:rPr>
        <w:t>.</w:t>
      </w:r>
    </w:p>
    <w:p w14:paraId="2D83F186" w14:textId="77777777" w:rsidR="00ED3DF9" w:rsidRPr="00ED3DF9" w:rsidRDefault="002E12CA" w:rsidP="00ED3DF9">
      <w:pPr>
        <w:rPr>
          <w:rFonts w:eastAsia="Times New Roman" w:cs="Arial"/>
          <w:sz w:val="28"/>
          <w:szCs w:val="24"/>
        </w:rPr>
      </w:pPr>
      <w:r w:rsidRPr="00ED3DF9">
        <w:rPr>
          <w:rFonts w:eastAsia="Times New Roman" w:cs="Arial"/>
          <w:color w:val="000000"/>
          <w:szCs w:val="20"/>
          <w:lang w:eastAsia="bg-BG"/>
        </w:rPr>
        <w:t>Двама пациенти, прехвърлени от плацебо към дулоксетин след острата фаза, имат суицидно поведение, докато приемат дулоксетин по време на фазата на продължение. Не е направено</w:t>
      </w:r>
      <w:r w:rsidR="00ED3DF9" w:rsidRPr="00ED3DF9">
        <w:rPr>
          <w:rFonts w:eastAsia="Times New Roman" w:cs="Arial"/>
          <w:color w:val="000000"/>
          <w:szCs w:val="20"/>
          <w:lang w:eastAsia="bg-BG"/>
        </w:rPr>
        <w:t xml:space="preserve"> заключение относно цялостното съотношение полза/риск в тази възрастова група (вж. също точки 4.2 и 4.8).</w:t>
      </w:r>
    </w:p>
    <w:p w14:paraId="764E4911" w14:textId="77777777" w:rsidR="00ED3DF9" w:rsidRPr="00ED3DF9" w:rsidRDefault="00ED3DF9" w:rsidP="00ED3DF9">
      <w:pPr>
        <w:spacing w:line="240" w:lineRule="auto"/>
        <w:rPr>
          <w:rFonts w:eastAsia="Times New Roman" w:cs="Arial"/>
          <w:color w:val="000000"/>
          <w:szCs w:val="20"/>
          <w:lang w:eastAsia="bg-BG"/>
        </w:rPr>
      </w:pPr>
    </w:p>
    <w:p w14:paraId="39D56258" w14:textId="5F73BE09"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Проведено е едно проучване при педиатрични пациенти със синдром на ювенилна първична фибромиалгия </w:t>
      </w:r>
      <w:r w:rsidRPr="00ED3DF9">
        <w:rPr>
          <w:rFonts w:eastAsia="Times New Roman" w:cs="Arial"/>
          <w:color w:val="000000"/>
          <w:szCs w:val="20"/>
        </w:rPr>
        <w:t>(</w:t>
      </w:r>
      <w:r w:rsidRPr="00ED3DF9">
        <w:rPr>
          <w:rFonts w:eastAsia="Times New Roman" w:cs="Arial"/>
          <w:color w:val="000000"/>
          <w:szCs w:val="20"/>
          <w:lang w:val="en-US"/>
        </w:rPr>
        <w:t>juvenile</w:t>
      </w:r>
      <w:r w:rsidRPr="00ED3DF9">
        <w:rPr>
          <w:rFonts w:eastAsia="Times New Roman" w:cs="Arial"/>
          <w:color w:val="000000"/>
          <w:szCs w:val="20"/>
        </w:rPr>
        <w:t xml:space="preserve"> </w:t>
      </w:r>
      <w:r w:rsidRPr="00ED3DF9">
        <w:rPr>
          <w:rFonts w:eastAsia="Times New Roman" w:cs="Arial"/>
          <w:color w:val="000000"/>
          <w:szCs w:val="20"/>
          <w:lang w:val="en-US"/>
        </w:rPr>
        <w:t>primary</w:t>
      </w:r>
      <w:r w:rsidRPr="00ED3DF9">
        <w:rPr>
          <w:rFonts w:eastAsia="Times New Roman" w:cs="Arial"/>
          <w:color w:val="000000"/>
          <w:szCs w:val="20"/>
        </w:rPr>
        <w:t xml:space="preserve"> </w:t>
      </w:r>
      <w:r w:rsidRPr="00ED3DF9">
        <w:rPr>
          <w:rFonts w:eastAsia="Times New Roman" w:cs="Arial"/>
          <w:color w:val="000000"/>
          <w:szCs w:val="20"/>
          <w:lang w:val="en-US"/>
        </w:rPr>
        <w:t>fibromyalgia</w:t>
      </w:r>
      <w:r w:rsidRPr="00ED3DF9">
        <w:rPr>
          <w:rFonts w:eastAsia="Times New Roman" w:cs="Arial"/>
          <w:color w:val="000000"/>
          <w:szCs w:val="20"/>
        </w:rPr>
        <w:t xml:space="preserve"> </w:t>
      </w:r>
      <w:r w:rsidRPr="00ED3DF9">
        <w:rPr>
          <w:rFonts w:eastAsia="Times New Roman" w:cs="Arial"/>
          <w:color w:val="000000"/>
          <w:szCs w:val="20"/>
          <w:lang w:val="en-US"/>
        </w:rPr>
        <w:t>syndrome</w:t>
      </w:r>
      <w:r w:rsidRPr="00ED3DF9">
        <w:rPr>
          <w:rFonts w:eastAsia="Times New Roman" w:cs="Arial"/>
          <w:color w:val="000000"/>
          <w:szCs w:val="20"/>
        </w:rPr>
        <w:t xml:space="preserve">, </w:t>
      </w:r>
      <w:r w:rsidRPr="00ED3DF9">
        <w:rPr>
          <w:rFonts w:eastAsia="Times New Roman" w:cs="Arial"/>
          <w:color w:val="000000"/>
          <w:szCs w:val="20"/>
          <w:lang w:val="en-US"/>
        </w:rPr>
        <w:t>JPFS</w:t>
      </w:r>
      <w:r w:rsidRPr="00ED3DF9">
        <w:rPr>
          <w:rFonts w:eastAsia="Times New Roman" w:cs="Arial"/>
          <w:color w:val="000000"/>
          <w:szCs w:val="20"/>
        </w:rPr>
        <w:t xml:space="preserve">), </w:t>
      </w:r>
      <w:r w:rsidRPr="00ED3DF9">
        <w:rPr>
          <w:rFonts w:eastAsia="Times New Roman" w:cs="Arial"/>
          <w:color w:val="000000"/>
          <w:szCs w:val="2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15,53 години) с </w:t>
      </w:r>
      <w:r w:rsidRPr="00ED3DF9">
        <w:rPr>
          <w:rFonts w:eastAsia="Times New Roman" w:cs="Arial"/>
          <w:color w:val="000000"/>
          <w:szCs w:val="20"/>
          <w:lang w:val="en-US"/>
        </w:rPr>
        <w:t>JPFS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Проучването включва 13-седмичен двойносляп период, през който пациентите са рандомизирани да получават дулоксетин 30 </w:t>
      </w:r>
      <w:r w:rsidRPr="00ED3DF9">
        <w:rPr>
          <w:rFonts w:eastAsia="Times New Roman" w:cs="Arial"/>
          <w:color w:val="000000"/>
          <w:szCs w:val="20"/>
          <w:lang w:val="en-US"/>
        </w:rPr>
        <w:t>mg</w:t>
      </w:r>
      <w:r w:rsidRPr="00ED3DF9">
        <w:rPr>
          <w:rFonts w:eastAsia="Times New Roman" w:cs="Arial"/>
          <w:color w:val="000000"/>
          <w:szCs w:val="20"/>
          <w:lang w:val="ru-RU"/>
        </w:rPr>
        <w:t xml:space="preserve">/60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ED3DF9">
        <w:rPr>
          <w:rFonts w:eastAsia="Times New Roman" w:cs="Arial"/>
          <w:color w:val="000000"/>
          <w:szCs w:val="20"/>
          <w:lang w:val="en-US"/>
        </w:rPr>
        <w:t>Brief</w:t>
      </w:r>
      <w:r w:rsidRPr="00ED3DF9">
        <w:rPr>
          <w:rFonts w:eastAsia="Times New Roman" w:cs="Arial"/>
          <w:color w:val="000000"/>
          <w:szCs w:val="20"/>
          <w:lang w:val="ru-RU"/>
        </w:rPr>
        <w:t xml:space="preserve"> </w:t>
      </w:r>
      <w:r w:rsidRPr="00ED3DF9">
        <w:rPr>
          <w:rFonts w:eastAsia="Times New Roman" w:cs="Arial"/>
          <w:color w:val="000000"/>
          <w:szCs w:val="20"/>
          <w:lang w:val="en-US"/>
        </w:rPr>
        <w:t>Pain</w:t>
      </w:r>
      <w:r w:rsidRPr="00ED3DF9">
        <w:rPr>
          <w:rFonts w:eastAsia="Times New Roman" w:cs="Arial"/>
          <w:color w:val="000000"/>
          <w:szCs w:val="20"/>
          <w:lang w:val="ru-RU"/>
        </w:rPr>
        <w:t xml:space="preserve"> </w:t>
      </w:r>
      <w:r w:rsidRPr="00ED3DF9">
        <w:rPr>
          <w:rFonts w:eastAsia="Times New Roman" w:cs="Arial"/>
          <w:color w:val="000000"/>
          <w:szCs w:val="20"/>
          <w:lang w:val="en-US"/>
        </w:rPr>
        <w:t>Inventory</w:t>
      </w:r>
      <w:r w:rsidRPr="00ED3DF9">
        <w:rPr>
          <w:rFonts w:eastAsia="Times New Roman" w:cs="Arial"/>
          <w:color w:val="000000"/>
          <w:szCs w:val="20"/>
          <w:lang w:val="ru-RU"/>
        </w:rPr>
        <w:t xml:space="preserve">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средната промяна на най-малките квадрати </w:t>
      </w:r>
      <w:r w:rsidRPr="00ED3DF9">
        <w:rPr>
          <w:rFonts w:eastAsia="Times New Roman" w:cs="Arial"/>
          <w:color w:val="000000"/>
          <w:szCs w:val="20"/>
          <w:lang w:val="ru-RU"/>
        </w:rPr>
        <w:t>(</w:t>
      </w:r>
      <w:r w:rsidRPr="00ED3DF9">
        <w:rPr>
          <w:rFonts w:eastAsia="Times New Roman" w:cs="Arial"/>
          <w:color w:val="000000"/>
          <w:szCs w:val="20"/>
          <w:lang w:val="en-US"/>
        </w:rPr>
        <w:t>LS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 </w:t>
      </w:r>
      <w:r w:rsidRPr="00ED3DF9">
        <w:rPr>
          <w:rFonts w:eastAsia="Times New Roman" w:cs="Arial"/>
          <w:color w:val="000000"/>
          <w:szCs w:val="20"/>
          <w:lang w:val="en-US"/>
        </w:rPr>
        <w:t>least</w:t>
      </w:r>
      <w:r w:rsidRPr="00ED3DF9">
        <w:rPr>
          <w:rFonts w:eastAsia="Times New Roman" w:cs="Arial"/>
          <w:color w:val="000000"/>
          <w:szCs w:val="20"/>
          <w:lang w:val="ru-RU"/>
        </w:rPr>
        <w:t xml:space="preserve"> </w:t>
      </w:r>
      <w:r w:rsidRPr="00ED3DF9">
        <w:rPr>
          <w:rFonts w:eastAsia="Times New Roman" w:cs="Arial"/>
          <w:color w:val="000000"/>
          <w:szCs w:val="20"/>
          <w:lang w:val="en-US"/>
        </w:rPr>
        <w:t>squares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от изходната стойност на средния скор за болка по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на 13-тата седмица 13 е -0,97 в групата, получаваща плацебо, в сравнение с -1,62 в групата, получаваща дулоксетин 30/60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(р = 0,052). Резултатите за безопасност от това проучване са съвместими с известния профил на безопасност на дулоксетин.</w:t>
      </w:r>
    </w:p>
    <w:p w14:paraId="61E32AA5" w14:textId="77777777" w:rsidR="00ED3DF9" w:rsidRPr="00ED3DF9" w:rsidRDefault="00ED3DF9" w:rsidP="00ED3DF9">
      <w:pPr>
        <w:spacing w:line="240" w:lineRule="auto"/>
        <w:rPr>
          <w:rFonts w:eastAsia="Times New Roman" w:cs="Arial"/>
          <w:color w:val="000000"/>
          <w:szCs w:val="20"/>
          <w:lang w:eastAsia="bg-BG"/>
        </w:rPr>
      </w:pPr>
    </w:p>
    <w:p w14:paraId="4A2A9A71" w14:textId="3455FD4C"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 с референтния лекарствен продукт, съдържащ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3753BBE4" w14:textId="3EE16908" w:rsidR="002E12CA" w:rsidRPr="002E12CA" w:rsidRDefault="002E12CA" w:rsidP="002E12CA"/>
    <w:p w14:paraId="78DD93AA" w14:textId="324E1440" w:rsidR="00B6672E" w:rsidRDefault="002C50EE" w:rsidP="00936AD0">
      <w:pPr>
        <w:pStyle w:val="Heading2"/>
      </w:pPr>
      <w:r>
        <w:t>5.2. Фармакокинетични свойства</w:t>
      </w:r>
    </w:p>
    <w:p w14:paraId="786BA43B" w14:textId="54885921" w:rsidR="00ED3DF9" w:rsidRDefault="00ED3DF9" w:rsidP="00ED3DF9"/>
    <w:p w14:paraId="78342E23"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се прилага като самостоятелен енантиомер. Дулоксетин се метаболизира екстензивно от оксидативни ензими </w:t>
      </w:r>
      <w:r w:rsidRPr="00ED3DF9">
        <w:rPr>
          <w:rFonts w:eastAsia="Times New Roman" w:cs="Arial"/>
          <w:color w:val="000000"/>
          <w:szCs w:val="20"/>
          <w:lang w:val="ru-RU"/>
        </w:rPr>
        <w:t>(</w:t>
      </w:r>
      <w:r w:rsidRPr="00ED3DF9">
        <w:rPr>
          <w:rFonts w:eastAsia="Times New Roman" w:cs="Arial"/>
          <w:color w:val="000000"/>
          <w:szCs w:val="20"/>
          <w:lang w:val="en-US"/>
        </w:rPr>
        <w:t>CYP</w:t>
      </w:r>
      <w:r w:rsidRPr="00ED3DF9">
        <w:rPr>
          <w:rFonts w:eastAsia="Times New Roman" w:cs="Arial"/>
          <w:color w:val="000000"/>
          <w:szCs w:val="20"/>
          <w:lang w:val="ru-RU"/>
        </w:rPr>
        <w:t>1</w:t>
      </w:r>
      <w:r w:rsidRPr="00ED3DF9">
        <w:rPr>
          <w:rFonts w:eastAsia="Times New Roman" w:cs="Arial"/>
          <w:color w:val="000000"/>
          <w:szCs w:val="20"/>
          <w:lang w:val="en-US"/>
        </w:rPr>
        <w:t>A</w:t>
      </w:r>
      <w:r w:rsidRPr="00ED3DF9">
        <w:rPr>
          <w:rFonts w:eastAsia="Times New Roman" w:cs="Arial"/>
          <w:color w:val="000000"/>
          <w:szCs w:val="20"/>
          <w:lang w:val="ru-RU"/>
        </w:rPr>
        <w:t xml:space="preserve">2 </w:t>
      </w:r>
      <w:r w:rsidRPr="00ED3DF9">
        <w:rPr>
          <w:rFonts w:eastAsia="Times New Roman" w:cs="Arial"/>
          <w:color w:val="000000"/>
          <w:szCs w:val="20"/>
          <w:lang w:eastAsia="bg-BG"/>
        </w:rPr>
        <w:t xml:space="preserve">и полиморфния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 xml:space="preserve">последвано от 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6.</w:t>
      </w:r>
    </w:p>
    <w:p w14:paraId="3B4AA67A" w14:textId="77777777" w:rsidR="00ED3DF9" w:rsidRPr="00ED3DF9" w:rsidRDefault="00ED3DF9" w:rsidP="00ED3DF9">
      <w:pPr>
        <w:spacing w:line="240" w:lineRule="auto"/>
        <w:rPr>
          <w:rFonts w:eastAsia="Times New Roman" w:cs="Arial"/>
          <w:color w:val="000000"/>
          <w:szCs w:val="20"/>
          <w:u w:val="single"/>
          <w:lang w:eastAsia="bg-BG"/>
        </w:rPr>
      </w:pPr>
    </w:p>
    <w:p w14:paraId="04DAE8DC" w14:textId="7B4512D4" w:rsidR="00ED3DF9" w:rsidRPr="00ED3DF9" w:rsidRDefault="00ED3DF9" w:rsidP="00ED3DF9">
      <w:pPr>
        <w:pStyle w:val="Heading3"/>
        <w:rPr>
          <w:rFonts w:eastAsia="Times New Roman"/>
          <w:sz w:val="28"/>
          <w:u w:val="single"/>
        </w:rPr>
      </w:pPr>
      <w:r w:rsidRPr="00ED3DF9">
        <w:rPr>
          <w:rFonts w:eastAsia="Times New Roman"/>
          <w:u w:val="single"/>
          <w:lang w:eastAsia="bg-BG"/>
        </w:rPr>
        <w:t>Абсорбц</w:t>
      </w:r>
      <w:r w:rsidRPr="00ED3DF9">
        <w:rPr>
          <w:rFonts w:eastAsia="Times New Roman"/>
          <w:sz w:val="22"/>
          <w:u w:val="single"/>
          <w:lang w:eastAsia="bg-BG"/>
        </w:rPr>
        <w:t>ия</w:t>
      </w:r>
    </w:p>
    <w:p w14:paraId="5D23E203"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Дулоксетин се резорбира добре след перорално приложение с С</w:t>
      </w:r>
      <w:r w:rsidRPr="00ED3DF9">
        <w:rPr>
          <w:rFonts w:eastAsia="Times New Roman" w:cs="Arial"/>
          <w:color w:val="000000"/>
          <w:szCs w:val="20"/>
          <w:lang w:val="en-US"/>
        </w:rPr>
        <w:t>max</w:t>
      </w:r>
      <w:r w:rsidRPr="00ED3DF9">
        <w:rPr>
          <w:rFonts w:eastAsia="Times New Roman" w:cs="Arial"/>
          <w:color w:val="000000"/>
          <w:szCs w:val="20"/>
          <w:lang w:val="ru-RU"/>
        </w:rPr>
        <w:t xml:space="preserve"> </w:t>
      </w:r>
      <w:r w:rsidRPr="00ED3DF9">
        <w:rPr>
          <w:rFonts w:eastAsia="Times New Roman" w:cs="Arial"/>
          <w:color w:val="000000"/>
          <w:szCs w:val="20"/>
          <w:lang w:eastAsia="bg-BG"/>
        </w:rPr>
        <w:t>настъпваща 6 часа след дозиране. Абсолютната орална бионаличност на дулоксетин варира от 32% до 80% (средно 50%). Храната удължава времето за достигане на пикови концентрации от 6 на 10 часа и тя маргинално намалява степента на резорбция (приблизително 11%). Тези промени нямат никаква клинична значимост.</w:t>
      </w:r>
    </w:p>
    <w:p w14:paraId="18734840" w14:textId="77777777" w:rsidR="00ED3DF9" w:rsidRPr="00ED3DF9" w:rsidRDefault="00ED3DF9" w:rsidP="00ED3DF9">
      <w:pPr>
        <w:spacing w:line="240" w:lineRule="auto"/>
        <w:rPr>
          <w:rFonts w:eastAsia="Times New Roman" w:cs="Arial"/>
          <w:color w:val="000000"/>
          <w:szCs w:val="20"/>
          <w:u w:val="single"/>
          <w:lang w:eastAsia="bg-BG"/>
        </w:rPr>
      </w:pPr>
    </w:p>
    <w:p w14:paraId="44A27FBB" w14:textId="39E16F30" w:rsidR="00ED3DF9" w:rsidRPr="00ED3DF9" w:rsidRDefault="00ED3DF9" w:rsidP="00ED3DF9">
      <w:pPr>
        <w:pStyle w:val="Heading3"/>
        <w:rPr>
          <w:rFonts w:eastAsia="Times New Roman"/>
          <w:sz w:val="28"/>
          <w:u w:val="single"/>
        </w:rPr>
      </w:pPr>
      <w:r w:rsidRPr="00ED3DF9">
        <w:rPr>
          <w:rFonts w:eastAsia="Times New Roman"/>
          <w:u w:val="single"/>
          <w:lang w:eastAsia="bg-BG"/>
        </w:rPr>
        <w:lastRenderedPageBreak/>
        <w:t>Разпределение</w:t>
      </w:r>
    </w:p>
    <w:p w14:paraId="290AFF54"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4A1F61C4" w14:textId="77777777" w:rsidR="00ED3DF9" w:rsidRPr="00ED3DF9" w:rsidRDefault="00ED3DF9" w:rsidP="00ED3DF9">
      <w:pPr>
        <w:spacing w:line="240" w:lineRule="auto"/>
        <w:rPr>
          <w:rFonts w:eastAsia="Times New Roman" w:cs="Arial"/>
          <w:color w:val="000000"/>
          <w:szCs w:val="20"/>
          <w:u w:val="single"/>
          <w:lang w:eastAsia="bg-BG"/>
        </w:rPr>
      </w:pPr>
    </w:p>
    <w:p w14:paraId="25F1FD8D" w14:textId="19A7817D" w:rsidR="00ED3DF9" w:rsidRPr="00ED3DF9" w:rsidRDefault="00ED3DF9" w:rsidP="00ED3DF9">
      <w:pPr>
        <w:pStyle w:val="Heading3"/>
        <w:rPr>
          <w:rFonts w:eastAsia="Times New Roman"/>
          <w:sz w:val="28"/>
          <w:u w:val="single"/>
        </w:rPr>
      </w:pPr>
      <w:r w:rsidRPr="00ED3DF9">
        <w:rPr>
          <w:rFonts w:eastAsia="Times New Roman"/>
          <w:u w:val="single"/>
          <w:lang w:eastAsia="bg-BG"/>
        </w:rPr>
        <w:t>Биотоансформация</w:t>
      </w:r>
    </w:p>
    <w:p w14:paraId="4F98E15D"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се метаболизира екстензивно и метаболитите се екскретират основно с урината. Цитохромите </w:t>
      </w:r>
      <w:r w:rsidRPr="00ED3DF9">
        <w:rPr>
          <w:rFonts w:eastAsia="Times New Roman" w:cs="Arial"/>
          <w:color w:val="000000"/>
          <w:szCs w:val="20"/>
          <w:lang w:val="en-US"/>
        </w:rPr>
        <w:t>P</w:t>
      </w:r>
      <w:r w:rsidRPr="00ED3DF9">
        <w:rPr>
          <w:rFonts w:eastAsia="Times New Roman" w:cs="Arial"/>
          <w:color w:val="000000"/>
          <w:szCs w:val="20"/>
          <w:lang w:val="ru-RU"/>
        </w:rPr>
        <w:t>450-2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 xml:space="preserve">и 1А2 катализират образуването на двата основни метаболита глюкуронид конюгат на 4-хидрокси дулоксетин и сулфатен конюгат на 5-хидрокси,6-метокси дулоксетин. Въз основа на </w:t>
      </w:r>
      <w:r w:rsidRPr="00ED3DF9">
        <w:rPr>
          <w:rFonts w:eastAsia="Times New Roman" w:cs="Arial"/>
          <w:i/>
          <w:iCs/>
          <w:color w:val="000000"/>
          <w:szCs w:val="20"/>
          <w:lang w:val="en-US"/>
        </w:rPr>
        <w:t>in</w:t>
      </w:r>
      <w:r w:rsidRPr="00ED3DF9">
        <w:rPr>
          <w:rFonts w:eastAsia="Times New Roman" w:cs="Arial"/>
          <w:i/>
          <w:iCs/>
          <w:color w:val="000000"/>
          <w:szCs w:val="20"/>
          <w:lang w:val="ru-RU"/>
        </w:rPr>
        <w:t xml:space="preserve"> </w:t>
      </w:r>
      <w:r w:rsidRPr="00ED3DF9">
        <w:rPr>
          <w:rFonts w:eastAsia="Times New Roman" w:cs="Arial"/>
          <w:i/>
          <w:iCs/>
          <w:color w:val="000000"/>
          <w:szCs w:val="20"/>
          <w:lang w:val="en-US"/>
        </w:rPr>
        <w:t>vitro</w:t>
      </w:r>
      <w:r w:rsidRPr="00ED3DF9">
        <w:rPr>
          <w:rFonts w:eastAsia="Times New Roman" w:cs="Arial"/>
          <w:i/>
          <w:iCs/>
          <w:color w:val="000000"/>
          <w:szCs w:val="20"/>
          <w:lang w:val="ru-RU"/>
        </w:rPr>
        <w:t xml:space="preserve"> </w:t>
      </w:r>
      <w:r w:rsidRPr="00ED3DF9">
        <w:rPr>
          <w:rFonts w:eastAsia="Times New Roman" w:cs="Arial"/>
          <w:i/>
          <w:iCs/>
          <w:color w:val="000000"/>
          <w:szCs w:val="20"/>
          <w:lang w:eastAsia="bg-BG"/>
        </w:rPr>
        <w:t>проучвания, циркулиращите</w:t>
      </w:r>
      <w:r w:rsidRPr="00ED3DF9">
        <w:rPr>
          <w:rFonts w:eastAsia="Times New Roman" w:cs="Arial"/>
          <w:color w:val="000000"/>
          <w:szCs w:val="20"/>
          <w:lang w:eastAsia="bg-BG"/>
        </w:rPr>
        <w:t xml:space="preserve">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не е специфично изучавана. Ограничени данни</w:t>
      </w:r>
    </w:p>
    <w:p w14:paraId="370A9024"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предполагат, че при тези пациенти плазмените нива на дулоксетин са по-високи</w:t>
      </w:r>
    </w:p>
    <w:p w14:paraId="791B812D" w14:textId="77777777" w:rsidR="00ED3DF9" w:rsidRPr="00ED3DF9" w:rsidRDefault="00ED3DF9" w:rsidP="00ED3DF9">
      <w:pPr>
        <w:spacing w:line="240" w:lineRule="auto"/>
        <w:rPr>
          <w:rFonts w:eastAsia="Times New Roman" w:cs="Arial"/>
          <w:color w:val="000000"/>
          <w:szCs w:val="20"/>
          <w:u w:val="single"/>
          <w:lang w:eastAsia="bg-BG"/>
        </w:rPr>
      </w:pPr>
    </w:p>
    <w:p w14:paraId="2B488960" w14:textId="30F66F60" w:rsidR="00ED3DF9" w:rsidRPr="00ED3DF9" w:rsidRDefault="00ED3DF9" w:rsidP="00ED3DF9">
      <w:pPr>
        <w:pStyle w:val="Heading3"/>
        <w:rPr>
          <w:rFonts w:eastAsia="Times New Roman"/>
          <w:sz w:val="28"/>
          <w:u w:val="single"/>
        </w:rPr>
      </w:pPr>
      <w:r w:rsidRPr="00ED3DF9">
        <w:rPr>
          <w:rFonts w:eastAsia="Times New Roman"/>
          <w:u w:val="single"/>
          <w:lang w:eastAsia="bg-BG"/>
        </w:rPr>
        <w:t>Елиминиране</w:t>
      </w:r>
    </w:p>
    <w:p w14:paraId="5F71305B"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Елиминационният полуживот на дулоксетин варира от 8 до 17 часа (средно 12 часа). След интравенозна доза, плазменият клирънс на дулоксетин варира от 22 1/час до 46 </w:t>
      </w:r>
      <w:r w:rsidRPr="00ED3DF9">
        <w:rPr>
          <w:rFonts w:eastAsia="Times New Roman" w:cs="Arial"/>
          <w:color w:val="000000"/>
          <w:szCs w:val="20"/>
          <w:lang w:val="en-US"/>
        </w:rPr>
        <w:t>l</w:t>
      </w:r>
      <w:r w:rsidRPr="00ED3DF9">
        <w:rPr>
          <w:rFonts w:eastAsia="Times New Roman" w:cs="Arial"/>
          <w:color w:val="000000"/>
          <w:szCs w:val="20"/>
          <w:lang w:eastAsia="bg-BG"/>
        </w:rPr>
        <w:t xml:space="preserve">/час (средно 36 1/час). След перорална доза </w:t>
      </w:r>
      <w:r w:rsidRPr="00ED3DF9">
        <w:rPr>
          <w:rFonts w:eastAsia="Times New Roman" w:cs="Arial"/>
          <w:i/>
          <w:iCs/>
          <w:color w:val="000000"/>
          <w:szCs w:val="20"/>
          <w:lang w:eastAsia="bg-BG"/>
        </w:rPr>
        <w:t>привидният</w:t>
      </w:r>
      <w:r w:rsidRPr="00ED3DF9">
        <w:rPr>
          <w:rFonts w:eastAsia="Times New Roman" w:cs="Arial"/>
          <w:color w:val="000000"/>
          <w:szCs w:val="20"/>
          <w:lang w:eastAsia="bg-BG"/>
        </w:rPr>
        <w:t xml:space="preserve"> плазмен клирънс на дулоксетин варира от 33 до 261 1/час (средно 101</w:t>
      </w:r>
      <w:r w:rsidRPr="00ED3DF9">
        <w:rPr>
          <w:rFonts w:eastAsia="Times New Roman" w:cs="Arial"/>
          <w:color w:val="000000"/>
          <w:szCs w:val="20"/>
          <w:lang w:val="ru-RU"/>
        </w:rPr>
        <w:t xml:space="preserve"> </w:t>
      </w:r>
      <w:r w:rsidRPr="00ED3DF9">
        <w:rPr>
          <w:rFonts w:eastAsia="Times New Roman" w:cs="Arial"/>
          <w:color w:val="000000"/>
          <w:szCs w:val="20"/>
          <w:lang w:val="en-US"/>
        </w:rPr>
        <w:t>l</w:t>
      </w:r>
      <w:r w:rsidRPr="00ED3DF9">
        <w:rPr>
          <w:rFonts w:eastAsia="Times New Roman" w:cs="Arial"/>
          <w:color w:val="000000"/>
          <w:szCs w:val="20"/>
          <w:lang w:eastAsia="bg-BG"/>
        </w:rPr>
        <w:t>/час).</w:t>
      </w:r>
    </w:p>
    <w:p w14:paraId="7CA157EF" w14:textId="77777777" w:rsidR="00ED3DF9" w:rsidRPr="00ED3DF9" w:rsidRDefault="00ED3DF9" w:rsidP="00ED3DF9">
      <w:pPr>
        <w:spacing w:line="240" w:lineRule="auto"/>
        <w:rPr>
          <w:rFonts w:eastAsia="Times New Roman" w:cs="Arial"/>
          <w:i/>
          <w:iCs/>
          <w:color w:val="000000"/>
          <w:szCs w:val="20"/>
          <w:lang w:eastAsia="bg-BG"/>
        </w:rPr>
      </w:pPr>
    </w:p>
    <w:p w14:paraId="14590DA5" w14:textId="15050519"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Специални популации</w:t>
      </w:r>
    </w:p>
    <w:p w14:paraId="1CD4AD90" w14:textId="77777777" w:rsidR="00ED3DF9" w:rsidRPr="00ED3DF9" w:rsidRDefault="00ED3DF9" w:rsidP="00ED3DF9">
      <w:pPr>
        <w:spacing w:line="240" w:lineRule="auto"/>
        <w:rPr>
          <w:rFonts w:eastAsia="Times New Roman" w:cs="Arial"/>
          <w:i/>
          <w:iCs/>
          <w:color w:val="000000"/>
          <w:szCs w:val="20"/>
          <w:lang w:eastAsia="bg-BG"/>
        </w:rPr>
      </w:pPr>
    </w:p>
    <w:p w14:paraId="376D2CB6" w14:textId="54B77372"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Пол:</w:t>
      </w:r>
      <w:r w:rsidRPr="00ED3DF9">
        <w:rPr>
          <w:rFonts w:eastAsia="Times New Roman" w:cs="Arial"/>
          <w:color w:val="000000"/>
          <w:szCs w:val="20"/>
          <w:lang w:eastAsia="bg-BG"/>
        </w:rPr>
        <w:t xml:space="preserve"> Между мъже и жени са идентифицирани фармакокинетични разлики (привидният плазмен клирънс е приблизително 50% по-нисък при жени). Въз основа на припокриване по отношение на клирънса, основаните иа пола фармакокинетични разлики не оправдават препоръката за използване на по-ниска доза при жени пациенти.</w:t>
      </w:r>
    </w:p>
    <w:p w14:paraId="4AFCA797" w14:textId="77777777" w:rsidR="00ED3DF9" w:rsidRPr="00ED3DF9" w:rsidRDefault="00ED3DF9" w:rsidP="00ED3DF9">
      <w:pPr>
        <w:spacing w:line="240" w:lineRule="auto"/>
        <w:rPr>
          <w:rFonts w:eastAsia="Times New Roman" w:cs="Arial"/>
          <w:i/>
          <w:iCs/>
          <w:color w:val="000000"/>
          <w:szCs w:val="20"/>
          <w:lang w:eastAsia="bg-BG"/>
        </w:rPr>
      </w:pPr>
    </w:p>
    <w:p w14:paraId="72591DAD" w14:textId="26133C4A"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Възраст:</w:t>
      </w:r>
      <w:r w:rsidRPr="00ED3DF9">
        <w:rPr>
          <w:rFonts w:eastAsia="Times New Roman" w:cs="Arial"/>
          <w:color w:val="000000"/>
          <w:szCs w:val="20"/>
          <w:lang w:eastAsia="bg-BG"/>
        </w:rPr>
        <w:t xml:space="preserve"> Идентифицирани са фармакокинетични разлики между по-млади и по-възрастни жени (≥65 години) (повишение на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с около 25%, а полуживотът е около 25% по-дълъг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3F0FA9F6" w14:textId="77777777" w:rsidR="00ED3DF9" w:rsidRPr="00ED3DF9" w:rsidRDefault="00ED3DF9" w:rsidP="00ED3DF9">
      <w:pPr>
        <w:spacing w:line="240" w:lineRule="auto"/>
        <w:rPr>
          <w:rFonts w:eastAsia="Times New Roman" w:cs="Arial"/>
          <w:i/>
          <w:iCs/>
          <w:color w:val="000000"/>
          <w:szCs w:val="20"/>
          <w:lang w:eastAsia="bg-BG"/>
        </w:rPr>
      </w:pPr>
    </w:p>
    <w:p w14:paraId="5FD474B3" w14:textId="59B63B59"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Бъбречно увреждане:</w:t>
      </w:r>
      <w:r w:rsidRPr="00ED3DF9">
        <w:rPr>
          <w:rFonts w:eastAsia="Times New Roman" w:cs="Arial"/>
          <w:color w:val="000000"/>
          <w:szCs w:val="20"/>
          <w:lang w:eastAsia="bg-BG"/>
        </w:rPr>
        <w:t xml:space="preserve"> Пациентите с бъбречно заболяване в крайна фаза </w:t>
      </w:r>
      <w:r w:rsidRPr="00ED3DF9">
        <w:rPr>
          <w:rFonts w:eastAsia="Times New Roman" w:cs="Arial"/>
          <w:color w:val="000000"/>
          <w:szCs w:val="20"/>
          <w:lang w:val="ru-RU"/>
        </w:rPr>
        <w:t>(</w:t>
      </w:r>
      <w:r w:rsidRPr="00ED3DF9">
        <w:rPr>
          <w:rFonts w:eastAsia="Times New Roman" w:cs="Arial"/>
          <w:color w:val="000000"/>
          <w:szCs w:val="20"/>
          <w:lang w:val="en-US"/>
        </w:rPr>
        <w:t>End</w:t>
      </w:r>
      <w:r w:rsidRPr="00ED3DF9">
        <w:rPr>
          <w:rFonts w:eastAsia="Times New Roman" w:cs="Arial"/>
          <w:color w:val="000000"/>
          <w:szCs w:val="20"/>
          <w:lang w:val="ru-RU"/>
        </w:rPr>
        <w:t xml:space="preserve"> </w:t>
      </w:r>
      <w:r w:rsidRPr="00ED3DF9">
        <w:rPr>
          <w:rFonts w:eastAsia="Times New Roman" w:cs="Arial"/>
          <w:color w:val="000000"/>
          <w:szCs w:val="20"/>
          <w:lang w:val="en-US"/>
        </w:rPr>
        <w:t>stage</w:t>
      </w:r>
      <w:r w:rsidRPr="00ED3DF9">
        <w:rPr>
          <w:rFonts w:eastAsia="Times New Roman" w:cs="Arial"/>
          <w:color w:val="000000"/>
          <w:szCs w:val="20"/>
          <w:lang w:val="ru-RU"/>
        </w:rPr>
        <w:t xml:space="preserve"> </w:t>
      </w:r>
      <w:r w:rsidRPr="00ED3DF9">
        <w:rPr>
          <w:rFonts w:eastAsia="Times New Roman" w:cs="Arial"/>
          <w:color w:val="000000"/>
          <w:szCs w:val="20"/>
          <w:lang w:val="en-US"/>
        </w:rPr>
        <w:t>renal</w:t>
      </w:r>
      <w:r w:rsidRPr="00ED3DF9">
        <w:rPr>
          <w:rFonts w:eastAsia="Times New Roman" w:cs="Arial"/>
          <w:color w:val="000000"/>
          <w:szCs w:val="20"/>
          <w:lang w:val="ru-RU"/>
        </w:rPr>
        <w:t xml:space="preserve"> </w:t>
      </w:r>
      <w:r w:rsidRPr="00ED3DF9">
        <w:rPr>
          <w:rFonts w:eastAsia="Times New Roman" w:cs="Arial"/>
          <w:color w:val="000000"/>
          <w:szCs w:val="20"/>
          <w:lang w:val="en-US"/>
        </w:rPr>
        <w:t>disease</w:t>
      </w:r>
      <w:r w:rsidRPr="00ED3DF9">
        <w:rPr>
          <w:rFonts w:eastAsia="Times New Roman" w:cs="Arial"/>
          <w:color w:val="000000"/>
          <w:szCs w:val="20"/>
          <w:lang w:val="ru-RU"/>
        </w:rPr>
        <w:t xml:space="preserve">, </w:t>
      </w:r>
      <w:r w:rsidRPr="00ED3DF9">
        <w:rPr>
          <w:rFonts w:eastAsia="Times New Roman" w:cs="Arial"/>
          <w:color w:val="000000"/>
          <w:szCs w:val="20"/>
          <w:lang w:val="en-US"/>
        </w:rPr>
        <w:t>ESRD</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които са на диализа имат 2 пъта по-високи стойности на Стах и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за дулоксетин, в сравнение със здрави лица. При пациента с леко до умерено бъбречно увреждане фармакокинетичните данни за дулоксетин са ограничени.</w:t>
      </w:r>
    </w:p>
    <w:p w14:paraId="070B92AE" w14:textId="77777777" w:rsidR="00ED3DF9" w:rsidRPr="00ED3DF9" w:rsidRDefault="00ED3DF9" w:rsidP="00ED3DF9">
      <w:pPr>
        <w:spacing w:line="240" w:lineRule="auto"/>
        <w:rPr>
          <w:rFonts w:eastAsia="Times New Roman" w:cs="Arial"/>
          <w:i/>
          <w:iCs/>
          <w:color w:val="000000"/>
          <w:szCs w:val="20"/>
          <w:lang w:eastAsia="bg-BG"/>
        </w:rPr>
      </w:pPr>
    </w:p>
    <w:p w14:paraId="748DE4CB" w14:textId="56F81A08"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Чернодробно увреждане:</w:t>
      </w:r>
      <w:r w:rsidRPr="00ED3DF9">
        <w:rPr>
          <w:rFonts w:eastAsia="Times New Roman" w:cs="Arial"/>
          <w:color w:val="000000"/>
          <w:szCs w:val="20"/>
          <w:lang w:eastAsia="bg-BG"/>
        </w:rPr>
        <w:t xml:space="preserve"> Умерено чернодробно заболяване </w:t>
      </w:r>
      <w:r w:rsidRPr="00ED3DF9">
        <w:rPr>
          <w:rFonts w:eastAsia="Times New Roman" w:cs="Arial"/>
          <w:color w:val="000000"/>
          <w:szCs w:val="20"/>
          <w:lang w:val="ru-RU"/>
        </w:rPr>
        <w:t>(</w:t>
      </w:r>
      <w:r w:rsidRPr="00ED3DF9">
        <w:rPr>
          <w:rFonts w:eastAsia="Times New Roman" w:cs="Arial"/>
          <w:color w:val="000000"/>
          <w:szCs w:val="20"/>
          <w:lang w:val="en-US"/>
        </w:rPr>
        <w:t>Child</w:t>
      </w:r>
      <w:r w:rsidRPr="00ED3DF9">
        <w:rPr>
          <w:rFonts w:eastAsia="Times New Roman" w:cs="Arial"/>
          <w:color w:val="000000"/>
          <w:szCs w:val="20"/>
          <w:lang w:val="ru-RU"/>
        </w:rPr>
        <w:t xml:space="preserve"> </w:t>
      </w:r>
      <w:r w:rsidRPr="00ED3DF9">
        <w:rPr>
          <w:rFonts w:eastAsia="Times New Roman" w:cs="Arial"/>
          <w:color w:val="000000"/>
          <w:szCs w:val="20"/>
          <w:lang w:val="en-US"/>
        </w:rPr>
        <w:t>Pugh</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клас В) засяга фармакокинетиката на дулоксетин. В сравнение със здрави лица, при пациенти с умерено чернодробно заболяване привидният плазмен клирънс на дулоксетин е 79% по-нисък, привидният терминален полуживот е 2,3 пъти по-дълъг, </w:t>
      </w:r>
      <w:r w:rsidRPr="00ED3DF9">
        <w:rPr>
          <w:rFonts w:eastAsia="Times New Roman" w:cs="Arial"/>
          <w:color w:val="000000"/>
          <w:szCs w:val="20"/>
          <w:lang w:val="en-US"/>
        </w:rPr>
        <w:t>a</w:t>
      </w:r>
      <w:r w:rsidRPr="00ED3DF9">
        <w:rPr>
          <w:rFonts w:eastAsia="Times New Roman" w:cs="Arial"/>
          <w:color w:val="000000"/>
          <w:szCs w:val="20"/>
          <w:lang w:val="ru-RU"/>
        </w:rPr>
        <w:t xml:space="preserve">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3B191AC1" w14:textId="77777777" w:rsidR="00ED3DF9" w:rsidRPr="00ED3DF9" w:rsidRDefault="00ED3DF9" w:rsidP="00ED3DF9">
      <w:pPr>
        <w:spacing w:line="240" w:lineRule="auto"/>
        <w:rPr>
          <w:rFonts w:eastAsia="Times New Roman" w:cs="Arial"/>
          <w:i/>
          <w:iCs/>
          <w:color w:val="000000"/>
          <w:szCs w:val="20"/>
          <w:lang w:eastAsia="bg-BG"/>
        </w:rPr>
      </w:pPr>
    </w:p>
    <w:p w14:paraId="028F43EC" w14:textId="6206D4A8"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Кърмещи майки:</w:t>
      </w:r>
      <w:r w:rsidRPr="00ED3DF9">
        <w:rPr>
          <w:rFonts w:eastAsia="Times New Roman" w:cs="Arial"/>
          <w:color w:val="000000"/>
          <w:szCs w:val="20"/>
          <w:lang w:eastAsia="bg-BG"/>
        </w:rPr>
        <w:t xml:space="preserve"> Диспозицията на дулоксетин е изучавана при 6 лактиращи жени, които са били поне 12 седмици след раждане. Дулоксетин се открива в кърмата, и стационарните концентрации в кърмата са около една четвърт от тези в плазмата. </w:t>
      </w:r>
      <w:r w:rsidRPr="00ED3DF9">
        <w:rPr>
          <w:rFonts w:eastAsia="Times New Roman" w:cs="Arial"/>
          <w:color w:val="000000"/>
          <w:szCs w:val="20"/>
          <w:lang w:eastAsia="bg-BG"/>
        </w:rPr>
        <w:lastRenderedPageBreak/>
        <w:t>Количеството дулоксетин в кърмата е приблизително 7 μ</w:t>
      </w:r>
      <w:r w:rsidRPr="00ED3DF9">
        <w:rPr>
          <w:rFonts w:eastAsia="Times New Roman" w:cs="Arial"/>
          <w:color w:val="000000"/>
          <w:szCs w:val="20"/>
          <w:lang w:val="en-US"/>
        </w:rPr>
        <w:t>g</w:t>
      </w:r>
      <w:r w:rsidRPr="00ED3DF9">
        <w:rPr>
          <w:rFonts w:eastAsia="Times New Roman" w:cs="Arial"/>
          <w:color w:val="000000"/>
          <w:szCs w:val="20"/>
          <w:lang w:eastAsia="bg-BG"/>
        </w:rPr>
        <w:t xml:space="preserve">/ден при дозиране с 40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два пъти дневно. Лактацията не повлиява фармакокинетиката на дулоксетин.</w:t>
      </w:r>
    </w:p>
    <w:p w14:paraId="033569CA" w14:textId="77777777" w:rsidR="00ED3DF9" w:rsidRPr="00ED3DF9" w:rsidRDefault="00ED3DF9" w:rsidP="00ED3DF9">
      <w:pPr>
        <w:spacing w:line="240" w:lineRule="auto"/>
        <w:rPr>
          <w:rFonts w:eastAsia="Times New Roman" w:cs="Arial"/>
          <w:i/>
          <w:iCs/>
          <w:color w:val="000000"/>
          <w:szCs w:val="20"/>
          <w:lang w:eastAsia="bg-BG"/>
        </w:rPr>
      </w:pPr>
    </w:p>
    <w:p w14:paraId="4D2D7818" w14:textId="23F03E10" w:rsidR="00ED3DF9" w:rsidRDefault="00ED3DF9" w:rsidP="00ED3DF9">
      <w:pPr>
        <w:spacing w:line="240" w:lineRule="auto"/>
        <w:rPr>
          <w:rFonts w:eastAsia="Times New Roman" w:cs="Arial"/>
          <w:color w:val="000000"/>
          <w:szCs w:val="20"/>
          <w:lang w:eastAsia="bg-BG"/>
        </w:rPr>
      </w:pPr>
      <w:r w:rsidRPr="00ED3DF9">
        <w:rPr>
          <w:rFonts w:eastAsia="Times New Roman" w:cs="Arial"/>
          <w:i/>
          <w:iCs/>
          <w:color w:val="000000"/>
          <w:szCs w:val="20"/>
          <w:lang w:eastAsia="bg-BG"/>
        </w:rPr>
        <w:t>Педиатрична популация:</w:t>
      </w:r>
      <w:r w:rsidRPr="00ED3DF9">
        <w:rPr>
          <w:rFonts w:eastAsia="Times New Roman" w:cs="Arial"/>
          <w:color w:val="000000"/>
          <w:szCs w:val="20"/>
          <w:lang w:eastAsia="bg-BG"/>
        </w:rPr>
        <w:t xml:space="preserve"> Фармакокинетиката на дулоксетин при педиатрични пациенти на възраст от 7 до 17 години с голямо депресивно разстройство след перорално приложение при схема на дозиране 20 до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е характеризирана с помощта на анализи от популационно моделиране въз основа на данни от 3 проучвания. Предвидените от модела плазмени концентрации на дулоксетин в стационарно състояние при педиатрични пациенти в повечето случаи са в границите на концентрационния диапазон, наблюдаван при възрастни пациента.</w:t>
      </w:r>
    </w:p>
    <w:p w14:paraId="5289A6C8" w14:textId="77777777" w:rsidR="00ED3DF9" w:rsidRPr="00ED3DF9" w:rsidRDefault="00ED3DF9" w:rsidP="00ED3DF9">
      <w:pPr>
        <w:spacing w:line="240" w:lineRule="auto"/>
        <w:rPr>
          <w:rFonts w:eastAsia="Times New Roman" w:cs="Arial"/>
          <w:sz w:val="28"/>
          <w:szCs w:val="24"/>
        </w:rPr>
      </w:pPr>
    </w:p>
    <w:p w14:paraId="4FB791BE" w14:textId="05D01EA0" w:rsidR="00B6672E" w:rsidRDefault="002C50EE" w:rsidP="00936AD0">
      <w:pPr>
        <w:pStyle w:val="Heading2"/>
      </w:pPr>
      <w:r>
        <w:t>5.3. Предклинични данни за безопасност</w:t>
      </w:r>
    </w:p>
    <w:p w14:paraId="1C339D0B" w14:textId="031C7C53" w:rsidR="00ED3DF9" w:rsidRDefault="00ED3DF9" w:rsidP="00ED3DF9"/>
    <w:p w14:paraId="141B6E36" w14:textId="77777777" w:rsidR="00ED3DF9" w:rsidRPr="00ED3DF9" w:rsidRDefault="00ED3DF9" w:rsidP="00ED3DF9">
      <w:pPr>
        <w:rPr>
          <w:rFonts w:eastAsia="Times New Roman" w:cs="Arial"/>
          <w:sz w:val="28"/>
          <w:szCs w:val="24"/>
        </w:rPr>
      </w:pPr>
      <w:r w:rsidRPr="00ED3DF9">
        <w:rPr>
          <w:rFonts w:eastAsia="Times New Roman" w:cs="Arial"/>
          <w:color w:val="000000"/>
          <w:szCs w:val="2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хепатоцелуларии аденоми и карциноми само при високите дози (144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/ден), но те са считат като вторични на чернодробната микрозомална ензимна индукция. Значимостта на тези данни при мишки по отношение на хората не е известна.</w:t>
      </w:r>
      <w:r w:rsidRPr="00ED3DF9">
        <w:rPr>
          <w:rFonts w:eastAsia="Times New Roman" w:cs="Arial"/>
          <w:color w:val="000000"/>
          <w:szCs w:val="20"/>
          <w:vertAlign w:val="superscript"/>
          <w:lang w:eastAsia="bg-BG"/>
        </w:rPr>
        <w:t xml:space="preserve"> </w:t>
      </w:r>
      <w:r w:rsidRPr="00ED3DF9">
        <w:rPr>
          <w:rFonts w:eastAsia="Times New Roman" w:cs="Arial"/>
          <w:color w:val="000000"/>
          <w:szCs w:val="20"/>
          <w:lang w:eastAsia="bg-BG"/>
        </w:rPr>
        <w:t xml:space="preserve">Женски плъхове, получавали дулоксетин (45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 xml:space="preserve">/ден) преди и при чифтосване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 едно проучване за ембриотоксичност при зайци са наблюдавани по- висока честота на сърдечно-съдови и скелетни малформации при нива на системна експозиция под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Не са наблюдавани малформации в друго проучване за изпитване на по-високи дози на друга сол на дулоксетин. При пренатални/постнатални токсикологични проучвания при плъхове, дулоксетин индуцира нежелани поведенчески реакции в поколението при експозиция под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w:t>
      </w:r>
    </w:p>
    <w:p w14:paraId="1E09DD3C" w14:textId="7B5FD5FF"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 xml:space="preserve">/дневно. Общият профил на токсичност на дулоксетин при млади плъхове е подобен на този при възрастни плъхове. Определено е, че нивото на липса на нежелани реакции е 20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/ден.</w:t>
      </w:r>
    </w:p>
    <w:p w14:paraId="76DA4102" w14:textId="77777777" w:rsidR="00ED3DF9" w:rsidRPr="00ED3DF9" w:rsidRDefault="00ED3DF9" w:rsidP="00ED3DF9"/>
    <w:p w14:paraId="1BA6531D" w14:textId="27DE9366" w:rsidR="00B6672E" w:rsidRDefault="002C50EE" w:rsidP="00936AD0">
      <w:pPr>
        <w:pStyle w:val="Heading1"/>
      </w:pPr>
      <w:r>
        <w:t>7. ПРИТЕЖАТЕЛ НА РАЗРЕШЕНИЕТО ЗА УПОТРЕБА</w:t>
      </w:r>
    </w:p>
    <w:p w14:paraId="20C98600" w14:textId="6E266E96" w:rsidR="00ED3DF9" w:rsidRDefault="00ED3DF9" w:rsidP="00ED3DF9"/>
    <w:p w14:paraId="536D605C" w14:textId="437FCF08" w:rsidR="00ED3DF9" w:rsidRPr="00ED3DF9" w:rsidRDefault="00ED3DF9" w:rsidP="00ED3DF9">
      <w:pPr>
        <w:rPr>
          <w:sz w:val="24"/>
          <w:szCs w:val="24"/>
        </w:rPr>
      </w:pPr>
      <w:r w:rsidRPr="00ED3DF9">
        <w:rPr>
          <w:lang w:val="en-US"/>
        </w:rPr>
        <w:t>G</w:t>
      </w:r>
      <w:r w:rsidRPr="00ED3DF9">
        <w:t>.</w:t>
      </w:r>
      <w:r w:rsidRPr="00ED3DF9">
        <w:rPr>
          <w:lang w:val="en-US"/>
        </w:rPr>
        <w:t>L</w:t>
      </w:r>
      <w:r w:rsidRPr="00ED3DF9">
        <w:t xml:space="preserve">. </w:t>
      </w:r>
      <w:r w:rsidRPr="00ED3DF9">
        <w:rPr>
          <w:lang w:val="en-US"/>
        </w:rPr>
        <w:t>Pharma</w:t>
      </w:r>
      <w:r w:rsidRPr="00ED3DF9">
        <w:t xml:space="preserve"> </w:t>
      </w:r>
      <w:r w:rsidRPr="00ED3DF9">
        <w:rPr>
          <w:lang w:val="en-US"/>
        </w:rPr>
        <w:t>GmbH</w:t>
      </w:r>
      <w:r w:rsidRPr="00ED3DF9">
        <w:t xml:space="preserve">, </w:t>
      </w:r>
      <w:proofErr w:type="spellStart"/>
      <w:r w:rsidRPr="00ED3DF9">
        <w:rPr>
          <w:lang w:val="en-US"/>
        </w:rPr>
        <w:t>Schlossplatz</w:t>
      </w:r>
      <w:proofErr w:type="spellEnd"/>
      <w:r w:rsidRPr="00ED3DF9">
        <w:t xml:space="preserve"> </w:t>
      </w:r>
      <w:r w:rsidRPr="00ED3DF9">
        <w:rPr>
          <w:lang w:eastAsia="bg-BG"/>
        </w:rPr>
        <w:t xml:space="preserve">1, 8502 </w:t>
      </w:r>
      <w:proofErr w:type="spellStart"/>
      <w:r w:rsidRPr="00ED3DF9">
        <w:rPr>
          <w:lang w:val="en-US"/>
        </w:rPr>
        <w:t>Lannach</w:t>
      </w:r>
      <w:proofErr w:type="spellEnd"/>
      <w:r w:rsidRPr="00ED3DF9">
        <w:t xml:space="preserve">, </w:t>
      </w:r>
      <w:r w:rsidRPr="00ED3DF9">
        <w:rPr>
          <w:lang w:eastAsia="bg-BG"/>
        </w:rPr>
        <w:t>Австрия</w:t>
      </w:r>
    </w:p>
    <w:p w14:paraId="508F3A54" w14:textId="19363290" w:rsidR="00B6672E" w:rsidRDefault="00936AD0" w:rsidP="00936AD0">
      <w:pPr>
        <w:pStyle w:val="Heading1"/>
      </w:pPr>
      <w:r>
        <w:t>8.</w:t>
      </w:r>
      <w:r w:rsidR="002C50EE">
        <w:t>НОМЕР НА РАЗРЕШЕНИЕТО ЗА УПОТРЕБА</w:t>
      </w:r>
    </w:p>
    <w:p w14:paraId="4F3E6AD2" w14:textId="2894D015" w:rsidR="00ED3DF9" w:rsidRDefault="00ED3DF9" w:rsidP="00ED3DF9"/>
    <w:p w14:paraId="6FFF8EA4" w14:textId="13DADC9D" w:rsidR="00ED3DF9" w:rsidRPr="00ED3DF9" w:rsidRDefault="00ED3DF9" w:rsidP="00ED3DF9">
      <w:r>
        <w:lastRenderedPageBreak/>
        <w:t>20150373, 20150374</w:t>
      </w:r>
    </w:p>
    <w:p w14:paraId="2CCB5832" w14:textId="4E4E1E91" w:rsidR="007C605B" w:rsidRDefault="002C50EE" w:rsidP="007C605B">
      <w:pPr>
        <w:pStyle w:val="Heading1"/>
      </w:pPr>
      <w:r>
        <w:t>9. ДАТА НА ПЪРВО РАЗРЕШАВАНЕ/ПОДНОВЯВАНЕ НА РАЗРЕШЕНИЕТО ЗА УПОТРЕБА</w:t>
      </w:r>
    </w:p>
    <w:p w14:paraId="25F78EF9" w14:textId="2534A852" w:rsidR="00ED3DF9" w:rsidRDefault="00ED3DF9" w:rsidP="00ED3DF9"/>
    <w:p w14:paraId="702A1EAA" w14:textId="4B0113C3" w:rsidR="00ED3DF9" w:rsidRPr="00ED3DF9" w:rsidRDefault="00ED3DF9" w:rsidP="00ED3DF9">
      <w:r>
        <w:t>05.11.2015</w:t>
      </w:r>
    </w:p>
    <w:p w14:paraId="0E9D0119" w14:textId="0245C6D7" w:rsidR="002C50EE" w:rsidRDefault="002C50EE" w:rsidP="002C50EE">
      <w:pPr>
        <w:pStyle w:val="Heading1"/>
      </w:pPr>
      <w:r>
        <w:t>10. ДАТА НА АКТУАЛИЗИРАНЕ НА ТЕКСТА</w:t>
      </w:r>
    </w:p>
    <w:bookmarkEnd w:id="0"/>
    <w:p w14:paraId="43FB38A2" w14:textId="08DBA3A2" w:rsidR="007C605B" w:rsidRPr="003E3126" w:rsidRDefault="00ED3DF9" w:rsidP="00ED3DF9">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37181"/>
    <w:multiLevelType w:val="hybridMultilevel"/>
    <w:tmpl w:val="66E0094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12CA"/>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ED17BA"/>
    <w:rsid w:val="00ED3DF9"/>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8211</Words>
  <Characters>46805</Characters>
  <Application>Microsoft Office Word</Application>
  <DocSecurity>0</DocSecurity>
  <Lines>390</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2022-07-31T23:14:00Z</dcterms:created>
  <dcterms:modified xsi:type="dcterms:W3CDTF">2022-07-31T23:14:00Z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