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333FE10" w:rsidR="007122AD" w:rsidRDefault="00DD466D" w:rsidP="00936AD0">
      <w:pPr>
        <w:pStyle w:val="Heading1"/>
      </w:pPr>
      <w:r>
        <w:t>1.ИМЕ НА ЛЕКАРСТВЕНИЯ ПРОДУКТ</w:t>
      </w:r>
    </w:p>
    <w:p w14:paraId="5CA6A44C" w14:textId="7FF9D471" w:rsidR="003C0F94" w:rsidRDefault="003C0F94" w:rsidP="003C0F94"/>
    <w:p w14:paraId="6E60C1A7" w14:textId="77777777" w:rsidR="003C0F94" w:rsidRPr="003C0F94" w:rsidRDefault="003C0F94" w:rsidP="003C0F94">
      <w:pPr>
        <w:rPr>
          <w:sz w:val="24"/>
          <w:szCs w:val="24"/>
        </w:rPr>
      </w:pPr>
      <w:r w:rsidRPr="003C0F94">
        <w:rPr>
          <w:lang w:eastAsia="bg-BG"/>
        </w:rPr>
        <w:t xml:space="preserve">Дулодет 30 </w:t>
      </w:r>
      <w:r w:rsidRPr="003C0F94">
        <w:rPr>
          <w:lang w:val="en-US"/>
        </w:rPr>
        <w:t>mg</w:t>
      </w:r>
      <w:r w:rsidRPr="003C0F94">
        <w:rPr>
          <w:lang w:val="ru-RU"/>
        </w:rPr>
        <w:t xml:space="preserve"> </w:t>
      </w:r>
      <w:r w:rsidRPr="003C0F94">
        <w:rPr>
          <w:lang w:eastAsia="bg-BG"/>
        </w:rPr>
        <w:t>твърди стомашно-устойчиви капсули</w:t>
      </w:r>
    </w:p>
    <w:p w14:paraId="10F213FD" w14:textId="77777777" w:rsidR="003C0F94" w:rsidRPr="003C0F94" w:rsidRDefault="003C0F94" w:rsidP="003C0F94">
      <w:pPr>
        <w:rPr>
          <w:sz w:val="24"/>
          <w:szCs w:val="24"/>
        </w:rPr>
      </w:pPr>
      <w:r w:rsidRPr="003C0F94">
        <w:rPr>
          <w:lang w:eastAsia="bg-BG"/>
        </w:rPr>
        <w:t xml:space="preserve">Дулодет 60 </w:t>
      </w:r>
      <w:r w:rsidRPr="003C0F94">
        <w:rPr>
          <w:lang w:val="en-US"/>
        </w:rPr>
        <w:t>mg</w:t>
      </w:r>
      <w:r w:rsidRPr="003C0F94">
        <w:rPr>
          <w:lang w:val="ru-RU"/>
        </w:rPr>
        <w:t xml:space="preserve"> </w:t>
      </w:r>
      <w:r w:rsidRPr="003C0F94">
        <w:rPr>
          <w:lang w:eastAsia="bg-BG"/>
        </w:rPr>
        <w:t>твърди стомашно-устойчиви капсули</w:t>
      </w:r>
    </w:p>
    <w:p w14:paraId="3BEC46BC" w14:textId="77777777" w:rsidR="003C0F94" w:rsidRDefault="003C0F94" w:rsidP="003C0F94">
      <w:pPr>
        <w:rPr>
          <w:lang w:val="en-US"/>
        </w:rPr>
      </w:pPr>
    </w:p>
    <w:p w14:paraId="31F58F2D" w14:textId="0ECF25DD" w:rsidR="003C0F94" w:rsidRPr="003C0F94" w:rsidRDefault="003C0F94" w:rsidP="003C0F94">
      <w:pPr>
        <w:rPr>
          <w:sz w:val="24"/>
          <w:szCs w:val="24"/>
        </w:rPr>
      </w:pPr>
      <w:proofErr w:type="spellStart"/>
      <w:r w:rsidRPr="003C0F94">
        <w:rPr>
          <w:lang w:val="en-US"/>
        </w:rPr>
        <w:t>Dulodet</w:t>
      </w:r>
      <w:proofErr w:type="spellEnd"/>
      <w:r w:rsidRPr="003C0F94">
        <w:rPr>
          <w:lang w:val="en-US"/>
        </w:rPr>
        <w:t xml:space="preserve"> </w:t>
      </w:r>
      <w:r w:rsidRPr="003C0F94">
        <w:rPr>
          <w:lang w:eastAsia="bg-BG"/>
        </w:rPr>
        <w:t xml:space="preserve">30 </w:t>
      </w:r>
      <w:r w:rsidRPr="003C0F94">
        <w:rPr>
          <w:lang w:val="en-US"/>
        </w:rPr>
        <w:t>mg gastro-resistant hard capsules</w:t>
      </w:r>
    </w:p>
    <w:p w14:paraId="2E57F547" w14:textId="34828904" w:rsidR="003C0F94" w:rsidRPr="003C0F94" w:rsidRDefault="003C0F94" w:rsidP="003C0F94">
      <w:proofErr w:type="spellStart"/>
      <w:r w:rsidRPr="003C0F94">
        <w:rPr>
          <w:lang w:val="en-US"/>
        </w:rPr>
        <w:t>Dulodet</w:t>
      </w:r>
      <w:proofErr w:type="spellEnd"/>
      <w:r w:rsidRPr="003C0F94">
        <w:rPr>
          <w:lang w:val="en-US"/>
        </w:rPr>
        <w:t xml:space="preserve"> 60 mg gastro-resistant hard capsules</w:t>
      </w:r>
    </w:p>
    <w:p w14:paraId="6920A680" w14:textId="72625DA8" w:rsidR="00C40420" w:rsidRDefault="00DD466D" w:rsidP="004A448E">
      <w:pPr>
        <w:pStyle w:val="Heading1"/>
      </w:pPr>
      <w:r>
        <w:t>2. КАЧЕСТВЕН И КОЛИЧЕСТВЕН СЪСТАВ</w:t>
      </w:r>
    </w:p>
    <w:p w14:paraId="42AFDB2F" w14:textId="6F787C4D" w:rsidR="003C0F94" w:rsidRDefault="003C0F94" w:rsidP="003C0F94"/>
    <w:p w14:paraId="4E037885"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30 </w:t>
      </w:r>
      <w:r w:rsidRPr="003C0F94">
        <w:rPr>
          <w:rFonts w:eastAsia="Times New Roman" w:cs="Arial"/>
          <w:color w:val="000000"/>
          <w:szCs w:val="20"/>
          <w:lang w:val="en-US"/>
        </w:rPr>
        <w:t>mg</w:t>
      </w:r>
      <w:r w:rsidRPr="003C0F94">
        <w:rPr>
          <w:rFonts w:eastAsia="Times New Roman" w:cs="Arial"/>
          <w:color w:val="000000"/>
          <w:szCs w:val="20"/>
        </w:rPr>
        <w:t xml:space="preserve"> </w:t>
      </w:r>
      <w:r w:rsidRPr="003C0F94">
        <w:rPr>
          <w:rFonts w:eastAsia="Times New Roman" w:cs="Arial"/>
          <w:color w:val="000000"/>
          <w:szCs w:val="20"/>
          <w:lang w:eastAsia="bg-BG"/>
        </w:rPr>
        <w:t xml:space="preserve">дулоксетин </w:t>
      </w:r>
      <w:r w:rsidRPr="003C0F94">
        <w:rPr>
          <w:rFonts w:eastAsia="Times New Roman" w:cs="Arial"/>
          <w:i/>
          <w:iCs/>
          <w:color w:val="000000"/>
          <w:szCs w:val="20"/>
        </w:rPr>
        <w:t>(</w:t>
      </w:r>
      <w:r w:rsidRPr="003C0F94">
        <w:rPr>
          <w:rFonts w:eastAsia="Times New Roman" w:cs="Arial"/>
          <w:i/>
          <w:iCs/>
          <w:color w:val="000000"/>
          <w:szCs w:val="20"/>
          <w:lang w:val="en-US"/>
        </w:rPr>
        <w:t>duloxetine</w:t>
      </w:r>
      <w:r w:rsidRPr="003C0F94">
        <w:rPr>
          <w:rFonts w:eastAsia="Times New Roman" w:cs="Arial"/>
          <w:i/>
          <w:iCs/>
          <w:color w:val="000000"/>
          <w:szCs w:val="20"/>
        </w:rPr>
        <w:t>)</w:t>
      </w:r>
      <w:r w:rsidRPr="003C0F94">
        <w:rPr>
          <w:rFonts w:eastAsia="Times New Roman" w:cs="Arial"/>
          <w:color w:val="000000"/>
          <w:szCs w:val="20"/>
        </w:rPr>
        <w:t xml:space="preserve"> </w:t>
      </w:r>
      <w:r w:rsidRPr="003C0F94">
        <w:rPr>
          <w:rFonts w:eastAsia="Times New Roman" w:cs="Arial"/>
          <w:color w:val="000000"/>
          <w:szCs w:val="20"/>
          <w:lang w:eastAsia="bg-BG"/>
        </w:rPr>
        <w:t>(като хидрохлорид).</w:t>
      </w:r>
    </w:p>
    <w:p w14:paraId="76336326"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60 </w:t>
      </w:r>
      <w:r w:rsidRPr="003C0F94">
        <w:rPr>
          <w:rFonts w:eastAsia="Times New Roman" w:cs="Arial"/>
          <w:color w:val="000000"/>
          <w:szCs w:val="20"/>
          <w:lang w:val="en-US"/>
        </w:rPr>
        <w:t>mg</w:t>
      </w:r>
      <w:r w:rsidRPr="003C0F94">
        <w:rPr>
          <w:rFonts w:eastAsia="Times New Roman" w:cs="Arial"/>
          <w:color w:val="000000"/>
          <w:szCs w:val="20"/>
        </w:rPr>
        <w:t xml:space="preserve"> </w:t>
      </w:r>
      <w:r w:rsidRPr="003C0F94">
        <w:rPr>
          <w:rFonts w:eastAsia="Times New Roman" w:cs="Arial"/>
          <w:color w:val="000000"/>
          <w:szCs w:val="20"/>
          <w:lang w:eastAsia="bg-BG"/>
        </w:rPr>
        <w:t xml:space="preserve">дулоксетин </w:t>
      </w:r>
      <w:r w:rsidRPr="003C0F94">
        <w:rPr>
          <w:rFonts w:eastAsia="Times New Roman" w:cs="Arial"/>
          <w:i/>
          <w:iCs/>
          <w:color w:val="000000"/>
          <w:szCs w:val="20"/>
        </w:rPr>
        <w:t>(</w:t>
      </w:r>
      <w:r w:rsidRPr="003C0F94">
        <w:rPr>
          <w:rFonts w:eastAsia="Times New Roman" w:cs="Arial"/>
          <w:i/>
          <w:iCs/>
          <w:color w:val="000000"/>
          <w:szCs w:val="20"/>
          <w:lang w:val="en-US"/>
        </w:rPr>
        <w:t>duloxetine</w:t>
      </w:r>
      <w:r w:rsidRPr="003C0F94">
        <w:rPr>
          <w:rFonts w:eastAsia="Times New Roman" w:cs="Arial"/>
          <w:i/>
          <w:iCs/>
          <w:color w:val="000000"/>
          <w:szCs w:val="20"/>
        </w:rPr>
        <w:t>)</w:t>
      </w:r>
      <w:r w:rsidRPr="003C0F94">
        <w:rPr>
          <w:rFonts w:eastAsia="Times New Roman" w:cs="Arial"/>
          <w:color w:val="000000"/>
          <w:szCs w:val="20"/>
        </w:rPr>
        <w:t xml:space="preserve"> </w:t>
      </w:r>
      <w:r w:rsidRPr="003C0F94">
        <w:rPr>
          <w:rFonts w:eastAsia="Times New Roman" w:cs="Arial"/>
          <w:color w:val="000000"/>
          <w:szCs w:val="20"/>
          <w:lang w:eastAsia="bg-BG"/>
        </w:rPr>
        <w:t>(като хидрохлорид).</w:t>
      </w:r>
    </w:p>
    <w:p w14:paraId="5F4C6EC6" w14:textId="77777777" w:rsidR="003C0F94" w:rsidRPr="003C0F94" w:rsidRDefault="003C0F94" w:rsidP="003C0F94">
      <w:pPr>
        <w:spacing w:line="240" w:lineRule="auto"/>
        <w:rPr>
          <w:rFonts w:eastAsia="Times New Roman" w:cs="Arial"/>
          <w:color w:val="000000"/>
          <w:szCs w:val="20"/>
          <w:u w:val="single"/>
          <w:lang w:eastAsia="bg-BG"/>
        </w:rPr>
      </w:pPr>
    </w:p>
    <w:p w14:paraId="2C6FAB08" w14:textId="0AA461E6"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Помощно вещество с известно действие</w:t>
      </w:r>
    </w:p>
    <w:p w14:paraId="5301200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от 52,38 до 70,92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захароза.</w:t>
      </w:r>
    </w:p>
    <w:p w14:paraId="6D37A43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Всяка капсула съдържа от 104,74 до 141,83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захароза.</w:t>
      </w:r>
    </w:p>
    <w:p w14:paraId="7C459B31" w14:textId="77777777" w:rsidR="003C0F94" w:rsidRPr="003C0F94" w:rsidRDefault="003C0F94" w:rsidP="003C0F94"/>
    <w:p w14:paraId="614984C4" w14:textId="2B5DB602" w:rsidR="008A6AF2" w:rsidRDefault="00DD466D" w:rsidP="002C50EE">
      <w:pPr>
        <w:pStyle w:val="Heading1"/>
      </w:pPr>
      <w:r>
        <w:t>3. ЛЕКАРСТВЕНА ФОРМА</w:t>
      </w:r>
    </w:p>
    <w:p w14:paraId="451C2C70" w14:textId="64E1A9FD" w:rsidR="003C0F94" w:rsidRDefault="003C0F94" w:rsidP="003C0F94"/>
    <w:p w14:paraId="223EC02C" w14:textId="77777777" w:rsidR="003C0F94" w:rsidRPr="003C0F94" w:rsidRDefault="003C0F94" w:rsidP="003C0F94">
      <w:pPr>
        <w:rPr>
          <w:sz w:val="24"/>
          <w:szCs w:val="24"/>
        </w:rPr>
      </w:pPr>
      <w:r w:rsidRPr="003C0F94">
        <w:rPr>
          <w:lang w:eastAsia="bg-BG"/>
        </w:rPr>
        <w:t>Твърда стомашно-устойчива капсула.</w:t>
      </w:r>
    </w:p>
    <w:p w14:paraId="17F03043" w14:textId="77777777" w:rsidR="003C0F94" w:rsidRDefault="003C0F94" w:rsidP="003C0F94">
      <w:pPr>
        <w:rPr>
          <w:lang w:eastAsia="bg-BG"/>
        </w:rPr>
      </w:pPr>
    </w:p>
    <w:p w14:paraId="5C5F0FA8" w14:textId="025BD467" w:rsidR="003C0F94" w:rsidRPr="003C0F94" w:rsidRDefault="003C0F94" w:rsidP="003C0F94">
      <w:pPr>
        <w:rPr>
          <w:sz w:val="24"/>
          <w:szCs w:val="24"/>
        </w:rPr>
      </w:pPr>
      <w:r w:rsidRPr="003C0F94">
        <w:rPr>
          <w:lang w:eastAsia="bg-BG"/>
        </w:rPr>
        <w:t xml:space="preserve">Твърда желатинова капсула №3, с жълт мастилен надпис </w:t>
      </w:r>
      <w:r w:rsidRPr="003C0F94">
        <w:rPr>
          <w:lang w:val="ru-RU"/>
        </w:rPr>
        <w:t>„</w:t>
      </w:r>
      <w:r w:rsidRPr="003C0F94">
        <w:rPr>
          <w:lang w:val="en-US"/>
        </w:rPr>
        <w:t>DLX</w:t>
      </w:r>
      <w:r w:rsidRPr="003C0F94">
        <w:rPr>
          <w:lang w:val="ru-RU"/>
        </w:rPr>
        <w:t xml:space="preserve">“ </w:t>
      </w:r>
      <w:r w:rsidRPr="003C0F94">
        <w:rPr>
          <w:lang w:eastAsia="bg-BG"/>
        </w:rPr>
        <w:t xml:space="preserve">върху непрозрачното синьо капаче и „30 </w:t>
      </w:r>
      <w:r w:rsidRPr="003C0F94">
        <w:rPr>
          <w:lang w:val="en-US"/>
        </w:rPr>
        <w:t>mg</w:t>
      </w:r>
      <w:r w:rsidRPr="003C0F94">
        <w:rPr>
          <w:lang w:val="ru-RU"/>
        </w:rPr>
        <w:t xml:space="preserve">“ </w:t>
      </w:r>
      <w:r w:rsidRPr="003C0F94">
        <w:rPr>
          <w:lang w:eastAsia="bg-BG"/>
        </w:rPr>
        <w:t>върху непрозрачното бяло тяло.</w:t>
      </w:r>
    </w:p>
    <w:p w14:paraId="45E8784C" w14:textId="77777777" w:rsidR="003C0F94" w:rsidRPr="003C0F94" w:rsidRDefault="003C0F94" w:rsidP="003C0F94">
      <w:pPr>
        <w:rPr>
          <w:sz w:val="24"/>
          <w:szCs w:val="24"/>
        </w:rPr>
      </w:pPr>
      <w:r w:rsidRPr="003C0F94">
        <w:rPr>
          <w:lang w:eastAsia="bg-BG"/>
        </w:rPr>
        <w:t xml:space="preserve">Твърда желатинова капсула №1, с бял мастилен надпис </w:t>
      </w:r>
      <w:r w:rsidRPr="003C0F94">
        <w:rPr>
          <w:lang w:val="ru-RU"/>
        </w:rPr>
        <w:t>„</w:t>
      </w:r>
      <w:r w:rsidRPr="003C0F94">
        <w:rPr>
          <w:lang w:val="en-US"/>
        </w:rPr>
        <w:t>DLX</w:t>
      </w:r>
      <w:r w:rsidRPr="003C0F94">
        <w:rPr>
          <w:lang w:val="ru-RU"/>
        </w:rPr>
        <w:t xml:space="preserve">“ </w:t>
      </w:r>
      <w:r w:rsidRPr="003C0F94">
        <w:rPr>
          <w:lang w:eastAsia="bg-BG"/>
        </w:rPr>
        <w:t xml:space="preserve">върху непрозрачното синьо капаче и „60 </w:t>
      </w:r>
      <w:r w:rsidRPr="003C0F94">
        <w:rPr>
          <w:lang w:val="en-US"/>
        </w:rPr>
        <w:t>mg</w:t>
      </w:r>
      <w:r w:rsidRPr="003C0F94">
        <w:rPr>
          <w:lang w:val="ru-RU"/>
        </w:rPr>
        <w:t xml:space="preserve">“ </w:t>
      </w:r>
      <w:r w:rsidRPr="003C0F94">
        <w:rPr>
          <w:lang w:eastAsia="bg-BG"/>
        </w:rPr>
        <w:t>върху непрозрачното зелено тяло;</w:t>
      </w:r>
    </w:p>
    <w:p w14:paraId="40433EEE" w14:textId="77777777" w:rsidR="003C0F94" w:rsidRPr="003C0F94" w:rsidRDefault="003C0F94" w:rsidP="003C0F94"/>
    <w:p w14:paraId="490FC2C4" w14:textId="0F4A4A75" w:rsidR="002C50EE" w:rsidRDefault="002C50EE" w:rsidP="002C50EE">
      <w:pPr>
        <w:pStyle w:val="Heading1"/>
      </w:pPr>
      <w:r>
        <w:t>4. КЛИНИЧНИ ДАННИ</w:t>
      </w:r>
    </w:p>
    <w:p w14:paraId="74330405" w14:textId="747840B2" w:rsidR="007122AD" w:rsidRDefault="002C50EE" w:rsidP="00936AD0">
      <w:pPr>
        <w:pStyle w:val="Heading2"/>
      </w:pPr>
      <w:r>
        <w:t>4.1. Терапевтични показания</w:t>
      </w:r>
    </w:p>
    <w:p w14:paraId="4456F303" w14:textId="56B587CA" w:rsidR="003C0F94" w:rsidRDefault="003C0F94" w:rsidP="003C0F94"/>
    <w:p w14:paraId="31A39174" w14:textId="77777777" w:rsidR="003C0F94" w:rsidRPr="003C0F94" w:rsidRDefault="003C0F94" w:rsidP="003C0F94">
      <w:pPr>
        <w:rPr>
          <w:sz w:val="24"/>
          <w:szCs w:val="24"/>
        </w:rPr>
      </w:pPr>
      <w:r w:rsidRPr="003C0F94">
        <w:rPr>
          <w:lang w:eastAsia="bg-BG"/>
        </w:rPr>
        <w:t>Лечение на голямо депресивно разстройство.</w:t>
      </w:r>
    </w:p>
    <w:p w14:paraId="6B0FE77B" w14:textId="77777777" w:rsidR="003C0F94" w:rsidRPr="003C0F94" w:rsidRDefault="003C0F94" w:rsidP="003C0F94">
      <w:pPr>
        <w:rPr>
          <w:sz w:val="24"/>
          <w:szCs w:val="24"/>
        </w:rPr>
      </w:pPr>
      <w:r w:rsidRPr="003C0F94">
        <w:rPr>
          <w:lang w:eastAsia="bg-BG"/>
        </w:rPr>
        <w:t>Лечение на диабетна периферна невропатна болка.</w:t>
      </w:r>
    </w:p>
    <w:p w14:paraId="5C303971" w14:textId="77777777" w:rsidR="003C0F94" w:rsidRPr="003C0F94" w:rsidRDefault="003C0F94" w:rsidP="003C0F94">
      <w:pPr>
        <w:rPr>
          <w:sz w:val="24"/>
          <w:szCs w:val="24"/>
        </w:rPr>
      </w:pPr>
      <w:r w:rsidRPr="003C0F94">
        <w:rPr>
          <w:lang w:eastAsia="bg-BG"/>
        </w:rPr>
        <w:t>Лечение на генерализирано тревожно разстройство.</w:t>
      </w:r>
    </w:p>
    <w:p w14:paraId="1E645FA8" w14:textId="77777777" w:rsidR="003C0F94" w:rsidRDefault="003C0F94" w:rsidP="003C0F94">
      <w:pPr>
        <w:rPr>
          <w:lang w:eastAsia="bg-BG"/>
        </w:rPr>
      </w:pPr>
    </w:p>
    <w:p w14:paraId="41188349" w14:textId="6BEA8104" w:rsidR="003C0F94" w:rsidRPr="003C0F94" w:rsidRDefault="003C0F94" w:rsidP="003C0F94">
      <w:pPr>
        <w:rPr>
          <w:sz w:val="24"/>
          <w:szCs w:val="24"/>
        </w:rPr>
      </w:pPr>
      <w:r w:rsidRPr="003C0F94">
        <w:rPr>
          <w:lang w:eastAsia="bg-BG"/>
        </w:rPr>
        <w:t>Дулодет е показан за употреба при възрастни.</w:t>
      </w:r>
    </w:p>
    <w:p w14:paraId="64715C30" w14:textId="77777777" w:rsidR="003C0F94" w:rsidRPr="003C0F94" w:rsidRDefault="003C0F94" w:rsidP="003C0F94">
      <w:pPr>
        <w:rPr>
          <w:sz w:val="24"/>
          <w:szCs w:val="24"/>
        </w:rPr>
      </w:pPr>
      <w:r w:rsidRPr="003C0F94">
        <w:rPr>
          <w:lang w:eastAsia="bg-BG"/>
        </w:rPr>
        <w:t>За допълнителна информация вижте точка 5.1.</w:t>
      </w:r>
    </w:p>
    <w:p w14:paraId="0D273816" w14:textId="77777777" w:rsidR="003C0F94" w:rsidRPr="003C0F94" w:rsidRDefault="003C0F94" w:rsidP="003C0F94"/>
    <w:p w14:paraId="53F5B866" w14:textId="0BB66469" w:rsidR="007122AD" w:rsidRDefault="002C50EE" w:rsidP="00936AD0">
      <w:pPr>
        <w:pStyle w:val="Heading2"/>
      </w:pPr>
      <w:r>
        <w:t>4.2. Дозировка и начин на приложение</w:t>
      </w:r>
    </w:p>
    <w:p w14:paraId="6F36C258" w14:textId="22CA9EA2" w:rsidR="003C0F94" w:rsidRDefault="003C0F94" w:rsidP="003C0F94"/>
    <w:p w14:paraId="0F993E3E" w14:textId="77777777" w:rsidR="003C0F94" w:rsidRPr="003C0F94" w:rsidRDefault="003C0F94" w:rsidP="003C0F94">
      <w:pPr>
        <w:pStyle w:val="Heading3"/>
        <w:rPr>
          <w:rFonts w:eastAsia="Times New Roman"/>
          <w:sz w:val="28"/>
          <w:u w:val="single"/>
        </w:rPr>
      </w:pPr>
      <w:r w:rsidRPr="003C0F94">
        <w:rPr>
          <w:rFonts w:eastAsia="Times New Roman"/>
          <w:u w:val="single"/>
          <w:lang w:eastAsia="bg-BG"/>
        </w:rPr>
        <w:t>Дозировка</w:t>
      </w:r>
    </w:p>
    <w:p w14:paraId="3DCA53C2" w14:textId="77777777" w:rsidR="003C0F94" w:rsidRPr="003C0F94" w:rsidRDefault="003C0F94" w:rsidP="003C0F94">
      <w:pPr>
        <w:spacing w:line="240" w:lineRule="auto"/>
        <w:rPr>
          <w:rFonts w:eastAsia="Times New Roman" w:cs="Arial"/>
          <w:i/>
          <w:iCs/>
          <w:color w:val="000000"/>
          <w:szCs w:val="20"/>
          <w:lang w:eastAsia="bg-BG"/>
        </w:rPr>
      </w:pPr>
    </w:p>
    <w:p w14:paraId="04F584D4" w14:textId="2E6041D5"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lastRenderedPageBreak/>
        <w:t>Голямо депресивно разстройство</w:t>
      </w:r>
    </w:p>
    <w:p w14:paraId="59F5643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Началната и препоръчителната поддържаща доза е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независимо от</w:t>
      </w:r>
    </w:p>
    <w:p w14:paraId="43B68FC4" w14:textId="77777777" w:rsidR="003C0F94" w:rsidRPr="003C0F94" w:rsidRDefault="003C0F94" w:rsidP="003C0F94">
      <w:pPr>
        <w:rPr>
          <w:rFonts w:eastAsia="Times New Roman" w:cs="Arial"/>
          <w:sz w:val="28"/>
          <w:szCs w:val="24"/>
        </w:rPr>
      </w:pPr>
      <w:r w:rsidRPr="003C0F94">
        <w:rPr>
          <w:rFonts w:eastAsia="Times New Roman" w:cs="Arial"/>
          <w:color w:val="000000"/>
          <w:szCs w:val="20"/>
          <w:lang w:eastAsia="bg-BG"/>
        </w:rPr>
        <w:t>хранене. В клинични проучвания са оценявани от гледна точка на безопасността дози над 60</w:t>
      </w:r>
      <w:r w:rsidRPr="003C0F94">
        <w:rPr>
          <w:rFonts w:eastAsia="Times New Roman" w:cs="Arial"/>
          <w:color w:val="000000"/>
          <w:szCs w:val="20"/>
          <w:lang w:val="en-US"/>
        </w:rPr>
        <w:t>mg</w:t>
      </w:r>
      <w:r w:rsidRPr="003C0F94">
        <w:rPr>
          <w:rFonts w:eastAsia="Times New Roman" w:cs="Arial"/>
          <w:color w:val="000000"/>
          <w:szCs w:val="20"/>
          <w:lang w:eastAsia="bg-BG"/>
        </w:rPr>
        <w:t xml:space="preserve"> веднъж дневно, до максимална доза от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Въпреки това, няма клинични</w:t>
      </w:r>
      <w:r w:rsidRPr="003C0F94">
        <w:rPr>
          <w:rFonts w:eastAsia="Times New Roman" w:cs="Arial"/>
          <w:color w:val="000000"/>
          <w:szCs w:val="20"/>
          <w:lang w:val="ru-RU" w:eastAsia="bg-BG"/>
        </w:rPr>
        <w:t xml:space="preserve"> </w:t>
      </w:r>
      <w:r w:rsidRPr="003C0F94">
        <w:rPr>
          <w:rFonts w:eastAsia="Times New Roman" w:cs="Arial"/>
          <w:color w:val="000000"/>
          <w:szCs w:val="20"/>
          <w:lang w:eastAsia="bg-BG"/>
        </w:rPr>
        <w:t>доказателства, въз основа на които да се предположи, че пациентите, неповлияли се от началната препоръчителна доза, могат да имат полза от възходящо титриране на дозата. Обикновено терапевтичен отговор се наблюдава след 2-4 седмици лечение.</w:t>
      </w:r>
    </w:p>
    <w:p w14:paraId="4DB62C91"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обмисли по-нататъшно дългосрочно лечение с доза от 60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w:t>
      </w:r>
    </w:p>
    <w:p w14:paraId="429CE322" w14:textId="77777777" w:rsidR="003C0F94" w:rsidRPr="003C0F94" w:rsidRDefault="003C0F94" w:rsidP="003C0F94">
      <w:pPr>
        <w:spacing w:line="240" w:lineRule="auto"/>
        <w:rPr>
          <w:rFonts w:eastAsia="Times New Roman" w:cs="Arial"/>
          <w:i/>
          <w:iCs/>
          <w:color w:val="000000"/>
          <w:szCs w:val="20"/>
          <w:lang w:eastAsia="bg-BG"/>
        </w:rPr>
      </w:pPr>
    </w:p>
    <w:p w14:paraId="60D892C3" w14:textId="661EB1E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Генерализирано тревожно разстройство</w:t>
      </w:r>
    </w:p>
    <w:p w14:paraId="6F8325B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Препоръчителната начална доза при пациенти с генерализирано тревожно разстройство е 30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със или без храна. При пациенти с незадоволителен отговор дозата трябва да се увеличи до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което е обичайната поддържаща доза при повечето пациенти.</w:t>
      </w:r>
    </w:p>
    <w:p w14:paraId="154BE13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пациенти с коморбидни големи депресивни епизоди началната и поддържащата доза е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(вижте също препоръките за дозиране по-горе). Наблюдавано е, че дози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дневно са ефективни и те са оценявани с оглед на безопасността при клинични проучвания. Следователно, при пациенти с незадоволителен отговор към дози до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може да се има предвид увеличение до 90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или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Увеличението на дозата трябва да е въз основа на клиничния отговор и поносимост.</w:t>
      </w:r>
    </w:p>
    <w:p w14:paraId="1B0C9457"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След консолидиране на отговора, се препоръчва да се продължи лечението за няколко месеца, за да се избегне рецидив.</w:t>
      </w:r>
    </w:p>
    <w:p w14:paraId="18642D50" w14:textId="77777777" w:rsidR="003C0F94" w:rsidRPr="003C0F94" w:rsidRDefault="003C0F94" w:rsidP="003C0F94">
      <w:pPr>
        <w:spacing w:line="240" w:lineRule="auto"/>
        <w:rPr>
          <w:rFonts w:eastAsia="Times New Roman" w:cs="Arial"/>
          <w:i/>
          <w:iCs/>
          <w:color w:val="000000"/>
          <w:szCs w:val="20"/>
          <w:lang w:eastAsia="bg-BG"/>
        </w:rPr>
      </w:pPr>
    </w:p>
    <w:p w14:paraId="4CA38367" w14:textId="17C269D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Диабетна периферна невропатна болка</w:t>
      </w:r>
    </w:p>
    <w:p w14:paraId="37F4F04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Началната и препоръчителната поддържаща доза е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независимо от хранене. В клинични проучвания са оценявани от гледна точка на безопасността дози над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до максимална доза от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дневно, приложена като равно разделени приеми. Плазмените концентрации на дулоксетин проявяват голяма интериндивидуална вариабилност (вж. т. 5.2). Следователно, при някои пациенти, които са показали незадоволителен отговор към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могат да са от полза по-големи дози.</w:t>
      </w:r>
    </w:p>
    <w:p w14:paraId="4AB339F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58C3DF4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Терапевтичната полза трябва да бъде преоценявана редовно /поне на всеки три месеца/ (вж. т. 5.1).</w:t>
      </w:r>
    </w:p>
    <w:p w14:paraId="4C396362" w14:textId="77777777" w:rsidR="003C0F94" w:rsidRPr="003C0F94" w:rsidRDefault="003C0F94" w:rsidP="003C0F94">
      <w:pPr>
        <w:spacing w:line="240" w:lineRule="auto"/>
        <w:rPr>
          <w:rFonts w:eastAsia="Times New Roman" w:cs="Arial"/>
          <w:i/>
          <w:iCs/>
          <w:color w:val="000000"/>
          <w:szCs w:val="20"/>
          <w:lang w:eastAsia="bg-BG"/>
        </w:rPr>
      </w:pPr>
    </w:p>
    <w:p w14:paraId="6D5A3847" w14:textId="562B0A5D"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Специални популации</w:t>
      </w:r>
    </w:p>
    <w:p w14:paraId="1D7DAD87" w14:textId="77777777" w:rsidR="003C0F94" w:rsidRPr="003C0F94" w:rsidRDefault="003C0F94" w:rsidP="003C0F94">
      <w:pPr>
        <w:spacing w:line="240" w:lineRule="auto"/>
        <w:rPr>
          <w:rFonts w:eastAsia="Times New Roman" w:cs="Arial"/>
          <w:i/>
          <w:iCs/>
          <w:color w:val="000000"/>
          <w:szCs w:val="20"/>
          <w:lang w:eastAsia="bg-BG"/>
        </w:rPr>
      </w:pPr>
    </w:p>
    <w:p w14:paraId="392DFB8C" w14:textId="50A67906"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Пациенти в старческа възраст</w:t>
      </w:r>
    </w:p>
    <w:p w14:paraId="3417F82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пациенти в старческа възраст не се препоръчва адаптиране на дозата единствено въз основа на възрастта. Въпреки това, подобно на всеки лекарствен продукт, се изисква внимание, когато се лекуват пациенти в старческа възраст, особено с доза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дулоксетин дневно при големи депресивни епизоди или генерализирано тревожно разстройство, за което има ограничени данни (вж. точки 4.4 и 5.2).</w:t>
      </w:r>
    </w:p>
    <w:p w14:paraId="606601BB" w14:textId="77777777" w:rsidR="003C0F94" w:rsidRPr="003C0F94" w:rsidRDefault="003C0F94" w:rsidP="003C0F94">
      <w:pPr>
        <w:spacing w:line="240" w:lineRule="auto"/>
        <w:rPr>
          <w:rFonts w:eastAsia="Times New Roman" w:cs="Arial"/>
          <w:i/>
          <w:iCs/>
          <w:color w:val="000000"/>
          <w:szCs w:val="20"/>
          <w:lang w:eastAsia="bg-BG"/>
        </w:rPr>
      </w:pPr>
    </w:p>
    <w:p w14:paraId="16980F9E" w14:textId="7976DF6B"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Чернодробно увреждане</w:t>
      </w:r>
    </w:p>
    <w:p w14:paraId="629BE841"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Дулодет не трябва да се използва при пациенти с чернодробно заболяване, довело до чернодробна недостатъчност (вж. точки 4.3. и 5.2).</w:t>
      </w:r>
    </w:p>
    <w:p w14:paraId="4C18D9C0" w14:textId="77777777" w:rsidR="003C0F94" w:rsidRPr="003C0F94" w:rsidRDefault="003C0F94" w:rsidP="003C0F94">
      <w:pPr>
        <w:spacing w:line="240" w:lineRule="auto"/>
        <w:rPr>
          <w:rFonts w:eastAsia="Times New Roman" w:cs="Arial"/>
          <w:i/>
          <w:iCs/>
          <w:color w:val="000000"/>
          <w:szCs w:val="20"/>
          <w:lang w:eastAsia="bg-BG"/>
        </w:rPr>
      </w:pPr>
    </w:p>
    <w:p w14:paraId="1229E6E0" w14:textId="445D587F"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Бъбречно увреждане</w:t>
      </w:r>
    </w:p>
    <w:p w14:paraId="6C8ACA02"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Не е необходимо коригиране на дозата при пациенти с лека до умерена бъбречна дисфункция (креатининов клирънс 30 до 80 </w:t>
      </w:r>
      <w:r w:rsidRPr="003C0F94">
        <w:rPr>
          <w:rFonts w:eastAsia="Times New Roman" w:cs="Arial"/>
          <w:color w:val="000000"/>
          <w:szCs w:val="20"/>
          <w:lang w:val="en-US"/>
        </w:rPr>
        <w:t>ml</w:t>
      </w:r>
      <w:r w:rsidRPr="003C0F94">
        <w:rPr>
          <w:rFonts w:eastAsia="Times New Roman" w:cs="Arial"/>
          <w:color w:val="000000"/>
          <w:szCs w:val="20"/>
          <w:lang w:val="ru-RU"/>
        </w:rPr>
        <w:t>/</w:t>
      </w:r>
      <w:r w:rsidRPr="003C0F94">
        <w:rPr>
          <w:rFonts w:eastAsia="Times New Roman" w:cs="Arial"/>
          <w:color w:val="000000"/>
          <w:szCs w:val="20"/>
          <w:lang w:val="en-US"/>
        </w:rPr>
        <w:t>min</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Дулодет не трябва да се употребява при пациенти с тежко бъбречно увреждане (креатининов клирънс &lt;30 </w:t>
      </w:r>
      <w:r w:rsidRPr="003C0F94">
        <w:rPr>
          <w:rFonts w:eastAsia="Times New Roman" w:cs="Arial"/>
          <w:color w:val="000000"/>
          <w:szCs w:val="20"/>
          <w:lang w:val="en-US"/>
        </w:rPr>
        <w:t>ml</w:t>
      </w:r>
      <w:r w:rsidRPr="003C0F94">
        <w:rPr>
          <w:rFonts w:eastAsia="Times New Roman" w:cs="Arial"/>
          <w:color w:val="000000"/>
          <w:szCs w:val="20"/>
          <w:lang w:val="ru-RU"/>
        </w:rPr>
        <w:t>/</w:t>
      </w:r>
      <w:r w:rsidRPr="003C0F94">
        <w:rPr>
          <w:rFonts w:eastAsia="Times New Roman" w:cs="Arial"/>
          <w:color w:val="000000"/>
          <w:szCs w:val="20"/>
          <w:lang w:val="en-US"/>
        </w:rPr>
        <w:t>min</w:t>
      </w:r>
      <w:r w:rsidRPr="003C0F94">
        <w:rPr>
          <w:rFonts w:eastAsia="Times New Roman" w:cs="Arial"/>
          <w:color w:val="000000"/>
          <w:szCs w:val="20"/>
          <w:lang w:val="ru-RU"/>
        </w:rPr>
        <w:t xml:space="preserve">; </w:t>
      </w:r>
      <w:r w:rsidRPr="003C0F94">
        <w:rPr>
          <w:rFonts w:eastAsia="Times New Roman" w:cs="Arial"/>
          <w:color w:val="000000"/>
          <w:szCs w:val="20"/>
          <w:lang w:eastAsia="bg-BG"/>
        </w:rPr>
        <w:t>вж. точка 4.3).</w:t>
      </w:r>
    </w:p>
    <w:p w14:paraId="26F8067E" w14:textId="77777777" w:rsidR="003C0F94" w:rsidRPr="003C0F94" w:rsidRDefault="003C0F94" w:rsidP="003C0F94">
      <w:pPr>
        <w:spacing w:line="240" w:lineRule="auto"/>
        <w:rPr>
          <w:rFonts w:eastAsia="Times New Roman" w:cs="Arial"/>
          <w:i/>
          <w:iCs/>
          <w:color w:val="000000"/>
          <w:szCs w:val="20"/>
          <w:lang w:eastAsia="bg-BG"/>
        </w:rPr>
      </w:pPr>
    </w:p>
    <w:p w14:paraId="23749621" w14:textId="70667DE1"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Педиатрична популация</w:t>
      </w:r>
    </w:p>
    <w:p w14:paraId="52347FA6" w14:textId="141DDD07"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Дулоксетин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 точки 4.4, 4.8 и 5.1).</w:t>
      </w:r>
    </w:p>
    <w:p w14:paraId="58B5136F" w14:textId="35B76483" w:rsidR="003C0F94" w:rsidRPr="003C0F94" w:rsidRDefault="003C0F94" w:rsidP="003C0F94">
      <w:pPr>
        <w:rPr>
          <w:rFonts w:eastAsia="Times New Roman" w:cs="Arial"/>
          <w:color w:val="000000"/>
          <w:szCs w:val="20"/>
          <w:lang w:eastAsia="bg-BG"/>
        </w:rPr>
      </w:pPr>
    </w:p>
    <w:p w14:paraId="01E6226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Безопасността и ефикасността на дулоксетин за лечение на генерализирано тревожно разстройство при педиатрични пациенти на възраст 7-17 години не са установени. Наличните понастоящем данни са описани в точки 4.8, 5.1 и 5.2.</w:t>
      </w:r>
    </w:p>
    <w:p w14:paraId="74C2C80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27BFBC17" w14:textId="77777777" w:rsidR="003C0F94" w:rsidRPr="003C0F94" w:rsidRDefault="003C0F94" w:rsidP="003C0F94">
      <w:pPr>
        <w:spacing w:line="240" w:lineRule="auto"/>
        <w:rPr>
          <w:rFonts w:eastAsia="Times New Roman" w:cs="Arial"/>
          <w:i/>
          <w:iCs/>
          <w:color w:val="000000"/>
          <w:szCs w:val="20"/>
          <w:lang w:eastAsia="bg-BG"/>
        </w:rPr>
      </w:pPr>
    </w:p>
    <w:p w14:paraId="6F814D26" w14:textId="5D3A7C4F"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Прекъсване на лечението</w:t>
      </w:r>
    </w:p>
    <w:p w14:paraId="4E79A503"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Трябва да се избягва рязко прекъсване. Когато се прекъсва лечение с Дулодет, дозата трябва да бъде намалявана постепенно за период от поне една до две седмици, за да се намали рискът от реакции на отнемане (вж. точки 4.4. и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по-постепенно.</w:t>
      </w:r>
    </w:p>
    <w:p w14:paraId="60E0FBE1" w14:textId="77777777" w:rsidR="003C0F94" w:rsidRPr="003C0F94" w:rsidRDefault="003C0F94" w:rsidP="003C0F94">
      <w:pPr>
        <w:spacing w:line="240" w:lineRule="auto"/>
        <w:rPr>
          <w:rFonts w:eastAsia="Times New Roman" w:cs="Arial"/>
          <w:color w:val="000000"/>
          <w:szCs w:val="20"/>
          <w:u w:val="single"/>
          <w:lang w:eastAsia="bg-BG"/>
        </w:rPr>
      </w:pPr>
    </w:p>
    <w:p w14:paraId="2BBC47D2" w14:textId="019F8C96" w:rsidR="003C0F94" w:rsidRPr="003C0F94" w:rsidRDefault="003C0F94" w:rsidP="003C0F94">
      <w:pPr>
        <w:pStyle w:val="Heading3"/>
        <w:rPr>
          <w:rFonts w:eastAsia="Times New Roman"/>
          <w:sz w:val="28"/>
          <w:u w:val="single"/>
        </w:rPr>
      </w:pPr>
      <w:r w:rsidRPr="003C0F94">
        <w:rPr>
          <w:rFonts w:eastAsia="Times New Roman"/>
          <w:u w:val="single"/>
          <w:lang w:eastAsia="bg-BG"/>
        </w:rPr>
        <w:t>Начин на приложение</w:t>
      </w:r>
    </w:p>
    <w:p w14:paraId="5733C09C" w14:textId="77777777" w:rsidR="003C0F94" w:rsidRPr="003C0F94" w:rsidRDefault="003C0F94" w:rsidP="003C0F94">
      <w:pPr>
        <w:spacing w:line="240" w:lineRule="auto"/>
        <w:rPr>
          <w:rFonts w:eastAsia="Times New Roman" w:cs="Arial"/>
          <w:color w:val="000000"/>
          <w:szCs w:val="20"/>
          <w:lang w:eastAsia="bg-BG"/>
        </w:rPr>
      </w:pPr>
    </w:p>
    <w:p w14:paraId="711C140F" w14:textId="322BD915"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За перорално приложение.</w:t>
      </w:r>
    </w:p>
    <w:p w14:paraId="5797D19A" w14:textId="77777777" w:rsidR="003C0F94" w:rsidRPr="003C0F94" w:rsidRDefault="003C0F94" w:rsidP="003C0F94"/>
    <w:p w14:paraId="0F253247" w14:textId="5D171C36" w:rsidR="007122AD" w:rsidRDefault="002C50EE" w:rsidP="00936AD0">
      <w:pPr>
        <w:pStyle w:val="Heading2"/>
      </w:pPr>
      <w:r>
        <w:t>4.3. Противопоказания</w:t>
      </w:r>
    </w:p>
    <w:p w14:paraId="5AA21BE2" w14:textId="181485E5" w:rsidR="003C0F94" w:rsidRDefault="003C0F94" w:rsidP="003C0F94"/>
    <w:p w14:paraId="065769DB" w14:textId="77777777" w:rsidR="003C0F94" w:rsidRPr="003C0F94" w:rsidRDefault="003C0F94" w:rsidP="003C0F94">
      <w:pPr>
        <w:rPr>
          <w:sz w:val="24"/>
          <w:szCs w:val="24"/>
        </w:rPr>
      </w:pPr>
      <w:r w:rsidRPr="003C0F94">
        <w:rPr>
          <w:lang w:eastAsia="bg-BG"/>
        </w:rPr>
        <w:t>Свръхчувствителност към активното вещество или към някое от помощните вещества, изброени в точка 6.1.</w:t>
      </w:r>
    </w:p>
    <w:p w14:paraId="283597EB" w14:textId="77777777" w:rsidR="003C0F94" w:rsidRDefault="003C0F94" w:rsidP="003C0F94">
      <w:pPr>
        <w:rPr>
          <w:lang w:eastAsia="bg-BG"/>
        </w:rPr>
      </w:pPr>
    </w:p>
    <w:p w14:paraId="6284A78F" w14:textId="04FE3B4C" w:rsidR="003C0F94" w:rsidRPr="003C0F94" w:rsidRDefault="003C0F94" w:rsidP="003C0F94">
      <w:pPr>
        <w:rPr>
          <w:sz w:val="24"/>
          <w:szCs w:val="24"/>
        </w:rPr>
      </w:pPr>
      <w:r w:rsidRPr="003C0F94">
        <w:rPr>
          <w:lang w:eastAsia="bg-BG"/>
        </w:rPr>
        <w:t>Едновременното приложение на Дулодет с неселективни, необратими инхибитори на моноаминооксидазата (МАО инхибитори) е противопоказано (вж. точка 4.5).</w:t>
      </w:r>
    </w:p>
    <w:p w14:paraId="161D1136" w14:textId="77777777" w:rsidR="003C0F94" w:rsidRPr="003C0F94" w:rsidRDefault="003C0F94" w:rsidP="003C0F94">
      <w:pPr>
        <w:rPr>
          <w:sz w:val="24"/>
          <w:szCs w:val="24"/>
        </w:rPr>
      </w:pPr>
      <w:r w:rsidRPr="003C0F94">
        <w:rPr>
          <w:lang w:eastAsia="bg-BG"/>
        </w:rPr>
        <w:t>Чернодробно заболяване, водещо до чернодробно увреждане (вж. точка 5.2).</w:t>
      </w:r>
    </w:p>
    <w:p w14:paraId="742A0C8C" w14:textId="77777777" w:rsidR="003C0F94" w:rsidRPr="003C0F94" w:rsidRDefault="003C0F94" w:rsidP="003C0F94">
      <w:pPr>
        <w:rPr>
          <w:sz w:val="24"/>
          <w:szCs w:val="24"/>
        </w:rPr>
      </w:pPr>
      <w:r w:rsidRPr="003C0F94">
        <w:rPr>
          <w:lang w:eastAsia="bg-BG"/>
        </w:rPr>
        <w:t xml:space="preserve">Дулодет не трябва да се прилага в комбинация с флувоксамин, ципрофлоксацин или еноксацин (т.е. мощни </w:t>
      </w:r>
      <w:r w:rsidRPr="003C0F94">
        <w:rPr>
          <w:lang w:val="en-US"/>
        </w:rPr>
        <w:t>CYP</w:t>
      </w:r>
      <w:r w:rsidRPr="003C0F94">
        <w:rPr>
          <w:lang w:val="ru-RU"/>
        </w:rPr>
        <w:t>1</w:t>
      </w:r>
      <w:r w:rsidRPr="003C0F94">
        <w:rPr>
          <w:lang w:val="en-US"/>
        </w:rPr>
        <w:t>A</w:t>
      </w:r>
      <w:r w:rsidRPr="003C0F94">
        <w:rPr>
          <w:lang w:val="ru-RU"/>
        </w:rPr>
        <w:t xml:space="preserve">2 </w:t>
      </w:r>
      <w:r w:rsidRPr="003C0F94">
        <w:rPr>
          <w:lang w:eastAsia="bg-BG"/>
        </w:rPr>
        <w:t>инхибитори), тъй като комбинирането води до повишени плазмени концентрации на дулоксетин (вж. точка 4.5).</w:t>
      </w:r>
    </w:p>
    <w:p w14:paraId="0C303F17" w14:textId="77777777" w:rsidR="003C0F94" w:rsidRPr="003C0F94" w:rsidRDefault="003C0F94" w:rsidP="003C0F94">
      <w:pPr>
        <w:rPr>
          <w:sz w:val="24"/>
          <w:szCs w:val="24"/>
        </w:rPr>
      </w:pPr>
      <w:r w:rsidRPr="003C0F94">
        <w:rPr>
          <w:lang w:eastAsia="bg-BG"/>
        </w:rPr>
        <w:t xml:space="preserve">Тежко бъбречно увреждане (креатининов клирънс &lt;30 </w:t>
      </w:r>
      <w:r w:rsidRPr="003C0F94">
        <w:rPr>
          <w:lang w:val="en-US"/>
        </w:rPr>
        <w:t>ml</w:t>
      </w:r>
      <w:r w:rsidRPr="003C0F94">
        <w:rPr>
          <w:lang w:val="ru-RU"/>
        </w:rPr>
        <w:t>/</w:t>
      </w:r>
      <w:r w:rsidRPr="003C0F94">
        <w:rPr>
          <w:lang w:val="en-US"/>
        </w:rPr>
        <w:t>min</w:t>
      </w:r>
      <w:r w:rsidRPr="003C0F94">
        <w:rPr>
          <w:lang w:val="ru-RU"/>
        </w:rPr>
        <w:t xml:space="preserve">) </w:t>
      </w:r>
      <w:r w:rsidRPr="003C0F94">
        <w:rPr>
          <w:lang w:eastAsia="bg-BG"/>
        </w:rPr>
        <w:t>(вж. точка 4.4).</w:t>
      </w:r>
    </w:p>
    <w:p w14:paraId="31F0FBF2" w14:textId="77777777" w:rsidR="003C0F94" w:rsidRPr="003C0F94" w:rsidRDefault="003C0F94" w:rsidP="003C0F94">
      <w:pPr>
        <w:rPr>
          <w:sz w:val="24"/>
          <w:szCs w:val="24"/>
        </w:rPr>
      </w:pPr>
      <w:r w:rsidRPr="003C0F94">
        <w:rPr>
          <w:lang w:eastAsia="bg-BG"/>
        </w:rPr>
        <w:t>Започване на лечение с Дулодет е противопоказано при пациенти с неконтролирана хипертония, тъй като може да изложи пациентите на потенциален риск от хипертонична криза (вж. точки 4.4 и 4.8).</w:t>
      </w:r>
    </w:p>
    <w:p w14:paraId="66615F08" w14:textId="77777777" w:rsidR="003C0F94" w:rsidRPr="003C0F94" w:rsidRDefault="003C0F94" w:rsidP="003C0F94"/>
    <w:p w14:paraId="0E0BDCC7" w14:textId="2B11ECE3" w:rsidR="007122AD" w:rsidRDefault="002C50EE" w:rsidP="00936AD0">
      <w:pPr>
        <w:pStyle w:val="Heading2"/>
      </w:pPr>
      <w:r>
        <w:lastRenderedPageBreak/>
        <w:t>4.4. Специални предупреждения и предпазни мерки при употреба</w:t>
      </w:r>
    </w:p>
    <w:p w14:paraId="69B9841F" w14:textId="0D0E9A4B" w:rsidR="003C0F94" w:rsidRDefault="003C0F94" w:rsidP="003C0F94"/>
    <w:p w14:paraId="6F4ACE45" w14:textId="77777777"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Мания и припадъци</w:t>
      </w:r>
    </w:p>
    <w:p w14:paraId="23D814D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Дулодет трябва да се прилага с внимание при пациенти с анамнеза за мания или с диагноза биполярно разстройство и/или припадъци.</w:t>
      </w:r>
    </w:p>
    <w:p w14:paraId="5D8A1489" w14:textId="77777777" w:rsidR="003C0F94" w:rsidRPr="003C0F94" w:rsidRDefault="003C0F94" w:rsidP="003C0F94">
      <w:pPr>
        <w:spacing w:line="240" w:lineRule="auto"/>
        <w:rPr>
          <w:rFonts w:eastAsia="Times New Roman" w:cs="Arial"/>
          <w:i/>
          <w:iCs/>
          <w:color w:val="000000"/>
          <w:lang w:eastAsia="bg-BG"/>
        </w:rPr>
      </w:pPr>
    </w:p>
    <w:p w14:paraId="33A46BF9" w14:textId="6C0A2DC0"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Мидриаза</w:t>
      </w:r>
    </w:p>
    <w:p w14:paraId="45CF1090"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Съобщавани са случаи на мидриаза, свързани с дулоксетин, поради което е необходимо повишено внимание при предписването на Дулодет на пациенти с повишено вътреочно налягане или с повишен риск от остра закритоъгълна глаукома.</w:t>
      </w:r>
    </w:p>
    <w:p w14:paraId="3BF17FA6" w14:textId="77777777" w:rsidR="003C0F94" w:rsidRPr="003C0F94" w:rsidRDefault="003C0F94" w:rsidP="003C0F94">
      <w:pPr>
        <w:spacing w:line="240" w:lineRule="auto"/>
        <w:rPr>
          <w:rFonts w:eastAsia="Times New Roman" w:cs="Arial"/>
          <w:i/>
          <w:iCs/>
          <w:color w:val="000000"/>
          <w:lang w:eastAsia="bg-BG"/>
        </w:rPr>
      </w:pPr>
    </w:p>
    <w:p w14:paraId="33BB4DBD" w14:textId="1542BA4B"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Кръвно налягане и сърдечна честота</w:t>
      </w:r>
    </w:p>
    <w:p w14:paraId="2641DAA0" w14:textId="77777777" w:rsidR="003C0F94" w:rsidRPr="003C0F94" w:rsidRDefault="003C0F94" w:rsidP="003C0F94">
      <w:pPr>
        <w:rPr>
          <w:rFonts w:eastAsia="Times New Roman" w:cs="Arial"/>
        </w:rPr>
      </w:pPr>
      <w:r w:rsidRPr="003C0F94">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w:t>
      </w:r>
      <w:r w:rsidRPr="003C0F94">
        <w:rPr>
          <w:rFonts w:eastAsia="Times New Roman" w:cs="Arial"/>
          <w:color w:val="000000"/>
          <w:lang w:val="ru-RU"/>
        </w:rPr>
        <w:t xml:space="preserve"> </w:t>
      </w:r>
      <w:r w:rsidRPr="003C0F94">
        <w:rPr>
          <w:rFonts w:eastAsia="Times New Roman" w:cs="Arial"/>
          <w:color w:val="000000"/>
          <w:lang w:eastAsia="bg-BG"/>
        </w:rPr>
        <w:t>месец от лечението. Дулоксетин трябва да се използва с повишено внимание при пацинети, чийто състояние може да се влоши от повишаване на сърдечната честота или от показване на артериалното налягане. Дулоксетин трябва да се прилага с повишено внимание и с лекарствени продукти, които могат да нарушат неговия метаболизъм. (вж. точка 4.5). При пациенти с</w:t>
      </w:r>
      <w:r w:rsidRPr="003C0F94">
        <w:rPr>
          <w:rFonts w:eastAsia="Times New Roman" w:cs="Arial"/>
          <w:color w:val="000000"/>
          <w:lang w:val="ru-RU" w:eastAsia="bg-BG"/>
        </w:rPr>
        <w:t xml:space="preserve"> </w:t>
      </w:r>
      <w:r w:rsidRPr="003C0F94">
        <w:rPr>
          <w:rFonts w:eastAsia="Times New Roman" w:cs="Arial"/>
          <w:color w:val="000000"/>
          <w:lang w:eastAsia="bg-BG"/>
        </w:rPr>
        <w:t>персистиращо повишение на кръвното налягане по време на прием на дулоксетин трябва да се обсъди понижаване на дозата или постепенно прекратяване на лечението (вж. точка 4.8). При пациенти с неконтролирана хипертония не трябва да се започва лечение с дулоксетин (вж. точка 4.3).</w:t>
      </w:r>
    </w:p>
    <w:p w14:paraId="0C75C516" w14:textId="77777777" w:rsidR="003C0F94" w:rsidRPr="003C0F94" w:rsidRDefault="003C0F94" w:rsidP="003C0F94">
      <w:pPr>
        <w:spacing w:line="240" w:lineRule="auto"/>
        <w:rPr>
          <w:rFonts w:eastAsia="Times New Roman" w:cs="Arial"/>
          <w:i/>
          <w:iCs/>
          <w:color w:val="000000"/>
          <w:lang w:eastAsia="bg-BG"/>
        </w:rPr>
      </w:pPr>
    </w:p>
    <w:p w14:paraId="476D0630" w14:textId="265B0259"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Бъбречно увреждане</w:t>
      </w:r>
    </w:p>
    <w:p w14:paraId="3C934604"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3C0F94">
        <w:rPr>
          <w:rFonts w:eastAsia="Times New Roman" w:cs="Arial"/>
          <w:color w:val="000000"/>
          <w:lang w:val="en-US"/>
        </w:rPr>
        <w:t>ml</w:t>
      </w:r>
      <w:r w:rsidRPr="003C0F94">
        <w:rPr>
          <w:rFonts w:eastAsia="Times New Roman" w:cs="Arial"/>
          <w:color w:val="000000"/>
          <w:lang w:val="ru-RU"/>
        </w:rPr>
        <w:t>/</w:t>
      </w:r>
      <w:r w:rsidRPr="003C0F94">
        <w:rPr>
          <w:rFonts w:eastAsia="Times New Roman" w:cs="Arial"/>
          <w:color w:val="000000"/>
          <w:lang w:val="en-US"/>
        </w:rPr>
        <w:t>min</w:t>
      </w:r>
      <w:r w:rsidRPr="003C0F94">
        <w:rPr>
          <w:rFonts w:eastAsia="Times New Roman" w:cs="Arial"/>
          <w:color w:val="000000"/>
          <w:lang w:val="ru-RU"/>
        </w:rPr>
        <w:t xml:space="preserve">). </w:t>
      </w:r>
      <w:r w:rsidRPr="003C0F94">
        <w:rPr>
          <w:rFonts w:eastAsia="Times New Roman" w:cs="Arial"/>
          <w:color w:val="000000"/>
          <w:lang w:eastAsia="bg-BG"/>
        </w:rPr>
        <w:t>По отношение на пациенти с тежко бъбречно увреждане вижте т. 4.3. За информация по отношение на пациентите с лека до умерена бъбречна недостатъчност вижте т. 4.2.</w:t>
      </w:r>
    </w:p>
    <w:p w14:paraId="04F9258C" w14:textId="77777777" w:rsidR="003C0F94" w:rsidRPr="003C0F94" w:rsidRDefault="003C0F94" w:rsidP="003C0F94">
      <w:pPr>
        <w:spacing w:line="240" w:lineRule="auto"/>
        <w:rPr>
          <w:rFonts w:eastAsia="Times New Roman" w:cs="Arial"/>
          <w:i/>
          <w:iCs/>
          <w:color w:val="000000"/>
          <w:lang w:eastAsia="bg-BG"/>
        </w:rPr>
      </w:pPr>
    </w:p>
    <w:p w14:paraId="78F1D47A" w14:textId="1D168BAD"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Серотонинов синдром</w:t>
      </w:r>
    </w:p>
    <w:p w14:paraId="7071420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Както при лечение с други серотонинергични лекарствени средства, така и при лечение с дулоксетин може да настъпи серотонинов синдром - възможно животозастрашаващо състояние, особено при едновременна употреба на други серотонинергични лекарствени средства (включително инхибиторите на обратното захващане на серотонина </w:t>
      </w:r>
      <w:r w:rsidRPr="003C0F94">
        <w:rPr>
          <w:rFonts w:eastAsia="Times New Roman" w:cs="Arial"/>
          <w:color w:val="000000"/>
          <w:lang w:val="ru-RU"/>
        </w:rPr>
        <w:t>(</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инхибиторите на обратното захващане на серотонин/норадреналин </w:t>
      </w:r>
      <w:r w:rsidRPr="003C0F94">
        <w:rPr>
          <w:rFonts w:eastAsia="Times New Roman" w:cs="Arial"/>
          <w:color w:val="000000"/>
          <w:lang w:val="ru-RU"/>
        </w:rPr>
        <w:t>(</w:t>
      </w:r>
      <w:r w:rsidRPr="003C0F94">
        <w:rPr>
          <w:rFonts w:eastAsia="Times New Roman" w:cs="Arial"/>
          <w:color w:val="000000"/>
          <w:lang w:val="en-US"/>
        </w:rPr>
        <w:t>SNRI</w:t>
      </w:r>
      <w:r w:rsidRPr="003C0F94">
        <w:rPr>
          <w:rFonts w:eastAsia="Times New Roman" w:cs="Arial"/>
          <w:color w:val="000000"/>
          <w:lang w:val="ru-RU"/>
        </w:rPr>
        <w:t xml:space="preserve">), </w:t>
      </w:r>
      <w:r w:rsidRPr="003C0F94">
        <w:rPr>
          <w:rFonts w:eastAsia="Times New Roman" w:cs="Arial"/>
          <w:color w:val="000000"/>
          <w:lang w:eastAsia="bg-BG"/>
        </w:rPr>
        <w:t>трициклични антидепресанти или триптани), с лекарствени средства, които нарушават метаболизма на серотонина, като МАО инхибитори, или с антипсихотични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43FF148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Симптоми на серотониновия синдром може да са промени в психичния статус (напр., възбуда, халюцинации, кома), вегетативна нестабилност (например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w:t>
      </w:r>
    </w:p>
    <w:p w14:paraId="2BC38757"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lastRenderedPageBreak/>
        <w:t>Ако едновременно лечение с дулоксетин и други серотонинергични лекарствени средства, които могат да повлияят на серотонинергичните и/или допаминергичните невротрансмитерни системи, е клинично оправдано, се препоръчва внимателно наблюдение на пациентите, особено при започване на лечението и повишаване на дозата.</w:t>
      </w:r>
    </w:p>
    <w:p w14:paraId="684FC0F7" w14:textId="77777777" w:rsidR="003C0F94" w:rsidRPr="003C0F94" w:rsidRDefault="003C0F94" w:rsidP="003C0F94">
      <w:pPr>
        <w:spacing w:line="240" w:lineRule="auto"/>
        <w:rPr>
          <w:rFonts w:eastAsia="Times New Roman" w:cs="Arial"/>
          <w:i/>
          <w:iCs/>
          <w:color w:val="000000"/>
          <w:lang w:eastAsia="bg-BG"/>
        </w:rPr>
      </w:pPr>
    </w:p>
    <w:p w14:paraId="072BD798" w14:textId="65221A17"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Жълт кантарион</w:t>
      </w:r>
    </w:p>
    <w:p w14:paraId="37FAA48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При едновременно приложение на Дулодет и растителни лекарствени продукти, съдържащи жълт кантарион </w:t>
      </w:r>
      <w:r w:rsidRPr="003C0F94">
        <w:rPr>
          <w:rFonts w:eastAsia="Times New Roman" w:cs="Arial"/>
          <w:i/>
          <w:iCs/>
          <w:color w:val="000000"/>
          <w:lang w:val="ru-RU"/>
        </w:rPr>
        <w:t>(</w:t>
      </w:r>
      <w:proofErr w:type="spellStart"/>
      <w:r w:rsidRPr="003C0F94">
        <w:rPr>
          <w:rFonts w:eastAsia="Times New Roman" w:cs="Arial"/>
          <w:i/>
          <w:iCs/>
          <w:color w:val="000000"/>
          <w:lang w:val="en-US"/>
        </w:rPr>
        <w:t>Hypericum</w:t>
      </w:r>
      <w:proofErr w:type="spellEnd"/>
      <w:r w:rsidRPr="003C0F94">
        <w:rPr>
          <w:rFonts w:eastAsia="Times New Roman" w:cs="Arial"/>
          <w:i/>
          <w:iCs/>
          <w:color w:val="000000"/>
          <w:lang w:val="ru-RU"/>
        </w:rPr>
        <w:t xml:space="preserve"> </w:t>
      </w:r>
      <w:proofErr w:type="spellStart"/>
      <w:r w:rsidRPr="003C0F94">
        <w:rPr>
          <w:rFonts w:eastAsia="Times New Roman" w:cs="Arial"/>
          <w:i/>
          <w:iCs/>
          <w:color w:val="000000"/>
          <w:lang w:val="en-US"/>
        </w:rPr>
        <w:t>perforatum</w:t>
      </w:r>
      <w:proofErr w:type="spellEnd"/>
      <w:r w:rsidRPr="003C0F94">
        <w:rPr>
          <w:rFonts w:eastAsia="Times New Roman" w:cs="Arial"/>
          <w:i/>
          <w:iCs/>
          <w:color w:val="000000"/>
          <w:lang w:val="ru-RU"/>
        </w:rPr>
        <w:t>),</w:t>
      </w:r>
      <w:r w:rsidRPr="003C0F94">
        <w:rPr>
          <w:rFonts w:eastAsia="Times New Roman" w:cs="Arial"/>
          <w:color w:val="000000"/>
          <w:lang w:val="ru-RU"/>
        </w:rPr>
        <w:t xml:space="preserve"> </w:t>
      </w:r>
      <w:r w:rsidRPr="003C0F94">
        <w:rPr>
          <w:rFonts w:eastAsia="Times New Roman" w:cs="Arial"/>
          <w:color w:val="000000"/>
          <w:lang w:eastAsia="bg-BG"/>
        </w:rPr>
        <w:t>може да има по-чести нежелани реакции.</w:t>
      </w:r>
    </w:p>
    <w:p w14:paraId="6DA24CB3" w14:textId="77777777" w:rsidR="003C0F94" w:rsidRPr="003C0F94" w:rsidRDefault="003C0F94" w:rsidP="003C0F94">
      <w:pPr>
        <w:spacing w:line="240" w:lineRule="auto"/>
        <w:rPr>
          <w:rFonts w:eastAsia="Times New Roman" w:cs="Arial"/>
          <w:i/>
          <w:iCs/>
          <w:color w:val="000000"/>
          <w:lang w:eastAsia="bg-BG"/>
        </w:rPr>
      </w:pPr>
    </w:p>
    <w:p w14:paraId="2586C5BB" w14:textId="6373D43E"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Самоубийство</w:t>
      </w:r>
    </w:p>
    <w:p w14:paraId="3E5C65FC" w14:textId="41909A14"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Голямо депресивно разстройство и генерализирано тревожно разстройство:</w:t>
      </w:r>
      <w:r w:rsidRPr="003C0F94">
        <w:rPr>
          <w:rFonts w:eastAsia="Times New Roman" w:cs="Arial"/>
          <w:color w:val="000000"/>
          <w:lang w:eastAsia="bg-BG"/>
        </w:rPr>
        <w:t xml:space="preserve"> Депресията се свързва с повишен риск от мисли за самоубийство, самонараняване и самоубийство (суицидно- свързани събития). Рискът се запазва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Като цяло клиничният опит показва, че рискът от самоубийство може да се повиши през ранните етапи на възстановяване.</w:t>
      </w:r>
    </w:p>
    <w:p w14:paraId="79C14039"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Други психични състояния, за които се предписва Дулодет,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33A214F1" w14:textId="06656ABD" w:rsidR="003C0F94" w:rsidRPr="003C0F94" w:rsidRDefault="003C0F94" w:rsidP="003C0F94">
      <w:pPr>
        <w:spacing w:line="240" w:lineRule="auto"/>
        <w:rPr>
          <w:rFonts w:eastAsia="Times New Roman" w:cs="Arial"/>
          <w:color w:val="000000"/>
          <w:lang w:eastAsia="bg-BG"/>
        </w:rPr>
      </w:pPr>
      <w:r w:rsidRPr="003C0F94">
        <w:rPr>
          <w:rFonts w:eastAsia="Times New Roman" w:cs="Arial"/>
          <w:color w:val="000000"/>
          <w:lang w:eastAsia="bg-BG"/>
        </w:rPr>
        <w:t xml:space="preserve">Известно е, че при пациентите с анамнеза за суицидно-свързани събития или пациенти, проявяващи значителна степен на суицидни мисли преди началото на лечението, има по-висок риск от суицидни мисли или суицидно поведение и те трябва да бъдат внимателно наблюдавани по време на лечението. Метаанализ на данните от плацебо-контролирани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w:t>
      </w:r>
      <w:proofErr w:type="spellStart"/>
      <w:r w:rsidRPr="003C0F94">
        <w:rPr>
          <w:rFonts w:eastAsia="Times New Roman" w:cs="Arial"/>
          <w:color w:val="000000"/>
          <w:lang w:val="en-US"/>
        </w:rPr>
        <w:t>cp</w:t>
      </w:r>
      <w:proofErr w:type="spellEnd"/>
      <w:r w:rsidRPr="003C0F94">
        <w:rPr>
          <w:rFonts w:eastAsia="Times New Roman" w:cs="Arial"/>
          <w:color w:val="000000"/>
          <w:lang w:eastAsia="bg-BG"/>
        </w:rPr>
        <w:t>авнение с плацебо при пациенти под 25-годишна възраст.</w:t>
      </w:r>
    </w:p>
    <w:p w14:paraId="7BBC83F0" w14:textId="0A1E7FA2" w:rsidR="003C0F94" w:rsidRPr="003C0F94" w:rsidRDefault="003C0F94" w:rsidP="003C0F94">
      <w:pPr>
        <w:spacing w:line="240" w:lineRule="auto"/>
        <w:rPr>
          <w:rFonts w:eastAsia="Times New Roman" w:cs="Arial"/>
          <w:color w:val="000000"/>
          <w:lang w:eastAsia="bg-BG"/>
        </w:rPr>
      </w:pPr>
    </w:p>
    <w:p w14:paraId="4685599A"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Съобщавани са случаи на суицидни мисли и суицидно поведение по време на лечение с дулоксетин или непосредствено след прекратяване на лечението (вж. точка 4.8). Медикаментозното лечение трябва да се съпътства от внимателно проследяване на пациентите и най-вече тези с висок риск, особено в началото на лечението и при промяна на дозата. Пациентите (и обгрижващите ги лица) трябва да бъдат подготвени за необходимостта от проследяване за поява на всяко клинично влошаване, суицидно поведение или мисли и за необичайни промени в поведението и, в случай на такива симптоми, незабавно да бъде потърсен лекарски съвет.</w:t>
      </w:r>
    </w:p>
    <w:p w14:paraId="6C2BD0A1" w14:textId="77777777" w:rsidR="003C0F94" w:rsidRPr="003C0F94" w:rsidRDefault="003C0F94" w:rsidP="003C0F94">
      <w:pPr>
        <w:spacing w:line="240" w:lineRule="auto"/>
        <w:rPr>
          <w:rFonts w:eastAsia="Times New Roman" w:cs="Arial"/>
          <w:i/>
          <w:iCs/>
          <w:color w:val="000000"/>
          <w:lang w:eastAsia="bg-BG"/>
        </w:rPr>
      </w:pPr>
    </w:p>
    <w:p w14:paraId="04CB4B55" w14:textId="634F16D5"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Диабетна периферна невропатна болка:</w:t>
      </w:r>
      <w:r w:rsidRPr="003C0F94">
        <w:rPr>
          <w:rFonts w:eastAsia="Times New Roman" w:cs="Arial"/>
          <w:color w:val="000000"/>
          <w:lang w:eastAsia="bg-BG"/>
        </w:rPr>
        <w:t xml:space="preserve"> Както с други лекарствени продукти с подобно фармакологично действие (антидепресанти) са съобщавани отделни случаи на суицидни идеи и 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6D553658" w14:textId="77777777" w:rsidR="003C0F94" w:rsidRPr="003C0F94" w:rsidRDefault="003C0F94" w:rsidP="003C0F94">
      <w:pPr>
        <w:spacing w:line="240" w:lineRule="auto"/>
        <w:rPr>
          <w:rFonts w:eastAsia="Times New Roman" w:cs="Arial"/>
          <w:i/>
          <w:iCs/>
          <w:color w:val="000000"/>
          <w:lang w:eastAsia="bg-BG"/>
        </w:rPr>
      </w:pPr>
    </w:p>
    <w:p w14:paraId="06159BF4" w14:textId="67EF95DD"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Употреба при деца и юноши под 18-годишна възраст</w:t>
      </w:r>
    </w:p>
    <w:p w14:paraId="060C893B"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lastRenderedPageBreak/>
        <w:t>Дулодет не трябва да се използва за лечение на деца и юноши под 18-годишна възраст. Суицидно поведение (опити и мисли за самоубийство), и враждебност (предимно агресивност, противопоставяне и гняв) са наблюдавани в клинични проучвания по-често при деца и юноши, лекувани с антидепресанти, в сравнение с лекуваните с плацебо. Ако, поради клинична нужда, независимо от това се вземе решение за лечение, пациентите трябва да бъдат внимателно проследявани за поява на суицидни симптоми (вж. точка 5.1). В допълнение, при деца и юноши липсват дългосрочни проучвания за безопасност по отношение на растежа, съзряването и когнитивното и поведенческо развитие (вж. точка 4.8).</w:t>
      </w:r>
    </w:p>
    <w:p w14:paraId="5F57385B" w14:textId="77777777" w:rsidR="003C0F94" w:rsidRPr="003C0F94" w:rsidRDefault="003C0F94" w:rsidP="003C0F94">
      <w:pPr>
        <w:spacing w:line="240" w:lineRule="auto"/>
        <w:rPr>
          <w:rFonts w:eastAsia="Times New Roman" w:cs="Arial"/>
          <w:i/>
          <w:iCs/>
          <w:color w:val="000000"/>
          <w:lang w:eastAsia="bg-BG"/>
        </w:rPr>
      </w:pPr>
    </w:p>
    <w:p w14:paraId="29F948A5" w14:textId="7912BFDB"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Кръвоизлив</w:t>
      </w:r>
    </w:p>
    <w:p w14:paraId="5B649BDC"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Има съобщения за абнормни кръвотечения, като екхимоза, пурпура и стомашно-чревно кървене при употреба на </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w:t>
      </w:r>
      <w:r w:rsidRPr="003C0F94">
        <w:rPr>
          <w:rFonts w:eastAsia="Times New Roman" w:cs="Arial"/>
          <w:color w:val="000000"/>
          <w:lang w:val="en-US"/>
        </w:rPr>
        <w:t>SNR</w:t>
      </w:r>
      <w:r w:rsidRPr="003C0F94">
        <w:rPr>
          <w:rFonts w:eastAsia="Times New Roman" w:cs="Arial"/>
          <w:color w:val="000000"/>
          <w:lang w:val="ru-RU"/>
        </w:rPr>
        <w:t xml:space="preserve">1, </w:t>
      </w:r>
      <w:r w:rsidRPr="003C0F94">
        <w:rPr>
          <w:rFonts w:eastAsia="Times New Roman" w:cs="Arial"/>
          <w:color w:val="000000"/>
          <w:lang w:eastAsia="bg-BG"/>
        </w:rPr>
        <w:t>включително дулоксетин. Дулоксетин може да повиши риска от послеродово кръвотечение (вж. точка 4.6). Препоръчва се повишено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и при пациенти с известна склонност към кървене.</w:t>
      </w:r>
    </w:p>
    <w:p w14:paraId="6CF4AB99" w14:textId="77777777" w:rsidR="003C0F94" w:rsidRPr="003C0F94" w:rsidRDefault="003C0F94" w:rsidP="003C0F94">
      <w:pPr>
        <w:spacing w:line="240" w:lineRule="auto"/>
        <w:rPr>
          <w:rFonts w:eastAsia="Times New Roman" w:cs="Arial"/>
          <w:i/>
          <w:iCs/>
          <w:color w:val="000000"/>
          <w:lang w:eastAsia="bg-BG"/>
        </w:rPr>
      </w:pPr>
    </w:p>
    <w:p w14:paraId="3DBC306C" w14:textId="3019E861"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Хипонатриемия</w:t>
      </w:r>
    </w:p>
    <w:p w14:paraId="779A6F7B"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При прилагане на дулоксетин е съобщавана хипонатриемия, включително случаи със серумен натрий по-нисък от 110 </w:t>
      </w:r>
      <w:proofErr w:type="spellStart"/>
      <w:r w:rsidRPr="003C0F94">
        <w:rPr>
          <w:rFonts w:eastAsia="Times New Roman" w:cs="Arial"/>
          <w:color w:val="000000"/>
          <w:lang w:val="en-US"/>
        </w:rPr>
        <w:t>mmol</w:t>
      </w:r>
      <w:proofErr w:type="spellEnd"/>
      <w:r w:rsidRPr="003C0F94">
        <w:rPr>
          <w:rFonts w:eastAsia="Times New Roman" w:cs="Arial"/>
          <w:color w:val="000000"/>
          <w:lang w:val="ru-RU"/>
        </w:rPr>
        <w:t xml:space="preserve">/1. </w:t>
      </w:r>
      <w:r w:rsidRPr="003C0F94">
        <w:rPr>
          <w:rFonts w:eastAsia="Times New Roman" w:cs="Arial"/>
          <w:color w:val="000000"/>
          <w:lang w:eastAsia="bg-BG"/>
        </w:rPr>
        <w:t>Хипонатриемията може да се дължи на синдром на неадекватна секреция на антидиуретичен хормон. Повечето случаи на хипонатриемия са съобщавани при пациенти в старческа възраст, особено в комбинация със скорошна анамнеза за или съществуващо състояние, предразполагащо към промени във водния баланс. Необходимо е внимание при пациентите с повишен риск от хипонатриемия, като пациенти в старческа възраст, пациенти с цироза, дехидратирани пациенти или пациенти на лечение с диуретици.</w:t>
      </w:r>
    </w:p>
    <w:p w14:paraId="101588E4" w14:textId="77777777" w:rsidR="003C0F94" w:rsidRPr="003C0F94" w:rsidRDefault="003C0F94" w:rsidP="003C0F94">
      <w:pPr>
        <w:spacing w:line="240" w:lineRule="auto"/>
        <w:rPr>
          <w:rFonts w:eastAsia="Times New Roman" w:cs="Arial"/>
          <w:i/>
          <w:iCs/>
          <w:color w:val="000000"/>
          <w:lang w:eastAsia="bg-BG"/>
        </w:rPr>
      </w:pPr>
    </w:p>
    <w:p w14:paraId="7AB3B020" w14:textId="01680F09"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Преустановяване на лечението</w:t>
      </w:r>
    </w:p>
    <w:p w14:paraId="00ABC121" w14:textId="77777777" w:rsidR="003C0F94" w:rsidRPr="003C0F94" w:rsidRDefault="003C0F94" w:rsidP="003C0F94">
      <w:pPr>
        <w:rPr>
          <w:rFonts w:eastAsia="Times New Roman" w:cs="Arial"/>
        </w:rPr>
      </w:pPr>
      <w:r w:rsidRPr="003C0F94">
        <w:rPr>
          <w:rFonts w:eastAsia="Times New Roman" w:cs="Arial"/>
          <w:color w:val="000000"/>
          <w:lang w:eastAsia="bg-BG"/>
        </w:rPr>
        <w:t xml:space="preserve">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дулоксетин, и 23% от пациентите, приемали плацебо. Рискът от симптоми на отнемане, наблюдавани при употреба на </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w:t>
      </w:r>
      <w:r w:rsidRPr="003C0F94">
        <w:rPr>
          <w:rFonts w:eastAsia="Times New Roman" w:cs="Arial"/>
          <w:color w:val="000000"/>
          <w:lang w:val="en-US"/>
        </w:rPr>
        <w:t>SNRI</w:t>
      </w:r>
      <w:r w:rsidRPr="003C0F94">
        <w:rPr>
          <w:rFonts w:eastAsia="Times New Roman" w:cs="Arial"/>
          <w:color w:val="000000"/>
          <w:lang w:val="ru-RU"/>
        </w:rPr>
        <w:t xml:space="preserve"> </w:t>
      </w:r>
      <w:r w:rsidRPr="003C0F94">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умерени, въпреки че при някои от пациентите те могат да бъдат тежки. Те обикновено възникват в рамките на първите няколко дни от преустановяване на лечението, но са докладвани и редки случаи на такива симптоми при пациенти, пропуснали случаийно доза. Като цяло, тези симптоми са самоограничаващи се и обикновено преминават в рамките на 2</w:t>
      </w:r>
      <w:r w:rsidRPr="003C0F94">
        <w:rPr>
          <w:rFonts w:eastAsia="Times New Roman" w:cs="Arial"/>
          <w:color w:val="000000"/>
          <w:lang w:val="ru-RU" w:eastAsia="bg-BG"/>
        </w:rPr>
        <w:t xml:space="preserve"> </w:t>
      </w:r>
      <w:r w:rsidRPr="003C0F94">
        <w:rPr>
          <w:rFonts w:eastAsia="Times New Roman" w:cs="Arial"/>
          <w:color w:val="000000"/>
          <w:lang w:eastAsia="bg-BG"/>
        </w:rPr>
        <w:t>седмици, но при някои индивиди могат да се задържат по-дълго (2-3 месеца и повече). Поради това се препоръчва постепенно намаляване на дозата на дулоксетин при преустановяване на лечението в рамките на поне 2 седмици, в зависимост от конкретните нужди на пациента (вж. точка 4.2).</w:t>
      </w:r>
    </w:p>
    <w:p w14:paraId="058D4730" w14:textId="77777777" w:rsidR="003C0F94" w:rsidRPr="003C0F94" w:rsidRDefault="003C0F94" w:rsidP="003C0F94">
      <w:pPr>
        <w:spacing w:line="240" w:lineRule="auto"/>
        <w:rPr>
          <w:rFonts w:eastAsia="Times New Roman" w:cs="Arial"/>
          <w:i/>
          <w:iCs/>
          <w:color w:val="000000"/>
          <w:lang w:eastAsia="bg-BG"/>
        </w:rPr>
      </w:pPr>
    </w:p>
    <w:p w14:paraId="581CAF35" w14:textId="3C618DE4"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Пациенти в старческа възраст</w:t>
      </w:r>
    </w:p>
    <w:p w14:paraId="5F7A6223"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Данните за употреба на 120 </w:t>
      </w:r>
      <w:r w:rsidRPr="003C0F94">
        <w:rPr>
          <w:rFonts w:eastAsia="Times New Roman" w:cs="Arial"/>
          <w:color w:val="000000"/>
          <w:lang w:val="en-US"/>
        </w:rPr>
        <w:t>mg</w:t>
      </w:r>
      <w:r w:rsidRPr="003C0F94">
        <w:rPr>
          <w:rFonts w:eastAsia="Times New Roman" w:cs="Arial"/>
          <w:color w:val="000000"/>
          <w:lang w:val="ru-RU"/>
        </w:rPr>
        <w:t xml:space="preserve"> </w:t>
      </w:r>
      <w:r w:rsidRPr="003C0F94">
        <w:rPr>
          <w:rFonts w:eastAsia="Times New Roman" w:cs="Arial"/>
          <w:color w:val="000000"/>
          <w:lang w:eastAsia="bg-BG"/>
        </w:rPr>
        <w:t>дулоксетин при пациенти в старческа възраст с голям депресивен епизод и генерализирано тревожно разстройство са ограничени. Затова е необходимо повишено внимание при лечението на пациенти в старческа възраст с максимална доза (вж. точки 4.2 и 5.2).</w:t>
      </w:r>
    </w:p>
    <w:p w14:paraId="06C4BF41" w14:textId="77777777" w:rsidR="003C0F94" w:rsidRPr="003C0F94" w:rsidRDefault="003C0F94" w:rsidP="003C0F94">
      <w:pPr>
        <w:spacing w:line="240" w:lineRule="auto"/>
        <w:rPr>
          <w:rFonts w:eastAsia="Times New Roman" w:cs="Arial"/>
          <w:i/>
          <w:iCs/>
          <w:color w:val="000000"/>
          <w:lang w:eastAsia="bg-BG"/>
        </w:rPr>
      </w:pPr>
    </w:p>
    <w:p w14:paraId="7513D4DE" w14:textId="17F0AA5F"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Акатизия/психомоторно безпокойство</w:t>
      </w:r>
    </w:p>
    <w:p w14:paraId="14DA4808"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Употребата на дулоксетин се свързва с развитие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 стоене спокойно. По-вероятно е това да се прояви в рамките на първите няколко седмици от лечението. При пациенти, които проявят такива симптоми, повишаването на дозата може да има негативен ефект.</w:t>
      </w:r>
    </w:p>
    <w:p w14:paraId="591E4C2A" w14:textId="77777777" w:rsidR="003C0F94" w:rsidRPr="003C0F94" w:rsidRDefault="003C0F94" w:rsidP="003C0F94">
      <w:pPr>
        <w:spacing w:line="240" w:lineRule="auto"/>
        <w:rPr>
          <w:rFonts w:eastAsia="Times New Roman" w:cs="Arial"/>
          <w:i/>
          <w:iCs/>
          <w:color w:val="000000"/>
          <w:lang w:eastAsia="bg-BG"/>
        </w:rPr>
      </w:pPr>
    </w:p>
    <w:p w14:paraId="150A064B" w14:textId="44E9D1B1"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Лекарствени продукти, съдържащи дулоксетин</w:t>
      </w:r>
    </w:p>
    <w:p w14:paraId="3CA0253E"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Дулоксетин се използва с различни търговски наименования за няколко показания (лечение на диабетна невропатна болка, големи депресивни епизоди, генерализирано тревожно разстройство и стрес инконтиненция на урина). Трябва да се избягва употреба на повече от един от тези продукти едновременно.</w:t>
      </w:r>
    </w:p>
    <w:p w14:paraId="55DB518F" w14:textId="77777777" w:rsidR="003C0F94" w:rsidRPr="003C0F94" w:rsidRDefault="003C0F94" w:rsidP="003C0F94">
      <w:pPr>
        <w:spacing w:line="240" w:lineRule="auto"/>
        <w:rPr>
          <w:rFonts w:eastAsia="Times New Roman" w:cs="Arial"/>
          <w:i/>
          <w:iCs/>
          <w:color w:val="000000"/>
          <w:lang w:eastAsia="bg-BG"/>
        </w:rPr>
      </w:pPr>
    </w:p>
    <w:p w14:paraId="66C185A0" w14:textId="7A5CD16E"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Хепатит/повишени чернодробни ензими</w:t>
      </w:r>
    </w:p>
    <w:p w14:paraId="29303D9E"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Съобщавани са случаи на чернодробно увреждане, включително тежко повишение на чернодробните ензими (&gt;10 пъти горната граница на нормата), хепатит и жълтеница при лечение с дулоксетин (вж. точка 4.8). Повечето от тях настъпват по време на първите месеци лечение. Характерът на чернодробното 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дроб.</w:t>
      </w:r>
    </w:p>
    <w:p w14:paraId="536FD54A" w14:textId="77777777" w:rsidR="003C0F94" w:rsidRPr="003C0F94" w:rsidRDefault="003C0F94" w:rsidP="003C0F94">
      <w:pPr>
        <w:spacing w:line="240" w:lineRule="auto"/>
        <w:rPr>
          <w:rFonts w:eastAsia="Times New Roman" w:cs="Arial"/>
          <w:i/>
          <w:iCs/>
          <w:color w:val="000000"/>
          <w:lang w:eastAsia="bg-BG"/>
        </w:rPr>
      </w:pPr>
    </w:p>
    <w:p w14:paraId="3AB89EDB" w14:textId="59D4CAAB"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Сексуална дисфункция</w:t>
      </w:r>
    </w:p>
    <w:p w14:paraId="57B303D6"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Селективните инхибитори на обратното захващане на серотонина </w:t>
      </w:r>
      <w:r w:rsidRPr="003C0F94">
        <w:rPr>
          <w:rFonts w:eastAsia="Times New Roman" w:cs="Arial"/>
          <w:color w:val="000000"/>
          <w:lang w:val="ru-RU"/>
        </w:rPr>
        <w:t>(</w:t>
      </w:r>
      <w:r w:rsidRPr="003C0F94">
        <w:rPr>
          <w:rFonts w:eastAsia="Times New Roman" w:cs="Arial"/>
          <w:color w:val="000000"/>
          <w:lang w:val="en-US"/>
        </w:rPr>
        <w:t>SSRIs</w:t>
      </w:r>
      <w:r w:rsidRPr="003C0F94">
        <w:rPr>
          <w:rFonts w:eastAsia="Times New Roman" w:cs="Arial"/>
          <w:color w:val="000000"/>
          <w:lang w:val="ru-RU"/>
        </w:rPr>
        <w:t xml:space="preserve">)/ </w:t>
      </w:r>
      <w:r w:rsidRPr="003C0F94">
        <w:rPr>
          <w:rFonts w:eastAsia="Times New Roman" w:cs="Arial"/>
          <w:color w:val="000000"/>
          <w:lang w:eastAsia="bg-BG"/>
        </w:rPr>
        <w:t xml:space="preserve">инхибиторите на обратното захващане на серотонин норадреналина </w:t>
      </w:r>
      <w:r w:rsidRPr="003C0F94">
        <w:rPr>
          <w:rFonts w:eastAsia="Times New Roman" w:cs="Arial"/>
          <w:color w:val="000000"/>
          <w:lang w:val="ru-RU"/>
        </w:rPr>
        <w:t>(</w:t>
      </w:r>
      <w:r w:rsidRPr="003C0F94">
        <w:rPr>
          <w:rFonts w:eastAsia="Times New Roman" w:cs="Arial"/>
          <w:color w:val="000000"/>
          <w:lang w:val="en-US"/>
        </w:rPr>
        <w:t>SNRIs</w:t>
      </w:r>
      <w:r w:rsidRPr="003C0F94">
        <w:rPr>
          <w:rFonts w:eastAsia="Times New Roman" w:cs="Arial"/>
          <w:color w:val="000000"/>
          <w:lang w:val="ru-RU"/>
        </w:rPr>
        <w:t xml:space="preserve">) </w:t>
      </w:r>
      <w:r w:rsidRPr="003C0F94">
        <w:rPr>
          <w:rFonts w:eastAsia="Times New Roman" w:cs="Arial"/>
          <w:color w:val="000000"/>
          <w:lang w:eastAsia="bg-BG"/>
        </w:rPr>
        <w:t xml:space="preserve">могат да причинят симптоми на сексуална дисфункция (вж. точка 4.8). Има съобщения за дълготрайна сексуална дисфункция, при която симптомите са продължили въпреки прекъсването на </w:t>
      </w:r>
      <w:r w:rsidRPr="003C0F94">
        <w:rPr>
          <w:rFonts w:eastAsia="Times New Roman" w:cs="Arial"/>
          <w:color w:val="000000"/>
          <w:lang w:val="en-US"/>
        </w:rPr>
        <w:t>SSRIs</w:t>
      </w:r>
      <w:r w:rsidRPr="003C0F94">
        <w:rPr>
          <w:rFonts w:eastAsia="Times New Roman" w:cs="Arial"/>
          <w:color w:val="000000"/>
          <w:lang w:val="ru-RU"/>
        </w:rPr>
        <w:t>/</w:t>
      </w:r>
      <w:r w:rsidRPr="003C0F94">
        <w:rPr>
          <w:rFonts w:eastAsia="Times New Roman" w:cs="Arial"/>
          <w:color w:val="000000"/>
          <w:lang w:val="en-US"/>
        </w:rPr>
        <w:t>SNRIs</w:t>
      </w:r>
      <w:r w:rsidRPr="003C0F94">
        <w:rPr>
          <w:rFonts w:eastAsia="Times New Roman" w:cs="Arial"/>
          <w:color w:val="000000"/>
          <w:lang w:val="ru-RU"/>
        </w:rPr>
        <w:t>.</w:t>
      </w:r>
    </w:p>
    <w:p w14:paraId="021C0EC2" w14:textId="77777777" w:rsidR="003C0F94" w:rsidRPr="003C0F94" w:rsidRDefault="003C0F94" w:rsidP="003C0F94">
      <w:pPr>
        <w:spacing w:line="240" w:lineRule="auto"/>
        <w:rPr>
          <w:rFonts w:eastAsia="Times New Roman" w:cs="Arial"/>
          <w:i/>
          <w:iCs/>
          <w:color w:val="000000"/>
          <w:lang w:eastAsia="bg-BG"/>
        </w:rPr>
      </w:pPr>
    </w:p>
    <w:p w14:paraId="09A6FF23" w14:textId="0456698E"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Захароза</w:t>
      </w:r>
    </w:p>
    <w:p w14:paraId="6696A5BF"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Дулодет твърди стомашно-устойчиви капсули съдържа захароза. Пациентите с редки наследствени проблеми на непоносимост към фруктоза, глюкозо-галактозна малабсорбция или захаразо-изомалтазна недостатъчност не трябва да приемат това лекарство.</w:t>
      </w:r>
    </w:p>
    <w:p w14:paraId="2ADFE514" w14:textId="3F72F595" w:rsidR="003C0F94" w:rsidRPr="003C0F94" w:rsidRDefault="003C0F94" w:rsidP="003C0F94"/>
    <w:p w14:paraId="0734264C" w14:textId="3037DF6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A82D66C" w14:textId="38443783" w:rsidR="003C0F94" w:rsidRDefault="003C0F94" w:rsidP="003C0F94"/>
    <w:p w14:paraId="687A6794" w14:textId="7777777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Инхибитори на моно-амино оксидазата (МАО инхибитори):</w:t>
      </w:r>
      <w:r w:rsidRPr="003C0F94">
        <w:rPr>
          <w:rFonts w:eastAsia="Times New Roman" w:cs="Arial"/>
          <w:color w:val="000000"/>
          <w:szCs w:val="20"/>
          <w:lang w:eastAsia="bg-BG"/>
        </w:rPr>
        <w:t xml:space="preserve"> Поради риск от серотонинов синдром, дулоксетин не трябва да се използва в комбинация с неселективни, необратими моноаминооксидазни инхибитори (МАО инхибитори), или в рамките на поне 14 дни от прекъсване на лечението с МАО инхибитори. С оглед на полуживота на дулоксетин, е необходимо да изминат поне 5 дни след спиране на Дулодет и преди започване на МАО инхибитори (вж. точка 4.3).</w:t>
      </w:r>
    </w:p>
    <w:p w14:paraId="2C126306" w14:textId="69A01AD9"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 xml:space="preserve">Не се препоръчва едновременното приложение на Дулодет със селективните, обратими </w:t>
      </w:r>
      <w:r w:rsidRPr="003C0F94">
        <w:rPr>
          <w:rFonts w:eastAsia="Times New Roman" w:cs="Arial"/>
          <w:color w:val="000000"/>
          <w:szCs w:val="20"/>
          <w:lang w:val="en-US"/>
        </w:rPr>
        <w:t>MAO</w:t>
      </w:r>
      <w:r w:rsidRPr="003C0F94">
        <w:rPr>
          <w:rFonts w:eastAsia="Times New Roman" w:cs="Arial"/>
          <w:color w:val="000000"/>
          <w:szCs w:val="20"/>
          <w:vertAlign w:val="superscript"/>
          <w:lang w:eastAsia="bg-BG"/>
        </w:rPr>
        <w:t xml:space="preserve"> </w:t>
      </w:r>
      <w:r w:rsidRPr="003C0F94">
        <w:rPr>
          <w:rFonts w:eastAsia="Times New Roman" w:cs="Arial"/>
          <w:color w:val="000000"/>
          <w:szCs w:val="20"/>
          <w:lang w:eastAsia="bg-BG"/>
        </w:rPr>
        <w:t>инхибитори, като моклобемид (вж. точка 4.4). Антибиотикът линезолид е обратим неселективен МАО инхибитор и не трябва да се прилага при пациенти, лекувани с Дулодет (вж. точка 4.4).</w:t>
      </w:r>
    </w:p>
    <w:p w14:paraId="3E32DC36" w14:textId="4036D43E" w:rsidR="003C0F94" w:rsidRPr="003C0F94" w:rsidRDefault="003C0F94" w:rsidP="003C0F94">
      <w:pPr>
        <w:rPr>
          <w:rFonts w:eastAsia="Times New Roman" w:cs="Arial"/>
          <w:color w:val="000000"/>
          <w:szCs w:val="20"/>
          <w:lang w:eastAsia="bg-BG"/>
        </w:rPr>
      </w:pPr>
    </w:p>
    <w:p w14:paraId="2D5D1893" w14:textId="7777777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lastRenderedPageBreak/>
        <w:t xml:space="preserve">Инхибитори на </w:t>
      </w:r>
      <w:r w:rsidRPr="003C0F94">
        <w:rPr>
          <w:rFonts w:eastAsia="Times New Roman" w:cs="Arial"/>
          <w:i/>
          <w:iCs/>
          <w:color w:val="000000"/>
          <w:szCs w:val="20"/>
          <w:lang w:val="en-US"/>
        </w:rPr>
        <w:t>CYP</w:t>
      </w:r>
      <w:r w:rsidRPr="003C0F94">
        <w:rPr>
          <w:rFonts w:eastAsia="Times New Roman" w:cs="Arial"/>
          <w:i/>
          <w:iCs/>
          <w:color w:val="000000"/>
          <w:szCs w:val="20"/>
          <w:lang w:val="ru-RU"/>
        </w:rPr>
        <w:t>1</w:t>
      </w:r>
      <w:r w:rsidRPr="003C0F94">
        <w:rPr>
          <w:rFonts w:eastAsia="Times New Roman" w:cs="Arial"/>
          <w:i/>
          <w:iCs/>
          <w:color w:val="000000"/>
          <w:szCs w:val="20"/>
          <w:lang w:val="en-US"/>
        </w:rPr>
        <w:t>A</w:t>
      </w:r>
      <w:r w:rsidRPr="003C0F94">
        <w:rPr>
          <w:rFonts w:eastAsia="Times New Roman" w:cs="Arial"/>
          <w:i/>
          <w:iCs/>
          <w:color w:val="000000"/>
          <w:szCs w:val="20"/>
          <w:lang w:val="ru-RU"/>
        </w:rPr>
        <w:t>2:</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Тъй като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 xml:space="preserve">А2 участва в метаболизма на дулоксетин, едновременното приложение на дулоксетин с мощни инхибитори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val="en-US"/>
        </w:rPr>
        <w:t>A</w:t>
      </w:r>
      <w:r w:rsidRPr="003C0F94">
        <w:rPr>
          <w:rFonts w:eastAsia="Times New Roman" w:cs="Arial"/>
          <w:color w:val="000000"/>
          <w:szCs w:val="20"/>
          <w:lang w:val="ru-RU"/>
        </w:rPr>
        <w:t xml:space="preserve">2 </w:t>
      </w:r>
      <w:r w:rsidRPr="003C0F94">
        <w:rPr>
          <w:rFonts w:eastAsia="Times New Roman" w:cs="Arial"/>
          <w:color w:val="000000"/>
          <w:szCs w:val="20"/>
          <w:lang w:eastAsia="bg-BG"/>
        </w:rPr>
        <w:t xml:space="preserve">има вероятност да доведе до по-високи концентрации на дулоксетин. Флувоксамин (100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мощен инхибитор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 xml:space="preserve">А2, намалява видимия плазмен клирънс на дулоксетин с около 77% и повишава </w:t>
      </w:r>
      <w:proofErr w:type="spellStart"/>
      <w:r w:rsidRPr="003C0F94">
        <w:rPr>
          <w:rFonts w:eastAsia="Times New Roman" w:cs="Arial"/>
          <w:color w:val="000000"/>
          <w:szCs w:val="20"/>
          <w:lang w:val="en-US"/>
        </w:rPr>
        <w:t>AUCo</w:t>
      </w:r>
      <w:proofErr w:type="spellEnd"/>
      <w:r w:rsidRPr="003C0F94">
        <w:rPr>
          <w:rFonts w:eastAsia="Times New Roman" w:cs="Arial"/>
          <w:color w:val="000000"/>
          <w:szCs w:val="20"/>
          <w:lang w:val="ru-RU"/>
        </w:rPr>
        <w:t>-</w:t>
      </w:r>
      <w:r w:rsidRPr="003C0F94">
        <w:rPr>
          <w:rFonts w:eastAsia="Times New Roman" w:cs="Arial"/>
          <w:color w:val="000000"/>
          <w:szCs w:val="20"/>
          <w:lang w:val="en-US"/>
        </w:rPr>
        <w:t>t</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6-пъти. Затова Дулодет не трябва да се прилага в комбинация с мощни инхибитори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А2, като флувоксамин (вж. точка 4.3).</w:t>
      </w:r>
    </w:p>
    <w:p w14:paraId="55C4CE6B" w14:textId="77777777" w:rsidR="003C0F94" w:rsidRPr="003C0F94" w:rsidRDefault="003C0F94" w:rsidP="003C0F94">
      <w:pPr>
        <w:spacing w:line="240" w:lineRule="auto"/>
        <w:rPr>
          <w:rFonts w:eastAsia="Times New Roman" w:cs="Arial"/>
          <w:i/>
          <w:iCs/>
          <w:color w:val="000000"/>
          <w:szCs w:val="20"/>
          <w:lang w:eastAsia="bg-BG"/>
        </w:rPr>
      </w:pPr>
    </w:p>
    <w:p w14:paraId="6784847C" w14:textId="1824C5CB"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Лекарствени продукти, действащи върху ЦНС:</w:t>
      </w:r>
      <w:r w:rsidRPr="003C0F94">
        <w:rPr>
          <w:rFonts w:eastAsia="Times New Roman" w:cs="Arial"/>
          <w:color w:val="000000"/>
          <w:szCs w:val="20"/>
          <w:lang w:eastAsia="bg-BG"/>
        </w:rPr>
        <w:t xml:space="preserve"> Рискът от употреба на дулоксетин в комбинация с други лекарствени продукти, повлияващи ЦНС, не е системно оценяван, освен в случаите, описани в настоящата точка. Поради това се препоръчва повишено внимание, когато Дулодет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 </w:t>
      </w:r>
      <w:r w:rsidRPr="003C0F94">
        <w:rPr>
          <w:rFonts w:eastAsia="Times New Roman" w:cs="Arial"/>
          <w:i/>
          <w:iCs/>
          <w:color w:val="000000"/>
          <w:szCs w:val="20"/>
          <w:lang w:eastAsia="bg-BG"/>
        </w:rPr>
        <w:t>Серотонинергични лекарствени средства:</w:t>
      </w:r>
      <w:r w:rsidRPr="003C0F94">
        <w:rPr>
          <w:rFonts w:eastAsia="Times New Roman" w:cs="Arial"/>
          <w:color w:val="000000"/>
          <w:szCs w:val="20"/>
          <w:lang w:eastAsia="bg-BG"/>
        </w:rPr>
        <w:t xml:space="preserve"> В редки случаи е съобщаван серотонинов синдром при пациенти, които използват </w:t>
      </w:r>
      <w:r w:rsidRPr="003C0F94">
        <w:rPr>
          <w:rFonts w:eastAsia="Times New Roman" w:cs="Arial"/>
          <w:color w:val="000000"/>
          <w:szCs w:val="20"/>
          <w:lang w:val="en-US"/>
        </w:rPr>
        <w:t>SSRI</w:t>
      </w:r>
      <w:r w:rsidRPr="003C0F94">
        <w:rPr>
          <w:rFonts w:eastAsia="Times New Roman" w:cs="Arial"/>
          <w:color w:val="000000"/>
          <w:szCs w:val="20"/>
          <w:lang w:val="ru-RU"/>
        </w:rPr>
        <w:t>/</w:t>
      </w:r>
      <w:r w:rsidRPr="003C0F94">
        <w:rPr>
          <w:rFonts w:eastAsia="Times New Roman" w:cs="Arial"/>
          <w:color w:val="000000"/>
          <w:szCs w:val="20"/>
          <w:lang w:val="en-US"/>
        </w:rPr>
        <w:t>SNRI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едновременно със серотонинергични лекарствени средства. Препоръчва се повишено внимание, ако Дулодет се използва едновременно със серотонинергични лекарствени средства, като </w:t>
      </w:r>
      <w:r w:rsidRPr="003C0F94">
        <w:rPr>
          <w:rFonts w:eastAsia="Times New Roman" w:cs="Arial"/>
          <w:color w:val="000000"/>
          <w:szCs w:val="20"/>
          <w:lang w:val="en-US"/>
        </w:rPr>
        <w:t>SSRI</w:t>
      </w:r>
      <w:r w:rsidRPr="003C0F94">
        <w:rPr>
          <w:rFonts w:eastAsia="Times New Roman" w:cs="Arial"/>
          <w:color w:val="000000"/>
          <w:szCs w:val="20"/>
        </w:rPr>
        <w:t xml:space="preserve">, </w:t>
      </w:r>
      <w:r w:rsidRPr="003C0F94">
        <w:rPr>
          <w:rFonts w:eastAsia="Times New Roman" w:cs="Arial"/>
          <w:color w:val="000000"/>
          <w:szCs w:val="20"/>
          <w:lang w:val="en-US"/>
        </w:rPr>
        <w:t>SNRI</w:t>
      </w:r>
      <w:r w:rsidRPr="003C0F94">
        <w:rPr>
          <w:rFonts w:eastAsia="Times New Roman" w:cs="Arial"/>
          <w:color w:val="000000"/>
          <w:szCs w:val="20"/>
        </w:rPr>
        <w:t xml:space="preserve">, </w:t>
      </w:r>
      <w:r w:rsidRPr="003C0F94">
        <w:rPr>
          <w:rFonts w:eastAsia="Times New Roman" w:cs="Arial"/>
          <w:color w:val="000000"/>
          <w:szCs w:val="20"/>
          <w:lang w:eastAsia="bg-BG"/>
        </w:rPr>
        <w:t xml:space="preserve">трициклични антидепресанти, като кломипрамин или амитриптилин, МАО инхибитори, като моклобемид или линезолид, жълт кантарион </w:t>
      </w:r>
      <w:r w:rsidRPr="003C0F94">
        <w:rPr>
          <w:rFonts w:eastAsia="Times New Roman" w:cs="Arial"/>
          <w:i/>
          <w:iCs/>
          <w:color w:val="000000"/>
          <w:szCs w:val="20"/>
        </w:rPr>
        <w:t>(</w:t>
      </w:r>
      <w:proofErr w:type="spellStart"/>
      <w:r w:rsidRPr="003C0F94">
        <w:rPr>
          <w:rFonts w:eastAsia="Times New Roman" w:cs="Arial"/>
          <w:i/>
          <w:iCs/>
          <w:color w:val="000000"/>
          <w:szCs w:val="20"/>
          <w:lang w:val="en-US"/>
        </w:rPr>
        <w:t>Hypericumperforatum</w:t>
      </w:r>
      <w:proofErr w:type="spellEnd"/>
      <w:r w:rsidRPr="003C0F94">
        <w:rPr>
          <w:rFonts w:eastAsia="Times New Roman" w:cs="Arial"/>
          <w:i/>
          <w:iCs/>
          <w:color w:val="000000"/>
          <w:szCs w:val="20"/>
        </w:rPr>
        <w:t>)</w:t>
      </w:r>
      <w:r w:rsidRPr="003C0F94">
        <w:rPr>
          <w:rFonts w:eastAsia="Times New Roman" w:cs="Arial"/>
          <w:color w:val="000000"/>
          <w:szCs w:val="20"/>
        </w:rPr>
        <w:t xml:space="preserve"> </w:t>
      </w:r>
      <w:r w:rsidRPr="003C0F94">
        <w:rPr>
          <w:rFonts w:eastAsia="Times New Roman" w:cs="Arial"/>
          <w:color w:val="000000"/>
          <w:szCs w:val="20"/>
          <w:lang w:eastAsia="bg-BG"/>
        </w:rPr>
        <w:t>или триптани, трамадол, петидин и триптофан (вж. точка 4.4).</w:t>
      </w:r>
    </w:p>
    <w:p w14:paraId="13BCB091" w14:textId="77777777" w:rsidR="003C0F94" w:rsidRPr="003C0F94" w:rsidRDefault="003C0F94" w:rsidP="003C0F94">
      <w:pPr>
        <w:spacing w:line="240" w:lineRule="auto"/>
        <w:rPr>
          <w:rFonts w:eastAsia="Times New Roman" w:cs="Arial"/>
          <w:color w:val="000000"/>
          <w:szCs w:val="20"/>
          <w:u w:val="single"/>
          <w:lang w:eastAsia="bg-BG"/>
        </w:rPr>
      </w:pPr>
    </w:p>
    <w:p w14:paraId="61DB7504" w14:textId="7A2FB842"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Ефект на дулоксетин върху други лекарствени продукти</w:t>
      </w:r>
    </w:p>
    <w:p w14:paraId="33A225F0" w14:textId="77777777" w:rsidR="003C0F94" w:rsidRPr="003C0F94" w:rsidRDefault="003C0F94" w:rsidP="003C0F94">
      <w:pPr>
        <w:spacing w:line="240" w:lineRule="auto"/>
        <w:rPr>
          <w:rFonts w:eastAsia="Times New Roman" w:cs="Arial"/>
          <w:i/>
          <w:iCs/>
          <w:color w:val="000000"/>
          <w:szCs w:val="20"/>
          <w:lang w:eastAsia="bg-BG"/>
        </w:rPr>
      </w:pPr>
    </w:p>
    <w:p w14:paraId="3B2510D7" w14:textId="48CE766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 xml:space="preserve">Лекарствени продукти, метаболизирани от </w:t>
      </w:r>
      <w:r w:rsidRPr="003C0F94">
        <w:rPr>
          <w:rFonts w:eastAsia="Times New Roman" w:cs="Arial"/>
          <w:i/>
          <w:iCs/>
          <w:color w:val="000000"/>
          <w:szCs w:val="20"/>
          <w:lang w:val="en-US"/>
        </w:rPr>
        <w:t>CYP</w:t>
      </w:r>
      <w:r w:rsidRPr="003C0F94">
        <w:rPr>
          <w:rFonts w:eastAsia="Times New Roman" w:cs="Arial"/>
          <w:i/>
          <w:iCs/>
          <w:color w:val="000000"/>
          <w:szCs w:val="20"/>
          <w:lang w:val="ru-RU"/>
        </w:rPr>
        <w:t>1</w:t>
      </w:r>
      <w:r w:rsidRPr="003C0F94">
        <w:rPr>
          <w:rFonts w:eastAsia="Times New Roman" w:cs="Arial"/>
          <w:i/>
          <w:iCs/>
          <w:color w:val="000000"/>
          <w:szCs w:val="20"/>
          <w:lang w:val="en-US"/>
        </w:rPr>
        <w:t>A</w:t>
      </w:r>
      <w:r w:rsidRPr="003C0F94">
        <w:rPr>
          <w:rFonts w:eastAsia="Times New Roman" w:cs="Arial"/>
          <w:i/>
          <w:iCs/>
          <w:color w:val="000000"/>
          <w:szCs w:val="20"/>
          <w:lang w:val="ru-RU"/>
        </w:rPr>
        <w:t>2:</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Фармакокинетиката на теофилин, субстрат на </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eastAsia="bg-BG"/>
        </w:rPr>
        <w:t xml:space="preserve">А2, не се повлиява значително от съпътстващо приложение с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два пъти дневно).</w:t>
      </w:r>
    </w:p>
    <w:p w14:paraId="167E0C10" w14:textId="77777777" w:rsidR="003C0F94" w:rsidRPr="003C0F94" w:rsidRDefault="003C0F94" w:rsidP="003C0F94">
      <w:pPr>
        <w:spacing w:line="240" w:lineRule="auto"/>
        <w:rPr>
          <w:rFonts w:eastAsia="Times New Roman" w:cs="Arial"/>
          <w:i/>
          <w:iCs/>
          <w:color w:val="000000"/>
          <w:szCs w:val="20"/>
          <w:lang w:eastAsia="bg-BG"/>
        </w:rPr>
      </w:pPr>
    </w:p>
    <w:p w14:paraId="1803E1A6" w14:textId="6E964911"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 xml:space="preserve">Лекарствени продукти, метаболизирани от </w:t>
      </w:r>
      <w:r w:rsidRPr="003C0F94">
        <w:rPr>
          <w:rFonts w:eastAsia="Times New Roman" w:cs="Arial"/>
          <w:i/>
          <w:iCs/>
          <w:color w:val="000000"/>
          <w:szCs w:val="20"/>
          <w:lang w:val="en-US"/>
        </w:rPr>
        <w:t>CYP</w:t>
      </w:r>
      <w:r w:rsidRPr="003C0F94">
        <w:rPr>
          <w:rFonts w:eastAsia="Times New Roman" w:cs="Arial"/>
          <w:i/>
          <w:iCs/>
          <w:color w:val="000000"/>
          <w:szCs w:val="20"/>
          <w:lang w:val="ru-RU"/>
        </w:rPr>
        <w:t>2</w:t>
      </w:r>
      <w:r w:rsidRPr="003C0F94">
        <w:rPr>
          <w:rFonts w:eastAsia="Times New Roman" w:cs="Arial"/>
          <w:i/>
          <w:iCs/>
          <w:color w:val="000000"/>
          <w:szCs w:val="20"/>
          <w:lang w:val="en-US"/>
        </w:rPr>
        <w:t>D</w:t>
      </w:r>
      <w:r w:rsidRPr="003C0F94">
        <w:rPr>
          <w:rFonts w:eastAsia="Times New Roman" w:cs="Arial"/>
          <w:i/>
          <w:iCs/>
          <w:color w:val="000000"/>
          <w:szCs w:val="20"/>
          <w:lang w:val="ru-RU"/>
        </w:rPr>
        <w:t>6:</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Дулоксетин е умерен инхибитор на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 xml:space="preserve">Когато дулоксетин се прилага в доза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два пъти дневно с еднократна доза дезипрамин, който е субстрат на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на дезипрамин се увеличава 3 пъти . Съвместното приложение на дулоксетин (40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два пъти дневно) повишава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 равновесно състояние на толтеродин (2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два пъти дневно) със 71 %, но не повлиява фармакокинетиката на неговия активен 5-хидроксил метаболит и не се препоръчва адаптиране на дозата. Препоръчва се повишено внимание, ако Дулодет се прилага едновременно с лекарствени продукти, които се метаболизират основно от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(рисперидон, трициклични антидепресанти (ТЦАД), като норгриптилин, амитриптилин и имипрамин), особено ако те имат тесен терапевтичен индекс (като флекаинид, пропафенон и метопролол).</w:t>
      </w:r>
    </w:p>
    <w:p w14:paraId="587C70CC" w14:textId="77777777" w:rsidR="003C0F94" w:rsidRPr="003C0F94" w:rsidRDefault="003C0F94" w:rsidP="003C0F94">
      <w:pPr>
        <w:spacing w:line="240" w:lineRule="auto"/>
        <w:rPr>
          <w:rFonts w:eastAsia="Times New Roman" w:cs="Arial"/>
          <w:i/>
          <w:iCs/>
          <w:color w:val="000000"/>
          <w:szCs w:val="20"/>
          <w:lang w:eastAsia="bg-BG"/>
        </w:rPr>
      </w:pPr>
    </w:p>
    <w:p w14:paraId="67F4531A" w14:textId="7CA1711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Перорални контрацептиви и други стероидни средства:</w:t>
      </w:r>
      <w:r w:rsidRPr="003C0F94">
        <w:rPr>
          <w:rFonts w:eastAsia="Times New Roman" w:cs="Arial"/>
          <w:color w:val="000000"/>
          <w:szCs w:val="20"/>
          <w:lang w:eastAsia="bg-BG"/>
        </w:rPr>
        <w:t xml:space="preserve"> Резултатите от </w:t>
      </w:r>
      <w:r w:rsidRPr="003C0F94">
        <w:rPr>
          <w:rFonts w:eastAsia="Times New Roman" w:cs="Arial"/>
          <w:i/>
          <w:iCs/>
          <w:color w:val="000000"/>
          <w:szCs w:val="20"/>
          <w:lang w:val="en-US"/>
        </w:rPr>
        <w:t>in</w:t>
      </w:r>
      <w:r w:rsidRPr="003C0F94">
        <w:rPr>
          <w:rFonts w:eastAsia="Times New Roman" w:cs="Arial"/>
          <w:i/>
          <w:iCs/>
          <w:color w:val="000000"/>
          <w:szCs w:val="20"/>
          <w:lang w:val="ru-RU"/>
        </w:rPr>
        <w:t xml:space="preserve"> </w:t>
      </w:r>
      <w:r w:rsidRPr="003C0F94">
        <w:rPr>
          <w:rFonts w:eastAsia="Times New Roman" w:cs="Arial"/>
          <w:i/>
          <w:iCs/>
          <w:color w:val="000000"/>
          <w:szCs w:val="20"/>
          <w:lang w:val="en-US"/>
        </w:rPr>
        <w:t>vitro</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проучвания показват, че дулоксетин не индуцира каталитичната активност на </w:t>
      </w:r>
      <w:r w:rsidRPr="003C0F94">
        <w:rPr>
          <w:rFonts w:eastAsia="Times New Roman" w:cs="Arial"/>
          <w:color w:val="000000"/>
          <w:szCs w:val="20"/>
          <w:lang w:val="en-US"/>
        </w:rPr>
        <w:t>CYP</w:t>
      </w:r>
      <w:r w:rsidRPr="003C0F94">
        <w:rPr>
          <w:rFonts w:eastAsia="Times New Roman" w:cs="Arial"/>
          <w:color w:val="000000"/>
          <w:szCs w:val="20"/>
          <w:lang w:val="ru-RU"/>
        </w:rPr>
        <w:t>3</w:t>
      </w:r>
      <w:r w:rsidRPr="003C0F94">
        <w:rPr>
          <w:rFonts w:eastAsia="Times New Roman" w:cs="Arial"/>
          <w:color w:val="000000"/>
          <w:szCs w:val="20"/>
          <w:lang w:val="en-US"/>
        </w:rPr>
        <w:t>A</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Не са провеждани специфични </w:t>
      </w:r>
      <w:r w:rsidRPr="003C0F94">
        <w:rPr>
          <w:rFonts w:eastAsia="Times New Roman" w:cs="Arial"/>
          <w:i/>
          <w:iCs/>
          <w:color w:val="000000"/>
          <w:szCs w:val="20"/>
          <w:lang w:val="en-US"/>
        </w:rPr>
        <w:t>in</w:t>
      </w:r>
      <w:r w:rsidRPr="003C0F94">
        <w:rPr>
          <w:rFonts w:eastAsia="Times New Roman" w:cs="Arial"/>
          <w:i/>
          <w:iCs/>
          <w:color w:val="000000"/>
          <w:szCs w:val="20"/>
          <w:lang w:val="ru-RU"/>
        </w:rPr>
        <w:t xml:space="preserve"> </w:t>
      </w:r>
      <w:r w:rsidRPr="003C0F94">
        <w:rPr>
          <w:rFonts w:eastAsia="Times New Roman" w:cs="Arial"/>
          <w:i/>
          <w:iCs/>
          <w:color w:val="000000"/>
          <w:szCs w:val="20"/>
          <w:lang w:val="en-US"/>
        </w:rPr>
        <w:t>vivo</w:t>
      </w:r>
      <w:r w:rsidRPr="003C0F94">
        <w:rPr>
          <w:rFonts w:eastAsia="Times New Roman" w:cs="Arial"/>
          <w:color w:val="000000"/>
          <w:szCs w:val="20"/>
          <w:lang w:val="ru-RU"/>
        </w:rPr>
        <w:t xml:space="preserve"> </w:t>
      </w:r>
      <w:r w:rsidRPr="003C0F94">
        <w:rPr>
          <w:rFonts w:eastAsia="Times New Roman" w:cs="Arial"/>
          <w:color w:val="000000"/>
          <w:szCs w:val="20"/>
          <w:lang w:eastAsia="bg-BG"/>
        </w:rPr>
        <w:t>проучвания на лекарствени взаимодействия.</w:t>
      </w:r>
    </w:p>
    <w:p w14:paraId="54488A6E" w14:textId="77777777" w:rsidR="003C0F94" w:rsidRPr="003C0F94" w:rsidRDefault="003C0F94" w:rsidP="003C0F94">
      <w:pPr>
        <w:spacing w:line="240" w:lineRule="auto"/>
        <w:rPr>
          <w:rFonts w:eastAsia="Times New Roman" w:cs="Arial"/>
          <w:i/>
          <w:iCs/>
          <w:color w:val="000000"/>
          <w:szCs w:val="20"/>
          <w:lang w:eastAsia="bg-BG"/>
        </w:rPr>
      </w:pPr>
    </w:p>
    <w:p w14:paraId="037DE029" w14:textId="77777777" w:rsidR="003C0F94" w:rsidRPr="003C0F94" w:rsidRDefault="003C0F94" w:rsidP="003C0F94">
      <w:pPr>
        <w:spacing w:line="240" w:lineRule="auto"/>
        <w:rPr>
          <w:rFonts w:eastAsia="Times New Roman" w:cs="Arial"/>
          <w:color w:val="000000"/>
          <w:szCs w:val="20"/>
          <w:lang w:eastAsia="bg-BG"/>
        </w:rPr>
      </w:pPr>
      <w:r w:rsidRPr="003C0F94">
        <w:rPr>
          <w:rFonts w:eastAsia="Times New Roman" w:cs="Arial"/>
          <w:i/>
          <w:iCs/>
          <w:color w:val="000000"/>
          <w:szCs w:val="20"/>
          <w:lang w:eastAsia="bg-BG"/>
        </w:rPr>
        <w:t>Антикоагуланти и антиагреганти:</w:t>
      </w:r>
      <w:r w:rsidRPr="003C0F94">
        <w:rPr>
          <w:rFonts w:eastAsia="Times New Roman" w:cs="Arial"/>
          <w:color w:val="000000"/>
          <w:szCs w:val="20"/>
          <w:lang w:eastAsia="bg-BG"/>
        </w:rPr>
        <w:t xml:space="preserve"> Необходимо е повишено внимание, когато дулоксетин се комбинира с перорални антикоагуланти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3C0F94">
        <w:rPr>
          <w:rFonts w:eastAsia="Times New Roman" w:cs="Arial"/>
          <w:color w:val="000000"/>
          <w:szCs w:val="20"/>
          <w:lang w:val="en-US"/>
        </w:rPr>
        <w:t>INR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от клинично фармакологично проучване, в стационарно състояние не води до клинично значима промяна в </w:t>
      </w:r>
      <w:r w:rsidRPr="003C0F94">
        <w:rPr>
          <w:rFonts w:eastAsia="Times New Roman" w:cs="Arial"/>
          <w:color w:val="000000"/>
          <w:szCs w:val="20"/>
          <w:lang w:val="en-US"/>
        </w:rPr>
        <w:t>INR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спрямо </w:t>
      </w:r>
    </w:p>
    <w:p w14:paraId="2324F652" w14:textId="7DF38D3A"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 xml:space="preserve">изходните стойности или във фармакокинетиката на </w:t>
      </w:r>
      <w:r w:rsidRPr="003C0F94">
        <w:rPr>
          <w:rFonts w:eastAsia="Times New Roman" w:cs="Arial"/>
          <w:color w:val="000000"/>
          <w:szCs w:val="20"/>
          <w:lang w:val="en-US"/>
        </w:rPr>
        <w:t>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или </w:t>
      </w:r>
      <w:r w:rsidRPr="003C0F94">
        <w:rPr>
          <w:rFonts w:eastAsia="Times New Roman" w:cs="Arial"/>
          <w:color w:val="000000"/>
          <w:szCs w:val="20"/>
          <w:lang w:val="en-US"/>
        </w:rPr>
        <w:t>S</w:t>
      </w:r>
      <w:r w:rsidRPr="003C0F94">
        <w:rPr>
          <w:rFonts w:eastAsia="Times New Roman" w:cs="Arial"/>
          <w:color w:val="000000"/>
          <w:szCs w:val="20"/>
          <w:lang w:val="ru-RU"/>
        </w:rPr>
        <w:t xml:space="preserve">- </w:t>
      </w:r>
      <w:r w:rsidRPr="003C0F94">
        <w:rPr>
          <w:rFonts w:eastAsia="Times New Roman" w:cs="Arial"/>
          <w:color w:val="000000"/>
          <w:szCs w:val="20"/>
          <w:lang w:eastAsia="bg-BG"/>
        </w:rPr>
        <w:t>варфарин.</w:t>
      </w:r>
    </w:p>
    <w:p w14:paraId="0ABF5499" w14:textId="77777777" w:rsidR="003C0F94" w:rsidRPr="003C0F94" w:rsidRDefault="003C0F94" w:rsidP="003C0F94">
      <w:pPr>
        <w:spacing w:line="240" w:lineRule="auto"/>
        <w:rPr>
          <w:rFonts w:eastAsia="Times New Roman" w:cs="Arial"/>
          <w:color w:val="000000"/>
          <w:szCs w:val="20"/>
          <w:u w:val="single"/>
          <w:lang w:eastAsia="bg-BG"/>
        </w:rPr>
      </w:pPr>
    </w:p>
    <w:p w14:paraId="5C0A7484" w14:textId="0F0D4290"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Ефекти на други лекарствени продукти върху дулоксетин</w:t>
      </w:r>
    </w:p>
    <w:p w14:paraId="0BF237E8" w14:textId="7777777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Антиацидни лекарства и Н2 антагонисти:</w:t>
      </w:r>
      <w:r w:rsidRPr="003C0F94">
        <w:rPr>
          <w:rFonts w:eastAsia="Times New Roman" w:cs="Arial"/>
          <w:color w:val="000000"/>
          <w:szCs w:val="20"/>
          <w:lang w:eastAsia="bg-BG"/>
        </w:rPr>
        <w:t xml:space="preserve"> Съвместното приложение на дулоксетин с антиациди, съдържащи алуминий и магнезий, или на дулоксетин с фамотидин, не оказва значим ефект върху скоростта или степента на абсорбция на дулоксетин след перорално приложение на доза от 40 </w:t>
      </w:r>
      <w:r w:rsidRPr="003C0F94">
        <w:rPr>
          <w:rFonts w:eastAsia="Times New Roman" w:cs="Arial"/>
          <w:color w:val="000000"/>
          <w:szCs w:val="20"/>
          <w:lang w:val="en-US"/>
        </w:rPr>
        <w:t>mg</w:t>
      </w:r>
      <w:r w:rsidRPr="003C0F94">
        <w:rPr>
          <w:rFonts w:eastAsia="Times New Roman" w:cs="Arial"/>
          <w:color w:val="000000"/>
          <w:szCs w:val="20"/>
          <w:lang w:val="ru-RU"/>
        </w:rPr>
        <w:t>.</w:t>
      </w:r>
    </w:p>
    <w:p w14:paraId="269188B4" w14:textId="77777777" w:rsidR="003C0F94" w:rsidRPr="003C0F94" w:rsidRDefault="003C0F94" w:rsidP="003C0F94">
      <w:pPr>
        <w:spacing w:line="240" w:lineRule="auto"/>
        <w:rPr>
          <w:rFonts w:eastAsia="Times New Roman" w:cs="Arial"/>
          <w:i/>
          <w:iCs/>
          <w:color w:val="000000"/>
          <w:szCs w:val="20"/>
          <w:lang w:eastAsia="bg-BG"/>
        </w:rPr>
      </w:pPr>
    </w:p>
    <w:p w14:paraId="6657838A" w14:textId="465E312E"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 xml:space="preserve">Индуктори на </w:t>
      </w:r>
      <w:r w:rsidRPr="003C0F94">
        <w:rPr>
          <w:rFonts w:eastAsia="Times New Roman" w:cs="Arial"/>
          <w:i/>
          <w:iCs/>
          <w:color w:val="000000"/>
          <w:szCs w:val="20"/>
          <w:lang w:val="en-US"/>
        </w:rPr>
        <w:t>CYP</w:t>
      </w:r>
      <w:r w:rsidRPr="003C0F94">
        <w:rPr>
          <w:rFonts w:eastAsia="Times New Roman" w:cs="Arial"/>
          <w:i/>
          <w:iCs/>
          <w:color w:val="000000"/>
          <w:szCs w:val="20"/>
          <w:lang w:val="ru-RU"/>
        </w:rPr>
        <w:t>1</w:t>
      </w:r>
      <w:r w:rsidRPr="003C0F94">
        <w:rPr>
          <w:rFonts w:eastAsia="Times New Roman" w:cs="Arial"/>
          <w:i/>
          <w:iCs/>
          <w:color w:val="000000"/>
          <w:szCs w:val="20"/>
          <w:lang w:val="en-US"/>
        </w:rPr>
        <w:t>A</w:t>
      </w:r>
      <w:r w:rsidRPr="003C0F94">
        <w:rPr>
          <w:rFonts w:eastAsia="Times New Roman" w:cs="Arial"/>
          <w:i/>
          <w:iCs/>
          <w:color w:val="000000"/>
          <w:szCs w:val="20"/>
          <w:lang w:val="ru-RU"/>
        </w:rPr>
        <w:t>2:</w:t>
      </w:r>
      <w:r w:rsidRPr="003C0F94">
        <w:rPr>
          <w:rFonts w:eastAsia="Times New Roman" w:cs="Arial"/>
          <w:color w:val="000000"/>
          <w:szCs w:val="20"/>
          <w:lang w:val="ru-RU"/>
        </w:rPr>
        <w:t xml:space="preserve"> </w:t>
      </w:r>
      <w:r w:rsidRPr="003C0F94">
        <w:rPr>
          <w:rFonts w:eastAsia="Times New Roman" w:cs="Arial"/>
          <w:color w:val="000000"/>
          <w:szCs w:val="20"/>
          <w:lang w:eastAsia="bg-BG"/>
        </w:rPr>
        <w:t>Анализи на популационни фармакокинетични проучвания показват, че при пушачите плазмените концентрации на дулоксетин са почти 50% по-ниски в сравнение с непушачите.</w:t>
      </w:r>
    </w:p>
    <w:p w14:paraId="12791316" w14:textId="77777777" w:rsidR="003C0F94" w:rsidRPr="003C0F94" w:rsidRDefault="003C0F94" w:rsidP="003C0F94"/>
    <w:p w14:paraId="5D9F40EA" w14:textId="5C3DC42B" w:rsidR="007122AD" w:rsidRDefault="002C50EE" w:rsidP="00936AD0">
      <w:pPr>
        <w:pStyle w:val="Heading2"/>
      </w:pPr>
      <w:r>
        <w:t>4.6. Фертилитет, бременност и кърмене</w:t>
      </w:r>
    </w:p>
    <w:p w14:paraId="489B9304" w14:textId="1363E1CA" w:rsidR="003C0F94" w:rsidRDefault="003C0F94" w:rsidP="003C0F94"/>
    <w:p w14:paraId="32B88329" w14:textId="77777777" w:rsidR="003C0F94" w:rsidRPr="003C0F94" w:rsidRDefault="003C0F94" w:rsidP="003C0F94">
      <w:pPr>
        <w:pStyle w:val="Heading3"/>
        <w:rPr>
          <w:rFonts w:eastAsia="Times New Roman"/>
          <w:sz w:val="28"/>
          <w:u w:val="single"/>
        </w:rPr>
      </w:pPr>
      <w:r w:rsidRPr="003C0F94">
        <w:rPr>
          <w:rFonts w:eastAsia="Times New Roman"/>
          <w:u w:val="single"/>
          <w:lang w:eastAsia="bg-BG"/>
        </w:rPr>
        <w:t>Бременност</w:t>
      </w:r>
    </w:p>
    <w:p w14:paraId="6B8C7BF5"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Няма достатъчно данни за употреба на дулоксетин от бременни жени. Проучвания при животни показват репродуктивна токсичност при нива на системна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на дулоксетин по- ниски от максималната клинична експозиция (вж. точка 5.3).</w:t>
      </w:r>
    </w:p>
    <w:p w14:paraId="077C4B76"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Потенциалният риск за хора не е известен.</w:t>
      </w:r>
    </w:p>
    <w:p w14:paraId="46679F3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Въз основа на епидемиологичните данни се предполага, че употребата на </w:t>
      </w:r>
      <w:r w:rsidRPr="003C0F94">
        <w:rPr>
          <w:rFonts w:eastAsia="Times New Roman" w:cs="Arial"/>
          <w:color w:val="000000"/>
          <w:szCs w:val="20"/>
          <w:lang w:val="en-US"/>
        </w:rPr>
        <w:t>SSRI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по време на бременност, особено в напреднал стадий, може да повиши риска от персистираща пулмонална хипертония при новороденото (ППХН). Макар връзката на ППХН с лечението със </w:t>
      </w:r>
      <w:r w:rsidRPr="003C0F94">
        <w:rPr>
          <w:rFonts w:eastAsia="Times New Roman" w:cs="Arial"/>
          <w:color w:val="000000"/>
          <w:szCs w:val="20"/>
          <w:lang w:val="en-US"/>
        </w:rPr>
        <w:t>SNRI</w:t>
      </w:r>
      <w:r w:rsidRPr="003C0F94">
        <w:rPr>
          <w:rFonts w:eastAsia="Times New Roman" w:cs="Arial"/>
          <w:color w:val="000000"/>
          <w:szCs w:val="20"/>
          <w:lang w:val="ru-RU"/>
        </w:rPr>
        <w:t xml:space="preserve"> </w:t>
      </w:r>
      <w:r w:rsidRPr="003C0F94">
        <w:rPr>
          <w:rFonts w:eastAsia="Times New Roman" w:cs="Arial"/>
          <w:color w:val="000000"/>
          <w:szCs w:val="20"/>
          <w:lang w:eastAsia="bg-BG"/>
        </w:rPr>
        <w:t>да не е изследвана в проучвания, този потенциален риск не може да бъде изключен при дулоксетин, предвид на свързания механизъм на действие (инхибиране на обратното захващане на серотонина).</w:t>
      </w:r>
    </w:p>
    <w:p w14:paraId="10550244"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Подобно на другите серотонергични лекарствени продукти, могат да се проявят симптоми на отнемане при новородени след употреба на дулоксетин от страна на майката близо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рамките на няколко дни след раждането.</w:t>
      </w:r>
    </w:p>
    <w:p w14:paraId="39E2D6B4" w14:textId="77777777" w:rsidR="003C0F94" w:rsidRPr="003C0F94" w:rsidRDefault="003C0F94" w:rsidP="003C0F94">
      <w:pPr>
        <w:spacing w:line="240" w:lineRule="auto"/>
        <w:rPr>
          <w:rFonts w:eastAsia="Times New Roman" w:cs="Arial"/>
          <w:color w:val="000000"/>
          <w:szCs w:val="20"/>
          <w:lang w:eastAsia="bg-BG"/>
        </w:rPr>
      </w:pPr>
    </w:p>
    <w:p w14:paraId="28449E08" w14:textId="3E14AAA2"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Данни от наблюдения предоставят доказателства за повишен риск (по-малко от 2 пъти) от послеродово кръвотечение след експозиция на дулоксетин в рамките на месец преди раждането.</w:t>
      </w:r>
    </w:p>
    <w:p w14:paraId="75620856" w14:textId="77777777" w:rsidR="003C0F94" w:rsidRPr="003C0F94" w:rsidRDefault="003C0F94" w:rsidP="003C0F94">
      <w:pPr>
        <w:spacing w:line="240" w:lineRule="auto"/>
        <w:rPr>
          <w:rFonts w:eastAsia="Times New Roman" w:cs="Arial"/>
          <w:color w:val="000000"/>
          <w:szCs w:val="20"/>
          <w:lang w:eastAsia="bg-BG"/>
        </w:rPr>
      </w:pPr>
    </w:p>
    <w:p w14:paraId="6B6F5CA4" w14:textId="4E5386AA"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Дулодет трябва да се използва по време на бременност, само ако потенциалните ползи оправдават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4DDDFD29" w14:textId="77777777" w:rsidR="003C0F94" w:rsidRPr="003C0F94" w:rsidRDefault="003C0F94" w:rsidP="003C0F94">
      <w:pPr>
        <w:spacing w:line="240" w:lineRule="auto"/>
        <w:rPr>
          <w:rFonts w:eastAsia="Times New Roman" w:cs="Arial"/>
          <w:color w:val="000000"/>
          <w:szCs w:val="20"/>
          <w:u w:val="single"/>
          <w:lang w:eastAsia="bg-BG"/>
        </w:rPr>
      </w:pPr>
    </w:p>
    <w:p w14:paraId="2A41E136" w14:textId="4CE6D09D" w:rsidR="003C0F94" w:rsidRPr="003C0F94" w:rsidRDefault="003C0F94" w:rsidP="003C0F94">
      <w:pPr>
        <w:pStyle w:val="Heading3"/>
        <w:rPr>
          <w:rFonts w:eastAsia="Times New Roman"/>
          <w:sz w:val="28"/>
          <w:u w:val="single"/>
        </w:rPr>
      </w:pPr>
      <w:r w:rsidRPr="003C0F94">
        <w:rPr>
          <w:rFonts w:eastAsia="Times New Roman"/>
          <w:u w:val="single"/>
          <w:lang w:eastAsia="bg-BG"/>
        </w:rPr>
        <w:t>Кърмене</w:t>
      </w:r>
    </w:p>
    <w:p w14:paraId="3C69A22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се отделя в много малка степен в кърмата, видно от изследване при 6 пациентки- кърмачки, които не са кърмили своите деца. Приблизителната дневна доза за деца на база </w:t>
      </w:r>
      <w:r w:rsidRPr="003C0F94">
        <w:rPr>
          <w:rFonts w:eastAsia="Times New Roman" w:cs="Arial"/>
          <w:color w:val="000000"/>
          <w:szCs w:val="20"/>
          <w:lang w:val="en-US"/>
        </w:rPr>
        <w:t>mg</w:t>
      </w:r>
      <w:r w:rsidRPr="003C0F94">
        <w:rPr>
          <w:rFonts w:eastAsia="Times New Roman" w:cs="Arial"/>
          <w:color w:val="000000"/>
          <w:szCs w:val="20"/>
          <w:lang w:val="ru-RU"/>
        </w:rPr>
        <w:t>/</w:t>
      </w:r>
      <w:r w:rsidRPr="003C0F94">
        <w:rPr>
          <w:rFonts w:eastAsia="Times New Roman" w:cs="Arial"/>
          <w:color w:val="000000"/>
          <w:szCs w:val="20"/>
          <w:lang w:val="en-US"/>
        </w:rPr>
        <w:t>kg</w:t>
      </w:r>
      <w:r w:rsidRPr="003C0F94">
        <w:rPr>
          <w:rFonts w:eastAsia="Times New Roman" w:cs="Arial"/>
          <w:color w:val="000000"/>
          <w:szCs w:val="20"/>
          <w:lang w:val="ru-RU"/>
        </w:rPr>
        <w:t xml:space="preserve"> </w:t>
      </w:r>
      <w:r w:rsidRPr="003C0F94">
        <w:rPr>
          <w:rFonts w:eastAsia="Times New Roman" w:cs="Arial"/>
          <w:color w:val="000000"/>
          <w:szCs w:val="20"/>
          <w:lang w:eastAsia="bg-BG"/>
        </w:rPr>
        <w:t>е приблизително 0,14% от дозата на майката (вж. точка 5.2). Тъй като безопасността на дулоксетин при бебета не е установена, не се препоръчва употребата на Дулодет през периода на кърмене.</w:t>
      </w:r>
    </w:p>
    <w:p w14:paraId="1027E2D2" w14:textId="77777777" w:rsidR="003C0F94" w:rsidRPr="003C0F94" w:rsidRDefault="003C0F94" w:rsidP="003C0F94">
      <w:pPr>
        <w:spacing w:line="240" w:lineRule="auto"/>
        <w:rPr>
          <w:rFonts w:eastAsia="Times New Roman" w:cs="Arial"/>
          <w:color w:val="000000"/>
          <w:szCs w:val="20"/>
          <w:u w:val="single"/>
          <w:lang w:eastAsia="bg-BG"/>
        </w:rPr>
      </w:pPr>
    </w:p>
    <w:p w14:paraId="3B7F2563" w14:textId="5845FDD6" w:rsidR="003C0F94" w:rsidRPr="003C0F94" w:rsidRDefault="003C0F94" w:rsidP="003C0F94">
      <w:pPr>
        <w:pStyle w:val="Heading3"/>
        <w:rPr>
          <w:rFonts w:eastAsia="Times New Roman"/>
          <w:sz w:val="28"/>
          <w:u w:val="single"/>
        </w:rPr>
      </w:pPr>
      <w:r w:rsidRPr="003C0F94">
        <w:rPr>
          <w:rFonts w:eastAsia="Times New Roman"/>
          <w:u w:val="single"/>
          <w:lang w:eastAsia="bg-BG"/>
        </w:rPr>
        <w:lastRenderedPageBreak/>
        <w:t>Фертилитет</w:t>
      </w:r>
    </w:p>
    <w:p w14:paraId="17CA11AC"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В проучвания при животни дулоксетин няма ефект върху фертилитета при мъжки животни, а ефектите при женски животни очевидно са само в дози, които причиняват токсичност за майката.</w:t>
      </w:r>
    </w:p>
    <w:p w14:paraId="79D9B3FB" w14:textId="77777777" w:rsidR="003C0F94" w:rsidRPr="003C0F94" w:rsidRDefault="003C0F94" w:rsidP="003C0F94"/>
    <w:p w14:paraId="5DD7A76D" w14:textId="6A7B5109" w:rsidR="007122AD" w:rsidRDefault="002C50EE" w:rsidP="00936AD0">
      <w:pPr>
        <w:pStyle w:val="Heading2"/>
      </w:pPr>
      <w:r>
        <w:t>4.7. Ефекти върху способността за шофиране и работа с машини</w:t>
      </w:r>
    </w:p>
    <w:p w14:paraId="17E0A774" w14:textId="2084D72C" w:rsidR="003C0F94" w:rsidRDefault="003C0F94" w:rsidP="003C0F94"/>
    <w:p w14:paraId="233F7825" w14:textId="6527B265" w:rsidR="003C0F94" w:rsidRDefault="003C0F94" w:rsidP="003C0F94">
      <w:r>
        <w:t>Не са провеждани проучвания върху способността за шофиране и работа с машини Дулодет може да бъде свързан със седиране и замаяност. Пациентите трябва да бъдат информирани, ако изпитат ефекти на седиране или замаяност, трябва да избягват потенциално рискови дейности като шофиране или работа с машини.</w:t>
      </w:r>
    </w:p>
    <w:p w14:paraId="3EF3B511" w14:textId="77777777" w:rsidR="003C0F94" w:rsidRPr="003C0F94" w:rsidRDefault="003C0F94" w:rsidP="003C0F94"/>
    <w:p w14:paraId="44CE30A3" w14:textId="267627FE" w:rsidR="007122AD" w:rsidRDefault="002C50EE" w:rsidP="00936AD0">
      <w:pPr>
        <w:pStyle w:val="Heading2"/>
      </w:pPr>
      <w:r>
        <w:t>4.8. Нежелани лекарствени реакции</w:t>
      </w:r>
    </w:p>
    <w:p w14:paraId="1DE8F472" w14:textId="0CF68399" w:rsidR="003C0F94" w:rsidRDefault="003C0F94" w:rsidP="003C0F94"/>
    <w:p w14:paraId="18D335C6" w14:textId="721F1474" w:rsidR="003C0F94" w:rsidRPr="003C0F94" w:rsidRDefault="003C0F94" w:rsidP="003C0F94">
      <w:pPr>
        <w:spacing w:line="240" w:lineRule="auto"/>
        <w:rPr>
          <w:rFonts w:eastAsia="Times New Roman" w:cs="Arial"/>
          <w:i/>
          <w:iCs/>
          <w:color w:val="000000"/>
          <w:szCs w:val="20"/>
          <w:lang w:eastAsia="bg-BG"/>
        </w:rPr>
      </w:pPr>
      <w:r w:rsidRPr="003C0F94">
        <w:rPr>
          <w:rFonts w:eastAsia="Times New Roman" w:cs="Arial"/>
          <w:i/>
          <w:iCs/>
          <w:color w:val="000000"/>
          <w:szCs w:val="20"/>
          <w:lang w:val="ru-RU" w:eastAsia="bg-BG"/>
        </w:rPr>
        <w:t>а.</w:t>
      </w:r>
      <w:r w:rsidRPr="003C0F94">
        <w:rPr>
          <w:rFonts w:eastAsia="Times New Roman" w:cs="Arial"/>
          <w:i/>
          <w:iCs/>
          <w:color w:val="000000"/>
          <w:szCs w:val="20"/>
          <w:lang w:eastAsia="bg-BG"/>
        </w:rPr>
        <w:t>Резюме на профила на безопасност</w:t>
      </w:r>
    </w:p>
    <w:p w14:paraId="2FFA11F0" w14:textId="77777777" w:rsidR="003C0F94" w:rsidRPr="003C0F94" w:rsidRDefault="003C0F94" w:rsidP="003C0F94">
      <w:pPr>
        <w:spacing w:line="240" w:lineRule="auto"/>
        <w:rPr>
          <w:rFonts w:eastAsia="Times New Roman" w:cs="Arial"/>
          <w:color w:val="000000"/>
          <w:szCs w:val="20"/>
          <w:lang w:eastAsia="bg-BG"/>
        </w:rPr>
      </w:pPr>
    </w:p>
    <w:p w14:paraId="79C2B203" w14:textId="6D4FF86B"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Най-често съобщаваните нежелани реакции при пациенти, лекувани с дулоксетин, са гадене, главоболие, сухота в устата, сомнолентност и замаяност. Въпреки това, повечето от честите нежелани реакции са леки до умерено тежки, обикновено възникват в ранен етап от лечението и при по-голямата част от тях е наблюдавана тенденция да отминават дори при продължаване на терапията.</w:t>
      </w:r>
    </w:p>
    <w:p w14:paraId="04454503" w14:textId="77777777" w:rsidR="003C0F94" w:rsidRPr="003C0F94" w:rsidRDefault="003C0F94" w:rsidP="003C0F94">
      <w:pPr>
        <w:spacing w:line="240" w:lineRule="auto"/>
        <w:rPr>
          <w:rFonts w:eastAsia="Times New Roman" w:cs="Arial"/>
          <w:i/>
          <w:iCs/>
          <w:color w:val="000000"/>
          <w:szCs w:val="20"/>
          <w:lang w:eastAsia="bg-BG"/>
        </w:rPr>
      </w:pPr>
    </w:p>
    <w:p w14:paraId="3D340910" w14:textId="1CB345A6" w:rsidR="003C0F94" w:rsidRPr="003C0F94" w:rsidRDefault="003C0F94" w:rsidP="003C0F94">
      <w:pPr>
        <w:spacing w:line="240" w:lineRule="auto"/>
        <w:rPr>
          <w:rFonts w:eastAsia="Times New Roman" w:cs="Arial"/>
          <w:i/>
          <w:iCs/>
          <w:color w:val="000000"/>
          <w:szCs w:val="20"/>
          <w:lang w:eastAsia="bg-BG"/>
        </w:rPr>
      </w:pPr>
      <w:r w:rsidRPr="003C0F94">
        <w:rPr>
          <w:rFonts w:eastAsia="Times New Roman" w:cs="Arial"/>
          <w:i/>
          <w:iCs/>
          <w:color w:val="000000"/>
          <w:szCs w:val="20"/>
          <w:lang w:eastAsia="bg-BG"/>
        </w:rPr>
        <w:t>б.Резюме на нежеланите лекарствени реакции в табличен вид</w:t>
      </w:r>
    </w:p>
    <w:p w14:paraId="6E2F2675" w14:textId="77777777" w:rsidR="003C0F94" w:rsidRPr="003C0F94" w:rsidRDefault="003C0F94" w:rsidP="003C0F94">
      <w:pPr>
        <w:spacing w:line="240" w:lineRule="auto"/>
        <w:rPr>
          <w:rFonts w:eastAsia="Times New Roman" w:cs="Arial"/>
          <w:color w:val="000000"/>
          <w:szCs w:val="20"/>
          <w:lang w:eastAsia="bg-BG"/>
        </w:rPr>
      </w:pPr>
    </w:p>
    <w:p w14:paraId="104C7AEA" w14:textId="2483C52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В таблица 1 са показани нежеланите реакции, наблюдавани при спонтанно съобщаване и в плацебо-контролирани клинични проучвания.</w:t>
      </w:r>
    </w:p>
    <w:p w14:paraId="271B0B2E" w14:textId="77777777" w:rsidR="003C0F94" w:rsidRPr="003C0F94" w:rsidRDefault="003C0F94" w:rsidP="003C0F94">
      <w:pPr>
        <w:spacing w:line="240" w:lineRule="auto"/>
        <w:rPr>
          <w:rFonts w:eastAsia="Times New Roman" w:cs="Arial"/>
          <w:i/>
          <w:iCs/>
          <w:color w:val="000000"/>
          <w:szCs w:val="20"/>
          <w:lang w:eastAsia="bg-BG"/>
        </w:rPr>
      </w:pPr>
    </w:p>
    <w:p w14:paraId="61141D27" w14:textId="21E346AC"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Таблица 1: Нежелани реакции</w:t>
      </w:r>
    </w:p>
    <w:p w14:paraId="5BAF3935"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Оценка на честотата: много чести (≥1/10), чести (≥1/100 до &lt;1/10), нечести (≥1/1 000 до &lt;1/100), редки (≥1/10 000 до &lt;1/1 000), много редки (&lt;1/10 000).</w:t>
      </w:r>
    </w:p>
    <w:p w14:paraId="6C329080"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При всяко групиране в зависимост от честотата нежеланите реакции са представени в низходящ ред по отношение на тяхната тежест.</w:t>
      </w:r>
    </w:p>
    <w:p w14:paraId="68233150" w14:textId="64C932B4" w:rsidR="003C0F94" w:rsidRDefault="003C0F94" w:rsidP="003C0F94"/>
    <w:tbl>
      <w:tblPr>
        <w:tblStyle w:val="TableGrid"/>
        <w:tblW w:w="0" w:type="auto"/>
        <w:tblLook w:val="04A0" w:firstRow="1" w:lastRow="0" w:firstColumn="1" w:lastColumn="0" w:noHBand="0" w:noVBand="1"/>
      </w:tblPr>
      <w:tblGrid>
        <w:gridCol w:w="1921"/>
        <w:gridCol w:w="1550"/>
        <w:gridCol w:w="2341"/>
        <w:gridCol w:w="2411"/>
        <w:gridCol w:w="1127"/>
      </w:tblGrid>
      <w:tr w:rsidR="003C0F94" w:rsidRPr="003C0F94" w14:paraId="3516509D" w14:textId="77777777" w:rsidTr="003C0F94">
        <w:tc>
          <w:tcPr>
            <w:tcW w:w="2402" w:type="dxa"/>
          </w:tcPr>
          <w:p w14:paraId="37364201" w14:textId="29E14536" w:rsidR="003C0F94" w:rsidRPr="003C0F94" w:rsidRDefault="003C0F94" w:rsidP="003C0F94">
            <w:pPr>
              <w:rPr>
                <w:rFonts w:cs="Arial"/>
              </w:rPr>
            </w:pPr>
            <w:r w:rsidRPr="003C0F94">
              <w:rPr>
                <w:rFonts w:cs="Arial"/>
                <w:b/>
                <w:bCs/>
              </w:rPr>
              <w:t>Много чести</w:t>
            </w:r>
          </w:p>
        </w:tc>
        <w:tc>
          <w:tcPr>
            <w:tcW w:w="1474" w:type="dxa"/>
          </w:tcPr>
          <w:p w14:paraId="378EF15D" w14:textId="4228F678" w:rsidR="003C0F94" w:rsidRPr="003C0F94" w:rsidRDefault="003C0F94" w:rsidP="003C0F94">
            <w:pPr>
              <w:rPr>
                <w:rFonts w:cs="Arial"/>
              </w:rPr>
            </w:pPr>
            <w:r w:rsidRPr="003C0F94">
              <w:rPr>
                <w:rFonts w:cs="Arial"/>
                <w:b/>
                <w:bCs/>
              </w:rPr>
              <w:t>Чести</w:t>
            </w:r>
          </w:p>
        </w:tc>
        <w:tc>
          <w:tcPr>
            <w:tcW w:w="2148" w:type="dxa"/>
          </w:tcPr>
          <w:p w14:paraId="01CE3DD4" w14:textId="388428DE" w:rsidR="003C0F94" w:rsidRPr="003C0F94" w:rsidRDefault="003C0F94" w:rsidP="003C0F94">
            <w:pPr>
              <w:rPr>
                <w:rFonts w:cs="Arial"/>
              </w:rPr>
            </w:pPr>
            <w:r w:rsidRPr="003C0F94">
              <w:rPr>
                <w:rFonts w:cs="Arial"/>
                <w:b/>
                <w:bCs/>
              </w:rPr>
              <w:t>Нечести</w:t>
            </w:r>
          </w:p>
        </w:tc>
        <w:tc>
          <w:tcPr>
            <w:tcW w:w="2411" w:type="dxa"/>
          </w:tcPr>
          <w:p w14:paraId="6026949A" w14:textId="4120AD3B" w:rsidR="003C0F94" w:rsidRPr="003C0F94" w:rsidRDefault="003C0F94" w:rsidP="003C0F94">
            <w:pPr>
              <w:rPr>
                <w:rFonts w:cs="Arial"/>
              </w:rPr>
            </w:pPr>
            <w:r w:rsidRPr="003C0F94">
              <w:rPr>
                <w:rFonts w:cs="Arial"/>
                <w:b/>
                <w:bCs/>
              </w:rPr>
              <w:t>Редки</w:t>
            </w:r>
          </w:p>
        </w:tc>
        <w:tc>
          <w:tcPr>
            <w:tcW w:w="1141" w:type="dxa"/>
          </w:tcPr>
          <w:p w14:paraId="431FC6B1" w14:textId="1DA28F72" w:rsidR="003C0F94" w:rsidRPr="003C0F94" w:rsidRDefault="003C0F94" w:rsidP="003C0F94">
            <w:pPr>
              <w:rPr>
                <w:rFonts w:cs="Arial"/>
              </w:rPr>
            </w:pPr>
            <w:r w:rsidRPr="003C0F94">
              <w:rPr>
                <w:rFonts w:cs="Arial"/>
                <w:b/>
                <w:bCs/>
              </w:rPr>
              <w:t>Много редки</w:t>
            </w:r>
          </w:p>
        </w:tc>
      </w:tr>
      <w:tr w:rsidR="003C0F94" w:rsidRPr="003C0F94" w14:paraId="20DEAEDD" w14:textId="77777777" w:rsidTr="003C0F94">
        <w:tc>
          <w:tcPr>
            <w:tcW w:w="9576" w:type="dxa"/>
            <w:gridSpan w:val="5"/>
          </w:tcPr>
          <w:p w14:paraId="7A0B5C3E" w14:textId="16CE7477" w:rsidR="003C0F94" w:rsidRPr="003C0F94" w:rsidRDefault="003C0F94" w:rsidP="003C0F94">
            <w:pPr>
              <w:rPr>
                <w:rFonts w:cs="Arial"/>
              </w:rPr>
            </w:pPr>
            <w:r w:rsidRPr="003C0F94">
              <w:rPr>
                <w:rFonts w:cs="Arial"/>
                <w:i/>
                <w:iCs/>
              </w:rPr>
              <w:t>Инфекции и инфестации</w:t>
            </w:r>
          </w:p>
        </w:tc>
      </w:tr>
      <w:tr w:rsidR="003C0F94" w:rsidRPr="003C0F94" w14:paraId="1C31AF74" w14:textId="77777777" w:rsidTr="003C0F94">
        <w:tc>
          <w:tcPr>
            <w:tcW w:w="2402" w:type="dxa"/>
          </w:tcPr>
          <w:p w14:paraId="19E713E7" w14:textId="77777777" w:rsidR="003C0F94" w:rsidRPr="003C0F94" w:rsidRDefault="003C0F94" w:rsidP="003C0F94">
            <w:pPr>
              <w:rPr>
                <w:rFonts w:cs="Arial"/>
              </w:rPr>
            </w:pPr>
          </w:p>
        </w:tc>
        <w:tc>
          <w:tcPr>
            <w:tcW w:w="1474" w:type="dxa"/>
          </w:tcPr>
          <w:p w14:paraId="50F3408F" w14:textId="77777777" w:rsidR="003C0F94" w:rsidRPr="003C0F94" w:rsidRDefault="003C0F94" w:rsidP="003C0F94">
            <w:pPr>
              <w:rPr>
                <w:rFonts w:cs="Arial"/>
              </w:rPr>
            </w:pPr>
          </w:p>
        </w:tc>
        <w:tc>
          <w:tcPr>
            <w:tcW w:w="2148" w:type="dxa"/>
          </w:tcPr>
          <w:p w14:paraId="1F009E45" w14:textId="3B128D08" w:rsidR="003C0F94" w:rsidRPr="003C0F94" w:rsidRDefault="003C0F94" w:rsidP="003C0F94">
            <w:pPr>
              <w:rPr>
                <w:rFonts w:cs="Arial"/>
              </w:rPr>
            </w:pPr>
            <w:r w:rsidRPr="003C0F94">
              <w:rPr>
                <w:rFonts w:cs="Arial"/>
                <w:lang w:eastAsia="bg-BG"/>
              </w:rPr>
              <w:t>Ларингит</w:t>
            </w:r>
          </w:p>
        </w:tc>
        <w:tc>
          <w:tcPr>
            <w:tcW w:w="2411" w:type="dxa"/>
          </w:tcPr>
          <w:p w14:paraId="75C47B41" w14:textId="77777777" w:rsidR="003C0F94" w:rsidRPr="003C0F94" w:rsidRDefault="003C0F94" w:rsidP="003C0F94">
            <w:pPr>
              <w:rPr>
                <w:rFonts w:cs="Arial"/>
              </w:rPr>
            </w:pPr>
          </w:p>
        </w:tc>
        <w:tc>
          <w:tcPr>
            <w:tcW w:w="1141" w:type="dxa"/>
          </w:tcPr>
          <w:p w14:paraId="0DB963AE" w14:textId="77777777" w:rsidR="003C0F94" w:rsidRPr="003C0F94" w:rsidRDefault="003C0F94" w:rsidP="003C0F94">
            <w:pPr>
              <w:rPr>
                <w:rFonts w:cs="Arial"/>
              </w:rPr>
            </w:pPr>
          </w:p>
        </w:tc>
      </w:tr>
      <w:tr w:rsidR="003C0F94" w:rsidRPr="003C0F94" w14:paraId="49D6F116" w14:textId="77777777" w:rsidTr="003C0F94">
        <w:tc>
          <w:tcPr>
            <w:tcW w:w="9576" w:type="dxa"/>
            <w:gridSpan w:val="5"/>
          </w:tcPr>
          <w:p w14:paraId="607028B7" w14:textId="1BC47AF5" w:rsidR="003C0F94" w:rsidRPr="003C0F94" w:rsidRDefault="003C0F94" w:rsidP="003C0F94">
            <w:pPr>
              <w:rPr>
                <w:rFonts w:cs="Arial"/>
                <w:i/>
              </w:rPr>
            </w:pPr>
            <w:r w:rsidRPr="003C0F94">
              <w:rPr>
                <w:rFonts w:cs="Arial"/>
                <w:i/>
                <w:lang w:eastAsia="bg-BG"/>
              </w:rPr>
              <w:t>Нарушения на имунната система</w:t>
            </w:r>
          </w:p>
        </w:tc>
      </w:tr>
      <w:tr w:rsidR="003C0F94" w:rsidRPr="003C0F94" w14:paraId="07A8F5DF" w14:textId="77777777" w:rsidTr="003C0F94">
        <w:tc>
          <w:tcPr>
            <w:tcW w:w="2402" w:type="dxa"/>
          </w:tcPr>
          <w:p w14:paraId="55EBB574" w14:textId="77777777" w:rsidR="003C0F94" w:rsidRPr="003C0F94" w:rsidRDefault="003C0F94" w:rsidP="003C0F94">
            <w:pPr>
              <w:rPr>
                <w:rFonts w:cs="Arial"/>
              </w:rPr>
            </w:pPr>
          </w:p>
        </w:tc>
        <w:tc>
          <w:tcPr>
            <w:tcW w:w="1474" w:type="dxa"/>
          </w:tcPr>
          <w:p w14:paraId="4E9D0286" w14:textId="77777777" w:rsidR="003C0F94" w:rsidRPr="003C0F94" w:rsidRDefault="003C0F94" w:rsidP="003C0F94">
            <w:pPr>
              <w:rPr>
                <w:rFonts w:cs="Arial"/>
              </w:rPr>
            </w:pPr>
          </w:p>
        </w:tc>
        <w:tc>
          <w:tcPr>
            <w:tcW w:w="2148" w:type="dxa"/>
          </w:tcPr>
          <w:p w14:paraId="7876B148" w14:textId="77777777" w:rsidR="003C0F94" w:rsidRPr="003C0F94" w:rsidRDefault="003C0F94" w:rsidP="003C0F94">
            <w:pPr>
              <w:rPr>
                <w:rFonts w:cs="Arial"/>
              </w:rPr>
            </w:pPr>
          </w:p>
        </w:tc>
        <w:tc>
          <w:tcPr>
            <w:tcW w:w="2411" w:type="dxa"/>
          </w:tcPr>
          <w:p w14:paraId="7C7C18DB" w14:textId="106C00BD" w:rsidR="003C0F94" w:rsidRPr="003C0F94" w:rsidRDefault="003C0F94" w:rsidP="003C0F94">
            <w:pPr>
              <w:rPr>
                <w:rFonts w:cs="Arial"/>
              </w:rPr>
            </w:pPr>
            <w:r w:rsidRPr="003C0F94">
              <w:rPr>
                <w:rFonts w:cs="Arial"/>
              </w:rPr>
              <w:t>Анафилактична реакция Нарушения, свързани със свръхчувствителност</w:t>
            </w:r>
          </w:p>
        </w:tc>
        <w:tc>
          <w:tcPr>
            <w:tcW w:w="1141" w:type="dxa"/>
          </w:tcPr>
          <w:p w14:paraId="3FD27395" w14:textId="77777777" w:rsidR="003C0F94" w:rsidRPr="003C0F94" w:rsidRDefault="003C0F94" w:rsidP="003C0F94">
            <w:pPr>
              <w:rPr>
                <w:rFonts w:cs="Arial"/>
              </w:rPr>
            </w:pPr>
          </w:p>
        </w:tc>
      </w:tr>
      <w:tr w:rsidR="003C0F94" w:rsidRPr="003C0F94" w14:paraId="5F79C685" w14:textId="77777777" w:rsidTr="003C0F94">
        <w:tc>
          <w:tcPr>
            <w:tcW w:w="9576" w:type="dxa"/>
            <w:gridSpan w:val="5"/>
          </w:tcPr>
          <w:p w14:paraId="544E6B5E" w14:textId="1C817651" w:rsidR="003C0F94" w:rsidRPr="003C0F94" w:rsidRDefault="003C0F94" w:rsidP="003C0F94">
            <w:pPr>
              <w:rPr>
                <w:rFonts w:cs="Arial"/>
              </w:rPr>
            </w:pPr>
            <w:r w:rsidRPr="003C0F94">
              <w:rPr>
                <w:rFonts w:cs="Arial"/>
                <w:i/>
                <w:iCs/>
              </w:rPr>
              <w:t>Нарушения на ендокринната система</w:t>
            </w:r>
          </w:p>
        </w:tc>
      </w:tr>
      <w:tr w:rsidR="003C0F94" w:rsidRPr="003C0F94" w14:paraId="36746764" w14:textId="77777777" w:rsidTr="003C0F94">
        <w:tc>
          <w:tcPr>
            <w:tcW w:w="2402" w:type="dxa"/>
          </w:tcPr>
          <w:p w14:paraId="5DC1C032" w14:textId="77777777" w:rsidR="003C0F94" w:rsidRPr="003C0F94" w:rsidRDefault="003C0F94" w:rsidP="003C0F94">
            <w:pPr>
              <w:rPr>
                <w:rFonts w:cs="Arial"/>
              </w:rPr>
            </w:pPr>
          </w:p>
        </w:tc>
        <w:tc>
          <w:tcPr>
            <w:tcW w:w="1474" w:type="dxa"/>
          </w:tcPr>
          <w:p w14:paraId="6CF71CDF" w14:textId="77777777" w:rsidR="003C0F94" w:rsidRPr="003C0F94" w:rsidRDefault="003C0F94" w:rsidP="003C0F94">
            <w:pPr>
              <w:rPr>
                <w:rFonts w:cs="Arial"/>
              </w:rPr>
            </w:pPr>
          </w:p>
        </w:tc>
        <w:tc>
          <w:tcPr>
            <w:tcW w:w="2148" w:type="dxa"/>
          </w:tcPr>
          <w:p w14:paraId="5F1B87A1" w14:textId="77777777" w:rsidR="003C0F94" w:rsidRPr="003C0F94" w:rsidRDefault="003C0F94" w:rsidP="003C0F94">
            <w:pPr>
              <w:rPr>
                <w:rFonts w:cs="Arial"/>
              </w:rPr>
            </w:pPr>
          </w:p>
        </w:tc>
        <w:tc>
          <w:tcPr>
            <w:tcW w:w="2411" w:type="dxa"/>
          </w:tcPr>
          <w:p w14:paraId="3E2F05A1" w14:textId="4CB539FE" w:rsidR="003C0F94" w:rsidRPr="003C0F94" w:rsidRDefault="003C0F94" w:rsidP="003C0F94">
            <w:pPr>
              <w:spacing w:line="240" w:lineRule="auto"/>
              <w:rPr>
                <w:rFonts w:eastAsia="Times New Roman" w:cs="Arial"/>
              </w:rPr>
            </w:pPr>
            <w:r w:rsidRPr="003C0F94">
              <w:rPr>
                <w:rFonts w:eastAsia="Times New Roman" w:cs="Arial"/>
                <w:color w:val="000000"/>
                <w:lang w:eastAsia="bg-BG"/>
              </w:rPr>
              <w:t>Хипотиреоидизъм</w:t>
            </w:r>
          </w:p>
        </w:tc>
        <w:tc>
          <w:tcPr>
            <w:tcW w:w="1141" w:type="dxa"/>
          </w:tcPr>
          <w:p w14:paraId="2CF7B8AC" w14:textId="77777777" w:rsidR="003C0F94" w:rsidRPr="003C0F94" w:rsidRDefault="003C0F94" w:rsidP="003C0F94">
            <w:pPr>
              <w:rPr>
                <w:rFonts w:cs="Arial"/>
              </w:rPr>
            </w:pPr>
          </w:p>
        </w:tc>
      </w:tr>
      <w:tr w:rsidR="003C0F94" w:rsidRPr="003C0F94" w14:paraId="1DC39572" w14:textId="77777777" w:rsidTr="003C0F94">
        <w:tc>
          <w:tcPr>
            <w:tcW w:w="9576" w:type="dxa"/>
            <w:gridSpan w:val="5"/>
          </w:tcPr>
          <w:p w14:paraId="40AF3CFD" w14:textId="7E93D55C" w:rsidR="003C0F94" w:rsidRPr="003C0F94" w:rsidRDefault="003C0F94" w:rsidP="003C0F94">
            <w:pPr>
              <w:rPr>
                <w:rFonts w:cs="Arial"/>
              </w:rPr>
            </w:pPr>
            <w:r w:rsidRPr="003C0F94">
              <w:rPr>
                <w:rFonts w:eastAsia="Times New Roman" w:cs="Arial"/>
                <w:i/>
                <w:iCs/>
                <w:color w:val="000000"/>
                <w:lang w:eastAsia="bg-BG"/>
              </w:rPr>
              <w:t>Нарушения на метаболизма и храненето</w:t>
            </w:r>
          </w:p>
        </w:tc>
      </w:tr>
      <w:tr w:rsidR="003C0F94" w:rsidRPr="003C0F94" w14:paraId="34ED6E03" w14:textId="77777777" w:rsidTr="003C0F94">
        <w:tc>
          <w:tcPr>
            <w:tcW w:w="2402" w:type="dxa"/>
          </w:tcPr>
          <w:p w14:paraId="73490097" w14:textId="77777777" w:rsidR="003C0F94" w:rsidRPr="003C0F94" w:rsidRDefault="003C0F94" w:rsidP="003C0F94">
            <w:pPr>
              <w:rPr>
                <w:rFonts w:cs="Arial"/>
              </w:rPr>
            </w:pPr>
          </w:p>
        </w:tc>
        <w:tc>
          <w:tcPr>
            <w:tcW w:w="1474" w:type="dxa"/>
          </w:tcPr>
          <w:p w14:paraId="52A89A50" w14:textId="31D5CAF4" w:rsidR="003C0F94" w:rsidRPr="003C0F94" w:rsidRDefault="003C0F94" w:rsidP="003C0F94">
            <w:pPr>
              <w:rPr>
                <w:rFonts w:cs="Arial"/>
              </w:rPr>
            </w:pPr>
            <w:r w:rsidRPr="003C0F94">
              <w:rPr>
                <w:rFonts w:cs="Arial"/>
              </w:rPr>
              <w:t>Намален апетит</w:t>
            </w:r>
          </w:p>
        </w:tc>
        <w:tc>
          <w:tcPr>
            <w:tcW w:w="2148" w:type="dxa"/>
          </w:tcPr>
          <w:p w14:paraId="2934D9D6" w14:textId="71D7B2DA" w:rsidR="003C0F94" w:rsidRPr="003C0F94" w:rsidRDefault="003C0F94" w:rsidP="003C0F94">
            <w:pPr>
              <w:rPr>
                <w:rFonts w:cs="Arial"/>
              </w:rPr>
            </w:pPr>
            <w:r w:rsidRPr="003C0F94">
              <w:rPr>
                <w:rFonts w:cs="Arial"/>
              </w:rPr>
              <w:t xml:space="preserve">Хипергликемия (съобщавана най- </w:t>
            </w:r>
            <w:r w:rsidRPr="003C0F94">
              <w:rPr>
                <w:rFonts w:cs="Arial"/>
              </w:rPr>
              <w:lastRenderedPageBreak/>
              <w:t>вече при пациенти с диабет)</w:t>
            </w:r>
          </w:p>
        </w:tc>
        <w:tc>
          <w:tcPr>
            <w:tcW w:w="2411" w:type="dxa"/>
          </w:tcPr>
          <w:p w14:paraId="6B95BA5C" w14:textId="7AF54895" w:rsidR="003C0F94" w:rsidRPr="003C0F94" w:rsidRDefault="003C0F94" w:rsidP="003C0F94">
            <w:pPr>
              <w:rPr>
                <w:rFonts w:cs="Arial"/>
              </w:rPr>
            </w:pPr>
            <w:r w:rsidRPr="003C0F94">
              <w:rPr>
                <w:rFonts w:cs="Arial"/>
              </w:rPr>
              <w:lastRenderedPageBreak/>
              <w:t>Дехидратация Хипонатриемия СНАДС</w:t>
            </w:r>
            <w:r w:rsidRPr="003C0F94">
              <w:rPr>
                <w:rFonts w:cs="Arial"/>
                <w:vertAlign w:val="superscript"/>
              </w:rPr>
              <w:t>6</w:t>
            </w:r>
          </w:p>
        </w:tc>
        <w:tc>
          <w:tcPr>
            <w:tcW w:w="1141" w:type="dxa"/>
          </w:tcPr>
          <w:p w14:paraId="6A1B5088" w14:textId="77777777" w:rsidR="003C0F94" w:rsidRPr="003C0F94" w:rsidRDefault="003C0F94" w:rsidP="003C0F94">
            <w:pPr>
              <w:rPr>
                <w:rFonts w:cs="Arial"/>
              </w:rPr>
            </w:pPr>
          </w:p>
        </w:tc>
      </w:tr>
      <w:tr w:rsidR="003C0F94" w:rsidRPr="003C0F94" w14:paraId="0579D912" w14:textId="77777777" w:rsidTr="003C0F94">
        <w:tc>
          <w:tcPr>
            <w:tcW w:w="9576" w:type="dxa"/>
            <w:gridSpan w:val="5"/>
          </w:tcPr>
          <w:p w14:paraId="7D7826EA" w14:textId="00635DCD" w:rsidR="003C0F94" w:rsidRPr="003C0F94" w:rsidRDefault="003C0F94" w:rsidP="003C0F94">
            <w:pPr>
              <w:rPr>
                <w:rFonts w:cs="Arial"/>
              </w:rPr>
            </w:pPr>
            <w:r w:rsidRPr="003C0F94">
              <w:rPr>
                <w:rFonts w:cs="Arial"/>
                <w:i/>
                <w:iCs/>
              </w:rPr>
              <w:t>Психични нарушения</w:t>
            </w:r>
          </w:p>
        </w:tc>
      </w:tr>
      <w:tr w:rsidR="003C0F94" w:rsidRPr="003C0F94" w14:paraId="14E46AC3" w14:textId="77777777" w:rsidTr="003C0F94">
        <w:tc>
          <w:tcPr>
            <w:tcW w:w="2402" w:type="dxa"/>
          </w:tcPr>
          <w:p w14:paraId="2E8936F8" w14:textId="77777777" w:rsidR="003C0F94" w:rsidRPr="003C0F94" w:rsidRDefault="003C0F94" w:rsidP="003C0F94">
            <w:pPr>
              <w:rPr>
                <w:rFonts w:cs="Arial"/>
              </w:rPr>
            </w:pPr>
          </w:p>
        </w:tc>
        <w:tc>
          <w:tcPr>
            <w:tcW w:w="1474" w:type="dxa"/>
          </w:tcPr>
          <w:p w14:paraId="610EA11B" w14:textId="1FA2E80C" w:rsidR="003C0F94" w:rsidRPr="003C0F94" w:rsidRDefault="003C0F94" w:rsidP="003C0F94">
            <w:pPr>
              <w:rPr>
                <w:rFonts w:cs="Arial"/>
              </w:rPr>
            </w:pPr>
            <w:r w:rsidRPr="003C0F94">
              <w:rPr>
                <w:rFonts w:cs="Arial"/>
              </w:rPr>
              <w:t>Безсъние Възбуда Намалено либидо Тревожност Абнормен оргазъм Патологични сънища</w:t>
            </w:r>
          </w:p>
        </w:tc>
        <w:tc>
          <w:tcPr>
            <w:tcW w:w="2148" w:type="dxa"/>
          </w:tcPr>
          <w:p w14:paraId="094780EC" w14:textId="47ACE8E1" w:rsidR="003C0F94" w:rsidRPr="003C0F94" w:rsidRDefault="003C0F94" w:rsidP="003C0F94">
            <w:pPr>
              <w:rPr>
                <w:rFonts w:cs="Arial"/>
              </w:rPr>
            </w:pPr>
            <w:r w:rsidRPr="003C0F94">
              <w:rPr>
                <w:rFonts w:cs="Arial"/>
              </w:rPr>
              <w:t>Суицидна идеация</w:t>
            </w:r>
            <w:r w:rsidRPr="003C0F94">
              <w:rPr>
                <w:rFonts w:cs="Arial"/>
                <w:vertAlign w:val="superscript"/>
              </w:rPr>
              <w:t xml:space="preserve">5,7 </w:t>
            </w:r>
            <w:r w:rsidRPr="003C0F94">
              <w:rPr>
                <w:rFonts w:cs="Arial"/>
              </w:rPr>
              <w:t>Нарушение на съня Бруксизъм Дезориентация Апатия</w:t>
            </w:r>
          </w:p>
        </w:tc>
        <w:tc>
          <w:tcPr>
            <w:tcW w:w="2411" w:type="dxa"/>
          </w:tcPr>
          <w:p w14:paraId="4F6ED561" w14:textId="77777777" w:rsidR="003C0F94" w:rsidRPr="003C0F94" w:rsidRDefault="003C0F94" w:rsidP="003C0F94">
            <w:pPr>
              <w:rPr>
                <w:rFonts w:cs="Arial"/>
              </w:rPr>
            </w:pPr>
            <w:r w:rsidRPr="003C0F94">
              <w:rPr>
                <w:rFonts w:cs="Arial"/>
              </w:rPr>
              <w:t>Суицидно</w:t>
            </w:r>
          </w:p>
          <w:p w14:paraId="69FCDBAD" w14:textId="77777777" w:rsidR="003C0F94" w:rsidRPr="003C0F94" w:rsidRDefault="003C0F94" w:rsidP="003C0F94">
            <w:pPr>
              <w:rPr>
                <w:rFonts w:cs="Arial"/>
              </w:rPr>
            </w:pPr>
            <w:r w:rsidRPr="003C0F94">
              <w:rPr>
                <w:rFonts w:cs="Arial"/>
              </w:rPr>
              <w:t>поведение</w:t>
            </w:r>
            <w:r w:rsidRPr="003C0F94">
              <w:rPr>
                <w:rFonts w:cs="Arial"/>
                <w:vertAlign w:val="superscript"/>
              </w:rPr>
              <w:t>5,7</w:t>
            </w:r>
          </w:p>
          <w:p w14:paraId="172997BB" w14:textId="24847C34" w:rsidR="003C0F94" w:rsidRPr="003C0F94" w:rsidRDefault="003C0F94" w:rsidP="003C0F94">
            <w:pPr>
              <w:rPr>
                <w:rFonts w:cs="Arial"/>
              </w:rPr>
            </w:pPr>
            <w:r w:rsidRPr="003C0F94">
              <w:rPr>
                <w:rFonts w:cs="Arial"/>
              </w:rPr>
              <w:t>Мания Халюцинации Агресивност и гняв</w:t>
            </w:r>
            <w:r w:rsidRPr="003C0F94">
              <w:rPr>
                <w:rFonts w:cs="Arial"/>
                <w:vertAlign w:val="superscript"/>
              </w:rPr>
              <w:t>4</w:t>
            </w:r>
          </w:p>
        </w:tc>
        <w:tc>
          <w:tcPr>
            <w:tcW w:w="1141" w:type="dxa"/>
          </w:tcPr>
          <w:p w14:paraId="31AEAB0A" w14:textId="77777777" w:rsidR="003C0F94" w:rsidRPr="003C0F94" w:rsidRDefault="003C0F94" w:rsidP="003C0F94">
            <w:pPr>
              <w:rPr>
                <w:rFonts w:cs="Arial"/>
              </w:rPr>
            </w:pPr>
          </w:p>
        </w:tc>
      </w:tr>
      <w:tr w:rsidR="003C0F94" w:rsidRPr="003C0F94" w14:paraId="5F0CBFCC" w14:textId="77777777" w:rsidTr="003C0F94">
        <w:tc>
          <w:tcPr>
            <w:tcW w:w="9576" w:type="dxa"/>
            <w:gridSpan w:val="5"/>
          </w:tcPr>
          <w:p w14:paraId="577C8525" w14:textId="532451A1" w:rsidR="003C0F94" w:rsidRPr="003C0F94" w:rsidRDefault="003C0F94" w:rsidP="003C0F94">
            <w:pPr>
              <w:rPr>
                <w:rFonts w:cs="Arial"/>
              </w:rPr>
            </w:pPr>
            <w:r w:rsidRPr="003C0F94">
              <w:rPr>
                <w:rFonts w:cs="Arial"/>
                <w:i/>
                <w:iCs/>
              </w:rPr>
              <w:t>Нарушения на нервната система</w:t>
            </w:r>
          </w:p>
        </w:tc>
      </w:tr>
      <w:tr w:rsidR="003C0F94" w:rsidRPr="003C0F94" w14:paraId="1A0DB8F4" w14:textId="77777777" w:rsidTr="003C0F94">
        <w:tc>
          <w:tcPr>
            <w:tcW w:w="2402" w:type="dxa"/>
          </w:tcPr>
          <w:p w14:paraId="54DF6C54" w14:textId="77777777" w:rsidR="003C0F94" w:rsidRPr="003C0F94" w:rsidRDefault="003C0F94" w:rsidP="003C0F94">
            <w:pPr>
              <w:rPr>
                <w:rFonts w:cs="Arial"/>
              </w:rPr>
            </w:pPr>
            <w:r w:rsidRPr="003C0F94">
              <w:rPr>
                <w:rFonts w:cs="Arial"/>
              </w:rPr>
              <w:t>Главоболие</w:t>
            </w:r>
          </w:p>
          <w:p w14:paraId="0726E069" w14:textId="1A4BA5C3" w:rsidR="003C0F94" w:rsidRPr="003C0F94" w:rsidRDefault="003C0F94" w:rsidP="003C0F94">
            <w:pPr>
              <w:rPr>
                <w:rFonts w:cs="Arial"/>
              </w:rPr>
            </w:pPr>
            <w:r w:rsidRPr="003C0F94">
              <w:rPr>
                <w:rFonts w:cs="Arial"/>
              </w:rPr>
              <w:t>Сомнолентност</w:t>
            </w:r>
          </w:p>
        </w:tc>
        <w:tc>
          <w:tcPr>
            <w:tcW w:w="1474" w:type="dxa"/>
          </w:tcPr>
          <w:p w14:paraId="797BD3D0" w14:textId="6322FC1C" w:rsidR="003C0F94" w:rsidRPr="003C0F94" w:rsidRDefault="003C0F94" w:rsidP="003C0F94">
            <w:pPr>
              <w:rPr>
                <w:rFonts w:cs="Arial"/>
              </w:rPr>
            </w:pPr>
            <w:r w:rsidRPr="003C0F94">
              <w:rPr>
                <w:rFonts w:cs="Arial"/>
              </w:rPr>
              <w:t>Замаяност Летаргия Тремор Парестезия</w:t>
            </w:r>
          </w:p>
        </w:tc>
        <w:tc>
          <w:tcPr>
            <w:tcW w:w="2148" w:type="dxa"/>
          </w:tcPr>
          <w:p w14:paraId="1E79D132" w14:textId="39BCA8F4" w:rsidR="003C0F94" w:rsidRPr="003C0F94" w:rsidRDefault="003C0F94" w:rsidP="003C0F94">
            <w:pPr>
              <w:rPr>
                <w:rFonts w:eastAsia="Times New Roman" w:cs="Arial"/>
              </w:rPr>
            </w:pPr>
            <w:r w:rsidRPr="003C0F94">
              <w:rPr>
                <w:rFonts w:cs="Arial"/>
              </w:rPr>
              <w:t>Миоклония Акатизия</w:t>
            </w:r>
            <w:r w:rsidRPr="003C0F94">
              <w:rPr>
                <w:rFonts w:cs="Arial"/>
                <w:vertAlign w:val="superscript"/>
              </w:rPr>
              <w:t xml:space="preserve">7 </w:t>
            </w:r>
            <w:r w:rsidRPr="003C0F94">
              <w:rPr>
                <w:rFonts w:cs="Arial"/>
              </w:rPr>
              <w:t xml:space="preserve">Нервност Нарушение на вниманието </w:t>
            </w:r>
            <w:r w:rsidRPr="003C0F94">
              <w:rPr>
                <w:rFonts w:eastAsia="Times New Roman" w:cs="Arial"/>
                <w:color w:val="000000"/>
                <w:lang w:eastAsia="bg-BG"/>
              </w:rPr>
              <w:t>Дисгеузия Дискинезия Синдром на неспокойните крака Нарушение на съня</w:t>
            </w:r>
          </w:p>
        </w:tc>
        <w:tc>
          <w:tcPr>
            <w:tcW w:w="2411" w:type="dxa"/>
          </w:tcPr>
          <w:p w14:paraId="4621F3ED" w14:textId="77777777" w:rsidR="003C0F94" w:rsidRPr="003C0F94" w:rsidRDefault="003C0F94" w:rsidP="003C0F94">
            <w:pPr>
              <w:rPr>
                <w:rFonts w:cs="Arial"/>
                <w:vertAlign w:val="superscript"/>
              </w:rPr>
            </w:pPr>
            <w:r w:rsidRPr="003C0F94">
              <w:rPr>
                <w:rFonts w:cs="Arial"/>
              </w:rPr>
              <w:t>Серотонинов синдром</w:t>
            </w:r>
            <w:r w:rsidRPr="003C0F94">
              <w:rPr>
                <w:rFonts w:cs="Arial"/>
                <w:vertAlign w:val="superscript"/>
              </w:rPr>
              <w:t xml:space="preserve">6 </w:t>
            </w:r>
            <w:r w:rsidRPr="003C0F94">
              <w:rPr>
                <w:rFonts w:cs="Arial"/>
              </w:rPr>
              <w:t>Конвулсии</w:t>
            </w:r>
            <w:r w:rsidRPr="003C0F94">
              <w:rPr>
                <w:rFonts w:cs="Arial"/>
                <w:vertAlign w:val="superscript"/>
              </w:rPr>
              <w:t xml:space="preserve">1 </w:t>
            </w:r>
            <w:r w:rsidRPr="003C0F94">
              <w:rPr>
                <w:rFonts w:cs="Arial"/>
              </w:rPr>
              <w:t>Психомоторно безпокойство</w:t>
            </w:r>
            <w:r w:rsidRPr="003C0F94">
              <w:rPr>
                <w:rFonts w:cs="Arial"/>
                <w:vertAlign w:val="superscript"/>
              </w:rPr>
              <w:t>6</w:t>
            </w:r>
          </w:p>
          <w:p w14:paraId="65EE19F6"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Екстрапирамидни симптоми</w:t>
            </w:r>
            <w:r w:rsidRPr="003C0F94">
              <w:rPr>
                <w:rFonts w:eastAsia="Times New Roman" w:cs="Arial"/>
                <w:color w:val="000000"/>
                <w:vertAlign w:val="superscript"/>
                <w:lang w:eastAsia="bg-BG"/>
              </w:rPr>
              <w:t>6</w:t>
            </w:r>
          </w:p>
          <w:p w14:paraId="425B1DBE" w14:textId="15AA6CF0" w:rsidR="003C0F94" w:rsidRPr="003C0F94" w:rsidRDefault="003C0F94" w:rsidP="003C0F94">
            <w:pPr>
              <w:rPr>
                <w:rFonts w:cs="Arial"/>
              </w:rPr>
            </w:pPr>
          </w:p>
        </w:tc>
        <w:tc>
          <w:tcPr>
            <w:tcW w:w="1141" w:type="dxa"/>
          </w:tcPr>
          <w:p w14:paraId="3C90CCCD" w14:textId="77777777" w:rsidR="003C0F94" w:rsidRPr="003C0F94" w:rsidRDefault="003C0F94" w:rsidP="003C0F94">
            <w:pPr>
              <w:rPr>
                <w:rFonts w:cs="Arial"/>
              </w:rPr>
            </w:pPr>
          </w:p>
        </w:tc>
      </w:tr>
      <w:tr w:rsidR="003C0F94" w:rsidRPr="003C0F94" w14:paraId="69DCA3FD" w14:textId="77777777" w:rsidTr="003C0F94">
        <w:tc>
          <w:tcPr>
            <w:tcW w:w="9576" w:type="dxa"/>
            <w:gridSpan w:val="5"/>
          </w:tcPr>
          <w:p w14:paraId="7B2231C7" w14:textId="2554C57D" w:rsidR="003C0F94" w:rsidRPr="003C0F94" w:rsidRDefault="003C0F94" w:rsidP="003C0F94">
            <w:pPr>
              <w:rPr>
                <w:rFonts w:cs="Arial"/>
              </w:rPr>
            </w:pPr>
            <w:r w:rsidRPr="003C0F94">
              <w:rPr>
                <w:rFonts w:eastAsia="Times New Roman" w:cs="Arial"/>
                <w:i/>
                <w:iCs/>
                <w:color w:val="000000"/>
                <w:lang w:eastAsia="bg-BG"/>
              </w:rPr>
              <w:t>Нарушения на очите</w:t>
            </w:r>
          </w:p>
        </w:tc>
      </w:tr>
      <w:tr w:rsidR="003C0F94" w:rsidRPr="003C0F94" w14:paraId="763417E5" w14:textId="77777777" w:rsidTr="003C0F94">
        <w:tc>
          <w:tcPr>
            <w:tcW w:w="2402" w:type="dxa"/>
          </w:tcPr>
          <w:p w14:paraId="508C1520" w14:textId="77777777" w:rsidR="003C0F94" w:rsidRPr="003C0F94" w:rsidRDefault="003C0F94" w:rsidP="003C0F94">
            <w:pPr>
              <w:rPr>
                <w:rFonts w:cs="Arial"/>
              </w:rPr>
            </w:pPr>
          </w:p>
        </w:tc>
        <w:tc>
          <w:tcPr>
            <w:tcW w:w="1474" w:type="dxa"/>
          </w:tcPr>
          <w:p w14:paraId="29133BE7" w14:textId="1448DF1C" w:rsidR="003C0F94" w:rsidRPr="003C0F94" w:rsidRDefault="003C0F94" w:rsidP="003C0F94">
            <w:pPr>
              <w:rPr>
                <w:rFonts w:cs="Arial"/>
              </w:rPr>
            </w:pPr>
            <w:r w:rsidRPr="003C0F94">
              <w:rPr>
                <w:rFonts w:cs="Arial"/>
              </w:rPr>
              <w:t>Замъглено виждане</w:t>
            </w:r>
          </w:p>
        </w:tc>
        <w:tc>
          <w:tcPr>
            <w:tcW w:w="2148" w:type="dxa"/>
            <w:vAlign w:val="bottom"/>
          </w:tcPr>
          <w:p w14:paraId="61EDC723" w14:textId="4AA3E5CD" w:rsidR="003C0F94" w:rsidRPr="003C0F94" w:rsidRDefault="003C0F94" w:rsidP="003C0F94">
            <w:pPr>
              <w:rPr>
                <w:rFonts w:cs="Arial"/>
              </w:rPr>
            </w:pPr>
            <w:r w:rsidRPr="003C0F94">
              <w:rPr>
                <w:rFonts w:cs="Arial"/>
              </w:rPr>
              <w:t>Мидриаза Нарушение на зрението</w:t>
            </w:r>
          </w:p>
        </w:tc>
        <w:tc>
          <w:tcPr>
            <w:tcW w:w="2411" w:type="dxa"/>
          </w:tcPr>
          <w:p w14:paraId="79FD68B9" w14:textId="0CB3BEE5" w:rsidR="003C0F94" w:rsidRPr="003C0F94" w:rsidRDefault="003C0F94" w:rsidP="003C0F94">
            <w:pPr>
              <w:rPr>
                <w:rFonts w:cs="Arial"/>
              </w:rPr>
            </w:pPr>
            <w:r w:rsidRPr="003C0F94">
              <w:rPr>
                <w:rFonts w:cs="Arial"/>
              </w:rPr>
              <w:t>Глаукома</w:t>
            </w:r>
          </w:p>
        </w:tc>
        <w:tc>
          <w:tcPr>
            <w:tcW w:w="1141" w:type="dxa"/>
          </w:tcPr>
          <w:p w14:paraId="09A76757" w14:textId="77777777" w:rsidR="003C0F94" w:rsidRPr="003C0F94" w:rsidRDefault="003C0F94" w:rsidP="003C0F94">
            <w:pPr>
              <w:rPr>
                <w:rFonts w:cs="Arial"/>
              </w:rPr>
            </w:pPr>
          </w:p>
        </w:tc>
      </w:tr>
      <w:tr w:rsidR="003C0F94" w:rsidRPr="003C0F94" w14:paraId="36B16374" w14:textId="77777777" w:rsidTr="003C0F94">
        <w:tc>
          <w:tcPr>
            <w:tcW w:w="9576" w:type="dxa"/>
            <w:gridSpan w:val="5"/>
          </w:tcPr>
          <w:p w14:paraId="1CB068CE" w14:textId="51C79C2E" w:rsidR="003C0F94" w:rsidRPr="003C0F94" w:rsidRDefault="003C0F94" w:rsidP="003C0F94">
            <w:pPr>
              <w:rPr>
                <w:rFonts w:cs="Arial"/>
              </w:rPr>
            </w:pPr>
            <w:r w:rsidRPr="003C0F94">
              <w:rPr>
                <w:rFonts w:cs="Arial"/>
                <w:i/>
                <w:iCs/>
              </w:rPr>
              <w:t>Нарушения на ухото и лабиринта</w:t>
            </w:r>
          </w:p>
        </w:tc>
      </w:tr>
      <w:tr w:rsidR="003C0F94" w:rsidRPr="003C0F94" w14:paraId="6FF96CE6" w14:textId="77777777" w:rsidTr="003C0F94">
        <w:tc>
          <w:tcPr>
            <w:tcW w:w="2402" w:type="dxa"/>
          </w:tcPr>
          <w:p w14:paraId="4E4130F5" w14:textId="77777777" w:rsidR="003C0F94" w:rsidRPr="003C0F94" w:rsidRDefault="003C0F94" w:rsidP="003C0F94">
            <w:pPr>
              <w:rPr>
                <w:rFonts w:cs="Arial"/>
              </w:rPr>
            </w:pPr>
          </w:p>
        </w:tc>
        <w:tc>
          <w:tcPr>
            <w:tcW w:w="1474" w:type="dxa"/>
          </w:tcPr>
          <w:p w14:paraId="35FFFC59" w14:textId="752E6C33" w:rsidR="003C0F94" w:rsidRPr="003C0F94" w:rsidRDefault="003C0F94" w:rsidP="003C0F94">
            <w:pPr>
              <w:rPr>
                <w:rFonts w:cs="Arial"/>
              </w:rPr>
            </w:pPr>
            <w:r w:rsidRPr="003C0F94">
              <w:rPr>
                <w:rFonts w:cs="Arial"/>
              </w:rPr>
              <w:t>Шум в ушите</w:t>
            </w:r>
            <w:r w:rsidRPr="003C0F94">
              <w:rPr>
                <w:rFonts w:cs="Arial"/>
                <w:vertAlign w:val="superscript"/>
              </w:rPr>
              <w:t>1</w:t>
            </w:r>
          </w:p>
        </w:tc>
        <w:tc>
          <w:tcPr>
            <w:tcW w:w="2148" w:type="dxa"/>
            <w:vAlign w:val="bottom"/>
          </w:tcPr>
          <w:p w14:paraId="10F9E2AE" w14:textId="77777777" w:rsidR="003C0F94" w:rsidRPr="003C0F94" w:rsidRDefault="003C0F94" w:rsidP="003C0F94">
            <w:pPr>
              <w:rPr>
                <w:rFonts w:cs="Arial"/>
              </w:rPr>
            </w:pPr>
            <w:r w:rsidRPr="003C0F94">
              <w:rPr>
                <w:rFonts w:cs="Arial"/>
              </w:rPr>
              <w:t>Вертиго</w:t>
            </w:r>
          </w:p>
          <w:p w14:paraId="3880B7E7" w14:textId="5D79F451" w:rsidR="003C0F94" w:rsidRPr="003C0F94" w:rsidRDefault="003C0F94" w:rsidP="003C0F94">
            <w:pPr>
              <w:rPr>
                <w:rFonts w:cs="Arial"/>
              </w:rPr>
            </w:pPr>
            <w:r w:rsidRPr="003C0F94">
              <w:rPr>
                <w:rFonts w:cs="Arial"/>
              </w:rPr>
              <w:t>Болка в ухото</w:t>
            </w:r>
          </w:p>
        </w:tc>
        <w:tc>
          <w:tcPr>
            <w:tcW w:w="2411" w:type="dxa"/>
          </w:tcPr>
          <w:p w14:paraId="3D1BDD07" w14:textId="77777777" w:rsidR="003C0F94" w:rsidRPr="003C0F94" w:rsidRDefault="003C0F94" w:rsidP="003C0F94">
            <w:pPr>
              <w:rPr>
                <w:rFonts w:cs="Arial"/>
              </w:rPr>
            </w:pPr>
          </w:p>
        </w:tc>
        <w:tc>
          <w:tcPr>
            <w:tcW w:w="1141" w:type="dxa"/>
          </w:tcPr>
          <w:p w14:paraId="70FB33A6" w14:textId="77777777" w:rsidR="003C0F94" w:rsidRPr="003C0F94" w:rsidRDefault="003C0F94" w:rsidP="003C0F94">
            <w:pPr>
              <w:rPr>
                <w:rFonts w:cs="Arial"/>
              </w:rPr>
            </w:pPr>
          </w:p>
        </w:tc>
      </w:tr>
      <w:tr w:rsidR="003C0F94" w:rsidRPr="003C0F94" w14:paraId="0AAEE957" w14:textId="77777777" w:rsidTr="003C0F94">
        <w:tc>
          <w:tcPr>
            <w:tcW w:w="9576" w:type="dxa"/>
            <w:gridSpan w:val="5"/>
          </w:tcPr>
          <w:p w14:paraId="72503930" w14:textId="218C462B" w:rsidR="003C0F94" w:rsidRPr="003C0F94" w:rsidRDefault="003C0F94" w:rsidP="003C0F94">
            <w:pPr>
              <w:rPr>
                <w:rFonts w:cs="Arial"/>
              </w:rPr>
            </w:pPr>
            <w:r w:rsidRPr="003C0F94">
              <w:rPr>
                <w:rFonts w:eastAsia="Times New Roman" w:cs="Arial"/>
                <w:i/>
                <w:iCs/>
                <w:color w:val="000000"/>
                <w:lang w:eastAsia="bg-BG"/>
              </w:rPr>
              <w:t>Сърдечни нарушения</w:t>
            </w:r>
          </w:p>
        </w:tc>
      </w:tr>
      <w:tr w:rsidR="003C0F94" w:rsidRPr="003C0F94" w14:paraId="736AB721" w14:textId="77777777" w:rsidTr="003C0F94">
        <w:tc>
          <w:tcPr>
            <w:tcW w:w="2402" w:type="dxa"/>
          </w:tcPr>
          <w:p w14:paraId="733A6EAB" w14:textId="77777777" w:rsidR="003C0F94" w:rsidRPr="003C0F94" w:rsidRDefault="003C0F94" w:rsidP="003C0F94">
            <w:pPr>
              <w:rPr>
                <w:rFonts w:cs="Arial"/>
              </w:rPr>
            </w:pPr>
          </w:p>
        </w:tc>
        <w:tc>
          <w:tcPr>
            <w:tcW w:w="1474" w:type="dxa"/>
          </w:tcPr>
          <w:p w14:paraId="23B47B93" w14:textId="2392252E" w:rsidR="003C0F94" w:rsidRPr="003C0F94" w:rsidRDefault="003C0F94" w:rsidP="003C0F94">
            <w:pPr>
              <w:rPr>
                <w:rFonts w:cs="Arial"/>
              </w:rPr>
            </w:pPr>
            <w:r w:rsidRPr="003C0F94">
              <w:rPr>
                <w:rFonts w:cs="Arial"/>
              </w:rPr>
              <w:t>Палпитации</w:t>
            </w:r>
          </w:p>
        </w:tc>
        <w:tc>
          <w:tcPr>
            <w:tcW w:w="2148" w:type="dxa"/>
            <w:vAlign w:val="bottom"/>
          </w:tcPr>
          <w:p w14:paraId="5DF58E24" w14:textId="38A924E9" w:rsidR="003C0F94" w:rsidRPr="003C0F94" w:rsidRDefault="003C0F94" w:rsidP="003C0F94">
            <w:pPr>
              <w:rPr>
                <w:rFonts w:cs="Arial"/>
              </w:rPr>
            </w:pPr>
            <w:r w:rsidRPr="003C0F94">
              <w:rPr>
                <w:rFonts w:cs="Arial"/>
              </w:rPr>
              <w:t>Тахикардия Надкамерна аритмия, предимно предсърдно мъждене</w:t>
            </w:r>
          </w:p>
        </w:tc>
        <w:tc>
          <w:tcPr>
            <w:tcW w:w="2411" w:type="dxa"/>
          </w:tcPr>
          <w:p w14:paraId="305AEFD1" w14:textId="77777777" w:rsidR="003C0F94" w:rsidRPr="003C0F94" w:rsidRDefault="003C0F94" w:rsidP="003C0F94">
            <w:pPr>
              <w:rPr>
                <w:rFonts w:cs="Arial"/>
              </w:rPr>
            </w:pPr>
          </w:p>
        </w:tc>
        <w:tc>
          <w:tcPr>
            <w:tcW w:w="1141" w:type="dxa"/>
          </w:tcPr>
          <w:p w14:paraId="2BAEFE9E" w14:textId="77777777" w:rsidR="003C0F94" w:rsidRPr="003C0F94" w:rsidRDefault="003C0F94" w:rsidP="003C0F94">
            <w:pPr>
              <w:rPr>
                <w:rFonts w:cs="Arial"/>
              </w:rPr>
            </w:pPr>
          </w:p>
        </w:tc>
      </w:tr>
      <w:tr w:rsidR="003C0F94" w:rsidRPr="003C0F94" w14:paraId="266B0D02" w14:textId="77777777" w:rsidTr="003C0F94">
        <w:tc>
          <w:tcPr>
            <w:tcW w:w="9576" w:type="dxa"/>
            <w:gridSpan w:val="5"/>
          </w:tcPr>
          <w:p w14:paraId="37DFF948" w14:textId="21721414" w:rsidR="003C0F94" w:rsidRPr="003C0F94" w:rsidRDefault="003C0F94" w:rsidP="003C0F94">
            <w:pPr>
              <w:rPr>
                <w:rFonts w:cs="Arial"/>
              </w:rPr>
            </w:pPr>
            <w:r w:rsidRPr="003C0F94">
              <w:rPr>
                <w:rFonts w:cs="Arial"/>
                <w:i/>
                <w:iCs/>
              </w:rPr>
              <w:t>Съдови нарушения</w:t>
            </w:r>
          </w:p>
        </w:tc>
      </w:tr>
      <w:tr w:rsidR="003C0F94" w:rsidRPr="003C0F94" w14:paraId="3766E0B7" w14:textId="77777777" w:rsidTr="003C0F94">
        <w:tc>
          <w:tcPr>
            <w:tcW w:w="2402" w:type="dxa"/>
          </w:tcPr>
          <w:p w14:paraId="73DED4FF" w14:textId="77777777" w:rsidR="003C0F94" w:rsidRPr="003C0F94" w:rsidRDefault="003C0F94" w:rsidP="003C0F94">
            <w:pPr>
              <w:rPr>
                <w:rFonts w:cs="Arial"/>
              </w:rPr>
            </w:pPr>
          </w:p>
        </w:tc>
        <w:tc>
          <w:tcPr>
            <w:tcW w:w="1474" w:type="dxa"/>
          </w:tcPr>
          <w:p w14:paraId="469E4195" w14:textId="719321AB" w:rsidR="003C0F94" w:rsidRPr="003C0F94" w:rsidRDefault="003C0F94" w:rsidP="003C0F94">
            <w:pPr>
              <w:rPr>
                <w:rFonts w:cs="Arial"/>
              </w:rPr>
            </w:pPr>
            <w:r w:rsidRPr="003C0F94">
              <w:rPr>
                <w:rFonts w:cs="Arial"/>
              </w:rPr>
              <w:t>Повишено кръвно налягане</w:t>
            </w:r>
            <w:r w:rsidRPr="003C0F94">
              <w:rPr>
                <w:rFonts w:cs="Arial"/>
                <w:vertAlign w:val="superscript"/>
              </w:rPr>
              <w:t xml:space="preserve">3 </w:t>
            </w:r>
            <w:r w:rsidRPr="003C0F94">
              <w:rPr>
                <w:rFonts w:cs="Arial"/>
              </w:rPr>
              <w:t>Зачервяване</w:t>
            </w:r>
          </w:p>
        </w:tc>
        <w:tc>
          <w:tcPr>
            <w:tcW w:w="2148" w:type="dxa"/>
            <w:vAlign w:val="bottom"/>
          </w:tcPr>
          <w:p w14:paraId="347F7F5A" w14:textId="77777777" w:rsidR="003C0F94" w:rsidRPr="003C0F94" w:rsidRDefault="003C0F94" w:rsidP="003C0F94">
            <w:pPr>
              <w:rPr>
                <w:rFonts w:cs="Arial"/>
              </w:rPr>
            </w:pPr>
            <w:r w:rsidRPr="003C0F94">
              <w:rPr>
                <w:rFonts w:cs="Arial"/>
              </w:rPr>
              <w:t>Синкоп</w:t>
            </w:r>
            <w:r w:rsidRPr="003C0F94">
              <w:rPr>
                <w:rFonts w:cs="Arial"/>
                <w:vertAlign w:val="superscript"/>
              </w:rPr>
              <w:t>2</w:t>
            </w:r>
          </w:p>
          <w:p w14:paraId="4046D037" w14:textId="1A457EA2" w:rsidR="003C0F94" w:rsidRPr="003C0F94" w:rsidRDefault="003C0F94" w:rsidP="003C0F94">
            <w:pPr>
              <w:rPr>
                <w:rFonts w:cs="Arial"/>
              </w:rPr>
            </w:pPr>
            <w:r w:rsidRPr="003C0F94">
              <w:rPr>
                <w:rFonts w:cs="Arial"/>
              </w:rPr>
              <w:t>Хипертония</w:t>
            </w:r>
            <w:r w:rsidRPr="003C0F94">
              <w:rPr>
                <w:rFonts w:cs="Arial"/>
                <w:vertAlign w:val="superscript"/>
              </w:rPr>
              <w:t xml:space="preserve">3,2 </w:t>
            </w:r>
            <w:r w:rsidRPr="003C0F94">
              <w:rPr>
                <w:rFonts w:cs="Arial"/>
              </w:rPr>
              <w:t>Ортостатична хипотония</w:t>
            </w:r>
            <w:r w:rsidRPr="003C0F94">
              <w:rPr>
                <w:rFonts w:cs="Arial"/>
                <w:vertAlign w:val="superscript"/>
              </w:rPr>
              <w:t xml:space="preserve">2 </w:t>
            </w:r>
            <w:r w:rsidRPr="003C0F94">
              <w:rPr>
                <w:rFonts w:cs="Arial"/>
              </w:rPr>
              <w:t>Периферна студенина</w:t>
            </w:r>
          </w:p>
        </w:tc>
        <w:tc>
          <w:tcPr>
            <w:tcW w:w="2411" w:type="dxa"/>
          </w:tcPr>
          <w:p w14:paraId="77AE94B6" w14:textId="7717C5A5" w:rsidR="003C0F94" w:rsidRPr="003C0F94" w:rsidRDefault="003C0F94" w:rsidP="003C0F94">
            <w:pPr>
              <w:rPr>
                <w:rFonts w:cs="Arial"/>
              </w:rPr>
            </w:pPr>
            <w:r w:rsidRPr="003C0F94">
              <w:rPr>
                <w:rFonts w:cs="Arial"/>
              </w:rPr>
              <w:t>Хипертонична криза</w:t>
            </w:r>
            <w:r w:rsidRPr="003C0F94">
              <w:rPr>
                <w:rFonts w:cs="Arial"/>
                <w:vertAlign w:val="superscript"/>
              </w:rPr>
              <w:t>3,6</w:t>
            </w:r>
          </w:p>
        </w:tc>
        <w:tc>
          <w:tcPr>
            <w:tcW w:w="1141" w:type="dxa"/>
          </w:tcPr>
          <w:p w14:paraId="7F8BF5EF" w14:textId="77777777" w:rsidR="003C0F94" w:rsidRPr="003C0F94" w:rsidRDefault="003C0F94" w:rsidP="003C0F94">
            <w:pPr>
              <w:rPr>
                <w:rFonts w:cs="Arial"/>
              </w:rPr>
            </w:pPr>
          </w:p>
        </w:tc>
      </w:tr>
      <w:tr w:rsidR="003C0F94" w:rsidRPr="003C0F94" w14:paraId="7135A1FD" w14:textId="77777777" w:rsidTr="003C0F94">
        <w:tc>
          <w:tcPr>
            <w:tcW w:w="9576" w:type="dxa"/>
            <w:gridSpan w:val="5"/>
          </w:tcPr>
          <w:p w14:paraId="2830BFAA" w14:textId="3604D087" w:rsidR="003C0F94" w:rsidRPr="003C0F94" w:rsidRDefault="003C0F94" w:rsidP="003C0F94">
            <w:pPr>
              <w:rPr>
                <w:rFonts w:cs="Arial"/>
              </w:rPr>
            </w:pPr>
            <w:r w:rsidRPr="003C0F94">
              <w:rPr>
                <w:rFonts w:cs="Arial"/>
                <w:i/>
                <w:iCs/>
              </w:rPr>
              <w:t>Респираторни, гръдни и медиастинални нарушения</w:t>
            </w:r>
          </w:p>
        </w:tc>
      </w:tr>
      <w:tr w:rsidR="003C0F94" w:rsidRPr="003C0F94" w14:paraId="77419A14" w14:textId="77777777" w:rsidTr="003C0F94">
        <w:tc>
          <w:tcPr>
            <w:tcW w:w="2402" w:type="dxa"/>
          </w:tcPr>
          <w:p w14:paraId="319460D2" w14:textId="77777777" w:rsidR="003C0F94" w:rsidRPr="003C0F94" w:rsidRDefault="003C0F94" w:rsidP="003C0F94">
            <w:pPr>
              <w:rPr>
                <w:rFonts w:cs="Arial"/>
              </w:rPr>
            </w:pPr>
          </w:p>
        </w:tc>
        <w:tc>
          <w:tcPr>
            <w:tcW w:w="1474" w:type="dxa"/>
          </w:tcPr>
          <w:p w14:paraId="24532026" w14:textId="4970C061" w:rsidR="003C0F94" w:rsidRPr="003C0F94" w:rsidRDefault="003C0F94" w:rsidP="003C0F94">
            <w:pPr>
              <w:rPr>
                <w:rFonts w:cs="Arial"/>
              </w:rPr>
            </w:pPr>
            <w:r w:rsidRPr="003C0F94">
              <w:rPr>
                <w:rFonts w:cs="Arial"/>
              </w:rPr>
              <w:t>Прозяване</w:t>
            </w:r>
          </w:p>
        </w:tc>
        <w:tc>
          <w:tcPr>
            <w:tcW w:w="2148" w:type="dxa"/>
          </w:tcPr>
          <w:p w14:paraId="24050CB3" w14:textId="05913643" w:rsidR="003C0F94" w:rsidRPr="003C0F94" w:rsidRDefault="003C0F94" w:rsidP="003C0F94">
            <w:pPr>
              <w:rPr>
                <w:rFonts w:cs="Arial"/>
              </w:rPr>
            </w:pPr>
            <w:r w:rsidRPr="003C0F94">
              <w:rPr>
                <w:rFonts w:cs="Arial"/>
              </w:rPr>
              <w:t>Напрежение в гърлото Епистаксис</w:t>
            </w:r>
          </w:p>
        </w:tc>
        <w:tc>
          <w:tcPr>
            <w:tcW w:w="2411" w:type="dxa"/>
            <w:vAlign w:val="bottom"/>
          </w:tcPr>
          <w:p w14:paraId="70C50006" w14:textId="2EDB66D5" w:rsidR="003C0F94" w:rsidRPr="003C0F94" w:rsidRDefault="003C0F94" w:rsidP="003C0F94">
            <w:pPr>
              <w:rPr>
                <w:rFonts w:cs="Arial"/>
              </w:rPr>
            </w:pPr>
            <w:r w:rsidRPr="003C0F94">
              <w:rPr>
                <w:rFonts w:cs="Arial"/>
              </w:rPr>
              <w:t>Интерстициална белодробна болест</w:t>
            </w:r>
            <w:r w:rsidRPr="003C0F94">
              <w:rPr>
                <w:rFonts w:cs="Arial"/>
                <w:vertAlign w:val="superscript"/>
              </w:rPr>
              <w:t>10</w:t>
            </w:r>
            <w:r w:rsidRPr="003C0F94">
              <w:rPr>
                <w:rFonts w:cs="Arial"/>
              </w:rPr>
              <w:t xml:space="preserve">, </w:t>
            </w:r>
            <w:r w:rsidRPr="003C0F94">
              <w:rPr>
                <w:rFonts w:cs="Arial"/>
              </w:rPr>
              <w:lastRenderedPageBreak/>
              <w:t>Еозинофилна пневмония</w:t>
            </w:r>
            <w:r w:rsidRPr="003C0F94">
              <w:rPr>
                <w:rFonts w:cs="Arial"/>
                <w:vertAlign w:val="superscript"/>
              </w:rPr>
              <w:t>6</w:t>
            </w:r>
          </w:p>
        </w:tc>
        <w:tc>
          <w:tcPr>
            <w:tcW w:w="1141" w:type="dxa"/>
          </w:tcPr>
          <w:p w14:paraId="509ECD94" w14:textId="77777777" w:rsidR="003C0F94" w:rsidRPr="003C0F94" w:rsidRDefault="003C0F94" w:rsidP="003C0F94">
            <w:pPr>
              <w:rPr>
                <w:rFonts w:cs="Arial"/>
              </w:rPr>
            </w:pPr>
          </w:p>
        </w:tc>
      </w:tr>
      <w:tr w:rsidR="003C0F94" w:rsidRPr="003C0F94" w14:paraId="63114A81" w14:textId="77777777" w:rsidTr="003C0F94">
        <w:tc>
          <w:tcPr>
            <w:tcW w:w="9576" w:type="dxa"/>
            <w:gridSpan w:val="5"/>
          </w:tcPr>
          <w:p w14:paraId="5235552C" w14:textId="641D5E8F" w:rsidR="003C0F94" w:rsidRPr="003C0F94" w:rsidRDefault="003C0F94" w:rsidP="003C0F94">
            <w:pPr>
              <w:rPr>
                <w:rFonts w:cs="Arial"/>
              </w:rPr>
            </w:pPr>
            <w:r w:rsidRPr="003C0F94">
              <w:rPr>
                <w:rFonts w:eastAsia="Times New Roman" w:cs="Arial"/>
                <w:i/>
                <w:iCs/>
                <w:color w:val="000000"/>
                <w:lang w:eastAsia="bg-BG"/>
              </w:rPr>
              <w:t>Стомашно-чревни нарушения</w:t>
            </w:r>
          </w:p>
        </w:tc>
      </w:tr>
      <w:tr w:rsidR="003C0F94" w:rsidRPr="003C0F94" w14:paraId="3CE15A07" w14:textId="77777777" w:rsidTr="003C0F94">
        <w:tc>
          <w:tcPr>
            <w:tcW w:w="2402" w:type="dxa"/>
          </w:tcPr>
          <w:p w14:paraId="6DF95C0C" w14:textId="77777777" w:rsidR="003C0F94" w:rsidRPr="003C0F94" w:rsidRDefault="003C0F94" w:rsidP="003C0F94">
            <w:pPr>
              <w:rPr>
                <w:rFonts w:cs="Arial"/>
              </w:rPr>
            </w:pPr>
            <w:r w:rsidRPr="003C0F94">
              <w:rPr>
                <w:rFonts w:cs="Arial"/>
              </w:rPr>
              <w:t>Гадене</w:t>
            </w:r>
          </w:p>
          <w:p w14:paraId="296428AE" w14:textId="124D1AAB" w:rsidR="003C0F94" w:rsidRPr="003C0F94" w:rsidRDefault="003C0F94" w:rsidP="003C0F94">
            <w:pPr>
              <w:rPr>
                <w:rFonts w:cs="Arial"/>
              </w:rPr>
            </w:pPr>
            <w:r w:rsidRPr="003C0F94">
              <w:rPr>
                <w:rFonts w:cs="Arial"/>
              </w:rPr>
              <w:t>Сухота в устата</w:t>
            </w:r>
          </w:p>
        </w:tc>
        <w:tc>
          <w:tcPr>
            <w:tcW w:w="1474" w:type="dxa"/>
            <w:vAlign w:val="bottom"/>
          </w:tcPr>
          <w:p w14:paraId="027971AF" w14:textId="3304D196" w:rsidR="003C0F94" w:rsidRPr="003C0F94" w:rsidRDefault="003C0F94" w:rsidP="003C0F94">
            <w:pPr>
              <w:rPr>
                <w:rFonts w:cs="Arial"/>
              </w:rPr>
            </w:pPr>
            <w:r w:rsidRPr="003C0F94">
              <w:rPr>
                <w:rFonts w:cs="Arial"/>
              </w:rPr>
              <w:t>Констипация Диария Коремна болка Повръщане Диспепсия Метеоризъм</w:t>
            </w:r>
          </w:p>
        </w:tc>
        <w:tc>
          <w:tcPr>
            <w:tcW w:w="2148" w:type="dxa"/>
            <w:vAlign w:val="bottom"/>
          </w:tcPr>
          <w:p w14:paraId="080AEB38" w14:textId="5AE93B8F" w:rsidR="003C0F94" w:rsidRPr="003C0F94" w:rsidRDefault="003C0F94" w:rsidP="003C0F94">
            <w:pPr>
              <w:rPr>
                <w:rFonts w:cs="Arial"/>
              </w:rPr>
            </w:pPr>
            <w:r w:rsidRPr="003C0F94">
              <w:rPr>
                <w:rFonts w:cs="Arial"/>
              </w:rPr>
              <w:t>Стомашно-чревен кръвоизлив</w:t>
            </w:r>
            <w:r w:rsidRPr="003C0F94">
              <w:rPr>
                <w:rFonts w:cs="Arial"/>
                <w:vertAlign w:val="superscript"/>
              </w:rPr>
              <w:t xml:space="preserve">7 </w:t>
            </w:r>
            <w:r w:rsidRPr="003C0F94">
              <w:rPr>
                <w:rFonts w:cs="Arial"/>
              </w:rPr>
              <w:t>Гастроентерит Оригване Гастрит Дисфагия</w:t>
            </w:r>
          </w:p>
        </w:tc>
        <w:tc>
          <w:tcPr>
            <w:tcW w:w="2411" w:type="dxa"/>
          </w:tcPr>
          <w:p w14:paraId="409ED582" w14:textId="77777777" w:rsidR="003C0F94" w:rsidRPr="003C0F94" w:rsidRDefault="003C0F94" w:rsidP="003C0F94">
            <w:pPr>
              <w:rPr>
                <w:rFonts w:cs="Arial"/>
              </w:rPr>
            </w:pPr>
            <w:r w:rsidRPr="003C0F94">
              <w:rPr>
                <w:rFonts w:cs="Arial"/>
              </w:rPr>
              <w:t>Стоматит</w:t>
            </w:r>
          </w:p>
          <w:p w14:paraId="2871C008" w14:textId="77777777" w:rsidR="003C0F94" w:rsidRPr="003C0F94" w:rsidRDefault="003C0F94" w:rsidP="003C0F94">
            <w:pPr>
              <w:rPr>
                <w:rFonts w:cs="Arial"/>
              </w:rPr>
            </w:pPr>
            <w:r w:rsidRPr="003C0F94">
              <w:rPr>
                <w:rFonts w:cs="Arial"/>
              </w:rPr>
              <w:t>Хематохезия</w:t>
            </w:r>
          </w:p>
          <w:p w14:paraId="25EE7001" w14:textId="2EE0CAA6" w:rsidR="003C0F94" w:rsidRPr="003C0F94" w:rsidRDefault="003C0F94" w:rsidP="003C0F94">
            <w:pPr>
              <w:rPr>
                <w:rFonts w:cs="Arial"/>
              </w:rPr>
            </w:pPr>
            <w:r w:rsidRPr="003C0F94">
              <w:rPr>
                <w:rFonts w:cs="Arial"/>
              </w:rPr>
              <w:t>Лош дъх от устата Микроскопски колит</w:t>
            </w:r>
            <w:r w:rsidRPr="003C0F94">
              <w:rPr>
                <w:rFonts w:cs="Arial"/>
                <w:vertAlign w:val="superscript"/>
              </w:rPr>
              <w:t>9</w:t>
            </w:r>
          </w:p>
        </w:tc>
        <w:tc>
          <w:tcPr>
            <w:tcW w:w="1141" w:type="dxa"/>
          </w:tcPr>
          <w:p w14:paraId="474BAAB9" w14:textId="77777777" w:rsidR="003C0F94" w:rsidRPr="003C0F94" w:rsidRDefault="003C0F94" w:rsidP="003C0F94">
            <w:pPr>
              <w:rPr>
                <w:rFonts w:cs="Arial"/>
              </w:rPr>
            </w:pPr>
          </w:p>
        </w:tc>
      </w:tr>
      <w:tr w:rsidR="003C0F94" w:rsidRPr="003C0F94" w14:paraId="46DADF3C" w14:textId="77777777" w:rsidTr="003C0F94">
        <w:tc>
          <w:tcPr>
            <w:tcW w:w="9576" w:type="dxa"/>
            <w:gridSpan w:val="5"/>
          </w:tcPr>
          <w:p w14:paraId="59D476B5" w14:textId="2315F452" w:rsidR="003C0F94" w:rsidRPr="003C0F94" w:rsidRDefault="003C0F94" w:rsidP="003C0F94">
            <w:pPr>
              <w:rPr>
                <w:rFonts w:cs="Arial"/>
              </w:rPr>
            </w:pPr>
            <w:r w:rsidRPr="003C0F94">
              <w:rPr>
                <w:rFonts w:eastAsia="Times New Roman" w:cs="Arial"/>
                <w:i/>
                <w:iCs/>
                <w:color w:val="000000"/>
                <w:lang w:eastAsia="bg-BG"/>
              </w:rPr>
              <w:t>Хепато-билиарни нарушения</w:t>
            </w:r>
          </w:p>
        </w:tc>
      </w:tr>
      <w:tr w:rsidR="003C0F94" w:rsidRPr="003C0F94" w14:paraId="129A25D9" w14:textId="77777777" w:rsidTr="003C0F94">
        <w:tc>
          <w:tcPr>
            <w:tcW w:w="2402" w:type="dxa"/>
          </w:tcPr>
          <w:p w14:paraId="55B2E6B3" w14:textId="77777777" w:rsidR="003C0F94" w:rsidRPr="003C0F94" w:rsidRDefault="003C0F94" w:rsidP="003C0F94">
            <w:pPr>
              <w:rPr>
                <w:rFonts w:cs="Arial"/>
              </w:rPr>
            </w:pPr>
          </w:p>
        </w:tc>
        <w:tc>
          <w:tcPr>
            <w:tcW w:w="1474" w:type="dxa"/>
          </w:tcPr>
          <w:p w14:paraId="4B493C11" w14:textId="77777777" w:rsidR="003C0F94" w:rsidRPr="003C0F94" w:rsidRDefault="003C0F94" w:rsidP="003C0F94">
            <w:pPr>
              <w:rPr>
                <w:rFonts w:cs="Arial"/>
              </w:rPr>
            </w:pPr>
          </w:p>
        </w:tc>
        <w:tc>
          <w:tcPr>
            <w:tcW w:w="2148" w:type="dxa"/>
            <w:vAlign w:val="bottom"/>
          </w:tcPr>
          <w:p w14:paraId="53922640" w14:textId="373C8C19" w:rsidR="003C0F94" w:rsidRPr="003C0F94" w:rsidRDefault="003C0F94" w:rsidP="003C0F94">
            <w:pPr>
              <w:rPr>
                <w:rFonts w:cs="Arial"/>
              </w:rPr>
            </w:pPr>
            <w:r w:rsidRPr="003C0F94">
              <w:rPr>
                <w:rFonts w:cs="Arial"/>
              </w:rPr>
              <w:t>Хепатит</w:t>
            </w:r>
            <w:r w:rsidRPr="003C0F94">
              <w:rPr>
                <w:rFonts w:cs="Arial"/>
                <w:vertAlign w:val="superscript"/>
              </w:rPr>
              <w:t xml:space="preserve">3 </w:t>
            </w:r>
            <w:r w:rsidRPr="003C0F94">
              <w:rPr>
                <w:rFonts w:cs="Arial"/>
              </w:rPr>
              <w:t xml:space="preserve">Повишени чернодробни ензими </w:t>
            </w:r>
            <w:r w:rsidRPr="003C0F94">
              <w:rPr>
                <w:rFonts w:cs="Arial"/>
                <w:lang w:val="ru-RU"/>
              </w:rPr>
              <w:t>(</w:t>
            </w:r>
            <w:r w:rsidRPr="003C0F94">
              <w:rPr>
                <w:rFonts w:cs="Arial"/>
                <w:lang w:val="en-US"/>
              </w:rPr>
              <w:t>ALT</w:t>
            </w:r>
            <w:r w:rsidRPr="003C0F94">
              <w:rPr>
                <w:rFonts w:cs="Arial"/>
                <w:lang w:val="ru-RU"/>
              </w:rPr>
              <w:t xml:space="preserve">, </w:t>
            </w:r>
            <w:r w:rsidRPr="003C0F94">
              <w:rPr>
                <w:rFonts w:cs="Arial"/>
                <w:lang w:val="en-US"/>
              </w:rPr>
              <w:t>AST</w:t>
            </w:r>
            <w:r w:rsidRPr="003C0F94">
              <w:rPr>
                <w:rFonts w:cs="Arial"/>
                <w:lang w:val="ru-RU"/>
              </w:rPr>
              <w:t xml:space="preserve">, </w:t>
            </w:r>
            <w:r w:rsidRPr="003C0F94">
              <w:rPr>
                <w:rFonts w:cs="Arial"/>
              </w:rPr>
              <w:t>алкална фосфатаза) Остро чернодробно увреждане</w:t>
            </w:r>
          </w:p>
        </w:tc>
        <w:tc>
          <w:tcPr>
            <w:tcW w:w="2411" w:type="dxa"/>
          </w:tcPr>
          <w:p w14:paraId="28D2496E" w14:textId="28D762B7" w:rsidR="003C0F94" w:rsidRPr="003C0F94" w:rsidRDefault="003C0F94" w:rsidP="003C0F94">
            <w:pPr>
              <w:rPr>
                <w:rFonts w:cs="Arial"/>
              </w:rPr>
            </w:pPr>
            <w:r w:rsidRPr="003C0F94">
              <w:rPr>
                <w:rFonts w:cs="Arial"/>
              </w:rPr>
              <w:t>Чернодробна недостатъчност</w:t>
            </w:r>
            <w:r w:rsidRPr="003C0F94">
              <w:rPr>
                <w:rFonts w:cs="Arial"/>
                <w:vertAlign w:val="superscript"/>
              </w:rPr>
              <w:t xml:space="preserve">6 </w:t>
            </w:r>
            <w:r w:rsidRPr="003C0F94">
              <w:rPr>
                <w:rFonts w:cs="Arial"/>
              </w:rPr>
              <w:t>Жълтеница</w:t>
            </w:r>
            <w:r w:rsidRPr="003C0F94">
              <w:rPr>
                <w:rFonts w:cs="Arial"/>
                <w:vertAlign w:val="superscript"/>
              </w:rPr>
              <w:t>6</w:t>
            </w:r>
          </w:p>
        </w:tc>
        <w:tc>
          <w:tcPr>
            <w:tcW w:w="1141" w:type="dxa"/>
          </w:tcPr>
          <w:p w14:paraId="2657D52F" w14:textId="77777777" w:rsidR="003C0F94" w:rsidRPr="003C0F94" w:rsidRDefault="003C0F94" w:rsidP="003C0F94">
            <w:pPr>
              <w:rPr>
                <w:rFonts w:cs="Arial"/>
              </w:rPr>
            </w:pPr>
          </w:p>
        </w:tc>
      </w:tr>
      <w:tr w:rsidR="003C0F94" w:rsidRPr="003C0F94" w14:paraId="5992BA23" w14:textId="77777777" w:rsidTr="003C0F94">
        <w:tc>
          <w:tcPr>
            <w:tcW w:w="9576" w:type="dxa"/>
            <w:gridSpan w:val="5"/>
          </w:tcPr>
          <w:p w14:paraId="459AAAAE" w14:textId="2D3792DA" w:rsidR="003C0F94" w:rsidRPr="003C0F94" w:rsidRDefault="003C0F94" w:rsidP="003C0F94">
            <w:pPr>
              <w:rPr>
                <w:rFonts w:cs="Arial"/>
              </w:rPr>
            </w:pPr>
            <w:r w:rsidRPr="003C0F94">
              <w:rPr>
                <w:rFonts w:cs="Arial"/>
                <w:i/>
                <w:iCs/>
              </w:rPr>
              <w:t>Нарушения на кожата и подкожната тъкан</w:t>
            </w:r>
          </w:p>
        </w:tc>
      </w:tr>
      <w:tr w:rsidR="003C0F94" w:rsidRPr="003C0F94" w14:paraId="126D1795" w14:textId="77777777" w:rsidTr="003C0F94">
        <w:tc>
          <w:tcPr>
            <w:tcW w:w="2402" w:type="dxa"/>
          </w:tcPr>
          <w:p w14:paraId="6CFBC440" w14:textId="77777777" w:rsidR="003C0F94" w:rsidRPr="003C0F94" w:rsidRDefault="003C0F94" w:rsidP="003C0F94">
            <w:pPr>
              <w:rPr>
                <w:rFonts w:cs="Arial"/>
              </w:rPr>
            </w:pPr>
          </w:p>
        </w:tc>
        <w:tc>
          <w:tcPr>
            <w:tcW w:w="1474" w:type="dxa"/>
          </w:tcPr>
          <w:p w14:paraId="11A4CEE7" w14:textId="31C713B6" w:rsidR="003C0F94" w:rsidRPr="003C0F94" w:rsidRDefault="003C0F94" w:rsidP="003C0F94">
            <w:pPr>
              <w:rPr>
                <w:rFonts w:cs="Arial"/>
              </w:rPr>
            </w:pPr>
            <w:r w:rsidRPr="003C0F94">
              <w:rPr>
                <w:rFonts w:cs="Arial"/>
              </w:rPr>
              <w:t>Засилено потене Обрив</w:t>
            </w:r>
          </w:p>
        </w:tc>
        <w:tc>
          <w:tcPr>
            <w:tcW w:w="2148" w:type="dxa"/>
            <w:vAlign w:val="bottom"/>
          </w:tcPr>
          <w:p w14:paraId="7AA22CEF" w14:textId="03039577" w:rsidR="003C0F94" w:rsidRPr="003C0F94" w:rsidRDefault="003C0F94" w:rsidP="003C0F94">
            <w:pPr>
              <w:rPr>
                <w:rFonts w:eastAsia="Times New Roman" w:cs="Arial"/>
              </w:rPr>
            </w:pPr>
            <w:r w:rsidRPr="003C0F94">
              <w:rPr>
                <w:rFonts w:cs="Arial"/>
              </w:rPr>
              <w:t xml:space="preserve">Нощно изпотяване Уртикария Контактен дерматит Студена пот Реакции на фоточувствителност Повишена склонност към </w:t>
            </w:r>
            <w:r w:rsidRPr="003C0F94">
              <w:rPr>
                <w:rFonts w:eastAsia="Times New Roman" w:cs="Arial"/>
                <w:color w:val="000000"/>
                <w:lang w:eastAsia="bg-BG"/>
              </w:rPr>
              <w:t>кръвонасядане</w:t>
            </w:r>
          </w:p>
        </w:tc>
        <w:tc>
          <w:tcPr>
            <w:tcW w:w="2411" w:type="dxa"/>
            <w:vAlign w:val="bottom"/>
          </w:tcPr>
          <w:p w14:paraId="289F9795" w14:textId="77777777" w:rsidR="003C0F94" w:rsidRPr="003C0F94" w:rsidRDefault="003C0F94" w:rsidP="003C0F94">
            <w:pPr>
              <w:rPr>
                <w:rFonts w:cs="Arial"/>
              </w:rPr>
            </w:pPr>
            <w:r w:rsidRPr="003C0F94">
              <w:rPr>
                <w:rFonts w:cs="Arial"/>
              </w:rPr>
              <w:t>Синдром на</w:t>
            </w:r>
          </w:p>
          <w:p w14:paraId="3AA2D5CB" w14:textId="0D86FF02" w:rsidR="003C0F94" w:rsidRPr="003C0F94" w:rsidRDefault="003C0F94" w:rsidP="003C0F94">
            <w:pPr>
              <w:rPr>
                <w:rFonts w:cs="Arial"/>
              </w:rPr>
            </w:pPr>
            <w:r w:rsidRPr="003C0F94">
              <w:rPr>
                <w:rFonts w:cs="Arial"/>
              </w:rPr>
              <w:t>Стивънс-Джонсън</w:t>
            </w:r>
            <w:r w:rsidRPr="003C0F94">
              <w:rPr>
                <w:rFonts w:cs="Arial"/>
                <w:vertAlign w:val="superscript"/>
              </w:rPr>
              <w:t xml:space="preserve">6 </w:t>
            </w:r>
            <w:r w:rsidRPr="003C0F94">
              <w:rPr>
                <w:rFonts w:cs="Arial"/>
              </w:rPr>
              <w:t>Ангионевротичен оток</w:t>
            </w:r>
            <w:r w:rsidRPr="003C0F94">
              <w:rPr>
                <w:rFonts w:cs="Arial"/>
                <w:vertAlign w:val="superscript"/>
              </w:rPr>
              <w:t>6</w:t>
            </w:r>
          </w:p>
        </w:tc>
        <w:tc>
          <w:tcPr>
            <w:tcW w:w="1141" w:type="dxa"/>
          </w:tcPr>
          <w:p w14:paraId="13F0A816" w14:textId="0EF194F8" w:rsidR="003C0F94" w:rsidRPr="003C0F94" w:rsidRDefault="003C0F94" w:rsidP="003C0F94">
            <w:pPr>
              <w:rPr>
                <w:rFonts w:cs="Arial"/>
              </w:rPr>
            </w:pPr>
            <w:r w:rsidRPr="003C0F94">
              <w:rPr>
                <w:rFonts w:cs="Arial"/>
              </w:rPr>
              <w:t>Кожен васкулит</w:t>
            </w:r>
          </w:p>
        </w:tc>
      </w:tr>
      <w:tr w:rsidR="003C0F94" w:rsidRPr="003C0F94" w14:paraId="6E5563E9" w14:textId="77777777" w:rsidTr="003C0F94">
        <w:tc>
          <w:tcPr>
            <w:tcW w:w="9576" w:type="dxa"/>
            <w:gridSpan w:val="5"/>
          </w:tcPr>
          <w:p w14:paraId="573A3022" w14:textId="52BDED73" w:rsidR="003C0F94" w:rsidRPr="003C0F94" w:rsidRDefault="003C0F94" w:rsidP="003C0F94">
            <w:pPr>
              <w:rPr>
                <w:rFonts w:cs="Arial"/>
              </w:rPr>
            </w:pPr>
            <w:r w:rsidRPr="003C0F94">
              <w:rPr>
                <w:rFonts w:cs="Arial"/>
                <w:i/>
                <w:iCs/>
              </w:rPr>
              <w:t>Нарушения на мускулно-скелетната система и съединителната тъкан</w:t>
            </w:r>
          </w:p>
        </w:tc>
      </w:tr>
      <w:tr w:rsidR="003C0F94" w:rsidRPr="003C0F94" w14:paraId="76E489F3" w14:textId="77777777" w:rsidTr="003C0F94">
        <w:tc>
          <w:tcPr>
            <w:tcW w:w="2402" w:type="dxa"/>
          </w:tcPr>
          <w:p w14:paraId="5CE6E07F" w14:textId="77777777" w:rsidR="003C0F94" w:rsidRPr="003C0F94" w:rsidRDefault="003C0F94" w:rsidP="003C0F94">
            <w:pPr>
              <w:rPr>
                <w:rFonts w:cs="Arial"/>
              </w:rPr>
            </w:pPr>
          </w:p>
        </w:tc>
        <w:tc>
          <w:tcPr>
            <w:tcW w:w="1474" w:type="dxa"/>
          </w:tcPr>
          <w:p w14:paraId="203F55E9" w14:textId="76789347" w:rsidR="003C0F94" w:rsidRPr="003C0F94" w:rsidRDefault="003C0F94" w:rsidP="003C0F94">
            <w:pPr>
              <w:rPr>
                <w:rFonts w:cs="Arial"/>
              </w:rPr>
            </w:pPr>
            <w:r w:rsidRPr="003C0F94">
              <w:rPr>
                <w:rFonts w:cs="Arial"/>
              </w:rPr>
              <w:t>Мускулно- скелетна болка Мускулен спазъм</w:t>
            </w:r>
          </w:p>
        </w:tc>
        <w:tc>
          <w:tcPr>
            <w:tcW w:w="2148" w:type="dxa"/>
          </w:tcPr>
          <w:p w14:paraId="38CF8318" w14:textId="0AB6F592" w:rsidR="003C0F94" w:rsidRPr="003C0F94" w:rsidRDefault="003C0F94" w:rsidP="003C0F94">
            <w:pPr>
              <w:rPr>
                <w:rFonts w:cs="Arial"/>
              </w:rPr>
            </w:pPr>
            <w:r w:rsidRPr="003C0F94">
              <w:rPr>
                <w:rFonts w:cs="Arial"/>
              </w:rPr>
              <w:t>Мускулно напрежение Потрепване на мускулите</w:t>
            </w:r>
          </w:p>
        </w:tc>
        <w:tc>
          <w:tcPr>
            <w:tcW w:w="2411" w:type="dxa"/>
          </w:tcPr>
          <w:p w14:paraId="0BE4F315" w14:textId="27F78F5F" w:rsidR="003C0F94" w:rsidRPr="003C0F94" w:rsidRDefault="003C0F94" w:rsidP="003C0F94">
            <w:pPr>
              <w:rPr>
                <w:rFonts w:cs="Arial"/>
              </w:rPr>
            </w:pPr>
            <w:r w:rsidRPr="003C0F94">
              <w:rPr>
                <w:rFonts w:cs="Arial"/>
              </w:rPr>
              <w:t>Тризмус</w:t>
            </w:r>
          </w:p>
        </w:tc>
        <w:tc>
          <w:tcPr>
            <w:tcW w:w="1141" w:type="dxa"/>
          </w:tcPr>
          <w:p w14:paraId="694E2B6B" w14:textId="77777777" w:rsidR="003C0F94" w:rsidRPr="003C0F94" w:rsidRDefault="003C0F94" w:rsidP="003C0F94">
            <w:pPr>
              <w:rPr>
                <w:rFonts w:cs="Arial"/>
              </w:rPr>
            </w:pPr>
          </w:p>
        </w:tc>
      </w:tr>
      <w:tr w:rsidR="003C0F94" w:rsidRPr="003C0F94" w14:paraId="40002402" w14:textId="77777777" w:rsidTr="003C0F94">
        <w:tc>
          <w:tcPr>
            <w:tcW w:w="9576" w:type="dxa"/>
            <w:gridSpan w:val="5"/>
          </w:tcPr>
          <w:p w14:paraId="39CE7235" w14:textId="30F35713" w:rsidR="003C0F94" w:rsidRPr="003C0F94" w:rsidRDefault="003C0F94" w:rsidP="003C0F94">
            <w:pPr>
              <w:rPr>
                <w:rFonts w:cs="Arial"/>
              </w:rPr>
            </w:pPr>
            <w:r w:rsidRPr="003C0F94">
              <w:rPr>
                <w:rFonts w:cs="Arial"/>
                <w:i/>
                <w:iCs/>
              </w:rPr>
              <w:t>Нарушения на бъбреците и пикочните пътища</w:t>
            </w:r>
          </w:p>
        </w:tc>
      </w:tr>
      <w:tr w:rsidR="003C0F94" w:rsidRPr="003C0F94" w14:paraId="2DF89486" w14:textId="77777777" w:rsidTr="003C0F94">
        <w:tc>
          <w:tcPr>
            <w:tcW w:w="2402" w:type="dxa"/>
          </w:tcPr>
          <w:p w14:paraId="607248E0" w14:textId="77777777" w:rsidR="003C0F94" w:rsidRPr="003C0F94" w:rsidRDefault="003C0F94" w:rsidP="003C0F94">
            <w:pPr>
              <w:rPr>
                <w:rFonts w:cs="Arial"/>
              </w:rPr>
            </w:pPr>
          </w:p>
        </w:tc>
        <w:tc>
          <w:tcPr>
            <w:tcW w:w="1474" w:type="dxa"/>
          </w:tcPr>
          <w:p w14:paraId="1B62A5A6" w14:textId="7DA2E20C" w:rsidR="003C0F94" w:rsidRPr="003C0F94" w:rsidRDefault="003C0F94" w:rsidP="003C0F94">
            <w:pPr>
              <w:rPr>
                <w:rFonts w:cs="Arial"/>
              </w:rPr>
            </w:pPr>
            <w:r w:rsidRPr="003C0F94">
              <w:rPr>
                <w:rFonts w:cs="Arial"/>
              </w:rPr>
              <w:t>Дизурия Често уриниране</w:t>
            </w:r>
          </w:p>
        </w:tc>
        <w:tc>
          <w:tcPr>
            <w:tcW w:w="2148" w:type="dxa"/>
          </w:tcPr>
          <w:p w14:paraId="327996D7" w14:textId="6CC6CF8E" w:rsidR="003C0F94" w:rsidRPr="003C0F94" w:rsidRDefault="003C0F94" w:rsidP="003C0F94">
            <w:pPr>
              <w:rPr>
                <w:rFonts w:cs="Arial"/>
              </w:rPr>
            </w:pPr>
            <w:r w:rsidRPr="003C0F94">
              <w:rPr>
                <w:rFonts w:cs="Arial"/>
              </w:rPr>
              <w:t>Задръжка на урина Затруднено уриниране Ноктурия Полиурия Намалена диуреза</w:t>
            </w:r>
          </w:p>
        </w:tc>
        <w:tc>
          <w:tcPr>
            <w:tcW w:w="2411" w:type="dxa"/>
          </w:tcPr>
          <w:p w14:paraId="7D9C7F28" w14:textId="22157BB1" w:rsidR="003C0F94" w:rsidRPr="003C0F94" w:rsidRDefault="003C0F94" w:rsidP="003C0F94">
            <w:pPr>
              <w:rPr>
                <w:rFonts w:cs="Arial"/>
              </w:rPr>
            </w:pPr>
            <w:r w:rsidRPr="003C0F94">
              <w:rPr>
                <w:rFonts w:cs="Arial"/>
              </w:rPr>
              <w:t>Променен мирис на урината</w:t>
            </w:r>
          </w:p>
        </w:tc>
        <w:tc>
          <w:tcPr>
            <w:tcW w:w="1141" w:type="dxa"/>
          </w:tcPr>
          <w:p w14:paraId="77C7258D" w14:textId="77777777" w:rsidR="003C0F94" w:rsidRPr="003C0F94" w:rsidRDefault="003C0F94" w:rsidP="003C0F94">
            <w:pPr>
              <w:rPr>
                <w:rFonts w:cs="Arial"/>
              </w:rPr>
            </w:pPr>
          </w:p>
        </w:tc>
      </w:tr>
      <w:tr w:rsidR="003C0F94" w:rsidRPr="003C0F94" w14:paraId="4D5E2C1F" w14:textId="77777777" w:rsidTr="003C0F94">
        <w:tc>
          <w:tcPr>
            <w:tcW w:w="9576" w:type="dxa"/>
            <w:gridSpan w:val="5"/>
          </w:tcPr>
          <w:p w14:paraId="1CE9B8AB" w14:textId="650417B5" w:rsidR="003C0F94" w:rsidRPr="003C0F94" w:rsidRDefault="003C0F94" w:rsidP="003C0F94">
            <w:pPr>
              <w:rPr>
                <w:rFonts w:cs="Arial"/>
              </w:rPr>
            </w:pPr>
            <w:r w:rsidRPr="003C0F94">
              <w:rPr>
                <w:rFonts w:cs="Arial"/>
                <w:i/>
                <w:iCs/>
              </w:rPr>
              <w:t>Нарушения на възпроизводителната система и гърдата</w:t>
            </w:r>
          </w:p>
        </w:tc>
      </w:tr>
      <w:tr w:rsidR="003C0F94" w:rsidRPr="003C0F94" w14:paraId="2D7FDB58" w14:textId="77777777" w:rsidTr="003C0F94">
        <w:tc>
          <w:tcPr>
            <w:tcW w:w="2402" w:type="dxa"/>
          </w:tcPr>
          <w:p w14:paraId="30CF7D5A" w14:textId="77777777" w:rsidR="003C0F94" w:rsidRPr="003C0F94" w:rsidRDefault="003C0F94" w:rsidP="003C0F94">
            <w:pPr>
              <w:rPr>
                <w:rFonts w:cs="Arial"/>
              </w:rPr>
            </w:pPr>
          </w:p>
        </w:tc>
        <w:tc>
          <w:tcPr>
            <w:tcW w:w="1474" w:type="dxa"/>
          </w:tcPr>
          <w:p w14:paraId="2308A23D" w14:textId="7C243DC0" w:rsidR="003C0F94" w:rsidRPr="003C0F94" w:rsidRDefault="003C0F94" w:rsidP="003C0F94">
            <w:pPr>
              <w:rPr>
                <w:rFonts w:cs="Arial"/>
              </w:rPr>
            </w:pPr>
            <w:r w:rsidRPr="003C0F94">
              <w:rPr>
                <w:rFonts w:cs="Arial"/>
              </w:rPr>
              <w:t xml:space="preserve">Еректилна дисфункция Нарушение на еякулацията </w:t>
            </w:r>
            <w:r w:rsidRPr="003C0F94">
              <w:rPr>
                <w:rFonts w:cs="Arial"/>
              </w:rPr>
              <w:lastRenderedPageBreak/>
              <w:t>Забавена еякулация</w:t>
            </w:r>
          </w:p>
        </w:tc>
        <w:tc>
          <w:tcPr>
            <w:tcW w:w="2148" w:type="dxa"/>
          </w:tcPr>
          <w:p w14:paraId="1D44CF03" w14:textId="1561E3F1" w:rsidR="003C0F94" w:rsidRPr="003C0F94" w:rsidRDefault="003C0F94" w:rsidP="003C0F94">
            <w:pPr>
              <w:rPr>
                <w:rFonts w:cs="Arial"/>
              </w:rPr>
            </w:pPr>
            <w:r w:rsidRPr="003C0F94">
              <w:rPr>
                <w:rFonts w:cs="Arial"/>
              </w:rPr>
              <w:lastRenderedPageBreak/>
              <w:t xml:space="preserve">Гинекологично кървене Менструални нарушения Сексуална </w:t>
            </w:r>
            <w:r w:rsidRPr="003C0F94">
              <w:rPr>
                <w:rFonts w:cs="Arial"/>
              </w:rPr>
              <w:lastRenderedPageBreak/>
              <w:t>дисфункция Болка в тестисите</w:t>
            </w:r>
          </w:p>
        </w:tc>
        <w:tc>
          <w:tcPr>
            <w:tcW w:w="2411" w:type="dxa"/>
          </w:tcPr>
          <w:p w14:paraId="67724B52" w14:textId="77777777" w:rsidR="003C0F94" w:rsidRPr="003C0F94" w:rsidRDefault="003C0F94" w:rsidP="003C0F94">
            <w:pPr>
              <w:rPr>
                <w:rFonts w:cs="Arial"/>
              </w:rPr>
            </w:pPr>
            <w:r w:rsidRPr="003C0F94">
              <w:rPr>
                <w:rFonts w:cs="Arial"/>
              </w:rPr>
              <w:lastRenderedPageBreak/>
              <w:t>Менопаузални симптоми Галакторея Хиперпролактине- мия</w:t>
            </w:r>
          </w:p>
          <w:p w14:paraId="73C65930" w14:textId="28464C13" w:rsidR="003C0F94" w:rsidRPr="003C0F94" w:rsidRDefault="003C0F94" w:rsidP="003C0F94">
            <w:pPr>
              <w:rPr>
                <w:rFonts w:cs="Arial"/>
              </w:rPr>
            </w:pPr>
            <w:r w:rsidRPr="003C0F94">
              <w:rPr>
                <w:rFonts w:cs="Arial"/>
              </w:rPr>
              <w:lastRenderedPageBreak/>
              <w:t>Послеродово кръвотечение</w:t>
            </w:r>
            <w:r w:rsidRPr="003C0F94">
              <w:rPr>
                <w:rFonts w:cs="Arial"/>
                <w:vertAlign w:val="superscript"/>
              </w:rPr>
              <w:t>6</w:t>
            </w:r>
          </w:p>
        </w:tc>
        <w:tc>
          <w:tcPr>
            <w:tcW w:w="1141" w:type="dxa"/>
          </w:tcPr>
          <w:p w14:paraId="1B5881FF" w14:textId="77777777" w:rsidR="003C0F94" w:rsidRPr="003C0F94" w:rsidRDefault="003C0F94" w:rsidP="003C0F94">
            <w:pPr>
              <w:rPr>
                <w:rFonts w:cs="Arial"/>
              </w:rPr>
            </w:pPr>
          </w:p>
        </w:tc>
      </w:tr>
      <w:tr w:rsidR="003C0F94" w:rsidRPr="003C0F94" w14:paraId="4D08BF3F" w14:textId="77777777" w:rsidTr="003C0F94">
        <w:tc>
          <w:tcPr>
            <w:tcW w:w="9576" w:type="dxa"/>
            <w:gridSpan w:val="5"/>
          </w:tcPr>
          <w:p w14:paraId="61712797" w14:textId="0F81613F" w:rsidR="003C0F94" w:rsidRPr="003C0F94" w:rsidRDefault="003C0F94" w:rsidP="003C0F94">
            <w:pPr>
              <w:rPr>
                <w:rFonts w:cs="Arial"/>
              </w:rPr>
            </w:pPr>
            <w:r w:rsidRPr="003C0F94">
              <w:rPr>
                <w:rFonts w:cs="Arial"/>
                <w:i/>
                <w:iCs/>
              </w:rPr>
              <w:t>Общи нарушения и ефекти на мястото на приложение</w:t>
            </w:r>
          </w:p>
        </w:tc>
      </w:tr>
      <w:tr w:rsidR="003C0F94" w:rsidRPr="003C0F94" w14:paraId="1869CB4D" w14:textId="77777777" w:rsidTr="003C0F94">
        <w:tc>
          <w:tcPr>
            <w:tcW w:w="2402" w:type="dxa"/>
          </w:tcPr>
          <w:p w14:paraId="639DA33C" w14:textId="77777777" w:rsidR="003C0F94" w:rsidRPr="003C0F94" w:rsidRDefault="003C0F94" w:rsidP="003C0F94">
            <w:pPr>
              <w:rPr>
                <w:rFonts w:cs="Arial"/>
              </w:rPr>
            </w:pPr>
          </w:p>
        </w:tc>
        <w:tc>
          <w:tcPr>
            <w:tcW w:w="1474" w:type="dxa"/>
          </w:tcPr>
          <w:p w14:paraId="531FFE7B" w14:textId="77777777" w:rsidR="003C0F94" w:rsidRPr="003C0F94" w:rsidRDefault="003C0F94" w:rsidP="003C0F94">
            <w:pPr>
              <w:rPr>
                <w:rFonts w:cs="Arial"/>
              </w:rPr>
            </w:pPr>
            <w:r w:rsidRPr="003C0F94">
              <w:rPr>
                <w:rFonts w:cs="Arial"/>
              </w:rPr>
              <w:t>Припадъци</w:t>
            </w:r>
            <w:r w:rsidRPr="003C0F94">
              <w:rPr>
                <w:rFonts w:cs="Arial"/>
                <w:vertAlign w:val="superscript"/>
              </w:rPr>
              <w:t>8</w:t>
            </w:r>
          </w:p>
          <w:p w14:paraId="318C1C59" w14:textId="0D729D70" w:rsidR="003C0F94" w:rsidRPr="003C0F94" w:rsidRDefault="003C0F94" w:rsidP="003C0F94">
            <w:pPr>
              <w:rPr>
                <w:rFonts w:cs="Arial"/>
              </w:rPr>
            </w:pPr>
            <w:r w:rsidRPr="003C0F94">
              <w:rPr>
                <w:rFonts w:cs="Arial"/>
              </w:rPr>
              <w:t>Умора</w:t>
            </w:r>
          </w:p>
        </w:tc>
        <w:tc>
          <w:tcPr>
            <w:tcW w:w="2148" w:type="dxa"/>
          </w:tcPr>
          <w:p w14:paraId="67285D38" w14:textId="010E829F" w:rsidR="003C0F94" w:rsidRPr="003C0F94" w:rsidRDefault="003C0F94" w:rsidP="003C0F94">
            <w:pPr>
              <w:rPr>
                <w:rFonts w:cs="Arial"/>
              </w:rPr>
            </w:pPr>
            <w:r w:rsidRPr="003C0F94">
              <w:rPr>
                <w:rFonts w:cs="Arial"/>
              </w:rPr>
              <w:t>Болка в гърдите</w:t>
            </w:r>
            <w:r w:rsidRPr="003C0F94">
              <w:rPr>
                <w:rFonts w:cs="Arial"/>
                <w:vertAlign w:val="superscript"/>
              </w:rPr>
              <w:t xml:space="preserve">7 </w:t>
            </w:r>
            <w:r w:rsidRPr="003C0F94">
              <w:rPr>
                <w:rFonts w:cs="Arial"/>
              </w:rPr>
              <w:t>Патологични усещания Чувство за студ Жажда Втрисане Неразположение Чувство за топлина Нарушения в походката</w:t>
            </w:r>
          </w:p>
        </w:tc>
        <w:tc>
          <w:tcPr>
            <w:tcW w:w="2411" w:type="dxa"/>
          </w:tcPr>
          <w:p w14:paraId="128D13D9" w14:textId="77777777" w:rsidR="003C0F94" w:rsidRPr="003C0F94" w:rsidRDefault="003C0F94" w:rsidP="003C0F94">
            <w:pPr>
              <w:rPr>
                <w:rFonts w:cs="Arial"/>
              </w:rPr>
            </w:pPr>
          </w:p>
        </w:tc>
        <w:tc>
          <w:tcPr>
            <w:tcW w:w="1141" w:type="dxa"/>
          </w:tcPr>
          <w:p w14:paraId="493F31E4" w14:textId="77777777" w:rsidR="003C0F94" w:rsidRPr="003C0F94" w:rsidRDefault="003C0F94" w:rsidP="003C0F94">
            <w:pPr>
              <w:rPr>
                <w:rFonts w:cs="Arial"/>
              </w:rPr>
            </w:pPr>
          </w:p>
        </w:tc>
      </w:tr>
      <w:tr w:rsidR="003C0F94" w:rsidRPr="003C0F94" w14:paraId="5C76A4D1" w14:textId="77777777" w:rsidTr="003C0F94">
        <w:tc>
          <w:tcPr>
            <w:tcW w:w="9576" w:type="dxa"/>
            <w:gridSpan w:val="5"/>
          </w:tcPr>
          <w:p w14:paraId="10926D45" w14:textId="59FE217A" w:rsidR="003C0F94" w:rsidRPr="003C0F94" w:rsidRDefault="003C0F94" w:rsidP="003C0F94">
            <w:pPr>
              <w:rPr>
                <w:rFonts w:cs="Arial"/>
              </w:rPr>
            </w:pPr>
            <w:r w:rsidRPr="003C0F94">
              <w:rPr>
                <w:rFonts w:cs="Arial"/>
                <w:i/>
                <w:iCs/>
              </w:rPr>
              <w:t>Изследвания</w:t>
            </w:r>
          </w:p>
        </w:tc>
      </w:tr>
      <w:tr w:rsidR="003C0F94" w:rsidRPr="003C0F94" w14:paraId="6C833D57" w14:textId="77777777" w:rsidTr="003C0F94">
        <w:tc>
          <w:tcPr>
            <w:tcW w:w="2402" w:type="dxa"/>
          </w:tcPr>
          <w:p w14:paraId="4E9DC678" w14:textId="77777777" w:rsidR="003C0F94" w:rsidRPr="003C0F94" w:rsidRDefault="003C0F94" w:rsidP="003C0F94">
            <w:pPr>
              <w:rPr>
                <w:rFonts w:cs="Arial"/>
              </w:rPr>
            </w:pPr>
          </w:p>
        </w:tc>
        <w:tc>
          <w:tcPr>
            <w:tcW w:w="1474" w:type="dxa"/>
          </w:tcPr>
          <w:p w14:paraId="15D3D857" w14:textId="45540F67" w:rsidR="003C0F94" w:rsidRPr="003C0F94" w:rsidRDefault="003C0F94" w:rsidP="003C0F94">
            <w:pPr>
              <w:rPr>
                <w:rFonts w:cs="Arial"/>
              </w:rPr>
            </w:pPr>
            <w:r w:rsidRPr="003C0F94">
              <w:rPr>
                <w:rFonts w:cs="Arial"/>
              </w:rPr>
              <w:t>Понижение на теглото</w:t>
            </w:r>
          </w:p>
        </w:tc>
        <w:tc>
          <w:tcPr>
            <w:tcW w:w="2148" w:type="dxa"/>
          </w:tcPr>
          <w:p w14:paraId="7B1F46E9" w14:textId="44DFCACB" w:rsidR="003C0F94" w:rsidRPr="003C0F94" w:rsidRDefault="003C0F94" w:rsidP="003C0F94">
            <w:pPr>
              <w:rPr>
                <w:rFonts w:cs="Arial"/>
              </w:rPr>
            </w:pPr>
            <w:r w:rsidRPr="003C0F94">
              <w:rPr>
                <w:rFonts w:cs="Arial"/>
              </w:rPr>
              <w:t>Покачване на теглото Повишение на креатин фосфокиназата в кръвта Повишение на калия в кръвта</w:t>
            </w:r>
          </w:p>
        </w:tc>
        <w:tc>
          <w:tcPr>
            <w:tcW w:w="2411" w:type="dxa"/>
          </w:tcPr>
          <w:p w14:paraId="79F05985" w14:textId="5873A88F" w:rsidR="003C0F94" w:rsidRPr="003C0F94" w:rsidRDefault="003C0F94" w:rsidP="003C0F94">
            <w:pPr>
              <w:rPr>
                <w:rFonts w:cs="Arial"/>
              </w:rPr>
            </w:pPr>
            <w:r w:rsidRPr="003C0F94">
              <w:rPr>
                <w:rFonts w:cs="Arial"/>
              </w:rPr>
              <w:t>Увеличаване на холестерола в кръвта</w:t>
            </w:r>
          </w:p>
        </w:tc>
        <w:tc>
          <w:tcPr>
            <w:tcW w:w="1141" w:type="dxa"/>
          </w:tcPr>
          <w:p w14:paraId="14A72D58" w14:textId="77777777" w:rsidR="003C0F94" w:rsidRPr="003C0F94" w:rsidRDefault="003C0F94" w:rsidP="003C0F94">
            <w:pPr>
              <w:rPr>
                <w:rFonts w:cs="Arial"/>
              </w:rPr>
            </w:pPr>
          </w:p>
        </w:tc>
      </w:tr>
    </w:tbl>
    <w:p w14:paraId="15AB0FF7" w14:textId="2BCD6A24" w:rsidR="003C0F94" w:rsidRDefault="003C0F94" w:rsidP="003C0F94"/>
    <w:p w14:paraId="18FE7CA5" w14:textId="19C5DD84" w:rsidR="003C0F94" w:rsidRPr="003C0F94" w:rsidRDefault="003C0F94" w:rsidP="003C0F94">
      <w:pPr>
        <w:spacing w:line="240" w:lineRule="auto"/>
        <w:rPr>
          <w:rFonts w:eastAsia="Times New Roman" w:cs="Arial"/>
        </w:rPr>
      </w:pPr>
      <w:r w:rsidRPr="003C0F94">
        <w:rPr>
          <w:rFonts w:cs="Arial"/>
          <w:vertAlign w:val="superscript"/>
          <w:lang w:val="ru-RU"/>
        </w:rPr>
        <w:t>1</w:t>
      </w:r>
      <w:r w:rsidRPr="003C0F94">
        <w:rPr>
          <w:rFonts w:eastAsia="Times New Roman" w:cs="Arial"/>
          <w:color w:val="000000"/>
          <w:lang w:eastAsia="bg-BG"/>
        </w:rPr>
        <w:t>Съобщавани са също случаи на конвулсии и на шум в ушите след прекъсване на лечението.</w:t>
      </w:r>
    </w:p>
    <w:p w14:paraId="55D7AA2F" w14:textId="77777777" w:rsidR="003C0F94" w:rsidRPr="003C0F94" w:rsidRDefault="003C0F94" w:rsidP="003C0F94">
      <w:pPr>
        <w:spacing w:line="240" w:lineRule="auto"/>
        <w:rPr>
          <w:rFonts w:eastAsia="Times New Roman" w:cs="Arial"/>
          <w:color w:val="000000"/>
          <w:lang w:eastAsia="bg-BG"/>
        </w:rPr>
      </w:pPr>
      <w:r w:rsidRPr="003C0F94">
        <w:rPr>
          <w:rFonts w:cs="Arial"/>
          <w:vertAlign w:val="superscript"/>
        </w:rPr>
        <w:t>2</w:t>
      </w:r>
      <w:r w:rsidRPr="003C0F94">
        <w:rPr>
          <w:rFonts w:eastAsia="Times New Roman" w:cs="Arial"/>
          <w:color w:val="000000"/>
          <w:lang w:eastAsia="bg-BG"/>
        </w:rPr>
        <w:t>Съобщавани са случаи на ортостатична хипотония и синкоп, особено в началото на лечението,</w:t>
      </w:r>
    </w:p>
    <w:p w14:paraId="0BBD49DB" w14:textId="4A80BBE8" w:rsidR="003C0F94" w:rsidRPr="003C0F94" w:rsidRDefault="003C0F94" w:rsidP="003C0F94">
      <w:pPr>
        <w:spacing w:line="240" w:lineRule="auto"/>
        <w:rPr>
          <w:rFonts w:eastAsia="Times New Roman" w:cs="Arial"/>
        </w:rPr>
      </w:pPr>
      <w:r w:rsidRPr="003C0F94">
        <w:rPr>
          <w:rFonts w:cs="Arial"/>
          <w:vertAlign w:val="superscript"/>
        </w:rPr>
        <w:t>3</w:t>
      </w:r>
      <w:r w:rsidRPr="003C0F94">
        <w:rPr>
          <w:rFonts w:eastAsia="Times New Roman" w:cs="Arial"/>
          <w:color w:val="000000"/>
          <w:lang w:eastAsia="bg-BG"/>
        </w:rPr>
        <w:t>Вижте точка 4.4.</w:t>
      </w:r>
    </w:p>
    <w:p w14:paraId="77C71439" w14:textId="7FD54AF0" w:rsidR="003C0F94" w:rsidRPr="003C0F94" w:rsidRDefault="003C0F94" w:rsidP="003C0F94">
      <w:pPr>
        <w:spacing w:line="240" w:lineRule="auto"/>
        <w:rPr>
          <w:rFonts w:eastAsia="Times New Roman" w:cs="Arial"/>
        </w:rPr>
      </w:pPr>
      <w:r w:rsidRPr="003C0F94">
        <w:rPr>
          <w:rFonts w:cs="Arial"/>
          <w:vertAlign w:val="superscript"/>
        </w:rPr>
        <w:t>4</w:t>
      </w:r>
      <w:r w:rsidRPr="003C0F94">
        <w:rPr>
          <w:rFonts w:eastAsia="Times New Roman" w:cs="Arial"/>
          <w:color w:val="000000"/>
          <w:lang w:eastAsia="bg-BG"/>
        </w:rPr>
        <w:t>Съобщавани са случаи на агресивност и гняв, особено в началото или след прекъсване на лечението.</w:t>
      </w:r>
    </w:p>
    <w:p w14:paraId="2B5FBB5B" w14:textId="07E80FF3" w:rsidR="003C0F94" w:rsidRPr="003C0F94" w:rsidRDefault="003C0F94" w:rsidP="003C0F94">
      <w:pPr>
        <w:spacing w:line="240" w:lineRule="auto"/>
        <w:rPr>
          <w:rFonts w:eastAsia="Times New Roman" w:cs="Arial"/>
        </w:rPr>
      </w:pPr>
      <w:r w:rsidRPr="003C0F94">
        <w:rPr>
          <w:rFonts w:cs="Arial"/>
          <w:vertAlign w:val="superscript"/>
        </w:rPr>
        <w:t>5</w:t>
      </w:r>
      <w:r w:rsidRPr="003C0F94">
        <w:rPr>
          <w:rFonts w:eastAsia="Times New Roman" w:cs="Arial"/>
          <w:color w:val="000000"/>
          <w:lang w:eastAsia="bg-BG"/>
        </w:rPr>
        <w:t>Съобщавани са случаи на суицидна идеация и суицидно поведение по време на лечение с дулоксетин или коро след прекъсване на лечението (вж. точка 4.4).</w:t>
      </w:r>
    </w:p>
    <w:p w14:paraId="12A35439" w14:textId="52B65A41" w:rsidR="003C0F94" w:rsidRPr="003C0F94" w:rsidRDefault="003C0F94" w:rsidP="003C0F94">
      <w:pPr>
        <w:spacing w:line="240" w:lineRule="auto"/>
        <w:rPr>
          <w:rFonts w:eastAsia="Times New Roman" w:cs="Arial"/>
        </w:rPr>
      </w:pPr>
      <w:r w:rsidRPr="003C0F94">
        <w:rPr>
          <w:rFonts w:cs="Arial"/>
          <w:vertAlign w:val="superscript"/>
        </w:rPr>
        <w:t>6</w:t>
      </w:r>
      <w:r w:rsidRPr="003C0F94">
        <w:rPr>
          <w:rFonts w:eastAsia="Times New Roman" w:cs="Arial"/>
          <w:color w:val="000000"/>
          <w:lang w:eastAsia="bg-BG"/>
        </w:rPr>
        <w:t>Честотата е изчислена от нежеланите реакции, съобщени при постмаркетинговото наблюдение; не се наблюдава в плацебо-контролирани клинични изпитвания.</w:t>
      </w:r>
    </w:p>
    <w:p w14:paraId="1EE2D119" w14:textId="214BA876" w:rsidR="003C0F94" w:rsidRPr="003C0F94" w:rsidRDefault="003C0F94" w:rsidP="003C0F94">
      <w:pPr>
        <w:spacing w:line="240" w:lineRule="auto"/>
        <w:rPr>
          <w:rFonts w:eastAsia="Times New Roman" w:cs="Arial"/>
        </w:rPr>
      </w:pPr>
      <w:r w:rsidRPr="003C0F94">
        <w:rPr>
          <w:rFonts w:cs="Arial"/>
          <w:vertAlign w:val="superscript"/>
        </w:rPr>
        <w:t>7</w:t>
      </w:r>
      <w:r w:rsidRPr="003C0F94">
        <w:rPr>
          <w:rFonts w:eastAsia="Times New Roman" w:cs="Arial"/>
          <w:color w:val="000000"/>
          <w:lang w:eastAsia="bg-BG"/>
        </w:rPr>
        <w:t>Не е статистически сигнификантно различна от плацебо,</w:t>
      </w:r>
    </w:p>
    <w:p w14:paraId="7E7C5D02" w14:textId="5992DFCF" w:rsidR="003C0F94" w:rsidRPr="003C0F94" w:rsidRDefault="003C0F94" w:rsidP="003C0F94">
      <w:pPr>
        <w:spacing w:line="240" w:lineRule="auto"/>
        <w:rPr>
          <w:rFonts w:eastAsia="Times New Roman" w:cs="Arial"/>
        </w:rPr>
      </w:pPr>
      <w:r w:rsidRPr="003C0F94">
        <w:rPr>
          <w:rFonts w:cs="Arial"/>
          <w:vertAlign w:val="superscript"/>
        </w:rPr>
        <w:t>8</w:t>
      </w:r>
      <w:r w:rsidRPr="003C0F94">
        <w:rPr>
          <w:rFonts w:eastAsia="Times New Roman" w:cs="Arial"/>
          <w:color w:val="000000"/>
          <w:lang w:eastAsia="bg-BG"/>
        </w:rPr>
        <w:t>Припадъците са по-чести при пациенти в старческа възраст (възраст ≥65 годдини)</w:t>
      </w:r>
    </w:p>
    <w:p w14:paraId="75A60B70" w14:textId="56CFCEB1" w:rsidR="003C0F94" w:rsidRPr="003C0F94" w:rsidRDefault="003C0F94" w:rsidP="003C0F94">
      <w:pPr>
        <w:rPr>
          <w:rFonts w:eastAsia="Times New Roman" w:cs="Arial"/>
          <w:color w:val="000000"/>
          <w:lang w:eastAsia="bg-BG"/>
        </w:rPr>
      </w:pPr>
      <w:r w:rsidRPr="003C0F94">
        <w:rPr>
          <w:rFonts w:cs="Arial"/>
          <w:vertAlign w:val="superscript"/>
        </w:rPr>
        <w:t>9</w:t>
      </w:r>
      <w:r w:rsidRPr="003C0F94">
        <w:rPr>
          <w:rFonts w:eastAsia="Times New Roman" w:cs="Arial"/>
          <w:color w:val="000000"/>
          <w:lang w:eastAsia="bg-BG"/>
        </w:rPr>
        <w:t>Оценката на честотата се основава на данни от всички клинични проучвания.</w:t>
      </w:r>
    </w:p>
    <w:p w14:paraId="05E2C381" w14:textId="77777777" w:rsidR="003C0F94" w:rsidRPr="003C0F94" w:rsidRDefault="003C0F94" w:rsidP="003C0F94">
      <w:pPr>
        <w:spacing w:line="240" w:lineRule="auto"/>
        <w:rPr>
          <w:rFonts w:eastAsia="Times New Roman" w:cs="Arial"/>
        </w:rPr>
      </w:pPr>
      <w:r w:rsidRPr="003C0F94">
        <w:rPr>
          <w:rFonts w:eastAsia="Times New Roman" w:cs="Arial"/>
          <w:color w:val="000000"/>
          <w:vertAlign w:val="superscript"/>
          <w:lang w:eastAsia="bg-BG"/>
        </w:rPr>
        <w:t>10</w:t>
      </w:r>
      <w:r w:rsidRPr="003C0F94">
        <w:rPr>
          <w:rFonts w:eastAsia="Times New Roman" w:cs="Arial"/>
          <w:color w:val="000000"/>
          <w:lang w:eastAsia="bg-BG"/>
        </w:rPr>
        <w:t>Честотата е изчислена въз основа на плацебо-контролирани клинични изпитвания.</w:t>
      </w:r>
    </w:p>
    <w:p w14:paraId="70915497" w14:textId="77777777" w:rsidR="003C0F94" w:rsidRPr="003C0F94" w:rsidRDefault="003C0F94" w:rsidP="003C0F94">
      <w:pPr>
        <w:spacing w:line="240" w:lineRule="auto"/>
        <w:rPr>
          <w:rFonts w:eastAsia="Times New Roman" w:cs="Arial"/>
          <w:i/>
          <w:iCs/>
          <w:color w:val="000000"/>
          <w:lang w:eastAsia="bg-BG"/>
        </w:rPr>
      </w:pPr>
    </w:p>
    <w:p w14:paraId="6772D72B" w14:textId="1A37FA7D"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в.Описание на избрани нежелани лекарствени реакции</w:t>
      </w:r>
    </w:p>
    <w:p w14:paraId="177BDF6D" w14:textId="77777777" w:rsidR="003C0F94" w:rsidRPr="003C0F94" w:rsidRDefault="003C0F94" w:rsidP="003C0F94">
      <w:pPr>
        <w:spacing w:line="240" w:lineRule="auto"/>
        <w:rPr>
          <w:rFonts w:eastAsia="Times New Roman" w:cs="Arial"/>
          <w:color w:val="000000"/>
          <w:lang w:eastAsia="bg-BG"/>
        </w:rPr>
      </w:pPr>
    </w:p>
    <w:p w14:paraId="3BB58C60" w14:textId="12671421" w:rsidR="003C0F94" w:rsidRPr="003C0F94" w:rsidRDefault="003C0F94" w:rsidP="003C0F94">
      <w:pPr>
        <w:spacing w:line="240" w:lineRule="auto"/>
        <w:rPr>
          <w:rFonts w:eastAsia="Times New Roman" w:cs="Arial"/>
        </w:rPr>
      </w:pPr>
      <w:r w:rsidRPr="003C0F94">
        <w:rPr>
          <w:rFonts w:eastAsia="Times New Roman" w:cs="Arial"/>
          <w:color w:val="000000"/>
          <w:lang w:eastAsia="bg-BG"/>
        </w:rPr>
        <w:t>Прекратяването на дулоксетин (особено, когато е внезапно) често води до симптоми на отнемане. Замаяност,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световъртеж са най-често съобщаваните нежелани реакции.</w:t>
      </w:r>
    </w:p>
    <w:p w14:paraId="3ED70D1A"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Общо - и за </w:t>
      </w:r>
      <w:r w:rsidRPr="003C0F94">
        <w:rPr>
          <w:rFonts w:eastAsia="Times New Roman" w:cs="Arial"/>
          <w:color w:val="000000"/>
          <w:lang w:val="en-US"/>
        </w:rPr>
        <w:t>SSRI</w:t>
      </w:r>
      <w:r w:rsidRPr="003C0F94">
        <w:rPr>
          <w:rFonts w:eastAsia="Times New Roman" w:cs="Arial"/>
          <w:color w:val="000000"/>
          <w:lang w:val="ru-RU"/>
        </w:rPr>
        <w:t xml:space="preserve">, </w:t>
      </w:r>
      <w:r w:rsidRPr="003C0F94">
        <w:rPr>
          <w:rFonts w:eastAsia="Times New Roman" w:cs="Arial"/>
          <w:color w:val="000000"/>
          <w:lang w:eastAsia="bg-BG"/>
        </w:rPr>
        <w:t xml:space="preserve">и за </w:t>
      </w:r>
      <w:r w:rsidRPr="003C0F94">
        <w:rPr>
          <w:rFonts w:eastAsia="Times New Roman" w:cs="Arial"/>
          <w:color w:val="000000"/>
          <w:lang w:val="en-US"/>
        </w:rPr>
        <w:t>SNRI</w:t>
      </w:r>
      <w:r w:rsidRPr="003C0F94">
        <w:rPr>
          <w:rFonts w:eastAsia="Times New Roman" w:cs="Arial"/>
          <w:color w:val="000000"/>
          <w:lang w:val="ru-RU"/>
        </w:rPr>
        <w:t xml:space="preserve">, </w:t>
      </w:r>
      <w:r w:rsidRPr="003C0F94">
        <w:rPr>
          <w:rFonts w:eastAsia="Times New Roman" w:cs="Arial"/>
          <w:color w:val="000000"/>
          <w:lang w:eastAsia="bg-BG"/>
        </w:rPr>
        <w:t>тези събития са леки до умерени и самоограничаващи се, въпреки че при някои пациенти те може да са тежки и/или продължителни. Затова се препоръчва, когато не се налага повече лечение с дулоксетин, да се направи постепенно спиране чрез намаляване на дозата (вж. точки 4.2 и 4.4).</w:t>
      </w:r>
    </w:p>
    <w:p w14:paraId="5B1E6A32"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lastRenderedPageBreak/>
        <w:t xml:space="preserve">През 12-седмичната остра фаза на три клинични проучвания с дулоксетин при пациенти с диабетна невропатна болка е наблюдавано слабо, но статистически значимо повишение в кръвната глюкоза на гладно при пациентите на лечение с дулоксетин. Стойността на </w:t>
      </w:r>
      <w:proofErr w:type="spellStart"/>
      <w:r w:rsidRPr="003C0F94">
        <w:rPr>
          <w:rFonts w:eastAsia="Times New Roman" w:cs="Arial"/>
          <w:color w:val="000000"/>
          <w:lang w:val="en-US"/>
        </w:rPr>
        <w:t>HbA</w:t>
      </w:r>
      <w:proofErr w:type="spellEnd"/>
      <w:r w:rsidRPr="003C0F94">
        <w:rPr>
          <w:rFonts w:eastAsia="Times New Roman" w:cs="Arial"/>
          <w:color w:val="000000"/>
          <w:vertAlign w:val="subscript"/>
          <w:lang w:val="ru-RU"/>
        </w:rPr>
        <w:t>1</w:t>
      </w:r>
      <w:r w:rsidRPr="003C0F94">
        <w:rPr>
          <w:rFonts w:eastAsia="Times New Roman" w:cs="Arial"/>
          <w:color w:val="000000"/>
          <w:vertAlign w:val="subscript"/>
          <w:lang w:val="en-US"/>
        </w:rPr>
        <w:t>c</w:t>
      </w:r>
      <w:r w:rsidRPr="003C0F94">
        <w:rPr>
          <w:rFonts w:eastAsia="Times New Roman" w:cs="Arial"/>
          <w:color w:val="000000"/>
          <w:lang w:val="ru-RU"/>
        </w:rPr>
        <w:t xml:space="preserve"> </w:t>
      </w:r>
      <w:r w:rsidRPr="003C0F94">
        <w:rPr>
          <w:rFonts w:eastAsia="Times New Roman" w:cs="Arial"/>
          <w:color w:val="000000"/>
          <w:lang w:eastAsia="bg-BG"/>
        </w:rPr>
        <w:t>е стабилна и при пациентите, лекувани с дулоксетин, и при пациентите на плацебо. През фазата на продължение на тези проучвания, с времетраене до 52 седмици, е наблюдавано повишение на Н</w:t>
      </w:r>
      <w:r w:rsidRPr="003C0F94">
        <w:rPr>
          <w:rFonts w:eastAsia="Times New Roman" w:cs="Arial"/>
          <w:color w:val="000000"/>
          <w:lang w:val="en-US"/>
        </w:rPr>
        <w:t>b</w:t>
      </w:r>
      <w:r w:rsidRPr="003C0F94">
        <w:rPr>
          <w:rFonts w:eastAsia="Times New Roman" w:cs="Arial"/>
          <w:color w:val="000000"/>
          <w:lang w:eastAsia="bg-BG"/>
        </w:rPr>
        <w:t>А</w:t>
      </w:r>
      <w:r w:rsidRPr="003C0F94">
        <w:rPr>
          <w:rFonts w:eastAsia="Times New Roman" w:cs="Arial"/>
          <w:color w:val="000000"/>
          <w:vertAlign w:val="subscript"/>
          <w:lang w:eastAsia="bg-BG"/>
        </w:rPr>
        <w:t>1с</w:t>
      </w:r>
      <w:r w:rsidRPr="003C0F94">
        <w:rPr>
          <w:rFonts w:eastAsia="Times New Roman" w:cs="Arial"/>
          <w:color w:val="000000"/>
          <w:lang w:eastAsia="bg-BG"/>
        </w:rPr>
        <w:t xml:space="preserve"> и в групата на дулоксетин, и в групата на рутинна терапия, но средното повишение е с 0,3% по-голямо в групата на лечение с дулоксетин. Наблюдавано е леко повишение в кръвната глюкоза на гладно и на общия холестерол при пациентите, лекувани с дулоксетин, докато тези лабораторни резултати показват леко намаление в групата на рутинна терапия. Коригираният спрямо сърдечната честота </w:t>
      </w:r>
      <w:r w:rsidRPr="003C0F94">
        <w:rPr>
          <w:rFonts w:eastAsia="Times New Roman" w:cs="Arial"/>
          <w:color w:val="000000"/>
          <w:lang w:val="en-US"/>
        </w:rPr>
        <w:t>QT</w:t>
      </w:r>
      <w:r w:rsidRPr="003C0F94">
        <w:rPr>
          <w:rFonts w:eastAsia="Times New Roman" w:cs="Arial"/>
          <w:color w:val="000000"/>
          <w:lang w:val="ru-RU"/>
        </w:rPr>
        <w:t xml:space="preserve"> </w:t>
      </w:r>
      <w:r w:rsidRPr="003C0F94">
        <w:rPr>
          <w:rFonts w:eastAsia="Times New Roman" w:cs="Arial"/>
          <w:color w:val="000000"/>
          <w:lang w:eastAsia="bg-BG"/>
        </w:rPr>
        <w:t xml:space="preserve">интервал при пациентите, лекувани с дулоксетин, не се различава от наблюдавания при пациентите, лекувани с плацебо. Не са наблюдавани клинично значими разлики по отношение стойностите на </w:t>
      </w:r>
      <w:r w:rsidRPr="003C0F94">
        <w:rPr>
          <w:rFonts w:eastAsia="Times New Roman" w:cs="Arial"/>
          <w:color w:val="000000"/>
          <w:lang w:val="en-US"/>
        </w:rPr>
        <w:t>QT</w:t>
      </w:r>
      <w:r w:rsidRPr="003C0F94">
        <w:rPr>
          <w:rFonts w:eastAsia="Times New Roman" w:cs="Arial"/>
          <w:color w:val="000000"/>
          <w:lang w:val="ru-RU"/>
        </w:rPr>
        <w:t xml:space="preserve">, </w:t>
      </w:r>
      <w:r w:rsidRPr="003C0F94">
        <w:rPr>
          <w:rFonts w:eastAsia="Times New Roman" w:cs="Arial"/>
          <w:color w:val="000000"/>
          <w:lang w:val="en-US"/>
        </w:rPr>
        <w:t>PR</w:t>
      </w:r>
      <w:r w:rsidRPr="003C0F94">
        <w:rPr>
          <w:rFonts w:eastAsia="Times New Roman" w:cs="Arial"/>
          <w:color w:val="000000"/>
          <w:lang w:val="ru-RU"/>
        </w:rPr>
        <w:t xml:space="preserve">, </w:t>
      </w:r>
      <w:r w:rsidRPr="003C0F94">
        <w:rPr>
          <w:rFonts w:eastAsia="Times New Roman" w:cs="Arial"/>
          <w:color w:val="000000"/>
          <w:lang w:val="en-US"/>
        </w:rPr>
        <w:t>QRS</w:t>
      </w:r>
      <w:r w:rsidRPr="003C0F94">
        <w:rPr>
          <w:rFonts w:eastAsia="Times New Roman" w:cs="Arial"/>
          <w:color w:val="000000"/>
          <w:lang w:val="ru-RU"/>
        </w:rPr>
        <w:t xml:space="preserve"> </w:t>
      </w:r>
      <w:r w:rsidRPr="003C0F94">
        <w:rPr>
          <w:rFonts w:eastAsia="Times New Roman" w:cs="Arial"/>
          <w:color w:val="000000"/>
          <w:lang w:eastAsia="bg-BG"/>
        </w:rPr>
        <w:t xml:space="preserve">или </w:t>
      </w:r>
      <w:r w:rsidRPr="003C0F94">
        <w:rPr>
          <w:rFonts w:eastAsia="Times New Roman" w:cs="Arial"/>
          <w:color w:val="000000"/>
          <w:lang w:val="en-US"/>
        </w:rPr>
        <w:t>QTcB</w:t>
      </w:r>
      <w:r w:rsidRPr="003C0F94">
        <w:rPr>
          <w:rFonts w:eastAsia="Times New Roman" w:cs="Arial"/>
          <w:color w:val="000000"/>
          <w:lang w:val="ru-RU"/>
        </w:rPr>
        <w:t xml:space="preserve"> </w:t>
      </w:r>
      <w:r w:rsidRPr="003C0F94">
        <w:rPr>
          <w:rFonts w:eastAsia="Times New Roman" w:cs="Arial"/>
          <w:color w:val="000000"/>
          <w:lang w:eastAsia="bg-BG"/>
        </w:rPr>
        <w:t>между пациентите, лекувани с дулоксетин и тези с плацебо.</w:t>
      </w:r>
    </w:p>
    <w:p w14:paraId="419C0E68" w14:textId="77777777" w:rsidR="003C0F94" w:rsidRPr="003C0F94" w:rsidRDefault="003C0F94" w:rsidP="003C0F94">
      <w:pPr>
        <w:spacing w:line="240" w:lineRule="auto"/>
        <w:rPr>
          <w:rFonts w:eastAsia="Times New Roman" w:cs="Arial"/>
          <w:i/>
          <w:iCs/>
          <w:color w:val="000000"/>
          <w:lang w:eastAsia="bg-BG"/>
        </w:rPr>
      </w:pPr>
    </w:p>
    <w:p w14:paraId="38DCF281" w14:textId="6120C7C1"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г.Педиатрична популация</w:t>
      </w:r>
    </w:p>
    <w:p w14:paraId="5693F02B" w14:textId="77777777" w:rsidR="003C0F94" w:rsidRPr="003C0F94" w:rsidRDefault="003C0F94" w:rsidP="003C0F94">
      <w:pPr>
        <w:spacing w:line="240" w:lineRule="auto"/>
        <w:rPr>
          <w:rFonts w:eastAsia="Times New Roman" w:cs="Arial"/>
          <w:color w:val="000000"/>
          <w:lang w:eastAsia="bg-BG"/>
        </w:rPr>
      </w:pPr>
    </w:p>
    <w:p w14:paraId="0F501FC0" w14:textId="1AE176B6" w:rsidR="003C0F94" w:rsidRPr="003C0F94" w:rsidRDefault="003C0F94" w:rsidP="003C0F94">
      <w:pPr>
        <w:spacing w:line="240" w:lineRule="auto"/>
        <w:rPr>
          <w:rFonts w:eastAsia="Times New Roman" w:cs="Arial"/>
        </w:rPr>
      </w:pPr>
      <w:r w:rsidRPr="003C0F94">
        <w:rPr>
          <w:rFonts w:eastAsia="Times New Roman" w:cs="Arial"/>
          <w:color w:val="000000"/>
          <w:lang w:eastAsia="bg-BG"/>
        </w:rPr>
        <w:t>Общо 509 педиатрични пациенти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дулоксетин при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0FDEB6E9" w14:textId="77777777" w:rsidR="003C0F94" w:rsidRPr="003C0F94" w:rsidRDefault="003C0F94" w:rsidP="003C0F94">
      <w:pPr>
        <w:spacing w:line="240" w:lineRule="auto"/>
        <w:rPr>
          <w:rFonts w:eastAsia="Times New Roman" w:cs="Arial"/>
        </w:rPr>
      </w:pPr>
      <w:r w:rsidRPr="003C0F94">
        <w:rPr>
          <w:rFonts w:eastAsia="Times New Roman" w:cs="Arial"/>
          <w:color w:val="000000"/>
          <w:lang w:eastAsia="bg-BG"/>
        </w:rPr>
        <w:t xml:space="preserve">Общо 467 пациенти от педиатричната популация, които първоначално са рандомизирани да получават дулоксетин в клинични проучвания, изпитват средно намаление на теглото 0,1 </w:t>
      </w:r>
      <w:r w:rsidRPr="003C0F94">
        <w:rPr>
          <w:rFonts w:eastAsia="Times New Roman" w:cs="Arial"/>
          <w:color w:val="000000"/>
          <w:lang w:val="en-US"/>
        </w:rPr>
        <w:t>kg</w:t>
      </w:r>
      <w:r w:rsidRPr="003C0F94">
        <w:rPr>
          <w:rFonts w:eastAsia="Times New Roman" w:cs="Arial"/>
          <w:color w:val="000000"/>
          <w:lang w:val="ru-RU"/>
        </w:rPr>
        <w:t xml:space="preserve"> </w:t>
      </w:r>
      <w:r w:rsidRPr="003C0F94">
        <w:rPr>
          <w:rFonts w:eastAsia="Times New Roman" w:cs="Arial"/>
          <w:color w:val="000000"/>
          <w:lang w:eastAsia="bg-BG"/>
        </w:rPr>
        <w:t xml:space="preserve">към 10-та седмица в сравнение с 0,9 </w:t>
      </w:r>
      <w:r w:rsidRPr="003C0F94">
        <w:rPr>
          <w:rFonts w:eastAsia="Times New Roman" w:cs="Arial"/>
          <w:color w:val="000000"/>
          <w:lang w:val="en-US"/>
        </w:rPr>
        <w:t>kg</w:t>
      </w:r>
      <w:r w:rsidRPr="003C0F94">
        <w:rPr>
          <w:rFonts w:eastAsia="Times New Roman" w:cs="Arial"/>
          <w:color w:val="000000"/>
          <w:lang w:val="ru-RU"/>
        </w:rPr>
        <w:t xml:space="preserve"> </w:t>
      </w:r>
      <w:r w:rsidRPr="003C0F94">
        <w:rPr>
          <w:rFonts w:eastAsia="Times New Roman" w:cs="Arial"/>
          <w:color w:val="000000"/>
          <w:lang w:eastAsia="bg-BG"/>
        </w:rPr>
        <w:t>средно увеличение при 353 пациенти, получаващи плацебо. След това, в течение на четири месечен до шест месечен период на продължение, пациентите проявяват склонност към възстановяване на очакваното си изходно тегло в перцентила на базата на популационните данни от връстниците, съответно по възраст и пол. 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перцентила за ръст (намаление от 2% при деца (7-11 години) и увеличение с 0,3% при юноши (12-17 години)) (вж. точка 4.4).</w:t>
      </w:r>
    </w:p>
    <w:p w14:paraId="12B3B75C" w14:textId="77777777" w:rsidR="003C0F94" w:rsidRPr="003C0F94" w:rsidRDefault="003C0F94" w:rsidP="003C0F94">
      <w:pPr>
        <w:spacing w:line="240" w:lineRule="auto"/>
        <w:rPr>
          <w:rFonts w:eastAsia="Times New Roman" w:cs="Arial"/>
          <w:i/>
          <w:iCs/>
          <w:color w:val="000000"/>
          <w:lang w:eastAsia="bg-BG"/>
        </w:rPr>
      </w:pPr>
    </w:p>
    <w:p w14:paraId="6E1BB7EC" w14:textId="0471897A" w:rsidR="003C0F94" w:rsidRPr="003C0F94" w:rsidRDefault="003C0F94" w:rsidP="003C0F94">
      <w:pPr>
        <w:spacing w:line="240" w:lineRule="auto"/>
        <w:rPr>
          <w:rFonts w:eastAsia="Times New Roman" w:cs="Arial"/>
        </w:rPr>
      </w:pPr>
      <w:r w:rsidRPr="003C0F94">
        <w:rPr>
          <w:rFonts w:eastAsia="Times New Roman" w:cs="Arial"/>
          <w:i/>
          <w:iCs/>
          <w:color w:val="000000"/>
          <w:lang w:eastAsia="bg-BG"/>
        </w:rPr>
        <w:t>Съобщаване на подозирани нежелани реакции</w:t>
      </w:r>
    </w:p>
    <w:p w14:paraId="7D394FE9" w14:textId="138DF414" w:rsidR="003C0F94" w:rsidRPr="003C0F94" w:rsidRDefault="003C0F94" w:rsidP="003C0F94">
      <w:pPr>
        <w:rPr>
          <w:rFonts w:eastAsia="Times New Roman" w:cs="Arial"/>
          <w:color w:val="000000"/>
          <w:lang w:eastAsia="bg-BG"/>
        </w:rPr>
      </w:pPr>
      <w:r w:rsidRPr="003C0F94">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sidRPr="003C0F94">
        <w:rPr>
          <w:rFonts w:eastAsia="Times New Roman" w:cs="Arial"/>
          <w:color w:val="000000"/>
          <w:lang w:val="ru-RU"/>
        </w:rPr>
        <w:t xml:space="preserve"> </w:t>
      </w:r>
      <w:r w:rsidRPr="003C0F94">
        <w:rPr>
          <w:rFonts w:eastAsia="Times New Roman" w:cs="Arial"/>
          <w:color w:val="000000"/>
          <w:lang w:eastAsia="bg-BG"/>
        </w:rPr>
        <w:t>подозирана нежелана реакция по националната система за съобщаване към Изпълнителната агенция по лекарствата, ул.,Дамян Груев“ № 8, 1303 София, тел.: +35928903417, уебсайт:</w:t>
      </w:r>
    </w:p>
    <w:p w14:paraId="47D96AD2" w14:textId="77777777" w:rsidR="003C0F94" w:rsidRPr="003C0F94" w:rsidRDefault="003C0F94" w:rsidP="003C0F94"/>
    <w:p w14:paraId="517DDD6E" w14:textId="69BD3FB8" w:rsidR="003C0F94" w:rsidRDefault="002C50EE" w:rsidP="003C0F94">
      <w:pPr>
        <w:pStyle w:val="Heading2"/>
      </w:pPr>
      <w:r>
        <w:t>4.9. Предозиране</w:t>
      </w:r>
    </w:p>
    <w:p w14:paraId="1C425A66" w14:textId="3892CBC1" w:rsidR="003C0F94" w:rsidRDefault="003C0F94" w:rsidP="003C0F94"/>
    <w:p w14:paraId="255E4BD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Съобщавани са случаи на предозиране, самостоятелно или в комбинация с други лекарствени продукти, с дози дулоксетин от 5400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Има няколко смъртни случаи, основно при смесено предозиране, но също така с дулоксетин, приложен самостоятелно в доза от приблизително 1000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Признаците и симптомите на предозиране (дулоксетин, приложен 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474CE4CC" w14:textId="77777777" w:rsidR="003C0F94" w:rsidRPr="003C0F94" w:rsidRDefault="003C0F94" w:rsidP="003C0F94">
      <w:pPr>
        <w:rPr>
          <w:rFonts w:eastAsia="Times New Roman" w:cs="Arial"/>
          <w:color w:val="000000"/>
          <w:szCs w:val="20"/>
          <w:lang w:eastAsia="bg-BG"/>
        </w:rPr>
      </w:pPr>
    </w:p>
    <w:p w14:paraId="729F76A3" w14:textId="32E6475F" w:rsidR="003C0F94" w:rsidRPr="003C0F94" w:rsidRDefault="003C0F94" w:rsidP="003C0F94">
      <w:pPr>
        <w:rPr>
          <w:rFonts w:cs="Arial"/>
          <w:sz w:val="24"/>
        </w:rPr>
      </w:pPr>
      <w:r w:rsidRPr="003C0F94">
        <w:rPr>
          <w:rFonts w:eastAsia="Times New Roman" w:cs="Arial"/>
          <w:color w:val="000000"/>
          <w:szCs w:val="20"/>
          <w:lang w:eastAsia="bg-BG"/>
        </w:rPr>
        <w:lastRenderedPageBreak/>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 проходимостта на дихателните пътища. Препоръчва се проследяване на сърдечните и жизнените показатели, заедно с подходящи симптоматични и поддържащи мерки. Стомашна промивка може да е показана, ако се извърши възможно най-скоро след поглъщането или при симптоматични пациенти. Активният въглен може да има благоприятен ефект за ограничаване на резорбцията. Дулоксетин има голям обем на разпределение и форсираната диуреза, хемоперфузия и обменна перфузия е малко вероятно да са от полза.</w:t>
      </w:r>
    </w:p>
    <w:p w14:paraId="02081B24" w14:textId="1F46E296" w:rsidR="00395555" w:rsidRPr="00395555" w:rsidRDefault="002C50EE" w:rsidP="008A6AF2">
      <w:pPr>
        <w:pStyle w:val="Heading1"/>
      </w:pPr>
      <w:r>
        <w:t>5. ФАРМАКОЛОГИЧНИ СВОЙСТВА</w:t>
      </w:r>
    </w:p>
    <w:p w14:paraId="7DE36AC8" w14:textId="57A05BC2" w:rsidR="00B6672E" w:rsidRDefault="002C50EE" w:rsidP="00936AD0">
      <w:pPr>
        <w:pStyle w:val="Heading2"/>
      </w:pPr>
      <w:r>
        <w:t>5.1. Фармакодинамични свойства</w:t>
      </w:r>
    </w:p>
    <w:p w14:paraId="3DED1205" w14:textId="4AD91CE9" w:rsidR="003C0F94" w:rsidRDefault="003C0F94" w:rsidP="003C0F94"/>
    <w:p w14:paraId="2CEC1BB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Фармакотерапевтична група: Други антидепресанти. АТС код: </w:t>
      </w:r>
      <w:r w:rsidRPr="003C0F94">
        <w:rPr>
          <w:rFonts w:eastAsia="Times New Roman" w:cs="Arial"/>
          <w:color w:val="000000"/>
          <w:szCs w:val="20"/>
          <w:lang w:val="en-US"/>
        </w:rPr>
        <w:t>N</w:t>
      </w:r>
      <w:r w:rsidRPr="003C0F94">
        <w:rPr>
          <w:rFonts w:eastAsia="Times New Roman" w:cs="Arial"/>
          <w:color w:val="000000"/>
          <w:szCs w:val="20"/>
          <w:lang w:val="ru-RU"/>
        </w:rPr>
        <w:t>06</w:t>
      </w:r>
      <w:r w:rsidRPr="003C0F94">
        <w:rPr>
          <w:rFonts w:eastAsia="Times New Roman" w:cs="Arial"/>
          <w:color w:val="000000"/>
          <w:szCs w:val="20"/>
          <w:lang w:val="en-US"/>
        </w:rPr>
        <w:t>AX</w:t>
      </w:r>
      <w:r w:rsidRPr="003C0F94">
        <w:rPr>
          <w:rFonts w:eastAsia="Times New Roman" w:cs="Arial"/>
          <w:color w:val="000000"/>
          <w:szCs w:val="20"/>
          <w:lang w:val="ru-RU"/>
        </w:rPr>
        <w:t>21.</w:t>
      </w:r>
    </w:p>
    <w:p w14:paraId="2F59C01F" w14:textId="77777777" w:rsidR="003C0F94" w:rsidRPr="003C0F94" w:rsidRDefault="003C0F94" w:rsidP="003C0F94">
      <w:pPr>
        <w:spacing w:line="240" w:lineRule="auto"/>
        <w:rPr>
          <w:rFonts w:eastAsia="Times New Roman" w:cs="Arial"/>
          <w:color w:val="000000"/>
          <w:szCs w:val="20"/>
          <w:u w:val="single"/>
          <w:lang w:eastAsia="bg-BG"/>
        </w:rPr>
      </w:pPr>
    </w:p>
    <w:p w14:paraId="78F0A135" w14:textId="0F1EE592"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Механизъм на действие</w:t>
      </w:r>
    </w:p>
    <w:p w14:paraId="42656B02"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е комбиниран инхибитор на обратното захващане на серотонина (5-НТ) и норадреналина </w:t>
      </w:r>
      <w:r w:rsidRPr="003C0F94">
        <w:rPr>
          <w:rFonts w:eastAsia="Times New Roman" w:cs="Arial"/>
          <w:color w:val="000000"/>
          <w:szCs w:val="20"/>
          <w:lang w:val="ru-RU"/>
        </w:rPr>
        <w:t>(</w:t>
      </w:r>
      <w:r w:rsidRPr="003C0F94">
        <w:rPr>
          <w:rFonts w:eastAsia="Times New Roman" w:cs="Arial"/>
          <w:color w:val="000000"/>
          <w:szCs w:val="20"/>
          <w:lang w:val="en-US"/>
        </w:rPr>
        <w:t>NA</w:t>
      </w:r>
      <w:r w:rsidRPr="003C0F94">
        <w:rPr>
          <w:rFonts w:eastAsia="Times New Roman" w:cs="Arial"/>
          <w:color w:val="000000"/>
          <w:szCs w:val="20"/>
          <w:lang w:val="ru-RU"/>
        </w:rPr>
        <w:t xml:space="preserve">). </w:t>
      </w:r>
      <w:r w:rsidRPr="003C0F94">
        <w:rPr>
          <w:rFonts w:eastAsia="Times New Roman" w:cs="Arial"/>
          <w:color w:val="000000"/>
          <w:szCs w:val="20"/>
          <w:lang w:eastAsia="bg-BG"/>
        </w:rPr>
        <w:t>Той инхибира в малка степен обратното захващане на допамина, без значим афинитет към хистаминергичните, допаминергични, холинергични и адренергични рецептори. Дулоксетин дозозависимо повишава екстрацелуларните нива на серотонина и норнорадреналин в различни мозъчни области при животни.</w:t>
      </w:r>
    </w:p>
    <w:p w14:paraId="37D14D63" w14:textId="77777777" w:rsidR="003C0F94" w:rsidRPr="003C0F94" w:rsidRDefault="003C0F94" w:rsidP="003C0F94">
      <w:pPr>
        <w:spacing w:line="240" w:lineRule="auto"/>
        <w:rPr>
          <w:rFonts w:eastAsia="Times New Roman" w:cs="Arial"/>
          <w:color w:val="000000"/>
          <w:szCs w:val="20"/>
          <w:u w:val="single"/>
          <w:lang w:eastAsia="bg-BG"/>
        </w:rPr>
      </w:pPr>
    </w:p>
    <w:p w14:paraId="47C71633" w14:textId="212C33F0"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Фармакодинамични ефекти</w:t>
      </w:r>
    </w:p>
    <w:p w14:paraId="3BAB80A3"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5C5A18E5" w14:textId="77777777" w:rsidR="003C0F94" w:rsidRPr="003C0F94" w:rsidRDefault="003C0F94" w:rsidP="003C0F94">
      <w:pPr>
        <w:spacing w:line="240" w:lineRule="auto"/>
        <w:rPr>
          <w:rFonts w:eastAsia="Times New Roman" w:cs="Arial"/>
          <w:color w:val="000000"/>
          <w:szCs w:val="20"/>
          <w:u w:val="single"/>
          <w:lang w:eastAsia="bg-BG"/>
        </w:rPr>
      </w:pPr>
    </w:p>
    <w:p w14:paraId="3D72CC73" w14:textId="7392A894"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Клинична ефикасност и безопасност</w:t>
      </w:r>
    </w:p>
    <w:p w14:paraId="6BD366E2" w14:textId="77777777" w:rsidR="003C0F94" w:rsidRPr="003C0F94" w:rsidRDefault="003C0F94" w:rsidP="003C0F94">
      <w:pPr>
        <w:spacing w:line="240" w:lineRule="auto"/>
        <w:rPr>
          <w:rFonts w:eastAsia="Times New Roman" w:cs="Arial"/>
          <w:i/>
          <w:iCs/>
          <w:color w:val="000000"/>
          <w:szCs w:val="20"/>
          <w:lang w:eastAsia="bg-BG"/>
        </w:rPr>
      </w:pPr>
    </w:p>
    <w:p w14:paraId="781A2C71" w14:textId="0779EF06"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Голямо депресивно разстройство</w:t>
      </w:r>
    </w:p>
    <w:p w14:paraId="1F27F4F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е проучван в клинични програми, включващи 3 158 пациенти (експозиция от 1 285 пациенто-години), отговарящи на </w:t>
      </w:r>
      <w:r w:rsidRPr="003C0F94">
        <w:rPr>
          <w:rFonts w:eastAsia="Times New Roman" w:cs="Arial"/>
          <w:color w:val="000000"/>
          <w:szCs w:val="20"/>
          <w:lang w:val="en-US"/>
        </w:rPr>
        <w:t>DMS</w:t>
      </w:r>
      <w:r w:rsidRPr="003C0F94">
        <w:rPr>
          <w:rFonts w:eastAsia="Times New Roman" w:cs="Arial"/>
          <w:color w:val="000000"/>
          <w:szCs w:val="20"/>
          <w:lang w:val="ru-RU"/>
        </w:rPr>
        <w:t>-</w:t>
      </w:r>
      <w:r w:rsidRPr="003C0F94">
        <w:rPr>
          <w:rFonts w:eastAsia="Times New Roman" w:cs="Arial"/>
          <w:color w:val="000000"/>
          <w:szCs w:val="20"/>
          <w:lang w:val="en-US"/>
        </w:rPr>
        <w:t>IV</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критериите за голяма депресия. Ефикасността на дулоксетин при препоръчителна дневна доза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е показана в три от трите рандомизирани, двойно-слепи, плацебо-контролирани, с фиксирана доза проучвания в остра фаза при възрастни амбулаторни пациенти с голямо депресивно разстройство. Като цяло, ефикасността на дулоксетин е демонстрирана при дневна доза между 60 и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 общо пет от седемте рандомизирани, двойно-слепи, плацебо-контролирани, с фиксирана доза проучвания в остра фаза при възрастни амбулаторни пациенти с голямо депресивно разстройство.</w:t>
      </w:r>
    </w:p>
    <w:p w14:paraId="06370159" w14:textId="281EE4AA"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 xml:space="preserve">Дулоксетин е показал статистически действително предимство спрямо плацебо, проследено чрез подобрение на общия резултат по 17-точковата Скала на Хамилтън за оценка на депресията </w:t>
      </w:r>
      <w:r w:rsidRPr="003C0F94">
        <w:rPr>
          <w:rFonts w:eastAsia="Times New Roman" w:cs="Arial"/>
          <w:color w:val="000000"/>
          <w:szCs w:val="20"/>
          <w:lang w:val="ru-RU"/>
        </w:rPr>
        <w:t>(</w:t>
      </w:r>
      <w:r w:rsidRPr="003C0F94">
        <w:rPr>
          <w:rFonts w:eastAsia="Times New Roman" w:cs="Arial"/>
          <w:color w:val="000000"/>
          <w:szCs w:val="20"/>
          <w:lang w:val="en-US"/>
        </w:rPr>
        <w:t>Hamilton</w:t>
      </w:r>
      <w:r w:rsidRPr="003C0F94">
        <w:rPr>
          <w:rFonts w:eastAsia="Times New Roman" w:cs="Arial"/>
          <w:color w:val="000000"/>
          <w:szCs w:val="20"/>
          <w:lang w:val="ru-RU"/>
        </w:rPr>
        <w:t xml:space="preserve"> </w:t>
      </w:r>
      <w:r w:rsidRPr="003C0F94">
        <w:rPr>
          <w:rFonts w:eastAsia="Times New Roman" w:cs="Arial"/>
          <w:color w:val="000000"/>
          <w:szCs w:val="20"/>
          <w:lang w:val="en-US"/>
        </w:rPr>
        <w:t>Depression</w:t>
      </w:r>
      <w:r w:rsidRPr="003C0F94">
        <w:rPr>
          <w:rFonts w:eastAsia="Times New Roman" w:cs="Arial"/>
          <w:color w:val="000000"/>
          <w:szCs w:val="20"/>
          <w:lang w:val="ru-RU"/>
        </w:rPr>
        <w:t xml:space="preserve"> </w:t>
      </w:r>
      <w:r w:rsidRPr="003C0F94">
        <w:rPr>
          <w:rFonts w:eastAsia="Times New Roman" w:cs="Arial"/>
          <w:color w:val="000000"/>
          <w:szCs w:val="20"/>
          <w:lang w:val="en-US"/>
        </w:rPr>
        <w:t>Rating</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 xml:space="preserve">, </w:t>
      </w:r>
      <w:r w:rsidRPr="003C0F94">
        <w:rPr>
          <w:rFonts w:eastAsia="Times New Roman" w:cs="Arial"/>
          <w:color w:val="000000"/>
          <w:szCs w:val="20"/>
          <w:lang w:val="en-US"/>
        </w:rPr>
        <w:t>HAM</w:t>
      </w:r>
      <w:r w:rsidRPr="003C0F94">
        <w:rPr>
          <w:rFonts w:eastAsia="Times New Roman" w:cs="Arial"/>
          <w:color w:val="000000"/>
          <w:szCs w:val="20"/>
          <w:lang w:val="ru-RU"/>
        </w:rPr>
        <w:t>-</w:t>
      </w:r>
      <w:r w:rsidRPr="003C0F94">
        <w:rPr>
          <w:rFonts w:eastAsia="Times New Roman" w:cs="Arial"/>
          <w:color w:val="000000"/>
          <w:szCs w:val="20"/>
          <w:lang w:val="en-US"/>
        </w:rPr>
        <w:t>D</w:t>
      </w:r>
      <w:r w:rsidRPr="003C0F94">
        <w:rPr>
          <w:rFonts w:eastAsia="Times New Roman" w:cs="Arial"/>
          <w:color w:val="000000"/>
          <w:szCs w:val="20"/>
          <w:lang w:val="ru-RU"/>
        </w:rPr>
        <w:t xml:space="preserve">) </w:t>
      </w:r>
      <w:r w:rsidRPr="003C0F94">
        <w:rPr>
          <w:rFonts w:eastAsia="Times New Roman" w:cs="Arial"/>
          <w:color w:val="000000"/>
          <w:szCs w:val="20"/>
          <w:lang w:eastAsia="bg-BG"/>
        </w:rPr>
        <w:t>(включително и на емоционалните и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(изходен резултат по НАМ-Е&gt;25).</w:t>
      </w:r>
    </w:p>
    <w:p w14:paraId="44370B46" w14:textId="0EB85B24" w:rsidR="003C0F94" w:rsidRPr="003C0F94" w:rsidRDefault="003C0F94" w:rsidP="003C0F94">
      <w:pPr>
        <w:rPr>
          <w:rFonts w:eastAsia="Times New Roman" w:cs="Arial"/>
          <w:color w:val="000000"/>
          <w:szCs w:val="20"/>
          <w:lang w:eastAsia="bg-BG"/>
        </w:rPr>
      </w:pPr>
    </w:p>
    <w:p w14:paraId="32CE4C9B"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 xml:space="preserve">В проучване за предотвратяване на рецидив, пациентите, повлияли се от 12-седмично открито, остро лечение с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са рандомизирани или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или на плацебо в продължение на още 6 месеца. Прилагането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 сляп период на проследяване е 17% и 29%, съответно за дулоксетин и за плацебо.</w:t>
      </w:r>
    </w:p>
    <w:p w14:paraId="2F5D9A58"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По време на 52-седмичното плацебо-контролирано, двойно-сляпо лечение лекуваните с дулоксетин пациенти с рецидив на голямо депресивно разстройство имат сигнификантно по- дълъг безсимптомен период (р&lt;0,001) в сравнение с пациентите, рандомизирани на 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 По време на 52-седмичната плацебо контролирана двойно-сляпа фаза на лечение 14,4% от пациентите, лекувани с дулоксетин, и 33,1% от пациентите, лекувани с плацебо, преживяват повторна поява на симптомите си на депресия (р&lt;0,001).</w:t>
      </w:r>
    </w:p>
    <w:p w14:paraId="34F6F91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Ефектът от прилагането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при пациенти с депресия в старческа възраст (≥65 години) е оценен специфично в проучване, показващо статистически значима разлика в намаляването на </w:t>
      </w:r>
      <w:r w:rsidRPr="003C0F94">
        <w:rPr>
          <w:rFonts w:eastAsia="Times New Roman" w:cs="Arial"/>
          <w:color w:val="000000"/>
          <w:szCs w:val="20"/>
          <w:lang w:val="en-US"/>
        </w:rPr>
        <w:t>HAMD</w:t>
      </w:r>
      <w:r w:rsidRPr="003C0F94">
        <w:rPr>
          <w:rFonts w:eastAsia="Times New Roman" w:cs="Arial"/>
          <w:color w:val="000000"/>
          <w:szCs w:val="20"/>
          <w:lang w:val="ru-RU"/>
        </w:rPr>
        <w:t xml:space="preserve">17 </w:t>
      </w:r>
      <w:r w:rsidRPr="003C0F94">
        <w:rPr>
          <w:rFonts w:eastAsia="Times New Roman" w:cs="Arial"/>
          <w:color w:val="000000"/>
          <w:szCs w:val="20"/>
          <w:lang w:eastAsia="bg-BG"/>
        </w:rPr>
        <w:t xml:space="preserve">резултата за пациентите, лекувани с дулоксетин, в сравнение с плацебо. Поносимостта на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в старческа възраст, изложени на максималната доза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 са ограничени и затова се препоръчва повишено внимание при лечение на тази популация.</w:t>
      </w:r>
    </w:p>
    <w:p w14:paraId="439EBF2B" w14:textId="77777777" w:rsidR="003C0F94" w:rsidRPr="003C0F94" w:rsidRDefault="003C0F94" w:rsidP="003C0F94">
      <w:pPr>
        <w:spacing w:line="240" w:lineRule="auto"/>
        <w:rPr>
          <w:rFonts w:eastAsia="Times New Roman" w:cs="Arial"/>
          <w:i/>
          <w:iCs/>
          <w:color w:val="000000"/>
          <w:szCs w:val="20"/>
          <w:lang w:eastAsia="bg-BG"/>
        </w:rPr>
      </w:pPr>
    </w:p>
    <w:p w14:paraId="01BF8A88" w14:textId="5EB79367"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Генерализирано тревожно разстройство</w:t>
      </w:r>
    </w:p>
    <w:p w14:paraId="2C323157"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е показал статистически значимо предимство спрямо плацебо при пет от пет проучвания, включващи четири рандомизирани, двойно-слепи, плацебо-контролирани остри проучвания и проучване за профилактика на рецидив при възрастни с генерализирано тревожно разстройство.</w:t>
      </w:r>
    </w:p>
    <w:p w14:paraId="1C9B9759"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е показал статистически значимо предимство спрямо плацебо, измерено чрез подобрение на общия скор по скалата за тревожност на Хамилтьн </w:t>
      </w:r>
      <w:r w:rsidRPr="003C0F94">
        <w:rPr>
          <w:rFonts w:eastAsia="Times New Roman" w:cs="Arial"/>
          <w:color w:val="000000"/>
          <w:szCs w:val="20"/>
          <w:lang w:val="ru-RU"/>
        </w:rPr>
        <w:t>(</w:t>
      </w:r>
      <w:r w:rsidRPr="003C0F94">
        <w:rPr>
          <w:rFonts w:eastAsia="Times New Roman" w:cs="Arial"/>
          <w:color w:val="000000"/>
          <w:szCs w:val="20"/>
          <w:lang w:val="en-US"/>
        </w:rPr>
        <w:t>Hamilton</w:t>
      </w:r>
      <w:r w:rsidRPr="003C0F94">
        <w:rPr>
          <w:rFonts w:eastAsia="Times New Roman" w:cs="Arial"/>
          <w:color w:val="000000"/>
          <w:szCs w:val="20"/>
          <w:lang w:val="ru-RU"/>
        </w:rPr>
        <w:t xml:space="preserve"> </w:t>
      </w:r>
      <w:r w:rsidRPr="003C0F94">
        <w:rPr>
          <w:rFonts w:eastAsia="Times New Roman" w:cs="Arial"/>
          <w:color w:val="000000"/>
          <w:szCs w:val="20"/>
          <w:lang w:val="en-US"/>
        </w:rPr>
        <w:t>Anxiety</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НАМ-А) и скора за общо функционално разстройство по скалата за инвалидност на Шийхан </w:t>
      </w:r>
      <w:r w:rsidRPr="003C0F94">
        <w:rPr>
          <w:rFonts w:eastAsia="Times New Roman" w:cs="Arial"/>
          <w:color w:val="000000"/>
          <w:szCs w:val="20"/>
          <w:lang w:val="ru-RU"/>
        </w:rPr>
        <w:t>(</w:t>
      </w:r>
      <w:r w:rsidRPr="003C0F94">
        <w:rPr>
          <w:rFonts w:eastAsia="Times New Roman" w:cs="Arial"/>
          <w:color w:val="000000"/>
          <w:szCs w:val="20"/>
          <w:lang w:val="en-US"/>
        </w:rPr>
        <w:t>Sheehan</w:t>
      </w:r>
      <w:r w:rsidRPr="003C0F94">
        <w:rPr>
          <w:rFonts w:eastAsia="Times New Roman" w:cs="Arial"/>
          <w:color w:val="000000"/>
          <w:szCs w:val="20"/>
          <w:lang w:val="ru-RU"/>
        </w:rPr>
        <w:t xml:space="preserve"> </w:t>
      </w:r>
      <w:r w:rsidRPr="003C0F94">
        <w:rPr>
          <w:rFonts w:eastAsia="Times New Roman" w:cs="Arial"/>
          <w:color w:val="000000"/>
          <w:szCs w:val="20"/>
          <w:lang w:val="en-US"/>
        </w:rPr>
        <w:t>Disability</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 xml:space="preserve">, </w:t>
      </w:r>
      <w:r w:rsidRPr="003C0F94">
        <w:rPr>
          <w:rFonts w:eastAsia="Times New Roman" w:cs="Arial"/>
          <w:color w:val="000000"/>
          <w:szCs w:val="20"/>
          <w:lang w:val="en-US"/>
        </w:rPr>
        <w:t>SDS</w:t>
      </w:r>
      <w:r w:rsidRPr="003C0F94">
        <w:rPr>
          <w:rFonts w:eastAsia="Times New Roman" w:cs="Arial"/>
          <w:color w:val="000000"/>
          <w:szCs w:val="20"/>
          <w:lang w:val="ru-RU"/>
        </w:rPr>
        <w:t xml:space="preserve">). </w:t>
      </w:r>
      <w:r w:rsidRPr="003C0F94">
        <w:rPr>
          <w:rFonts w:eastAsia="Times New Roman" w:cs="Arial"/>
          <w:color w:val="000000"/>
          <w:szCs w:val="20"/>
          <w:lang w:eastAsia="bg-BG"/>
        </w:rPr>
        <w:t>Степените на повлияване и ремисия са също по-високи при дулоксетин, в сравнение с плацебо. Дулоксетин е показал сравними резултати за ефикасност с тези на венлафаксин от гледна точка подобрение на общия скор по НАМ-А.</w:t>
      </w:r>
    </w:p>
    <w:p w14:paraId="1809F96A"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следващите 6 месеца.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е показал статистически значимо предимство в сравнение с плацебо (р&lt;0,001)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 Ефикасността на дулоксетин 30-120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резултат за НАМ-А за пациентите, лекувани с дулоксетин, в сравнение с пациентите, получаващи плацебо. Ефикасността и безопасността на дулоксетин 30-120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w:t>
      </w:r>
      <w:r w:rsidRPr="003C0F94">
        <w:rPr>
          <w:rFonts w:eastAsia="Times New Roman" w:cs="Arial"/>
          <w:color w:val="000000"/>
          <w:szCs w:val="20"/>
          <w:lang w:eastAsia="bg-BG"/>
        </w:rPr>
        <w:lastRenderedPageBreak/>
        <w:t xml:space="preserve">изложени на максималната доза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 са ограничени и поради това се препоръчва повишено внимание при използването на тази доза при популацията в старческа възраст.</w:t>
      </w:r>
    </w:p>
    <w:p w14:paraId="1987FAF0" w14:textId="77777777" w:rsidR="003C0F94" w:rsidRPr="003C0F94" w:rsidRDefault="003C0F94" w:rsidP="003C0F94">
      <w:pPr>
        <w:spacing w:line="240" w:lineRule="auto"/>
        <w:rPr>
          <w:rFonts w:eastAsia="Times New Roman" w:cs="Arial"/>
          <w:i/>
          <w:iCs/>
          <w:color w:val="000000"/>
          <w:szCs w:val="20"/>
          <w:lang w:eastAsia="bg-BG"/>
        </w:rPr>
      </w:pPr>
    </w:p>
    <w:p w14:paraId="51B2274E" w14:textId="3C18ABEA"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Диабетна периферна невропатна болка</w:t>
      </w:r>
    </w:p>
    <w:p w14:paraId="259BD0E5" w14:textId="77777777" w:rsidR="003C0F94" w:rsidRPr="003C0F94" w:rsidRDefault="003C0F94" w:rsidP="003C0F94">
      <w:pPr>
        <w:rPr>
          <w:rFonts w:eastAsia="Times New Roman" w:cs="Arial"/>
          <w:sz w:val="28"/>
          <w:szCs w:val="24"/>
        </w:rPr>
      </w:pPr>
      <w:r w:rsidRPr="003C0F94">
        <w:rPr>
          <w:rFonts w:eastAsia="Times New Roman" w:cs="Arial"/>
          <w:color w:val="000000"/>
          <w:szCs w:val="20"/>
          <w:lang w:eastAsia="bg-BG"/>
        </w:rPr>
        <w:t xml:space="preserve">Ефикасността на дулоксетин за лечение на диабетна невропатна болка е установена в 2 рандомизирани, 12-седмични, двойно-слепи, плацебо-контролирани, с фиксирана доза проучвания при възрастни (на възраст 22-88 години)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3C0F94">
        <w:rPr>
          <w:rFonts w:eastAsia="Times New Roman" w:cs="Arial"/>
          <w:color w:val="000000"/>
          <w:szCs w:val="20"/>
          <w:lang w:val="en-US"/>
        </w:rPr>
        <w:t>Likert</w:t>
      </w:r>
      <w:r w:rsidRPr="003C0F94">
        <w:rPr>
          <w:rFonts w:eastAsia="Times New Roman" w:cs="Arial"/>
          <w:color w:val="000000"/>
          <w:szCs w:val="20"/>
          <w:lang w:val="ru-RU"/>
        </w:rPr>
        <w:t>.</w:t>
      </w:r>
    </w:p>
    <w:p w14:paraId="65A999A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В двете проучвания,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и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дулоксетин пациенти спрямо 40% при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наблюдаван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 непроявяващи редукция на болката от 30% в рамките на 60 дни лечение, е малко вероятно да достигнат това ниво при по-нататъшно лечение.</w:t>
      </w:r>
    </w:p>
    <w:p w14:paraId="3679CD21"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еднократно дневно, се запазва в продължение на още 6 месеца, както е оценено с промяната по Краткия въпросник за оценка на болката </w:t>
      </w:r>
      <w:r w:rsidRPr="003C0F94">
        <w:rPr>
          <w:rFonts w:eastAsia="Times New Roman" w:cs="Arial"/>
          <w:color w:val="000000"/>
          <w:szCs w:val="20"/>
          <w:lang w:val="ru-RU"/>
        </w:rPr>
        <w:t>(</w:t>
      </w:r>
      <w:r w:rsidRPr="003C0F94">
        <w:rPr>
          <w:rFonts w:eastAsia="Times New Roman" w:cs="Arial"/>
          <w:color w:val="000000"/>
          <w:szCs w:val="20"/>
          <w:lang w:val="en-US"/>
        </w:rPr>
        <w:t>Brief</w:t>
      </w:r>
      <w:r w:rsidRPr="003C0F94">
        <w:rPr>
          <w:rFonts w:eastAsia="Times New Roman" w:cs="Arial"/>
          <w:color w:val="000000"/>
          <w:szCs w:val="20"/>
          <w:lang w:val="ru-RU"/>
        </w:rPr>
        <w:t xml:space="preserve"> </w:t>
      </w:r>
      <w:r w:rsidRPr="003C0F94">
        <w:rPr>
          <w:rFonts w:eastAsia="Times New Roman" w:cs="Arial"/>
          <w:color w:val="000000"/>
          <w:szCs w:val="20"/>
          <w:lang w:val="en-US"/>
        </w:rPr>
        <w:t>Pain</w:t>
      </w:r>
      <w:r w:rsidRPr="003C0F94">
        <w:rPr>
          <w:rFonts w:eastAsia="Times New Roman" w:cs="Arial"/>
          <w:color w:val="000000"/>
          <w:szCs w:val="20"/>
          <w:lang w:val="ru-RU"/>
        </w:rPr>
        <w:t xml:space="preserve"> </w:t>
      </w:r>
      <w:r w:rsidRPr="003C0F94">
        <w:rPr>
          <w:rFonts w:eastAsia="Times New Roman" w:cs="Arial"/>
          <w:color w:val="000000"/>
          <w:szCs w:val="20"/>
          <w:lang w:val="en-US"/>
        </w:rPr>
        <w:t>Inventory</w:t>
      </w:r>
      <w:r w:rsidRPr="003C0F94">
        <w:rPr>
          <w:rFonts w:eastAsia="Times New Roman" w:cs="Arial"/>
          <w:color w:val="000000"/>
          <w:szCs w:val="20"/>
          <w:lang w:val="ru-RU"/>
        </w:rPr>
        <w:t xml:space="preserve">, </w:t>
      </w:r>
      <w:r w:rsidRPr="003C0F94">
        <w:rPr>
          <w:rFonts w:eastAsia="Times New Roman" w:cs="Arial"/>
          <w:color w:val="000000"/>
          <w:szCs w:val="20"/>
          <w:lang w:val="en-US"/>
        </w:rPr>
        <w:t>BPI</w:t>
      </w:r>
      <w:r w:rsidRPr="003C0F94">
        <w:rPr>
          <w:rFonts w:eastAsia="Times New Roman" w:cs="Arial"/>
          <w:color w:val="000000"/>
          <w:szCs w:val="20"/>
          <w:lang w:val="ru-RU"/>
        </w:rPr>
        <w:t xml:space="preserve">) </w:t>
      </w:r>
      <w:r w:rsidRPr="003C0F94">
        <w:rPr>
          <w:rFonts w:eastAsia="Times New Roman" w:cs="Arial"/>
          <w:color w:val="000000"/>
          <w:szCs w:val="20"/>
          <w:lang w:eastAsia="bg-BG"/>
        </w:rPr>
        <w:t>на 24-часовия среден резултат за болка.</w:t>
      </w:r>
    </w:p>
    <w:p w14:paraId="66A0B68F" w14:textId="77777777" w:rsidR="003C0F94" w:rsidRPr="003C0F94" w:rsidRDefault="003C0F94" w:rsidP="003C0F94">
      <w:pPr>
        <w:spacing w:line="240" w:lineRule="auto"/>
        <w:rPr>
          <w:rFonts w:eastAsia="Times New Roman" w:cs="Arial"/>
          <w:color w:val="000000"/>
          <w:szCs w:val="20"/>
          <w:u w:val="single"/>
          <w:lang w:eastAsia="bg-BG"/>
        </w:rPr>
      </w:pPr>
    </w:p>
    <w:p w14:paraId="79BF3CCF" w14:textId="07B93130"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u w:val="single"/>
          <w:lang w:eastAsia="bg-BG"/>
        </w:rPr>
        <w:t>Педиатрична популация</w:t>
      </w:r>
    </w:p>
    <w:p w14:paraId="388CB887"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не е изследван при пациенти под 7-годишна възраст.</w:t>
      </w:r>
    </w:p>
    <w:p w14:paraId="11FDA4D3" w14:textId="77777777" w:rsidR="003C0F94" w:rsidRPr="003C0F94" w:rsidRDefault="003C0F94" w:rsidP="003C0F94">
      <w:pPr>
        <w:spacing w:line="240" w:lineRule="auto"/>
        <w:rPr>
          <w:rFonts w:eastAsia="Times New Roman" w:cs="Arial"/>
          <w:color w:val="000000"/>
          <w:szCs w:val="20"/>
          <w:lang w:eastAsia="bg-BG"/>
        </w:rPr>
      </w:pPr>
    </w:p>
    <w:p w14:paraId="098FD91B" w14:textId="3E8867A9"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 контролирана (с флуоксетин) остра фаза, последвана от шестмесечен период на продължение на активно контролирано лечение. Нито групата, лекувана с дулоксетин (30-120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нито групата с активна контрола (флуоксетин 20-40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статистически се различават от плацебо по отношение на промяната в общите резултати по Ревизираната скала за оценка на депресията при деца </w:t>
      </w:r>
      <w:r w:rsidRPr="003C0F94">
        <w:rPr>
          <w:rFonts w:eastAsia="Times New Roman" w:cs="Arial"/>
          <w:color w:val="000000"/>
          <w:szCs w:val="20"/>
          <w:lang w:val="ru-RU"/>
        </w:rPr>
        <w:t>(</w:t>
      </w:r>
      <w:r w:rsidRPr="003C0F94">
        <w:rPr>
          <w:rFonts w:eastAsia="Times New Roman" w:cs="Arial"/>
          <w:color w:val="000000"/>
          <w:szCs w:val="20"/>
          <w:lang w:val="en-US"/>
        </w:rPr>
        <w:t>Children</w:t>
      </w:r>
      <w:r w:rsidRPr="003C0F94">
        <w:rPr>
          <w:rFonts w:eastAsia="Times New Roman" w:cs="Arial"/>
          <w:color w:val="000000"/>
          <w:szCs w:val="20"/>
          <w:lang w:val="ru-RU"/>
        </w:rPr>
        <w:t>'</w:t>
      </w:r>
      <w:r w:rsidRPr="003C0F94">
        <w:rPr>
          <w:rFonts w:eastAsia="Times New Roman" w:cs="Arial"/>
          <w:color w:val="000000"/>
          <w:szCs w:val="20"/>
          <w:lang w:val="en-US"/>
        </w:rPr>
        <w:t>s</w:t>
      </w:r>
      <w:r w:rsidRPr="003C0F94">
        <w:rPr>
          <w:rFonts w:eastAsia="Times New Roman" w:cs="Arial"/>
          <w:color w:val="000000"/>
          <w:szCs w:val="20"/>
          <w:lang w:val="ru-RU"/>
        </w:rPr>
        <w:t xml:space="preserve"> </w:t>
      </w:r>
      <w:r w:rsidRPr="003C0F94">
        <w:rPr>
          <w:rFonts w:eastAsia="Times New Roman" w:cs="Arial"/>
          <w:color w:val="000000"/>
          <w:szCs w:val="20"/>
          <w:lang w:val="en-US"/>
        </w:rPr>
        <w:t>Depression</w:t>
      </w:r>
      <w:r w:rsidRPr="003C0F94">
        <w:rPr>
          <w:rFonts w:eastAsia="Times New Roman" w:cs="Arial"/>
          <w:color w:val="000000"/>
          <w:szCs w:val="20"/>
          <w:lang w:val="ru-RU"/>
        </w:rPr>
        <w:t xml:space="preserve"> </w:t>
      </w:r>
      <w:r w:rsidRPr="003C0F94">
        <w:rPr>
          <w:rFonts w:eastAsia="Times New Roman" w:cs="Arial"/>
          <w:color w:val="000000"/>
          <w:szCs w:val="20"/>
          <w:lang w:val="en-US"/>
        </w:rPr>
        <w:t>Rating</w:t>
      </w:r>
      <w:r w:rsidRPr="003C0F94">
        <w:rPr>
          <w:rFonts w:eastAsia="Times New Roman" w:cs="Arial"/>
          <w:color w:val="000000"/>
          <w:szCs w:val="20"/>
          <w:lang w:val="ru-RU"/>
        </w:rPr>
        <w:t xml:space="preserve"> </w:t>
      </w:r>
      <w:r w:rsidRPr="003C0F94">
        <w:rPr>
          <w:rFonts w:eastAsia="Times New Roman" w:cs="Arial"/>
          <w:color w:val="000000"/>
          <w:szCs w:val="20"/>
          <w:lang w:val="en-US"/>
        </w:rPr>
        <w:t>Scale</w:t>
      </w:r>
      <w:r w:rsidRPr="003C0F94">
        <w:rPr>
          <w:rFonts w:eastAsia="Times New Roman" w:cs="Arial"/>
          <w:color w:val="000000"/>
          <w:szCs w:val="20"/>
          <w:lang w:val="ru-RU"/>
        </w:rPr>
        <w:t>-</w:t>
      </w:r>
      <w:r w:rsidRPr="003C0F94">
        <w:rPr>
          <w:rFonts w:eastAsia="Times New Roman" w:cs="Arial"/>
          <w:color w:val="000000"/>
          <w:szCs w:val="20"/>
          <w:lang w:val="en-US"/>
        </w:rPr>
        <w:t>Revised</w:t>
      </w:r>
      <w:r w:rsidRPr="003C0F94">
        <w:rPr>
          <w:rFonts w:eastAsia="Times New Roman" w:cs="Arial"/>
          <w:color w:val="000000"/>
          <w:szCs w:val="20"/>
          <w:lang w:val="ru-RU"/>
        </w:rPr>
        <w:t xml:space="preserve">, </w:t>
      </w:r>
      <w:r w:rsidRPr="003C0F94">
        <w:rPr>
          <w:rFonts w:eastAsia="Times New Roman" w:cs="Arial"/>
          <w:color w:val="000000"/>
          <w:szCs w:val="20"/>
          <w:lang w:val="en-US"/>
        </w:rPr>
        <w:t>CDRS</w:t>
      </w:r>
      <w:r w:rsidRPr="003C0F94">
        <w:rPr>
          <w:rFonts w:eastAsia="Times New Roman" w:cs="Arial"/>
          <w:color w:val="000000"/>
          <w:szCs w:val="20"/>
          <w:lang w:val="ru-RU"/>
        </w:rPr>
        <w:t>-</w:t>
      </w:r>
      <w:r w:rsidRPr="003C0F94">
        <w:rPr>
          <w:rFonts w:eastAsia="Times New Roman" w:cs="Arial"/>
          <w:color w:val="000000"/>
          <w:szCs w:val="20"/>
          <w:lang w:val="en-US"/>
        </w:rPr>
        <w:t>R</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от изходното ниво до крайната цел.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През целия 36- седмичен период на изследването, 6 от 333 пациенти, които първоначално са рандомизирани да получават дулоксетин, и 3 от 225 пациенти, които първоначално са </w:t>
      </w:r>
      <w:r w:rsidRPr="003C0F94">
        <w:rPr>
          <w:rFonts w:eastAsia="Times New Roman" w:cs="Arial"/>
          <w:color w:val="000000"/>
          <w:szCs w:val="20"/>
          <w:lang w:eastAsia="bg-BG"/>
        </w:rPr>
        <w:lastRenderedPageBreak/>
        <w:t>рандомизирани да получават флуоксетин, проявяват суицидно поведение (коригираната според експозицията честота на суицидно поведение е 0,039 събития на пациент за година при дулоксетин и 0,026 при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4E4EDD9D" w14:textId="77777777" w:rsidR="003C0F94" w:rsidRPr="003C0F94" w:rsidRDefault="003C0F94" w:rsidP="003C0F94">
      <w:pPr>
        <w:rPr>
          <w:rFonts w:eastAsia="Times New Roman" w:cs="Arial"/>
          <w:color w:val="000000"/>
          <w:szCs w:val="20"/>
          <w:lang w:eastAsia="bg-BG"/>
        </w:rPr>
      </w:pPr>
    </w:p>
    <w:p w14:paraId="3FDA934D" w14:textId="77777777" w:rsidR="003C0F94" w:rsidRPr="003C0F94" w:rsidRDefault="003C0F94" w:rsidP="003C0F94">
      <w:pPr>
        <w:rPr>
          <w:rFonts w:eastAsia="Times New Roman" w:cs="Arial"/>
          <w:sz w:val="28"/>
          <w:szCs w:val="24"/>
        </w:rPr>
      </w:pPr>
      <w:r w:rsidRPr="003C0F94">
        <w:rPr>
          <w:rFonts w:eastAsia="Times New Roman" w:cs="Arial"/>
          <w:color w:val="000000"/>
          <w:szCs w:val="20"/>
          <w:lang w:eastAsia="bg-BG"/>
        </w:rPr>
        <w:t xml:space="preserve">Проведено е рандомизирано, двойно-сляпо, плацебо-контролирано проучване при 272 пациенти от педиатричната популация на възраст 7-17 години с генерализирано тревожно разстройство. Проучването включва 10-седмична плацебо контролирана остра фаза, последвана от 18- 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до по-високи дози (максимум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веднъж дневно). Лечението с дулоксетин показва статистически значимо по-голямо подобрение на симптомите на генерализирано тревожно разстройство чрез </w:t>
      </w:r>
      <w:r w:rsidRPr="003C0F94">
        <w:rPr>
          <w:rFonts w:eastAsia="Times New Roman" w:cs="Arial"/>
          <w:color w:val="000000"/>
          <w:szCs w:val="20"/>
          <w:lang w:val="en-US"/>
        </w:rPr>
        <w:t>PARS</w:t>
      </w:r>
      <w:r w:rsidRPr="003C0F94">
        <w:rPr>
          <w:rFonts w:eastAsia="Times New Roman" w:cs="Arial"/>
          <w:color w:val="000000"/>
          <w:szCs w:val="20"/>
          <w:lang w:val="ru-RU"/>
        </w:rPr>
        <w:t xml:space="preserve"> </w:t>
      </w:r>
      <w:r w:rsidRPr="003C0F94">
        <w:rPr>
          <w:rFonts w:eastAsia="Times New Roman" w:cs="Arial"/>
          <w:color w:val="000000"/>
          <w:szCs w:val="20"/>
          <w:lang w:eastAsia="bg-BG"/>
        </w:rPr>
        <w:t>(средна разлика между дулоксетин и плацебо 2,7 точки [95% ДИ 1,5- 4,0]), след 10 седмици на лечение. Поддържане на ефекта не е оценявано. Няма статистически</w:t>
      </w:r>
      <w:r w:rsidRPr="003C0F94">
        <w:rPr>
          <w:rFonts w:eastAsia="Times New Roman" w:cs="Arial"/>
          <w:b/>
          <w:bCs/>
          <w:color w:val="000000"/>
          <w:szCs w:val="20"/>
          <w:vertAlign w:val="superscript"/>
          <w:lang w:eastAsia="bg-BG"/>
        </w:rPr>
        <w:t xml:space="preserve"> </w:t>
      </w:r>
      <w:r w:rsidRPr="003C0F94">
        <w:rPr>
          <w:rFonts w:eastAsia="Times New Roman" w:cs="Arial"/>
          <w:color w:val="000000"/>
          <w:szCs w:val="20"/>
          <w:lang w:eastAsia="bg-BG"/>
        </w:rPr>
        <w:t>значима разлика в прекъсването на проучването поради нежелани събития между групите с дулоксетин и плацебо в течение на 10-седмичната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52BB8D49" w14:textId="77777777" w:rsidR="003C0F94" w:rsidRPr="003C0F94" w:rsidRDefault="003C0F94" w:rsidP="003C0F94">
      <w:pPr>
        <w:spacing w:line="240" w:lineRule="auto"/>
        <w:rPr>
          <w:rFonts w:eastAsia="Times New Roman" w:cs="Arial"/>
          <w:color w:val="000000"/>
          <w:szCs w:val="20"/>
          <w:lang w:eastAsia="bg-BG"/>
        </w:rPr>
      </w:pPr>
    </w:p>
    <w:p w14:paraId="3F51B4A2" w14:textId="126BF5A6"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Проведено е едно проучване при педиатрични пациенти със синдром на ювенилна първична фибромиалгия </w:t>
      </w:r>
      <w:r w:rsidRPr="003C0F94">
        <w:rPr>
          <w:rFonts w:eastAsia="Times New Roman" w:cs="Arial"/>
          <w:color w:val="000000"/>
          <w:szCs w:val="20"/>
        </w:rPr>
        <w:t>(</w:t>
      </w:r>
      <w:r w:rsidRPr="003C0F94">
        <w:rPr>
          <w:rFonts w:eastAsia="Times New Roman" w:cs="Arial"/>
          <w:color w:val="000000"/>
          <w:szCs w:val="20"/>
          <w:lang w:val="en-US"/>
        </w:rPr>
        <w:t>juvenile</w:t>
      </w:r>
      <w:r w:rsidRPr="003C0F94">
        <w:rPr>
          <w:rFonts w:eastAsia="Times New Roman" w:cs="Arial"/>
          <w:color w:val="000000"/>
          <w:szCs w:val="20"/>
        </w:rPr>
        <w:t xml:space="preserve"> </w:t>
      </w:r>
      <w:r w:rsidRPr="003C0F94">
        <w:rPr>
          <w:rFonts w:eastAsia="Times New Roman" w:cs="Arial"/>
          <w:color w:val="000000"/>
          <w:szCs w:val="20"/>
          <w:lang w:val="en-US"/>
        </w:rPr>
        <w:t>primary</w:t>
      </w:r>
      <w:r w:rsidRPr="003C0F94">
        <w:rPr>
          <w:rFonts w:eastAsia="Times New Roman" w:cs="Arial"/>
          <w:color w:val="000000"/>
          <w:szCs w:val="20"/>
        </w:rPr>
        <w:t xml:space="preserve"> </w:t>
      </w:r>
      <w:r w:rsidRPr="003C0F94">
        <w:rPr>
          <w:rFonts w:eastAsia="Times New Roman" w:cs="Arial"/>
          <w:color w:val="000000"/>
          <w:szCs w:val="20"/>
          <w:lang w:val="en-US"/>
        </w:rPr>
        <w:t>fibromyalgia</w:t>
      </w:r>
      <w:r w:rsidRPr="003C0F94">
        <w:rPr>
          <w:rFonts w:eastAsia="Times New Roman" w:cs="Arial"/>
          <w:color w:val="000000"/>
          <w:szCs w:val="20"/>
        </w:rPr>
        <w:t xml:space="preserve"> </w:t>
      </w:r>
      <w:r w:rsidRPr="003C0F94">
        <w:rPr>
          <w:rFonts w:eastAsia="Times New Roman" w:cs="Arial"/>
          <w:color w:val="000000"/>
          <w:szCs w:val="20"/>
          <w:lang w:val="en-US"/>
        </w:rPr>
        <w:t>syndrome</w:t>
      </w:r>
      <w:r w:rsidRPr="003C0F94">
        <w:rPr>
          <w:rFonts w:eastAsia="Times New Roman" w:cs="Arial"/>
          <w:color w:val="000000"/>
          <w:szCs w:val="20"/>
        </w:rPr>
        <w:t xml:space="preserve">, </w:t>
      </w:r>
      <w:r w:rsidRPr="003C0F94">
        <w:rPr>
          <w:rFonts w:eastAsia="Times New Roman" w:cs="Arial"/>
          <w:color w:val="000000"/>
          <w:szCs w:val="20"/>
          <w:lang w:val="en-US"/>
        </w:rPr>
        <w:t>JPFS</w:t>
      </w:r>
      <w:r w:rsidRPr="003C0F94">
        <w:rPr>
          <w:rFonts w:eastAsia="Times New Roman" w:cs="Arial"/>
          <w:color w:val="000000"/>
          <w:szCs w:val="20"/>
        </w:rPr>
        <w:t xml:space="preserve">), </w:t>
      </w:r>
      <w:r w:rsidRPr="003C0F94">
        <w:rPr>
          <w:rFonts w:eastAsia="Times New Roman" w:cs="Arial"/>
          <w:color w:val="000000"/>
          <w:szCs w:val="20"/>
          <w:lang w:eastAsia="bg-BG"/>
        </w:rPr>
        <w:t xml:space="preserve">в което групата, лекувана с дулоксетин, не е отделена от групата, получаваща плацебо, за оценка на измерителя за първична ефикасност. Затова липсват данни за ефикасност в тази популация педиатрични пациенти. Рандомизираното, двойно-сляпо, плацебо-контролирано, паралелно-групово проучване на дулоксетин е проведено при 184 юноши на възраст от 13 до 18 години (средна възраст - 15,53 години) с </w:t>
      </w:r>
      <w:r w:rsidRPr="003C0F94">
        <w:rPr>
          <w:rFonts w:eastAsia="Times New Roman" w:cs="Arial"/>
          <w:color w:val="000000"/>
          <w:szCs w:val="20"/>
          <w:lang w:val="en-US"/>
        </w:rPr>
        <w:t>JPFS</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Проучването включва 13-седмичен двойно-сляп период, през който пациентите са рандомизирани да получават дулоксетин 30 </w:t>
      </w:r>
      <w:r w:rsidRPr="003C0F94">
        <w:rPr>
          <w:rFonts w:eastAsia="Times New Roman" w:cs="Arial"/>
          <w:color w:val="000000"/>
          <w:szCs w:val="20"/>
          <w:lang w:val="en-US"/>
        </w:rPr>
        <w:t>mg</w:t>
      </w:r>
      <w:r w:rsidRPr="003C0F94">
        <w:rPr>
          <w:rFonts w:eastAsia="Times New Roman" w:cs="Arial"/>
          <w:color w:val="000000"/>
          <w:szCs w:val="20"/>
          <w:lang w:val="ru-RU"/>
        </w:rPr>
        <w:t xml:space="preserve">/60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или плацебо всеки ден. Дулоксетин не показва ефикасност по отношение на намаляването на болката, измерена чрез измерителя на първичния резултат на крайната точка - среден скор за болка по </w:t>
      </w:r>
      <w:r w:rsidRPr="003C0F94">
        <w:rPr>
          <w:rFonts w:eastAsia="Times New Roman" w:cs="Arial"/>
          <w:color w:val="000000"/>
          <w:szCs w:val="20"/>
          <w:lang w:val="en-US"/>
        </w:rPr>
        <w:t>Brief</w:t>
      </w:r>
      <w:r w:rsidRPr="003C0F94">
        <w:rPr>
          <w:rFonts w:eastAsia="Times New Roman" w:cs="Arial"/>
          <w:color w:val="000000"/>
          <w:szCs w:val="20"/>
          <w:lang w:val="ru-RU"/>
        </w:rPr>
        <w:t xml:space="preserve"> </w:t>
      </w:r>
      <w:r w:rsidRPr="003C0F94">
        <w:rPr>
          <w:rFonts w:eastAsia="Times New Roman" w:cs="Arial"/>
          <w:color w:val="000000"/>
          <w:szCs w:val="20"/>
          <w:lang w:val="en-US"/>
        </w:rPr>
        <w:t>Pain</w:t>
      </w:r>
      <w:r w:rsidRPr="003C0F94">
        <w:rPr>
          <w:rFonts w:eastAsia="Times New Roman" w:cs="Arial"/>
          <w:color w:val="000000"/>
          <w:szCs w:val="20"/>
          <w:lang w:val="ru-RU"/>
        </w:rPr>
        <w:t xml:space="preserve"> </w:t>
      </w:r>
      <w:r w:rsidRPr="003C0F94">
        <w:rPr>
          <w:rFonts w:eastAsia="Times New Roman" w:cs="Arial"/>
          <w:color w:val="000000"/>
          <w:szCs w:val="20"/>
          <w:lang w:val="en-US"/>
        </w:rPr>
        <w:t>Inventory</w:t>
      </w:r>
      <w:r w:rsidRPr="003C0F94">
        <w:rPr>
          <w:rFonts w:eastAsia="Times New Roman" w:cs="Arial"/>
          <w:color w:val="000000"/>
          <w:szCs w:val="20"/>
          <w:lang w:val="ru-RU"/>
        </w:rPr>
        <w:t xml:space="preserve"> (</w:t>
      </w:r>
      <w:r w:rsidRPr="003C0F94">
        <w:rPr>
          <w:rFonts w:eastAsia="Times New Roman" w:cs="Arial"/>
          <w:color w:val="000000"/>
          <w:szCs w:val="20"/>
          <w:lang w:val="en-US"/>
        </w:rPr>
        <w:t>BPI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средната промяна на най-малките квадрати </w:t>
      </w:r>
      <w:r w:rsidRPr="003C0F94">
        <w:rPr>
          <w:rFonts w:eastAsia="Times New Roman" w:cs="Arial"/>
          <w:color w:val="000000"/>
          <w:szCs w:val="20"/>
          <w:lang w:val="ru-RU"/>
        </w:rPr>
        <w:t>(</w:t>
      </w:r>
      <w:r w:rsidRPr="003C0F94">
        <w:rPr>
          <w:rFonts w:eastAsia="Times New Roman" w:cs="Arial"/>
          <w:color w:val="000000"/>
          <w:szCs w:val="20"/>
          <w:lang w:val="en-US"/>
        </w:rPr>
        <w:t>LS</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 </w:t>
      </w:r>
      <w:r w:rsidRPr="003C0F94">
        <w:rPr>
          <w:rFonts w:eastAsia="Times New Roman" w:cs="Arial"/>
          <w:color w:val="000000"/>
          <w:szCs w:val="20"/>
          <w:lang w:val="en-US"/>
        </w:rPr>
        <w:t>least</w:t>
      </w:r>
      <w:r w:rsidRPr="003C0F94">
        <w:rPr>
          <w:rFonts w:eastAsia="Times New Roman" w:cs="Arial"/>
          <w:color w:val="000000"/>
          <w:szCs w:val="20"/>
          <w:lang w:val="ru-RU"/>
        </w:rPr>
        <w:t xml:space="preserve"> </w:t>
      </w:r>
      <w:r w:rsidRPr="003C0F94">
        <w:rPr>
          <w:rFonts w:eastAsia="Times New Roman" w:cs="Arial"/>
          <w:color w:val="000000"/>
          <w:szCs w:val="20"/>
          <w:lang w:val="en-US"/>
        </w:rPr>
        <w:t>squares</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от изходната стойност на средния скор за болка по </w:t>
      </w:r>
      <w:r w:rsidRPr="003C0F94">
        <w:rPr>
          <w:rFonts w:eastAsia="Times New Roman" w:cs="Arial"/>
          <w:color w:val="000000"/>
          <w:szCs w:val="20"/>
          <w:lang w:val="en-US"/>
        </w:rPr>
        <w:t>BPI</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на 13-та седмица е -0,97 в групата, получаваща плацебо, в сравнение с -1,62 в групата, получаваща дулоксетин 30/60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(р = 0,052).</w:t>
      </w:r>
    </w:p>
    <w:p w14:paraId="3C8B8584"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Резултатите за безопасност от това проучване са в съответствие с известния профил на безопасност на дулоксетин.</w:t>
      </w:r>
    </w:p>
    <w:p w14:paraId="1DAAA8D7" w14:textId="77777777" w:rsidR="003C0F94" w:rsidRPr="003C0F94" w:rsidRDefault="003C0F94" w:rsidP="003C0F94">
      <w:pPr>
        <w:rPr>
          <w:rFonts w:eastAsia="Times New Roman" w:cs="Arial"/>
          <w:color w:val="000000"/>
          <w:szCs w:val="20"/>
          <w:lang w:eastAsia="bg-BG"/>
        </w:rPr>
      </w:pPr>
    </w:p>
    <w:p w14:paraId="518D3E55" w14:textId="371C0F3B" w:rsidR="003C0F94" w:rsidRPr="003C0F94" w:rsidRDefault="003C0F94" w:rsidP="003C0F94">
      <w:pPr>
        <w:rPr>
          <w:rFonts w:eastAsia="Times New Roman" w:cs="Arial"/>
          <w:color w:val="000000"/>
          <w:szCs w:val="20"/>
          <w:lang w:eastAsia="bg-BG"/>
        </w:rPr>
      </w:pPr>
      <w:r w:rsidRPr="003C0F94">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резултатите от проучвания с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4A812B77" w14:textId="77777777" w:rsidR="003C0F94" w:rsidRPr="003C0F94" w:rsidRDefault="003C0F94" w:rsidP="003C0F94"/>
    <w:p w14:paraId="78DD93AA" w14:textId="1959B470" w:rsidR="00B6672E" w:rsidRDefault="002C50EE" w:rsidP="00936AD0">
      <w:pPr>
        <w:pStyle w:val="Heading2"/>
      </w:pPr>
      <w:r>
        <w:t>5.2. Фармакокинетични свойства</w:t>
      </w:r>
    </w:p>
    <w:p w14:paraId="216BD946" w14:textId="417B08D4" w:rsidR="003C0F94" w:rsidRDefault="003C0F94" w:rsidP="003C0F94"/>
    <w:p w14:paraId="24601BBA"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lastRenderedPageBreak/>
        <w:t xml:space="preserve">Дулоксетин се прилага като самостоятелен енантиомер. Той се метаболизира предимно от оксидативни ензими </w:t>
      </w:r>
      <w:r w:rsidRPr="003C0F94">
        <w:rPr>
          <w:rFonts w:eastAsia="Times New Roman" w:cs="Arial"/>
          <w:color w:val="000000"/>
          <w:szCs w:val="20"/>
          <w:lang w:val="ru-RU"/>
        </w:rPr>
        <w:t>(</w:t>
      </w:r>
      <w:r w:rsidRPr="003C0F94">
        <w:rPr>
          <w:rFonts w:eastAsia="Times New Roman" w:cs="Arial"/>
          <w:color w:val="000000"/>
          <w:szCs w:val="20"/>
          <w:lang w:val="en-US"/>
        </w:rPr>
        <w:t>CYP</w:t>
      </w:r>
      <w:r w:rsidRPr="003C0F94">
        <w:rPr>
          <w:rFonts w:eastAsia="Times New Roman" w:cs="Arial"/>
          <w:color w:val="000000"/>
          <w:szCs w:val="20"/>
          <w:lang w:val="ru-RU"/>
        </w:rPr>
        <w:t>1</w:t>
      </w:r>
      <w:r w:rsidRPr="003C0F94">
        <w:rPr>
          <w:rFonts w:eastAsia="Times New Roman" w:cs="Arial"/>
          <w:color w:val="000000"/>
          <w:szCs w:val="20"/>
          <w:lang w:val="en-US"/>
        </w:rPr>
        <w:t>A</w:t>
      </w:r>
      <w:r w:rsidRPr="003C0F94">
        <w:rPr>
          <w:rFonts w:eastAsia="Times New Roman" w:cs="Arial"/>
          <w:color w:val="000000"/>
          <w:szCs w:val="20"/>
          <w:lang w:val="ru-RU"/>
        </w:rPr>
        <w:t xml:space="preserve">2 </w:t>
      </w:r>
      <w:r w:rsidRPr="003C0F94">
        <w:rPr>
          <w:rFonts w:eastAsia="Times New Roman" w:cs="Arial"/>
          <w:color w:val="000000"/>
          <w:szCs w:val="20"/>
          <w:lang w:eastAsia="bg-BG"/>
        </w:rPr>
        <w:t xml:space="preserve">и полиморфния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 xml:space="preserve">последвано от конюгиране. Фармакокинетиката на дулоксетин показва голяма вариабилност между отделните индивиди (общо 50-60%), дължаща се в известна степен на пола, възрастта, тютюнопушенето и състоянието на метаболизиращата система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6.</w:t>
      </w:r>
    </w:p>
    <w:p w14:paraId="4912CAF1" w14:textId="77777777" w:rsidR="003C0F94" w:rsidRPr="003C0F94" w:rsidRDefault="003C0F94" w:rsidP="003C0F94">
      <w:pPr>
        <w:spacing w:line="240" w:lineRule="auto"/>
        <w:rPr>
          <w:rFonts w:eastAsia="Times New Roman" w:cs="Arial"/>
          <w:color w:val="000000"/>
          <w:szCs w:val="20"/>
          <w:u w:val="single"/>
          <w:lang w:eastAsia="bg-BG"/>
        </w:rPr>
      </w:pPr>
    </w:p>
    <w:p w14:paraId="1614821E" w14:textId="6413077A" w:rsidR="003C0F94" w:rsidRPr="003C0F94" w:rsidRDefault="003C0F94" w:rsidP="003C0F94">
      <w:pPr>
        <w:pStyle w:val="Heading3"/>
        <w:rPr>
          <w:rFonts w:eastAsia="Times New Roman"/>
          <w:sz w:val="28"/>
          <w:u w:val="single"/>
        </w:rPr>
      </w:pPr>
      <w:r w:rsidRPr="003C0F94">
        <w:rPr>
          <w:rFonts w:eastAsia="Times New Roman"/>
          <w:u w:val="single"/>
          <w:lang w:eastAsia="bg-BG"/>
        </w:rPr>
        <w:t>Абсорбция</w:t>
      </w:r>
    </w:p>
    <w:p w14:paraId="2BD080A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Дулоксетин се резорбира добре след перорално приложение, като </w:t>
      </w:r>
      <w:proofErr w:type="spellStart"/>
      <w:r w:rsidRPr="003C0F94">
        <w:rPr>
          <w:rFonts w:eastAsia="Times New Roman" w:cs="Arial"/>
          <w:color w:val="000000"/>
          <w:szCs w:val="20"/>
          <w:lang w:val="en-US"/>
        </w:rPr>
        <w:t>C</w:t>
      </w:r>
      <w:r w:rsidRPr="003C0F94">
        <w:rPr>
          <w:rFonts w:eastAsia="Times New Roman" w:cs="Arial"/>
          <w:color w:val="000000"/>
          <w:szCs w:val="20"/>
          <w:vertAlign w:val="subscript"/>
          <w:lang w:val="en-US"/>
        </w:rPr>
        <w:t>max</w:t>
      </w:r>
      <w:proofErr w:type="spellEnd"/>
      <w:r w:rsidRPr="003C0F94">
        <w:rPr>
          <w:rFonts w:eastAsia="Times New Roman" w:cs="Arial"/>
          <w:color w:val="000000"/>
          <w:szCs w:val="20"/>
          <w:lang w:eastAsia="bg-BG"/>
        </w:rPr>
        <w:t xml:space="preserve"> настъпва 6 часа след прилагане. Абсолютната орална бионаличност на дулоксетин варира от 32% до 80% (средно 50%). Храната удължава времето за достигане на върхова концентрация от 6 на 10 часа и слабо намалява степента на абсорбция (приблизително 11%). Тези промени нямат клинична значимост.</w:t>
      </w:r>
    </w:p>
    <w:p w14:paraId="61DC104D" w14:textId="77777777" w:rsidR="003C0F94" w:rsidRPr="003C0F94" w:rsidRDefault="003C0F94" w:rsidP="003C0F94">
      <w:pPr>
        <w:spacing w:line="240" w:lineRule="auto"/>
        <w:rPr>
          <w:rFonts w:eastAsia="Times New Roman" w:cs="Arial"/>
          <w:color w:val="000000"/>
          <w:szCs w:val="20"/>
          <w:u w:val="single"/>
          <w:lang w:eastAsia="bg-BG"/>
        </w:rPr>
      </w:pPr>
    </w:p>
    <w:p w14:paraId="78E56D7F" w14:textId="320E18D9" w:rsidR="003C0F94" w:rsidRPr="003C0F94" w:rsidRDefault="003C0F94" w:rsidP="003C0F94">
      <w:pPr>
        <w:pStyle w:val="Heading3"/>
        <w:rPr>
          <w:rFonts w:eastAsia="Times New Roman"/>
          <w:sz w:val="28"/>
          <w:u w:val="single"/>
        </w:rPr>
      </w:pPr>
      <w:r w:rsidRPr="003C0F94">
        <w:rPr>
          <w:rFonts w:eastAsia="Times New Roman"/>
          <w:u w:val="single"/>
          <w:lang w:eastAsia="bg-BG"/>
        </w:rPr>
        <w:t>Разпределение</w:t>
      </w:r>
    </w:p>
    <w:p w14:paraId="14A69C9F"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Дулоксетин се свърза приблизително 96% с човешките плазмени протеини. Дулоксетин се свързва също с албумин и с алфа-1 киселия гликопротеин. Протеинното свързване не се повлиява от бъбречно или чернодробно увреждане.</w:t>
      </w:r>
    </w:p>
    <w:p w14:paraId="51522D37" w14:textId="77777777" w:rsidR="003C0F94" w:rsidRPr="003C0F94" w:rsidRDefault="003C0F94" w:rsidP="003C0F94">
      <w:pPr>
        <w:spacing w:line="240" w:lineRule="auto"/>
        <w:rPr>
          <w:rFonts w:eastAsia="Times New Roman" w:cs="Arial"/>
          <w:color w:val="000000"/>
          <w:szCs w:val="20"/>
          <w:u w:val="single"/>
          <w:lang w:eastAsia="bg-BG"/>
        </w:rPr>
      </w:pPr>
    </w:p>
    <w:p w14:paraId="56D3406C" w14:textId="526A4126" w:rsidR="003C0F94" w:rsidRPr="003C0F94" w:rsidRDefault="003C0F94" w:rsidP="003C0F94">
      <w:pPr>
        <w:pStyle w:val="Heading3"/>
        <w:rPr>
          <w:rFonts w:eastAsia="Times New Roman"/>
          <w:sz w:val="28"/>
          <w:u w:val="single"/>
        </w:rPr>
      </w:pPr>
      <w:r w:rsidRPr="003C0F94">
        <w:rPr>
          <w:rFonts w:eastAsia="Times New Roman"/>
          <w:u w:val="single"/>
          <w:lang w:eastAsia="bg-BG"/>
        </w:rPr>
        <w:t>Биотрансформация</w:t>
      </w:r>
    </w:p>
    <w:p w14:paraId="280E81E9" w14:textId="21B70B32" w:rsidR="003C0F94" w:rsidRPr="003C0F94" w:rsidRDefault="003C0F94" w:rsidP="003C0F94">
      <w:pPr>
        <w:spacing w:line="240" w:lineRule="auto"/>
        <w:rPr>
          <w:rFonts w:eastAsia="Times New Roman" w:cs="Arial"/>
          <w:color w:val="000000"/>
          <w:szCs w:val="20"/>
          <w:lang w:eastAsia="bg-BG"/>
        </w:rPr>
      </w:pPr>
      <w:r w:rsidRPr="003C0F94">
        <w:rPr>
          <w:rFonts w:eastAsia="Times New Roman" w:cs="Arial"/>
          <w:color w:val="000000"/>
          <w:szCs w:val="20"/>
          <w:lang w:eastAsia="bg-BG"/>
        </w:rPr>
        <w:t xml:space="preserve">Дулоксетин се метаболизира екстензивно, а метаболитите са елиминират основно с урината. Цитохромите </w:t>
      </w:r>
      <w:r w:rsidRPr="003C0F94">
        <w:rPr>
          <w:rFonts w:eastAsia="Times New Roman" w:cs="Arial"/>
          <w:color w:val="000000"/>
          <w:szCs w:val="20"/>
          <w:lang w:val="en-US"/>
        </w:rPr>
        <w:t>P</w:t>
      </w:r>
      <w:r w:rsidRPr="003C0F94">
        <w:rPr>
          <w:rFonts w:eastAsia="Times New Roman" w:cs="Arial"/>
          <w:color w:val="000000"/>
          <w:szCs w:val="20"/>
          <w:lang w:val="ru-RU"/>
        </w:rPr>
        <w:t>450-2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 xml:space="preserve">и 1А2 катализират образуването на двата основни метаболита - глюкоронидов конюгат на 4-хидрокси дулоксетин и сулфатен конюгат на 5-хидрокси,6-метокси дулоксетин. Въз основа данните от </w:t>
      </w:r>
      <w:r w:rsidRPr="003C0F94">
        <w:rPr>
          <w:rFonts w:eastAsia="Times New Roman" w:cs="Arial"/>
          <w:i/>
          <w:iCs/>
          <w:color w:val="000000"/>
          <w:szCs w:val="20"/>
          <w:lang w:val="en-US"/>
        </w:rPr>
        <w:t>in</w:t>
      </w:r>
      <w:r w:rsidRPr="003C0F94">
        <w:rPr>
          <w:rFonts w:eastAsia="Times New Roman" w:cs="Arial"/>
          <w:i/>
          <w:iCs/>
          <w:color w:val="000000"/>
          <w:szCs w:val="20"/>
          <w:lang w:val="ru-RU"/>
        </w:rPr>
        <w:t xml:space="preserve"> </w:t>
      </w:r>
      <w:r w:rsidRPr="003C0F94">
        <w:rPr>
          <w:rFonts w:eastAsia="Times New Roman" w:cs="Arial"/>
          <w:i/>
          <w:iCs/>
          <w:color w:val="000000"/>
          <w:szCs w:val="20"/>
          <w:lang w:val="en-US"/>
        </w:rPr>
        <w:t>vitro</w:t>
      </w:r>
      <w:r w:rsidRPr="003C0F94">
        <w:rPr>
          <w:rFonts w:eastAsia="Times New Roman" w:cs="Arial"/>
          <w:color w:val="000000"/>
          <w:szCs w:val="20"/>
          <w:lang w:val="ru-RU"/>
        </w:rPr>
        <w:t xml:space="preserve"> </w:t>
      </w:r>
      <w:r w:rsidRPr="003C0F94">
        <w:rPr>
          <w:rFonts w:eastAsia="Times New Roman" w:cs="Arial"/>
          <w:color w:val="000000"/>
          <w:szCs w:val="20"/>
          <w:lang w:eastAsia="bg-BG"/>
        </w:rPr>
        <w:t>проучвания, циркулиращите</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3C0F94">
        <w:rPr>
          <w:rFonts w:eastAsia="Times New Roman" w:cs="Arial"/>
          <w:color w:val="000000"/>
          <w:szCs w:val="20"/>
          <w:lang w:val="en-US"/>
        </w:rPr>
        <w:t>CYP</w:t>
      </w:r>
      <w:r w:rsidRPr="003C0F94">
        <w:rPr>
          <w:rFonts w:eastAsia="Times New Roman" w:cs="Arial"/>
          <w:color w:val="000000"/>
          <w:szCs w:val="20"/>
          <w:lang w:val="ru-RU"/>
        </w:rPr>
        <w:t>2</w:t>
      </w:r>
      <w:r w:rsidRPr="003C0F94">
        <w:rPr>
          <w:rFonts w:eastAsia="Times New Roman" w:cs="Arial"/>
          <w:color w:val="000000"/>
          <w:szCs w:val="20"/>
          <w:lang w:val="en-US"/>
        </w:rPr>
        <w:t>D</w:t>
      </w:r>
      <w:r w:rsidRPr="003C0F94">
        <w:rPr>
          <w:rFonts w:eastAsia="Times New Roman" w:cs="Arial"/>
          <w:color w:val="000000"/>
          <w:szCs w:val="20"/>
          <w:lang w:val="ru-RU"/>
        </w:rPr>
        <w:t xml:space="preserve">6 </w:t>
      </w:r>
      <w:r w:rsidRPr="003C0F94">
        <w:rPr>
          <w:rFonts w:eastAsia="Times New Roman" w:cs="Arial"/>
          <w:color w:val="000000"/>
          <w:szCs w:val="20"/>
          <w:lang w:eastAsia="bg-BG"/>
        </w:rPr>
        <w:t>не е специфично проучвана. Въз основа на ограничени данни се предполага, че при тези пациенти плазмените нива на дулоксетин са по-високи.</w:t>
      </w:r>
    </w:p>
    <w:p w14:paraId="063531EB" w14:textId="41C8B30D" w:rsidR="003C0F94" w:rsidRPr="003C0F94" w:rsidRDefault="003C0F94" w:rsidP="003C0F94">
      <w:pPr>
        <w:spacing w:line="240" w:lineRule="auto"/>
        <w:rPr>
          <w:rFonts w:eastAsia="Times New Roman" w:cs="Arial"/>
          <w:color w:val="000000"/>
          <w:szCs w:val="20"/>
          <w:lang w:eastAsia="bg-BG"/>
        </w:rPr>
      </w:pPr>
    </w:p>
    <w:p w14:paraId="3BD110DB" w14:textId="77777777" w:rsidR="003C0F94" w:rsidRPr="003C0F94" w:rsidRDefault="003C0F94" w:rsidP="003C0F94">
      <w:pPr>
        <w:pStyle w:val="Heading3"/>
        <w:rPr>
          <w:rFonts w:eastAsia="Times New Roman"/>
          <w:sz w:val="28"/>
          <w:u w:val="single"/>
        </w:rPr>
      </w:pPr>
      <w:r w:rsidRPr="003C0F94">
        <w:rPr>
          <w:rFonts w:eastAsia="Times New Roman"/>
          <w:u w:val="single"/>
          <w:lang w:eastAsia="bg-BG"/>
        </w:rPr>
        <w:t>Елиминация</w:t>
      </w:r>
    </w:p>
    <w:p w14:paraId="5E80746E"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Елиминационният полуживот на дулоксетин варира от 8 до 17 часа (средно 12 часа). След интравенозно приложение, плазменият клирънс на дулоксетин варира от 22 1/час до 46 1/час (средно 36 1/час). След перорално приложение установеният плазмен клирънс на дулоксетин варира от 33 до 2611/час (средно 101 </w:t>
      </w:r>
      <w:r w:rsidRPr="003C0F94">
        <w:rPr>
          <w:rFonts w:eastAsia="Times New Roman" w:cs="Arial"/>
          <w:color w:val="000000"/>
          <w:szCs w:val="20"/>
          <w:lang w:val="en-US"/>
        </w:rPr>
        <w:t>l</w:t>
      </w:r>
      <w:r w:rsidRPr="003C0F94">
        <w:rPr>
          <w:rFonts w:eastAsia="Times New Roman" w:cs="Arial"/>
          <w:color w:val="000000"/>
          <w:szCs w:val="20"/>
          <w:lang w:eastAsia="bg-BG"/>
        </w:rPr>
        <w:t>/час).</w:t>
      </w:r>
    </w:p>
    <w:p w14:paraId="6A45DA07" w14:textId="77777777" w:rsidR="003C0F94" w:rsidRPr="003C0F94" w:rsidRDefault="003C0F94" w:rsidP="003C0F94">
      <w:pPr>
        <w:spacing w:line="240" w:lineRule="auto"/>
        <w:rPr>
          <w:rFonts w:eastAsia="Times New Roman" w:cs="Arial"/>
          <w:i/>
          <w:iCs/>
          <w:color w:val="000000"/>
          <w:szCs w:val="20"/>
          <w:lang w:eastAsia="bg-BG"/>
        </w:rPr>
      </w:pPr>
    </w:p>
    <w:p w14:paraId="00FF75C2" w14:textId="21CDABD5"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Специални популации</w:t>
      </w:r>
    </w:p>
    <w:p w14:paraId="2891D3B7" w14:textId="77777777" w:rsidR="003C0F94" w:rsidRPr="003C0F94" w:rsidRDefault="003C0F94" w:rsidP="003C0F94">
      <w:pPr>
        <w:spacing w:line="240" w:lineRule="auto"/>
        <w:rPr>
          <w:rFonts w:eastAsia="Times New Roman" w:cs="Arial"/>
          <w:i/>
          <w:iCs/>
          <w:color w:val="000000"/>
          <w:szCs w:val="20"/>
          <w:lang w:eastAsia="bg-BG"/>
        </w:rPr>
      </w:pPr>
    </w:p>
    <w:p w14:paraId="63554620" w14:textId="14CA1B9B"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Пол:</w:t>
      </w:r>
      <w:r w:rsidRPr="003C0F94">
        <w:rPr>
          <w:rFonts w:eastAsia="Times New Roman" w:cs="Arial"/>
          <w:color w:val="000000"/>
          <w:szCs w:val="20"/>
          <w:lang w:eastAsia="bg-BG"/>
        </w:rPr>
        <w:t xml:space="preserve"> Между мъже и жени са установени фармакокинетични разлики (видимият плазмен клирънс е приблизително 50% по-нисък при жени). Въз основа на припокриване по отношение на клирънса, свързаните с пола фармакокинетични разлики не оправдават препоръката за използване на по-ниска доза при пациенти от женски пол.</w:t>
      </w:r>
    </w:p>
    <w:p w14:paraId="5FC3BE3B" w14:textId="77777777" w:rsidR="003C0F94" w:rsidRPr="003C0F94" w:rsidRDefault="003C0F94" w:rsidP="003C0F94">
      <w:pPr>
        <w:spacing w:line="240" w:lineRule="auto"/>
        <w:rPr>
          <w:rFonts w:eastAsia="Times New Roman" w:cs="Arial"/>
          <w:i/>
          <w:iCs/>
          <w:color w:val="000000"/>
          <w:szCs w:val="20"/>
          <w:lang w:eastAsia="bg-BG"/>
        </w:rPr>
      </w:pPr>
    </w:p>
    <w:p w14:paraId="597031BC" w14:textId="7D73D51D"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Възраст:</w:t>
      </w:r>
      <w:r w:rsidRPr="003C0F94">
        <w:rPr>
          <w:rFonts w:eastAsia="Times New Roman" w:cs="Arial"/>
          <w:color w:val="000000"/>
          <w:szCs w:val="20"/>
          <w:lang w:eastAsia="bg-BG"/>
        </w:rPr>
        <w:t xml:space="preserve"> Установени са фармакокинетични разлики между по-млади и по-възрастни жени (≥65 години) (повишение на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с около 25% и около 25% по-дълъг полуживот при жените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се провежда с повишено внимание (вж. точки 4.2 и 4.4).</w:t>
      </w:r>
    </w:p>
    <w:p w14:paraId="24289C95" w14:textId="77777777" w:rsidR="003C0F94" w:rsidRPr="003C0F94" w:rsidRDefault="003C0F94" w:rsidP="003C0F94">
      <w:pPr>
        <w:spacing w:line="240" w:lineRule="auto"/>
        <w:rPr>
          <w:rFonts w:eastAsia="Times New Roman" w:cs="Arial"/>
          <w:i/>
          <w:iCs/>
          <w:color w:val="000000"/>
          <w:szCs w:val="20"/>
          <w:lang w:eastAsia="bg-BG"/>
        </w:rPr>
      </w:pPr>
    </w:p>
    <w:p w14:paraId="4030E51E" w14:textId="7365D1A5"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Бъбречно увреждане:</w:t>
      </w:r>
      <w:r w:rsidRPr="003C0F94">
        <w:rPr>
          <w:rFonts w:eastAsia="Times New Roman" w:cs="Arial"/>
          <w:color w:val="000000"/>
          <w:szCs w:val="20"/>
          <w:lang w:eastAsia="bg-BG"/>
        </w:rPr>
        <w:t xml:space="preserve"> При пациентите с бъбречно заболяване в краен стадий на диализа </w:t>
      </w:r>
      <w:r w:rsidRPr="003C0F94">
        <w:rPr>
          <w:rFonts w:eastAsia="Times New Roman" w:cs="Arial"/>
          <w:color w:val="000000"/>
          <w:szCs w:val="20"/>
          <w:lang w:val="ru-RU"/>
        </w:rPr>
        <w:t>(</w:t>
      </w:r>
      <w:r w:rsidRPr="003C0F94">
        <w:rPr>
          <w:rFonts w:eastAsia="Times New Roman" w:cs="Arial"/>
          <w:color w:val="000000"/>
          <w:szCs w:val="20"/>
          <w:lang w:val="en-US"/>
        </w:rPr>
        <w:t>ESRD</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имат стойностите на </w:t>
      </w:r>
      <w:proofErr w:type="spellStart"/>
      <w:r w:rsidRPr="003C0F94">
        <w:rPr>
          <w:rFonts w:eastAsia="Times New Roman" w:cs="Arial"/>
          <w:color w:val="000000"/>
          <w:szCs w:val="20"/>
          <w:lang w:val="en-US"/>
        </w:rPr>
        <w:t>C</w:t>
      </w:r>
      <w:r w:rsidRPr="003C0F94">
        <w:rPr>
          <w:rFonts w:eastAsia="Times New Roman" w:cs="Arial"/>
          <w:color w:val="000000"/>
          <w:szCs w:val="20"/>
          <w:vertAlign w:val="subscript"/>
          <w:lang w:val="en-US"/>
        </w:rPr>
        <w:t>max</w:t>
      </w:r>
      <w:proofErr w:type="spellEnd"/>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и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за дулоксетин са 2 пъти по-високи в сравнение </w:t>
      </w:r>
      <w:r w:rsidRPr="003C0F94">
        <w:rPr>
          <w:rFonts w:eastAsia="Times New Roman" w:cs="Arial"/>
          <w:color w:val="000000"/>
          <w:szCs w:val="20"/>
          <w:lang w:eastAsia="bg-BG"/>
        </w:rPr>
        <w:lastRenderedPageBreak/>
        <w:t>със здрави индивиди. При пациенти с лека до умерена бъбречна недостатъчност данните за фармакокинетиката на дулоксетин са ограничени.</w:t>
      </w:r>
    </w:p>
    <w:p w14:paraId="6DFE8714" w14:textId="77777777" w:rsidR="003C0F94" w:rsidRPr="003C0F94" w:rsidRDefault="003C0F94" w:rsidP="003C0F94">
      <w:pPr>
        <w:spacing w:line="240" w:lineRule="auto"/>
        <w:rPr>
          <w:rFonts w:eastAsia="Times New Roman" w:cs="Arial"/>
          <w:i/>
          <w:iCs/>
          <w:color w:val="000000"/>
          <w:szCs w:val="20"/>
          <w:lang w:eastAsia="bg-BG"/>
        </w:rPr>
      </w:pPr>
    </w:p>
    <w:p w14:paraId="2ED2985A" w14:textId="450BBA80"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Чернодробно увреждане:</w:t>
      </w:r>
      <w:r w:rsidRPr="003C0F94">
        <w:rPr>
          <w:rFonts w:eastAsia="Times New Roman" w:cs="Arial"/>
          <w:color w:val="000000"/>
          <w:szCs w:val="20"/>
          <w:lang w:eastAsia="bg-BG"/>
        </w:rPr>
        <w:t xml:space="preserve"> Умерено чернодробно заболяване (клас В по </w:t>
      </w:r>
      <w:r w:rsidRPr="003C0F94">
        <w:rPr>
          <w:rFonts w:eastAsia="Times New Roman" w:cs="Arial"/>
          <w:color w:val="000000"/>
          <w:szCs w:val="20"/>
          <w:lang w:val="en-US"/>
        </w:rPr>
        <w:t>Child</w:t>
      </w:r>
      <w:r w:rsidRPr="003C0F94">
        <w:rPr>
          <w:rFonts w:eastAsia="Times New Roman" w:cs="Arial"/>
          <w:color w:val="000000"/>
          <w:szCs w:val="20"/>
          <w:lang w:val="ru-RU"/>
        </w:rPr>
        <w:t xml:space="preserve"> </w:t>
      </w:r>
      <w:r w:rsidRPr="003C0F94">
        <w:rPr>
          <w:rFonts w:eastAsia="Times New Roman" w:cs="Arial"/>
          <w:color w:val="000000"/>
          <w:szCs w:val="20"/>
          <w:lang w:val="en-US"/>
        </w:rPr>
        <w:t>Pugh</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засяга фармакокинетиката на дулоксетин. В сравнение със здрави индивиди, при пациенти с умерено чернодробно заболяване видимият плазмен клирънс на дулоксетин е 79% по-нисък, видимият терминален полуживот е 2,3 пъти по-дълъг, </w:t>
      </w:r>
      <w:r w:rsidRPr="003C0F94">
        <w:rPr>
          <w:rFonts w:eastAsia="Times New Roman" w:cs="Arial"/>
          <w:color w:val="000000"/>
          <w:szCs w:val="20"/>
          <w:lang w:val="en-US"/>
        </w:rPr>
        <w:t>a</w:t>
      </w:r>
      <w:r w:rsidRPr="003C0F94">
        <w:rPr>
          <w:rFonts w:eastAsia="Times New Roman" w:cs="Arial"/>
          <w:color w:val="000000"/>
          <w:szCs w:val="20"/>
          <w:lang w:val="ru-RU"/>
        </w:rPr>
        <w:t xml:space="preserve"> </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е 3,7 пъти по-висока. Фармакокинетиката на дулоксетин и неговите метаболити не е проучвана при пациенти с лека или тежка чернодробна недостатъчност.</w:t>
      </w:r>
    </w:p>
    <w:p w14:paraId="4FE6A85B" w14:textId="77777777" w:rsidR="003C0F94" w:rsidRPr="003C0F94" w:rsidRDefault="003C0F94" w:rsidP="003C0F94">
      <w:pPr>
        <w:spacing w:line="240" w:lineRule="auto"/>
        <w:rPr>
          <w:rFonts w:eastAsia="Times New Roman" w:cs="Arial"/>
          <w:i/>
          <w:iCs/>
          <w:color w:val="000000"/>
          <w:szCs w:val="20"/>
          <w:lang w:eastAsia="bg-BG"/>
        </w:rPr>
      </w:pPr>
    </w:p>
    <w:p w14:paraId="602B701D" w14:textId="58910E83" w:rsidR="003C0F94" w:rsidRPr="003C0F94" w:rsidRDefault="003C0F94" w:rsidP="003C0F94">
      <w:pPr>
        <w:spacing w:line="240" w:lineRule="auto"/>
        <w:rPr>
          <w:rFonts w:eastAsia="Times New Roman" w:cs="Arial"/>
          <w:sz w:val="28"/>
          <w:szCs w:val="24"/>
        </w:rPr>
      </w:pPr>
      <w:r w:rsidRPr="003C0F94">
        <w:rPr>
          <w:rFonts w:eastAsia="Times New Roman" w:cs="Arial"/>
          <w:i/>
          <w:iCs/>
          <w:color w:val="000000"/>
          <w:szCs w:val="20"/>
          <w:lang w:eastAsia="bg-BG"/>
        </w:rPr>
        <w:t>Кърмещи майки:</w:t>
      </w:r>
      <w:r w:rsidRPr="003C0F94">
        <w:rPr>
          <w:rFonts w:eastAsia="Times New Roman" w:cs="Arial"/>
          <w:color w:val="000000"/>
          <w:szCs w:val="20"/>
          <w:lang w:eastAsia="bg-BG"/>
        </w:rPr>
        <w:t xml:space="preserve"> Диспозицията на дулоксетин е проучена при 6 кърмещи жени, при които са изминали най-малко 12 седмици след раждането. Дулоксетин се открива в кърмата, а равновесните концентрации в кърмата са около една-четвърт от тези в плазмата. Количеството дулоксетин в кърмата е приблизително 7 микрограма дневно при прием на 40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два пъти дневно. Кърменето не повлиява фармакокинетиката на дулоксетин.</w:t>
      </w:r>
    </w:p>
    <w:p w14:paraId="427784C9" w14:textId="77777777" w:rsidR="003C0F94" w:rsidRPr="003C0F94" w:rsidRDefault="003C0F94" w:rsidP="003C0F94">
      <w:pPr>
        <w:spacing w:line="240" w:lineRule="auto"/>
        <w:rPr>
          <w:rFonts w:eastAsia="Times New Roman" w:cs="Arial"/>
          <w:i/>
          <w:iCs/>
          <w:color w:val="000000"/>
          <w:szCs w:val="20"/>
          <w:lang w:eastAsia="bg-BG"/>
        </w:rPr>
      </w:pPr>
    </w:p>
    <w:p w14:paraId="4B89D9C8" w14:textId="7E2DE0CB" w:rsidR="003C0F94" w:rsidRPr="003C0F94" w:rsidRDefault="003C0F94" w:rsidP="003C0F94">
      <w:pPr>
        <w:spacing w:line="240" w:lineRule="auto"/>
        <w:rPr>
          <w:rFonts w:eastAsia="Times New Roman" w:cs="Arial"/>
          <w:color w:val="000000"/>
          <w:szCs w:val="20"/>
          <w:lang w:eastAsia="bg-BG"/>
        </w:rPr>
      </w:pPr>
      <w:r w:rsidRPr="003C0F94">
        <w:rPr>
          <w:rFonts w:eastAsia="Times New Roman" w:cs="Arial"/>
          <w:i/>
          <w:iCs/>
          <w:color w:val="000000"/>
          <w:szCs w:val="20"/>
          <w:lang w:eastAsia="bg-BG"/>
        </w:rPr>
        <w:t>Педиатрична популация:</w:t>
      </w:r>
      <w:r w:rsidRPr="003C0F94">
        <w:rPr>
          <w:rFonts w:eastAsia="Times New Roman" w:cs="Arial"/>
          <w:color w:val="000000"/>
          <w:szCs w:val="2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3C0F94">
        <w:rPr>
          <w:rFonts w:eastAsia="Times New Roman" w:cs="Arial"/>
          <w:color w:val="000000"/>
          <w:szCs w:val="20"/>
          <w:lang w:val="en-US"/>
        </w:rPr>
        <w:t>mg</w:t>
      </w:r>
      <w:r w:rsidRPr="003C0F94">
        <w:rPr>
          <w:rFonts w:eastAsia="Times New Roman" w:cs="Arial"/>
          <w:color w:val="000000"/>
          <w:szCs w:val="20"/>
          <w:lang w:val="ru-RU"/>
        </w:rPr>
        <w:t xml:space="preserve"> </w:t>
      </w:r>
      <w:r w:rsidRPr="003C0F94">
        <w:rPr>
          <w:rFonts w:eastAsia="Times New Roman" w:cs="Arial"/>
          <w:color w:val="000000"/>
          <w:szCs w:val="20"/>
          <w:lang w:eastAsia="bg-BG"/>
        </w:rPr>
        <w:t>веднъж дневно са характеризирани с помощта на популационно-моделиран анализ на данни от 3 проучвания. Предвидените в модела плазмени концентрации на дулоксетин в равновесно състояние при педиатрични пациенти в повечето случаи са в границите на диапазона на концентрациите, наблюдавани при възрастни пациенти.</w:t>
      </w:r>
    </w:p>
    <w:p w14:paraId="4115BA6A" w14:textId="77777777" w:rsidR="003C0F94" w:rsidRPr="003C0F94" w:rsidRDefault="003C0F94" w:rsidP="003C0F94">
      <w:pPr>
        <w:spacing w:line="240" w:lineRule="auto"/>
        <w:rPr>
          <w:rFonts w:ascii="Times New Roman" w:eastAsia="Times New Roman" w:hAnsi="Times New Roman" w:cs="Times New Roman"/>
          <w:sz w:val="24"/>
          <w:szCs w:val="24"/>
        </w:rPr>
      </w:pPr>
    </w:p>
    <w:p w14:paraId="4FB791BE" w14:textId="4BA1E83B" w:rsidR="00B6672E" w:rsidRDefault="002C50EE" w:rsidP="00936AD0">
      <w:pPr>
        <w:pStyle w:val="Heading2"/>
      </w:pPr>
      <w:r>
        <w:t>5.3. Предклинични данни за безопасност</w:t>
      </w:r>
    </w:p>
    <w:p w14:paraId="1D5701BE" w14:textId="2DEA957D" w:rsidR="003C0F94" w:rsidRDefault="003C0F94" w:rsidP="003C0F94"/>
    <w:p w14:paraId="5877FF10" w14:textId="77777777" w:rsidR="003C0F94" w:rsidRPr="003C0F94" w:rsidRDefault="003C0F94" w:rsidP="003C0F94">
      <w:pPr>
        <w:rPr>
          <w:rFonts w:eastAsia="Times New Roman" w:cs="Arial"/>
          <w:sz w:val="28"/>
          <w:szCs w:val="24"/>
        </w:rPr>
      </w:pPr>
      <w:r w:rsidRPr="003C0F94">
        <w:rPr>
          <w:rFonts w:cs="Arial"/>
          <w:szCs w:val="20"/>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При женски мишки, тетрирани с дулоксетин в продължение на 2 години, е наблюдавана повишена честота на хепатоцелуларин аденоми и карциноми само при високите дози (144 </w:t>
      </w:r>
      <w:r w:rsidRPr="003C0F94">
        <w:rPr>
          <w:rFonts w:cs="Arial"/>
          <w:szCs w:val="20"/>
          <w:lang w:val="en-US"/>
        </w:rPr>
        <w:t>mg</w:t>
      </w:r>
      <w:r w:rsidRPr="003C0F94">
        <w:rPr>
          <w:rFonts w:cs="Arial"/>
          <w:szCs w:val="20"/>
          <w:lang w:val="ru-RU"/>
        </w:rPr>
        <w:t>/</w:t>
      </w:r>
      <w:r w:rsidRPr="003C0F94">
        <w:rPr>
          <w:rFonts w:cs="Arial"/>
          <w:szCs w:val="20"/>
          <w:lang w:val="en-US"/>
        </w:rPr>
        <w:t>kg</w:t>
      </w:r>
      <w:r w:rsidRPr="003C0F94">
        <w:rPr>
          <w:rFonts w:cs="Arial"/>
          <w:szCs w:val="20"/>
          <w:lang w:val="ru-RU"/>
        </w:rPr>
        <w:t xml:space="preserve"> </w:t>
      </w:r>
      <w:r w:rsidRPr="003C0F94">
        <w:rPr>
          <w:rFonts w:cs="Arial"/>
          <w:szCs w:val="20"/>
        </w:rPr>
        <w:t xml:space="preserve">дневно), но те се стичат за вточрични на чернодробната микрозомална ензимна индукция. Значимостта на тези данни при мишки по отношение на хората не е известна. При женски плъхове, третирани с дулоксетин (45 </w:t>
      </w:r>
      <w:r w:rsidRPr="003C0F94">
        <w:rPr>
          <w:rFonts w:cs="Arial"/>
          <w:szCs w:val="20"/>
          <w:lang w:val="en-US"/>
        </w:rPr>
        <w:t>mg</w:t>
      </w:r>
      <w:r w:rsidRPr="003C0F94">
        <w:rPr>
          <w:rFonts w:cs="Arial"/>
          <w:szCs w:val="20"/>
          <w:lang w:val="ru-RU"/>
        </w:rPr>
        <w:t>/</w:t>
      </w:r>
      <w:r w:rsidRPr="003C0F94">
        <w:rPr>
          <w:rFonts w:cs="Arial"/>
          <w:szCs w:val="20"/>
          <w:lang w:val="en-US"/>
        </w:rPr>
        <w:t>kg</w:t>
      </w:r>
      <w:r w:rsidRPr="003C0F94">
        <w:rPr>
          <w:rFonts w:cs="Arial"/>
          <w:szCs w:val="20"/>
        </w:rPr>
        <w:t xml:space="preserve"> </w:t>
      </w:r>
      <w:r w:rsidRPr="003C0F94">
        <w:rPr>
          <w:rFonts w:eastAsia="Times New Roman" w:cs="Arial"/>
          <w:color w:val="000000"/>
          <w:szCs w:val="20"/>
          <w:lang w:eastAsia="bg-BG"/>
        </w:rPr>
        <w:t xml:space="preserve">дневно) преди и при съвкупление, и през ранния етап на бременността е наблюдавано намаление на консумацията на храна от страна на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 добрия случай са приблизително до максималната клинична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 xml:space="preserve">). </w:t>
      </w:r>
      <w:r w:rsidRPr="003C0F94">
        <w:rPr>
          <w:rFonts w:eastAsia="Times New Roman" w:cs="Arial"/>
          <w:color w:val="000000"/>
          <w:szCs w:val="20"/>
          <w:lang w:eastAsia="bg-BG"/>
        </w:rPr>
        <w:t xml:space="preserve">Не са наблюдавани малформации в друго проучване за изпитване на по- високи дози на различна сол на дулоксетин. При пренатални/постнатални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3C0F94">
        <w:rPr>
          <w:rFonts w:eastAsia="Times New Roman" w:cs="Arial"/>
          <w:color w:val="000000"/>
          <w:szCs w:val="20"/>
          <w:lang w:val="ru-RU"/>
        </w:rPr>
        <w:t>(</w:t>
      </w:r>
      <w:r w:rsidRPr="003C0F94">
        <w:rPr>
          <w:rFonts w:eastAsia="Times New Roman" w:cs="Arial"/>
          <w:color w:val="000000"/>
          <w:szCs w:val="20"/>
          <w:lang w:val="en-US"/>
        </w:rPr>
        <w:t>AUC</w:t>
      </w:r>
      <w:r w:rsidRPr="003C0F94">
        <w:rPr>
          <w:rFonts w:eastAsia="Times New Roman" w:cs="Arial"/>
          <w:color w:val="000000"/>
          <w:szCs w:val="20"/>
          <w:lang w:val="ru-RU"/>
        </w:rPr>
        <w:t>).</w:t>
      </w:r>
    </w:p>
    <w:p w14:paraId="0E81008D" w14:textId="77777777" w:rsidR="003C0F94" w:rsidRPr="003C0F94" w:rsidRDefault="003C0F94" w:rsidP="003C0F94">
      <w:pPr>
        <w:spacing w:line="240" w:lineRule="auto"/>
        <w:rPr>
          <w:rFonts w:eastAsia="Times New Roman" w:cs="Arial"/>
          <w:sz w:val="28"/>
          <w:szCs w:val="24"/>
        </w:rPr>
      </w:pPr>
      <w:r w:rsidRPr="003C0F94">
        <w:rPr>
          <w:rFonts w:eastAsia="Times New Roman" w:cs="Arial"/>
          <w:color w:val="000000"/>
          <w:szCs w:val="20"/>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консумацията на храна, индукция на чернодробните ензими и хепатоцелуларна вакуолизация при 45 </w:t>
      </w:r>
      <w:r w:rsidRPr="003C0F94">
        <w:rPr>
          <w:rFonts w:eastAsia="Times New Roman" w:cs="Arial"/>
          <w:color w:val="000000"/>
          <w:szCs w:val="20"/>
          <w:lang w:val="en-US"/>
        </w:rPr>
        <w:t>mg</w:t>
      </w:r>
      <w:r w:rsidRPr="003C0F94">
        <w:rPr>
          <w:rFonts w:eastAsia="Times New Roman" w:cs="Arial"/>
          <w:color w:val="000000"/>
          <w:szCs w:val="20"/>
          <w:lang w:val="ru-RU"/>
        </w:rPr>
        <w:t>/</w:t>
      </w:r>
      <w:r w:rsidRPr="003C0F94">
        <w:rPr>
          <w:rFonts w:eastAsia="Times New Roman" w:cs="Arial"/>
          <w:color w:val="000000"/>
          <w:szCs w:val="20"/>
          <w:lang w:val="en-US"/>
        </w:rPr>
        <w:t>kg</w:t>
      </w:r>
      <w:r w:rsidRPr="003C0F94">
        <w:rPr>
          <w:rFonts w:eastAsia="Times New Roman" w:cs="Arial"/>
          <w:color w:val="000000"/>
          <w:szCs w:val="20"/>
          <w:lang w:val="ru-RU"/>
        </w:rPr>
        <w:t xml:space="preserve"> </w:t>
      </w:r>
      <w:r w:rsidRPr="003C0F94">
        <w:rPr>
          <w:rFonts w:eastAsia="Times New Roman" w:cs="Arial"/>
          <w:color w:val="000000"/>
          <w:szCs w:val="20"/>
          <w:lang w:eastAsia="bg-BG"/>
        </w:rPr>
        <w:lastRenderedPageBreak/>
        <w:t xml:space="preserve">дневно. Общият профил на токсичност на дулоксетин при млади плъхове е подобен на този при възрастни плъхове. Нивото, при което не са наблюдавани нежелани ефекти е определено на 20 </w:t>
      </w:r>
      <w:r w:rsidRPr="003C0F94">
        <w:rPr>
          <w:rFonts w:eastAsia="Times New Roman" w:cs="Arial"/>
          <w:color w:val="000000"/>
          <w:szCs w:val="20"/>
          <w:lang w:val="en-US"/>
        </w:rPr>
        <w:t>mg</w:t>
      </w:r>
      <w:r w:rsidRPr="003C0F94">
        <w:rPr>
          <w:rFonts w:eastAsia="Times New Roman" w:cs="Arial"/>
          <w:color w:val="000000"/>
          <w:szCs w:val="20"/>
          <w:lang w:val="ru-RU"/>
        </w:rPr>
        <w:t>/</w:t>
      </w:r>
      <w:r w:rsidRPr="003C0F94">
        <w:rPr>
          <w:rFonts w:eastAsia="Times New Roman" w:cs="Arial"/>
          <w:color w:val="000000"/>
          <w:szCs w:val="20"/>
          <w:lang w:val="en-US"/>
        </w:rPr>
        <w:t>kg</w:t>
      </w:r>
      <w:r w:rsidRPr="003C0F94">
        <w:rPr>
          <w:rFonts w:eastAsia="Times New Roman" w:cs="Arial"/>
          <w:color w:val="000000"/>
          <w:szCs w:val="20"/>
          <w:lang w:val="ru-RU"/>
        </w:rPr>
        <w:t xml:space="preserve"> </w:t>
      </w:r>
      <w:r w:rsidRPr="003C0F94">
        <w:rPr>
          <w:rFonts w:eastAsia="Times New Roman" w:cs="Arial"/>
          <w:color w:val="000000"/>
          <w:szCs w:val="20"/>
          <w:lang w:eastAsia="bg-BG"/>
        </w:rPr>
        <w:t>дневно.</w:t>
      </w:r>
    </w:p>
    <w:p w14:paraId="1B75B07B" w14:textId="6A9AAD1B" w:rsidR="003C0F94" w:rsidRPr="003C0F94" w:rsidRDefault="003C0F94" w:rsidP="003C0F94"/>
    <w:p w14:paraId="1BA6531D" w14:textId="175A21C5" w:rsidR="00B6672E" w:rsidRDefault="002C50EE" w:rsidP="00936AD0">
      <w:pPr>
        <w:pStyle w:val="Heading1"/>
      </w:pPr>
      <w:r>
        <w:t>7. ПРИТЕЖАТЕЛ НА РАЗРЕШЕНИЕТО ЗА УПОТРЕБА</w:t>
      </w:r>
    </w:p>
    <w:p w14:paraId="77CE3644" w14:textId="3D04B548" w:rsidR="003C0F94" w:rsidRDefault="003C0F94" w:rsidP="003C0F94"/>
    <w:p w14:paraId="2171ABB0" w14:textId="77777777" w:rsidR="003C0F94" w:rsidRPr="003C0F94" w:rsidRDefault="003C0F94" w:rsidP="003C0F94">
      <w:pPr>
        <w:rPr>
          <w:sz w:val="24"/>
          <w:szCs w:val="24"/>
          <w:lang w:val="en-US"/>
        </w:rPr>
      </w:pPr>
      <w:r w:rsidRPr="003C0F94">
        <w:rPr>
          <w:lang w:val="en-US"/>
        </w:rPr>
        <w:t>Egis Pharmaceuticals PLC</w:t>
      </w:r>
    </w:p>
    <w:p w14:paraId="20D44D17" w14:textId="77777777" w:rsidR="003C0F94" w:rsidRPr="003C0F94" w:rsidRDefault="003C0F94" w:rsidP="003C0F94">
      <w:pPr>
        <w:rPr>
          <w:sz w:val="24"/>
          <w:szCs w:val="24"/>
          <w:lang w:val="en-US"/>
        </w:rPr>
      </w:pPr>
      <w:r w:rsidRPr="003C0F94">
        <w:rPr>
          <w:lang w:eastAsia="bg-BG"/>
        </w:rPr>
        <w:t xml:space="preserve">1106 </w:t>
      </w:r>
      <w:r w:rsidRPr="003C0F94">
        <w:rPr>
          <w:lang w:val="en-US"/>
        </w:rPr>
        <w:t xml:space="preserve">Budapest, </w:t>
      </w:r>
      <w:proofErr w:type="spellStart"/>
      <w:r w:rsidRPr="003C0F94">
        <w:rPr>
          <w:lang w:val="en-US"/>
        </w:rPr>
        <w:t>Kereszturi</w:t>
      </w:r>
      <w:proofErr w:type="spellEnd"/>
      <w:r w:rsidRPr="003C0F94">
        <w:rPr>
          <w:lang w:val="en-US"/>
        </w:rPr>
        <w:t xml:space="preserve"> </w:t>
      </w:r>
      <w:proofErr w:type="spellStart"/>
      <w:r w:rsidRPr="003C0F94">
        <w:rPr>
          <w:lang w:val="en-US"/>
        </w:rPr>
        <w:t>ut</w:t>
      </w:r>
      <w:proofErr w:type="spellEnd"/>
      <w:r w:rsidRPr="003C0F94">
        <w:rPr>
          <w:lang w:val="en-US"/>
        </w:rPr>
        <w:t xml:space="preserve"> 30-38.</w:t>
      </w:r>
    </w:p>
    <w:p w14:paraId="78AB5841" w14:textId="0B9E3025" w:rsidR="003C0F94" w:rsidRPr="003C0F94" w:rsidRDefault="003C0F94" w:rsidP="003C0F94">
      <w:r w:rsidRPr="003C0F94">
        <w:rPr>
          <w:lang w:eastAsia="bg-BG"/>
        </w:rPr>
        <w:t>Унгария</w:t>
      </w:r>
    </w:p>
    <w:p w14:paraId="508F3A54" w14:textId="4EA9A52D" w:rsidR="00B6672E" w:rsidRDefault="00936AD0" w:rsidP="00936AD0">
      <w:pPr>
        <w:pStyle w:val="Heading1"/>
      </w:pPr>
      <w:r>
        <w:t>8.</w:t>
      </w:r>
      <w:r w:rsidR="002C50EE">
        <w:t>НОМЕР НА РАЗРЕШЕНИЕТО ЗА УПОТРЕБА</w:t>
      </w:r>
    </w:p>
    <w:p w14:paraId="5D328FDB" w14:textId="77C59C99" w:rsidR="003C0F94" w:rsidRDefault="003C0F94" w:rsidP="003C0F94"/>
    <w:p w14:paraId="32E3B066" w14:textId="77777777" w:rsidR="003C0F94" w:rsidRPr="003C0F94" w:rsidRDefault="003C0F94" w:rsidP="003C0F94">
      <w:pPr>
        <w:rPr>
          <w:sz w:val="24"/>
          <w:szCs w:val="24"/>
        </w:rPr>
      </w:pPr>
      <w:r w:rsidRPr="003C0F94">
        <w:rPr>
          <w:lang w:eastAsia="bg-BG"/>
        </w:rPr>
        <w:t xml:space="preserve">Дулодет 30 </w:t>
      </w:r>
      <w:r w:rsidRPr="003C0F94">
        <w:rPr>
          <w:lang w:val="en-US"/>
        </w:rPr>
        <w:t>mg</w:t>
      </w:r>
      <w:r w:rsidRPr="003C0F94">
        <w:rPr>
          <w:lang w:val="ru-RU"/>
        </w:rPr>
        <w:t xml:space="preserve"> </w:t>
      </w:r>
      <w:r w:rsidRPr="003C0F94">
        <w:rPr>
          <w:lang w:eastAsia="bg-BG"/>
        </w:rPr>
        <w:t>твърди стомашно-устойчиви капсули: Рег.№: 20150336</w:t>
      </w:r>
    </w:p>
    <w:p w14:paraId="731583D4" w14:textId="63F2F55F" w:rsidR="003C0F94" w:rsidRPr="003C0F94" w:rsidRDefault="003C0F94" w:rsidP="003C0F94">
      <w:r w:rsidRPr="003C0F94">
        <w:rPr>
          <w:lang w:eastAsia="bg-BG"/>
        </w:rPr>
        <w:t xml:space="preserve">Дулодет 60 </w:t>
      </w:r>
      <w:r w:rsidRPr="003C0F94">
        <w:rPr>
          <w:lang w:val="en-US"/>
        </w:rPr>
        <w:t>mg</w:t>
      </w:r>
      <w:r w:rsidRPr="003C0F94">
        <w:rPr>
          <w:lang w:val="ru-RU"/>
        </w:rPr>
        <w:t xml:space="preserve"> </w:t>
      </w:r>
      <w:r w:rsidRPr="003C0F94">
        <w:rPr>
          <w:lang w:eastAsia="bg-BG"/>
        </w:rPr>
        <w:t>твърди стомашно-устойчиви капсули: Рег.№: 20150337</w:t>
      </w:r>
    </w:p>
    <w:p w14:paraId="2CCB5832" w14:textId="7ABC1FD0" w:rsidR="007C605B" w:rsidRDefault="002C50EE" w:rsidP="007C605B">
      <w:pPr>
        <w:pStyle w:val="Heading1"/>
      </w:pPr>
      <w:r>
        <w:t>9. ДАТА НА ПЪРВО РАЗРЕШАВАНЕ/ПОДНОВЯВАНЕ НА РАЗРЕШЕНИЕТО ЗА УПОТРЕБА</w:t>
      </w:r>
    </w:p>
    <w:p w14:paraId="1E1D7AC1" w14:textId="6BFB1241" w:rsidR="003C0F94" w:rsidRDefault="003C0F94" w:rsidP="003C0F94"/>
    <w:p w14:paraId="58C687A7" w14:textId="77777777" w:rsidR="00CD5044" w:rsidRPr="00CD5044" w:rsidRDefault="00CD5044" w:rsidP="00CD5044">
      <w:pPr>
        <w:rPr>
          <w:sz w:val="24"/>
          <w:szCs w:val="24"/>
        </w:rPr>
      </w:pPr>
      <w:r w:rsidRPr="00CD5044">
        <w:rPr>
          <w:lang w:eastAsia="bg-BG"/>
        </w:rPr>
        <w:t>Дата на първо разрешаване за употреба: 19.10.2015 г.</w:t>
      </w:r>
    </w:p>
    <w:p w14:paraId="534EE476" w14:textId="77777777" w:rsidR="00CD5044" w:rsidRPr="00CD5044" w:rsidRDefault="00CD5044" w:rsidP="00CD5044">
      <w:pPr>
        <w:rPr>
          <w:sz w:val="24"/>
          <w:szCs w:val="24"/>
        </w:rPr>
      </w:pPr>
      <w:r w:rsidRPr="00CD5044">
        <w:rPr>
          <w:lang w:eastAsia="bg-BG"/>
        </w:rPr>
        <w:t>Дата на последно подновяване:</w:t>
      </w:r>
    </w:p>
    <w:p w14:paraId="19F84725" w14:textId="77777777" w:rsidR="003C0F94" w:rsidRPr="003C0F94" w:rsidRDefault="003C0F94" w:rsidP="003C0F94"/>
    <w:p w14:paraId="0E9D0119" w14:textId="0245C6D7" w:rsidR="002C50EE" w:rsidRDefault="002C50EE" w:rsidP="002C50EE">
      <w:pPr>
        <w:pStyle w:val="Heading1"/>
      </w:pPr>
      <w:r>
        <w:t>10. ДАТА НА АКТУАЛИЗИРАНЕ НА ТЕКСТА</w:t>
      </w:r>
    </w:p>
    <w:bookmarkEnd w:id="0"/>
    <w:p w14:paraId="43FB38A2" w14:textId="1A2C92F6" w:rsidR="007C605B" w:rsidRPr="003E3126" w:rsidRDefault="00CD5044" w:rsidP="00CD5044">
      <w:r>
        <w:t>Ноември, 2019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9E2B19"/>
    <w:multiLevelType w:val="hybridMultilevel"/>
    <w:tmpl w:val="9DBE0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C0F94"/>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C27AB"/>
    <w:rsid w:val="00BF2600"/>
    <w:rsid w:val="00C0049F"/>
    <w:rsid w:val="00C07B84"/>
    <w:rsid w:val="00C33464"/>
    <w:rsid w:val="00C40420"/>
    <w:rsid w:val="00C809A7"/>
    <w:rsid w:val="00C83063"/>
    <w:rsid w:val="00C87E90"/>
    <w:rsid w:val="00CA1B57"/>
    <w:rsid w:val="00CD5044"/>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8126</Words>
  <Characters>46323</Characters>
  <Application>Microsoft Office Word</Application>
  <DocSecurity>0</DocSecurity>
  <Lines>386</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2022-07-31T18:46:00Z</dcterms:created>
  <dcterms:modified xsi:type="dcterms:W3CDTF">2022-07-31T18:46:00Z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