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Pr="007F1682" w:rsidRDefault="002C50EE" w:rsidP="002C50EE">
      <w:pPr>
        <w:pStyle w:val="Heading1"/>
        <w:jc w:val="center"/>
      </w:pPr>
      <w:bookmarkStart w:id="0" w:name="_Hlk63124480"/>
      <w:r w:rsidRPr="007F1682">
        <w:t>КРАТКА ХАРАКТЕРИСТИКА НА ПРОДУКТА</w:t>
      </w:r>
    </w:p>
    <w:p w14:paraId="3320F4BE" w14:textId="32E791E8" w:rsidR="00C40420" w:rsidRPr="007F1682" w:rsidRDefault="00DD466D" w:rsidP="004A448E">
      <w:pPr>
        <w:pStyle w:val="Heading1"/>
      </w:pPr>
      <w:r w:rsidRPr="007F1682">
        <w:t>1.ИМЕ НА ЛЕКАРСТВЕНИЯ ПРОДУКТ</w:t>
      </w:r>
    </w:p>
    <w:p w14:paraId="78D54725" w14:textId="29175CCA" w:rsidR="005545AB" w:rsidRPr="007F1682" w:rsidRDefault="005545AB" w:rsidP="005545AB"/>
    <w:p w14:paraId="004F7F16" w14:textId="04CB3055" w:rsidR="005545AB" w:rsidRPr="007F1682" w:rsidRDefault="005545AB" w:rsidP="005545AB"/>
    <w:p w14:paraId="1478CD62" w14:textId="77777777" w:rsidR="005545AB" w:rsidRPr="007F1682" w:rsidRDefault="005545AB" w:rsidP="005545AB">
      <w:pPr>
        <w:spacing w:line="240" w:lineRule="auto"/>
        <w:rPr>
          <w:rFonts w:ascii="Times New Roman" w:eastAsia="Times New Roman" w:hAnsi="Times New Roman" w:cs="Times New Roman"/>
          <w:lang w:eastAsia="bg-BG"/>
        </w:rPr>
      </w:pPr>
      <w:r w:rsidRPr="007F1682">
        <w:rPr>
          <w:rFonts w:eastAsia="Times New Roman" w:cs="Arial"/>
          <w:color w:val="000000"/>
          <w:lang w:eastAsia="bg-BG"/>
        </w:rPr>
        <w:t xml:space="preserve">Дулокси 30 </w:t>
      </w:r>
      <w:r w:rsidRPr="007F1682">
        <w:rPr>
          <w:rFonts w:eastAsia="Times New Roman" w:cs="Arial"/>
          <w:color w:val="000000"/>
        </w:rPr>
        <w:t xml:space="preserve">mg </w:t>
      </w:r>
      <w:r w:rsidRPr="007F1682">
        <w:rPr>
          <w:rFonts w:eastAsia="Times New Roman" w:cs="Arial"/>
          <w:color w:val="000000"/>
          <w:lang w:eastAsia="bg-BG"/>
        </w:rPr>
        <w:t>стомашно-устойчиви твърди капсули</w:t>
      </w:r>
    </w:p>
    <w:p w14:paraId="796BF074" w14:textId="77777777" w:rsidR="005545AB" w:rsidRPr="007F1682" w:rsidRDefault="005545AB" w:rsidP="005545AB">
      <w:pPr>
        <w:spacing w:line="240" w:lineRule="auto"/>
        <w:rPr>
          <w:rFonts w:ascii="Times New Roman" w:eastAsia="Times New Roman" w:hAnsi="Times New Roman" w:cs="Times New Roman"/>
          <w:lang w:eastAsia="bg-BG"/>
        </w:rPr>
      </w:pPr>
      <w:r w:rsidRPr="007F1682">
        <w:rPr>
          <w:rFonts w:eastAsia="Times New Roman" w:cs="Arial"/>
          <w:b/>
          <w:bCs/>
          <w:color w:val="000000"/>
          <w:lang w:eastAsia="bg-BG"/>
        </w:rPr>
        <w:tab/>
      </w:r>
      <w:r w:rsidRPr="007F1682">
        <w:rPr>
          <w:rFonts w:eastAsia="Times New Roman" w:cs="Arial"/>
          <w:b/>
          <w:bCs/>
          <w:i/>
          <w:iCs/>
          <w:color w:val="000000"/>
          <w:lang w:eastAsia="bg-BG"/>
        </w:rPr>
        <w:tab/>
      </w:r>
    </w:p>
    <w:p w14:paraId="3CF499C3" w14:textId="77777777" w:rsidR="005545AB" w:rsidRPr="007F1682" w:rsidRDefault="005545AB" w:rsidP="005545AB">
      <w:pPr>
        <w:spacing w:line="240" w:lineRule="auto"/>
        <w:rPr>
          <w:rFonts w:ascii="Times New Roman" w:eastAsia="Times New Roman" w:hAnsi="Times New Roman" w:cs="Times New Roman"/>
          <w:lang w:eastAsia="bg-BG"/>
        </w:rPr>
      </w:pPr>
      <w:r w:rsidRPr="007F1682">
        <w:rPr>
          <w:rFonts w:eastAsia="Times New Roman" w:cs="Arial"/>
          <w:color w:val="000000"/>
          <w:lang w:eastAsia="bg-BG"/>
        </w:rPr>
        <w:t xml:space="preserve">Дулокси 60 </w:t>
      </w:r>
      <w:r w:rsidRPr="007F1682">
        <w:rPr>
          <w:rFonts w:eastAsia="Times New Roman" w:cs="Arial"/>
          <w:color w:val="000000"/>
        </w:rPr>
        <w:t xml:space="preserve">mg </w:t>
      </w:r>
      <w:r w:rsidRPr="007F1682">
        <w:rPr>
          <w:rFonts w:eastAsia="Times New Roman" w:cs="Arial"/>
          <w:color w:val="000000"/>
          <w:lang w:eastAsia="bg-BG"/>
        </w:rPr>
        <w:t>стомашно-устойчиви твърди капсули</w:t>
      </w:r>
    </w:p>
    <w:p w14:paraId="43DD9EF3" w14:textId="77777777" w:rsidR="005545AB" w:rsidRPr="007F1682" w:rsidRDefault="005545AB" w:rsidP="005545AB">
      <w:pPr>
        <w:spacing w:line="240" w:lineRule="auto"/>
        <w:rPr>
          <w:rFonts w:eastAsia="Times New Roman" w:cs="Arial"/>
          <w:color w:val="000000"/>
        </w:rPr>
      </w:pPr>
    </w:p>
    <w:p w14:paraId="0EBB9EFE" w14:textId="18AD1A7B" w:rsidR="005545AB" w:rsidRPr="007F1682" w:rsidRDefault="005545AB" w:rsidP="005545AB">
      <w:pPr>
        <w:spacing w:line="240" w:lineRule="auto"/>
        <w:rPr>
          <w:rFonts w:ascii="Times New Roman" w:eastAsia="Times New Roman" w:hAnsi="Times New Roman" w:cs="Times New Roman"/>
          <w:lang w:eastAsia="bg-BG"/>
        </w:rPr>
      </w:pPr>
      <w:r w:rsidRPr="007F1682">
        <w:rPr>
          <w:rFonts w:eastAsia="Times New Roman" w:cs="Arial"/>
          <w:color w:val="000000"/>
        </w:rPr>
        <w:t xml:space="preserve">Duloxi </w:t>
      </w:r>
      <w:r w:rsidRPr="007F1682">
        <w:rPr>
          <w:rFonts w:eastAsia="Times New Roman" w:cs="Arial"/>
          <w:color w:val="000000"/>
          <w:lang w:eastAsia="bg-BG"/>
        </w:rPr>
        <w:t xml:space="preserve">30 </w:t>
      </w:r>
      <w:r w:rsidRPr="007F1682">
        <w:rPr>
          <w:rFonts w:eastAsia="Times New Roman" w:cs="Arial"/>
          <w:color w:val="000000"/>
        </w:rPr>
        <w:t>mg gastro-resistant capsules, hard</w:t>
      </w:r>
      <w:r w:rsidRPr="007F1682">
        <w:rPr>
          <w:rFonts w:eastAsia="Times New Roman" w:cs="Arial"/>
          <w:color w:val="000000"/>
        </w:rPr>
        <w:tab/>
        <w:t>'</w:t>
      </w:r>
      <w:r w:rsidRPr="007F1682">
        <w:rPr>
          <w:rFonts w:eastAsia="Times New Roman" w:cs="Arial"/>
          <w:color w:val="000000"/>
        </w:rPr>
        <w:tab/>
      </w:r>
    </w:p>
    <w:p w14:paraId="4ECF1EE2" w14:textId="77777777" w:rsidR="005545AB" w:rsidRPr="007F1682" w:rsidRDefault="005545AB" w:rsidP="005545AB">
      <w:pPr>
        <w:spacing w:line="240" w:lineRule="auto"/>
        <w:rPr>
          <w:rFonts w:ascii="Times New Roman" w:eastAsia="Times New Roman" w:hAnsi="Times New Roman" w:cs="Times New Roman"/>
          <w:lang w:eastAsia="bg-BG"/>
        </w:rPr>
      </w:pPr>
      <w:r w:rsidRPr="007F1682">
        <w:rPr>
          <w:rFonts w:eastAsia="Times New Roman" w:cs="Arial"/>
          <w:b/>
          <w:bCs/>
          <w:color w:val="000000"/>
        </w:rPr>
        <w:tab/>
      </w:r>
    </w:p>
    <w:p w14:paraId="0209EF59" w14:textId="7AE0AF2C" w:rsidR="005545AB" w:rsidRPr="007F1682" w:rsidRDefault="005545AB" w:rsidP="005545AB">
      <w:r w:rsidRPr="007F1682">
        <w:rPr>
          <w:rFonts w:eastAsia="Times New Roman" w:cs="Arial"/>
          <w:color w:val="000000"/>
        </w:rPr>
        <w:t>Duloxi 60 mg gastro-resistant capsules, hard</w:t>
      </w:r>
    </w:p>
    <w:p w14:paraId="6920A680" w14:textId="32ED0AD0" w:rsidR="00C40420" w:rsidRPr="007F1682" w:rsidRDefault="00DD466D" w:rsidP="004A448E">
      <w:pPr>
        <w:pStyle w:val="Heading1"/>
      </w:pPr>
      <w:r w:rsidRPr="007F1682">
        <w:t>2. КАЧЕСТВЕН И КОЛИЧЕСТВЕН СЪСТАВ</w:t>
      </w:r>
    </w:p>
    <w:p w14:paraId="4AC4AF58" w14:textId="76879E61" w:rsidR="005545AB" w:rsidRPr="007F1682" w:rsidRDefault="005545AB" w:rsidP="005545AB"/>
    <w:p w14:paraId="55DD4916"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Всяка твърда стомашно-устойчива капсула от 30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съдържа 30 </w:t>
      </w:r>
      <w:r w:rsidRPr="007F1682">
        <w:rPr>
          <w:rFonts w:eastAsia="Times New Roman" w:cs="Arial"/>
          <w:color w:val="000000"/>
          <w:szCs w:val="19"/>
        </w:rPr>
        <w:t xml:space="preserve">mg </w:t>
      </w:r>
      <w:r w:rsidRPr="007F1682">
        <w:rPr>
          <w:rFonts w:eastAsia="Times New Roman" w:cs="Arial"/>
          <w:color w:val="000000"/>
          <w:szCs w:val="19"/>
          <w:lang w:eastAsia="bg-BG"/>
        </w:rPr>
        <w:t>дулокс</w:t>
      </w:r>
      <w:r w:rsidRPr="007F1682">
        <w:rPr>
          <w:rFonts w:eastAsia="Times New Roman" w:cs="Arial"/>
          <w:color w:val="000000"/>
          <w:szCs w:val="19"/>
        </w:rPr>
        <w:t>e</w:t>
      </w:r>
      <w:r w:rsidRPr="007F1682">
        <w:rPr>
          <w:rFonts w:eastAsia="Times New Roman" w:cs="Arial"/>
          <w:color w:val="000000"/>
          <w:szCs w:val="19"/>
          <w:lang w:eastAsia="bg-BG"/>
        </w:rPr>
        <w:t xml:space="preserve">тин (като хидрохлорид) </w:t>
      </w:r>
      <w:r w:rsidRPr="007F1682">
        <w:rPr>
          <w:rFonts w:eastAsia="Times New Roman" w:cs="Arial"/>
          <w:i/>
          <w:iCs/>
          <w:color w:val="000000"/>
          <w:szCs w:val="19"/>
        </w:rPr>
        <w:t>(duloxetine (as hydrochloride)).</w:t>
      </w:r>
    </w:p>
    <w:p w14:paraId="69D4DE6A" w14:textId="77777777" w:rsidR="005545AB" w:rsidRPr="007F1682" w:rsidRDefault="005545AB" w:rsidP="005545AB">
      <w:pPr>
        <w:spacing w:line="240" w:lineRule="auto"/>
        <w:rPr>
          <w:rFonts w:eastAsia="Times New Roman" w:cs="Arial"/>
          <w:color w:val="000000"/>
          <w:szCs w:val="19"/>
          <w:u w:val="single"/>
          <w:lang w:eastAsia="bg-BG"/>
        </w:rPr>
      </w:pPr>
    </w:p>
    <w:p w14:paraId="2549AA62" w14:textId="44FE461F"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u w:val="single"/>
          <w:lang w:eastAsia="bg-BG"/>
        </w:rPr>
        <w:t>Помощно вещество с известно действие</w:t>
      </w:r>
    </w:p>
    <w:p w14:paraId="161A3FD4"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Всяка капсула съдържа 24.625 </w:t>
      </w:r>
      <w:r w:rsidRPr="007F1682">
        <w:rPr>
          <w:rFonts w:eastAsia="Times New Roman" w:cs="Arial"/>
          <w:color w:val="000000"/>
          <w:szCs w:val="19"/>
        </w:rPr>
        <w:t xml:space="preserve">mg </w:t>
      </w:r>
      <w:r w:rsidRPr="007F1682">
        <w:rPr>
          <w:rFonts w:eastAsia="Times New Roman" w:cs="Arial"/>
          <w:color w:val="000000"/>
          <w:szCs w:val="19"/>
          <w:lang w:eastAsia="bg-BG"/>
        </w:rPr>
        <w:t>захароза.</w:t>
      </w:r>
    </w:p>
    <w:p w14:paraId="1B8BD5B8" w14:textId="77777777" w:rsidR="005545AB" w:rsidRPr="007F1682" w:rsidRDefault="005545AB" w:rsidP="005545AB">
      <w:pPr>
        <w:spacing w:line="240" w:lineRule="auto"/>
        <w:rPr>
          <w:rFonts w:eastAsia="Times New Roman" w:cs="Arial"/>
          <w:color w:val="000000"/>
          <w:szCs w:val="19"/>
          <w:lang w:eastAsia="bg-BG"/>
        </w:rPr>
      </w:pPr>
    </w:p>
    <w:p w14:paraId="080F73C6" w14:textId="26656978"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Всяка твърда стомашно-устойчива капсула от 60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съдържа 60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дулоксетин (като хидрохлорид) </w:t>
      </w:r>
      <w:r w:rsidRPr="007F1682">
        <w:rPr>
          <w:rFonts w:eastAsia="Times New Roman" w:cs="Arial"/>
          <w:i/>
          <w:iCs/>
          <w:color w:val="000000"/>
          <w:szCs w:val="19"/>
        </w:rPr>
        <w:t>(duloxetine (as hydrochloride)).</w:t>
      </w:r>
    </w:p>
    <w:p w14:paraId="3FAA729A" w14:textId="77777777" w:rsidR="005545AB" w:rsidRPr="007F1682" w:rsidRDefault="005545AB" w:rsidP="005545AB">
      <w:pPr>
        <w:spacing w:line="240" w:lineRule="auto"/>
        <w:rPr>
          <w:rFonts w:eastAsia="Times New Roman" w:cs="Arial"/>
          <w:color w:val="000000"/>
          <w:szCs w:val="19"/>
          <w:u w:val="single"/>
          <w:lang w:eastAsia="bg-BG"/>
        </w:rPr>
      </w:pPr>
    </w:p>
    <w:p w14:paraId="53D9188B" w14:textId="5E92C55D"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u w:val="single"/>
          <w:lang w:eastAsia="bg-BG"/>
        </w:rPr>
        <w:t>Помощно вещество с известно действие</w:t>
      </w:r>
    </w:p>
    <w:p w14:paraId="4A8F6D61"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Всяка капсула съдържа 49,250 </w:t>
      </w:r>
      <w:r w:rsidRPr="007F1682">
        <w:rPr>
          <w:rFonts w:eastAsia="Times New Roman" w:cs="Arial"/>
          <w:color w:val="000000"/>
          <w:szCs w:val="19"/>
        </w:rPr>
        <w:t xml:space="preserve">mg </w:t>
      </w:r>
      <w:r w:rsidRPr="007F1682">
        <w:rPr>
          <w:rFonts w:eastAsia="Times New Roman" w:cs="Arial"/>
          <w:color w:val="000000"/>
          <w:szCs w:val="19"/>
          <w:lang w:eastAsia="bg-BG"/>
        </w:rPr>
        <w:t>захароза.</w:t>
      </w:r>
    </w:p>
    <w:p w14:paraId="2CE23183" w14:textId="77777777" w:rsidR="005545AB" w:rsidRPr="007F1682" w:rsidRDefault="005545AB" w:rsidP="005545AB">
      <w:pPr>
        <w:rPr>
          <w:rFonts w:eastAsia="Times New Roman" w:cs="Arial"/>
          <w:color w:val="000000"/>
          <w:szCs w:val="19"/>
          <w:lang w:eastAsia="bg-BG"/>
        </w:rPr>
      </w:pPr>
    </w:p>
    <w:p w14:paraId="4BD3E028" w14:textId="08FB546B" w:rsidR="005545AB" w:rsidRPr="007F1682" w:rsidRDefault="005545AB" w:rsidP="005545AB">
      <w:pPr>
        <w:rPr>
          <w:sz w:val="28"/>
        </w:rPr>
      </w:pPr>
      <w:r w:rsidRPr="007F1682">
        <w:rPr>
          <w:rFonts w:eastAsia="Times New Roman" w:cs="Arial"/>
          <w:color w:val="000000"/>
          <w:szCs w:val="19"/>
          <w:lang w:eastAsia="bg-BG"/>
        </w:rPr>
        <w:t>За пълния списък на помощните вещества вижте точка 6.1.</w:t>
      </w:r>
    </w:p>
    <w:p w14:paraId="614984C4" w14:textId="7C92419B" w:rsidR="008A6AF2" w:rsidRPr="007F1682" w:rsidRDefault="00DD466D" w:rsidP="002C50EE">
      <w:pPr>
        <w:pStyle w:val="Heading1"/>
      </w:pPr>
      <w:r w:rsidRPr="007F1682">
        <w:t>3. ЛЕКАРСТВЕНА ФОРМА</w:t>
      </w:r>
    </w:p>
    <w:p w14:paraId="11EBE168" w14:textId="2132FD45" w:rsidR="005545AB" w:rsidRPr="007F1682" w:rsidRDefault="005545AB" w:rsidP="005545AB"/>
    <w:p w14:paraId="777CA12F"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Стомашно-устойчива твърда капсула</w:t>
      </w:r>
    </w:p>
    <w:p w14:paraId="7734CBD8" w14:textId="77777777" w:rsidR="005545AB" w:rsidRPr="007F1682" w:rsidRDefault="005545AB" w:rsidP="005545AB">
      <w:pPr>
        <w:spacing w:line="240" w:lineRule="auto"/>
        <w:rPr>
          <w:rFonts w:eastAsia="Times New Roman" w:cs="Arial"/>
          <w:b/>
          <w:bCs/>
          <w:color w:val="000000"/>
          <w:sz w:val="19"/>
          <w:szCs w:val="19"/>
          <w:lang w:eastAsia="bg-BG"/>
        </w:rPr>
      </w:pPr>
      <w:bookmarkStart w:id="1" w:name="bookmark0"/>
    </w:p>
    <w:p w14:paraId="03407699" w14:textId="5DE00BE2"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b/>
          <w:bCs/>
          <w:color w:val="000000"/>
          <w:szCs w:val="19"/>
          <w:lang w:eastAsia="bg-BG"/>
        </w:rPr>
        <w:t xml:space="preserve">Дулокси 30 </w:t>
      </w:r>
      <w:r w:rsidRPr="007F1682">
        <w:rPr>
          <w:rFonts w:eastAsia="Times New Roman" w:cs="Arial"/>
          <w:b/>
          <w:bCs/>
          <w:color w:val="000000"/>
          <w:szCs w:val="19"/>
        </w:rPr>
        <w:t xml:space="preserve">mg </w:t>
      </w:r>
      <w:r w:rsidRPr="007F1682">
        <w:rPr>
          <w:rFonts w:eastAsia="Times New Roman" w:cs="Arial"/>
          <w:b/>
          <w:bCs/>
          <w:color w:val="000000"/>
          <w:szCs w:val="19"/>
          <w:lang w:eastAsia="bg-BG"/>
        </w:rPr>
        <w:t>стомашно-устойчиви твърди капсули</w:t>
      </w:r>
      <w:bookmarkEnd w:id="1"/>
    </w:p>
    <w:p w14:paraId="5B127C0F"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Твърди желатинови капсули размер „З" с непрозрачно синьо капаче/непрозрачно бяло тяло, с надпис „Н“ върху капачката и „191“ върху тялото, щампован със златисто жьлто мастило, пълни с бели до почти бели на цвят пелети.</w:t>
      </w:r>
    </w:p>
    <w:p w14:paraId="3AD484AB" w14:textId="77777777" w:rsidR="005545AB" w:rsidRPr="007F1682" w:rsidRDefault="005545AB" w:rsidP="005545AB">
      <w:pPr>
        <w:spacing w:line="240" w:lineRule="auto"/>
        <w:rPr>
          <w:rFonts w:eastAsia="Times New Roman" w:cs="Arial"/>
          <w:b/>
          <w:bCs/>
          <w:color w:val="000000"/>
          <w:szCs w:val="19"/>
          <w:lang w:eastAsia="bg-BG"/>
        </w:rPr>
      </w:pPr>
      <w:bookmarkStart w:id="2" w:name="bookmark2"/>
    </w:p>
    <w:p w14:paraId="6F2E394B" w14:textId="3F7D0924"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b/>
          <w:bCs/>
          <w:color w:val="000000"/>
          <w:szCs w:val="19"/>
          <w:lang w:eastAsia="bg-BG"/>
        </w:rPr>
        <w:t xml:space="preserve">Дулокси 60 </w:t>
      </w:r>
      <w:r w:rsidRPr="007F1682">
        <w:rPr>
          <w:rFonts w:eastAsia="Times New Roman" w:cs="Arial"/>
          <w:b/>
          <w:bCs/>
          <w:color w:val="000000"/>
          <w:szCs w:val="19"/>
        </w:rPr>
        <w:t xml:space="preserve">mg </w:t>
      </w:r>
      <w:r w:rsidRPr="007F1682">
        <w:rPr>
          <w:rFonts w:eastAsia="Times New Roman" w:cs="Arial"/>
          <w:b/>
          <w:bCs/>
          <w:color w:val="000000"/>
          <w:szCs w:val="19"/>
          <w:lang w:eastAsia="bg-BG"/>
        </w:rPr>
        <w:t>стомашно-устойчиви твърди капсули</w:t>
      </w:r>
      <w:bookmarkEnd w:id="2"/>
    </w:p>
    <w:p w14:paraId="3C2AF32B" w14:textId="5B58EE07" w:rsidR="005545AB" w:rsidRPr="007F1682" w:rsidRDefault="005545AB" w:rsidP="005545AB">
      <w:pPr>
        <w:rPr>
          <w:sz w:val="28"/>
        </w:rPr>
      </w:pPr>
      <w:r w:rsidRPr="007F1682">
        <w:rPr>
          <w:rFonts w:eastAsia="Times New Roman" w:cs="Arial"/>
          <w:color w:val="000000"/>
          <w:szCs w:val="19"/>
          <w:lang w:eastAsia="bg-BG"/>
        </w:rPr>
        <w:t>Твърди желатинови капсули размер размер „1“ с непрозрачно синьо капаче/непрозрачно зелено тяло, с надпис „Н“ върху капачката и „192“ върху тялото, щампован с бяло мастило, пълни с бели до почти бели на цвят пелети.</w:t>
      </w:r>
    </w:p>
    <w:p w14:paraId="490FC2C4" w14:textId="7F3E55CA" w:rsidR="002C50EE" w:rsidRPr="007F1682" w:rsidRDefault="002C50EE" w:rsidP="002C50EE">
      <w:pPr>
        <w:pStyle w:val="Heading1"/>
      </w:pPr>
      <w:r w:rsidRPr="007F1682">
        <w:t>4. КЛИНИЧНИ ДАННИ</w:t>
      </w:r>
    </w:p>
    <w:p w14:paraId="156E302E" w14:textId="77777777" w:rsidR="00F364F7" w:rsidRPr="007F1682" w:rsidRDefault="00F364F7" w:rsidP="00F364F7"/>
    <w:p w14:paraId="0C8E6903" w14:textId="54130C9C" w:rsidR="008134C8" w:rsidRPr="007F1682" w:rsidRDefault="002C50EE" w:rsidP="004A448E">
      <w:pPr>
        <w:pStyle w:val="Heading2"/>
      </w:pPr>
      <w:r w:rsidRPr="007F1682">
        <w:lastRenderedPageBreak/>
        <w:t>4.1. Терапевтични показания</w:t>
      </w:r>
    </w:p>
    <w:p w14:paraId="79D7ABA3" w14:textId="61E08CCA" w:rsidR="005545AB" w:rsidRPr="007F1682" w:rsidRDefault="005545AB" w:rsidP="005545AB"/>
    <w:p w14:paraId="25D2B373"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Лечение на голямо депресивно разстройство.</w:t>
      </w:r>
    </w:p>
    <w:p w14:paraId="1F3B12CE"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Лечение на диабетна периферна невропатна болка.</w:t>
      </w:r>
    </w:p>
    <w:p w14:paraId="384D1C03"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Лечение на генерализирано тревожно разстройство.</w:t>
      </w:r>
    </w:p>
    <w:p w14:paraId="31F47E9B" w14:textId="77777777" w:rsidR="005545AB" w:rsidRPr="007F1682" w:rsidRDefault="005545AB" w:rsidP="005545AB">
      <w:pPr>
        <w:spacing w:line="240" w:lineRule="auto"/>
        <w:rPr>
          <w:rFonts w:eastAsia="Times New Roman" w:cs="Arial"/>
          <w:color w:val="000000"/>
          <w:szCs w:val="19"/>
          <w:lang w:eastAsia="bg-BG"/>
        </w:rPr>
      </w:pPr>
    </w:p>
    <w:p w14:paraId="01387B41" w14:textId="0C0B8B8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Дулокси е показан при възрастни.</w:t>
      </w:r>
    </w:p>
    <w:p w14:paraId="35294A13" w14:textId="77777777" w:rsidR="005545AB" w:rsidRPr="007F1682" w:rsidRDefault="005545AB" w:rsidP="005545AB">
      <w:pPr>
        <w:rPr>
          <w:rFonts w:eastAsia="Times New Roman" w:cs="Arial"/>
          <w:color w:val="000000"/>
          <w:szCs w:val="19"/>
          <w:lang w:eastAsia="bg-BG"/>
        </w:rPr>
      </w:pPr>
    </w:p>
    <w:p w14:paraId="7E8615E5" w14:textId="2323FCC8" w:rsidR="005545AB" w:rsidRPr="007F1682" w:rsidRDefault="005545AB" w:rsidP="005545AB">
      <w:pPr>
        <w:rPr>
          <w:rFonts w:eastAsia="Times New Roman" w:cs="Arial"/>
          <w:color w:val="000000"/>
          <w:szCs w:val="19"/>
          <w:lang w:eastAsia="bg-BG"/>
        </w:rPr>
      </w:pPr>
      <w:r w:rsidRPr="007F1682">
        <w:rPr>
          <w:rFonts w:eastAsia="Times New Roman" w:cs="Arial"/>
          <w:color w:val="000000"/>
          <w:szCs w:val="19"/>
          <w:lang w:eastAsia="bg-BG"/>
        </w:rPr>
        <w:t>За допълнителна информация вижте точка 5.1.</w:t>
      </w:r>
    </w:p>
    <w:p w14:paraId="36A551C2" w14:textId="77777777" w:rsidR="00F364F7" w:rsidRPr="007F1682" w:rsidRDefault="00F364F7" w:rsidP="005545AB">
      <w:pPr>
        <w:rPr>
          <w:sz w:val="28"/>
        </w:rPr>
      </w:pPr>
    </w:p>
    <w:p w14:paraId="30BE2C7B" w14:textId="0BA9BB81" w:rsidR="008134C8" w:rsidRPr="007F1682" w:rsidRDefault="002C50EE" w:rsidP="004A448E">
      <w:pPr>
        <w:pStyle w:val="Heading2"/>
      </w:pPr>
      <w:r w:rsidRPr="007F1682">
        <w:t>4.2. Дозировка и начин на приложение</w:t>
      </w:r>
    </w:p>
    <w:p w14:paraId="098B0A60" w14:textId="3619B56E" w:rsidR="005545AB" w:rsidRPr="007F1682" w:rsidRDefault="005545AB" w:rsidP="005545AB"/>
    <w:p w14:paraId="4590E279" w14:textId="77777777" w:rsidR="005545AB" w:rsidRPr="007F1682" w:rsidRDefault="005545AB" w:rsidP="00856328">
      <w:pPr>
        <w:pStyle w:val="Heading3"/>
        <w:rPr>
          <w:rFonts w:ascii="Times New Roman" w:eastAsia="Times New Roman" w:hAnsi="Times New Roman" w:cs="Times New Roman"/>
          <w:sz w:val="32"/>
          <w:u w:val="single"/>
          <w:lang w:eastAsia="bg-BG"/>
        </w:rPr>
      </w:pPr>
      <w:r w:rsidRPr="007F1682">
        <w:rPr>
          <w:rFonts w:eastAsia="Times New Roman"/>
          <w:u w:val="single"/>
          <w:lang w:eastAsia="bg-BG"/>
        </w:rPr>
        <w:t>Дозировка</w:t>
      </w:r>
    </w:p>
    <w:p w14:paraId="56DA4F85" w14:textId="77777777" w:rsidR="005545AB" w:rsidRPr="007F1682" w:rsidRDefault="005545AB" w:rsidP="005545AB">
      <w:pPr>
        <w:spacing w:line="240" w:lineRule="auto"/>
        <w:rPr>
          <w:rFonts w:eastAsia="Times New Roman" w:cs="Arial"/>
          <w:i/>
          <w:iCs/>
          <w:color w:val="000000"/>
          <w:szCs w:val="19"/>
          <w:lang w:eastAsia="bg-BG"/>
        </w:rPr>
      </w:pPr>
    </w:p>
    <w:p w14:paraId="624D16C5" w14:textId="0B5F01F2"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Голямо депресивно разстройство</w:t>
      </w:r>
    </w:p>
    <w:p w14:paraId="426F631A" w14:textId="1C2A8FF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Началната и препоръчителната поддържаща доза е 60 </w:t>
      </w:r>
      <w:r w:rsidRPr="007F1682">
        <w:rPr>
          <w:rFonts w:eastAsia="Times New Roman" w:cs="Arial"/>
          <w:color w:val="000000"/>
          <w:szCs w:val="19"/>
        </w:rPr>
        <w:t xml:space="preserve">mg </w:t>
      </w:r>
      <w:r w:rsidRPr="007F1682">
        <w:rPr>
          <w:rFonts w:eastAsia="Times New Roman" w:cs="Arial"/>
          <w:color w:val="000000"/>
          <w:szCs w:val="19"/>
          <w:lang w:eastAsia="bg-BG"/>
        </w:rPr>
        <w:t>веднъж дневно, със или без храна. В клинични проучвания са оценявани от гледна точка на безопаснос</w:t>
      </w:r>
      <w:r w:rsidR="00E759D4">
        <w:rPr>
          <w:rFonts w:eastAsia="Times New Roman" w:cs="Arial"/>
          <w:color w:val="000000"/>
          <w:szCs w:val="19"/>
          <w:lang w:eastAsia="bg-BG"/>
        </w:rPr>
        <w:t>тт</w:t>
      </w:r>
      <w:r w:rsidRPr="007F1682">
        <w:rPr>
          <w:rFonts w:eastAsia="Times New Roman" w:cs="Arial"/>
          <w:color w:val="000000"/>
          <w:szCs w:val="19"/>
          <w:lang w:eastAsia="bg-BG"/>
        </w:rPr>
        <w:t xml:space="preserve">а дози над 60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веднъж дневно, до максимална доза от 120 </w:t>
      </w:r>
      <w:r w:rsidRPr="007F1682">
        <w:rPr>
          <w:rFonts w:eastAsia="Times New Roman" w:cs="Arial"/>
          <w:color w:val="000000"/>
          <w:szCs w:val="19"/>
        </w:rPr>
        <w:t xml:space="preserve">mg </w:t>
      </w:r>
      <w:r w:rsidRPr="007F1682">
        <w:rPr>
          <w:rFonts w:eastAsia="Times New Roman" w:cs="Arial"/>
          <w:color w:val="000000"/>
          <w:szCs w:val="19"/>
          <w:lang w:eastAsia="bg-BG"/>
        </w:rPr>
        <w:t>веднъж дневно. Въпреки това, няма клинични доказателства, предполагащи че пациентите неотговорили на началната препоръчвана доза, могат да имат полза от покачващо титриране на дозата.</w:t>
      </w:r>
    </w:p>
    <w:p w14:paraId="4639A6A0"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Обикновено терапевтичен отговор се наблюдава след 2’4 седмици лечение.</w:t>
      </w:r>
    </w:p>
    <w:p w14:paraId="2249C080" w14:textId="77777777" w:rsidR="005545AB" w:rsidRPr="007F1682" w:rsidRDefault="005545AB" w:rsidP="005545AB">
      <w:pPr>
        <w:spacing w:line="240" w:lineRule="auto"/>
        <w:rPr>
          <w:rFonts w:eastAsia="Times New Roman" w:cs="Arial"/>
          <w:color w:val="000000"/>
          <w:szCs w:val="19"/>
          <w:lang w:eastAsia="bg-BG"/>
        </w:rPr>
      </w:pPr>
    </w:p>
    <w:p w14:paraId="2CBA1B39" w14:textId="10297A69"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За да бъде предотвратен рецидив, след консолидиране на антидепресивния отговор се препоръчва лечението да продължи няколко месеца. При пациенти, които се повлияват от лечение с дулоксетин и имат анамнеза за повторни епизоди на голяма депресия, може да се вземе под внимание по</w:t>
      </w:r>
      <w:r w:rsidRPr="007F1682">
        <w:rPr>
          <w:rFonts w:eastAsia="Times New Roman" w:cs="Arial"/>
          <w:color w:val="000000"/>
          <w:szCs w:val="19"/>
          <w:lang w:eastAsia="bg-BG"/>
        </w:rPr>
        <w:softHyphen/>
        <w:t xml:space="preserve">нататъшно дългосрочно лечение е доза от 60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до 120 </w:t>
      </w:r>
      <w:r w:rsidRPr="007F1682">
        <w:rPr>
          <w:rFonts w:eastAsia="Times New Roman" w:cs="Arial"/>
          <w:color w:val="000000"/>
          <w:szCs w:val="19"/>
        </w:rPr>
        <w:t>mg</w:t>
      </w:r>
      <w:r w:rsidRPr="007F1682">
        <w:rPr>
          <w:rFonts w:eastAsia="Times New Roman" w:cs="Arial"/>
          <w:color w:val="000000"/>
          <w:szCs w:val="19"/>
          <w:lang w:eastAsia="bg-BG"/>
        </w:rPr>
        <w:t>/дневно.</w:t>
      </w:r>
    </w:p>
    <w:p w14:paraId="5030C15A" w14:textId="77777777" w:rsidR="005545AB" w:rsidRPr="007F1682" w:rsidRDefault="005545AB" w:rsidP="005545AB">
      <w:pPr>
        <w:spacing w:line="240" w:lineRule="auto"/>
        <w:rPr>
          <w:rFonts w:eastAsia="Times New Roman" w:cs="Arial"/>
          <w:i/>
          <w:iCs/>
          <w:color w:val="000000"/>
          <w:szCs w:val="19"/>
          <w:lang w:eastAsia="bg-BG"/>
        </w:rPr>
      </w:pPr>
    </w:p>
    <w:p w14:paraId="7AB31E0A" w14:textId="026AA461"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Генерализирано тревожно разстройство</w:t>
      </w:r>
    </w:p>
    <w:p w14:paraId="449458A6"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Препоръчваната начална доза при пациенти с генерализирано тревожно разстройство е 30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веднъж дневно със или без храна. При пациенти с незадоволителен отговор дозата трябва да се увеличи до 60 </w:t>
      </w:r>
      <w:r w:rsidRPr="007F1682">
        <w:rPr>
          <w:rFonts w:eastAsia="Times New Roman" w:cs="Arial"/>
          <w:color w:val="000000"/>
          <w:szCs w:val="19"/>
        </w:rPr>
        <w:t xml:space="preserve">mg, </w:t>
      </w:r>
      <w:r w:rsidRPr="007F1682">
        <w:rPr>
          <w:rFonts w:eastAsia="Times New Roman" w:cs="Arial"/>
          <w:color w:val="000000"/>
          <w:szCs w:val="19"/>
          <w:lang w:eastAsia="bg-BG"/>
        </w:rPr>
        <w:t>което е обичайната поддържаща доза при повечето пациенти.</w:t>
      </w:r>
    </w:p>
    <w:p w14:paraId="5365D2F9" w14:textId="77777777" w:rsidR="005545AB" w:rsidRPr="007F1682" w:rsidRDefault="005545AB" w:rsidP="005545AB">
      <w:pPr>
        <w:spacing w:line="240" w:lineRule="auto"/>
        <w:rPr>
          <w:rFonts w:eastAsia="Times New Roman" w:cs="Arial"/>
          <w:color w:val="000000"/>
          <w:szCs w:val="19"/>
          <w:lang w:eastAsia="bg-BG"/>
        </w:rPr>
      </w:pPr>
    </w:p>
    <w:p w14:paraId="0A19AB41" w14:textId="797688AA"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При пациенти с коморбидни големи депресивни епизоди началната и поддържащата доза е 60 </w:t>
      </w:r>
      <w:r w:rsidRPr="007F1682">
        <w:rPr>
          <w:rFonts w:eastAsia="Times New Roman" w:cs="Arial"/>
          <w:color w:val="000000"/>
          <w:szCs w:val="19"/>
        </w:rPr>
        <w:t xml:space="preserve">mg </w:t>
      </w:r>
      <w:r w:rsidRPr="007F1682">
        <w:rPr>
          <w:rFonts w:eastAsia="Times New Roman" w:cs="Arial"/>
          <w:color w:val="000000"/>
          <w:szCs w:val="19"/>
          <w:lang w:eastAsia="bg-BG"/>
        </w:rPr>
        <w:t>веднъж дневно (моля, вижте също препоръките за дозиране но-горе).</w:t>
      </w:r>
    </w:p>
    <w:p w14:paraId="462FBAC3" w14:textId="77777777" w:rsidR="005545AB" w:rsidRPr="007F1682" w:rsidRDefault="005545AB" w:rsidP="005545AB">
      <w:pPr>
        <w:spacing w:line="240" w:lineRule="auto"/>
        <w:rPr>
          <w:rFonts w:eastAsia="Times New Roman" w:cs="Arial"/>
          <w:color w:val="000000"/>
          <w:szCs w:val="19"/>
          <w:lang w:eastAsia="bg-BG"/>
        </w:rPr>
      </w:pPr>
    </w:p>
    <w:p w14:paraId="15CB9304" w14:textId="045B85FC"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Дози до 120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дневно са показали, че са ефективни и са оценявани с оглед на безопасността при клинични проучвания. Следователно, при пациенти с незадоволителен отговор до 60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увеличение до 90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или 120 </w:t>
      </w:r>
      <w:r w:rsidRPr="007F1682">
        <w:rPr>
          <w:rFonts w:eastAsia="Times New Roman" w:cs="Arial"/>
          <w:color w:val="000000"/>
          <w:szCs w:val="19"/>
        </w:rPr>
        <w:t xml:space="preserve">mg </w:t>
      </w:r>
      <w:r w:rsidRPr="007F1682">
        <w:rPr>
          <w:rFonts w:eastAsia="Times New Roman" w:cs="Arial"/>
          <w:color w:val="000000"/>
          <w:szCs w:val="19"/>
          <w:lang w:eastAsia="bg-BG"/>
        </w:rPr>
        <w:t>може да се има предвид. Увеличението на дозата трябва да е въз основа на клиничния отговор и поносимост.</w:t>
      </w:r>
    </w:p>
    <w:p w14:paraId="53CFD0F0" w14:textId="77777777" w:rsidR="005545AB" w:rsidRPr="007F1682" w:rsidRDefault="005545AB" w:rsidP="005545AB">
      <w:pPr>
        <w:spacing w:line="240" w:lineRule="auto"/>
        <w:rPr>
          <w:rFonts w:eastAsia="Times New Roman" w:cs="Arial"/>
          <w:color w:val="000000"/>
          <w:szCs w:val="19"/>
          <w:lang w:eastAsia="bg-BG"/>
        </w:rPr>
      </w:pPr>
    </w:p>
    <w:p w14:paraId="3DD3AEFC" w14:textId="301C96BE"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След консолидиране на отговора, се препоръчва да се продължи лечението за няколко месеца, за да се избегне рецидив.</w:t>
      </w:r>
    </w:p>
    <w:p w14:paraId="255C1D49" w14:textId="77777777" w:rsidR="005545AB" w:rsidRPr="007F1682" w:rsidRDefault="005545AB" w:rsidP="005545AB">
      <w:pPr>
        <w:spacing w:line="240" w:lineRule="auto"/>
        <w:rPr>
          <w:rFonts w:eastAsia="Times New Roman" w:cs="Arial"/>
          <w:i/>
          <w:iCs/>
          <w:color w:val="000000"/>
          <w:szCs w:val="19"/>
          <w:lang w:eastAsia="bg-BG"/>
        </w:rPr>
      </w:pPr>
    </w:p>
    <w:p w14:paraId="7CECCBAA" w14:textId="668F5FD3"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Диабетна периферна невропатна болка</w:t>
      </w:r>
    </w:p>
    <w:p w14:paraId="13520B6A" w14:textId="59DC481E" w:rsidR="005545AB" w:rsidRPr="007F1682" w:rsidRDefault="005545AB" w:rsidP="005545AB">
      <w:pPr>
        <w:rPr>
          <w:rFonts w:eastAsia="Times New Roman" w:cs="Arial"/>
          <w:color w:val="000000"/>
          <w:szCs w:val="19"/>
          <w:lang w:eastAsia="bg-BG"/>
        </w:rPr>
      </w:pPr>
      <w:r w:rsidRPr="007F1682">
        <w:rPr>
          <w:rFonts w:eastAsia="Times New Roman" w:cs="Arial"/>
          <w:color w:val="000000"/>
          <w:szCs w:val="19"/>
          <w:lang w:eastAsia="bg-BG"/>
        </w:rPr>
        <w:t xml:space="preserve">Началната и препоръчителната поддържаща доза е 60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веднъж дневно, със или без хранене. В клинични проучвания са оценявани от гледна точка на безопасността дози над 60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веднъж дневно, до максимална доза от 120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дневно, приложена като равно </w:t>
      </w:r>
      <w:r w:rsidRPr="007F1682">
        <w:rPr>
          <w:rFonts w:eastAsia="Times New Roman" w:cs="Arial"/>
          <w:color w:val="000000"/>
          <w:szCs w:val="19"/>
          <w:lang w:eastAsia="bg-BG"/>
        </w:rPr>
        <w:lastRenderedPageBreak/>
        <w:t xml:space="preserve">разделени приеми. Плазмените концентрации на дулоксетин проявяват голяма интсриндивидуална вариабилност (вж. точка 5.2). Следователно, на някои пациенти, които са отговорили незадоволително на 60 </w:t>
      </w:r>
      <w:r w:rsidRPr="007F1682">
        <w:rPr>
          <w:rFonts w:eastAsia="Times New Roman" w:cs="Arial"/>
          <w:color w:val="000000"/>
          <w:szCs w:val="19"/>
        </w:rPr>
        <w:t xml:space="preserve">mg. </w:t>
      </w:r>
      <w:r w:rsidRPr="007F1682">
        <w:rPr>
          <w:rFonts w:eastAsia="Times New Roman" w:cs="Arial"/>
          <w:color w:val="000000"/>
          <w:szCs w:val="19"/>
          <w:lang w:eastAsia="bg-BG"/>
        </w:rPr>
        <w:t>могат да са полезни по-големи дози.</w:t>
      </w:r>
    </w:p>
    <w:p w14:paraId="72C7957D" w14:textId="6DBEE082" w:rsidR="005545AB" w:rsidRPr="007F1682" w:rsidRDefault="005545AB" w:rsidP="005545AB">
      <w:pPr>
        <w:rPr>
          <w:rFonts w:eastAsia="Times New Roman" w:cs="Arial"/>
          <w:color w:val="000000"/>
          <w:szCs w:val="19"/>
          <w:lang w:eastAsia="bg-BG"/>
        </w:rPr>
      </w:pPr>
    </w:p>
    <w:p w14:paraId="2AD300A7"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Отговорът към лечението трябва да бъде оценяван след 2 месеца. При пациенти с недостатъчно първоначално повлияване е малко вероятен допълнителен отговор след този период.</w:t>
      </w:r>
    </w:p>
    <w:p w14:paraId="03DD73FE" w14:textId="77777777" w:rsidR="005545AB" w:rsidRPr="007F1682" w:rsidRDefault="005545AB" w:rsidP="005545AB">
      <w:pPr>
        <w:spacing w:line="240" w:lineRule="auto"/>
        <w:rPr>
          <w:rFonts w:eastAsia="Times New Roman" w:cs="Arial"/>
          <w:color w:val="000000"/>
          <w:szCs w:val="19"/>
          <w:lang w:eastAsia="bg-BG"/>
        </w:rPr>
      </w:pPr>
    </w:p>
    <w:p w14:paraId="7BCCC4EE" w14:textId="365C094C"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Терапевтичната полза трябва да бъде преоценявана регулярно (поне на всеки три месеца) (вж. точка 5.1).</w:t>
      </w:r>
    </w:p>
    <w:p w14:paraId="17825B1F" w14:textId="77777777" w:rsidR="005545AB" w:rsidRPr="007F1682" w:rsidRDefault="005545AB" w:rsidP="005545AB">
      <w:pPr>
        <w:spacing w:line="240" w:lineRule="auto"/>
        <w:rPr>
          <w:rFonts w:eastAsia="Times New Roman" w:cs="Arial"/>
          <w:color w:val="000000"/>
          <w:szCs w:val="19"/>
          <w:u w:val="single"/>
          <w:lang w:eastAsia="bg-BG"/>
        </w:rPr>
      </w:pPr>
    </w:p>
    <w:p w14:paraId="79ABDC7D" w14:textId="6B222214"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u w:val="single"/>
          <w:lang w:eastAsia="bg-BG"/>
        </w:rPr>
        <w:t>Специални популации</w:t>
      </w:r>
    </w:p>
    <w:p w14:paraId="19D25D8F" w14:textId="77777777" w:rsidR="005545AB" w:rsidRPr="007F1682" w:rsidRDefault="005545AB" w:rsidP="005545AB">
      <w:pPr>
        <w:spacing w:line="240" w:lineRule="auto"/>
        <w:rPr>
          <w:rFonts w:eastAsia="Times New Roman" w:cs="Arial"/>
          <w:i/>
          <w:iCs/>
          <w:color w:val="000000"/>
          <w:szCs w:val="19"/>
          <w:lang w:eastAsia="bg-BG"/>
        </w:rPr>
      </w:pPr>
    </w:p>
    <w:p w14:paraId="51369554" w14:textId="7EEE5F7E"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Пациенти в старческа възраст</w:t>
      </w:r>
      <w:r w:rsidRPr="007F1682">
        <w:rPr>
          <w:rFonts w:eastAsia="Times New Roman" w:cs="Arial"/>
          <w:i/>
          <w:iCs/>
          <w:color w:val="000000"/>
          <w:szCs w:val="19"/>
          <w:lang w:eastAsia="bg-BG"/>
        </w:rPr>
        <w:tab/>
      </w:r>
    </w:p>
    <w:p w14:paraId="57C60B45" w14:textId="3845B55F" w:rsidR="005545AB" w:rsidRPr="007F1682" w:rsidRDefault="005545AB" w:rsidP="005545AB">
      <w:pPr>
        <w:spacing w:line="240" w:lineRule="auto"/>
        <w:rPr>
          <w:rFonts w:eastAsia="Times New Roman" w:cs="Arial"/>
          <w:color w:val="000000"/>
          <w:szCs w:val="19"/>
          <w:lang w:eastAsia="bg-BG"/>
        </w:rPr>
      </w:pPr>
      <w:r w:rsidRPr="007F1682">
        <w:rPr>
          <w:rFonts w:eastAsia="Times New Roman" w:cs="Arial"/>
          <w:color w:val="000000"/>
          <w:szCs w:val="19"/>
          <w:lang w:eastAsia="bg-BG"/>
        </w:rPr>
        <w:t xml:space="preserve">При пациенти в старческа възраст не се препоръчва адаптиране на дозата единствено въз основа на възрастта. Въпреки това, подобно на всеки лекарствен продукт, се изисква внимание когато се лекуват пациенти в старческа възраст, особено със 120 </w:t>
      </w:r>
      <w:r w:rsidRPr="007F1682">
        <w:rPr>
          <w:rFonts w:eastAsia="Times New Roman" w:cs="Arial"/>
          <w:color w:val="000000"/>
          <w:szCs w:val="19"/>
        </w:rPr>
        <w:t xml:space="preserve">mg </w:t>
      </w:r>
      <w:r w:rsidRPr="007F1682">
        <w:rPr>
          <w:rFonts w:eastAsia="Times New Roman" w:cs="Arial"/>
          <w:color w:val="000000"/>
          <w:szCs w:val="19"/>
          <w:lang w:eastAsia="bg-BG"/>
        </w:rPr>
        <w:t>дулоксетин дневно при големи</w:t>
      </w:r>
      <w:r w:rsidRPr="007F1682">
        <w:rPr>
          <w:rFonts w:eastAsia="Times New Roman" w:cs="Arial"/>
          <w:i/>
          <w:iCs/>
          <w:color w:val="000000"/>
          <w:szCs w:val="19"/>
          <w:lang w:eastAsia="bg-BG"/>
        </w:rPr>
        <w:t xml:space="preserve"> </w:t>
      </w:r>
      <w:r w:rsidRPr="007F1682">
        <w:rPr>
          <w:rFonts w:eastAsia="Times New Roman" w:cs="Arial"/>
          <w:color w:val="000000"/>
          <w:szCs w:val="19"/>
          <w:lang w:eastAsia="bg-BG"/>
        </w:rPr>
        <w:t>депресивни епизоди или генерализирано тревожно разстройство, за което има ограничени данни.</w:t>
      </w:r>
    </w:p>
    <w:p w14:paraId="4EB7BE0E" w14:textId="29F178BE" w:rsidR="005545AB" w:rsidRPr="007F1682" w:rsidRDefault="005545AB" w:rsidP="005545AB">
      <w:pPr>
        <w:rPr>
          <w:rFonts w:eastAsia="Times New Roman" w:cs="Arial"/>
          <w:color w:val="000000"/>
          <w:szCs w:val="19"/>
          <w:lang w:eastAsia="bg-BG"/>
        </w:rPr>
      </w:pPr>
      <w:r w:rsidRPr="007F1682">
        <w:rPr>
          <w:rFonts w:eastAsia="Times New Roman" w:cs="Arial"/>
          <w:color w:val="000000"/>
          <w:szCs w:val="19"/>
          <w:lang w:eastAsia="bg-BG"/>
        </w:rPr>
        <w:t>(вж. точка 4.4 и точка 5.2).</w:t>
      </w:r>
    </w:p>
    <w:p w14:paraId="2FB1CB52" w14:textId="52D1C867" w:rsidR="005545AB" w:rsidRPr="007F1682" w:rsidRDefault="005545AB" w:rsidP="005545AB">
      <w:pPr>
        <w:rPr>
          <w:rFonts w:eastAsia="Times New Roman" w:cs="Arial"/>
          <w:color w:val="000000"/>
          <w:sz w:val="28"/>
          <w:szCs w:val="19"/>
          <w:lang w:eastAsia="bg-BG"/>
        </w:rPr>
      </w:pPr>
    </w:p>
    <w:p w14:paraId="53BC08C9"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Чернодробно увреждане</w:t>
      </w:r>
    </w:p>
    <w:p w14:paraId="6FA9E9D9"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Дулоксетин не трябва да се използва при пациенти с чернодробно заболяване, довело до чернодробна недостатъчност (вж. точка 4.3. и точка 5.2).</w:t>
      </w:r>
    </w:p>
    <w:p w14:paraId="290F4F61" w14:textId="77777777" w:rsidR="005545AB" w:rsidRPr="007F1682" w:rsidRDefault="005545AB" w:rsidP="005545AB">
      <w:pPr>
        <w:spacing w:line="240" w:lineRule="auto"/>
        <w:rPr>
          <w:rFonts w:eastAsia="Times New Roman" w:cs="Arial"/>
          <w:i/>
          <w:iCs/>
          <w:color w:val="000000"/>
          <w:szCs w:val="19"/>
          <w:lang w:eastAsia="bg-BG"/>
        </w:rPr>
      </w:pPr>
    </w:p>
    <w:p w14:paraId="647D1A13" w14:textId="6F97AE86"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Бъбречно увреждане</w:t>
      </w:r>
    </w:p>
    <w:p w14:paraId="2E5E28A4"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Не е необходимо коригиране на дозата при пациенти с лека до умерена бъбречна дисфункция (креатининов клирънс 30-80 </w:t>
      </w:r>
      <w:r w:rsidRPr="007F1682">
        <w:rPr>
          <w:rFonts w:eastAsia="Times New Roman" w:cs="Arial"/>
          <w:color w:val="000000"/>
          <w:szCs w:val="19"/>
        </w:rPr>
        <w:t xml:space="preserve">ml/min). </w:t>
      </w:r>
      <w:r w:rsidRPr="007F1682">
        <w:rPr>
          <w:rFonts w:eastAsia="Times New Roman" w:cs="Arial"/>
          <w:color w:val="000000"/>
          <w:szCs w:val="19"/>
          <w:lang w:eastAsia="bg-BG"/>
        </w:rPr>
        <w:t xml:space="preserve">Дулоксетин не трябва да се употребява при пациенти с тежко бъбречно увреждане (креатининов клирънс &lt;30 </w:t>
      </w:r>
      <w:r w:rsidRPr="007F1682">
        <w:rPr>
          <w:rFonts w:eastAsia="Times New Roman" w:cs="Arial"/>
          <w:color w:val="000000"/>
          <w:szCs w:val="19"/>
        </w:rPr>
        <w:t xml:space="preserve">ml/min, </w:t>
      </w:r>
      <w:r w:rsidRPr="007F1682">
        <w:rPr>
          <w:rFonts w:eastAsia="Times New Roman" w:cs="Arial"/>
          <w:color w:val="000000"/>
          <w:szCs w:val="19"/>
          <w:lang w:eastAsia="bg-BG"/>
        </w:rPr>
        <w:t>вж. точка 4.3).</w:t>
      </w:r>
    </w:p>
    <w:p w14:paraId="7E40E3A0" w14:textId="77777777" w:rsidR="005545AB" w:rsidRPr="007F1682" w:rsidRDefault="005545AB" w:rsidP="005545AB">
      <w:pPr>
        <w:spacing w:line="240" w:lineRule="auto"/>
        <w:rPr>
          <w:rFonts w:eastAsia="Times New Roman" w:cs="Arial"/>
          <w:i/>
          <w:iCs/>
          <w:color w:val="000000"/>
          <w:szCs w:val="19"/>
          <w:lang w:eastAsia="bg-BG"/>
        </w:rPr>
      </w:pPr>
    </w:p>
    <w:p w14:paraId="6D49D7F8" w14:textId="4B650A1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Педиатрична популация</w:t>
      </w:r>
    </w:p>
    <w:p w14:paraId="44EF2E5E"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Дулоксетин не трябва да се употребява при деца и юноши на възраст под 18 години за лечение на голямо депресивно разстройство, поради съображения за безопасност и ефикасност (вж. точки 4.4. 4.8 и 5.1).</w:t>
      </w:r>
    </w:p>
    <w:p w14:paraId="5B30299F" w14:textId="77777777" w:rsidR="005545AB" w:rsidRPr="007F1682" w:rsidRDefault="005545AB" w:rsidP="005545AB">
      <w:pPr>
        <w:spacing w:line="240" w:lineRule="auto"/>
        <w:rPr>
          <w:rFonts w:eastAsia="Times New Roman" w:cs="Arial"/>
          <w:color w:val="000000"/>
          <w:szCs w:val="19"/>
          <w:lang w:eastAsia="bg-BG"/>
        </w:rPr>
      </w:pPr>
    </w:p>
    <w:p w14:paraId="26D2ADEF" w14:textId="1A697813"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Безопасността и ефикасността на дулоксетин за лечение на генерализирано тревожно разстройство при педиатрични </w:t>
      </w:r>
      <w:r w:rsidRPr="007F1682">
        <w:rPr>
          <w:rFonts w:eastAsia="Times New Roman" w:cs="Arial"/>
          <w:i/>
          <w:iCs/>
          <w:color w:val="000000"/>
          <w:szCs w:val="19"/>
          <w:lang w:eastAsia="bg-BG"/>
        </w:rPr>
        <w:t>пациенти на</w:t>
      </w:r>
      <w:r w:rsidRPr="007F1682">
        <w:rPr>
          <w:rFonts w:eastAsia="Times New Roman" w:cs="Arial"/>
          <w:color w:val="000000"/>
          <w:szCs w:val="19"/>
          <w:lang w:eastAsia="bg-BG"/>
        </w:rPr>
        <w:t xml:space="preserve"> възраст 7-17 години не са установени. Допълните понастоящем данни са описани в точки 4.8. 5.1 и 5.2.</w:t>
      </w:r>
    </w:p>
    <w:p w14:paraId="2A1CAE62" w14:textId="77777777" w:rsidR="005545AB" w:rsidRPr="007F1682" w:rsidRDefault="005545AB" w:rsidP="005545AB">
      <w:pPr>
        <w:spacing w:line="240" w:lineRule="auto"/>
        <w:rPr>
          <w:rFonts w:eastAsia="Times New Roman" w:cs="Arial"/>
          <w:color w:val="000000"/>
          <w:szCs w:val="19"/>
          <w:lang w:eastAsia="bg-BG"/>
        </w:rPr>
      </w:pPr>
    </w:p>
    <w:p w14:paraId="7B675EDF" w14:textId="61B9A5DB"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Безопасността и ефикасността на дулоксетин за лечение на диабетна периферна невропатна болка не са изследвани. Липсват данни.</w:t>
      </w:r>
    </w:p>
    <w:p w14:paraId="15DFECB9" w14:textId="77777777" w:rsidR="005545AB" w:rsidRPr="007F1682" w:rsidRDefault="005545AB" w:rsidP="005545AB">
      <w:pPr>
        <w:spacing w:line="240" w:lineRule="auto"/>
        <w:rPr>
          <w:rFonts w:eastAsia="Times New Roman" w:cs="Arial"/>
          <w:i/>
          <w:iCs/>
          <w:color w:val="000000"/>
          <w:szCs w:val="19"/>
          <w:lang w:eastAsia="bg-BG"/>
        </w:rPr>
      </w:pPr>
    </w:p>
    <w:p w14:paraId="47AF81EE" w14:textId="295AA7B1"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Прекъсване на лечението</w:t>
      </w:r>
    </w:p>
    <w:p w14:paraId="3318571C"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Трябва да се избягва рязко прекъсване. Когато се прекъсва лечение с дулоксетин, дозата трябва да бъде намалявана постепенно за период от поне една до две седмици, за да се намали риска от реакции на отнемане (вж. точка 4.4. и точка 4.8). Ако след намаляване на дозата или при прекъсване на лечението се появяват симптоми на непоносимост трябва да се има предвид подновяване на назначената преди това доза. Впоследствие, лекарят може да продължи да намалява дозата, но по- пеете пенно.</w:t>
      </w:r>
    </w:p>
    <w:p w14:paraId="0B26F089" w14:textId="77777777" w:rsidR="005545AB" w:rsidRPr="007F1682" w:rsidRDefault="005545AB" w:rsidP="005545AB">
      <w:pPr>
        <w:spacing w:line="240" w:lineRule="auto"/>
        <w:rPr>
          <w:rFonts w:eastAsia="Times New Roman" w:cs="Arial"/>
          <w:color w:val="000000"/>
          <w:szCs w:val="19"/>
          <w:lang w:eastAsia="bg-BG"/>
        </w:rPr>
      </w:pPr>
    </w:p>
    <w:p w14:paraId="47D2AA3C" w14:textId="4A892A42" w:rsidR="005545AB" w:rsidRPr="007F1682" w:rsidRDefault="005545AB" w:rsidP="00856328">
      <w:pPr>
        <w:pStyle w:val="Heading3"/>
        <w:rPr>
          <w:rFonts w:ascii="Times New Roman" w:eastAsia="Times New Roman" w:hAnsi="Times New Roman" w:cs="Times New Roman"/>
          <w:sz w:val="32"/>
          <w:u w:val="single"/>
          <w:lang w:eastAsia="bg-BG"/>
        </w:rPr>
      </w:pPr>
      <w:r w:rsidRPr="007F1682">
        <w:rPr>
          <w:rFonts w:eastAsia="Times New Roman"/>
          <w:u w:val="single"/>
          <w:lang w:eastAsia="bg-BG"/>
        </w:rPr>
        <w:t>Начин на приложение</w:t>
      </w:r>
    </w:p>
    <w:p w14:paraId="74235346" w14:textId="77777777" w:rsidR="005545AB" w:rsidRPr="007F1682" w:rsidRDefault="005545AB" w:rsidP="005545AB">
      <w:pPr>
        <w:rPr>
          <w:rFonts w:eastAsia="Times New Roman" w:cs="Arial"/>
          <w:color w:val="000000"/>
          <w:szCs w:val="19"/>
          <w:lang w:eastAsia="bg-BG"/>
        </w:rPr>
      </w:pPr>
    </w:p>
    <w:p w14:paraId="5501F96C" w14:textId="6FE660FA" w:rsidR="005545AB" w:rsidRPr="007F1682" w:rsidRDefault="005545AB" w:rsidP="005545AB">
      <w:pPr>
        <w:rPr>
          <w:rFonts w:eastAsia="Times New Roman" w:cs="Arial"/>
          <w:color w:val="000000"/>
          <w:szCs w:val="19"/>
          <w:lang w:eastAsia="bg-BG"/>
        </w:rPr>
      </w:pPr>
      <w:r w:rsidRPr="007F1682">
        <w:rPr>
          <w:rFonts w:eastAsia="Times New Roman" w:cs="Arial"/>
          <w:color w:val="000000"/>
          <w:szCs w:val="19"/>
          <w:lang w:eastAsia="bg-BG"/>
        </w:rPr>
        <w:t>За перорално приложение.</w:t>
      </w:r>
    </w:p>
    <w:p w14:paraId="258C57AB" w14:textId="77777777" w:rsidR="005545AB" w:rsidRPr="007F1682" w:rsidRDefault="005545AB" w:rsidP="005545AB">
      <w:pPr>
        <w:rPr>
          <w:sz w:val="28"/>
        </w:rPr>
      </w:pPr>
    </w:p>
    <w:p w14:paraId="28C984E8" w14:textId="0A3E9965" w:rsidR="008134C8" w:rsidRPr="007F1682" w:rsidRDefault="002C50EE" w:rsidP="004A448E">
      <w:pPr>
        <w:pStyle w:val="Heading2"/>
      </w:pPr>
      <w:r w:rsidRPr="007F1682">
        <w:t>4.3. Противопоказания</w:t>
      </w:r>
    </w:p>
    <w:p w14:paraId="1E8F8000" w14:textId="022E3E58" w:rsidR="005545AB" w:rsidRPr="007F1682" w:rsidRDefault="005545AB" w:rsidP="005545AB"/>
    <w:p w14:paraId="0C84CBB2" w14:textId="1E632707" w:rsidR="005545AB" w:rsidRPr="00090BF8" w:rsidRDefault="005545AB" w:rsidP="00090BF8">
      <w:pPr>
        <w:pStyle w:val="ListParagraph"/>
        <w:numPr>
          <w:ilvl w:val="0"/>
          <w:numId w:val="35"/>
        </w:numPr>
        <w:spacing w:line="240" w:lineRule="auto"/>
        <w:rPr>
          <w:rFonts w:ascii="Times New Roman" w:eastAsia="Times New Roman" w:hAnsi="Times New Roman" w:cs="Times New Roman"/>
          <w:sz w:val="32"/>
          <w:szCs w:val="24"/>
          <w:lang w:eastAsia="bg-BG"/>
        </w:rPr>
      </w:pPr>
      <w:r w:rsidRPr="00090BF8">
        <w:rPr>
          <w:rFonts w:eastAsia="Times New Roman" w:cs="Arial"/>
          <w:color w:val="000000"/>
          <w:szCs w:val="19"/>
          <w:lang w:eastAsia="bg-BG"/>
        </w:rPr>
        <w:t>Свръхчувствителност към активното вещество или някое от помощните вещества, изброени в точка 6.1.</w:t>
      </w:r>
    </w:p>
    <w:p w14:paraId="5D872F79" w14:textId="40189E30" w:rsidR="005545AB" w:rsidRPr="00090BF8" w:rsidRDefault="005545AB" w:rsidP="00090BF8">
      <w:pPr>
        <w:pStyle w:val="ListParagraph"/>
        <w:numPr>
          <w:ilvl w:val="0"/>
          <w:numId w:val="35"/>
        </w:numPr>
        <w:spacing w:line="240" w:lineRule="auto"/>
        <w:rPr>
          <w:rFonts w:ascii="Times New Roman" w:eastAsia="Times New Roman" w:hAnsi="Times New Roman" w:cs="Times New Roman"/>
          <w:sz w:val="32"/>
          <w:szCs w:val="24"/>
          <w:lang w:eastAsia="bg-BG"/>
        </w:rPr>
      </w:pPr>
      <w:r w:rsidRPr="00090BF8">
        <w:rPr>
          <w:rFonts w:eastAsia="Times New Roman" w:cs="Arial"/>
          <w:color w:val="000000"/>
          <w:szCs w:val="19"/>
          <w:lang w:eastAsia="bg-BG"/>
        </w:rPr>
        <w:t xml:space="preserve">Едновременното приложение на дулоксетин с неселективни. необратими инхибитори на моноаминооксидазата </w:t>
      </w:r>
      <w:r w:rsidRPr="00090BF8">
        <w:rPr>
          <w:rFonts w:eastAsia="Times New Roman" w:cs="Arial"/>
          <w:color w:val="000000"/>
          <w:szCs w:val="19"/>
        </w:rPr>
        <w:t>(MAO</w:t>
      </w:r>
      <w:r w:rsidRPr="00090BF8">
        <w:rPr>
          <w:rFonts w:eastAsia="Times New Roman" w:cs="Arial"/>
          <w:color w:val="000000"/>
          <w:szCs w:val="19"/>
          <w:lang w:eastAsia="bg-BG"/>
        </w:rPr>
        <w:t>-инхибитори) е противопоказано (вж. точка 4.5).</w:t>
      </w:r>
    </w:p>
    <w:p w14:paraId="26351D8F" w14:textId="7945EBAE" w:rsidR="005545AB" w:rsidRPr="00090BF8" w:rsidRDefault="005545AB" w:rsidP="00090BF8">
      <w:pPr>
        <w:pStyle w:val="ListParagraph"/>
        <w:numPr>
          <w:ilvl w:val="0"/>
          <w:numId w:val="35"/>
        </w:numPr>
        <w:spacing w:line="240" w:lineRule="auto"/>
        <w:rPr>
          <w:rFonts w:ascii="Times New Roman" w:eastAsia="Times New Roman" w:hAnsi="Times New Roman" w:cs="Times New Roman"/>
          <w:sz w:val="32"/>
          <w:szCs w:val="24"/>
          <w:lang w:eastAsia="bg-BG"/>
        </w:rPr>
      </w:pPr>
      <w:r w:rsidRPr="00090BF8">
        <w:rPr>
          <w:rFonts w:eastAsia="Times New Roman" w:cs="Arial"/>
          <w:color w:val="000000"/>
          <w:szCs w:val="19"/>
          <w:lang w:eastAsia="bg-BG"/>
        </w:rPr>
        <w:t>Чернодробно заболяване, водещо до чернодробно увреждане (вж. точка 5,2).</w:t>
      </w:r>
    </w:p>
    <w:p w14:paraId="5EBBC04D" w14:textId="72277F64" w:rsidR="005545AB" w:rsidRPr="00090BF8" w:rsidRDefault="005545AB" w:rsidP="00090BF8">
      <w:pPr>
        <w:pStyle w:val="ListParagraph"/>
        <w:numPr>
          <w:ilvl w:val="0"/>
          <w:numId w:val="35"/>
        </w:numPr>
        <w:spacing w:line="240" w:lineRule="auto"/>
        <w:rPr>
          <w:rFonts w:ascii="Times New Roman" w:eastAsia="Times New Roman" w:hAnsi="Times New Roman" w:cs="Times New Roman"/>
          <w:sz w:val="32"/>
          <w:szCs w:val="24"/>
          <w:lang w:eastAsia="bg-BG"/>
        </w:rPr>
      </w:pPr>
      <w:r w:rsidRPr="00090BF8">
        <w:rPr>
          <w:rFonts w:eastAsia="Times New Roman" w:cs="Arial"/>
          <w:color w:val="000000"/>
          <w:szCs w:val="19"/>
          <w:lang w:eastAsia="bg-BG"/>
        </w:rPr>
        <w:t xml:space="preserve">Дулоксетин не трябва да се прилага в комбинация с флувоксамин. ципрофлоксацин или еноксацин (т.е. мощни </w:t>
      </w:r>
      <w:r w:rsidRPr="00090BF8">
        <w:rPr>
          <w:rFonts w:eastAsia="Times New Roman" w:cs="Arial"/>
          <w:color w:val="000000"/>
          <w:szCs w:val="19"/>
        </w:rPr>
        <w:t xml:space="preserve">CYPIA2 </w:t>
      </w:r>
      <w:r w:rsidRPr="00090BF8">
        <w:rPr>
          <w:rFonts w:eastAsia="Times New Roman" w:cs="Arial"/>
          <w:color w:val="000000"/>
          <w:szCs w:val="19"/>
          <w:lang w:eastAsia="bg-BG"/>
        </w:rPr>
        <w:t>инхибитори), тъй като комбинирането води до повишени плазмени концентрации на дулоксетин (вж. точка 4.5).</w:t>
      </w:r>
    </w:p>
    <w:p w14:paraId="63CD4381" w14:textId="1937864A" w:rsidR="005545AB" w:rsidRPr="00C16EC9" w:rsidRDefault="005545AB" w:rsidP="00C16EC9">
      <w:pPr>
        <w:pStyle w:val="ListParagraph"/>
        <w:numPr>
          <w:ilvl w:val="0"/>
          <w:numId w:val="35"/>
        </w:numPr>
        <w:spacing w:line="240" w:lineRule="auto"/>
        <w:rPr>
          <w:rFonts w:ascii="Times New Roman" w:eastAsia="Times New Roman" w:hAnsi="Times New Roman" w:cs="Times New Roman"/>
          <w:sz w:val="32"/>
          <w:szCs w:val="24"/>
          <w:lang w:eastAsia="bg-BG"/>
        </w:rPr>
      </w:pPr>
      <w:r w:rsidRPr="00C16EC9">
        <w:rPr>
          <w:rFonts w:eastAsia="Times New Roman" w:cs="Arial"/>
          <w:color w:val="000000"/>
          <w:szCs w:val="19"/>
          <w:lang w:eastAsia="bg-BG"/>
        </w:rPr>
        <w:t xml:space="preserve">Тежко бъбречно увреждане (креатининов клирънс &lt;30 </w:t>
      </w:r>
      <w:r w:rsidRPr="00C16EC9">
        <w:rPr>
          <w:rFonts w:eastAsia="Times New Roman" w:cs="Arial"/>
          <w:color w:val="000000"/>
          <w:szCs w:val="19"/>
        </w:rPr>
        <w:t xml:space="preserve">ml/min, </w:t>
      </w:r>
      <w:r w:rsidRPr="00C16EC9">
        <w:rPr>
          <w:rFonts w:eastAsia="Times New Roman" w:cs="Arial"/>
          <w:color w:val="000000"/>
          <w:szCs w:val="19"/>
          <w:lang w:eastAsia="bg-BG"/>
        </w:rPr>
        <w:t>вж. точка 4.4),</w:t>
      </w:r>
    </w:p>
    <w:p w14:paraId="431A6E3D" w14:textId="560D3FBA" w:rsidR="005545AB" w:rsidRPr="00C16EC9" w:rsidRDefault="005545AB" w:rsidP="00C16EC9">
      <w:pPr>
        <w:pStyle w:val="ListParagraph"/>
        <w:numPr>
          <w:ilvl w:val="0"/>
          <w:numId w:val="35"/>
        </w:numPr>
        <w:rPr>
          <w:sz w:val="28"/>
        </w:rPr>
      </w:pPr>
      <w:r w:rsidRPr="00C16EC9">
        <w:rPr>
          <w:rFonts w:eastAsia="Times New Roman" w:cs="Arial"/>
          <w:color w:val="000000"/>
          <w:szCs w:val="19"/>
          <w:lang w:eastAsia="bg-BG"/>
        </w:rPr>
        <w:t>Започване на лечение със дулоксетин е противопоказано при пациенти с неконтролирана хипертония, тъй като може да изложи пациентите на потенциален риск от хипертонична криза (вж. точка 4.4 и точка 4.8).</w:t>
      </w:r>
    </w:p>
    <w:p w14:paraId="2B5C97C5" w14:textId="1A372714" w:rsidR="005545AB" w:rsidRPr="007F1682" w:rsidRDefault="005545AB" w:rsidP="005545AB"/>
    <w:p w14:paraId="50E2DAD2" w14:textId="77777777" w:rsidR="005545AB" w:rsidRPr="007F1682" w:rsidRDefault="005545AB" w:rsidP="005545AB"/>
    <w:p w14:paraId="212F509C" w14:textId="23DF32F0" w:rsidR="004F498A" w:rsidRPr="007F1682" w:rsidRDefault="002C50EE" w:rsidP="004A448E">
      <w:pPr>
        <w:pStyle w:val="Heading2"/>
      </w:pPr>
      <w:r w:rsidRPr="007F1682">
        <w:t>4.4. Специални предупреждения и предпазни мерки при употреба</w:t>
      </w:r>
    </w:p>
    <w:p w14:paraId="44B1F46F" w14:textId="79FB1898" w:rsidR="005545AB" w:rsidRPr="007F1682" w:rsidRDefault="005545AB" w:rsidP="005545AB"/>
    <w:p w14:paraId="709CC4F3"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Мания и припадъци</w:t>
      </w:r>
    </w:p>
    <w:p w14:paraId="493C96B0"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Дулоксетин трябва да се прилага с внимание при пациенти с анамнеза за мания или с диагноза</w:t>
      </w:r>
      <w:r w:rsidRPr="007F1682">
        <w:rPr>
          <w:rFonts w:eastAsia="Times New Roman" w:cs="Arial"/>
          <w:color w:val="000000"/>
          <w:szCs w:val="19"/>
        </w:rPr>
        <w:tab/>
      </w:r>
    </w:p>
    <w:p w14:paraId="30EB69FE" w14:textId="356A0005" w:rsidR="005545AB" w:rsidRPr="007F1682" w:rsidRDefault="005545AB" w:rsidP="005545AB">
      <w:pPr>
        <w:rPr>
          <w:rFonts w:eastAsia="Times New Roman" w:cs="Arial"/>
          <w:color w:val="000000"/>
          <w:szCs w:val="19"/>
          <w:lang w:eastAsia="bg-BG"/>
        </w:rPr>
      </w:pPr>
      <w:r w:rsidRPr="007F1682">
        <w:rPr>
          <w:rFonts w:eastAsia="Times New Roman" w:cs="Arial"/>
          <w:color w:val="000000"/>
          <w:szCs w:val="19"/>
          <w:lang w:eastAsia="bg-BG"/>
        </w:rPr>
        <w:t>биполярно разстройство, и/или припадъци.</w:t>
      </w:r>
    </w:p>
    <w:p w14:paraId="3E8F89D9" w14:textId="23A80EFE" w:rsidR="005545AB" w:rsidRPr="007F1682" w:rsidRDefault="005545AB" w:rsidP="005545AB">
      <w:pPr>
        <w:rPr>
          <w:rFonts w:eastAsia="Times New Roman" w:cs="Arial"/>
          <w:color w:val="000000"/>
          <w:szCs w:val="19"/>
          <w:lang w:eastAsia="bg-BG"/>
        </w:rPr>
      </w:pPr>
    </w:p>
    <w:p w14:paraId="05237C5A"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Мидриаза</w:t>
      </w:r>
    </w:p>
    <w:p w14:paraId="3D66337B"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Съобщавана е мидриаза, свързана с дулоксетин, затова предписването на Дулокси на пациенти с повишено вътреочно налягане или такива е повишен риск от остра тясноъгълна глаукома трябва да става с внимание.</w:t>
      </w:r>
    </w:p>
    <w:p w14:paraId="200F2F04" w14:textId="77777777" w:rsidR="005545AB" w:rsidRPr="007F1682" w:rsidRDefault="005545AB" w:rsidP="005545AB">
      <w:pPr>
        <w:spacing w:line="240" w:lineRule="auto"/>
        <w:rPr>
          <w:rFonts w:eastAsia="Times New Roman" w:cs="Arial"/>
          <w:i/>
          <w:iCs/>
          <w:color w:val="000000"/>
          <w:szCs w:val="19"/>
          <w:lang w:eastAsia="bg-BG"/>
        </w:rPr>
      </w:pPr>
    </w:p>
    <w:p w14:paraId="14D1C4A9" w14:textId="034F9B8D"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Кръвно налягане и сърдечна честота</w:t>
      </w:r>
    </w:p>
    <w:p w14:paraId="4E724C1A"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При някои пациенти дулоксетин се свързва с повишаване на артериалното налягане и клинично значима хипертония. Това може да се дължи на норадренергичния ефект на дулоксетин. Докладвани са случаи на хипертонични кризи, особено при пациенти със съществуваща вече хипертония. Затова при пациенти с установена хипертония и/или друго сърдечно заболяване сс препоръчва проследяване на артериалното налягане, особено по време на първия месец на лечение. Дулоксетин трябва да се използва с внимание при пациенти, чието състояние може да се влоши от повишаване на сърдечната честота или от покачване на артериалното налягане. Дулоксетин трябва да се прилага внимателно и с лекарствени продукти, които могат да нарушат неговия метаболизъм (вж. точка 4.5). При пациенти с персистиращо повишение на кръвното налягане по време на приемане на дулоксетин трябва да се обсъди понижаване на дозата или постепенно прекратяване на лечението (вж. точка 4,8). При пациенти с </w:t>
      </w:r>
      <w:r w:rsidRPr="007F1682">
        <w:rPr>
          <w:rFonts w:eastAsia="Times New Roman" w:cs="Arial"/>
          <w:color w:val="000000"/>
          <w:szCs w:val="19"/>
          <w:lang w:eastAsia="bg-BG"/>
        </w:rPr>
        <w:lastRenderedPageBreak/>
        <w:t>неконтролирана хипертония не трябва да се започва лечение с дулоксетин (вж. точка 4.3).</w:t>
      </w:r>
    </w:p>
    <w:p w14:paraId="5C2847E9" w14:textId="77777777" w:rsidR="005545AB" w:rsidRPr="007F1682" w:rsidRDefault="005545AB" w:rsidP="005545AB">
      <w:pPr>
        <w:spacing w:line="240" w:lineRule="auto"/>
        <w:rPr>
          <w:rFonts w:eastAsia="Times New Roman" w:cs="Arial"/>
          <w:i/>
          <w:iCs/>
          <w:color w:val="000000"/>
          <w:szCs w:val="19"/>
          <w:lang w:eastAsia="bg-BG"/>
        </w:rPr>
      </w:pPr>
    </w:p>
    <w:p w14:paraId="11DE70F1" w14:textId="018B682D"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Бъбречно увреждане</w:t>
      </w:r>
    </w:p>
    <w:p w14:paraId="1D9F8BD2"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Повишени плазмени концентрации на дулоксетин са наблюдавани при пациенти с тежко бъбречно увреждане, подложени на хемодиализа (креатининов клирънс &lt;30 </w:t>
      </w:r>
      <w:r w:rsidRPr="007F1682">
        <w:rPr>
          <w:rFonts w:eastAsia="Times New Roman" w:cs="Arial"/>
          <w:color w:val="000000"/>
          <w:szCs w:val="19"/>
        </w:rPr>
        <w:t xml:space="preserve">ml/min). </w:t>
      </w:r>
      <w:r w:rsidRPr="007F1682">
        <w:rPr>
          <w:rFonts w:eastAsia="Times New Roman" w:cs="Arial"/>
          <w:color w:val="000000"/>
          <w:szCs w:val="19"/>
          <w:lang w:eastAsia="bg-BG"/>
        </w:rPr>
        <w:t>За пациенти с тежко бъбречно увреждане вижте точка 4.3. За информация по отношение па пациентите с лека до умерена бъбречна недостатъчност вижте точка 4.2.</w:t>
      </w:r>
    </w:p>
    <w:p w14:paraId="233D8974" w14:textId="77777777" w:rsidR="005545AB" w:rsidRPr="007F1682" w:rsidRDefault="005545AB" w:rsidP="005545AB">
      <w:pPr>
        <w:spacing w:line="240" w:lineRule="auto"/>
        <w:rPr>
          <w:rFonts w:eastAsia="Times New Roman" w:cs="Arial"/>
          <w:i/>
          <w:iCs/>
          <w:color w:val="000000"/>
          <w:szCs w:val="19"/>
          <w:lang w:eastAsia="bg-BG"/>
        </w:rPr>
      </w:pPr>
    </w:p>
    <w:p w14:paraId="0CC3A898" w14:textId="105B8D04"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Серотонинов синдром</w:t>
      </w:r>
    </w:p>
    <w:p w14:paraId="492796A0" w14:textId="48A5290F"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Както при лечение с други серотонинергични лекарствени средства, така и при лечение с дулоксетин може да настъпи серотонинов синдром - едно възможно животозастрашаващо състояние, особено при едновременна употреба на други серотонинергични лекарствени средства (включително </w:t>
      </w:r>
      <w:r w:rsidRPr="007F1682">
        <w:rPr>
          <w:rFonts w:eastAsia="Times New Roman" w:cs="Arial"/>
          <w:color w:val="000000"/>
          <w:szCs w:val="19"/>
        </w:rPr>
        <w:t>SSRIs. SNR</w:t>
      </w:r>
      <w:r w:rsidR="005865CF">
        <w:rPr>
          <w:rFonts w:eastAsia="Times New Roman" w:cs="Arial"/>
          <w:color w:val="000000"/>
          <w:szCs w:val="19"/>
          <w:lang w:val="en-US"/>
        </w:rPr>
        <w:t>I</w:t>
      </w:r>
      <w:r w:rsidRPr="007F1682">
        <w:rPr>
          <w:rFonts w:eastAsia="Times New Roman" w:cs="Arial"/>
          <w:color w:val="000000"/>
          <w:szCs w:val="19"/>
        </w:rPr>
        <w:t xml:space="preserve">s, </w:t>
      </w:r>
      <w:r w:rsidRPr="007F1682">
        <w:rPr>
          <w:rFonts w:eastAsia="Times New Roman" w:cs="Arial"/>
          <w:color w:val="000000"/>
          <w:szCs w:val="19"/>
          <w:lang w:eastAsia="bg-BG"/>
        </w:rPr>
        <w:t>трициклични антидепресанти или триптани). с лекарствени средства, които нарушават метаболизма на серотонина. като МАО-инхибитори. или с антипсихотични лекарствени средства или други допаминови антагонисти, което може да повлияе па серотонинергичните невротрансмитерни системи (вж. точки 4,3 и 4.5).</w:t>
      </w:r>
    </w:p>
    <w:p w14:paraId="3E82DB9A" w14:textId="77777777" w:rsidR="005545AB" w:rsidRPr="007F1682" w:rsidRDefault="005545AB" w:rsidP="005545AB">
      <w:pPr>
        <w:rPr>
          <w:rFonts w:eastAsia="Times New Roman" w:cs="Arial"/>
          <w:color w:val="000000"/>
          <w:szCs w:val="19"/>
          <w:lang w:eastAsia="bg-BG"/>
        </w:rPr>
      </w:pPr>
    </w:p>
    <w:p w14:paraId="0153F2DB" w14:textId="3337EB30" w:rsidR="005545AB" w:rsidRPr="007F1682" w:rsidRDefault="005545AB" w:rsidP="005545AB">
      <w:pPr>
        <w:rPr>
          <w:rFonts w:eastAsia="Times New Roman" w:cs="Arial"/>
          <w:color w:val="000000"/>
          <w:szCs w:val="19"/>
          <w:lang w:eastAsia="bg-BG"/>
        </w:rPr>
      </w:pPr>
      <w:r w:rsidRPr="007F1682">
        <w:rPr>
          <w:rFonts w:eastAsia="Times New Roman" w:cs="Arial"/>
          <w:color w:val="000000"/>
          <w:szCs w:val="19"/>
          <w:lang w:eastAsia="bg-BG"/>
        </w:rPr>
        <w:t>Симптоми на серотониновия синдром може да са промени в психичния статус (напр. възбуда, халюцинации, кома), вегетативна нестабилност (напр. тахикардия</w:t>
      </w:r>
      <w:r w:rsidR="00ED509B">
        <w:rPr>
          <w:rFonts w:eastAsia="Times New Roman" w:cs="Arial"/>
          <w:color w:val="000000"/>
          <w:szCs w:val="19"/>
          <w:lang w:eastAsia="bg-BG"/>
        </w:rPr>
        <w:t>,</w:t>
      </w:r>
      <w:r w:rsidRPr="007F1682">
        <w:rPr>
          <w:rFonts w:eastAsia="Times New Roman" w:cs="Arial"/>
          <w:color w:val="000000"/>
          <w:szCs w:val="19"/>
          <w:lang w:eastAsia="bg-BG"/>
        </w:rPr>
        <w:t xml:space="preserve"> колебания на кръвното налягане, хипертермия)</w:t>
      </w:r>
      <w:r w:rsidR="00ED509B">
        <w:rPr>
          <w:rFonts w:eastAsia="Times New Roman" w:cs="Arial"/>
          <w:color w:val="000000"/>
          <w:szCs w:val="19"/>
          <w:lang w:eastAsia="bg-BG"/>
        </w:rPr>
        <w:t xml:space="preserve">, </w:t>
      </w:r>
      <w:r w:rsidRPr="007F1682">
        <w:rPr>
          <w:rFonts w:eastAsia="Times New Roman" w:cs="Arial"/>
          <w:color w:val="000000"/>
          <w:szCs w:val="19"/>
          <w:lang w:eastAsia="bg-BG"/>
        </w:rPr>
        <w:t>нервно-мускулни нарушения (напр. хипер-р</w:t>
      </w:r>
      <w:r w:rsidR="00D51E92">
        <w:rPr>
          <w:rFonts w:eastAsia="Times New Roman" w:cs="Arial"/>
          <w:color w:val="000000"/>
          <w:szCs w:val="19"/>
          <w:lang w:eastAsia="bg-BG"/>
        </w:rPr>
        <w:t>е</w:t>
      </w:r>
      <w:r w:rsidRPr="007F1682">
        <w:rPr>
          <w:rFonts w:eastAsia="Times New Roman" w:cs="Arial"/>
          <w:color w:val="000000"/>
          <w:szCs w:val="19"/>
          <w:lang w:eastAsia="bg-BG"/>
        </w:rPr>
        <w:t>флексия. липса на координация) и/или стомашно-чревни симптоми (напр. гадене, повръщане, диария).</w:t>
      </w:r>
    </w:p>
    <w:p w14:paraId="62B8F258" w14:textId="6C3602F1" w:rsidR="005545AB" w:rsidRPr="007F1682" w:rsidRDefault="005545AB" w:rsidP="005545AB">
      <w:pPr>
        <w:rPr>
          <w:rFonts w:eastAsia="Times New Roman" w:cs="Arial"/>
          <w:color w:val="000000"/>
          <w:sz w:val="28"/>
          <w:szCs w:val="19"/>
          <w:lang w:eastAsia="bg-BG"/>
        </w:rPr>
      </w:pPr>
    </w:p>
    <w:p w14:paraId="43933DA9"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Ако едновременно лечение с дулоксетин и други серотонинергични лекарствени средства, които могат да повлияят на серотонинергичните и/или допаминергичните невротрансмитерни системи, е клинично оправдано, се препоръчва внимателно наблюдение на пациентите, особено при започване на лечението и повишаването на дозата.</w:t>
      </w:r>
    </w:p>
    <w:p w14:paraId="78A1472B" w14:textId="77777777" w:rsidR="005545AB" w:rsidRPr="007F1682" w:rsidRDefault="005545AB" w:rsidP="005545AB">
      <w:pPr>
        <w:spacing w:line="240" w:lineRule="auto"/>
        <w:rPr>
          <w:rFonts w:eastAsia="Times New Roman" w:cs="Arial"/>
          <w:i/>
          <w:iCs/>
          <w:color w:val="000000"/>
          <w:szCs w:val="19"/>
          <w:lang w:eastAsia="bg-BG"/>
        </w:rPr>
      </w:pPr>
    </w:p>
    <w:p w14:paraId="02B1490D" w14:textId="7A45CB96"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Жълт кантарион</w:t>
      </w:r>
    </w:p>
    <w:p w14:paraId="664C243A"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По време на едновременното приложение на дулоксетин и растителни лекарствени продукти, съдържащи жълт кантарион </w:t>
      </w:r>
      <w:r w:rsidRPr="007F1682">
        <w:rPr>
          <w:rFonts w:eastAsia="Times New Roman" w:cs="Arial"/>
          <w:i/>
          <w:iCs/>
          <w:color w:val="000000"/>
          <w:szCs w:val="19"/>
        </w:rPr>
        <w:t>(Hypericum</w:t>
      </w:r>
      <w:r w:rsidRPr="007F1682">
        <w:rPr>
          <w:rFonts w:eastAsia="Times New Roman" w:cs="Arial"/>
          <w:i/>
          <w:iCs/>
          <w:color w:val="000000"/>
          <w:szCs w:val="19"/>
          <w:lang w:eastAsia="bg-BG"/>
        </w:rPr>
        <w:t xml:space="preserve"> </w:t>
      </w:r>
      <w:r w:rsidRPr="007F1682">
        <w:rPr>
          <w:rFonts w:eastAsia="Times New Roman" w:cs="Arial"/>
          <w:i/>
          <w:iCs/>
          <w:color w:val="000000"/>
          <w:szCs w:val="19"/>
        </w:rPr>
        <w:t>perforatum),</w:t>
      </w:r>
      <w:r w:rsidRPr="007F1682">
        <w:rPr>
          <w:rFonts w:eastAsia="Times New Roman" w:cs="Arial"/>
          <w:color w:val="000000"/>
          <w:szCs w:val="19"/>
        </w:rPr>
        <w:t xml:space="preserve"> </w:t>
      </w:r>
      <w:r w:rsidRPr="007F1682">
        <w:rPr>
          <w:rFonts w:eastAsia="Times New Roman" w:cs="Arial"/>
          <w:color w:val="000000"/>
          <w:szCs w:val="19"/>
          <w:lang w:eastAsia="bg-BG"/>
        </w:rPr>
        <w:t>може да са по-чести нежеланите реакции.</w:t>
      </w:r>
    </w:p>
    <w:p w14:paraId="3736FA65" w14:textId="77777777" w:rsidR="005545AB" w:rsidRPr="007F1682" w:rsidRDefault="005545AB" w:rsidP="005545AB">
      <w:pPr>
        <w:spacing w:line="240" w:lineRule="auto"/>
        <w:rPr>
          <w:rFonts w:eastAsia="Times New Roman" w:cs="Arial"/>
          <w:color w:val="000000"/>
          <w:szCs w:val="19"/>
          <w:u w:val="single"/>
          <w:lang w:eastAsia="bg-BG"/>
        </w:rPr>
      </w:pPr>
    </w:p>
    <w:p w14:paraId="1216C13B" w14:textId="62A035A6"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u w:val="single"/>
          <w:lang w:eastAsia="bg-BG"/>
        </w:rPr>
        <w:t>Самоубийство</w:t>
      </w:r>
    </w:p>
    <w:p w14:paraId="1244EB05" w14:textId="77777777" w:rsidR="005545AB" w:rsidRPr="007F1682" w:rsidRDefault="005545AB" w:rsidP="005545AB">
      <w:pPr>
        <w:spacing w:line="240" w:lineRule="auto"/>
        <w:rPr>
          <w:rFonts w:eastAsia="Times New Roman" w:cs="Arial"/>
          <w:i/>
          <w:iCs/>
          <w:color w:val="000000"/>
          <w:szCs w:val="19"/>
          <w:lang w:eastAsia="bg-BG"/>
        </w:rPr>
      </w:pPr>
    </w:p>
    <w:p w14:paraId="0DFFBE17" w14:textId="5330CD68"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Голямо депресивно разстройство и генерализирано тревожно разстройство</w:t>
      </w:r>
      <w:r w:rsidRPr="007F1682">
        <w:rPr>
          <w:rFonts w:eastAsia="Times New Roman" w:cs="Arial"/>
          <w:i/>
          <w:iCs/>
          <w:color w:val="000000"/>
          <w:szCs w:val="19"/>
          <w:lang w:eastAsia="bg-BG"/>
        </w:rPr>
        <w:tab/>
      </w:r>
    </w:p>
    <w:p w14:paraId="6F1BC3BF" w14:textId="4E1304E5" w:rsidR="005545AB" w:rsidRPr="007F1682" w:rsidRDefault="005545AB" w:rsidP="005545AB">
      <w:pPr>
        <w:rPr>
          <w:rFonts w:eastAsia="Times New Roman" w:cs="Arial"/>
          <w:color w:val="000000"/>
          <w:sz w:val="28"/>
          <w:szCs w:val="19"/>
          <w:lang w:eastAsia="bg-BG"/>
        </w:rPr>
      </w:pPr>
      <w:r w:rsidRPr="007F1682">
        <w:rPr>
          <w:rFonts w:eastAsia="Times New Roman" w:cs="Arial"/>
          <w:color w:val="000000"/>
          <w:szCs w:val="19"/>
          <w:lang w:eastAsia="bg-BG"/>
        </w:rPr>
        <w:t>Депресията се свързва с повишен риск от мисли за самоубийство</w:t>
      </w:r>
      <w:r w:rsidR="00BF07A4">
        <w:rPr>
          <w:rFonts w:eastAsia="Times New Roman" w:cs="Arial"/>
          <w:color w:val="000000"/>
          <w:szCs w:val="19"/>
          <w:lang w:eastAsia="bg-BG"/>
        </w:rPr>
        <w:t>,</w:t>
      </w:r>
      <w:r w:rsidRPr="007F1682">
        <w:rPr>
          <w:rFonts w:eastAsia="Times New Roman" w:cs="Arial"/>
          <w:color w:val="000000"/>
          <w:szCs w:val="19"/>
          <w:lang w:eastAsia="bg-BG"/>
        </w:rPr>
        <w:t xml:space="preserve"> самонараняване и самоубийство (суицид-свързани събития). Рискът се запазва до настъпване на значима ремисия. Тъй като</w:t>
      </w:r>
      <w:r w:rsidRPr="007F1682">
        <w:rPr>
          <w:rFonts w:eastAsia="Times New Roman" w:cs="Arial"/>
          <w:color w:val="000000"/>
          <w:szCs w:val="19"/>
          <w:vertAlign w:val="subscript"/>
          <w:lang w:eastAsia="bg-BG"/>
        </w:rPr>
        <w:t xml:space="preserve"> </w:t>
      </w:r>
      <w:r w:rsidRPr="007F1682">
        <w:rPr>
          <w:rFonts w:eastAsia="Times New Roman" w:cs="Arial"/>
          <w:color w:val="000000"/>
          <w:szCs w:val="19"/>
          <w:lang w:eastAsia="bg-BG"/>
        </w:rPr>
        <w:t>подобрението може да не настъпи по време на първите няколко седмици лечение или повече,  пациентите трябва да бъдат проследявани внимателно до настъпването на подобно подобрение.</w:t>
      </w:r>
    </w:p>
    <w:p w14:paraId="40582514" w14:textId="156968B9" w:rsidR="005545AB" w:rsidRPr="007F1682" w:rsidRDefault="005545AB" w:rsidP="005545AB"/>
    <w:p w14:paraId="6F0E1AAE"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Общ клиничен опит е, че рискът от самоубийство може да се повиши през ранните етапи на възстановяване.</w:t>
      </w:r>
    </w:p>
    <w:p w14:paraId="0B227887"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Други психични състояния, за които се предписва дулоксетин. може също да са свързани с повишен риск от събития, свързани със самоубийство. В допълнение, тези състояния може да са коморбидни с голямо депресивно разстройство. Следователно същите </w:t>
      </w:r>
      <w:r w:rsidRPr="007F1682">
        <w:rPr>
          <w:rFonts w:eastAsia="Times New Roman" w:cs="Arial"/>
          <w:color w:val="000000"/>
          <w:szCs w:val="19"/>
          <w:lang w:eastAsia="bg-BG"/>
        </w:rPr>
        <w:lastRenderedPageBreak/>
        <w:t>предпазни мерки, спазвани при лечение на пациенти с голямо депресивно разстройство, трябва да се спазват и при лечение на пациенти с други психични разстройства.</w:t>
      </w:r>
    </w:p>
    <w:p w14:paraId="0043339A" w14:textId="77777777" w:rsidR="005545AB" w:rsidRPr="007F1682" w:rsidRDefault="005545AB" w:rsidP="005545AB">
      <w:pPr>
        <w:spacing w:line="240" w:lineRule="auto"/>
        <w:rPr>
          <w:rFonts w:eastAsia="Times New Roman" w:cs="Arial"/>
          <w:color w:val="000000"/>
          <w:szCs w:val="19"/>
          <w:lang w:eastAsia="bg-BG"/>
        </w:rPr>
      </w:pPr>
    </w:p>
    <w:p w14:paraId="44769B80" w14:textId="7CAC7CF8"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Пациенти с анамнеза за суицид-свързани събития или такива, проявяващи значителна степен на суицидни мисли преди началото на лечението, е известно да са с по-висок риск от суицидни мисли или суицидно поведение и трябва да получат внимателно наблюдение по време па лечението. Мета- анализ от плацебо-контролирани клинични изпитвания с лекарствени продукти антидепресанти при психични нарушения, показва увеличен риск от суицидно поведение при антидепресантите в сравнение с плацебо при пациенти под 25-годишна възраст.</w:t>
      </w:r>
    </w:p>
    <w:p w14:paraId="2680465B" w14:textId="77777777" w:rsidR="005545AB" w:rsidRPr="007F1682" w:rsidRDefault="005545AB" w:rsidP="005545AB">
      <w:pPr>
        <w:spacing w:line="240" w:lineRule="auto"/>
        <w:rPr>
          <w:rFonts w:eastAsia="Times New Roman" w:cs="Arial"/>
          <w:color w:val="000000"/>
          <w:szCs w:val="19"/>
          <w:lang w:eastAsia="bg-BG"/>
        </w:rPr>
      </w:pPr>
    </w:p>
    <w:p w14:paraId="153849C8" w14:textId="2D1F5803"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Съобщавани са случаи на суицидни мисли и суицидно поведение по време на лечение с дулоксетин или веднага след прекратяване на лечението (вж. точка 4.8).</w:t>
      </w:r>
    </w:p>
    <w:p w14:paraId="086224D6" w14:textId="77777777" w:rsidR="005545AB" w:rsidRPr="007F1682" w:rsidRDefault="005545AB" w:rsidP="005545AB">
      <w:pPr>
        <w:rPr>
          <w:rFonts w:eastAsia="Times New Roman" w:cs="Arial"/>
          <w:color w:val="000000"/>
          <w:szCs w:val="19"/>
          <w:lang w:eastAsia="bg-BG"/>
        </w:rPr>
      </w:pPr>
    </w:p>
    <w:p w14:paraId="07E32D32" w14:textId="382BE31C" w:rsidR="005545AB" w:rsidRPr="007F1682" w:rsidRDefault="005545AB" w:rsidP="005545AB">
      <w:pPr>
        <w:rPr>
          <w:rFonts w:eastAsia="Times New Roman" w:cs="Arial"/>
          <w:color w:val="000000"/>
          <w:szCs w:val="19"/>
          <w:lang w:eastAsia="bg-BG"/>
        </w:rPr>
      </w:pPr>
      <w:r w:rsidRPr="007F1682">
        <w:rPr>
          <w:rFonts w:eastAsia="Times New Roman" w:cs="Arial"/>
          <w:color w:val="000000"/>
          <w:szCs w:val="19"/>
          <w:lang w:eastAsia="bg-BG"/>
        </w:rPr>
        <w:t xml:space="preserve">Медикаментозното лечение трябва да се съпътства от внимателно проследяване на пациентите и най-вече тези с висок риск, особено в началото на лечението и при промяна на дозата. Пациентите (и тези, които се грижат за пациенти) трябва да бъдат подготвени за нуждата от проследяване за поява на всяко клинично влошаване, суицидно поведение или мисли и за необичайни промени в поведението и, ако има такива симптоми, незабавно да бъде </w:t>
      </w:r>
      <w:r w:rsidRPr="007F1682">
        <w:rPr>
          <w:rFonts w:eastAsia="Times New Roman" w:cs="Arial"/>
          <w:i/>
          <w:iCs/>
          <w:color w:val="000000"/>
          <w:szCs w:val="19"/>
          <w:lang w:eastAsia="bg-BG"/>
        </w:rPr>
        <w:t>потърсен лекарски</w:t>
      </w:r>
      <w:r w:rsidRPr="007F1682">
        <w:rPr>
          <w:rFonts w:eastAsia="Times New Roman" w:cs="Arial"/>
          <w:color w:val="000000"/>
          <w:szCs w:val="19"/>
          <w:lang w:eastAsia="bg-BG"/>
        </w:rPr>
        <w:t xml:space="preserve"> съвет.</w:t>
      </w:r>
    </w:p>
    <w:p w14:paraId="06B479F3" w14:textId="54B70B69" w:rsidR="005545AB" w:rsidRPr="007F1682" w:rsidRDefault="005545AB" w:rsidP="005545AB">
      <w:pPr>
        <w:rPr>
          <w:rFonts w:eastAsia="Times New Roman" w:cs="Arial"/>
          <w:color w:val="000000"/>
          <w:sz w:val="19"/>
          <w:szCs w:val="19"/>
          <w:lang w:eastAsia="bg-BG"/>
        </w:rPr>
      </w:pPr>
    </w:p>
    <w:p w14:paraId="2D07E322"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Диабетна периферна невропатна болка</w:t>
      </w:r>
    </w:p>
    <w:p w14:paraId="22A14A06"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Както с други лекарствени продукти с подобно фармакологично действие (антидепресанти) са съобщавани отделни случаи на суицидни идеи и суицидно поведение по време на лечение с дулоксетин или веднага след прекратяване на лечението.</w:t>
      </w:r>
    </w:p>
    <w:p w14:paraId="7B1283E7" w14:textId="77777777" w:rsidR="005545AB" w:rsidRPr="007F1682" w:rsidRDefault="005545AB" w:rsidP="005545AB">
      <w:pPr>
        <w:spacing w:line="240" w:lineRule="auto"/>
        <w:rPr>
          <w:rFonts w:eastAsia="Times New Roman" w:cs="Arial"/>
          <w:color w:val="000000"/>
          <w:szCs w:val="19"/>
          <w:lang w:eastAsia="bg-BG"/>
        </w:rPr>
      </w:pPr>
    </w:p>
    <w:p w14:paraId="20A18446" w14:textId="5062D858"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Относно рискови фактори за суицидност при депресия, вижте по-горе. Лекарите трябва да насърчават пациентите по всяко време да съобщават за всякакви тъжни мисли или чувства.</w:t>
      </w:r>
    </w:p>
    <w:p w14:paraId="1556E07E" w14:textId="77777777" w:rsidR="005545AB" w:rsidRPr="007F1682" w:rsidRDefault="005545AB" w:rsidP="005545AB">
      <w:pPr>
        <w:spacing w:line="240" w:lineRule="auto"/>
        <w:rPr>
          <w:rFonts w:eastAsia="Times New Roman" w:cs="Arial"/>
          <w:i/>
          <w:iCs/>
          <w:color w:val="000000"/>
          <w:szCs w:val="19"/>
          <w:lang w:eastAsia="bg-BG"/>
        </w:rPr>
      </w:pPr>
    </w:p>
    <w:p w14:paraId="6F5C3ED4" w14:textId="105B3041"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Употреба при деца и юноши под 18-годишна възраст</w:t>
      </w:r>
    </w:p>
    <w:p w14:paraId="40E33D35" w14:textId="0EC3134A"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Дулоксетин не трябва да се използва за лечение на деца и подрастващи пол 18-годишна възраст</w:t>
      </w:r>
      <w:r w:rsidR="003339AB">
        <w:rPr>
          <w:rFonts w:eastAsia="Times New Roman" w:cs="Arial"/>
          <w:color w:val="000000"/>
          <w:szCs w:val="19"/>
          <w:lang w:eastAsia="bg-BG"/>
        </w:rPr>
        <w:t>.</w:t>
      </w:r>
      <w:r w:rsidRPr="007F1682">
        <w:rPr>
          <w:rFonts w:eastAsia="Times New Roman" w:cs="Arial"/>
          <w:color w:val="000000"/>
          <w:szCs w:val="19"/>
          <w:lang w:eastAsia="bg-BG"/>
        </w:rPr>
        <w:t xml:space="preserve"> Суицидно поведение (суицидни опити и суицидни мисли), и враждебност (предимно агресия, опозиционно поведение и гняв) са наблюдавани в клинични проучвания по-често при деца и подрастващи, лекувани с антидепресанти, в сравнение с тези лекувани с плацебо. Ако въз основа на клинична нужда, независимо от това се вземе решение за лечение, пациентите трябва внимателно да бъдат проследявани за поява на суицидни симптоми (вж. точка 5.1). В допълнение, при деца и подрастващи липсват дългосрочни проучвания за безопасност по отношение на растеж, съзряване и когнитивно и поведенческо развитие (вж. точка 4.8).</w:t>
      </w:r>
    </w:p>
    <w:p w14:paraId="2C2EF3CF" w14:textId="77777777" w:rsidR="005545AB" w:rsidRPr="007F1682" w:rsidRDefault="005545AB" w:rsidP="005545AB">
      <w:pPr>
        <w:spacing w:line="240" w:lineRule="auto"/>
        <w:rPr>
          <w:rFonts w:eastAsia="Times New Roman" w:cs="Arial"/>
          <w:i/>
          <w:iCs/>
          <w:color w:val="000000"/>
          <w:szCs w:val="19"/>
          <w:lang w:eastAsia="bg-BG"/>
        </w:rPr>
      </w:pPr>
    </w:p>
    <w:p w14:paraId="68AFED33" w14:textId="40EF0210"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Кръвоизливи</w:t>
      </w:r>
    </w:p>
    <w:p w14:paraId="402B9A4A" w14:textId="2ACCC1AA"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Има съобщения за аномални кръвотечения, като екхимози. пурпура и стомашно-чревно кървене с инхибиторите на обратното захващане на серотонина </w:t>
      </w:r>
      <w:r w:rsidRPr="007F1682">
        <w:rPr>
          <w:rFonts w:eastAsia="Times New Roman" w:cs="Arial"/>
          <w:color w:val="000000"/>
          <w:szCs w:val="19"/>
        </w:rPr>
        <w:t xml:space="preserve">(SSRIs) </w:t>
      </w:r>
      <w:r w:rsidRPr="007F1682">
        <w:rPr>
          <w:rFonts w:eastAsia="Times New Roman" w:cs="Arial"/>
          <w:color w:val="000000"/>
          <w:szCs w:val="19"/>
          <w:lang w:eastAsia="bg-BG"/>
        </w:rPr>
        <w:t xml:space="preserve">и инхибиторите на обратното захващане на серотонин/норадреналин </w:t>
      </w:r>
      <w:r w:rsidRPr="007F1682">
        <w:rPr>
          <w:rFonts w:eastAsia="Times New Roman" w:cs="Arial"/>
          <w:color w:val="000000"/>
          <w:szCs w:val="19"/>
        </w:rPr>
        <w:t>(SNRls)</w:t>
      </w:r>
      <w:r w:rsidR="00A90B9C">
        <w:rPr>
          <w:rFonts w:eastAsia="Times New Roman" w:cs="Arial"/>
          <w:color w:val="000000"/>
          <w:szCs w:val="19"/>
          <w:lang w:eastAsia="bg-BG"/>
        </w:rPr>
        <w:t>,</w:t>
      </w:r>
      <w:r w:rsidRPr="007F1682">
        <w:rPr>
          <w:rFonts w:eastAsia="Times New Roman" w:cs="Arial"/>
          <w:color w:val="000000"/>
          <w:szCs w:val="19"/>
          <w:lang w:eastAsia="bg-BG"/>
        </w:rPr>
        <w:t xml:space="preserve"> включително дулоксетин. Препоръчва се внимание при пациенти, приемащи антикоагуланти и/или лекарствени продукти, за които е известно, че повлияват тромбоцитната функция (напр. НСПВС или ацетилсалицилова киселина - АСК) и при пациенти с известна тенденция към кървене.</w:t>
      </w:r>
    </w:p>
    <w:p w14:paraId="222B9886" w14:textId="77777777" w:rsidR="005545AB" w:rsidRPr="007F1682" w:rsidRDefault="005545AB" w:rsidP="005545AB">
      <w:pPr>
        <w:spacing w:line="240" w:lineRule="auto"/>
        <w:rPr>
          <w:rFonts w:eastAsia="Times New Roman" w:cs="Arial"/>
          <w:i/>
          <w:iCs/>
          <w:color w:val="000000"/>
          <w:szCs w:val="19"/>
          <w:lang w:eastAsia="bg-BG"/>
        </w:rPr>
      </w:pPr>
    </w:p>
    <w:p w14:paraId="63CADDC6" w14:textId="204C176E"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lastRenderedPageBreak/>
        <w:t>Хипонатриемия</w:t>
      </w:r>
    </w:p>
    <w:p w14:paraId="75A72A1F" w14:textId="4B093BCE" w:rsidR="005545AB" w:rsidRPr="007F1682" w:rsidRDefault="005545AB" w:rsidP="005545AB">
      <w:pPr>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При прилагане на дулоксетин е съобщавана хипонатриемия. включително случаи със серумен натрий по-нисък от 110 </w:t>
      </w:r>
      <w:r w:rsidRPr="007F1682">
        <w:rPr>
          <w:rFonts w:eastAsia="Times New Roman" w:cs="Arial"/>
          <w:color w:val="000000"/>
          <w:szCs w:val="19"/>
        </w:rPr>
        <w:t xml:space="preserve">mmoi/1. </w:t>
      </w:r>
      <w:r w:rsidRPr="007F1682">
        <w:rPr>
          <w:rFonts w:eastAsia="Times New Roman" w:cs="Arial"/>
          <w:color w:val="000000"/>
          <w:szCs w:val="19"/>
          <w:lang w:eastAsia="bg-BG"/>
        </w:rPr>
        <w:t xml:space="preserve">Хипонатриемията може да се дължи на синдром на неадекватна секреция </w:t>
      </w:r>
      <w:r w:rsidRPr="007F1682">
        <w:rPr>
          <w:rFonts w:eastAsia="Times New Roman" w:cs="Arial"/>
          <w:i/>
          <w:iCs/>
          <w:color w:val="000000"/>
          <w:szCs w:val="19"/>
          <w:lang w:eastAsia="bg-BG"/>
        </w:rPr>
        <w:t>на антидиуретичен</w:t>
      </w:r>
      <w:r w:rsidRPr="007F1682">
        <w:rPr>
          <w:rFonts w:eastAsia="Times New Roman" w:cs="Arial"/>
          <w:color w:val="000000"/>
          <w:szCs w:val="19"/>
          <w:lang w:eastAsia="bg-BG"/>
        </w:rPr>
        <w:t xml:space="preserve"> хормон (СНАДС). Повечето случаи на хипонатриемия са съобщавани при пациенти в старческа възраст, особено в комбинация със скорошна </w:t>
      </w:r>
      <w:r w:rsidRPr="007F1682">
        <w:rPr>
          <w:rFonts w:eastAsia="Times New Roman" w:cs="Arial"/>
          <w:color w:val="000000"/>
          <w:szCs w:val="19"/>
        </w:rPr>
        <w:t>a</w:t>
      </w:r>
      <w:r w:rsidRPr="007F1682">
        <w:rPr>
          <w:rFonts w:eastAsia="Times New Roman" w:cs="Arial"/>
          <w:color w:val="000000"/>
          <w:szCs w:val="19"/>
          <w:lang w:eastAsia="bg-BG"/>
        </w:rPr>
        <w:t>намнеза или наличие на състояние, предразполагащо към промени във водния баланс. Необходимо е внимание при пациентите с повишен риск от хипонатриемия като такива в старческа възраст, пациенти с цироза, дехидратирани пациенти или пациенти на лечение с диуретици.</w:t>
      </w:r>
    </w:p>
    <w:p w14:paraId="62E3ED03" w14:textId="77777777" w:rsidR="005545AB" w:rsidRPr="007F1682" w:rsidRDefault="005545AB" w:rsidP="005545AB">
      <w:pPr>
        <w:spacing w:line="240" w:lineRule="auto"/>
        <w:rPr>
          <w:rFonts w:eastAsia="Times New Roman" w:cs="Arial"/>
          <w:i/>
          <w:iCs/>
          <w:color w:val="000000"/>
          <w:szCs w:val="19"/>
          <w:lang w:eastAsia="bg-BG"/>
        </w:rPr>
      </w:pPr>
    </w:p>
    <w:p w14:paraId="2907E3CB" w14:textId="09998DDC"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Преустановяване на лечението</w:t>
      </w:r>
    </w:p>
    <w:p w14:paraId="2EBAB864"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Симптомите на отнемане са чести при прекъсване на лечението, особено в случаите, когато прекъсването се извършва рязко (вж. точка 4.8). В клинично проучване нежелани събития, наблюдавани при рязко прекъсване на лечението са докладвани при около 45% от пациентите лекувани с дулоксетин и при 23% от пациентите, приемали плацебо. Рискът от симптоми па отнемането, наблюдавани при </w:t>
      </w:r>
      <w:r w:rsidRPr="007F1682">
        <w:rPr>
          <w:rFonts w:eastAsia="Times New Roman" w:cs="Arial"/>
          <w:color w:val="000000"/>
          <w:szCs w:val="19"/>
        </w:rPr>
        <w:t xml:space="preserve">SSRIs </w:t>
      </w:r>
      <w:r w:rsidRPr="007F1682">
        <w:rPr>
          <w:rFonts w:eastAsia="Times New Roman" w:cs="Arial"/>
          <w:color w:val="000000"/>
          <w:szCs w:val="19"/>
          <w:lang w:eastAsia="bg-BG"/>
        </w:rPr>
        <w:t xml:space="preserve">и </w:t>
      </w:r>
      <w:r w:rsidRPr="007F1682">
        <w:rPr>
          <w:rFonts w:eastAsia="Times New Roman" w:cs="Arial"/>
          <w:color w:val="000000"/>
          <w:szCs w:val="19"/>
        </w:rPr>
        <w:t xml:space="preserve">SNRIs </w:t>
      </w:r>
      <w:r w:rsidRPr="007F1682">
        <w:rPr>
          <w:rFonts w:eastAsia="Times New Roman" w:cs="Arial"/>
          <w:color w:val="000000"/>
          <w:szCs w:val="19"/>
          <w:lang w:eastAsia="bg-BG"/>
        </w:rPr>
        <w:t>може би зависи от множество фактори, включително продължителност и дозировка на лечението и степен на намаляване на дозата. Най-често наблюдаваните реакции са посочени в точка 4.8. Обикновено, симптомите са леки до умерени, въпреки че при някои от пациентите те може да бъдат тежки по интензивност. Те обикновено възникват в рамките на първите няколко дни от преустановяване на лечението, но са докладвани и редки случаи на такива симптоми при пациенти, пропуснали доза по невнимание. Като цяло, тези симптоми са самоограничаващи се и обикновено преминават в рамките на 2 седмици, но при някои индивиди, те може да са налице по-дълго (2-3 месеца и повече). Ето защо се препоръчва постепенно намаляване на дозата на дулоксетин при преустановяване на лечението в рамките на не по-малко от 2 седмици, в зависимост от потребностите на пациента (вж. точка 4.2).</w:t>
      </w:r>
    </w:p>
    <w:p w14:paraId="0C468CF0" w14:textId="77777777" w:rsidR="005545AB" w:rsidRPr="007F1682" w:rsidRDefault="005545AB" w:rsidP="005545AB">
      <w:pPr>
        <w:spacing w:line="240" w:lineRule="auto"/>
        <w:rPr>
          <w:rFonts w:eastAsia="Times New Roman" w:cs="Arial"/>
          <w:i/>
          <w:iCs/>
          <w:color w:val="000000"/>
          <w:szCs w:val="19"/>
          <w:lang w:eastAsia="bg-BG"/>
        </w:rPr>
      </w:pPr>
    </w:p>
    <w:p w14:paraId="4C409F68" w14:textId="04820D58"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Пациенти в старческа възраст</w:t>
      </w:r>
    </w:p>
    <w:p w14:paraId="663032C5"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Данните за употреба на 120 </w:t>
      </w:r>
      <w:r w:rsidRPr="007F1682">
        <w:rPr>
          <w:rFonts w:eastAsia="Times New Roman" w:cs="Arial"/>
          <w:color w:val="000000"/>
          <w:szCs w:val="19"/>
        </w:rPr>
        <w:t xml:space="preserve">mg </w:t>
      </w:r>
      <w:r w:rsidRPr="007F1682">
        <w:rPr>
          <w:rFonts w:eastAsia="Times New Roman" w:cs="Arial"/>
          <w:color w:val="000000"/>
          <w:szCs w:val="19"/>
          <w:lang w:eastAsia="bg-BG"/>
        </w:rPr>
        <w:t>дулоксетин при пациенти в старческа възраст е голям депресивен епизод и генерализирано тревожно разстройство са ограничени. Затова, лечението на пациенти в старческа възраст е максимална доза трябва да става е внимание (вж. точка 4,2 и точка 5.2).</w:t>
      </w:r>
    </w:p>
    <w:p w14:paraId="2A1DC063" w14:textId="77777777" w:rsidR="005545AB" w:rsidRPr="007F1682" w:rsidRDefault="005545AB" w:rsidP="005545AB">
      <w:pPr>
        <w:spacing w:line="240" w:lineRule="auto"/>
        <w:rPr>
          <w:rFonts w:eastAsia="Times New Roman" w:cs="Arial"/>
          <w:i/>
          <w:iCs/>
          <w:color w:val="000000"/>
          <w:szCs w:val="19"/>
          <w:lang w:eastAsia="bg-BG"/>
        </w:rPr>
      </w:pPr>
    </w:p>
    <w:p w14:paraId="62188F2C" w14:textId="12C43C38"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Акатизия/психомоторно безпокойство</w:t>
      </w:r>
    </w:p>
    <w:p w14:paraId="6339827E"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Употребата на дулоксетин се свързва с развитие на акатизия, характеризираща се със субективно, неприятно или изтощително безпокойство и нужда от често движение, съпроводена от неспособност за седене и стоене на едно място. Това е по-вероятно да се прояви в рамките па първите няколко седмици от лечението. При пациенти, които получат тези симптоми, повишаването на дозата може да бъде вредно.</w:t>
      </w:r>
    </w:p>
    <w:p w14:paraId="57478F68" w14:textId="77777777" w:rsidR="005545AB" w:rsidRPr="007F1682" w:rsidRDefault="005545AB" w:rsidP="005545AB">
      <w:pPr>
        <w:spacing w:line="240" w:lineRule="auto"/>
        <w:rPr>
          <w:rFonts w:eastAsia="Times New Roman" w:cs="Arial"/>
          <w:i/>
          <w:iCs/>
          <w:color w:val="000000"/>
          <w:szCs w:val="19"/>
          <w:lang w:eastAsia="bg-BG"/>
        </w:rPr>
      </w:pPr>
    </w:p>
    <w:p w14:paraId="3050111D" w14:textId="526A68E9"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Лекарствени продукти, съдържащи дулоксетин</w:t>
      </w:r>
    </w:p>
    <w:p w14:paraId="0AAD4A3F" w14:textId="77777777"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Дулоксетин се използва под различни търговски марки за няколко показания (лечение на диабетна невропатна болка, големи депресивни епизоди, генерализирано тревожно разстройство и уринна стрес инконтиненция). Трябва да се избягва употребата на повече от един от тези продукти.</w:t>
      </w:r>
    </w:p>
    <w:p w14:paraId="38F787F8" w14:textId="77777777" w:rsidR="005545AB" w:rsidRPr="007F1682" w:rsidRDefault="005545AB" w:rsidP="005545AB">
      <w:pPr>
        <w:spacing w:line="240" w:lineRule="auto"/>
        <w:rPr>
          <w:rFonts w:eastAsia="Times New Roman" w:cs="Arial"/>
          <w:i/>
          <w:iCs/>
          <w:color w:val="000000"/>
          <w:szCs w:val="19"/>
          <w:lang w:eastAsia="bg-BG"/>
        </w:rPr>
      </w:pPr>
    </w:p>
    <w:p w14:paraId="35061C05" w14:textId="506FA8BF" w:rsidR="005545AB" w:rsidRPr="00AC6E2C" w:rsidRDefault="005545AB" w:rsidP="005545AB">
      <w:pPr>
        <w:spacing w:line="240" w:lineRule="auto"/>
        <w:rPr>
          <w:rFonts w:eastAsia="Times New Roman" w:cs="Arial"/>
          <w:i/>
          <w:iCs/>
          <w:color w:val="000000"/>
          <w:szCs w:val="19"/>
          <w:lang w:eastAsia="bg-BG"/>
        </w:rPr>
      </w:pPr>
      <w:r w:rsidRPr="007F1682">
        <w:rPr>
          <w:rFonts w:eastAsia="Times New Roman" w:cs="Arial"/>
          <w:i/>
          <w:iCs/>
          <w:color w:val="000000"/>
          <w:szCs w:val="19"/>
          <w:lang w:eastAsia="bg-BG"/>
        </w:rPr>
        <w:t>Хепатит/пов</w:t>
      </w:r>
      <w:r w:rsidR="00AC6E2C">
        <w:rPr>
          <w:rFonts w:eastAsia="Times New Roman" w:cs="Arial"/>
          <w:i/>
          <w:iCs/>
          <w:color w:val="000000"/>
          <w:szCs w:val="19"/>
          <w:lang w:eastAsia="bg-BG"/>
        </w:rPr>
        <w:t>и</w:t>
      </w:r>
      <w:r w:rsidRPr="007F1682">
        <w:rPr>
          <w:rFonts w:eastAsia="Times New Roman" w:cs="Arial"/>
          <w:i/>
          <w:iCs/>
          <w:color w:val="000000"/>
          <w:szCs w:val="19"/>
          <w:lang w:eastAsia="bg-BG"/>
        </w:rPr>
        <w:t>шени чернодробни ензими</w:t>
      </w:r>
    </w:p>
    <w:p w14:paraId="466DAA15" w14:textId="5C76B6FC"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Съобщавани са случаи на чернодробно увреждане, включително тежко повишение на чернодробните ензими (&gt; 10 пъти горната граница на нормата), хепатит и жълтеница, с </w:t>
      </w:r>
      <w:r w:rsidRPr="007F1682">
        <w:rPr>
          <w:rFonts w:eastAsia="Times New Roman" w:cs="Arial"/>
          <w:color w:val="000000"/>
          <w:szCs w:val="19"/>
          <w:lang w:eastAsia="bg-BG"/>
        </w:rPr>
        <w:lastRenderedPageBreak/>
        <w:t>дулоксетин (вж. точка 4.8). Повечето от тях настъпват по време на първите месеци лечение. Характерът на чернодробното увреждане е предимно хепатоцелуларен. Дулоксетин трябва да с</w:t>
      </w:r>
      <w:r w:rsidR="003946B1">
        <w:rPr>
          <w:rFonts w:eastAsia="Times New Roman" w:cs="Arial"/>
          <w:color w:val="000000"/>
          <w:szCs w:val="19"/>
          <w:lang w:eastAsia="bg-BG"/>
        </w:rPr>
        <w:t>е</w:t>
      </w:r>
      <w:r w:rsidRPr="007F1682">
        <w:rPr>
          <w:rFonts w:eastAsia="Times New Roman" w:cs="Arial"/>
          <w:color w:val="000000"/>
          <w:szCs w:val="19"/>
          <w:lang w:eastAsia="bg-BG"/>
        </w:rPr>
        <w:t xml:space="preserve"> използва с внимание при пациенти, лекувани с други лекарствени продукти, свързвани с увреждане на черния дроб.</w:t>
      </w:r>
    </w:p>
    <w:p w14:paraId="1B44B353" w14:textId="77777777" w:rsidR="005545AB" w:rsidRPr="007F1682" w:rsidRDefault="005545AB" w:rsidP="005545AB">
      <w:pPr>
        <w:spacing w:line="240" w:lineRule="auto"/>
        <w:rPr>
          <w:rFonts w:eastAsia="Times New Roman" w:cs="Arial"/>
          <w:i/>
          <w:iCs/>
          <w:color w:val="000000"/>
          <w:szCs w:val="19"/>
          <w:lang w:eastAsia="bg-BG"/>
        </w:rPr>
      </w:pPr>
    </w:p>
    <w:p w14:paraId="7822BF4B" w14:textId="0B2811EF" w:rsidR="005545AB" w:rsidRPr="007F1682" w:rsidRDefault="005545AB" w:rsidP="005545AB">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Захароза</w:t>
      </w:r>
    </w:p>
    <w:p w14:paraId="0D3D9476" w14:textId="5156C2BA" w:rsidR="005545AB" w:rsidRPr="007F1682" w:rsidRDefault="005545AB" w:rsidP="005545AB">
      <w:pPr>
        <w:rPr>
          <w:rFonts w:eastAsia="Times New Roman" w:cs="Arial"/>
          <w:color w:val="000000"/>
          <w:sz w:val="28"/>
          <w:szCs w:val="19"/>
          <w:lang w:eastAsia="bg-BG"/>
        </w:rPr>
      </w:pPr>
      <w:r w:rsidRPr="007F1682">
        <w:rPr>
          <w:rFonts w:eastAsia="Times New Roman" w:cs="Arial"/>
          <w:color w:val="000000"/>
          <w:szCs w:val="19"/>
          <w:lang w:eastAsia="bg-BG"/>
        </w:rPr>
        <w:t>Дулокси стомашно-устойчиви твърди капсули съдържат захароза. Пациентите е редки наследствени проблеми на непоносимост към фруктоза. глюкозо-галактозна малабсорбция или захаразо- изомалтазна недостатъчност не трябва да приемат този лекарствен продукт.</w:t>
      </w:r>
    </w:p>
    <w:p w14:paraId="4243AD80" w14:textId="77777777" w:rsidR="005545AB" w:rsidRPr="007F1682" w:rsidRDefault="005545AB" w:rsidP="005545AB"/>
    <w:p w14:paraId="619DED1E" w14:textId="4047B3C4" w:rsidR="004F498A" w:rsidRPr="007F1682" w:rsidRDefault="002C50EE" w:rsidP="004A448E">
      <w:pPr>
        <w:pStyle w:val="Heading2"/>
      </w:pPr>
      <w:r w:rsidRPr="007F1682">
        <w:t>4.5. Взаимодействие с други лекарствени продукти и други форми на</w:t>
      </w:r>
      <w:r w:rsidR="004F1CE7" w:rsidRPr="007F1682">
        <w:t xml:space="preserve"> взаимодействие</w:t>
      </w:r>
      <w:r w:rsidRPr="007F1682">
        <w:t xml:space="preserve"> </w:t>
      </w:r>
    </w:p>
    <w:p w14:paraId="19C82CF0" w14:textId="2F70B8A6" w:rsidR="008C41D5" w:rsidRPr="007F1682" w:rsidRDefault="008C41D5" w:rsidP="008C41D5"/>
    <w:p w14:paraId="5DF202F8" w14:textId="77777777" w:rsidR="008C41D5" w:rsidRPr="007F1682" w:rsidRDefault="008C41D5" w:rsidP="008C41D5">
      <w:pPr>
        <w:rPr>
          <w:sz w:val="28"/>
        </w:rPr>
      </w:pPr>
      <w:r w:rsidRPr="007F1682">
        <w:rPr>
          <w:rFonts w:cs="Arial"/>
          <w:i/>
          <w:iCs/>
          <w:szCs w:val="19"/>
        </w:rPr>
        <w:t>Инхибитори на моноамино оксидазата (МАO - инхибитори)</w:t>
      </w:r>
      <w:r w:rsidRPr="007F1682">
        <w:rPr>
          <w:rFonts w:cs="Arial"/>
          <w:i/>
          <w:iCs/>
          <w:szCs w:val="19"/>
        </w:rPr>
        <w:tab/>
      </w:r>
    </w:p>
    <w:p w14:paraId="2B8E0E05" w14:textId="785251A8" w:rsidR="008C41D5" w:rsidRPr="007F1682" w:rsidRDefault="008C41D5" w:rsidP="008C41D5">
      <w:pPr>
        <w:rPr>
          <w:rFonts w:ascii="Times New Roman" w:eastAsia="Times New Roman" w:hAnsi="Times New Roman" w:cs="Times New Roman"/>
          <w:sz w:val="32"/>
          <w:szCs w:val="24"/>
          <w:lang w:eastAsia="bg-BG"/>
        </w:rPr>
      </w:pPr>
      <w:r w:rsidRPr="007F1682">
        <w:rPr>
          <w:rFonts w:cs="Arial"/>
          <w:szCs w:val="19"/>
        </w:rPr>
        <w:t xml:space="preserve">Поради риск от серотонинов синдром, дулоксетин не трябва да се използва в </w:t>
      </w:r>
      <w:r w:rsidR="00375D7B" w:rsidRPr="007F1682">
        <w:rPr>
          <w:rFonts w:cs="Arial"/>
          <w:szCs w:val="19"/>
        </w:rPr>
        <w:t>комбинация</w:t>
      </w:r>
      <w:r w:rsidRPr="007F1682">
        <w:rPr>
          <w:rFonts w:cs="Arial"/>
          <w:szCs w:val="19"/>
        </w:rPr>
        <w:t xml:space="preserve"> с неселективни</w:t>
      </w:r>
      <w:r w:rsidR="00375D7B">
        <w:rPr>
          <w:rFonts w:cs="Arial"/>
          <w:szCs w:val="19"/>
        </w:rPr>
        <w:t>,</w:t>
      </w:r>
      <w:r w:rsidRPr="007F1682">
        <w:rPr>
          <w:rFonts w:cs="Arial"/>
          <w:szCs w:val="19"/>
        </w:rPr>
        <w:t xml:space="preserve"> необратими моноаминооксидазни инхибитори (МАО-инхибитори) или в рамките на </w:t>
      </w:r>
      <w:r w:rsidRPr="007F1682">
        <w:rPr>
          <w:rFonts w:eastAsia="Times New Roman" w:cs="Arial"/>
          <w:color w:val="000000"/>
          <w:szCs w:val="19"/>
          <w:lang w:eastAsia="bg-BG"/>
        </w:rPr>
        <w:t xml:space="preserve">поне 14 дни от прекъсване на лечението с МАО-инхибитори. Въз основа на полуживота на дулоксетин, е необходимо да изминат поне 5 дни след спиране на дулоксетин и преди започване на МАО-инхибитори </w:t>
      </w:r>
      <w:r w:rsidRPr="007F1682">
        <w:rPr>
          <w:rFonts w:eastAsia="Times New Roman" w:cs="Arial"/>
          <w:i/>
          <w:iCs/>
          <w:color w:val="000000"/>
          <w:szCs w:val="19"/>
          <w:lang w:eastAsia="bg-BG"/>
        </w:rPr>
        <w:t>(вж. точка 4.3).</w:t>
      </w:r>
    </w:p>
    <w:p w14:paraId="600982A4" w14:textId="77777777" w:rsidR="008C41D5" w:rsidRPr="007F1682" w:rsidRDefault="008C41D5" w:rsidP="008C41D5">
      <w:pPr>
        <w:spacing w:line="240" w:lineRule="auto"/>
        <w:rPr>
          <w:rFonts w:eastAsia="Times New Roman" w:cs="Arial"/>
          <w:color w:val="000000"/>
          <w:szCs w:val="19"/>
          <w:lang w:eastAsia="bg-BG"/>
        </w:rPr>
      </w:pPr>
    </w:p>
    <w:p w14:paraId="03BCA625" w14:textId="6F1A53B0"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Не се препоръчва едновременното приложение на дулоксетин със селективни обратими МАО- инхибитори, като моклобемид (вж. точка 4.4). Антибиотикът линезолид е обратим неселективен МАО-инхибитор и не трябва да се дава на пациенти, лекувани с дулоксетин (вж. точка 4.4).</w:t>
      </w:r>
    </w:p>
    <w:p w14:paraId="75734A91" w14:textId="77777777" w:rsidR="008C41D5" w:rsidRPr="007F1682" w:rsidRDefault="008C41D5" w:rsidP="008C41D5">
      <w:pPr>
        <w:spacing w:line="240" w:lineRule="auto"/>
        <w:rPr>
          <w:rFonts w:eastAsia="Times New Roman" w:cs="Arial"/>
          <w:i/>
          <w:iCs/>
          <w:color w:val="000000"/>
          <w:szCs w:val="19"/>
          <w:lang w:eastAsia="bg-BG"/>
        </w:rPr>
      </w:pPr>
    </w:p>
    <w:p w14:paraId="773E8220" w14:textId="67E5C995"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 xml:space="preserve">Инхибитори на </w:t>
      </w:r>
      <w:r w:rsidRPr="007F1682">
        <w:rPr>
          <w:rFonts w:eastAsia="Times New Roman" w:cs="Arial"/>
          <w:i/>
          <w:iCs/>
          <w:color w:val="000000"/>
          <w:szCs w:val="19"/>
        </w:rPr>
        <w:t>CYPIA2</w:t>
      </w:r>
    </w:p>
    <w:p w14:paraId="3412F7AB" w14:textId="77777777"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Тъй като </w:t>
      </w:r>
      <w:r w:rsidRPr="007F1682">
        <w:rPr>
          <w:rFonts w:eastAsia="Times New Roman" w:cs="Arial"/>
          <w:color w:val="000000"/>
          <w:szCs w:val="19"/>
        </w:rPr>
        <w:t xml:space="preserve">CYPIA2 </w:t>
      </w:r>
      <w:r w:rsidRPr="007F1682">
        <w:rPr>
          <w:rFonts w:eastAsia="Times New Roman" w:cs="Arial"/>
          <w:color w:val="000000"/>
          <w:szCs w:val="19"/>
          <w:lang w:eastAsia="bg-BG"/>
        </w:rPr>
        <w:t xml:space="preserve">е включен в метаболизма на дулоксетин. едновременното приложение на дулоксетин с мощни инхибитори на </w:t>
      </w:r>
      <w:r w:rsidRPr="007F1682">
        <w:rPr>
          <w:rFonts w:eastAsia="Times New Roman" w:cs="Arial"/>
          <w:color w:val="000000"/>
          <w:szCs w:val="19"/>
        </w:rPr>
        <w:t xml:space="preserve">CYPIA2 </w:t>
      </w:r>
      <w:r w:rsidRPr="007F1682">
        <w:rPr>
          <w:rFonts w:eastAsia="Times New Roman" w:cs="Arial"/>
          <w:color w:val="000000"/>
          <w:szCs w:val="19"/>
          <w:lang w:eastAsia="bg-BG"/>
        </w:rPr>
        <w:t xml:space="preserve">е вероятно да доведе до по-високи концентрации на дулоксетин. Флувоксамин (100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веднъж дневно), мощен инхибитор на </w:t>
      </w:r>
      <w:r w:rsidRPr="007F1682">
        <w:rPr>
          <w:rFonts w:eastAsia="Times New Roman" w:cs="Arial"/>
          <w:color w:val="000000"/>
          <w:szCs w:val="19"/>
        </w:rPr>
        <w:t xml:space="preserve">CYPIA2. </w:t>
      </w:r>
      <w:r w:rsidRPr="007F1682">
        <w:rPr>
          <w:rFonts w:eastAsia="Times New Roman" w:cs="Arial"/>
          <w:color w:val="000000"/>
          <w:szCs w:val="19"/>
          <w:lang w:eastAsia="bg-BG"/>
        </w:rPr>
        <w:t>намалява привидния плазмен клирънс на дулоксетин с около 77% и повишава AUC</w:t>
      </w:r>
      <w:r w:rsidRPr="007F1682">
        <w:rPr>
          <w:rFonts w:eastAsia="Times New Roman" w:cs="Arial"/>
          <w:color w:val="000000"/>
          <w:szCs w:val="19"/>
          <w:vertAlign w:val="subscript"/>
          <w:lang w:eastAsia="bg-BG"/>
        </w:rPr>
        <w:t>0-t</w:t>
      </w:r>
      <w:r w:rsidRPr="007F1682">
        <w:rPr>
          <w:rFonts w:eastAsia="Times New Roman" w:cs="Arial"/>
          <w:color w:val="000000"/>
          <w:szCs w:val="19"/>
          <w:lang w:eastAsia="bg-BG"/>
        </w:rPr>
        <w:t xml:space="preserve"> 6 пъти Затова дулоксетин не трябва да се прилага в комбинация с мощни инхибитори на </w:t>
      </w:r>
      <w:r w:rsidRPr="007F1682">
        <w:rPr>
          <w:rFonts w:eastAsia="Times New Roman" w:cs="Arial"/>
          <w:color w:val="000000"/>
          <w:szCs w:val="19"/>
        </w:rPr>
        <w:t>CYPI</w:t>
      </w:r>
      <w:r w:rsidRPr="007F1682">
        <w:rPr>
          <w:rFonts w:eastAsia="Times New Roman" w:cs="Arial"/>
          <w:color w:val="000000"/>
          <w:szCs w:val="19"/>
          <w:lang w:eastAsia="bg-BG"/>
        </w:rPr>
        <w:t>А2 като флувоксамин (вж. точка 4.3).</w:t>
      </w:r>
    </w:p>
    <w:p w14:paraId="2994F53A" w14:textId="77777777" w:rsidR="008C41D5" w:rsidRPr="007F1682" w:rsidRDefault="008C41D5" w:rsidP="008C41D5">
      <w:pPr>
        <w:spacing w:line="240" w:lineRule="auto"/>
        <w:rPr>
          <w:rFonts w:eastAsia="Times New Roman" w:cs="Arial"/>
          <w:i/>
          <w:iCs/>
          <w:color w:val="000000"/>
          <w:szCs w:val="19"/>
          <w:lang w:eastAsia="bg-BG"/>
        </w:rPr>
      </w:pPr>
    </w:p>
    <w:p w14:paraId="56B42047" w14:textId="63009D07"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Лекарствени продукти, действащи върху ЦНС</w:t>
      </w:r>
    </w:p>
    <w:p w14:paraId="574736BB" w14:textId="77777777"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Рискът от употреба на дулоксетин в комбинация с други повлияващи ЦНС лекарствени продукти не е системно оценяван, освен в случаите, описани в тази точка. Следователно се препоръчва повишено внимание, когато дулоксетин се приема в комбинация с други централно действащи лекарствени продукти или вещества, включително алкохол и седативни лекарствени продукти (напр. безнодиазепини, морфиномиметици. антипсихотици. фенобарбитал. седативни антихистамини).</w:t>
      </w:r>
    </w:p>
    <w:p w14:paraId="0E121E4B" w14:textId="77777777" w:rsidR="008C41D5" w:rsidRPr="007F1682" w:rsidRDefault="008C41D5" w:rsidP="008C41D5">
      <w:pPr>
        <w:spacing w:line="240" w:lineRule="auto"/>
        <w:rPr>
          <w:rFonts w:eastAsia="Times New Roman" w:cs="Arial"/>
          <w:i/>
          <w:iCs/>
          <w:color w:val="000000"/>
          <w:szCs w:val="19"/>
          <w:lang w:eastAsia="bg-BG"/>
        </w:rPr>
      </w:pPr>
    </w:p>
    <w:p w14:paraId="620B9633" w14:textId="52908A2F"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Серотонинергични лекарствени средства</w:t>
      </w:r>
    </w:p>
    <w:p w14:paraId="12687A65" w14:textId="718DFC70" w:rsidR="008C41D5" w:rsidRPr="007F1682" w:rsidRDefault="008C41D5" w:rsidP="008C41D5">
      <w:pPr>
        <w:rPr>
          <w:sz w:val="36"/>
        </w:rPr>
      </w:pPr>
      <w:r w:rsidRPr="007F1682">
        <w:rPr>
          <w:rFonts w:eastAsia="Times New Roman" w:cs="Arial"/>
          <w:color w:val="000000"/>
          <w:szCs w:val="19"/>
          <w:lang w:eastAsia="bg-BG"/>
        </w:rPr>
        <w:t xml:space="preserve">В редки случаи е съобщаван серотонинов синдром при пациенти, които използват </w:t>
      </w:r>
      <w:r w:rsidRPr="007F1682">
        <w:rPr>
          <w:rFonts w:eastAsia="Times New Roman" w:cs="Arial"/>
          <w:color w:val="000000"/>
          <w:szCs w:val="19"/>
        </w:rPr>
        <w:t xml:space="preserve">SSRIs/SNRIs </w:t>
      </w:r>
      <w:r w:rsidRPr="007F1682">
        <w:rPr>
          <w:rFonts w:eastAsia="Times New Roman" w:cs="Arial"/>
          <w:color w:val="000000"/>
          <w:szCs w:val="19"/>
          <w:lang w:eastAsia="bg-BG"/>
        </w:rPr>
        <w:t xml:space="preserve">едновременно със серотонинергични лекарствени средства. Препоръчва се внимание, ако дулоксетин се използва едновременно със серотонинергични лекарствени средства, като </w:t>
      </w:r>
      <w:r w:rsidRPr="007F1682">
        <w:rPr>
          <w:rFonts w:eastAsia="Times New Roman" w:cs="Arial"/>
          <w:color w:val="000000"/>
          <w:szCs w:val="19"/>
        </w:rPr>
        <w:t xml:space="preserve">SSRIs, SNRls, </w:t>
      </w:r>
      <w:r w:rsidRPr="007F1682">
        <w:rPr>
          <w:rFonts w:eastAsia="Times New Roman" w:cs="Arial"/>
          <w:color w:val="000000"/>
          <w:szCs w:val="19"/>
          <w:lang w:eastAsia="bg-BG"/>
        </w:rPr>
        <w:t xml:space="preserve">трициклични антидепресанти, като кломипрамин или амитриптилин. МАО-инхибитори като моклобемид или линезолид, жълт кантарион </w:t>
      </w:r>
      <w:r w:rsidRPr="007F1682">
        <w:rPr>
          <w:rFonts w:eastAsia="Times New Roman" w:cs="Arial"/>
          <w:i/>
          <w:iCs/>
          <w:color w:val="000000"/>
          <w:szCs w:val="19"/>
        </w:rPr>
        <w:t>(Hypericum perforatum)</w:t>
      </w:r>
      <w:r w:rsidRPr="007F1682">
        <w:rPr>
          <w:rFonts w:eastAsia="Times New Roman" w:cs="Arial"/>
          <w:color w:val="000000"/>
          <w:szCs w:val="19"/>
        </w:rPr>
        <w:t xml:space="preserve"> </w:t>
      </w:r>
      <w:r w:rsidRPr="007F1682">
        <w:rPr>
          <w:rFonts w:eastAsia="Times New Roman" w:cs="Arial"/>
          <w:color w:val="000000"/>
          <w:szCs w:val="19"/>
          <w:lang w:eastAsia="bg-BG"/>
        </w:rPr>
        <w:t>или триптани, трамадол. петидин и триптофан (вж. точка 4.4).</w:t>
      </w:r>
    </w:p>
    <w:p w14:paraId="001AD138" w14:textId="6820E854" w:rsidR="005545AB" w:rsidRPr="007F1682" w:rsidRDefault="005545AB" w:rsidP="005545AB">
      <w:pPr>
        <w:rPr>
          <w:sz w:val="28"/>
        </w:rPr>
      </w:pPr>
    </w:p>
    <w:p w14:paraId="3E8C437E" w14:textId="77777777"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b/>
          <w:bCs/>
          <w:i/>
          <w:iCs/>
          <w:color w:val="000000"/>
          <w:szCs w:val="19"/>
          <w:lang w:eastAsia="bg-BG"/>
        </w:rPr>
        <w:t>Ефект на дулоксетин върху други лекарствени продукти</w:t>
      </w:r>
    </w:p>
    <w:p w14:paraId="7CD7DAC8" w14:textId="77777777" w:rsidR="008C41D5" w:rsidRPr="007F1682" w:rsidRDefault="008C41D5" w:rsidP="008C41D5">
      <w:pPr>
        <w:spacing w:line="240" w:lineRule="auto"/>
        <w:rPr>
          <w:rFonts w:eastAsia="Times New Roman" w:cs="Arial"/>
          <w:i/>
          <w:iCs/>
          <w:color w:val="000000"/>
          <w:sz w:val="19"/>
          <w:szCs w:val="19"/>
          <w:lang w:eastAsia="bg-BG"/>
        </w:rPr>
      </w:pPr>
    </w:p>
    <w:p w14:paraId="2605FB89" w14:textId="04243A29"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 xml:space="preserve">Лекарствени продукти, метаболизирани от </w:t>
      </w:r>
      <w:r w:rsidRPr="007F1682">
        <w:rPr>
          <w:rFonts w:eastAsia="Times New Roman" w:cs="Arial"/>
          <w:i/>
          <w:iCs/>
          <w:color w:val="000000"/>
          <w:szCs w:val="19"/>
        </w:rPr>
        <w:t>CYP1A2</w:t>
      </w:r>
    </w:p>
    <w:p w14:paraId="4E8F8A8A" w14:textId="77777777"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В клинично проучване, фармакокинетиката на теофилин. субстрат на </w:t>
      </w:r>
      <w:r w:rsidRPr="007F1682">
        <w:rPr>
          <w:rFonts w:eastAsia="Times New Roman" w:cs="Arial"/>
          <w:color w:val="000000"/>
          <w:szCs w:val="19"/>
        </w:rPr>
        <w:t xml:space="preserve">CYP1A2 </w:t>
      </w:r>
      <w:r w:rsidRPr="007F1682">
        <w:rPr>
          <w:rFonts w:eastAsia="Times New Roman" w:cs="Arial"/>
          <w:color w:val="000000"/>
          <w:szCs w:val="19"/>
          <w:lang w:eastAsia="bg-BG"/>
        </w:rPr>
        <w:t xml:space="preserve">не се повлиява значително от съвместното приложение с дулоксетин (60 </w:t>
      </w:r>
      <w:r w:rsidRPr="007F1682">
        <w:rPr>
          <w:rFonts w:eastAsia="Times New Roman" w:cs="Arial"/>
          <w:color w:val="000000"/>
          <w:szCs w:val="19"/>
        </w:rPr>
        <w:t xml:space="preserve">mg </w:t>
      </w:r>
      <w:r w:rsidRPr="007F1682">
        <w:rPr>
          <w:rFonts w:eastAsia="Times New Roman" w:cs="Arial"/>
          <w:color w:val="000000"/>
          <w:szCs w:val="19"/>
          <w:lang w:eastAsia="bg-BG"/>
        </w:rPr>
        <w:t>два пъти дневно).</w:t>
      </w:r>
    </w:p>
    <w:p w14:paraId="620EAB5B" w14:textId="77777777" w:rsidR="008C41D5" w:rsidRPr="007F1682" w:rsidRDefault="008C41D5" w:rsidP="008C41D5">
      <w:pPr>
        <w:spacing w:line="240" w:lineRule="auto"/>
        <w:rPr>
          <w:rFonts w:eastAsia="Times New Roman" w:cs="Arial"/>
          <w:i/>
          <w:iCs/>
          <w:color w:val="000000"/>
          <w:szCs w:val="19"/>
          <w:lang w:eastAsia="bg-BG"/>
        </w:rPr>
      </w:pPr>
    </w:p>
    <w:p w14:paraId="73C2ACD1" w14:textId="7FF12B14"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 xml:space="preserve">Лекарствени продукти, метаболизирани от </w:t>
      </w:r>
      <w:r w:rsidRPr="007F1682">
        <w:rPr>
          <w:rFonts w:eastAsia="Times New Roman" w:cs="Arial"/>
          <w:i/>
          <w:iCs/>
          <w:color w:val="000000"/>
          <w:szCs w:val="19"/>
        </w:rPr>
        <w:t>CYP2D6</w:t>
      </w:r>
    </w:p>
    <w:p w14:paraId="0E6CC238" w14:textId="77777777"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Дулоксетин е умерен инхибитор на </w:t>
      </w:r>
      <w:r w:rsidRPr="007F1682">
        <w:rPr>
          <w:rFonts w:eastAsia="Times New Roman" w:cs="Arial"/>
          <w:color w:val="000000"/>
          <w:szCs w:val="19"/>
        </w:rPr>
        <w:t xml:space="preserve">CYP2D6. </w:t>
      </w:r>
      <w:r w:rsidRPr="007F1682">
        <w:rPr>
          <w:rFonts w:eastAsia="Times New Roman" w:cs="Arial"/>
          <w:color w:val="000000"/>
          <w:szCs w:val="19"/>
          <w:lang w:eastAsia="bg-BG"/>
        </w:rPr>
        <w:t xml:space="preserve">Когато дулоксетин се прилага в доза от 60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два пъти дневно с единична доза дезипрамин, който е </w:t>
      </w:r>
      <w:r w:rsidRPr="007F1682">
        <w:rPr>
          <w:rFonts w:eastAsia="Times New Roman" w:cs="Arial"/>
          <w:color w:val="000000"/>
          <w:szCs w:val="19"/>
        </w:rPr>
        <w:t xml:space="preserve">CYP2D6 </w:t>
      </w:r>
      <w:r w:rsidRPr="007F1682">
        <w:rPr>
          <w:rFonts w:eastAsia="Times New Roman" w:cs="Arial"/>
          <w:color w:val="000000"/>
          <w:szCs w:val="19"/>
          <w:lang w:eastAsia="bg-BG"/>
        </w:rPr>
        <w:t xml:space="preserve">субстрат. </w:t>
      </w:r>
      <w:r w:rsidRPr="007F1682">
        <w:rPr>
          <w:rFonts w:eastAsia="Times New Roman" w:cs="Arial"/>
          <w:color w:val="000000"/>
          <w:szCs w:val="19"/>
        </w:rPr>
        <w:t xml:space="preserve">AUC </w:t>
      </w:r>
      <w:r w:rsidRPr="007F1682">
        <w:rPr>
          <w:rFonts w:eastAsia="Times New Roman" w:cs="Arial"/>
          <w:color w:val="000000"/>
          <w:szCs w:val="19"/>
          <w:lang w:eastAsia="bg-BG"/>
        </w:rPr>
        <w:t xml:space="preserve">па дезинрамин се увеличава 3 пъти. Съвместното приложение на дулоксетин (40 </w:t>
      </w:r>
      <w:r w:rsidRPr="007F1682">
        <w:rPr>
          <w:rFonts w:eastAsia="Times New Roman" w:cs="Arial"/>
          <w:i/>
          <w:iCs/>
          <w:color w:val="000000"/>
          <w:szCs w:val="19"/>
        </w:rPr>
        <w:t xml:space="preserve">mg </w:t>
      </w:r>
      <w:r w:rsidRPr="007F1682">
        <w:rPr>
          <w:rFonts w:eastAsia="Times New Roman" w:cs="Arial"/>
          <w:i/>
          <w:iCs/>
          <w:color w:val="000000"/>
          <w:szCs w:val="19"/>
          <w:lang w:eastAsia="bg-BG"/>
        </w:rPr>
        <w:t>два</w:t>
      </w:r>
      <w:r w:rsidRPr="007F1682">
        <w:rPr>
          <w:rFonts w:eastAsia="Times New Roman" w:cs="Arial"/>
          <w:color w:val="000000"/>
          <w:szCs w:val="19"/>
          <w:lang w:eastAsia="bg-BG"/>
        </w:rPr>
        <w:t xml:space="preserve"> пъти дневно) повишава стационарната </w:t>
      </w:r>
      <w:r w:rsidRPr="007F1682">
        <w:rPr>
          <w:rFonts w:eastAsia="Times New Roman" w:cs="Arial"/>
          <w:color w:val="000000"/>
          <w:szCs w:val="19"/>
        </w:rPr>
        <w:t xml:space="preserve">AUC </w:t>
      </w:r>
      <w:r w:rsidRPr="007F1682">
        <w:rPr>
          <w:rFonts w:eastAsia="Times New Roman" w:cs="Arial"/>
          <w:color w:val="000000"/>
          <w:szCs w:val="19"/>
          <w:lang w:eastAsia="bg-BG"/>
        </w:rPr>
        <w:t xml:space="preserve">на толтеродин (2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два пъти дневно) със 71%, но не повлиява фармакокинетиката на неговия активен 5-хидроксил метаболит и не се препоръчва адаптиране па дозата. Препоръчва се повишено внимание, ако дулоксетин се прилага едновременно с лекарствени продукти, които се метаболизират основно от </w:t>
      </w:r>
      <w:r w:rsidRPr="007F1682">
        <w:rPr>
          <w:rFonts w:eastAsia="Times New Roman" w:cs="Arial"/>
          <w:color w:val="000000"/>
          <w:szCs w:val="19"/>
        </w:rPr>
        <w:t xml:space="preserve">CYP2D6 </w:t>
      </w:r>
      <w:r w:rsidRPr="007F1682">
        <w:rPr>
          <w:rFonts w:eastAsia="Times New Roman" w:cs="Arial"/>
          <w:color w:val="000000"/>
          <w:szCs w:val="19"/>
          <w:lang w:eastAsia="bg-BG"/>
        </w:rPr>
        <w:t>(риспердон, трициклични антидепресанти |ТЦАД. ТСА| като нортриптилин. амитриптилин и имипрамин). особено ако те имат тесен терапевтичен индекс (като флекаинид, пропафенон и метопролол).</w:t>
      </w:r>
    </w:p>
    <w:p w14:paraId="49279628" w14:textId="77777777" w:rsidR="008C41D5" w:rsidRPr="007F1682" w:rsidRDefault="008C41D5" w:rsidP="008C41D5">
      <w:pPr>
        <w:spacing w:line="240" w:lineRule="auto"/>
        <w:rPr>
          <w:rFonts w:eastAsia="Times New Roman" w:cs="Arial"/>
          <w:i/>
          <w:iCs/>
          <w:color w:val="000000"/>
          <w:szCs w:val="19"/>
          <w:lang w:eastAsia="bg-BG"/>
        </w:rPr>
      </w:pPr>
    </w:p>
    <w:p w14:paraId="7D638E38" w14:textId="67D09D18"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Перорални контрацептиви и други стероидни препарати</w:t>
      </w:r>
    </w:p>
    <w:p w14:paraId="517DCA7D" w14:textId="0EB860B7" w:rsidR="008C41D5" w:rsidRPr="007F1682" w:rsidRDefault="008C41D5" w:rsidP="008C41D5">
      <w:pPr>
        <w:rPr>
          <w:rFonts w:eastAsia="Times New Roman" w:cs="Arial"/>
          <w:color w:val="000000"/>
          <w:szCs w:val="19"/>
          <w:lang w:eastAsia="bg-BG"/>
        </w:rPr>
      </w:pPr>
      <w:r w:rsidRPr="007F1682">
        <w:rPr>
          <w:rFonts w:eastAsia="Times New Roman" w:cs="Arial"/>
          <w:color w:val="000000"/>
          <w:szCs w:val="19"/>
          <w:lang w:eastAsia="bg-BG"/>
        </w:rPr>
        <w:t xml:space="preserve">Резултатите от </w:t>
      </w:r>
      <w:r w:rsidRPr="007F1682">
        <w:rPr>
          <w:rFonts w:eastAsia="Times New Roman" w:cs="Arial"/>
          <w:i/>
          <w:iCs/>
          <w:color w:val="000000"/>
          <w:szCs w:val="19"/>
        </w:rPr>
        <w:t>in vitro</w:t>
      </w:r>
      <w:r w:rsidRPr="007F1682">
        <w:rPr>
          <w:rFonts w:eastAsia="Times New Roman" w:cs="Arial"/>
          <w:color w:val="000000"/>
          <w:szCs w:val="19"/>
        </w:rPr>
        <w:t xml:space="preserve"> </w:t>
      </w:r>
      <w:r w:rsidRPr="007F1682">
        <w:rPr>
          <w:rFonts w:eastAsia="Times New Roman" w:cs="Arial"/>
          <w:color w:val="000000"/>
          <w:szCs w:val="19"/>
          <w:lang w:eastAsia="bg-BG"/>
        </w:rPr>
        <w:t xml:space="preserve">проучвания показват, че дулоксетин не индуцира каталитичната активност на </w:t>
      </w:r>
      <w:r w:rsidRPr="007F1682">
        <w:rPr>
          <w:rFonts w:eastAsia="Times New Roman" w:cs="Arial"/>
          <w:color w:val="000000"/>
          <w:szCs w:val="19"/>
        </w:rPr>
        <w:t xml:space="preserve">CYP3A. </w:t>
      </w:r>
      <w:r w:rsidRPr="007F1682">
        <w:rPr>
          <w:rFonts w:eastAsia="Times New Roman" w:cs="Arial"/>
          <w:color w:val="000000"/>
          <w:szCs w:val="19"/>
          <w:lang w:eastAsia="bg-BG"/>
        </w:rPr>
        <w:t xml:space="preserve">Специфични </w:t>
      </w:r>
      <w:r w:rsidRPr="007F1682">
        <w:rPr>
          <w:rFonts w:eastAsia="Times New Roman" w:cs="Arial"/>
          <w:i/>
          <w:iCs/>
          <w:color w:val="000000"/>
          <w:szCs w:val="19"/>
        </w:rPr>
        <w:t>in vivo</w:t>
      </w:r>
      <w:r w:rsidRPr="007F1682">
        <w:rPr>
          <w:rFonts w:eastAsia="Times New Roman" w:cs="Arial"/>
          <w:color w:val="000000"/>
          <w:szCs w:val="19"/>
        </w:rPr>
        <w:t xml:space="preserve"> </w:t>
      </w:r>
      <w:r w:rsidRPr="007F1682">
        <w:rPr>
          <w:rFonts w:eastAsia="Times New Roman" w:cs="Arial"/>
          <w:color w:val="000000"/>
          <w:szCs w:val="19"/>
          <w:lang w:eastAsia="bg-BG"/>
        </w:rPr>
        <w:t>проучвания за лекарствени взаимодействия не са провеждани.</w:t>
      </w:r>
    </w:p>
    <w:p w14:paraId="5262FA56" w14:textId="3A2A9560" w:rsidR="008C41D5" w:rsidRPr="007F1682" w:rsidRDefault="008C41D5" w:rsidP="008C41D5">
      <w:pPr>
        <w:rPr>
          <w:rFonts w:eastAsia="Times New Roman" w:cs="Arial"/>
          <w:color w:val="000000"/>
          <w:szCs w:val="19"/>
          <w:lang w:eastAsia="bg-BG"/>
        </w:rPr>
      </w:pPr>
    </w:p>
    <w:p w14:paraId="63D80725" w14:textId="77777777" w:rsidR="008C41D5" w:rsidRPr="007F1682" w:rsidRDefault="008C41D5" w:rsidP="008C41D5">
      <w:pPr>
        <w:spacing w:line="240" w:lineRule="auto"/>
        <w:rPr>
          <w:rFonts w:eastAsia="Times New Roman" w:cs="Arial"/>
          <w:i/>
          <w:iCs/>
          <w:color w:val="000000"/>
          <w:sz w:val="19"/>
          <w:szCs w:val="19"/>
          <w:lang w:eastAsia="bg-BG"/>
        </w:rPr>
      </w:pPr>
    </w:p>
    <w:p w14:paraId="2DFF82CF" w14:textId="4C333729"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Антикоагуланти и антиагреганти</w:t>
      </w:r>
    </w:p>
    <w:p w14:paraId="3E4A0808" w14:textId="77777777"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Изисква се повишено внимание, когато дулоксетин се комбинира с перорални атникоагуланти или антиагреганти поради потенциално повишен риск от кървене, което може да се обясни с фармакодинамично взаимодействие. Освен това е съобщавано повишаване на стойностите на </w:t>
      </w:r>
      <w:r w:rsidRPr="007F1682">
        <w:rPr>
          <w:rFonts w:eastAsia="Times New Roman" w:cs="Arial"/>
          <w:color w:val="000000"/>
          <w:szCs w:val="19"/>
        </w:rPr>
        <w:t xml:space="preserve">INR </w:t>
      </w:r>
      <w:r w:rsidRPr="007F1682">
        <w:rPr>
          <w:rFonts w:eastAsia="Times New Roman" w:cs="Arial"/>
          <w:color w:val="000000"/>
          <w:szCs w:val="19"/>
          <w:lang w:eastAsia="bg-BG"/>
        </w:rPr>
        <w:t xml:space="preserve">когато на пациенти, лекувани с варфарин, се прилага едновременно дулоксетин. Все пак. едновременното прилагане на дулоксетин и варфарин на здрави доброволци, като част от клинично фармакологично проучване, при стационарно състояние не води до клинично значима промяна в </w:t>
      </w:r>
      <w:r w:rsidRPr="007F1682">
        <w:rPr>
          <w:rFonts w:eastAsia="Times New Roman" w:cs="Arial"/>
          <w:color w:val="000000"/>
          <w:szCs w:val="19"/>
        </w:rPr>
        <w:t xml:space="preserve">INR </w:t>
      </w:r>
      <w:r w:rsidRPr="007F1682">
        <w:rPr>
          <w:rFonts w:eastAsia="Times New Roman" w:cs="Arial"/>
          <w:color w:val="000000"/>
          <w:szCs w:val="19"/>
          <w:lang w:eastAsia="bg-BG"/>
        </w:rPr>
        <w:t xml:space="preserve">спрямо изходното ниво или във фармакокинетиката на </w:t>
      </w:r>
      <w:r w:rsidRPr="007F1682">
        <w:rPr>
          <w:rFonts w:eastAsia="Times New Roman" w:cs="Arial"/>
          <w:color w:val="000000"/>
          <w:szCs w:val="19"/>
        </w:rPr>
        <w:t xml:space="preserve">R- </w:t>
      </w:r>
      <w:r w:rsidRPr="007F1682">
        <w:rPr>
          <w:rFonts w:eastAsia="Times New Roman" w:cs="Arial"/>
          <w:color w:val="000000"/>
          <w:szCs w:val="19"/>
          <w:lang w:eastAsia="bg-BG"/>
        </w:rPr>
        <w:t xml:space="preserve">или </w:t>
      </w:r>
      <w:r w:rsidRPr="007F1682">
        <w:rPr>
          <w:rFonts w:eastAsia="Times New Roman" w:cs="Arial"/>
          <w:color w:val="000000"/>
          <w:szCs w:val="19"/>
        </w:rPr>
        <w:t xml:space="preserve">S- </w:t>
      </w:r>
      <w:r w:rsidRPr="007F1682">
        <w:rPr>
          <w:rFonts w:eastAsia="Times New Roman" w:cs="Arial"/>
          <w:color w:val="000000"/>
          <w:szCs w:val="19"/>
          <w:lang w:eastAsia="bg-BG"/>
        </w:rPr>
        <w:t>варфарин.</w:t>
      </w:r>
    </w:p>
    <w:p w14:paraId="484777E9" w14:textId="77777777" w:rsidR="008C41D5" w:rsidRPr="007F1682" w:rsidRDefault="008C41D5" w:rsidP="008C41D5">
      <w:pPr>
        <w:spacing w:line="240" w:lineRule="auto"/>
        <w:rPr>
          <w:rFonts w:eastAsia="Times New Roman" w:cs="Arial"/>
          <w:b/>
          <w:bCs/>
          <w:i/>
          <w:iCs/>
          <w:color w:val="000000"/>
          <w:szCs w:val="19"/>
          <w:lang w:eastAsia="bg-BG"/>
        </w:rPr>
      </w:pPr>
    </w:p>
    <w:p w14:paraId="3922E3AA" w14:textId="7196FBD1"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b/>
          <w:bCs/>
          <w:i/>
          <w:iCs/>
          <w:color w:val="000000"/>
          <w:szCs w:val="19"/>
          <w:lang w:eastAsia="bg-BG"/>
        </w:rPr>
        <w:t>Ефекти на други лекарствени продукти върху дулоксетин</w:t>
      </w:r>
    </w:p>
    <w:p w14:paraId="61186C3B" w14:textId="77777777" w:rsidR="008C41D5" w:rsidRPr="007F1682" w:rsidRDefault="008C41D5" w:rsidP="008C41D5">
      <w:pPr>
        <w:spacing w:line="240" w:lineRule="auto"/>
        <w:rPr>
          <w:rFonts w:eastAsia="Times New Roman" w:cs="Arial"/>
          <w:i/>
          <w:iCs/>
          <w:color w:val="000000"/>
          <w:szCs w:val="19"/>
          <w:lang w:eastAsia="bg-BG"/>
        </w:rPr>
      </w:pPr>
    </w:p>
    <w:p w14:paraId="0A84B28C" w14:textId="78D01090"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Антиацидни лекарства и</w:t>
      </w:r>
      <w:r w:rsidRPr="007F1682">
        <w:rPr>
          <w:rFonts w:eastAsia="Times New Roman" w:cs="Arial"/>
          <w:i/>
          <w:iCs/>
          <w:color w:val="000000"/>
          <w:szCs w:val="19"/>
          <w:lang w:eastAsia="bg-BG"/>
        </w:rPr>
        <w:tab/>
        <w:t>антагонисти</w:t>
      </w:r>
    </w:p>
    <w:p w14:paraId="1FC26AC5" w14:textId="437F1395"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Съвместното </w:t>
      </w:r>
      <w:r w:rsidRPr="007F1682">
        <w:rPr>
          <w:rFonts w:eastAsia="Times New Roman" w:cs="Arial"/>
          <w:i/>
          <w:iCs/>
          <w:color w:val="000000"/>
          <w:szCs w:val="19"/>
          <w:lang w:eastAsia="bg-BG"/>
        </w:rPr>
        <w:t>приложение на</w:t>
      </w:r>
      <w:r w:rsidRPr="007F1682">
        <w:rPr>
          <w:rFonts w:eastAsia="Times New Roman" w:cs="Arial"/>
          <w:color w:val="000000"/>
          <w:szCs w:val="19"/>
          <w:lang w:eastAsia="bg-BG"/>
        </w:rPr>
        <w:t xml:space="preserve"> дулоксетин с </w:t>
      </w:r>
      <w:r w:rsidRPr="007F1682">
        <w:rPr>
          <w:rFonts w:eastAsia="Times New Roman" w:cs="Arial"/>
          <w:i/>
          <w:iCs/>
          <w:color w:val="000000"/>
          <w:szCs w:val="19"/>
          <w:lang w:eastAsia="bg-BG"/>
        </w:rPr>
        <w:t>антиациди. съдържащи</w:t>
      </w:r>
      <w:r w:rsidRPr="007F1682">
        <w:rPr>
          <w:rFonts w:eastAsia="Times New Roman" w:cs="Arial"/>
          <w:color w:val="000000"/>
          <w:szCs w:val="19"/>
          <w:lang w:eastAsia="bg-BG"/>
        </w:rPr>
        <w:t xml:space="preserve"> алуминий и магнезий, или на дулоксетин с фамотидин, няма значим ефект върху скоростга или степента на резорб</w:t>
      </w:r>
      <w:r w:rsidR="00E8732C">
        <w:rPr>
          <w:rFonts w:eastAsia="Times New Roman" w:cs="Arial"/>
          <w:color w:val="000000"/>
          <w:szCs w:val="19"/>
          <w:lang w:eastAsia="bg-BG"/>
        </w:rPr>
        <w:t>ц</w:t>
      </w:r>
      <w:r w:rsidRPr="007F1682">
        <w:rPr>
          <w:rFonts w:eastAsia="Times New Roman" w:cs="Arial"/>
          <w:color w:val="000000"/>
          <w:szCs w:val="19"/>
          <w:lang w:eastAsia="bg-BG"/>
        </w:rPr>
        <w:t xml:space="preserve">ия на дулоксетин след приложение на доза от 40 </w:t>
      </w:r>
      <w:r w:rsidRPr="007F1682">
        <w:rPr>
          <w:rFonts w:eastAsia="Times New Roman" w:cs="Arial"/>
          <w:color w:val="000000"/>
          <w:szCs w:val="19"/>
        </w:rPr>
        <w:t xml:space="preserve">mg </w:t>
      </w:r>
      <w:r w:rsidRPr="007F1682">
        <w:rPr>
          <w:rFonts w:eastAsia="Times New Roman" w:cs="Arial"/>
          <w:color w:val="000000"/>
          <w:szCs w:val="19"/>
          <w:lang w:eastAsia="bg-BG"/>
        </w:rPr>
        <w:t>перорално.</w:t>
      </w:r>
    </w:p>
    <w:p w14:paraId="050746FF" w14:textId="77777777" w:rsidR="008C41D5" w:rsidRPr="007F1682" w:rsidRDefault="008C41D5" w:rsidP="008C41D5">
      <w:pPr>
        <w:spacing w:line="240" w:lineRule="auto"/>
        <w:rPr>
          <w:rFonts w:eastAsia="Times New Roman" w:cs="Arial"/>
          <w:i/>
          <w:iCs/>
          <w:color w:val="000000"/>
          <w:szCs w:val="19"/>
          <w:lang w:eastAsia="bg-BG"/>
        </w:rPr>
      </w:pPr>
    </w:p>
    <w:p w14:paraId="0086CD1B" w14:textId="00FD0075"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 xml:space="preserve">Индукпюри на </w:t>
      </w:r>
      <w:r w:rsidRPr="007F1682">
        <w:rPr>
          <w:rFonts w:eastAsia="Times New Roman" w:cs="Arial"/>
          <w:i/>
          <w:iCs/>
          <w:color w:val="000000"/>
          <w:szCs w:val="19"/>
        </w:rPr>
        <w:t>CYP1A2</w:t>
      </w:r>
    </w:p>
    <w:p w14:paraId="0EB15F71" w14:textId="4E772780" w:rsidR="008C41D5" w:rsidRPr="007F1682" w:rsidRDefault="008C41D5" w:rsidP="008C41D5">
      <w:pPr>
        <w:rPr>
          <w:sz w:val="36"/>
        </w:rPr>
      </w:pPr>
      <w:r w:rsidRPr="007F1682">
        <w:rPr>
          <w:rFonts w:eastAsia="Times New Roman" w:cs="Arial"/>
          <w:color w:val="000000"/>
          <w:szCs w:val="19"/>
          <w:lang w:eastAsia="bg-BG"/>
        </w:rPr>
        <w:t>Анализи на популационни фармакокинетични проучвания показват, че пушачите имат почти 50% по-ниски плазмени коцентрации на дулоксетин, в сравнение с непушачите.</w:t>
      </w:r>
    </w:p>
    <w:p w14:paraId="63ABFD2F" w14:textId="77777777" w:rsidR="005545AB" w:rsidRPr="007F1682" w:rsidRDefault="005545AB" w:rsidP="005545AB"/>
    <w:p w14:paraId="394A7584" w14:textId="033B6ADA" w:rsidR="004F498A" w:rsidRPr="007F1682" w:rsidRDefault="002C50EE" w:rsidP="004A448E">
      <w:pPr>
        <w:pStyle w:val="Heading2"/>
      </w:pPr>
      <w:r w:rsidRPr="007F1682">
        <w:t>4.6. Фертилитет, бременност и кърмене</w:t>
      </w:r>
    </w:p>
    <w:p w14:paraId="197ECD60" w14:textId="30999B78" w:rsidR="008C41D5" w:rsidRPr="007F1682" w:rsidRDefault="008C41D5" w:rsidP="008C41D5"/>
    <w:p w14:paraId="3B0B1311" w14:textId="77777777" w:rsidR="008C41D5" w:rsidRPr="007F1682" w:rsidRDefault="008C41D5" w:rsidP="008C41D5">
      <w:pPr>
        <w:pStyle w:val="Heading3"/>
        <w:rPr>
          <w:rFonts w:ascii="Times New Roman" w:eastAsia="Times New Roman" w:hAnsi="Times New Roman" w:cs="Times New Roman"/>
          <w:sz w:val="32"/>
          <w:u w:val="single"/>
          <w:lang w:eastAsia="bg-BG"/>
        </w:rPr>
      </w:pPr>
      <w:r w:rsidRPr="007F1682">
        <w:rPr>
          <w:rFonts w:eastAsia="Times New Roman"/>
          <w:u w:val="single"/>
          <w:lang w:eastAsia="bg-BG"/>
        </w:rPr>
        <w:lastRenderedPageBreak/>
        <w:t>Фертилитет</w:t>
      </w:r>
    </w:p>
    <w:p w14:paraId="32E74346" w14:textId="77777777"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Дулоксетин няма ефект върху фертилитета при мъже, а ефектите при жени очевидно са само в дози, които причиняват токсичност за майката.</w:t>
      </w:r>
    </w:p>
    <w:p w14:paraId="01FDEF44" w14:textId="77777777" w:rsidR="008C41D5" w:rsidRPr="007F1682" w:rsidRDefault="008C41D5" w:rsidP="008C41D5">
      <w:pPr>
        <w:spacing w:line="240" w:lineRule="auto"/>
        <w:rPr>
          <w:rFonts w:eastAsia="Times New Roman" w:cs="Arial"/>
          <w:color w:val="000000"/>
          <w:szCs w:val="19"/>
          <w:u w:val="single"/>
          <w:lang w:eastAsia="bg-BG"/>
        </w:rPr>
      </w:pPr>
    </w:p>
    <w:p w14:paraId="6D0CB4EF" w14:textId="44FEE758" w:rsidR="008C41D5" w:rsidRPr="007F1682" w:rsidRDefault="008C41D5" w:rsidP="008C41D5">
      <w:pPr>
        <w:pStyle w:val="Heading3"/>
        <w:rPr>
          <w:rFonts w:ascii="Times New Roman" w:eastAsia="Times New Roman" w:hAnsi="Times New Roman" w:cs="Times New Roman"/>
          <w:sz w:val="32"/>
          <w:u w:val="single"/>
          <w:lang w:eastAsia="bg-BG"/>
        </w:rPr>
      </w:pPr>
      <w:r w:rsidRPr="007F1682">
        <w:rPr>
          <w:rFonts w:eastAsia="Times New Roman"/>
          <w:u w:val="single"/>
          <w:lang w:eastAsia="bg-BG"/>
        </w:rPr>
        <w:t>Бременност</w:t>
      </w:r>
    </w:p>
    <w:p w14:paraId="1B86333B" w14:textId="2AB293E3"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Няма адекватни данни за употреба на дулоксетин от бременни жени. Проучвания с животни показват репродуктивна токсичност при нива на системна експозиция </w:t>
      </w:r>
      <w:r w:rsidRPr="007F1682">
        <w:rPr>
          <w:rFonts w:eastAsia="Times New Roman" w:cs="Arial"/>
          <w:color w:val="000000"/>
          <w:szCs w:val="19"/>
        </w:rPr>
        <w:t xml:space="preserve">(AUC) </w:t>
      </w:r>
      <w:r w:rsidRPr="007F1682">
        <w:rPr>
          <w:rFonts w:eastAsia="Times New Roman" w:cs="Arial"/>
          <w:color w:val="000000"/>
          <w:szCs w:val="19"/>
          <w:lang w:eastAsia="bg-BG"/>
        </w:rPr>
        <w:t>на дулоксетин по-ниски от максималната клинична експозиция (вж. точка 5.3).</w:t>
      </w:r>
    </w:p>
    <w:p w14:paraId="350CFA7F" w14:textId="77777777" w:rsidR="008C41D5" w:rsidRPr="007F1682" w:rsidRDefault="008C41D5" w:rsidP="008C41D5">
      <w:pPr>
        <w:spacing w:line="240" w:lineRule="auto"/>
        <w:rPr>
          <w:rFonts w:eastAsia="Times New Roman" w:cs="Arial"/>
          <w:color w:val="000000"/>
          <w:szCs w:val="19"/>
          <w:lang w:eastAsia="bg-BG"/>
        </w:rPr>
      </w:pPr>
    </w:p>
    <w:p w14:paraId="06682266" w14:textId="05D0C472"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Потенциалният риск за хора не е известен.</w:t>
      </w:r>
    </w:p>
    <w:p w14:paraId="707C4FB5" w14:textId="77777777" w:rsidR="008C41D5" w:rsidRPr="007F1682" w:rsidRDefault="008C41D5" w:rsidP="008C41D5">
      <w:pPr>
        <w:spacing w:line="240" w:lineRule="auto"/>
        <w:rPr>
          <w:rFonts w:eastAsia="Times New Roman" w:cs="Arial"/>
          <w:color w:val="000000"/>
          <w:szCs w:val="19"/>
          <w:lang w:eastAsia="bg-BG"/>
        </w:rPr>
      </w:pPr>
    </w:p>
    <w:p w14:paraId="63FC4CDD" w14:textId="4DF2A3A2"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Епидемиологичните данни предполагат, че употребата на </w:t>
      </w:r>
      <w:r w:rsidRPr="007F1682">
        <w:rPr>
          <w:rFonts w:eastAsia="Times New Roman" w:cs="Arial"/>
          <w:color w:val="000000"/>
          <w:szCs w:val="19"/>
        </w:rPr>
        <w:t xml:space="preserve">SSRIs </w:t>
      </w:r>
      <w:r w:rsidRPr="007F1682">
        <w:rPr>
          <w:rFonts w:eastAsia="Times New Roman" w:cs="Arial"/>
          <w:color w:val="000000"/>
          <w:szCs w:val="19"/>
          <w:lang w:eastAsia="bg-BG"/>
        </w:rPr>
        <w:t xml:space="preserve">по време на бременност, особено в напреднала бременност, може да повиши риска от персистираша пулмонална хипертония при новороденото (ППХН). Макар в никакви проучвания да не е изследвана връзката на ППХН с лечението със </w:t>
      </w:r>
      <w:r w:rsidRPr="007F1682">
        <w:rPr>
          <w:rFonts w:eastAsia="Times New Roman" w:cs="Arial"/>
          <w:color w:val="000000"/>
          <w:szCs w:val="19"/>
        </w:rPr>
        <w:t xml:space="preserve">SNRL </w:t>
      </w:r>
      <w:r w:rsidRPr="007F1682">
        <w:rPr>
          <w:rFonts w:eastAsia="Times New Roman" w:cs="Arial"/>
          <w:color w:val="000000"/>
          <w:szCs w:val="19"/>
          <w:lang w:eastAsia="bg-BG"/>
        </w:rPr>
        <w:t>този потенциален риск не може да бъде изключен при дулоксетин. вземайки под внимание свързания механизъм на действие (инхибиране на обратното захващане на серотонин).</w:t>
      </w:r>
    </w:p>
    <w:p w14:paraId="75F87693" w14:textId="77777777" w:rsidR="008C41D5" w:rsidRPr="007F1682" w:rsidRDefault="008C41D5" w:rsidP="008C41D5">
      <w:pPr>
        <w:spacing w:line="240" w:lineRule="auto"/>
        <w:rPr>
          <w:rFonts w:eastAsia="Times New Roman" w:cs="Arial"/>
          <w:color w:val="000000"/>
          <w:szCs w:val="19"/>
          <w:lang w:eastAsia="bg-BG"/>
        </w:rPr>
      </w:pPr>
    </w:p>
    <w:p w14:paraId="611DA1C2" w14:textId="6C0AD0C8"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Подобно на другите серотонергични лекарствени продукти, могат да се проявят симптоми на отнемане при новородени след употреба на дулоксетин от майката близко до термина. Симптомите на отнемане, наблюдавани при дулоксетин. може да включват хипотония. тремор, нервност. затруднения в храненето, респираторен дистрес и гърчове. Повечето случаи са наблюдавани или при раждането, или в течение на няколко дни след раждането.</w:t>
      </w:r>
    </w:p>
    <w:p w14:paraId="400C603B" w14:textId="77777777" w:rsidR="008C41D5" w:rsidRPr="007F1682" w:rsidRDefault="008C41D5" w:rsidP="008C41D5">
      <w:pPr>
        <w:spacing w:line="240" w:lineRule="auto"/>
        <w:rPr>
          <w:rFonts w:eastAsia="Times New Roman" w:cs="Arial"/>
          <w:color w:val="000000"/>
          <w:szCs w:val="19"/>
          <w:lang w:eastAsia="bg-BG"/>
        </w:rPr>
      </w:pPr>
    </w:p>
    <w:p w14:paraId="48D389C2" w14:textId="57E9D139"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Дулокси трябва да се използва по време на бременност, само ако потенциалните ползи оправдават потенциалния риск за плода. Жените трябва да бъдат съветвани да информират лекаря си, ако забременеят, или планират забременяване по време на лечението.</w:t>
      </w:r>
    </w:p>
    <w:p w14:paraId="3912025E" w14:textId="77777777" w:rsidR="008C41D5" w:rsidRPr="007F1682" w:rsidRDefault="008C41D5" w:rsidP="008C41D5">
      <w:pPr>
        <w:spacing w:line="240" w:lineRule="auto"/>
        <w:rPr>
          <w:rFonts w:eastAsia="Times New Roman" w:cs="Arial"/>
          <w:color w:val="000000"/>
          <w:szCs w:val="19"/>
          <w:lang w:eastAsia="bg-BG"/>
        </w:rPr>
      </w:pPr>
    </w:p>
    <w:p w14:paraId="7658C219" w14:textId="1FE0423C" w:rsidR="008C41D5" w:rsidRPr="007F1682" w:rsidRDefault="008C41D5" w:rsidP="008C41D5">
      <w:pPr>
        <w:pStyle w:val="Heading3"/>
        <w:rPr>
          <w:rFonts w:ascii="Times New Roman" w:eastAsia="Times New Roman" w:hAnsi="Times New Roman" w:cs="Times New Roman"/>
          <w:sz w:val="32"/>
          <w:u w:val="single"/>
          <w:lang w:eastAsia="bg-BG"/>
        </w:rPr>
      </w:pPr>
      <w:r w:rsidRPr="007F1682">
        <w:rPr>
          <w:rFonts w:eastAsia="Times New Roman"/>
          <w:u w:val="single"/>
          <w:lang w:eastAsia="bg-BG"/>
        </w:rPr>
        <w:t>Кърмене</w:t>
      </w:r>
    </w:p>
    <w:p w14:paraId="0FEE1D73" w14:textId="151BD5F7" w:rsidR="008C41D5" w:rsidRPr="007F1682" w:rsidRDefault="008C41D5" w:rsidP="00A157C2">
      <w:pPr>
        <w:spacing w:line="240" w:lineRule="auto"/>
        <w:rPr>
          <w:rFonts w:eastAsia="Times New Roman" w:cs="Arial"/>
          <w:color w:val="000000"/>
          <w:szCs w:val="19"/>
          <w:lang w:eastAsia="bg-BG"/>
        </w:rPr>
      </w:pPr>
      <w:r w:rsidRPr="007F1682">
        <w:rPr>
          <w:rFonts w:eastAsia="Times New Roman" w:cs="Arial"/>
          <w:color w:val="000000"/>
          <w:szCs w:val="19"/>
          <w:lang w:eastAsia="bg-BG"/>
        </w:rPr>
        <w:t xml:space="preserve">Дулокстин се отделя в много малка степен в кърмата на базата на изследване на 6 пациентки с лактация, които не са кърмили своите деца. Приблизителната детска дневна доза на база </w:t>
      </w:r>
      <w:r w:rsidRPr="007F1682">
        <w:rPr>
          <w:rFonts w:eastAsia="Times New Roman" w:cs="Arial"/>
          <w:color w:val="000000"/>
          <w:szCs w:val="19"/>
        </w:rPr>
        <w:t xml:space="preserve">mg/kg </w:t>
      </w:r>
      <w:r w:rsidR="00D25A15">
        <w:rPr>
          <w:rFonts w:eastAsia="Times New Roman" w:cs="Arial"/>
          <w:color w:val="000000"/>
          <w:szCs w:val="19"/>
          <w:lang w:eastAsia="bg-BG"/>
        </w:rPr>
        <w:t xml:space="preserve">е </w:t>
      </w:r>
      <w:r w:rsidRPr="007F1682">
        <w:rPr>
          <w:rFonts w:eastAsia="Times New Roman" w:cs="Arial"/>
          <w:color w:val="000000"/>
          <w:szCs w:val="19"/>
          <w:lang w:eastAsia="bg-BG"/>
        </w:rPr>
        <w:t>приблизително 0.14% от дозата на майката (вж. точка 5.2). Тъй като безопасността на дулоксетин при бебета не е установена, употребата на Дулокси по време на кърмене не се препоръчва.</w:t>
      </w:r>
    </w:p>
    <w:p w14:paraId="09D71A52" w14:textId="77777777" w:rsidR="008C41D5" w:rsidRPr="007F1682" w:rsidRDefault="008C41D5" w:rsidP="008C41D5">
      <w:pPr>
        <w:rPr>
          <w:sz w:val="28"/>
        </w:rPr>
      </w:pPr>
    </w:p>
    <w:p w14:paraId="064DF1DE" w14:textId="1C197D48" w:rsidR="00CF77F7" w:rsidRPr="007F1682" w:rsidRDefault="002C50EE" w:rsidP="004A448E">
      <w:pPr>
        <w:pStyle w:val="Heading2"/>
      </w:pPr>
      <w:r w:rsidRPr="007F1682">
        <w:t>4.7. Ефекти върху способността за шофиране и работа с машини</w:t>
      </w:r>
    </w:p>
    <w:p w14:paraId="18E7F430" w14:textId="158F9325" w:rsidR="008C41D5" w:rsidRPr="007F1682" w:rsidRDefault="008C41D5" w:rsidP="008C41D5"/>
    <w:p w14:paraId="400CA907" w14:textId="6120251A" w:rsidR="008C41D5" w:rsidRPr="007F1682" w:rsidRDefault="008C41D5" w:rsidP="008C41D5">
      <w:pPr>
        <w:rPr>
          <w:rFonts w:cs="Arial"/>
          <w:szCs w:val="19"/>
        </w:rPr>
      </w:pPr>
      <w:r w:rsidRPr="007F1682">
        <w:rPr>
          <w:rFonts w:cs="Arial"/>
          <w:szCs w:val="19"/>
        </w:rPr>
        <w:t>Не са извършвани проучвания върху способността за шофиране и работа е машини. Дулокси може да бъде свързан със седиране и замаяност. Пациентите трябва да бъдат уведомявани, че ако изпитват седиране или замаяност, трябва да избягват потенциално рискови работи като шофиране или работа с машини.</w:t>
      </w:r>
    </w:p>
    <w:p w14:paraId="293C335C" w14:textId="77777777" w:rsidR="008C41D5" w:rsidRPr="007F1682" w:rsidRDefault="008C41D5" w:rsidP="008C41D5"/>
    <w:p w14:paraId="37A3FD9F" w14:textId="058B0CE5" w:rsidR="00CF77F7" w:rsidRPr="007F1682" w:rsidRDefault="002C50EE" w:rsidP="004A448E">
      <w:pPr>
        <w:pStyle w:val="Heading2"/>
      </w:pPr>
      <w:r w:rsidRPr="007F1682">
        <w:t>4.8. Нежелани лекарствени реакции</w:t>
      </w:r>
    </w:p>
    <w:p w14:paraId="427A50B5" w14:textId="69770D56" w:rsidR="008C41D5" w:rsidRPr="007F1682" w:rsidRDefault="008C41D5" w:rsidP="008C41D5"/>
    <w:p w14:paraId="76A17595" w14:textId="77777777"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b/>
          <w:bCs/>
          <w:i/>
          <w:iCs/>
          <w:color w:val="000000"/>
          <w:szCs w:val="19"/>
          <w:lang w:eastAsia="bg-BG"/>
        </w:rPr>
        <w:t>а. Резюме на профила на безопасност</w:t>
      </w:r>
    </w:p>
    <w:p w14:paraId="1747976D" w14:textId="5714607E" w:rsidR="008C41D5" w:rsidRPr="007F1682" w:rsidRDefault="008C41D5" w:rsidP="008C41D5">
      <w:pPr>
        <w:rPr>
          <w:rFonts w:eastAsia="Times New Roman" w:cs="Arial"/>
          <w:color w:val="000000"/>
          <w:szCs w:val="19"/>
          <w:lang w:eastAsia="bg-BG"/>
        </w:rPr>
      </w:pPr>
      <w:r w:rsidRPr="007F1682">
        <w:rPr>
          <w:rFonts w:eastAsia="Times New Roman" w:cs="Arial"/>
          <w:color w:val="000000"/>
          <w:szCs w:val="19"/>
          <w:lang w:eastAsia="bg-BG"/>
        </w:rPr>
        <w:lastRenderedPageBreak/>
        <w:t>Най-често съобщаваните нежелани реакции при пациенти, лекувани с дулоксетин. са гадене, главоболие, сухота в устата, сомнолентност и замайване. Въпреки това, повечето от честите нежелани реакции са леки до умерени, те обикновено започват рано по време на лечението, и по- голяма част са с тенденция да отминат дори, когато терапията бъде продължена.</w:t>
      </w:r>
    </w:p>
    <w:p w14:paraId="43C69DEF" w14:textId="35A5C3B3" w:rsidR="008C41D5" w:rsidRPr="007F1682" w:rsidRDefault="008C41D5" w:rsidP="008C41D5">
      <w:pPr>
        <w:rPr>
          <w:rFonts w:eastAsia="Times New Roman" w:cs="Arial"/>
          <w:color w:val="000000"/>
          <w:szCs w:val="19"/>
          <w:lang w:eastAsia="bg-BG"/>
        </w:rPr>
      </w:pPr>
    </w:p>
    <w:p w14:paraId="309DC5EB" w14:textId="77777777"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b/>
          <w:bCs/>
          <w:i/>
          <w:iCs/>
          <w:color w:val="000000"/>
          <w:szCs w:val="19"/>
          <w:lang w:eastAsia="bg-BG"/>
        </w:rPr>
        <w:t>б.</w:t>
      </w:r>
      <w:r w:rsidRPr="007F1682">
        <w:rPr>
          <w:rFonts w:eastAsia="Times New Roman" w:cs="Arial"/>
          <w:b/>
          <w:bCs/>
          <w:i/>
          <w:iCs/>
          <w:color w:val="000000"/>
          <w:szCs w:val="19"/>
          <w:lang w:eastAsia="bg-BG"/>
        </w:rPr>
        <w:tab/>
        <w:t>Резюме на нежеланите лекарствени реакции, представено в таблица</w:t>
      </w:r>
    </w:p>
    <w:p w14:paraId="407D1101" w14:textId="77777777" w:rsidR="008C41D5" w:rsidRPr="007F1682" w:rsidRDefault="008C41D5" w:rsidP="008C41D5">
      <w:pPr>
        <w:spacing w:line="240" w:lineRule="auto"/>
        <w:rPr>
          <w:rFonts w:eastAsia="Times New Roman" w:cs="Arial"/>
          <w:b/>
          <w:bCs/>
          <w:color w:val="000000"/>
          <w:szCs w:val="19"/>
          <w:lang w:eastAsia="bg-BG"/>
        </w:rPr>
      </w:pPr>
    </w:p>
    <w:p w14:paraId="2FBE8D3B" w14:textId="68989445"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b/>
          <w:bCs/>
          <w:color w:val="000000"/>
          <w:szCs w:val="19"/>
          <w:lang w:eastAsia="bg-BG"/>
        </w:rPr>
        <w:t xml:space="preserve">Таблица </w:t>
      </w:r>
      <w:r w:rsidRPr="007F1682">
        <w:rPr>
          <w:rFonts w:eastAsia="Times New Roman" w:cs="Arial"/>
          <w:color w:val="000000"/>
          <w:szCs w:val="19"/>
          <w:lang w:eastAsia="bg-BG"/>
        </w:rPr>
        <w:t>1 показва нежеланите реакции, наблюдавани при спонтанно съобщаване и при плацебо- контролирани клинични проучвания (включващи общо 9 454 пациенти, 5 703 на дулоксетин и 3 751 на плацебо) е депресия, генерализирано тревожно разстройство и диабетна невропатна болка.</w:t>
      </w:r>
    </w:p>
    <w:p w14:paraId="3C3CE780" w14:textId="77777777"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Таблица 1: Нежелани реакции</w:t>
      </w:r>
    </w:p>
    <w:p w14:paraId="52AADDE1" w14:textId="4E0C0195"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Оценка на честота: Много чести (≥1/10), чести (≥1/100 до &lt;1/10), нечести (≥1/1 000 до &lt;1/100),редки (≥ 1/10 000 до &lt;1/1 000), много редки (&lt;1/10 000).</w:t>
      </w:r>
    </w:p>
    <w:p w14:paraId="02FD3C08" w14:textId="77777777" w:rsidR="008C41D5" w:rsidRPr="007F1682" w:rsidRDefault="008C41D5" w:rsidP="008C41D5">
      <w:pPr>
        <w:spacing w:line="240" w:lineRule="auto"/>
        <w:rPr>
          <w:rFonts w:eastAsia="Times New Roman" w:cs="Arial"/>
          <w:color w:val="000000"/>
          <w:szCs w:val="19"/>
          <w:lang w:eastAsia="bg-BG"/>
        </w:rPr>
      </w:pPr>
    </w:p>
    <w:p w14:paraId="000EE778" w14:textId="19022975" w:rsidR="008C41D5" w:rsidRPr="007F1682" w:rsidRDefault="008C41D5" w:rsidP="008C41D5">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При всяко групиране в зависимост от честотата нежеланите реакции са представени в низходящ</w:t>
      </w:r>
    </w:p>
    <w:p w14:paraId="335176C1" w14:textId="022B270A" w:rsidR="008C41D5" w:rsidRPr="007F1682" w:rsidRDefault="008C41D5" w:rsidP="008C41D5">
      <w:pPr>
        <w:rPr>
          <w:rFonts w:eastAsia="Times New Roman" w:cs="Arial"/>
          <w:color w:val="000000"/>
          <w:szCs w:val="19"/>
          <w:lang w:eastAsia="bg-BG"/>
        </w:rPr>
      </w:pPr>
      <w:r w:rsidRPr="007F1682">
        <w:rPr>
          <w:rFonts w:eastAsia="Times New Roman" w:cs="Arial"/>
          <w:color w:val="000000"/>
          <w:szCs w:val="19"/>
          <w:lang w:eastAsia="bg-BG"/>
        </w:rPr>
        <w:t>ред по отношение на тяхната сериозност.</w:t>
      </w:r>
    </w:p>
    <w:tbl>
      <w:tblPr>
        <w:tblStyle w:val="TableGrid"/>
        <w:tblW w:w="0" w:type="auto"/>
        <w:tblLook w:val="04A0" w:firstRow="1" w:lastRow="0" w:firstColumn="1" w:lastColumn="0" w:noHBand="0" w:noVBand="1"/>
      </w:tblPr>
      <w:tblGrid>
        <w:gridCol w:w="1826"/>
        <w:gridCol w:w="1636"/>
        <w:gridCol w:w="2428"/>
        <w:gridCol w:w="2082"/>
        <w:gridCol w:w="1156"/>
      </w:tblGrid>
      <w:tr w:rsidR="008C41D5" w:rsidRPr="007F1682" w14:paraId="48104AD3" w14:textId="77777777" w:rsidTr="004059F7">
        <w:tc>
          <w:tcPr>
            <w:tcW w:w="1826" w:type="dxa"/>
            <w:vAlign w:val="bottom"/>
          </w:tcPr>
          <w:p w14:paraId="6AA658DB" w14:textId="7EF63E27" w:rsidR="008C41D5" w:rsidRPr="007F1682" w:rsidRDefault="008C41D5" w:rsidP="008C41D5">
            <w:pPr>
              <w:rPr>
                <w:rFonts w:eastAsia="Times New Roman" w:cs="Arial"/>
                <w:color w:val="000000"/>
                <w:szCs w:val="19"/>
                <w:lang w:eastAsia="bg-BG"/>
              </w:rPr>
            </w:pPr>
            <w:r w:rsidRPr="007F1682">
              <w:rPr>
                <w:rFonts w:cs="Arial"/>
                <w:b/>
                <w:bCs/>
                <w:szCs w:val="19"/>
              </w:rPr>
              <w:t>Много чести</w:t>
            </w:r>
          </w:p>
        </w:tc>
        <w:tc>
          <w:tcPr>
            <w:tcW w:w="1636" w:type="dxa"/>
            <w:vAlign w:val="bottom"/>
          </w:tcPr>
          <w:p w14:paraId="0AABBC94" w14:textId="47BB5CCC" w:rsidR="008C41D5" w:rsidRPr="007F1682" w:rsidRDefault="008C41D5" w:rsidP="008C41D5">
            <w:pPr>
              <w:rPr>
                <w:rFonts w:eastAsia="Times New Roman" w:cs="Arial"/>
                <w:color w:val="000000"/>
                <w:szCs w:val="19"/>
                <w:lang w:eastAsia="bg-BG"/>
              </w:rPr>
            </w:pPr>
            <w:r w:rsidRPr="007F1682">
              <w:rPr>
                <w:rFonts w:cs="Arial"/>
                <w:b/>
                <w:bCs/>
                <w:szCs w:val="19"/>
              </w:rPr>
              <w:t>Чести</w:t>
            </w:r>
          </w:p>
        </w:tc>
        <w:tc>
          <w:tcPr>
            <w:tcW w:w="2428" w:type="dxa"/>
            <w:vAlign w:val="bottom"/>
          </w:tcPr>
          <w:p w14:paraId="796E2645" w14:textId="79E3D70C" w:rsidR="008C41D5" w:rsidRPr="007F1682" w:rsidRDefault="008C41D5" w:rsidP="008C41D5">
            <w:pPr>
              <w:rPr>
                <w:rFonts w:eastAsia="Times New Roman" w:cs="Arial"/>
                <w:color w:val="000000"/>
                <w:szCs w:val="19"/>
                <w:lang w:eastAsia="bg-BG"/>
              </w:rPr>
            </w:pPr>
            <w:r w:rsidRPr="007F1682">
              <w:rPr>
                <w:rFonts w:cs="Arial"/>
                <w:b/>
                <w:bCs/>
                <w:szCs w:val="19"/>
              </w:rPr>
              <w:t>Нечести</w:t>
            </w:r>
          </w:p>
        </w:tc>
        <w:tc>
          <w:tcPr>
            <w:tcW w:w="2082" w:type="dxa"/>
            <w:vAlign w:val="bottom"/>
          </w:tcPr>
          <w:p w14:paraId="11BF213A" w14:textId="34BDD881" w:rsidR="008C41D5" w:rsidRPr="007F1682" w:rsidRDefault="008C41D5" w:rsidP="008C41D5">
            <w:pPr>
              <w:rPr>
                <w:rFonts w:eastAsia="Times New Roman" w:cs="Arial"/>
                <w:color w:val="000000"/>
                <w:szCs w:val="19"/>
                <w:lang w:eastAsia="bg-BG"/>
              </w:rPr>
            </w:pPr>
            <w:r w:rsidRPr="007F1682">
              <w:rPr>
                <w:rFonts w:cs="Arial"/>
                <w:b/>
                <w:bCs/>
                <w:szCs w:val="19"/>
              </w:rPr>
              <w:t>Редки</w:t>
            </w:r>
          </w:p>
        </w:tc>
        <w:tc>
          <w:tcPr>
            <w:tcW w:w="1156" w:type="dxa"/>
            <w:vAlign w:val="bottom"/>
          </w:tcPr>
          <w:p w14:paraId="6C6A60CB" w14:textId="72278B20" w:rsidR="008C41D5" w:rsidRPr="007F1682" w:rsidRDefault="008C41D5" w:rsidP="008C41D5">
            <w:pPr>
              <w:rPr>
                <w:rFonts w:eastAsia="Times New Roman" w:cs="Arial"/>
                <w:color w:val="000000"/>
                <w:szCs w:val="19"/>
                <w:lang w:eastAsia="bg-BG"/>
              </w:rPr>
            </w:pPr>
            <w:r w:rsidRPr="007F1682">
              <w:rPr>
                <w:rFonts w:cs="Arial"/>
                <w:b/>
                <w:bCs/>
                <w:sz w:val="19"/>
                <w:szCs w:val="19"/>
              </w:rPr>
              <w:t>Много редки</w:t>
            </w:r>
          </w:p>
        </w:tc>
      </w:tr>
      <w:tr w:rsidR="008C41D5" w:rsidRPr="007F1682" w14:paraId="5627A0A8" w14:textId="77777777" w:rsidTr="004059F7">
        <w:tc>
          <w:tcPr>
            <w:tcW w:w="9128" w:type="dxa"/>
            <w:gridSpan w:val="5"/>
          </w:tcPr>
          <w:p w14:paraId="1C7BAFDF" w14:textId="77777777" w:rsidR="008C41D5" w:rsidRPr="007F1682" w:rsidRDefault="008C41D5" w:rsidP="008C41D5">
            <w:pPr>
              <w:spacing w:line="240" w:lineRule="auto"/>
              <w:rPr>
                <w:rFonts w:ascii="Times New Roman" w:eastAsia="Times New Roman" w:hAnsi="Times New Roman" w:cs="Times New Roman"/>
                <w:szCs w:val="24"/>
                <w:lang w:eastAsia="bg-BG"/>
              </w:rPr>
            </w:pPr>
            <w:r w:rsidRPr="007F1682">
              <w:rPr>
                <w:rFonts w:eastAsia="Times New Roman" w:cs="Arial"/>
                <w:i/>
                <w:iCs/>
                <w:color w:val="000000"/>
                <w:szCs w:val="19"/>
                <w:lang w:eastAsia="bg-BG"/>
              </w:rPr>
              <w:t>Инфекции и инфестации</w:t>
            </w:r>
          </w:p>
          <w:p w14:paraId="2064CD60" w14:textId="77777777" w:rsidR="008C41D5" w:rsidRPr="007F1682" w:rsidRDefault="008C41D5" w:rsidP="008C41D5">
            <w:pPr>
              <w:rPr>
                <w:rFonts w:eastAsia="Times New Roman" w:cs="Arial"/>
                <w:color w:val="000000"/>
                <w:szCs w:val="19"/>
                <w:lang w:eastAsia="bg-BG"/>
              </w:rPr>
            </w:pPr>
          </w:p>
        </w:tc>
      </w:tr>
      <w:tr w:rsidR="008C41D5" w:rsidRPr="007F1682" w14:paraId="7BA48BB6" w14:textId="77777777" w:rsidTr="004059F7">
        <w:tc>
          <w:tcPr>
            <w:tcW w:w="1826" w:type="dxa"/>
          </w:tcPr>
          <w:p w14:paraId="494B437E" w14:textId="77777777" w:rsidR="008C41D5" w:rsidRPr="007F1682" w:rsidRDefault="008C41D5" w:rsidP="008C41D5">
            <w:pPr>
              <w:rPr>
                <w:rFonts w:eastAsia="Times New Roman" w:cs="Arial"/>
                <w:color w:val="000000"/>
                <w:szCs w:val="19"/>
                <w:lang w:eastAsia="bg-BG"/>
              </w:rPr>
            </w:pPr>
          </w:p>
        </w:tc>
        <w:tc>
          <w:tcPr>
            <w:tcW w:w="1636" w:type="dxa"/>
          </w:tcPr>
          <w:p w14:paraId="67691947" w14:textId="77777777" w:rsidR="008C41D5" w:rsidRPr="007F1682" w:rsidRDefault="008C41D5" w:rsidP="008C41D5">
            <w:pPr>
              <w:rPr>
                <w:rFonts w:eastAsia="Times New Roman" w:cs="Arial"/>
                <w:color w:val="000000"/>
                <w:szCs w:val="19"/>
                <w:lang w:eastAsia="bg-BG"/>
              </w:rPr>
            </w:pPr>
          </w:p>
        </w:tc>
        <w:tc>
          <w:tcPr>
            <w:tcW w:w="2428" w:type="dxa"/>
          </w:tcPr>
          <w:p w14:paraId="45FBB732" w14:textId="0295F329" w:rsidR="008C41D5" w:rsidRPr="007F1682" w:rsidRDefault="008C41D5" w:rsidP="008C41D5">
            <w:pPr>
              <w:rPr>
                <w:rFonts w:eastAsia="Times New Roman" w:cs="Arial"/>
                <w:color w:val="000000"/>
                <w:szCs w:val="19"/>
                <w:lang w:eastAsia="bg-BG"/>
              </w:rPr>
            </w:pPr>
            <w:r w:rsidRPr="007F1682">
              <w:rPr>
                <w:rFonts w:cs="Arial"/>
                <w:szCs w:val="19"/>
              </w:rPr>
              <w:t>Ларингит</w:t>
            </w:r>
          </w:p>
        </w:tc>
        <w:tc>
          <w:tcPr>
            <w:tcW w:w="2082" w:type="dxa"/>
          </w:tcPr>
          <w:p w14:paraId="64AFE369" w14:textId="77777777" w:rsidR="008C41D5" w:rsidRPr="007F1682" w:rsidRDefault="008C41D5" w:rsidP="008C41D5">
            <w:pPr>
              <w:rPr>
                <w:rFonts w:eastAsia="Times New Roman" w:cs="Arial"/>
                <w:color w:val="000000"/>
                <w:szCs w:val="19"/>
                <w:lang w:eastAsia="bg-BG"/>
              </w:rPr>
            </w:pPr>
          </w:p>
        </w:tc>
        <w:tc>
          <w:tcPr>
            <w:tcW w:w="1156" w:type="dxa"/>
          </w:tcPr>
          <w:p w14:paraId="4AB422B6" w14:textId="77777777" w:rsidR="008C41D5" w:rsidRPr="007F1682" w:rsidRDefault="008C41D5" w:rsidP="008C41D5">
            <w:pPr>
              <w:rPr>
                <w:rFonts w:eastAsia="Times New Roman" w:cs="Arial"/>
                <w:color w:val="000000"/>
                <w:szCs w:val="19"/>
                <w:lang w:eastAsia="bg-BG"/>
              </w:rPr>
            </w:pPr>
          </w:p>
        </w:tc>
      </w:tr>
      <w:tr w:rsidR="008C41D5" w:rsidRPr="007F1682" w14:paraId="76660D59" w14:textId="77777777" w:rsidTr="004059F7">
        <w:tc>
          <w:tcPr>
            <w:tcW w:w="9128" w:type="dxa"/>
            <w:gridSpan w:val="5"/>
          </w:tcPr>
          <w:p w14:paraId="77123A5F" w14:textId="77777777" w:rsidR="008C41D5" w:rsidRPr="007F1682" w:rsidRDefault="008C41D5" w:rsidP="008C41D5">
            <w:pPr>
              <w:spacing w:line="240" w:lineRule="auto"/>
              <w:rPr>
                <w:rFonts w:ascii="Times New Roman" w:eastAsia="Times New Roman" w:hAnsi="Times New Roman" w:cs="Times New Roman"/>
                <w:szCs w:val="24"/>
                <w:lang w:eastAsia="bg-BG"/>
              </w:rPr>
            </w:pPr>
            <w:r w:rsidRPr="007F1682">
              <w:rPr>
                <w:rFonts w:eastAsia="Times New Roman" w:cs="Arial"/>
                <w:i/>
                <w:iCs/>
                <w:color w:val="000000"/>
                <w:szCs w:val="19"/>
                <w:lang w:eastAsia="bg-BG"/>
              </w:rPr>
              <w:t>Нарушения на имунната система</w:t>
            </w:r>
          </w:p>
          <w:p w14:paraId="2FF573BE" w14:textId="77777777" w:rsidR="008C41D5" w:rsidRPr="007F1682" w:rsidRDefault="008C41D5" w:rsidP="008C41D5">
            <w:pPr>
              <w:rPr>
                <w:rFonts w:eastAsia="Times New Roman" w:cs="Arial"/>
                <w:color w:val="000000"/>
                <w:szCs w:val="19"/>
                <w:lang w:eastAsia="bg-BG"/>
              </w:rPr>
            </w:pPr>
          </w:p>
        </w:tc>
      </w:tr>
      <w:tr w:rsidR="008C41D5" w:rsidRPr="007F1682" w14:paraId="65592639" w14:textId="77777777" w:rsidTr="004059F7">
        <w:tc>
          <w:tcPr>
            <w:tcW w:w="1826" w:type="dxa"/>
          </w:tcPr>
          <w:p w14:paraId="441B060E" w14:textId="77777777" w:rsidR="008C41D5" w:rsidRPr="007F1682" w:rsidRDefault="008C41D5" w:rsidP="008C41D5">
            <w:pPr>
              <w:rPr>
                <w:rFonts w:eastAsia="Times New Roman" w:cs="Arial"/>
                <w:color w:val="000000"/>
                <w:szCs w:val="19"/>
                <w:lang w:eastAsia="bg-BG"/>
              </w:rPr>
            </w:pPr>
          </w:p>
        </w:tc>
        <w:tc>
          <w:tcPr>
            <w:tcW w:w="1636" w:type="dxa"/>
          </w:tcPr>
          <w:p w14:paraId="5BC42CEA" w14:textId="77777777" w:rsidR="008C41D5" w:rsidRPr="007F1682" w:rsidRDefault="008C41D5" w:rsidP="008C41D5">
            <w:pPr>
              <w:rPr>
                <w:rFonts w:eastAsia="Times New Roman" w:cs="Arial"/>
                <w:color w:val="000000"/>
                <w:szCs w:val="19"/>
                <w:lang w:eastAsia="bg-BG"/>
              </w:rPr>
            </w:pPr>
          </w:p>
        </w:tc>
        <w:tc>
          <w:tcPr>
            <w:tcW w:w="2428" w:type="dxa"/>
          </w:tcPr>
          <w:p w14:paraId="0FFBE115" w14:textId="77777777" w:rsidR="008C41D5" w:rsidRPr="007F1682" w:rsidRDefault="008C41D5" w:rsidP="008C41D5">
            <w:pPr>
              <w:rPr>
                <w:rFonts w:eastAsia="Times New Roman" w:cs="Arial"/>
                <w:color w:val="000000"/>
                <w:szCs w:val="19"/>
                <w:lang w:eastAsia="bg-BG"/>
              </w:rPr>
            </w:pPr>
          </w:p>
        </w:tc>
        <w:tc>
          <w:tcPr>
            <w:tcW w:w="2082" w:type="dxa"/>
            <w:vAlign w:val="bottom"/>
          </w:tcPr>
          <w:p w14:paraId="4CF68E76" w14:textId="32BADD25" w:rsidR="008C41D5" w:rsidRPr="007F1682" w:rsidRDefault="008C41D5" w:rsidP="008C41D5">
            <w:pPr>
              <w:rPr>
                <w:rFonts w:eastAsia="Times New Roman" w:cs="Arial"/>
                <w:color w:val="000000"/>
                <w:szCs w:val="19"/>
                <w:lang w:eastAsia="bg-BG"/>
              </w:rPr>
            </w:pPr>
            <w:r w:rsidRPr="007F1682">
              <w:rPr>
                <w:rFonts w:cs="Arial"/>
                <w:szCs w:val="19"/>
              </w:rPr>
              <w:t>Анафилактична реакция Нарушения, свързани със свръхчувствител</w:t>
            </w:r>
            <w:r w:rsidRPr="007F1682">
              <w:rPr>
                <w:rFonts w:cs="Arial"/>
                <w:szCs w:val="19"/>
              </w:rPr>
              <w:softHyphen/>
              <w:t>ност</w:t>
            </w:r>
          </w:p>
        </w:tc>
        <w:tc>
          <w:tcPr>
            <w:tcW w:w="1156" w:type="dxa"/>
          </w:tcPr>
          <w:p w14:paraId="29C428AC" w14:textId="77777777" w:rsidR="008C41D5" w:rsidRPr="007F1682" w:rsidRDefault="008C41D5" w:rsidP="008C41D5">
            <w:pPr>
              <w:rPr>
                <w:rFonts w:eastAsia="Times New Roman" w:cs="Arial"/>
                <w:color w:val="000000"/>
                <w:szCs w:val="19"/>
                <w:lang w:eastAsia="bg-BG"/>
              </w:rPr>
            </w:pPr>
          </w:p>
        </w:tc>
      </w:tr>
      <w:tr w:rsidR="004059F7" w:rsidRPr="007F1682" w14:paraId="2325642E" w14:textId="77777777" w:rsidTr="004059F7">
        <w:tc>
          <w:tcPr>
            <w:tcW w:w="9128" w:type="dxa"/>
            <w:gridSpan w:val="5"/>
          </w:tcPr>
          <w:p w14:paraId="13688529" w14:textId="77777777" w:rsidR="004059F7" w:rsidRPr="007F1682" w:rsidRDefault="004059F7" w:rsidP="008C41D5">
            <w:pPr>
              <w:spacing w:line="240" w:lineRule="auto"/>
              <w:rPr>
                <w:rFonts w:ascii="Times New Roman" w:eastAsia="Times New Roman" w:hAnsi="Times New Roman" w:cs="Times New Roman"/>
                <w:szCs w:val="24"/>
                <w:lang w:eastAsia="bg-BG"/>
              </w:rPr>
            </w:pPr>
            <w:r w:rsidRPr="007F1682">
              <w:rPr>
                <w:rFonts w:eastAsia="Times New Roman" w:cs="Arial"/>
                <w:i/>
                <w:iCs/>
                <w:color w:val="000000"/>
                <w:szCs w:val="19"/>
                <w:lang w:eastAsia="bg-BG"/>
              </w:rPr>
              <w:t>Нарушения на ендокринната система</w:t>
            </w:r>
          </w:p>
          <w:p w14:paraId="3ABDEC77" w14:textId="77777777" w:rsidR="004059F7" w:rsidRPr="007F1682" w:rsidRDefault="004059F7" w:rsidP="008C41D5">
            <w:pPr>
              <w:rPr>
                <w:rFonts w:eastAsia="Times New Roman" w:cs="Arial"/>
                <w:color w:val="000000"/>
                <w:szCs w:val="19"/>
                <w:lang w:eastAsia="bg-BG"/>
              </w:rPr>
            </w:pPr>
          </w:p>
        </w:tc>
      </w:tr>
      <w:tr w:rsidR="004059F7" w:rsidRPr="007F1682" w14:paraId="41AA5EFF" w14:textId="77777777" w:rsidTr="004059F7">
        <w:tc>
          <w:tcPr>
            <w:tcW w:w="1826" w:type="dxa"/>
          </w:tcPr>
          <w:p w14:paraId="6C80EF1B" w14:textId="77777777" w:rsidR="004059F7" w:rsidRPr="007F1682" w:rsidRDefault="004059F7" w:rsidP="008C41D5">
            <w:pPr>
              <w:rPr>
                <w:rFonts w:eastAsia="Times New Roman" w:cs="Arial"/>
                <w:color w:val="000000"/>
                <w:szCs w:val="19"/>
                <w:lang w:eastAsia="bg-BG"/>
              </w:rPr>
            </w:pPr>
          </w:p>
        </w:tc>
        <w:tc>
          <w:tcPr>
            <w:tcW w:w="1636" w:type="dxa"/>
          </w:tcPr>
          <w:p w14:paraId="2961DA11" w14:textId="77777777" w:rsidR="004059F7" w:rsidRPr="007F1682" w:rsidRDefault="004059F7" w:rsidP="008C41D5">
            <w:pPr>
              <w:rPr>
                <w:rFonts w:eastAsia="Times New Roman" w:cs="Arial"/>
                <w:color w:val="000000"/>
                <w:szCs w:val="19"/>
                <w:lang w:eastAsia="bg-BG"/>
              </w:rPr>
            </w:pPr>
          </w:p>
        </w:tc>
        <w:tc>
          <w:tcPr>
            <w:tcW w:w="2428" w:type="dxa"/>
          </w:tcPr>
          <w:p w14:paraId="29F79060" w14:textId="77777777" w:rsidR="004059F7" w:rsidRPr="007F1682" w:rsidRDefault="004059F7" w:rsidP="008C41D5">
            <w:pPr>
              <w:rPr>
                <w:rFonts w:eastAsia="Times New Roman" w:cs="Arial"/>
                <w:color w:val="000000"/>
                <w:szCs w:val="19"/>
                <w:lang w:eastAsia="bg-BG"/>
              </w:rPr>
            </w:pPr>
          </w:p>
        </w:tc>
        <w:tc>
          <w:tcPr>
            <w:tcW w:w="2082" w:type="dxa"/>
          </w:tcPr>
          <w:p w14:paraId="196A7052" w14:textId="19F5A94F" w:rsidR="004059F7" w:rsidRPr="007F1682" w:rsidRDefault="004059F7" w:rsidP="008C41D5">
            <w:pPr>
              <w:rPr>
                <w:rFonts w:eastAsia="Times New Roman" w:cs="Arial"/>
                <w:color w:val="000000"/>
                <w:szCs w:val="19"/>
                <w:lang w:eastAsia="bg-BG"/>
              </w:rPr>
            </w:pPr>
            <w:r w:rsidRPr="007F1682">
              <w:rPr>
                <w:rFonts w:cs="Arial"/>
                <w:szCs w:val="19"/>
              </w:rPr>
              <w:t>Xипотиреоидизъм</w:t>
            </w:r>
          </w:p>
        </w:tc>
        <w:tc>
          <w:tcPr>
            <w:tcW w:w="1156" w:type="dxa"/>
          </w:tcPr>
          <w:p w14:paraId="2363AB2B" w14:textId="77777777" w:rsidR="004059F7" w:rsidRPr="007F1682" w:rsidRDefault="004059F7" w:rsidP="008C41D5">
            <w:pPr>
              <w:rPr>
                <w:rFonts w:eastAsia="Times New Roman" w:cs="Arial"/>
                <w:color w:val="000000"/>
                <w:szCs w:val="19"/>
                <w:lang w:eastAsia="bg-BG"/>
              </w:rPr>
            </w:pPr>
          </w:p>
        </w:tc>
      </w:tr>
      <w:tr w:rsidR="008C41D5" w:rsidRPr="007F1682" w14:paraId="53DE7636" w14:textId="77777777" w:rsidTr="004059F7">
        <w:tc>
          <w:tcPr>
            <w:tcW w:w="9128" w:type="dxa"/>
            <w:gridSpan w:val="5"/>
          </w:tcPr>
          <w:p w14:paraId="1686F727" w14:textId="77777777" w:rsidR="008C41D5" w:rsidRPr="007F1682" w:rsidRDefault="008C41D5" w:rsidP="008C41D5">
            <w:pPr>
              <w:spacing w:line="240" w:lineRule="auto"/>
              <w:rPr>
                <w:rFonts w:ascii="Times New Roman" w:eastAsia="Times New Roman" w:hAnsi="Times New Roman" w:cs="Times New Roman"/>
                <w:szCs w:val="24"/>
                <w:lang w:eastAsia="bg-BG"/>
              </w:rPr>
            </w:pPr>
            <w:r w:rsidRPr="007F1682">
              <w:rPr>
                <w:rFonts w:eastAsia="Times New Roman" w:cs="Arial"/>
                <w:i/>
                <w:iCs/>
                <w:color w:val="000000"/>
                <w:szCs w:val="19"/>
                <w:lang w:eastAsia="bg-BG"/>
              </w:rPr>
              <w:t>Нарушения на метаболизма и храненето</w:t>
            </w:r>
          </w:p>
          <w:p w14:paraId="5B652F8F" w14:textId="77777777" w:rsidR="008C41D5" w:rsidRPr="007F1682" w:rsidRDefault="008C41D5" w:rsidP="008C41D5">
            <w:pPr>
              <w:rPr>
                <w:rFonts w:eastAsia="Times New Roman" w:cs="Arial"/>
                <w:color w:val="000000"/>
                <w:szCs w:val="19"/>
                <w:lang w:eastAsia="bg-BG"/>
              </w:rPr>
            </w:pPr>
          </w:p>
        </w:tc>
      </w:tr>
      <w:tr w:rsidR="008C41D5" w:rsidRPr="007F1682" w14:paraId="20EABE81" w14:textId="77777777" w:rsidTr="004059F7">
        <w:tc>
          <w:tcPr>
            <w:tcW w:w="1826" w:type="dxa"/>
          </w:tcPr>
          <w:p w14:paraId="1869D9B9" w14:textId="77777777" w:rsidR="008C41D5" w:rsidRPr="007F1682" w:rsidRDefault="008C41D5" w:rsidP="008C41D5">
            <w:pPr>
              <w:rPr>
                <w:rFonts w:eastAsia="Times New Roman" w:cs="Arial"/>
                <w:color w:val="000000"/>
                <w:szCs w:val="19"/>
                <w:lang w:eastAsia="bg-BG"/>
              </w:rPr>
            </w:pPr>
          </w:p>
        </w:tc>
        <w:tc>
          <w:tcPr>
            <w:tcW w:w="1636" w:type="dxa"/>
          </w:tcPr>
          <w:p w14:paraId="2FD25B76" w14:textId="63F7FD38" w:rsidR="008C41D5" w:rsidRPr="007F1682" w:rsidRDefault="008C41D5" w:rsidP="008C41D5">
            <w:pPr>
              <w:rPr>
                <w:rFonts w:eastAsia="Times New Roman" w:cs="Arial"/>
                <w:color w:val="000000"/>
                <w:szCs w:val="19"/>
                <w:lang w:eastAsia="bg-BG"/>
              </w:rPr>
            </w:pPr>
            <w:r w:rsidRPr="007F1682">
              <w:rPr>
                <w:rFonts w:cs="Arial"/>
                <w:szCs w:val="19"/>
              </w:rPr>
              <w:t>Намален апетит</w:t>
            </w:r>
          </w:p>
        </w:tc>
        <w:tc>
          <w:tcPr>
            <w:tcW w:w="2428" w:type="dxa"/>
            <w:vAlign w:val="bottom"/>
          </w:tcPr>
          <w:p w14:paraId="340B7BC2" w14:textId="3BBA44A1" w:rsidR="008C41D5" w:rsidRPr="007F1682" w:rsidRDefault="008C41D5" w:rsidP="008C41D5">
            <w:pPr>
              <w:rPr>
                <w:rFonts w:eastAsia="Times New Roman" w:cs="Arial"/>
                <w:color w:val="000000"/>
                <w:szCs w:val="19"/>
                <w:lang w:eastAsia="bg-BG"/>
              </w:rPr>
            </w:pPr>
            <w:r w:rsidRPr="007F1682">
              <w:rPr>
                <w:rFonts w:cs="Arial"/>
                <w:szCs w:val="19"/>
              </w:rPr>
              <w:t>Хипергликемия (докладвана особено при пациенти- диабетици)</w:t>
            </w:r>
          </w:p>
        </w:tc>
        <w:tc>
          <w:tcPr>
            <w:tcW w:w="2082" w:type="dxa"/>
          </w:tcPr>
          <w:p w14:paraId="37979CAA" w14:textId="73E7B4EB" w:rsidR="008C41D5" w:rsidRPr="007F1682" w:rsidRDefault="008C41D5" w:rsidP="008C41D5">
            <w:pPr>
              <w:rPr>
                <w:rFonts w:eastAsia="Times New Roman" w:cs="Arial"/>
                <w:color w:val="000000"/>
                <w:szCs w:val="19"/>
                <w:lang w:eastAsia="bg-BG"/>
              </w:rPr>
            </w:pPr>
            <w:r w:rsidRPr="007F1682">
              <w:rPr>
                <w:rFonts w:cs="Arial"/>
                <w:szCs w:val="19"/>
              </w:rPr>
              <w:t>Дехидратация Хипонатриемия СНАДС</w:t>
            </w:r>
            <w:r w:rsidRPr="007F1682">
              <w:rPr>
                <w:rFonts w:cs="Arial"/>
                <w:szCs w:val="19"/>
                <w:vertAlign w:val="superscript"/>
              </w:rPr>
              <w:t>6</w:t>
            </w:r>
          </w:p>
        </w:tc>
        <w:tc>
          <w:tcPr>
            <w:tcW w:w="1156" w:type="dxa"/>
          </w:tcPr>
          <w:p w14:paraId="4E6201C5" w14:textId="77777777" w:rsidR="008C41D5" w:rsidRPr="007F1682" w:rsidRDefault="008C41D5" w:rsidP="008C41D5">
            <w:pPr>
              <w:rPr>
                <w:rFonts w:eastAsia="Times New Roman" w:cs="Arial"/>
                <w:color w:val="000000"/>
                <w:szCs w:val="19"/>
                <w:lang w:eastAsia="bg-BG"/>
              </w:rPr>
            </w:pPr>
          </w:p>
        </w:tc>
      </w:tr>
      <w:tr w:rsidR="008C41D5" w:rsidRPr="007F1682" w14:paraId="5420F2BA" w14:textId="77777777" w:rsidTr="004059F7">
        <w:tc>
          <w:tcPr>
            <w:tcW w:w="9128" w:type="dxa"/>
            <w:gridSpan w:val="5"/>
          </w:tcPr>
          <w:p w14:paraId="05603D12" w14:textId="77777777" w:rsidR="00616FF3" w:rsidRPr="007F1682" w:rsidRDefault="00616FF3" w:rsidP="00616FF3">
            <w:pPr>
              <w:spacing w:line="240" w:lineRule="auto"/>
              <w:rPr>
                <w:rFonts w:ascii="Times New Roman" w:eastAsia="Times New Roman" w:hAnsi="Times New Roman" w:cs="Times New Roman"/>
                <w:szCs w:val="24"/>
                <w:lang w:eastAsia="bg-BG"/>
              </w:rPr>
            </w:pPr>
            <w:r w:rsidRPr="007F1682">
              <w:rPr>
                <w:rFonts w:eastAsia="Times New Roman" w:cs="Arial"/>
                <w:i/>
                <w:iCs/>
                <w:color w:val="000000"/>
                <w:szCs w:val="19"/>
                <w:lang w:eastAsia="bg-BG"/>
              </w:rPr>
              <w:t>Психични нарушения</w:t>
            </w:r>
          </w:p>
          <w:p w14:paraId="1AE812AB" w14:textId="77777777" w:rsidR="008C41D5" w:rsidRPr="007F1682" w:rsidRDefault="008C41D5" w:rsidP="008C41D5">
            <w:pPr>
              <w:rPr>
                <w:rFonts w:eastAsia="Times New Roman" w:cs="Arial"/>
                <w:color w:val="000000"/>
                <w:szCs w:val="19"/>
                <w:lang w:eastAsia="bg-BG"/>
              </w:rPr>
            </w:pPr>
          </w:p>
        </w:tc>
      </w:tr>
      <w:tr w:rsidR="00616FF3" w:rsidRPr="007F1682" w14:paraId="14FA7B87" w14:textId="77777777" w:rsidTr="004059F7">
        <w:tc>
          <w:tcPr>
            <w:tcW w:w="1826" w:type="dxa"/>
          </w:tcPr>
          <w:p w14:paraId="0F0CA3CA" w14:textId="77777777" w:rsidR="00616FF3" w:rsidRPr="007F1682" w:rsidRDefault="00616FF3" w:rsidP="00616FF3">
            <w:pPr>
              <w:rPr>
                <w:rFonts w:eastAsia="Times New Roman" w:cs="Arial"/>
                <w:color w:val="000000"/>
                <w:szCs w:val="19"/>
                <w:lang w:eastAsia="bg-BG"/>
              </w:rPr>
            </w:pPr>
          </w:p>
        </w:tc>
        <w:tc>
          <w:tcPr>
            <w:tcW w:w="1636" w:type="dxa"/>
          </w:tcPr>
          <w:p w14:paraId="7BB19292" w14:textId="77777777" w:rsidR="00616FF3" w:rsidRPr="007F1682" w:rsidRDefault="00616FF3" w:rsidP="00616FF3">
            <w:r w:rsidRPr="007F1682">
              <w:rPr>
                <w:rFonts w:cs="Arial"/>
                <w:szCs w:val="19"/>
              </w:rPr>
              <w:t>Инсомния</w:t>
            </w:r>
          </w:p>
          <w:p w14:paraId="390BA57D" w14:textId="77777777" w:rsidR="00616FF3" w:rsidRPr="007F1682" w:rsidRDefault="00616FF3" w:rsidP="00616FF3">
            <w:pPr>
              <w:rPr>
                <w:rFonts w:cs="Arial"/>
                <w:szCs w:val="19"/>
              </w:rPr>
            </w:pPr>
            <w:r w:rsidRPr="007F1682">
              <w:rPr>
                <w:rFonts w:cs="Arial"/>
                <w:szCs w:val="19"/>
              </w:rPr>
              <w:t xml:space="preserve">Възбуда Намалено либидо Тревожност </w:t>
            </w:r>
            <w:r w:rsidRPr="007F1682">
              <w:rPr>
                <w:rFonts w:cs="Arial"/>
                <w:szCs w:val="19"/>
              </w:rPr>
              <w:lastRenderedPageBreak/>
              <w:t xml:space="preserve">Абнормен оргазъм </w:t>
            </w:r>
          </w:p>
          <w:p w14:paraId="72F4242B" w14:textId="45AA805F" w:rsidR="00616FF3" w:rsidRPr="007F1682" w:rsidRDefault="00616FF3" w:rsidP="00616FF3">
            <w:pPr>
              <w:rPr>
                <w:rFonts w:eastAsia="Times New Roman" w:cs="Arial"/>
                <w:color w:val="000000"/>
                <w:szCs w:val="19"/>
                <w:lang w:eastAsia="bg-BG"/>
              </w:rPr>
            </w:pPr>
            <w:r w:rsidRPr="007F1682">
              <w:rPr>
                <w:rFonts w:cs="Arial"/>
                <w:szCs w:val="19"/>
              </w:rPr>
              <w:t>Ярки сънища</w:t>
            </w:r>
          </w:p>
        </w:tc>
        <w:tc>
          <w:tcPr>
            <w:tcW w:w="2428" w:type="dxa"/>
          </w:tcPr>
          <w:p w14:paraId="1B1C70C5" w14:textId="46C29946" w:rsidR="00616FF3" w:rsidRPr="007F1682" w:rsidRDefault="00616FF3" w:rsidP="00616FF3">
            <w:pPr>
              <w:rPr>
                <w:rFonts w:eastAsia="Times New Roman" w:cs="Arial"/>
                <w:color w:val="000000"/>
                <w:szCs w:val="19"/>
                <w:lang w:eastAsia="bg-BG"/>
              </w:rPr>
            </w:pPr>
            <w:r w:rsidRPr="007F1682">
              <w:rPr>
                <w:rFonts w:cs="Arial"/>
                <w:szCs w:val="19"/>
              </w:rPr>
              <w:lastRenderedPageBreak/>
              <w:t>Суицидна идеация</w:t>
            </w:r>
            <w:r w:rsidRPr="007F1682">
              <w:rPr>
                <w:rFonts w:cs="Arial"/>
                <w:szCs w:val="19"/>
                <w:vertAlign w:val="superscript"/>
              </w:rPr>
              <w:t xml:space="preserve">5,7 </w:t>
            </w:r>
            <w:r w:rsidRPr="007F1682">
              <w:rPr>
                <w:rFonts w:cs="Arial"/>
                <w:szCs w:val="19"/>
              </w:rPr>
              <w:t>Нарушение на съня Бруксизъм Дезориентация Апатия</w:t>
            </w:r>
          </w:p>
        </w:tc>
        <w:tc>
          <w:tcPr>
            <w:tcW w:w="2082" w:type="dxa"/>
          </w:tcPr>
          <w:p w14:paraId="20A39974" w14:textId="75153EB7" w:rsidR="00616FF3" w:rsidRPr="007F1682" w:rsidRDefault="00616FF3" w:rsidP="00616FF3">
            <w:pPr>
              <w:rPr>
                <w:rFonts w:cs="Arial"/>
                <w:szCs w:val="19"/>
              </w:rPr>
            </w:pPr>
            <w:r w:rsidRPr="007F1682">
              <w:rPr>
                <w:rFonts w:cs="Arial"/>
                <w:szCs w:val="19"/>
              </w:rPr>
              <w:t>Суицидно поведение</w:t>
            </w:r>
            <w:r w:rsidR="002F63F8" w:rsidRPr="001D7999">
              <w:rPr>
                <w:rFonts w:cs="Arial"/>
                <w:szCs w:val="19"/>
                <w:vertAlign w:val="superscript"/>
              </w:rPr>
              <w:t>5</w:t>
            </w:r>
            <w:r w:rsidRPr="001D7999">
              <w:rPr>
                <w:rFonts w:cs="Arial"/>
                <w:szCs w:val="19"/>
                <w:vertAlign w:val="superscript"/>
              </w:rPr>
              <w:t xml:space="preserve"> </w:t>
            </w:r>
          </w:p>
          <w:p w14:paraId="327EEFCB" w14:textId="0ED8723F" w:rsidR="00616FF3" w:rsidRPr="007F1682" w:rsidRDefault="00616FF3" w:rsidP="00616FF3">
            <w:r w:rsidRPr="007F1682">
              <w:rPr>
                <w:rFonts w:cs="Arial"/>
                <w:szCs w:val="19"/>
              </w:rPr>
              <w:t>Мания</w:t>
            </w:r>
          </w:p>
          <w:p w14:paraId="4AC1FEA9" w14:textId="77777777" w:rsidR="00616FF3" w:rsidRPr="007F1682" w:rsidRDefault="00616FF3" w:rsidP="00616FF3">
            <w:r w:rsidRPr="007F1682">
              <w:rPr>
                <w:rFonts w:cs="Arial"/>
                <w:szCs w:val="19"/>
              </w:rPr>
              <w:t>Халюцинации</w:t>
            </w:r>
            <w:r w:rsidRPr="007F1682">
              <w:rPr>
                <w:rFonts w:cs="Arial"/>
                <w:szCs w:val="19"/>
              </w:rPr>
              <w:tab/>
            </w:r>
          </w:p>
          <w:p w14:paraId="2D1F05D1" w14:textId="0587ACFB" w:rsidR="00616FF3" w:rsidRPr="007F1682" w:rsidRDefault="00616FF3" w:rsidP="00616FF3">
            <w:r w:rsidRPr="007F1682">
              <w:rPr>
                <w:rFonts w:cs="Arial"/>
                <w:szCs w:val="19"/>
              </w:rPr>
              <w:lastRenderedPageBreak/>
              <w:t>Враждебност</w:t>
            </w:r>
            <w:r w:rsidRPr="001D7999">
              <w:rPr>
                <w:rFonts w:cs="Arial"/>
                <w:szCs w:val="19"/>
              </w:rPr>
              <w:t xml:space="preserve"> </w:t>
            </w:r>
            <w:r w:rsidR="001D7999" w:rsidRPr="001D7999">
              <w:rPr>
                <w:rFonts w:cs="Arial"/>
                <w:szCs w:val="19"/>
              </w:rPr>
              <w:t xml:space="preserve"> и</w:t>
            </w:r>
            <w:r w:rsidR="001D7999">
              <w:rPr>
                <w:rFonts w:cs="Arial"/>
                <w:i/>
                <w:iCs/>
                <w:szCs w:val="19"/>
              </w:rPr>
              <w:t xml:space="preserve"> </w:t>
            </w:r>
            <w:r w:rsidRPr="007F1682">
              <w:rPr>
                <w:rFonts w:cs="Arial"/>
                <w:szCs w:val="19"/>
              </w:rPr>
              <w:t>гняв</w:t>
            </w:r>
            <w:r w:rsidRPr="007F1682">
              <w:rPr>
                <w:rFonts w:cs="Arial"/>
                <w:szCs w:val="19"/>
              </w:rPr>
              <w:tab/>
            </w:r>
          </w:p>
        </w:tc>
        <w:tc>
          <w:tcPr>
            <w:tcW w:w="1156" w:type="dxa"/>
            <w:vAlign w:val="bottom"/>
          </w:tcPr>
          <w:p w14:paraId="1A2EEB02" w14:textId="77777777" w:rsidR="00616FF3" w:rsidRPr="007F1682" w:rsidRDefault="00616FF3" w:rsidP="00616FF3">
            <w:pPr>
              <w:rPr>
                <w:rFonts w:eastAsia="Times New Roman" w:cs="Arial"/>
                <w:color w:val="000000"/>
                <w:szCs w:val="19"/>
                <w:lang w:eastAsia="bg-BG"/>
              </w:rPr>
            </w:pPr>
          </w:p>
        </w:tc>
      </w:tr>
      <w:tr w:rsidR="00616FF3" w:rsidRPr="007F1682" w14:paraId="48484EB5" w14:textId="77777777" w:rsidTr="004059F7">
        <w:tc>
          <w:tcPr>
            <w:tcW w:w="1826" w:type="dxa"/>
            <w:vAlign w:val="bottom"/>
          </w:tcPr>
          <w:p w14:paraId="6861AEAD" w14:textId="6C63E4EA" w:rsidR="00616FF3" w:rsidRPr="007F1682" w:rsidRDefault="00616FF3" w:rsidP="00616FF3">
            <w:pPr>
              <w:rPr>
                <w:rFonts w:eastAsia="Times New Roman" w:cs="Arial"/>
                <w:color w:val="000000"/>
                <w:lang w:eastAsia="bg-BG"/>
              </w:rPr>
            </w:pPr>
            <w:r w:rsidRPr="007F1682">
              <w:rPr>
                <w:rFonts w:cs="Arial"/>
                <w:b/>
                <w:bCs/>
              </w:rPr>
              <w:t>Много чести</w:t>
            </w:r>
          </w:p>
        </w:tc>
        <w:tc>
          <w:tcPr>
            <w:tcW w:w="1636" w:type="dxa"/>
            <w:vAlign w:val="bottom"/>
          </w:tcPr>
          <w:p w14:paraId="06770B60" w14:textId="4F51E882" w:rsidR="00616FF3" w:rsidRPr="007F1682" w:rsidRDefault="00616FF3" w:rsidP="00616FF3">
            <w:pPr>
              <w:rPr>
                <w:rFonts w:eastAsia="Times New Roman" w:cs="Arial"/>
                <w:color w:val="000000"/>
                <w:lang w:eastAsia="bg-BG"/>
              </w:rPr>
            </w:pPr>
            <w:r w:rsidRPr="007F1682">
              <w:rPr>
                <w:rFonts w:cs="Arial"/>
                <w:b/>
                <w:bCs/>
              </w:rPr>
              <w:t>Чести</w:t>
            </w:r>
          </w:p>
        </w:tc>
        <w:tc>
          <w:tcPr>
            <w:tcW w:w="2428" w:type="dxa"/>
            <w:vAlign w:val="bottom"/>
          </w:tcPr>
          <w:p w14:paraId="1FFC2444" w14:textId="145194AD" w:rsidR="00616FF3" w:rsidRPr="007F1682" w:rsidRDefault="00616FF3" w:rsidP="00616FF3">
            <w:pPr>
              <w:rPr>
                <w:rFonts w:eastAsia="Times New Roman" w:cs="Arial"/>
                <w:color w:val="000000"/>
                <w:lang w:eastAsia="bg-BG"/>
              </w:rPr>
            </w:pPr>
            <w:r w:rsidRPr="007F1682">
              <w:rPr>
                <w:rFonts w:cs="Arial"/>
                <w:b/>
                <w:bCs/>
              </w:rPr>
              <w:t>Нечестн</w:t>
            </w:r>
          </w:p>
        </w:tc>
        <w:tc>
          <w:tcPr>
            <w:tcW w:w="2082" w:type="dxa"/>
            <w:vAlign w:val="bottom"/>
          </w:tcPr>
          <w:p w14:paraId="2707F5A2" w14:textId="18C17556" w:rsidR="00616FF3" w:rsidRPr="007F1682" w:rsidRDefault="00616FF3" w:rsidP="00616FF3">
            <w:pPr>
              <w:rPr>
                <w:rFonts w:eastAsia="Times New Roman" w:cs="Arial"/>
                <w:color w:val="000000"/>
                <w:lang w:eastAsia="bg-BG"/>
              </w:rPr>
            </w:pPr>
            <w:r w:rsidRPr="007F1682">
              <w:rPr>
                <w:rFonts w:cs="Arial"/>
                <w:b/>
                <w:bCs/>
              </w:rPr>
              <w:t>Редки</w:t>
            </w:r>
          </w:p>
        </w:tc>
        <w:tc>
          <w:tcPr>
            <w:tcW w:w="1156" w:type="dxa"/>
            <w:vAlign w:val="bottom"/>
          </w:tcPr>
          <w:p w14:paraId="776712C7" w14:textId="50BF1877" w:rsidR="00616FF3" w:rsidRPr="007F1682" w:rsidRDefault="00616FF3" w:rsidP="00616FF3">
            <w:pPr>
              <w:rPr>
                <w:rFonts w:eastAsia="Times New Roman" w:cs="Arial"/>
                <w:color w:val="000000"/>
                <w:lang w:eastAsia="bg-BG"/>
              </w:rPr>
            </w:pPr>
            <w:r w:rsidRPr="007F1682">
              <w:rPr>
                <w:rFonts w:cs="Arial"/>
                <w:b/>
                <w:bCs/>
              </w:rPr>
              <w:t>Много редки</w:t>
            </w:r>
          </w:p>
        </w:tc>
      </w:tr>
      <w:tr w:rsidR="00616FF3" w:rsidRPr="007F1682" w14:paraId="19826723" w14:textId="77777777" w:rsidTr="004059F7">
        <w:tc>
          <w:tcPr>
            <w:tcW w:w="9128" w:type="dxa"/>
            <w:gridSpan w:val="5"/>
          </w:tcPr>
          <w:p w14:paraId="06B99B2B" w14:textId="49799B46" w:rsidR="00616FF3" w:rsidRPr="007F1682" w:rsidRDefault="00616FF3" w:rsidP="008C41D5">
            <w:pPr>
              <w:rPr>
                <w:rFonts w:eastAsia="Times New Roman" w:cs="Arial"/>
                <w:color w:val="000000"/>
                <w:lang w:eastAsia="bg-BG"/>
              </w:rPr>
            </w:pPr>
            <w:r w:rsidRPr="007F1682">
              <w:rPr>
                <w:rFonts w:cs="Arial"/>
                <w:i/>
                <w:iCs/>
              </w:rPr>
              <w:t>Нарушения на нервната система</w:t>
            </w:r>
          </w:p>
        </w:tc>
      </w:tr>
      <w:tr w:rsidR="00616FF3" w:rsidRPr="007F1682" w14:paraId="37DBD3F7" w14:textId="77777777" w:rsidTr="004059F7">
        <w:tc>
          <w:tcPr>
            <w:tcW w:w="1826" w:type="dxa"/>
          </w:tcPr>
          <w:p w14:paraId="333EEC34" w14:textId="77777777" w:rsidR="00616FF3" w:rsidRPr="007F1682" w:rsidRDefault="00616FF3" w:rsidP="00616FF3">
            <w:pPr>
              <w:rPr>
                <w:rFonts w:cs="Arial"/>
              </w:rPr>
            </w:pPr>
            <w:r w:rsidRPr="007F1682">
              <w:rPr>
                <w:rFonts w:cs="Arial"/>
              </w:rPr>
              <w:t>Главоболие</w:t>
            </w:r>
          </w:p>
          <w:p w14:paraId="3ABB6B21" w14:textId="0FF8495B" w:rsidR="00616FF3" w:rsidRPr="007F1682" w:rsidRDefault="00616FF3" w:rsidP="00616FF3">
            <w:pPr>
              <w:rPr>
                <w:rFonts w:eastAsia="Times New Roman" w:cs="Arial"/>
                <w:color w:val="000000"/>
                <w:lang w:eastAsia="bg-BG"/>
              </w:rPr>
            </w:pPr>
            <w:r w:rsidRPr="007F1682">
              <w:rPr>
                <w:rFonts w:cs="Arial"/>
              </w:rPr>
              <w:t>Сомнолентност</w:t>
            </w:r>
          </w:p>
        </w:tc>
        <w:tc>
          <w:tcPr>
            <w:tcW w:w="1636" w:type="dxa"/>
          </w:tcPr>
          <w:p w14:paraId="43099A6B" w14:textId="4322DFF5" w:rsidR="00616FF3" w:rsidRPr="007F1682" w:rsidRDefault="00616FF3" w:rsidP="00616FF3">
            <w:pPr>
              <w:rPr>
                <w:rFonts w:eastAsia="Times New Roman" w:cs="Arial"/>
                <w:color w:val="000000"/>
                <w:lang w:eastAsia="bg-BG"/>
              </w:rPr>
            </w:pPr>
            <w:r w:rsidRPr="007F1682">
              <w:rPr>
                <w:rFonts w:cs="Arial"/>
              </w:rPr>
              <w:t>Замаяност Летаргия Тремор Парестезия</w:t>
            </w:r>
          </w:p>
        </w:tc>
        <w:tc>
          <w:tcPr>
            <w:tcW w:w="2428" w:type="dxa"/>
          </w:tcPr>
          <w:p w14:paraId="0664EE8A" w14:textId="77777777" w:rsidR="00257228" w:rsidRDefault="00616FF3" w:rsidP="00616FF3">
            <w:pPr>
              <w:rPr>
                <w:rFonts w:cs="Arial"/>
              </w:rPr>
            </w:pPr>
            <w:r w:rsidRPr="007F1682">
              <w:rPr>
                <w:rFonts w:cs="Arial"/>
              </w:rPr>
              <w:t xml:space="preserve">Миоклония </w:t>
            </w:r>
          </w:p>
          <w:p w14:paraId="2BF680D0" w14:textId="40C2A5F1" w:rsidR="00616FF3" w:rsidRPr="007F1682" w:rsidRDefault="00616FF3" w:rsidP="00616FF3">
            <w:pPr>
              <w:rPr>
                <w:rFonts w:cs="Arial"/>
              </w:rPr>
            </w:pPr>
            <w:r w:rsidRPr="007F1682">
              <w:rPr>
                <w:rFonts w:cs="Arial"/>
              </w:rPr>
              <w:t>Акатизия</w:t>
            </w:r>
            <w:r w:rsidRPr="007F1682">
              <w:rPr>
                <w:rFonts w:cs="Arial"/>
                <w:vertAlign w:val="superscript"/>
              </w:rPr>
              <w:t>7</w:t>
            </w:r>
          </w:p>
          <w:p w14:paraId="03CAC26E" w14:textId="77777777" w:rsidR="00257228" w:rsidRDefault="00616FF3" w:rsidP="00616FF3">
            <w:pPr>
              <w:rPr>
                <w:rFonts w:cs="Arial"/>
              </w:rPr>
            </w:pPr>
            <w:r w:rsidRPr="007F1682">
              <w:rPr>
                <w:rFonts w:cs="Arial"/>
              </w:rPr>
              <w:t xml:space="preserve">Нервност Нарушение на вниманието Дисгеузия Дискинезия </w:t>
            </w:r>
          </w:p>
          <w:p w14:paraId="2AB877FE" w14:textId="691FCB65" w:rsidR="00616FF3" w:rsidRPr="007F1682" w:rsidRDefault="00616FF3" w:rsidP="00616FF3">
            <w:pPr>
              <w:rPr>
                <w:rFonts w:cs="Arial"/>
              </w:rPr>
            </w:pPr>
            <w:r w:rsidRPr="007F1682">
              <w:rPr>
                <w:rFonts w:cs="Arial"/>
              </w:rPr>
              <w:t>Синдром на неспокойните крака Лошо качество на</w:t>
            </w:r>
          </w:p>
          <w:p w14:paraId="6275D502" w14:textId="01E0093E" w:rsidR="00616FF3" w:rsidRPr="007F1682" w:rsidRDefault="00616FF3" w:rsidP="00616FF3">
            <w:pPr>
              <w:rPr>
                <w:rFonts w:eastAsia="Times New Roman" w:cs="Arial"/>
                <w:color w:val="000000"/>
                <w:lang w:eastAsia="bg-BG"/>
              </w:rPr>
            </w:pPr>
            <w:r w:rsidRPr="007F1682">
              <w:rPr>
                <w:rFonts w:cs="Arial"/>
              </w:rPr>
              <w:t>съня</w:t>
            </w:r>
          </w:p>
        </w:tc>
        <w:tc>
          <w:tcPr>
            <w:tcW w:w="2082" w:type="dxa"/>
          </w:tcPr>
          <w:p w14:paraId="5D799B45" w14:textId="0ACF4B52" w:rsidR="00616FF3" w:rsidRPr="007F1682" w:rsidRDefault="00616FF3" w:rsidP="00616FF3">
            <w:pPr>
              <w:rPr>
                <w:rFonts w:eastAsia="Times New Roman" w:cs="Arial"/>
                <w:color w:val="000000"/>
                <w:lang w:eastAsia="bg-BG"/>
              </w:rPr>
            </w:pPr>
            <w:r w:rsidRPr="007F1682">
              <w:rPr>
                <w:rFonts w:cs="Arial"/>
              </w:rPr>
              <w:t>Серотонинов синдром</w:t>
            </w:r>
            <w:r w:rsidRPr="007F1682">
              <w:rPr>
                <w:rFonts w:cs="Arial"/>
                <w:vertAlign w:val="superscript"/>
              </w:rPr>
              <w:t xml:space="preserve">6 </w:t>
            </w:r>
            <w:r w:rsidRPr="007F1682">
              <w:rPr>
                <w:rFonts w:cs="Arial"/>
              </w:rPr>
              <w:t>Конвулсии</w:t>
            </w:r>
            <w:r w:rsidRPr="007F1682">
              <w:rPr>
                <w:rFonts w:cs="Arial"/>
                <w:vertAlign w:val="superscript"/>
              </w:rPr>
              <w:t xml:space="preserve">1 </w:t>
            </w:r>
            <w:r w:rsidRPr="007F1682">
              <w:rPr>
                <w:rFonts w:cs="Arial"/>
              </w:rPr>
              <w:t>Психомоторно безпокойство</w:t>
            </w:r>
            <w:r w:rsidRPr="007F1682">
              <w:rPr>
                <w:rFonts w:cs="Arial"/>
                <w:vertAlign w:val="superscript"/>
              </w:rPr>
              <w:t xml:space="preserve">6 </w:t>
            </w:r>
            <w:r w:rsidRPr="007F1682">
              <w:rPr>
                <w:rFonts w:cs="Arial"/>
              </w:rPr>
              <w:t>Екстрапирамидни симптоми</w:t>
            </w:r>
            <w:r w:rsidRPr="007F1682">
              <w:rPr>
                <w:rFonts w:cs="Arial"/>
                <w:vertAlign w:val="superscript"/>
              </w:rPr>
              <w:t>6</w:t>
            </w:r>
          </w:p>
        </w:tc>
        <w:tc>
          <w:tcPr>
            <w:tcW w:w="1156" w:type="dxa"/>
          </w:tcPr>
          <w:p w14:paraId="1D469556" w14:textId="77777777" w:rsidR="00616FF3" w:rsidRPr="007F1682" w:rsidRDefault="00616FF3" w:rsidP="00616FF3">
            <w:pPr>
              <w:rPr>
                <w:rFonts w:eastAsia="Times New Roman" w:cs="Arial"/>
                <w:color w:val="000000"/>
                <w:lang w:eastAsia="bg-BG"/>
              </w:rPr>
            </w:pPr>
          </w:p>
        </w:tc>
      </w:tr>
      <w:tr w:rsidR="00616FF3" w:rsidRPr="007F1682" w14:paraId="67FDBD47" w14:textId="77777777" w:rsidTr="004059F7">
        <w:tc>
          <w:tcPr>
            <w:tcW w:w="9128" w:type="dxa"/>
            <w:gridSpan w:val="5"/>
          </w:tcPr>
          <w:p w14:paraId="6179A189" w14:textId="77777777" w:rsidR="00616FF3" w:rsidRPr="007F1682" w:rsidRDefault="00616FF3" w:rsidP="00616FF3">
            <w:pPr>
              <w:spacing w:line="240" w:lineRule="auto"/>
              <w:rPr>
                <w:rFonts w:eastAsia="Times New Roman" w:cs="Arial"/>
                <w:lang w:eastAsia="bg-BG"/>
              </w:rPr>
            </w:pPr>
            <w:r w:rsidRPr="007F1682">
              <w:rPr>
                <w:rFonts w:eastAsia="Times New Roman" w:cs="Arial"/>
                <w:i/>
                <w:iCs/>
                <w:color w:val="000000"/>
                <w:lang w:eastAsia="bg-BG"/>
              </w:rPr>
              <w:t>Нарушения на очите</w:t>
            </w:r>
          </w:p>
          <w:p w14:paraId="245B9206" w14:textId="77777777" w:rsidR="00616FF3" w:rsidRPr="007F1682" w:rsidRDefault="00616FF3" w:rsidP="008C41D5">
            <w:pPr>
              <w:rPr>
                <w:rFonts w:eastAsia="Times New Roman" w:cs="Arial"/>
                <w:color w:val="000000"/>
                <w:lang w:eastAsia="bg-BG"/>
              </w:rPr>
            </w:pPr>
          </w:p>
        </w:tc>
      </w:tr>
      <w:tr w:rsidR="00616FF3" w:rsidRPr="007F1682" w14:paraId="191E0C69" w14:textId="77777777" w:rsidTr="004059F7">
        <w:tc>
          <w:tcPr>
            <w:tcW w:w="1826" w:type="dxa"/>
          </w:tcPr>
          <w:p w14:paraId="0C53497A" w14:textId="77777777" w:rsidR="00616FF3" w:rsidRPr="007F1682" w:rsidRDefault="00616FF3" w:rsidP="00616FF3">
            <w:pPr>
              <w:rPr>
                <w:rFonts w:eastAsia="Times New Roman" w:cs="Arial"/>
                <w:color w:val="000000"/>
                <w:lang w:eastAsia="bg-BG"/>
              </w:rPr>
            </w:pPr>
          </w:p>
        </w:tc>
        <w:tc>
          <w:tcPr>
            <w:tcW w:w="1636" w:type="dxa"/>
          </w:tcPr>
          <w:p w14:paraId="72368A62" w14:textId="79E42E82" w:rsidR="00616FF3" w:rsidRPr="007F1682" w:rsidRDefault="00616FF3" w:rsidP="00616FF3">
            <w:pPr>
              <w:rPr>
                <w:rFonts w:eastAsia="Times New Roman" w:cs="Arial"/>
                <w:color w:val="000000"/>
                <w:lang w:eastAsia="bg-BG"/>
              </w:rPr>
            </w:pPr>
            <w:r w:rsidRPr="007F1682">
              <w:rPr>
                <w:rFonts w:cs="Arial"/>
              </w:rPr>
              <w:t>Замъглено виждане</w:t>
            </w:r>
          </w:p>
        </w:tc>
        <w:tc>
          <w:tcPr>
            <w:tcW w:w="2428" w:type="dxa"/>
            <w:vAlign w:val="bottom"/>
          </w:tcPr>
          <w:p w14:paraId="3167D33B" w14:textId="41D93613" w:rsidR="00616FF3" w:rsidRPr="007F1682" w:rsidRDefault="00616FF3" w:rsidP="00616FF3">
            <w:pPr>
              <w:rPr>
                <w:rFonts w:eastAsia="Times New Roman" w:cs="Arial"/>
                <w:color w:val="000000"/>
                <w:lang w:eastAsia="bg-BG"/>
              </w:rPr>
            </w:pPr>
            <w:r w:rsidRPr="007F1682">
              <w:rPr>
                <w:rFonts w:cs="Arial"/>
              </w:rPr>
              <w:t>Мидриаза Нарушение на зрението</w:t>
            </w:r>
          </w:p>
        </w:tc>
        <w:tc>
          <w:tcPr>
            <w:tcW w:w="2082" w:type="dxa"/>
          </w:tcPr>
          <w:p w14:paraId="771F3B33" w14:textId="44FC52B1" w:rsidR="00616FF3" w:rsidRPr="007F1682" w:rsidRDefault="00616FF3" w:rsidP="00616FF3">
            <w:pPr>
              <w:rPr>
                <w:rFonts w:eastAsia="Times New Roman" w:cs="Arial"/>
                <w:color w:val="000000"/>
                <w:lang w:eastAsia="bg-BG"/>
              </w:rPr>
            </w:pPr>
            <w:r w:rsidRPr="007F1682">
              <w:rPr>
                <w:rFonts w:cs="Arial"/>
              </w:rPr>
              <w:t>Глаукома</w:t>
            </w:r>
          </w:p>
        </w:tc>
        <w:tc>
          <w:tcPr>
            <w:tcW w:w="1156" w:type="dxa"/>
          </w:tcPr>
          <w:p w14:paraId="042EF949" w14:textId="77777777" w:rsidR="00616FF3" w:rsidRPr="007F1682" w:rsidRDefault="00616FF3" w:rsidP="00616FF3">
            <w:pPr>
              <w:rPr>
                <w:rFonts w:eastAsia="Times New Roman" w:cs="Arial"/>
                <w:color w:val="000000"/>
                <w:lang w:eastAsia="bg-BG"/>
              </w:rPr>
            </w:pPr>
          </w:p>
        </w:tc>
      </w:tr>
      <w:tr w:rsidR="00616FF3" w:rsidRPr="007F1682" w14:paraId="7EEF8F58" w14:textId="77777777" w:rsidTr="004059F7">
        <w:tc>
          <w:tcPr>
            <w:tcW w:w="9128" w:type="dxa"/>
            <w:gridSpan w:val="5"/>
          </w:tcPr>
          <w:p w14:paraId="15CAC6F6" w14:textId="77777777" w:rsidR="00616FF3" w:rsidRPr="007F1682" w:rsidRDefault="00616FF3" w:rsidP="00616FF3">
            <w:pPr>
              <w:spacing w:line="240" w:lineRule="auto"/>
              <w:rPr>
                <w:rFonts w:eastAsia="Times New Roman" w:cs="Arial"/>
                <w:lang w:eastAsia="bg-BG"/>
              </w:rPr>
            </w:pPr>
            <w:r w:rsidRPr="007F1682">
              <w:rPr>
                <w:rFonts w:eastAsia="Times New Roman" w:cs="Arial"/>
                <w:i/>
                <w:iCs/>
                <w:color w:val="000000"/>
                <w:lang w:eastAsia="bg-BG"/>
              </w:rPr>
              <w:t>Нарушения на ухото и лабиринта</w:t>
            </w:r>
          </w:p>
          <w:p w14:paraId="71CA74CB" w14:textId="77777777" w:rsidR="00616FF3" w:rsidRPr="007F1682" w:rsidRDefault="00616FF3" w:rsidP="008C41D5">
            <w:pPr>
              <w:rPr>
                <w:rFonts w:eastAsia="Times New Roman" w:cs="Arial"/>
                <w:color w:val="000000"/>
                <w:lang w:eastAsia="bg-BG"/>
              </w:rPr>
            </w:pPr>
          </w:p>
        </w:tc>
      </w:tr>
      <w:tr w:rsidR="00616FF3" w:rsidRPr="007F1682" w14:paraId="19CDA005" w14:textId="77777777" w:rsidTr="004059F7">
        <w:tc>
          <w:tcPr>
            <w:tcW w:w="1826" w:type="dxa"/>
          </w:tcPr>
          <w:p w14:paraId="475B300F" w14:textId="77777777" w:rsidR="00616FF3" w:rsidRPr="007F1682" w:rsidRDefault="00616FF3" w:rsidP="00616FF3">
            <w:pPr>
              <w:rPr>
                <w:rFonts w:eastAsia="Times New Roman" w:cs="Arial"/>
                <w:color w:val="000000"/>
                <w:lang w:eastAsia="bg-BG"/>
              </w:rPr>
            </w:pPr>
          </w:p>
        </w:tc>
        <w:tc>
          <w:tcPr>
            <w:tcW w:w="1636" w:type="dxa"/>
          </w:tcPr>
          <w:p w14:paraId="104F8A7E" w14:textId="37269780" w:rsidR="00616FF3" w:rsidRPr="007F1682" w:rsidRDefault="00616FF3" w:rsidP="00616FF3">
            <w:pPr>
              <w:rPr>
                <w:rFonts w:eastAsia="Times New Roman" w:cs="Arial"/>
                <w:color w:val="000000"/>
                <w:lang w:eastAsia="bg-BG"/>
              </w:rPr>
            </w:pPr>
            <w:r w:rsidRPr="007F1682">
              <w:rPr>
                <w:rFonts w:cs="Arial"/>
              </w:rPr>
              <w:t>Шум в ушите</w:t>
            </w:r>
            <w:r w:rsidRPr="007F1682">
              <w:rPr>
                <w:rFonts w:cs="Arial"/>
                <w:vertAlign w:val="superscript"/>
              </w:rPr>
              <w:t>1</w:t>
            </w:r>
          </w:p>
        </w:tc>
        <w:tc>
          <w:tcPr>
            <w:tcW w:w="2428" w:type="dxa"/>
            <w:vAlign w:val="bottom"/>
          </w:tcPr>
          <w:p w14:paraId="303B4099" w14:textId="77777777" w:rsidR="00257228" w:rsidRDefault="00616FF3" w:rsidP="00616FF3">
            <w:pPr>
              <w:rPr>
                <w:rFonts w:cs="Arial"/>
              </w:rPr>
            </w:pPr>
            <w:r w:rsidRPr="007F1682">
              <w:rPr>
                <w:rFonts w:cs="Arial"/>
              </w:rPr>
              <w:t xml:space="preserve">Вертиго </w:t>
            </w:r>
          </w:p>
          <w:p w14:paraId="5680AB7C" w14:textId="1491962F" w:rsidR="00616FF3" w:rsidRPr="007F1682" w:rsidRDefault="00616FF3" w:rsidP="00616FF3">
            <w:pPr>
              <w:rPr>
                <w:rFonts w:eastAsia="Times New Roman" w:cs="Arial"/>
                <w:color w:val="000000"/>
                <w:lang w:eastAsia="bg-BG"/>
              </w:rPr>
            </w:pPr>
            <w:r w:rsidRPr="007F1682">
              <w:rPr>
                <w:rFonts w:cs="Arial"/>
              </w:rPr>
              <w:t>Болка в ухото</w:t>
            </w:r>
          </w:p>
        </w:tc>
        <w:tc>
          <w:tcPr>
            <w:tcW w:w="2082" w:type="dxa"/>
          </w:tcPr>
          <w:p w14:paraId="213F983A" w14:textId="77777777" w:rsidR="00616FF3" w:rsidRPr="007F1682" w:rsidRDefault="00616FF3" w:rsidP="00616FF3">
            <w:pPr>
              <w:rPr>
                <w:rFonts w:eastAsia="Times New Roman" w:cs="Arial"/>
                <w:color w:val="000000"/>
                <w:lang w:eastAsia="bg-BG"/>
              </w:rPr>
            </w:pPr>
          </w:p>
        </w:tc>
        <w:tc>
          <w:tcPr>
            <w:tcW w:w="1156" w:type="dxa"/>
          </w:tcPr>
          <w:p w14:paraId="1FBFBD4B" w14:textId="77777777" w:rsidR="00616FF3" w:rsidRPr="007F1682" w:rsidRDefault="00616FF3" w:rsidP="00616FF3">
            <w:pPr>
              <w:rPr>
                <w:rFonts w:eastAsia="Times New Roman" w:cs="Arial"/>
                <w:color w:val="000000"/>
                <w:lang w:eastAsia="bg-BG"/>
              </w:rPr>
            </w:pPr>
          </w:p>
        </w:tc>
      </w:tr>
      <w:tr w:rsidR="00616FF3" w:rsidRPr="007F1682" w14:paraId="51CEB18F" w14:textId="77777777" w:rsidTr="004059F7">
        <w:tc>
          <w:tcPr>
            <w:tcW w:w="9128" w:type="dxa"/>
            <w:gridSpan w:val="5"/>
          </w:tcPr>
          <w:p w14:paraId="75541A7F" w14:textId="77777777" w:rsidR="00616FF3" w:rsidRPr="007F1682" w:rsidRDefault="00616FF3" w:rsidP="00616FF3">
            <w:pPr>
              <w:spacing w:line="240" w:lineRule="auto"/>
              <w:rPr>
                <w:rFonts w:eastAsia="Times New Roman" w:cs="Arial"/>
                <w:lang w:eastAsia="bg-BG"/>
              </w:rPr>
            </w:pPr>
            <w:r w:rsidRPr="007F1682">
              <w:rPr>
                <w:rFonts w:eastAsia="Times New Roman" w:cs="Arial"/>
                <w:i/>
                <w:iCs/>
                <w:color w:val="000000"/>
                <w:lang w:eastAsia="bg-BG"/>
              </w:rPr>
              <w:t>Сърдечни нарушения</w:t>
            </w:r>
          </w:p>
          <w:p w14:paraId="759AE1A0" w14:textId="77777777" w:rsidR="00616FF3" w:rsidRPr="007F1682" w:rsidRDefault="00616FF3" w:rsidP="008C41D5">
            <w:pPr>
              <w:rPr>
                <w:rFonts w:eastAsia="Times New Roman" w:cs="Arial"/>
                <w:color w:val="000000"/>
                <w:lang w:eastAsia="bg-BG"/>
              </w:rPr>
            </w:pPr>
          </w:p>
        </w:tc>
      </w:tr>
      <w:tr w:rsidR="00616FF3" w:rsidRPr="007F1682" w14:paraId="2707FFCB" w14:textId="77777777" w:rsidTr="004059F7">
        <w:tc>
          <w:tcPr>
            <w:tcW w:w="1826" w:type="dxa"/>
          </w:tcPr>
          <w:p w14:paraId="017EA43A" w14:textId="77777777" w:rsidR="00616FF3" w:rsidRPr="007F1682" w:rsidRDefault="00616FF3" w:rsidP="00616FF3">
            <w:pPr>
              <w:rPr>
                <w:rFonts w:eastAsia="Times New Roman" w:cs="Arial"/>
                <w:color w:val="000000"/>
                <w:lang w:eastAsia="bg-BG"/>
              </w:rPr>
            </w:pPr>
          </w:p>
        </w:tc>
        <w:tc>
          <w:tcPr>
            <w:tcW w:w="1636" w:type="dxa"/>
          </w:tcPr>
          <w:p w14:paraId="726F0069" w14:textId="527BF98B" w:rsidR="00616FF3" w:rsidRPr="007F1682" w:rsidRDefault="00616FF3" w:rsidP="00616FF3">
            <w:pPr>
              <w:rPr>
                <w:rFonts w:eastAsia="Times New Roman" w:cs="Arial"/>
                <w:color w:val="000000"/>
                <w:lang w:eastAsia="bg-BG"/>
              </w:rPr>
            </w:pPr>
            <w:r w:rsidRPr="007F1682">
              <w:rPr>
                <w:rFonts w:cs="Arial"/>
              </w:rPr>
              <w:t>Палпитации</w:t>
            </w:r>
          </w:p>
        </w:tc>
        <w:tc>
          <w:tcPr>
            <w:tcW w:w="2428" w:type="dxa"/>
          </w:tcPr>
          <w:p w14:paraId="79212368" w14:textId="77777777" w:rsidR="00616FF3" w:rsidRPr="007F1682" w:rsidRDefault="00616FF3" w:rsidP="00616FF3">
            <w:pPr>
              <w:rPr>
                <w:rFonts w:cs="Arial"/>
              </w:rPr>
            </w:pPr>
            <w:r w:rsidRPr="007F1682">
              <w:rPr>
                <w:rFonts w:cs="Arial"/>
              </w:rPr>
              <w:t>Тахикардия</w:t>
            </w:r>
          </w:p>
          <w:p w14:paraId="276FB6F4" w14:textId="07584BCA" w:rsidR="00616FF3" w:rsidRPr="007F1682" w:rsidRDefault="00616FF3" w:rsidP="00616FF3">
            <w:pPr>
              <w:rPr>
                <w:rFonts w:eastAsia="Times New Roman" w:cs="Arial"/>
                <w:color w:val="000000"/>
                <w:lang w:eastAsia="bg-BG"/>
              </w:rPr>
            </w:pPr>
            <w:r w:rsidRPr="007F1682">
              <w:rPr>
                <w:rFonts w:cs="Arial"/>
              </w:rPr>
              <w:t>Надкамерна аритмия Главно предсърдно мъждене</w:t>
            </w:r>
          </w:p>
        </w:tc>
        <w:tc>
          <w:tcPr>
            <w:tcW w:w="2082" w:type="dxa"/>
          </w:tcPr>
          <w:p w14:paraId="03CA88EF" w14:textId="77777777" w:rsidR="00616FF3" w:rsidRPr="007F1682" w:rsidRDefault="00616FF3" w:rsidP="00616FF3">
            <w:pPr>
              <w:rPr>
                <w:rFonts w:eastAsia="Times New Roman" w:cs="Arial"/>
                <w:color w:val="000000"/>
                <w:lang w:eastAsia="bg-BG"/>
              </w:rPr>
            </w:pPr>
          </w:p>
        </w:tc>
        <w:tc>
          <w:tcPr>
            <w:tcW w:w="1156" w:type="dxa"/>
          </w:tcPr>
          <w:p w14:paraId="0BF3E795" w14:textId="77777777" w:rsidR="00616FF3" w:rsidRPr="007F1682" w:rsidRDefault="00616FF3" w:rsidP="00616FF3">
            <w:pPr>
              <w:rPr>
                <w:rFonts w:eastAsia="Times New Roman" w:cs="Arial"/>
                <w:color w:val="000000"/>
                <w:lang w:eastAsia="bg-BG"/>
              </w:rPr>
            </w:pPr>
          </w:p>
        </w:tc>
      </w:tr>
      <w:tr w:rsidR="00616FF3" w:rsidRPr="007F1682" w14:paraId="20CF14C6" w14:textId="77777777" w:rsidTr="004059F7">
        <w:tc>
          <w:tcPr>
            <w:tcW w:w="9128" w:type="dxa"/>
            <w:gridSpan w:val="5"/>
          </w:tcPr>
          <w:p w14:paraId="4ACFCBED" w14:textId="160E1A09" w:rsidR="00616FF3" w:rsidRPr="007F1682" w:rsidRDefault="00616FF3" w:rsidP="008C41D5">
            <w:pPr>
              <w:rPr>
                <w:rFonts w:eastAsia="Times New Roman" w:cs="Arial"/>
                <w:color w:val="000000"/>
                <w:lang w:eastAsia="bg-BG"/>
              </w:rPr>
            </w:pPr>
            <w:r w:rsidRPr="007F1682">
              <w:rPr>
                <w:rFonts w:cs="Arial"/>
                <w:i/>
                <w:iCs/>
              </w:rPr>
              <w:t>Съдови нарушения</w:t>
            </w:r>
          </w:p>
        </w:tc>
      </w:tr>
      <w:tr w:rsidR="00616FF3" w:rsidRPr="007F1682" w14:paraId="086FCA98" w14:textId="77777777" w:rsidTr="004059F7">
        <w:tc>
          <w:tcPr>
            <w:tcW w:w="1826" w:type="dxa"/>
          </w:tcPr>
          <w:p w14:paraId="435CA2F5" w14:textId="77777777" w:rsidR="00616FF3" w:rsidRPr="007F1682" w:rsidRDefault="00616FF3" w:rsidP="00616FF3">
            <w:pPr>
              <w:rPr>
                <w:rFonts w:eastAsia="Times New Roman" w:cs="Arial"/>
                <w:color w:val="000000"/>
                <w:lang w:eastAsia="bg-BG"/>
              </w:rPr>
            </w:pPr>
          </w:p>
        </w:tc>
        <w:tc>
          <w:tcPr>
            <w:tcW w:w="1636" w:type="dxa"/>
          </w:tcPr>
          <w:p w14:paraId="53E45F3A" w14:textId="44760823" w:rsidR="00616FF3" w:rsidRPr="007F1682" w:rsidRDefault="00616FF3" w:rsidP="00616FF3">
            <w:pPr>
              <w:rPr>
                <w:rFonts w:eastAsia="Times New Roman" w:cs="Arial"/>
                <w:color w:val="000000"/>
                <w:lang w:eastAsia="bg-BG"/>
              </w:rPr>
            </w:pPr>
            <w:r w:rsidRPr="007F1682">
              <w:rPr>
                <w:rFonts w:cs="Arial"/>
              </w:rPr>
              <w:t>Повишено кръвно налягане</w:t>
            </w:r>
            <w:r w:rsidRPr="007F1682">
              <w:rPr>
                <w:rFonts w:cs="Arial"/>
                <w:vertAlign w:val="superscript"/>
              </w:rPr>
              <w:t xml:space="preserve">3 </w:t>
            </w:r>
            <w:r w:rsidRPr="007F1682">
              <w:rPr>
                <w:rFonts w:cs="Arial"/>
              </w:rPr>
              <w:t>Зачервяване</w:t>
            </w:r>
          </w:p>
        </w:tc>
        <w:tc>
          <w:tcPr>
            <w:tcW w:w="2428" w:type="dxa"/>
            <w:vAlign w:val="center"/>
          </w:tcPr>
          <w:p w14:paraId="0598A449" w14:textId="77777777" w:rsidR="009C0B6F" w:rsidRDefault="00616FF3" w:rsidP="00616FF3">
            <w:pPr>
              <w:rPr>
                <w:rFonts w:cs="Arial"/>
              </w:rPr>
            </w:pPr>
            <w:r w:rsidRPr="007F1682">
              <w:rPr>
                <w:rFonts w:cs="Arial"/>
              </w:rPr>
              <w:t>Синкоп</w:t>
            </w:r>
            <w:r w:rsidRPr="007F1682">
              <w:rPr>
                <w:rFonts w:cs="Arial"/>
                <w:vertAlign w:val="superscript"/>
              </w:rPr>
              <w:t xml:space="preserve">5 </w:t>
            </w:r>
            <w:r w:rsidRPr="007F1682">
              <w:rPr>
                <w:rFonts w:cs="Arial"/>
              </w:rPr>
              <w:t>Хипертония</w:t>
            </w:r>
            <w:r w:rsidRPr="007F1682">
              <w:rPr>
                <w:rFonts w:cs="Arial"/>
                <w:vertAlign w:val="superscript"/>
              </w:rPr>
              <w:t xml:space="preserve">3,7 </w:t>
            </w:r>
            <w:r w:rsidRPr="007F1682">
              <w:rPr>
                <w:rFonts w:cs="Arial"/>
              </w:rPr>
              <w:t>Ортостатична хипотония</w:t>
            </w:r>
            <w:r w:rsidRPr="007F1682">
              <w:rPr>
                <w:rFonts w:cs="Arial"/>
                <w:vertAlign w:val="superscript"/>
              </w:rPr>
              <w:t>2</w:t>
            </w:r>
            <w:r w:rsidRPr="007F1682">
              <w:rPr>
                <w:rFonts w:cs="Arial"/>
              </w:rPr>
              <w:t xml:space="preserve"> </w:t>
            </w:r>
          </w:p>
          <w:p w14:paraId="7B26262F" w14:textId="4F442DAA" w:rsidR="00616FF3" w:rsidRPr="007F1682" w:rsidRDefault="00616FF3" w:rsidP="00616FF3">
            <w:pPr>
              <w:rPr>
                <w:rFonts w:eastAsia="Times New Roman" w:cs="Arial"/>
                <w:color w:val="000000"/>
                <w:lang w:eastAsia="bg-BG"/>
              </w:rPr>
            </w:pPr>
            <w:r w:rsidRPr="007F1682">
              <w:rPr>
                <w:rFonts w:cs="Arial"/>
              </w:rPr>
              <w:t>Студени крайници</w:t>
            </w:r>
          </w:p>
        </w:tc>
        <w:tc>
          <w:tcPr>
            <w:tcW w:w="2082" w:type="dxa"/>
          </w:tcPr>
          <w:p w14:paraId="0193CB6B" w14:textId="7B7D48E7" w:rsidR="00616FF3" w:rsidRPr="007F1682" w:rsidRDefault="00616FF3" w:rsidP="00616FF3">
            <w:pPr>
              <w:rPr>
                <w:rFonts w:eastAsia="Times New Roman" w:cs="Arial"/>
                <w:color w:val="000000"/>
                <w:lang w:eastAsia="bg-BG"/>
              </w:rPr>
            </w:pPr>
            <w:r w:rsidRPr="007F1682">
              <w:rPr>
                <w:rFonts w:cs="Arial"/>
              </w:rPr>
              <w:t>Хипертонична криза</w:t>
            </w:r>
            <w:r w:rsidRPr="007F1682">
              <w:rPr>
                <w:rFonts w:cs="Arial"/>
                <w:vertAlign w:val="superscript"/>
              </w:rPr>
              <w:t>3,6</w:t>
            </w:r>
          </w:p>
        </w:tc>
        <w:tc>
          <w:tcPr>
            <w:tcW w:w="1156" w:type="dxa"/>
          </w:tcPr>
          <w:p w14:paraId="1DEF828B" w14:textId="77777777" w:rsidR="00616FF3" w:rsidRPr="007F1682" w:rsidRDefault="00616FF3" w:rsidP="00616FF3">
            <w:pPr>
              <w:rPr>
                <w:rFonts w:eastAsia="Times New Roman" w:cs="Arial"/>
                <w:color w:val="000000"/>
                <w:lang w:eastAsia="bg-BG"/>
              </w:rPr>
            </w:pPr>
          </w:p>
        </w:tc>
      </w:tr>
      <w:tr w:rsidR="00616FF3" w:rsidRPr="007F1682" w14:paraId="70B4713B" w14:textId="77777777" w:rsidTr="004059F7">
        <w:tc>
          <w:tcPr>
            <w:tcW w:w="9128" w:type="dxa"/>
            <w:gridSpan w:val="5"/>
          </w:tcPr>
          <w:p w14:paraId="05952119" w14:textId="77777777" w:rsidR="00616FF3" w:rsidRPr="007F1682" w:rsidRDefault="00616FF3" w:rsidP="00616FF3">
            <w:pPr>
              <w:spacing w:line="240" w:lineRule="auto"/>
              <w:rPr>
                <w:rFonts w:eastAsia="Times New Roman" w:cs="Arial"/>
                <w:lang w:eastAsia="bg-BG"/>
              </w:rPr>
            </w:pPr>
            <w:r w:rsidRPr="007F1682">
              <w:rPr>
                <w:rFonts w:eastAsia="Times New Roman" w:cs="Arial"/>
                <w:i/>
                <w:iCs/>
                <w:color w:val="000000"/>
                <w:lang w:eastAsia="bg-BG"/>
              </w:rPr>
              <w:t>Респираторни, гръдни и медиастинални нарушения</w:t>
            </w:r>
          </w:p>
          <w:p w14:paraId="17C1610A" w14:textId="77777777" w:rsidR="00616FF3" w:rsidRPr="007F1682" w:rsidRDefault="00616FF3" w:rsidP="008C41D5">
            <w:pPr>
              <w:rPr>
                <w:rFonts w:eastAsia="Times New Roman" w:cs="Arial"/>
                <w:color w:val="000000"/>
                <w:lang w:eastAsia="bg-BG"/>
              </w:rPr>
            </w:pPr>
          </w:p>
        </w:tc>
      </w:tr>
      <w:tr w:rsidR="00616FF3" w:rsidRPr="007F1682" w14:paraId="13ECD4AB" w14:textId="77777777" w:rsidTr="004059F7">
        <w:tc>
          <w:tcPr>
            <w:tcW w:w="1826" w:type="dxa"/>
          </w:tcPr>
          <w:p w14:paraId="5568D1E7" w14:textId="77777777" w:rsidR="00616FF3" w:rsidRPr="007F1682" w:rsidRDefault="00616FF3" w:rsidP="00616FF3">
            <w:pPr>
              <w:rPr>
                <w:rFonts w:eastAsia="Times New Roman" w:cs="Arial"/>
                <w:color w:val="000000"/>
                <w:lang w:eastAsia="bg-BG"/>
              </w:rPr>
            </w:pPr>
          </w:p>
        </w:tc>
        <w:tc>
          <w:tcPr>
            <w:tcW w:w="1636" w:type="dxa"/>
          </w:tcPr>
          <w:p w14:paraId="3149734B" w14:textId="4BE3299C" w:rsidR="00616FF3" w:rsidRPr="007F1682" w:rsidRDefault="00616FF3" w:rsidP="00616FF3">
            <w:pPr>
              <w:rPr>
                <w:rFonts w:eastAsia="Times New Roman" w:cs="Arial"/>
                <w:color w:val="000000"/>
                <w:lang w:eastAsia="bg-BG"/>
              </w:rPr>
            </w:pPr>
            <w:r w:rsidRPr="007F1682">
              <w:rPr>
                <w:rFonts w:cs="Arial"/>
              </w:rPr>
              <w:t>Прозя</w:t>
            </w:r>
            <w:r w:rsidRPr="009C0B6F">
              <w:rPr>
                <w:rFonts w:cs="Arial"/>
              </w:rPr>
              <w:t>ване</w:t>
            </w:r>
          </w:p>
        </w:tc>
        <w:tc>
          <w:tcPr>
            <w:tcW w:w="2428" w:type="dxa"/>
          </w:tcPr>
          <w:p w14:paraId="0853A243" w14:textId="77777777" w:rsidR="009C0B6F" w:rsidRDefault="00616FF3" w:rsidP="00616FF3">
            <w:pPr>
              <w:rPr>
                <w:rFonts w:cs="Arial"/>
              </w:rPr>
            </w:pPr>
            <w:r w:rsidRPr="007F1682">
              <w:rPr>
                <w:rFonts w:cs="Arial"/>
              </w:rPr>
              <w:t>Напрежение в гърлото</w:t>
            </w:r>
          </w:p>
          <w:p w14:paraId="69D8DF0F" w14:textId="0B849B7E" w:rsidR="00616FF3" w:rsidRPr="007F1682" w:rsidRDefault="00616FF3" w:rsidP="00616FF3">
            <w:pPr>
              <w:rPr>
                <w:rFonts w:eastAsia="Times New Roman" w:cs="Arial"/>
                <w:color w:val="000000"/>
                <w:lang w:eastAsia="bg-BG"/>
              </w:rPr>
            </w:pPr>
            <w:r w:rsidRPr="007F1682">
              <w:rPr>
                <w:rFonts w:cs="Arial"/>
              </w:rPr>
              <w:t>Епистаксис</w:t>
            </w:r>
          </w:p>
        </w:tc>
        <w:tc>
          <w:tcPr>
            <w:tcW w:w="2082" w:type="dxa"/>
          </w:tcPr>
          <w:p w14:paraId="3FF221FC" w14:textId="77777777" w:rsidR="00616FF3" w:rsidRPr="007F1682" w:rsidRDefault="00616FF3" w:rsidP="00616FF3">
            <w:pPr>
              <w:rPr>
                <w:rFonts w:eastAsia="Times New Roman" w:cs="Arial"/>
                <w:color w:val="000000"/>
                <w:lang w:eastAsia="bg-BG"/>
              </w:rPr>
            </w:pPr>
          </w:p>
        </w:tc>
        <w:tc>
          <w:tcPr>
            <w:tcW w:w="1156" w:type="dxa"/>
          </w:tcPr>
          <w:p w14:paraId="470E8ABA" w14:textId="77777777" w:rsidR="00616FF3" w:rsidRPr="007F1682" w:rsidRDefault="00616FF3" w:rsidP="00616FF3">
            <w:pPr>
              <w:rPr>
                <w:rFonts w:eastAsia="Times New Roman" w:cs="Arial"/>
                <w:color w:val="000000"/>
                <w:lang w:eastAsia="bg-BG"/>
              </w:rPr>
            </w:pPr>
          </w:p>
        </w:tc>
      </w:tr>
      <w:tr w:rsidR="00616FF3" w:rsidRPr="007F1682" w14:paraId="77C787CC" w14:textId="77777777" w:rsidTr="004059F7">
        <w:tc>
          <w:tcPr>
            <w:tcW w:w="9128" w:type="dxa"/>
            <w:gridSpan w:val="5"/>
          </w:tcPr>
          <w:p w14:paraId="244A61F5" w14:textId="77777777" w:rsidR="00616FF3" w:rsidRPr="007F1682" w:rsidRDefault="00616FF3" w:rsidP="00616FF3">
            <w:pPr>
              <w:spacing w:line="240" w:lineRule="auto"/>
              <w:rPr>
                <w:rFonts w:eastAsia="Times New Roman" w:cs="Arial"/>
                <w:lang w:eastAsia="bg-BG"/>
              </w:rPr>
            </w:pPr>
            <w:r w:rsidRPr="007F1682">
              <w:rPr>
                <w:rFonts w:eastAsia="Times New Roman" w:cs="Arial"/>
                <w:i/>
                <w:iCs/>
                <w:color w:val="000000"/>
                <w:lang w:eastAsia="bg-BG"/>
              </w:rPr>
              <w:t>Стомашно-чревни нарушения</w:t>
            </w:r>
          </w:p>
          <w:p w14:paraId="05751587" w14:textId="77777777" w:rsidR="00616FF3" w:rsidRPr="007F1682" w:rsidRDefault="00616FF3" w:rsidP="008C41D5">
            <w:pPr>
              <w:rPr>
                <w:rFonts w:eastAsia="Times New Roman" w:cs="Arial"/>
                <w:color w:val="000000"/>
                <w:lang w:eastAsia="bg-BG"/>
              </w:rPr>
            </w:pPr>
          </w:p>
        </w:tc>
      </w:tr>
      <w:tr w:rsidR="00616FF3" w:rsidRPr="007F1682" w14:paraId="104CA3B2" w14:textId="77777777" w:rsidTr="004059F7">
        <w:tc>
          <w:tcPr>
            <w:tcW w:w="1826" w:type="dxa"/>
          </w:tcPr>
          <w:p w14:paraId="71012CC1" w14:textId="77777777" w:rsidR="00616FF3" w:rsidRPr="007F1682" w:rsidRDefault="00616FF3" w:rsidP="00616FF3">
            <w:pPr>
              <w:rPr>
                <w:rFonts w:cs="Arial"/>
              </w:rPr>
            </w:pPr>
            <w:r w:rsidRPr="007F1682">
              <w:rPr>
                <w:rFonts w:cs="Arial"/>
              </w:rPr>
              <w:t>Гадене</w:t>
            </w:r>
          </w:p>
          <w:p w14:paraId="3CB1A04F" w14:textId="551ECBB1" w:rsidR="00616FF3" w:rsidRPr="007F1682" w:rsidRDefault="00616FF3" w:rsidP="00616FF3">
            <w:pPr>
              <w:rPr>
                <w:rFonts w:eastAsia="Times New Roman" w:cs="Arial"/>
                <w:color w:val="000000"/>
                <w:lang w:eastAsia="bg-BG"/>
              </w:rPr>
            </w:pPr>
            <w:r w:rsidRPr="007F1682">
              <w:rPr>
                <w:rFonts w:cs="Arial"/>
              </w:rPr>
              <w:lastRenderedPageBreak/>
              <w:t>Сухота в устата</w:t>
            </w:r>
          </w:p>
        </w:tc>
        <w:tc>
          <w:tcPr>
            <w:tcW w:w="1636" w:type="dxa"/>
            <w:vAlign w:val="bottom"/>
          </w:tcPr>
          <w:p w14:paraId="055FD2A4" w14:textId="19792E94" w:rsidR="00616FF3" w:rsidRPr="007F1682" w:rsidRDefault="00616FF3" w:rsidP="00616FF3">
            <w:pPr>
              <w:rPr>
                <w:rFonts w:eastAsia="Times New Roman" w:cs="Arial"/>
                <w:color w:val="000000"/>
                <w:lang w:eastAsia="bg-BG"/>
              </w:rPr>
            </w:pPr>
            <w:r w:rsidRPr="007F1682">
              <w:rPr>
                <w:rFonts w:cs="Arial"/>
              </w:rPr>
              <w:lastRenderedPageBreak/>
              <w:t xml:space="preserve">Констипация Диария </w:t>
            </w:r>
            <w:r w:rsidRPr="007F1682">
              <w:rPr>
                <w:rFonts w:cs="Arial"/>
              </w:rPr>
              <w:lastRenderedPageBreak/>
              <w:t>Коремна болка Повръщане Диспепсия Метеори зъм</w:t>
            </w:r>
          </w:p>
        </w:tc>
        <w:tc>
          <w:tcPr>
            <w:tcW w:w="2428" w:type="dxa"/>
            <w:vAlign w:val="bottom"/>
          </w:tcPr>
          <w:p w14:paraId="353DD4C5" w14:textId="5FC79FB0" w:rsidR="009C0B6F" w:rsidRDefault="00616FF3" w:rsidP="00616FF3">
            <w:pPr>
              <w:rPr>
                <w:rFonts w:cs="Arial"/>
              </w:rPr>
            </w:pPr>
            <w:r w:rsidRPr="007F1682">
              <w:rPr>
                <w:rFonts w:cs="Arial"/>
              </w:rPr>
              <w:lastRenderedPageBreak/>
              <w:t>Стомашно-чревен кръвоизлив</w:t>
            </w:r>
            <w:r w:rsidR="009C0B6F" w:rsidRPr="009C0B6F">
              <w:rPr>
                <w:rFonts w:cs="Arial"/>
                <w:vertAlign w:val="superscript"/>
              </w:rPr>
              <w:t>7</w:t>
            </w:r>
          </w:p>
          <w:p w14:paraId="37726216" w14:textId="77777777" w:rsidR="009C0B6F" w:rsidRDefault="00616FF3" w:rsidP="00616FF3">
            <w:pPr>
              <w:rPr>
                <w:rFonts w:cs="Arial"/>
              </w:rPr>
            </w:pPr>
            <w:r w:rsidRPr="007F1682">
              <w:rPr>
                <w:rFonts w:cs="Arial"/>
              </w:rPr>
              <w:lastRenderedPageBreak/>
              <w:t>Гастроентерит Оригване</w:t>
            </w:r>
          </w:p>
          <w:p w14:paraId="2E5D76A7" w14:textId="77777777" w:rsidR="009C0B6F" w:rsidRDefault="00616FF3" w:rsidP="00616FF3">
            <w:pPr>
              <w:rPr>
                <w:rFonts w:cs="Arial"/>
              </w:rPr>
            </w:pPr>
            <w:r w:rsidRPr="007F1682">
              <w:rPr>
                <w:rFonts w:cs="Arial"/>
              </w:rPr>
              <w:t xml:space="preserve">Гастрит </w:t>
            </w:r>
          </w:p>
          <w:p w14:paraId="48208C2F" w14:textId="6BC2E1CD" w:rsidR="00616FF3" w:rsidRPr="007F1682" w:rsidRDefault="00616FF3" w:rsidP="00616FF3">
            <w:pPr>
              <w:rPr>
                <w:rFonts w:eastAsia="Times New Roman" w:cs="Arial"/>
                <w:color w:val="000000"/>
                <w:lang w:eastAsia="bg-BG"/>
              </w:rPr>
            </w:pPr>
            <w:r w:rsidRPr="007F1682">
              <w:rPr>
                <w:rFonts w:cs="Arial"/>
              </w:rPr>
              <w:t>Дисфагия</w:t>
            </w:r>
          </w:p>
        </w:tc>
        <w:tc>
          <w:tcPr>
            <w:tcW w:w="2082" w:type="dxa"/>
          </w:tcPr>
          <w:p w14:paraId="6E70C99D" w14:textId="77777777" w:rsidR="00616FF3" w:rsidRPr="007F1682" w:rsidRDefault="00616FF3" w:rsidP="00616FF3">
            <w:pPr>
              <w:rPr>
                <w:rFonts w:cs="Arial"/>
              </w:rPr>
            </w:pPr>
            <w:r w:rsidRPr="007F1682">
              <w:rPr>
                <w:rFonts w:cs="Arial"/>
              </w:rPr>
              <w:lastRenderedPageBreak/>
              <w:t>Стоматит Хематохезия</w:t>
            </w:r>
          </w:p>
          <w:p w14:paraId="23AEC02A" w14:textId="77F38112" w:rsidR="00616FF3" w:rsidRPr="007F1682" w:rsidRDefault="00616FF3" w:rsidP="00616FF3">
            <w:pPr>
              <w:rPr>
                <w:rFonts w:eastAsia="Times New Roman" w:cs="Arial"/>
                <w:color w:val="000000"/>
                <w:lang w:eastAsia="bg-BG"/>
              </w:rPr>
            </w:pPr>
            <w:r w:rsidRPr="007F1682">
              <w:rPr>
                <w:rFonts w:cs="Arial"/>
              </w:rPr>
              <w:lastRenderedPageBreak/>
              <w:t>Лош дъх от устата</w:t>
            </w:r>
          </w:p>
        </w:tc>
        <w:tc>
          <w:tcPr>
            <w:tcW w:w="1156" w:type="dxa"/>
          </w:tcPr>
          <w:p w14:paraId="020EE3FA" w14:textId="77777777" w:rsidR="00616FF3" w:rsidRPr="007F1682" w:rsidRDefault="00616FF3" w:rsidP="00616FF3">
            <w:pPr>
              <w:rPr>
                <w:rFonts w:eastAsia="Times New Roman" w:cs="Arial"/>
                <w:color w:val="000000"/>
                <w:lang w:eastAsia="bg-BG"/>
              </w:rPr>
            </w:pPr>
          </w:p>
        </w:tc>
      </w:tr>
      <w:tr w:rsidR="00616FF3" w:rsidRPr="007F1682" w14:paraId="385893A2" w14:textId="77777777" w:rsidTr="004059F7">
        <w:tc>
          <w:tcPr>
            <w:tcW w:w="9128" w:type="dxa"/>
            <w:gridSpan w:val="5"/>
          </w:tcPr>
          <w:p w14:paraId="546BB3CA" w14:textId="77777777" w:rsidR="00616FF3" w:rsidRPr="007F1682" w:rsidRDefault="00616FF3" w:rsidP="00616FF3">
            <w:pPr>
              <w:spacing w:line="240" w:lineRule="auto"/>
              <w:rPr>
                <w:rFonts w:eastAsia="Times New Roman" w:cs="Arial"/>
                <w:lang w:eastAsia="bg-BG"/>
              </w:rPr>
            </w:pPr>
            <w:r w:rsidRPr="007F1682">
              <w:rPr>
                <w:rFonts w:eastAsia="Times New Roman" w:cs="Arial"/>
                <w:i/>
                <w:iCs/>
                <w:color w:val="000000"/>
                <w:lang w:eastAsia="bg-BG"/>
              </w:rPr>
              <w:t>Хепато-билиарни нарушения</w:t>
            </w:r>
          </w:p>
          <w:p w14:paraId="29B5A3C5" w14:textId="77777777" w:rsidR="00616FF3" w:rsidRPr="007F1682" w:rsidRDefault="00616FF3" w:rsidP="008C41D5">
            <w:pPr>
              <w:rPr>
                <w:rFonts w:eastAsia="Times New Roman" w:cs="Arial"/>
                <w:color w:val="000000"/>
                <w:lang w:eastAsia="bg-BG"/>
              </w:rPr>
            </w:pPr>
          </w:p>
        </w:tc>
      </w:tr>
      <w:tr w:rsidR="00616FF3" w:rsidRPr="007F1682" w14:paraId="60B689B0" w14:textId="77777777" w:rsidTr="004059F7">
        <w:tc>
          <w:tcPr>
            <w:tcW w:w="1826" w:type="dxa"/>
          </w:tcPr>
          <w:p w14:paraId="39248A3D" w14:textId="77777777" w:rsidR="00616FF3" w:rsidRPr="007F1682" w:rsidRDefault="00616FF3" w:rsidP="00616FF3">
            <w:pPr>
              <w:rPr>
                <w:rFonts w:eastAsia="Times New Roman" w:cs="Arial"/>
                <w:color w:val="000000"/>
                <w:lang w:eastAsia="bg-BG"/>
              </w:rPr>
            </w:pPr>
          </w:p>
        </w:tc>
        <w:tc>
          <w:tcPr>
            <w:tcW w:w="1636" w:type="dxa"/>
          </w:tcPr>
          <w:p w14:paraId="49D81E93" w14:textId="77777777" w:rsidR="00616FF3" w:rsidRPr="007F1682" w:rsidRDefault="00616FF3" w:rsidP="00616FF3">
            <w:pPr>
              <w:rPr>
                <w:rFonts w:eastAsia="Times New Roman" w:cs="Arial"/>
                <w:color w:val="000000"/>
                <w:lang w:eastAsia="bg-BG"/>
              </w:rPr>
            </w:pPr>
          </w:p>
        </w:tc>
        <w:tc>
          <w:tcPr>
            <w:tcW w:w="2428" w:type="dxa"/>
          </w:tcPr>
          <w:p w14:paraId="7FFF1E04" w14:textId="5490AD5C" w:rsidR="00FE2291" w:rsidRPr="00FE2291" w:rsidRDefault="00616FF3" w:rsidP="00616FF3">
            <w:pPr>
              <w:rPr>
                <w:rFonts w:cs="Arial"/>
                <w:vertAlign w:val="superscript"/>
              </w:rPr>
            </w:pPr>
            <w:r w:rsidRPr="007F1682">
              <w:rPr>
                <w:rFonts w:cs="Arial"/>
              </w:rPr>
              <w:t>Хепатит</w:t>
            </w:r>
            <w:r w:rsidR="00FE2291" w:rsidRPr="00FE2291">
              <w:rPr>
                <w:rFonts w:cs="Arial"/>
                <w:vertAlign w:val="superscript"/>
              </w:rPr>
              <w:t>3</w:t>
            </w:r>
            <w:r w:rsidRPr="00FE2291">
              <w:rPr>
                <w:rFonts w:cs="Arial"/>
                <w:vertAlign w:val="superscript"/>
              </w:rPr>
              <w:t xml:space="preserve"> </w:t>
            </w:r>
          </w:p>
          <w:p w14:paraId="174E66FA" w14:textId="42883FA9" w:rsidR="00616FF3" w:rsidRPr="007F1682" w:rsidRDefault="00616FF3" w:rsidP="00616FF3">
            <w:pPr>
              <w:rPr>
                <w:rFonts w:cs="Arial"/>
              </w:rPr>
            </w:pPr>
            <w:r w:rsidRPr="007F1682">
              <w:rPr>
                <w:rFonts w:cs="Arial"/>
              </w:rPr>
              <w:t>Повишени чернодробни ензими (ALT. AST, алкална фосфатаза)</w:t>
            </w:r>
          </w:p>
          <w:p w14:paraId="0319D422" w14:textId="35D152BF" w:rsidR="00616FF3" w:rsidRPr="007F1682" w:rsidRDefault="00616FF3" w:rsidP="00616FF3">
            <w:pPr>
              <w:rPr>
                <w:rFonts w:eastAsia="Times New Roman" w:cs="Arial"/>
                <w:color w:val="000000"/>
                <w:lang w:eastAsia="bg-BG"/>
              </w:rPr>
            </w:pPr>
            <w:r w:rsidRPr="007F1682">
              <w:rPr>
                <w:rFonts w:cs="Arial"/>
              </w:rPr>
              <w:t>Остро чернодробно увреждане</w:t>
            </w:r>
          </w:p>
        </w:tc>
        <w:tc>
          <w:tcPr>
            <w:tcW w:w="2082" w:type="dxa"/>
            <w:vAlign w:val="bottom"/>
          </w:tcPr>
          <w:p w14:paraId="3A603FA1" w14:textId="77777777" w:rsidR="00616FF3" w:rsidRPr="007F1682" w:rsidRDefault="00616FF3" w:rsidP="00616FF3">
            <w:pPr>
              <w:rPr>
                <w:rFonts w:cs="Arial"/>
              </w:rPr>
            </w:pPr>
            <w:r w:rsidRPr="007F1682">
              <w:rPr>
                <w:rFonts w:cs="Arial"/>
              </w:rPr>
              <w:t>Чернодробна недостатъчност</w:t>
            </w:r>
            <w:r w:rsidRPr="007F1682">
              <w:rPr>
                <w:rFonts w:cs="Arial"/>
                <w:vertAlign w:val="superscript"/>
              </w:rPr>
              <w:t xml:space="preserve">6 </w:t>
            </w:r>
            <w:r w:rsidRPr="007F1682">
              <w:rPr>
                <w:rFonts w:cs="Arial"/>
              </w:rPr>
              <w:t>Жълтеница</w:t>
            </w:r>
            <w:r w:rsidRPr="007F1682">
              <w:rPr>
                <w:rFonts w:cs="Arial"/>
                <w:vertAlign w:val="superscript"/>
              </w:rPr>
              <w:t>6</w:t>
            </w:r>
          </w:p>
          <w:p w14:paraId="10EBD0F4" w14:textId="77777777" w:rsidR="00616FF3" w:rsidRPr="007F1682" w:rsidRDefault="00616FF3" w:rsidP="00616FF3">
            <w:pPr>
              <w:rPr>
                <w:rFonts w:eastAsia="Times New Roman" w:cs="Arial"/>
                <w:color w:val="000000"/>
                <w:lang w:eastAsia="bg-BG"/>
              </w:rPr>
            </w:pPr>
          </w:p>
        </w:tc>
        <w:tc>
          <w:tcPr>
            <w:tcW w:w="1156" w:type="dxa"/>
          </w:tcPr>
          <w:p w14:paraId="41BBE7C0" w14:textId="77777777" w:rsidR="00616FF3" w:rsidRPr="007F1682" w:rsidRDefault="00616FF3" w:rsidP="00616FF3">
            <w:pPr>
              <w:rPr>
                <w:rFonts w:eastAsia="Times New Roman" w:cs="Arial"/>
                <w:color w:val="000000"/>
                <w:lang w:eastAsia="bg-BG"/>
              </w:rPr>
            </w:pPr>
          </w:p>
        </w:tc>
      </w:tr>
      <w:tr w:rsidR="00616FF3" w:rsidRPr="007F1682" w14:paraId="7DBE1F15" w14:textId="77777777" w:rsidTr="004059F7">
        <w:tc>
          <w:tcPr>
            <w:tcW w:w="1826" w:type="dxa"/>
          </w:tcPr>
          <w:p w14:paraId="55CD1614" w14:textId="0C4627EA" w:rsidR="00616FF3" w:rsidRPr="007F1682" w:rsidRDefault="00616FF3" w:rsidP="00616FF3">
            <w:pPr>
              <w:rPr>
                <w:rFonts w:eastAsia="Times New Roman" w:cs="Arial"/>
                <w:color w:val="000000"/>
                <w:lang w:eastAsia="bg-BG"/>
              </w:rPr>
            </w:pPr>
            <w:r w:rsidRPr="007F1682">
              <w:rPr>
                <w:rFonts w:cs="Arial"/>
                <w:b/>
                <w:bCs/>
              </w:rPr>
              <w:t>Много чести</w:t>
            </w:r>
          </w:p>
        </w:tc>
        <w:tc>
          <w:tcPr>
            <w:tcW w:w="1636" w:type="dxa"/>
          </w:tcPr>
          <w:p w14:paraId="37D4E1BF" w14:textId="7A75FC4B" w:rsidR="00616FF3" w:rsidRPr="007F1682" w:rsidRDefault="00616FF3" w:rsidP="00616FF3">
            <w:pPr>
              <w:rPr>
                <w:rFonts w:eastAsia="Times New Roman" w:cs="Arial"/>
                <w:color w:val="000000"/>
                <w:lang w:eastAsia="bg-BG"/>
              </w:rPr>
            </w:pPr>
            <w:r w:rsidRPr="007F1682">
              <w:rPr>
                <w:rFonts w:cs="Arial"/>
                <w:b/>
                <w:bCs/>
              </w:rPr>
              <w:t>Чести</w:t>
            </w:r>
          </w:p>
        </w:tc>
        <w:tc>
          <w:tcPr>
            <w:tcW w:w="2428" w:type="dxa"/>
          </w:tcPr>
          <w:p w14:paraId="7CE5261D" w14:textId="1B5CC39B" w:rsidR="00616FF3" w:rsidRPr="007F1682" w:rsidRDefault="00616FF3" w:rsidP="00616FF3">
            <w:pPr>
              <w:rPr>
                <w:rFonts w:eastAsia="Times New Roman" w:cs="Arial"/>
                <w:color w:val="000000"/>
                <w:lang w:eastAsia="bg-BG"/>
              </w:rPr>
            </w:pPr>
            <w:r w:rsidRPr="007F1682">
              <w:rPr>
                <w:rFonts w:cs="Arial"/>
                <w:b/>
                <w:bCs/>
              </w:rPr>
              <w:t>Нечести</w:t>
            </w:r>
          </w:p>
        </w:tc>
        <w:tc>
          <w:tcPr>
            <w:tcW w:w="2082" w:type="dxa"/>
          </w:tcPr>
          <w:p w14:paraId="7DF41C8B" w14:textId="50C8DC9C" w:rsidR="00616FF3" w:rsidRPr="007F1682" w:rsidRDefault="00616FF3" w:rsidP="00616FF3">
            <w:pPr>
              <w:rPr>
                <w:rFonts w:eastAsia="Times New Roman" w:cs="Arial"/>
                <w:color w:val="000000"/>
                <w:lang w:eastAsia="bg-BG"/>
              </w:rPr>
            </w:pPr>
            <w:r w:rsidRPr="007F1682">
              <w:rPr>
                <w:rFonts w:cs="Arial"/>
                <w:b/>
                <w:bCs/>
              </w:rPr>
              <w:t>Редки</w:t>
            </w:r>
          </w:p>
        </w:tc>
        <w:tc>
          <w:tcPr>
            <w:tcW w:w="1156" w:type="dxa"/>
          </w:tcPr>
          <w:p w14:paraId="18F803FF" w14:textId="44C43B91" w:rsidR="00616FF3" w:rsidRPr="007F1682" w:rsidRDefault="00616FF3" w:rsidP="00616FF3">
            <w:pPr>
              <w:rPr>
                <w:rFonts w:eastAsia="Times New Roman" w:cs="Arial"/>
                <w:color w:val="000000"/>
                <w:lang w:eastAsia="bg-BG"/>
              </w:rPr>
            </w:pPr>
            <w:r w:rsidRPr="007F1682">
              <w:rPr>
                <w:rFonts w:cs="Arial"/>
                <w:b/>
                <w:bCs/>
              </w:rPr>
              <w:t>Много редки</w:t>
            </w:r>
          </w:p>
        </w:tc>
      </w:tr>
      <w:tr w:rsidR="00616FF3" w:rsidRPr="007F1682" w14:paraId="12B02BBF" w14:textId="77777777" w:rsidTr="004059F7">
        <w:tc>
          <w:tcPr>
            <w:tcW w:w="9128" w:type="dxa"/>
            <w:gridSpan w:val="5"/>
          </w:tcPr>
          <w:p w14:paraId="44664E64" w14:textId="77777777" w:rsidR="00616FF3" w:rsidRPr="007F1682" w:rsidRDefault="00616FF3" w:rsidP="00616FF3">
            <w:pPr>
              <w:spacing w:line="240" w:lineRule="auto"/>
              <w:rPr>
                <w:rFonts w:eastAsia="Times New Roman" w:cs="Arial"/>
                <w:lang w:eastAsia="bg-BG"/>
              </w:rPr>
            </w:pPr>
            <w:r w:rsidRPr="007F1682">
              <w:rPr>
                <w:rFonts w:eastAsia="Times New Roman" w:cs="Arial"/>
                <w:i/>
                <w:iCs/>
                <w:color w:val="000000"/>
                <w:lang w:eastAsia="bg-BG"/>
              </w:rPr>
              <w:t>Нарушения на кожата и подкожната тъкан</w:t>
            </w:r>
          </w:p>
          <w:p w14:paraId="179D9029" w14:textId="77777777" w:rsidR="00616FF3" w:rsidRPr="007F1682" w:rsidRDefault="00616FF3" w:rsidP="008C41D5">
            <w:pPr>
              <w:rPr>
                <w:rFonts w:eastAsia="Times New Roman" w:cs="Arial"/>
                <w:color w:val="000000"/>
                <w:lang w:eastAsia="bg-BG"/>
              </w:rPr>
            </w:pPr>
          </w:p>
        </w:tc>
      </w:tr>
      <w:tr w:rsidR="00616FF3" w:rsidRPr="007F1682" w14:paraId="5E1B5A5D" w14:textId="77777777" w:rsidTr="004059F7">
        <w:tc>
          <w:tcPr>
            <w:tcW w:w="1826" w:type="dxa"/>
          </w:tcPr>
          <w:p w14:paraId="0B8AF05E" w14:textId="77777777" w:rsidR="00616FF3" w:rsidRPr="007F1682" w:rsidRDefault="00616FF3" w:rsidP="00616FF3">
            <w:pPr>
              <w:rPr>
                <w:rFonts w:eastAsia="Times New Roman" w:cs="Arial"/>
                <w:color w:val="000000"/>
                <w:lang w:eastAsia="bg-BG"/>
              </w:rPr>
            </w:pPr>
          </w:p>
        </w:tc>
        <w:tc>
          <w:tcPr>
            <w:tcW w:w="1636" w:type="dxa"/>
          </w:tcPr>
          <w:p w14:paraId="6C33FF8B" w14:textId="55B53CB5" w:rsidR="00616FF3" w:rsidRPr="007F1682" w:rsidRDefault="00616FF3" w:rsidP="00616FF3">
            <w:pPr>
              <w:rPr>
                <w:rFonts w:eastAsia="Times New Roman" w:cs="Arial"/>
                <w:color w:val="000000"/>
                <w:lang w:eastAsia="bg-BG"/>
              </w:rPr>
            </w:pPr>
            <w:r w:rsidRPr="007F1682">
              <w:rPr>
                <w:rFonts w:cs="Arial"/>
              </w:rPr>
              <w:t>Засилено потене Обрив</w:t>
            </w:r>
          </w:p>
        </w:tc>
        <w:tc>
          <w:tcPr>
            <w:tcW w:w="2428" w:type="dxa"/>
          </w:tcPr>
          <w:p w14:paraId="4504D9D7" w14:textId="77777777" w:rsidR="00DF2A79" w:rsidRDefault="00616FF3" w:rsidP="00616FF3">
            <w:pPr>
              <w:rPr>
                <w:rFonts w:cs="Arial"/>
              </w:rPr>
            </w:pPr>
            <w:r w:rsidRPr="007F1682">
              <w:rPr>
                <w:rFonts w:cs="Arial"/>
              </w:rPr>
              <w:t>Нощно изпотяване Уртикария</w:t>
            </w:r>
          </w:p>
          <w:p w14:paraId="5E8ACC10" w14:textId="77777777" w:rsidR="00DF2A79" w:rsidRDefault="00616FF3" w:rsidP="00616FF3">
            <w:pPr>
              <w:rPr>
                <w:rFonts w:cs="Arial"/>
              </w:rPr>
            </w:pPr>
            <w:r w:rsidRPr="007F1682">
              <w:rPr>
                <w:rFonts w:cs="Arial"/>
              </w:rPr>
              <w:t xml:space="preserve">Контактен дерматит Студена пот </w:t>
            </w:r>
          </w:p>
          <w:p w14:paraId="21DF5695" w14:textId="1FAA8D46" w:rsidR="00616FF3" w:rsidRPr="007F1682" w:rsidRDefault="00616FF3" w:rsidP="00616FF3">
            <w:pPr>
              <w:rPr>
                <w:rFonts w:eastAsia="Times New Roman" w:cs="Arial"/>
                <w:color w:val="000000"/>
                <w:lang w:eastAsia="bg-BG"/>
              </w:rPr>
            </w:pPr>
            <w:r w:rsidRPr="007F1682">
              <w:rPr>
                <w:rFonts w:cs="Arial"/>
              </w:rPr>
              <w:t xml:space="preserve">Реакции на фоточувствителност Засилена тенденция за поява на </w:t>
            </w:r>
            <w:r w:rsidR="00DF2A79">
              <w:rPr>
                <w:rFonts w:cs="Arial"/>
              </w:rPr>
              <w:t>х</w:t>
            </w:r>
            <w:r w:rsidRPr="007F1682">
              <w:rPr>
                <w:rFonts w:cs="Arial"/>
              </w:rPr>
              <w:t>ематоми</w:t>
            </w:r>
          </w:p>
        </w:tc>
        <w:tc>
          <w:tcPr>
            <w:tcW w:w="2082" w:type="dxa"/>
          </w:tcPr>
          <w:p w14:paraId="47B8018A" w14:textId="77777777" w:rsidR="00616FF3" w:rsidRPr="007F1682" w:rsidRDefault="00616FF3" w:rsidP="00616FF3">
            <w:pPr>
              <w:rPr>
                <w:rFonts w:cs="Arial"/>
              </w:rPr>
            </w:pPr>
            <w:r w:rsidRPr="007F1682">
              <w:rPr>
                <w:rFonts w:cs="Arial"/>
              </w:rPr>
              <w:t>Синдром на Stevens-Johnson</w:t>
            </w:r>
            <w:r w:rsidRPr="007F1682">
              <w:rPr>
                <w:rFonts w:cs="Arial"/>
                <w:vertAlign w:val="superscript"/>
              </w:rPr>
              <w:t>6</w:t>
            </w:r>
          </w:p>
          <w:p w14:paraId="791FF71A" w14:textId="77777777" w:rsidR="00616FF3" w:rsidRPr="007F1682" w:rsidRDefault="00616FF3" w:rsidP="00616FF3">
            <w:pPr>
              <w:rPr>
                <w:rFonts w:cs="Arial"/>
              </w:rPr>
            </w:pPr>
            <w:r w:rsidRPr="007F1682">
              <w:rPr>
                <w:rFonts w:cs="Arial"/>
              </w:rPr>
              <w:t>Ангионевротичен</w:t>
            </w:r>
          </w:p>
          <w:p w14:paraId="100958F0" w14:textId="3DCD1ACC" w:rsidR="00616FF3" w:rsidRPr="007F1682" w:rsidRDefault="00DF2A79" w:rsidP="00616FF3">
            <w:pPr>
              <w:rPr>
                <w:rFonts w:eastAsia="Times New Roman" w:cs="Arial"/>
                <w:color w:val="000000"/>
                <w:lang w:eastAsia="bg-BG"/>
              </w:rPr>
            </w:pPr>
            <w:r w:rsidRPr="007F1682">
              <w:rPr>
                <w:rFonts w:cs="Arial"/>
              </w:rPr>
              <w:t>О</w:t>
            </w:r>
            <w:r w:rsidR="00616FF3" w:rsidRPr="007F1682">
              <w:rPr>
                <w:rFonts w:cs="Arial"/>
              </w:rPr>
              <w:t>ток</w:t>
            </w:r>
            <w:r w:rsidRPr="00DF2A79">
              <w:rPr>
                <w:rFonts w:cs="Arial"/>
                <w:vertAlign w:val="superscript"/>
              </w:rPr>
              <w:t>6</w:t>
            </w:r>
          </w:p>
        </w:tc>
        <w:tc>
          <w:tcPr>
            <w:tcW w:w="1156" w:type="dxa"/>
          </w:tcPr>
          <w:p w14:paraId="51A5BB9D" w14:textId="77777777" w:rsidR="00616FF3" w:rsidRPr="007F1682" w:rsidRDefault="00616FF3" w:rsidP="00616FF3">
            <w:pPr>
              <w:rPr>
                <w:rFonts w:eastAsia="Times New Roman" w:cs="Arial"/>
                <w:color w:val="000000"/>
                <w:lang w:eastAsia="bg-BG"/>
              </w:rPr>
            </w:pPr>
          </w:p>
        </w:tc>
      </w:tr>
      <w:tr w:rsidR="00616FF3" w:rsidRPr="007F1682" w14:paraId="5C1CEAE5" w14:textId="77777777" w:rsidTr="004059F7">
        <w:tc>
          <w:tcPr>
            <w:tcW w:w="9128" w:type="dxa"/>
            <w:gridSpan w:val="5"/>
          </w:tcPr>
          <w:p w14:paraId="7C1A7E26" w14:textId="77777777" w:rsidR="00616FF3" w:rsidRPr="007F1682" w:rsidRDefault="00616FF3" w:rsidP="00616FF3">
            <w:pPr>
              <w:spacing w:line="240" w:lineRule="auto"/>
              <w:rPr>
                <w:rFonts w:eastAsia="Times New Roman" w:cs="Arial"/>
                <w:lang w:eastAsia="bg-BG"/>
              </w:rPr>
            </w:pPr>
            <w:r w:rsidRPr="007F1682">
              <w:rPr>
                <w:rFonts w:eastAsia="Times New Roman" w:cs="Arial"/>
                <w:i/>
                <w:iCs/>
                <w:color w:val="000000"/>
                <w:lang w:eastAsia="bg-BG"/>
              </w:rPr>
              <w:t>Нарушения на мускулно-скелетната система и съединителната тъкан</w:t>
            </w:r>
          </w:p>
          <w:p w14:paraId="4D79FE48" w14:textId="77777777" w:rsidR="00616FF3" w:rsidRPr="007F1682" w:rsidRDefault="00616FF3" w:rsidP="008C41D5">
            <w:pPr>
              <w:rPr>
                <w:rFonts w:eastAsia="Times New Roman" w:cs="Arial"/>
                <w:color w:val="000000"/>
                <w:lang w:eastAsia="bg-BG"/>
              </w:rPr>
            </w:pPr>
          </w:p>
        </w:tc>
      </w:tr>
      <w:tr w:rsidR="00616FF3" w:rsidRPr="007F1682" w14:paraId="33391427" w14:textId="77777777" w:rsidTr="004059F7">
        <w:tc>
          <w:tcPr>
            <w:tcW w:w="1826" w:type="dxa"/>
          </w:tcPr>
          <w:p w14:paraId="5C6C2BC1" w14:textId="77777777" w:rsidR="00616FF3" w:rsidRPr="007F1682" w:rsidRDefault="00616FF3" w:rsidP="00616FF3">
            <w:pPr>
              <w:rPr>
                <w:rFonts w:eastAsia="Times New Roman" w:cs="Arial"/>
                <w:color w:val="000000"/>
                <w:lang w:eastAsia="bg-BG"/>
              </w:rPr>
            </w:pPr>
          </w:p>
        </w:tc>
        <w:tc>
          <w:tcPr>
            <w:tcW w:w="1636" w:type="dxa"/>
          </w:tcPr>
          <w:p w14:paraId="1B20BE4C" w14:textId="77777777" w:rsidR="00616FF3" w:rsidRPr="007F1682" w:rsidRDefault="00616FF3" w:rsidP="00616FF3">
            <w:pPr>
              <w:rPr>
                <w:rFonts w:cs="Arial"/>
              </w:rPr>
            </w:pPr>
            <w:r w:rsidRPr="007F1682">
              <w:rPr>
                <w:rFonts w:cs="Arial"/>
              </w:rPr>
              <w:t>Мускулно-скелетна болка</w:t>
            </w:r>
          </w:p>
          <w:p w14:paraId="3CD77FC7" w14:textId="523126AD" w:rsidR="00616FF3" w:rsidRPr="007F1682" w:rsidRDefault="00616FF3" w:rsidP="00616FF3">
            <w:pPr>
              <w:rPr>
                <w:rFonts w:eastAsia="Times New Roman" w:cs="Arial"/>
                <w:color w:val="000000"/>
                <w:lang w:eastAsia="bg-BG"/>
              </w:rPr>
            </w:pPr>
            <w:r w:rsidRPr="007F1682">
              <w:rPr>
                <w:rFonts w:cs="Arial"/>
              </w:rPr>
              <w:t>Мускулен спазъм</w:t>
            </w:r>
          </w:p>
        </w:tc>
        <w:tc>
          <w:tcPr>
            <w:tcW w:w="2428" w:type="dxa"/>
          </w:tcPr>
          <w:p w14:paraId="42A5961C" w14:textId="77777777" w:rsidR="00616FF3" w:rsidRPr="007F1682" w:rsidRDefault="00616FF3" w:rsidP="00616FF3">
            <w:pPr>
              <w:rPr>
                <w:rFonts w:cs="Arial"/>
              </w:rPr>
            </w:pPr>
            <w:r w:rsidRPr="007F1682">
              <w:rPr>
                <w:rFonts w:cs="Arial"/>
              </w:rPr>
              <w:t>Мускулно напрежение Потрепване</w:t>
            </w:r>
            <w:r w:rsidRPr="007F1682">
              <w:rPr>
                <w:rFonts w:cs="Arial"/>
              </w:rPr>
              <w:tab/>
              <w:t>на</w:t>
            </w:r>
          </w:p>
          <w:p w14:paraId="324DC804" w14:textId="657C9326" w:rsidR="00616FF3" w:rsidRPr="007F1682" w:rsidRDefault="00616FF3" w:rsidP="00616FF3">
            <w:pPr>
              <w:rPr>
                <w:rFonts w:eastAsia="Times New Roman" w:cs="Arial"/>
                <w:color w:val="000000"/>
                <w:lang w:eastAsia="bg-BG"/>
              </w:rPr>
            </w:pPr>
            <w:r w:rsidRPr="007F1682">
              <w:rPr>
                <w:rFonts w:cs="Arial"/>
              </w:rPr>
              <w:t>мускули</w:t>
            </w:r>
          </w:p>
        </w:tc>
        <w:tc>
          <w:tcPr>
            <w:tcW w:w="2082" w:type="dxa"/>
          </w:tcPr>
          <w:p w14:paraId="6CFF094F" w14:textId="772616FB" w:rsidR="00616FF3" w:rsidRPr="007F1682" w:rsidRDefault="00616FF3" w:rsidP="00616FF3">
            <w:pPr>
              <w:rPr>
                <w:rFonts w:eastAsia="Times New Roman" w:cs="Arial"/>
                <w:color w:val="000000"/>
                <w:lang w:eastAsia="bg-BG"/>
              </w:rPr>
            </w:pPr>
            <w:r w:rsidRPr="007F1682">
              <w:rPr>
                <w:rFonts w:cs="Arial"/>
              </w:rPr>
              <w:t>Тризмус</w:t>
            </w:r>
          </w:p>
        </w:tc>
        <w:tc>
          <w:tcPr>
            <w:tcW w:w="1156" w:type="dxa"/>
          </w:tcPr>
          <w:p w14:paraId="0F14FCF6" w14:textId="77777777" w:rsidR="00616FF3" w:rsidRPr="007F1682" w:rsidRDefault="00616FF3" w:rsidP="00616FF3">
            <w:pPr>
              <w:rPr>
                <w:rFonts w:eastAsia="Times New Roman" w:cs="Arial"/>
                <w:color w:val="000000"/>
                <w:lang w:eastAsia="bg-BG"/>
              </w:rPr>
            </w:pPr>
          </w:p>
        </w:tc>
      </w:tr>
      <w:tr w:rsidR="00616FF3" w:rsidRPr="007F1682" w14:paraId="1B3738DC" w14:textId="77777777" w:rsidTr="004059F7">
        <w:tc>
          <w:tcPr>
            <w:tcW w:w="9128" w:type="dxa"/>
            <w:gridSpan w:val="5"/>
          </w:tcPr>
          <w:p w14:paraId="4083CC08" w14:textId="7D757E0F" w:rsidR="00616FF3" w:rsidRPr="007F1682" w:rsidRDefault="00616FF3" w:rsidP="00616FF3">
            <w:pPr>
              <w:rPr>
                <w:rFonts w:eastAsia="Times New Roman" w:cs="Arial"/>
                <w:color w:val="000000"/>
                <w:lang w:eastAsia="bg-BG"/>
              </w:rPr>
            </w:pPr>
            <w:r w:rsidRPr="007F1682">
              <w:rPr>
                <w:rFonts w:cs="Arial"/>
                <w:i/>
                <w:iCs/>
                <w:szCs w:val="19"/>
              </w:rPr>
              <w:t>Нарушения на бъбреците и пикочните пътища</w:t>
            </w:r>
          </w:p>
        </w:tc>
      </w:tr>
      <w:tr w:rsidR="00616FF3" w:rsidRPr="007F1682" w14:paraId="1B3DFFE2" w14:textId="77777777" w:rsidTr="004059F7">
        <w:tc>
          <w:tcPr>
            <w:tcW w:w="1826" w:type="dxa"/>
          </w:tcPr>
          <w:p w14:paraId="67EEB73B" w14:textId="77777777" w:rsidR="00616FF3" w:rsidRPr="007F1682" w:rsidRDefault="00616FF3" w:rsidP="00616FF3">
            <w:pPr>
              <w:rPr>
                <w:rFonts w:eastAsia="Times New Roman" w:cs="Arial"/>
                <w:color w:val="000000"/>
                <w:lang w:eastAsia="bg-BG"/>
              </w:rPr>
            </w:pPr>
          </w:p>
        </w:tc>
        <w:tc>
          <w:tcPr>
            <w:tcW w:w="1636" w:type="dxa"/>
          </w:tcPr>
          <w:p w14:paraId="4BF83497" w14:textId="054100DF" w:rsidR="00616FF3" w:rsidRPr="007F1682" w:rsidRDefault="00616FF3" w:rsidP="00616FF3">
            <w:pPr>
              <w:rPr>
                <w:rFonts w:cs="Arial"/>
              </w:rPr>
            </w:pPr>
            <w:r w:rsidRPr="007F1682">
              <w:rPr>
                <w:rFonts w:cs="Arial"/>
                <w:szCs w:val="19"/>
              </w:rPr>
              <w:t>Дизурия Често уриниране</w:t>
            </w:r>
          </w:p>
        </w:tc>
        <w:tc>
          <w:tcPr>
            <w:tcW w:w="2428" w:type="dxa"/>
          </w:tcPr>
          <w:p w14:paraId="4EFF8A25" w14:textId="77777777" w:rsidR="00151E2C" w:rsidRDefault="00616FF3" w:rsidP="00616FF3">
            <w:pPr>
              <w:rPr>
                <w:rFonts w:cs="Arial"/>
                <w:szCs w:val="19"/>
              </w:rPr>
            </w:pPr>
            <w:r w:rsidRPr="007F1682">
              <w:rPr>
                <w:rFonts w:cs="Arial"/>
                <w:szCs w:val="19"/>
              </w:rPr>
              <w:t xml:space="preserve">Задържане на урина Затруднено уриниране </w:t>
            </w:r>
          </w:p>
          <w:p w14:paraId="52047E6C" w14:textId="77777777" w:rsidR="00151E2C" w:rsidRDefault="00616FF3" w:rsidP="00616FF3">
            <w:pPr>
              <w:rPr>
                <w:rFonts w:cs="Arial"/>
                <w:szCs w:val="19"/>
              </w:rPr>
            </w:pPr>
            <w:r w:rsidRPr="007F1682">
              <w:rPr>
                <w:rFonts w:cs="Arial"/>
                <w:szCs w:val="19"/>
              </w:rPr>
              <w:t>Никтурия</w:t>
            </w:r>
          </w:p>
          <w:p w14:paraId="74DA6776" w14:textId="77777777" w:rsidR="00151E2C" w:rsidRDefault="00616FF3" w:rsidP="00616FF3">
            <w:pPr>
              <w:rPr>
                <w:rFonts w:cs="Arial"/>
                <w:szCs w:val="19"/>
              </w:rPr>
            </w:pPr>
            <w:r w:rsidRPr="007F1682">
              <w:rPr>
                <w:rFonts w:cs="Arial"/>
                <w:szCs w:val="19"/>
              </w:rPr>
              <w:t xml:space="preserve">Полиурия </w:t>
            </w:r>
          </w:p>
          <w:p w14:paraId="0C065CC0" w14:textId="7C877D2F" w:rsidR="00616FF3" w:rsidRPr="007F1682" w:rsidRDefault="00616FF3" w:rsidP="00616FF3">
            <w:pPr>
              <w:rPr>
                <w:rFonts w:cs="Arial"/>
              </w:rPr>
            </w:pPr>
            <w:r w:rsidRPr="007F1682">
              <w:rPr>
                <w:rFonts w:cs="Arial"/>
                <w:szCs w:val="19"/>
              </w:rPr>
              <w:t>Намалена диуреза</w:t>
            </w:r>
          </w:p>
        </w:tc>
        <w:tc>
          <w:tcPr>
            <w:tcW w:w="2082" w:type="dxa"/>
          </w:tcPr>
          <w:p w14:paraId="6B20E7B2" w14:textId="6E46CB22" w:rsidR="00616FF3" w:rsidRPr="007F1682" w:rsidRDefault="00616FF3" w:rsidP="00616FF3">
            <w:pPr>
              <w:rPr>
                <w:rFonts w:cs="Arial"/>
              </w:rPr>
            </w:pPr>
            <w:r w:rsidRPr="007F1682">
              <w:rPr>
                <w:rFonts w:cs="Arial"/>
                <w:szCs w:val="19"/>
              </w:rPr>
              <w:t>Променен мирис на урината</w:t>
            </w:r>
          </w:p>
        </w:tc>
        <w:tc>
          <w:tcPr>
            <w:tcW w:w="1156" w:type="dxa"/>
          </w:tcPr>
          <w:p w14:paraId="68658F79" w14:textId="77777777" w:rsidR="00616FF3" w:rsidRPr="007F1682" w:rsidRDefault="00616FF3" w:rsidP="00616FF3">
            <w:pPr>
              <w:rPr>
                <w:rFonts w:eastAsia="Times New Roman" w:cs="Arial"/>
                <w:color w:val="000000"/>
                <w:lang w:eastAsia="bg-BG"/>
              </w:rPr>
            </w:pPr>
          </w:p>
        </w:tc>
      </w:tr>
      <w:tr w:rsidR="00616FF3" w:rsidRPr="007F1682" w14:paraId="30682740" w14:textId="77777777" w:rsidTr="004059F7">
        <w:tc>
          <w:tcPr>
            <w:tcW w:w="9128" w:type="dxa"/>
            <w:gridSpan w:val="5"/>
          </w:tcPr>
          <w:p w14:paraId="746E23C2" w14:textId="77777777" w:rsidR="00616FF3" w:rsidRPr="007F1682" w:rsidRDefault="00616FF3" w:rsidP="00616FF3">
            <w:pPr>
              <w:spacing w:line="240" w:lineRule="auto"/>
              <w:rPr>
                <w:rFonts w:ascii="Times New Roman" w:eastAsia="Times New Roman" w:hAnsi="Times New Roman" w:cs="Times New Roman"/>
                <w:szCs w:val="24"/>
                <w:lang w:eastAsia="bg-BG"/>
              </w:rPr>
            </w:pPr>
            <w:r w:rsidRPr="007F1682">
              <w:rPr>
                <w:rFonts w:eastAsia="Times New Roman" w:cs="Arial"/>
                <w:i/>
                <w:iCs/>
                <w:color w:val="000000"/>
                <w:szCs w:val="19"/>
                <w:lang w:eastAsia="bg-BG"/>
              </w:rPr>
              <w:t>Нарушения на възпроизводителната система и гърдата</w:t>
            </w:r>
          </w:p>
          <w:p w14:paraId="599125E8" w14:textId="77777777" w:rsidR="00616FF3" w:rsidRPr="007F1682" w:rsidRDefault="00616FF3" w:rsidP="00616FF3">
            <w:pPr>
              <w:rPr>
                <w:rFonts w:eastAsia="Times New Roman" w:cs="Arial"/>
                <w:color w:val="000000"/>
                <w:lang w:eastAsia="bg-BG"/>
              </w:rPr>
            </w:pPr>
          </w:p>
        </w:tc>
      </w:tr>
      <w:tr w:rsidR="00616FF3" w:rsidRPr="007F1682" w14:paraId="62F127FD" w14:textId="77777777" w:rsidTr="004059F7">
        <w:tc>
          <w:tcPr>
            <w:tcW w:w="1826" w:type="dxa"/>
          </w:tcPr>
          <w:p w14:paraId="517A6402" w14:textId="77777777" w:rsidR="00616FF3" w:rsidRPr="007F1682" w:rsidRDefault="00616FF3" w:rsidP="00616FF3">
            <w:pPr>
              <w:rPr>
                <w:rFonts w:eastAsia="Times New Roman" w:cs="Arial"/>
                <w:color w:val="000000"/>
                <w:lang w:eastAsia="bg-BG"/>
              </w:rPr>
            </w:pPr>
          </w:p>
        </w:tc>
        <w:tc>
          <w:tcPr>
            <w:tcW w:w="1636" w:type="dxa"/>
          </w:tcPr>
          <w:p w14:paraId="5F5B7D30" w14:textId="0654FC81" w:rsidR="00616FF3" w:rsidRPr="007F1682" w:rsidRDefault="00616FF3" w:rsidP="00616FF3">
            <w:pPr>
              <w:rPr>
                <w:rFonts w:cs="Arial"/>
              </w:rPr>
            </w:pPr>
            <w:r w:rsidRPr="007F1682">
              <w:rPr>
                <w:rFonts w:cs="Arial"/>
                <w:szCs w:val="19"/>
              </w:rPr>
              <w:t xml:space="preserve">Еректилна дисфункция Нарушение на </w:t>
            </w:r>
            <w:r w:rsidRPr="007F1682">
              <w:rPr>
                <w:rFonts w:cs="Arial"/>
                <w:szCs w:val="19"/>
              </w:rPr>
              <w:lastRenderedPageBreak/>
              <w:t>еякулацията Забавена еякулация</w:t>
            </w:r>
          </w:p>
        </w:tc>
        <w:tc>
          <w:tcPr>
            <w:tcW w:w="2428" w:type="dxa"/>
          </w:tcPr>
          <w:p w14:paraId="51AA85E1" w14:textId="77777777" w:rsidR="007A3065" w:rsidRDefault="00616FF3" w:rsidP="00616FF3">
            <w:pPr>
              <w:rPr>
                <w:rFonts w:cs="Arial"/>
                <w:szCs w:val="19"/>
              </w:rPr>
            </w:pPr>
            <w:r w:rsidRPr="007F1682">
              <w:rPr>
                <w:rFonts w:cs="Arial"/>
                <w:szCs w:val="19"/>
              </w:rPr>
              <w:lastRenderedPageBreak/>
              <w:t xml:space="preserve">Гинекологично кървене Менструални нарушения </w:t>
            </w:r>
            <w:r w:rsidRPr="007F1682">
              <w:rPr>
                <w:rFonts w:cs="Arial"/>
                <w:szCs w:val="19"/>
              </w:rPr>
              <w:lastRenderedPageBreak/>
              <w:t xml:space="preserve">Сексуална дисфункция </w:t>
            </w:r>
          </w:p>
          <w:p w14:paraId="53DE79D2" w14:textId="5266ED4D" w:rsidR="00616FF3" w:rsidRPr="007F1682" w:rsidRDefault="00616FF3" w:rsidP="00616FF3">
            <w:pPr>
              <w:rPr>
                <w:rFonts w:cs="Arial"/>
              </w:rPr>
            </w:pPr>
            <w:r w:rsidRPr="007F1682">
              <w:rPr>
                <w:rFonts w:cs="Arial"/>
                <w:szCs w:val="19"/>
              </w:rPr>
              <w:t>Болка в тестисите</w:t>
            </w:r>
          </w:p>
        </w:tc>
        <w:tc>
          <w:tcPr>
            <w:tcW w:w="2082" w:type="dxa"/>
          </w:tcPr>
          <w:p w14:paraId="18F44FE6" w14:textId="722E39B7" w:rsidR="00616FF3" w:rsidRPr="007F1682" w:rsidRDefault="00616FF3" w:rsidP="00616FF3">
            <w:pPr>
              <w:rPr>
                <w:rFonts w:cs="Arial"/>
              </w:rPr>
            </w:pPr>
            <w:r w:rsidRPr="007F1682">
              <w:rPr>
                <w:rFonts w:cs="Arial"/>
                <w:szCs w:val="19"/>
              </w:rPr>
              <w:lastRenderedPageBreak/>
              <w:t xml:space="preserve">Менопаузални симптоми Галакторея </w:t>
            </w:r>
            <w:r w:rsidRPr="007F1682">
              <w:rPr>
                <w:rFonts w:cs="Arial"/>
                <w:szCs w:val="19"/>
              </w:rPr>
              <w:lastRenderedPageBreak/>
              <w:t>Хиперпролакти- немия</w:t>
            </w:r>
          </w:p>
        </w:tc>
        <w:tc>
          <w:tcPr>
            <w:tcW w:w="1156" w:type="dxa"/>
          </w:tcPr>
          <w:p w14:paraId="6FA9DF87" w14:textId="77777777" w:rsidR="00616FF3" w:rsidRPr="007F1682" w:rsidRDefault="00616FF3" w:rsidP="00616FF3">
            <w:pPr>
              <w:rPr>
                <w:rFonts w:eastAsia="Times New Roman" w:cs="Arial"/>
                <w:color w:val="000000"/>
                <w:lang w:eastAsia="bg-BG"/>
              </w:rPr>
            </w:pPr>
          </w:p>
        </w:tc>
      </w:tr>
      <w:tr w:rsidR="00616FF3" w:rsidRPr="007F1682" w14:paraId="22342531" w14:textId="77777777" w:rsidTr="004059F7">
        <w:tc>
          <w:tcPr>
            <w:tcW w:w="9128" w:type="dxa"/>
            <w:gridSpan w:val="5"/>
          </w:tcPr>
          <w:p w14:paraId="41D1A1AC" w14:textId="75535989" w:rsidR="00616FF3" w:rsidRPr="007F1682" w:rsidRDefault="00616FF3" w:rsidP="00616FF3">
            <w:pPr>
              <w:rPr>
                <w:rFonts w:eastAsia="Times New Roman" w:cs="Arial"/>
                <w:color w:val="000000"/>
                <w:lang w:eastAsia="bg-BG"/>
              </w:rPr>
            </w:pPr>
            <w:r w:rsidRPr="007F1682">
              <w:rPr>
                <w:rFonts w:cs="Arial"/>
                <w:i/>
                <w:iCs/>
                <w:szCs w:val="19"/>
              </w:rPr>
              <w:t>Общи нарушения и ефекти на мястото пи приложение</w:t>
            </w:r>
          </w:p>
        </w:tc>
      </w:tr>
      <w:tr w:rsidR="00616FF3" w:rsidRPr="007F1682" w14:paraId="00D3FC94" w14:textId="77777777" w:rsidTr="004059F7">
        <w:tc>
          <w:tcPr>
            <w:tcW w:w="1826" w:type="dxa"/>
          </w:tcPr>
          <w:p w14:paraId="365F2592" w14:textId="77777777" w:rsidR="00616FF3" w:rsidRPr="007F1682" w:rsidRDefault="00616FF3" w:rsidP="00616FF3">
            <w:pPr>
              <w:rPr>
                <w:rFonts w:eastAsia="Times New Roman" w:cs="Arial"/>
                <w:color w:val="000000"/>
                <w:lang w:eastAsia="bg-BG"/>
              </w:rPr>
            </w:pPr>
          </w:p>
        </w:tc>
        <w:tc>
          <w:tcPr>
            <w:tcW w:w="1636" w:type="dxa"/>
          </w:tcPr>
          <w:p w14:paraId="4864DE91" w14:textId="77777777" w:rsidR="00616FF3" w:rsidRPr="007F1682" w:rsidRDefault="00616FF3" w:rsidP="00616FF3">
            <w:r w:rsidRPr="007F1682">
              <w:rPr>
                <w:rFonts w:cs="Arial"/>
                <w:szCs w:val="19"/>
              </w:rPr>
              <w:t>Припадъци</w:t>
            </w:r>
            <w:r w:rsidRPr="007F1682">
              <w:rPr>
                <w:rFonts w:cs="Arial"/>
                <w:szCs w:val="19"/>
                <w:vertAlign w:val="superscript"/>
              </w:rPr>
              <w:t>8</w:t>
            </w:r>
          </w:p>
          <w:p w14:paraId="7B311F23" w14:textId="60BB4048" w:rsidR="00616FF3" w:rsidRPr="007F1682" w:rsidRDefault="00616FF3" w:rsidP="00616FF3">
            <w:pPr>
              <w:rPr>
                <w:rFonts w:cs="Arial"/>
              </w:rPr>
            </w:pPr>
            <w:r w:rsidRPr="007F1682">
              <w:rPr>
                <w:rFonts w:cs="Arial"/>
                <w:szCs w:val="19"/>
              </w:rPr>
              <w:t>Умора</w:t>
            </w:r>
          </w:p>
        </w:tc>
        <w:tc>
          <w:tcPr>
            <w:tcW w:w="2428" w:type="dxa"/>
          </w:tcPr>
          <w:p w14:paraId="0A9E01AC" w14:textId="77777777" w:rsidR="00616FF3" w:rsidRPr="007F1682" w:rsidRDefault="00616FF3" w:rsidP="00616FF3">
            <w:r w:rsidRPr="007F1682">
              <w:rPr>
                <w:rFonts w:cs="Arial"/>
                <w:szCs w:val="19"/>
              </w:rPr>
              <w:t>Болка в гърдите</w:t>
            </w:r>
            <w:r w:rsidRPr="007F1682">
              <w:rPr>
                <w:rFonts w:cs="Arial"/>
                <w:szCs w:val="19"/>
                <w:vertAlign w:val="superscript"/>
              </w:rPr>
              <w:t xml:space="preserve">7 </w:t>
            </w:r>
            <w:r w:rsidRPr="007F1682">
              <w:rPr>
                <w:rFonts w:cs="Arial"/>
                <w:szCs w:val="19"/>
              </w:rPr>
              <w:t>Абнормни усещания Чувство за студ Жажда</w:t>
            </w:r>
          </w:p>
          <w:p w14:paraId="6AB2CC18" w14:textId="77777777" w:rsidR="00616FF3" w:rsidRPr="007F1682" w:rsidRDefault="00616FF3" w:rsidP="00616FF3">
            <w:r w:rsidRPr="007F1682">
              <w:rPr>
                <w:rFonts w:cs="Arial"/>
                <w:szCs w:val="19"/>
              </w:rPr>
              <w:t>Втрисане Неразположение</w:t>
            </w:r>
          </w:p>
          <w:p w14:paraId="268489DD" w14:textId="684C9FCA" w:rsidR="00616FF3" w:rsidRPr="007F1682" w:rsidRDefault="00616FF3" w:rsidP="00616FF3">
            <w:pPr>
              <w:rPr>
                <w:rFonts w:cs="Arial"/>
              </w:rPr>
            </w:pPr>
            <w:r w:rsidRPr="007F1682">
              <w:rPr>
                <w:rFonts w:cs="Arial"/>
                <w:szCs w:val="19"/>
              </w:rPr>
              <w:t>Чувство за топлина Нарушения в походката</w:t>
            </w:r>
          </w:p>
        </w:tc>
        <w:tc>
          <w:tcPr>
            <w:tcW w:w="2082" w:type="dxa"/>
          </w:tcPr>
          <w:p w14:paraId="45A99869" w14:textId="77777777" w:rsidR="00616FF3" w:rsidRPr="007F1682" w:rsidRDefault="00616FF3" w:rsidP="00616FF3">
            <w:pPr>
              <w:rPr>
                <w:rFonts w:cs="Arial"/>
              </w:rPr>
            </w:pPr>
          </w:p>
        </w:tc>
        <w:tc>
          <w:tcPr>
            <w:tcW w:w="1156" w:type="dxa"/>
          </w:tcPr>
          <w:p w14:paraId="1648C5AB" w14:textId="77777777" w:rsidR="00616FF3" w:rsidRPr="007F1682" w:rsidRDefault="00616FF3" w:rsidP="00616FF3">
            <w:pPr>
              <w:rPr>
                <w:rFonts w:eastAsia="Times New Roman" w:cs="Arial"/>
                <w:color w:val="000000"/>
                <w:lang w:eastAsia="bg-BG"/>
              </w:rPr>
            </w:pPr>
          </w:p>
        </w:tc>
      </w:tr>
      <w:tr w:rsidR="00616FF3" w:rsidRPr="007F1682" w14:paraId="29F1F543" w14:textId="77777777" w:rsidTr="004059F7">
        <w:tc>
          <w:tcPr>
            <w:tcW w:w="9128" w:type="dxa"/>
            <w:gridSpan w:val="5"/>
          </w:tcPr>
          <w:p w14:paraId="25522FC6" w14:textId="77777777" w:rsidR="00616FF3" w:rsidRPr="007F1682" w:rsidRDefault="00616FF3" w:rsidP="00616FF3">
            <w:pPr>
              <w:spacing w:line="240" w:lineRule="auto"/>
              <w:rPr>
                <w:rFonts w:ascii="Times New Roman" w:eastAsia="Times New Roman" w:hAnsi="Times New Roman" w:cs="Times New Roman"/>
                <w:szCs w:val="24"/>
                <w:lang w:eastAsia="bg-BG"/>
              </w:rPr>
            </w:pPr>
            <w:r w:rsidRPr="007F1682">
              <w:rPr>
                <w:rFonts w:eastAsia="Times New Roman" w:cs="Arial"/>
                <w:i/>
                <w:iCs/>
                <w:color w:val="000000"/>
                <w:szCs w:val="19"/>
                <w:lang w:eastAsia="bg-BG"/>
              </w:rPr>
              <w:t>Изследвания</w:t>
            </w:r>
          </w:p>
          <w:p w14:paraId="3A354DAF" w14:textId="77777777" w:rsidR="00616FF3" w:rsidRPr="007F1682" w:rsidRDefault="00616FF3" w:rsidP="00616FF3">
            <w:pPr>
              <w:rPr>
                <w:rFonts w:eastAsia="Times New Roman" w:cs="Arial"/>
                <w:color w:val="000000"/>
                <w:lang w:eastAsia="bg-BG"/>
              </w:rPr>
            </w:pPr>
          </w:p>
        </w:tc>
      </w:tr>
      <w:tr w:rsidR="00616FF3" w:rsidRPr="007F1682" w14:paraId="58B5A2BD" w14:textId="77777777" w:rsidTr="004059F7">
        <w:tc>
          <w:tcPr>
            <w:tcW w:w="1826" w:type="dxa"/>
          </w:tcPr>
          <w:p w14:paraId="49982EB0" w14:textId="77777777" w:rsidR="00616FF3" w:rsidRPr="007F1682" w:rsidRDefault="00616FF3" w:rsidP="00616FF3">
            <w:pPr>
              <w:rPr>
                <w:rFonts w:eastAsia="Times New Roman" w:cs="Arial"/>
                <w:color w:val="000000"/>
                <w:lang w:eastAsia="bg-BG"/>
              </w:rPr>
            </w:pPr>
          </w:p>
        </w:tc>
        <w:tc>
          <w:tcPr>
            <w:tcW w:w="1636" w:type="dxa"/>
          </w:tcPr>
          <w:p w14:paraId="6E43E283" w14:textId="01BAF770" w:rsidR="00616FF3" w:rsidRPr="007F1682" w:rsidRDefault="00616FF3" w:rsidP="00616FF3">
            <w:pPr>
              <w:rPr>
                <w:rFonts w:cs="Arial"/>
              </w:rPr>
            </w:pPr>
            <w:r w:rsidRPr="007F1682">
              <w:rPr>
                <w:rFonts w:cs="Arial"/>
                <w:szCs w:val="19"/>
              </w:rPr>
              <w:t>Понижение на теглото</w:t>
            </w:r>
          </w:p>
        </w:tc>
        <w:tc>
          <w:tcPr>
            <w:tcW w:w="2428" w:type="dxa"/>
          </w:tcPr>
          <w:p w14:paraId="7CAAB274" w14:textId="77777777" w:rsidR="00C24CE1" w:rsidRDefault="00616FF3" w:rsidP="00616FF3">
            <w:pPr>
              <w:rPr>
                <w:rFonts w:cs="Arial"/>
                <w:szCs w:val="19"/>
              </w:rPr>
            </w:pPr>
            <w:r w:rsidRPr="007F1682">
              <w:rPr>
                <w:rFonts w:cs="Arial"/>
                <w:szCs w:val="19"/>
              </w:rPr>
              <w:t>Покачване на теглото</w:t>
            </w:r>
          </w:p>
          <w:p w14:paraId="7CB33C8E" w14:textId="3B8D0D9E" w:rsidR="00616FF3" w:rsidRPr="007F1682" w:rsidRDefault="00616FF3" w:rsidP="00616FF3">
            <w:r w:rsidRPr="007F1682">
              <w:rPr>
                <w:rFonts w:cs="Arial"/>
                <w:szCs w:val="19"/>
              </w:rPr>
              <w:t>Повишение на креатинфосфокиназа в кръвта</w:t>
            </w:r>
          </w:p>
          <w:p w14:paraId="3D55ADDB" w14:textId="03270EA0" w:rsidR="00616FF3" w:rsidRPr="007F1682" w:rsidRDefault="00616FF3" w:rsidP="00616FF3">
            <w:pPr>
              <w:rPr>
                <w:rFonts w:cs="Arial"/>
              </w:rPr>
            </w:pPr>
            <w:r w:rsidRPr="007F1682">
              <w:rPr>
                <w:rFonts w:cs="Arial"/>
                <w:szCs w:val="19"/>
              </w:rPr>
              <w:t>Повишение на калия в кръвта</w:t>
            </w:r>
          </w:p>
        </w:tc>
        <w:tc>
          <w:tcPr>
            <w:tcW w:w="2082" w:type="dxa"/>
          </w:tcPr>
          <w:p w14:paraId="1AFB848D" w14:textId="0C68BE0F" w:rsidR="00616FF3" w:rsidRPr="007F1682" w:rsidRDefault="00616FF3" w:rsidP="00616FF3">
            <w:pPr>
              <w:rPr>
                <w:rFonts w:cs="Arial"/>
              </w:rPr>
            </w:pPr>
            <w:r w:rsidRPr="007F1682">
              <w:rPr>
                <w:rFonts w:cs="Arial"/>
                <w:szCs w:val="19"/>
              </w:rPr>
              <w:t>Увеличаване на холестерола в кръвта</w:t>
            </w:r>
          </w:p>
        </w:tc>
        <w:tc>
          <w:tcPr>
            <w:tcW w:w="1156" w:type="dxa"/>
          </w:tcPr>
          <w:p w14:paraId="3E18CE78" w14:textId="77777777" w:rsidR="00616FF3" w:rsidRPr="007F1682" w:rsidRDefault="00616FF3" w:rsidP="00616FF3">
            <w:pPr>
              <w:rPr>
                <w:rFonts w:eastAsia="Times New Roman" w:cs="Arial"/>
                <w:color w:val="000000"/>
                <w:lang w:eastAsia="bg-BG"/>
              </w:rPr>
            </w:pPr>
          </w:p>
        </w:tc>
      </w:tr>
    </w:tbl>
    <w:p w14:paraId="4E58822E" w14:textId="6CBD02D5" w:rsidR="00616FF3" w:rsidRPr="007F1682" w:rsidRDefault="00616FF3" w:rsidP="00616FF3">
      <w:pPr>
        <w:spacing w:line="240" w:lineRule="auto"/>
        <w:rPr>
          <w:rFonts w:ascii="Times New Roman" w:eastAsia="Times New Roman" w:hAnsi="Times New Roman" w:cs="Times New Roman"/>
          <w:sz w:val="36"/>
          <w:szCs w:val="24"/>
          <w:lang w:eastAsia="bg-BG"/>
        </w:rPr>
      </w:pPr>
      <w:r w:rsidRPr="007F1682">
        <w:rPr>
          <w:rFonts w:eastAsia="Times New Roman" w:cs="Arial"/>
          <w:color w:val="000000"/>
          <w:sz w:val="20"/>
          <w:szCs w:val="15"/>
          <w:vertAlign w:val="superscript"/>
          <w:lang w:eastAsia="bg-BG"/>
        </w:rPr>
        <w:t>1</w:t>
      </w:r>
      <w:r w:rsidRPr="007F1682">
        <w:rPr>
          <w:rFonts w:eastAsia="Times New Roman" w:cs="Arial"/>
          <w:color w:val="000000"/>
          <w:sz w:val="20"/>
          <w:szCs w:val="15"/>
          <w:lang w:eastAsia="bg-BG"/>
        </w:rPr>
        <w:t>Случаи на конвулсии и случаи на шум в ушите са съобщавани също след прекъсване на</w:t>
      </w:r>
    </w:p>
    <w:p w14:paraId="3486FD59" w14:textId="77777777" w:rsidR="00616FF3" w:rsidRPr="007F1682" w:rsidRDefault="00616FF3" w:rsidP="00616FF3">
      <w:pPr>
        <w:spacing w:line="240" w:lineRule="auto"/>
        <w:rPr>
          <w:rFonts w:ascii="Times New Roman" w:eastAsia="Times New Roman" w:hAnsi="Times New Roman" w:cs="Times New Roman"/>
          <w:sz w:val="36"/>
          <w:szCs w:val="24"/>
          <w:lang w:eastAsia="bg-BG"/>
        </w:rPr>
      </w:pPr>
      <w:r w:rsidRPr="007F1682">
        <w:rPr>
          <w:rFonts w:eastAsia="Times New Roman" w:cs="Arial"/>
          <w:color w:val="000000"/>
          <w:sz w:val="20"/>
          <w:szCs w:val="15"/>
          <w:lang w:eastAsia="bg-BG"/>
        </w:rPr>
        <w:t>лечението.</w:t>
      </w:r>
    </w:p>
    <w:p w14:paraId="39B2029E" w14:textId="0E063927" w:rsidR="00616FF3" w:rsidRPr="007F1682" w:rsidRDefault="00616FF3" w:rsidP="00616FF3">
      <w:pPr>
        <w:spacing w:line="240" w:lineRule="auto"/>
        <w:rPr>
          <w:rFonts w:ascii="Times New Roman" w:eastAsia="Times New Roman" w:hAnsi="Times New Roman" w:cs="Times New Roman"/>
          <w:sz w:val="36"/>
          <w:szCs w:val="24"/>
          <w:lang w:eastAsia="bg-BG"/>
        </w:rPr>
      </w:pPr>
      <w:r w:rsidRPr="007F1682">
        <w:rPr>
          <w:rFonts w:eastAsia="Times New Roman" w:cs="Arial"/>
          <w:color w:val="000000"/>
          <w:sz w:val="20"/>
          <w:szCs w:val="15"/>
          <w:vertAlign w:val="superscript"/>
          <w:lang w:eastAsia="bg-BG"/>
        </w:rPr>
        <w:t>2</w:t>
      </w:r>
      <w:r w:rsidRPr="007F1682">
        <w:rPr>
          <w:rFonts w:eastAsia="Times New Roman" w:cs="Arial"/>
          <w:color w:val="000000"/>
          <w:sz w:val="20"/>
          <w:szCs w:val="15"/>
          <w:lang w:eastAsia="bg-BG"/>
        </w:rPr>
        <w:t>Случаи на ортостатична хипотония и синкоп са съобщавани особено в началото на лечението.</w:t>
      </w:r>
    </w:p>
    <w:p w14:paraId="7D1B4594" w14:textId="11B370E9" w:rsidR="00616FF3" w:rsidRPr="007F1682" w:rsidRDefault="00616FF3" w:rsidP="00616FF3">
      <w:pPr>
        <w:spacing w:line="240" w:lineRule="auto"/>
        <w:rPr>
          <w:rFonts w:ascii="Times New Roman" w:eastAsia="Times New Roman" w:hAnsi="Times New Roman" w:cs="Times New Roman"/>
          <w:sz w:val="36"/>
          <w:szCs w:val="24"/>
          <w:lang w:eastAsia="bg-BG"/>
        </w:rPr>
      </w:pPr>
      <w:r w:rsidRPr="007F1682">
        <w:rPr>
          <w:rFonts w:eastAsia="Times New Roman" w:cs="Arial"/>
          <w:color w:val="000000"/>
          <w:sz w:val="20"/>
          <w:szCs w:val="15"/>
          <w:lang w:eastAsia="bg-BG"/>
        </w:rPr>
        <w:t>Вижте точка 4.</w:t>
      </w:r>
      <w:r w:rsidR="00CB610A">
        <w:rPr>
          <w:rFonts w:eastAsia="Times New Roman" w:cs="Arial"/>
          <w:color w:val="000000"/>
          <w:sz w:val="20"/>
          <w:szCs w:val="15"/>
          <w:lang w:eastAsia="bg-BG"/>
        </w:rPr>
        <w:t>1</w:t>
      </w:r>
      <w:r w:rsidRPr="007F1682">
        <w:rPr>
          <w:rFonts w:eastAsia="Times New Roman" w:cs="Arial"/>
          <w:color w:val="000000"/>
          <w:sz w:val="20"/>
          <w:szCs w:val="15"/>
          <w:lang w:eastAsia="bg-BG"/>
        </w:rPr>
        <w:t>.</w:t>
      </w:r>
    </w:p>
    <w:p w14:paraId="1A494B55" w14:textId="6FC5E946" w:rsidR="00616FF3" w:rsidRPr="007F1682" w:rsidRDefault="00A134C7" w:rsidP="00616FF3">
      <w:pPr>
        <w:spacing w:line="240" w:lineRule="auto"/>
        <w:rPr>
          <w:rFonts w:ascii="Times New Roman" w:eastAsia="Times New Roman" w:hAnsi="Times New Roman" w:cs="Times New Roman"/>
          <w:sz w:val="36"/>
          <w:szCs w:val="24"/>
          <w:lang w:eastAsia="bg-BG"/>
        </w:rPr>
      </w:pPr>
      <w:r w:rsidRPr="007F1682">
        <w:rPr>
          <w:rFonts w:eastAsia="Times New Roman" w:cs="Arial"/>
          <w:color w:val="000000"/>
          <w:sz w:val="20"/>
          <w:szCs w:val="15"/>
          <w:vertAlign w:val="superscript"/>
          <w:lang w:eastAsia="bg-BG"/>
        </w:rPr>
        <w:t>4</w:t>
      </w:r>
      <w:r w:rsidR="00616FF3" w:rsidRPr="007F1682">
        <w:rPr>
          <w:rFonts w:eastAsia="Times New Roman" w:cs="Arial"/>
          <w:color w:val="000000"/>
          <w:sz w:val="20"/>
          <w:szCs w:val="15"/>
          <w:lang w:eastAsia="bg-BG"/>
        </w:rPr>
        <w:t>Случаи на враждебност и гняв са съобщавани особено в началото или след прекъсване на</w:t>
      </w:r>
    </w:p>
    <w:p w14:paraId="08DBCC6E" w14:textId="77777777" w:rsidR="00616FF3" w:rsidRPr="007F1682" w:rsidRDefault="00616FF3" w:rsidP="00616FF3">
      <w:pPr>
        <w:spacing w:line="240" w:lineRule="auto"/>
        <w:rPr>
          <w:rFonts w:ascii="Times New Roman" w:eastAsia="Times New Roman" w:hAnsi="Times New Roman" w:cs="Times New Roman"/>
          <w:sz w:val="36"/>
          <w:szCs w:val="24"/>
          <w:lang w:eastAsia="bg-BG"/>
        </w:rPr>
      </w:pPr>
      <w:r w:rsidRPr="007F1682">
        <w:rPr>
          <w:rFonts w:eastAsia="Times New Roman" w:cs="Arial"/>
          <w:color w:val="000000"/>
          <w:sz w:val="20"/>
          <w:szCs w:val="15"/>
          <w:lang w:eastAsia="bg-BG"/>
        </w:rPr>
        <w:t>лечението.</w:t>
      </w:r>
    </w:p>
    <w:p w14:paraId="733E558D" w14:textId="7B44CB02" w:rsidR="00616FF3" w:rsidRPr="007F1682" w:rsidRDefault="00A134C7" w:rsidP="00616FF3">
      <w:pPr>
        <w:spacing w:line="240" w:lineRule="auto"/>
        <w:rPr>
          <w:rFonts w:ascii="Times New Roman" w:eastAsia="Times New Roman" w:hAnsi="Times New Roman" w:cs="Times New Roman"/>
          <w:sz w:val="36"/>
          <w:szCs w:val="24"/>
          <w:lang w:eastAsia="bg-BG"/>
        </w:rPr>
      </w:pPr>
      <w:r w:rsidRPr="007F1682">
        <w:rPr>
          <w:rFonts w:eastAsia="Times New Roman" w:cs="Arial"/>
          <w:color w:val="000000"/>
          <w:sz w:val="20"/>
          <w:szCs w:val="15"/>
          <w:vertAlign w:val="superscript"/>
          <w:lang w:eastAsia="bg-BG"/>
        </w:rPr>
        <w:t>5</w:t>
      </w:r>
      <w:r w:rsidR="00616FF3" w:rsidRPr="007F1682">
        <w:rPr>
          <w:rFonts w:eastAsia="Times New Roman" w:cs="Arial"/>
          <w:color w:val="000000"/>
          <w:sz w:val="20"/>
          <w:szCs w:val="15"/>
          <w:lang w:eastAsia="bg-BG"/>
        </w:rPr>
        <w:t>Случаи на суицидна идеация и суицидно поведение са съобщавани по време на лечение с</w:t>
      </w:r>
    </w:p>
    <w:p w14:paraId="4C8556C4" w14:textId="3964E7E7" w:rsidR="008C41D5" w:rsidRPr="007F1682" w:rsidRDefault="00616FF3" w:rsidP="00616FF3">
      <w:pPr>
        <w:rPr>
          <w:rFonts w:eastAsia="Times New Roman" w:cs="Arial"/>
          <w:color w:val="000000"/>
          <w:sz w:val="32"/>
          <w:lang w:eastAsia="bg-BG"/>
        </w:rPr>
      </w:pPr>
      <w:r w:rsidRPr="007F1682">
        <w:rPr>
          <w:rFonts w:eastAsia="Times New Roman" w:cs="Arial"/>
          <w:color w:val="000000"/>
          <w:sz w:val="20"/>
          <w:szCs w:val="15"/>
          <w:lang w:eastAsia="bg-BG"/>
        </w:rPr>
        <w:t>дулоксетин или скоро след прекъсване на лечението (вж. точка 4.4).</w:t>
      </w:r>
    </w:p>
    <w:p w14:paraId="4C606F35" w14:textId="7E059A2E" w:rsidR="00A134C7" w:rsidRPr="007F1682" w:rsidRDefault="00A134C7" w:rsidP="00A134C7">
      <w:pPr>
        <w:spacing w:line="240" w:lineRule="auto"/>
        <w:rPr>
          <w:rFonts w:ascii="Times New Roman" w:eastAsia="Times New Roman" w:hAnsi="Times New Roman" w:cs="Times New Roman"/>
          <w:sz w:val="20"/>
          <w:lang w:eastAsia="bg-BG"/>
        </w:rPr>
      </w:pPr>
      <w:r w:rsidRPr="007F1682">
        <w:rPr>
          <w:rFonts w:eastAsia="Times New Roman" w:cs="Arial"/>
          <w:color w:val="000000"/>
          <w:sz w:val="20"/>
          <w:vertAlign w:val="superscript"/>
          <w:lang w:eastAsia="bg-BG"/>
        </w:rPr>
        <w:t>6</w:t>
      </w:r>
      <w:r w:rsidRPr="007F1682">
        <w:rPr>
          <w:rFonts w:eastAsia="Times New Roman" w:cs="Arial"/>
          <w:color w:val="000000"/>
          <w:sz w:val="20"/>
          <w:lang w:eastAsia="bg-BG"/>
        </w:rPr>
        <w:t xml:space="preserve">Оценена честота на нежелани реакции, съобщени при постмаркетинговото наблюдение: не са </w:t>
      </w:r>
      <w:r w:rsidR="000A0A66" w:rsidRPr="007F1682">
        <w:rPr>
          <w:rFonts w:eastAsia="Times New Roman" w:cs="Arial"/>
          <w:color w:val="000000"/>
          <w:sz w:val="20"/>
          <w:lang w:eastAsia="bg-BG"/>
        </w:rPr>
        <w:t>наблюдавани</w:t>
      </w:r>
      <w:r w:rsidRPr="007F1682">
        <w:rPr>
          <w:rFonts w:eastAsia="Times New Roman" w:cs="Arial"/>
          <w:color w:val="000000"/>
          <w:sz w:val="20"/>
          <w:lang w:eastAsia="bg-BG"/>
        </w:rPr>
        <w:t xml:space="preserve"> в плацебо-контролирани клинични проучвания.</w:t>
      </w:r>
    </w:p>
    <w:p w14:paraId="2A973326" w14:textId="086FE761" w:rsidR="00A134C7" w:rsidRPr="007F1682" w:rsidRDefault="00A134C7" w:rsidP="00A134C7">
      <w:pPr>
        <w:spacing w:line="240" w:lineRule="auto"/>
        <w:rPr>
          <w:rFonts w:ascii="Times New Roman" w:eastAsia="Times New Roman" w:hAnsi="Times New Roman" w:cs="Times New Roman"/>
          <w:sz w:val="20"/>
          <w:lang w:eastAsia="bg-BG"/>
        </w:rPr>
      </w:pPr>
      <w:r w:rsidRPr="007F1682">
        <w:rPr>
          <w:rFonts w:eastAsia="Times New Roman" w:cs="Arial"/>
          <w:color w:val="000000"/>
          <w:sz w:val="20"/>
          <w:vertAlign w:val="superscript"/>
          <w:lang w:eastAsia="bg-BG"/>
        </w:rPr>
        <w:t>7</w:t>
      </w:r>
      <w:r w:rsidRPr="007F1682">
        <w:rPr>
          <w:rFonts w:eastAsia="Times New Roman" w:cs="Arial"/>
          <w:color w:val="000000"/>
          <w:sz w:val="20"/>
          <w:lang w:eastAsia="bg-BG"/>
        </w:rPr>
        <w:t xml:space="preserve"> Не е статистически сигнификантно различна от плацебо.</w:t>
      </w:r>
    </w:p>
    <w:p w14:paraId="05920C0E" w14:textId="738F714B" w:rsidR="00A134C7" w:rsidRPr="007F1682" w:rsidRDefault="00A134C7" w:rsidP="00A134C7">
      <w:pPr>
        <w:spacing w:line="240" w:lineRule="auto"/>
        <w:rPr>
          <w:rFonts w:ascii="Times New Roman" w:eastAsia="Times New Roman" w:hAnsi="Times New Roman" w:cs="Times New Roman"/>
          <w:sz w:val="20"/>
          <w:lang w:eastAsia="bg-BG"/>
        </w:rPr>
      </w:pPr>
      <w:r w:rsidRPr="007F1682">
        <w:rPr>
          <w:rFonts w:eastAsia="Times New Roman" w:cs="Arial"/>
          <w:color w:val="000000"/>
          <w:sz w:val="20"/>
          <w:vertAlign w:val="superscript"/>
        </w:rPr>
        <w:t>8</w:t>
      </w:r>
      <w:r w:rsidRPr="007F1682">
        <w:rPr>
          <w:rFonts w:eastAsia="Times New Roman" w:cs="Arial"/>
          <w:color w:val="000000"/>
          <w:sz w:val="20"/>
          <w:lang w:eastAsia="bg-BG"/>
        </w:rPr>
        <w:t>Припадъците са по-чести при пациенти в старческа възраст (възраст &gt;65 години)</w:t>
      </w:r>
    </w:p>
    <w:p w14:paraId="54C92EC8" w14:textId="77777777" w:rsidR="00A134C7" w:rsidRPr="007F1682" w:rsidRDefault="00A134C7" w:rsidP="00A134C7">
      <w:pPr>
        <w:spacing w:line="240" w:lineRule="auto"/>
        <w:rPr>
          <w:rFonts w:eastAsia="Times New Roman" w:cs="Arial"/>
          <w:b/>
          <w:bCs/>
          <w:color w:val="000000"/>
          <w:lang w:eastAsia="bg-BG"/>
        </w:rPr>
      </w:pPr>
    </w:p>
    <w:p w14:paraId="4EE520FE" w14:textId="42D3DCC4" w:rsidR="00A134C7" w:rsidRPr="007F1682" w:rsidRDefault="00A134C7" w:rsidP="00A134C7">
      <w:pPr>
        <w:spacing w:line="240" w:lineRule="auto"/>
        <w:rPr>
          <w:rFonts w:ascii="Times New Roman" w:eastAsia="Times New Roman" w:hAnsi="Times New Roman" w:cs="Times New Roman"/>
          <w:lang w:eastAsia="bg-BG"/>
        </w:rPr>
      </w:pPr>
      <w:r w:rsidRPr="007F1682">
        <w:rPr>
          <w:rFonts w:eastAsia="Times New Roman" w:cs="Arial"/>
          <w:b/>
          <w:bCs/>
          <w:color w:val="000000"/>
          <w:lang w:eastAsia="bg-BG"/>
        </w:rPr>
        <w:t xml:space="preserve">в. </w:t>
      </w:r>
      <w:r w:rsidRPr="007F1682">
        <w:rPr>
          <w:rFonts w:eastAsia="Times New Roman" w:cs="Arial"/>
          <w:b/>
          <w:bCs/>
          <w:i/>
          <w:iCs/>
          <w:color w:val="000000"/>
          <w:lang w:eastAsia="bg-BG"/>
        </w:rPr>
        <w:t>Описание на избрани нежелани лекарствени реакции</w:t>
      </w:r>
    </w:p>
    <w:p w14:paraId="472F9B0C" w14:textId="77777777" w:rsidR="00A134C7" w:rsidRPr="007F1682" w:rsidRDefault="00A134C7" w:rsidP="00A134C7">
      <w:pPr>
        <w:spacing w:line="240" w:lineRule="auto"/>
        <w:rPr>
          <w:rFonts w:ascii="Times New Roman" w:eastAsia="Times New Roman" w:hAnsi="Times New Roman" w:cs="Times New Roman"/>
          <w:lang w:eastAsia="bg-BG"/>
        </w:rPr>
      </w:pPr>
      <w:r w:rsidRPr="007F1682">
        <w:rPr>
          <w:rFonts w:eastAsia="Times New Roman" w:cs="Arial"/>
          <w:color w:val="000000"/>
          <w:lang w:eastAsia="bg-BG"/>
        </w:rPr>
        <w:t>Прекратяването на дулоксетин (особено когато е внезапно) често води до симптоми на отнемане. Замайване, сензорни нарушения (включително парестезия или усещания, подобни на преминаване на електрически ток, особено в областта на главата), нарушения в съня (включително безсъние и интензивно сънуване), умора, сомнолентност, възбуда или тревожност, гадене и/или повръщане, тремор, главоболие, миалгия, раздразнителност, диария, хиперхидроза и вертиго са най-често съобщаваните нежелани реакции.</w:t>
      </w:r>
    </w:p>
    <w:p w14:paraId="085BEEFC" w14:textId="77777777" w:rsidR="00A134C7" w:rsidRPr="007F1682" w:rsidRDefault="00A134C7" w:rsidP="00A134C7">
      <w:pPr>
        <w:spacing w:line="240" w:lineRule="auto"/>
        <w:rPr>
          <w:rFonts w:ascii="Times New Roman" w:eastAsia="Times New Roman" w:hAnsi="Times New Roman" w:cs="Times New Roman"/>
          <w:lang w:eastAsia="bg-BG"/>
        </w:rPr>
      </w:pPr>
      <w:r w:rsidRPr="007F1682">
        <w:rPr>
          <w:rFonts w:eastAsia="Times New Roman" w:cs="Arial"/>
          <w:color w:val="000000"/>
          <w:lang w:eastAsia="bg-BG"/>
        </w:rPr>
        <w:t xml:space="preserve">Общо, и за </w:t>
      </w:r>
      <w:r w:rsidRPr="007F1682">
        <w:rPr>
          <w:rFonts w:eastAsia="Times New Roman" w:cs="Arial"/>
          <w:color w:val="000000"/>
        </w:rPr>
        <w:t xml:space="preserve">SSRIs </w:t>
      </w:r>
      <w:r w:rsidRPr="007F1682">
        <w:rPr>
          <w:rFonts w:eastAsia="Times New Roman" w:cs="Arial"/>
          <w:color w:val="000000"/>
          <w:lang w:eastAsia="bg-BG"/>
        </w:rPr>
        <w:t xml:space="preserve">и за </w:t>
      </w:r>
      <w:r w:rsidRPr="007F1682">
        <w:rPr>
          <w:rFonts w:eastAsia="Times New Roman" w:cs="Arial"/>
          <w:color w:val="000000"/>
        </w:rPr>
        <w:t xml:space="preserve">SNRls, </w:t>
      </w:r>
      <w:r w:rsidRPr="007F1682">
        <w:rPr>
          <w:rFonts w:eastAsia="Times New Roman" w:cs="Arial"/>
          <w:color w:val="000000"/>
          <w:lang w:eastAsia="bg-BG"/>
        </w:rPr>
        <w:t xml:space="preserve">тези събития са леки до умерени и самоограничаващи се, въпреки че при някои пациенти те може да са тежки и/или продължителни. Затова се препоръчва, когато не се налага повече лечение с дулоксетин да бъде извършено постепенно спиране, чрез </w:t>
      </w:r>
      <w:r w:rsidRPr="007F1682">
        <w:rPr>
          <w:rFonts w:eastAsia="Times New Roman" w:cs="Arial"/>
          <w:i/>
          <w:iCs/>
          <w:color w:val="000000"/>
          <w:lang w:eastAsia="bg-BG"/>
        </w:rPr>
        <w:t xml:space="preserve">намаляване на </w:t>
      </w:r>
      <w:r w:rsidRPr="007F1682">
        <w:rPr>
          <w:rFonts w:eastAsia="Times New Roman" w:cs="Arial"/>
          <w:color w:val="000000"/>
          <w:lang w:eastAsia="bg-BG"/>
        </w:rPr>
        <w:t>дозата (вж. точка 4.2 и точка 4.4).</w:t>
      </w:r>
    </w:p>
    <w:p w14:paraId="4212874C" w14:textId="77777777" w:rsidR="00A134C7" w:rsidRPr="007F1682" w:rsidRDefault="00A134C7" w:rsidP="00A134C7">
      <w:pPr>
        <w:spacing w:line="240" w:lineRule="auto"/>
        <w:rPr>
          <w:rFonts w:eastAsia="Times New Roman" w:cs="Arial"/>
          <w:color w:val="000000"/>
          <w:lang w:eastAsia="bg-BG"/>
        </w:rPr>
      </w:pPr>
    </w:p>
    <w:p w14:paraId="49EBE1EF" w14:textId="451497DB" w:rsidR="00A134C7" w:rsidRPr="007F1682" w:rsidRDefault="00A134C7" w:rsidP="00A134C7">
      <w:pPr>
        <w:spacing w:line="240" w:lineRule="auto"/>
        <w:rPr>
          <w:rFonts w:ascii="Times New Roman" w:eastAsia="Times New Roman" w:hAnsi="Times New Roman" w:cs="Times New Roman"/>
          <w:lang w:eastAsia="bg-BG"/>
        </w:rPr>
      </w:pPr>
      <w:r w:rsidRPr="007F1682">
        <w:rPr>
          <w:rFonts w:eastAsia="Times New Roman" w:cs="Arial"/>
          <w:color w:val="000000"/>
          <w:lang w:eastAsia="bg-BG"/>
        </w:rPr>
        <w:t xml:space="preserve">През 12-седмичната остра фаза на три клинични проучвания с дулоксетин при пациенти с диабетна невропатна болка е наблюдавано малко, но статистически значимо повишение </w:t>
      </w:r>
      <w:r w:rsidRPr="007F1682">
        <w:rPr>
          <w:rFonts w:eastAsia="Times New Roman" w:cs="Arial"/>
          <w:color w:val="000000"/>
          <w:lang w:eastAsia="bg-BG"/>
        </w:rPr>
        <w:lastRenderedPageBreak/>
        <w:t xml:space="preserve">в кръвната глюкоза на гладно, при пациентите на лечение с дулоксетин. </w:t>
      </w:r>
      <w:r w:rsidRPr="007F1682">
        <w:rPr>
          <w:rFonts w:eastAsia="Times New Roman" w:cs="Arial"/>
          <w:color w:val="000000"/>
        </w:rPr>
        <w:t xml:space="preserve">HbAlc </w:t>
      </w:r>
      <w:r w:rsidRPr="007F1682">
        <w:rPr>
          <w:rFonts w:eastAsia="Times New Roman" w:cs="Arial"/>
          <w:color w:val="000000"/>
          <w:lang w:eastAsia="bg-BG"/>
        </w:rPr>
        <w:t xml:space="preserve">е стабилен и при пациентите. лек\ вани с дулоксетин. и при пациентите лекувани с плацебо. През фазата на удължаване на тези проучвания, продължила до 52 седмици, е налично повишение на </w:t>
      </w:r>
      <w:r w:rsidRPr="007F1682">
        <w:rPr>
          <w:rFonts w:eastAsia="Times New Roman" w:cs="Arial"/>
          <w:color w:val="000000"/>
        </w:rPr>
        <w:t xml:space="preserve">HbAlc </w:t>
      </w:r>
      <w:r w:rsidRPr="007F1682">
        <w:rPr>
          <w:rFonts w:eastAsia="Times New Roman" w:cs="Arial"/>
          <w:color w:val="000000"/>
          <w:lang w:eastAsia="bg-BG"/>
        </w:rPr>
        <w:t>и в [руната на дулоксетин и в групата на рутинна терапия, но средното повишение е 0,3% по-голямо в групата на лечение с дулоксетин. Налично е леко повишение в кръвната глюкоза на гладно и на общия холестерол при пациентите, лекувани с дулоксетин, докато тези лабораторни изследвания показват леко намаление в групата на рутинна терапия.</w:t>
      </w:r>
    </w:p>
    <w:p w14:paraId="530057A6" w14:textId="77777777" w:rsidR="00A134C7" w:rsidRPr="007F1682" w:rsidRDefault="00A134C7" w:rsidP="00A134C7">
      <w:pPr>
        <w:rPr>
          <w:rFonts w:eastAsia="Times New Roman" w:cs="Arial"/>
          <w:color w:val="000000"/>
          <w:lang w:eastAsia="bg-BG"/>
        </w:rPr>
      </w:pPr>
    </w:p>
    <w:p w14:paraId="217FD953" w14:textId="5BDD472C" w:rsidR="00A134C7" w:rsidRPr="007F1682" w:rsidRDefault="00A134C7" w:rsidP="00A134C7">
      <w:pPr>
        <w:rPr>
          <w:rFonts w:eastAsia="Times New Roman" w:cs="Arial"/>
          <w:color w:val="000000"/>
          <w:lang w:eastAsia="bg-BG"/>
        </w:rPr>
      </w:pPr>
      <w:r w:rsidRPr="007F1682">
        <w:rPr>
          <w:rFonts w:eastAsia="Times New Roman" w:cs="Arial"/>
          <w:color w:val="000000"/>
          <w:lang w:eastAsia="bg-BG"/>
        </w:rPr>
        <w:t xml:space="preserve">Коригираният спрямо сърдечната честота </w:t>
      </w:r>
      <w:r w:rsidRPr="007F1682">
        <w:rPr>
          <w:rFonts w:eastAsia="Times New Roman" w:cs="Arial"/>
          <w:color w:val="000000"/>
        </w:rPr>
        <w:t xml:space="preserve">QT </w:t>
      </w:r>
      <w:r w:rsidRPr="007F1682">
        <w:rPr>
          <w:rFonts w:eastAsia="Times New Roman" w:cs="Arial"/>
          <w:color w:val="000000"/>
          <w:lang w:eastAsia="bg-BG"/>
        </w:rPr>
        <w:t xml:space="preserve">интервал при пациентите, лекувани с дулоксетин. не се различава от този, наблюдаван при пациентите, лекувани с плацебо. Не са наблюдавани клинично значими разлики за </w:t>
      </w:r>
      <w:r w:rsidRPr="007F1682">
        <w:rPr>
          <w:rFonts w:eastAsia="Times New Roman" w:cs="Arial"/>
          <w:color w:val="000000"/>
        </w:rPr>
        <w:t xml:space="preserve">QT. PR. QRS </w:t>
      </w:r>
      <w:r w:rsidRPr="007F1682">
        <w:rPr>
          <w:rFonts w:eastAsia="Times New Roman" w:cs="Arial"/>
          <w:color w:val="000000"/>
          <w:lang w:eastAsia="bg-BG"/>
        </w:rPr>
        <w:t xml:space="preserve">или </w:t>
      </w:r>
      <w:r w:rsidRPr="007F1682">
        <w:rPr>
          <w:rFonts w:eastAsia="Times New Roman" w:cs="Arial"/>
          <w:color w:val="000000"/>
        </w:rPr>
        <w:t xml:space="preserve">QTcB </w:t>
      </w:r>
      <w:r w:rsidRPr="007F1682">
        <w:rPr>
          <w:rFonts w:eastAsia="Times New Roman" w:cs="Arial"/>
          <w:color w:val="000000"/>
          <w:lang w:eastAsia="bg-BG"/>
        </w:rPr>
        <w:t>измерванията между пациентите, лекуваните е дулоксетин и тези лекуваните с плацебо.</w:t>
      </w:r>
    </w:p>
    <w:p w14:paraId="6A63651E" w14:textId="7B52032E" w:rsidR="008C41D5" w:rsidRPr="007F1682" w:rsidRDefault="008C41D5" w:rsidP="008C41D5">
      <w:pPr>
        <w:rPr>
          <w:sz w:val="36"/>
        </w:rPr>
      </w:pPr>
    </w:p>
    <w:p w14:paraId="4B80F559" w14:textId="77777777"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b/>
          <w:bCs/>
          <w:i/>
          <w:iCs/>
          <w:color w:val="000000"/>
          <w:szCs w:val="19"/>
          <w:lang w:eastAsia="bg-BG"/>
        </w:rPr>
        <w:t>г. Педиатрична популация</w:t>
      </w:r>
    </w:p>
    <w:p w14:paraId="2D513931" w14:textId="77777777"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Общо 509 пациенти деца на възраст от 7 до 17 години с голямо депресивно разстройство и 241 педиатрични пациенти на възраст от 7 до 17 години с генерализирано тревожно разстройство, са лекувани с дулоксетин в клинични проучвания. Като цяло профилът на нежеланите лекарствени реакции на дулоксетин при деца и юноши е подобен на този, наблюдаван при възрастни.</w:t>
      </w:r>
    </w:p>
    <w:p w14:paraId="0C83501D" w14:textId="77777777" w:rsidR="00A134C7" w:rsidRPr="007F1682" w:rsidRDefault="00A134C7" w:rsidP="00A134C7">
      <w:pPr>
        <w:spacing w:line="240" w:lineRule="auto"/>
        <w:rPr>
          <w:rFonts w:eastAsia="Times New Roman" w:cs="Arial"/>
          <w:color w:val="000000"/>
          <w:szCs w:val="19"/>
          <w:lang w:eastAsia="bg-BG"/>
        </w:rPr>
      </w:pPr>
    </w:p>
    <w:p w14:paraId="200BC8D2" w14:textId="4C4BA199"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Общо 467 пациенти от педиатричната популация, които първоначално са рапдомизирани да получават дулоксетин в клинични проучвания, изпитват средно намаление на теглото 0.1 </w:t>
      </w:r>
      <w:r w:rsidRPr="007F1682">
        <w:rPr>
          <w:rFonts w:eastAsia="Times New Roman" w:cs="Arial"/>
          <w:color w:val="000000"/>
          <w:szCs w:val="19"/>
        </w:rPr>
        <w:t xml:space="preserve">kg </w:t>
      </w:r>
      <w:r w:rsidRPr="007F1682">
        <w:rPr>
          <w:rFonts w:eastAsia="Times New Roman" w:cs="Arial"/>
          <w:color w:val="000000"/>
          <w:szCs w:val="19"/>
          <w:lang w:eastAsia="bg-BG"/>
        </w:rPr>
        <w:t xml:space="preserve">към 10 та седмица в сравнение с 0.9 </w:t>
      </w:r>
      <w:r w:rsidRPr="007F1682">
        <w:rPr>
          <w:rFonts w:eastAsia="Times New Roman" w:cs="Arial"/>
          <w:color w:val="000000"/>
          <w:szCs w:val="19"/>
        </w:rPr>
        <w:t xml:space="preserve">kg </w:t>
      </w:r>
      <w:r w:rsidRPr="007F1682">
        <w:rPr>
          <w:rFonts w:eastAsia="Times New Roman" w:cs="Arial"/>
          <w:color w:val="000000"/>
          <w:szCs w:val="19"/>
          <w:lang w:eastAsia="bg-BG"/>
        </w:rPr>
        <w:t xml:space="preserve">средно увеличение при 353 пациенти, получаващи плацебо. След това в течение на четири-месечен до шест-месечен период па продължение, пациентите средно имат склонност към възстановяване на очакваното си изходно тегло в перрсентила </w:t>
      </w:r>
      <w:r w:rsidRPr="007F1682">
        <w:rPr>
          <w:rFonts w:eastAsia="Times New Roman" w:cs="Arial"/>
          <w:i/>
          <w:iCs/>
          <w:color w:val="000000"/>
          <w:szCs w:val="19"/>
          <w:lang w:eastAsia="bg-BG"/>
        </w:rPr>
        <w:t>на</w:t>
      </w:r>
      <w:r w:rsidRPr="007F1682">
        <w:rPr>
          <w:rFonts w:eastAsia="Times New Roman" w:cs="Arial"/>
          <w:color w:val="000000"/>
          <w:szCs w:val="19"/>
          <w:lang w:eastAsia="bg-BG"/>
        </w:rPr>
        <w:t xml:space="preserve"> базата на популационните данни от връстниците, съответни по възраст и пол.</w:t>
      </w:r>
    </w:p>
    <w:p w14:paraId="6DE5889D" w14:textId="77777777" w:rsidR="00A134C7" w:rsidRPr="007F1682" w:rsidRDefault="00A134C7" w:rsidP="00A134C7">
      <w:pPr>
        <w:spacing w:line="240" w:lineRule="auto"/>
        <w:rPr>
          <w:rFonts w:eastAsia="Times New Roman" w:cs="Arial"/>
          <w:color w:val="000000"/>
          <w:szCs w:val="19"/>
          <w:lang w:eastAsia="bg-BG"/>
        </w:rPr>
      </w:pPr>
    </w:p>
    <w:p w14:paraId="7F23E6B8" w14:textId="24A520BC"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В проучвания с продължителност до 9 месеца при пациентите от педиатричната популация, лекувани с дулоксетин. се наблюдава общо средно намаление от 1% на персентила за ръст (намаление от 2% при деца (7-11 години) и увеличение с 0.3% при юноши (12-17 години)) (вж. точка 4.4),</w:t>
      </w:r>
    </w:p>
    <w:p w14:paraId="1589DC70" w14:textId="77777777" w:rsidR="00A134C7" w:rsidRPr="007F1682" w:rsidRDefault="00A134C7" w:rsidP="00A134C7">
      <w:pPr>
        <w:spacing w:line="240" w:lineRule="auto"/>
        <w:rPr>
          <w:rFonts w:eastAsia="Times New Roman" w:cs="Arial"/>
          <w:color w:val="000000"/>
          <w:szCs w:val="19"/>
          <w:u w:val="single"/>
          <w:lang w:eastAsia="bg-BG"/>
        </w:rPr>
      </w:pPr>
    </w:p>
    <w:p w14:paraId="1F571728" w14:textId="19B6D158"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u w:val="single"/>
          <w:lang w:eastAsia="bg-BG"/>
        </w:rPr>
        <w:t>Съобщаване на подозирани нежелани реакции</w:t>
      </w:r>
    </w:p>
    <w:p w14:paraId="1450E8A9" w14:textId="35E5243A" w:rsidR="00A134C7" w:rsidRPr="007F1682" w:rsidRDefault="00A134C7" w:rsidP="00A134C7">
      <w:pPr>
        <w:rPr>
          <w:rFonts w:eastAsia="Times New Roman" w:cs="Arial"/>
          <w:color w:val="000000"/>
          <w:szCs w:val="19"/>
          <w:u w:val="single"/>
        </w:rPr>
      </w:pPr>
      <w:r w:rsidRPr="007F1682">
        <w:rPr>
          <w:rFonts w:eastAsia="Times New Roman" w:cs="Arial"/>
          <w:color w:val="000000"/>
          <w:szCs w:val="19"/>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в Изпълнителна агенция по лекарствата ул. ..Дамян Груев" №8, 1303 София, тел.: +359 2 8903417, уебсайт: </w:t>
      </w:r>
      <w:hyperlink r:id="rId7" w:history="1">
        <w:r w:rsidRPr="007F1682">
          <w:rPr>
            <w:rStyle w:val="Hyperlink"/>
            <w:rFonts w:eastAsia="Times New Roman" w:cs="Arial"/>
            <w:szCs w:val="19"/>
          </w:rPr>
          <w:t>www.bda.bg</w:t>
        </w:r>
      </w:hyperlink>
    </w:p>
    <w:p w14:paraId="28FD8EE4" w14:textId="77777777" w:rsidR="00A134C7" w:rsidRPr="007F1682" w:rsidRDefault="00A134C7" w:rsidP="00A134C7">
      <w:pPr>
        <w:rPr>
          <w:sz w:val="28"/>
        </w:rPr>
      </w:pPr>
    </w:p>
    <w:p w14:paraId="0A023CE0" w14:textId="4DF9F66D" w:rsidR="00CF77F7" w:rsidRPr="007F1682" w:rsidRDefault="002C50EE" w:rsidP="004A448E">
      <w:pPr>
        <w:pStyle w:val="Heading2"/>
      </w:pPr>
      <w:r w:rsidRPr="007F1682">
        <w:t>4.9. Предозиране</w:t>
      </w:r>
    </w:p>
    <w:p w14:paraId="096F80A1" w14:textId="15A6497A" w:rsidR="00A134C7" w:rsidRPr="007F1682" w:rsidRDefault="00A134C7" w:rsidP="00A134C7"/>
    <w:p w14:paraId="4AD98DEF" w14:textId="77777777"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Съобщавани са случаи на предозиране, самостоятелно или в комбинация с други лекарствени продукти, с дози дулоксетин от 5 400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Има няколко смъртни случаи, основно при смесено предозиране, но също така с дулоксетин самостоятелно в доза от приблизително 1 000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Белезите и симптомите на предозиране (дулоксетин </w:t>
      </w:r>
      <w:r w:rsidRPr="007F1682">
        <w:rPr>
          <w:rFonts w:eastAsia="Times New Roman" w:cs="Arial"/>
          <w:color w:val="000000"/>
          <w:szCs w:val="19"/>
          <w:lang w:eastAsia="bg-BG"/>
        </w:rPr>
        <w:lastRenderedPageBreak/>
        <w:t>самостоятелно или в комбинация с други лекарствени продукти) включват сомнолентност, кома, серотонинов синдром, припадъци, повръщане и тахикардия.</w:t>
      </w:r>
    </w:p>
    <w:p w14:paraId="2A703B87" w14:textId="77777777" w:rsidR="00A134C7" w:rsidRPr="007F1682" w:rsidRDefault="00A134C7" w:rsidP="00A134C7">
      <w:pPr>
        <w:spacing w:line="240" w:lineRule="auto"/>
        <w:rPr>
          <w:rFonts w:eastAsia="Times New Roman" w:cs="Arial"/>
          <w:color w:val="000000"/>
          <w:szCs w:val="19"/>
          <w:lang w:eastAsia="bg-BG"/>
        </w:rPr>
      </w:pPr>
    </w:p>
    <w:p w14:paraId="1726EE9B" w14:textId="4B703363"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Не е известен специфичен антидот на дулоксетин, но ако настъпи серотонинов синдром може да се има предвид специфично лечение (като с ципрохептадин и/или температурен контрол). Трябва да се поддържат свободни дихателните пътища. Препоръчва се проследяване на сърдечните и жизнени показатели, заедно с подходящи симптоматични и поддържащи мерки.</w:t>
      </w:r>
    </w:p>
    <w:p w14:paraId="0D6BB9BB" w14:textId="77777777" w:rsidR="00A134C7" w:rsidRPr="007F1682" w:rsidRDefault="00A134C7" w:rsidP="00A134C7">
      <w:pPr>
        <w:rPr>
          <w:rFonts w:eastAsia="Times New Roman" w:cs="Arial"/>
          <w:color w:val="000000"/>
          <w:szCs w:val="19"/>
          <w:lang w:eastAsia="bg-BG"/>
        </w:rPr>
      </w:pPr>
    </w:p>
    <w:p w14:paraId="275D8E82" w14:textId="2EA8665D" w:rsidR="00A134C7" w:rsidRPr="007F1682" w:rsidRDefault="00A134C7" w:rsidP="00A134C7">
      <w:pPr>
        <w:rPr>
          <w:sz w:val="28"/>
        </w:rPr>
      </w:pPr>
      <w:r w:rsidRPr="007F1682">
        <w:rPr>
          <w:rFonts w:eastAsia="Times New Roman" w:cs="Arial"/>
          <w:color w:val="000000"/>
          <w:szCs w:val="19"/>
          <w:lang w:eastAsia="bg-BG"/>
        </w:rPr>
        <w:t>Стомашна промивка може да е показана, ако се извърши възможно най-скоро след поглъщането или при пациенти със симптоми. Активният въглен може да полезен за ограничаване на резорбцията. Дулоксетин има голям обем на разпределение и форсираната диуреза, хемоперфузия и обменна перфузия е малко вероятно да са от полза.</w:t>
      </w:r>
    </w:p>
    <w:p w14:paraId="02081B24" w14:textId="0D707ABB" w:rsidR="00395555" w:rsidRPr="007F1682" w:rsidRDefault="002C50EE" w:rsidP="008A6AF2">
      <w:pPr>
        <w:pStyle w:val="Heading1"/>
      </w:pPr>
      <w:r w:rsidRPr="007F1682">
        <w:t>5. ФАРМАКОЛОГИЧНИ СВОЙСТВА</w:t>
      </w:r>
    </w:p>
    <w:p w14:paraId="2F2114B4" w14:textId="77777777" w:rsidR="00F364F7" w:rsidRPr="007F1682" w:rsidRDefault="00F364F7" w:rsidP="00F364F7"/>
    <w:p w14:paraId="32B6DE66" w14:textId="78C0FA65" w:rsidR="00CF77F7" w:rsidRPr="007F1682" w:rsidRDefault="002C50EE" w:rsidP="004A448E">
      <w:pPr>
        <w:pStyle w:val="Heading2"/>
      </w:pPr>
      <w:r w:rsidRPr="007F1682">
        <w:t>5.1. Фармакодинамични свойства</w:t>
      </w:r>
    </w:p>
    <w:p w14:paraId="1E52EF20" w14:textId="6EAC70F8" w:rsidR="00A134C7" w:rsidRPr="007F1682" w:rsidRDefault="00A134C7" w:rsidP="00A134C7"/>
    <w:p w14:paraId="180355BB" w14:textId="77777777"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Фармакотерапевтична група: други антидепресанти.</w:t>
      </w:r>
    </w:p>
    <w:p w14:paraId="52FCA533" w14:textId="77777777"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АТС код: </w:t>
      </w:r>
      <w:r w:rsidRPr="007F1682">
        <w:rPr>
          <w:rFonts w:eastAsia="Times New Roman" w:cs="Arial"/>
          <w:color w:val="000000"/>
          <w:szCs w:val="19"/>
        </w:rPr>
        <w:t>N06AX21.</w:t>
      </w:r>
    </w:p>
    <w:p w14:paraId="63701D36" w14:textId="77777777" w:rsidR="00A134C7" w:rsidRPr="007F1682" w:rsidRDefault="00A134C7" w:rsidP="00A134C7">
      <w:pPr>
        <w:spacing w:line="240" w:lineRule="auto"/>
        <w:rPr>
          <w:rFonts w:eastAsia="Times New Roman" w:cs="Arial"/>
          <w:color w:val="000000"/>
          <w:szCs w:val="19"/>
          <w:lang w:eastAsia="bg-BG"/>
        </w:rPr>
      </w:pPr>
    </w:p>
    <w:p w14:paraId="415A6D32" w14:textId="770A5BC9" w:rsidR="00A134C7" w:rsidRPr="007F1682" w:rsidRDefault="00A134C7" w:rsidP="00DC472D">
      <w:pPr>
        <w:pStyle w:val="Heading3"/>
        <w:rPr>
          <w:rFonts w:ascii="Times New Roman" w:eastAsia="Times New Roman" w:hAnsi="Times New Roman" w:cs="Times New Roman"/>
          <w:sz w:val="32"/>
          <w:lang w:eastAsia="bg-BG"/>
        </w:rPr>
      </w:pPr>
      <w:r w:rsidRPr="007F1682">
        <w:rPr>
          <w:rFonts w:eastAsia="Times New Roman"/>
          <w:lang w:eastAsia="bg-BG"/>
        </w:rPr>
        <w:t>Механизъм на действие</w:t>
      </w:r>
    </w:p>
    <w:p w14:paraId="451BDE92" w14:textId="77777777"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Дулоксетин е комбиниран инхибитор на обратното захващане на серотонин (5-</w:t>
      </w:r>
      <w:r w:rsidRPr="007F1682">
        <w:rPr>
          <w:rFonts w:eastAsia="Times New Roman" w:cs="Arial"/>
          <w:color w:val="000000"/>
          <w:szCs w:val="19"/>
        </w:rPr>
        <w:t xml:space="preserve">HT) </w:t>
      </w:r>
      <w:r w:rsidRPr="007F1682">
        <w:rPr>
          <w:rFonts w:eastAsia="Times New Roman" w:cs="Arial"/>
          <w:color w:val="000000"/>
          <w:szCs w:val="19"/>
          <w:lang w:eastAsia="bg-BG"/>
        </w:rPr>
        <w:t xml:space="preserve">и норадреналин </w:t>
      </w:r>
      <w:r w:rsidRPr="007F1682">
        <w:rPr>
          <w:rFonts w:eastAsia="Times New Roman" w:cs="Arial"/>
          <w:color w:val="000000"/>
          <w:szCs w:val="19"/>
        </w:rPr>
        <w:t xml:space="preserve">(NA). </w:t>
      </w:r>
      <w:r w:rsidRPr="007F1682">
        <w:rPr>
          <w:rFonts w:eastAsia="Times New Roman" w:cs="Arial"/>
          <w:color w:val="000000"/>
          <w:szCs w:val="19"/>
          <w:lang w:eastAsia="bg-BG"/>
        </w:rPr>
        <w:t>Той слабо инхибира обратното захващане на допамина. без значим афинитет към хистаминергичните, допаминергични. холинергични и адренергични рецептори. Дулоксетин дозо- зависимо повишава екстрацелуларните нива на серотонина и норнорадреналин в различни мозъчни области при животни.</w:t>
      </w:r>
    </w:p>
    <w:p w14:paraId="0C200773" w14:textId="77777777" w:rsidR="00A134C7" w:rsidRPr="007F1682" w:rsidRDefault="00A134C7" w:rsidP="00A134C7">
      <w:pPr>
        <w:spacing w:line="240" w:lineRule="auto"/>
        <w:rPr>
          <w:rFonts w:eastAsia="Times New Roman" w:cs="Arial"/>
          <w:color w:val="000000"/>
          <w:szCs w:val="19"/>
          <w:lang w:eastAsia="bg-BG"/>
        </w:rPr>
      </w:pPr>
    </w:p>
    <w:p w14:paraId="593664D9" w14:textId="5F1D8FBC" w:rsidR="00A134C7" w:rsidRPr="007F1682" w:rsidRDefault="00A134C7" w:rsidP="00295CCA">
      <w:pPr>
        <w:pStyle w:val="Heading3"/>
        <w:rPr>
          <w:rFonts w:ascii="Times New Roman" w:eastAsia="Times New Roman" w:hAnsi="Times New Roman" w:cs="Times New Roman"/>
          <w:sz w:val="32"/>
          <w:lang w:eastAsia="bg-BG"/>
        </w:rPr>
      </w:pPr>
      <w:r w:rsidRPr="007F1682">
        <w:rPr>
          <w:rFonts w:eastAsia="Times New Roman"/>
          <w:lang w:eastAsia="bg-BG"/>
        </w:rPr>
        <w:t>Фармакодинамични ефекти</w:t>
      </w:r>
    </w:p>
    <w:p w14:paraId="16C7C28F" w14:textId="77777777"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Дулоксетин нормализира прага на болката при няколко предклинични модела на невропатна и възпалителна болка и смекчава поведението при болка в модел на персистираща болка. Счита се. че инхибиращото болката действие на дулоксетин е резултат от потенции райето на десцендснтните инхибиторни болкови пътища на централната нервна система.</w:t>
      </w:r>
    </w:p>
    <w:p w14:paraId="4C840178" w14:textId="77777777" w:rsidR="00A134C7" w:rsidRPr="007F1682" w:rsidRDefault="00A134C7" w:rsidP="00A134C7">
      <w:pPr>
        <w:spacing w:line="240" w:lineRule="auto"/>
        <w:rPr>
          <w:rFonts w:eastAsia="Times New Roman" w:cs="Arial"/>
          <w:color w:val="000000"/>
          <w:szCs w:val="19"/>
          <w:u w:val="single"/>
          <w:lang w:eastAsia="bg-BG"/>
        </w:rPr>
      </w:pPr>
    </w:p>
    <w:p w14:paraId="087FA6BE" w14:textId="43CA8CAF" w:rsidR="00A134C7" w:rsidRPr="007F1682" w:rsidRDefault="00A134C7" w:rsidP="00295CCA">
      <w:pPr>
        <w:pStyle w:val="Heading3"/>
        <w:rPr>
          <w:rFonts w:ascii="Times New Roman" w:eastAsia="Times New Roman" w:hAnsi="Times New Roman" w:cs="Times New Roman"/>
          <w:sz w:val="32"/>
          <w:lang w:eastAsia="bg-BG"/>
        </w:rPr>
      </w:pPr>
      <w:r w:rsidRPr="007F1682">
        <w:rPr>
          <w:rFonts w:eastAsia="Times New Roman"/>
          <w:lang w:eastAsia="bg-BG"/>
        </w:rPr>
        <w:t>Клинична ефикасност и безопасност</w:t>
      </w:r>
    </w:p>
    <w:p w14:paraId="538C78C0" w14:textId="77777777" w:rsidR="00A134C7" w:rsidRPr="007F1682" w:rsidRDefault="00A134C7" w:rsidP="00A134C7">
      <w:pPr>
        <w:spacing w:line="240" w:lineRule="auto"/>
        <w:rPr>
          <w:rFonts w:eastAsia="Times New Roman" w:cs="Arial"/>
          <w:i/>
          <w:iCs/>
          <w:color w:val="000000"/>
          <w:szCs w:val="19"/>
          <w:lang w:eastAsia="bg-BG"/>
        </w:rPr>
      </w:pPr>
    </w:p>
    <w:p w14:paraId="242C82BE" w14:textId="7F394802"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Голямо депресивно разстройство</w:t>
      </w:r>
    </w:p>
    <w:p w14:paraId="5AA083F2" w14:textId="77777777"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Дулоксетин е изучаван в клинични програми, включващи 3 158 пациенти (експозиция от 1 285 пациенто-години) отговарящи на </w:t>
      </w:r>
      <w:r w:rsidRPr="007F1682">
        <w:rPr>
          <w:rFonts w:eastAsia="Times New Roman" w:cs="Arial"/>
          <w:color w:val="000000"/>
          <w:szCs w:val="19"/>
        </w:rPr>
        <w:t xml:space="preserve">DMS-IV </w:t>
      </w:r>
      <w:r w:rsidRPr="007F1682">
        <w:rPr>
          <w:rFonts w:eastAsia="Times New Roman" w:cs="Arial"/>
          <w:color w:val="000000"/>
          <w:szCs w:val="19"/>
          <w:lang w:eastAsia="bg-BG"/>
        </w:rPr>
        <w:t xml:space="preserve">критериите за голяма депресия. Ефикасността на дулоксетин при препоръчителна дневна доза 60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веднъж дневно е показана при три от трите рандомизирани. двойно-слепи, плацебо контролирани, е фиксирана доза проучвания в остра фаза при възрастни амбулаторни пациенти с голям депресивен епизод. Общо. ефикасността на дулоксетин е демонстрирана при дневна доза между 60 и 120 </w:t>
      </w:r>
      <w:r w:rsidRPr="007F1682">
        <w:rPr>
          <w:rFonts w:eastAsia="Times New Roman" w:cs="Arial"/>
          <w:color w:val="000000"/>
          <w:szCs w:val="19"/>
        </w:rPr>
        <w:t xml:space="preserve">mg </w:t>
      </w:r>
      <w:r w:rsidRPr="007F1682">
        <w:rPr>
          <w:rFonts w:eastAsia="Times New Roman" w:cs="Arial"/>
          <w:color w:val="000000"/>
          <w:szCs w:val="19"/>
          <w:lang w:eastAsia="bg-BG"/>
        </w:rPr>
        <w:t>в общо пет от седемте рандомизирани, двойно-слепи, плацебо контролирани, с фиксирана доза проучвания в остра фаза при възрастни амбулаторни пациенти с голям депресивен епизод.</w:t>
      </w:r>
    </w:p>
    <w:p w14:paraId="7D0EE9E7" w14:textId="77777777" w:rsidR="00A134C7" w:rsidRPr="007F1682" w:rsidRDefault="00A134C7" w:rsidP="00A134C7">
      <w:pPr>
        <w:spacing w:line="240" w:lineRule="auto"/>
        <w:rPr>
          <w:rFonts w:eastAsia="Times New Roman" w:cs="Arial"/>
          <w:color w:val="000000"/>
          <w:szCs w:val="19"/>
          <w:lang w:eastAsia="bg-BG"/>
        </w:rPr>
      </w:pPr>
    </w:p>
    <w:p w14:paraId="0B6AC7E6" w14:textId="594B5437" w:rsidR="00A134C7" w:rsidRPr="007F1682" w:rsidRDefault="00A134C7" w:rsidP="00295CCA">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Дулоксетин показа статистическо предимство спрямо плацебо проследено чрез подобрение на</w:t>
      </w:r>
      <w:r w:rsidR="00295CCA">
        <w:rPr>
          <w:rFonts w:eastAsia="Times New Roman" w:cs="Arial"/>
          <w:color w:val="000000"/>
          <w:szCs w:val="19"/>
          <w:lang w:eastAsia="bg-BG"/>
        </w:rPr>
        <w:t xml:space="preserve"> </w:t>
      </w:r>
      <w:r w:rsidRPr="007F1682">
        <w:rPr>
          <w:rFonts w:eastAsia="Times New Roman" w:cs="Arial"/>
          <w:color w:val="000000"/>
          <w:szCs w:val="19"/>
          <w:lang w:eastAsia="bg-BG"/>
        </w:rPr>
        <w:t>об</w:t>
      </w:r>
      <w:r w:rsidR="00295CCA">
        <w:rPr>
          <w:rFonts w:eastAsia="Times New Roman" w:cs="Arial"/>
          <w:color w:val="000000"/>
          <w:szCs w:val="19"/>
          <w:lang w:eastAsia="bg-BG"/>
        </w:rPr>
        <w:t>щ</w:t>
      </w:r>
      <w:r w:rsidRPr="007F1682">
        <w:rPr>
          <w:rFonts w:eastAsia="Times New Roman" w:cs="Arial"/>
          <w:color w:val="000000"/>
          <w:szCs w:val="19"/>
          <w:lang w:eastAsia="bg-BG"/>
        </w:rPr>
        <w:t xml:space="preserve">ия резултат по 17 точковата </w:t>
      </w:r>
      <w:r w:rsidRPr="007F1682">
        <w:rPr>
          <w:rFonts w:eastAsia="Times New Roman" w:cs="Arial"/>
          <w:color w:val="000000"/>
          <w:szCs w:val="19"/>
        </w:rPr>
        <w:t xml:space="preserve">Hamilton Depression Rating Scale (HAM-D), </w:t>
      </w:r>
      <w:r w:rsidRPr="007F1682">
        <w:rPr>
          <w:rFonts w:eastAsia="Times New Roman" w:cs="Arial"/>
          <w:color w:val="000000"/>
          <w:szCs w:val="19"/>
          <w:lang w:eastAsia="bg-BG"/>
        </w:rPr>
        <w:t>включително и на емоционалните и на соматичните симптоми на депресия). Степента на отговор и ремисия са също статистически значимо по-високи при дулоксетин, в сравнение с плацебо. Само малка част от пациентите, включени в пилотни клинични проучвания, са били с тежка депресия (изходно ниво НАМ-</w:t>
      </w:r>
      <w:r w:rsidRPr="007F1682">
        <w:rPr>
          <w:rFonts w:eastAsia="Times New Roman" w:cs="Arial"/>
          <w:color w:val="000000"/>
          <w:szCs w:val="19"/>
        </w:rPr>
        <w:t>D</w:t>
      </w:r>
      <w:r w:rsidRPr="007F1682">
        <w:rPr>
          <w:rFonts w:eastAsia="Times New Roman" w:cs="Arial"/>
          <w:color w:val="000000"/>
          <w:szCs w:val="19"/>
          <w:lang w:eastAsia="bg-BG"/>
        </w:rPr>
        <w:t>&gt;25).</w:t>
      </w:r>
    </w:p>
    <w:p w14:paraId="0AC23D37" w14:textId="77777777" w:rsidR="00A134C7" w:rsidRPr="007F1682" w:rsidRDefault="00A134C7" w:rsidP="00A134C7">
      <w:pPr>
        <w:spacing w:line="240" w:lineRule="auto"/>
        <w:rPr>
          <w:rFonts w:eastAsia="Times New Roman" w:cs="Arial"/>
          <w:color w:val="000000"/>
          <w:szCs w:val="19"/>
          <w:lang w:eastAsia="bg-BG"/>
        </w:rPr>
      </w:pPr>
    </w:p>
    <w:p w14:paraId="1A838133" w14:textId="22F777F8"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В проучване за предотвратяване на рецидив, пациентите, повлияли се от 12-седмично открито, остро лечение с дулоксетин 60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веднъж дневно, са рандомизирани или на дулоксетин 60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веднъж дневно или на плацебо за още 6 месеца. Прилагането на дулоксетин 60 </w:t>
      </w:r>
      <w:r w:rsidRPr="007F1682">
        <w:rPr>
          <w:rFonts w:eastAsia="Times New Roman" w:cs="Arial"/>
          <w:color w:val="000000"/>
          <w:szCs w:val="19"/>
        </w:rPr>
        <w:t xml:space="preserve">mg </w:t>
      </w:r>
      <w:r w:rsidRPr="007F1682">
        <w:rPr>
          <w:rFonts w:eastAsia="Times New Roman" w:cs="Arial"/>
          <w:color w:val="000000"/>
          <w:szCs w:val="19"/>
          <w:lang w:eastAsia="bg-BG"/>
        </w:rPr>
        <w:t>веднъж дневно показва статистически значимо предимство в сравнение с плацебо (р=0.004). по отношение на измерването за първичен изход, профилактиката на рецидив на депресия, измерена чрез времето до рецидива. Честотата на рецидивите по време на 6-мессчния двойно-сляп период на проследяване е 17% и 29%, съответно, за дулоксетин и за плацебо.</w:t>
      </w:r>
    </w:p>
    <w:p w14:paraId="67CBE60A" w14:textId="77777777" w:rsidR="00A134C7" w:rsidRPr="007F1682" w:rsidRDefault="00A134C7" w:rsidP="00A134C7">
      <w:pPr>
        <w:spacing w:line="240" w:lineRule="auto"/>
        <w:rPr>
          <w:rFonts w:eastAsia="Times New Roman" w:cs="Arial"/>
          <w:color w:val="000000"/>
          <w:szCs w:val="19"/>
          <w:lang w:eastAsia="bg-BG"/>
        </w:rPr>
      </w:pPr>
    </w:p>
    <w:p w14:paraId="42002F4F" w14:textId="58B30B78"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По време на 52-седмичното плацебо контролирано двойно-сляпо лечение лекуваните с дулоксетин пациенти с рецидив на голямо депресивно разстройство имат сигнификантно по-дълъг безсимптомен период (р&lt;0,001) в сравнение е пациентите, рандомизирани на плацебо. Всички пациенти предварително са се повлияли от дулоксетин по време на отворено лечение с дулоксетин (28 до 34 седмици) при доза от 60 до 120 </w:t>
      </w:r>
      <w:r w:rsidRPr="007F1682">
        <w:rPr>
          <w:rFonts w:eastAsia="Times New Roman" w:cs="Arial"/>
          <w:color w:val="000000"/>
          <w:szCs w:val="19"/>
        </w:rPr>
        <w:t>mg</w:t>
      </w:r>
      <w:r w:rsidRPr="007F1682">
        <w:rPr>
          <w:rFonts w:eastAsia="Times New Roman" w:cs="Arial"/>
          <w:color w:val="000000"/>
          <w:szCs w:val="19"/>
          <w:lang w:eastAsia="bg-BG"/>
        </w:rPr>
        <w:t>/дневно. По време на 52-седмичната плацебо контролирана двойно-сляпа фаза на лечение 14.4% от пациентите, лекувани с дулоксетин. и 33.1% от пациентите, третирани с плацебо, преживяват повторна поява на симптомите си на депресия (р&lt;0,001).</w:t>
      </w:r>
    </w:p>
    <w:p w14:paraId="35287F55" w14:textId="77777777" w:rsidR="00A134C7" w:rsidRPr="007F1682" w:rsidRDefault="00A134C7" w:rsidP="00A134C7">
      <w:pPr>
        <w:rPr>
          <w:rFonts w:eastAsia="Times New Roman" w:cs="Arial"/>
          <w:color w:val="000000"/>
          <w:szCs w:val="19"/>
          <w:lang w:eastAsia="bg-BG"/>
        </w:rPr>
      </w:pPr>
    </w:p>
    <w:p w14:paraId="6876CBD5" w14:textId="6DA9B96A" w:rsidR="00A134C7" w:rsidRPr="007F1682" w:rsidRDefault="00A134C7" w:rsidP="00A134C7">
      <w:pPr>
        <w:rPr>
          <w:rFonts w:eastAsia="Times New Roman" w:cs="Arial"/>
          <w:color w:val="000000"/>
          <w:szCs w:val="19"/>
          <w:lang w:eastAsia="bg-BG"/>
        </w:rPr>
      </w:pPr>
      <w:r w:rsidRPr="007F1682">
        <w:rPr>
          <w:rFonts w:eastAsia="Times New Roman" w:cs="Arial"/>
          <w:color w:val="000000"/>
          <w:szCs w:val="19"/>
          <w:lang w:eastAsia="bg-BG"/>
        </w:rPr>
        <w:t xml:space="preserve">Ефектът от прилагането на дулоксетин 60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веднъж дневно при пациенти с депресия в старческа възраст (&gt;65 години) е оценен специфично в проучване, показващо статистически значима разлика в намаляването на </w:t>
      </w:r>
      <w:r w:rsidRPr="007F1682">
        <w:rPr>
          <w:rFonts w:eastAsia="Times New Roman" w:cs="Arial"/>
          <w:color w:val="000000"/>
          <w:szCs w:val="19"/>
        </w:rPr>
        <w:t xml:space="preserve">HAM-D </w:t>
      </w:r>
      <w:r w:rsidRPr="007F1682">
        <w:rPr>
          <w:rFonts w:eastAsia="Times New Roman" w:cs="Arial"/>
          <w:color w:val="000000"/>
          <w:szCs w:val="19"/>
          <w:lang w:eastAsia="bg-BG"/>
        </w:rPr>
        <w:t xml:space="preserve">17 резултата за пациентите, лекувани с дулоксетин. в сравнение е плацебо. Поносимостта на дулоксетин 60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веднъж дневно при </w:t>
      </w:r>
      <w:r w:rsidRPr="007F1682">
        <w:rPr>
          <w:rFonts w:eastAsia="Times New Roman" w:cs="Arial"/>
          <w:i/>
          <w:iCs/>
          <w:color w:val="000000"/>
          <w:szCs w:val="19"/>
          <w:lang w:eastAsia="bg-BG"/>
        </w:rPr>
        <w:t>пациенти в</w:t>
      </w:r>
      <w:r w:rsidRPr="007F1682">
        <w:rPr>
          <w:rFonts w:eastAsia="Times New Roman" w:cs="Arial"/>
          <w:color w:val="000000"/>
          <w:szCs w:val="19"/>
          <w:lang w:eastAsia="bg-BG"/>
        </w:rPr>
        <w:t xml:space="preserve"> старческа възраст е сравнима с тази, наблюдавана при по-млади възрастни пациенти. Данните, обаче, за пациенти изложени на максималната доза (120 </w:t>
      </w:r>
      <w:r w:rsidRPr="007F1682">
        <w:rPr>
          <w:rFonts w:eastAsia="Times New Roman" w:cs="Arial"/>
          <w:color w:val="000000"/>
          <w:szCs w:val="19"/>
        </w:rPr>
        <w:t xml:space="preserve">mg </w:t>
      </w:r>
      <w:r w:rsidRPr="007F1682">
        <w:rPr>
          <w:rFonts w:eastAsia="Times New Roman" w:cs="Arial"/>
          <w:color w:val="000000"/>
          <w:szCs w:val="19"/>
          <w:lang w:eastAsia="bg-BG"/>
        </w:rPr>
        <w:t>дневно), са ограничени и затова се препоръчва повишено внимание при лечение на тази популация.</w:t>
      </w:r>
    </w:p>
    <w:p w14:paraId="233B1A09" w14:textId="2D628EEE" w:rsidR="00A134C7" w:rsidRPr="007F1682" w:rsidRDefault="00A134C7" w:rsidP="00A134C7">
      <w:pPr>
        <w:rPr>
          <w:rFonts w:eastAsia="Times New Roman" w:cs="Arial"/>
          <w:color w:val="000000"/>
          <w:szCs w:val="19"/>
          <w:lang w:eastAsia="bg-BG"/>
        </w:rPr>
      </w:pPr>
    </w:p>
    <w:p w14:paraId="6A190AB3" w14:textId="77777777"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Генерализирано тревожно разстройство</w:t>
      </w:r>
    </w:p>
    <w:p w14:paraId="5DBC73BB" w14:textId="77777777"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Дулоксетин е показал статистически значимо предимство спрямо плацебо при пет от пет проучвания, включащи четири рандомизирани, двойно-слепи, плацебо контролирани остри проучвания и проучване за профилактика на рецидив при възрастни с генерализирано тревожно разстройство.</w:t>
      </w:r>
    </w:p>
    <w:p w14:paraId="408267EB" w14:textId="77777777" w:rsidR="00A134C7" w:rsidRPr="007F1682" w:rsidRDefault="00A134C7" w:rsidP="00A134C7">
      <w:pPr>
        <w:spacing w:line="240" w:lineRule="auto"/>
        <w:rPr>
          <w:rFonts w:eastAsia="Times New Roman" w:cs="Arial"/>
          <w:color w:val="000000"/>
          <w:szCs w:val="19"/>
          <w:lang w:eastAsia="bg-BG"/>
        </w:rPr>
      </w:pPr>
    </w:p>
    <w:p w14:paraId="21B0ACB2" w14:textId="1D3C7A6B"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Дулоксетин е показал статистически значимо предимство спрямо плацебо. измерено чрез подобрение на общия скор по скала за тревожност на </w:t>
      </w:r>
      <w:r w:rsidRPr="007F1682">
        <w:rPr>
          <w:rFonts w:eastAsia="Times New Roman" w:cs="Arial"/>
          <w:color w:val="000000"/>
          <w:szCs w:val="19"/>
        </w:rPr>
        <w:t xml:space="preserve">Hamilton (Hamilton Anxiety Scale (HAM-A)) </w:t>
      </w:r>
      <w:r w:rsidRPr="007F1682">
        <w:rPr>
          <w:rFonts w:eastAsia="Times New Roman" w:cs="Arial"/>
          <w:color w:val="000000"/>
          <w:szCs w:val="19"/>
          <w:lang w:eastAsia="bg-BG"/>
        </w:rPr>
        <w:t>и ско</w:t>
      </w:r>
      <w:r w:rsidRPr="007F1682">
        <w:rPr>
          <w:rFonts w:eastAsia="Times New Roman" w:cs="Arial"/>
          <w:color w:val="000000"/>
          <w:szCs w:val="19"/>
        </w:rPr>
        <w:t xml:space="preserve">pa </w:t>
      </w:r>
      <w:r w:rsidRPr="007F1682">
        <w:rPr>
          <w:rFonts w:eastAsia="Times New Roman" w:cs="Arial"/>
          <w:color w:val="000000"/>
          <w:szCs w:val="19"/>
          <w:lang w:eastAsia="bg-BG"/>
        </w:rPr>
        <w:t xml:space="preserve">за общо функционално разстройство по скала за инвалидност на </w:t>
      </w:r>
      <w:r w:rsidRPr="007F1682">
        <w:rPr>
          <w:rFonts w:eastAsia="Times New Roman" w:cs="Arial"/>
          <w:color w:val="000000"/>
          <w:szCs w:val="19"/>
        </w:rPr>
        <w:t xml:space="preserve">Sheehan (Sheehan Disanbilits Scale (SDS)). </w:t>
      </w:r>
      <w:r w:rsidRPr="007F1682">
        <w:rPr>
          <w:rFonts w:eastAsia="Times New Roman" w:cs="Arial"/>
          <w:color w:val="000000"/>
          <w:szCs w:val="19"/>
          <w:lang w:eastAsia="bg-BG"/>
        </w:rPr>
        <w:t>Степените на повлияване и ремисия са също по-високи при дулоксетин. в сравнение с плацебо. Дулоксетин показва сравними резултати за ефикасност с тези на в</w:t>
      </w:r>
      <w:r w:rsidR="0006472B">
        <w:rPr>
          <w:rFonts w:eastAsia="Times New Roman" w:cs="Arial"/>
          <w:color w:val="000000"/>
          <w:szCs w:val="19"/>
          <w:lang w:eastAsia="bg-BG"/>
        </w:rPr>
        <w:t>е</w:t>
      </w:r>
      <w:r w:rsidRPr="007F1682">
        <w:rPr>
          <w:rFonts w:eastAsia="Times New Roman" w:cs="Arial"/>
          <w:color w:val="000000"/>
          <w:szCs w:val="19"/>
          <w:lang w:eastAsia="bg-BG"/>
        </w:rPr>
        <w:t>нлафаксин от гледна точка подобрение на общия резултат по НАМ-А.</w:t>
      </w:r>
    </w:p>
    <w:p w14:paraId="63BB5292" w14:textId="77777777" w:rsidR="00A134C7" w:rsidRPr="007F1682" w:rsidRDefault="00A134C7" w:rsidP="00A134C7">
      <w:pPr>
        <w:spacing w:line="240" w:lineRule="auto"/>
        <w:rPr>
          <w:rFonts w:eastAsia="Times New Roman" w:cs="Arial"/>
          <w:color w:val="000000"/>
          <w:szCs w:val="19"/>
          <w:lang w:eastAsia="bg-BG"/>
        </w:rPr>
      </w:pPr>
    </w:p>
    <w:p w14:paraId="11DDE163" w14:textId="65D97DC8"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lastRenderedPageBreak/>
        <w:t xml:space="preserve">При проучване за профилактика на рецидив, пациентите, повлияващи се от 6-месечно остро открито лечение с дулоксетин, са рандомизирани да получават или дулоксетин. или плацебо за последващите 6 месеца. Дулоксетин 60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до 120 </w:t>
      </w:r>
      <w:r w:rsidRPr="007F1682">
        <w:rPr>
          <w:rFonts w:eastAsia="Times New Roman" w:cs="Arial"/>
          <w:color w:val="000000"/>
          <w:szCs w:val="19"/>
        </w:rPr>
        <w:t xml:space="preserve">mg </w:t>
      </w:r>
      <w:r w:rsidRPr="007F1682">
        <w:rPr>
          <w:rFonts w:eastAsia="Times New Roman" w:cs="Arial"/>
          <w:color w:val="000000"/>
          <w:szCs w:val="19"/>
          <w:lang w:eastAsia="bg-BG"/>
        </w:rPr>
        <w:t>веднъж дневно е показал статистически значимо предимство в сравнение с плацебо (р&lt;0.001) при профилактиката а на рецидив, измерено чрез времето до поява на рецидив. Честотата на рецидив през 6-мессчния период на последващото двойно-сляпо проследяване е 14% при дулоксетин и 42% при плацебо.</w:t>
      </w:r>
    </w:p>
    <w:p w14:paraId="6A3B6CE9" w14:textId="77777777" w:rsidR="00A134C7" w:rsidRPr="007F1682" w:rsidRDefault="00A134C7" w:rsidP="00A134C7">
      <w:pPr>
        <w:spacing w:line="240" w:lineRule="auto"/>
        <w:rPr>
          <w:rFonts w:eastAsia="Times New Roman" w:cs="Arial"/>
          <w:color w:val="000000"/>
          <w:szCs w:val="19"/>
          <w:lang w:eastAsia="bg-BG"/>
        </w:rPr>
      </w:pPr>
    </w:p>
    <w:p w14:paraId="39121B20" w14:textId="49B5BD53"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Ефикасността на дулоксетин 30-120 </w:t>
      </w:r>
      <w:r w:rsidRPr="007F1682">
        <w:rPr>
          <w:rFonts w:eastAsia="Times New Roman" w:cs="Arial"/>
          <w:color w:val="000000"/>
          <w:szCs w:val="19"/>
        </w:rPr>
        <w:t xml:space="preserve">mg </w:t>
      </w:r>
      <w:r w:rsidRPr="007F1682">
        <w:rPr>
          <w:rFonts w:eastAsia="Times New Roman" w:cs="Arial"/>
          <w:color w:val="000000"/>
          <w:szCs w:val="19"/>
          <w:lang w:eastAsia="bg-BG"/>
        </w:rPr>
        <w:t>(гъвкаво дозиране) веднъж дневно при пациенти в старческа възраст (&gt;65 години) с генерализирано тревожно разстройство е оценена в едно проучване, което</w:t>
      </w:r>
      <w:r w:rsidRPr="007F1682">
        <w:rPr>
          <w:rFonts w:ascii="Times New Roman" w:eastAsia="Times New Roman" w:hAnsi="Times New Roman" w:cs="Times New Roman"/>
          <w:sz w:val="32"/>
          <w:szCs w:val="24"/>
          <w:lang w:eastAsia="bg-BG"/>
        </w:rPr>
        <w:t xml:space="preserve"> </w:t>
      </w:r>
      <w:r w:rsidRPr="007F1682">
        <w:rPr>
          <w:rFonts w:eastAsia="Times New Roman" w:cs="Arial"/>
          <w:color w:val="000000"/>
          <w:szCs w:val="19"/>
          <w:lang w:eastAsia="bg-BG"/>
        </w:rPr>
        <w:t xml:space="preserve">показва статистически значимо подобрение в общия резултат за </w:t>
      </w:r>
      <w:r w:rsidRPr="007F1682">
        <w:rPr>
          <w:rFonts w:eastAsia="Times New Roman" w:cs="Arial"/>
          <w:color w:val="000000"/>
          <w:szCs w:val="19"/>
        </w:rPr>
        <w:t xml:space="preserve">HAM-A </w:t>
      </w:r>
      <w:r w:rsidRPr="007F1682">
        <w:rPr>
          <w:rFonts w:eastAsia="Times New Roman" w:cs="Arial"/>
          <w:color w:val="000000"/>
          <w:szCs w:val="19"/>
          <w:lang w:eastAsia="bg-BG"/>
        </w:rPr>
        <w:t>за пациентите, лекувани с дулоксетин, в сравнение с пациентите, получаващи плацебо.</w:t>
      </w:r>
    </w:p>
    <w:p w14:paraId="5F670B11" w14:textId="5C2CFC95" w:rsidR="00A134C7" w:rsidRPr="007F1682" w:rsidRDefault="00A134C7" w:rsidP="00A134C7">
      <w:pPr>
        <w:rPr>
          <w:rFonts w:eastAsia="Times New Roman" w:cs="Arial"/>
          <w:color w:val="000000"/>
          <w:sz w:val="19"/>
          <w:szCs w:val="19"/>
          <w:lang w:eastAsia="bg-BG"/>
        </w:rPr>
      </w:pPr>
    </w:p>
    <w:p w14:paraId="08355098" w14:textId="77777777"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Ефикасността и безопасността на дулоксетин 30-120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веднъж дневно при пациенти в старческа възраст с генерализирано тревожно разстройство са подобни на наблюдаваните в проучвания при по-млади възрастни пациенти. Въпреки това данните за пациенти в старческа възраст, изложени на максималната доза (120 </w:t>
      </w:r>
      <w:r w:rsidRPr="007F1682">
        <w:rPr>
          <w:rFonts w:eastAsia="Times New Roman" w:cs="Arial"/>
          <w:color w:val="000000"/>
          <w:szCs w:val="19"/>
        </w:rPr>
        <w:t xml:space="preserve">mg </w:t>
      </w:r>
      <w:r w:rsidRPr="007F1682">
        <w:rPr>
          <w:rFonts w:eastAsia="Times New Roman" w:cs="Arial"/>
          <w:color w:val="000000"/>
          <w:szCs w:val="19"/>
          <w:lang w:eastAsia="bg-BG"/>
        </w:rPr>
        <w:t>дневно), са ограничени и по този начин се препоръчва повишено внимание при използването на тази доза при популацията в старческа възраст.</w:t>
      </w:r>
    </w:p>
    <w:p w14:paraId="7B5E279F" w14:textId="77777777" w:rsidR="00A134C7" w:rsidRPr="007F1682" w:rsidRDefault="00A134C7" w:rsidP="00A134C7">
      <w:pPr>
        <w:spacing w:line="240" w:lineRule="auto"/>
        <w:rPr>
          <w:rFonts w:eastAsia="Times New Roman" w:cs="Arial"/>
          <w:i/>
          <w:iCs/>
          <w:color w:val="000000"/>
          <w:szCs w:val="19"/>
          <w:lang w:eastAsia="bg-BG"/>
        </w:rPr>
      </w:pPr>
    </w:p>
    <w:p w14:paraId="00618454" w14:textId="5CC48CE5"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Диабетна периферна невропатна болка</w:t>
      </w:r>
    </w:p>
    <w:p w14:paraId="381E4B54" w14:textId="77777777"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Ефикасността на дулоксетин за лечение на диабетна невропатна болка е установена при 2 рандомизирани. 12-седмични, двойно-слепи, плацебо контролирани, е фиксирана доза проучвания при възрастни (22-88-годишни) с диабетна невропатна болка в продължение поне на 6 месеца. Пациентите, отговарящи на критериите за голямо депресивно разстройство, са изключени от тези проучвания. Измерител на първичния изход е седмичната средна стойност на 24-часовата болка, която е отразявана в ежедневен дневник на пациентите по 11-точковата скала на </w:t>
      </w:r>
      <w:r w:rsidRPr="007F1682">
        <w:rPr>
          <w:rFonts w:eastAsia="Times New Roman" w:cs="Arial"/>
          <w:color w:val="000000"/>
          <w:szCs w:val="19"/>
        </w:rPr>
        <w:t>Likert,</w:t>
      </w:r>
    </w:p>
    <w:p w14:paraId="6676E8AB" w14:textId="77777777" w:rsidR="00A134C7" w:rsidRPr="007F1682" w:rsidRDefault="00A134C7" w:rsidP="00A134C7">
      <w:pPr>
        <w:spacing w:line="240" w:lineRule="auto"/>
        <w:rPr>
          <w:rFonts w:eastAsia="Times New Roman" w:cs="Arial"/>
          <w:color w:val="000000"/>
          <w:szCs w:val="19"/>
          <w:lang w:eastAsia="bg-BG"/>
        </w:rPr>
      </w:pPr>
    </w:p>
    <w:p w14:paraId="7D3CB3EC" w14:textId="6622F752"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В двете проучвания, дулоксетин 60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веднъж дневно и 60 </w:t>
      </w:r>
      <w:r w:rsidRPr="007F1682">
        <w:rPr>
          <w:rFonts w:eastAsia="Times New Roman" w:cs="Arial"/>
          <w:color w:val="000000"/>
          <w:szCs w:val="19"/>
        </w:rPr>
        <w:t xml:space="preserve">mg </w:t>
      </w:r>
      <w:r w:rsidRPr="007F1682">
        <w:rPr>
          <w:rFonts w:eastAsia="Times New Roman" w:cs="Arial"/>
          <w:color w:val="000000"/>
          <w:szCs w:val="19"/>
          <w:lang w:eastAsia="bg-BG"/>
        </w:rPr>
        <w:t>два пъти дневно значително намалява болката, в сравнение с плацебо. Ефектът при някои пациенти е видим през първите седмици на лечение. Разликата в средното подобрение между двете рамена на активно лечение не е значителна. Отбелязано е поне 30% съобщавано намаляване на болката при приблизително 65% от лекуваните с дулоксетин пациенти срещу 40% за плацебо. Съответните цифри за поне 50% редукция на болката, са съответно 50% и 26%. Степента на клиничен отговор (50% или повече подобрение на болката) е анализирана според това дали пациентът е проявил сомнолентност по време на лечението или не. За пациентите, които не са проявили сомнолентност е наблюдван клиничен отговор при 47% от пациентите, получаващи дулоксетин и 27% от пациентите на плацебо. Степента на клиничен отговор при пациентите, проявили сомнолентност. е 60% на дулоксетин и 30% на плацебо. Пациентите, непроявяващи редукция на болката от 30% в рамките на 60 дни лечение е малко вероятно да достигнат това ниво при по-нататъшно лечение.</w:t>
      </w:r>
    </w:p>
    <w:p w14:paraId="0380A3A3" w14:textId="77777777" w:rsidR="00A134C7" w:rsidRPr="007F1682" w:rsidRDefault="00A134C7" w:rsidP="00A134C7">
      <w:pPr>
        <w:rPr>
          <w:rFonts w:eastAsia="Times New Roman" w:cs="Arial"/>
          <w:color w:val="000000"/>
          <w:szCs w:val="19"/>
          <w:lang w:eastAsia="bg-BG"/>
        </w:rPr>
      </w:pPr>
    </w:p>
    <w:p w14:paraId="44E2BB64" w14:textId="791257FD" w:rsidR="00A134C7" w:rsidRPr="007F1682" w:rsidRDefault="00A134C7" w:rsidP="00A134C7">
      <w:pPr>
        <w:rPr>
          <w:rFonts w:eastAsia="Times New Roman" w:cs="Arial"/>
          <w:color w:val="000000"/>
          <w:szCs w:val="19"/>
          <w:lang w:eastAsia="bg-BG"/>
        </w:rPr>
      </w:pPr>
      <w:r w:rsidRPr="007F1682">
        <w:rPr>
          <w:rFonts w:eastAsia="Times New Roman" w:cs="Arial"/>
          <w:color w:val="000000"/>
          <w:szCs w:val="19"/>
          <w:lang w:eastAsia="bg-BG"/>
        </w:rPr>
        <w:t xml:space="preserve">При отворено дългосрочно неконтролирано проучване намалението на болката при пациенти, повлияни от 8-седмично остро лечение с дулоксетин 60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еднократно дневно, се запазва за още 6 месеца, както е оценено с промяната по скалата за кратка оценка на болката </w:t>
      </w:r>
      <w:r w:rsidRPr="007F1682">
        <w:rPr>
          <w:rFonts w:eastAsia="Times New Roman" w:cs="Arial"/>
          <w:color w:val="000000"/>
          <w:szCs w:val="19"/>
        </w:rPr>
        <w:t xml:space="preserve">(Brief Pain Inventory </w:t>
      </w:r>
      <w:r w:rsidRPr="007F1682">
        <w:rPr>
          <w:rFonts w:eastAsia="Times New Roman" w:cs="Arial"/>
          <w:color w:val="000000"/>
          <w:szCs w:val="19"/>
          <w:lang w:eastAsia="bg-BG"/>
        </w:rPr>
        <w:t>(</w:t>
      </w:r>
      <w:r w:rsidRPr="007F1682">
        <w:rPr>
          <w:rFonts w:eastAsia="Times New Roman" w:cs="Arial"/>
          <w:color w:val="000000"/>
          <w:szCs w:val="19"/>
        </w:rPr>
        <w:t xml:space="preserve">BPI)) </w:t>
      </w:r>
      <w:r w:rsidRPr="007F1682">
        <w:rPr>
          <w:rFonts w:eastAsia="Times New Roman" w:cs="Arial"/>
          <w:color w:val="000000"/>
          <w:szCs w:val="19"/>
          <w:lang w:eastAsia="bg-BG"/>
        </w:rPr>
        <w:t>на 24-часовия среден брой точки за болка.</w:t>
      </w:r>
    </w:p>
    <w:p w14:paraId="4FC67274" w14:textId="0B21BB90" w:rsidR="00A134C7" w:rsidRPr="007F1682" w:rsidRDefault="00A134C7" w:rsidP="00A134C7">
      <w:pPr>
        <w:rPr>
          <w:rFonts w:eastAsia="Times New Roman" w:cs="Arial"/>
          <w:color w:val="000000"/>
          <w:szCs w:val="19"/>
          <w:lang w:eastAsia="bg-BG"/>
        </w:rPr>
      </w:pPr>
    </w:p>
    <w:p w14:paraId="5B56E397" w14:textId="77777777"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lastRenderedPageBreak/>
        <w:t>П</w:t>
      </w:r>
      <w:r w:rsidRPr="007F1682">
        <w:rPr>
          <w:rFonts w:eastAsia="Times New Roman" w:cs="Arial"/>
          <w:color w:val="000000"/>
          <w:szCs w:val="19"/>
          <w:u w:val="single"/>
          <w:lang w:eastAsia="bg-BG"/>
        </w:rPr>
        <w:t>едиатрична популация</w:t>
      </w:r>
    </w:p>
    <w:p w14:paraId="2F65FAFD" w14:textId="77777777"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Дулоксетин не е изследван при пациенти под 7-годишна възраст.</w:t>
      </w:r>
    </w:p>
    <w:p w14:paraId="15064116" w14:textId="77777777" w:rsidR="00A134C7" w:rsidRPr="007F1682" w:rsidRDefault="00A134C7" w:rsidP="00A134C7">
      <w:pPr>
        <w:spacing w:line="240" w:lineRule="auto"/>
        <w:rPr>
          <w:rFonts w:eastAsia="Times New Roman" w:cs="Arial"/>
          <w:color w:val="000000"/>
          <w:szCs w:val="19"/>
          <w:lang w:eastAsia="bg-BG"/>
        </w:rPr>
      </w:pPr>
    </w:p>
    <w:p w14:paraId="765A7B4C" w14:textId="7CEC39C0"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Проведени са две рандомизирани. двойнослепи. паралелни клинични проучвания при 800 педиатрични пациенти на възраст от 7 до 17 години с голямо депресивно разстройство (вж. точка 4.2). Тези две проучвания включват 10-седмична плацебо-контрол и рана и активно-контролирана (флуоксетин) остра фаза, последвана от шестмесечен период на продължение на активно контролирано лечение. Пито групата, лекувана с дулоксетин (30-120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нито групата с активна контрола (флуоксетин 20-40 </w:t>
      </w:r>
      <w:r w:rsidRPr="007F1682">
        <w:rPr>
          <w:rFonts w:eastAsia="Times New Roman" w:cs="Arial"/>
          <w:color w:val="000000"/>
          <w:szCs w:val="19"/>
        </w:rPr>
        <w:t xml:space="preserve">mg) </w:t>
      </w:r>
      <w:r w:rsidRPr="007F1682">
        <w:rPr>
          <w:rFonts w:eastAsia="Times New Roman" w:cs="Arial"/>
          <w:color w:val="000000"/>
          <w:szCs w:val="19"/>
          <w:lang w:eastAsia="bg-BG"/>
        </w:rPr>
        <w:t>статистически се различават от плацебо по отношение на промяната в общите резултати по скал</w:t>
      </w:r>
      <w:r w:rsidRPr="007F1682">
        <w:rPr>
          <w:rFonts w:eastAsia="Times New Roman" w:cs="Arial"/>
          <w:color w:val="000000"/>
          <w:szCs w:val="19"/>
        </w:rPr>
        <w:t>a</w:t>
      </w:r>
      <w:r w:rsidRPr="007F1682">
        <w:rPr>
          <w:rFonts w:eastAsia="Times New Roman" w:cs="Arial"/>
          <w:color w:val="000000"/>
          <w:szCs w:val="19"/>
          <w:lang w:eastAsia="bg-BG"/>
        </w:rPr>
        <w:t xml:space="preserve">та </w:t>
      </w:r>
      <w:r w:rsidRPr="007F1682">
        <w:rPr>
          <w:rFonts w:eastAsia="Times New Roman" w:cs="Arial"/>
          <w:color w:val="000000"/>
          <w:szCs w:val="19"/>
        </w:rPr>
        <w:t xml:space="preserve">Children's Depression Rating Scale-Revised (CDRS-R) </w:t>
      </w:r>
      <w:r w:rsidRPr="007F1682">
        <w:rPr>
          <w:rFonts w:eastAsia="Times New Roman" w:cs="Arial"/>
          <w:color w:val="000000"/>
          <w:szCs w:val="19"/>
          <w:lang w:eastAsia="bg-BG"/>
        </w:rPr>
        <w:t>от изходния до крайния момент.Прекъсване на лечението поради нежелани събития е по-често при пациентите, приемащи дулоксетин. в сравнение с тези, лекувани с флуоксетин. в повечето случаи поради гадене. По време на 10-седмичния период на активно лечение е съобщавано за суицидно поведение (дулоксетин 0/333 [0%]. флуоксетин 2/225 [0,9%], плацебо 1/220 [0,5% ]). През целия 36-седмичен курс на изследването. 6 от 333 пациенти, които първоначално са рандомизирани да получават дулоксетин. и 3 от 225 пациенти, които първоначално са рандомизирани да получават флуоксетин, проявяват суицидно поведение (експозиция-коригираната честота на суицидно поведение е 0,039 събития на пациент на година за дулоксетин. и 0.026 за флуоксетин). Освен това, един пациент, който е преминал от плацебо на лечение с дулоксетин. е имал суицидно поведение по време на приема на дулоксетин.</w:t>
      </w:r>
    </w:p>
    <w:p w14:paraId="701B88D7" w14:textId="77777777" w:rsidR="00A134C7" w:rsidRPr="007F1682" w:rsidRDefault="00A134C7" w:rsidP="00A134C7">
      <w:pPr>
        <w:spacing w:line="240" w:lineRule="auto"/>
        <w:rPr>
          <w:rFonts w:eastAsia="Times New Roman" w:cs="Arial"/>
          <w:color w:val="000000"/>
          <w:szCs w:val="19"/>
          <w:lang w:eastAsia="bg-BG"/>
        </w:rPr>
      </w:pPr>
    </w:p>
    <w:p w14:paraId="2017A011" w14:textId="133F0D25" w:rsidR="00A134C7" w:rsidRPr="007F1682" w:rsidRDefault="00A134C7" w:rsidP="000F5715">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Проведено е рандомизирано, двойносляпо, плацебо контролирано проучване при 272 пациенти от педиатричната популация на възраст 7-17 години с генерализирано тревожно разстройство</w:t>
      </w:r>
      <w:r w:rsidR="000F5715">
        <w:rPr>
          <w:rFonts w:eastAsia="Times New Roman" w:cs="Arial"/>
          <w:color w:val="000000"/>
          <w:szCs w:val="19"/>
          <w:lang w:eastAsia="bg-BG"/>
        </w:rPr>
        <w:t>.</w:t>
      </w:r>
      <w:r w:rsidRPr="007F1682">
        <w:rPr>
          <w:rFonts w:eastAsia="Times New Roman" w:cs="Arial"/>
          <w:color w:val="000000"/>
          <w:szCs w:val="19"/>
          <w:lang w:eastAsia="bg-BG"/>
        </w:rPr>
        <w:t xml:space="preserve">Проучването включва 10-седмична плацебо контролирана остра фаза, последвана от 18-седмичен </w:t>
      </w:r>
      <w:r w:rsidRPr="000F5715">
        <w:rPr>
          <w:rFonts w:eastAsia="Times New Roman" w:cs="Arial"/>
          <w:color w:val="000000"/>
          <w:szCs w:val="19"/>
          <w:lang w:eastAsia="bg-BG"/>
        </w:rPr>
        <w:t xml:space="preserve">период на продължение на лечението. В това проучване е използвана гъвкава схема на дозиране, за да се даде възможност за бавно повишаване на дозата от 30 </w:t>
      </w:r>
      <w:r w:rsidRPr="000F5715">
        <w:rPr>
          <w:rFonts w:eastAsia="Times New Roman" w:cs="Arial"/>
          <w:color w:val="000000"/>
          <w:szCs w:val="19"/>
        </w:rPr>
        <w:t xml:space="preserve">mg </w:t>
      </w:r>
      <w:r w:rsidRPr="000F5715">
        <w:rPr>
          <w:rFonts w:eastAsia="Times New Roman" w:cs="Arial"/>
          <w:color w:val="000000"/>
          <w:szCs w:val="19"/>
          <w:lang w:eastAsia="bg-BG"/>
        </w:rPr>
        <w:t>веднъж дневно до по-високи дози (максимум 120</w:t>
      </w:r>
      <w:r w:rsidRPr="007F1682">
        <w:rPr>
          <w:rFonts w:eastAsia="Times New Roman" w:cs="Arial"/>
          <w:color w:val="000000"/>
          <w:szCs w:val="19"/>
          <w:lang w:eastAsia="bg-BG"/>
        </w:rPr>
        <w:t xml:space="preserve"> </w:t>
      </w:r>
      <w:r w:rsidRPr="007F1682">
        <w:rPr>
          <w:rFonts w:eastAsia="Times New Roman" w:cs="Arial"/>
          <w:color w:val="000000"/>
          <w:szCs w:val="19"/>
        </w:rPr>
        <w:t xml:space="preserve">mg </w:t>
      </w:r>
      <w:r w:rsidRPr="007F1682">
        <w:rPr>
          <w:rFonts w:eastAsia="Times New Roman" w:cs="Arial"/>
          <w:color w:val="000000"/>
          <w:szCs w:val="19"/>
          <w:lang w:eastAsia="bg-BG"/>
        </w:rPr>
        <w:t xml:space="preserve">веднъж дневно). Лечението с дулоксетин показва статистически значимо по- голямо подобрение на симптомите на генерализираното тревожно разстройство. както с оценено е помощта на скалата за тежест на генерализирано тревожно разстройство </w:t>
      </w:r>
      <w:r w:rsidRPr="007F1682">
        <w:rPr>
          <w:rFonts w:eastAsia="Times New Roman" w:cs="Arial"/>
          <w:color w:val="000000"/>
          <w:szCs w:val="19"/>
        </w:rPr>
        <w:t xml:space="preserve">PARS </w:t>
      </w:r>
      <w:r w:rsidRPr="007F1682">
        <w:rPr>
          <w:rFonts w:eastAsia="Times New Roman" w:cs="Arial"/>
          <w:color w:val="000000"/>
          <w:szCs w:val="19"/>
          <w:lang w:eastAsia="bg-BG"/>
        </w:rPr>
        <w:t>(средна разлика между дулоксетин и плацебо 2,7 точки [95% ДИ 1,3-4.0]). след 10 седмици на лечение. Поддържането на ефекта не е оценявано. Няма статистически значима разлика в прекъсването па проучването поради нежелани събития между групите с дулоксетин и плацебо в течение на 10 седмичната фаза на остро лечение. Двама пациенти, които са прехвърлени от плацебо към дулоксетин след острата фаза, изпитват суицидно поведение, докато приемат дулоксетин по време на фазата на продължение. Не е направено заключение относно цялостното съотношение полза/риск в тази възрастова група (вж. също точки 4.2 и 4.8).</w:t>
      </w:r>
    </w:p>
    <w:p w14:paraId="6D1670CB" w14:textId="77777777" w:rsidR="00A134C7" w:rsidRPr="007F1682" w:rsidRDefault="00A134C7" w:rsidP="00A134C7">
      <w:pPr>
        <w:rPr>
          <w:rFonts w:eastAsia="Times New Roman" w:cs="Arial"/>
          <w:color w:val="000000"/>
          <w:szCs w:val="19"/>
          <w:lang w:eastAsia="bg-BG"/>
        </w:rPr>
      </w:pPr>
    </w:p>
    <w:p w14:paraId="28253A9D" w14:textId="1B7EDDCA" w:rsidR="00A134C7" w:rsidRPr="007F1682" w:rsidRDefault="00A134C7" w:rsidP="00A134C7">
      <w:pPr>
        <w:rPr>
          <w:rFonts w:eastAsia="Times New Roman" w:cs="Arial"/>
          <w:color w:val="000000"/>
          <w:sz w:val="36"/>
          <w:szCs w:val="19"/>
          <w:lang w:eastAsia="bg-BG"/>
        </w:rPr>
      </w:pPr>
      <w:r w:rsidRPr="007F1682">
        <w:rPr>
          <w:rFonts w:eastAsia="Times New Roman" w:cs="Arial"/>
          <w:color w:val="000000"/>
          <w:szCs w:val="19"/>
          <w:lang w:eastAsia="bg-BG"/>
        </w:rPr>
        <w:t>Европейската агенция по лекарствата освобождав</w:t>
      </w:r>
      <w:r w:rsidR="00F364F7" w:rsidRPr="007F1682">
        <w:rPr>
          <w:rFonts w:eastAsia="Times New Roman" w:cs="Arial"/>
          <w:color w:val="000000"/>
          <w:szCs w:val="19"/>
          <w:lang w:eastAsia="bg-BG"/>
        </w:rPr>
        <w:t>а от задължението за предоставян</w:t>
      </w:r>
      <w:r w:rsidRPr="007F1682">
        <w:rPr>
          <w:rFonts w:eastAsia="Times New Roman" w:cs="Arial"/>
          <w:color w:val="000000"/>
          <w:szCs w:val="19"/>
          <w:lang w:eastAsia="bg-BG"/>
        </w:rPr>
        <w:t>е на резултатите от проучвания с дулоксетин при всички подгрупи на педиатричната популация при лечение па голямо депресивно разстройство, диабетна невропатна болка и генерализирано тревожно разстройство. Вижте точка 4.2 за информация относно употребата при деца.</w:t>
      </w:r>
    </w:p>
    <w:p w14:paraId="22A9EEBE" w14:textId="4F0B45A1" w:rsidR="00F364F7" w:rsidRPr="007F1682" w:rsidRDefault="00F364F7" w:rsidP="00A134C7"/>
    <w:p w14:paraId="7E7B0435" w14:textId="5133EDC9" w:rsidR="00F364F7" w:rsidRPr="007F1682" w:rsidRDefault="00F364F7" w:rsidP="00F364F7">
      <w:pPr>
        <w:pStyle w:val="Heading2"/>
      </w:pPr>
      <w:r w:rsidRPr="007F1682">
        <w:t>5.2</w:t>
      </w:r>
      <w:r w:rsidRPr="007F1682">
        <w:tab/>
        <w:t>Фармакокинетични свойства</w:t>
      </w:r>
    </w:p>
    <w:p w14:paraId="0C5FB765" w14:textId="77777777" w:rsidR="00F364F7" w:rsidRPr="007F1682" w:rsidRDefault="00F364F7" w:rsidP="00A134C7"/>
    <w:p w14:paraId="379E2245" w14:textId="77777777"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lastRenderedPageBreak/>
        <w:t xml:space="preserve">Дулоксетин се прилага като самостоятелен енантиомер. Дулоксетин се метаболизира предимно от оксидативни ензими </w:t>
      </w:r>
      <w:r w:rsidRPr="007F1682">
        <w:rPr>
          <w:rFonts w:eastAsia="Times New Roman" w:cs="Arial"/>
          <w:color w:val="000000"/>
          <w:szCs w:val="19"/>
        </w:rPr>
        <w:t>(CYPI</w:t>
      </w:r>
      <w:r w:rsidRPr="007F1682">
        <w:rPr>
          <w:rFonts w:eastAsia="Times New Roman" w:cs="Arial"/>
          <w:color w:val="000000"/>
          <w:szCs w:val="19"/>
          <w:lang w:eastAsia="bg-BG"/>
        </w:rPr>
        <w:t xml:space="preserve">А2 и полиморфния </w:t>
      </w:r>
      <w:r w:rsidRPr="007F1682">
        <w:rPr>
          <w:rFonts w:eastAsia="Times New Roman" w:cs="Arial"/>
          <w:color w:val="000000"/>
          <w:szCs w:val="19"/>
        </w:rPr>
        <w:t xml:space="preserve">CYP2D6). </w:t>
      </w:r>
      <w:r w:rsidRPr="007F1682">
        <w:rPr>
          <w:rFonts w:eastAsia="Times New Roman" w:cs="Arial"/>
          <w:color w:val="000000"/>
          <w:szCs w:val="19"/>
          <w:lang w:eastAsia="bg-BG"/>
        </w:rPr>
        <w:t>последвано от конюгиране.</w:t>
      </w:r>
    </w:p>
    <w:p w14:paraId="3A3CA0E4" w14:textId="77777777" w:rsidR="00A134C7" w:rsidRPr="007F1682" w:rsidRDefault="00A134C7" w:rsidP="00A134C7">
      <w:pPr>
        <w:spacing w:line="240" w:lineRule="auto"/>
        <w:rPr>
          <w:rFonts w:eastAsia="Times New Roman" w:cs="Arial"/>
          <w:color w:val="000000"/>
          <w:szCs w:val="19"/>
          <w:lang w:eastAsia="bg-BG"/>
        </w:rPr>
      </w:pPr>
    </w:p>
    <w:p w14:paraId="48957088" w14:textId="08943EDF"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Фармакокинетиката на дулоксетин показва голяма вариабилност между отделните индивиди (общо 50-60%), дължаща се в известна степен на пола, възрастта, статуса на тютюнопушене и състоянието на метаболизиращата система </w:t>
      </w:r>
      <w:r w:rsidRPr="007F1682">
        <w:rPr>
          <w:rFonts w:eastAsia="Times New Roman" w:cs="Arial"/>
          <w:color w:val="000000"/>
          <w:szCs w:val="19"/>
        </w:rPr>
        <w:t>CYP2D6.</w:t>
      </w:r>
    </w:p>
    <w:p w14:paraId="51F12144" w14:textId="77777777" w:rsidR="00A134C7" w:rsidRPr="007F1682" w:rsidRDefault="00A134C7" w:rsidP="00A134C7">
      <w:pPr>
        <w:spacing w:line="240" w:lineRule="auto"/>
        <w:rPr>
          <w:rFonts w:eastAsia="Times New Roman" w:cs="Arial"/>
          <w:color w:val="000000"/>
          <w:szCs w:val="19"/>
          <w:u w:val="single"/>
          <w:lang w:eastAsia="bg-BG"/>
        </w:rPr>
      </w:pPr>
    </w:p>
    <w:p w14:paraId="280AE57A" w14:textId="42F5274A" w:rsidR="00A134C7" w:rsidRPr="007F1682" w:rsidRDefault="00A134C7" w:rsidP="00D54271">
      <w:pPr>
        <w:pStyle w:val="Heading3"/>
        <w:rPr>
          <w:rFonts w:ascii="Times New Roman" w:eastAsia="Times New Roman" w:hAnsi="Times New Roman" w:cs="Times New Roman"/>
          <w:sz w:val="32"/>
          <w:lang w:eastAsia="bg-BG"/>
        </w:rPr>
      </w:pPr>
      <w:r w:rsidRPr="007F1682">
        <w:rPr>
          <w:rFonts w:eastAsia="Times New Roman"/>
          <w:lang w:eastAsia="bg-BG"/>
        </w:rPr>
        <w:t>Абсорбция</w:t>
      </w:r>
    </w:p>
    <w:p w14:paraId="59FC8209" w14:textId="77777777" w:rsidR="00A134C7" w:rsidRPr="007F1682" w:rsidRDefault="00A134C7" w:rsidP="00A134C7">
      <w:pPr>
        <w:spacing w:line="240" w:lineRule="auto"/>
        <w:rPr>
          <w:rFonts w:eastAsia="Times New Roman" w:cs="Arial"/>
          <w:color w:val="000000"/>
          <w:szCs w:val="19"/>
          <w:lang w:eastAsia="bg-BG"/>
        </w:rPr>
      </w:pPr>
      <w:r w:rsidRPr="007F1682">
        <w:rPr>
          <w:rFonts w:eastAsia="Times New Roman" w:cs="Arial"/>
          <w:color w:val="000000"/>
          <w:szCs w:val="19"/>
          <w:lang w:eastAsia="bg-BG"/>
        </w:rPr>
        <w:t>Дулоксетин се резорбира добре след перорално приложение с С</w:t>
      </w:r>
      <w:r w:rsidRPr="007F1682">
        <w:rPr>
          <w:rFonts w:eastAsia="Times New Roman" w:cs="Arial"/>
          <w:color w:val="000000"/>
          <w:szCs w:val="19"/>
          <w:vertAlign w:val="subscript"/>
        </w:rPr>
        <w:t>max</w:t>
      </w:r>
      <w:r w:rsidRPr="007F1682">
        <w:rPr>
          <w:rFonts w:eastAsia="Times New Roman" w:cs="Arial"/>
          <w:color w:val="000000"/>
          <w:szCs w:val="19"/>
          <w:lang w:eastAsia="bg-BG"/>
        </w:rPr>
        <w:t xml:space="preserve"> настъпваща 6 часа след дозиране. Абсолютната орална бионаличност на дулоксетин варира от 32% до 80% (средно 50%). Храната удължава времето за достигане на върхови концентрации от 6 па 10 часа и тя маргинално намалява </w:t>
      </w:r>
    </w:p>
    <w:p w14:paraId="45124B84" w14:textId="2A96104F"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степента на резорбция (приблизително 11%). Тези промени не са с някаква клинична значимост.</w:t>
      </w:r>
    </w:p>
    <w:p w14:paraId="1E71A10B" w14:textId="77777777" w:rsidR="00A134C7" w:rsidRPr="007F1682" w:rsidRDefault="00A134C7" w:rsidP="00A134C7">
      <w:pPr>
        <w:spacing w:line="240" w:lineRule="auto"/>
        <w:rPr>
          <w:rFonts w:eastAsia="Times New Roman" w:cs="Arial"/>
          <w:color w:val="000000"/>
          <w:szCs w:val="19"/>
          <w:u w:val="single"/>
          <w:lang w:eastAsia="bg-BG"/>
        </w:rPr>
      </w:pPr>
    </w:p>
    <w:p w14:paraId="69E7EAC1" w14:textId="47157D38" w:rsidR="00A134C7" w:rsidRPr="007F1682" w:rsidRDefault="00A134C7" w:rsidP="00D54271">
      <w:pPr>
        <w:pStyle w:val="Heading3"/>
        <w:rPr>
          <w:rFonts w:ascii="Times New Roman" w:eastAsia="Times New Roman" w:hAnsi="Times New Roman" w:cs="Times New Roman"/>
          <w:sz w:val="32"/>
          <w:lang w:eastAsia="bg-BG"/>
        </w:rPr>
      </w:pPr>
      <w:r w:rsidRPr="007F1682">
        <w:rPr>
          <w:rFonts w:eastAsia="Times New Roman"/>
          <w:lang w:eastAsia="bg-BG"/>
        </w:rPr>
        <w:t>Разпределение</w:t>
      </w:r>
    </w:p>
    <w:p w14:paraId="0125EC39" w14:textId="77777777"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Дулоксетин е приблизително 96% свързан с човешките плазмени протеини. Дулоксетин се свързва и с албумин и с алфа-1 киселия гликопротеин. Протеинното свързване не се повлиява от бъбречно или чернодробно увреждане.</w:t>
      </w:r>
    </w:p>
    <w:p w14:paraId="7A0198BD" w14:textId="77777777" w:rsidR="00A134C7" w:rsidRPr="007F1682" w:rsidRDefault="00A134C7" w:rsidP="00A134C7">
      <w:pPr>
        <w:spacing w:line="240" w:lineRule="auto"/>
        <w:rPr>
          <w:rFonts w:eastAsia="Times New Roman" w:cs="Arial"/>
          <w:color w:val="000000"/>
          <w:szCs w:val="19"/>
          <w:u w:val="single"/>
          <w:lang w:eastAsia="bg-BG"/>
        </w:rPr>
      </w:pPr>
    </w:p>
    <w:p w14:paraId="26E3EEB8" w14:textId="083BD25B" w:rsidR="00A134C7" w:rsidRPr="007F1682" w:rsidRDefault="00A134C7" w:rsidP="00D54271">
      <w:pPr>
        <w:pStyle w:val="Heading3"/>
        <w:rPr>
          <w:rFonts w:ascii="Times New Roman" w:eastAsia="Times New Roman" w:hAnsi="Times New Roman" w:cs="Times New Roman"/>
          <w:sz w:val="32"/>
          <w:lang w:eastAsia="bg-BG"/>
        </w:rPr>
      </w:pPr>
      <w:r w:rsidRPr="007F1682">
        <w:rPr>
          <w:rFonts w:eastAsia="Times New Roman"/>
          <w:lang w:eastAsia="bg-BG"/>
        </w:rPr>
        <w:t>Биотрансформация</w:t>
      </w:r>
    </w:p>
    <w:p w14:paraId="1149E28A" w14:textId="77777777" w:rsidR="00A134C7" w:rsidRPr="007F1682" w:rsidRDefault="00A134C7" w:rsidP="00A134C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Дулоксетин се мегаболизира екстензивно и метаболитите са екскретираг основно с урината. Цитохромите </w:t>
      </w:r>
      <w:r w:rsidRPr="007F1682">
        <w:rPr>
          <w:rFonts w:eastAsia="Times New Roman" w:cs="Arial"/>
          <w:color w:val="000000"/>
          <w:szCs w:val="19"/>
        </w:rPr>
        <w:t xml:space="preserve">P450-2D6 </w:t>
      </w:r>
      <w:r w:rsidRPr="007F1682">
        <w:rPr>
          <w:rFonts w:eastAsia="Times New Roman" w:cs="Arial"/>
          <w:color w:val="000000"/>
          <w:szCs w:val="19"/>
          <w:lang w:eastAsia="bg-BG"/>
        </w:rPr>
        <w:t xml:space="preserve">и 1А2 катализират образуването на два основни метаболита - глюкоронид конюгат на 4-хидрокси дулоксетин и сулфатен конюгат на 5-хидрокси.6-метокси дулоксетин. Въз основа на </w:t>
      </w:r>
      <w:r w:rsidRPr="007F1682">
        <w:rPr>
          <w:rFonts w:eastAsia="Times New Roman" w:cs="Arial"/>
          <w:i/>
          <w:iCs/>
          <w:color w:val="000000"/>
          <w:szCs w:val="19"/>
        </w:rPr>
        <w:t>in vitro</w:t>
      </w:r>
      <w:r w:rsidRPr="007F1682">
        <w:rPr>
          <w:rFonts w:eastAsia="Times New Roman" w:cs="Arial"/>
          <w:color w:val="000000"/>
          <w:szCs w:val="19"/>
        </w:rPr>
        <w:t xml:space="preserve"> </w:t>
      </w:r>
      <w:r w:rsidRPr="007F1682">
        <w:rPr>
          <w:rFonts w:eastAsia="Times New Roman" w:cs="Arial"/>
          <w:color w:val="000000"/>
          <w:szCs w:val="19"/>
          <w:lang w:eastAsia="bg-BG"/>
        </w:rPr>
        <w:t xml:space="preserve">проучвания, циркулиращите метаболити на дулоксетин се считат фармакологично неактивни. Фармакокинетиката на дулоксетин при пациенти, които са лоши метаболизатори по отношение на </w:t>
      </w:r>
      <w:r w:rsidRPr="007F1682">
        <w:rPr>
          <w:rFonts w:eastAsia="Times New Roman" w:cs="Arial"/>
          <w:color w:val="000000"/>
          <w:szCs w:val="19"/>
        </w:rPr>
        <w:t xml:space="preserve">CYP2D6 </w:t>
      </w:r>
      <w:r w:rsidRPr="007F1682">
        <w:rPr>
          <w:rFonts w:eastAsia="Times New Roman" w:cs="Arial"/>
          <w:color w:val="000000"/>
          <w:szCs w:val="19"/>
          <w:lang w:eastAsia="bg-BG"/>
        </w:rPr>
        <w:t>не е специфично изучавана. Ограничени данни предполагат, че при тези пациенти плазмените нива на дулоксетин са по-високи.</w:t>
      </w:r>
    </w:p>
    <w:p w14:paraId="7B3CB8F5" w14:textId="77777777" w:rsidR="00A134C7" w:rsidRPr="007F1682" w:rsidRDefault="00A134C7" w:rsidP="00D54271">
      <w:pPr>
        <w:pStyle w:val="Heading3"/>
        <w:rPr>
          <w:rFonts w:eastAsia="Times New Roman"/>
          <w:lang w:eastAsia="bg-BG"/>
        </w:rPr>
      </w:pPr>
    </w:p>
    <w:p w14:paraId="5A847101" w14:textId="2A4D86E5" w:rsidR="00A134C7" w:rsidRPr="007F1682" w:rsidRDefault="00A134C7" w:rsidP="00D54271">
      <w:pPr>
        <w:pStyle w:val="Heading3"/>
        <w:rPr>
          <w:rFonts w:ascii="Times New Roman" w:eastAsia="Times New Roman" w:hAnsi="Times New Roman" w:cs="Times New Roman"/>
          <w:sz w:val="32"/>
          <w:lang w:eastAsia="bg-BG"/>
        </w:rPr>
      </w:pPr>
      <w:r w:rsidRPr="007F1682">
        <w:rPr>
          <w:rFonts w:eastAsia="Times New Roman"/>
          <w:lang w:eastAsia="bg-BG"/>
        </w:rPr>
        <w:t>Елиминиране</w:t>
      </w:r>
    </w:p>
    <w:p w14:paraId="33778767" w14:textId="28CEB192" w:rsidR="00A134C7" w:rsidRPr="007F1682" w:rsidRDefault="00A134C7" w:rsidP="00A134C7">
      <w:pPr>
        <w:rPr>
          <w:rFonts w:eastAsia="Times New Roman" w:cs="Arial"/>
          <w:color w:val="000000"/>
          <w:szCs w:val="19"/>
          <w:lang w:eastAsia="bg-BG"/>
        </w:rPr>
      </w:pPr>
      <w:r w:rsidRPr="007F1682">
        <w:rPr>
          <w:rFonts w:eastAsia="Times New Roman" w:cs="Arial"/>
          <w:color w:val="000000"/>
          <w:szCs w:val="19"/>
          <w:lang w:eastAsia="bg-BG"/>
        </w:rPr>
        <w:t xml:space="preserve">Елиминационният полуживот на дулоксетин варира от 8 до 17 часа (средно 12 часа). След интравенозна доза, плазменият клирънс на дулоксетин варира от 22 </w:t>
      </w:r>
      <w:r w:rsidRPr="007F1682">
        <w:rPr>
          <w:rFonts w:eastAsia="Times New Roman" w:cs="Arial"/>
          <w:color w:val="000000"/>
          <w:szCs w:val="19"/>
        </w:rPr>
        <w:t>l</w:t>
      </w:r>
      <w:r w:rsidRPr="007F1682">
        <w:rPr>
          <w:rFonts w:eastAsia="Times New Roman" w:cs="Arial"/>
          <w:color w:val="000000"/>
          <w:szCs w:val="19"/>
          <w:lang w:eastAsia="bg-BG"/>
        </w:rPr>
        <w:t xml:space="preserve">/час до 46 </w:t>
      </w:r>
      <w:r w:rsidRPr="007F1682">
        <w:rPr>
          <w:rFonts w:eastAsia="Times New Roman" w:cs="Arial"/>
          <w:color w:val="000000"/>
          <w:szCs w:val="19"/>
        </w:rPr>
        <w:t>l</w:t>
      </w:r>
      <w:r w:rsidRPr="007F1682">
        <w:rPr>
          <w:rFonts w:eastAsia="Times New Roman" w:cs="Arial"/>
          <w:color w:val="000000"/>
          <w:szCs w:val="19"/>
          <w:lang w:eastAsia="bg-BG"/>
        </w:rPr>
        <w:t xml:space="preserve">/час (средно 36 </w:t>
      </w:r>
      <w:r w:rsidRPr="007F1682">
        <w:rPr>
          <w:rFonts w:eastAsia="Times New Roman" w:cs="Arial"/>
          <w:color w:val="000000"/>
          <w:szCs w:val="19"/>
        </w:rPr>
        <w:t>l</w:t>
      </w:r>
      <w:r w:rsidRPr="007F1682">
        <w:rPr>
          <w:rFonts w:eastAsia="Times New Roman" w:cs="Arial"/>
          <w:color w:val="000000"/>
          <w:szCs w:val="19"/>
          <w:lang w:eastAsia="bg-BG"/>
        </w:rPr>
        <w:t xml:space="preserve">/час). След перорална доза установеният плазмен клирънс на дулоксетин варира от 33 до 261 </w:t>
      </w:r>
      <w:r w:rsidRPr="007F1682">
        <w:rPr>
          <w:rFonts w:eastAsia="Times New Roman" w:cs="Arial"/>
          <w:color w:val="000000"/>
          <w:szCs w:val="19"/>
        </w:rPr>
        <w:t>l/</w:t>
      </w:r>
      <w:r w:rsidRPr="007F1682">
        <w:rPr>
          <w:rFonts w:eastAsia="Times New Roman" w:cs="Arial"/>
          <w:color w:val="000000"/>
          <w:szCs w:val="19"/>
          <w:lang w:eastAsia="bg-BG"/>
        </w:rPr>
        <w:t xml:space="preserve">час (средно 101 </w:t>
      </w:r>
      <w:r w:rsidRPr="007F1682">
        <w:rPr>
          <w:rFonts w:eastAsia="Times New Roman" w:cs="Arial"/>
          <w:color w:val="000000"/>
          <w:szCs w:val="19"/>
        </w:rPr>
        <w:t>l</w:t>
      </w:r>
      <w:r w:rsidRPr="007F1682">
        <w:rPr>
          <w:rFonts w:eastAsia="Times New Roman" w:cs="Arial"/>
          <w:color w:val="000000"/>
          <w:szCs w:val="19"/>
          <w:lang w:eastAsia="bg-BG"/>
        </w:rPr>
        <w:t>/час).</w:t>
      </w:r>
    </w:p>
    <w:p w14:paraId="1C7EFDFD" w14:textId="4EE2A57B" w:rsidR="00F364F7" w:rsidRPr="007F1682" w:rsidRDefault="00F364F7" w:rsidP="00A134C7">
      <w:pPr>
        <w:rPr>
          <w:rFonts w:eastAsia="Times New Roman" w:cs="Arial"/>
          <w:color w:val="000000"/>
          <w:szCs w:val="19"/>
          <w:lang w:eastAsia="bg-BG"/>
        </w:rPr>
      </w:pPr>
    </w:p>
    <w:p w14:paraId="68E7E3D4" w14:textId="77777777" w:rsidR="00F364F7" w:rsidRPr="007F1682" w:rsidRDefault="00F364F7" w:rsidP="00D54271">
      <w:pPr>
        <w:pStyle w:val="Heading3"/>
        <w:rPr>
          <w:rFonts w:ascii="Times New Roman" w:eastAsia="Times New Roman" w:hAnsi="Times New Roman" w:cs="Times New Roman"/>
          <w:sz w:val="32"/>
          <w:lang w:eastAsia="bg-BG"/>
        </w:rPr>
      </w:pPr>
      <w:r w:rsidRPr="007F1682">
        <w:rPr>
          <w:rFonts w:eastAsia="Times New Roman"/>
          <w:lang w:eastAsia="bg-BG"/>
        </w:rPr>
        <w:t>Специални популации</w:t>
      </w:r>
    </w:p>
    <w:p w14:paraId="554DE9EF" w14:textId="77777777" w:rsidR="00F364F7" w:rsidRPr="007F1682" w:rsidRDefault="00F364F7" w:rsidP="00F364F7">
      <w:pPr>
        <w:spacing w:line="240" w:lineRule="auto"/>
        <w:rPr>
          <w:rFonts w:eastAsia="Times New Roman" w:cs="Arial"/>
          <w:i/>
          <w:iCs/>
          <w:color w:val="000000"/>
          <w:szCs w:val="19"/>
          <w:lang w:eastAsia="bg-BG"/>
        </w:rPr>
      </w:pPr>
    </w:p>
    <w:p w14:paraId="231C2E95" w14:textId="71794B62"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Пол</w:t>
      </w:r>
    </w:p>
    <w:p w14:paraId="0B33D98E" w14:textId="77777777"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Между мъже и жени са идентифицирани фармакокинстични разлики (аперентният плазмен клирънс е приблизително 50% по-нисък при жени). Въз основа на припокриване по отношение на клирънса. основаните на пола фармакокин</w:t>
      </w:r>
      <w:r w:rsidRPr="007F1682">
        <w:rPr>
          <w:rFonts w:eastAsia="Times New Roman" w:cs="Arial"/>
          <w:color w:val="000000"/>
          <w:szCs w:val="19"/>
        </w:rPr>
        <w:t>e</w:t>
      </w:r>
      <w:r w:rsidRPr="007F1682">
        <w:rPr>
          <w:rFonts w:eastAsia="Times New Roman" w:cs="Arial"/>
          <w:color w:val="000000"/>
          <w:szCs w:val="19"/>
          <w:lang w:eastAsia="bg-BG"/>
        </w:rPr>
        <w:t>тични разлики не оправдават препоръката за използване на по- ниска доза при жени пациенти.</w:t>
      </w:r>
    </w:p>
    <w:p w14:paraId="0B29FF78" w14:textId="77777777" w:rsidR="00F364F7" w:rsidRPr="007F1682" w:rsidRDefault="00F364F7" w:rsidP="00F364F7">
      <w:pPr>
        <w:spacing w:line="240" w:lineRule="auto"/>
        <w:rPr>
          <w:rFonts w:eastAsia="Times New Roman" w:cs="Arial"/>
          <w:i/>
          <w:iCs/>
          <w:color w:val="000000"/>
          <w:szCs w:val="19"/>
          <w:lang w:eastAsia="bg-BG"/>
        </w:rPr>
      </w:pPr>
    </w:p>
    <w:p w14:paraId="5F2DE4BE" w14:textId="29144F11"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Възраст</w:t>
      </w:r>
    </w:p>
    <w:p w14:paraId="7EAD23C9" w14:textId="77777777"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Идентифицирани са фармакокинетични разлики между по-млади и по-възрастни жени (&gt;65 години) (повишение на </w:t>
      </w:r>
      <w:r w:rsidRPr="007F1682">
        <w:rPr>
          <w:rFonts w:eastAsia="Times New Roman" w:cs="Arial"/>
          <w:color w:val="000000"/>
          <w:szCs w:val="19"/>
        </w:rPr>
        <w:t xml:space="preserve">AUC </w:t>
      </w:r>
      <w:r w:rsidRPr="007F1682">
        <w:rPr>
          <w:rFonts w:eastAsia="Times New Roman" w:cs="Arial"/>
          <w:color w:val="000000"/>
          <w:szCs w:val="19"/>
          <w:lang w:eastAsia="bg-BG"/>
        </w:rPr>
        <w:t xml:space="preserve">с около 25%. а полуживотът е около 25% по-дълъг при </w:t>
      </w:r>
      <w:r w:rsidRPr="007F1682">
        <w:rPr>
          <w:rFonts w:eastAsia="Times New Roman" w:cs="Arial"/>
          <w:color w:val="000000"/>
          <w:szCs w:val="19"/>
          <w:lang w:eastAsia="bg-BG"/>
        </w:rPr>
        <w:lastRenderedPageBreak/>
        <w:t>тези в старческа възраст), въпреки че степента на тези промени не е достатъчна, за да се обоснове промяна на лозата. Като обща препоръка, лечението в старческа възраст трябва да става с повишено внимание (вж. точки 4.2 и 4.4).</w:t>
      </w:r>
    </w:p>
    <w:p w14:paraId="088B184D" w14:textId="77777777" w:rsidR="00F364F7" w:rsidRPr="007F1682" w:rsidRDefault="00F364F7" w:rsidP="00F364F7">
      <w:pPr>
        <w:spacing w:line="240" w:lineRule="auto"/>
        <w:rPr>
          <w:rFonts w:eastAsia="Times New Roman" w:cs="Arial"/>
          <w:i/>
          <w:iCs/>
          <w:color w:val="000000"/>
          <w:szCs w:val="19"/>
          <w:lang w:eastAsia="bg-BG"/>
        </w:rPr>
      </w:pPr>
    </w:p>
    <w:p w14:paraId="5342E342" w14:textId="653A4C39"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Бъбречно увреждане</w:t>
      </w:r>
    </w:p>
    <w:p w14:paraId="481543F3" w14:textId="77777777"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Пациентите в крайна фаза на бъбречна недостатъчност на диализа имат 2 пъти по-високи стойности на </w:t>
      </w:r>
      <w:r w:rsidRPr="007F1682">
        <w:rPr>
          <w:rFonts w:eastAsia="Times New Roman" w:cs="Arial"/>
          <w:color w:val="000000"/>
          <w:szCs w:val="19"/>
        </w:rPr>
        <w:t>C</w:t>
      </w:r>
      <w:r w:rsidRPr="007F1682">
        <w:rPr>
          <w:rFonts w:eastAsia="Times New Roman" w:cs="Arial"/>
          <w:color w:val="000000"/>
          <w:szCs w:val="19"/>
          <w:vertAlign w:val="subscript"/>
        </w:rPr>
        <w:t xml:space="preserve">max </w:t>
      </w:r>
      <w:r w:rsidRPr="007F1682">
        <w:rPr>
          <w:rFonts w:eastAsia="Times New Roman" w:cs="Arial"/>
          <w:color w:val="000000"/>
          <w:szCs w:val="19"/>
          <w:lang w:eastAsia="bg-BG"/>
        </w:rPr>
        <w:t xml:space="preserve">и </w:t>
      </w:r>
      <w:r w:rsidRPr="007F1682">
        <w:rPr>
          <w:rFonts w:eastAsia="Times New Roman" w:cs="Arial"/>
          <w:color w:val="000000"/>
          <w:szCs w:val="19"/>
        </w:rPr>
        <w:t xml:space="preserve">AUC </w:t>
      </w:r>
      <w:r w:rsidRPr="007F1682">
        <w:rPr>
          <w:rFonts w:eastAsia="Times New Roman" w:cs="Arial"/>
          <w:color w:val="000000"/>
          <w:szCs w:val="19"/>
          <w:lang w:eastAsia="bg-BG"/>
        </w:rPr>
        <w:t>за дулоксетин, в сравнение с здрави лица. При пациенти с лека до умерена бъбречна недостатъчност фармакокинетичните данни за дулоксетин са ограничени.</w:t>
      </w:r>
    </w:p>
    <w:p w14:paraId="5C047622" w14:textId="77777777" w:rsidR="00F364F7" w:rsidRPr="007F1682" w:rsidRDefault="00F364F7" w:rsidP="00F364F7">
      <w:pPr>
        <w:spacing w:line="240" w:lineRule="auto"/>
        <w:rPr>
          <w:rFonts w:eastAsia="Times New Roman" w:cs="Arial"/>
          <w:i/>
          <w:iCs/>
          <w:color w:val="000000"/>
          <w:szCs w:val="19"/>
          <w:lang w:eastAsia="bg-BG"/>
        </w:rPr>
      </w:pPr>
    </w:p>
    <w:p w14:paraId="3E86208D" w14:textId="77777777"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Чернодробно увреждане</w:t>
      </w:r>
    </w:p>
    <w:p w14:paraId="16F7DFE3" w14:textId="4E8424D7"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Умерено чернодробно заболяване </w:t>
      </w:r>
      <w:r w:rsidRPr="007F1682">
        <w:rPr>
          <w:rFonts w:eastAsia="Times New Roman" w:cs="Arial"/>
          <w:color w:val="000000"/>
          <w:szCs w:val="19"/>
        </w:rPr>
        <w:t xml:space="preserve">(Child Pugh </w:t>
      </w:r>
      <w:r w:rsidRPr="007F1682">
        <w:rPr>
          <w:rFonts w:eastAsia="Times New Roman" w:cs="Arial"/>
          <w:color w:val="000000"/>
          <w:szCs w:val="19"/>
          <w:lang w:eastAsia="bg-BG"/>
        </w:rPr>
        <w:t xml:space="preserve">клас В) засяга фармакокинетиката на дулоксетин. В сравнение със здрави лица, при пациенти с умерено чернодробно заболяване установеният плазмен клирънс на дулоксетин е 79% по-нисък, установеният терминален полуживот е 2.3 пъти по-дълъг, а </w:t>
      </w:r>
      <w:r w:rsidRPr="007F1682">
        <w:rPr>
          <w:rFonts w:eastAsia="Times New Roman" w:cs="Arial"/>
          <w:color w:val="000000"/>
          <w:szCs w:val="19"/>
        </w:rPr>
        <w:t xml:space="preserve">AUC </w:t>
      </w:r>
      <w:r w:rsidRPr="007F1682">
        <w:rPr>
          <w:rFonts w:eastAsia="Times New Roman" w:cs="Arial"/>
          <w:color w:val="000000"/>
          <w:szCs w:val="19"/>
          <w:lang w:eastAsia="bg-BG"/>
        </w:rPr>
        <w:t>е 3,7 пъти по-висока. Фармакокинетиката на дулоксетин и неговите метаболити не с изучавана при пациенти с лека или тежка чернодробна недостатъчност.</w:t>
      </w:r>
    </w:p>
    <w:p w14:paraId="3345C6E2" w14:textId="77777777" w:rsidR="00F364F7" w:rsidRPr="007F1682" w:rsidRDefault="00F364F7" w:rsidP="00F364F7">
      <w:pPr>
        <w:spacing w:line="240" w:lineRule="auto"/>
        <w:rPr>
          <w:rFonts w:eastAsia="Times New Roman" w:cs="Arial"/>
          <w:i/>
          <w:iCs/>
          <w:color w:val="000000"/>
          <w:szCs w:val="19"/>
          <w:lang w:eastAsia="bg-BG"/>
        </w:rPr>
      </w:pPr>
    </w:p>
    <w:p w14:paraId="3E54D4B7" w14:textId="65A68A1F"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Кърмещи майки</w:t>
      </w:r>
    </w:p>
    <w:p w14:paraId="577154BC" w14:textId="77777777"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Диспозицията на дулоксетин е изучавана при 6 кърмещи жени, които са били поне 12 седмици след раждане. Дулоксетин се открива в кърмата, и стационарните концентрации в майчиното мляко са около една-четвърт от тези в плазмата. Количеството </w:t>
      </w:r>
      <w:r w:rsidRPr="007F1682">
        <w:rPr>
          <w:rFonts w:eastAsia="Times New Roman" w:cs="Arial"/>
          <w:i/>
          <w:iCs/>
          <w:color w:val="000000"/>
          <w:szCs w:val="19"/>
          <w:lang w:eastAsia="bg-BG"/>
        </w:rPr>
        <w:t>дулоксетин в кърмата е</w:t>
      </w:r>
      <w:r w:rsidRPr="007F1682">
        <w:rPr>
          <w:rFonts w:eastAsia="Times New Roman" w:cs="Arial"/>
          <w:color w:val="000000"/>
          <w:szCs w:val="19"/>
          <w:lang w:eastAsia="bg-BG"/>
        </w:rPr>
        <w:t xml:space="preserve"> приблизително 7 </w:t>
      </w:r>
      <w:r w:rsidRPr="007F1682">
        <w:rPr>
          <w:rFonts w:eastAsia="Times New Roman" w:cs="Arial"/>
          <w:color w:val="000000"/>
          <w:szCs w:val="19"/>
        </w:rPr>
        <w:t>pg</w:t>
      </w:r>
      <w:r w:rsidRPr="007F1682">
        <w:rPr>
          <w:rFonts w:eastAsia="Times New Roman" w:cs="Arial"/>
          <w:color w:val="000000"/>
          <w:szCs w:val="19"/>
          <w:lang w:eastAsia="bg-BG"/>
        </w:rPr>
        <w:t xml:space="preserve">/дневно при дозиране с 40 </w:t>
      </w:r>
      <w:r w:rsidRPr="007F1682">
        <w:rPr>
          <w:rFonts w:eastAsia="Times New Roman" w:cs="Arial"/>
          <w:color w:val="000000"/>
          <w:szCs w:val="19"/>
        </w:rPr>
        <w:t xml:space="preserve">mg </w:t>
      </w:r>
      <w:r w:rsidRPr="007F1682">
        <w:rPr>
          <w:rFonts w:eastAsia="Times New Roman" w:cs="Arial"/>
          <w:color w:val="000000"/>
          <w:szCs w:val="19"/>
          <w:lang w:eastAsia="bg-BG"/>
        </w:rPr>
        <w:t>два пъти дневно. Кърменето не повлиява фармакокинетиката на дулоксетин.</w:t>
      </w:r>
    </w:p>
    <w:p w14:paraId="33B2C4F8" w14:textId="77777777" w:rsidR="00F364F7" w:rsidRPr="007F1682" w:rsidRDefault="00F364F7" w:rsidP="00F364F7">
      <w:pPr>
        <w:spacing w:line="240" w:lineRule="auto"/>
        <w:rPr>
          <w:rFonts w:eastAsia="Times New Roman" w:cs="Arial"/>
          <w:i/>
          <w:iCs/>
          <w:color w:val="000000"/>
          <w:szCs w:val="19"/>
          <w:lang w:eastAsia="bg-BG"/>
        </w:rPr>
      </w:pPr>
    </w:p>
    <w:p w14:paraId="31CC8B7C" w14:textId="3234EE9D"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Педиатрична популация</w:t>
      </w:r>
    </w:p>
    <w:p w14:paraId="67F33FF7" w14:textId="0F0FF010" w:rsidR="00F364F7" w:rsidRPr="007F1682" w:rsidRDefault="00F364F7" w:rsidP="00F364F7">
      <w:pPr>
        <w:rPr>
          <w:rFonts w:eastAsia="Times New Roman" w:cs="Arial"/>
          <w:color w:val="000000"/>
          <w:sz w:val="28"/>
          <w:szCs w:val="19"/>
          <w:lang w:eastAsia="bg-BG"/>
        </w:rPr>
      </w:pPr>
      <w:r w:rsidRPr="007F1682">
        <w:rPr>
          <w:rFonts w:eastAsia="Times New Roman" w:cs="Arial"/>
          <w:color w:val="000000"/>
          <w:szCs w:val="19"/>
          <w:lang w:eastAsia="bg-BG"/>
        </w:rPr>
        <w:t xml:space="preserve">Фармакокинетичните свойства на дулоксетин при педиатрични пациенти на възраст от 7 до 17 години с голямо депресивно разстройство след перорално прилагане в схема на дозиране 20 до 120 </w:t>
      </w:r>
      <w:r w:rsidRPr="007F1682">
        <w:rPr>
          <w:rFonts w:eastAsia="Times New Roman" w:cs="Arial"/>
          <w:color w:val="000000"/>
          <w:szCs w:val="19"/>
        </w:rPr>
        <w:t xml:space="preserve">mg </w:t>
      </w:r>
      <w:r w:rsidRPr="007F1682">
        <w:rPr>
          <w:rFonts w:eastAsia="Times New Roman" w:cs="Arial"/>
          <w:color w:val="000000"/>
          <w:szCs w:val="19"/>
          <w:lang w:eastAsia="bg-BG"/>
        </w:rPr>
        <w:t>веднъж дневно са характеризирани с помощта на популационно-моделиран анализ на базата на данни от 3 проучвания. Предвидените от модела плазмени концентрации на дулоксетин в стационарно състояние при пациенти - деца, в повечето случаи са в границите на диапазона на концентрациите, наблюдаван нри възрастни пациенти.</w:t>
      </w:r>
    </w:p>
    <w:p w14:paraId="3C14D31A" w14:textId="77777777" w:rsidR="00A134C7" w:rsidRPr="007F1682" w:rsidRDefault="00A134C7" w:rsidP="00A134C7"/>
    <w:p w14:paraId="648E39DA" w14:textId="410DBF86" w:rsidR="00CF77F7" w:rsidRPr="007F1682" w:rsidRDefault="002C50EE" w:rsidP="004A448E">
      <w:pPr>
        <w:pStyle w:val="Heading2"/>
      </w:pPr>
      <w:r w:rsidRPr="007F1682">
        <w:t>5.3. Предклинични данни за безопасност</w:t>
      </w:r>
    </w:p>
    <w:p w14:paraId="47793F9C" w14:textId="118A2BE6" w:rsidR="00F364F7" w:rsidRPr="007F1682" w:rsidRDefault="00F364F7" w:rsidP="00F364F7"/>
    <w:p w14:paraId="643D1EB4" w14:textId="77777777"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Дулоксетин не е генотоксичен при стандартен набор от тестове, а при плъхове не е карциногенен. При проучване за карциногенност при плъхове са наблюдавани многоядрени клетки в черния дроб при отсъствие на други хистопатологични промени. Механизмът. който е в основата им и клиничната значимост са неизвестни. Женски мишки, получавали дулоксетин за 2 години имат повишена честота на хепатоцелуларни аденоми и карциноми само при високите дози (144 </w:t>
      </w:r>
      <w:r w:rsidRPr="007F1682">
        <w:rPr>
          <w:rFonts w:eastAsia="Times New Roman" w:cs="Arial"/>
          <w:color w:val="000000"/>
          <w:szCs w:val="19"/>
        </w:rPr>
        <w:t>mg/kg</w:t>
      </w:r>
      <w:r w:rsidRPr="007F1682">
        <w:rPr>
          <w:rFonts w:eastAsia="Times New Roman" w:cs="Arial"/>
          <w:color w:val="000000"/>
          <w:szCs w:val="19"/>
          <w:lang w:eastAsia="bg-BG"/>
        </w:rPr>
        <w:t>/дневно). но те са считат като вторични на чернодробната микрозомална ензимна индукция. Значимостта на тези данни при мишки по отношение на хората не е известна.</w:t>
      </w:r>
    </w:p>
    <w:p w14:paraId="1479A1A0" w14:textId="77777777" w:rsidR="00F364F7" w:rsidRPr="007F1682" w:rsidRDefault="00F364F7" w:rsidP="00F364F7">
      <w:pPr>
        <w:spacing w:line="240" w:lineRule="auto"/>
        <w:rPr>
          <w:rFonts w:eastAsia="Times New Roman" w:cs="Arial"/>
          <w:color w:val="000000"/>
          <w:szCs w:val="19"/>
          <w:lang w:eastAsia="bg-BG"/>
        </w:rPr>
      </w:pPr>
    </w:p>
    <w:p w14:paraId="64D6F061" w14:textId="76C49B5A" w:rsidR="00F364F7" w:rsidRPr="007F1682" w:rsidRDefault="00F364F7" w:rsidP="00D873E3">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Женски плъхове, получаващи дулоксетин (45 </w:t>
      </w:r>
      <w:r w:rsidRPr="007F1682">
        <w:rPr>
          <w:rFonts w:eastAsia="Times New Roman" w:cs="Arial"/>
          <w:color w:val="000000"/>
          <w:szCs w:val="19"/>
        </w:rPr>
        <w:t>mg/kg</w:t>
      </w:r>
      <w:r w:rsidRPr="007F1682">
        <w:rPr>
          <w:rFonts w:eastAsia="Times New Roman" w:cs="Arial"/>
          <w:color w:val="000000"/>
          <w:szCs w:val="19"/>
          <w:lang w:eastAsia="bg-BG"/>
        </w:rPr>
        <w:t>/дневно) преди, както и при</w:t>
      </w:r>
      <w:r w:rsidR="00F958D1">
        <w:rPr>
          <w:rFonts w:eastAsia="Times New Roman" w:cs="Arial"/>
          <w:color w:val="000000"/>
          <w:szCs w:val="19"/>
          <w:lang w:eastAsia="bg-BG"/>
        </w:rPr>
        <w:t xml:space="preserve"> ч</w:t>
      </w:r>
      <w:r w:rsidRPr="007F1682">
        <w:rPr>
          <w:rFonts w:eastAsia="Times New Roman" w:cs="Arial"/>
          <w:color w:val="000000"/>
          <w:szCs w:val="19"/>
          <w:lang w:eastAsia="bg-BG"/>
        </w:rPr>
        <w:t>ифтосване, и</w:t>
      </w:r>
      <w:r w:rsidR="00F958D1">
        <w:rPr>
          <w:rFonts w:eastAsia="Times New Roman" w:cs="Arial"/>
          <w:color w:val="000000"/>
          <w:szCs w:val="19"/>
          <w:lang w:eastAsia="bg-BG"/>
        </w:rPr>
        <w:t xml:space="preserve"> по </w:t>
      </w:r>
      <w:r w:rsidRPr="007F1682">
        <w:rPr>
          <w:rFonts w:eastAsia="Times New Roman" w:cs="Arial"/>
          <w:color w:val="000000"/>
          <w:szCs w:val="19"/>
          <w:lang w:eastAsia="bg-BG"/>
        </w:rPr>
        <w:t>време на ранна бременност, са показали намаление на консумацията на храна от майката и на</w:t>
      </w:r>
      <w:r w:rsidR="00D873E3">
        <w:rPr>
          <w:rFonts w:eastAsia="Times New Roman" w:cs="Arial"/>
          <w:color w:val="000000"/>
          <w:szCs w:val="19"/>
          <w:lang w:eastAsia="bg-BG"/>
        </w:rPr>
        <w:t xml:space="preserve"> </w:t>
      </w:r>
      <w:r w:rsidRPr="007F1682">
        <w:rPr>
          <w:rFonts w:eastAsia="Times New Roman" w:cs="Arial"/>
          <w:color w:val="000000"/>
          <w:szCs w:val="19"/>
          <w:lang w:eastAsia="bg-BG"/>
        </w:rPr>
        <w:t xml:space="preserve">телесното тегло, нарушаване на естрадния цикъл, намалени показатели за броя живородени и преживяемостта на потомството, и забавен растеж на </w:t>
      </w:r>
      <w:r w:rsidRPr="007F1682">
        <w:rPr>
          <w:rFonts w:eastAsia="Times New Roman" w:cs="Arial"/>
          <w:color w:val="000000"/>
          <w:szCs w:val="19"/>
          <w:lang w:eastAsia="bg-BG"/>
        </w:rPr>
        <w:lastRenderedPageBreak/>
        <w:t xml:space="preserve">потомството при нива на системна експозиция, които в най-добрия случай са приблизително до максималната клинична експозиция </w:t>
      </w:r>
      <w:r w:rsidRPr="007F1682">
        <w:rPr>
          <w:rFonts w:eastAsia="Times New Roman" w:cs="Arial"/>
          <w:color w:val="000000"/>
          <w:szCs w:val="19"/>
        </w:rPr>
        <w:t>(AUC).</w:t>
      </w:r>
    </w:p>
    <w:p w14:paraId="31862221" w14:textId="77777777" w:rsidR="00F364F7" w:rsidRPr="007F1682" w:rsidRDefault="00F364F7" w:rsidP="00F364F7">
      <w:pPr>
        <w:spacing w:line="240" w:lineRule="auto"/>
        <w:rPr>
          <w:rFonts w:eastAsia="Times New Roman" w:cs="Arial"/>
          <w:color w:val="000000"/>
          <w:szCs w:val="19"/>
          <w:lang w:eastAsia="bg-BG"/>
        </w:rPr>
      </w:pPr>
    </w:p>
    <w:p w14:paraId="50F5F7CC" w14:textId="77777777"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В проучване за ембриотоксичност при зайци са наблюдавани по-висока честота на сърдечно-съдови и скелетни малформации при нива на системна експозиция под максималната клинична експозиция </w:t>
      </w:r>
      <w:r w:rsidRPr="007F1682">
        <w:rPr>
          <w:rFonts w:eastAsia="Times New Roman" w:cs="Arial"/>
          <w:color w:val="000000"/>
          <w:szCs w:val="19"/>
        </w:rPr>
        <w:t xml:space="preserve">(AUC), </w:t>
      </w:r>
      <w:r w:rsidRPr="007F1682">
        <w:rPr>
          <w:rFonts w:eastAsia="Times New Roman" w:cs="Arial"/>
          <w:color w:val="000000"/>
          <w:szCs w:val="19"/>
          <w:lang w:eastAsia="bg-BG"/>
        </w:rPr>
        <w:t xml:space="preserve">Не са наблюдавани малформации в друго проучване, за изпитване на по-високи дози на различна сол на дулоксетин. При пренатални/постнатални токсикологични проучвания при плъхове, дулоксетин индуцира нежелани поведенчески ефекти в поколението при експозиция под максималната клинична експозиция </w:t>
      </w:r>
      <w:r w:rsidRPr="007F1682">
        <w:rPr>
          <w:rFonts w:eastAsia="Times New Roman" w:cs="Arial"/>
          <w:color w:val="000000"/>
          <w:szCs w:val="19"/>
        </w:rPr>
        <w:t>(AUC).</w:t>
      </w:r>
    </w:p>
    <w:p w14:paraId="60162A22" w14:textId="77777777" w:rsidR="00F364F7" w:rsidRPr="007F1682" w:rsidRDefault="00F364F7" w:rsidP="00F364F7">
      <w:pPr>
        <w:spacing w:line="240" w:lineRule="auto"/>
        <w:rPr>
          <w:rFonts w:ascii="Times New Roman" w:eastAsia="Times New Roman" w:hAnsi="Times New Roman" w:cs="Times New Roman"/>
          <w:sz w:val="32"/>
          <w:szCs w:val="24"/>
          <w:lang w:eastAsia="bg-BG"/>
        </w:rPr>
      </w:pPr>
    </w:p>
    <w:p w14:paraId="7CC2E36D" w14:textId="07303962"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Проучвания при млади плъхове показват преходни ефекти върху невроповеденческите реакции, както и значително намаляване на телесното тегло и консумирането на храна: индукция на чернодробните ензими; и хепатоцелуларна вакуолизация при 45 </w:t>
      </w:r>
      <w:r w:rsidRPr="007F1682">
        <w:rPr>
          <w:rFonts w:eastAsia="Times New Roman" w:cs="Arial"/>
          <w:color w:val="000000"/>
          <w:szCs w:val="19"/>
        </w:rPr>
        <w:t>mg/kg/</w:t>
      </w:r>
      <w:r w:rsidRPr="007F1682">
        <w:rPr>
          <w:rFonts w:eastAsia="Times New Roman" w:cs="Arial"/>
          <w:color w:val="000000"/>
          <w:szCs w:val="19"/>
          <w:lang w:eastAsia="bg-BG"/>
        </w:rPr>
        <w:t>дневно</w:t>
      </w:r>
      <w:r w:rsidRPr="007F1682">
        <w:rPr>
          <w:rFonts w:eastAsia="Times New Roman" w:cs="Arial"/>
          <w:color w:val="000000"/>
          <w:szCs w:val="19"/>
        </w:rPr>
        <w:t xml:space="preserve">. </w:t>
      </w:r>
      <w:r w:rsidRPr="007F1682">
        <w:rPr>
          <w:rFonts w:eastAsia="Times New Roman" w:cs="Arial"/>
          <w:color w:val="000000"/>
          <w:szCs w:val="19"/>
          <w:lang w:eastAsia="bg-BG"/>
        </w:rPr>
        <w:t xml:space="preserve">Общият профил па токсичност на дулоксетин при млади плъхове е подобен на този при възрастни плъхове. Нивото на липса на нежелани ефекти е определено, че с 20 </w:t>
      </w:r>
      <w:r w:rsidRPr="007F1682">
        <w:rPr>
          <w:rFonts w:eastAsia="Times New Roman" w:cs="Arial"/>
          <w:color w:val="000000"/>
          <w:szCs w:val="19"/>
        </w:rPr>
        <w:t>mg/kg</w:t>
      </w:r>
      <w:r w:rsidRPr="007F1682">
        <w:rPr>
          <w:rFonts w:eastAsia="Times New Roman" w:cs="Arial"/>
          <w:color w:val="000000"/>
          <w:szCs w:val="19"/>
          <w:lang w:eastAsia="bg-BG"/>
        </w:rPr>
        <w:t>/дневно.</w:t>
      </w:r>
    </w:p>
    <w:p w14:paraId="6A7820AB" w14:textId="4D5B49C5" w:rsidR="008A6AF2" w:rsidRPr="007F1682" w:rsidRDefault="002C50EE" w:rsidP="00395555">
      <w:pPr>
        <w:pStyle w:val="Heading1"/>
      </w:pPr>
      <w:r w:rsidRPr="007F1682">
        <w:t>7. ПРИТЕЖАТЕЛ НА РАЗРЕШЕНИЕТО ЗА УПОТРЕБА</w:t>
      </w:r>
    </w:p>
    <w:p w14:paraId="4229E83A" w14:textId="5CBED4DB" w:rsidR="00F364F7" w:rsidRPr="007F1682" w:rsidRDefault="00F364F7" w:rsidP="00F364F7"/>
    <w:p w14:paraId="6C776EAC" w14:textId="77777777"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ФАРМАКОНС АД</w:t>
      </w:r>
    </w:p>
    <w:p w14:paraId="3CDD9AF8" w14:textId="77777777"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бул. „Пейо К. Яворов“ № 44, ет. 1</w:t>
      </w:r>
    </w:p>
    <w:p w14:paraId="1C8EF7E2" w14:textId="77777777"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София 1164</w:t>
      </w:r>
    </w:p>
    <w:p w14:paraId="1FF8C2F5" w14:textId="33C86022" w:rsidR="00F364F7" w:rsidRPr="007F1682" w:rsidRDefault="00F364F7" w:rsidP="00F364F7">
      <w:pPr>
        <w:rPr>
          <w:sz w:val="28"/>
        </w:rPr>
      </w:pPr>
      <w:r w:rsidRPr="007F1682">
        <w:rPr>
          <w:rFonts w:eastAsia="Times New Roman" w:cs="Arial"/>
          <w:color w:val="000000"/>
          <w:szCs w:val="19"/>
          <w:lang w:eastAsia="bg-BG"/>
        </w:rPr>
        <w:t>България</w:t>
      </w:r>
    </w:p>
    <w:p w14:paraId="7BA1BA64" w14:textId="291CD9AF" w:rsidR="00CF77F7" w:rsidRPr="007F1682" w:rsidRDefault="002C50EE" w:rsidP="004A448E">
      <w:pPr>
        <w:pStyle w:val="Heading1"/>
      </w:pPr>
      <w:r w:rsidRPr="007F1682">
        <w:t>8. НОМЕР НА РАЗРЕШЕНИЕТО ЗА УПОТРЕБА</w:t>
      </w:r>
    </w:p>
    <w:p w14:paraId="52D7E68A" w14:textId="3FB41F6A" w:rsidR="00F364F7" w:rsidRPr="007F1682" w:rsidRDefault="00F364F7" w:rsidP="00F364F7"/>
    <w:p w14:paraId="504D157C" w14:textId="77777777"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 xml:space="preserve">Дулокси 30 </w:t>
      </w:r>
      <w:r w:rsidRPr="007F1682">
        <w:rPr>
          <w:rFonts w:eastAsia="Times New Roman" w:cs="Arial"/>
          <w:color w:val="000000"/>
          <w:szCs w:val="19"/>
        </w:rPr>
        <w:t xml:space="preserve">mg </w:t>
      </w:r>
      <w:r w:rsidRPr="007F1682">
        <w:rPr>
          <w:rFonts w:eastAsia="Times New Roman" w:cs="Arial"/>
          <w:color w:val="000000"/>
          <w:szCs w:val="19"/>
          <w:lang w:eastAsia="bg-BG"/>
        </w:rPr>
        <w:t>стомашно-устойчиви твърди капсули</w:t>
      </w:r>
    </w:p>
    <w:p w14:paraId="383E2025" w14:textId="77777777"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Рег.</w:t>
      </w:r>
      <w:r w:rsidRPr="007F1682">
        <w:rPr>
          <w:rFonts w:eastAsia="Times New Roman" w:cs="Arial"/>
          <w:color w:val="000000"/>
          <w:szCs w:val="19"/>
        </w:rPr>
        <w:t xml:space="preserve">. </w:t>
      </w:r>
      <w:r w:rsidRPr="007F1682">
        <w:rPr>
          <w:rFonts w:eastAsia="Times New Roman" w:cs="Arial"/>
          <w:color w:val="000000"/>
          <w:szCs w:val="19"/>
          <w:lang w:eastAsia="bg-BG"/>
        </w:rPr>
        <w:t xml:space="preserve">№: </w:t>
      </w:r>
      <w:r w:rsidRPr="007F1682">
        <w:rPr>
          <w:rFonts w:eastAsia="Times New Roman" w:cs="Arial"/>
          <w:b/>
          <w:bCs/>
          <w:color w:val="000000"/>
          <w:szCs w:val="19"/>
          <w:lang w:eastAsia="bg-BG"/>
        </w:rPr>
        <w:t>20160109</w:t>
      </w:r>
    </w:p>
    <w:p w14:paraId="1440620E" w14:textId="77777777" w:rsidR="00F364F7" w:rsidRPr="007F1682" w:rsidRDefault="00F364F7" w:rsidP="00F364F7">
      <w:pPr>
        <w:spacing w:line="240" w:lineRule="auto"/>
        <w:rPr>
          <w:rFonts w:eastAsia="Times New Roman" w:cs="Arial"/>
          <w:i/>
          <w:iCs/>
          <w:color w:val="000000"/>
          <w:szCs w:val="19"/>
          <w:lang w:eastAsia="bg-BG"/>
        </w:rPr>
      </w:pPr>
    </w:p>
    <w:p w14:paraId="42640D13" w14:textId="7D7F35D0"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i/>
          <w:iCs/>
          <w:color w:val="000000"/>
          <w:szCs w:val="19"/>
          <w:lang w:eastAsia="bg-BG"/>
        </w:rPr>
        <w:t xml:space="preserve">Дулокси 60 </w:t>
      </w:r>
      <w:r w:rsidRPr="007F1682">
        <w:rPr>
          <w:rFonts w:eastAsia="Times New Roman" w:cs="Arial"/>
          <w:i/>
          <w:iCs/>
          <w:color w:val="000000"/>
          <w:szCs w:val="19"/>
        </w:rPr>
        <w:t xml:space="preserve">mg </w:t>
      </w:r>
      <w:r w:rsidRPr="007F1682">
        <w:rPr>
          <w:rFonts w:eastAsia="Times New Roman" w:cs="Arial"/>
          <w:i/>
          <w:iCs/>
          <w:color w:val="000000"/>
          <w:szCs w:val="19"/>
          <w:lang w:eastAsia="bg-BG"/>
        </w:rPr>
        <w:t>стомашно-устойчиви</w:t>
      </w:r>
      <w:r w:rsidRPr="007F1682">
        <w:rPr>
          <w:rFonts w:eastAsia="Times New Roman" w:cs="Arial"/>
          <w:color w:val="000000"/>
          <w:szCs w:val="19"/>
          <w:lang w:eastAsia="bg-BG"/>
        </w:rPr>
        <w:t xml:space="preserve"> твърди </w:t>
      </w:r>
      <w:r w:rsidRPr="007F1682">
        <w:rPr>
          <w:rFonts w:eastAsia="Times New Roman" w:cs="Arial"/>
          <w:i/>
          <w:iCs/>
          <w:color w:val="000000"/>
          <w:szCs w:val="19"/>
          <w:lang w:eastAsia="bg-BG"/>
        </w:rPr>
        <w:t>капсули</w:t>
      </w:r>
    </w:p>
    <w:p w14:paraId="7C25F2D5" w14:textId="13565F62" w:rsidR="00F364F7" w:rsidRPr="007F1682" w:rsidRDefault="00F364F7" w:rsidP="00F364F7">
      <w:pPr>
        <w:rPr>
          <w:sz w:val="28"/>
        </w:rPr>
      </w:pPr>
      <w:r w:rsidRPr="007F1682">
        <w:rPr>
          <w:rFonts w:eastAsia="Times New Roman" w:cs="Arial"/>
          <w:color w:val="000000"/>
          <w:szCs w:val="19"/>
          <w:lang w:eastAsia="bg-BG"/>
        </w:rPr>
        <w:t>Рег.</w:t>
      </w:r>
      <w:r w:rsidRPr="007F1682">
        <w:rPr>
          <w:rFonts w:eastAsia="Times New Roman" w:cs="Arial"/>
          <w:color w:val="000000"/>
          <w:szCs w:val="19"/>
        </w:rPr>
        <w:t xml:space="preserve"> </w:t>
      </w:r>
      <w:r w:rsidRPr="007F1682">
        <w:rPr>
          <w:rFonts w:eastAsia="Times New Roman" w:cs="Arial"/>
          <w:color w:val="000000"/>
          <w:szCs w:val="19"/>
          <w:lang w:eastAsia="bg-BG"/>
        </w:rPr>
        <w:t xml:space="preserve">№: </w:t>
      </w:r>
      <w:r w:rsidRPr="007F1682">
        <w:rPr>
          <w:rFonts w:eastAsia="Times New Roman" w:cs="Arial"/>
          <w:b/>
          <w:bCs/>
          <w:color w:val="000000"/>
          <w:szCs w:val="19"/>
          <w:lang w:eastAsia="bg-BG"/>
        </w:rPr>
        <w:t>20160110</w:t>
      </w:r>
    </w:p>
    <w:p w14:paraId="2CCB5832" w14:textId="7395DF08" w:rsidR="007C605B" w:rsidRPr="007F1682" w:rsidRDefault="002C50EE" w:rsidP="007C605B">
      <w:pPr>
        <w:pStyle w:val="Heading1"/>
      </w:pPr>
      <w:r w:rsidRPr="007F1682">
        <w:t>9. ДАТА НА ПЪРВО РАЗРЕШАВАНЕ/ПОДНОВЯВАНЕ НА РАЗРЕШЕНИЕТО ЗА УПОТРЕБА</w:t>
      </w:r>
    </w:p>
    <w:p w14:paraId="579A2B18" w14:textId="507414DB" w:rsidR="00F364F7" w:rsidRPr="007F1682" w:rsidRDefault="00F364F7" w:rsidP="00F364F7"/>
    <w:p w14:paraId="6CF0A438" w14:textId="77777777"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b/>
          <w:bCs/>
          <w:color w:val="000000"/>
          <w:szCs w:val="19"/>
          <w:lang w:eastAsia="bg-BG"/>
        </w:rPr>
        <w:t xml:space="preserve">Дулокси 30 </w:t>
      </w:r>
      <w:r w:rsidRPr="007F1682">
        <w:rPr>
          <w:rFonts w:eastAsia="Times New Roman" w:cs="Arial"/>
          <w:b/>
          <w:bCs/>
          <w:color w:val="000000"/>
          <w:szCs w:val="19"/>
        </w:rPr>
        <w:t xml:space="preserve">mg </w:t>
      </w:r>
      <w:r w:rsidRPr="007F1682">
        <w:rPr>
          <w:rFonts w:eastAsia="Times New Roman" w:cs="Arial"/>
          <w:b/>
          <w:bCs/>
          <w:color w:val="000000"/>
          <w:szCs w:val="19"/>
          <w:lang w:eastAsia="bg-BG"/>
        </w:rPr>
        <w:t>стомашно-устойчиви твърди капсули</w:t>
      </w:r>
    </w:p>
    <w:p w14:paraId="66D8FADE" w14:textId="77777777"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Дата на първо разрешаване: 04/04/2016</w:t>
      </w:r>
    </w:p>
    <w:p w14:paraId="2D1D00AC" w14:textId="77777777"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Дата на последно подновяване:</w:t>
      </w:r>
    </w:p>
    <w:p w14:paraId="2A00D885" w14:textId="77777777" w:rsidR="00F364F7" w:rsidRPr="007F1682" w:rsidRDefault="00F364F7" w:rsidP="00F364F7">
      <w:pPr>
        <w:spacing w:line="240" w:lineRule="auto"/>
        <w:rPr>
          <w:rFonts w:eastAsia="Times New Roman" w:cs="Arial"/>
          <w:b/>
          <w:bCs/>
          <w:color w:val="000000"/>
          <w:szCs w:val="19"/>
          <w:lang w:eastAsia="bg-BG"/>
        </w:rPr>
      </w:pPr>
    </w:p>
    <w:p w14:paraId="4CAFA126" w14:textId="378CA774"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b/>
          <w:bCs/>
          <w:color w:val="000000"/>
          <w:szCs w:val="19"/>
          <w:lang w:eastAsia="bg-BG"/>
        </w:rPr>
        <w:t xml:space="preserve">Дулокси 60 </w:t>
      </w:r>
      <w:r w:rsidRPr="007F1682">
        <w:rPr>
          <w:rFonts w:eastAsia="Times New Roman" w:cs="Arial"/>
          <w:b/>
          <w:bCs/>
          <w:color w:val="000000"/>
          <w:szCs w:val="19"/>
        </w:rPr>
        <w:t xml:space="preserve">mg </w:t>
      </w:r>
      <w:r w:rsidRPr="007F1682">
        <w:rPr>
          <w:rFonts w:eastAsia="Times New Roman" w:cs="Arial"/>
          <w:b/>
          <w:bCs/>
          <w:color w:val="000000"/>
          <w:szCs w:val="19"/>
          <w:lang w:eastAsia="bg-BG"/>
        </w:rPr>
        <w:t>стомашно-устойчиви твърди капсули</w:t>
      </w:r>
    </w:p>
    <w:p w14:paraId="08C60068" w14:textId="77777777" w:rsidR="00F364F7" w:rsidRPr="007F1682" w:rsidRDefault="00F364F7" w:rsidP="00F364F7">
      <w:pPr>
        <w:spacing w:line="240" w:lineRule="auto"/>
        <w:rPr>
          <w:rFonts w:ascii="Times New Roman" w:eastAsia="Times New Roman" w:hAnsi="Times New Roman" w:cs="Times New Roman"/>
          <w:sz w:val="32"/>
          <w:szCs w:val="24"/>
          <w:lang w:eastAsia="bg-BG"/>
        </w:rPr>
      </w:pPr>
      <w:r w:rsidRPr="007F1682">
        <w:rPr>
          <w:rFonts w:eastAsia="Times New Roman" w:cs="Arial"/>
          <w:color w:val="000000"/>
          <w:szCs w:val="19"/>
          <w:lang w:eastAsia="bg-BG"/>
        </w:rPr>
        <w:t>Дата на първо разрешаване: 04/04/2016</w:t>
      </w:r>
    </w:p>
    <w:p w14:paraId="1050E6EF" w14:textId="2F0A41D7" w:rsidR="00F364F7" w:rsidRPr="007F1682" w:rsidRDefault="00F364F7" w:rsidP="00F364F7">
      <w:pPr>
        <w:rPr>
          <w:sz w:val="28"/>
        </w:rPr>
      </w:pPr>
      <w:r w:rsidRPr="007F1682">
        <w:rPr>
          <w:rFonts w:eastAsia="Times New Roman" w:cs="Arial"/>
          <w:color w:val="000000"/>
          <w:szCs w:val="19"/>
          <w:lang w:eastAsia="bg-BG"/>
        </w:rPr>
        <w:t>Дата на последно подновяване:</w:t>
      </w:r>
    </w:p>
    <w:p w14:paraId="43FB38A2" w14:textId="6FB9914C" w:rsidR="007C605B" w:rsidRPr="007F1682" w:rsidRDefault="002C50EE" w:rsidP="00F364F7">
      <w:pPr>
        <w:pStyle w:val="Heading1"/>
      </w:pPr>
      <w:r w:rsidRPr="007F1682">
        <w:t>10. ДАТА НА АКТУАЛИЗИРАНЕ НА ТЕКСТА</w:t>
      </w:r>
      <w:bookmarkEnd w:id="0"/>
    </w:p>
    <w:p w14:paraId="3D07FD7B" w14:textId="76942EAC" w:rsidR="00F364F7" w:rsidRPr="007F1682" w:rsidRDefault="00F364F7" w:rsidP="00F364F7"/>
    <w:p w14:paraId="2DCF7844" w14:textId="079AEA81" w:rsidR="00F364F7" w:rsidRPr="007F1682" w:rsidRDefault="00F364F7" w:rsidP="00F364F7">
      <w:pPr>
        <w:rPr>
          <w:sz w:val="28"/>
        </w:rPr>
      </w:pPr>
      <w:r w:rsidRPr="007F1682">
        <w:rPr>
          <w:rFonts w:cs="Arial"/>
          <w:szCs w:val="19"/>
        </w:rPr>
        <w:t>10/2020</w:t>
      </w:r>
    </w:p>
    <w:sectPr w:rsidR="00F364F7" w:rsidRPr="007F16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370A" w14:textId="77777777" w:rsidR="00F8365B" w:rsidRDefault="00F8365B" w:rsidP="00292FB9">
      <w:pPr>
        <w:spacing w:line="240" w:lineRule="auto"/>
      </w:pPr>
      <w:r>
        <w:separator/>
      </w:r>
    </w:p>
  </w:endnote>
  <w:endnote w:type="continuationSeparator" w:id="0">
    <w:p w14:paraId="06817055" w14:textId="77777777" w:rsidR="00F8365B" w:rsidRDefault="00F8365B" w:rsidP="00292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341F" w14:textId="64A592A9" w:rsidR="00292FB9" w:rsidRDefault="00292FB9">
    <w:pPr>
      <w:pStyle w:val="Footer"/>
    </w:pPr>
    <w:r>
      <w:rPr>
        <w:noProof/>
      </w:rPr>
      <mc:AlternateContent>
        <mc:Choice Requires="wps">
          <w:drawing>
            <wp:anchor distT="0" distB="0" distL="114300" distR="114300" simplePos="0" relativeHeight="251659264" behindDoc="0" locked="0" layoutInCell="0" allowOverlap="1" wp14:anchorId="3EF8562E" wp14:editId="31FE8A78">
              <wp:simplePos x="0" y="0"/>
              <wp:positionH relativeFrom="page">
                <wp:posOffset>0</wp:posOffset>
              </wp:positionH>
              <wp:positionV relativeFrom="page">
                <wp:posOffset>9594215</wp:posOffset>
              </wp:positionV>
              <wp:extent cx="7772400" cy="273050"/>
              <wp:effectExtent l="0" t="0" r="0" b="12700"/>
              <wp:wrapNone/>
              <wp:docPr id="1" name="MSIPCMcd3f400e9062c9de9ea8b3f2" descr="{&quot;HashCode&quot;:16280891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C9ED1A" w14:textId="7409D024" w:rsidR="00292FB9" w:rsidRPr="00292FB9" w:rsidRDefault="00292FB9" w:rsidP="00292FB9">
                          <w:pPr>
                            <w:jc w:val="right"/>
                            <w:rPr>
                              <w:rFonts w:ascii="Calibri" w:hAnsi="Calibri" w:cs="Calibri"/>
                              <w:color w:val="000000"/>
                              <w:sz w:val="20"/>
                            </w:rPr>
                          </w:pPr>
                          <w:r w:rsidRPr="00292FB9">
                            <w:rPr>
                              <w:rFonts w:ascii="Calibri" w:hAnsi="Calibri" w:cs="Calibri"/>
                              <w:color w:val="000000"/>
                              <w:sz w:val="20"/>
                            </w:rPr>
                            <w:t>Internal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EF8562E" id="_x0000_t202" coordsize="21600,21600" o:spt="202" path="m,l,21600r21600,l21600,xe">
              <v:stroke joinstyle="miter"/>
              <v:path gradientshapeok="t" o:connecttype="rect"/>
            </v:shapetype>
            <v:shape id="MSIPCMcd3f400e9062c9de9ea8b3f2" o:spid="_x0000_s1026" type="#_x0000_t202" alt="{&quot;HashCode&quot;:1628089194,&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fill o:detectmouseclick="t"/>
              <v:textbox inset=",0,20pt,0">
                <w:txbxContent>
                  <w:p w14:paraId="36C9ED1A" w14:textId="7409D024" w:rsidR="00292FB9" w:rsidRPr="00292FB9" w:rsidRDefault="00292FB9" w:rsidP="00292FB9">
                    <w:pPr>
                      <w:jc w:val="right"/>
                      <w:rPr>
                        <w:rFonts w:ascii="Calibri" w:hAnsi="Calibri" w:cs="Calibri"/>
                        <w:color w:val="000000"/>
                        <w:sz w:val="20"/>
                      </w:rPr>
                    </w:pPr>
                    <w:r w:rsidRPr="00292FB9">
                      <w:rPr>
                        <w:rFonts w:ascii="Calibri" w:hAnsi="Calibri" w:cs="Calibri"/>
                        <w:color w:val="000000"/>
                        <w:sz w:val="20"/>
                      </w:rPr>
                      <w:t>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9F5B2" w14:textId="77777777" w:rsidR="00F8365B" w:rsidRDefault="00F8365B" w:rsidP="00292FB9">
      <w:pPr>
        <w:spacing w:line="240" w:lineRule="auto"/>
      </w:pPr>
      <w:r>
        <w:separator/>
      </w:r>
    </w:p>
  </w:footnote>
  <w:footnote w:type="continuationSeparator" w:id="0">
    <w:p w14:paraId="0B0B413A" w14:textId="77777777" w:rsidR="00F8365B" w:rsidRDefault="00F8365B" w:rsidP="00292F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F4940"/>
    <w:multiLevelType w:val="hybridMultilevel"/>
    <w:tmpl w:val="A342CAD2"/>
    <w:lvl w:ilvl="0" w:tplc="46D6E8E2">
      <w:start w:val="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527372779">
    <w:abstractNumId w:val="26"/>
  </w:num>
  <w:num w:numId="2" w16cid:durableId="357194433">
    <w:abstractNumId w:val="0"/>
  </w:num>
  <w:num w:numId="3" w16cid:durableId="164367491">
    <w:abstractNumId w:val="12"/>
  </w:num>
  <w:num w:numId="4" w16cid:durableId="994652197">
    <w:abstractNumId w:val="3"/>
  </w:num>
  <w:num w:numId="5" w16cid:durableId="162473713">
    <w:abstractNumId w:val="1"/>
  </w:num>
  <w:num w:numId="6" w16cid:durableId="1952659619">
    <w:abstractNumId w:val="15"/>
  </w:num>
  <w:num w:numId="7" w16cid:durableId="714352146">
    <w:abstractNumId w:val="10"/>
  </w:num>
  <w:num w:numId="8" w16cid:durableId="1981304501">
    <w:abstractNumId w:val="14"/>
  </w:num>
  <w:num w:numId="9" w16cid:durableId="1494301952">
    <w:abstractNumId w:val="2"/>
  </w:num>
  <w:num w:numId="10" w16cid:durableId="731925340">
    <w:abstractNumId w:val="4"/>
  </w:num>
  <w:num w:numId="11" w16cid:durableId="1284919163">
    <w:abstractNumId w:val="30"/>
  </w:num>
  <w:num w:numId="12" w16cid:durableId="1270820869">
    <w:abstractNumId w:val="13"/>
  </w:num>
  <w:num w:numId="13" w16cid:durableId="483276508">
    <w:abstractNumId w:val="18"/>
  </w:num>
  <w:num w:numId="14" w16cid:durableId="53546781">
    <w:abstractNumId w:val="11"/>
  </w:num>
  <w:num w:numId="15" w16cid:durableId="250698270">
    <w:abstractNumId w:val="29"/>
  </w:num>
  <w:num w:numId="16" w16cid:durableId="1034231594">
    <w:abstractNumId w:val="9"/>
  </w:num>
  <w:num w:numId="17" w16cid:durableId="465707927">
    <w:abstractNumId w:val="23"/>
  </w:num>
  <w:num w:numId="18" w16cid:durableId="568662331">
    <w:abstractNumId w:val="7"/>
  </w:num>
  <w:num w:numId="19" w16cid:durableId="2018998791">
    <w:abstractNumId w:val="25"/>
  </w:num>
  <w:num w:numId="20" w16cid:durableId="1030107805">
    <w:abstractNumId w:val="22"/>
  </w:num>
  <w:num w:numId="21" w16cid:durableId="667946150">
    <w:abstractNumId w:val="16"/>
  </w:num>
  <w:num w:numId="22" w16cid:durableId="568226899">
    <w:abstractNumId w:val="24"/>
  </w:num>
  <w:num w:numId="23" w16cid:durableId="1888102452">
    <w:abstractNumId w:val="17"/>
  </w:num>
  <w:num w:numId="24" w16cid:durableId="1596522707">
    <w:abstractNumId w:val="8"/>
  </w:num>
  <w:num w:numId="25" w16cid:durableId="1970864328">
    <w:abstractNumId w:val="21"/>
  </w:num>
  <w:num w:numId="26" w16cid:durableId="928585156">
    <w:abstractNumId w:val="20"/>
  </w:num>
  <w:num w:numId="27" w16cid:durableId="2034577164">
    <w:abstractNumId w:val="31"/>
  </w:num>
  <w:num w:numId="28" w16cid:durableId="1710371304">
    <w:abstractNumId w:val="6"/>
  </w:num>
  <w:num w:numId="29" w16cid:durableId="987245196">
    <w:abstractNumId w:val="19"/>
  </w:num>
  <w:num w:numId="30" w16cid:durableId="351302015">
    <w:abstractNumId w:val="34"/>
  </w:num>
  <w:num w:numId="31" w16cid:durableId="1435900915">
    <w:abstractNumId w:val="5"/>
  </w:num>
  <w:num w:numId="32" w16cid:durableId="876771515">
    <w:abstractNumId w:val="33"/>
  </w:num>
  <w:num w:numId="33" w16cid:durableId="259145087">
    <w:abstractNumId w:val="27"/>
  </w:num>
  <w:num w:numId="34" w16cid:durableId="2002586953">
    <w:abstractNumId w:val="32"/>
  </w:num>
  <w:num w:numId="35" w16cid:durableId="164935656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00"/>
    <w:rsid w:val="0006472B"/>
    <w:rsid w:val="00090BF8"/>
    <w:rsid w:val="000A0A66"/>
    <w:rsid w:val="000A4AE6"/>
    <w:rsid w:val="000F5715"/>
    <w:rsid w:val="00151E2C"/>
    <w:rsid w:val="00185A46"/>
    <w:rsid w:val="001915B6"/>
    <w:rsid w:val="001D1B23"/>
    <w:rsid w:val="001D7999"/>
    <w:rsid w:val="00257228"/>
    <w:rsid w:val="00292FB9"/>
    <w:rsid w:val="00295CCA"/>
    <w:rsid w:val="002B1199"/>
    <w:rsid w:val="002B3C38"/>
    <w:rsid w:val="002B4DBB"/>
    <w:rsid w:val="002C50EE"/>
    <w:rsid w:val="002F63F8"/>
    <w:rsid w:val="003339AB"/>
    <w:rsid w:val="00340A0A"/>
    <w:rsid w:val="00375D7B"/>
    <w:rsid w:val="003765DC"/>
    <w:rsid w:val="003946B1"/>
    <w:rsid w:val="00395555"/>
    <w:rsid w:val="003E3126"/>
    <w:rsid w:val="004059F7"/>
    <w:rsid w:val="00426E5F"/>
    <w:rsid w:val="00434231"/>
    <w:rsid w:val="0043792F"/>
    <w:rsid w:val="004A448E"/>
    <w:rsid w:val="004D4D6B"/>
    <w:rsid w:val="004F1CE7"/>
    <w:rsid w:val="004F498A"/>
    <w:rsid w:val="00517A5B"/>
    <w:rsid w:val="005545AB"/>
    <w:rsid w:val="005865CF"/>
    <w:rsid w:val="00593A00"/>
    <w:rsid w:val="005A66D9"/>
    <w:rsid w:val="00605BCA"/>
    <w:rsid w:val="006158A1"/>
    <w:rsid w:val="00616FF3"/>
    <w:rsid w:val="00617B1F"/>
    <w:rsid w:val="00672487"/>
    <w:rsid w:val="00672600"/>
    <w:rsid w:val="00681D4A"/>
    <w:rsid w:val="00685882"/>
    <w:rsid w:val="0075649D"/>
    <w:rsid w:val="007A3065"/>
    <w:rsid w:val="007C605B"/>
    <w:rsid w:val="007F1682"/>
    <w:rsid w:val="008134C8"/>
    <w:rsid w:val="00814073"/>
    <w:rsid w:val="00826F0D"/>
    <w:rsid w:val="00856328"/>
    <w:rsid w:val="00877F77"/>
    <w:rsid w:val="00893B92"/>
    <w:rsid w:val="0089723F"/>
    <w:rsid w:val="008A6AF2"/>
    <w:rsid w:val="008C41D5"/>
    <w:rsid w:val="008C70A2"/>
    <w:rsid w:val="009773E4"/>
    <w:rsid w:val="009B171C"/>
    <w:rsid w:val="009C0B6F"/>
    <w:rsid w:val="009F1313"/>
    <w:rsid w:val="00A134C7"/>
    <w:rsid w:val="00A157C2"/>
    <w:rsid w:val="00A20351"/>
    <w:rsid w:val="00A64E7F"/>
    <w:rsid w:val="00A65A81"/>
    <w:rsid w:val="00A90B9C"/>
    <w:rsid w:val="00AA23EC"/>
    <w:rsid w:val="00AC63CE"/>
    <w:rsid w:val="00AC6E2C"/>
    <w:rsid w:val="00AE2107"/>
    <w:rsid w:val="00B275A8"/>
    <w:rsid w:val="00BF07A4"/>
    <w:rsid w:val="00BF2600"/>
    <w:rsid w:val="00C0049F"/>
    <w:rsid w:val="00C07B84"/>
    <w:rsid w:val="00C16EC9"/>
    <w:rsid w:val="00C24CE1"/>
    <w:rsid w:val="00C33464"/>
    <w:rsid w:val="00C40420"/>
    <w:rsid w:val="00C809A7"/>
    <w:rsid w:val="00C83063"/>
    <w:rsid w:val="00C87E90"/>
    <w:rsid w:val="00CA1B57"/>
    <w:rsid w:val="00CB610A"/>
    <w:rsid w:val="00CF77F7"/>
    <w:rsid w:val="00D25A15"/>
    <w:rsid w:val="00D51E92"/>
    <w:rsid w:val="00D54271"/>
    <w:rsid w:val="00D86297"/>
    <w:rsid w:val="00D873E3"/>
    <w:rsid w:val="00DC472D"/>
    <w:rsid w:val="00DD466D"/>
    <w:rsid w:val="00DF2A79"/>
    <w:rsid w:val="00E759D4"/>
    <w:rsid w:val="00E8732C"/>
    <w:rsid w:val="00EB6364"/>
    <w:rsid w:val="00EB7F4E"/>
    <w:rsid w:val="00ED509B"/>
    <w:rsid w:val="00F364F7"/>
    <w:rsid w:val="00F37B64"/>
    <w:rsid w:val="00F8365B"/>
    <w:rsid w:val="00F958D1"/>
    <w:rsid w:val="00FD69E8"/>
    <w:rsid w:val="00FE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34C7"/>
    <w:rPr>
      <w:color w:val="0563C1" w:themeColor="hyperlink"/>
      <w:u w:val="single"/>
    </w:rPr>
  </w:style>
  <w:style w:type="paragraph" w:styleId="Header">
    <w:name w:val="header"/>
    <w:basedOn w:val="Normal"/>
    <w:link w:val="HeaderChar"/>
    <w:uiPriority w:val="99"/>
    <w:unhideWhenUsed/>
    <w:rsid w:val="00292FB9"/>
    <w:pPr>
      <w:tabs>
        <w:tab w:val="center" w:pos="4680"/>
        <w:tab w:val="right" w:pos="9360"/>
      </w:tabs>
      <w:spacing w:line="240" w:lineRule="auto"/>
    </w:pPr>
  </w:style>
  <w:style w:type="character" w:customStyle="1" w:styleId="HeaderChar">
    <w:name w:val="Header Char"/>
    <w:basedOn w:val="DefaultParagraphFont"/>
    <w:link w:val="Header"/>
    <w:uiPriority w:val="99"/>
    <w:rsid w:val="00292FB9"/>
    <w:rPr>
      <w:rFonts w:ascii="Arial" w:hAnsi="Arial"/>
      <w:lang w:val="bg-BG"/>
    </w:rPr>
  </w:style>
  <w:style w:type="paragraph" w:styleId="Footer">
    <w:name w:val="footer"/>
    <w:basedOn w:val="Normal"/>
    <w:link w:val="FooterChar"/>
    <w:uiPriority w:val="99"/>
    <w:unhideWhenUsed/>
    <w:rsid w:val="00292FB9"/>
    <w:pPr>
      <w:tabs>
        <w:tab w:val="center" w:pos="4680"/>
        <w:tab w:val="right" w:pos="9360"/>
      </w:tabs>
      <w:spacing w:line="240" w:lineRule="auto"/>
    </w:pPr>
  </w:style>
  <w:style w:type="character" w:customStyle="1" w:styleId="FooterChar">
    <w:name w:val="Footer Char"/>
    <w:basedOn w:val="DefaultParagraphFont"/>
    <w:link w:val="Footer"/>
    <w:uiPriority w:val="99"/>
    <w:rsid w:val="00292FB9"/>
    <w:rPr>
      <w:rFonts w:ascii="Arial" w:hAnsi="Arial"/>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d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22</Pages>
  <Words>7885</Words>
  <Characters>44950</Characters>
  <Application>Microsoft Office Word</Application>
  <DocSecurity>0</DocSecurity>
  <Lines>374</Lines>
  <Paragraphs>105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Maria Vasileva</cp:lastModifiedBy>
  <cp:revision>46</cp:revision>
  <dcterms:created xsi:type="dcterms:W3CDTF">2022-04-25T12:40:00Z</dcterms:created>
  <dcterms:modified xsi:type="dcterms:W3CDTF">2022-05-06T21:27:00Z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2022-05-06T20:48:15Z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61af79d7-eecf-445f-b190-0e31e19b6453</vt:lpwstr>
  </property>
  <property fmtid="{D5CDD505-2E9C-101B-9397-08002B2CF9AE}" pid="8" name="MSIP_Label_78080e56-8894-418a-9b19-f357e77b996f_ContentBits">
    <vt:lpwstr>2</vt:lpwstr>
  </property>
</Properties>
</file>