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Pr="00860E17" w:rsidRDefault="002C50EE" w:rsidP="002C50EE">
      <w:pPr>
        <w:pStyle w:val="Heading1"/>
        <w:jc w:val="center"/>
      </w:pPr>
      <w:bookmarkStart w:id="0" w:name="_Hlk63124480"/>
      <w:r w:rsidRPr="00860E17">
        <w:t>КРАТКА ХАРАКТЕРИСТИКА НА ПРОДУКТА</w:t>
      </w:r>
    </w:p>
    <w:p w14:paraId="2BE34EF6" w14:textId="32EB42C5" w:rsidR="007122AD" w:rsidRPr="00860E17" w:rsidRDefault="00DD466D" w:rsidP="00936AD0">
      <w:pPr>
        <w:pStyle w:val="Heading1"/>
      </w:pPr>
      <w:r w:rsidRPr="00860E17">
        <w:t>1.ИМЕ НА ЛЕКАРСТВЕНИЯ ПРОДУКТ</w:t>
      </w:r>
    </w:p>
    <w:p w14:paraId="066D43AE" w14:textId="28CA21F6" w:rsidR="009E5AB1" w:rsidRPr="00860E17" w:rsidRDefault="009E5AB1" w:rsidP="009E5AB1"/>
    <w:p w14:paraId="1107C6E9" w14:textId="77777777" w:rsidR="009E5AB1" w:rsidRPr="00860E17" w:rsidRDefault="009E5AB1" w:rsidP="009E5AB1">
      <w:pPr>
        <w:spacing w:line="240" w:lineRule="auto"/>
        <w:rPr>
          <w:rFonts w:eastAsia="Times New Roman" w:cs="Arial"/>
          <w:sz w:val="24"/>
          <w:szCs w:val="24"/>
        </w:rPr>
      </w:pPr>
      <w:proofErr w:type="spellStart"/>
      <w:r w:rsidRPr="00860E17">
        <w:rPr>
          <w:rFonts w:eastAsia="Times New Roman" w:cs="Arial"/>
          <w:color w:val="000000"/>
          <w:lang w:eastAsia="bg-BG"/>
        </w:rPr>
        <w:t>Дулсевиа</w:t>
      </w:r>
      <w:proofErr w:type="spellEnd"/>
      <w:r w:rsidRPr="00860E17">
        <w:rPr>
          <w:rFonts w:eastAsia="Times New Roman" w:cs="Arial"/>
          <w:color w:val="000000"/>
          <w:lang w:eastAsia="bg-BG"/>
        </w:rPr>
        <w:t xml:space="preserve"> 30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стомашно-устойчиви твърди капсули</w:t>
      </w:r>
    </w:p>
    <w:p w14:paraId="7266A3DF" w14:textId="77777777" w:rsidR="009E5AB1" w:rsidRPr="00860E17" w:rsidRDefault="009E5AB1" w:rsidP="009E5AB1">
      <w:pPr>
        <w:spacing w:line="240" w:lineRule="auto"/>
        <w:rPr>
          <w:rFonts w:eastAsia="Times New Roman" w:cs="Arial"/>
          <w:sz w:val="24"/>
          <w:szCs w:val="24"/>
        </w:rPr>
      </w:pPr>
      <w:proofErr w:type="spellStart"/>
      <w:r w:rsidRPr="00860E17">
        <w:rPr>
          <w:rFonts w:eastAsia="Times New Roman" w:cs="Arial"/>
          <w:color w:val="000000"/>
          <w:lang w:eastAsia="bg-BG"/>
        </w:rPr>
        <w:t>Дулсевиа</w:t>
      </w:r>
      <w:proofErr w:type="spellEnd"/>
      <w:r w:rsidRPr="00860E17">
        <w:rPr>
          <w:rFonts w:eastAsia="Times New Roman" w:cs="Arial"/>
          <w:color w:val="000000"/>
          <w:lang w:eastAsia="bg-BG"/>
        </w:rPr>
        <w:t xml:space="preserve"> 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стомашно-устойчиви твърди капсули</w:t>
      </w:r>
    </w:p>
    <w:p w14:paraId="673E46DE" w14:textId="77777777" w:rsidR="009E5AB1" w:rsidRPr="00860E17" w:rsidRDefault="009E5AB1" w:rsidP="009E5AB1">
      <w:pPr>
        <w:spacing w:line="240" w:lineRule="auto"/>
        <w:rPr>
          <w:rFonts w:eastAsia="Times New Roman" w:cs="Arial"/>
          <w:color w:val="000000"/>
        </w:rPr>
      </w:pPr>
    </w:p>
    <w:p w14:paraId="66A989EF" w14:textId="36B5605B" w:rsidR="009E5AB1" w:rsidRPr="00860E17" w:rsidRDefault="009E5AB1" w:rsidP="009E5AB1">
      <w:pPr>
        <w:spacing w:line="240" w:lineRule="auto"/>
        <w:rPr>
          <w:rFonts w:eastAsia="Times New Roman" w:cs="Arial"/>
          <w:sz w:val="24"/>
          <w:szCs w:val="24"/>
        </w:rPr>
      </w:pPr>
      <w:proofErr w:type="spellStart"/>
      <w:r w:rsidRPr="00860E17">
        <w:rPr>
          <w:rFonts w:eastAsia="Times New Roman" w:cs="Arial"/>
          <w:color w:val="000000"/>
        </w:rPr>
        <w:t>Dulsevia</w:t>
      </w:r>
      <w:proofErr w:type="spellEnd"/>
      <w:r w:rsidRPr="00860E17">
        <w:rPr>
          <w:rFonts w:eastAsia="Times New Roman" w:cs="Arial"/>
          <w:color w:val="000000"/>
        </w:rPr>
        <w:t xml:space="preserve"> </w:t>
      </w:r>
      <w:r w:rsidRPr="00860E17">
        <w:rPr>
          <w:rFonts w:eastAsia="Times New Roman" w:cs="Arial"/>
          <w:color w:val="000000"/>
          <w:lang w:eastAsia="bg-BG"/>
        </w:rPr>
        <w:t xml:space="preserve">30 </w:t>
      </w:r>
      <w:proofErr w:type="spellStart"/>
      <w:r w:rsidRPr="00860E17">
        <w:rPr>
          <w:rFonts w:eastAsia="Times New Roman" w:cs="Arial"/>
          <w:color w:val="000000"/>
        </w:rPr>
        <w:t>mg</w:t>
      </w:r>
      <w:proofErr w:type="spellEnd"/>
      <w:r w:rsidRPr="00860E17">
        <w:rPr>
          <w:rFonts w:eastAsia="Times New Roman" w:cs="Arial"/>
          <w:color w:val="000000"/>
        </w:rPr>
        <w:t xml:space="preserve"> </w:t>
      </w:r>
      <w:proofErr w:type="spellStart"/>
      <w:r w:rsidRPr="00860E17">
        <w:rPr>
          <w:rFonts w:eastAsia="Times New Roman" w:cs="Arial"/>
          <w:color w:val="000000"/>
        </w:rPr>
        <w:t>hard</w:t>
      </w:r>
      <w:proofErr w:type="spellEnd"/>
      <w:r w:rsidRPr="00860E17">
        <w:rPr>
          <w:rFonts w:eastAsia="Times New Roman" w:cs="Arial"/>
          <w:color w:val="000000"/>
        </w:rPr>
        <w:t xml:space="preserve"> </w:t>
      </w:r>
      <w:proofErr w:type="spellStart"/>
      <w:r w:rsidRPr="00860E17">
        <w:rPr>
          <w:rFonts w:eastAsia="Times New Roman" w:cs="Arial"/>
          <w:color w:val="000000"/>
        </w:rPr>
        <w:t>gastro-resistant</w:t>
      </w:r>
      <w:proofErr w:type="spellEnd"/>
      <w:r w:rsidRPr="00860E17">
        <w:rPr>
          <w:rFonts w:eastAsia="Times New Roman" w:cs="Arial"/>
          <w:color w:val="000000"/>
        </w:rPr>
        <w:t xml:space="preserve"> </w:t>
      </w:r>
      <w:proofErr w:type="spellStart"/>
      <w:r w:rsidRPr="00860E17">
        <w:rPr>
          <w:rFonts w:eastAsia="Times New Roman" w:cs="Arial"/>
          <w:color w:val="000000"/>
        </w:rPr>
        <w:t>capsules</w:t>
      </w:r>
      <w:proofErr w:type="spellEnd"/>
    </w:p>
    <w:p w14:paraId="111D93A2" w14:textId="77777777" w:rsidR="009E5AB1" w:rsidRPr="00860E17" w:rsidRDefault="009E5AB1" w:rsidP="009E5AB1">
      <w:pPr>
        <w:spacing w:line="240" w:lineRule="auto"/>
        <w:rPr>
          <w:rFonts w:eastAsia="Times New Roman" w:cs="Arial"/>
          <w:sz w:val="24"/>
          <w:szCs w:val="24"/>
        </w:rPr>
      </w:pPr>
      <w:proofErr w:type="spellStart"/>
      <w:r w:rsidRPr="00860E17">
        <w:rPr>
          <w:rFonts w:eastAsia="Times New Roman" w:cs="Arial"/>
          <w:color w:val="000000"/>
        </w:rPr>
        <w:t>Dulsevia</w:t>
      </w:r>
      <w:proofErr w:type="spellEnd"/>
      <w:r w:rsidRPr="00860E17">
        <w:rPr>
          <w:rFonts w:eastAsia="Times New Roman" w:cs="Arial"/>
          <w:color w:val="000000"/>
        </w:rPr>
        <w:t xml:space="preserve"> 60 </w:t>
      </w:r>
      <w:proofErr w:type="spellStart"/>
      <w:r w:rsidRPr="00860E17">
        <w:rPr>
          <w:rFonts w:eastAsia="Times New Roman" w:cs="Arial"/>
          <w:color w:val="000000"/>
        </w:rPr>
        <w:t>mg</w:t>
      </w:r>
      <w:proofErr w:type="spellEnd"/>
      <w:r w:rsidRPr="00860E17">
        <w:rPr>
          <w:rFonts w:eastAsia="Times New Roman" w:cs="Arial"/>
          <w:color w:val="000000"/>
        </w:rPr>
        <w:t xml:space="preserve"> </w:t>
      </w:r>
      <w:proofErr w:type="spellStart"/>
      <w:r w:rsidRPr="00860E17">
        <w:rPr>
          <w:rFonts w:eastAsia="Times New Roman" w:cs="Arial"/>
          <w:color w:val="000000"/>
        </w:rPr>
        <w:t>hard</w:t>
      </w:r>
      <w:proofErr w:type="spellEnd"/>
      <w:r w:rsidRPr="00860E17">
        <w:rPr>
          <w:rFonts w:eastAsia="Times New Roman" w:cs="Arial"/>
          <w:color w:val="000000"/>
        </w:rPr>
        <w:t xml:space="preserve"> </w:t>
      </w:r>
      <w:proofErr w:type="spellStart"/>
      <w:r w:rsidRPr="00860E17">
        <w:rPr>
          <w:rFonts w:eastAsia="Times New Roman" w:cs="Arial"/>
          <w:color w:val="000000"/>
        </w:rPr>
        <w:t>gastro-resistant</w:t>
      </w:r>
      <w:proofErr w:type="spellEnd"/>
      <w:r w:rsidRPr="00860E17">
        <w:rPr>
          <w:rFonts w:eastAsia="Times New Roman" w:cs="Arial"/>
          <w:color w:val="000000"/>
        </w:rPr>
        <w:t xml:space="preserve"> </w:t>
      </w:r>
      <w:proofErr w:type="spellStart"/>
      <w:r w:rsidRPr="00860E17">
        <w:rPr>
          <w:rFonts w:eastAsia="Times New Roman" w:cs="Arial"/>
          <w:color w:val="000000"/>
        </w:rPr>
        <w:t>capsules</w:t>
      </w:r>
      <w:proofErr w:type="spellEnd"/>
    </w:p>
    <w:p w14:paraId="6D85933C" w14:textId="77777777" w:rsidR="009E5AB1" w:rsidRPr="00860E17" w:rsidRDefault="009E5AB1" w:rsidP="009E5AB1"/>
    <w:p w14:paraId="6920A680" w14:textId="23340771" w:rsidR="00C40420" w:rsidRPr="00860E17" w:rsidRDefault="00DD466D" w:rsidP="004A448E">
      <w:pPr>
        <w:pStyle w:val="Heading1"/>
      </w:pPr>
      <w:r w:rsidRPr="00860E17">
        <w:t>2. КАЧЕСТВЕН И КОЛИЧЕСТВЕН СЪСТАВ</w:t>
      </w:r>
    </w:p>
    <w:p w14:paraId="1E0E4D4C" w14:textId="25B82EE2" w:rsidR="009E5AB1" w:rsidRPr="00860E17" w:rsidRDefault="009E5AB1" w:rsidP="009E5AB1"/>
    <w:p w14:paraId="64476B08" w14:textId="77777777"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 xml:space="preserve">Всяка стомашно-устойчива твърда капсула съдържа 30 </w:t>
      </w:r>
      <w:proofErr w:type="spellStart"/>
      <w:r w:rsidRPr="00860E17">
        <w:rPr>
          <w:rFonts w:eastAsia="Times New Roman" w:cs="Arial"/>
          <w:color w:val="000000"/>
        </w:rPr>
        <w:t>mg</w:t>
      </w:r>
      <w:proofErr w:type="spellEnd"/>
      <w:r w:rsidRPr="00860E17">
        <w:rPr>
          <w:rFonts w:eastAsia="Times New Roman" w:cs="Arial"/>
          <w:color w:val="000000"/>
        </w:rPr>
        <w:t xml:space="preserve">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w:t>
      </w:r>
      <w:r w:rsidRPr="00860E17">
        <w:rPr>
          <w:rFonts w:eastAsia="Times New Roman" w:cs="Arial"/>
          <w:i/>
          <w:iCs/>
          <w:color w:val="000000"/>
        </w:rPr>
        <w:t>(</w:t>
      </w:r>
      <w:proofErr w:type="spellStart"/>
      <w:r w:rsidRPr="00860E17">
        <w:rPr>
          <w:rFonts w:eastAsia="Times New Roman" w:cs="Arial"/>
          <w:i/>
          <w:iCs/>
          <w:color w:val="000000"/>
        </w:rPr>
        <w:t>duloxetine</w:t>
      </w:r>
      <w:proofErr w:type="spellEnd"/>
      <w:r w:rsidRPr="00860E17">
        <w:rPr>
          <w:rFonts w:eastAsia="Times New Roman" w:cs="Arial"/>
          <w:i/>
          <w:iCs/>
          <w:color w:val="000000"/>
        </w:rPr>
        <w:t>)</w:t>
      </w:r>
      <w:r w:rsidRPr="00860E17">
        <w:rPr>
          <w:rFonts w:eastAsia="Times New Roman" w:cs="Arial"/>
          <w:color w:val="000000"/>
        </w:rPr>
        <w:t xml:space="preserve"> </w:t>
      </w:r>
      <w:r w:rsidRPr="00860E17">
        <w:rPr>
          <w:rFonts w:eastAsia="Times New Roman" w:cs="Arial"/>
          <w:color w:val="000000"/>
          <w:lang w:eastAsia="bg-BG"/>
        </w:rPr>
        <w:t xml:space="preserve">(като </w:t>
      </w:r>
      <w:proofErr w:type="spellStart"/>
      <w:r w:rsidRPr="00860E17">
        <w:rPr>
          <w:rFonts w:eastAsia="Times New Roman" w:cs="Arial"/>
          <w:color w:val="000000"/>
          <w:lang w:eastAsia="bg-BG"/>
        </w:rPr>
        <w:t>дулоксетинов</w:t>
      </w:r>
      <w:proofErr w:type="spellEnd"/>
      <w:r w:rsidRPr="00860E17">
        <w:rPr>
          <w:rFonts w:eastAsia="Times New Roman" w:cs="Arial"/>
          <w:color w:val="000000"/>
          <w:lang w:eastAsia="bg-BG"/>
        </w:rPr>
        <w:t xml:space="preserve"> хидрохлорид </w:t>
      </w:r>
      <w:r w:rsidRPr="00860E17">
        <w:rPr>
          <w:rFonts w:eastAsia="Times New Roman" w:cs="Arial"/>
          <w:i/>
          <w:iCs/>
          <w:color w:val="000000"/>
        </w:rPr>
        <w:t>(</w:t>
      </w:r>
      <w:proofErr w:type="spellStart"/>
      <w:r w:rsidRPr="00860E17">
        <w:rPr>
          <w:rFonts w:eastAsia="Times New Roman" w:cs="Arial"/>
          <w:i/>
          <w:iCs/>
          <w:color w:val="000000"/>
        </w:rPr>
        <w:t>as</w:t>
      </w:r>
      <w:proofErr w:type="spellEnd"/>
      <w:r w:rsidRPr="00860E17">
        <w:rPr>
          <w:rFonts w:eastAsia="Times New Roman" w:cs="Arial"/>
          <w:i/>
          <w:iCs/>
          <w:color w:val="000000"/>
        </w:rPr>
        <w:t xml:space="preserve"> </w:t>
      </w:r>
      <w:proofErr w:type="spellStart"/>
      <w:r w:rsidRPr="00860E17">
        <w:rPr>
          <w:rFonts w:eastAsia="Times New Roman" w:cs="Arial"/>
          <w:i/>
          <w:iCs/>
          <w:color w:val="000000"/>
        </w:rPr>
        <w:t>duloxetine</w:t>
      </w:r>
      <w:proofErr w:type="spellEnd"/>
      <w:r w:rsidRPr="00860E17">
        <w:rPr>
          <w:rFonts w:eastAsia="Times New Roman" w:cs="Arial"/>
          <w:i/>
          <w:iCs/>
          <w:color w:val="000000"/>
        </w:rPr>
        <w:t xml:space="preserve"> </w:t>
      </w:r>
      <w:proofErr w:type="spellStart"/>
      <w:r w:rsidRPr="00860E17">
        <w:rPr>
          <w:rFonts w:eastAsia="Times New Roman" w:cs="Arial"/>
          <w:i/>
          <w:iCs/>
          <w:color w:val="000000"/>
        </w:rPr>
        <w:t>hydrochloride</w:t>
      </w:r>
      <w:proofErr w:type="spellEnd"/>
      <w:r w:rsidRPr="00860E17">
        <w:rPr>
          <w:rFonts w:eastAsia="Times New Roman" w:cs="Arial"/>
          <w:i/>
          <w:iCs/>
          <w:color w:val="000000"/>
        </w:rPr>
        <w:t>)).</w:t>
      </w:r>
    </w:p>
    <w:p w14:paraId="22E20154" w14:textId="77777777"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 xml:space="preserve">Всяка стомашно-устойчива твърда капсула съдържа 60 </w:t>
      </w:r>
      <w:proofErr w:type="spellStart"/>
      <w:r w:rsidRPr="00860E17">
        <w:rPr>
          <w:rFonts w:eastAsia="Times New Roman" w:cs="Arial"/>
          <w:color w:val="000000"/>
        </w:rPr>
        <w:t>mg</w:t>
      </w:r>
      <w:proofErr w:type="spellEnd"/>
      <w:r w:rsidRPr="00860E17">
        <w:rPr>
          <w:rFonts w:eastAsia="Times New Roman" w:cs="Arial"/>
          <w:color w:val="000000"/>
        </w:rPr>
        <w:t xml:space="preserve">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w:t>
      </w:r>
      <w:r w:rsidRPr="00860E17">
        <w:rPr>
          <w:rFonts w:eastAsia="Times New Roman" w:cs="Arial"/>
          <w:i/>
          <w:iCs/>
          <w:color w:val="000000"/>
        </w:rPr>
        <w:t>(</w:t>
      </w:r>
      <w:proofErr w:type="spellStart"/>
      <w:r w:rsidRPr="00860E17">
        <w:rPr>
          <w:rFonts w:eastAsia="Times New Roman" w:cs="Arial"/>
          <w:i/>
          <w:iCs/>
          <w:color w:val="000000"/>
        </w:rPr>
        <w:t>duloxetine</w:t>
      </w:r>
      <w:proofErr w:type="spellEnd"/>
      <w:r w:rsidRPr="00860E17">
        <w:rPr>
          <w:rFonts w:eastAsia="Times New Roman" w:cs="Arial"/>
          <w:i/>
          <w:iCs/>
          <w:color w:val="000000"/>
        </w:rPr>
        <w:t>)</w:t>
      </w:r>
      <w:r w:rsidRPr="00860E17">
        <w:rPr>
          <w:rFonts w:eastAsia="Times New Roman" w:cs="Arial"/>
          <w:color w:val="000000"/>
        </w:rPr>
        <w:t xml:space="preserve"> </w:t>
      </w:r>
      <w:r w:rsidRPr="00860E17">
        <w:rPr>
          <w:rFonts w:eastAsia="Times New Roman" w:cs="Arial"/>
          <w:color w:val="000000"/>
          <w:lang w:eastAsia="bg-BG"/>
        </w:rPr>
        <w:t xml:space="preserve">(като </w:t>
      </w:r>
      <w:proofErr w:type="spellStart"/>
      <w:r w:rsidRPr="00860E17">
        <w:rPr>
          <w:rFonts w:eastAsia="Times New Roman" w:cs="Arial"/>
          <w:color w:val="000000"/>
          <w:lang w:eastAsia="bg-BG"/>
        </w:rPr>
        <w:t>дулоксетинов</w:t>
      </w:r>
      <w:proofErr w:type="spellEnd"/>
      <w:r w:rsidRPr="00860E17">
        <w:rPr>
          <w:rFonts w:eastAsia="Times New Roman" w:cs="Arial"/>
          <w:color w:val="000000"/>
          <w:lang w:eastAsia="bg-BG"/>
        </w:rPr>
        <w:t xml:space="preserve"> хидрохлорид </w:t>
      </w:r>
      <w:r w:rsidRPr="00860E17">
        <w:rPr>
          <w:rFonts w:eastAsia="Times New Roman" w:cs="Arial"/>
          <w:i/>
          <w:iCs/>
          <w:color w:val="000000"/>
        </w:rPr>
        <w:t>(</w:t>
      </w:r>
      <w:proofErr w:type="spellStart"/>
      <w:r w:rsidRPr="00860E17">
        <w:rPr>
          <w:rFonts w:eastAsia="Times New Roman" w:cs="Arial"/>
          <w:i/>
          <w:iCs/>
          <w:color w:val="000000"/>
        </w:rPr>
        <w:t>as</w:t>
      </w:r>
      <w:proofErr w:type="spellEnd"/>
      <w:r w:rsidRPr="00860E17">
        <w:rPr>
          <w:rFonts w:eastAsia="Times New Roman" w:cs="Arial"/>
          <w:i/>
          <w:iCs/>
          <w:color w:val="000000"/>
        </w:rPr>
        <w:t xml:space="preserve"> </w:t>
      </w:r>
      <w:proofErr w:type="spellStart"/>
      <w:r w:rsidRPr="00860E17">
        <w:rPr>
          <w:rFonts w:eastAsia="Times New Roman" w:cs="Arial"/>
          <w:i/>
          <w:iCs/>
          <w:color w:val="000000"/>
        </w:rPr>
        <w:t>duloxetine</w:t>
      </w:r>
      <w:proofErr w:type="spellEnd"/>
      <w:r w:rsidRPr="00860E17">
        <w:rPr>
          <w:rFonts w:eastAsia="Times New Roman" w:cs="Arial"/>
          <w:i/>
          <w:iCs/>
          <w:color w:val="000000"/>
        </w:rPr>
        <w:t xml:space="preserve"> </w:t>
      </w:r>
      <w:proofErr w:type="spellStart"/>
      <w:r w:rsidRPr="00860E17">
        <w:rPr>
          <w:rFonts w:eastAsia="Times New Roman" w:cs="Arial"/>
          <w:i/>
          <w:iCs/>
          <w:color w:val="000000"/>
        </w:rPr>
        <w:t>hydrochloride</w:t>
      </w:r>
      <w:proofErr w:type="spellEnd"/>
      <w:r w:rsidRPr="00860E17">
        <w:rPr>
          <w:rFonts w:eastAsia="Times New Roman" w:cs="Arial"/>
          <w:i/>
          <w:iCs/>
          <w:color w:val="000000"/>
        </w:rPr>
        <w:t>)).</w:t>
      </w:r>
    </w:p>
    <w:p w14:paraId="3F80BDF6" w14:textId="77777777" w:rsidR="009E5AB1" w:rsidRPr="00860E17" w:rsidRDefault="009E5AB1" w:rsidP="009E5AB1">
      <w:pPr>
        <w:spacing w:line="240" w:lineRule="auto"/>
        <w:rPr>
          <w:rFonts w:eastAsia="Times New Roman" w:cs="Arial"/>
          <w:color w:val="000000"/>
          <w:u w:val="single"/>
          <w:lang w:eastAsia="bg-BG"/>
        </w:rPr>
      </w:pPr>
    </w:p>
    <w:p w14:paraId="5359AAD0" w14:textId="34F1E8E7" w:rsidR="009E5AB1" w:rsidRPr="00860E17" w:rsidRDefault="009E5AB1" w:rsidP="009E5AB1">
      <w:pPr>
        <w:spacing w:line="240" w:lineRule="auto"/>
        <w:rPr>
          <w:rFonts w:eastAsia="Times New Roman" w:cs="Arial"/>
          <w:sz w:val="24"/>
          <w:szCs w:val="24"/>
        </w:rPr>
      </w:pPr>
      <w:r w:rsidRPr="00860E17">
        <w:rPr>
          <w:rFonts w:eastAsia="Times New Roman" w:cs="Arial"/>
          <w:color w:val="000000"/>
          <w:u w:val="single"/>
          <w:lang w:eastAsia="bg-BG"/>
        </w:rPr>
        <w:t>Помощно вещество с известен ефект</w:t>
      </w:r>
      <w:r w:rsidRPr="00860E17">
        <w:rPr>
          <w:rFonts w:eastAsia="Times New Roman" w:cs="Arial"/>
          <w:color w:val="000000"/>
          <w:lang w:eastAsia="bg-BG"/>
        </w:rPr>
        <w:t>: захароза.</w:t>
      </w:r>
    </w:p>
    <w:p w14:paraId="31FAC95A" w14:textId="77777777"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 xml:space="preserve">Всяка 30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стомашно-устойчива твърда капсула съдържа до 43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захароза.</w:t>
      </w:r>
    </w:p>
    <w:p w14:paraId="7D0B48B9" w14:textId="77777777"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 xml:space="preserve">Всяка 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стомашно-устойчива твърда капсула съдържа до 87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захароза.</w:t>
      </w:r>
    </w:p>
    <w:p w14:paraId="25EB5883" w14:textId="77777777" w:rsidR="009E5AB1" w:rsidRPr="00860E17" w:rsidRDefault="009E5AB1" w:rsidP="009E5AB1"/>
    <w:p w14:paraId="614984C4" w14:textId="02A5ADEE" w:rsidR="008A6AF2" w:rsidRPr="00860E17" w:rsidRDefault="00DD466D" w:rsidP="002C50EE">
      <w:pPr>
        <w:pStyle w:val="Heading1"/>
      </w:pPr>
      <w:r w:rsidRPr="00860E17">
        <w:t>3. ЛЕКАРСТВЕНА ФОРМА</w:t>
      </w:r>
    </w:p>
    <w:p w14:paraId="62D7E97D" w14:textId="1A52ECB3" w:rsidR="009E5AB1" w:rsidRPr="00860E17" w:rsidRDefault="009E5AB1" w:rsidP="009E5AB1"/>
    <w:p w14:paraId="3EEF35E8" w14:textId="77777777"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Стомашно-устойчива твърда капсула.</w:t>
      </w:r>
    </w:p>
    <w:p w14:paraId="790DDEC2" w14:textId="77777777" w:rsidR="009E5AB1" w:rsidRPr="00860E17" w:rsidRDefault="009E5AB1" w:rsidP="009E5AB1">
      <w:pPr>
        <w:spacing w:line="240" w:lineRule="auto"/>
        <w:rPr>
          <w:rFonts w:eastAsia="Times New Roman" w:cs="Arial"/>
          <w:color w:val="000000"/>
          <w:u w:val="single"/>
          <w:lang w:eastAsia="bg-BG"/>
        </w:rPr>
      </w:pPr>
    </w:p>
    <w:p w14:paraId="79F3CBDC" w14:textId="518BBE3C" w:rsidR="009E5AB1" w:rsidRPr="00860E17" w:rsidRDefault="009E5AB1" w:rsidP="009E5AB1">
      <w:pPr>
        <w:spacing w:line="240" w:lineRule="auto"/>
        <w:rPr>
          <w:rFonts w:eastAsia="Times New Roman" w:cs="Arial"/>
          <w:color w:val="000000"/>
          <w:u w:val="single"/>
          <w:lang w:eastAsia="bg-BG"/>
        </w:rPr>
      </w:pPr>
      <w:r w:rsidRPr="00860E17">
        <w:rPr>
          <w:rFonts w:eastAsia="Times New Roman" w:cs="Arial"/>
          <w:color w:val="000000"/>
          <w:u w:val="single"/>
          <w:lang w:eastAsia="bg-BG"/>
        </w:rPr>
        <w:t xml:space="preserve">30 </w:t>
      </w:r>
      <w:proofErr w:type="spellStart"/>
      <w:r w:rsidRPr="00860E17">
        <w:rPr>
          <w:rFonts w:eastAsia="Times New Roman" w:cs="Arial"/>
          <w:color w:val="000000"/>
          <w:u w:val="single"/>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Бели до почти бели </w:t>
      </w:r>
      <w:proofErr w:type="spellStart"/>
      <w:r w:rsidRPr="00860E17">
        <w:rPr>
          <w:rFonts w:eastAsia="Times New Roman" w:cs="Arial"/>
          <w:color w:val="000000"/>
          <w:lang w:eastAsia="bg-BG"/>
        </w:rPr>
        <w:t>пелети</w:t>
      </w:r>
      <w:proofErr w:type="spellEnd"/>
      <w:r w:rsidRPr="00860E17">
        <w:rPr>
          <w:rFonts w:eastAsia="Times New Roman" w:cs="Arial"/>
          <w:color w:val="000000"/>
          <w:lang w:eastAsia="bg-BG"/>
        </w:rPr>
        <w:t xml:space="preserve"> в твърда желатинова капсула с размер 3 (средна дължина 15,9 </w:t>
      </w:r>
      <w:r w:rsidRPr="00860E17">
        <w:rPr>
          <w:rFonts w:eastAsia="Times New Roman" w:cs="Arial"/>
          <w:color w:val="000000"/>
        </w:rPr>
        <w:t xml:space="preserve">mm). </w:t>
      </w:r>
      <w:r w:rsidRPr="00860E17">
        <w:rPr>
          <w:rFonts w:eastAsia="Times New Roman" w:cs="Arial"/>
          <w:color w:val="000000"/>
          <w:lang w:eastAsia="bg-BG"/>
        </w:rPr>
        <w:t>Тялото на капсулата е бяло и капачето е тъмно синьо. Върху тялото на капсулата е отпечатано 30 в черно.</w:t>
      </w:r>
    </w:p>
    <w:p w14:paraId="18E0BB2C" w14:textId="77777777" w:rsidR="009E5AB1" w:rsidRPr="00860E17" w:rsidRDefault="009E5AB1" w:rsidP="009E5AB1">
      <w:pPr>
        <w:spacing w:line="240" w:lineRule="auto"/>
        <w:rPr>
          <w:rFonts w:eastAsia="Times New Roman" w:cs="Arial"/>
          <w:sz w:val="24"/>
          <w:szCs w:val="24"/>
        </w:rPr>
      </w:pPr>
      <w:r w:rsidRPr="00860E17">
        <w:rPr>
          <w:rFonts w:eastAsia="Times New Roman" w:cs="Arial"/>
          <w:color w:val="000000"/>
          <w:u w:val="single"/>
          <w:lang w:eastAsia="bg-BG"/>
        </w:rPr>
        <w:t xml:space="preserve">60 </w:t>
      </w:r>
      <w:proofErr w:type="spellStart"/>
      <w:r w:rsidRPr="00860E17">
        <w:rPr>
          <w:rFonts w:eastAsia="Times New Roman" w:cs="Arial"/>
          <w:color w:val="000000"/>
          <w:u w:val="single"/>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 Бели до почти бели </w:t>
      </w:r>
      <w:proofErr w:type="spellStart"/>
      <w:r w:rsidRPr="00860E17">
        <w:rPr>
          <w:rFonts w:eastAsia="Times New Roman" w:cs="Arial"/>
          <w:color w:val="000000"/>
          <w:lang w:eastAsia="bg-BG"/>
        </w:rPr>
        <w:t>пелети</w:t>
      </w:r>
      <w:proofErr w:type="spellEnd"/>
      <w:r w:rsidRPr="00860E17">
        <w:rPr>
          <w:rFonts w:eastAsia="Times New Roman" w:cs="Arial"/>
          <w:color w:val="000000"/>
          <w:lang w:eastAsia="bg-BG"/>
        </w:rPr>
        <w:t xml:space="preserve"> в твърда желатинова капсула с размер 1 (средна дължина 19,4 </w:t>
      </w:r>
      <w:r w:rsidRPr="00860E17">
        <w:rPr>
          <w:rFonts w:eastAsia="Times New Roman" w:cs="Arial"/>
          <w:color w:val="000000"/>
        </w:rPr>
        <w:t xml:space="preserve">mm). </w:t>
      </w:r>
      <w:r w:rsidRPr="00860E17">
        <w:rPr>
          <w:rFonts w:eastAsia="Times New Roman" w:cs="Arial"/>
          <w:color w:val="000000"/>
          <w:lang w:eastAsia="bg-BG"/>
        </w:rPr>
        <w:t>Тялото на капсулата е жълто- зелено и капачето е тъмно синьо. Върху тялото на капсулата е отпечатано 60 в черно.</w:t>
      </w:r>
    </w:p>
    <w:p w14:paraId="7A4F487E" w14:textId="77777777" w:rsidR="009E5AB1" w:rsidRPr="00860E17" w:rsidRDefault="009E5AB1" w:rsidP="009E5AB1"/>
    <w:p w14:paraId="490FC2C4" w14:textId="0F4A4A75" w:rsidR="002C50EE" w:rsidRPr="00860E17" w:rsidRDefault="002C50EE" w:rsidP="002C50EE">
      <w:pPr>
        <w:pStyle w:val="Heading1"/>
      </w:pPr>
      <w:r w:rsidRPr="00860E17">
        <w:t>4. КЛИНИЧНИ ДАННИ</w:t>
      </w:r>
    </w:p>
    <w:p w14:paraId="74330405" w14:textId="670A14B4" w:rsidR="007122AD" w:rsidRPr="00860E17" w:rsidRDefault="002C50EE" w:rsidP="00936AD0">
      <w:pPr>
        <w:pStyle w:val="Heading2"/>
      </w:pPr>
      <w:r w:rsidRPr="00860E17">
        <w:t>4.1. Терапевтични показания</w:t>
      </w:r>
    </w:p>
    <w:p w14:paraId="08C936DA" w14:textId="2A4A0D88" w:rsidR="009E5AB1" w:rsidRPr="00860E17" w:rsidRDefault="009E5AB1" w:rsidP="009E5AB1"/>
    <w:p w14:paraId="717FC5EE" w14:textId="77777777" w:rsidR="009E5AB1" w:rsidRPr="00860E17" w:rsidRDefault="009E5AB1" w:rsidP="009E5AB1">
      <w:pPr>
        <w:rPr>
          <w:sz w:val="24"/>
          <w:szCs w:val="24"/>
        </w:rPr>
      </w:pPr>
      <w:r w:rsidRPr="00860E17">
        <w:rPr>
          <w:lang w:eastAsia="bg-BG"/>
        </w:rPr>
        <w:t>Лечение на голямо депресивно разстройство.</w:t>
      </w:r>
    </w:p>
    <w:p w14:paraId="4DD93B10" w14:textId="77777777" w:rsidR="009E5AB1" w:rsidRPr="00860E17" w:rsidRDefault="009E5AB1" w:rsidP="009E5AB1">
      <w:pPr>
        <w:rPr>
          <w:sz w:val="24"/>
          <w:szCs w:val="24"/>
        </w:rPr>
      </w:pPr>
      <w:r w:rsidRPr="00860E17">
        <w:rPr>
          <w:lang w:eastAsia="bg-BG"/>
        </w:rPr>
        <w:t xml:space="preserve">Лечение на диабетна периферна </w:t>
      </w:r>
      <w:proofErr w:type="spellStart"/>
      <w:r w:rsidRPr="00860E17">
        <w:rPr>
          <w:lang w:eastAsia="bg-BG"/>
        </w:rPr>
        <w:t>невропатна</w:t>
      </w:r>
      <w:proofErr w:type="spellEnd"/>
      <w:r w:rsidRPr="00860E17">
        <w:rPr>
          <w:lang w:eastAsia="bg-BG"/>
        </w:rPr>
        <w:t xml:space="preserve"> болка.</w:t>
      </w:r>
    </w:p>
    <w:p w14:paraId="21BBBB8B" w14:textId="77777777" w:rsidR="009E5AB1" w:rsidRPr="00860E17" w:rsidRDefault="009E5AB1" w:rsidP="009E5AB1">
      <w:pPr>
        <w:rPr>
          <w:sz w:val="24"/>
          <w:szCs w:val="24"/>
        </w:rPr>
      </w:pPr>
      <w:r w:rsidRPr="00860E17">
        <w:rPr>
          <w:lang w:eastAsia="bg-BG"/>
        </w:rPr>
        <w:t>Лечение на генерализирано тревожно разстройство.</w:t>
      </w:r>
    </w:p>
    <w:p w14:paraId="7243C981" w14:textId="77777777" w:rsidR="009E5AB1" w:rsidRPr="00860E17" w:rsidRDefault="009E5AB1" w:rsidP="009E5AB1">
      <w:pPr>
        <w:rPr>
          <w:lang w:eastAsia="bg-BG"/>
        </w:rPr>
      </w:pPr>
    </w:p>
    <w:p w14:paraId="3A167819" w14:textId="1E34FFBD" w:rsidR="009E5AB1" w:rsidRPr="00860E17" w:rsidRDefault="009E5AB1" w:rsidP="009E5AB1">
      <w:pPr>
        <w:rPr>
          <w:sz w:val="24"/>
          <w:szCs w:val="24"/>
        </w:rPr>
      </w:pPr>
      <w:proofErr w:type="spellStart"/>
      <w:r w:rsidRPr="00860E17">
        <w:rPr>
          <w:lang w:eastAsia="bg-BG"/>
        </w:rPr>
        <w:t>Дулсевиа</w:t>
      </w:r>
      <w:proofErr w:type="spellEnd"/>
      <w:r w:rsidRPr="00860E17">
        <w:rPr>
          <w:lang w:eastAsia="bg-BG"/>
        </w:rPr>
        <w:t xml:space="preserve"> е показана при възрастни.</w:t>
      </w:r>
    </w:p>
    <w:p w14:paraId="75F5E70E" w14:textId="0B0A1E31" w:rsidR="009E5AB1" w:rsidRPr="00860E17" w:rsidRDefault="009E5AB1" w:rsidP="009E5AB1">
      <w:r w:rsidRPr="00860E17">
        <w:rPr>
          <w:lang w:eastAsia="bg-BG"/>
        </w:rPr>
        <w:t>За допълнителна информация вижте точка 5.1.</w:t>
      </w:r>
    </w:p>
    <w:p w14:paraId="53F5B866" w14:textId="2D963D85" w:rsidR="007122AD" w:rsidRPr="00860E17" w:rsidRDefault="002C50EE" w:rsidP="00936AD0">
      <w:pPr>
        <w:pStyle w:val="Heading2"/>
      </w:pPr>
      <w:r w:rsidRPr="00860E17">
        <w:lastRenderedPageBreak/>
        <w:t>4.2. Дозировка и начин на приложение</w:t>
      </w:r>
    </w:p>
    <w:p w14:paraId="77C2E144" w14:textId="0A48F8A0" w:rsidR="009E5AB1" w:rsidRPr="00860E17" w:rsidRDefault="009E5AB1" w:rsidP="009E5AB1"/>
    <w:p w14:paraId="3413CF95" w14:textId="77777777" w:rsidR="009E5AB1" w:rsidRPr="00860E17" w:rsidRDefault="009E5AB1" w:rsidP="009E5AB1">
      <w:pPr>
        <w:pStyle w:val="Heading3"/>
        <w:rPr>
          <w:rFonts w:eastAsia="Times New Roman"/>
          <w:u w:val="single"/>
        </w:rPr>
      </w:pPr>
      <w:r w:rsidRPr="00860E17">
        <w:rPr>
          <w:rFonts w:eastAsia="Times New Roman"/>
          <w:u w:val="single"/>
          <w:lang w:eastAsia="bg-BG"/>
        </w:rPr>
        <w:t>Дозировка</w:t>
      </w:r>
    </w:p>
    <w:p w14:paraId="770F5B15" w14:textId="77777777" w:rsidR="009E5AB1" w:rsidRPr="00860E17" w:rsidRDefault="009E5AB1" w:rsidP="009E5AB1">
      <w:pPr>
        <w:spacing w:line="240" w:lineRule="auto"/>
        <w:rPr>
          <w:rFonts w:eastAsia="Times New Roman" w:cs="Arial"/>
          <w:sz w:val="24"/>
          <w:szCs w:val="24"/>
        </w:rPr>
      </w:pPr>
      <w:r w:rsidRPr="00860E17">
        <w:rPr>
          <w:rFonts w:eastAsia="Times New Roman" w:cs="Arial"/>
          <w:i/>
          <w:iCs/>
          <w:color w:val="000000"/>
          <w:lang w:eastAsia="bg-BG"/>
        </w:rPr>
        <w:t>Голямо депресивно разстройство</w:t>
      </w:r>
    </w:p>
    <w:p w14:paraId="2C76BC9C" w14:textId="0BEF4F37" w:rsidR="009E5AB1" w:rsidRPr="00860E17" w:rsidRDefault="009E5AB1" w:rsidP="009E5AB1">
      <w:pPr>
        <w:rPr>
          <w:rFonts w:eastAsia="Times New Roman" w:cs="Arial"/>
          <w:color w:val="000000"/>
          <w:lang w:eastAsia="bg-BG"/>
        </w:rPr>
      </w:pPr>
      <w:r w:rsidRPr="00860E17">
        <w:rPr>
          <w:rFonts w:eastAsia="Times New Roman" w:cs="Arial"/>
          <w:color w:val="000000"/>
          <w:lang w:eastAsia="bg-BG"/>
        </w:rPr>
        <w:t xml:space="preserve">Началната и препоръчителната поддържаща доза е 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веднъж дневно, с или без храна. Дози над 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веднъж дневно, до максимална доза от 120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веднъж дневно са оценявани в перспективни клинични проучвания за безопасност. Въпреки това, няма клинични</w:t>
      </w:r>
      <w:r w:rsidRPr="00860E17">
        <w:rPr>
          <w:rFonts w:eastAsia="Times New Roman" w:cs="Arial"/>
          <w:i/>
          <w:iCs/>
          <w:color w:val="000000"/>
          <w:lang w:eastAsia="bg-BG"/>
        </w:rPr>
        <w:t xml:space="preserve"> </w:t>
      </w:r>
      <w:r w:rsidRPr="00860E17">
        <w:rPr>
          <w:rFonts w:eastAsia="Times New Roman" w:cs="Arial"/>
          <w:color w:val="000000"/>
          <w:lang w:eastAsia="bg-BG"/>
        </w:rPr>
        <w:t xml:space="preserve">доказателства предполагащи, че пациентите </w:t>
      </w:r>
      <w:proofErr w:type="spellStart"/>
      <w:r w:rsidRPr="00860E17">
        <w:rPr>
          <w:rFonts w:eastAsia="Times New Roman" w:cs="Arial"/>
          <w:color w:val="000000"/>
          <w:lang w:eastAsia="bg-BG"/>
        </w:rPr>
        <w:t>неотговорили</w:t>
      </w:r>
      <w:proofErr w:type="spellEnd"/>
      <w:r w:rsidRPr="00860E17">
        <w:rPr>
          <w:rFonts w:eastAsia="Times New Roman" w:cs="Arial"/>
          <w:color w:val="000000"/>
          <w:lang w:eastAsia="bg-BG"/>
        </w:rPr>
        <w:t xml:space="preserve"> на началната препоръчвана доза могат да имат полза от покачващо титриране на дозата.</w:t>
      </w:r>
    </w:p>
    <w:p w14:paraId="76BEB876" w14:textId="0DB76BA6" w:rsidR="009E5AB1" w:rsidRPr="00860E17" w:rsidRDefault="009E5AB1" w:rsidP="009E5AB1">
      <w:pPr>
        <w:rPr>
          <w:rFonts w:eastAsia="Times New Roman" w:cs="Arial"/>
          <w:color w:val="000000"/>
          <w:lang w:eastAsia="bg-BG"/>
        </w:rPr>
      </w:pPr>
    </w:p>
    <w:p w14:paraId="563C8349" w14:textId="77777777"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Обикновено терапевтичен отговор се наблюдава след 2-4 седмично лечение.</w:t>
      </w:r>
    </w:p>
    <w:p w14:paraId="44BC3CA1" w14:textId="77777777" w:rsidR="009E5AB1" w:rsidRPr="00860E17" w:rsidRDefault="009E5AB1" w:rsidP="009E5AB1">
      <w:pPr>
        <w:spacing w:line="240" w:lineRule="auto"/>
        <w:rPr>
          <w:rFonts w:eastAsia="Times New Roman" w:cs="Arial"/>
          <w:color w:val="000000"/>
          <w:lang w:eastAsia="bg-BG"/>
        </w:rPr>
      </w:pPr>
    </w:p>
    <w:p w14:paraId="6A8572E4" w14:textId="0EF0BE2B"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 xml:space="preserve">За да бъде предотвратен рецидив, след консолидиране на антидепресивния отговор, се препоръчва лечението да продължи няколко месеца. При пациенти, които се повлияват от лечение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и имат анамнеза за повторни епизоди на голямо депресивно разстройство, може да се вземе под внимание по-нататъшно дългосрочно лечение с доза от 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до 120 </w:t>
      </w:r>
      <w:proofErr w:type="spellStart"/>
      <w:r w:rsidRPr="00860E17">
        <w:rPr>
          <w:rFonts w:eastAsia="Times New Roman" w:cs="Arial"/>
          <w:color w:val="000000"/>
        </w:rPr>
        <w:t>mg</w:t>
      </w:r>
      <w:proofErr w:type="spellEnd"/>
      <w:r w:rsidRPr="00860E17">
        <w:rPr>
          <w:rFonts w:eastAsia="Times New Roman" w:cs="Arial"/>
          <w:color w:val="000000"/>
          <w:lang w:eastAsia="bg-BG"/>
        </w:rPr>
        <w:t>/дневно.</w:t>
      </w:r>
    </w:p>
    <w:p w14:paraId="2A67A2EB" w14:textId="77777777" w:rsidR="009E5AB1" w:rsidRPr="00860E17" w:rsidRDefault="009E5AB1" w:rsidP="009E5AB1">
      <w:pPr>
        <w:spacing w:line="240" w:lineRule="auto"/>
        <w:rPr>
          <w:rFonts w:eastAsia="Times New Roman" w:cs="Arial"/>
          <w:i/>
          <w:iCs/>
          <w:color w:val="000000"/>
          <w:lang w:eastAsia="bg-BG"/>
        </w:rPr>
      </w:pPr>
    </w:p>
    <w:p w14:paraId="1C9579D5" w14:textId="046ED17F" w:rsidR="009E5AB1" w:rsidRPr="00860E17" w:rsidRDefault="009E5AB1" w:rsidP="009E5AB1">
      <w:pPr>
        <w:spacing w:line="240" w:lineRule="auto"/>
        <w:rPr>
          <w:rFonts w:eastAsia="Times New Roman" w:cs="Arial"/>
          <w:sz w:val="24"/>
          <w:szCs w:val="24"/>
        </w:rPr>
      </w:pPr>
      <w:r w:rsidRPr="00860E17">
        <w:rPr>
          <w:rFonts w:eastAsia="Times New Roman" w:cs="Arial"/>
          <w:i/>
          <w:iCs/>
          <w:color w:val="000000"/>
          <w:lang w:eastAsia="bg-BG"/>
        </w:rPr>
        <w:t>Генерализирано тревожно разстройство</w:t>
      </w:r>
    </w:p>
    <w:p w14:paraId="2D6FB486" w14:textId="77777777"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 xml:space="preserve">Препоръчваната начална доза при пациенти с генерализирано тревожно разстройство е 30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веднъж дневно, с или без храна. При пациенти с незадоволителен отговор дозата трябва да се увеличи до 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което е обичайната поддържаща доза при повечето пациенти.</w:t>
      </w:r>
    </w:p>
    <w:p w14:paraId="49EF6974" w14:textId="77777777" w:rsidR="009E5AB1" w:rsidRPr="00860E17" w:rsidRDefault="009E5AB1" w:rsidP="009E5AB1">
      <w:pPr>
        <w:spacing w:line="240" w:lineRule="auto"/>
        <w:rPr>
          <w:rFonts w:eastAsia="Times New Roman" w:cs="Arial"/>
          <w:color w:val="000000"/>
          <w:lang w:eastAsia="bg-BG"/>
        </w:rPr>
      </w:pPr>
    </w:p>
    <w:p w14:paraId="316D51D8" w14:textId="64E1EA89"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 xml:space="preserve">При пациенти с </w:t>
      </w:r>
      <w:proofErr w:type="spellStart"/>
      <w:r w:rsidRPr="00860E17">
        <w:rPr>
          <w:rFonts w:eastAsia="Times New Roman" w:cs="Arial"/>
          <w:color w:val="000000"/>
          <w:lang w:eastAsia="bg-BG"/>
        </w:rPr>
        <w:t>коморбидни</w:t>
      </w:r>
      <w:proofErr w:type="spellEnd"/>
      <w:r w:rsidRPr="00860E17">
        <w:rPr>
          <w:rFonts w:eastAsia="Times New Roman" w:cs="Arial"/>
          <w:color w:val="000000"/>
          <w:lang w:eastAsia="bg-BG"/>
        </w:rPr>
        <w:t xml:space="preserve"> големи депресивни епизоди началната и поддържащата доза е 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веднъж дневно (моля, вижте също препоръките за дозиране по-горе).</w:t>
      </w:r>
    </w:p>
    <w:p w14:paraId="162C31D5" w14:textId="77777777" w:rsidR="009E5AB1" w:rsidRPr="00860E17" w:rsidRDefault="009E5AB1" w:rsidP="009E5AB1">
      <w:pPr>
        <w:spacing w:line="240" w:lineRule="auto"/>
        <w:rPr>
          <w:rFonts w:eastAsia="Times New Roman" w:cs="Arial"/>
          <w:color w:val="000000"/>
          <w:lang w:eastAsia="bg-BG"/>
        </w:rPr>
      </w:pPr>
    </w:p>
    <w:p w14:paraId="49E9AB27" w14:textId="00AD5F43"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 xml:space="preserve">Дози до 120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дневно са показали, че са ефективни и са оценявани от перспективни клинични проучвания относно безопасността. Следователно, при пациенти с незадоволителен отговор от 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може да се има предвид увеличение до 90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или 120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Увеличението на дозата трябва да е въз основа на клиничния отговор и поносимостта.</w:t>
      </w:r>
    </w:p>
    <w:p w14:paraId="345A0F57" w14:textId="77777777" w:rsidR="009E5AB1" w:rsidRPr="00860E17" w:rsidRDefault="009E5AB1" w:rsidP="009E5AB1">
      <w:pPr>
        <w:spacing w:line="240" w:lineRule="auto"/>
        <w:rPr>
          <w:rFonts w:eastAsia="Times New Roman" w:cs="Arial"/>
          <w:color w:val="000000"/>
          <w:lang w:eastAsia="bg-BG"/>
        </w:rPr>
      </w:pPr>
    </w:p>
    <w:p w14:paraId="2457CF49" w14:textId="38807D77"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След консолидиране на отговора, се препоръчва лечението да продължи още няколко месеца, за да се избегне рецидив.</w:t>
      </w:r>
    </w:p>
    <w:p w14:paraId="14BAFCAF" w14:textId="77777777" w:rsidR="009E5AB1" w:rsidRPr="00860E17" w:rsidRDefault="009E5AB1" w:rsidP="009E5AB1">
      <w:pPr>
        <w:spacing w:line="240" w:lineRule="auto"/>
        <w:rPr>
          <w:rFonts w:eastAsia="Times New Roman" w:cs="Arial"/>
          <w:i/>
          <w:iCs/>
          <w:color w:val="000000"/>
          <w:lang w:eastAsia="bg-BG"/>
        </w:rPr>
      </w:pPr>
    </w:p>
    <w:p w14:paraId="57B7EE5F" w14:textId="7E0B5B50" w:rsidR="009E5AB1" w:rsidRPr="00860E17" w:rsidRDefault="009E5AB1" w:rsidP="009E5AB1">
      <w:pPr>
        <w:spacing w:line="240" w:lineRule="auto"/>
        <w:rPr>
          <w:rFonts w:eastAsia="Times New Roman" w:cs="Arial"/>
          <w:sz w:val="24"/>
          <w:szCs w:val="24"/>
        </w:rPr>
      </w:pPr>
      <w:r w:rsidRPr="00860E17">
        <w:rPr>
          <w:rFonts w:eastAsia="Times New Roman" w:cs="Arial"/>
          <w:i/>
          <w:iCs/>
          <w:color w:val="000000"/>
          <w:lang w:eastAsia="bg-BG"/>
        </w:rPr>
        <w:t xml:space="preserve">Диабетна периферна </w:t>
      </w:r>
      <w:proofErr w:type="spellStart"/>
      <w:r w:rsidRPr="00860E17">
        <w:rPr>
          <w:rFonts w:eastAsia="Times New Roman" w:cs="Arial"/>
          <w:i/>
          <w:iCs/>
          <w:color w:val="000000"/>
          <w:lang w:eastAsia="bg-BG"/>
        </w:rPr>
        <w:t>невропатна</w:t>
      </w:r>
      <w:proofErr w:type="spellEnd"/>
      <w:r w:rsidRPr="00860E17">
        <w:rPr>
          <w:rFonts w:eastAsia="Times New Roman" w:cs="Arial"/>
          <w:i/>
          <w:iCs/>
          <w:color w:val="000000"/>
          <w:lang w:eastAsia="bg-BG"/>
        </w:rPr>
        <w:t xml:space="preserve"> болка</w:t>
      </w:r>
    </w:p>
    <w:p w14:paraId="46409DF5" w14:textId="77777777"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 xml:space="preserve">Началната и препоръчителната поддържаща доза е 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веднъж дневно, с или без храна. При перспективни клинични проучвания относно безопасността са оценявани дози над 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веднъж дневно, до максимална доза от 120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дневно, приложена на равни разделени приеми. Плазмените концентрации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проявяват голяма интериндивидуална вариабилност (вж. точка 5.2). Следователно, на някои пациенти, които са отговорили незадоволително на 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могат да са полезни по-високи дози.</w:t>
      </w:r>
    </w:p>
    <w:p w14:paraId="164838E1" w14:textId="77777777" w:rsidR="009E5AB1" w:rsidRPr="00860E17" w:rsidRDefault="009E5AB1" w:rsidP="009E5AB1">
      <w:pPr>
        <w:spacing w:line="240" w:lineRule="auto"/>
        <w:rPr>
          <w:rFonts w:eastAsia="Times New Roman" w:cs="Arial"/>
          <w:color w:val="000000"/>
          <w:lang w:eastAsia="bg-BG"/>
        </w:rPr>
      </w:pPr>
    </w:p>
    <w:p w14:paraId="7A1601A9" w14:textId="77777777" w:rsidR="009E5AB1" w:rsidRPr="00860E17" w:rsidRDefault="009E5AB1" w:rsidP="009E5AB1">
      <w:pPr>
        <w:spacing w:line="240" w:lineRule="auto"/>
        <w:rPr>
          <w:rFonts w:eastAsia="Times New Roman" w:cs="Arial"/>
          <w:color w:val="000000"/>
          <w:lang w:eastAsia="bg-BG"/>
        </w:rPr>
      </w:pPr>
      <w:r w:rsidRPr="00860E17">
        <w:rPr>
          <w:rFonts w:eastAsia="Times New Roman" w:cs="Arial"/>
          <w:color w:val="000000"/>
          <w:lang w:eastAsia="bg-BG"/>
        </w:rPr>
        <w:t xml:space="preserve">Отговорът към лечението трябва да бъде оценяван след 2 месеца. При пациенти с недостатъчно </w:t>
      </w:r>
    </w:p>
    <w:p w14:paraId="37F8ABFA" w14:textId="6BBAD8A4"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първоначално повлияване е малко вероятен допълнителен отговор след този период.</w:t>
      </w:r>
    </w:p>
    <w:p w14:paraId="02EC9DBF" w14:textId="77777777" w:rsidR="009E5AB1" w:rsidRPr="00860E17" w:rsidRDefault="009E5AB1" w:rsidP="009E5AB1">
      <w:pPr>
        <w:spacing w:line="240" w:lineRule="auto"/>
        <w:rPr>
          <w:rFonts w:eastAsia="Times New Roman" w:cs="Arial"/>
          <w:color w:val="000000"/>
          <w:lang w:eastAsia="bg-BG"/>
        </w:rPr>
      </w:pPr>
    </w:p>
    <w:p w14:paraId="59EA65D8" w14:textId="394ABACA"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Терапевтичната полза трябва да бъде преоценявана регулярно (поне на всеки три месеца) (вж. точка 5.1).</w:t>
      </w:r>
    </w:p>
    <w:p w14:paraId="37863C0F" w14:textId="77777777" w:rsidR="009E5AB1" w:rsidRPr="00860E17" w:rsidRDefault="009E5AB1" w:rsidP="009E5AB1">
      <w:pPr>
        <w:spacing w:line="240" w:lineRule="auto"/>
        <w:rPr>
          <w:rFonts w:eastAsia="Times New Roman" w:cs="Arial"/>
          <w:i/>
          <w:iCs/>
          <w:color w:val="000000"/>
          <w:lang w:eastAsia="bg-BG"/>
        </w:rPr>
      </w:pPr>
    </w:p>
    <w:p w14:paraId="1051E903" w14:textId="4A6C4B01" w:rsidR="009E5AB1" w:rsidRPr="00860E17" w:rsidRDefault="009E5AB1" w:rsidP="009E5AB1">
      <w:pPr>
        <w:spacing w:line="240" w:lineRule="auto"/>
        <w:rPr>
          <w:rFonts w:eastAsia="Times New Roman" w:cs="Arial"/>
          <w:sz w:val="24"/>
          <w:szCs w:val="24"/>
        </w:rPr>
      </w:pPr>
      <w:r w:rsidRPr="00860E17">
        <w:rPr>
          <w:rFonts w:eastAsia="Times New Roman" w:cs="Arial"/>
          <w:i/>
          <w:iCs/>
          <w:color w:val="000000"/>
          <w:lang w:eastAsia="bg-BG"/>
        </w:rPr>
        <w:t>Специални популации</w:t>
      </w:r>
    </w:p>
    <w:p w14:paraId="2296A998" w14:textId="77777777" w:rsidR="009E5AB1" w:rsidRPr="00860E17" w:rsidRDefault="009E5AB1" w:rsidP="009E5AB1">
      <w:pPr>
        <w:spacing w:line="240" w:lineRule="auto"/>
        <w:rPr>
          <w:rFonts w:eastAsia="Times New Roman" w:cs="Arial"/>
          <w:i/>
          <w:iCs/>
          <w:color w:val="000000"/>
          <w:lang w:eastAsia="bg-BG"/>
        </w:rPr>
      </w:pPr>
    </w:p>
    <w:p w14:paraId="3164CDE4" w14:textId="33BADC00" w:rsidR="009E5AB1" w:rsidRPr="00860E17" w:rsidRDefault="009E5AB1" w:rsidP="009E5AB1">
      <w:pPr>
        <w:spacing w:line="240" w:lineRule="auto"/>
        <w:rPr>
          <w:rFonts w:eastAsia="Times New Roman" w:cs="Arial"/>
          <w:sz w:val="24"/>
          <w:szCs w:val="24"/>
        </w:rPr>
      </w:pPr>
      <w:r w:rsidRPr="00860E17">
        <w:rPr>
          <w:rFonts w:eastAsia="Times New Roman" w:cs="Arial"/>
          <w:i/>
          <w:iCs/>
          <w:color w:val="000000"/>
          <w:lang w:eastAsia="bg-BG"/>
        </w:rPr>
        <w:t>Пациенти в старческа възраст</w:t>
      </w:r>
    </w:p>
    <w:p w14:paraId="033B6758" w14:textId="77777777"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 xml:space="preserve">При пациенти в старческа възраст не се препоръчва адаптиране на дозата единствено въз основа на възрастта. Въпреки това, както при всяко лекарство, се изисква повишено внимание когато се лекуват пациенти в старческа възраст, особено с </w:t>
      </w:r>
      <w:proofErr w:type="spellStart"/>
      <w:r w:rsidRPr="00860E17">
        <w:rPr>
          <w:rFonts w:eastAsia="Times New Roman" w:cs="Arial"/>
          <w:color w:val="000000"/>
          <w:lang w:eastAsia="bg-BG"/>
        </w:rPr>
        <w:t>Дулсевиа</w:t>
      </w:r>
      <w:proofErr w:type="spellEnd"/>
      <w:r w:rsidRPr="00860E17">
        <w:rPr>
          <w:rFonts w:eastAsia="Times New Roman" w:cs="Arial"/>
          <w:color w:val="000000"/>
          <w:lang w:eastAsia="bg-BG"/>
        </w:rPr>
        <w:t xml:space="preserve"> в дневна доза от 120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при големи депресивни епизоди или генерализирано тревожно разстройство, тъй като има ограничени данни (вж. точки 4.4 и 5.2).</w:t>
      </w:r>
    </w:p>
    <w:p w14:paraId="36FCACE7" w14:textId="77777777" w:rsidR="009E5AB1" w:rsidRPr="00860E17" w:rsidRDefault="009E5AB1" w:rsidP="009E5AB1">
      <w:pPr>
        <w:spacing w:line="240" w:lineRule="auto"/>
        <w:rPr>
          <w:rFonts w:eastAsia="Times New Roman" w:cs="Arial"/>
          <w:i/>
          <w:iCs/>
          <w:color w:val="000000"/>
          <w:lang w:eastAsia="bg-BG"/>
        </w:rPr>
      </w:pPr>
    </w:p>
    <w:p w14:paraId="18F84156" w14:textId="08F4EB89" w:rsidR="009E5AB1" w:rsidRPr="00860E17" w:rsidRDefault="009E5AB1" w:rsidP="009E5AB1">
      <w:pPr>
        <w:spacing w:line="240" w:lineRule="auto"/>
        <w:rPr>
          <w:rFonts w:eastAsia="Times New Roman" w:cs="Arial"/>
          <w:sz w:val="24"/>
          <w:szCs w:val="24"/>
        </w:rPr>
      </w:pPr>
      <w:r w:rsidRPr="00860E17">
        <w:rPr>
          <w:rFonts w:eastAsia="Times New Roman" w:cs="Arial"/>
          <w:i/>
          <w:iCs/>
          <w:color w:val="000000"/>
          <w:lang w:eastAsia="bg-BG"/>
        </w:rPr>
        <w:t>Чернодробно увреждане</w:t>
      </w:r>
    </w:p>
    <w:p w14:paraId="06EF33B9" w14:textId="77777777" w:rsidR="009E5AB1" w:rsidRPr="00860E17" w:rsidRDefault="009E5AB1" w:rsidP="009E5AB1">
      <w:pPr>
        <w:spacing w:line="240" w:lineRule="auto"/>
        <w:rPr>
          <w:rFonts w:eastAsia="Times New Roman" w:cs="Arial"/>
          <w:sz w:val="24"/>
          <w:szCs w:val="24"/>
        </w:rPr>
      </w:pPr>
      <w:proofErr w:type="spellStart"/>
      <w:r w:rsidRPr="00860E17">
        <w:rPr>
          <w:rFonts w:eastAsia="Times New Roman" w:cs="Arial"/>
          <w:color w:val="000000"/>
          <w:lang w:eastAsia="bg-BG"/>
        </w:rPr>
        <w:t>Дулсевиа</w:t>
      </w:r>
      <w:proofErr w:type="spellEnd"/>
      <w:r w:rsidRPr="00860E17">
        <w:rPr>
          <w:rFonts w:eastAsia="Times New Roman" w:cs="Arial"/>
          <w:color w:val="000000"/>
          <w:lang w:eastAsia="bg-BG"/>
        </w:rPr>
        <w:t xml:space="preserve"> не трябва да се използва от пациенти с чернодробно заболяване, довело до чернодробна недостатъчност (вж. точки 4.3 и 5.2).</w:t>
      </w:r>
    </w:p>
    <w:p w14:paraId="12882A1E" w14:textId="77777777" w:rsidR="009E5AB1" w:rsidRPr="00860E17" w:rsidRDefault="009E5AB1" w:rsidP="009E5AB1">
      <w:pPr>
        <w:spacing w:line="240" w:lineRule="auto"/>
        <w:rPr>
          <w:rFonts w:eastAsia="Times New Roman" w:cs="Arial"/>
          <w:i/>
          <w:iCs/>
          <w:color w:val="000000"/>
          <w:lang w:eastAsia="bg-BG"/>
        </w:rPr>
      </w:pPr>
    </w:p>
    <w:p w14:paraId="21A00285" w14:textId="1681F45C" w:rsidR="009E5AB1" w:rsidRPr="00860E17" w:rsidRDefault="009E5AB1" w:rsidP="009E5AB1">
      <w:pPr>
        <w:spacing w:line="240" w:lineRule="auto"/>
        <w:rPr>
          <w:rFonts w:eastAsia="Times New Roman" w:cs="Arial"/>
          <w:sz w:val="24"/>
          <w:szCs w:val="24"/>
        </w:rPr>
      </w:pPr>
      <w:r w:rsidRPr="00860E17">
        <w:rPr>
          <w:rFonts w:eastAsia="Times New Roman" w:cs="Arial"/>
          <w:i/>
          <w:iCs/>
          <w:color w:val="000000"/>
          <w:lang w:eastAsia="bg-BG"/>
        </w:rPr>
        <w:t>Бъбречно увреждане</w:t>
      </w:r>
    </w:p>
    <w:p w14:paraId="5859FAA0" w14:textId="09CBAB09" w:rsidR="009E5AB1" w:rsidRPr="00860E17" w:rsidRDefault="009E5AB1" w:rsidP="009E5AB1">
      <w:pPr>
        <w:spacing w:line="240" w:lineRule="auto"/>
        <w:rPr>
          <w:rFonts w:eastAsia="Times New Roman" w:cs="Arial"/>
          <w:color w:val="000000"/>
          <w:lang w:eastAsia="bg-BG"/>
        </w:rPr>
      </w:pPr>
      <w:r w:rsidRPr="00860E17">
        <w:rPr>
          <w:rFonts w:eastAsia="Times New Roman" w:cs="Arial"/>
          <w:color w:val="000000"/>
          <w:lang w:eastAsia="bg-BG"/>
        </w:rPr>
        <w:t xml:space="preserve">Не е необходимо коригиране на дозата при пациенти с лека до умерена бъбречна </w:t>
      </w:r>
      <w:r w:rsidR="000534CE">
        <w:rPr>
          <w:rFonts w:eastAsia="Times New Roman" w:cs="Arial"/>
          <w:color w:val="000000"/>
          <w:lang w:val="en-US" w:eastAsia="bg-BG"/>
        </w:rPr>
        <w:t>d</w:t>
      </w:r>
      <w:proofErr w:type="spellStart"/>
      <w:r w:rsidR="00B25104" w:rsidRPr="00860E17">
        <w:rPr>
          <w:rFonts w:eastAsia="Times New Roman" w:cs="Arial"/>
          <w:color w:val="000000"/>
          <w:lang w:eastAsia="bg-BG"/>
        </w:rPr>
        <w:t>исфункция</w:t>
      </w:r>
      <w:proofErr w:type="spellEnd"/>
      <w:r w:rsidR="000534CE">
        <w:rPr>
          <w:rFonts w:eastAsia="Times New Roman" w:cs="Arial"/>
          <w:color w:val="000000"/>
          <w:lang w:val="en-US" w:eastAsia="bg-BG"/>
        </w:rPr>
        <w:t xml:space="preserve"> </w:t>
      </w:r>
      <w:r w:rsidRPr="00860E17">
        <w:rPr>
          <w:rFonts w:eastAsia="Times New Roman" w:cs="Arial"/>
          <w:color w:val="000000"/>
          <w:lang w:eastAsia="bg-BG"/>
        </w:rPr>
        <w:t>(</w:t>
      </w:r>
      <w:proofErr w:type="spellStart"/>
      <w:r w:rsidRPr="00860E17">
        <w:rPr>
          <w:rFonts w:eastAsia="Times New Roman" w:cs="Arial"/>
          <w:color w:val="000000"/>
          <w:lang w:eastAsia="bg-BG"/>
        </w:rPr>
        <w:t>креатининов</w:t>
      </w:r>
      <w:proofErr w:type="spellEnd"/>
      <w:r w:rsidRPr="00860E17">
        <w:rPr>
          <w:rFonts w:eastAsia="Times New Roman" w:cs="Arial"/>
          <w:color w:val="000000"/>
          <w:lang w:eastAsia="bg-BG"/>
        </w:rPr>
        <w:t xml:space="preserve"> клирънс 30 до 80 </w:t>
      </w:r>
      <w:r w:rsidRPr="00860E17">
        <w:rPr>
          <w:rFonts w:eastAsia="Times New Roman" w:cs="Arial"/>
          <w:color w:val="000000"/>
        </w:rPr>
        <w:t>ml/</w:t>
      </w:r>
      <w:proofErr w:type="spellStart"/>
      <w:r w:rsidRPr="00860E17">
        <w:rPr>
          <w:rFonts w:eastAsia="Times New Roman" w:cs="Arial"/>
          <w:color w:val="000000"/>
        </w:rPr>
        <w:t>min</w:t>
      </w:r>
      <w:proofErr w:type="spellEnd"/>
      <w:r w:rsidRPr="00860E17">
        <w:rPr>
          <w:rFonts w:eastAsia="Times New Roman" w:cs="Arial"/>
          <w:color w:val="000000"/>
        </w:rPr>
        <w:t xml:space="preserve">). </w:t>
      </w:r>
      <w:proofErr w:type="spellStart"/>
      <w:r w:rsidRPr="00860E17">
        <w:rPr>
          <w:rFonts w:eastAsia="Times New Roman" w:cs="Arial"/>
          <w:color w:val="000000"/>
          <w:lang w:eastAsia="bg-BG"/>
        </w:rPr>
        <w:t>Дулсевиа</w:t>
      </w:r>
      <w:proofErr w:type="spellEnd"/>
      <w:r w:rsidRPr="00860E17">
        <w:rPr>
          <w:rFonts w:eastAsia="Times New Roman" w:cs="Arial"/>
          <w:color w:val="000000"/>
          <w:lang w:eastAsia="bg-BG"/>
        </w:rPr>
        <w:t xml:space="preserve"> не трябва да се употребява от пациенти с</w:t>
      </w:r>
      <w:r w:rsidRPr="00860E17">
        <w:rPr>
          <w:rFonts w:eastAsia="Times New Roman" w:cs="Arial"/>
          <w:color w:val="000000"/>
          <w:u w:val="single"/>
          <w:lang w:eastAsia="bg-BG"/>
        </w:rPr>
        <w:t xml:space="preserve"> </w:t>
      </w:r>
      <w:r w:rsidRPr="00860E17">
        <w:rPr>
          <w:rFonts w:eastAsia="Times New Roman" w:cs="Arial"/>
          <w:color w:val="000000"/>
          <w:lang w:eastAsia="bg-BG"/>
        </w:rPr>
        <w:t>тежко бъбречно увреждане (</w:t>
      </w:r>
      <w:proofErr w:type="spellStart"/>
      <w:r w:rsidRPr="00860E17">
        <w:rPr>
          <w:rFonts w:eastAsia="Times New Roman" w:cs="Arial"/>
          <w:color w:val="000000"/>
          <w:lang w:eastAsia="bg-BG"/>
        </w:rPr>
        <w:t>креатининов</w:t>
      </w:r>
      <w:proofErr w:type="spellEnd"/>
      <w:r w:rsidRPr="00860E17">
        <w:rPr>
          <w:rFonts w:eastAsia="Times New Roman" w:cs="Arial"/>
          <w:color w:val="000000"/>
          <w:lang w:eastAsia="bg-BG"/>
        </w:rPr>
        <w:t xml:space="preserve"> клирънс &lt;30 </w:t>
      </w:r>
      <w:r w:rsidRPr="00860E17">
        <w:rPr>
          <w:rFonts w:eastAsia="Times New Roman" w:cs="Arial"/>
          <w:color w:val="000000"/>
        </w:rPr>
        <w:t>ml/</w:t>
      </w:r>
      <w:proofErr w:type="spellStart"/>
      <w:r w:rsidRPr="00860E17">
        <w:rPr>
          <w:rFonts w:eastAsia="Times New Roman" w:cs="Arial"/>
          <w:color w:val="000000"/>
        </w:rPr>
        <w:t>min</w:t>
      </w:r>
      <w:proofErr w:type="spellEnd"/>
      <w:r w:rsidRPr="00860E17">
        <w:rPr>
          <w:rFonts w:eastAsia="Times New Roman" w:cs="Arial"/>
          <w:color w:val="000000"/>
        </w:rPr>
        <w:t xml:space="preserve">; </w:t>
      </w:r>
      <w:r w:rsidRPr="00860E17">
        <w:rPr>
          <w:rFonts w:eastAsia="Times New Roman" w:cs="Arial"/>
          <w:color w:val="000000"/>
          <w:lang w:eastAsia="bg-BG"/>
        </w:rPr>
        <w:t>вж. точка 4.3)</w:t>
      </w:r>
    </w:p>
    <w:p w14:paraId="686F1002" w14:textId="07C61909" w:rsidR="009E5AB1" w:rsidRPr="00860E17" w:rsidRDefault="009E5AB1" w:rsidP="009E5AB1">
      <w:pPr>
        <w:spacing w:line="240" w:lineRule="auto"/>
        <w:rPr>
          <w:rFonts w:eastAsia="Times New Roman" w:cs="Arial"/>
          <w:color w:val="000000"/>
          <w:lang w:eastAsia="bg-BG"/>
        </w:rPr>
      </w:pPr>
    </w:p>
    <w:p w14:paraId="3516BBCD" w14:textId="77777777" w:rsidR="009E5AB1" w:rsidRPr="00860E17" w:rsidRDefault="009E5AB1" w:rsidP="009E5AB1">
      <w:pPr>
        <w:spacing w:line="240" w:lineRule="auto"/>
        <w:rPr>
          <w:rFonts w:eastAsia="Times New Roman" w:cs="Arial"/>
          <w:sz w:val="24"/>
          <w:szCs w:val="24"/>
        </w:rPr>
      </w:pPr>
      <w:r w:rsidRPr="00860E17">
        <w:rPr>
          <w:rFonts w:eastAsia="Times New Roman" w:cs="Arial"/>
          <w:i/>
          <w:iCs/>
          <w:color w:val="000000"/>
          <w:lang w:eastAsia="bg-BG"/>
        </w:rPr>
        <w:t>Педиатрична популация</w:t>
      </w:r>
    </w:p>
    <w:p w14:paraId="442F8249" w14:textId="77777777" w:rsidR="009E5AB1" w:rsidRPr="00860E17" w:rsidRDefault="009E5AB1" w:rsidP="009E5AB1">
      <w:pPr>
        <w:spacing w:line="240" w:lineRule="auto"/>
        <w:rPr>
          <w:rFonts w:eastAsia="Times New Roman" w:cs="Arial"/>
          <w:sz w:val="24"/>
          <w:szCs w:val="24"/>
        </w:rPr>
      </w:pP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не трябва да се употребява при деца и юноши на възраст под 18 години за лечение на голямо депресивно разстройство, поради съображения за безопасност и ефикасност (вж. точки 4.4, 4.8 и 5.1).</w:t>
      </w:r>
    </w:p>
    <w:p w14:paraId="575AC8EC" w14:textId="77777777" w:rsidR="009E5AB1" w:rsidRPr="00860E17" w:rsidRDefault="009E5AB1" w:rsidP="009E5AB1">
      <w:pPr>
        <w:spacing w:line="240" w:lineRule="auto"/>
        <w:rPr>
          <w:rFonts w:eastAsia="Times New Roman" w:cs="Arial"/>
          <w:color w:val="000000"/>
          <w:lang w:eastAsia="bg-BG"/>
        </w:rPr>
      </w:pPr>
    </w:p>
    <w:p w14:paraId="6DA60A0D" w14:textId="6FCAEFB4"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 xml:space="preserve">Безопасността и ефикасността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за лечение на генерализирано тревожно разстройство при педиатрични пациенти на възраст 7-17 години не са установени. Наличните понастоящем данни са описани в точки 4.8, 5.1 и 5.2.</w:t>
      </w:r>
    </w:p>
    <w:p w14:paraId="771EE350" w14:textId="77777777" w:rsidR="009E5AB1" w:rsidRPr="00860E17" w:rsidRDefault="009E5AB1" w:rsidP="009E5AB1">
      <w:pPr>
        <w:spacing w:line="240" w:lineRule="auto"/>
        <w:rPr>
          <w:rFonts w:eastAsia="Times New Roman" w:cs="Arial"/>
          <w:color w:val="000000"/>
          <w:lang w:eastAsia="bg-BG"/>
        </w:rPr>
      </w:pPr>
    </w:p>
    <w:p w14:paraId="15DC8545" w14:textId="50DADB60"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 xml:space="preserve">Безопасността и ефикасността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за лечение на диабетна периферна </w:t>
      </w:r>
      <w:proofErr w:type="spellStart"/>
      <w:r w:rsidRPr="00860E17">
        <w:rPr>
          <w:rFonts w:eastAsia="Times New Roman" w:cs="Arial"/>
          <w:color w:val="000000"/>
          <w:lang w:eastAsia="bg-BG"/>
        </w:rPr>
        <w:t>невропатна</w:t>
      </w:r>
      <w:proofErr w:type="spellEnd"/>
      <w:r w:rsidRPr="00860E17">
        <w:rPr>
          <w:rFonts w:eastAsia="Times New Roman" w:cs="Arial"/>
          <w:color w:val="000000"/>
          <w:lang w:eastAsia="bg-BG"/>
        </w:rPr>
        <w:t xml:space="preserve"> болка не са изследвани. Липсват данни.</w:t>
      </w:r>
    </w:p>
    <w:p w14:paraId="5A95E631" w14:textId="77777777" w:rsidR="009E5AB1" w:rsidRPr="00860E17" w:rsidRDefault="009E5AB1" w:rsidP="009E5AB1">
      <w:pPr>
        <w:spacing w:line="240" w:lineRule="auto"/>
        <w:rPr>
          <w:rFonts w:eastAsia="Times New Roman" w:cs="Arial"/>
          <w:i/>
          <w:iCs/>
          <w:color w:val="000000"/>
          <w:lang w:eastAsia="bg-BG"/>
        </w:rPr>
      </w:pPr>
    </w:p>
    <w:p w14:paraId="47F154F3" w14:textId="77037469" w:rsidR="009E5AB1" w:rsidRPr="00860E17" w:rsidRDefault="009E5AB1" w:rsidP="009E5AB1">
      <w:pPr>
        <w:spacing w:line="240" w:lineRule="auto"/>
        <w:rPr>
          <w:rFonts w:eastAsia="Times New Roman" w:cs="Arial"/>
          <w:sz w:val="24"/>
          <w:szCs w:val="24"/>
        </w:rPr>
      </w:pPr>
      <w:r w:rsidRPr="00860E17">
        <w:rPr>
          <w:rFonts w:eastAsia="Times New Roman" w:cs="Arial"/>
          <w:i/>
          <w:iCs/>
          <w:color w:val="000000"/>
          <w:lang w:eastAsia="bg-BG"/>
        </w:rPr>
        <w:t>Прекъсване на лечението</w:t>
      </w:r>
    </w:p>
    <w:p w14:paraId="1054C08D" w14:textId="77777777"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 xml:space="preserve">Трябва да се избягва рязко прекъсване. Когато се прекъсва лечение с </w:t>
      </w:r>
      <w:proofErr w:type="spellStart"/>
      <w:r w:rsidRPr="00860E17">
        <w:rPr>
          <w:rFonts w:eastAsia="Times New Roman" w:cs="Arial"/>
          <w:color w:val="000000"/>
          <w:lang w:eastAsia="bg-BG"/>
        </w:rPr>
        <w:t>Дулсевиа</w:t>
      </w:r>
      <w:proofErr w:type="spellEnd"/>
      <w:r w:rsidRPr="00860E17">
        <w:rPr>
          <w:rFonts w:eastAsia="Times New Roman" w:cs="Arial"/>
          <w:color w:val="000000"/>
          <w:lang w:eastAsia="bg-BG"/>
        </w:rPr>
        <w:t>, дозата трябва да бъде намалявана постепенно за период от поне една до две седмици, за да се намали риска от реакции на отнемане (вж. точки 4.4. и 4.8). Ако след намаляване на дозата или при прекъсване на лечението се появяват симптоми на непоносимост трябва да се има предвид подновяване на назначената преди това доза. Впоследствие, лекарят може да продължи да намалява дозата, но по- постепенно.</w:t>
      </w:r>
    </w:p>
    <w:p w14:paraId="55018B18" w14:textId="77777777" w:rsidR="009E5AB1" w:rsidRPr="00860E17" w:rsidRDefault="009E5AB1" w:rsidP="009E5AB1">
      <w:pPr>
        <w:spacing w:line="240" w:lineRule="auto"/>
        <w:rPr>
          <w:rFonts w:eastAsia="Times New Roman" w:cs="Arial"/>
          <w:color w:val="000000"/>
          <w:u w:val="single"/>
          <w:lang w:eastAsia="bg-BG"/>
        </w:rPr>
      </w:pPr>
    </w:p>
    <w:p w14:paraId="1E6BA5A2" w14:textId="43ACBDFE" w:rsidR="009E5AB1" w:rsidRPr="00860E17" w:rsidRDefault="009E5AB1" w:rsidP="009E5AB1">
      <w:pPr>
        <w:pStyle w:val="Heading3"/>
        <w:rPr>
          <w:rFonts w:eastAsia="Times New Roman"/>
          <w:u w:val="single"/>
        </w:rPr>
      </w:pPr>
      <w:r w:rsidRPr="00860E17">
        <w:rPr>
          <w:rFonts w:eastAsia="Times New Roman"/>
          <w:u w:val="single"/>
          <w:lang w:eastAsia="bg-BG"/>
        </w:rPr>
        <w:t>Начин на приложение</w:t>
      </w:r>
    </w:p>
    <w:p w14:paraId="22BE0B79" w14:textId="77777777"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За перорално приложение.</w:t>
      </w:r>
    </w:p>
    <w:p w14:paraId="50A97E9E" w14:textId="0E64053F" w:rsidR="009E5AB1" w:rsidRPr="00860E17" w:rsidRDefault="009E5AB1" w:rsidP="009E5AB1"/>
    <w:p w14:paraId="0F253247" w14:textId="4FD55BCF" w:rsidR="007122AD" w:rsidRPr="00860E17" w:rsidRDefault="002C50EE" w:rsidP="00936AD0">
      <w:pPr>
        <w:pStyle w:val="Heading2"/>
      </w:pPr>
      <w:r w:rsidRPr="00860E17">
        <w:t>4.3. Противопоказания</w:t>
      </w:r>
    </w:p>
    <w:p w14:paraId="472FEF50" w14:textId="14FCA51C" w:rsidR="009E5AB1" w:rsidRPr="00860E17" w:rsidRDefault="009E5AB1" w:rsidP="009E5AB1"/>
    <w:p w14:paraId="04D1F13C" w14:textId="77777777"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Свръхчувствителност към активното вещество или някое от помощните вещества, изброени в точка 6.1.</w:t>
      </w:r>
    </w:p>
    <w:p w14:paraId="6E3AA1D7" w14:textId="77777777" w:rsidR="009E5AB1" w:rsidRPr="00860E17" w:rsidRDefault="009E5AB1" w:rsidP="009E5AB1">
      <w:pPr>
        <w:spacing w:line="240" w:lineRule="auto"/>
        <w:rPr>
          <w:rFonts w:eastAsia="Times New Roman" w:cs="Arial"/>
          <w:color w:val="000000"/>
          <w:lang w:eastAsia="bg-BG"/>
        </w:rPr>
      </w:pPr>
    </w:p>
    <w:p w14:paraId="0520501C" w14:textId="3297378B"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 xml:space="preserve">Едновременното приложение на </w:t>
      </w:r>
      <w:proofErr w:type="spellStart"/>
      <w:r w:rsidRPr="00860E17">
        <w:rPr>
          <w:rFonts w:eastAsia="Times New Roman" w:cs="Arial"/>
          <w:color w:val="000000"/>
          <w:lang w:eastAsia="bg-BG"/>
        </w:rPr>
        <w:t>Дулсевиа</w:t>
      </w:r>
      <w:proofErr w:type="spellEnd"/>
      <w:r w:rsidRPr="00860E17">
        <w:rPr>
          <w:rFonts w:eastAsia="Times New Roman" w:cs="Arial"/>
          <w:color w:val="000000"/>
          <w:lang w:eastAsia="bg-BG"/>
        </w:rPr>
        <w:t xml:space="preserve"> с неселективни, необратими инхибитори на </w:t>
      </w:r>
      <w:proofErr w:type="spellStart"/>
      <w:r w:rsidRPr="00860E17">
        <w:rPr>
          <w:rFonts w:eastAsia="Times New Roman" w:cs="Arial"/>
          <w:color w:val="000000"/>
          <w:lang w:eastAsia="bg-BG"/>
        </w:rPr>
        <w:t>моноаминооксидазата</w:t>
      </w:r>
      <w:proofErr w:type="spellEnd"/>
      <w:r w:rsidRPr="00860E17">
        <w:rPr>
          <w:rFonts w:eastAsia="Times New Roman" w:cs="Arial"/>
          <w:color w:val="000000"/>
          <w:lang w:eastAsia="bg-BG"/>
        </w:rPr>
        <w:t xml:space="preserve"> </w:t>
      </w:r>
      <w:r w:rsidRPr="00860E17">
        <w:rPr>
          <w:rFonts w:eastAsia="Times New Roman" w:cs="Arial"/>
          <w:color w:val="000000"/>
        </w:rPr>
        <w:t>(MAO</w:t>
      </w:r>
      <w:r w:rsidRPr="00860E17">
        <w:rPr>
          <w:rFonts w:eastAsia="Times New Roman" w:cs="Arial"/>
          <w:color w:val="000000"/>
          <w:lang w:eastAsia="bg-BG"/>
        </w:rPr>
        <w:t>-инхибитори) е противопоказано (вж. точка 4.5).</w:t>
      </w:r>
    </w:p>
    <w:p w14:paraId="2290A27C" w14:textId="77777777" w:rsidR="009E5AB1" w:rsidRPr="00860E17" w:rsidRDefault="009E5AB1" w:rsidP="009E5AB1">
      <w:pPr>
        <w:spacing w:line="240" w:lineRule="auto"/>
        <w:rPr>
          <w:rFonts w:eastAsia="Times New Roman" w:cs="Arial"/>
          <w:color w:val="000000"/>
          <w:lang w:eastAsia="bg-BG"/>
        </w:rPr>
      </w:pPr>
    </w:p>
    <w:p w14:paraId="43ADF652" w14:textId="5A5FA6D8"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lastRenderedPageBreak/>
        <w:t>Чернодробно заболяване, водещо до чернодробно увреждане (вж. точка 5.2).</w:t>
      </w:r>
    </w:p>
    <w:p w14:paraId="63D2DACA" w14:textId="77777777" w:rsidR="009E5AB1" w:rsidRPr="00860E17" w:rsidRDefault="009E5AB1" w:rsidP="009E5AB1">
      <w:pPr>
        <w:spacing w:line="240" w:lineRule="auto"/>
        <w:rPr>
          <w:rFonts w:eastAsia="Times New Roman" w:cs="Arial"/>
          <w:color w:val="000000"/>
          <w:lang w:eastAsia="bg-BG"/>
        </w:rPr>
      </w:pPr>
    </w:p>
    <w:p w14:paraId="03CF91D1" w14:textId="21B625BF" w:rsidR="009E5AB1" w:rsidRPr="00860E17" w:rsidRDefault="009E5AB1" w:rsidP="009E5AB1">
      <w:pPr>
        <w:spacing w:line="240" w:lineRule="auto"/>
        <w:rPr>
          <w:rFonts w:eastAsia="Times New Roman" w:cs="Arial"/>
          <w:sz w:val="24"/>
          <w:szCs w:val="24"/>
        </w:rPr>
      </w:pPr>
      <w:proofErr w:type="spellStart"/>
      <w:r w:rsidRPr="00860E17">
        <w:rPr>
          <w:rFonts w:eastAsia="Times New Roman" w:cs="Arial"/>
          <w:color w:val="000000"/>
          <w:lang w:eastAsia="bg-BG"/>
        </w:rPr>
        <w:t>Дулсевиа</w:t>
      </w:r>
      <w:proofErr w:type="spellEnd"/>
      <w:r w:rsidRPr="00860E17">
        <w:rPr>
          <w:rFonts w:eastAsia="Times New Roman" w:cs="Arial"/>
          <w:color w:val="000000"/>
          <w:lang w:eastAsia="bg-BG"/>
        </w:rPr>
        <w:t xml:space="preserve"> не трябва да се прилага в комбинация с </w:t>
      </w:r>
      <w:proofErr w:type="spellStart"/>
      <w:r w:rsidRPr="00860E17">
        <w:rPr>
          <w:rFonts w:eastAsia="Times New Roman" w:cs="Arial"/>
          <w:color w:val="000000"/>
          <w:lang w:eastAsia="bg-BG"/>
        </w:rPr>
        <w:t>флувоксамин</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ципрофлоксацин</w:t>
      </w:r>
      <w:proofErr w:type="spellEnd"/>
      <w:r w:rsidRPr="00860E17">
        <w:rPr>
          <w:rFonts w:eastAsia="Times New Roman" w:cs="Arial"/>
          <w:color w:val="000000"/>
          <w:lang w:eastAsia="bg-BG"/>
        </w:rPr>
        <w:t xml:space="preserve"> или </w:t>
      </w:r>
      <w:proofErr w:type="spellStart"/>
      <w:r w:rsidRPr="00860E17">
        <w:rPr>
          <w:rFonts w:eastAsia="Times New Roman" w:cs="Arial"/>
          <w:color w:val="000000"/>
          <w:lang w:eastAsia="bg-BG"/>
        </w:rPr>
        <w:t>еноксацин</w:t>
      </w:r>
      <w:proofErr w:type="spellEnd"/>
      <w:r w:rsidRPr="00860E17">
        <w:rPr>
          <w:rFonts w:eastAsia="Times New Roman" w:cs="Arial"/>
          <w:color w:val="000000"/>
          <w:lang w:eastAsia="bg-BG"/>
        </w:rPr>
        <w:t xml:space="preserve"> (т.е. мощни </w:t>
      </w:r>
      <w:r w:rsidRPr="00860E17">
        <w:rPr>
          <w:rFonts w:eastAsia="Times New Roman" w:cs="Arial"/>
          <w:color w:val="000000"/>
        </w:rPr>
        <w:t xml:space="preserve">CYP1A2 </w:t>
      </w:r>
      <w:r w:rsidRPr="00860E17">
        <w:rPr>
          <w:rFonts w:eastAsia="Times New Roman" w:cs="Arial"/>
          <w:color w:val="000000"/>
          <w:lang w:eastAsia="bg-BG"/>
        </w:rPr>
        <w:t xml:space="preserve">инхибитори), тъй като комбинирането води до повишени плазмени концентрации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(вж. точка 4.5).</w:t>
      </w:r>
    </w:p>
    <w:p w14:paraId="13F810F0" w14:textId="77777777" w:rsidR="009E5AB1" w:rsidRPr="00860E17" w:rsidRDefault="009E5AB1" w:rsidP="009E5AB1">
      <w:pPr>
        <w:spacing w:line="240" w:lineRule="auto"/>
        <w:rPr>
          <w:rFonts w:eastAsia="Times New Roman" w:cs="Arial"/>
          <w:color w:val="000000"/>
          <w:lang w:eastAsia="bg-BG"/>
        </w:rPr>
      </w:pPr>
    </w:p>
    <w:p w14:paraId="4D19B33A" w14:textId="2B205F63"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Тежко бъбречно увреждане (</w:t>
      </w:r>
      <w:proofErr w:type="spellStart"/>
      <w:r w:rsidRPr="00860E17">
        <w:rPr>
          <w:rFonts w:eastAsia="Times New Roman" w:cs="Arial"/>
          <w:color w:val="000000"/>
          <w:lang w:eastAsia="bg-BG"/>
        </w:rPr>
        <w:t>креатининов</w:t>
      </w:r>
      <w:proofErr w:type="spellEnd"/>
      <w:r w:rsidRPr="00860E17">
        <w:rPr>
          <w:rFonts w:eastAsia="Times New Roman" w:cs="Arial"/>
          <w:color w:val="000000"/>
          <w:lang w:eastAsia="bg-BG"/>
        </w:rPr>
        <w:t xml:space="preserve"> клирънс &lt;30 </w:t>
      </w:r>
      <w:r w:rsidRPr="00860E17">
        <w:rPr>
          <w:rFonts w:eastAsia="Times New Roman" w:cs="Arial"/>
          <w:color w:val="000000"/>
        </w:rPr>
        <w:t>ml/</w:t>
      </w:r>
      <w:proofErr w:type="spellStart"/>
      <w:r w:rsidRPr="00860E17">
        <w:rPr>
          <w:rFonts w:eastAsia="Times New Roman" w:cs="Arial"/>
          <w:color w:val="000000"/>
        </w:rPr>
        <w:t>min</w:t>
      </w:r>
      <w:proofErr w:type="spellEnd"/>
      <w:r w:rsidRPr="00860E17">
        <w:rPr>
          <w:rFonts w:eastAsia="Times New Roman" w:cs="Arial"/>
          <w:color w:val="000000"/>
        </w:rPr>
        <w:t xml:space="preserve">) </w:t>
      </w:r>
      <w:r w:rsidRPr="00860E17">
        <w:rPr>
          <w:rFonts w:eastAsia="Times New Roman" w:cs="Arial"/>
          <w:color w:val="000000"/>
          <w:lang w:eastAsia="bg-BG"/>
        </w:rPr>
        <w:t>(вж. точка 4.4).</w:t>
      </w:r>
    </w:p>
    <w:p w14:paraId="7A959008" w14:textId="77777777" w:rsidR="009E5AB1" w:rsidRPr="00860E17" w:rsidRDefault="009E5AB1" w:rsidP="009E5AB1">
      <w:pPr>
        <w:spacing w:line="240" w:lineRule="auto"/>
        <w:rPr>
          <w:rFonts w:eastAsia="Times New Roman" w:cs="Arial"/>
          <w:color w:val="000000"/>
          <w:lang w:eastAsia="bg-BG"/>
        </w:rPr>
      </w:pPr>
    </w:p>
    <w:p w14:paraId="6DFD89AA" w14:textId="2EAE94F7" w:rsidR="009E5AB1" w:rsidRPr="00860E17" w:rsidRDefault="009E5AB1" w:rsidP="009E5AB1">
      <w:pPr>
        <w:spacing w:line="240" w:lineRule="auto"/>
        <w:rPr>
          <w:rFonts w:ascii="Times New Roman" w:eastAsia="Times New Roman" w:hAnsi="Times New Roman" w:cs="Times New Roman"/>
          <w:sz w:val="24"/>
          <w:szCs w:val="24"/>
        </w:rPr>
      </w:pPr>
      <w:r w:rsidRPr="00860E17">
        <w:rPr>
          <w:rFonts w:eastAsia="Times New Roman" w:cs="Arial"/>
          <w:color w:val="000000"/>
          <w:lang w:eastAsia="bg-BG"/>
        </w:rPr>
        <w:t xml:space="preserve">Започване на лечение с </w:t>
      </w:r>
      <w:proofErr w:type="spellStart"/>
      <w:r w:rsidRPr="00860E17">
        <w:rPr>
          <w:rFonts w:eastAsia="Times New Roman" w:cs="Arial"/>
          <w:color w:val="000000"/>
          <w:lang w:eastAsia="bg-BG"/>
        </w:rPr>
        <w:t>Дулсевиа</w:t>
      </w:r>
      <w:proofErr w:type="spellEnd"/>
      <w:r w:rsidRPr="00860E17">
        <w:rPr>
          <w:rFonts w:eastAsia="Times New Roman" w:cs="Arial"/>
          <w:color w:val="000000"/>
          <w:lang w:eastAsia="bg-BG"/>
        </w:rPr>
        <w:t xml:space="preserve"> е противопоказано при пациенти с неконтролирана хипертония, тъй като може да изложи пациентите на потенциален риск от хипертонична криза (вж. точки 4.4 и 4.8).</w:t>
      </w:r>
    </w:p>
    <w:p w14:paraId="3B56DCDE" w14:textId="77777777" w:rsidR="009E5AB1" w:rsidRPr="00860E17" w:rsidRDefault="009E5AB1" w:rsidP="009E5AB1"/>
    <w:p w14:paraId="0E0BDCC7" w14:textId="20E82402" w:rsidR="007122AD" w:rsidRPr="00860E17" w:rsidRDefault="002C50EE" w:rsidP="00936AD0">
      <w:pPr>
        <w:pStyle w:val="Heading2"/>
      </w:pPr>
      <w:r w:rsidRPr="00860E17">
        <w:t>4.4. Специални предупреждения и предпазни мерки при употреба</w:t>
      </w:r>
    </w:p>
    <w:p w14:paraId="04BA188D" w14:textId="724C990F" w:rsidR="009E5AB1" w:rsidRPr="00860E17" w:rsidRDefault="009E5AB1" w:rsidP="009E5AB1"/>
    <w:p w14:paraId="2D315C85" w14:textId="77777777" w:rsidR="009E5AB1" w:rsidRPr="00860E17" w:rsidRDefault="009E5AB1" w:rsidP="009E5AB1">
      <w:pPr>
        <w:spacing w:line="240" w:lineRule="auto"/>
        <w:rPr>
          <w:rFonts w:eastAsia="Times New Roman" w:cs="Arial"/>
        </w:rPr>
      </w:pPr>
      <w:r w:rsidRPr="00860E17">
        <w:rPr>
          <w:rFonts w:eastAsia="Times New Roman" w:cs="Arial"/>
          <w:i/>
          <w:iCs/>
          <w:color w:val="000000"/>
          <w:lang w:eastAsia="bg-BG"/>
        </w:rPr>
        <w:t>Мания и припадъци</w:t>
      </w:r>
    </w:p>
    <w:p w14:paraId="59B72E62" w14:textId="77777777" w:rsidR="009E5AB1" w:rsidRPr="00860E17" w:rsidRDefault="009E5AB1" w:rsidP="009E5AB1">
      <w:pPr>
        <w:spacing w:line="240" w:lineRule="auto"/>
        <w:rPr>
          <w:rFonts w:eastAsia="Times New Roman" w:cs="Arial"/>
        </w:rPr>
      </w:pPr>
      <w:proofErr w:type="spellStart"/>
      <w:r w:rsidRPr="00860E17">
        <w:rPr>
          <w:rFonts w:eastAsia="Times New Roman" w:cs="Arial"/>
          <w:color w:val="000000"/>
          <w:lang w:eastAsia="bg-BG"/>
        </w:rPr>
        <w:t>Дулсевиа</w:t>
      </w:r>
      <w:proofErr w:type="spellEnd"/>
      <w:r w:rsidRPr="00860E17">
        <w:rPr>
          <w:rFonts w:eastAsia="Times New Roman" w:cs="Arial"/>
          <w:color w:val="000000"/>
          <w:lang w:eastAsia="bg-BG"/>
        </w:rPr>
        <w:t xml:space="preserve"> трябва да се прилага с внимание при пациенти с анамнеза за мания или с диагноза биполярно разстройство и/или припадъци.</w:t>
      </w:r>
    </w:p>
    <w:p w14:paraId="637B5E29" w14:textId="77777777" w:rsidR="009E5AB1" w:rsidRPr="00860E17" w:rsidRDefault="009E5AB1" w:rsidP="009E5AB1">
      <w:pPr>
        <w:spacing w:line="240" w:lineRule="auto"/>
        <w:rPr>
          <w:rFonts w:eastAsia="Times New Roman" w:cs="Arial"/>
        </w:rPr>
      </w:pPr>
    </w:p>
    <w:p w14:paraId="0ED82EB4" w14:textId="77777777" w:rsidR="009E5AB1" w:rsidRPr="00860E17" w:rsidRDefault="009E5AB1" w:rsidP="009E5AB1">
      <w:pPr>
        <w:spacing w:line="240" w:lineRule="auto"/>
        <w:rPr>
          <w:rFonts w:eastAsia="Times New Roman" w:cs="Arial"/>
        </w:rPr>
      </w:pPr>
      <w:proofErr w:type="spellStart"/>
      <w:r w:rsidRPr="00860E17">
        <w:rPr>
          <w:rFonts w:eastAsia="Times New Roman" w:cs="Arial"/>
          <w:i/>
          <w:iCs/>
          <w:color w:val="000000"/>
          <w:lang w:eastAsia="bg-BG"/>
        </w:rPr>
        <w:t>Мидриаза</w:t>
      </w:r>
      <w:proofErr w:type="spellEnd"/>
    </w:p>
    <w:p w14:paraId="168460C5" w14:textId="77777777" w:rsidR="009E5AB1" w:rsidRPr="00860E17" w:rsidRDefault="009E5AB1" w:rsidP="009E5AB1">
      <w:pPr>
        <w:spacing w:line="240" w:lineRule="auto"/>
        <w:rPr>
          <w:rFonts w:eastAsia="Times New Roman" w:cs="Arial"/>
        </w:rPr>
      </w:pPr>
      <w:r w:rsidRPr="00860E17">
        <w:rPr>
          <w:rFonts w:eastAsia="Times New Roman" w:cs="Arial"/>
          <w:color w:val="000000"/>
          <w:lang w:eastAsia="bg-BG"/>
        </w:rPr>
        <w:t xml:space="preserve">Съобщавана е </w:t>
      </w:r>
      <w:proofErr w:type="spellStart"/>
      <w:r w:rsidRPr="00860E17">
        <w:rPr>
          <w:rFonts w:eastAsia="Times New Roman" w:cs="Arial"/>
          <w:color w:val="000000"/>
          <w:lang w:eastAsia="bg-BG"/>
        </w:rPr>
        <w:t>мидриаза</w:t>
      </w:r>
      <w:proofErr w:type="spellEnd"/>
      <w:r w:rsidRPr="00860E17">
        <w:rPr>
          <w:rFonts w:eastAsia="Times New Roman" w:cs="Arial"/>
          <w:color w:val="000000"/>
          <w:lang w:eastAsia="bg-BG"/>
        </w:rPr>
        <w:t xml:space="preserve">, свързана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затова предписването на </w:t>
      </w:r>
      <w:proofErr w:type="spellStart"/>
      <w:r w:rsidRPr="00860E17">
        <w:rPr>
          <w:rFonts w:eastAsia="Times New Roman" w:cs="Arial"/>
          <w:color w:val="000000"/>
          <w:lang w:eastAsia="bg-BG"/>
        </w:rPr>
        <w:t>Дулсевиа</w:t>
      </w:r>
      <w:proofErr w:type="spellEnd"/>
      <w:r w:rsidRPr="00860E17">
        <w:rPr>
          <w:rFonts w:eastAsia="Times New Roman" w:cs="Arial"/>
          <w:color w:val="000000"/>
          <w:lang w:eastAsia="bg-BG"/>
        </w:rPr>
        <w:t xml:space="preserve"> на пациенти</w:t>
      </w:r>
    </w:p>
    <w:p w14:paraId="7F98CB5B" w14:textId="4AB27E3D" w:rsidR="009E5AB1" w:rsidRPr="00860E17" w:rsidRDefault="009E5AB1" w:rsidP="009E5AB1">
      <w:pPr>
        <w:rPr>
          <w:rFonts w:eastAsia="Times New Roman" w:cs="Arial"/>
          <w:color w:val="000000"/>
          <w:lang w:eastAsia="bg-BG"/>
        </w:rPr>
      </w:pPr>
      <w:r w:rsidRPr="00860E17">
        <w:rPr>
          <w:rFonts w:eastAsia="Times New Roman" w:cs="Arial"/>
          <w:color w:val="000000"/>
          <w:lang w:eastAsia="bg-BG"/>
        </w:rPr>
        <w:t xml:space="preserve">с повишено вътреочно налягане или такива с повишен риск от остра </w:t>
      </w:r>
      <w:proofErr w:type="spellStart"/>
      <w:r w:rsidRPr="00860E17">
        <w:rPr>
          <w:rFonts w:eastAsia="Times New Roman" w:cs="Arial"/>
          <w:color w:val="000000"/>
          <w:lang w:eastAsia="bg-BG"/>
        </w:rPr>
        <w:t>тясноъгълна</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глуакома</w:t>
      </w:r>
      <w:proofErr w:type="spellEnd"/>
      <w:r w:rsidRPr="00860E17">
        <w:rPr>
          <w:rFonts w:eastAsia="Times New Roman" w:cs="Arial"/>
          <w:i/>
          <w:iCs/>
          <w:color w:val="000000"/>
          <w:lang w:eastAsia="bg-BG"/>
        </w:rPr>
        <w:t xml:space="preserve"> </w:t>
      </w:r>
      <w:r w:rsidRPr="00860E17">
        <w:rPr>
          <w:rFonts w:eastAsia="Times New Roman" w:cs="Arial"/>
          <w:color w:val="000000"/>
          <w:lang w:eastAsia="bg-BG"/>
        </w:rPr>
        <w:t>трябва да става с внимание.</w:t>
      </w:r>
    </w:p>
    <w:p w14:paraId="3CA1D456" w14:textId="275BA97B" w:rsidR="009E5AB1" w:rsidRPr="00860E17" w:rsidRDefault="009E5AB1" w:rsidP="009E5AB1">
      <w:pPr>
        <w:rPr>
          <w:rFonts w:eastAsia="Times New Roman" w:cs="Arial"/>
          <w:color w:val="000000"/>
          <w:lang w:eastAsia="bg-BG"/>
        </w:rPr>
      </w:pPr>
    </w:p>
    <w:p w14:paraId="64054836" w14:textId="77777777" w:rsidR="009E5AB1" w:rsidRPr="00860E17" w:rsidRDefault="009E5AB1" w:rsidP="009E5AB1">
      <w:pPr>
        <w:spacing w:line="240" w:lineRule="auto"/>
        <w:rPr>
          <w:rFonts w:eastAsia="Times New Roman" w:cs="Arial"/>
        </w:rPr>
      </w:pPr>
      <w:r w:rsidRPr="00860E17">
        <w:rPr>
          <w:rFonts w:eastAsia="Times New Roman" w:cs="Arial"/>
          <w:i/>
          <w:iCs/>
          <w:color w:val="000000"/>
          <w:lang w:eastAsia="bg-BG"/>
        </w:rPr>
        <w:t>Кръвно налягане и сърдечна честота</w:t>
      </w:r>
    </w:p>
    <w:p w14:paraId="39B020A6" w14:textId="77777777" w:rsidR="009E5AB1" w:rsidRPr="00860E17" w:rsidRDefault="009E5AB1" w:rsidP="009E5AB1">
      <w:pPr>
        <w:spacing w:line="240" w:lineRule="auto"/>
        <w:rPr>
          <w:rFonts w:eastAsia="Times New Roman" w:cs="Arial"/>
        </w:rPr>
      </w:pPr>
      <w:r w:rsidRPr="00860E17">
        <w:rPr>
          <w:rFonts w:eastAsia="Times New Roman" w:cs="Arial"/>
          <w:color w:val="000000"/>
          <w:lang w:eastAsia="bg-BG"/>
        </w:rPr>
        <w:t xml:space="preserve">При някои пациенти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се свързва с повишаване на артериалното налягане и клинично значима хипертония. Това може да се дължи на </w:t>
      </w:r>
      <w:proofErr w:type="spellStart"/>
      <w:r w:rsidRPr="00860E17">
        <w:rPr>
          <w:rFonts w:eastAsia="Times New Roman" w:cs="Arial"/>
          <w:color w:val="000000"/>
          <w:lang w:eastAsia="bg-BG"/>
        </w:rPr>
        <w:t>норадренергичния</w:t>
      </w:r>
      <w:proofErr w:type="spellEnd"/>
      <w:r w:rsidRPr="00860E17">
        <w:rPr>
          <w:rFonts w:eastAsia="Times New Roman" w:cs="Arial"/>
          <w:color w:val="000000"/>
          <w:lang w:eastAsia="bg-BG"/>
        </w:rPr>
        <w:t xml:space="preserve"> ефект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Докладвани са случаи на хипертонични кризи, особено при пациенти със съществуваща вече хипертония. Затова при пациенти с установена хипертония и/или друго сърдечно заболяване се препоръчва проследяване на артериалното налягане, особено по време на първия месец на лечение.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трябва да се използва с внимание при пациенти, чието състояние може да се влоши от повишаване на сърдечната честота или от повишаване на артериалното налягане.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трябва да се прилага внимателно и с лекарствени продукти, които могат да нарушат неговия метаболизъм, (вж. точка 4.5). При пациенти с персистиращо повишаване на артериалното налягане по време на прием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трябва да се обсъди понижаване на дозата или </w:t>
      </w:r>
      <w:proofErr w:type="spellStart"/>
      <w:r w:rsidRPr="00860E17">
        <w:rPr>
          <w:rFonts w:eastAsia="Times New Roman" w:cs="Arial"/>
          <w:color w:val="000000"/>
          <w:lang w:eastAsia="bg-BG"/>
        </w:rPr>
        <w:t>постепено</w:t>
      </w:r>
      <w:proofErr w:type="spellEnd"/>
      <w:r w:rsidRPr="00860E17">
        <w:rPr>
          <w:rFonts w:eastAsia="Times New Roman" w:cs="Arial"/>
          <w:color w:val="000000"/>
          <w:lang w:eastAsia="bg-BG"/>
        </w:rPr>
        <w:t xml:space="preserve"> прекратяване на лечението (вж. точка 4.8). При пациенти с неконтролирана хипертония не трябва да се започва лечение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(вж. точка 4.3).</w:t>
      </w:r>
    </w:p>
    <w:p w14:paraId="2E9F5276" w14:textId="77777777" w:rsidR="009E5AB1" w:rsidRPr="00860E17" w:rsidRDefault="009E5AB1" w:rsidP="009E5AB1">
      <w:pPr>
        <w:spacing w:line="240" w:lineRule="auto"/>
        <w:rPr>
          <w:rFonts w:eastAsia="Times New Roman" w:cs="Arial"/>
          <w:i/>
          <w:iCs/>
          <w:color w:val="000000"/>
          <w:lang w:eastAsia="bg-BG"/>
        </w:rPr>
      </w:pPr>
    </w:p>
    <w:p w14:paraId="34E162C3" w14:textId="278B85F8" w:rsidR="009E5AB1" w:rsidRPr="00860E17" w:rsidRDefault="009E5AB1" w:rsidP="009E5AB1">
      <w:pPr>
        <w:spacing w:line="240" w:lineRule="auto"/>
        <w:rPr>
          <w:rFonts w:eastAsia="Times New Roman" w:cs="Arial"/>
        </w:rPr>
      </w:pPr>
      <w:r w:rsidRPr="00860E17">
        <w:rPr>
          <w:rFonts w:eastAsia="Times New Roman" w:cs="Arial"/>
          <w:i/>
          <w:iCs/>
          <w:color w:val="000000"/>
          <w:lang w:eastAsia="bg-BG"/>
        </w:rPr>
        <w:t>Бъбречно увреждане</w:t>
      </w:r>
    </w:p>
    <w:p w14:paraId="4596A03E" w14:textId="77777777" w:rsidR="009E5AB1" w:rsidRPr="00860E17" w:rsidRDefault="009E5AB1" w:rsidP="009E5AB1">
      <w:pPr>
        <w:spacing w:line="240" w:lineRule="auto"/>
        <w:rPr>
          <w:rFonts w:eastAsia="Times New Roman" w:cs="Arial"/>
        </w:rPr>
      </w:pPr>
      <w:r w:rsidRPr="00860E17">
        <w:rPr>
          <w:rFonts w:eastAsia="Times New Roman" w:cs="Arial"/>
          <w:color w:val="000000"/>
          <w:lang w:eastAsia="bg-BG"/>
        </w:rPr>
        <w:t xml:space="preserve">Повишени плазмени концентрации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са наблюдавани при пациенти с тежко бъбречно увреждане, подложени на хемодиализа (</w:t>
      </w:r>
      <w:proofErr w:type="spellStart"/>
      <w:r w:rsidRPr="00860E17">
        <w:rPr>
          <w:rFonts w:eastAsia="Times New Roman" w:cs="Arial"/>
          <w:color w:val="000000"/>
          <w:lang w:eastAsia="bg-BG"/>
        </w:rPr>
        <w:t>креатининов</w:t>
      </w:r>
      <w:proofErr w:type="spellEnd"/>
      <w:r w:rsidRPr="00860E17">
        <w:rPr>
          <w:rFonts w:eastAsia="Times New Roman" w:cs="Arial"/>
          <w:color w:val="000000"/>
          <w:lang w:eastAsia="bg-BG"/>
        </w:rPr>
        <w:t xml:space="preserve"> клирънс &lt;30 </w:t>
      </w:r>
      <w:r w:rsidRPr="00860E17">
        <w:rPr>
          <w:rFonts w:eastAsia="Times New Roman" w:cs="Arial"/>
          <w:color w:val="000000"/>
        </w:rPr>
        <w:t>ml/</w:t>
      </w:r>
      <w:proofErr w:type="spellStart"/>
      <w:r w:rsidRPr="00860E17">
        <w:rPr>
          <w:rFonts w:eastAsia="Times New Roman" w:cs="Arial"/>
          <w:color w:val="000000"/>
        </w:rPr>
        <w:t>min</w:t>
      </w:r>
      <w:proofErr w:type="spellEnd"/>
      <w:r w:rsidRPr="00860E17">
        <w:rPr>
          <w:rFonts w:eastAsia="Times New Roman" w:cs="Arial"/>
          <w:color w:val="000000"/>
        </w:rPr>
        <w:t xml:space="preserve">). </w:t>
      </w:r>
      <w:r w:rsidRPr="00860E17">
        <w:rPr>
          <w:rFonts w:eastAsia="Times New Roman" w:cs="Arial"/>
          <w:color w:val="000000"/>
          <w:lang w:eastAsia="bg-BG"/>
        </w:rPr>
        <w:t>За пациенти с тежко бъбречно увреждане вижте точка 4.3. За информация по отношение на пациентите с лека до умерена бъбречна недостатъчност вижте точка 4.2</w:t>
      </w:r>
    </w:p>
    <w:p w14:paraId="64E00922" w14:textId="77777777" w:rsidR="009E5AB1" w:rsidRPr="00860E17" w:rsidRDefault="009E5AB1" w:rsidP="009E5AB1">
      <w:pPr>
        <w:spacing w:line="240" w:lineRule="auto"/>
        <w:rPr>
          <w:rFonts w:eastAsia="Times New Roman" w:cs="Arial"/>
          <w:i/>
          <w:iCs/>
          <w:color w:val="000000"/>
          <w:lang w:eastAsia="bg-BG"/>
        </w:rPr>
      </w:pPr>
    </w:p>
    <w:p w14:paraId="3E8E365A" w14:textId="312B4AC4" w:rsidR="009E5AB1" w:rsidRPr="00860E17" w:rsidRDefault="009E5AB1" w:rsidP="009E5AB1">
      <w:pPr>
        <w:spacing w:line="240" w:lineRule="auto"/>
        <w:rPr>
          <w:rFonts w:eastAsia="Times New Roman" w:cs="Arial"/>
        </w:rPr>
      </w:pPr>
      <w:proofErr w:type="spellStart"/>
      <w:r w:rsidRPr="00860E17">
        <w:rPr>
          <w:rFonts w:eastAsia="Times New Roman" w:cs="Arial"/>
          <w:i/>
          <w:iCs/>
          <w:color w:val="000000"/>
          <w:lang w:eastAsia="bg-BG"/>
        </w:rPr>
        <w:t>Серотонинов</w:t>
      </w:r>
      <w:proofErr w:type="spellEnd"/>
      <w:r w:rsidRPr="00860E17">
        <w:rPr>
          <w:rFonts w:eastAsia="Times New Roman" w:cs="Arial"/>
          <w:i/>
          <w:iCs/>
          <w:color w:val="000000"/>
          <w:lang w:eastAsia="bg-BG"/>
        </w:rPr>
        <w:t xml:space="preserve"> синдром</w:t>
      </w:r>
    </w:p>
    <w:p w14:paraId="70C7EDA3" w14:textId="77777777" w:rsidR="009E5AB1" w:rsidRPr="00860E17" w:rsidRDefault="009E5AB1" w:rsidP="009E5AB1">
      <w:pPr>
        <w:spacing w:line="240" w:lineRule="auto"/>
        <w:rPr>
          <w:rFonts w:eastAsia="Times New Roman" w:cs="Arial"/>
        </w:rPr>
      </w:pPr>
      <w:r w:rsidRPr="00860E17">
        <w:rPr>
          <w:rFonts w:eastAsia="Times New Roman" w:cs="Arial"/>
          <w:color w:val="000000"/>
          <w:lang w:eastAsia="bg-BG"/>
        </w:rPr>
        <w:t xml:space="preserve">Както при лечение с други </w:t>
      </w:r>
      <w:proofErr w:type="spellStart"/>
      <w:r w:rsidRPr="00860E17">
        <w:rPr>
          <w:rFonts w:eastAsia="Times New Roman" w:cs="Arial"/>
          <w:color w:val="000000"/>
          <w:lang w:eastAsia="bg-BG"/>
        </w:rPr>
        <w:t>серотонинергични</w:t>
      </w:r>
      <w:proofErr w:type="spellEnd"/>
      <w:r w:rsidRPr="00860E17">
        <w:rPr>
          <w:rFonts w:eastAsia="Times New Roman" w:cs="Arial"/>
          <w:color w:val="000000"/>
          <w:lang w:eastAsia="bg-BG"/>
        </w:rPr>
        <w:t xml:space="preserve"> лекарствени средства, така и при лечение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може да настъпи </w:t>
      </w:r>
      <w:proofErr w:type="spellStart"/>
      <w:r w:rsidRPr="00860E17">
        <w:rPr>
          <w:rFonts w:eastAsia="Times New Roman" w:cs="Arial"/>
          <w:color w:val="000000"/>
          <w:lang w:eastAsia="bg-BG"/>
        </w:rPr>
        <w:t>серотонинов</w:t>
      </w:r>
      <w:proofErr w:type="spellEnd"/>
      <w:r w:rsidRPr="00860E17">
        <w:rPr>
          <w:rFonts w:eastAsia="Times New Roman" w:cs="Arial"/>
          <w:color w:val="000000"/>
          <w:lang w:eastAsia="bg-BG"/>
        </w:rPr>
        <w:t xml:space="preserve"> синдром - </w:t>
      </w:r>
      <w:proofErr w:type="spellStart"/>
      <w:r w:rsidRPr="00860E17">
        <w:rPr>
          <w:rFonts w:eastAsia="Times New Roman" w:cs="Arial"/>
          <w:color w:val="000000"/>
          <w:lang w:eastAsia="bg-BG"/>
        </w:rPr>
        <w:t>потинциално</w:t>
      </w:r>
      <w:proofErr w:type="spellEnd"/>
      <w:r w:rsidRPr="00860E17">
        <w:rPr>
          <w:rFonts w:eastAsia="Times New Roman" w:cs="Arial"/>
          <w:color w:val="000000"/>
          <w:lang w:eastAsia="bg-BG"/>
        </w:rPr>
        <w:t xml:space="preserve"> животозастрашаващо състояние, особено при едновременна употреба на други </w:t>
      </w:r>
      <w:proofErr w:type="spellStart"/>
      <w:r w:rsidRPr="00860E17">
        <w:rPr>
          <w:rFonts w:eastAsia="Times New Roman" w:cs="Arial"/>
          <w:color w:val="000000"/>
          <w:lang w:eastAsia="bg-BG"/>
        </w:rPr>
        <w:t>серотонинергични</w:t>
      </w:r>
      <w:proofErr w:type="spellEnd"/>
      <w:r w:rsidRPr="00860E17">
        <w:rPr>
          <w:rFonts w:eastAsia="Times New Roman" w:cs="Arial"/>
          <w:color w:val="000000"/>
          <w:lang w:eastAsia="bg-BG"/>
        </w:rPr>
        <w:t xml:space="preserve"> лекарствени </w:t>
      </w:r>
      <w:r w:rsidRPr="00860E17">
        <w:rPr>
          <w:rFonts w:eastAsia="Times New Roman" w:cs="Arial"/>
          <w:color w:val="000000"/>
          <w:lang w:eastAsia="bg-BG"/>
        </w:rPr>
        <w:lastRenderedPageBreak/>
        <w:t xml:space="preserve">продукти (включително </w:t>
      </w:r>
      <w:proofErr w:type="spellStart"/>
      <w:r w:rsidRPr="00860E17">
        <w:rPr>
          <w:rFonts w:eastAsia="Times New Roman" w:cs="Arial"/>
          <w:color w:val="000000"/>
        </w:rPr>
        <w:t>SSRIs</w:t>
      </w:r>
      <w:proofErr w:type="spellEnd"/>
      <w:r w:rsidRPr="00860E17">
        <w:rPr>
          <w:rFonts w:eastAsia="Times New Roman" w:cs="Arial"/>
          <w:color w:val="000000"/>
        </w:rPr>
        <w:t xml:space="preserve">, </w:t>
      </w:r>
      <w:proofErr w:type="spellStart"/>
      <w:r w:rsidRPr="00860E17">
        <w:rPr>
          <w:rFonts w:eastAsia="Times New Roman" w:cs="Arial"/>
          <w:color w:val="000000"/>
        </w:rPr>
        <w:t>SNRIs</w:t>
      </w:r>
      <w:proofErr w:type="spellEnd"/>
      <w:r w:rsidRPr="00860E17">
        <w:rPr>
          <w:rFonts w:eastAsia="Times New Roman" w:cs="Arial"/>
          <w:color w:val="000000"/>
        </w:rPr>
        <w:t xml:space="preserve">, </w:t>
      </w:r>
      <w:r w:rsidRPr="00860E17">
        <w:rPr>
          <w:rFonts w:eastAsia="Times New Roman" w:cs="Arial"/>
          <w:color w:val="000000"/>
          <w:lang w:eastAsia="bg-BG"/>
        </w:rPr>
        <w:t xml:space="preserve">трициклични </w:t>
      </w:r>
      <w:proofErr w:type="spellStart"/>
      <w:r w:rsidRPr="00860E17">
        <w:rPr>
          <w:rFonts w:eastAsia="Times New Roman" w:cs="Arial"/>
          <w:color w:val="000000"/>
          <w:lang w:eastAsia="bg-BG"/>
        </w:rPr>
        <w:t>антидепресантиили</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триптани</w:t>
      </w:r>
      <w:proofErr w:type="spellEnd"/>
      <w:r w:rsidRPr="00860E17">
        <w:rPr>
          <w:rFonts w:eastAsia="Times New Roman" w:cs="Arial"/>
          <w:color w:val="000000"/>
          <w:lang w:eastAsia="bg-BG"/>
        </w:rPr>
        <w:t xml:space="preserve">), с лекарствени средства, които нарушават метаболизма на </w:t>
      </w:r>
      <w:proofErr w:type="spellStart"/>
      <w:r w:rsidRPr="00860E17">
        <w:rPr>
          <w:rFonts w:eastAsia="Times New Roman" w:cs="Arial"/>
          <w:color w:val="000000"/>
          <w:lang w:eastAsia="bg-BG"/>
        </w:rPr>
        <w:t>серотонина</w:t>
      </w:r>
      <w:proofErr w:type="spellEnd"/>
      <w:r w:rsidRPr="00860E17">
        <w:rPr>
          <w:rFonts w:eastAsia="Times New Roman" w:cs="Arial"/>
          <w:color w:val="000000"/>
          <w:lang w:eastAsia="bg-BG"/>
        </w:rPr>
        <w:t xml:space="preserve">, като МАО-инхибитори, </w:t>
      </w:r>
      <w:proofErr w:type="spellStart"/>
      <w:r w:rsidRPr="00860E17">
        <w:rPr>
          <w:rFonts w:eastAsia="Times New Roman" w:cs="Arial"/>
          <w:color w:val="000000"/>
          <w:lang w:eastAsia="bg-BG"/>
        </w:rPr>
        <w:t>сантипсихотични</w:t>
      </w:r>
      <w:proofErr w:type="spellEnd"/>
      <w:r w:rsidRPr="00860E17">
        <w:rPr>
          <w:rFonts w:eastAsia="Times New Roman" w:cs="Arial"/>
          <w:color w:val="000000"/>
          <w:lang w:eastAsia="bg-BG"/>
        </w:rPr>
        <w:t xml:space="preserve"> лекарствени средства, други допаминови антагонисти или </w:t>
      </w:r>
      <w:proofErr w:type="spellStart"/>
      <w:r w:rsidRPr="00860E17">
        <w:rPr>
          <w:rFonts w:eastAsia="Times New Roman" w:cs="Arial"/>
          <w:color w:val="000000"/>
          <w:lang w:eastAsia="bg-BG"/>
        </w:rPr>
        <w:t>бупренорфин</w:t>
      </w:r>
      <w:proofErr w:type="spellEnd"/>
      <w:r w:rsidRPr="00860E17">
        <w:rPr>
          <w:rFonts w:eastAsia="Times New Roman" w:cs="Arial"/>
          <w:color w:val="000000"/>
          <w:lang w:eastAsia="bg-BG"/>
        </w:rPr>
        <w:t xml:space="preserve">, което може да повлияе на </w:t>
      </w:r>
      <w:proofErr w:type="spellStart"/>
      <w:r w:rsidRPr="00860E17">
        <w:rPr>
          <w:rFonts w:eastAsia="Times New Roman" w:cs="Arial"/>
          <w:color w:val="000000"/>
          <w:lang w:eastAsia="bg-BG"/>
        </w:rPr>
        <w:t>серотонинергичните</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невротрансмитерни</w:t>
      </w:r>
      <w:proofErr w:type="spellEnd"/>
      <w:r w:rsidRPr="00860E17">
        <w:rPr>
          <w:rFonts w:eastAsia="Times New Roman" w:cs="Arial"/>
          <w:color w:val="000000"/>
          <w:lang w:eastAsia="bg-BG"/>
        </w:rPr>
        <w:t xml:space="preserve"> системи (вж. точки 4.3 и 4.5).</w:t>
      </w:r>
    </w:p>
    <w:p w14:paraId="6E390BA4" w14:textId="77777777" w:rsidR="009E5AB1" w:rsidRPr="00860E17" w:rsidRDefault="009E5AB1" w:rsidP="009E5AB1">
      <w:pPr>
        <w:spacing w:line="240" w:lineRule="auto"/>
        <w:rPr>
          <w:rFonts w:eastAsia="Times New Roman" w:cs="Arial"/>
          <w:color w:val="000000"/>
          <w:lang w:eastAsia="bg-BG"/>
        </w:rPr>
      </w:pPr>
    </w:p>
    <w:p w14:paraId="40F48957" w14:textId="01CB4595" w:rsidR="009E5AB1" w:rsidRPr="00860E17" w:rsidRDefault="009E5AB1" w:rsidP="009E5AB1">
      <w:pPr>
        <w:spacing w:line="240" w:lineRule="auto"/>
        <w:rPr>
          <w:rFonts w:eastAsia="Times New Roman" w:cs="Arial"/>
        </w:rPr>
      </w:pPr>
      <w:r w:rsidRPr="00860E17">
        <w:rPr>
          <w:rFonts w:eastAsia="Times New Roman" w:cs="Arial"/>
          <w:color w:val="000000"/>
          <w:lang w:eastAsia="bg-BG"/>
        </w:rPr>
        <w:t xml:space="preserve">Ако едновременно лечение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и други </w:t>
      </w:r>
      <w:proofErr w:type="spellStart"/>
      <w:r w:rsidRPr="00860E17">
        <w:rPr>
          <w:rFonts w:eastAsia="Times New Roman" w:cs="Arial"/>
          <w:color w:val="000000"/>
          <w:lang w:eastAsia="bg-BG"/>
        </w:rPr>
        <w:t>серотонинергични</w:t>
      </w:r>
      <w:proofErr w:type="spellEnd"/>
      <w:r w:rsidRPr="00860E17">
        <w:rPr>
          <w:rFonts w:eastAsia="Times New Roman" w:cs="Arial"/>
          <w:color w:val="000000"/>
          <w:lang w:eastAsia="bg-BG"/>
        </w:rPr>
        <w:t xml:space="preserve"> лекарствени средства, които могат да повлияят на </w:t>
      </w:r>
      <w:proofErr w:type="spellStart"/>
      <w:r w:rsidRPr="00860E17">
        <w:rPr>
          <w:rFonts w:eastAsia="Times New Roman" w:cs="Arial"/>
          <w:color w:val="000000"/>
          <w:lang w:eastAsia="bg-BG"/>
        </w:rPr>
        <w:t>серотонинергичните</w:t>
      </w:r>
      <w:proofErr w:type="spellEnd"/>
      <w:r w:rsidRPr="00860E17">
        <w:rPr>
          <w:rFonts w:eastAsia="Times New Roman" w:cs="Arial"/>
          <w:color w:val="000000"/>
          <w:lang w:eastAsia="bg-BG"/>
        </w:rPr>
        <w:t xml:space="preserve"> и/или </w:t>
      </w:r>
      <w:proofErr w:type="spellStart"/>
      <w:r w:rsidRPr="00860E17">
        <w:rPr>
          <w:rFonts w:eastAsia="Times New Roman" w:cs="Arial"/>
          <w:color w:val="000000"/>
          <w:lang w:eastAsia="bg-BG"/>
        </w:rPr>
        <w:t>допаминергичните</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невротрансмитерни</w:t>
      </w:r>
      <w:proofErr w:type="spellEnd"/>
      <w:r w:rsidRPr="00860E17">
        <w:rPr>
          <w:rFonts w:eastAsia="Times New Roman" w:cs="Arial"/>
          <w:color w:val="000000"/>
          <w:lang w:eastAsia="bg-BG"/>
        </w:rPr>
        <w:t xml:space="preserve"> системи, е клинично оправдано, се препоръчва внимателно наблюдение на пациентите, особено при започване на лечението и повишаване на дозата.</w:t>
      </w:r>
    </w:p>
    <w:p w14:paraId="64E2D57D" w14:textId="77777777" w:rsidR="009E5AB1" w:rsidRPr="00860E17" w:rsidRDefault="009E5AB1" w:rsidP="009E5AB1">
      <w:pPr>
        <w:spacing w:line="240" w:lineRule="auto"/>
        <w:rPr>
          <w:rFonts w:eastAsia="Times New Roman" w:cs="Arial"/>
          <w:color w:val="000000"/>
          <w:lang w:eastAsia="bg-BG"/>
        </w:rPr>
      </w:pPr>
    </w:p>
    <w:p w14:paraId="0045A3A7" w14:textId="1D807A5C" w:rsidR="009E5AB1" w:rsidRPr="00860E17" w:rsidRDefault="009E5AB1" w:rsidP="009E5AB1">
      <w:pPr>
        <w:spacing w:line="240" w:lineRule="auto"/>
        <w:rPr>
          <w:rFonts w:eastAsia="Times New Roman" w:cs="Arial"/>
        </w:rPr>
      </w:pPr>
      <w:r w:rsidRPr="00860E17">
        <w:rPr>
          <w:rFonts w:eastAsia="Times New Roman" w:cs="Arial"/>
          <w:color w:val="000000"/>
          <w:lang w:eastAsia="bg-BG"/>
        </w:rPr>
        <w:t xml:space="preserve">Симптоми на </w:t>
      </w:r>
      <w:proofErr w:type="spellStart"/>
      <w:r w:rsidRPr="00860E17">
        <w:rPr>
          <w:rFonts w:eastAsia="Times New Roman" w:cs="Arial"/>
          <w:color w:val="000000"/>
          <w:lang w:eastAsia="bg-BG"/>
        </w:rPr>
        <w:t>серотонинов</w:t>
      </w:r>
      <w:proofErr w:type="spellEnd"/>
      <w:r w:rsidRPr="00860E17">
        <w:rPr>
          <w:rFonts w:eastAsia="Times New Roman" w:cs="Arial"/>
          <w:color w:val="000000"/>
          <w:lang w:eastAsia="bg-BG"/>
        </w:rPr>
        <w:t xml:space="preserve"> синдром може да включват промени в психичния статус (напр., възбуда, халюцинации, кома), вегетативна нестабилност (напр. тахикардия, колебания на кръвното налягане, </w:t>
      </w:r>
      <w:proofErr w:type="spellStart"/>
      <w:r w:rsidRPr="00860E17">
        <w:rPr>
          <w:rFonts w:eastAsia="Times New Roman" w:cs="Arial"/>
          <w:color w:val="000000"/>
          <w:lang w:eastAsia="bg-BG"/>
        </w:rPr>
        <w:t>хипертермия</w:t>
      </w:r>
      <w:proofErr w:type="spellEnd"/>
      <w:r w:rsidRPr="00860E17">
        <w:rPr>
          <w:rFonts w:eastAsia="Times New Roman" w:cs="Arial"/>
          <w:color w:val="000000"/>
          <w:lang w:eastAsia="bg-BG"/>
        </w:rPr>
        <w:t>), нервно-мускулни нарушения (напр. хиперрефлексия, липса на координация) и/или стомашно-чревни симптоми (напр. гадене, повръщане, диария).</w:t>
      </w:r>
    </w:p>
    <w:p w14:paraId="427733D7" w14:textId="77777777" w:rsidR="009E5AB1" w:rsidRPr="00860E17" w:rsidRDefault="009E5AB1" w:rsidP="009E5AB1">
      <w:pPr>
        <w:spacing w:line="240" w:lineRule="auto"/>
        <w:rPr>
          <w:rFonts w:eastAsia="Times New Roman" w:cs="Arial"/>
          <w:i/>
          <w:iCs/>
          <w:color w:val="000000"/>
          <w:lang w:eastAsia="bg-BG"/>
        </w:rPr>
      </w:pPr>
    </w:p>
    <w:p w14:paraId="0AA3F75E" w14:textId="6D2513D8" w:rsidR="009E5AB1" w:rsidRPr="00860E17" w:rsidRDefault="009E5AB1" w:rsidP="009E5AB1">
      <w:pPr>
        <w:spacing w:line="240" w:lineRule="auto"/>
        <w:rPr>
          <w:rFonts w:eastAsia="Times New Roman" w:cs="Arial"/>
        </w:rPr>
      </w:pPr>
      <w:r w:rsidRPr="00860E17">
        <w:rPr>
          <w:rFonts w:eastAsia="Times New Roman" w:cs="Arial"/>
          <w:i/>
          <w:iCs/>
          <w:color w:val="000000"/>
          <w:lang w:eastAsia="bg-BG"/>
        </w:rPr>
        <w:t>Жълт кантарион</w:t>
      </w:r>
    </w:p>
    <w:p w14:paraId="4F557F61" w14:textId="77777777" w:rsidR="009E5AB1" w:rsidRPr="00860E17" w:rsidRDefault="009E5AB1" w:rsidP="009E5AB1">
      <w:pPr>
        <w:spacing w:line="240" w:lineRule="auto"/>
        <w:rPr>
          <w:rFonts w:eastAsia="Times New Roman" w:cs="Arial"/>
        </w:rPr>
      </w:pPr>
      <w:r w:rsidRPr="00860E17">
        <w:rPr>
          <w:rFonts w:eastAsia="Times New Roman" w:cs="Arial"/>
          <w:color w:val="000000"/>
          <w:lang w:eastAsia="bg-BG"/>
        </w:rPr>
        <w:t xml:space="preserve">По време на едновременното приложение на </w:t>
      </w:r>
      <w:proofErr w:type="spellStart"/>
      <w:r w:rsidRPr="00860E17">
        <w:rPr>
          <w:rFonts w:eastAsia="Times New Roman" w:cs="Arial"/>
          <w:color w:val="000000"/>
          <w:lang w:eastAsia="bg-BG"/>
        </w:rPr>
        <w:t>Дулсевиа</w:t>
      </w:r>
      <w:proofErr w:type="spellEnd"/>
      <w:r w:rsidRPr="00860E17">
        <w:rPr>
          <w:rFonts w:eastAsia="Times New Roman" w:cs="Arial"/>
          <w:color w:val="000000"/>
          <w:lang w:eastAsia="bg-BG"/>
        </w:rPr>
        <w:t xml:space="preserve"> и растителни лекарствени продукти, съдържащи жълт кантарион (</w:t>
      </w:r>
      <w:proofErr w:type="spellStart"/>
      <w:r w:rsidRPr="00860E17">
        <w:rPr>
          <w:rFonts w:eastAsia="Times New Roman" w:cs="Arial"/>
          <w:i/>
          <w:iCs/>
          <w:color w:val="000000"/>
        </w:rPr>
        <w:t>Hypericum</w:t>
      </w:r>
      <w:proofErr w:type="spellEnd"/>
      <w:r w:rsidRPr="00860E17">
        <w:rPr>
          <w:rFonts w:eastAsia="Times New Roman" w:cs="Arial"/>
          <w:i/>
          <w:iCs/>
          <w:color w:val="000000"/>
          <w:lang w:eastAsia="bg-BG"/>
        </w:rPr>
        <w:t xml:space="preserve"> </w:t>
      </w:r>
      <w:proofErr w:type="spellStart"/>
      <w:r w:rsidRPr="00860E17">
        <w:rPr>
          <w:rFonts w:eastAsia="Times New Roman" w:cs="Arial"/>
          <w:i/>
          <w:iCs/>
          <w:color w:val="000000"/>
        </w:rPr>
        <w:t>perforatum</w:t>
      </w:r>
      <w:proofErr w:type="spellEnd"/>
      <w:r w:rsidRPr="00860E17">
        <w:rPr>
          <w:rFonts w:eastAsia="Times New Roman" w:cs="Arial"/>
          <w:i/>
          <w:iCs/>
          <w:color w:val="000000"/>
        </w:rPr>
        <w:t>)</w:t>
      </w:r>
      <w:r w:rsidRPr="00860E17">
        <w:rPr>
          <w:rFonts w:eastAsia="Times New Roman" w:cs="Arial"/>
          <w:color w:val="000000"/>
        </w:rPr>
        <w:t xml:space="preserve"> </w:t>
      </w:r>
      <w:r w:rsidRPr="00860E17">
        <w:rPr>
          <w:rFonts w:eastAsia="Times New Roman" w:cs="Arial"/>
          <w:color w:val="000000"/>
          <w:lang w:eastAsia="bg-BG"/>
        </w:rPr>
        <w:t>може да са по-чести нежеланите реакции.</w:t>
      </w:r>
    </w:p>
    <w:p w14:paraId="65CAAAD0" w14:textId="77777777" w:rsidR="009E5AB1" w:rsidRPr="00860E17" w:rsidRDefault="009E5AB1" w:rsidP="009E5AB1">
      <w:pPr>
        <w:spacing w:line="240" w:lineRule="auto"/>
        <w:rPr>
          <w:rFonts w:eastAsia="Times New Roman" w:cs="Arial"/>
          <w:i/>
          <w:iCs/>
          <w:color w:val="000000"/>
          <w:lang w:eastAsia="bg-BG"/>
        </w:rPr>
      </w:pPr>
    </w:p>
    <w:p w14:paraId="1E04973B" w14:textId="720C8802" w:rsidR="009E5AB1" w:rsidRPr="00860E17" w:rsidRDefault="009E5AB1" w:rsidP="009E5AB1">
      <w:pPr>
        <w:spacing w:line="240" w:lineRule="auto"/>
        <w:rPr>
          <w:rFonts w:eastAsia="Times New Roman" w:cs="Arial"/>
        </w:rPr>
      </w:pPr>
      <w:r w:rsidRPr="00860E17">
        <w:rPr>
          <w:rFonts w:eastAsia="Times New Roman" w:cs="Arial"/>
          <w:i/>
          <w:iCs/>
          <w:color w:val="000000"/>
          <w:lang w:eastAsia="bg-BG"/>
        </w:rPr>
        <w:t>Самоубийство</w:t>
      </w:r>
    </w:p>
    <w:p w14:paraId="312A6550" w14:textId="77777777" w:rsidR="009E5AB1" w:rsidRPr="00860E17" w:rsidRDefault="009E5AB1" w:rsidP="009E5AB1">
      <w:pPr>
        <w:spacing w:line="240" w:lineRule="auto"/>
        <w:rPr>
          <w:rFonts w:eastAsia="Times New Roman" w:cs="Arial"/>
        </w:rPr>
      </w:pPr>
      <w:r w:rsidRPr="00860E17">
        <w:rPr>
          <w:rFonts w:eastAsia="Times New Roman" w:cs="Arial"/>
          <w:color w:val="000000"/>
          <w:lang w:eastAsia="bg-BG"/>
        </w:rPr>
        <w:t>Голямо депресивно разстройство и генерализирано тревожно разстройство: Депресията се свързва с повишен риск от мисли за самоубийство, самонараняване и самоубийс</w:t>
      </w:r>
      <w:r w:rsidRPr="00860E17">
        <w:rPr>
          <w:rFonts w:eastAsia="Times New Roman" w:cs="Arial"/>
          <w:color w:val="000000"/>
          <w:u w:val="single"/>
          <w:lang w:eastAsia="bg-BG"/>
        </w:rPr>
        <w:t>тво (</w:t>
      </w:r>
      <w:proofErr w:type="spellStart"/>
      <w:r w:rsidRPr="00860E17">
        <w:rPr>
          <w:rFonts w:eastAsia="Times New Roman" w:cs="Arial"/>
          <w:color w:val="000000"/>
          <w:u w:val="single"/>
          <w:lang w:eastAsia="bg-BG"/>
        </w:rPr>
        <w:t>су</w:t>
      </w:r>
      <w:r w:rsidRPr="00860E17">
        <w:rPr>
          <w:rFonts w:eastAsia="Times New Roman" w:cs="Arial"/>
          <w:color w:val="000000"/>
          <w:lang w:eastAsia="bg-BG"/>
        </w:rPr>
        <w:t>ицид</w:t>
      </w:r>
      <w:proofErr w:type="spellEnd"/>
      <w:r w:rsidRPr="00860E17">
        <w:rPr>
          <w:rFonts w:eastAsia="Times New Roman" w:cs="Arial"/>
          <w:color w:val="000000"/>
          <w:lang w:eastAsia="bg-BG"/>
        </w:rPr>
        <w:t>- свързани събития). Този риск се запазва до настъпване на значима ремисия. Тъй като подобрение може да не настъпи по време на първите няколко седмици от лечението или за по- дълъг период, пациентите трябва да бъдат проследявани внимателно до настъпването на</w:t>
      </w:r>
    </w:p>
    <w:p w14:paraId="427D6E5A" w14:textId="77777777" w:rsidR="009E5AB1" w:rsidRPr="00860E17" w:rsidRDefault="009E5AB1" w:rsidP="009E5AB1">
      <w:pPr>
        <w:spacing w:line="240" w:lineRule="auto"/>
        <w:rPr>
          <w:rFonts w:eastAsia="Times New Roman" w:cs="Arial"/>
        </w:rPr>
      </w:pPr>
      <w:r w:rsidRPr="00860E17">
        <w:rPr>
          <w:rFonts w:eastAsia="Times New Roman" w:cs="Arial"/>
          <w:color w:val="000000"/>
          <w:lang w:eastAsia="bg-BG"/>
        </w:rPr>
        <w:t>подобно подобрение. Общият клиничен опит показва, че рискът от самоубийство може да</w:t>
      </w:r>
    </w:p>
    <w:p w14:paraId="60FF46B0" w14:textId="77777777" w:rsidR="009E5AB1" w:rsidRPr="00860E17" w:rsidRDefault="009E5AB1" w:rsidP="009E5AB1">
      <w:pPr>
        <w:spacing w:line="240" w:lineRule="auto"/>
        <w:rPr>
          <w:rFonts w:eastAsia="Times New Roman" w:cs="Arial"/>
        </w:rPr>
      </w:pPr>
      <w:r w:rsidRPr="00860E17">
        <w:rPr>
          <w:rFonts w:eastAsia="Times New Roman" w:cs="Arial"/>
          <w:color w:val="000000"/>
          <w:lang w:eastAsia="bg-BG"/>
        </w:rPr>
        <w:t>повиши през ранните етапи на възстановяване.</w:t>
      </w:r>
    </w:p>
    <w:p w14:paraId="66007A80" w14:textId="77777777" w:rsidR="009E5AB1" w:rsidRPr="00860E17" w:rsidRDefault="009E5AB1" w:rsidP="009E5AB1">
      <w:pPr>
        <w:spacing w:line="240" w:lineRule="auto"/>
        <w:rPr>
          <w:rFonts w:eastAsia="Times New Roman" w:cs="Arial"/>
          <w:color w:val="000000"/>
          <w:lang w:eastAsia="bg-BG"/>
        </w:rPr>
      </w:pPr>
    </w:p>
    <w:p w14:paraId="2FCA72C1" w14:textId="77777777" w:rsidR="009E5AB1" w:rsidRPr="00860E17" w:rsidRDefault="009E5AB1" w:rsidP="009E5AB1">
      <w:pPr>
        <w:rPr>
          <w:rFonts w:eastAsia="Times New Roman" w:cs="Arial"/>
        </w:rPr>
      </w:pPr>
      <w:r w:rsidRPr="00860E17">
        <w:rPr>
          <w:rFonts w:eastAsia="Times New Roman" w:cs="Arial"/>
          <w:color w:val="000000"/>
          <w:lang w:eastAsia="bg-BG"/>
        </w:rPr>
        <w:t xml:space="preserve">Други психични състояния, за които се предписва </w:t>
      </w:r>
      <w:proofErr w:type="spellStart"/>
      <w:r w:rsidRPr="00860E17">
        <w:rPr>
          <w:rFonts w:eastAsia="Times New Roman" w:cs="Arial"/>
          <w:color w:val="000000"/>
          <w:lang w:eastAsia="bg-BG"/>
        </w:rPr>
        <w:t>Дулсевиа</w:t>
      </w:r>
      <w:proofErr w:type="spellEnd"/>
      <w:r w:rsidRPr="00860E17">
        <w:rPr>
          <w:rFonts w:eastAsia="Times New Roman" w:cs="Arial"/>
          <w:color w:val="000000"/>
          <w:lang w:eastAsia="bg-BG"/>
        </w:rPr>
        <w:t>, може също да се свързани с</w:t>
      </w:r>
      <w:r w:rsidRPr="00860E17">
        <w:rPr>
          <w:rFonts w:eastAsia="Times New Roman" w:cs="Arial"/>
          <w:i/>
          <w:iCs/>
          <w:color w:val="000000"/>
          <w:lang w:eastAsia="bg-BG"/>
        </w:rPr>
        <w:t xml:space="preserve"> </w:t>
      </w:r>
      <w:r w:rsidRPr="00860E17">
        <w:rPr>
          <w:rFonts w:eastAsia="Times New Roman" w:cs="Arial"/>
          <w:color w:val="000000"/>
          <w:lang w:eastAsia="bg-BG"/>
        </w:rPr>
        <w:t xml:space="preserve">повишен риск от събития, свързани със самоубийство. В допълнение, тези състояния може да са </w:t>
      </w:r>
      <w:proofErr w:type="spellStart"/>
      <w:r w:rsidRPr="00860E17">
        <w:rPr>
          <w:rFonts w:eastAsia="Times New Roman" w:cs="Arial"/>
          <w:color w:val="000000"/>
          <w:lang w:eastAsia="bg-BG"/>
        </w:rPr>
        <w:t>коморбидни</w:t>
      </w:r>
      <w:proofErr w:type="spellEnd"/>
      <w:r w:rsidRPr="00860E17">
        <w:rPr>
          <w:rFonts w:eastAsia="Times New Roman" w:cs="Arial"/>
          <w:color w:val="000000"/>
          <w:lang w:eastAsia="bg-BG"/>
        </w:rPr>
        <w:t xml:space="preserve"> с голямо депресивно разстройство. Следователно същите предпазни мерки, спазвани при лечение на пациенти с голямо депресивно разстройство, трябва да се спазват и при лечение на пациенти с други психични разстройства.</w:t>
      </w:r>
    </w:p>
    <w:p w14:paraId="075CD57E" w14:textId="77777777" w:rsidR="009E5AB1" w:rsidRPr="00860E17" w:rsidRDefault="009E5AB1" w:rsidP="009E5AB1">
      <w:pPr>
        <w:spacing w:line="240" w:lineRule="auto"/>
        <w:rPr>
          <w:rFonts w:eastAsia="Times New Roman" w:cs="Arial"/>
          <w:color w:val="000000"/>
          <w:lang w:eastAsia="bg-BG"/>
        </w:rPr>
      </w:pPr>
    </w:p>
    <w:p w14:paraId="04A12A69" w14:textId="45F29C23" w:rsidR="009E5AB1" w:rsidRPr="00860E17" w:rsidRDefault="009E5AB1" w:rsidP="009E5AB1">
      <w:pPr>
        <w:spacing w:line="240" w:lineRule="auto"/>
        <w:rPr>
          <w:rFonts w:eastAsia="Times New Roman" w:cs="Arial"/>
        </w:rPr>
      </w:pPr>
      <w:r w:rsidRPr="00860E17">
        <w:rPr>
          <w:rFonts w:eastAsia="Times New Roman" w:cs="Arial"/>
          <w:color w:val="000000"/>
          <w:lang w:eastAsia="bg-BG"/>
        </w:rPr>
        <w:t xml:space="preserve">Известно е, че пациенти с анамнеза за </w:t>
      </w:r>
      <w:proofErr w:type="spellStart"/>
      <w:r w:rsidRPr="00860E17">
        <w:rPr>
          <w:rFonts w:eastAsia="Times New Roman" w:cs="Arial"/>
          <w:color w:val="000000"/>
          <w:lang w:eastAsia="bg-BG"/>
        </w:rPr>
        <w:t>суицид</w:t>
      </w:r>
      <w:proofErr w:type="spellEnd"/>
      <w:r w:rsidRPr="00860E17">
        <w:rPr>
          <w:rFonts w:eastAsia="Times New Roman" w:cs="Arial"/>
          <w:color w:val="000000"/>
          <w:lang w:eastAsia="bg-BG"/>
        </w:rPr>
        <w:t xml:space="preserve">-свързани събития или такива, проявяващи значителна степен на суицидни мисли преди началото на лечението, имат по-висок риск от суицидни мисли или суицидно поведение и трябва да получат внимателно наблюдение по време на лечението. Мега-анализ от плацебо контролирани клинични изпитвания с лекарствени продукти - </w:t>
      </w:r>
      <w:proofErr w:type="spellStart"/>
      <w:r w:rsidRPr="00860E17">
        <w:rPr>
          <w:rFonts w:eastAsia="Times New Roman" w:cs="Arial"/>
          <w:color w:val="000000"/>
          <w:lang w:eastAsia="bg-BG"/>
        </w:rPr>
        <w:t>антцдепресанти</w:t>
      </w:r>
      <w:proofErr w:type="spellEnd"/>
      <w:r w:rsidRPr="00860E17">
        <w:rPr>
          <w:rFonts w:eastAsia="Times New Roman" w:cs="Arial"/>
          <w:color w:val="000000"/>
          <w:lang w:eastAsia="bg-BG"/>
        </w:rPr>
        <w:t xml:space="preserve"> при психични нарушения показва повишен риск от суицидно поведение при антидепресантите в сравнение с плацебо при пациенти под 25 годишна възраст.</w:t>
      </w:r>
    </w:p>
    <w:p w14:paraId="60E331A7" w14:textId="77777777" w:rsidR="009E5AB1" w:rsidRPr="00860E17" w:rsidRDefault="009E5AB1" w:rsidP="009E5AB1">
      <w:pPr>
        <w:spacing w:line="240" w:lineRule="auto"/>
        <w:rPr>
          <w:rFonts w:eastAsia="Times New Roman" w:cs="Arial"/>
          <w:color w:val="000000"/>
          <w:lang w:eastAsia="bg-BG"/>
        </w:rPr>
      </w:pPr>
    </w:p>
    <w:p w14:paraId="35E4BEE2" w14:textId="0F76F009" w:rsidR="009E5AB1" w:rsidRPr="00860E17" w:rsidRDefault="009E5AB1" w:rsidP="009E5AB1">
      <w:pPr>
        <w:spacing w:line="240" w:lineRule="auto"/>
        <w:rPr>
          <w:rFonts w:eastAsia="Times New Roman" w:cs="Arial"/>
        </w:rPr>
      </w:pPr>
      <w:r w:rsidRPr="00860E17">
        <w:rPr>
          <w:rFonts w:eastAsia="Times New Roman" w:cs="Arial"/>
          <w:color w:val="000000"/>
          <w:lang w:eastAsia="bg-BG"/>
        </w:rPr>
        <w:t xml:space="preserve">Съобщавани са случаи на суицидни мисли и суицидно поведение по време на лечение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или веднага след прекратяване на лечението (вж. точка 4.8).</w:t>
      </w:r>
    </w:p>
    <w:p w14:paraId="78E40A04" w14:textId="77777777" w:rsidR="009E5AB1" w:rsidRPr="00860E17" w:rsidRDefault="009E5AB1" w:rsidP="009E5AB1">
      <w:pPr>
        <w:spacing w:line="240" w:lineRule="auto"/>
        <w:rPr>
          <w:rFonts w:eastAsia="Times New Roman" w:cs="Arial"/>
          <w:color w:val="000000"/>
          <w:lang w:eastAsia="bg-BG"/>
        </w:rPr>
      </w:pPr>
    </w:p>
    <w:p w14:paraId="237BBB8C" w14:textId="06F4D034" w:rsidR="009E5AB1" w:rsidRPr="00860E17" w:rsidRDefault="009E5AB1" w:rsidP="009E5AB1">
      <w:pPr>
        <w:spacing w:line="240" w:lineRule="auto"/>
        <w:rPr>
          <w:rFonts w:eastAsia="Times New Roman" w:cs="Arial"/>
        </w:rPr>
      </w:pPr>
      <w:r w:rsidRPr="00860E17">
        <w:rPr>
          <w:rFonts w:eastAsia="Times New Roman" w:cs="Arial"/>
          <w:color w:val="000000"/>
          <w:lang w:eastAsia="bg-BG"/>
        </w:rPr>
        <w:lastRenderedPageBreak/>
        <w:t>Медикаментозното лечение трябва да се съпътства от внимателно проследяване на пациентите и най- вече тези с висок риск, особено в началото на лечението и при промяна на дозата. Пациентите (и тези, които се грижат за пациенти) трябва да бъдат подготвени за нуждата от проследяване за поява на всяко клинично влошаване, суицидно поведение или мисли и за необичайни промени в поведението и, ако има такива симптоми, незабавно да бъде потърсен лекарски съвет.</w:t>
      </w:r>
    </w:p>
    <w:p w14:paraId="31AD3D05" w14:textId="77777777" w:rsidR="009E5AB1" w:rsidRPr="00860E17" w:rsidRDefault="009E5AB1" w:rsidP="009E5AB1">
      <w:pPr>
        <w:spacing w:line="240" w:lineRule="auto"/>
        <w:rPr>
          <w:rFonts w:eastAsia="Times New Roman" w:cs="Arial"/>
          <w:i/>
          <w:iCs/>
          <w:color w:val="000000"/>
          <w:lang w:eastAsia="bg-BG"/>
        </w:rPr>
      </w:pPr>
    </w:p>
    <w:p w14:paraId="5CD69C5C" w14:textId="5F614552" w:rsidR="009E5AB1" w:rsidRPr="00860E17" w:rsidRDefault="009E5AB1" w:rsidP="009E5AB1">
      <w:pPr>
        <w:spacing w:line="240" w:lineRule="auto"/>
        <w:rPr>
          <w:rFonts w:eastAsia="Times New Roman" w:cs="Arial"/>
        </w:rPr>
      </w:pPr>
      <w:r w:rsidRPr="00860E17">
        <w:rPr>
          <w:rFonts w:eastAsia="Times New Roman" w:cs="Arial"/>
          <w:i/>
          <w:iCs/>
          <w:color w:val="000000"/>
          <w:lang w:eastAsia="bg-BG"/>
        </w:rPr>
        <w:t xml:space="preserve">Диабетна периферна </w:t>
      </w:r>
      <w:proofErr w:type="spellStart"/>
      <w:r w:rsidRPr="00860E17">
        <w:rPr>
          <w:rFonts w:eastAsia="Times New Roman" w:cs="Arial"/>
          <w:i/>
          <w:iCs/>
          <w:color w:val="000000"/>
          <w:lang w:eastAsia="bg-BG"/>
        </w:rPr>
        <w:t>невропатна</w:t>
      </w:r>
      <w:proofErr w:type="spellEnd"/>
      <w:r w:rsidRPr="00860E17">
        <w:rPr>
          <w:rFonts w:eastAsia="Times New Roman" w:cs="Arial"/>
          <w:i/>
          <w:iCs/>
          <w:color w:val="000000"/>
          <w:lang w:eastAsia="bg-BG"/>
        </w:rPr>
        <w:t xml:space="preserve"> болка:</w:t>
      </w:r>
      <w:r w:rsidRPr="00860E17">
        <w:rPr>
          <w:rFonts w:eastAsia="Times New Roman" w:cs="Arial"/>
          <w:color w:val="000000"/>
          <w:lang w:eastAsia="bg-BG"/>
        </w:rPr>
        <w:t xml:space="preserve"> </w:t>
      </w:r>
      <w:proofErr w:type="spellStart"/>
      <w:r w:rsidRPr="00860E17">
        <w:rPr>
          <w:rFonts w:eastAsia="Times New Roman" w:cs="Arial"/>
          <w:color w:val="000000"/>
          <w:lang w:eastAsia="bg-BG"/>
        </w:rPr>
        <w:t>Какго</w:t>
      </w:r>
      <w:proofErr w:type="spellEnd"/>
      <w:r w:rsidRPr="00860E17">
        <w:rPr>
          <w:rFonts w:eastAsia="Times New Roman" w:cs="Arial"/>
          <w:color w:val="000000"/>
          <w:lang w:eastAsia="bg-BG"/>
        </w:rPr>
        <w:t xml:space="preserve"> при други лекарствени продукти с подобно фармакологично действие (антидепресанти) са съобщавани отделни случаи на суицидни идеи и суицидно поведение по време на лечение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или веднага след прекратяване на лечението. Относно рискови фактори за </w:t>
      </w:r>
      <w:proofErr w:type="spellStart"/>
      <w:r w:rsidRPr="00860E17">
        <w:rPr>
          <w:rFonts w:eastAsia="Times New Roman" w:cs="Arial"/>
          <w:color w:val="000000"/>
          <w:lang w:eastAsia="bg-BG"/>
        </w:rPr>
        <w:t>суицидност</w:t>
      </w:r>
      <w:proofErr w:type="spellEnd"/>
      <w:r w:rsidRPr="00860E17">
        <w:rPr>
          <w:rFonts w:eastAsia="Times New Roman" w:cs="Arial"/>
          <w:color w:val="000000"/>
          <w:lang w:eastAsia="bg-BG"/>
        </w:rPr>
        <w:t xml:space="preserve"> при депресия, вижте по-горе. Лекарите трябва да насърчават пациентите по всяко време да съобщават за всякакви тъжни мисли или чувства.</w:t>
      </w:r>
    </w:p>
    <w:p w14:paraId="5E9B1009" w14:textId="77777777" w:rsidR="009E5AB1" w:rsidRPr="00860E17" w:rsidRDefault="009E5AB1" w:rsidP="009E5AB1">
      <w:pPr>
        <w:spacing w:line="240" w:lineRule="auto"/>
        <w:rPr>
          <w:rFonts w:eastAsia="Times New Roman" w:cs="Arial"/>
          <w:i/>
          <w:iCs/>
          <w:color w:val="000000"/>
          <w:lang w:eastAsia="bg-BG"/>
        </w:rPr>
      </w:pPr>
    </w:p>
    <w:p w14:paraId="30395F99" w14:textId="5E0AC7AD" w:rsidR="009E5AB1" w:rsidRPr="00860E17" w:rsidRDefault="009E5AB1" w:rsidP="009E5AB1">
      <w:pPr>
        <w:spacing w:line="240" w:lineRule="auto"/>
        <w:rPr>
          <w:rFonts w:eastAsia="Times New Roman" w:cs="Arial"/>
        </w:rPr>
      </w:pPr>
      <w:r w:rsidRPr="00860E17">
        <w:rPr>
          <w:rFonts w:eastAsia="Times New Roman" w:cs="Arial"/>
          <w:i/>
          <w:iCs/>
          <w:color w:val="000000"/>
          <w:lang w:eastAsia="bg-BG"/>
        </w:rPr>
        <w:t>Употреба при деца и юноши под 18-годишна възраст</w:t>
      </w:r>
    </w:p>
    <w:p w14:paraId="241532D2" w14:textId="77777777" w:rsidR="009E5AB1" w:rsidRPr="00860E17" w:rsidRDefault="009E5AB1" w:rsidP="009E5AB1">
      <w:pPr>
        <w:spacing w:line="240" w:lineRule="auto"/>
        <w:rPr>
          <w:rFonts w:eastAsia="Times New Roman" w:cs="Arial"/>
        </w:rPr>
      </w:pPr>
      <w:proofErr w:type="spellStart"/>
      <w:r w:rsidRPr="00860E17">
        <w:rPr>
          <w:rFonts w:eastAsia="Times New Roman" w:cs="Arial"/>
          <w:color w:val="000000"/>
          <w:lang w:eastAsia="bg-BG"/>
        </w:rPr>
        <w:t>Дулсевиа</w:t>
      </w:r>
      <w:proofErr w:type="spellEnd"/>
      <w:r w:rsidRPr="00860E17">
        <w:rPr>
          <w:rFonts w:eastAsia="Times New Roman" w:cs="Arial"/>
          <w:color w:val="000000"/>
          <w:lang w:eastAsia="bg-BG"/>
        </w:rPr>
        <w:t xml:space="preserve"> не трябва да се използва за лечение на деца и юноши под 18 годишна възраст. Суицидно поведение (суицидни опити и суицидни мисли) и враждебност (предимно агресия, опозиционно поведение и гняв) са наблюдавани при клинични проучвания по-често при деца и юноши, лекувани с антидепресанти, в сравнение с тези лекувани с плацебо. Ако, въз основа на клинична нужда, независимо от това, се вземе решение за лечение, пациентите трябва внимателно да бъдат проследявани за поява на суицидни симптоми (вж. точка 5.1). В допълнение, при деца и юноши липсват дългосрочни проучвания за безопасност по отношение на растеж, съзряване и когнитивно и поведенческо развитие (вж. точка 4.8).</w:t>
      </w:r>
    </w:p>
    <w:p w14:paraId="41E74678" w14:textId="77777777" w:rsidR="009E5AB1" w:rsidRPr="00860E17" w:rsidRDefault="009E5AB1" w:rsidP="009E5AB1">
      <w:pPr>
        <w:spacing w:line="240" w:lineRule="auto"/>
        <w:rPr>
          <w:rFonts w:eastAsia="Times New Roman" w:cs="Arial"/>
          <w:i/>
          <w:iCs/>
          <w:color w:val="000000"/>
          <w:lang w:eastAsia="bg-BG"/>
        </w:rPr>
      </w:pPr>
    </w:p>
    <w:p w14:paraId="5C4B6BA4" w14:textId="7DC32173" w:rsidR="009E5AB1" w:rsidRPr="00860E17" w:rsidRDefault="009E5AB1" w:rsidP="009E5AB1">
      <w:pPr>
        <w:spacing w:line="240" w:lineRule="auto"/>
        <w:rPr>
          <w:rFonts w:eastAsia="Times New Roman" w:cs="Arial"/>
        </w:rPr>
      </w:pPr>
      <w:r w:rsidRPr="00860E17">
        <w:rPr>
          <w:rFonts w:eastAsia="Times New Roman" w:cs="Arial"/>
          <w:i/>
          <w:iCs/>
          <w:color w:val="000000"/>
          <w:lang w:eastAsia="bg-BG"/>
        </w:rPr>
        <w:t>Кръвоизливи</w:t>
      </w:r>
    </w:p>
    <w:p w14:paraId="546D6C1C" w14:textId="77777777" w:rsidR="009E5AB1" w:rsidRPr="00860E17" w:rsidRDefault="009E5AB1" w:rsidP="009E5AB1">
      <w:pPr>
        <w:spacing w:line="240" w:lineRule="auto"/>
        <w:rPr>
          <w:rFonts w:eastAsia="Times New Roman" w:cs="Arial"/>
        </w:rPr>
      </w:pPr>
      <w:r w:rsidRPr="00860E17">
        <w:rPr>
          <w:rFonts w:eastAsia="Times New Roman" w:cs="Arial"/>
          <w:color w:val="000000"/>
          <w:lang w:eastAsia="bg-BG"/>
        </w:rPr>
        <w:t xml:space="preserve">Има съобщения за аномални кръвотечения, като </w:t>
      </w:r>
      <w:proofErr w:type="spellStart"/>
      <w:r w:rsidRPr="00860E17">
        <w:rPr>
          <w:rFonts w:eastAsia="Times New Roman" w:cs="Arial"/>
          <w:color w:val="000000"/>
          <w:lang w:eastAsia="bg-BG"/>
        </w:rPr>
        <w:t>екхимози</w:t>
      </w:r>
      <w:proofErr w:type="spellEnd"/>
      <w:r w:rsidRPr="00860E17">
        <w:rPr>
          <w:rFonts w:eastAsia="Times New Roman" w:cs="Arial"/>
          <w:color w:val="000000"/>
          <w:lang w:eastAsia="bg-BG"/>
        </w:rPr>
        <w:t xml:space="preserve">, пурпура и стомашно-чревно кървене с инхибиторите на обратното захващане на </w:t>
      </w:r>
      <w:proofErr w:type="spellStart"/>
      <w:r w:rsidRPr="00860E17">
        <w:rPr>
          <w:rFonts w:eastAsia="Times New Roman" w:cs="Arial"/>
          <w:color w:val="000000"/>
          <w:lang w:eastAsia="bg-BG"/>
        </w:rPr>
        <w:t>серотонина</w:t>
      </w:r>
      <w:proofErr w:type="spellEnd"/>
      <w:r w:rsidRPr="00860E17">
        <w:rPr>
          <w:rFonts w:eastAsia="Times New Roman" w:cs="Arial"/>
          <w:color w:val="000000"/>
          <w:lang w:eastAsia="bg-BG"/>
        </w:rPr>
        <w:t xml:space="preserve"> </w:t>
      </w:r>
      <w:r w:rsidRPr="00860E17">
        <w:rPr>
          <w:rFonts w:eastAsia="Times New Roman" w:cs="Arial"/>
          <w:color w:val="000000"/>
        </w:rPr>
        <w:t>(</w:t>
      </w:r>
      <w:proofErr w:type="spellStart"/>
      <w:r w:rsidRPr="00860E17">
        <w:rPr>
          <w:rFonts w:eastAsia="Times New Roman" w:cs="Arial"/>
          <w:color w:val="000000"/>
        </w:rPr>
        <w:t>SSRIs</w:t>
      </w:r>
      <w:proofErr w:type="spellEnd"/>
      <w:r w:rsidRPr="00860E17">
        <w:rPr>
          <w:rFonts w:eastAsia="Times New Roman" w:cs="Arial"/>
          <w:color w:val="000000"/>
        </w:rPr>
        <w:t xml:space="preserve">) </w:t>
      </w:r>
      <w:r w:rsidRPr="00860E17">
        <w:rPr>
          <w:rFonts w:eastAsia="Times New Roman" w:cs="Arial"/>
          <w:color w:val="000000"/>
          <w:lang w:eastAsia="bg-BG"/>
        </w:rPr>
        <w:t xml:space="preserve">и инхибитори на обратното захващане на </w:t>
      </w:r>
      <w:proofErr w:type="spellStart"/>
      <w:r w:rsidRPr="00860E17">
        <w:rPr>
          <w:rFonts w:eastAsia="Times New Roman" w:cs="Arial"/>
          <w:color w:val="000000"/>
          <w:lang w:eastAsia="bg-BG"/>
        </w:rPr>
        <w:t>серотонин</w:t>
      </w:r>
      <w:proofErr w:type="spellEnd"/>
      <w:r w:rsidRPr="00860E17">
        <w:rPr>
          <w:rFonts w:eastAsia="Times New Roman" w:cs="Arial"/>
          <w:color w:val="000000"/>
          <w:lang w:eastAsia="bg-BG"/>
        </w:rPr>
        <w:t>/</w:t>
      </w:r>
      <w:proofErr w:type="spellStart"/>
      <w:r w:rsidRPr="00860E17">
        <w:rPr>
          <w:rFonts w:eastAsia="Times New Roman" w:cs="Arial"/>
          <w:color w:val="000000"/>
          <w:lang w:eastAsia="bg-BG"/>
        </w:rPr>
        <w:t>норадреналин</w:t>
      </w:r>
      <w:proofErr w:type="spellEnd"/>
      <w:r w:rsidRPr="00860E17">
        <w:rPr>
          <w:rFonts w:eastAsia="Times New Roman" w:cs="Arial"/>
          <w:color w:val="000000"/>
          <w:lang w:eastAsia="bg-BG"/>
        </w:rPr>
        <w:t xml:space="preserve"> </w:t>
      </w:r>
      <w:r w:rsidRPr="00860E17">
        <w:rPr>
          <w:rFonts w:eastAsia="Times New Roman" w:cs="Arial"/>
          <w:color w:val="000000"/>
        </w:rPr>
        <w:t>(</w:t>
      </w:r>
      <w:proofErr w:type="spellStart"/>
      <w:r w:rsidRPr="00860E17">
        <w:rPr>
          <w:rFonts w:eastAsia="Times New Roman" w:cs="Arial"/>
          <w:color w:val="000000"/>
        </w:rPr>
        <w:t>SNRIs</w:t>
      </w:r>
      <w:proofErr w:type="spellEnd"/>
      <w:r w:rsidRPr="00860E17">
        <w:rPr>
          <w:rFonts w:eastAsia="Times New Roman" w:cs="Arial"/>
          <w:color w:val="000000"/>
        </w:rPr>
        <w:t xml:space="preserve">), </w:t>
      </w:r>
      <w:r w:rsidRPr="00860E17">
        <w:rPr>
          <w:rFonts w:eastAsia="Times New Roman" w:cs="Arial"/>
          <w:color w:val="000000"/>
          <w:lang w:eastAsia="bg-BG"/>
        </w:rPr>
        <w:t xml:space="preserve">включително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може да повиши риска от </w:t>
      </w:r>
      <w:proofErr w:type="spellStart"/>
      <w:r w:rsidRPr="00860E17">
        <w:rPr>
          <w:rFonts w:eastAsia="Times New Roman" w:cs="Arial"/>
          <w:color w:val="000000"/>
          <w:lang w:eastAsia="bg-BG"/>
        </w:rPr>
        <w:t>послеродово</w:t>
      </w:r>
      <w:proofErr w:type="spellEnd"/>
      <w:r w:rsidRPr="00860E17">
        <w:rPr>
          <w:rFonts w:eastAsia="Times New Roman" w:cs="Arial"/>
          <w:color w:val="000000"/>
          <w:lang w:eastAsia="bg-BG"/>
        </w:rPr>
        <w:t xml:space="preserve"> кръвотечение (вж. точка 4.6). Препоръчва се внимание при пациенти, приемащи антикоагуланти и/или лекарствени продукти, за които е известно че, повлияват </w:t>
      </w:r>
      <w:proofErr w:type="spellStart"/>
      <w:r w:rsidRPr="00860E17">
        <w:rPr>
          <w:rFonts w:eastAsia="Times New Roman" w:cs="Arial"/>
          <w:color w:val="000000"/>
          <w:lang w:eastAsia="bg-BG"/>
        </w:rPr>
        <w:t>тромбоцитната</w:t>
      </w:r>
      <w:proofErr w:type="spellEnd"/>
      <w:r w:rsidRPr="00860E17">
        <w:rPr>
          <w:rFonts w:eastAsia="Times New Roman" w:cs="Arial"/>
          <w:color w:val="000000"/>
          <w:lang w:eastAsia="bg-BG"/>
        </w:rPr>
        <w:t xml:space="preserve"> функция (напр. НСПВС или ацетилсалицилова киселина - АСК) и при пациенти с известна склонност към кървене.</w:t>
      </w:r>
    </w:p>
    <w:p w14:paraId="3D3BED23" w14:textId="77777777" w:rsidR="009E5AB1" w:rsidRPr="00860E17" w:rsidRDefault="009E5AB1" w:rsidP="009E5AB1">
      <w:pPr>
        <w:spacing w:line="240" w:lineRule="auto"/>
        <w:rPr>
          <w:rFonts w:eastAsia="Times New Roman" w:cs="Arial"/>
          <w:i/>
          <w:iCs/>
          <w:color w:val="000000"/>
          <w:lang w:eastAsia="bg-BG"/>
        </w:rPr>
      </w:pPr>
    </w:p>
    <w:p w14:paraId="04D95FD8" w14:textId="60872FA6" w:rsidR="009E5AB1" w:rsidRPr="00860E17" w:rsidRDefault="009E5AB1" w:rsidP="009E5AB1">
      <w:pPr>
        <w:spacing w:line="240" w:lineRule="auto"/>
        <w:rPr>
          <w:rFonts w:eastAsia="Times New Roman" w:cs="Arial"/>
        </w:rPr>
      </w:pPr>
      <w:proofErr w:type="spellStart"/>
      <w:r w:rsidRPr="00860E17">
        <w:rPr>
          <w:rFonts w:eastAsia="Times New Roman" w:cs="Arial"/>
          <w:i/>
          <w:iCs/>
          <w:color w:val="000000"/>
          <w:lang w:eastAsia="bg-BG"/>
        </w:rPr>
        <w:t>Хипонатриемия</w:t>
      </w:r>
      <w:proofErr w:type="spellEnd"/>
    </w:p>
    <w:p w14:paraId="223E83A3" w14:textId="77777777" w:rsidR="009E5AB1" w:rsidRPr="00860E17" w:rsidRDefault="009E5AB1" w:rsidP="009E5AB1">
      <w:pPr>
        <w:spacing w:line="240" w:lineRule="auto"/>
        <w:rPr>
          <w:rFonts w:eastAsia="Times New Roman" w:cs="Arial"/>
        </w:rPr>
      </w:pPr>
      <w:r w:rsidRPr="00860E17">
        <w:rPr>
          <w:rFonts w:eastAsia="Times New Roman" w:cs="Arial"/>
          <w:color w:val="000000"/>
          <w:lang w:eastAsia="bg-BG"/>
        </w:rPr>
        <w:t xml:space="preserve">При прилагане на </w:t>
      </w:r>
      <w:proofErr w:type="spellStart"/>
      <w:r w:rsidRPr="00860E17">
        <w:rPr>
          <w:rFonts w:eastAsia="Times New Roman" w:cs="Arial"/>
          <w:color w:val="000000"/>
          <w:lang w:eastAsia="bg-BG"/>
        </w:rPr>
        <w:t>Дулсевиа</w:t>
      </w:r>
      <w:proofErr w:type="spellEnd"/>
      <w:r w:rsidRPr="00860E17">
        <w:rPr>
          <w:rFonts w:eastAsia="Times New Roman" w:cs="Arial"/>
          <w:color w:val="000000"/>
          <w:lang w:eastAsia="bg-BG"/>
        </w:rPr>
        <w:t xml:space="preserve"> е съобщавана </w:t>
      </w:r>
      <w:proofErr w:type="spellStart"/>
      <w:r w:rsidRPr="00860E17">
        <w:rPr>
          <w:rFonts w:eastAsia="Times New Roman" w:cs="Arial"/>
          <w:color w:val="000000"/>
          <w:lang w:eastAsia="bg-BG"/>
        </w:rPr>
        <w:t>хипонатриемия</w:t>
      </w:r>
      <w:proofErr w:type="spellEnd"/>
      <w:r w:rsidRPr="00860E17">
        <w:rPr>
          <w:rFonts w:eastAsia="Times New Roman" w:cs="Arial"/>
          <w:color w:val="000000"/>
          <w:lang w:eastAsia="bg-BG"/>
        </w:rPr>
        <w:t xml:space="preserve">, включително случаи със серумен натрий по-нисък от 110 </w:t>
      </w:r>
      <w:proofErr w:type="spellStart"/>
      <w:r w:rsidRPr="00860E17">
        <w:rPr>
          <w:rFonts w:eastAsia="Times New Roman" w:cs="Arial"/>
          <w:color w:val="000000"/>
        </w:rPr>
        <w:t>mmol</w:t>
      </w:r>
      <w:proofErr w:type="spellEnd"/>
      <w:r w:rsidRPr="00860E17">
        <w:rPr>
          <w:rFonts w:eastAsia="Times New Roman" w:cs="Arial"/>
          <w:color w:val="000000"/>
        </w:rPr>
        <w:t xml:space="preserve">/1. </w:t>
      </w:r>
      <w:proofErr w:type="spellStart"/>
      <w:r w:rsidRPr="00860E17">
        <w:rPr>
          <w:rFonts w:eastAsia="Times New Roman" w:cs="Arial"/>
          <w:color w:val="000000"/>
          <w:lang w:eastAsia="bg-BG"/>
        </w:rPr>
        <w:t>Хипонатриемията</w:t>
      </w:r>
      <w:proofErr w:type="spellEnd"/>
      <w:r w:rsidRPr="00860E17">
        <w:rPr>
          <w:rFonts w:eastAsia="Times New Roman" w:cs="Arial"/>
          <w:color w:val="000000"/>
          <w:lang w:eastAsia="bg-BG"/>
        </w:rPr>
        <w:t xml:space="preserve"> може да се дължи на </w:t>
      </w:r>
      <w:proofErr w:type="spellStart"/>
      <w:r w:rsidRPr="00860E17">
        <w:rPr>
          <w:rFonts w:eastAsia="Times New Roman" w:cs="Arial"/>
          <w:color w:val="000000"/>
          <w:lang w:eastAsia="bg-BG"/>
        </w:rPr>
        <w:t>синдрим</w:t>
      </w:r>
      <w:proofErr w:type="spellEnd"/>
      <w:r w:rsidRPr="00860E17">
        <w:rPr>
          <w:rFonts w:eastAsia="Times New Roman" w:cs="Arial"/>
          <w:color w:val="000000"/>
          <w:lang w:eastAsia="bg-BG"/>
        </w:rPr>
        <w:t xml:space="preserve"> на неадекватна секреция на антидиуретичен хормон (СНАДС </w:t>
      </w:r>
      <w:r w:rsidRPr="00860E17">
        <w:rPr>
          <w:rFonts w:eastAsia="Times New Roman" w:cs="Arial"/>
          <w:color w:val="000000"/>
        </w:rPr>
        <w:t xml:space="preserve">(SIADH)). </w:t>
      </w:r>
      <w:r w:rsidRPr="00860E17">
        <w:rPr>
          <w:rFonts w:eastAsia="Times New Roman" w:cs="Arial"/>
          <w:color w:val="000000"/>
          <w:lang w:eastAsia="bg-BG"/>
        </w:rPr>
        <w:t xml:space="preserve">Повечето случаи на </w:t>
      </w:r>
      <w:proofErr w:type="spellStart"/>
      <w:r w:rsidRPr="00860E17">
        <w:rPr>
          <w:rFonts w:eastAsia="Times New Roman" w:cs="Arial"/>
          <w:color w:val="000000"/>
          <w:lang w:eastAsia="bg-BG"/>
        </w:rPr>
        <w:t>хипонатриемия</w:t>
      </w:r>
      <w:proofErr w:type="spellEnd"/>
      <w:r w:rsidRPr="00860E17">
        <w:rPr>
          <w:rFonts w:eastAsia="Times New Roman" w:cs="Arial"/>
          <w:color w:val="000000"/>
          <w:lang w:eastAsia="bg-BG"/>
        </w:rPr>
        <w:t xml:space="preserve"> съобщавани при пациенти в старческа възраст, особено в комбинация със скорошна анамнеза за или наличие на състояние, предразполагащо към промени във водния баланс. Необходимо е</w:t>
      </w:r>
    </w:p>
    <w:p w14:paraId="534CD776" w14:textId="77777777" w:rsidR="009E5AB1" w:rsidRPr="00860E17" w:rsidRDefault="009E5AB1" w:rsidP="009E5AB1">
      <w:pPr>
        <w:spacing w:line="240" w:lineRule="auto"/>
        <w:rPr>
          <w:rFonts w:eastAsia="Times New Roman" w:cs="Arial"/>
        </w:rPr>
      </w:pPr>
      <w:r w:rsidRPr="00860E17">
        <w:rPr>
          <w:rFonts w:eastAsia="Times New Roman" w:cs="Arial"/>
          <w:color w:val="000000"/>
          <w:lang w:eastAsia="bg-BG"/>
        </w:rPr>
        <w:t xml:space="preserve">внимание при пациентите с повишен риск от </w:t>
      </w:r>
      <w:proofErr w:type="spellStart"/>
      <w:r w:rsidRPr="00860E17">
        <w:rPr>
          <w:rFonts w:eastAsia="Times New Roman" w:cs="Arial"/>
          <w:color w:val="000000"/>
          <w:lang w:eastAsia="bg-BG"/>
        </w:rPr>
        <w:t>хипонатриемия</w:t>
      </w:r>
      <w:proofErr w:type="spellEnd"/>
      <w:r w:rsidRPr="00860E17">
        <w:rPr>
          <w:rFonts w:eastAsia="Times New Roman" w:cs="Arial"/>
          <w:color w:val="000000"/>
          <w:lang w:eastAsia="bg-BG"/>
        </w:rPr>
        <w:t xml:space="preserve">; като такива в старческа възраст, пациенти с цироза, дехидратирани пациенти или пациенти на лечение с </w:t>
      </w:r>
      <w:proofErr w:type="spellStart"/>
      <w:r w:rsidRPr="00860E17">
        <w:rPr>
          <w:rFonts w:eastAsia="Times New Roman" w:cs="Arial"/>
          <w:color w:val="000000"/>
          <w:lang w:eastAsia="bg-BG"/>
        </w:rPr>
        <w:t>диуретици</w:t>
      </w:r>
      <w:proofErr w:type="spellEnd"/>
      <w:r w:rsidRPr="00860E17">
        <w:rPr>
          <w:rFonts w:eastAsia="Times New Roman" w:cs="Arial"/>
          <w:color w:val="000000"/>
          <w:lang w:eastAsia="bg-BG"/>
        </w:rPr>
        <w:t>.</w:t>
      </w:r>
    </w:p>
    <w:p w14:paraId="3C47BF88" w14:textId="3F053EE4" w:rsidR="009E5AB1" w:rsidRPr="00860E17" w:rsidRDefault="009E5AB1" w:rsidP="009E5AB1">
      <w:pPr>
        <w:spacing w:line="240" w:lineRule="auto"/>
        <w:rPr>
          <w:rFonts w:eastAsia="Times New Roman" w:cs="Arial"/>
        </w:rPr>
      </w:pPr>
    </w:p>
    <w:p w14:paraId="0BEA5B00" w14:textId="77777777" w:rsidR="009E5AB1" w:rsidRPr="00860E17" w:rsidRDefault="009E5AB1" w:rsidP="009E5AB1">
      <w:pPr>
        <w:spacing w:line="240" w:lineRule="auto"/>
        <w:rPr>
          <w:rFonts w:eastAsia="Times New Roman" w:cs="Arial"/>
        </w:rPr>
      </w:pPr>
      <w:r w:rsidRPr="00860E17">
        <w:rPr>
          <w:rFonts w:eastAsia="Times New Roman" w:cs="Arial"/>
          <w:i/>
          <w:iCs/>
          <w:color w:val="000000"/>
          <w:lang w:eastAsia="bg-BG"/>
        </w:rPr>
        <w:t>Преустановяване на лечението</w:t>
      </w:r>
    </w:p>
    <w:p w14:paraId="38B1CCD1" w14:textId="77777777" w:rsidR="009E5AB1" w:rsidRPr="00860E17" w:rsidRDefault="009E5AB1" w:rsidP="009E5AB1">
      <w:pPr>
        <w:spacing w:line="240" w:lineRule="auto"/>
        <w:rPr>
          <w:rFonts w:eastAsia="Times New Roman" w:cs="Arial"/>
        </w:rPr>
      </w:pPr>
      <w:r w:rsidRPr="00860E17">
        <w:rPr>
          <w:rFonts w:eastAsia="Times New Roman" w:cs="Arial"/>
          <w:color w:val="000000"/>
          <w:lang w:eastAsia="bg-BG"/>
        </w:rPr>
        <w:t xml:space="preserve">Симптомите на отнемане са чести при прекъсване на лечението, особено в случаите, когато прекъсването се извършва рязко (вж. точка 4.8). При клинично проучване, нежелани събития, наблюдавани при рязко прекъсване на лечението, са докладвани при около 45% от пациентите лекувани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и </w:t>
      </w:r>
      <w:r w:rsidRPr="00860E17">
        <w:rPr>
          <w:rFonts w:eastAsia="Times New Roman" w:cs="Arial"/>
          <w:i/>
          <w:iCs/>
          <w:color w:val="000000"/>
          <w:lang w:eastAsia="bg-BG"/>
        </w:rPr>
        <w:t>при 23%</w:t>
      </w:r>
      <w:r w:rsidRPr="00860E17">
        <w:rPr>
          <w:rFonts w:eastAsia="Times New Roman" w:cs="Arial"/>
          <w:color w:val="000000"/>
          <w:lang w:eastAsia="bg-BG"/>
        </w:rPr>
        <w:t xml:space="preserve"> от пациентите приемали плацебо. Рискът от симптоми на отнемането наблюдавани при </w:t>
      </w:r>
      <w:proofErr w:type="spellStart"/>
      <w:r w:rsidRPr="00860E17">
        <w:rPr>
          <w:rFonts w:eastAsia="Times New Roman" w:cs="Arial"/>
          <w:color w:val="000000"/>
        </w:rPr>
        <w:t>SSRI’s</w:t>
      </w:r>
      <w:proofErr w:type="spellEnd"/>
      <w:r w:rsidRPr="00860E17">
        <w:rPr>
          <w:rFonts w:eastAsia="Times New Roman" w:cs="Arial"/>
          <w:color w:val="000000"/>
        </w:rPr>
        <w:t xml:space="preserve"> </w:t>
      </w:r>
      <w:r w:rsidRPr="00860E17">
        <w:rPr>
          <w:rFonts w:eastAsia="Times New Roman" w:cs="Arial"/>
          <w:color w:val="000000"/>
          <w:lang w:eastAsia="bg-BG"/>
        </w:rPr>
        <w:t xml:space="preserve">и </w:t>
      </w:r>
      <w:proofErr w:type="spellStart"/>
      <w:r w:rsidRPr="00860E17">
        <w:rPr>
          <w:rFonts w:eastAsia="Times New Roman" w:cs="Arial"/>
          <w:color w:val="000000"/>
        </w:rPr>
        <w:t>SRNI’s</w:t>
      </w:r>
      <w:proofErr w:type="spellEnd"/>
      <w:r w:rsidRPr="00860E17">
        <w:rPr>
          <w:rFonts w:eastAsia="Times New Roman" w:cs="Arial"/>
          <w:color w:val="000000"/>
        </w:rPr>
        <w:t xml:space="preserve"> </w:t>
      </w:r>
      <w:r w:rsidRPr="00860E17">
        <w:rPr>
          <w:rFonts w:eastAsia="Times New Roman" w:cs="Arial"/>
          <w:color w:val="000000"/>
          <w:lang w:eastAsia="bg-BG"/>
        </w:rPr>
        <w:t xml:space="preserve">може би </w:t>
      </w:r>
      <w:r w:rsidRPr="00860E17">
        <w:rPr>
          <w:rFonts w:eastAsia="Times New Roman" w:cs="Arial"/>
          <w:color w:val="000000"/>
          <w:lang w:eastAsia="bg-BG"/>
        </w:rPr>
        <w:lastRenderedPageBreak/>
        <w:t>зависи от множество фактори, включително продължителност и дозировка на лечението и степен на намаляване на дозата. Най-често наблюдаваните реакции са посочени в точка 4.8.</w:t>
      </w:r>
    </w:p>
    <w:p w14:paraId="180B4226" w14:textId="77777777" w:rsidR="009E5AB1" w:rsidRPr="00860E17" w:rsidRDefault="009E5AB1" w:rsidP="009E5AB1">
      <w:pPr>
        <w:spacing w:line="240" w:lineRule="auto"/>
        <w:rPr>
          <w:rFonts w:eastAsia="Times New Roman" w:cs="Arial"/>
        </w:rPr>
      </w:pPr>
      <w:r w:rsidRPr="00860E17">
        <w:rPr>
          <w:rFonts w:eastAsia="Times New Roman" w:cs="Arial"/>
          <w:color w:val="000000"/>
          <w:lang w:eastAsia="bg-BG"/>
        </w:rPr>
        <w:t xml:space="preserve">Обикновено, симптомите са леки до умерени, въпреки, че при някои от пациентите те може да бъдат тежки по интензивност. Те обикновено възникват в рамките на първите няколко дни от преустановяване на лечението, но са докладвани и редки случаи на такива симптоми при пациенти, пропуснали доза по невнимание, Като цяло, тези симптоми са самоограничаващи се и обикновено преминават в рамките на 2 седмици, но при някои индивиди, те може да са налице по-продължително (2-3 месеца или повече). Ето защо, се препоръчва постепенно намаляване на дозата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при преустановяване на лечението за период от не по- малко от 2 седмици, в зависимост от потребностите на пациента (вж. точка 4.2).</w:t>
      </w:r>
    </w:p>
    <w:p w14:paraId="4C3449CD" w14:textId="77777777" w:rsidR="009E5AB1" w:rsidRPr="00860E17" w:rsidRDefault="009E5AB1" w:rsidP="009E5AB1">
      <w:pPr>
        <w:spacing w:line="240" w:lineRule="auto"/>
        <w:rPr>
          <w:rFonts w:eastAsia="Times New Roman" w:cs="Arial"/>
          <w:i/>
          <w:iCs/>
          <w:color w:val="000000"/>
          <w:lang w:eastAsia="bg-BG"/>
        </w:rPr>
      </w:pPr>
    </w:p>
    <w:p w14:paraId="02F56594" w14:textId="76343724" w:rsidR="009E5AB1" w:rsidRPr="00860E17" w:rsidRDefault="009E5AB1" w:rsidP="009E5AB1">
      <w:pPr>
        <w:spacing w:line="240" w:lineRule="auto"/>
        <w:rPr>
          <w:rFonts w:eastAsia="Times New Roman" w:cs="Arial"/>
        </w:rPr>
      </w:pPr>
      <w:r w:rsidRPr="00860E17">
        <w:rPr>
          <w:rFonts w:eastAsia="Times New Roman" w:cs="Arial"/>
          <w:i/>
          <w:iCs/>
          <w:color w:val="000000"/>
          <w:lang w:eastAsia="bg-BG"/>
        </w:rPr>
        <w:t>Пациенти в старческа възраст</w:t>
      </w:r>
    </w:p>
    <w:p w14:paraId="1B4693F8" w14:textId="77777777" w:rsidR="009E5AB1" w:rsidRPr="00860E17" w:rsidRDefault="009E5AB1" w:rsidP="009E5AB1">
      <w:pPr>
        <w:spacing w:line="240" w:lineRule="auto"/>
        <w:rPr>
          <w:rFonts w:eastAsia="Times New Roman" w:cs="Arial"/>
        </w:rPr>
      </w:pPr>
      <w:r w:rsidRPr="00860E17">
        <w:rPr>
          <w:rFonts w:eastAsia="Times New Roman" w:cs="Arial"/>
          <w:color w:val="000000"/>
          <w:lang w:eastAsia="bg-BG"/>
        </w:rPr>
        <w:t xml:space="preserve">Данните за употреба на 120 </w:t>
      </w:r>
      <w:proofErr w:type="spellStart"/>
      <w:r w:rsidRPr="00860E17">
        <w:rPr>
          <w:rFonts w:eastAsia="Times New Roman" w:cs="Arial"/>
          <w:color w:val="000000"/>
        </w:rPr>
        <w:t>mg</w:t>
      </w:r>
      <w:proofErr w:type="spellEnd"/>
      <w:r w:rsidRPr="00860E17">
        <w:rPr>
          <w:rFonts w:eastAsia="Times New Roman" w:cs="Arial"/>
          <w:color w:val="000000"/>
        </w:rPr>
        <w:t xml:space="preserve">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при пациенти в старческа възраст с голям депресивен епизод и генерализирано тревожно разстройство са ограничени. Затова, лечението на пациенти в старческа възраст с максимална доза трябва да става с внимание (вж. точка 4.2 и 5.2).</w:t>
      </w:r>
    </w:p>
    <w:p w14:paraId="59401613" w14:textId="77777777" w:rsidR="009E5AB1" w:rsidRPr="00860E17" w:rsidRDefault="009E5AB1" w:rsidP="009E5AB1">
      <w:pPr>
        <w:spacing w:line="240" w:lineRule="auto"/>
        <w:rPr>
          <w:rFonts w:eastAsia="Times New Roman" w:cs="Arial"/>
          <w:i/>
          <w:iCs/>
          <w:color w:val="000000"/>
          <w:lang w:eastAsia="bg-BG"/>
        </w:rPr>
      </w:pPr>
    </w:p>
    <w:p w14:paraId="7DA74338" w14:textId="0D0022B4" w:rsidR="009E5AB1" w:rsidRPr="00860E17" w:rsidRDefault="009E5AB1" w:rsidP="009E5AB1">
      <w:pPr>
        <w:spacing w:line="240" w:lineRule="auto"/>
        <w:rPr>
          <w:rFonts w:eastAsia="Times New Roman" w:cs="Arial"/>
        </w:rPr>
      </w:pPr>
      <w:proofErr w:type="spellStart"/>
      <w:r w:rsidRPr="00860E17">
        <w:rPr>
          <w:rFonts w:eastAsia="Times New Roman" w:cs="Arial"/>
          <w:i/>
          <w:iCs/>
          <w:color w:val="000000"/>
          <w:lang w:eastAsia="bg-BG"/>
        </w:rPr>
        <w:t>Акатизия</w:t>
      </w:r>
      <w:proofErr w:type="spellEnd"/>
      <w:r w:rsidRPr="00860E17">
        <w:rPr>
          <w:rFonts w:eastAsia="Times New Roman" w:cs="Arial"/>
          <w:i/>
          <w:iCs/>
          <w:color w:val="000000"/>
          <w:lang w:eastAsia="bg-BG"/>
        </w:rPr>
        <w:t>/психомоторно безпокойство</w:t>
      </w:r>
    </w:p>
    <w:p w14:paraId="14CAC00B" w14:textId="77777777" w:rsidR="009E5AB1" w:rsidRPr="00860E17" w:rsidRDefault="009E5AB1" w:rsidP="009E5AB1">
      <w:pPr>
        <w:spacing w:line="240" w:lineRule="auto"/>
        <w:rPr>
          <w:rFonts w:eastAsia="Times New Roman" w:cs="Arial"/>
        </w:rPr>
      </w:pPr>
      <w:r w:rsidRPr="00860E17">
        <w:rPr>
          <w:rFonts w:eastAsia="Times New Roman" w:cs="Arial"/>
          <w:color w:val="000000"/>
          <w:lang w:eastAsia="bg-BG"/>
        </w:rPr>
        <w:t xml:space="preserve">Употребата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се свързва с развитие на </w:t>
      </w:r>
      <w:proofErr w:type="spellStart"/>
      <w:r w:rsidRPr="00860E17">
        <w:rPr>
          <w:rFonts w:eastAsia="Times New Roman" w:cs="Arial"/>
          <w:color w:val="000000"/>
          <w:lang w:eastAsia="bg-BG"/>
        </w:rPr>
        <w:t>акатизия</w:t>
      </w:r>
      <w:proofErr w:type="spellEnd"/>
      <w:r w:rsidRPr="00860E17">
        <w:rPr>
          <w:rFonts w:eastAsia="Times New Roman" w:cs="Arial"/>
          <w:color w:val="000000"/>
          <w:lang w:eastAsia="bg-BG"/>
        </w:rPr>
        <w:t>, характеризираща се със субективно неприятно или изтощително безпокойство и нужда от често движение, съпроводена от неспособност за седене и стоене на едно място. Това е по-вероятно да се прояви в рамките на първите няколко седмици от лечението. При пациенти, които получат тези симптоми, повишаването на дозата може да бъде вредно.</w:t>
      </w:r>
    </w:p>
    <w:p w14:paraId="15A3CEFC" w14:textId="77777777" w:rsidR="009E5AB1" w:rsidRPr="00860E17" w:rsidRDefault="009E5AB1" w:rsidP="009E5AB1">
      <w:pPr>
        <w:spacing w:line="240" w:lineRule="auto"/>
        <w:rPr>
          <w:rFonts w:eastAsia="Times New Roman" w:cs="Arial"/>
          <w:i/>
          <w:iCs/>
          <w:color w:val="000000"/>
          <w:lang w:eastAsia="bg-BG"/>
        </w:rPr>
      </w:pPr>
    </w:p>
    <w:p w14:paraId="413633D9" w14:textId="0A9BCA12" w:rsidR="009E5AB1" w:rsidRPr="00860E17" w:rsidRDefault="009E5AB1" w:rsidP="009E5AB1">
      <w:pPr>
        <w:spacing w:line="240" w:lineRule="auto"/>
        <w:rPr>
          <w:rFonts w:eastAsia="Times New Roman" w:cs="Arial"/>
        </w:rPr>
      </w:pPr>
      <w:r w:rsidRPr="00860E17">
        <w:rPr>
          <w:rFonts w:eastAsia="Times New Roman" w:cs="Arial"/>
          <w:i/>
          <w:iCs/>
          <w:color w:val="000000"/>
          <w:lang w:eastAsia="bg-BG"/>
        </w:rPr>
        <w:t xml:space="preserve">Лекарствени продукти, съдържащи </w:t>
      </w:r>
      <w:proofErr w:type="spellStart"/>
      <w:r w:rsidRPr="00860E17">
        <w:rPr>
          <w:rFonts w:eastAsia="Times New Roman" w:cs="Arial"/>
          <w:i/>
          <w:iCs/>
          <w:color w:val="000000"/>
          <w:lang w:eastAsia="bg-BG"/>
        </w:rPr>
        <w:t>дулоксетин</w:t>
      </w:r>
      <w:proofErr w:type="spellEnd"/>
    </w:p>
    <w:p w14:paraId="576FDB1B" w14:textId="77777777" w:rsidR="009E5AB1" w:rsidRPr="00860E17" w:rsidRDefault="009E5AB1" w:rsidP="009E5AB1">
      <w:pPr>
        <w:spacing w:line="240" w:lineRule="auto"/>
        <w:rPr>
          <w:rFonts w:eastAsia="Times New Roman" w:cs="Arial"/>
        </w:rPr>
      </w:pP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се използва под различни търговски марки за няколко показания (лечение на диабетна </w:t>
      </w:r>
      <w:proofErr w:type="spellStart"/>
      <w:r w:rsidRPr="00860E17">
        <w:rPr>
          <w:rFonts w:eastAsia="Times New Roman" w:cs="Arial"/>
          <w:color w:val="000000"/>
          <w:lang w:eastAsia="bg-BG"/>
        </w:rPr>
        <w:t>невропатна</w:t>
      </w:r>
      <w:proofErr w:type="spellEnd"/>
      <w:r w:rsidRPr="00860E17">
        <w:rPr>
          <w:rFonts w:eastAsia="Times New Roman" w:cs="Arial"/>
          <w:color w:val="000000"/>
          <w:lang w:eastAsia="bg-BG"/>
        </w:rPr>
        <w:t xml:space="preserve"> болка, големи депресивни епизоди, генерализирано тревожно разстройство и </w:t>
      </w:r>
      <w:proofErr w:type="spellStart"/>
      <w:r w:rsidRPr="00860E17">
        <w:rPr>
          <w:rFonts w:eastAsia="Times New Roman" w:cs="Arial"/>
          <w:color w:val="000000"/>
          <w:lang w:eastAsia="bg-BG"/>
        </w:rPr>
        <w:t>уринна</w:t>
      </w:r>
      <w:proofErr w:type="spellEnd"/>
      <w:r w:rsidRPr="00860E17">
        <w:rPr>
          <w:rFonts w:eastAsia="Times New Roman" w:cs="Arial"/>
          <w:color w:val="000000"/>
          <w:lang w:eastAsia="bg-BG"/>
        </w:rPr>
        <w:t xml:space="preserve"> стрес инконтиненция). Трябва да се избягва употребата на повече от един от тези продукти.</w:t>
      </w:r>
    </w:p>
    <w:p w14:paraId="1CA803D9" w14:textId="77777777" w:rsidR="009E5AB1" w:rsidRPr="00860E17" w:rsidRDefault="009E5AB1" w:rsidP="009E5AB1">
      <w:pPr>
        <w:spacing w:line="240" w:lineRule="auto"/>
        <w:rPr>
          <w:rFonts w:eastAsia="Times New Roman" w:cs="Arial"/>
          <w:i/>
          <w:iCs/>
          <w:color w:val="000000"/>
          <w:lang w:eastAsia="bg-BG"/>
        </w:rPr>
      </w:pPr>
    </w:p>
    <w:p w14:paraId="79357B63" w14:textId="48486719" w:rsidR="009E5AB1" w:rsidRPr="00860E17" w:rsidRDefault="009E5AB1" w:rsidP="009E5AB1">
      <w:pPr>
        <w:spacing w:line="240" w:lineRule="auto"/>
        <w:rPr>
          <w:rFonts w:eastAsia="Times New Roman" w:cs="Arial"/>
        </w:rPr>
      </w:pPr>
      <w:r w:rsidRPr="00860E17">
        <w:rPr>
          <w:rFonts w:eastAsia="Times New Roman" w:cs="Arial"/>
          <w:i/>
          <w:iCs/>
          <w:color w:val="000000"/>
          <w:lang w:eastAsia="bg-BG"/>
        </w:rPr>
        <w:t>Хепатит/повишени чернодробни ензими</w:t>
      </w:r>
    </w:p>
    <w:p w14:paraId="13CB8A57" w14:textId="77777777" w:rsidR="009E5AB1" w:rsidRPr="00860E17" w:rsidRDefault="009E5AB1" w:rsidP="009E5AB1">
      <w:pPr>
        <w:spacing w:line="240" w:lineRule="auto"/>
        <w:rPr>
          <w:rFonts w:eastAsia="Times New Roman" w:cs="Arial"/>
        </w:rPr>
      </w:pPr>
      <w:r w:rsidRPr="00860E17">
        <w:rPr>
          <w:rFonts w:eastAsia="Times New Roman" w:cs="Arial"/>
          <w:color w:val="000000"/>
          <w:lang w:eastAsia="bg-BG"/>
        </w:rPr>
        <w:t xml:space="preserve">Съобщавани са случаи на чернодробно увреждане, включително силно повишаване на чернодробните ензими (&gt;10 пъти над горната граница на нормата), хепатит и жълтеница,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(вж. точка 4.8). Повечето от тях настъпват по време на първите месеци лечение. Характерът на чернодробното увреждане е предимно </w:t>
      </w:r>
      <w:proofErr w:type="spellStart"/>
      <w:r w:rsidRPr="00860E17">
        <w:rPr>
          <w:rFonts w:eastAsia="Times New Roman" w:cs="Arial"/>
          <w:color w:val="000000"/>
          <w:lang w:eastAsia="bg-BG"/>
        </w:rPr>
        <w:t>хепатоцелуларен</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трябва да се използва с внимание при пациенти, лекувани с други лекарствени продукти, свързвани с увреждане на черния дроб.</w:t>
      </w:r>
    </w:p>
    <w:p w14:paraId="7B727347" w14:textId="77777777" w:rsidR="009E5AB1" w:rsidRPr="00860E17" w:rsidRDefault="009E5AB1" w:rsidP="009E5AB1">
      <w:pPr>
        <w:spacing w:line="240" w:lineRule="auto"/>
        <w:rPr>
          <w:rFonts w:eastAsia="Times New Roman" w:cs="Arial"/>
          <w:i/>
          <w:iCs/>
          <w:color w:val="000000"/>
          <w:lang w:eastAsia="bg-BG"/>
        </w:rPr>
      </w:pPr>
    </w:p>
    <w:p w14:paraId="0286EB60" w14:textId="74A86688" w:rsidR="009E5AB1" w:rsidRPr="00860E17" w:rsidRDefault="009E5AB1" w:rsidP="009E5AB1">
      <w:pPr>
        <w:spacing w:line="240" w:lineRule="auto"/>
        <w:rPr>
          <w:rFonts w:eastAsia="Times New Roman" w:cs="Arial"/>
        </w:rPr>
      </w:pPr>
      <w:r w:rsidRPr="00860E17">
        <w:rPr>
          <w:rFonts w:eastAsia="Times New Roman" w:cs="Arial"/>
          <w:i/>
          <w:iCs/>
          <w:color w:val="000000"/>
          <w:lang w:eastAsia="bg-BG"/>
        </w:rPr>
        <w:t>Сексуална дисфункция</w:t>
      </w:r>
    </w:p>
    <w:p w14:paraId="0D006518" w14:textId="77777777" w:rsidR="009E5AB1" w:rsidRPr="00860E17" w:rsidRDefault="009E5AB1" w:rsidP="009E5AB1">
      <w:pPr>
        <w:spacing w:line="240" w:lineRule="auto"/>
        <w:rPr>
          <w:rFonts w:eastAsia="Times New Roman" w:cs="Arial"/>
        </w:rPr>
      </w:pPr>
      <w:r w:rsidRPr="00860E17">
        <w:rPr>
          <w:rFonts w:eastAsia="Times New Roman" w:cs="Arial"/>
          <w:color w:val="000000"/>
          <w:lang w:eastAsia="bg-BG"/>
        </w:rPr>
        <w:t xml:space="preserve">Селективните инхибитори на обратното захващане на </w:t>
      </w:r>
      <w:proofErr w:type="spellStart"/>
      <w:r w:rsidRPr="00860E17">
        <w:rPr>
          <w:rFonts w:eastAsia="Times New Roman" w:cs="Arial"/>
          <w:color w:val="000000"/>
          <w:lang w:eastAsia="bg-BG"/>
        </w:rPr>
        <w:t>серотонина</w:t>
      </w:r>
      <w:proofErr w:type="spellEnd"/>
      <w:r w:rsidRPr="00860E17">
        <w:rPr>
          <w:rFonts w:eastAsia="Times New Roman" w:cs="Arial"/>
          <w:color w:val="000000"/>
          <w:lang w:eastAsia="bg-BG"/>
        </w:rPr>
        <w:t xml:space="preserve"> </w:t>
      </w:r>
      <w:r w:rsidRPr="00860E17">
        <w:rPr>
          <w:rFonts w:eastAsia="Times New Roman" w:cs="Arial"/>
          <w:smallCaps/>
          <w:color w:val="000000"/>
        </w:rPr>
        <w:t>(</w:t>
      </w:r>
      <w:proofErr w:type="spellStart"/>
      <w:r w:rsidRPr="00860E17">
        <w:rPr>
          <w:rFonts w:eastAsia="Times New Roman" w:cs="Arial"/>
          <w:smallCaps/>
          <w:color w:val="000000"/>
        </w:rPr>
        <w:t>SSRIs</w:t>
      </w:r>
      <w:proofErr w:type="spellEnd"/>
      <w:r w:rsidRPr="00860E17">
        <w:rPr>
          <w:rFonts w:eastAsia="Times New Roman" w:cs="Arial"/>
          <w:smallCaps/>
          <w:color w:val="000000"/>
        </w:rPr>
        <w:t>)/</w:t>
      </w:r>
      <w:r w:rsidRPr="00860E17">
        <w:rPr>
          <w:rFonts w:eastAsia="Times New Roman" w:cs="Arial"/>
          <w:smallCaps/>
          <w:color w:val="000000"/>
          <w:lang w:eastAsia="bg-BG"/>
        </w:rPr>
        <w:t>инхибиторите на</w:t>
      </w:r>
      <w:r w:rsidRPr="00860E17">
        <w:rPr>
          <w:rFonts w:eastAsia="Times New Roman" w:cs="Arial"/>
          <w:color w:val="000000"/>
          <w:lang w:eastAsia="bg-BG"/>
        </w:rPr>
        <w:t xml:space="preserve"> обратното захващане на </w:t>
      </w:r>
      <w:proofErr w:type="spellStart"/>
      <w:r w:rsidRPr="00860E17">
        <w:rPr>
          <w:rFonts w:eastAsia="Times New Roman" w:cs="Arial"/>
          <w:color w:val="000000"/>
          <w:lang w:eastAsia="bg-BG"/>
        </w:rPr>
        <w:t>серотонина</w:t>
      </w:r>
      <w:proofErr w:type="spellEnd"/>
      <w:r w:rsidRPr="00860E17">
        <w:rPr>
          <w:rFonts w:eastAsia="Times New Roman" w:cs="Arial"/>
          <w:color w:val="000000"/>
          <w:lang w:eastAsia="bg-BG"/>
        </w:rPr>
        <w:t xml:space="preserve"> и </w:t>
      </w:r>
      <w:proofErr w:type="spellStart"/>
      <w:r w:rsidRPr="00860E17">
        <w:rPr>
          <w:rFonts w:eastAsia="Times New Roman" w:cs="Arial"/>
          <w:color w:val="000000"/>
          <w:lang w:eastAsia="bg-BG"/>
        </w:rPr>
        <w:t>норадреналина</w:t>
      </w:r>
      <w:proofErr w:type="spellEnd"/>
      <w:r w:rsidRPr="00860E17">
        <w:rPr>
          <w:rFonts w:eastAsia="Times New Roman" w:cs="Arial"/>
          <w:color w:val="000000"/>
          <w:lang w:eastAsia="bg-BG"/>
        </w:rPr>
        <w:t xml:space="preserve"> </w:t>
      </w:r>
      <w:r w:rsidRPr="00860E17">
        <w:rPr>
          <w:rFonts w:eastAsia="Times New Roman" w:cs="Arial"/>
          <w:color w:val="000000"/>
        </w:rPr>
        <w:t>(</w:t>
      </w:r>
      <w:proofErr w:type="spellStart"/>
      <w:r w:rsidRPr="00860E17">
        <w:rPr>
          <w:rFonts w:eastAsia="Times New Roman" w:cs="Arial"/>
          <w:color w:val="000000"/>
        </w:rPr>
        <w:t>SNRIs</w:t>
      </w:r>
      <w:proofErr w:type="spellEnd"/>
      <w:r w:rsidRPr="00860E17">
        <w:rPr>
          <w:rFonts w:eastAsia="Times New Roman" w:cs="Arial"/>
          <w:color w:val="000000"/>
        </w:rPr>
        <w:t xml:space="preserve">) </w:t>
      </w:r>
      <w:r w:rsidRPr="00860E17">
        <w:rPr>
          <w:rFonts w:eastAsia="Times New Roman" w:cs="Arial"/>
          <w:color w:val="000000"/>
          <w:lang w:eastAsia="bg-BG"/>
        </w:rPr>
        <w:t>могат да причинят симптоми на сексуална дисфункция (вж. точка 4.8). Има съобщения за продължителна сексуална</w:t>
      </w:r>
      <w:r w:rsidRPr="00860E17">
        <w:rPr>
          <w:rFonts w:eastAsia="Times New Roman" w:cs="Arial"/>
          <w:color w:val="000000"/>
          <w:u w:val="single"/>
          <w:lang w:eastAsia="bg-BG"/>
        </w:rPr>
        <w:t xml:space="preserve"> </w:t>
      </w:r>
      <w:r w:rsidRPr="00860E17">
        <w:rPr>
          <w:rFonts w:eastAsia="Times New Roman" w:cs="Arial"/>
          <w:color w:val="000000"/>
          <w:lang w:eastAsia="bg-BG"/>
        </w:rPr>
        <w:t>дисфункция, при която симптомите продължават въпреки прекъсването на приема на</w:t>
      </w:r>
    </w:p>
    <w:p w14:paraId="63330B6E" w14:textId="77777777" w:rsidR="009E5AB1" w:rsidRPr="00860E17" w:rsidRDefault="009E5AB1" w:rsidP="009E5AB1">
      <w:pPr>
        <w:spacing w:line="240" w:lineRule="auto"/>
        <w:rPr>
          <w:rFonts w:eastAsia="Times New Roman" w:cs="Arial"/>
        </w:rPr>
      </w:pPr>
      <w:proofErr w:type="spellStart"/>
      <w:r w:rsidRPr="00860E17">
        <w:rPr>
          <w:rFonts w:eastAsia="Times New Roman" w:cs="Arial"/>
          <w:color w:val="000000"/>
        </w:rPr>
        <w:t>SSRIs</w:t>
      </w:r>
      <w:proofErr w:type="spellEnd"/>
      <w:r w:rsidRPr="00860E17">
        <w:rPr>
          <w:rFonts w:eastAsia="Times New Roman" w:cs="Arial"/>
          <w:color w:val="000000"/>
        </w:rPr>
        <w:t>/SNRI.</w:t>
      </w:r>
      <w:bookmarkStart w:id="1" w:name="bookmark0"/>
      <w:bookmarkEnd w:id="1"/>
    </w:p>
    <w:p w14:paraId="384A7742" w14:textId="77777777" w:rsidR="009E5AB1" w:rsidRPr="00860E17" w:rsidRDefault="009E5AB1" w:rsidP="009E5AB1">
      <w:pPr>
        <w:spacing w:line="240" w:lineRule="auto"/>
        <w:rPr>
          <w:rFonts w:eastAsia="Times New Roman" w:cs="Arial"/>
        </w:rPr>
      </w:pPr>
    </w:p>
    <w:p w14:paraId="1BCDF6A5" w14:textId="77777777" w:rsidR="009E5AB1" w:rsidRPr="00860E17" w:rsidRDefault="009E5AB1" w:rsidP="009E5AB1">
      <w:pPr>
        <w:spacing w:line="240" w:lineRule="auto"/>
        <w:rPr>
          <w:rFonts w:eastAsia="Times New Roman" w:cs="Arial"/>
        </w:rPr>
      </w:pPr>
      <w:r w:rsidRPr="00860E17">
        <w:rPr>
          <w:rFonts w:eastAsia="Times New Roman" w:cs="Arial"/>
          <w:i/>
          <w:iCs/>
          <w:color w:val="000000"/>
          <w:lang w:eastAsia="bg-BG"/>
        </w:rPr>
        <w:t>Захароза</w:t>
      </w:r>
    </w:p>
    <w:p w14:paraId="6B17E777" w14:textId="0E66D22A" w:rsidR="009E5AB1" w:rsidRPr="00860E17" w:rsidRDefault="009E5AB1" w:rsidP="009E5AB1">
      <w:pPr>
        <w:spacing w:line="240" w:lineRule="auto"/>
        <w:rPr>
          <w:rFonts w:eastAsia="Times New Roman" w:cs="Arial"/>
        </w:rPr>
      </w:pPr>
      <w:proofErr w:type="spellStart"/>
      <w:r w:rsidRPr="00860E17">
        <w:rPr>
          <w:rFonts w:eastAsia="Times New Roman" w:cs="Arial"/>
          <w:color w:val="000000"/>
          <w:lang w:eastAsia="bg-BG"/>
        </w:rPr>
        <w:lastRenderedPageBreak/>
        <w:t>Дулсевиа</w:t>
      </w:r>
      <w:proofErr w:type="spellEnd"/>
      <w:r w:rsidRPr="00860E17">
        <w:rPr>
          <w:rFonts w:eastAsia="Times New Roman" w:cs="Arial"/>
          <w:color w:val="000000"/>
          <w:lang w:eastAsia="bg-BG"/>
        </w:rPr>
        <w:t xml:space="preserve"> съдържа захароза. Пациентите с редки наследствени проблеми на непоносимост към фруктоза, </w:t>
      </w:r>
      <w:proofErr w:type="spellStart"/>
      <w:r w:rsidRPr="00860E17">
        <w:rPr>
          <w:rFonts w:eastAsia="Times New Roman" w:cs="Arial"/>
          <w:color w:val="000000"/>
          <w:lang w:eastAsia="bg-BG"/>
        </w:rPr>
        <w:t>глюкозо-галактозна</w:t>
      </w:r>
      <w:proofErr w:type="spellEnd"/>
      <w:r w:rsidRPr="00860E17">
        <w:rPr>
          <w:rFonts w:eastAsia="Times New Roman" w:cs="Arial"/>
          <w:color w:val="000000"/>
          <w:lang w:eastAsia="bg-BG"/>
        </w:rPr>
        <w:t xml:space="preserve"> малабсорбция или </w:t>
      </w:r>
      <w:proofErr w:type="spellStart"/>
      <w:r w:rsidRPr="00860E17">
        <w:rPr>
          <w:rFonts w:eastAsia="Times New Roman" w:cs="Arial"/>
          <w:color w:val="000000"/>
          <w:lang w:eastAsia="bg-BG"/>
        </w:rPr>
        <w:t>захаразо-изомалтазна</w:t>
      </w:r>
      <w:proofErr w:type="spellEnd"/>
      <w:r w:rsidRPr="00860E17">
        <w:rPr>
          <w:rFonts w:eastAsia="Times New Roman" w:cs="Arial"/>
          <w:color w:val="000000"/>
          <w:lang w:eastAsia="bg-BG"/>
        </w:rPr>
        <w:t xml:space="preserve"> недостатъчност не </w:t>
      </w:r>
      <w:r w:rsidRPr="00860E17">
        <w:rPr>
          <w:rFonts w:cs="Arial"/>
        </w:rPr>
        <w:t>трябва да приемат този лекарствен продукт.</w:t>
      </w:r>
    </w:p>
    <w:p w14:paraId="02819D0B" w14:textId="77777777" w:rsidR="009E5AB1" w:rsidRPr="00860E17" w:rsidRDefault="009E5AB1" w:rsidP="009E5AB1"/>
    <w:p w14:paraId="0734264C" w14:textId="04A1884A" w:rsidR="007122AD" w:rsidRPr="00860E17" w:rsidRDefault="002C50EE" w:rsidP="00936AD0">
      <w:pPr>
        <w:pStyle w:val="Heading2"/>
      </w:pPr>
      <w:r w:rsidRPr="00860E17">
        <w:t>4.5. Взаимодействие с други лекарствени продукти и други форми на</w:t>
      </w:r>
      <w:r w:rsidR="004F1CE7" w:rsidRPr="00860E17">
        <w:t xml:space="preserve"> взаимодействие</w:t>
      </w:r>
      <w:r w:rsidRPr="00860E17">
        <w:t xml:space="preserve"> </w:t>
      </w:r>
    </w:p>
    <w:p w14:paraId="43F64457" w14:textId="59A8A60E" w:rsidR="009E5AB1" w:rsidRPr="00860E17" w:rsidRDefault="009E5AB1" w:rsidP="009E5AB1"/>
    <w:p w14:paraId="02A533B9" w14:textId="77777777" w:rsidR="009E5AB1" w:rsidRPr="00860E17" w:rsidRDefault="009E5AB1" w:rsidP="009E5AB1">
      <w:pPr>
        <w:spacing w:line="240" w:lineRule="auto"/>
        <w:rPr>
          <w:rFonts w:eastAsia="Times New Roman" w:cs="Arial"/>
          <w:sz w:val="24"/>
          <w:szCs w:val="24"/>
        </w:rPr>
      </w:pPr>
      <w:r w:rsidRPr="00860E17">
        <w:rPr>
          <w:rFonts w:eastAsia="Times New Roman" w:cs="Arial"/>
          <w:i/>
          <w:iCs/>
          <w:color w:val="000000"/>
          <w:lang w:eastAsia="bg-BG"/>
        </w:rPr>
        <w:t>Инхибитори на моно-</w:t>
      </w:r>
      <w:proofErr w:type="spellStart"/>
      <w:r w:rsidRPr="00860E17">
        <w:rPr>
          <w:rFonts w:eastAsia="Times New Roman" w:cs="Arial"/>
          <w:i/>
          <w:iCs/>
          <w:color w:val="000000"/>
          <w:lang w:eastAsia="bg-BG"/>
        </w:rPr>
        <w:t>амино</w:t>
      </w:r>
      <w:proofErr w:type="spellEnd"/>
      <w:r w:rsidRPr="00860E17">
        <w:rPr>
          <w:rFonts w:eastAsia="Times New Roman" w:cs="Arial"/>
          <w:i/>
          <w:iCs/>
          <w:color w:val="000000"/>
          <w:lang w:eastAsia="bg-BG"/>
        </w:rPr>
        <w:t xml:space="preserve"> </w:t>
      </w:r>
      <w:proofErr w:type="spellStart"/>
      <w:r w:rsidRPr="00860E17">
        <w:rPr>
          <w:rFonts w:eastAsia="Times New Roman" w:cs="Arial"/>
          <w:i/>
          <w:iCs/>
          <w:color w:val="000000"/>
          <w:lang w:eastAsia="bg-BG"/>
        </w:rPr>
        <w:t>оксидазата</w:t>
      </w:r>
      <w:proofErr w:type="spellEnd"/>
      <w:r w:rsidRPr="00860E17">
        <w:rPr>
          <w:rFonts w:eastAsia="Times New Roman" w:cs="Arial"/>
          <w:i/>
          <w:iCs/>
          <w:color w:val="000000"/>
          <w:lang w:eastAsia="bg-BG"/>
        </w:rPr>
        <w:t xml:space="preserve"> </w:t>
      </w:r>
      <w:r w:rsidRPr="00860E17">
        <w:rPr>
          <w:rFonts w:eastAsia="Times New Roman" w:cs="Arial"/>
          <w:i/>
          <w:iCs/>
          <w:color w:val="000000"/>
        </w:rPr>
        <w:t>(MAO</w:t>
      </w:r>
      <w:r w:rsidRPr="00860E17">
        <w:rPr>
          <w:rFonts w:eastAsia="Times New Roman" w:cs="Arial"/>
          <w:i/>
          <w:iCs/>
          <w:color w:val="000000"/>
          <w:lang w:eastAsia="bg-BG"/>
        </w:rPr>
        <w:t>-инхибитори):</w:t>
      </w:r>
      <w:r w:rsidRPr="00860E17">
        <w:rPr>
          <w:rFonts w:eastAsia="Times New Roman" w:cs="Arial"/>
          <w:color w:val="000000"/>
          <w:lang w:eastAsia="bg-BG"/>
        </w:rPr>
        <w:t xml:space="preserve"> Поради риск от </w:t>
      </w:r>
      <w:proofErr w:type="spellStart"/>
      <w:r w:rsidRPr="00860E17">
        <w:rPr>
          <w:rFonts w:eastAsia="Times New Roman" w:cs="Arial"/>
          <w:color w:val="000000"/>
          <w:lang w:eastAsia="bg-BG"/>
        </w:rPr>
        <w:t>серотонинов</w:t>
      </w:r>
      <w:proofErr w:type="spellEnd"/>
      <w:r w:rsidRPr="00860E17">
        <w:rPr>
          <w:rFonts w:eastAsia="Times New Roman" w:cs="Arial"/>
          <w:color w:val="000000"/>
          <w:lang w:eastAsia="bg-BG"/>
        </w:rPr>
        <w:t xml:space="preserve"> синдром,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не трябва да се използва в комбинация с </w:t>
      </w:r>
      <w:proofErr w:type="spellStart"/>
      <w:r w:rsidRPr="00860E17">
        <w:rPr>
          <w:rFonts w:eastAsia="Times New Roman" w:cs="Arial"/>
          <w:color w:val="000000"/>
          <w:lang w:eastAsia="bg-BG"/>
        </w:rPr>
        <w:t>неселекгивни</w:t>
      </w:r>
      <w:proofErr w:type="spellEnd"/>
      <w:r w:rsidRPr="00860E17">
        <w:rPr>
          <w:rFonts w:eastAsia="Times New Roman" w:cs="Arial"/>
          <w:color w:val="000000"/>
          <w:lang w:eastAsia="bg-BG"/>
        </w:rPr>
        <w:t xml:space="preserve">, необратими </w:t>
      </w:r>
      <w:proofErr w:type="spellStart"/>
      <w:r w:rsidRPr="00860E17">
        <w:rPr>
          <w:rFonts w:eastAsia="Times New Roman" w:cs="Arial"/>
          <w:color w:val="000000"/>
          <w:lang w:eastAsia="bg-BG"/>
        </w:rPr>
        <w:t>моноаминооксидазни</w:t>
      </w:r>
      <w:proofErr w:type="spellEnd"/>
      <w:r w:rsidRPr="00860E17">
        <w:rPr>
          <w:rFonts w:eastAsia="Times New Roman" w:cs="Arial"/>
          <w:color w:val="000000"/>
          <w:lang w:eastAsia="bg-BG"/>
        </w:rPr>
        <w:t xml:space="preserve"> инхибитори </w:t>
      </w:r>
      <w:r w:rsidRPr="00860E17">
        <w:rPr>
          <w:rFonts w:eastAsia="Times New Roman" w:cs="Arial"/>
          <w:color w:val="000000"/>
        </w:rPr>
        <w:t>(MAO</w:t>
      </w:r>
      <w:r w:rsidRPr="00860E17">
        <w:rPr>
          <w:rFonts w:eastAsia="Times New Roman" w:cs="Arial"/>
          <w:color w:val="000000"/>
          <w:lang w:eastAsia="bg-BG"/>
        </w:rPr>
        <w:t xml:space="preserve">-инхибитори) или в рамките на поне 14 дни след прекъсване на лечението с МАО- инхибитори. Въз основа на полуживота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е необходимо да изминат поне 5 дни след спиране на </w:t>
      </w:r>
      <w:proofErr w:type="spellStart"/>
      <w:r w:rsidRPr="00860E17">
        <w:rPr>
          <w:rFonts w:eastAsia="Times New Roman" w:cs="Arial"/>
          <w:color w:val="000000"/>
          <w:lang w:eastAsia="bg-BG"/>
        </w:rPr>
        <w:t>Дулсевиа</w:t>
      </w:r>
      <w:proofErr w:type="spellEnd"/>
      <w:r w:rsidRPr="00860E17">
        <w:rPr>
          <w:rFonts w:eastAsia="Times New Roman" w:cs="Arial"/>
          <w:color w:val="000000"/>
          <w:lang w:eastAsia="bg-BG"/>
        </w:rPr>
        <w:t xml:space="preserve"> и преди започване на МАО- инхибитори (вж. точка 4.3).</w:t>
      </w:r>
    </w:p>
    <w:p w14:paraId="34A18818" w14:textId="77777777" w:rsidR="009E5AB1" w:rsidRPr="00860E17" w:rsidRDefault="009E5AB1" w:rsidP="009E5AB1">
      <w:pPr>
        <w:spacing w:line="240" w:lineRule="auto"/>
        <w:rPr>
          <w:rFonts w:eastAsia="Times New Roman" w:cs="Arial"/>
          <w:color w:val="000000"/>
          <w:lang w:eastAsia="bg-BG"/>
        </w:rPr>
      </w:pPr>
    </w:p>
    <w:p w14:paraId="16BDE1ED" w14:textId="15A34BD9"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 xml:space="preserve">Не се препоръчва едновременното приложение на </w:t>
      </w:r>
      <w:proofErr w:type="spellStart"/>
      <w:r w:rsidRPr="00860E17">
        <w:rPr>
          <w:rFonts w:eastAsia="Times New Roman" w:cs="Arial"/>
          <w:color w:val="000000"/>
          <w:lang w:eastAsia="bg-BG"/>
        </w:rPr>
        <w:t>Дулсевиа</w:t>
      </w:r>
      <w:proofErr w:type="spellEnd"/>
      <w:r w:rsidRPr="00860E17">
        <w:rPr>
          <w:rFonts w:eastAsia="Times New Roman" w:cs="Arial"/>
          <w:color w:val="000000"/>
          <w:lang w:eastAsia="bg-BG"/>
        </w:rPr>
        <w:t xml:space="preserve"> със селективни обратими МАО- инхибитори, като </w:t>
      </w:r>
      <w:proofErr w:type="spellStart"/>
      <w:r w:rsidRPr="00860E17">
        <w:rPr>
          <w:rFonts w:eastAsia="Times New Roman" w:cs="Arial"/>
          <w:color w:val="000000"/>
          <w:lang w:eastAsia="bg-BG"/>
        </w:rPr>
        <w:t>моклобемид</w:t>
      </w:r>
      <w:proofErr w:type="spellEnd"/>
      <w:r w:rsidRPr="00860E17">
        <w:rPr>
          <w:rFonts w:eastAsia="Times New Roman" w:cs="Arial"/>
          <w:color w:val="000000"/>
          <w:lang w:eastAsia="bg-BG"/>
        </w:rPr>
        <w:t xml:space="preserve"> (вж. точка 4.4). Антибиотикът </w:t>
      </w:r>
      <w:proofErr w:type="spellStart"/>
      <w:r w:rsidRPr="00860E17">
        <w:rPr>
          <w:rFonts w:eastAsia="Times New Roman" w:cs="Arial"/>
          <w:color w:val="000000"/>
          <w:lang w:eastAsia="bg-BG"/>
        </w:rPr>
        <w:t>линезолид</w:t>
      </w:r>
      <w:proofErr w:type="spellEnd"/>
      <w:r w:rsidRPr="00860E17">
        <w:rPr>
          <w:rFonts w:eastAsia="Times New Roman" w:cs="Arial"/>
          <w:color w:val="000000"/>
          <w:lang w:eastAsia="bg-BG"/>
        </w:rPr>
        <w:t xml:space="preserve"> е обратим неселективен МАО-инхибитор и не трябва да се дава на пациенти, лекувани с </w:t>
      </w:r>
      <w:proofErr w:type="spellStart"/>
      <w:r w:rsidRPr="00860E17">
        <w:rPr>
          <w:rFonts w:eastAsia="Times New Roman" w:cs="Arial"/>
          <w:color w:val="000000"/>
          <w:lang w:eastAsia="bg-BG"/>
        </w:rPr>
        <w:t>Дулсевиа</w:t>
      </w:r>
      <w:proofErr w:type="spellEnd"/>
      <w:r w:rsidRPr="00860E17">
        <w:rPr>
          <w:rFonts w:eastAsia="Times New Roman" w:cs="Arial"/>
          <w:color w:val="000000"/>
          <w:lang w:eastAsia="bg-BG"/>
        </w:rPr>
        <w:t xml:space="preserve"> (вж. точка 4.4).</w:t>
      </w:r>
    </w:p>
    <w:p w14:paraId="6A3E3468" w14:textId="77777777" w:rsidR="009E5AB1" w:rsidRPr="00860E17" w:rsidRDefault="009E5AB1" w:rsidP="009E5AB1">
      <w:pPr>
        <w:spacing w:line="240" w:lineRule="auto"/>
        <w:rPr>
          <w:rFonts w:eastAsia="Times New Roman" w:cs="Arial"/>
          <w:i/>
          <w:iCs/>
          <w:color w:val="000000"/>
          <w:lang w:eastAsia="bg-BG"/>
        </w:rPr>
      </w:pPr>
    </w:p>
    <w:p w14:paraId="0D9110E7" w14:textId="33EEC667" w:rsidR="009E5AB1" w:rsidRPr="00860E17" w:rsidRDefault="009E5AB1" w:rsidP="009E5AB1">
      <w:pPr>
        <w:spacing w:line="240" w:lineRule="auto"/>
        <w:rPr>
          <w:rFonts w:eastAsia="Times New Roman" w:cs="Arial"/>
          <w:sz w:val="24"/>
          <w:szCs w:val="24"/>
        </w:rPr>
      </w:pPr>
      <w:r w:rsidRPr="00860E17">
        <w:rPr>
          <w:rFonts w:eastAsia="Times New Roman" w:cs="Arial"/>
          <w:i/>
          <w:iCs/>
          <w:color w:val="000000"/>
          <w:lang w:eastAsia="bg-BG"/>
        </w:rPr>
        <w:t xml:space="preserve">Инхибитори на </w:t>
      </w:r>
      <w:r w:rsidRPr="00860E17">
        <w:rPr>
          <w:rFonts w:eastAsia="Times New Roman" w:cs="Arial"/>
          <w:i/>
          <w:iCs/>
          <w:color w:val="000000"/>
        </w:rPr>
        <w:t>CYP1A2:</w:t>
      </w:r>
      <w:r w:rsidRPr="00860E17">
        <w:rPr>
          <w:rFonts w:eastAsia="Times New Roman" w:cs="Arial"/>
          <w:color w:val="000000"/>
        </w:rPr>
        <w:t xml:space="preserve"> </w:t>
      </w:r>
      <w:r w:rsidRPr="00860E17">
        <w:rPr>
          <w:rFonts w:eastAsia="Times New Roman" w:cs="Arial"/>
          <w:color w:val="000000"/>
          <w:lang w:eastAsia="bg-BG"/>
        </w:rPr>
        <w:t xml:space="preserve">Тъй като </w:t>
      </w:r>
      <w:r w:rsidRPr="00860E17">
        <w:rPr>
          <w:rFonts w:eastAsia="Times New Roman" w:cs="Arial"/>
          <w:color w:val="000000"/>
        </w:rPr>
        <w:t xml:space="preserve">CYP1A2 </w:t>
      </w:r>
      <w:r w:rsidRPr="00860E17">
        <w:rPr>
          <w:rFonts w:eastAsia="Times New Roman" w:cs="Arial"/>
          <w:color w:val="000000"/>
          <w:lang w:eastAsia="bg-BG"/>
        </w:rPr>
        <w:t xml:space="preserve">участва в метаболизма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едновременното приложение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 мощни инхибитори на </w:t>
      </w:r>
      <w:r w:rsidRPr="00860E17">
        <w:rPr>
          <w:rFonts w:eastAsia="Times New Roman" w:cs="Arial"/>
          <w:color w:val="000000"/>
        </w:rPr>
        <w:t>CYP1</w:t>
      </w:r>
      <w:r w:rsidRPr="00860E17">
        <w:rPr>
          <w:rFonts w:eastAsia="Times New Roman" w:cs="Arial"/>
          <w:color w:val="000000"/>
          <w:lang w:eastAsia="bg-BG"/>
        </w:rPr>
        <w:t xml:space="preserve">А2 е възможно да доведе да по-високи концентрации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Флувоксамин</w:t>
      </w:r>
      <w:proofErr w:type="spellEnd"/>
      <w:r w:rsidRPr="00860E17">
        <w:rPr>
          <w:rFonts w:eastAsia="Times New Roman" w:cs="Arial"/>
          <w:color w:val="000000"/>
          <w:lang w:eastAsia="bg-BG"/>
        </w:rPr>
        <w:t xml:space="preserve"> (100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веднъж дневно), мощен инхибитор на </w:t>
      </w:r>
      <w:r w:rsidRPr="00860E17">
        <w:rPr>
          <w:rFonts w:eastAsia="Times New Roman" w:cs="Arial"/>
          <w:color w:val="000000"/>
        </w:rPr>
        <w:t>CYP1</w:t>
      </w:r>
      <w:r w:rsidRPr="00860E17">
        <w:rPr>
          <w:rFonts w:eastAsia="Times New Roman" w:cs="Arial"/>
          <w:color w:val="000000"/>
          <w:lang w:eastAsia="bg-BG"/>
        </w:rPr>
        <w:t xml:space="preserve">А2, намалява привидния плазмен клирънс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 около 77% и повишава </w:t>
      </w:r>
      <w:proofErr w:type="spellStart"/>
      <w:r w:rsidRPr="00860E17">
        <w:rPr>
          <w:rFonts w:eastAsia="Times New Roman" w:cs="Arial"/>
          <w:color w:val="000000"/>
        </w:rPr>
        <w:t>AUC</w:t>
      </w:r>
      <w:r w:rsidRPr="00860E17">
        <w:rPr>
          <w:rFonts w:eastAsia="Times New Roman" w:cs="Arial"/>
          <w:color w:val="000000"/>
          <w:vertAlign w:val="subscript"/>
          <w:lang w:eastAsia="bg-BG"/>
        </w:rPr>
        <w:t>о</w:t>
      </w:r>
      <w:proofErr w:type="spellEnd"/>
      <w:r w:rsidRPr="00860E17">
        <w:rPr>
          <w:rFonts w:eastAsia="Times New Roman" w:cs="Arial"/>
          <w:color w:val="000000"/>
          <w:vertAlign w:val="subscript"/>
        </w:rPr>
        <w:t>-t</w:t>
      </w:r>
      <w:r w:rsidRPr="00860E17">
        <w:rPr>
          <w:rFonts w:eastAsia="Times New Roman" w:cs="Arial"/>
          <w:color w:val="000000"/>
        </w:rPr>
        <w:t xml:space="preserve"> </w:t>
      </w:r>
      <w:r w:rsidRPr="00860E17">
        <w:rPr>
          <w:rFonts w:eastAsia="Times New Roman" w:cs="Arial"/>
          <w:color w:val="000000"/>
          <w:lang w:eastAsia="bg-BG"/>
        </w:rPr>
        <w:t xml:space="preserve">6 пъти. Затова </w:t>
      </w:r>
      <w:proofErr w:type="spellStart"/>
      <w:r w:rsidRPr="00860E17">
        <w:rPr>
          <w:rFonts w:eastAsia="Times New Roman" w:cs="Arial"/>
          <w:color w:val="000000"/>
          <w:lang w:eastAsia="bg-BG"/>
        </w:rPr>
        <w:t>Дулсевиа</w:t>
      </w:r>
      <w:proofErr w:type="spellEnd"/>
      <w:r w:rsidRPr="00860E17">
        <w:rPr>
          <w:rFonts w:eastAsia="Times New Roman" w:cs="Arial"/>
          <w:color w:val="000000"/>
          <w:lang w:eastAsia="bg-BG"/>
        </w:rPr>
        <w:t xml:space="preserve"> не трябва да се прилага в комбинация с мощни инхибитори на </w:t>
      </w:r>
      <w:r w:rsidRPr="00860E17">
        <w:rPr>
          <w:rFonts w:eastAsia="Times New Roman" w:cs="Arial"/>
          <w:color w:val="000000"/>
        </w:rPr>
        <w:t xml:space="preserve">CYP1A2 </w:t>
      </w:r>
      <w:r w:rsidRPr="00860E17">
        <w:rPr>
          <w:rFonts w:eastAsia="Times New Roman" w:cs="Arial"/>
          <w:color w:val="000000"/>
          <w:lang w:eastAsia="bg-BG"/>
        </w:rPr>
        <w:t xml:space="preserve">като </w:t>
      </w:r>
      <w:proofErr w:type="spellStart"/>
      <w:r w:rsidRPr="00860E17">
        <w:rPr>
          <w:rFonts w:eastAsia="Times New Roman" w:cs="Arial"/>
          <w:color w:val="000000"/>
          <w:lang w:eastAsia="bg-BG"/>
        </w:rPr>
        <w:t>флувоксамин</w:t>
      </w:r>
      <w:proofErr w:type="spellEnd"/>
      <w:r w:rsidRPr="00860E17">
        <w:rPr>
          <w:rFonts w:eastAsia="Times New Roman" w:cs="Arial"/>
          <w:color w:val="000000"/>
          <w:lang w:eastAsia="bg-BG"/>
        </w:rPr>
        <w:t xml:space="preserve"> (вж. точка 4.3).</w:t>
      </w:r>
    </w:p>
    <w:p w14:paraId="5543F1D9" w14:textId="77777777" w:rsidR="009E5AB1" w:rsidRPr="00860E17" w:rsidRDefault="009E5AB1" w:rsidP="009E5AB1">
      <w:pPr>
        <w:spacing w:line="240" w:lineRule="auto"/>
        <w:rPr>
          <w:rFonts w:eastAsia="Times New Roman" w:cs="Arial"/>
          <w:i/>
          <w:iCs/>
          <w:color w:val="000000"/>
          <w:lang w:eastAsia="bg-BG"/>
        </w:rPr>
      </w:pPr>
    </w:p>
    <w:p w14:paraId="11422332" w14:textId="6F6D758F" w:rsidR="009E5AB1" w:rsidRPr="00860E17" w:rsidRDefault="009E5AB1" w:rsidP="009E5AB1">
      <w:pPr>
        <w:spacing w:line="240" w:lineRule="auto"/>
        <w:rPr>
          <w:rFonts w:eastAsia="Times New Roman" w:cs="Arial"/>
          <w:sz w:val="24"/>
          <w:szCs w:val="24"/>
        </w:rPr>
      </w:pPr>
      <w:r w:rsidRPr="00860E17">
        <w:rPr>
          <w:rFonts w:eastAsia="Times New Roman" w:cs="Arial"/>
          <w:i/>
          <w:iCs/>
          <w:color w:val="000000"/>
          <w:lang w:eastAsia="bg-BG"/>
        </w:rPr>
        <w:t>Лекарствени продукти, действащи върху ЦНС:</w:t>
      </w:r>
      <w:r w:rsidRPr="00860E17">
        <w:rPr>
          <w:rFonts w:eastAsia="Times New Roman" w:cs="Arial"/>
          <w:color w:val="000000"/>
          <w:lang w:eastAsia="bg-BG"/>
        </w:rPr>
        <w:t xml:space="preserve"> Рискът от употреба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в комбинация с други повлияващи ЦНС лекарствени продукти не е системно оценяван, освен в случаите, описани в тази точка. Следователно се препоръчва повишено внимание, когато </w:t>
      </w:r>
      <w:proofErr w:type="spellStart"/>
      <w:r w:rsidRPr="00860E17">
        <w:rPr>
          <w:rFonts w:eastAsia="Times New Roman" w:cs="Arial"/>
          <w:color w:val="000000"/>
          <w:lang w:eastAsia="bg-BG"/>
        </w:rPr>
        <w:t>Дулсевиа</w:t>
      </w:r>
      <w:proofErr w:type="spellEnd"/>
      <w:r w:rsidRPr="00860E17">
        <w:rPr>
          <w:rFonts w:eastAsia="Times New Roman" w:cs="Arial"/>
          <w:color w:val="000000"/>
          <w:lang w:eastAsia="bg-BG"/>
        </w:rPr>
        <w:t xml:space="preserve"> се приема в комбинация с други централно действащи лекарствени продукти или вещества, включително алкохол и седативни лекарствени продукти (напр. </w:t>
      </w:r>
      <w:proofErr w:type="spellStart"/>
      <w:r w:rsidRPr="00860E17">
        <w:rPr>
          <w:rFonts w:eastAsia="Times New Roman" w:cs="Arial"/>
          <w:color w:val="000000"/>
          <w:lang w:eastAsia="bg-BG"/>
        </w:rPr>
        <w:t>безнодиазепини</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морфиномиметици</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антипсихотици</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фенобарбитал</w:t>
      </w:r>
      <w:proofErr w:type="spellEnd"/>
      <w:r w:rsidRPr="00860E17">
        <w:rPr>
          <w:rFonts w:eastAsia="Times New Roman" w:cs="Arial"/>
          <w:color w:val="000000"/>
          <w:lang w:eastAsia="bg-BG"/>
        </w:rPr>
        <w:t xml:space="preserve">, седативни </w:t>
      </w:r>
      <w:proofErr w:type="spellStart"/>
      <w:r w:rsidRPr="00860E17">
        <w:rPr>
          <w:rFonts w:eastAsia="Times New Roman" w:cs="Arial"/>
          <w:color w:val="000000"/>
          <w:lang w:eastAsia="bg-BG"/>
        </w:rPr>
        <w:t>антихистамини</w:t>
      </w:r>
      <w:proofErr w:type="spellEnd"/>
      <w:r w:rsidRPr="00860E17">
        <w:rPr>
          <w:rFonts w:eastAsia="Times New Roman" w:cs="Arial"/>
          <w:color w:val="000000"/>
          <w:lang w:eastAsia="bg-BG"/>
        </w:rPr>
        <w:t>).</w:t>
      </w:r>
    </w:p>
    <w:p w14:paraId="22BDE16E" w14:textId="77777777" w:rsidR="009E5AB1" w:rsidRPr="00860E17" w:rsidRDefault="009E5AB1" w:rsidP="009E5AB1">
      <w:pPr>
        <w:spacing w:line="240" w:lineRule="auto"/>
        <w:rPr>
          <w:rFonts w:eastAsia="Times New Roman" w:cs="Arial"/>
          <w:i/>
          <w:iCs/>
          <w:color w:val="000000"/>
          <w:lang w:eastAsia="bg-BG"/>
        </w:rPr>
      </w:pPr>
    </w:p>
    <w:p w14:paraId="314CEE43" w14:textId="2AA1F843" w:rsidR="009E5AB1" w:rsidRPr="00860E17" w:rsidRDefault="009E5AB1" w:rsidP="009E5AB1">
      <w:pPr>
        <w:spacing w:line="240" w:lineRule="auto"/>
        <w:rPr>
          <w:rFonts w:eastAsia="Times New Roman" w:cs="Arial"/>
          <w:sz w:val="24"/>
          <w:szCs w:val="24"/>
        </w:rPr>
      </w:pPr>
      <w:proofErr w:type="spellStart"/>
      <w:r w:rsidRPr="00860E17">
        <w:rPr>
          <w:rFonts w:eastAsia="Times New Roman" w:cs="Arial"/>
          <w:i/>
          <w:iCs/>
          <w:color w:val="000000"/>
          <w:lang w:eastAsia="bg-BG"/>
        </w:rPr>
        <w:t>Серотонинергични</w:t>
      </w:r>
      <w:proofErr w:type="spellEnd"/>
      <w:r w:rsidRPr="00860E17">
        <w:rPr>
          <w:rFonts w:eastAsia="Times New Roman" w:cs="Arial"/>
          <w:i/>
          <w:iCs/>
          <w:color w:val="000000"/>
          <w:lang w:eastAsia="bg-BG"/>
        </w:rPr>
        <w:t xml:space="preserve"> лекарствени средства:</w:t>
      </w:r>
      <w:r w:rsidRPr="00860E17">
        <w:rPr>
          <w:rFonts w:eastAsia="Times New Roman" w:cs="Arial"/>
          <w:color w:val="000000"/>
          <w:lang w:eastAsia="bg-BG"/>
        </w:rPr>
        <w:t xml:space="preserve"> В редки случаи е съобщаван </w:t>
      </w:r>
      <w:proofErr w:type="spellStart"/>
      <w:r w:rsidRPr="00860E17">
        <w:rPr>
          <w:rFonts w:eastAsia="Times New Roman" w:cs="Arial"/>
          <w:color w:val="000000"/>
          <w:lang w:eastAsia="bg-BG"/>
        </w:rPr>
        <w:t>серотонинов</w:t>
      </w:r>
      <w:proofErr w:type="spellEnd"/>
      <w:r w:rsidRPr="00860E17">
        <w:rPr>
          <w:rFonts w:eastAsia="Times New Roman" w:cs="Arial"/>
          <w:color w:val="000000"/>
          <w:lang w:eastAsia="bg-BG"/>
        </w:rPr>
        <w:t xml:space="preserve"> синдром при пациенти, които използват </w:t>
      </w:r>
      <w:proofErr w:type="spellStart"/>
      <w:r w:rsidRPr="00860E17">
        <w:rPr>
          <w:rFonts w:eastAsia="Times New Roman" w:cs="Arial"/>
          <w:color w:val="000000"/>
        </w:rPr>
        <w:t>SSRIs</w:t>
      </w:r>
      <w:proofErr w:type="spellEnd"/>
      <w:r w:rsidRPr="00860E17">
        <w:rPr>
          <w:rFonts w:eastAsia="Times New Roman" w:cs="Arial"/>
          <w:color w:val="000000"/>
        </w:rPr>
        <w:t>/</w:t>
      </w:r>
      <w:proofErr w:type="spellStart"/>
      <w:r w:rsidRPr="00860E17">
        <w:rPr>
          <w:rFonts w:eastAsia="Times New Roman" w:cs="Arial"/>
          <w:color w:val="000000"/>
        </w:rPr>
        <w:t>SNRIs</w:t>
      </w:r>
      <w:proofErr w:type="spellEnd"/>
      <w:r w:rsidRPr="00860E17">
        <w:rPr>
          <w:rFonts w:eastAsia="Times New Roman" w:cs="Arial"/>
          <w:color w:val="000000"/>
        </w:rPr>
        <w:t xml:space="preserve"> </w:t>
      </w:r>
      <w:r w:rsidRPr="00860E17">
        <w:rPr>
          <w:rFonts w:eastAsia="Times New Roman" w:cs="Arial"/>
          <w:color w:val="000000"/>
          <w:lang w:eastAsia="bg-BG"/>
        </w:rPr>
        <w:t xml:space="preserve">едновременно със </w:t>
      </w:r>
      <w:proofErr w:type="spellStart"/>
      <w:r w:rsidRPr="00860E17">
        <w:rPr>
          <w:rFonts w:eastAsia="Times New Roman" w:cs="Arial"/>
          <w:color w:val="000000"/>
          <w:lang w:eastAsia="bg-BG"/>
        </w:rPr>
        <w:t>серотонинергични</w:t>
      </w:r>
      <w:proofErr w:type="spellEnd"/>
      <w:r w:rsidRPr="00860E17">
        <w:rPr>
          <w:rFonts w:eastAsia="Times New Roman" w:cs="Arial"/>
          <w:color w:val="000000"/>
          <w:lang w:eastAsia="bg-BG"/>
        </w:rPr>
        <w:t xml:space="preserve"> средства. Препоръчва се внимание, ако </w:t>
      </w:r>
      <w:proofErr w:type="spellStart"/>
      <w:r w:rsidRPr="00860E17">
        <w:rPr>
          <w:rFonts w:eastAsia="Times New Roman" w:cs="Arial"/>
          <w:color w:val="000000"/>
          <w:lang w:eastAsia="bg-BG"/>
        </w:rPr>
        <w:t>Дулсевиа</w:t>
      </w:r>
      <w:proofErr w:type="spellEnd"/>
      <w:r w:rsidRPr="00860E17">
        <w:rPr>
          <w:rFonts w:eastAsia="Times New Roman" w:cs="Arial"/>
          <w:color w:val="000000"/>
          <w:lang w:eastAsia="bg-BG"/>
        </w:rPr>
        <w:t xml:space="preserve"> се използва едновременно със </w:t>
      </w:r>
      <w:proofErr w:type="spellStart"/>
      <w:r w:rsidRPr="00860E17">
        <w:rPr>
          <w:rFonts w:eastAsia="Times New Roman" w:cs="Arial"/>
          <w:color w:val="000000"/>
          <w:lang w:eastAsia="bg-BG"/>
        </w:rPr>
        <w:t>серотонинергични</w:t>
      </w:r>
      <w:proofErr w:type="spellEnd"/>
      <w:r w:rsidRPr="00860E17">
        <w:rPr>
          <w:rFonts w:eastAsia="Times New Roman" w:cs="Arial"/>
          <w:color w:val="000000"/>
          <w:lang w:eastAsia="bg-BG"/>
        </w:rPr>
        <w:t xml:space="preserve"> лекарствени средства, като </w:t>
      </w:r>
      <w:proofErr w:type="spellStart"/>
      <w:r w:rsidRPr="00860E17">
        <w:rPr>
          <w:rFonts w:eastAsia="Times New Roman" w:cs="Arial"/>
          <w:color w:val="000000"/>
        </w:rPr>
        <w:t>SSRIs</w:t>
      </w:r>
      <w:proofErr w:type="spellEnd"/>
      <w:r w:rsidRPr="00860E17">
        <w:rPr>
          <w:rFonts w:eastAsia="Times New Roman" w:cs="Arial"/>
          <w:color w:val="000000"/>
        </w:rPr>
        <w:t xml:space="preserve">, </w:t>
      </w:r>
      <w:proofErr w:type="spellStart"/>
      <w:r w:rsidRPr="00860E17">
        <w:rPr>
          <w:rFonts w:eastAsia="Times New Roman" w:cs="Arial"/>
          <w:color w:val="000000"/>
        </w:rPr>
        <w:t>SNRIs</w:t>
      </w:r>
      <w:proofErr w:type="spellEnd"/>
      <w:r w:rsidRPr="00860E17">
        <w:rPr>
          <w:rFonts w:eastAsia="Times New Roman" w:cs="Arial"/>
          <w:color w:val="000000"/>
        </w:rPr>
        <w:t xml:space="preserve">, </w:t>
      </w:r>
      <w:r w:rsidRPr="00860E17">
        <w:rPr>
          <w:rFonts w:eastAsia="Times New Roman" w:cs="Arial"/>
          <w:color w:val="000000"/>
          <w:lang w:eastAsia="bg-BG"/>
        </w:rPr>
        <w:t xml:space="preserve">трициклични антидепресанти, като </w:t>
      </w:r>
      <w:proofErr w:type="spellStart"/>
      <w:r w:rsidRPr="00860E17">
        <w:rPr>
          <w:rFonts w:eastAsia="Times New Roman" w:cs="Arial"/>
          <w:color w:val="000000"/>
          <w:lang w:eastAsia="bg-BG"/>
        </w:rPr>
        <w:t>кломипрамин</w:t>
      </w:r>
      <w:proofErr w:type="spellEnd"/>
      <w:r w:rsidRPr="00860E17">
        <w:rPr>
          <w:rFonts w:eastAsia="Times New Roman" w:cs="Arial"/>
          <w:color w:val="000000"/>
          <w:lang w:eastAsia="bg-BG"/>
        </w:rPr>
        <w:t xml:space="preserve"> или </w:t>
      </w:r>
      <w:proofErr w:type="spellStart"/>
      <w:r w:rsidRPr="00860E17">
        <w:rPr>
          <w:rFonts w:eastAsia="Times New Roman" w:cs="Arial"/>
          <w:color w:val="000000"/>
          <w:lang w:eastAsia="bg-BG"/>
        </w:rPr>
        <w:t>амитриптилин</w:t>
      </w:r>
      <w:proofErr w:type="spellEnd"/>
      <w:r w:rsidRPr="00860E17">
        <w:rPr>
          <w:rFonts w:eastAsia="Times New Roman" w:cs="Arial"/>
          <w:color w:val="000000"/>
          <w:lang w:eastAsia="bg-BG"/>
        </w:rPr>
        <w:t xml:space="preserve">, </w:t>
      </w:r>
      <w:r w:rsidRPr="00860E17">
        <w:rPr>
          <w:rFonts w:eastAsia="Times New Roman" w:cs="Arial"/>
          <w:color w:val="000000"/>
        </w:rPr>
        <w:t>MAO</w:t>
      </w:r>
      <w:r w:rsidRPr="00860E17">
        <w:rPr>
          <w:rFonts w:eastAsia="Times New Roman" w:cs="Arial"/>
          <w:color w:val="000000"/>
          <w:lang w:eastAsia="bg-BG"/>
        </w:rPr>
        <w:t xml:space="preserve">-инхибитори, като </w:t>
      </w:r>
      <w:proofErr w:type="spellStart"/>
      <w:r w:rsidRPr="00860E17">
        <w:rPr>
          <w:rFonts w:eastAsia="Times New Roman" w:cs="Arial"/>
          <w:color w:val="000000"/>
          <w:lang w:eastAsia="bg-BG"/>
        </w:rPr>
        <w:t>моклобемид</w:t>
      </w:r>
      <w:proofErr w:type="spellEnd"/>
      <w:r w:rsidRPr="00860E17">
        <w:rPr>
          <w:rFonts w:eastAsia="Times New Roman" w:cs="Arial"/>
          <w:color w:val="000000"/>
          <w:lang w:eastAsia="bg-BG"/>
        </w:rPr>
        <w:t xml:space="preserve"> или </w:t>
      </w:r>
      <w:proofErr w:type="spellStart"/>
      <w:r w:rsidRPr="00860E17">
        <w:rPr>
          <w:rFonts w:eastAsia="Times New Roman" w:cs="Arial"/>
          <w:color w:val="000000"/>
          <w:lang w:eastAsia="bg-BG"/>
        </w:rPr>
        <w:t>линезолид</w:t>
      </w:r>
      <w:proofErr w:type="spellEnd"/>
      <w:r w:rsidRPr="00860E17">
        <w:rPr>
          <w:rFonts w:eastAsia="Times New Roman" w:cs="Arial"/>
          <w:color w:val="000000"/>
          <w:lang w:eastAsia="bg-BG"/>
        </w:rPr>
        <w:t xml:space="preserve">, жълт кантарион </w:t>
      </w:r>
      <w:r w:rsidRPr="00860E17">
        <w:rPr>
          <w:rFonts w:eastAsia="Times New Roman" w:cs="Arial"/>
          <w:color w:val="000000"/>
        </w:rPr>
        <w:t>(</w:t>
      </w:r>
      <w:proofErr w:type="spellStart"/>
      <w:r w:rsidRPr="00860E17">
        <w:rPr>
          <w:rFonts w:eastAsia="Times New Roman" w:cs="Arial"/>
          <w:color w:val="000000"/>
        </w:rPr>
        <w:t>Hypericum</w:t>
      </w:r>
      <w:proofErr w:type="spellEnd"/>
      <w:r w:rsidRPr="00860E17">
        <w:rPr>
          <w:rFonts w:eastAsia="Times New Roman" w:cs="Arial"/>
          <w:color w:val="000000"/>
        </w:rPr>
        <w:t xml:space="preserve"> </w:t>
      </w:r>
      <w:proofErr w:type="spellStart"/>
      <w:r w:rsidRPr="00860E17">
        <w:rPr>
          <w:rFonts w:eastAsia="Times New Roman" w:cs="Arial"/>
          <w:color w:val="000000"/>
        </w:rPr>
        <w:t>perforatum</w:t>
      </w:r>
      <w:proofErr w:type="spellEnd"/>
      <w:r w:rsidRPr="00860E17">
        <w:rPr>
          <w:rFonts w:eastAsia="Times New Roman" w:cs="Arial"/>
          <w:color w:val="000000"/>
        </w:rPr>
        <w:t xml:space="preserve">) </w:t>
      </w:r>
      <w:r w:rsidRPr="00860E17">
        <w:rPr>
          <w:rFonts w:eastAsia="Times New Roman" w:cs="Arial"/>
          <w:color w:val="000000"/>
          <w:lang w:eastAsia="bg-BG"/>
        </w:rPr>
        <w:t xml:space="preserve">или </w:t>
      </w:r>
      <w:proofErr w:type="spellStart"/>
      <w:r w:rsidRPr="00860E17">
        <w:rPr>
          <w:rFonts w:eastAsia="Times New Roman" w:cs="Arial"/>
          <w:color w:val="000000"/>
          <w:lang w:eastAsia="bg-BG"/>
        </w:rPr>
        <w:t>триптани</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бупренорфин</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трамадол</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петидин</w:t>
      </w:r>
      <w:proofErr w:type="spellEnd"/>
      <w:r w:rsidRPr="00860E17">
        <w:rPr>
          <w:rFonts w:eastAsia="Times New Roman" w:cs="Arial"/>
          <w:color w:val="000000"/>
          <w:lang w:eastAsia="bg-BG"/>
        </w:rPr>
        <w:t xml:space="preserve"> и </w:t>
      </w:r>
      <w:proofErr w:type="spellStart"/>
      <w:r w:rsidRPr="00860E17">
        <w:rPr>
          <w:rFonts w:eastAsia="Times New Roman" w:cs="Arial"/>
          <w:color w:val="000000"/>
          <w:lang w:eastAsia="bg-BG"/>
        </w:rPr>
        <w:t>триптофан</w:t>
      </w:r>
      <w:proofErr w:type="spellEnd"/>
      <w:r w:rsidRPr="00860E17">
        <w:rPr>
          <w:rFonts w:eastAsia="Times New Roman" w:cs="Arial"/>
          <w:color w:val="000000"/>
          <w:lang w:eastAsia="bg-BG"/>
        </w:rPr>
        <w:t xml:space="preserve"> (вж. точка 4.4).</w:t>
      </w:r>
    </w:p>
    <w:p w14:paraId="244DD807" w14:textId="77777777" w:rsidR="009E5AB1" w:rsidRPr="00860E17" w:rsidRDefault="009E5AB1" w:rsidP="009E5AB1">
      <w:pPr>
        <w:spacing w:line="240" w:lineRule="auto"/>
        <w:rPr>
          <w:rFonts w:eastAsia="Times New Roman" w:cs="Arial"/>
          <w:i/>
          <w:iCs/>
          <w:color w:val="000000"/>
          <w:lang w:eastAsia="bg-BG"/>
        </w:rPr>
      </w:pPr>
    </w:p>
    <w:p w14:paraId="6F5D438C" w14:textId="697E108D" w:rsidR="009E5AB1" w:rsidRPr="00860E17" w:rsidRDefault="009E5AB1" w:rsidP="009E5AB1">
      <w:pPr>
        <w:spacing w:line="240" w:lineRule="auto"/>
        <w:rPr>
          <w:rFonts w:eastAsia="Times New Roman" w:cs="Arial"/>
          <w:sz w:val="24"/>
          <w:szCs w:val="24"/>
        </w:rPr>
      </w:pPr>
      <w:r w:rsidRPr="00860E17">
        <w:rPr>
          <w:rFonts w:eastAsia="Times New Roman" w:cs="Arial"/>
          <w:i/>
          <w:iCs/>
          <w:color w:val="000000"/>
          <w:lang w:eastAsia="bg-BG"/>
        </w:rPr>
        <w:t xml:space="preserve">Ефект на </w:t>
      </w:r>
      <w:proofErr w:type="spellStart"/>
      <w:r w:rsidRPr="00860E17">
        <w:rPr>
          <w:rFonts w:eastAsia="Times New Roman" w:cs="Arial"/>
          <w:i/>
          <w:iCs/>
          <w:color w:val="000000"/>
          <w:lang w:eastAsia="bg-BG"/>
        </w:rPr>
        <w:t>дулоксетин</w:t>
      </w:r>
      <w:proofErr w:type="spellEnd"/>
      <w:r w:rsidRPr="00860E17">
        <w:rPr>
          <w:rFonts w:eastAsia="Times New Roman" w:cs="Arial"/>
          <w:i/>
          <w:iCs/>
          <w:color w:val="000000"/>
          <w:lang w:eastAsia="bg-BG"/>
        </w:rPr>
        <w:t xml:space="preserve"> върху други лекарствени продукти</w:t>
      </w:r>
    </w:p>
    <w:p w14:paraId="67F54F70" w14:textId="77777777" w:rsidR="009E5AB1" w:rsidRPr="00860E17" w:rsidRDefault="009E5AB1" w:rsidP="009E5AB1">
      <w:pPr>
        <w:spacing w:line="240" w:lineRule="auto"/>
        <w:rPr>
          <w:rFonts w:eastAsia="Times New Roman" w:cs="Arial"/>
          <w:sz w:val="24"/>
          <w:szCs w:val="24"/>
        </w:rPr>
      </w:pPr>
      <w:r w:rsidRPr="00860E17">
        <w:rPr>
          <w:rFonts w:eastAsia="Times New Roman" w:cs="Arial"/>
          <w:i/>
          <w:iCs/>
          <w:color w:val="000000"/>
          <w:lang w:eastAsia="bg-BG"/>
        </w:rPr>
        <w:t xml:space="preserve">Лекарствени продукти, </w:t>
      </w:r>
      <w:proofErr w:type="spellStart"/>
      <w:r w:rsidRPr="00860E17">
        <w:rPr>
          <w:rFonts w:eastAsia="Times New Roman" w:cs="Arial"/>
          <w:i/>
          <w:iCs/>
          <w:color w:val="000000"/>
          <w:lang w:eastAsia="bg-BG"/>
        </w:rPr>
        <w:t>метаболизирани</w:t>
      </w:r>
      <w:proofErr w:type="spellEnd"/>
      <w:r w:rsidRPr="00860E17">
        <w:rPr>
          <w:rFonts w:eastAsia="Times New Roman" w:cs="Arial"/>
          <w:i/>
          <w:iCs/>
          <w:color w:val="000000"/>
          <w:lang w:eastAsia="bg-BG"/>
        </w:rPr>
        <w:t xml:space="preserve"> от </w:t>
      </w:r>
      <w:r w:rsidRPr="00860E17">
        <w:rPr>
          <w:rFonts w:eastAsia="Times New Roman" w:cs="Arial"/>
          <w:i/>
          <w:iCs/>
          <w:color w:val="000000"/>
        </w:rPr>
        <w:t>CYP1A2:</w:t>
      </w:r>
      <w:r w:rsidRPr="00860E17">
        <w:rPr>
          <w:rFonts w:eastAsia="Times New Roman" w:cs="Arial"/>
          <w:color w:val="000000"/>
        </w:rPr>
        <w:t xml:space="preserve"> </w:t>
      </w:r>
      <w:r w:rsidRPr="00860E17">
        <w:rPr>
          <w:rFonts w:eastAsia="Times New Roman" w:cs="Arial"/>
          <w:color w:val="000000"/>
          <w:lang w:eastAsia="bg-BG"/>
        </w:rPr>
        <w:t xml:space="preserve">Фармакокинетиката на </w:t>
      </w:r>
      <w:proofErr w:type="spellStart"/>
      <w:r w:rsidRPr="00860E17">
        <w:rPr>
          <w:rFonts w:eastAsia="Times New Roman" w:cs="Arial"/>
          <w:color w:val="000000"/>
          <w:lang w:eastAsia="bg-BG"/>
        </w:rPr>
        <w:t>теофилин</w:t>
      </w:r>
      <w:proofErr w:type="spellEnd"/>
      <w:r w:rsidRPr="00860E17">
        <w:rPr>
          <w:rFonts w:eastAsia="Times New Roman" w:cs="Arial"/>
          <w:color w:val="000000"/>
          <w:lang w:eastAsia="bg-BG"/>
        </w:rPr>
        <w:t xml:space="preserve">, субстрат на </w:t>
      </w:r>
      <w:r w:rsidRPr="00860E17">
        <w:rPr>
          <w:rFonts w:eastAsia="Times New Roman" w:cs="Arial"/>
          <w:color w:val="000000"/>
        </w:rPr>
        <w:t>CYP1</w:t>
      </w:r>
      <w:r w:rsidRPr="00860E17">
        <w:rPr>
          <w:rFonts w:eastAsia="Times New Roman" w:cs="Arial"/>
          <w:color w:val="000000"/>
          <w:lang w:eastAsia="bg-BG"/>
        </w:rPr>
        <w:t xml:space="preserve">А2, не се повлиява значително при едновременно приложение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два пъти дневно).</w:t>
      </w:r>
    </w:p>
    <w:p w14:paraId="1C595B86" w14:textId="77777777" w:rsidR="009E5AB1" w:rsidRPr="00860E17" w:rsidRDefault="009E5AB1" w:rsidP="009E5AB1">
      <w:pPr>
        <w:spacing w:line="240" w:lineRule="auto"/>
        <w:rPr>
          <w:rFonts w:eastAsia="Times New Roman" w:cs="Arial"/>
          <w:i/>
          <w:iCs/>
          <w:color w:val="000000"/>
          <w:lang w:eastAsia="bg-BG"/>
        </w:rPr>
      </w:pPr>
    </w:p>
    <w:p w14:paraId="48F56603" w14:textId="5965401C" w:rsidR="009E5AB1" w:rsidRPr="00860E17" w:rsidRDefault="009E5AB1" w:rsidP="009E5AB1">
      <w:pPr>
        <w:spacing w:line="240" w:lineRule="auto"/>
        <w:rPr>
          <w:rFonts w:eastAsia="Times New Roman" w:cs="Arial"/>
          <w:sz w:val="24"/>
          <w:szCs w:val="24"/>
        </w:rPr>
      </w:pPr>
      <w:r w:rsidRPr="00860E17">
        <w:rPr>
          <w:rFonts w:eastAsia="Times New Roman" w:cs="Arial"/>
          <w:i/>
          <w:iCs/>
          <w:color w:val="000000"/>
          <w:lang w:eastAsia="bg-BG"/>
        </w:rPr>
        <w:t xml:space="preserve">Лекарствени продукти </w:t>
      </w:r>
      <w:proofErr w:type="spellStart"/>
      <w:r w:rsidRPr="00860E17">
        <w:rPr>
          <w:rFonts w:eastAsia="Times New Roman" w:cs="Arial"/>
          <w:i/>
          <w:iCs/>
          <w:color w:val="000000"/>
          <w:lang w:eastAsia="bg-BG"/>
        </w:rPr>
        <w:t>метаболизирани</w:t>
      </w:r>
      <w:proofErr w:type="spellEnd"/>
      <w:r w:rsidRPr="00860E17">
        <w:rPr>
          <w:rFonts w:eastAsia="Times New Roman" w:cs="Arial"/>
          <w:i/>
          <w:iCs/>
          <w:color w:val="000000"/>
          <w:lang w:eastAsia="bg-BG"/>
        </w:rPr>
        <w:t xml:space="preserve"> от </w:t>
      </w:r>
      <w:r w:rsidRPr="00860E17">
        <w:rPr>
          <w:rFonts w:eastAsia="Times New Roman" w:cs="Arial"/>
          <w:i/>
          <w:iCs/>
          <w:color w:val="000000"/>
        </w:rPr>
        <w:t>CYP2D6:</w:t>
      </w:r>
      <w:r w:rsidRPr="00860E17">
        <w:rPr>
          <w:rFonts w:eastAsia="Times New Roman" w:cs="Arial"/>
          <w:color w:val="000000"/>
        </w:rPr>
        <w:t xml:space="preserve">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е умерен инхибитор на </w:t>
      </w:r>
      <w:r w:rsidRPr="00860E17">
        <w:rPr>
          <w:rFonts w:eastAsia="Times New Roman" w:cs="Arial"/>
          <w:color w:val="000000"/>
        </w:rPr>
        <w:t xml:space="preserve">CYP2D6. </w:t>
      </w:r>
      <w:r w:rsidRPr="00860E17">
        <w:rPr>
          <w:rFonts w:eastAsia="Times New Roman" w:cs="Arial"/>
          <w:color w:val="000000"/>
          <w:lang w:eastAsia="bg-BG"/>
        </w:rPr>
        <w:t xml:space="preserve">Когато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се прилага в доза 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два пъти дневно с единична доза </w:t>
      </w:r>
      <w:proofErr w:type="spellStart"/>
      <w:r w:rsidRPr="00860E17">
        <w:rPr>
          <w:rFonts w:eastAsia="Times New Roman" w:cs="Arial"/>
          <w:color w:val="000000"/>
          <w:lang w:eastAsia="bg-BG"/>
        </w:rPr>
        <w:t>дезипрамин</w:t>
      </w:r>
      <w:proofErr w:type="spellEnd"/>
      <w:r w:rsidRPr="00860E17">
        <w:rPr>
          <w:rFonts w:eastAsia="Times New Roman" w:cs="Arial"/>
          <w:color w:val="000000"/>
          <w:lang w:eastAsia="bg-BG"/>
        </w:rPr>
        <w:t xml:space="preserve">, който е </w:t>
      </w:r>
      <w:r w:rsidRPr="00860E17">
        <w:rPr>
          <w:rFonts w:eastAsia="Times New Roman" w:cs="Arial"/>
          <w:color w:val="000000"/>
        </w:rPr>
        <w:t xml:space="preserve">CYP2D6 </w:t>
      </w:r>
      <w:r w:rsidRPr="00860E17">
        <w:rPr>
          <w:rFonts w:eastAsia="Times New Roman" w:cs="Arial"/>
          <w:color w:val="000000"/>
          <w:lang w:eastAsia="bg-BG"/>
        </w:rPr>
        <w:t xml:space="preserve">субстрат, </w:t>
      </w:r>
      <w:r w:rsidRPr="00860E17">
        <w:rPr>
          <w:rFonts w:eastAsia="Times New Roman" w:cs="Arial"/>
          <w:color w:val="000000"/>
        </w:rPr>
        <w:t xml:space="preserve">AUC </w:t>
      </w:r>
      <w:r w:rsidRPr="00860E17">
        <w:rPr>
          <w:rFonts w:eastAsia="Times New Roman" w:cs="Arial"/>
          <w:color w:val="000000"/>
          <w:lang w:eastAsia="bg-BG"/>
        </w:rPr>
        <w:t xml:space="preserve">на </w:t>
      </w:r>
      <w:proofErr w:type="spellStart"/>
      <w:r w:rsidRPr="00860E17">
        <w:rPr>
          <w:rFonts w:eastAsia="Times New Roman" w:cs="Arial"/>
          <w:color w:val="000000"/>
          <w:lang w:eastAsia="bg-BG"/>
        </w:rPr>
        <w:t>дезипрамин</w:t>
      </w:r>
      <w:proofErr w:type="spellEnd"/>
      <w:r w:rsidRPr="00860E17">
        <w:rPr>
          <w:rFonts w:eastAsia="Times New Roman" w:cs="Arial"/>
          <w:color w:val="000000"/>
          <w:lang w:eastAsia="bg-BG"/>
        </w:rPr>
        <w:t xml:space="preserve"> се увеличава 3 пъти. </w:t>
      </w:r>
      <w:r w:rsidRPr="00860E17">
        <w:rPr>
          <w:rFonts w:eastAsia="Times New Roman" w:cs="Arial"/>
          <w:color w:val="000000"/>
          <w:lang w:eastAsia="bg-BG"/>
        </w:rPr>
        <w:lastRenderedPageBreak/>
        <w:t xml:space="preserve">Съвместното приложение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(40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два пъти дневно) повишава стационарната </w:t>
      </w:r>
      <w:r w:rsidRPr="00860E17">
        <w:rPr>
          <w:rFonts w:eastAsia="Times New Roman" w:cs="Arial"/>
          <w:color w:val="000000"/>
        </w:rPr>
        <w:t xml:space="preserve">AUC </w:t>
      </w:r>
      <w:r w:rsidRPr="00860E17">
        <w:rPr>
          <w:rFonts w:eastAsia="Times New Roman" w:cs="Arial"/>
          <w:color w:val="000000"/>
          <w:lang w:eastAsia="bg-BG"/>
        </w:rPr>
        <w:t xml:space="preserve">на </w:t>
      </w:r>
      <w:proofErr w:type="spellStart"/>
      <w:r w:rsidRPr="00860E17">
        <w:rPr>
          <w:rFonts w:eastAsia="Times New Roman" w:cs="Arial"/>
          <w:color w:val="000000"/>
          <w:lang w:eastAsia="bg-BG"/>
        </w:rPr>
        <w:t>толтеродин</w:t>
      </w:r>
      <w:proofErr w:type="spellEnd"/>
      <w:r w:rsidRPr="00860E17">
        <w:rPr>
          <w:rFonts w:eastAsia="Times New Roman" w:cs="Arial"/>
          <w:color w:val="000000"/>
          <w:lang w:eastAsia="bg-BG"/>
        </w:rPr>
        <w:t xml:space="preserve"> (2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два пъти дневно) със 71%, но не повлиява фармакокинетиката </w:t>
      </w:r>
      <w:proofErr w:type="spellStart"/>
      <w:r w:rsidRPr="00860E17">
        <w:rPr>
          <w:rFonts w:eastAsia="Times New Roman" w:cs="Arial"/>
          <w:color w:val="000000"/>
          <w:lang w:eastAsia="bg-BG"/>
        </w:rPr>
        <w:t>н</w:t>
      </w:r>
      <w:r w:rsidRPr="00860E17">
        <w:rPr>
          <w:rFonts w:eastAsia="Times New Roman" w:cs="Arial"/>
          <w:color w:val="000000"/>
          <w:u w:val="single"/>
          <w:lang w:eastAsia="bg-BG"/>
        </w:rPr>
        <w:t>анегови</w:t>
      </w:r>
      <w:r w:rsidRPr="00860E17">
        <w:rPr>
          <w:rFonts w:eastAsia="Times New Roman" w:cs="Arial"/>
          <w:color w:val="000000"/>
          <w:lang w:eastAsia="bg-BG"/>
        </w:rPr>
        <w:t>я</w:t>
      </w:r>
      <w:proofErr w:type="spellEnd"/>
      <w:r w:rsidRPr="00860E17">
        <w:rPr>
          <w:rFonts w:eastAsia="Times New Roman" w:cs="Arial"/>
          <w:color w:val="000000"/>
          <w:lang w:eastAsia="bg-BG"/>
        </w:rPr>
        <w:t xml:space="preserve"> активен 5-хидроксил метаболит и не се препоръчва адаптиране на дозата. Препоръчва се повишено </w:t>
      </w:r>
      <w:proofErr w:type="spellStart"/>
      <w:r w:rsidRPr="00860E17">
        <w:rPr>
          <w:rFonts w:eastAsia="Times New Roman" w:cs="Arial"/>
          <w:color w:val="000000"/>
          <w:lang w:eastAsia="bg-BG"/>
        </w:rPr>
        <w:t>повишено</w:t>
      </w:r>
      <w:proofErr w:type="spellEnd"/>
      <w:r w:rsidRPr="00860E17">
        <w:rPr>
          <w:rFonts w:eastAsia="Times New Roman" w:cs="Arial"/>
          <w:color w:val="000000"/>
          <w:lang w:eastAsia="bg-BG"/>
        </w:rPr>
        <w:t xml:space="preserve"> внимание, ако </w:t>
      </w:r>
      <w:proofErr w:type="spellStart"/>
      <w:r w:rsidRPr="00860E17">
        <w:rPr>
          <w:rFonts w:eastAsia="Times New Roman" w:cs="Arial"/>
          <w:color w:val="000000"/>
          <w:lang w:eastAsia="bg-BG"/>
        </w:rPr>
        <w:t>Дулсевиа</w:t>
      </w:r>
      <w:proofErr w:type="spellEnd"/>
      <w:r w:rsidRPr="00860E17">
        <w:rPr>
          <w:rFonts w:eastAsia="Times New Roman" w:cs="Arial"/>
          <w:color w:val="000000"/>
          <w:lang w:eastAsia="bg-BG"/>
        </w:rPr>
        <w:t xml:space="preserve"> се прилага едновременно с лекарствени продукти, които се </w:t>
      </w:r>
      <w:proofErr w:type="spellStart"/>
      <w:r w:rsidRPr="00860E17">
        <w:rPr>
          <w:rFonts w:eastAsia="Times New Roman" w:cs="Arial"/>
          <w:color w:val="000000"/>
          <w:lang w:eastAsia="bg-BG"/>
        </w:rPr>
        <w:t>метаболизират</w:t>
      </w:r>
      <w:proofErr w:type="spellEnd"/>
      <w:r w:rsidRPr="00860E17">
        <w:rPr>
          <w:rFonts w:eastAsia="Times New Roman" w:cs="Arial"/>
          <w:color w:val="000000"/>
          <w:lang w:eastAsia="bg-BG"/>
        </w:rPr>
        <w:t xml:space="preserve"> основно от </w:t>
      </w:r>
      <w:r w:rsidRPr="00860E17">
        <w:rPr>
          <w:rFonts w:eastAsia="Times New Roman" w:cs="Arial"/>
          <w:color w:val="000000"/>
        </w:rPr>
        <w:t xml:space="preserve">CYP2D6 </w:t>
      </w:r>
      <w:r w:rsidRPr="00860E17">
        <w:rPr>
          <w:rFonts w:eastAsia="Times New Roman" w:cs="Arial"/>
          <w:color w:val="000000"/>
          <w:lang w:eastAsia="bg-BG"/>
        </w:rPr>
        <w:t>(</w:t>
      </w:r>
      <w:proofErr w:type="spellStart"/>
      <w:r w:rsidRPr="00860E17">
        <w:rPr>
          <w:rFonts w:eastAsia="Times New Roman" w:cs="Arial"/>
          <w:color w:val="000000"/>
          <w:lang w:eastAsia="bg-BG"/>
        </w:rPr>
        <w:t>риспердон</w:t>
      </w:r>
      <w:proofErr w:type="spellEnd"/>
      <w:r w:rsidRPr="00860E17">
        <w:rPr>
          <w:rFonts w:eastAsia="Times New Roman" w:cs="Arial"/>
          <w:color w:val="000000"/>
          <w:lang w:eastAsia="bg-BG"/>
        </w:rPr>
        <w:t xml:space="preserve">, трициклични антидепресанти [ТЦАД] като </w:t>
      </w:r>
      <w:proofErr w:type="spellStart"/>
      <w:r w:rsidRPr="00860E17">
        <w:rPr>
          <w:rFonts w:eastAsia="Times New Roman" w:cs="Arial"/>
          <w:color w:val="000000"/>
          <w:lang w:eastAsia="bg-BG"/>
        </w:rPr>
        <w:t>нортриптилин</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амитриптилин</w:t>
      </w:r>
      <w:proofErr w:type="spellEnd"/>
      <w:r w:rsidRPr="00860E17">
        <w:rPr>
          <w:rFonts w:eastAsia="Times New Roman" w:cs="Arial"/>
          <w:color w:val="000000"/>
          <w:lang w:eastAsia="bg-BG"/>
        </w:rPr>
        <w:t xml:space="preserve"> и </w:t>
      </w:r>
      <w:proofErr w:type="spellStart"/>
      <w:r w:rsidRPr="00860E17">
        <w:rPr>
          <w:rFonts w:eastAsia="Times New Roman" w:cs="Arial"/>
          <w:color w:val="000000"/>
          <w:lang w:eastAsia="bg-BG"/>
        </w:rPr>
        <w:t>имипрамин</w:t>
      </w:r>
      <w:proofErr w:type="spellEnd"/>
      <w:r w:rsidRPr="00860E17">
        <w:rPr>
          <w:rFonts w:eastAsia="Times New Roman" w:cs="Arial"/>
          <w:color w:val="000000"/>
          <w:lang w:eastAsia="bg-BG"/>
        </w:rPr>
        <w:t xml:space="preserve">) особено, ако те имат тесен </w:t>
      </w:r>
      <w:proofErr w:type="spellStart"/>
      <w:r w:rsidRPr="00860E17">
        <w:rPr>
          <w:rFonts w:eastAsia="Times New Roman" w:cs="Arial"/>
          <w:color w:val="000000"/>
          <w:lang w:eastAsia="bg-BG"/>
        </w:rPr>
        <w:t>терпевтичен</w:t>
      </w:r>
      <w:proofErr w:type="spellEnd"/>
    </w:p>
    <w:p w14:paraId="09575144" w14:textId="77777777"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 xml:space="preserve">индекс (като </w:t>
      </w:r>
      <w:proofErr w:type="spellStart"/>
      <w:r w:rsidRPr="00860E17">
        <w:rPr>
          <w:rFonts w:eastAsia="Times New Roman" w:cs="Arial"/>
          <w:color w:val="000000"/>
          <w:lang w:eastAsia="bg-BG"/>
        </w:rPr>
        <w:t>флекаинид</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пропафенон</w:t>
      </w:r>
      <w:proofErr w:type="spellEnd"/>
      <w:r w:rsidRPr="00860E17">
        <w:rPr>
          <w:rFonts w:eastAsia="Times New Roman" w:cs="Arial"/>
          <w:color w:val="000000"/>
          <w:lang w:eastAsia="bg-BG"/>
        </w:rPr>
        <w:t xml:space="preserve"> и </w:t>
      </w:r>
      <w:proofErr w:type="spellStart"/>
      <w:r w:rsidRPr="00860E17">
        <w:rPr>
          <w:rFonts w:eastAsia="Times New Roman" w:cs="Arial"/>
          <w:color w:val="000000"/>
          <w:lang w:eastAsia="bg-BG"/>
        </w:rPr>
        <w:t>метопролол</w:t>
      </w:r>
      <w:proofErr w:type="spellEnd"/>
      <w:r w:rsidRPr="00860E17">
        <w:rPr>
          <w:rFonts w:eastAsia="Times New Roman" w:cs="Arial"/>
          <w:color w:val="000000"/>
          <w:lang w:eastAsia="bg-BG"/>
        </w:rPr>
        <w:t>).</w:t>
      </w:r>
    </w:p>
    <w:p w14:paraId="753C1198" w14:textId="77777777" w:rsidR="009E5AB1" w:rsidRPr="00860E17" w:rsidRDefault="009E5AB1" w:rsidP="009E5AB1">
      <w:pPr>
        <w:spacing w:line="240" w:lineRule="auto"/>
        <w:rPr>
          <w:rFonts w:eastAsia="Times New Roman" w:cs="Arial"/>
          <w:i/>
          <w:iCs/>
          <w:color w:val="000000"/>
          <w:lang w:eastAsia="bg-BG"/>
        </w:rPr>
      </w:pPr>
    </w:p>
    <w:p w14:paraId="2120FCA8" w14:textId="77777777" w:rsidR="009E5AB1" w:rsidRPr="00860E17" w:rsidRDefault="009E5AB1" w:rsidP="009E5AB1">
      <w:pPr>
        <w:rPr>
          <w:rFonts w:eastAsia="Times New Roman" w:cs="Arial"/>
          <w:sz w:val="24"/>
          <w:szCs w:val="24"/>
        </w:rPr>
      </w:pPr>
      <w:r w:rsidRPr="00860E17">
        <w:rPr>
          <w:rFonts w:eastAsia="Times New Roman" w:cs="Arial"/>
          <w:i/>
          <w:iCs/>
          <w:color w:val="000000"/>
          <w:lang w:eastAsia="bg-BG"/>
        </w:rPr>
        <w:t xml:space="preserve">Перорални контрацептиви и други </w:t>
      </w:r>
      <w:proofErr w:type="spellStart"/>
      <w:r w:rsidRPr="00860E17">
        <w:rPr>
          <w:rFonts w:eastAsia="Times New Roman" w:cs="Arial"/>
          <w:i/>
          <w:iCs/>
          <w:color w:val="000000"/>
          <w:lang w:eastAsia="bg-BG"/>
        </w:rPr>
        <w:t>стероидни</w:t>
      </w:r>
      <w:proofErr w:type="spellEnd"/>
      <w:r w:rsidRPr="00860E17">
        <w:rPr>
          <w:rFonts w:eastAsia="Times New Roman" w:cs="Arial"/>
          <w:i/>
          <w:iCs/>
          <w:color w:val="000000"/>
          <w:lang w:eastAsia="bg-BG"/>
        </w:rPr>
        <w:t xml:space="preserve"> препарати:</w:t>
      </w:r>
      <w:r w:rsidRPr="00860E17">
        <w:rPr>
          <w:rFonts w:eastAsia="Times New Roman" w:cs="Arial"/>
          <w:color w:val="000000"/>
          <w:lang w:eastAsia="bg-BG"/>
        </w:rPr>
        <w:t xml:space="preserve"> Резултатите от </w:t>
      </w:r>
      <w:proofErr w:type="spellStart"/>
      <w:r w:rsidRPr="00860E17">
        <w:rPr>
          <w:rFonts w:eastAsia="Times New Roman" w:cs="Arial"/>
          <w:color w:val="000000"/>
        </w:rPr>
        <w:t>in</w:t>
      </w:r>
      <w:proofErr w:type="spellEnd"/>
      <w:r w:rsidRPr="00860E17">
        <w:rPr>
          <w:rFonts w:eastAsia="Times New Roman" w:cs="Arial"/>
          <w:color w:val="000000"/>
        </w:rPr>
        <w:t xml:space="preserve"> </w:t>
      </w:r>
      <w:proofErr w:type="spellStart"/>
      <w:r w:rsidRPr="00860E17">
        <w:rPr>
          <w:rFonts w:eastAsia="Times New Roman" w:cs="Arial"/>
          <w:color w:val="000000"/>
        </w:rPr>
        <w:t>vivo</w:t>
      </w:r>
      <w:proofErr w:type="spellEnd"/>
      <w:r w:rsidRPr="00860E17">
        <w:rPr>
          <w:rFonts w:eastAsia="Times New Roman" w:cs="Arial"/>
          <w:color w:val="000000"/>
        </w:rPr>
        <w:t xml:space="preserve"> </w:t>
      </w:r>
      <w:r w:rsidRPr="00860E17">
        <w:rPr>
          <w:rFonts w:eastAsia="Times New Roman" w:cs="Arial"/>
          <w:color w:val="000000"/>
          <w:lang w:eastAsia="bg-BG"/>
        </w:rPr>
        <w:t xml:space="preserve">проучвания показват, че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не индуцира каталитичната активност на </w:t>
      </w:r>
      <w:r w:rsidRPr="00860E17">
        <w:rPr>
          <w:rFonts w:eastAsia="Times New Roman" w:cs="Arial"/>
          <w:color w:val="000000"/>
        </w:rPr>
        <w:t>CYP3A.</w:t>
      </w:r>
      <w:r w:rsidRPr="00860E17">
        <w:rPr>
          <w:rFonts w:eastAsia="Times New Roman" w:cs="Arial"/>
          <w:color w:val="000000"/>
          <w:lang w:eastAsia="bg-BG"/>
        </w:rPr>
        <w:t xml:space="preserve"> Специфични </w:t>
      </w:r>
      <w:proofErr w:type="spellStart"/>
      <w:r w:rsidRPr="00860E17">
        <w:rPr>
          <w:rFonts w:eastAsia="Times New Roman" w:cs="Arial"/>
          <w:color w:val="000000"/>
        </w:rPr>
        <w:t>in</w:t>
      </w:r>
      <w:proofErr w:type="spellEnd"/>
      <w:r w:rsidRPr="00860E17">
        <w:rPr>
          <w:rFonts w:eastAsia="Times New Roman" w:cs="Arial"/>
          <w:color w:val="000000"/>
        </w:rPr>
        <w:t xml:space="preserve"> </w:t>
      </w:r>
      <w:proofErr w:type="spellStart"/>
      <w:r w:rsidRPr="00860E17">
        <w:rPr>
          <w:rFonts w:eastAsia="Times New Roman" w:cs="Arial"/>
          <w:color w:val="000000"/>
        </w:rPr>
        <w:t>vivo</w:t>
      </w:r>
      <w:proofErr w:type="spellEnd"/>
      <w:r w:rsidRPr="00860E17">
        <w:rPr>
          <w:rFonts w:eastAsia="Times New Roman" w:cs="Arial"/>
          <w:color w:val="000000"/>
        </w:rPr>
        <w:t xml:space="preserve"> </w:t>
      </w:r>
      <w:r w:rsidRPr="00860E17">
        <w:rPr>
          <w:rFonts w:eastAsia="Times New Roman" w:cs="Arial"/>
          <w:color w:val="000000"/>
          <w:lang w:eastAsia="bg-BG"/>
        </w:rPr>
        <w:t>проучвания за лекарствени взаимодействия не са провеждани.</w:t>
      </w:r>
    </w:p>
    <w:p w14:paraId="3D93B578" w14:textId="77777777" w:rsidR="009E5AB1" w:rsidRPr="00860E17" w:rsidRDefault="009E5AB1" w:rsidP="009E5AB1">
      <w:pPr>
        <w:spacing w:line="240" w:lineRule="auto"/>
        <w:rPr>
          <w:rFonts w:eastAsia="Times New Roman" w:cs="Arial"/>
          <w:i/>
          <w:iCs/>
          <w:color w:val="000000"/>
          <w:lang w:eastAsia="bg-BG"/>
        </w:rPr>
      </w:pPr>
    </w:p>
    <w:p w14:paraId="098973A1" w14:textId="2B1E1EE3" w:rsidR="009E5AB1" w:rsidRPr="00860E17" w:rsidRDefault="009E5AB1" w:rsidP="009E5AB1">
      <w:pPr>
        <w:spacing w:line="240" w:lineRule="auto"/>
        <w:rPr>
          <w:rFonts w:eastAsia="Times New Roman" w:cs="Arial"/>
          <w:sz w:val="24"/>
          <w:szCs w:val="24"/>
        </w:rPr>
      </w:pPr>
      <w:proofErr w:type="spellStart"/>
      <w:r w:rsidRPr="00860E17">
        <w:rPr>
          <w:rFonts w:eastAsia="Times New Roman" w:cs="Arial"/>
          <w:i/>
          <w:iCs/>
          <w:color w:val="000000"/>
          <w:lang w:eastAsia="bg-BG"/>
        </w:rPr>
        <w:t>Антикоагулантпи</w:t>
      </w:r>
      <w:proofErr w:type="spellEnd"/>
      <w:r w:rsidRPr="00860E17">
        <w:rPr>
          <w:rFonts w:eastAsia="Times New Roman" w:cs="Arial"/>
          <w:i/>
          <w:iCs/>
          <w:color w:val="000000"/>
          <w:lang w:eastAsia="bg-BG"/>
        </w:rPr>
        <w:t xml:space="preserve"> и </w:t>
      </w:r>
      <w:proofErr w:type="spellStart"/>
      <w:r w:rsidRPr="00860E17">
        <w:rPr>
          <w:rFonts w:eastAsia="Times New Roman" w:cs="Arial"/>
          <w:i/>
          <w:iCs/>
          <w:color w:val="000000"/>
          <w:lang w:eastAsia="bg-BG"/>
        </w:rPr>
        <w:t>антиагреганти</w:t>
      </w:r>
      <w:proofErr w:type="spellEnd"/>
      <w:r w:rsidRPr="00860E17">
        <w:rPr>
          <w:rFonts w:eastAsia="Times New Roman" w:cs="Arial"/>
          <w:i/>
          <w:iCs/>
          <w:color w:val="000000"/>
          <w:lang w:eastAsia="bg-BG"/>
        </w:rPr>
        <w:t>:</w:t>
      </w:r>
      <w:r w:rsidRPr="00860E17">
        <w:rPr>
          <w:rFonts w:eastAsia="Times New Roman" w:cs="Arial"/>
          <w:color w:val="000000"/>
          <w:lang w:eastAsia="bg-BG"/>
        </w:rPr>
        <w:t xml:space="preserve"> Изисква се повишено внимание, когато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се комбинира с перорални антикоагуланти или </w:t>
      </w:r>
      <w:proofErr w:type="spellStart"/>
      <w:r w:rsidRPr="00860E17">
        <w:rPr>
          <w:rFonts w:eastAsia="Times New Roman" w:cs="Arial"/>
          <w:color w:val="000000"/>
          <w:lang w:eastAsia="bg-BG"/>
        </w:rPr>
        <w:t>антиагреганти</w:t>
      </w:r>
      <w:proofErr w:type="spellEnd"/>
      <w:r w:rsidRPr="00860E17">
        <w:rPr>
          <w:rFonts w:eastAsia="Times New Roman" w:cs="Arial"/>
          <w:color w:val="000000"/>
          <w:lang w:eastAsia="bg-BG"/>
        </w:rPr>
        <w:t xml:space="preserve"> поради потенциално повишен риск от кървене, което може да се обясни с </w:t>
      </w:r>
      <w:proofErr w:type="spellStart"/>
      <w:r w:rsidRPr="00860E17">
        <w:rPr>
          <w:rFonts w:eastAsia="Times New Roman" w:cs="Arial"/>
          <w:color w:val="000000"/>
          <w:lang w:eastAsia="bg-BG"/>
        </w:rPr>
        <w:t>фармакодинамично</w:t>
      </w:r>
      <w:proofErr w:type="spellEnd"/>
      <w:r w:rsidRPr="00860E17">
        <w:rPr>
          <w:rFonts w:eastAsia="Times New Roman" w:cs="Arial"/>
          <w:color w:val="000000"/>
          <w:lang w:eastAsia="bg-BG"/>
        </w:rPr>
        <w:t xml:space="preserve"> взаимодействие. Освен това е съобщавано повишаване на стойностите на </w:t>
      </w:r>
      <w:r w:rsidRPr="00860E17">
        <w:rPr>
          <w:rFonts w:eastAsia="Times New Roman" w:cs="Arial"/>
          <w:color w:val="000000"/>
        </w:rPr>
        <w:t xml:space="preserve">INR </w:t>
      </w:r>
      <w:r w:rsidRPr="00860E17">
        <w:rPr>
          <w:rFonts w:eastAsia="Times New Roman" w:cs="Arial"/>
          <w:color w:val="000000"/>
          <w:lang w:eastAsia="bg-BG"/>
        </w:rPr>
        <w:t xml:space="preserve">когато на пациенти, лекувани с </w:t>
      </w:r>
      <w:proofErr w:type="spellStart"/>
      <w:r w:rsidRPr="00860E17">
        <w:rPr>
          <w:rFonts w:eastAsia="Times New Roman" w:cs="Arial"/>
          <w:color w:val="000000"/>
          <w:lang w:eastAsia="bg-BG"/>
        </w:rPr>
        <w:t>варфарин</w:t>
      </w:r>
      <w:proofErr w:type="spellEnd"/>
      <w:r w:rsidRPr="00860E17">
        <w:rPr>
          <w:rFonts w:eastAsia="Times New Roman" w:cs="Arial"/>
          <w:color w:val="000000"/>
          <w:lang w:eastAsia="bg-BG"/>
        </w:rPr>
        <w:t xml:space="preserve">, се прилага едновременно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Все пак, едновременното прилагане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и </w:t>
      </w:r>
      <w:proofErr w:type="spellStart"/>
      <w:r w:rsidRPr="00860E17">
        <w:rPr>
          <w:rFonts w:eastAsia="Times New Roman" w:cs="Arial"/>
          <w:color w:val="000000"/>
          <w:lang w:eastAsia="bg-BG"/>
        </w:rPr>
        <w:t>варфарин</w:t>
      </w:r>
      <w:proofErr w:type="spellEnd"/>
      <w:r w:rsidRPr="00860E17">
        <w:rPr>
          <w:rFonts w:eastAsia="Times New Roman" w:cs="Arial"/>
          <w:color w:val="000000"/>
          <w:lang w:eastAsia="bg-BG"/>
        </w:rPr>
        <w:t xml:space="preserve"> на здрави доброволци, като част от клинично фармакологично проучване, при стационарно състояние не води до клинично значима промяна в </w:t>
      </w:r>
      <w:r w:rsidRPr="00860E17">
        <w:rPr>
          <w:rFonts w:eastAsia="Times New Roman" w:cs="Arial"/>
          <w:color w:val="000000"/>
        </w:rPr>
        <w:t xml:space="preserve">INR </w:t>
      </w:r>
      <w:r w:rsidRPr="00860E17">
        <w:rPr>
          <w:rFonts w:eastAsia="Times New Roman" w:cs="Arial"/>
          <w:color w:val="000000"/>
          <w:lang w:eastAsia="bg-BG"/>
        </w:rPr>
        <w:t xml:space="preserve">спрямо изходното ниво или във фармакокинетиката на </w:t>
      </w:r>
      <w:r w:rsidRPr="00860E17">
        <w:rPr>
          <w:rFonts w:eastAsia="Times New Roman" w:cs="Arial"/>
          <w:color w:val="000000"/>
        </w:rPr>
        <w:t xml:space="preserve">R- </w:t>
      </w:r>
      <w:r w:rsidRPr="00860E17">
        <w:rPr>
          <w:rFonts w:eastAsia="Times New Roman" w:cs="Arial"/>
          <w:color w:val="000000"/>
          <w:lang w:eastAsia="bg-BG"/>
        </w:rPr>
        <w:t xml:space="preserve">или </w:t>
      </w:r>
      <w:r w:rsidRPr="00860E17">
        <w:rPr>
          <w:rFonts w:eastAsia="Times New Roman" w:cs="Arial"/>
          <w:color w:val="000000"/>
        </w:rPr>
        <w:t xml:space="preserve">S- </w:t>
      </w:r>
      <w:proofErr w:type="spellStart"/>
      <w:r w:rsidRPr="00860E17">
        <w:rPr>
          <w:rFonts w:eastAsia="Times New Roman" w:cs="Arial"/>
          <w:color w:val="000000"/>
          <w:lang w:eastAsia="bg-BG"/>
        </w:rPr>
        <w:t>варфарин</w:t>
      </w:r>
      <w:proofErr w:type="spellEnd"/>
    </w:p>
    <w:p w14:paraId="78835DC3" w14:textId="77777777" w:rsidR="009E5AB1" w:rsidRPr="00860E17" w:rsidRDefault="009E5AB1" w:rsidP="009E5AB1">
      <w:pPr>
        <w:spacing w:line="240" w:lineRule="auto"/>
        <w:rPr>
          <w:rFonts w:eastAsia="Times New Roman" w:cs="Arial"/>
          <w:i/>
          <w:iCs/>
          <w:color w:val="000000"/>
          <w:lang w:eastAsia="bg-BG"/>
        </w:rPr>
      </w:pPr>
    </w:p>
    <w:p w14:paraId="79259C9C" w14:textId="66A58F9D" w:rsidR="009E5AB1" w:rsidRPr="00860E17" w:rsidRDefault="009E5AB1" w:rsidP="009E5AB1">
      <w:pPr>
        <w:spacing w:line="240" w:lineRule="auto"/>
        <w:rPr>
          <w:rFonts w:eastAsia="Times New Roman" w:cs="Arial"/>
          <w:sz w:val="24"/>
          <w:szCs w:val="24"/>
        </w:rPr>
      </w:pPr>
      <w:r w:rsidRPr="00860E17">
        <w:rPr>
          <w:rFonts w:eastAsia="Times New Roman" w:cs="Arial"/>
          <w:i/>
          <w:iCs/>
          <w:color w:val="000000"/>
          <w:lang w:eastAsia="bg-BG"/>
        </w:rPr>
        <w:t xml:space="preserve">Ефекти на други лекарствени продукти върху </w:t>
      </w:r>
      <w:proofErr w:type="spellStart"/>
      <w:r w:rsidRPr="00860E17">
        <w:rPr>
          <w:rFonts w:eastAsia="Times New Roman" w:cs="Arial"/>
          <w:i/>
          <w:iCs/>
          <w:color w:val="000000"/>
          <w:lang w:eastAsia="bg-BG"/>
        </w:rPr>
        <w:t>дулоксетин</w:t>
      </w:r>
      <w:proofErr w:type="spellEnd"/>
    </w:p>
    <w:p w14:paraId="32F6048F" w14:textId="77777777" w:rsidR="009E5AB1" w:rsidRPr="00860E17" w:rsidRDefault="009E5AB1" w:rsidP="009E5AB1">
      <w:pPr>
        <w:spacing w:line="240" w:lineRule="auto"/>
        <w:rPr>
          <w:rFonts w:eastAsia="Times New Roman" w:cs="Arial"/>
          <w:sz w:val="24"/>
          <w:szCs w:val="24"/>
        </w:rPr>
      </w:pPr>
      <w:proofErr w:type="spellStart"/>
      <w:r w:rsidRPr="00860E17">
        <w:rPr>
          <w:rFonts w:eastAsia="Times New Roman" w:cs="Arial"/>
          <w:i/>
          <w:iCs/>
          <w:color w:val="000000"/>
          <w:lang w:eastAsia="bg-BG"/>
        </w:rPr>
        <w:t>Антиацидни</w:t>
      </w:r>
      <w:proofErr w:type="spellEnd"/>
      <w:r w:rsidRPr="00860E17">
        <w:rPr>
          <w:rFonts w:eastAsia="Times New Roman" w:cs="Arial"/>
          <w:i/>
          <w:iCs/>
          <w:color w:val="000000"/>
          <w:lang w:eastAsia="bg-BG"/>
        </w:rPr>
        <w:t xml:space="preserve"> лекарства и Н2 антагонисти:</w:t>
      </w:r>
      <w:r w:rsidRPr="00860E17">
        <w:rPr>
          <w:rFonts w:eastAsia="Times New Roman" w:cs="Arial"/>
          <w:color w:val="000000"/>
          <w:lang w:eastAsia="bg-BG"/>
        </w:rPr>
        <w:t xml:space="preserve"> Едновременното приложение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 </w:t>
      </w:r>
      <w:proofErr w:type="spellStart"/>
      <w:r w:rsidRPr="00860E17">
        <w:rPr>
          <w:rFonts w:eastAsia="Times New Roman" w:cs="Arial"/>
          <w:color w:val="000000"/>
          <w:lang w:eastAsia="bg-BG"/>
        </w:rPr>
        <w:t>антиациди</w:t>
      </w:r>
      <w:proofErr w:type="spellEnd"/>
      <w:r w:rsidRPr="00860E17">
        <w:rPr>
          <w:rFonts w:eastAsia="Times New Roman" w:cs="Arial"/>
          <w:color w:val="000000"/>
          <w:lang w:eastAsia="bg-BG"/>
        </w:rPr>
        <w:t xml:space="preserve">, съдържащи алуминий и магнезий или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 </w:t>
      </w:r>
      <w:proofErr w:type="spellStart"/>
      <w:r w:rsidRPr="00860E17">
        <w:rPr>
          <w:rFonts w:eastAsia="Times New Roman" w:cs="Arial"/>
          <w:color w:val="000000"/>
          <w:lang w:eastAsia="bg-BG"/>
        </w:rPr>
        <w:t>фамотидин</w:t>
      </w:r>
      <w:proofErr w:type="spellEnd"/>
      <w:r w:rsidRPr="00860E17">
        <w:rPr>
          <w:rFonts w:eastAsia="Times New Roman" w:cs="Arial"/>
          <w:color w:val="000000"/>
          <w:lang w:eastAsia="bg-BG"/>
        </w:rPr>
        <w:t xml:space="preserve">, няма значим ефект върху скоростта или степента на </w:t>
      </w:r>
      <w:proofErr w:type="spellStart"/>
      <w:r w:rsidRPr="00860E17">
        <w:rPr>
          <w:rFonts w:eastAsia="Times New Roman" w:cs="Arial"/>
          <w:color w:val="000000"/>
          <w:lang w:eastAsia="bg-BG"/>
        </w:rPr>
        <w:t>резорбия</w:t>
      </w:r>
      <w:proofErr w:type="spellEnd"/>
      <w:r w:rsidRPr="00860E17">
        <w:rPr>
          <w:rFonts w:eastAsia="Times New Roman" w:cs="Arial"/>
          <w:color w:val="000000"/>
          <w:lang w:eastAsia="bg-BG"/>
        </w:rPr>
        <w:t xml:space="preserve">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след приложение на перорална доза от 40 </w:t>
      </w:r>
      <w:proofErr w:type="spellStart"/>
      <w:r w:rsidRPr="00860E17">
        <w:rPr>
          <w:rFonts w:eastAsia="Times New Roman" w:cs="Arial"/>
          <w:color w:val="000000"/>
        </w:rPr>
        <w:t>mg</w:t>
      </w:r>
      <w:proofErr w:type="spellEnd"/>
      <w:r w:rsidRPr="00860E17">
        <w:rPr>
          <w:rFonts w:eastAsia="Times New Roman" w:cs="Arial"/>
          <w:color w:val="000000"/>
        </w:rPr>
        <w:t>.</w:t>
      </w:r>
    </w:p>
    <w:p w14:paraId="3A4C6178" w14:textId="77777777" w:rsidR="009E5AB1" w:rsidRPr="00860E17" w:rsidRDefault="009E5AB1" w:rsidP="009E5AB1">
      <w:pPr>
        <w:spacing w:line="240" w:lineRule="auto"/>
        <w:rPr>
          <w:rFonts w:eastAsia="Times New Roman" w:cs="Arial"/>
          <w:i/>
          <w:iCs/>
          <w:color w:val="000000"/>
          <w:lang w:eastAsia="bg-BG"/>
        </w:rPr>
      </w:pPr>
    </w:p>
    <w:p w14:paraId="2319AD67" w14:textId="62B0F8F9" w:rsidR="009E5AB1" w:rsidRPr="00860E17" w:rsidRDefault="009E5AB1" w:rsidP="009E5AB1">
      <w:pPr>
        <w:spacing w:line="240" w:lineRule="auto"/>
        <w:rPr>
          <w:rFonts w:eastAsia="Times New Roman" w:cs="Arial"/>
          <w:sz w:val="24"/>
          <w:szCs w:val="24"/>
        </w:rPr>
      </w:pPr>
      <w:r w:rsidRPr="00860E17">
        <w:rPr>
          <w:rFonts w:eastAsia="Times New Roman" w:cs="Arial"/>
          <w:i/>
          <w:iCs/>
          <w:color w:val="000000"/>
          <w:lang w:eastAsia="bg-BG"/>
        </w:rPr>
        <w:t xml:space="preserve">Индуктори на </w:t>
      </w:r>
      <w:r w:rsidRPr="00860E17">
        <w:rPr>
          <w:rFonts w:eastAsia="Times New Roman" w:cs="Arial"/>
          <w:i/>
          <w:iCs/>
          <w:color w:val="000000"/>
        </w:rPr>
        <w:t>CYP1A2:</w:t>
      </w:r>
      <w:r w:rsidRPr="00860E17">
        <w:rPr>
          <w:rFonts w:eastAsia="Times New Roman" w:cs="Arial"/>
          <w:color w:val="000000"/>
        </w:rPr>
        <w:t xml:space="preserve"> </w:t>
      </w:r>
      <w:r w:rsidRPr="00860E17">
        <w:rPr>
          <w:rFonts w:eastAsia="Times New Roman" w:cs="Arial"/>
          <w:color w:val="000000"/>
          <w:lang w:eastAsia="bg-BG"/>
        </w:rPr>
        <w:t xml:space="preserve">Анализи на </w:t>
      </w:r>
      <w:proofErr w:type="spellStart"/>
      <w:r w:rsidRPr="00860E17">
        <w:rPr>
          <w:rFonts w:eastAsia="Times New Roman" w:cs="Arial"/>
          <w:color w:val="000000"/>
          <w:lang w:eastAsia="bg-BG"/>
        </w:rPr>
        <w:t>популационни</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фармакокинетични</w:t>
      </w:r>
      <w:proofErr w:type="spellEnd"/>
      <w:r w:rsidRPr="00860E17">
        <w:rPr>
          <w:rFonts w:eastAsia="Times New Roman" w:cs="Arial"/>
          <w:color w:val="000000"/>
          <w:lang w:eastAsia="bg-BG"/>
        </w:rPr>
        <w:t xml:space="preserve"> проучвания показват, че пушачите имат почти 50% по-ниски плазмени </w:t>
      </w:r>
      <w:proofErr w:type="spellStart"/>
      <w:r w:rsidRPr="00860E17">
        <w:rPr>
          <w:rFonts w:eastAsia="Times New Roman" w:cs="Arial"/>
          <w:color w:val="000000"/>
          <w:lang w:eastAsia="bg-BG"/>
        </w:rPr>
        <w:t>коцентрации</w:t>
      </w:r>
      <w:proofErr w:type="spellEnd"/>
      <w:r w:rsidRPr="00860E17">
        <w:rPr>
          <w:rFonts w:eastAsia="Times New Roman" w:cs="Arial"/>
          <w:color w:val="000000"/>
          <w:lang w:eastAsia="bg-BG"/>
        </w:rPr>
        <w:t xml:space="preserve">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в сравнение с непушачите.</w:t>
      </w:r>
    </w:p>
    <w:p w14:paraId="75D55ED0" w14:textId="1C7BE9A2" w:rsidR="009E5AB1" w:rsidRPr="00860E17" w:rsidRDefault="009E5AB1" w:rsidP="009E5AB1">
      <w:pPr>
        <w:spacing w:line="240" w:lineRule="auto"/>
        <w:rPr>
          <w:rFonts w:ascii="Times New Roman" w:eastAsia="Times New Roman" w:hAnsi="Times New Roman" w:cs="Times New Roman"/>
          <w:sz w:val="24"/>
          <w:szCs w:val="24"/>
        </w:rPr>
      </w:pPr>
    </w:p>
    <w:p w14:paraId="35F748DE" w14:textId="77777777" w:rsidR="009E5AB1" w:rsidRPr="00860E17" w:rsidRDefault="009E5AB1" w:rsidP="009E5AB1"/>
    <w:p w14:paraId="5D9F40EA" w14:textId="762011A6" w:rsidR="007122AD" w:rsidRPr="00860E17" w:rsidRDefault="002C50EE" w:rsidP="00936AD0">
      <w:pPr>
        <w:pStyle w:val="Heading2"/>
      </w:pPr>
      <w:r w:rsidRPr="00860E17">
        <w:t>4.6. Фертилитет, бременност и кърмене</w:t>
      </w:r>
    </w:p>
    <w:p w14:paraId="4752021E" w14:textId="302819A2" w:rsidR="009E5AB1" w:rsidRPr="00860E17" w:rsidRDefault="009E5AB1" w:rsidP="009E5AB1"/>
    <w:p w14:paraId="1E93B6C9" w14:textId="77777777" w:rsidR="009E5AB1" w:rsidRPr="00860E17" w:rsidRDefault="009E5AB1" w:rsidP="009E5AB1">
      <w:pPr>
        <w:pStyle w:val="Heading3"/>
        <w:rPr>
          <w:rFonts w:eastAsia="Times New Roman"/>
          <w:u w:val="single"/>
        </w:rPr>
      </w:pPr>
      <w:r w:rsidRPr="00860E17">
        <w:rPr>
          <w:rFonts w:eastAsia="Times New Roman"/>
          <w:u w:val="single"/>
          <w:lang w:eastAsia="bg-BG"/>
        </w:rPr>
        <w:t>Фертилитет</w:t>
      </w:r>
    </w:p>
    <w:p w14:paraId="23D7F8AA" w14:textId="77777777"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 xml:space="preserve">В проучвания при животни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няма ефект върху </w:t>
      </w:r>
      <w:proofErr w:type="spellStart"/>
      <w:r w:rsidRPr="00860E17">
        <w:rPr>
          <w:rFonts w:eastAsia="Times New Roman" w:cs="Arial"/>
          <w:color w:val="000000"/>
          <w:lang w:eastAsia="bg-BG"/>
        </w:rPr>
        <w:t>фертилитета</w:t>
      </w:r>
      <w:proofErr w:type="spellEnd"/>
      <w:r w:rsidRPr="00860E17">
        <w:rPr>
          <w:rFonts w:eastAsia="Times New Roman" w:cs="Arial"/>
          <w:color w:val="000000"/>
          <w:lang w:eastAsia="bg-BG"/>
        </w:rPr>
        <w:t xml:space="preserve"> при мъже, а ефектите при жени очевидно са само в дози, които причиняват токсичност за майката.</w:t>
      </w:r>
    </w:p>
    <w:p w14:paraId="4EC26198" w14:textId="77777777" w:rsidR="009E5AB1" w:rsidRPr="00860E17" w:rsidRDefault="009E5AB1" w:rsidP="009E5AB1">
      <w:pPr>
        <w:spacing w:line="240" w:lineRule="auto"/>
        <w:rPr>
          <w:rFonts w:eastAsia="Times New Roman" w:cs="Arial"/>
          <w:color w:val="000000"/>
          <w:u w:val="single"/>
          <w:lang w:eastAsia="bg-BG"/>
        </w:rPr>
      </w:pPr>
    </w:p>
    <w:p w14:paraId="2F6B5BB7" w14:textId="25A53A82" w:rsidR="009E5AB1" w:rsidRPr="00860E17" w:rsidRDefault="009E5AB1" w:rsidP="009E5AB1">
      <w:pPr>
        <w:pStyle w:val="Heading3"/>
        <w:rPr>
          <w:rFonts w:eastAsia="Times New Roman"/>
          <w:u w:val="single"/>
        </w:rPr>
      </w:pPr>
      <w:r w:rsidRPr="00860E17">
        <w:rPr>
          <w:rFonts w:eastAsia="Times New Roman"/>
          <w:u w:val="single"/>
          <w:lang w:eastAsia="bg-BG"/>
        </w:rPr>
        <w:t>Бременност</w:t>
      </w:r>
    </w:p>
    <w:p w14:paraId="44AA39AC" w14:textId="77777777"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 xml:space="preserve">Проучвания с животни показват, репродуктивна токсичност при нива на системна експозиция </w:t>
      </w:r>
      <w:r w:rsidRPr="00860E17">
        <w:rPr>
          <w:rFonts w:eastAsia="Times New Roman" w:cs="Arial"/>
          <w:color w:val="000000"/>
        </w:rPr>
        <w:t xml:space="preserve">(AUC) </w:t>
      </w:r>
      <w:r w:rsidRPr="00860E17">
        <w:rPr>
          <w:rFonts w:eastAsia="Times New Roman" w:cs="Arial"/>
          <w:color w:val="000000"/>
          <w:lang w:eastAsia="bg-BG"/>
        </w:rPr>
        <w:t xml:space="preserve">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по-ниски от максималната клинична експозиция (вж. точка 5.3).</w:t>
      </w:r>
    </w:p>
    <w:p w14:paraId="7B29D433" w14:textId="77777777" w:rsidR="009E5AB1" w:rsidRPr="00860E17" w:rsidRDefault="009E5AB1" w:rsidP="009E5AB1">
      <w:pPr>
        <w:spacing w:line="240" w:lineRule="auto"/>
        <w:rPr>
          <w:rFonts w:eastAsia="Times New Roman" w:cs="Arial"/>
          <w:color w:val="000000"/>
          <w:lang w:eastAsia="bg-BG"/>
        </w:rPr>
      </w:pPr>
    </w:p>
    <w:p w14:paraId="51734C2E" w14:textId="1226F24B"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 xml:space="preserve">Две големи </w:t>
      </w:r>
      <w:proofErr w:type="spellStart"/>
      <w:r w:rsidRPr="00860E17">
        <w:rPr>
          <w:rFonts w:eastAsia="Times New Roman" w:cs="Arial"/>
          <w:color w:val="000000"/>
          <w:lang w:eastAsia="bg-BG"/>
        </w:rPr>
        <w:t>обсервационни</w:t>
      </w:r>
      <w:proofErr w:type="spellEnd"/>
      <w:r w:rsidRPr="00860E17">
        <w:rPr>
          <w:rFonts w:eastAsia="Times New Roman" w:cs="Arial"/>
          <w:color w:val="000000"/>
          <w:lang w:eastAsia="bg-BG"/>
        </w:rPr>
        <w:t xml:space="preserve"> проучвания (едно от САЩ, включващо 2 500 бременни, с експозиция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през първия </w:t>
      </w:r>
      <w:proofErr w:type="spellStart"/>
      <w:r w:rsidRPr="00860E17">
        <w:rPr>
          <w:rFonts w:eastAsia="Times New Roman" w:cs="Arial"/>
          <w:color w:val="000000"/>
          <w:lang w:eastAsia="bg-BG"/>
        </w:rPr>
        <w:t>триместьр</w:t>
      </w:r>
      <w:proofErr w:type="spellEnd"/>
      <w:r w:rsidRPr="00860E17">
        <w:rPr>
          <w:rFonts w:eastAsia="Times New Roman" w:cs="Arial"/>
          <w:color w:val="000000"/>
          <w:lang w:eastAsia="bg-BG"/>
        </w:rPr>
        <w:t xml:space="preserve">, и едно от ЕС, включващо 1 500 бременни, с експозиция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през първия </w:t>
      </w:r>
      <w:proofErr w:type="spellStart"/>
      <w:r w:rsidRPr="00860E17">
        <w:rPr>
          <w:rFonts w:eastAsia="Times New Roman" w:cs="Arial"/>
          <w:color w:val="000000"/>
          <w:lang w:eastAsia="bg-BG"/>
        </w:rPr>
        <w:t>триместьр</w:t>
      </w:r>
      <w:proofErr w:type="spellEnd"/>
      <w:r w:rsidRPr="00860E17">
        <w:rPr>
          <w:rFonts w:eastAsia="Times New Roman" w:cs="Arial"/>
          <w:color w:val="000000"/>
          <w:lang w:eastAsia="bg-BG"/>
        </w:rPr>
        <w:t xml:space="preserve">) не предполагат общ </w:t>
      </w:r>
      <w:r w:rsidRPr="00860E17">
        <w:rPr>
          <w:rFonts w:eastAsia="Times New Roman" w:cs="Arial"/>
          <w:color w:val="000000"/>
          <w:lang w:eastAsia="bg-BG"/>
        </w:rPr>
        <w:lastRenderedPageBreak/>
        <w:t>повишен риск от големи вродени малформации. Анализът на конкретни малформации, като сърдечни малформации, показва неубедителни резултати.</w:t>
      </w:r>
    </w:p>
    <w:p w14:paraId="4F3E729A" w14:textId="77777777"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 xml:space="preserve">В проучването от ЕС е направена връзка между експозицията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на майката по време на напреднала бременност (по всяко време от 20-та </w:t>
      </w:r>
      <w:proofErr w:type="spellStart"/>
      <w:r w:rsidRPr="00860E17">
        <w:rPr>
          <w:rFonts w:eastAsia="Times New Roman" w:cs="Arial"/>
          <w:color w:val="000000"/>
          <w:lang w:eastAsia="bg-BG"/>
        </w:rPr>
        <w:t>гестационна</w:t>
      </w:r>
      <w:proofErr w:type="spellEnd"/>
      <w:r w:rsidRPr="00860E17">
        <w:rPr>
          <w:rFonts w:eastAsia="Times New Roman" w:cs="Arial"/>
          <w:color w:val="000000"/>
          <w:lang w:eastAsia="bg-BG"/>
        </w:rPr>
        <w:t xml:space="preserve"> седмица до раждането) с повишен риск от преждевременно раждане (по-малко от 2 пъти, което приблизително съответства на 6 допълнителни преждевременни раждания на 100 жени, на терапия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в напреднала бременност). По-голямата част е възникнала между 35 и 36 </w:t>
      </w:r>
      <w:proofErr w:type="spellStart"/>
      <w:r w:rsidRPr="00860E17">
        <w:rPr>
          <w:rFonts w:eastAsia="Times New Roman" w:cs="Arial"/>
          <w:color w:val="000000"/>
          <w:lang w:eastAsia="bg-BG"/>
        </w:rPr>
        <w:t>гестационна</w:t>
      </w:r>
      <w:proofErr w:type="spellEnd"/>
      <w:r w:rsidRPr="00860E17">
        <w:rPr>
          <w:rFonts w:eastAsia="Times New Roman" w:cs="Arial"/>
          <w:color w:val="000000"/>
          <w:lang w:eastAsia="bg-BG"/>
        </w:rPr>
        <w:t xml:space="preserve"> седмица. Тази връзка не е наблюдавана в проучването от САЩ.</w:t>
      </w:r>
    </w:p>
    <w:p w14:paraId="29BF5B62" w14:textId="77777777"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 xml:space="preserve">Американски данни от наблюдения предоставят доказателства за повишен риск (по-малко от 2 пъти) от </w:t>
      </w:r>
      <w:proofErr w:type="spellStart"/>
      <w:r w:rsidRPr="00860E17">
        <w:rPr>
          <w:rFonts w:eastAsia="Times New Roman" w:cs="Arial"/>
          <w:color w:val="000000"/>
          <w:lang w:eastAsia="bg-BG"/>
        </w:rPr>
        <w:t>послеродово</w:t>
      </w:r>
      <w:proofErr w:type="spellEnd"/>
      <w:r w:rsidRPr="00860E17">
        <w:rPr>
          <w:rFonts w:eastAsia="Times New Roman" w:cs="Arial"/>
          <w:color w:val="000000"/>
          <w:lang w:eastAsia="bg-BG"/>
        </w:rPr>
        <w:t xml:space="preserve"> кръвотечение след експозиция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в рамките на месец преди раждането.</w:t>
      </w:r>
    </w:p>
    <w:p w14:paraId="2D21857C" w14:textId="77777777"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 xml:space="preserve">Епидемиологичните данни предполагат, че употребата на </w:t>
      </w:r>
      <w:proofErr w:type="spellStart"/>
      <w:r w:rsidRPr="00860E17">
        <w:rPr>
          <w:rFonts w:eastAsia="Times New Roman" w:cs="Arial"/>
          <w:color w:val="000000"/>
        </w:rPr>
        <w:t>SSRIs</w:t>
      </w:r>
      <w:proofErr w:type="spellEnd"/>
      <w:r w:rsidRPr="00860E17">
        <w:rPr>
          <w:rFonts w:eastAsia="Times New Roman" w:cs="Arial"/>
          <w:color w:val="000000"/>
        </w:rPr>
        <w:t xml:space="preserve"> </w:t>
      </w:r>
      <w:r w:rsidRPr="00860E17">
        <w:rPr>
          <w:rFonts w:eastAsia="Times New Roman" w:cs="Arial"/>
          <w:color w:val="000000"/>
          <w:lang w:eastAsia="bg-BG"/>
        </w:rPr>
        <w:t xml:space="preserve">по време на бременност, особено в напреднала бременност, може да повиши риска от персистираща </w:t>
      </w:r>
      <w:proofErr w:type="spellStart"/>
      <w:r w:rsidRPr="00860E17">
        <w:rPr>
          <w:rFonts w:eastAsia="Times New Roman" w:cs="Arial"/>
          <w:color w:val="000000"/>
          <w:lang w:eastAsia="bg-BG"/>
        </w:rPr>
        <w:t>пулмонална</w:t>
      </w:r>
      <w:proofErr w:type="spellEnd"/>
      <w:r w:rsidRPr="00860E17">
        <w:rPr>
          <w:rFonts w:eastAsia="Times New Roman" w:cs="Arial"/>
          <w:color w:val="000000"/>
          <w:lang w:eastAsia="bg-BG"/>
        </w:rPr>
        <w:t xml:space="preserve"> хипертония при новороденото (ППХН). Въпреки, че няма проучвания, при които да е изследвана връзката на ППХН с лечението със </w:t>
      </w:r>
      <w:r w:rsidRPr="00860E17">
        <w:rPr>
          <w:rFonts w:eastAsia="Times New Roman" w:cs="Arial"/>
          <w:color w:val="000000"/>
        </w:rPr>
        <w:t xml:space="preserve">SNRI, </w:t>
      </w:r>
      <w:r w:rsidRPr="00860E17">
        <w:rPr>
          <w:rFonts w:eastAsia="Times New Roman" w:cs="Arial"/>
          <w:color w:val="000000"/>
          <w:lang w:eastAsia="bg-BG"/>
        </w:rPr>
        <w:t xml:space="preserve">този потенциален риск не може да бъде изключен при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вземайки под внимание свързания механизъм на действие (инхибиране на обратното захващане на </w:t>
      </w:r>
      <w:proofErr w:type="spellStart"/>
      <w:r w:rsidRPr="00860E17">
        <w:rPr>
          <w:rFonts w:eastAsia="Times New Roman" w:cs="Arial"/>
          <w:color w:val="000000"/>
          <w:lang w:eastAsia="bg-BG"/>
        </w:rPr>
        <w:t>серотонин</w:t>
      </w:r>
      <w:proofErr w:type="spellEnd"/>
      <w:r w:rsidRPr="00860E17">
        <w:rPr>
          <w:rFonts w:eastAsia="Times New Roman" w:cs="Arial"/>
          <w:color w:val="000000"/>
          <w:lang w:eastAsia="bg-BG"/>
        </w:rPr>
        <w:t>).</w:t>
      </w:r>
    </w:p>
    <w:p w14:paraId="7A0AB970" w14:textId="77777777"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 xml:space="preserve">Подобно на другите </w:t>
      </w:r>
      <w:proofErr w:type="spellStart"/>
      <w:r w:rsidRPr="00860E17">
        <w:rPr>
          <w:rFonts w:eastAsia="Times New Roman" w:cs="Arial"/>
          <w:color w:val="000000"/>
          <w:lang w:eastAsia="bg-BG"/>
        </w:rPr>
        <w:t>серотонергични</w:t>
      </w:r>
      <w:proofErr w:type="spellEnd"/>
      <w:r w:rsidRPr="00860E17">
        <w:rPr>
          <w:rFonts w:eastAsia="Times New Roman" w:cs="Arial"/>
          <w:color w:val="000000"/>
          <w:lang w:eastAsia="bg-BG"/>
        </w:rPr>
        <w:t xml:space="preserve"> лекарствени продукти, могат да се </w:t>
      </w:r>
      <w:proofErr w:type="spellStart"/>
      <w:r w:rsidRPr="00860E17">
        <w:rPr>
          <w:rFonts w:eastAsia="Times New Roman" w:cs="Arial"/>
          <w:color w:val="000000"/>
          <w:lang w:eastAsia="bg-BG"/>
        </w:rPr>
        <w:t>прояват</w:t>
      </w:r>
      <w:proofErr w:type="spellEnd"/>
      <w:r w:rsidRPr="00860E17">
        <w:rPr>
          <w:rFonts w:eastAsia="Times New Roman" w:cs="Arial"/>
          <w:color w:val="000000"/>
          <w:lang w:eastAsia="bg-BG"/>
        </w:rPr>
        <w:t xml:space="preserve"> симптоми на отнемане при новородени след употреба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от майката близко до </w:t>
      </w:r>
    </w:p>
    <w:p w14:paraId="44595523" w14:textId="77777777" w:rsidR="009E5AB1" w:rsidRPr="00860E17" w:rsidRDefault="009E5AB1" w:rsidP="009E5AB1">
      <w:pPr>
        <w:rPr>
          <w:rFonts w:eastAsia="Times New Roman" w:cs="Arial"/>
          <w:sz w:val="24"/>
          <w:szCs w:val="24"/>
        </w:rPr>
      </w:pPr>
      <w:r w:rsidRPr="00860E17">
        <w:rPr>
          <w:rFonts w:eastAsia="Times New Roman" w:cs="Arial"/>
          <w:color w:val="000000"/>
          <w:lang w:eastAsia="bg-BG"/>
        </w:rPr>
        <w:t xml:space="preserve">Симптомите на отнемане, наблюдавани при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може да</w:t>
      </w:r>
      <w:r w:rsidRPr="00860E17">
        <w:rPr>
          <w:rFonts w:eastAsia="Times New Roman" w:cs="Arial"/>
          <w:color w:val="000000"/>
        </w:rPr>
        <w:t xml:space="preserve"> </w:t>
      </w:r>
      <w:r w:rsidRPr="00860E17">
        <w:rPr>
          <w:rFonts w:eastAsia="Times New Roman" w:cs="Arial"/>
          <w:color w:val="000000"/>
          <w:lang w:eastAsia="bg-BG"/>
        </w:rPr>
        <w:t xml:space="preserve">включват хипотония тремор. нервност, затруднения в храненето, респираторен </w:t>
      </w:r>
      <w:proofErr w:type="spellStart"/>
      <w:r w:rsidRPr="00860E17">
        <w:rPr>
          <w:rFonts w:eastAsia="Times New Roman" w:cs="Arial"/>
          <w:color w:val="000000"/>
          <w:lang w:eastAsia="bg-BG"/>
        </w:rPr>
        <w:t>дистрес</w:t>
      </w:r>
      <w:proofErr w:type="spellEnd"/>
      <w:r w:rsidRPr="00860E17">
        <w:rPr>
          <w:rFonts w:eastAsia="Times New Roman" w:cs="Arial"/>
          <w:color w:val="000000"/>
          <w:lang w:eastAsia="bg-BG"/>
        </w:rPr>
        <w:t xml:space="preserve"> и гърчове. Повечето случаи са наблюдавани или при раждането, или в течение на няколко дни след раждането.</w:t>
      </w:r>
    </w:p>
    <w:p w14:paraId="4C1BED10" w14:textId="77777777" w:rsidR="009E5AB1" w:rsidRPr="00860E17" w:rsidRDefault="009E5AB1" w:rsidP="009E5AB1">
      <w:pPr>
        <w:spacing w:line="240" w:lineRule="auto"/>
        <w:rPr>
          <w:rFonts w:eastAsia="Times New Roman" w:cs="Arial"/>
          <w:color w:val="000000"/>
          <w:lang w:eastAsia="bg-BG"/>
        </w:rPr>
      </w:pPr>
    </w:p>
    <w:p w14:paraId="3224022C" w14:textId="3F2A12B1" w:rsidR="009E5AB1" w:rsidRPr="00860E17" w:rsidRDefault="009E5AB1" w:rsidP="009E5AB1">
      <w:pPr>
        <w:spacing w:line="240" w:lineRule="auto"/>
        <w:rPr>
          <w:rFonts w:eastAsia="Times New Roman" w:cs="Arial"/>
          <w:sz w:val="24"/>
          <w:szCs w:val="24"/>
        </w:rPr>
      </w:pPr>
      <w:proofErr w:type="spellStart"/>
      <w:r w:rsidRPr="00860E17">
        <w:rPr>
          <w:rFonts w:eastAsia="Times New Roman" w:cs="Arial"/>
          <w:color w:val="000000"/>
          <w:lang w:eastAsia="bg-BG"/>
        </w:rPr>
        <w:t>Дулсевиа</w:t>
      </w:r>
      <w:proofErr w:type="spellEnd"/>
      <w:r w:rsidRPr="00860E17">
        <w:rPr>
          <w:rFonts w:eastAsia="Times New Roman" w:cs="Arial"/>
          <w:color w:val="000000"/>
          <w:lang w:eastAsia="bg-BG"/>
        </w:rPr>
        <w:t xml:space="preserve"> трябва да се използва по време на бременност, само ако потенциалните ползи оправдават потенциалния риск за плода. Жените трябва да бъдат съветвани да информират лекаря си, ако забременеят или планират бременност по време на лечението.</w:t>
      </w:r>
    </w:p>
    <w:p w14:paraId="653218E0" w14:textId="77777777" w:rsidR="009E5AB1" w:rsidRPr="00860E17" w:rsidRDefault="009E5AB1" w:rsidP="009E5AB1">
      <w:pPr>
        <w:spacing w:line="240" w:lineRule="auto"/>
        <w:rPr>
          <w:rFonts w:eastAsia="Times New Roman" w:cs="Arial"/>
          <w:color w:val="000000"/>
          <w:u w:val="single"/>
          <w:lang w:eastAsia="bg-BG"/>
        </w:rPr>
      </w:pPr>
    </w:p>
    <w:p w14:paraId="2A741F63" w14:textId="666253B4" w:rsidR="009E5AB1" w:rsidRPr="00860E17" w:rsidRDefault="009E5AB1" w:rsidP="009E5AB1">
      <w:pPr>
        <w:pStyle w:val="Heading3"/>
        <w:rPr>
          <w:rFonts w:eastAsia="Times New Roman"/>
          <w:u w:val="single"/>
        </w:rPr>
      </w:pPr>
      <w:r w:rsidRPr="00860E17">
        <w:rPr>
          <w:rFonts w:eastAsia="Times New Roman"/>
          <w:u w:val="single"/>
          <w:lang w:eastAsia="bg-BG"/>
        </w:rPr>
        <w:t>Кърмене</w:t>
      </w:r>
    </w:p>
    <w:p w14:paraId="43E4E4CB" w14:textId="77777777" w:rsidR="009E5AB1" w:rsidRPr="00860E17" w:rsidRDefault="009E5AB1" w:rsidP="009E5AB1">
      <w:pPr>
        <w:spacing w:line="240" w:lineRule="auto"/>
        <w:rPr>
          <w:rFonts w:eastAsia="Times New Roman" w:cs="Arial"/>
          <w:sz w:val="24"/>
          <w:szCs w:val="24"/>
        </w:rPr>
      </w:pP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се отделя в много малка степен в кърмата на базата на изследване на 6 пациентки с лактация, които не са кърмили своите деца. Приблизителната детска дневна доза на база </w:t>
      </w:r>
      <w:proofErr w:type="spellStart"/>
      <w:r w:rsidRPr="00860E17">
        <w:rPr>
          <w:rFonts w:eastAsia="Times New Roman" w:cs="Arial"/>
          <w:color w:val="000000"/>
        </w:rPr>
        <w:t>mg</w:t>
      </w:r>
      <w:proofErr w:type="spellEnd"/>
      <w:r w:rsidRPr="00860E17">
        <w:rPr>
          <w:rFonts w:eastAsia="Times New Roman" w:cs="Arial"/>
          <w:color w:val="000000"/>
        </w:rPr>
        <w:t>/</w:t>
      </w:r>
      <w:proofErr w:type="spellStart"/>
      <w:r w:rsidRPr="00860E17">
        <w:rPr>
          <w:rFonts w:eastAsia="Times New Roman" w:cs="Arial"/>
          <w:color w:val="000000"/>
        </w:rPr>
        <w:t>kg</w:t>
      </w:r>
      <w:proofErr w:type="spellEnd"/>
      <w:r w:rsidRPr="00860E17">
        <w:rPr>
          <w:rFonts w:eastAsia="Times New Roman" w:cs="Arial"/>
          <w:color w:val="000000"/>
        </w:rPr>
        <w:t xml:space="preserve"> </w:t>
      </w:r>
      <w:r w:rsidRPr="00860E17">
        <w:rPr>
          <w:rFonts w:eastAsia="Times New Roman" w:cs="Arial"/>
          <w:color w:val="000000"/>
          <w:lang w:eastAsia="bg-BG"/>
        </w:rPr>
        <w:t xml:space="preserve">е приблизително 0,14% от дозата на майката (вж. точка 5.2). Тъй като безопасността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при бебета не е установена, употребата на </w:t>
      </w:r>
      <w:proofErr w:type="spellStart"/>
      <w:r w:rsidRPr="00860E17">
        <w:rPr>
          <w:rFonts w:eastAsia="Times New Roman" w:cs="Arial"/>
          <w:color w:val="000000"/>
          <w:lang w:eastAsia="bg-BG"/>
        </w:rPr>
        <w:t>Дулсевиа</w:t>
      </w:r>
      <w:proofErr w:type="spellEnd"/>
      <w:r w:rsidRPr="00860E17">
        <w:rPr>
          <w:rFonts w:eastAsia="Times New Roman" w:cs="Arial"/>
          <w:color w:val="000000"/>
          <w:lang w:eastAsia="bg-BG"/>
        </w:rPr>
        <w:t xml:space="preserve"> по време на кърмене не се препоръчва.</w:t>
      </w:r>
    </w:p>
    <w:p w14:paraId="4D8ECE95" w14:textId="7A980DB5" w:rsidR="009E5AB1" w:rsidRPr="00860E17" w:rsidRDefault="009E5AB1" w:rsidP="009E5AB1"/>
    <w:p w14:paraId="5DD7A76D" w14:textId="7ADED65B" w:rsidR="007122AD" w:rsidRPr="00860E17" w:rsidRDefault="002C50EE" w:rsidP="00936AD0">
      <w:pPr>
        <w:pStyle w:val="Heading2"/>
      </w:pPr>
      <w:r w:rsidRPr="00860E17">
        <w:t>4.7. Ефекти върху способността за шофиране и работа с машини</w:t>
      </w:r>
    </w:p>
    <w:p w14:paraId="51D2672E" w14:textId="3652C1F4" w:rsidR="009E5AB1" w:rsidRPr="00860E17" w:rsidRDefault="009E5AB1" w:rsidP="009E5AB1"/>
    <w:p w14:paraId="05D0B699" w14:textId="77777777" w:rsidR="009E5AB1" w:rsidRPr="00860E17" w:rsidRDefault="009E5AB1" w:rsidP="009E5AB1">
      <w:pPr>
        <w:rPr>
          <w:sz w:val="24"/>
          <w:szCs w:val="24"/>
        </w:rPr>
      </w:pPr>
      <w:r w:rsidRPr="00860E17">
        <w:rPr>
          <w:lang w:eastAsia="bg-BG"/>
        </w:rPr>
        <w:t xml:space="preserve">Не са извършвани проучвания върху способността за шофиране и работа с машини. </w:t>
      </w:r>
      <w:proofErr w:type="spellStart"/>
      <w:r w:rsidRPr="00860E17">
        <w:rPr>
          <w:lang w:eastAsia="bg-BG"/>
        </w:rPr>
        <w:t>Дулсевиа</w:t>
      </w:r>
      <w:proofErr w:type="spellEnd"/>
      <w:r w:rsidRPr="00860E17">
        <w:rPr>
          <w:lang w:eastAsia="bg-BG"/>
        </w:rPr>
        <w:t xml:space="preserve"> може да бъде свързана със </w:t>
      </w:r>
      <w:proofErr w:type="spellStart"/>
      <w:r w:rsidRPr="00860E17">
        <w:rPr>
          <w:lang w:eastAsia="bg-BG"/>
        </w:rPr>
        <w:t>седиране</w:t>
      </w:r>
      <w:proofErr w:type="spellEnd"/>
      <w:r w:rsidRPr="00860E17">
        <w:rPr>
          <w:lang w:eastAsia="bg-BG"/>
        </w:rPr>
        <w:t xml:space="preserve"> и замаяност. Пациентите трябва да бъдат уведомявани, че ако изпитват </w:t>
      </w:r>
      <w:proofErr w:type="spellStart"/>
      <w:r w:rsidRPr="00860E17">
        <w:rPr>
          <w:lang w:eastAsia="bg-BG"/>
        </w:rPr>
        <w:t>седиране</w:t>
      </w:r>
      <w:proofErr w:type="spellEnd"/>
      <w:r w:rsidRPr="00860E17">
        <w:rPr>
          <w:lang w:eastAsia="bg-BG"/>
        </w:rPr>
        <w:t xml:space="preserve"> или замаяност, трябва да избягват потенциално рискови работи като шофиране или работа с машини.</w:t>
      </w:r>
    </w:p>
    <w:p w14:paraId="1FE78862" w14:textId="77777777" w:rsidR="009E5AB1" w:rsidRPr="00860E17" w:rsidRDefault="009E5AB1" w:rsidP="009E5AB1"/>
    <w:p w14:paraId="3251720E" w14:textId="54874E5E" w:rsidR="009E5AB1" w:rsidRPr="00860E17" w:rsidRDefault="002C50EE" w:rsidP="009E5AB1">
      <w:pPr>
        <w:pStyle w:val="Heading2"/>
      </w:pPr>
      <w:r w:rsidRPr="00860E17">
        <w:t>4.8. Нежелани лекарствени реакции</w:t>
      </w:r>
    </w:p>
    <w:p w14:paraId="65D64A55" w14:textId="77777777" w:rsidR="009E5AB1" w:rsidRPr="00860E17" w:rsidRDefault="009E5AB1" w:rsidP="009E5AB1"/>
    <w:p w14:paraId="45B0BE01" w14:textId="2174472E" w:rsidR="009E5AB1" w:rsidRPr="00860E17" w:rsidRDefault="009E5AB1" w:rsidP="009E5AB1">
      <w:pPr>
        <w:spacing w:line="240" w:lineRule="auto"/>
        <w:rPr>
          <w:rFonts w:eastAsia="Times New Roman" w:cs="Arial"/>
          <w:sz w:val="24"/>
          <w:szCs w:val="24"/>
        </w:rPr>
      </w:pPr>
      <w:proofErr w:type="spellStart"/>
      <w:r w:rsidRPr="00860E17">
        <w:rPr>
          <w:rFonts w:eastAsia="Times New Roman" w:cs="Arial"/>
          <w:i/>
          <w:iCs/>
          <w:color w:val="000000"/>
          <w:lang w:eastAsia="bg-BG"/>
        </w:rPr>
        <w:t>а.Резюме</w:t>
      </w:r>
      <w:proofErr w:type="spellEnd"/>
      <w:r w:rsidRPr="00860E17">
        <w:rPr>
          <w:rFonts w:eastAsia="Times New Roman" w:cs="Arial"/>
          <w:i/>
          <w:iCs/>
          <w:color w:val="000000"/>
          <w:lang w:eastAsia="bg-BG"/>
        </w:rPr>
        <w:t xml:space="preserve"> на профила на безопасност</w:t>
      </w:r>
    </w:p>
    <w:p w14:paraId="2875F725" w14:textId="48A41DC3" w:rsidR="009E5AB1" w:rsidRPr="00860E17" w:rsidRDefault="009E5AB1" w:rsidP="009E5AB1">
      <w:pPr>
        <w:spacing w:line="240" w:lineRule="auto"/>
        <w:rPr>
          <w:rFonts w:eastAsia="Times New Roman" w:cs="Arial"/>
          <w:color w:val="000000"/>
          <w:lang w:eastAsia="bg-BG"/>
        </w:rPr>
      </w:pPr>
      <w:r w:rsidRPr="00860E17">
        <w:rPr>
          <w:rFonts w:eastAsia="Times New Roman" w:cs="Arial"/>
          <w:color w:val="000000"/>
          <w:lang w:eastAsia="bg-BG"/>
        </w:rPr>
        <w:t xml:space="preserve">Най-често съобщаваните нежелани реакции при пациенти, лекувани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са гадене, главоболие, сухота в устата, </w:t>
      </w:r>
      <w:proofErr w:type="spellStart"/>
      <w:r w:rsidRPr="00860E17">
        <w:rPr>
          <w:rFonts w:eastAsia="Times New Roman" w:cs="Arial"/>
          <w:color w:val="000000"/>
          <w:lang w:eastAsia="bg-BG"/>
        </w:rPr>
        <w:t>сомнолентност</w:t>
      </w:r>
      <w:proofErr w:type="spellEnd"/>
      <w:r w:rsidRPr="00860E17">
        <w:rPr>
          <w:rFonts w:eastAsia="Times New Roman" w:cs="Arial"/>
          <w:color w:val="000000"/>
          <w:lang w:eastAsia="bg-BG"/>
        </w:rPr>
        <w:t xml:space="preserve"> и замайване. Въпреки това, повечето </w:t>
      </w:r>
      <w:r w:rsidRPr="00860E17">
        <w:rPr>
          <w:rFonts w:eastAsia="Times New Roman" w:cs="Arial"/>
          <w:color w:val="000000"/>
          <w:lang w:eastAsia="bg-BG"/>
        </w:rPr>
        <w:lastRenderedPageBreak/>
        <w:t>от честите нежелани реакции са леки до умерени, те обикновено започват рано по време на лечението и по- голяма част са с тенденция да отминат дори, когато терапията бъде продължена.</w:t>
      </w:r>
    </w:p>
    <w:p w14:paraId="5B16B082" w14:textId="77777777" w:rsidR="009E5AB1" w:rsidRPr="00860E17" w:rsidRDefault="009E5AB1" w:rsidP="009E5AB1">
      <w:pPr>
        <w:spacing w:line="240" w:lineRule="auto"/>
        <w:rPr>
          <w:rFonts w:eastAsia="Times New Roman" w:cs="Arial"/>
          <w:sz w:val="24"/>
          <w:szCs w:val="24"/>
        </w:rPr>
      </w:pPr>
    </w:p>
    <w:p w14:paraId="5097048E" w14:textId="1639F621" w:rsidR="009E5AB1" w:rsidRPr="00860E17" w:rsidRDefault="009E5AB1" w:rsidP="009E5AB1">
      <w:pPr>
        <w:spacing w:line="240" w:lineRule="auto"/>
        <w:rPr>
          <w:rFonts w:eastAsia="Times New Roman" w:cs="Arial"/>
          <w:sz w:val="24"/>
          <w:szCs w:val="24"/>
        </w:rPr>
      </w:pPr>
      <w:proofErr w:type="spellStart"/>
      <w:r w:rsidRPr="00860E17">
        <w:rPr>
          <w:rFonts w:eastAsia="Times New Roman" w:cs="Arial"/>
          <w:i/>
          <w:iCs/>
          <w:color w:val="000000"/>
          <w:lang w:eastAsia="bg-BG"/>
        </w:rPr>
        <w:t>б.Резюме</w:t>
      </w:r>
      <w:proofErr w:type="spellEnd"/>
      <w:r w:rsidRPr="00860E17">
        <w:rPr>
          <w:rFonts w:eastAsia="Times New Roman" w:cs="Arial"/>
          <w:i/>
          <w:iCs/>
          <w:color w:val="000000"/>
          <w:lang w:eastAsia="bg-BG"/>
        </w:rPr>
        <w:t xml:space="preserve"> на нежеланите лекарствени реакции, представено в таблица</w:t>
      </w:r>
    </w:p>
    <w:p w14:paraId="4C96ABAE" w14:textId="77777777"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Таблица 1 показва нежеланите реакции, наблюдавани при спонтанно съобщаване и при плацебо- контролирани клинични проучвания.</w:t>
      </w:r>
    </w:p>
    <w:p w14:paraId="70FD08A6" w14:textId="77777777" w:rsidR="009E5AB1" w:rsidRPr="00860E17" w:rsidRDefault="009E5AB1" w:rsidP="009E5AB1">
      <w:pPr>
        <w:spacing w:line="240" w:lineRule="auto"/>
        <w:rPr>
          <w:rFonts w:eastAsia="Times New Roman" w:cs="Arial"/>
          <w:i/>
          <w:iCs/>
          <w:color w:val="000000"/>
          <w:lang w:eastAsia="bg-BG"/>
        </w:rPr>
      </w:pPr>
    </w:p>
    <w:p w14:paraId="4B4501DC" w14:textId="04DB6D4E" w:rsidR="009E5AB1" w:rsidRPr="00860E17" w:rsidRDefault="009E5AB1" w:rsidP="009E5AB1">
      <w:pPr>
        <w:spacing w:line="240" w:lineRule="auto"/>
        <w:rPr>
          <w:rFonts w:eastAsia="Times New Roman" w:cs="Arial"/>
          <w:sz w:val="24"/>
          <w:szCs w:val="24"/>
        </w:rPr>
      </w:pPr>
      <w:r w:rsidRPr="00860E17">
        <w:rPr>
          <w:rFonts w:eastAsia="Times New Roman" w:cs="Arial"/>
          <w:i/>
          <w:iCs/>
          <w:color w:val="000000"/>
          <w:lang w:eastAsia="bg-BG"/>
        </w:rPr>
        <w:t>Таблица 1: Нежелани реакции</w:t>
      </w:r>
    </w:p>
    <w:p w14:paraId="316531FC" w14:textId="77777777"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Оценка на честота: много чести (≥1/10), чести (≥1/100 до &lt;1/10), нечести (≥1/1 000 до &lt;1/100), редки (≥1/10 000 до &lt;1/1 000), много редки (&lt;1/10 000).</w:t>
      </w:r>
    </w:p>
    <w:p w14:paraId="11C1F6EA" w14:textId="77777777" w:rsidR="009E5AB1" w:rsidRPr="00860E17" w:rsidRDefault="009E5AB1" w:rsidP="009E5AB1">
      <w:pPr>
        <w:spacing w:line="240" w:lineRule="auto"/>
        <w:rPr>
          <w:rFonts w:eastAsia="Times New Roman" w:cs="Arial"/>
          <w:color w:val="000000"/>
          <w:lang w:eastAsia="bg-BG"/>
        </w:rPr>
      </w:pPr>
    </w:p>
    <w:p w14:paraId="123B5AF4" w14:textId="3641B4CD" w:rsidR="009E5AB1" w:rsidRPr="00860E17" w:rsidRDefault="009E5AB1" w:rsidP="009E5AB1">
      <w:pPr>
        <w:spacing w:line="240" w:lineRule="auto"/>
        <w:rPr>
          <w:rFonts w:eastAsia="Times New Roman" w:cs="Arial"/>
          <w:sz w:val="24"/>
          <w:szCs w:val="24"/>
        </w:rPr>
      </w:pPr>
      <w:r w:rsidRPr="00860E17">
        <w:rPr>
          <w:rFonts w:eastAsia="Times New Roman" w:cs="Arial"/>
          <w:color w:val="000000"/>
          <w:lang w:eastAsia="bg-BG"/>
        </w:rPr>
        <w:t>При всяко групиране в зависимост от честотата нежеланите реакции са представени в низходящ ред по отношение на тяхната сериозност.</w:t>
      </w:r>
    </w:p>
    <w:tbl>
      <w:tblPr>
        <w:tblStyle w:val="TableGrid"/>
        <w:tblW w:w="0" w:type="auto"/>
        <w:tblLook w:val="04A0" w:firstRow="1" w:lastRow="0" w:firstColumn="1" w:lastColumn="0" w:noHBand="0" w:noVBand="1"/>
      </w:tblPr>
      <w:tblGrid>
        <w:gridCol w:w="1913"/>
        <w:gridCol w:w="1550"/>
        <w:gridCol w:w="2341"/>
        <w:gridCol w:w="2422"/>
        <w:gridCol w:w="1124"/>
      </w:tblGrid>
      <w:tr w:rsidR="009E5AB1" w:rsidRPr="00860E17" w14:paraId="623D7F82" w14:textId="77777777" w:rsidTr="009E5AB1">
        <w:tc>
          <w:tcPr>
            <w:tcW w:w="2139" w:type="dxa"/>
          </w:tcPr>
          <w:p w14:paraId="04B88A69" w14:textId="42091A03" w:rsidR="009E5AB1" w:rsidRPr="00860E17" w:rsidRDefault="009E5AB1" w:rsidP="009E5AB1">
            <w:pPr>
              <w:rPr>
                <w:b/>
              </w:rPr>
            </w:pPr>
            <w:r w:rsidRPr="00860E17">
              <w:rPr>
                <w:b/>
              </w:rPr>
              <w:t>Много чести</w:t>
            </w:r>
          </w:p>
        </w:tc>
        <w:tc>
          <w:tcPr>
            <w:tcW w:w="1550" w:type="dxa"/>
          </w:tcPr>
          <w:p w14:paraId="36A28B54" w14:textId="7237B9E9" w:rsidR="009E5AB1" w:rsidRPr="00860E17" w:rsidRDefault="009E5AB1" w:rsidP="009E5AB1">
            <w:pPr>
              <w:rPr>
                <w:b/>
              </w:rPr>
            </w:pPr>
            <w:r w:rsidRPr="00860E17">
              <w:rPr>
                <w:b/>
              </w:rPr>
              <w:t>Чести</w:t>
            </w:r>
          </w:p>
        </w:tc>
        <w:tc>
          <w:tcPr>
            <w:tcW w:w="2341" w:type="dxa"/>
          </w:tcPr>
          <w:p w14:paraId="5EE401CD" w14:textId="77777777" w:rsidR="009E5AB1" w:rsidRPr="00860E17" w:rsidRDefault="009E5AB1" w:rsidP="009E5AB1">
            <w:pPr>
              <w:rPr>
                <w:b/>
              </w:rPr>
            </w:pPr>
          </w:p>
          <w:p w14:paraId="14C7DD4D" w14:textId="05A28F5F" w:rsidR="009E5AB1" w:rsidRPr="00473C03" w:rsidRDefault="009E5AB1" w:rsidP="009E5AB1">
            <w:pPr>
              <w:rPr>
                <w:b/>
                <w:lang w:val="en-US"/>
              </w:rPr>
            </w:pPr>
            <w:r w:rsidRPr="00860E17">
              <w:rPr>
                <w:b/>
              </w:rPr>
              <w:t>Н</w:t>
            </w:r>
            <w:r w:rsidR="00473C03">
              <w:rPr>
                <w:b/>
                <w:lang w:val="en-US"/>
              </w:rPr>
              <w:t>e</w:t>
            </w:r>
            <w:r w:rsidRPr="00860E17">
              <w:rPr>
                <w:b/>
              </w:rPr>
              <w:t>чест</w:t>
            </w:r>
            <w:proofErr w:type="spellStart"/>
            <w:r w:rsidR="00473C03">
              <w:rPr>
                <w:b/>
                <w:lang w:val="en-US"/>
              </w:rPr>
              <w:t>i</w:t>
            </w:r>
            <w:proofErr w:type="spellEnd"/>
          </w:p>
        </w:tc>
        <w:tc>
          <w:tcPr>
            <w:tcW w:w="2422" w:type="dxa"/>
          </w:tcPr>
          <w:p w14:paraId="528186E6" w14:textId="0615A4D8" w:rsidR="009E5AB1" w:rsidRPr="00860E17" w:rsidRDefault="009E5AB1" w:rsidP="009E5AB1">
            <w:pPr>
              <w:rPr>
                <w:b/>
              </w:rPr>
            </w:pPr>
            <w:r w:rsidRPr="00860E17">
              <w:rPr>
                <w:b/>
              </w:rPr>
              <w:t>Редки</w:t>
            </w:r>
          </w:p>
        </w:tc>
        <w:tc>
          <w:tcPr>
            <w:tcW w:w="1124" w:type="dxa"/>
            <w:vAlign w:val="bottom"/>
          </w:tcPr>
          <w:p w14:paraId="4E20FAAC" w14:textId="07619577" w:rsidR="009E5AB1" w:rsidRPr="00860E17" w:rsidRDefault="009E5AB1" w:rsidP="009E5AB1">
            <w:pPr>
              <w:rPr>
                <w:b/>
              </w:rPr>
            </w:pPr>
            <w:r w:rsidRPr="00860E17">
              <w:rPr>
                <w:b/>
              </w:rPr>
              <w:t>Много редки</w:t>
            </w:r>
          </w:p>
        </w:tc>
      </w:tr>
      <w:tr w:rsidR="009E5AB1" w:rsidRPr="00860E17" w14:paraId="5B660DBD" w14:textId="77777777" w:rsidTr="009E5AB1">
        <w:tc>
          <w:tcPr>
            <w:tcW w:w="9576" w:type="dxa"/>
            <w:gridSpan w:val="5"/>
          </w:tcPr>
          <w:p w14:paraId="6C322944" w14:textId="41C5A4F3" w:rsidR="009E5AB1" w:rsidRPr="00860E17" w:rsidRDefault="009E5AB1" w:rsidP="009E5AB1">
            <w:pPr>
              <w:rPr>
                <w:i/>
              </w:rPr>
            </w:pPr>
            <w:r w:rsidRPr="00860E17">
              <w:rPr>
                <w:i/>
                <w:lang w:eastAsia="bg-BG"/>
              </w:rPr>
              <w:t xml:space="preserve">Инфекции и </w:t>
            </w:r>
            <w:proofErr w:type="spellStart"/>
            <w:r w:rsidRPr="00860E17">
              <w:rPr>
                <w:i/>
                <w:lang w:eastAsia="bg-BG"/>
              </w:rPr>
              <w:t>инфестации</w:t>
            </w:r>
            <w:proofErr w:type="spellEnd"/>
          </w:p>
        </w:tc>
      </w:tr>
      <w:tr w:rsidR="009E5AB1" w:rsidRPr="00860E17" w14:paraId="7BAF015B" w14:textId="77777777" w:rsidTr="009E5AB1">
        <w:tc>
          <w:tcPr>
            <w:tcW w:w="2139" w:type="dxa"/>
          </w:tcPr>
          <w:p w14:paraId="7529E532" w14:textId="77777777" w:rsidR="009E5AB1" w:rsidRPr="00860E17" w:rsidRDefault="009E5AB1" w:rsidP="009E5AB1"/>
        </w:tc>
        <w:tc>
          <w:tcPr>
            <w:tcW w:w="1550" w:type="dxa"/>
          </w:tcPr>
          <w:p w14:paraId="634AB1B0" w14:textId="77777777" w:rsidR="009E5AB1" w:rsidRPr="00860E17" w:rsidRDefault="009E5AB1" w:rsidP="009E5AB1"/>
        </w:tc>
        <w:tc>
          <w:tcPr>
            <w:tcW w:w="2341" w:type="dxa"/>
          </w:tcPr>
          <w:p w14:paraId="438F96F6" w14:textId="68EA15FB" w:rsidR="009E5AB1" w:rsidRPr="00860E17" w:rsidRDefault="009E5AB1" w:rsidP="009E5AB1">
            <w:r w:rsidRPr="00860E17">
              <w:t>Ларингит</w:t>
            </w:r>
          </w:p>
        </w:tc>
        <w:tc>
          <w:tcPr>
            <w:tcW w:w="2422" w:type="dxa"/>
          </w:tcPr>
          <w:p w14:paraId="769F3607" w14:textId="77777777" w:rsidR="009E5AB1" w:rsidRPr="00860E17" w:rsidRDefault="009E5AB1" w:rsidP="009E5AB1"/>
        </w:tc>
        <w:tc>
          <w:tcPr>
            <w:tcW w:w="1124" w:type="dxa"/>
          </w:tcPr>
          <w:p w14:paraId="54E8A281" w14:textId="77777777" w:rsidR="009E5AB1" w:rsidRPr="00860E17" w:rsidRDefault="009E5AB1" w:rsidP="009E5AB1"/>
        </w:tc>
      </w:tr>
      <w:tr w:rsidR="009E5AB1" w:rsidRPr="00860E17" w14:paraId="2B1C6678" w14:textId="77777777" w:rsidTr="009E5AB1">
        <w:tc>
          <w:tcPr>
            <w:tcW w:w="9576" w:type="dxa"/>
            <w:gridSpan w:val="5"/>
          </w:tcPr>
          <w:p w14:paraId="5003568E" w14:textId="7C7CA9E0" w:rsidR="009E5AB1" w:rsidRPr="00860E17" w:rsidRDefault="009E5AB1" w:rsidP="009E5AB1">
            <w:pPr>
              <w:rPr>
                <w:i/>
              </w:rPr>
            </w:pPr>
            <w:r w:rsidRPr="00860E17">
              <w:rPr>
                <w:i/>
                <w:lang w:eastAsia="bg-BG"/>
              </w:rPr>
              <w:t>Нарушения на имунната система</w:t>
            </w:r>
          </w:p>
        </w:tc>
      </w:tr>
      <w:tr w:rsidR="009E5AB1" w:rsidRPr="00860E17" w14:paraId="01F33282" w14:textId="77777777" w:rsidTr="009E5AB1">
        <w:tc>
          <w:tcPr>
            <w:tcW w:w="2139" w:type="dxa"/>
          </w:tcPr>
          <w:p w14:paraId="7B93DE1C" w14:textId="77777777" w:rsidR="009E5AB1" w:rsidRPr="00860E17" w:rsidRDefault="009E5AB1" w:rsidP="009E5AB1"/>
        </w:tc>
        <w:tc>
          <w:tcPr>
            <w:tcW w:w="1550" w:type="dxa"/>
          </w:tcPr>
          <w:p w14:paraId="72BCD42D" w14:textId="77777777" w:rsidR="009E5AB1" w:rsidRPr="00860E17" w:rsidRDefault="009E5AB1" w:rsidP="009E5AB1"/>
        </w:tc>
        <w:tc>
          <w:tcPr>
            <w:tcW w:w="2341" w:type="dxa"/>
          </w:tcPr>
          <w:p w14:paraId="5124B3DD" w14:textId="77777777" w:rsidR="009E5AB1" w:rsidRPr="00860E17" w:rsidRDefault="009E5AB1" w:rsidP="009E5AB1"/>
        </w:tc>
        <w:tc>
          <w:tcPr>
            <w:tcW w:w="2422" w:type="dxa"/>
            <w:vAlign w:val="bottom"/>
          </w:tcPr>
          <w:p w14:paraId="4AA4FDB3" w14:textId="77777777" w:rsidR="009E5AB1" w:rsidRPr="00860E17" w:rsidRDefault="009E5AB1" w:rsidP="009E5AB1">
            <w:proofErr w:type="spellStart"/>
            <w:r w:rsidRPr="00860E17">
              <w:t>Анафилактична</w:t>
            </w:r>
            <w:proofErr w:type="spellEnd"/>
            <w:r w:rsidRPr="00860E17">
              <w:t xml:space="preserve"> реакция</w:t>
            </w:r>
          </w:p>
          <w:p w14:paraId="08150652" w14:textId="36A5AB12" w:rsidR="009E5AB1" w:rsidRPr="00860E17" w:rsidRDefault="009E5AB1" w:rsidP="009E5AB1">
            <w:r w:rsidRPr="00860E17">
              <w:t>Нарушения, свързани със свръхчувствителност</w:t>
            </w:r>
          </w:p>
        </w:tc>
        <w:tc>
          <w:tcPr>
            <w:tcW w:w="1124" w:type="dxa"/>
          </w:tcPr>
          <w:p w14:paraId="29A033E2" w14:textId="77777777" w:rsidR="009E5AB1" w:rsidRPr="00860E17" w:rsidRDefault="009E5AB1" w:rsidP="009E5AB1"/>
        </w:tc>
      </w:tr>
      <w:tr w:rsidR="009E5AB1" w:rsidRPr="00860E17" w14:paraId="63FC9263" w14:textId="77777777" w:rsidTr="009E5AB1">
        <w:tc>
          <w:tcPr>
            <w:tcW w:w="9576" w:type="dxa"/>
            <w:gridSpan w:val="5"/>
          </w:tcPr>
          <w:p w14:paraId="12B5D016" w14:textId="5BD863B3" w:rsidR="009E5AB1" w:rsidRPr="00860E17" w:rsidRDefault="009E5AB1" w:rsidP="009E5AB1">
            <w:pPr>
              <w:rPr>
                <w:i/>
              </w:rPr>
            </w:pPr>
            <w:r w:rsidRPr="00860E17">
              <w:rPr>
                <w:i/>
              </w:rPr>
              <w:t>Нарушения на ендокринната система</w:t>
            </w:r>
          </w:p>
        </w:tc>
      </w:tr>
      <w:tr w:rsidR="009E5AB1" w:rsidRPr="00860E17" w14:paraId="7BD91ABF" w14:textId="77777777" w:rsidTr="009E5AB1">
        <w:tc>
          <w:tcPr>
            <w:tcW w:w="2139" w:type="dxa"/>
          </w:tcPr>
          <w:p w14:paraId="6B88DB38" w14:textId="77777777" w:rsidR="009E5AB1" w:rsidRPr="00860E17" w:rsidRDefault="009E5AB1" w:rsidP="009E5AB1"/>
        </w:tc>
        <w:tc>
          <w:tcPr>
            <w:tcW w:w="1550" w:type="dxa"/>
          </w:tcPr>
          <w:p w14:paraId="7C4EEBD3" w14:textId="77777777" w:rsidR="009E5AB1" w:rsidRPr="00860E17" w:rsidRDefault="009E5AB1" w:rsidP="009E5AB1"/>
        </w:tc>
        <w:tc>
          <w:tcPr>
            <w:tcW w:w="2341" w:type="dxa"/>
          </w:tcPr>
          <w:p w14:paraId="7ABA00D9" w14:textId="77777777" w:rsidR="009E5AB1" w:rsidRPr="00860E17" w:rsidRDefault="009E5AB1" w:rsidP="009E5AB1"/>
        </w:tc>
        <w:tc>
          <w:tcPr>
            <w:tcW w:w="2422" w:type="dxa"/>
          </w:tcPr>
          <w:p w14:paraId="4CBF8722" w14:textId="1948B520" w:rsidR="009E5AB1" w:rsidRPr="00860E17" w:rsidRDefault="009E5AB1" w:rsidP="009E5AB1">
            <w:pPr>
              <w:rPr>
                <w:sz w:val="24"/>
                <w:szCs w:val="24"/>
              </w:rPr>
            </w:pPr>
            <w:proofErr w:type="spellStart"/>
            <w:r w:rsidRPr="00860E17">
              <w:rPr>
                <w:lang w:eastAsia="bg-BG"/>
              </w:rPr>
              <w:t>Хипотиреоидизъм</w:t>
            </w:r>
            <w:proofErr w:type="spellEnd"/>
          </w:p>
        </w:tc>
        <w:tc>
          <w:tcPr>
            <w:tcW w:w="1124" w:type="dxa"/>
          </w:tcPr>
          <w:p w14:paraId="6AAFF865" w14:textId="77777777" w:rsidR="009E5AB1" w:rsidRPr="00860E17" w:rsidRDefault="009E5AB1" w:rsidP="009E5AB1"/>
        </w:tc>
      </w:tr>
      <w:tr w:rsidR="009E5AB1" w:rsidRPr="00860E17" w14:paraId="1DB7ADB8" w14:textId="77777777" w:rsidTr="009E5AB1">
        <w:tc>
          <w:tcPr>
            <w:tcW w:w="9576" w:type="dxa"/>
            <w:gridSpan w:val="5"/>
          </w:tcPr>
          <w:p w14:paraId="694BD859" w14:textId="1F46B8FD" w:rsidR="009E5AB1" w:rsidRPr="00860E17" w:rsidRDefault="009E5AB1" w:rsidP="009E5AB1">
            <w:pPr>
              <w:rPr>
                <w:i/>
              </w:rPr>
            </w:pPr>
            <w:r w:rsidRPr="00860E17">
              <w:rPr>
                <w:i/>
                <w:lang w:eastAsia="bg-BG"/>
              </w:rPr>
              <w:t>Нарушения на метаболизма и храненето</w:t>
            </w:r>
          </w:p>
        </w:tc>
      </w:tr>
      <w:tr w:rsidR="009E5AB1" w:rsidRPr="00860E17" w14:paraId="2ACE93E8" w14:textId="77777777" w:rsidTr="009E5AB1">
        <w:tc>
          <w:tcPr>
            <w:tcW w:w="2139" w:type="dxa"/>
          </w:tcPr>
          <w:p w14:paraId="2A902816" w14:textId="77777777" w:rsidR="009E5AB1" w:rsidRPr="00860E17" w:rsidRDefault="009E5AB1" w:rsidP="009E5AB1"/>
        </w:tc>
        <w:tc>
          <w:tcPr>
            <w:tcW w:w="1550" w:type="dxa"/>
          </w:tcPr>
          <w:p w14:paraId="775EAF54" w14:textId="5D17A7C8" w:rsidR="009E5AB1" w:rsidRPr="00860E17" w:rsidRDefault="009E5AB1" w:rsidP="009E5AB1">
            <w:r w:rsidRPr="00860E17">
              <w:t>Намален апетит</w:t>
            </w:r>
          </w:p>
        </w:tc>
        <w:tc>
          <w:tcPr>
            <w:tcW w:w="2341" w:type="dxa"/>
            <w:vAlign w:val="bottom"/>
          </w:tcPr>
          <w:p w14:paraId="06791378" w14:textId="6F8C9DC9" w:rsidR="009E5AB1" w:rsidRPr="00860E17" w:rsidRDefault="009E5AB1" w:rsidP="009E5AB1">
            <w:r w:rsidRPr="00860E17">
              <w:t>Хипергликемия (докладвана особено при пациенти диабетици)</w:t>
            </w:r>
          </w:p>
        </w:tc>
        <w:tc>
          <w:tcPr>
            <w:tcW w:w="2422" w:type="dxa"/>
          </w:tcPr>
          <w:p w14:paraId="6DEC9013" w14:textId="008E2B13" w:rsidR="009E5AB1" w:rsidRPr="00860E17" w:rsidRDefault="009E5AB1" w:rsidP="009E5AB1">
            <w:r w:rsidRPr="00860E17">
              <w:t xml:space="preserve">Дехидратация </w:t>
            </w:r>
            <w:proofErr w:type="spellStart"/>
            <w:r w:rsidRPr="00860E17">
              <w:t>Хипонатриемия</w:t>
            </w:r>
            <w:proofErr w:type="spellEnd"/>
            <w:r w:rsidRPr="00860E17">
              <w:t xml:space="preserve"> СНАДС</w:t>
            </w:r>
            <w:r w:rsidRPr="00860E17">
              <w:rPr>
                <w:vertAlign w:val="superscript"/>
              </w:rPr>
              <w:t>6</w:t>
            </w:r>
          </w:p>
        </w:tc>
        <w:tc>
          <w:tcPr>
            <w:tcW w:w="1124" w:type="dxa"/>
          </w:tcPr>
          <w:p w14:paraId="27600C8F" w14:textId="77777777" w:rsidR="009E5AB1" w:rsidRPr="00860E17" w:rsidRDefault="009E5AB1" w:rsidP="009E5AB1"/>
        </w:tc>
      </w:tr>
      <w:tr w:rsidR="009E5AB1" w:rsidRPr="00860E17" w14:paraId="61D8063A" w14:textId="77777777" w:rsidTr="009E5AB1">
        <w:tc>
          <w:tcPr>
            <w:tcW w:w="9576" w:type="dxa"/>
            <w:gridSpan w:val="5"/>
          </w:tcPr>
          <w:p w14:paraId="678E86D8" w14:textId="2A240DA6" w:rsidR="009E5AB1" w:rsidRPr="00860E17" w:rsidRDefault="009E5AB1" w:rsidP="009E5AB1">
            <w:pPr>
              <w:rPr>
                <w:i/>
              </w:rPr>
            </w:pPr>
            <w:r w:rsidRPr="00860E17">
              <w:rPr>
                <w:i/>
              </w:rPr>
              <w:t>Психични нарушения</w:t>
            </w:r>
          </w:p>
        </w:tc>
      </w:tr>
      <w:tr w:rsidR="009E5AB1" w:rsidRPr="00860E17" w14:paraId="6D2B2B69" w14:textId="77777777" w:rsidTr="009E5AB1">
        <w:tc>
          <w:tcPr>
            <w:tcW w:w="2139" w:type="dxa"/>
          </w:tcPr>
          <w:p w14:paraId="3773BF47" w14:textId="77777777" w:rsidR="009E5AB1" w:rsidRPr="00860E17" w:rsidRDefault="009E5AB1" w:rsidP="009E5AB1"/>
        </w:tc>
        <w:tc>
          <w:tcPr>
            <w:tcW w:w="1550" w:type="dxa"/>
          </w:tcPr>
          <w:p w14:paraId="6E7DE952" w14:textId="1919FABC" w:rsidR="009E5AB1" w:rsidRPr="00860E17" w:rsidRDefault="009E5AB1" w:rsidP="009E5AB1">
            <w:proofErr w:type="spellStart"/>
            <w:r w:rsidRPr="00860E17">
              <w:t>Инсомния</w:t>
            </w:r>
            <w:proofErr w:type="spellEnd"/>
            <w:r w:rsidRPr="00860E17">
              <w:t xml:space="preserve"> Възбуда Намалено либидо Тревожност </w:t>
            </w:r>
            <w:proofErr w:type="spellStart"/>
            <w:r w:rsidRPr="00860E17">
              <w:t>Абнормен</w:t>
            </w:r>
            <w:proofErr w:type="spellEnd"/>
            <w:r w:rsidRPr="00860E17">
              <w:t xml:space="preserve"> оргазъм Ярки сънища</w:t>
            </w:r>
          </w:p>
        </w:tc>
        <w:tc>
          <w:tcPr>
            <w:tcW w:w="2341" w:type="dxa"/>
            <w:vAlign w:val="center"/>
          </w:tcPr>
          <w:p w14:paraId="6F6CE985" w14:textId="14B4C4BC" w:rsidR="009E5AB1" w:rsidRPr="00860E17" w:rsidRDefault="009E5AB1" w:rsidP="009E5AB1">
            <w:r w:rsidRPr="00860E17">
              <w:t>Суицидна идеация</w:t>
            </w:r>
            <w:r w:rsidRPr="00860E17">
              <w:rPr>
                <w:vertAlign w:val="superscript"/>
              </w:rPr>
              <w:t xml:space="preserve">5,7 </w:t>
            </w:r>
            <w:r w:rsidRPr="00860E17">
              <w:t xml:space="preserve">Нарушение на съня </w:t>
            </w:r>
            <w:proofErr w:type="spellStart"/>
            <w:r w:rsidRPr="00860E17">
              <w:t>Бруксизъм</w:t>
            </w:r>
            <w:proofErr w:type="spellEnd"/>
            <w:r w:rsidRPr="00860E17">
              <w:t xml:space="preserve"> Дезориентация Апатия</w:t>
            </w:r>
          </w:p>
        </w:tc>
        <w:tc>
          <w:tcPr>
            <w:tcW w:w="2422" w:type="dxa"/>
          </w:tcPr>
          <w:p w14:paraId="75EC09E1" w14:textId="77777777" w:rsidR="009E5AB1" w:rsidRPr="00860E17" w:rsidRDefault="009E5AB1" w:rsidP="009E5AB1">
            <w:r w:rsidRPr="00860E17">
              <w:t>Суицидно поведение</w:t>
            </w:r>
            <w:r w:rsidRPr="00860E17">
              <w:rPr>
                <w:vertAlign w:val="superscript"/>
              </w:rPr>
              <w:t>5,7</w:t>
            </w:r>
          </w:p>
          <w:p w14:paraId="7B43F5AB" w14:textId="77777777" w:rsidR="009E5AB1" w:rsidRPr="00860E17" w:rsidRDefault="009E5AB1" w:rsidP="009E5AB1">
            <w:r w:rsidRPr="00860E17">
              <w:t>Мания</w:t>
            </w:r>
          </w:p>
          <w:p w14:paraId="7934A7EA" w14:textId="77777777" w:rsidR="009E5AB1" w:rsidRPr="00860E17" w:rsidRDefault="009E5AB1" w:rsidP="009E5AB1">
            <w:r w:rsidRPr="00860E17">
              <w:t>Халюцинации</w:t>
            </w:r>
          </w:p>
          <w:p w14:paraId="40478189" w14:textId="741AB384" w:rsidR="009E5AB1" w:rsidRPr="00860E17" w:rsidRDefault="009E5AB1" w:rsidP="009E5AB1">
            <w:r w:rsidRPr="00860E17">
              <w:t>Враждебност и гняв</w:t>
            </w:r>
            <w:r w:rsidRPr="00860E17">
              <w:rPr>
                <w:vertAlign w:val="superscript"/>
              </w:rPr>
              <w:t>4</w:t>
            </w:r>
          </w:p>
        </w:tc>
        <w:tc>
          <w:tcPr>
            <w:tcW w:w="1124" w:type="dxa"/>
          </w:tcPr>
          <w:p w14:paraId="1241461B" w14:textId="77777777" w:rsidR="009E5AB1" w:rsidRPr="00860E17" w:rsidRDefault="009E5AB1" w:rsidP="009E5AB1"/>
        </w:tc>
      </w:tr>
      <w:tr w:rsidR="009E5AB1" w:rsidRPr="00860E17" w14:paraId="1E5CD7E2" w14:textId="77777777" w:rsidTr="009E5AB1">
        <w:tc>
          <w:tcPr>
            <w:tcW w:w="9576" w:type="dxa"/>
            <w:gridSpan w:val="5"/>
          </w:tcPr>
          <w:p w14:paraId="65844520" w14:textId="4D57D236" w:rsidR="009E5AB1" w:rsidRPr="00860E17" w:rsidRDefault="009E5AB1" w:rsidP="009E5AB1">
            <w:pPr>
              <w:rPr>
                <w:i/>
              </w:rPr>
            </w:pPr>
            <w:r w:rsidRPr="00860E17">
              <w:rPr>
                <w:i/>
              </w:rPr>
              <w:t>Нарушения на нервната система</w:t>
            </w:r>
          </w:p>
        </w:tc>
      </w:tr>
      <w:tr w:rsidR="009E5AB1" w:rsidRPr="00860E17" w14:paraId="08679F09" w14:textId="77777777" w:rsidTr="009E5AB1">
        <w:tc>
          <w:tcPr>
            <w:tcW w:w="2139" w:type="dxa"/>
          </w:tcPr>
          <w:p w14:paraId="2E6FC439" w14:textId="77777777" w:rsidR="009E5AB1" w:rsidRPr="00860E17" w:rsidRDefault="009E5AB1" w:rsidP="009E5AB1">
            <w:r w:rsidRPr="00860E17">
              <w:t>Главоболие</w:t>
            </w:r>
          </w:p>
          <w:p w14:paraId="6AD2CB38" w14:textId="10C78E49" w:rsidR="009E5AB1" w:rsidRPr="00860E17" w:rsidRDefault="009E5AB1" w:rsidP="009E5AB1">
            <w:proofErr w:type="spellStart"/>
            <w:r w:rsidRPr="00860E17">
              <w:t>Сомнолентност</w:t>
            </w:r>
            <w:proofErr w:type="spellEnd"/>
          </w:p>
        </w:tc>
        <w:tc>
          <w:tcPr>
            <w:tcW w:w="1550" w:type="dxa"/>
          </w:tcPr>
          <w:p w14:paraId="33CB268B" w14:textId="52AA363F" w:rsidR="009E5AB1" w:rsidRPr="00860E17" w:rsidRDefault="009E5AB1" w:rsidP="009E5AB1">
            <w:r w:rsidRPr="00860E17">
              <w:t xml:space="preserve">Замаяност Летаргия Тремор </w:t>
            </w:r>
            <w:proofErr w:type="spellStart"/>
            <w:r w:rsidRPr="00860E17">
              <w:t>Парестезия</w:t>
            </w:r>
            <w:proofErr w:type="spellEnd"/>
          </w:p>
        </w:tc>
        <w:tc>
          <w:tcPr>
            <w:tcW w:w="2341" w:type="dxa"/>
            <w:vAlign w:val="center"/>
          </w:tcPr>
          <w:p w14:paraId="66F003C6" w14:textId="77777777" w:rsidR="009E5AB1" w:rsidRPr="00860E17" w:rsidRDefault="009E5AB1" w:rsidP="009E5AB1">
            <w:proofErr w:type="spellStart"/>
            <w:r w:rsidRPr="00860E17">
              <w:t>Миоклония</w:t>
            </w:r>
            <w:proofErr w:type="spellEnd"/>
          </w:p>
          <w:p w14:paraId="13927E70" w14:textId="20CDAA8F" w:rsidR="009E5AB1" w:rsidRPr="00860E17" w:rsidRDefault="009E5AB1" w:rsidP="009E5AB1">
            <w:r w:rsidRPr="00860E17">
              <w:t>Акатизия</w:t>
            </w:r>
            <w:r w:rsidRPr="00860E17">
              <w:rPr>
                <w:vertAlign w:val="superscript"/>
              </w:rPr>
              <w:t>7</w:t>
            </w:r>
            <w:r w:rsidRPr="00860E17">
              <w:t xml:space="preserve"> Нервност Нарушение на вниманието </w:t>
            </w:r>
            <w:proofErr w:type="spellStart"/>
            <w:r w:rsidRPr="00860E17">
              <w:t>Дисгеузия</w:t>
            </w:r>
            <w:proofErr w:type="spellEnd"/>
            <w:r w:rsidRPr="00860E17">
              <w:t xml:space="preserve"> </w:t>
            </w:r>
            <w:r w:rsidRPr="00860E17">
              <w:lastRenderedPageBreak/>
              <w:t>Дискинезия Синдром на неспокойните крака Лошо качество на съня</w:t>
            </w:r>
          </w:p>
        </w:tc>
        <w:tc>
          <w:tcPr>
            <w:tcW w:w="2422" w:type="dxa"/>
          </w:tcPr>
          <w:p w14:paraId="76093D4A" w14:textId="0D14EB72" w:rsidR="009E5AB1" w:rsidRPr="00860E17" w:rsidRDefault="009E5AB1" w:rsidP="009E5AB1">
            <w:proofErr w:type="spellStart"/>
            <w:r w:rsidRPr="00860E17">
              <w:lastRenderedPageBreak/>
              <w:t>Серотонинов</w:t>
            </w:r>
            <w:proofErr w:type="spellEnd"/>
            <w:r w:rsidRPr="00860E17">
              <w:t xml:space="preserve"> синдром</w:t>
            </w:r>
            <w:r w:rsidRPr="00860E17">
              <w:rPr>
                <w:vertAlign w:val="superscript"/>
              </w:rPr>
              <w:t xml:space="preserve">6 </w:t>
            </w:r>
            <w:r w:rsidRPr="00860E17">
              <w:t>Конвулсии</w:t>
            </w:r>
            <w:r w:rsidRPr="00860E17">
              <w:rPr>
                <w:vertAlign w:val="superscript"/>
              </w:rPr>
              <w:t xml:space="preserve">1 </w:t>
            </w:r>
            <w:r w:rsidRPr="00860E17">
              <w:t>Психомоторно безпокойство</w:t>
            </w:r>
            <w:r w:rsidRPr="00860E17">
              <w:rPr>
                <w:vertAlign w:val="superscript"/>
              </w:rPr>
              <w:t xml:space="preserve">6 </w:t>
            </w:r>
            <w:proofErr w:type="spellStart"/>
            <w:r w:rsidRPr="00860E17">
              <w:lastRenderedPageBreak/>
              <w:t>Екстрапирамидни</w:t>
            </w:r>
            <w:proofErr w:type="spellEnd"/>
            <w:r w:rsidRPr="00860E17">
              <w:t xml:space="preserve"> симптоми</w:t>
            </w:r>
            <w:r w:rsidRPr="00860E17">
              <w:rPr>
                <w:vertAlign w:val="superscript"/>
              </w:rPr>
              <w:t>6</w:t>
            </w:r>
          </w:p>
        </w:tc>
        <w:tc>
          <w:tcPr>
            <w:tcW w:w="1124" w:type="dxa"/>
          </w:tcPr>
          <w:p w14:paraId="5B813F56" w14:textId="77777777" w:rsidR="009E5AB1" w:rsidRPr="00860E17" w:rsidRDefault="009E5AB1" w:rsidP="009E5AB1"/>
        </w:tc>
      </w:tr>
      <w:tr w:rsidR="009E5AB1" w:rsidRPr="00860E17" w14:paraId="5BC93822" w14:textId="77777777" w:rsidTr="009E5AB1">
        <w:tc>
          <w:tcPr>
            <w:tcW w:w="9576" w:type="dxa"/>
            <w:gridSpan w:val="5"/>
          </w:tcPr>
          <w:p w14:paraId="6C88EBC1" w14:textId="6721C7E2" w:rsidR="009E5AB1" w:rsidRPr="00860E17" w:rsidRDefault="009E5AB1" w:rsidP="009E5AB1">
            <w:pPr>
              <w:rPr>
                <w:i/>
              </w:rPr>
            </w:pPr>
            <w:r w:rsidRPr="00860E17">
              <w:rPr>
                <w:i/>
                <w:lang w:eastAsia="bg-BG"/>
              </w:rPr>
              <w:t>Нарушения на очите</w:t>
            </w:r>
          </w:p>
        </w:tc>
      </w:tr>
      <w:tr w:rsidR="009E5AB1" w:rsidRPr="00860E17" w14:paraId="10684E86" w14:textId="77777777" w:rsidTr="009E5AB1">
        <w:tc>
          <w:tcPr>
            <w:tcW w:w="2139" w:type="dxa"/>
          </w:tcPr>
          <w:p w14:paraId="517B5547" w14:textId="77777777" w:rsidR="009E5AB1" w:rsidRPr="00860E17" w:rsidRDefault="009E5AB1" w:rsidP="009E5AB1"/>
        </w:tc>
        <w:tc>
          <w:tcPr>
            <w:tcW w:w="1550" w:type="dxa"/>
          </w:tcPr>
          <w:p w14:paraId="03837856" w14:textId="3D750FF5" w:rsidR="009E5AB1" w:rsidRPr="00860E17" w:rsidRDefault="009E5AB1" w:rsidP="009E5AB1">
            <w:r w:rsidRPr="00860E17">
              <w:t>Замъглено виждане</w:t>
            </w:r>
          </w:p>
        </w:tc>
        <w:tc>
          <w:tcPr>
            <w:tcW w:w="2341" w:type="dxa"/>
            <w:vAlign w:val="bottom"/>
          </w:tcPr>
          <w:p w14:paraId="65AC322A" w14:textId="4EF1EE57" w:rsidR="009E5AB1" w:rsidRPr="00860E17" w:rsidRDefault="009E5AB1" w:rsidP="009E5AB1">
            <w:proofErr w:type="spellStart"/>
            <w:r w:rsidRPr="00860E17">
              <w:t>Мидриаза</w:t>
            </w:r>
            <w:proofErr w:type="spellEnd"/>
            <w:r w:rsidRPr="00860E17">
              <w:t xml:space="preserve"> Нарушение на зрението</w:t>
            </w:r>
          </w:p>
        </w:tc>
        <w:tc>
          <w:tcPr>
            <w:tcW w:w="2422" w:type="dxa"/>
          </w:tcPr>
          <w:p w14:paraId="1A0D5492" w14:textId="32514C42" w:rsidR="009E5AB1" w:rsidRPr="00860E17" w:rsidRDefault="009E5AB1" w:rsidP="009E5AB1">
            <w:r w:rsidRPr="00860E17">
              <w:t>Глаукома</w:t>
            </w:r>
          </w:p>
        </w:tc>
        <w:tc>
          <w:tcPr>
            <w:tcW w:w="1124" w:type="dxa"/>
          </w:tcPr>
          <w:p w14:paraId="0C721A51" w14:textId="77777777" w:rsidR="009E5AB1" w:rsidRPr="00860E17" w:rsidRDefault="009E5AB1" w:rsidP="009E5AB1"/>
        </w:tc>
      </w:tr>
      <w:tr w:rsidR="009E5AB1" w:rsidRPr="00860E17" w14:paraId="729BA348" w14:textId="77777777" w:rsidTr="009E5AB1">
        <w:tc>
          <w:tcPr>
            <w:tcW w:w="9576" w:type="dxa"/>
            <w:gridSpan w:val="5"/>
          </w:tcPr>
          <w:p w14:paraId="0D6B90B8" w14:textId="44109608" w:rsidR="009E5AB1" w:rsidRPr="00860E17" w:rsidRDefault="009E5AB1" w:rsidP="009E5AB1">
            <w:pPr>
              <w:rPr>
                <w:i/>
              </w:rPr>
            </w:pPr>
            <w:r w:rsidRPr="00860E17">
              <w:rPr>
                <w:i/>
              </w:rPr>
              <w:t>Нарушения на ухото и лабиринта</w:t>
            </w:r>
          </w:p>
        </w:tc>
      </w:tr>
      <w:tr w:rsidR="009E5AB1" w:rsidRPr="00860E17" w14:paraId="47F4DC20" w14:textId="77777777" w:rsidTr="009E5AB1">
        <w:tc>
          <w:tcPr>
            <w:tcW w:w="2139" w:type="dxa"/>
          </w:tcPr>
          <w:p w14:paraId="57D3E316" w14:textId="77777777" w:rsidR="009E5AB1" w:rsidRPr="00860E17" w:rsidRDefault="009E5AB1" w:rsidP="009E5AB1"/>
        </w:tc>
        <w:tc>
          <w:tcPr>
            <w:tcW w:w="1550" w:type="dxa"/>
          </w:tcPr>
          <w:p w14:paraId="76BBAC6A" w14:textId="35E8D077" w:rsidR="009E5AB1" w:rsidRPr="00860E17" w:rsidRDefault="009E5AB1" w:rsidP="009E5AB1">
            <w:r w:rsidRPr="00860E17">
              <w:t>Шум в ушите</w:t>
            </w:r>
            <w:r w:rsidRPr="00860E17">
              <w:rPr>
                <w:vertAlign w:val="superscript"/>
              </w:rPr>
              <w:t>1</w:t>
            </w:r>
          </w:p>
        </w:tc>
        <w:tc>
          <w:tcPr>
            <w:tcW w:w="2341" w:type="dxa"/>
            <w:vAlign w:val="bottom"/>
          </w:tcPr>
          <w:p w14:paraId="18D24E27" w14:textId="3F9247FC" w:rsidR="009E5AB1" w:rsidRPr="00860E17" w:rsidRDefault="009E5AB1" w:rsidP="009E5AB1">
            <w:proofErr w:type="spellStart"/>
            <w:r w:rsidRPr="00860E17">
              <w:t>Вертиго</w:t>
            </w:r>
            <w:proofErr w:type="spellEnd"/>
            <w:r w:rsidRPr="00860E17">
              <w:t xml:space="preserve"> Болка в ухото</w:t>
            </w:r>
          </w:p>
        </w:tc>
        <w:tc>
          <w:tcPr>
            <w:tcW w:w="2422" w:type="dxa"/>
          </w:tcPr>
          <w:p w14:paraId="570CFA85" w14:textId="77777777" w:rsidR="009E5AB1" w:rsidRPr="00860E17" w:rsidRDefault="009E5AB1" w:rsidP="009E5AB1"/>
        </w:tc>
        <w:tc>
          <w:tcPr>
            <w:tcW w:w="1124" w:type="dxa"/>
          </w:tcPr>
          <w:p w14:paraId="27F39DAE" w14:textId="77777777" w:rsidR="009E5AB1" w:rsidRPr="00860E17" w:rsidRDefault="009E5AB1" w:rsidP="009E5AB1"/>
        </w:tc>
      </w:tr>
      <w:tr w:rsidR="009E5AB1" w:rsidRPr="00860E17" w14:paraId="6DEBBE00" w14:textId="77777777" w:rsidTr="009E5AB1">
        <w:tc>
          <w:tcPr>
            <w:tcW w:w="9576" w:type="dxa"/>
            <w:gridSpan w:val="5"/>
          </w:tcPr>
          <w:p w14:paraId="0F7A9D28" w14:textId="72D92EDA" w:rsidR="009E5AB1" w:rsidRPr="00860E17" w:rsidRDefault="009E5AB1" w:rsidP="009E5AB1">
            <w:pPr>
              <w:rPr>
                <w:i/>
              </w:rPr>
            </w:pPr>
            <w:r w:rsidRPr="00860E17">
              <w:rPr>
                <w:i/>
              </w:rPr>
              <w:t>Сърдечни нарушения</w:t>
            </w:r>
          </w:p>
        </w:tc>
      </w:tr>
      <w:tr w:rsidR="009E5AB1" w:rsidRPr="00860E17" w14:paraId="54E07423" w14:textId="77777777" w:rsidTr="009E5AB1">
        <w:tc>
          <w:tcPr>
            <w:tcW w:w="2139" w:type="dxa"/>
          </w:tcPr>
          <w:p w14:paraId="07E5083B" w14:textId="77777777" w:rsidR="009E5AB1" w:rsidRPr="00860E17" w:rsidRDefault="009E5AB1" w:rsidP="009E5AB1"/>
        </w:tc>
        <w:tc>
          <w:tcPr>
            <w:tcW w:w="1550" w:type="dxa"/>
          </w:tcPr>
          <w:p w14:paraId="78796738" w14:textId="1CB95DB2" w:rsidR="009E5AB1" w:rsidRPr="00860E17" w:rsidRDefault="009E5AB1" w:rsidP="009E5AB1">
            <w:proofErr w:type="spellStart"/>
            <w:r w:rsidRPr="00860E17">
              <w:t>Палпитации</w:t>
            </w:r>
            <w:proofErr w:type="spellEnd"/>
          </w:p>
        </w:tc>
        <w:tc>
          <w:tcPr>
            <w:tcW w:w="2341" w:type="dxa"/>
            <w:vAlign w:val="center"/>
          </w:tcPr>
          <w:p w14:paraId="6479BA7D" w14:textId="0E4C2C4A" w:rsidR="009E5AB1" w:rsidRPr="00860E17" w:rsidRDefault="009E5AB1" w:rsidP="009E5AB1">
            <w:r w:rsidRPr="00860E17">
              <w:t xml:space="preserve">Тахикардия </w:t>
            </w:r>
            <w:proofErr w:type="spellStart"/>
            <w:r w:rsidRPr="00860E17">
              <w:t>Надкамерна</w:t>
            </w:r>
            <w:proofErr w:type="spellEnd"/>
            <w:r w:rsidRPr="00860E17">
              <w:t xml:space="preserve"> аритмия, главно </w:t>
            </w:r>
            <w:proofErr w:type="spellStart"/>
            <w:r w:rsidRPr="00860E17">
              <w:t>предсърдно</w:t>
            </w:r>
            <w:proofErr w:type="spellEnd"/>
            <w:r w:rsidRPr="00860E17">
              <w:t xml:space="preserve"> мъждене</w:t>
            </w:r>
          </w:p>
        </w:tc>
        <w:tc>
          <w:tcPr>
            <w:tcW w:w="2422" w:type="dxa"/>
          </w:tcPr>
          <w:p w14:paraId="2CF44406" w14:textId="77777777" w:rsidR="009E5AB1" w:rsidRPr="00860E17" w:rsidRDefault="009E5AB1" w:rsidP="009E5AB1"/>
        </w:tc>
        <w:tc>
          <w:tcPr>
            <w:tcW w:w="1124" w:type="dxa"/>
          </w:tcPr>
          <w:p w14:paraId="31E26243" w14:textId="77777777" w:rsidR="009E5AB1" w:rsidRPr="00860E17" w:rsidRDefault="009E5AB1" w:rsidP="009E5AB1"/>
        </w:tc>
      </w:tr>
      <w:tr w:rsidR="009E5AB1" w:rsidRPr="00860E17" w14:paraId="254E260B" w14:textId="77777777" w:rsidTr="009E5AB1">
        <w:tc>
          <w:tcPr>
            <w:tcW w:w="9576" w:type="dxa"/>
            <w:gridSpan w:val="5"/>
          </w:tcPr>
          <w:p w14:paraId="59978820" w14:textId="1D7905F6" w:rsidR="009E5AB1" w:rsidRPr="00860E17" w:rsidRDefault="009E5AB1" w:rsidP="009E5AB1">
            <w:pPr>
              <w:rPr>
                <w:i/>
              </w:rPr>
            </w:pPr>
            <w:r w:rsidRPr="00860E17">
              <w:rPr>
                <w:i/>
              </w:rPr>
              <w:t>Съдови нарушения</w:t>
            </w:r>
          </w:p>
        </w:tc>
      </w:tr>
      <w:tr w:rsidR="009E5AB1" w:rsidRPr="00860E17" w14:paraId="40CF1B66" w14:textId="77777777" w:rsidTr="009E5AB1">
        <w:tc>
          <w:tcPr>
            <w:tcW w:w="2139" w:type="dxa"/>
          </w:tcPr>
          <w:p w14:paraId="4216357C" w14:textId="77777777" w:rsidR="009E5AB1" w:rsidRPr="00860E17" w:rsidRDefault="009E5AB1" w:rsidP="009E5AB1"/>
        </w:tc>
        <w:tc>
          <w:tcPr>
            <w:tcW w:w="1550" w:type="dxa"/>
          </w:tcPr>
          <w:p w14:paraId="690EA671" w14:textId="5DB381F0" w:rsidR="009E5AB1" w:rsidRPr="00860E17" w:rsidRDefault="009E5AB1" w:rsidP="009E5AB1">
            <w:r w:rsidRPr="00860E17">
              <w:t>Повишено кръвно налягане</w:t>
            </w:r>
            <w:r w:rsidRPr="00860E17">
              <w:rPr>
                <w:vertAlign w:val="superscript"/>
              </w:rPr>
              <w:t xml:space="preserve">3 </w:t>
            </w:r>
            <w:r w:rsidRPr="00860E17">
              <w:t>Зачервяване</w:t>
            </w:r>
          </w:p>
        </w:tc>
        <w:tc>
          <w:tcPr>
            <w:tcW w:w="2341" w:type="dxa"/>
          </w:tcPr>
          <w:p w14:paraId="4A8CB42C" w14:textId="77777777" w:rsidR="009E5AB1" w:rsidRPr="00860E17" w:rsidRDefault="009E5AB1" w:rsidP="009E5AB1">
            <w:r w:rsidRPr="00860E17">
              <w:t>Синкоп</w:t>
            </w:r>
            <w:r w:rsidRPr="00860E17">
              <w:rPr>
                <w:vertAlign w:val="superscript"/>
              </w:rPr>
              <w:t>2</w:t>
            </w:r>
          </w:p>
          <w:p w14:paraId="12E8C99D" w14:textId="77777777" w:rsidR="009E5AB1" w:rsidRPr="00860E17" w:rsidRDefault="009E5AB1" w:rsidP="009E5AB1">
            <w:r w:rsidRPr="00860E17">
              <w:t>Хипертония</w:t>
            </w:r>
            <w:r w:rsidRPr="00860E17">
              <w:rPr>
                <w:vertAlign w:val="superscript"/>
              </w:rPr>
              <w:t xml:space="preserve">3,7 </w:t>
            </w:r>
            <w:r w:rsidRPr="00860E17">
              <w:t>Ортостатична</w:t>
            </w:r>
          </w:p>
          <w:p w14:paraId="71E9A3CF" w14:textId="77777777" w:rsidR="009E5AB1" w:rsidRPr="00860E17" w:rsidRDefault="009E5AB1" w:rsidP="009E5AB1">
            <w:pPr>
              <w:rPr>
                <w:vertAlign w:val="superscript"/>
              </w:rPr>
            </w:pPr>
            <w:r w:rsidRPr="00860E17">
              <w:t>хипотония</w:t>
            </w:r>
            <w:r w:rsidRPr="00860E17">
              <w:rPr>
                <w:vertAlign w:val="superscript"/>
              </w:rPr>
              <w:t>2</w:t>
            </w:r>
          </w:p>
          <w:p w14:paraId="7214396E" w14:textId="4E8E7310" w:rsidR="009E5AB1" w:rsidRPr="00860E17" w:rsidRDefault="009E5AB1" w:rsidP="009E5AB1">
            <w:pPr>
              <w:rPr>
                <w:sz w:val="24"/>
                <w:szCs w:val="24"/>
              </w:rPr>
            </w:pPr>
            <w:r w:rsidRPr="00860E17">
              <w:rPr>
                <w:lang w:eastAsia="bg-BG"/>
              </w:rPr>
              <w:t>Периферна студенина</w:t>
            </w:r>
          </w:p>
        </w:tc>
        <w:tc>
          <w:tcPr>
            <w:tcW w:w="2422" w:type="dxa"/>
            <w:vAlign w:val="bottom"/>
          </w:tcPr>
          <w:p w14:paraId="0CEC1EE2" w14:textId="0518CA5E" w:rsidR="009E5AB1" w:rsidRPr="00860E17" w:rsidRDefault="009E5AB1" w:rsidP="009E5AB1">
            <w:r w:rsidRPr="00860E17">
              <w:t>Хипертонична криза</w:t>
            </w:r>
            <w:r w:rsidRPr="00860E17">
              <w:rPr>
                <w:vertAlign w:val="superscript"/>
              </w:rPr>
              <w:t>3,6</w:t>
            </w:r>
          </w:p>
        </w:tc>
        <w:tc>
          <w:tcPr>
            <w:tcW w:w="1124" w:type="dxa"/>
          </w:tcPr>
          <w:p w14:paraId="5969898F" w14:textId="77777777" w:rsidR="009E5AB1" w:rsidRPr="00860E17" w:rsidRDefault="009E5AB1" w:rsidP="009E5AB1"/>
        </w:tc>
      </w:tr>
      <w:tr w:rsidR="009E5AB1" w:rsidRPr="00860E17" w14:paraId="182FC618" w14:textId="77777777" w:rsidTr="009E5AB1">
        <w:tc>
          <w:tcPr>
            <w:tcW w:w="9576" w:type="dxa"/>
            <w:gridSpan w:val="5"/>
          </w:tcPr>
          <w:p w14:paraId="0BA01AC6" w14:textId="0F6C6E03" w:rsidR="009E5AB1" w:rsidRPr="00860E17" w:rsidRDefault="009E5AB1" w:rsidP="009E5AB1">
            <w:pPr>
              <w:rPr>
                <w:i/>
              </w:rPr>
            </w:pPr>
            <w:r w:rsidRPr="00860E17">
              <w:rPr>
                <w:i/>
                <w:lang w:eastAsia="bg-BG"/>
              </w:rPr>
              <w:t xml:space="preserve">Респираторни, гръдни и </w:t>
            </w:r>
            <w:proofErr w:type="spellStart"/>
            <w:r w:rsidRPr="00860E17">
              <w:rPr>
                <w:i/>
                <w:lang w:eastAsia="bg-BG"/>
              </w:rPr>
              <w:t>медиастинални</w:t>
            </w:r>
            <w:proofErr w:type="spellEnd"/>
            <w:r w:rsidRPr="00860E17">
              <w:rPr>
                <w:i/>
                <w:lang w:eastAsia="bg-BG"/>
              </w:rPr>
              <w:t xml:space="preserve"> нарушения</w:t>
            </w:r>
          </w:p>
        </w:tc>
      </w:tr>
      <w:tr w:rsidR="009E5AB1" w:rsidRPr="00860E17" w14:paraId="7B06447B" w14:textId="77777777" w:rsidTr="009E5AB1">
        <w:tc>
          <w:tcPr>
            <w:tcW w:w="2139" w:type="dxa"/>
          </w:tcPr>
          <w:p w14:paraId="7BCF47FA" w14:textId="77777777" w:rsidR="009E5AB1" w:rsidRPr="00860E17" w:rsidRDefault="009E5AB1" w:rsidP="009E5AB1"/>
        </w:tc>
        <w:tc>
          <w:tcPr>
            <w:tcW w:w="1550" w:type="dxa"/>
          </w:tcPr>
          <w:p w14:paraId="5A094A0A" w14:textId="2D626B35" w:rsidR="009E5AB1" w:rsidRPr="00860E17" w:rsidRDefault="009E5AB1" w:rsidP="009E5AB1">
            <w:r w:rsidRPr="00860E17">
              <w:t>Прозяване</w:t>
            </w:r>
          </w:p>
        </w:tc>
        <w:tc>
          <w:tcPr>
            <w:tcW w:w="2341" w:type="dxa"/>
          </w:tcPr>
          <w:p w14:paraId="12475C47" w14:textId="77777777" w:rsidR="00473C03" w:rsidRDefault="009E5AB1" w:rsidP="009E5AB1">
            <w:r w:rsidRPr="00860E17">
              <w:t xml:space="preserve">Напрежение в гърлото </w:t>
            </w:r>
          </w:p>
          <w:p w14:paraId="316A442A" w14:textId="26046946" w:rsidR="009E5AB1" w:rsidRPr="00860E17" w:rsidRDefault="009E5AB1" w:rsidP="009E5AB1">
            <w:proofErr w:type="spellStart"/>
            <w:r w:rsidRPr="00860E17">
              <w:t>Епистаксис</w:t>
            </w:r>
            <w:proofErr w:type="spellEnd"/>
          </w:p>
        </w:tc>
        <w:tc>
          <w:tcPr>
            <w:tcW w:w="2422" w:type="dxa"/>
            <w:vAlign w:val="center"/>
          </w:tcPr>
          <w:p w14:paraId="54C5D3A0" w14:textId="26F6F88D" w:rsidR="009E5AB1" w:rsidRPr="00860E17" w:rsidRDefault="009E5AB1" w:rsidP="009E5AB1">
            <w:proofErr w:type="spellStart"/>
            <w:r w:rsidRPr="00860E17">
              <w:t>Интерстициална</w:t>
            </w:r>
            <w:proofErr w:type="spellEnd"/>
            <w:r w:rsidRPr="00860E17">
              <w:t xml:space="preserve"> белодробна болест</w:t>
            </w:r>
            <w:r w:rsidRPr="00860E17">
              <w:rPr>
                <w:vertAlign w:val="superscript"/>
              </w:rPr>
              <w:t xml:space="preserve">10 </w:t>
            </w:r>
            <w:proofErr w:type="spellStart"/>
            <w:r w:rsidRPr="00860E17">
              <w:t>Еозинофилна</w:t>
            </w:r>
            <w:proofErr w:type="spellEnd"/>
            <w:r w:rsidRPr="00860E17">
              <w:t xml:space="preserve"> пневмония</w:t>
            </w:r>
            <w:r w:rsidRPr="00860E17">
              <w:rPr>
                <w:vertAlign w:val="superscript"/>
              </w:rPr>
              <w:t>6</w:t>
            </w:r>
          </w:p>
        </w:tc>
        <w:tc>
          <w:tcPr>
            <w:tcW w:w="1124" w:type="dxa"/>
          </w:tcPr>
          <w:p w14:paraId="44548F32" w14:textId="77777777" w:rsidR="009E5AB1" w:rsidRPr="00860E17" w:rsidRDefault="009E5AB1" w:rsidP="009E5AB1"/>
        </w:tc>
      </w:tr>
      <w:tr w:rsidR="009E5AB1" w:rsidRPr="00860E17" w14:paraId="4279B546" w14:textId="77777777" w:rsidTr="009E5AB1">
        <w:tc>
          <w:tcPr>
            <w:tcW w:w="9576" w:type="dxa"/>
            <w:gridSpan w:val="5"/>
          </w:tcPr>
          <w:p w14:paraId="057DB447" w14:textId="45404E53" w:rsidR="009E5AB1" w:rsidRPr="00860E17" w:rsidRDefault="009E5AB1" w:rsidP="009E5AB1">
            <w:pPr>
              <w:rPr>
                <w:i/>
              </w:rPr>
            </w:pPr>
            <w:r w:rsidRPr="00860E17">
              <w:rPr>
                <w:i/>
                <w:lang w:eastAsia="bg-BG"/>
              </w:rPr>
              <w:t>Стомашно-чревни нарушения</w:t>
            </w:r>
          </w:p>
        </w:tc>
      </w:tr>
      <w:tr w:rsidR="009E5AB1" w:rsidRPr="00860E17" w14:paraId="65ADCDEC" w14:textId="77777777" w:rsidTr="009E5AB1">
        <w:tc>
          <w:tcPr>
            <w:tcW w:w="2139" w:type="dxa"/>
          </w:tcPr>
          <w:p w14:paraId="50732E5F" w14:textId="77777777" w:rsidR="009E5AB1" w:rsidRPr="00860E17" w:rsidRDefault="009E5AB1" w:rsidP="009E5AB1">
            <w:r w:rsidRPr="00860E17">
              <w:t>Гадене</w:t>
            </w:r>
          </w:p>
          <w:p w14:paraId="522C2215" w14:textId="6DC6E0CE" w:rsidR="009E5AB1" w:rsidRPr="00860E17" w:rsidRDefault="009E5AB1" w:rsidP="009E5AB1">
            <w:r w:rsidRPr="00860E17">
              <w:t>Сухота в устата</w:t>
            </w:r>
          </w:p>
        </w:tc>
        <w:tc>
          <w:tcPr>
            <w:tcW w:w="1550" w:type="dxa"/>
            <w:vAlign w:val="bottom"/>
          </w:tcPr>
          <w:p w14:paraId="02246FCD" w14:textId="01AB2711" w:rsidR="009E5AB1" w:rsidRPr="00860E17" w:rsidRDefault="009E5AB1" w:rsidP="009E5AB1">
            <w:r w:rsidRPr="00860E17">
              <w:t xml:space="preserve">Констипация Диария Коремна болка Повръщане Диспепсия </w:t>
            </w:r>
            <w:proofErr w:type="spellStart"/>
            <w:r w:rsidRPr="00860E17">
              <w:t>Метеоризъм</w:t>
            </w:r>
            <w:proofErr w:type="spellEnd"/>
          </w:p>
        </w:tc>
        <w:tc>
          <w:tcPr>
            <w:tcW w:w="2341" w:type="dxa"/>
            <w:vAlign w:val="bottom"/>
          </w:tcPr>
          <w:p w14:paraId="17BC70BD" w14:textId="77777777" w:rsidR="00473C03" w:rsidRDefault="009E5AB1" w:rsidP="009E5AB1">
            <w:r w:rsidRPr="00860E17">
              <w:t>Стомашно-чревен кръвоизлив</w:t>
            </w:r>
            <w:r w:rsidRPr="00860E17">
              <w:rPr>
                <w:vertAlign w:val="superscript"/>
              </w:rPr>
              <w:t xml:space="preserve">7 </w:t>
            </w:r>
            <w:proofErr w:type="spellStart"/>
            <w:r w:rsidRPr="00860E17">
              <w:t>Гастроентерит</w:t>
            </w:r>
            <w:proofErr w:type="spellEnd"/>
            <w:r w:rsidRPr="00860E17">
              <w:t xml:space="preserve"> Оригване</w:t>
            </w:r>
          </w:p>
          <w:p w14:paraId="64894B77" w14:textId="77777777" w:rsidR="00473C03" w:rsidRDefault="009E5AB1" w:rsidP="009E5AB1">
            <w:r w:rsidRPr="00860E17">
              <w:t xml:space="preserve"> Гастрит </w:t>
            </w:r>
          </w:p>
          <w:p w14:paraId="4AE1BBBA" w14:textId="333DCA5E" w:rsidR="009E5AB1" w:rsidRPr="00860E17" w:rsidRDefault="009E5AB1" w:rsidP="009E5AB1">
            <w:proofErr w:type="spellStart"/>
            <w:r w:rsidRPr="00860E17">
              <w:t>Дисфагия</w:t>
            </w:r>
            <w:proofErr w:type="spellEnd"/>
          </w:p>
        </w:tc>
        <w:tc>
          <w:tcPr>
            <w:tcW w:w="2422" w:type="dxa"/>
          </w:tcPr>
          <w:p w14:paraId="1534CF61" w14:textId="77777777" w:rsidR="00473C03" w:rsidRDefault="009E5AB1" w:rsidP="009E5AB1">
            <w:r w:rsidRPr="00860E17">
              <w:t xml:space="preserve">Стоматит </w:t>
            </w:r>
            <w:proofErr w:type="spellStart"/>
            <w:r w:rsidRPr="00860E17">
              <w:t>Хематохезия</w:t>
            </w:r>
            <w:proofErr w:type="spellEnd"/>
            <w:r w:rsidRPr="00860E17">
              <w:t xml:space="preserve"> </w:t>
            </w:r>
          </w:p>
          <w:p w14:paraId="50EBA783" w14:textId="4862E695" w:rsidR="009E5AB1" w:rsidRPr="00860E17" w:rsidRDefault="009E5AB1" w:rsidP="009E5AB1">
            <w:r w:rsidRPr="00860E17">
              <w:t xml:space="preserve">Лош дъх </w:t>
            </w:r>
            <w:proofErr w:type="spellStart"/>
            <w:r w:rsidRPr="00860E17">
              <w:t>Микроскописки</w:t>
            </w:r>
            <w:proofErr w:type="spellEnd"/>
            <w:r w:rsidRPr="00860E17">
              <w:t xml:space="preserve"> колит</w:t>
            </w:r>
            <w:r w:rsidRPr="00860E17">
              <w:rPr>
                <w:vertAlign w:val="superscript"/>
              </w:rPr>
              <w:t>9</w:t>
            </w:r>
          </w:p>
        </w:tc>
        <w:tc>
          <w:tcPr>
            <w:tcW w:w="1124" w:type="dxa"/>
          </w:tcPr>
          <w:p w14:paraId="7B862E5E" w14:textId="77777777" w:rsidR="009E5AB1" w:rsidRPr="00860E17" w:rsidRDefault="009E5AB1" w:rsidP="009E5AB1"/>
        </w:tc>
      </w:tr>
      <w:tr w:rsidR="009E5AB1" w:rsidRPr="00860E17" w14:paraId="4B4AE047" w14:textId="77777777" w:rsidTr="009E5AB1">
        <w:tc>
          <w:tcPr>
            <w:tcW w:w="9576" w:type="dxa"/>
            <w:gridSpan w:val="5"/>
          </w:tcPr>
          <w:p w14:paraId="50E3B95C" w14:textId="73CDEC00" w:rsidR="009E5AB1" w:rsidRPr="00860E17" w:rsidRDefault="009E5AB1" w:rsidP="009E5AB1">
            <w:pPr>
              <w:rPr>
                <w:i/>
              </w:rPr>
            </w:pPr>
            <w:proofErr w:type="spellStart"/>
            <w:r w:rsidRPr="00860E17">
              <w:rPr>
                <w:i/>
              </w:rPr>
              <w:t>Хепато-билиарни</w:t>
            </w:r>
            <w:proofErr w:type="spellEnd"/>
            <w:r w:rsidRPr="00860E17">
              <w:rPr>
                <w:i/>
              </w:rPr>
              <w:t xml:space="preserve"> нарушения</w:t>
            </w:r>
          </w:p>
        </w:tc>
      </w:tr>
      <w:tr w:rsidR="009E5AB1" w:rsidRPr="00860E17" w14:paraId="749A515A" w14:textId="77777777" w:rsidTr="009E5AB1">
        <w:tc>
          <w:tcPr>
            <w:tcW w:w="2139" w:type="dxa"/>
          </w:tcPr>
          <w:p w14:paraId="128AE62D" w14:textId="77777777" w:rsidR="009E5AB1" w:rsidRPr="00860E17" w:rsidRDefault="009E5AB1" w:rsidP="009E5AB1"/>
        </w:tc>
        <w:tc>
          <w:tcPr>
            <w:tcW w:w="1550" w:type="dxa"/>
          </w:tcPr>
          <w:p w14:paraId="75AD12C7" w14:textId="77777777" w:rsidR="009E5AB1" w:rsidRPr="00860E17" w:rsidRDefault="009E5AB1" w:rsidP="009E5AB1"/>
        </w:tc>
        <w:tc>
          <w:tcPr>
            <w:tcW w:w="2341" w:type="dxa"/>
            <w:vAlign w:val="bottom"/>
          </w:tcPr>
          <w:p w14:paraId="0BB6529C" w14:textId="1C6D1DF5" w:rsidR="009E5AB1" w:rsidRPr="00860E17" w:rsidRDefault="009E5AB1" w:rsidP="009E5AB1">
            <w:r w:rsidRPr="00860E17">
              <w:t>Хепатит</w:t>
            </w:r>
            <w:r w:rsidRPr="00860E17">
              <w:rPr>
                <w:vertAlign w:val="superscript"/>
              </w:rPr>
              <w:t xml:space="preserve">3 </w:t>
            </w:r>
            <w:r w:rsidRPr="00860E17">
              <w:t xml:space="preserve">Повишени чернодробни ензими (ALT, AST, алкална </w:t>
            </w:r>
            <w:proofErr w:type="spellStart"/>
            <w:r w:rsidRPr="00860E17">
              <w:t>фосфатаза</w:t>
            </w:r>
            <w:proofErr w:type="spellEnd"/>
            <w:r w:rsidRPr="00860E17">
              <w:t>) Остро чернодробно увреждане</w:t>
            </w:r>
          </w:p>
        </w:tc>
        <w:tc>
          <w:tcPr>
            <w:tcW w:w="2422" w:type="dxa"/>
          </w:tcPr>
          <w:p w14:paraId="6C8BD6F4" w14:textId="21230444" w:rsidR="009E5AB1" w:rsidRPr="00860E17" w:rsidRDefault="009E5AB1" w:rsidP="009E5AB1">
            <w:r w:rsidRPr="00860E17">
              <w:t>Чернодробна недостатъчност</w:t>
            </w:r>
            <w:r w:rsidRPr="00860E17">
              <w:rPr>
                <w:vertAlign w:val="superscript"/>
              </w:rPr>
              <w:t xml:space="preserve">6 </w:t>
            </w:r>
            <w:r w:rsidRPr="00860E17">
              <w:t>Жълтеница</w:t>
            </w:r>
            <w:r w:rsidRPr="00860E17">
              <w:rPr>
                <w:vertAlign w:val="superscript"/>
              </w:rPr>
              <w:t>6</w:t>
            </w:r>
          </w:p>
        </w:tc>
        <w:tc>
          <w:tcPr>
            <w:tcW w:w="1124" w:type="dxa"/>
          </w:tcPr>
          <w:p w14:paraId="4BC235E4" w14:textId="77777777" w:rsidR="009E5AB1" w:rsidRPr="00860E17" w:rsidRDefault="009E5AB1" w:rsidP="009E5AB1"/>
        </w:tc>
      </w:tr>
      <w:tr w:rsidR="009E5AB1" w:rsidRPr="00860E17" w14:paraId="6B3C8CC7" w14:textId="77777777" w:rsidTr="009E5AB1">
        <w:tc>
          <w:tcPr>
            <w:tcW w:w="9576" w:type="dxa"/>
            <w:gridSpan w:val="5"/>
          </w:tcPr>
          <w:p w14:paraId="057B6E21" w14:textId="4869A88C" w:rsidR="009E5AB1" w:rsidRPr="00860E17" w:rsidRDefault="009E5AB1" w:rsidP="009E5AB1">
            <w:pPr>
              <w:rPr>
                <w:i/>
              </w:rPr>
            </w:pPr>
            <w:r w:rsidRPr="00860E17">
              <w:rPr>
                <w:i/>
              </w:rPr>
              <w:t>Нарушения на кожата и подкожната тъкан</w:t>
            </w:r>
          </w:p>
        </w:tc>
      </w:tr>
      <w:tr w:rsidR="009E5AB1" w:rsidRPr="00860E17" w14:paraId="4D435734" w14:textId="77777777" w:rsidTr="009E5AB1">
        <w:tc>
          <w:tcPr>
            <w:tcW w:w="2139" w:type="dxa"/>
          </w:tcPr>
          <w:p w14:paraId="0CF18F41" w14:textId="77777777" w:rsidR="009E5AB1" w:rsidRPr="00860E17" w:rsidRDefault="009E5AB1" w:rsidP="009E5AB1"/>
        </w:tc>
        <w:tc>
          <w:tcPr>
            <w:tcW w:w="1550" w:type="dxa"/>
          </w:tcPr>
          <w:p w14:paraId="04F4DAC1" w14:textId="77777777" w:rsidR="009E5AB1" w:rsidRPr="00860E17" w:rsidRDefault="009E5AB1" w:rsidP="009E5AB1">
            <w:r w:rsidRPr="00860E17">
              <w:t>Засилено потене</w:t>
            </w:r>
          </w:p>
          <w:p w14:paraId="2A1165E4" w14:textId="4078C4ED" w:rsidR="009E5AB1" w:rsidRPr="00860E17" w:rsidRDefault="009E5AB1" w:rsidP="009E5AB1">
            <w:r w:rsidRPr="00860E17">
              <w:t>Обрив</w:t>
            </w:r>
          </w:p>
        </w:tc>
        <w:tc>
          <w:tcPr>
            <w:tcW w:w="2341" w:type="dxa"/>
          </w:tcPr>
          <w:p w14:paraId="74279561" w14:textId="77777777" w:rsidR="009E5AB1" w:rsidRPr="00860E17" w:rsidRDefault="009E5AB1" w:rsidP="009E5AB1">
            <w:r w:rsidRPr="00860E17">
              <w:t>Нощно изпотяване Уртикария</w:t>
            </w:r>
          </w:p>
          <w:p w14:paraId="787E94EC" w14:textId="2D9AAFE9" w:rsidR="009E5AB1" w:rsidRPr="00860E17" w:rsidRDefault="009E5AB1" w:rsidP="009E5AB1">
            <w:r w:rsidRPr="00860E17">
              <w:t>Контактен дерматит Студена пот Реакции на фоточувствителност Засилена тенденция за поява на синини</w:t>
            </w:r>
          </w:p>
        </w:tc>
        <w:tc>
          <w:tcPr>
            <w:tcW w:w="2422" w:type="dxa"/>
          </w:tcPr>
          <w:p w14:paraId="225B5949" w14:textId="77777777" w:rsidR="009E5AB1" w:rsidRPr="00860E17" w:rsidRDefault="009E5AB1" w:rsidP="009E5AB1">
            <w:r w:rsidRPr="00860E17">
              <w:t>Синдром на Stevens-Johnson</w:t>
            </w:r>
            <w:r w:rsidRPr="00860E17">
              <w:rPr>
                <w:vertAlign w:val="superscript"/>
              </w:rPr>
              <w:t>6</w:t>
            </w:r>
          </w:p>
          <w:p w14:paraId="2B240B4F" w14:textId="257CFE9E" w:rsidR="009E5AB1" w:rsidRPr="00860E17" w:rsidRDefault="009E5AB1" w:rsidP="009E5AB1">
            <w:proofErr w:type="spellStart"/>
            <w:r w:rsidRPr="00860E17">
              <w:t>Ангионевротичен</w:t>
            </w:r>
            <w:proofErr w:type="spellEnd"/>
            <w:r w:rsidRPr="00860E17">
              <w:t xml:space="preserve"> оток</w:t>
            </w:r>
            <w:r w:rsidRPr="00860E17">
              <w:rPr>
                <w:vertAlign w:val="superscript"/>
              </w:rPr>
              <w:t>6</w:t>
            </w:r>
          </w:p>
        </w:tc>
        <w:tc>
          <w:tcPr>
            <w:tcW w:w="1124" w:type="dxa"/>
          </w:tcPr>
          <w:p w14:paraId="20D2ACFE" w14:textId="4740B69C" w:rsidR="009E5AB1" w:rsidRPr="00860E17" w:rsidRDefault="009E5AB1" w:rsidP="009E5AB1">
            <w:r w:rsidRPr="00860E17">
              <w:t xml:space="preserve">Кожен </w:t>
            </w:r>
            <w:proofErr w:type="spellStart"/>
            <w:r w:rsidRPr="00860E17">
              <w:t>васкулит</w:t>
            </w:r>
            <w:proofErr w:type="spellEnd"/>
          </w:p>
        </w:tc>
      </w:tr>
      <w:tr w:rsidR="009E5AB1" w:rsidRPr="00860E17" w14:paraId="764F3256" w14:textId="77777777" w:rsidTr="009E5AB1">
        <w:tc>
          <w:tcPr>
            <w:tcW w:w="9576" w:type="dxa"/>
            <w:gridSpan w:val="5"/>
          </w:tcPr>
          <w:p w14:paraId="60F6C778" w14:textId="1CA0A0EE" w:rsidR="009E5AB1" w:rsidRPr="00860E17" w:rsidRDefault="009E5AB1" w:rsidP="009E5AB1">
            <w:pPr>
              <w:rPr>
                <w:i/>
              </w:rPr>
            </w:pPr>
            <w:r w:rsidRPr="00860E17">
              <w:rPr>
                <w:i/>
              </w:rPr>
              <w:t>Нарушения на мускулно-скелетната система и съединителната тъкан</w:t>
            </w:r>
          </w:p>
        </w:tc>
      </w:tr>
      <w:tr w:rsidR="009E5AB1" w:rsidRPr="00860E17" w14:paraId="40957F3E" w14:textId="77777777" w:rsidTr="009E5AB1">
        <w:tc>
          <w:tcPr>
            <w:tcW w:w="2139" w:type="dxa"/>
          </w:tcPr>
          <w:p w14:paraId="574B1516" w14:textId="77777777" w:rsidR="009E5AB1" w:rsidRPr="00860E17" w:rsidRDefault="009E5AB1" w:rsidP="009E5AB1"/>
        </w:tc>
        <w:tc>
          <w:tcPr>
            <w:tcW w:w="1550" w:type="dxa"/>
            <w:vAlign w:val="center"/>
          </w:tcPr>
          <w:p w14:paraId="1718B4C9" w14:textId="77777777" w:rsidR="009E5AB1" w:rsidRPr="00860E17" w:rsidRDefault="009E5AB1" w:rsidP="009E5AB1">
            <w:r w:rsidRPr="00860E17">
              <w:t>Мускулно- скелетна болка</w:t>
            </w:r>
          </w:p>
          <w:p w14:paraId="7674D2F7" w14:textId="29DC3453" w:rsidR="009E5AB1" w:rsidRPr="00860E17" w:rsidRDefault="009E5AB1" w:rsidP="009E5AB1">
            <w:r w:rsidRPr="00860E17">
              <w:t>Мускулен спазъм</w:t>
            </w:r>
          </w:p>
        </w:tc>
        <w:tc>
          <w:tcPr>
            <w:tcW w:w="2341" w:type="dxa"/>
            <w:vAlign w:val="bottom"/>
          </w:tcPr>
          <w:p w14:paraId="7ACE5619" w14:textId="7FD0270F" w:rsidR="009E5AB1" w:rsidRPr="00860E17" w:rsidRDefault="009E5AB1" w:rsidP="009E5AB1">
            <w:r w:rsidRPr="00860E17">
              <w:t>Мускулно напрежение Потрепване на мускули</w:t>
            </w:r>
          </w:p>
        </w:tc>
        <w:tc>
          <w:tcPr>
            <w:tcW w:w="2422" w:type="dxa"/>
          </w:tcPr>
          <w:p w14:paraId="58C9ED66" w14:textId="6F7756E8" w:rsidR="009E5AB1" w:rsidRPr="00860E17" w:rsidRDefault="009E5AB1" w:rsidP="009E5AB1">
            <w:proofErr w:type="spellStart"/>
            <w:r w:rsidRPr="00860E17">
              <w:t>Тризмус</w:t>
            </w:r>
            <w:proofErr w:type="spellEnd"/>
          </w:p>
        </w:tc>
        <w:tc>
          <w:tcPr>
            <w:tcW w:w="1124" w:type="dxa"/>
          </w:tcPr>
          <w:p w14:paraId="55A546AF" w14:textId="77777777" w:rsidR="009E5AB1" w:rsidRPr="00860E17" w:rsidRDefault="009E5AB1" w:rsidP="009E5AB1"/>
        </w:tc>
      </w:tr>
      <w:tr w:rsidR="009E5AB1" w:rsidRPr="00860E17" w14:paraId="364B071E" w14:textId="77777777" w:rsidTr="009E5AB1">
        <w:tc>
          <w:tcPr>
            <w:tcW w:w="9576" w:type="dxa"/>
            <w:gridSpan w:val="5"/>
          </w:tcPr>
          <w:p w14:paraId="1F4507DA" w14:textId="400CB415" w:rsidR="009E5AB1" w:rsidRPr="00860E17" w:rsidRDefault="009E5AB1" w:rsidP="009E5AB1">
            <w:pPr>
              <w:rPr>
                <w:i/>
              </w:rPr>
            </w:pPr>
            <w:r w:rsidRPr="00860E17">
              <w:rPr>
                <w:i/>
              </w:rPr>
              <w:t>Нарушения на бъбреците и пикочните пътища</w:t>
            </w:r>
          </w:p>
        </w:tc>
      </w:tr>
      <w:tr w:rsidR="009E5AB1" w:rsidRPr="00860E17" w14:paraId="46CF3739" w14:textId="77777777" w:rsidTr="009E5AB1">
        <w:tc>
          <w:tcPr>
            <w:tcW w:w="2139" w:type="dxa"/>
          </w:tcPr>
          <w:p w14:paraId="775CEA54" w14:textId="77777777" w:rsidR="009E5AB1" w:rsidRPr="00860E17" w:rsidRDefault="009E5AB1" w:rsidP="009E5AB1"/>
        </w:tc>
        <w:tc>
          <w:tcPr>
            <w:tcW w:w="1550" w:type="dxa"/>
          </w:tcPr>
          <w:p w14:paraId="1154D6D8" w14:textId="77777777" w:rsidR="009E5AB1" w:rsidRPr="00860E17" w:rsidRDefault="009E5AB1" w:rsidP="009E5AB1">
            <w:proofErr w:type="spellStart"/>
            <w:r w:rsidRPr="00860E17">
              <w:t>Дизурия</w:t>
            </w:r>
            <w:proofErr w:type="spellEnd"/>
          </w:p>
          <w:p w14:paraId="42968FF4" w14:textId="7EC2D064" w:rsidR="009E5AB1" w:rsidRPr="00860E17" w:rsidRDefault="009E5AB1" w:rsidP="009E5AB1">
            <w:r w:rsidRPr="00860E17">
              <w:t>Често уриниране</w:t>
            </w:r>
          </w:p>
        </w:tc>
        <w:tc>
          <w:tcPr>
            <w:tcW w:w="2341" w:type="dxa"/>
            <w:vAlign w:val="bottom"/>
          </w:tcPr>
          <w:p w14:paraId="5B0F96C7" w14:textId="77777777" w:rsidR="009E5AB1" w:rsidRPr="00860E17" w:rsidRDefault="009E5AB1" w:rsidP="009E5AB1">
            <w:r w:rsidRPr="00860E17">
              <w:t xml:space="preserve">Задръжка на урина Затруднено уриниране </w:t>
            </w:r>
            <w:proofErr w:type="spellStart"/>
            <w:r w:rsidRPr="00860E17">
              <w:t>Никтурия</w:t>
            </w:r>
            <w:proofErr w:type="spellEnd"/>
            <w:r w:rsidRPr="00860E17">
              <w:t xml:space="preserve"> </w:t>
            </w:r>
            <w:proofErr w:type="spellStart"/>
            <w:r w:rsidRPr="00860E17">
              <w:t>Полиурия</w:t>
            </w:r>
            <w:proofErr w:type="spellEnd"/>
            <w:r w:rsidRPr="00860E17">
              <w:t xml:space="preserve"> </w:t>
            </w:r>
          </w:p>
          <w:p w14:paraId="251D4BCC" w14:textId="4A3B2BE4" w:rsidR="009E5AB1" w:rsidRPr="00860E17" w:rsidRDefault="009E5AB1" w:rsidP="009E5AB1">
            <w:r w:rsidRPr="00860E17">
              <w:t xml:space="preserve">Намалена </w:t>
            </w:r>
            <w:proofErr w:type="spellStart"/>
            <w:r w:rsidRPr="00860E17">
              <w:t>диуреза</w:t>
            </w:r>
            <w:proofErr w:type="spellEnd"/>
          </w:p>
        </w:tc>
        <w:tc>
          <w:tcPr>
            <w:tcW w:w="2422" w:type="dxa"/>
          </w:tcPr>
          <w:p w14:paraId="6FF1A7E0" w14:textId="273D336A" w:rsidR="009E5AB1" w:rsidRPr="00860E17" w:rsidRDefault="009E5AB1" w:rsidP="009E5AB1">
            <w:r w:rsidRPr="00860E17">
              <w:t xml:space="preserve">Променен мирис </w:t>
            </w:r>
            <w:r w:rsidRPr="00860E17">
              <w:rPr>
                <w:vertAlign w:val="superscript"/>
              </w:rPr>
              <w:t xml:space="preserve">1 </w:t>
            </w:r>
            <w:r w:rsidRPr="00860E17">
              <w:t>урината</w:t>
            </w:r>
          </w:p>
        </w:tc>
        <w:tc>
          <w:tcPr>
            <w:tcW w:w="1124" w:type="dxa"/>
          </w:tcPr>
          <w:p w14:paraId="24C22341" w14:textId="77777777" w:rsidR="009E5AB1" w:rsidRPr="00860E17" w:rsidRDefault="009E5AB1" w:rsidP="009E5AB1"/>
        </w:tc>
      </w:tr>
      <w:tr w:rsidR="009E5AB1" w:rsidRPr="00860E17" w14:paraId="2CF341B2" w14:textId="77777777" w:rsidTr="009E5AB1">
        <w:tc>
          <w:tcPr>
            <w:tcW w:w="9576" w:type="dxa"/>
            <w:gridSpan w:val="5"/>
          </w:tcPr>
          <w:p w14:paraId="43E7C166" w14:textId="58DCA1B6" w:rsidR="009E5AB1" w:rsidRPr="00860E17" w:rsidRDefault="009E5AB1" w:rsidP="009E5AB1">
            <w:pPr>
              <w:rPr>
                <w:i/>
              </w:rPr>
            </w:pPr>
            <w:r w:rsidRPr="00860E17">
              <w:rPr>
                <w:i/>
                <w:lang w:eastAsia="bg-BG"/>
              </w:rPr>
              <w:t>Нарушения на възпроизводителната система и гърдата</w:t>
            </w:r>
          </w:p>
        </w:tc>
      </w:tr>
      <w:tr w:rsidR="009E5AB1" w:rsidRPr="00860E17" w14:paraId="6B6C392F" w14:textId="77777777" w:rsidTr="009E5AB1">
        <w:tc>
          <w:tcPr>
            <w:tcW w:w="2139" w:type="dxa"/>
          </w:tcPr>
          <w:p w14:paraId="0B2C02C3" w14:textId="77777777" w:rsidR="009E5AB1" w:rsidRPr="00860E17" w:rsidRDefault="009E5AB1" w:rsidP="009E5AB1"/>
        </w:tc>
        <w:tc>
          <w:tcPr>
            <w:tcW w:w="1550" w:type="dxa"/>
          </w:tcPr>
          <w:p w14:paraId="3272B60D" w14:textId="53614D1E" w:rsidR="009E5AB1" w:rsidRPr="00860E17" w:rsidRDefault="009E5AB1" w:rsidP="009E5AB1">
            <w:r w:rsidRPr="00860E17">
              <w:t>Еректилна дисфункция Нарушение на еякулацията Забавена еякулация</w:t>
            </w:r>
          </w:p>
        </w:tc>
        <w:tc>
          <w:tcPr>
            <w:tcW w:w="2341" w:type="dxa"/>
          </w:tcPr>
          <w:p w14:paraId="75BEE7F0" w14:textId="7C72975E" w:rsidR="009E5AB1" w:rsidRPr="00860E17" w:rsidRDefault="009E5AB1" w:rsidP="009E5AB1">
            <w:r w:rsidRPr="00860E17">
              <w:t>Гинекологично кървене Менструални нарушения Сексуална дисфункция Болка в тестисите</w:t>
            </w:r>
          </w:p>
        </w:tc>
        <w:tc>
          <w:tcPr>
            <w:tcW w:w="2422" w:type="dxa"/>
          </w:tcPr>
          <w:p w14:paraId="37D4CC83" w14:textId="1E3B06C5" w:rsidR="009E5AB1" w:rsidRPr="00860E17" w:rsidRDefault="009E5AB1" w:rsidP="009E5AB1">
            <w:proofErr w:type="spellStart"/>
            <w:r w:rsidRPr="00860E17">
              <w:t>Менопаузални</w:t>
            </w:r>
            <w:proofErr w:type="spellEnd"/>
            <w:r w:rsidRPr="00860E17">
              <w:t xml:space="preserve"> симптоми </w:t>
            </w:r>
            <w:proofErr w:type="spellStart"/>
            <w:r w:rsidRPr="00860E17">
              <w:t>Галакторея</w:t>
            </w:r>
            <w:proofErr w:type="spellEnd"/>
            <w:r w:rsidRPr="00860E17">
              <w:t xml:space="preserve"> </w:t>
            </w:r>
            <w:proofErr w:type="spellStart"/>
            <w:r w:rsidRPr="00860E17">
              <w:t>Хиперпролактинемия</w:t>
            </w:r>
            <w:proofErr w:type="spellEnd"/>
            <w:r w:rsidRPr="00860E17">
              <w:t xml:space="preserve"> </w:t>
            </w:r>
            <w:proofErr w:type="spellStart"/>
            <w:r w:rsidRPr="00860E17">
              <w:t>Послеродово</w:t>
            </w:r>
            <w:proofErr w:type="spellEnd"/>
            <w:r w:rsidRPr="00860E17">
              <w:t xml:space="preserve"> кръвотечение</w:t>
            </w:r>
            <w:r w:rsidRPr="00860E17">
              <w:rPr>
                <w:vertAlign w:val="superscript"/>
              </w:rPr>
              <w:t>6</w:t>
            </w:r>
          </w:p>
        </w:tc>
        <w:tc>
          <w:tcPr>
            <w:tcW w:w="1124" w:type="dxa"/>
          </w:tcPr>
          <w:p w14:paraId="79B68DD6" w14:textId="77777777" w:rsidR="009E5AB1" w:rsidRPr="00860E17" w:rsidRDefault="009E5AB1" w:rsidP="009E5AB1"/>
        </w:tc>
      </w:tr>
      <w:tr w:rsidR="009E5AB1" w:rsidRPr="00860E17" w14:paraId="133F5254" w14:textId="77777777" w:rsidTr="009E5AB1">
        <w:tc>
          <w:tcPr>
            <w:tcW w:w="9576" w:type="dxa"/>
            <w:gridSpan w:val="5"/>
          </w:tcPr>
          <w:p w14:paraId="44051D3C" w14:textId="3A62319A" w:rsidR="009E5AB1" w:rsidRPr="00860E17" w:rsidRDefault="009E5AB1" w:rsidP="009E5AB1">
            <w:pPr>
              <w:rPr>
                <w:i/>
              </w:rPr>
            </w:pPr>
            <w:r w:rsidRPr="00860E17">
              <w:rPr>
                <w:i/>
                <w:lang w:eastAsia="bg-BG"/>
              </w:rPr>
              <w:t>Общи нарушения и ефекти на мястото на приложение</w:t>
            </w:r>
          </w:p>
        </w:tc>
      </w:tr>
      <w:tr w:rsidR="009E5AB1" w:rsidRPr="00860E17" w14:paraId="56542B11" w14:textId="77777777" w:rsidTr="009E5AB1">
        <w:tc>
          <w:tcPr>
            <w:tcW w:w="2139" w:type="dxa"/>
          </w:tcPr>
          <w:p w14:paraId="7F461796" w14:textId="77777777" w:rsidR="009E5AB1" w:rsidRPr="00860E17" w:rsidRDefault="009E5AB1" w:rsidP="009E5AB1"/>
        </w:tc>
        <w:tc>
          <w:tcPr>
            <w:tcW w:w="1550" w:type="dxa"/>
          </w:tcPr>
          <w:p w14:paraId="4947935D" w14:textId="77777777" w:rsidR="009E5AB1" w:rsidRPr="00860E17" w:rsidRDefault="009E5AB1" w:rsidP="009E5AB1">
            <w:r w:rsidRPr="00860E17">
              <w:t>Припадъци</w:t>
            </w:r>
            <w:r w:rsidRPr="00860E17">
              <w:rPr>
                <w:vertAlign w:val="superscript"/>
              </w:rPr>
              <w:t>8</w:t>
            </w:r>
          </w:p>
          <w:p w14:paraId="3F03C2BD" w14:textId="59ED229D" w:rsidR="009E5AB1" w:rsidRPr="00860E17" w:rsidRDefault="009E5AB1" w:rsidP="009E5AB1">
            <w:r w:rsidRPr="00860E17">
              <w:t>Умора</w:t>
            </w:r>
          </w:p>
        </w:tc>
        <w:tc>
          <w:tcPr>
            <w:tcW w:w="2341" w:type="dxa"/>
          </w:tcPr>
          <w:p w14:paraId="0E52A035" w14:textId="7955B3FA" w:rsidR="009E5AB1" w:rsidRPr="00860E17" w:rsidRDefault="009E5AB1" w:rsidP="009E5AB1">
            <w:r w:rsidRPr="00860E17">
              <w:t>Болка в гърдите</w:t>
            </w:r>
            <w:r w:rsidRPr="00860E17">
              <w:rPr>
                <w:vertAlign w:val="superscript"/>
              </w:rPr>
              <w:t xml:space="preserve">7 </w:t>
            </w:r>
            <w:proofErr w:type="spellStart"/>
            <w:r w:rsidRPr="00860E17">
              <w:t>Абнормни</w:t>
            </w:r>
            <w:proofErr w:type="spellEnd"/>
            <w:r w:rsidRPr="00860E17">
              <w:t xml:space="preserve"> усещания Чувство за студ Жажда Втрисане Неразположение Чувство за топлина Нарушения в походката</w:t>
            </w:r>
          </w:p>
        </w:tc>
        <w:tc>
          <w:tcPr>
            <w:tcW w:w="2422" w:type="dxa"/>
          </w:tcPr>
          <w:p w14:paraId="12D8D90A" w14:textId="77777777" w:rsidR="009E5AB1" w:rsidRPr="00860E17" w:rsidRDefault="009E5AB1" w:rsidP="009E5AB1"/>
        </w:tc>
        <w:tc>
          <w:tcPr>
            <w:tcW w:w="1124" w:type="dxa"/>
          </w:tcPr>
          <w:p w14:paraId="240B088F" w14:textId="77777777" w:rsidR="009E5AB1" w:rsidRPr="00860E17" w:rsidRDefault="009E5AB1" w:rsidP="009E5AB1"/>
        </w:tc>
      </w:tr>
      <w:tr w:rsidR="009E5AB1" w:rsidRPr="00860E17" w14:paraId="094F29A7" w14:textId="77777777" w:rsidTr="009E5AB1">
        <w:tc>
          <w:tcPr>
            <w:tcW w:w="9576" w:type="dxa"/>
            <w:gridSpan w:val="5"/>
          </w:tcPr>
          <w:p w14:paraId="6D12E7B0" w14:textId="5FF1134E" w:rsidR="009E5AB1" w:rsidRPr="00860E17" w:rsidRDefault="009E5AB1" w:rsidP="009E5AB1">
            <w:pPr>
              <w:rPr>
                <w:i/>
              </w:rPr>
            </w:pPr>
            <w:r w:rsidRPr="00860E17">
              <w:rPr>
                <w:i/>
              </w:rPr>
              <w:t>Изследвания</w:t>
            </w:r>
          </w:p>
        </w:tc>
      </w:tr>
      <w:tr w:rsidR="009E5AB1" w:rsidRPr="00860E17" w14:paraId="521719B8" w14:textId="77777777" w:rsidTr="009E5AB1">
        <w:tc>
          <w:tcPr>
            <w:tcW w:w="2139" w:type="dxa"/>
          </w:tcPr>
          <w:p w14:paraId="3CFD8F8F" w14:textId="77777777" w:rsidR="009E5AB1" w:rsidRPr="00860E17" w:rsidRDefault="009E5AB1" w:rsidP="009E5AB1"/>
        </w:tc>
        <w:tc>
          <w:tcPr>
            <w:tcW w:w="1550" w:type="dxa"/>
          </w:tcPr>
          <w:p w14:paraId="66793B03" w14:textId="0D1F6A84" w:rsidR="009E5AB1" w:rsidRPr="00860E17" w:rsidRDefault="009E5AB1" w:rsidP="009E5AB1">
            <w:r w:rsidRPr="00860E17">
              <w:t>Понижение на теглото</w:t>
            </w:r>
          </w:p>
        </w:tc>
        <w:tc>
          <w:tcPr>
            <w:tcW w:w="2341" w:type="dxa"/>
          </w:tcPr>
          <w:p w14:paraId="53D9C8AA" w14:textId="09460D3E" w:rsidR="009E5AB1" w:rsidRPr="00860E17" w:rsidRDefault="009E5AB1" w:rsidP="009E5AB1">
            <w:r w:rsidRPr="00860E17">
              <w:t xml:space="preserve">Покачване на теглото Повишение на </w:t>
            </w:r>
            <w:proofErr w:type="spellStart"/>
            <w:r w:rsidRPr="00860E17">
              <w:t>креатин</w:t>
            </w:r>
            <w:proofErr w:type="spellEnd"/>
            <w:r w:rsidRPr="00860E17">
              <w:t xml:space="preserve"> </w:t>
            </w:r>
            <w:proofErr w:type="spellStart"/>
            <w:r w:rsidRPr="00860E17">
              <w:t>фосфокиназата</w:t>
            </w:r>
            <w:proofErr w:type="spellEnd"/>
            <w:r w:rsidRPr="00860E17">
              <w:t xml:space="preserve"> в кръвта Повишение на калия в кръвта</w:t>
            </w:r>
          </w:p>
        </w:tc>
        <w:tc>
          <w:tcPr>
            <w:tcW w:w="2422" w:type="dxa"/>
          </w:tcPr>
          <w:p w14:paraId="64F41525" w14:textId="5F76BB58" w:rsidR="009E5AB1" w:rsidRPr="00860E17" w:rsidRDefault="009E5AB1" w:rsidP="009E5AB1">
            <w:r w:rsidRPr="00860E17">
              <w:t>Повишаване на холестерола в кръвта</w:t>
            </w:r>
          </w:p>
        </w:tc>
        <w:tc>
          <w:tcPr>
            <w:tcW w:w="1124" w:type="dxa"/>
          </w:tcPr>
          <w:p w14:paraId="02DC2228" w14:textId="77777777" w:rsidR="009E5AB1" w:rsidRPr="00860E17" w:rsidRDefault="009E5AB1" w:rsidP="009E5AB1"/>
        </w:tc>
      </w:tr>
    </w:tbl>
    <w:p w14:paraId="017D5A7F" w14:textId="3CBFD860" w:rsidR="00FD7418" w:rsidRPr="00860E17" w:rsidRDefault="00FD7418" w:rsidP="00FD7418">
      <w:pPr>
        <w:spacing w:line="240" w:lineRule="auto"/>
        <w:rPr>
          <w:rFonts w:eastAsia="Times New Roman" w:cs="Arial"/>
          <w:color w:val="000000"/>
          <w:lang w:eastAsia="bg-BG"/>
        </w:rPr>
      </w:pPr>
      <w:r w:rsidRPr="00860E17">
        <w:rPr>
          <w:rFonts w:cs="Arial"/>
          <w:vertAlign w:val="superscript"/>
        </w:rPr>
        <w:t>1</w:t>
      </w:r>
      <w:r w:rsidRPr="00860E17">
        <w:rPr>
          <w:rFonts w:eastAsia="Times New Roman" w:cs="Arial"/>
          <w:color w:val="000000"/>
          <w:lang w:eastAsia="bg-BG"/>
        </w:rPr>
        <w:t>Случаи на конвулсии и случаи на шум в ушите са съобщавани също след прекъсване на лечението.</w:t>
      </w:r>
    </w:p>
    <w:p w14:paraId="41056AC4" w14:textId="309FB82D" w:rsidR="00FD7418" w:rsidRPr="00860E17" w:rsidRDefault="00FD7418" w:rsidP="00FD7418">
      <w:pPr>
        <w:spacing w:line="240" w:lineRule="auto"/>
        <w:rPr>
          <w:rFonts w:eastAsia="Times New Roman" w:cs="Arial"/>
          <w:color w:val="000000"/>
          <w:lang w:eastAsia="bg-BG"/>
        </w:rPr>
      </w:pPr>
      <w:r w:rsidRPr="00860E17">
        <w:rPr>
          <w:rFonts w:cs="Arial"/>
          <w:vertAlign w:val="superscript"/>
        </w:rPr>
        <w:lastRenderedPageBreak/>
        <w:t>2</w:t>
      </w:r>
      <w:r w:rsidRPr="00860E17">
        <w:rPr>
          <w:rFonts w:eastAsia="Times New Roman" w:cs="Arial"/>
          <w:color w:val="000000"/>
          <w:lang w:eastAsia="bg-BG"/>
        </w:rPr>
        <w:t xml:space="preserve">Случаи на ортостатична хипотония и </w:t>
      </w:r>
      <w:proofErr w:type="spellStart"/>
      <w:r w:rsidRPr="00860E17">
        <w:rPr>
          <w:rFonts w:eastAsia="Times New Roman" w:cs="Arial"/>
          <w:color w:val="000000"/>
          <w:lang w:eastAsia="bg-BG"/>
        </w:rPr>
        <w:t>синкоп</w:t>
      </w:r>
      <w:proofErr w:type="spellEnd"/>
      <w:r w:rsidRPr="00860E17">
        <w:rPr>
          <w:rFonts w:eastAsia="Times New Roman" w:cs="Arial"/>
          <w:color w:val="000000"/>
          <w:lang w:eastAsia="bg-BG"/>
        </w:rPr>
        <w:t xml:space="preserve"> са съобщавани особено в началото на лечението. </w:t>
      </w:r>
      <w:r w:rsidRPr="00860E17">
        <w:rPr>
          <w:rFonts w:eastAsia="Times New Roman" w:cs="Arial"/>
          <w:color w:val="000000"/>
          <w:vertAlign w:val="superscript"/>
          <w:lang w:eastAsia="bg-BG"/>
        </w:rPr>
        <w:t>3</w:t>
      </w:r>
      <w:r w:rsidRPr="00860E17">
        <w:rPr>
          <w:rFonts w:eastAsia="Times New Roman" w:cs="Arial"/>
          <w:color w:val="000000"/>
          <w:lang w:eastAsia="bg-BG"/>
        </w:rPr>
        <w:t xml:space="preserve"> </w:t>
      </w:r>
      <w:r w:rsidRPr="00860E17">
        <w:rPr>
          <w:rFonts w:cs="Arial"/>
          <w:vertAlign w:val="superscript"/>
        </w:rPr>
        <w:t>3</w:t>
      </w:r>
      <w:r w:rsidRPr="00860E17">
        <w:rPr>
          <w:rFonts w:eastAsia="Times New Roman" w:cs="Arial"/>
          <w:color w:val="000000"/>
          <w:lang w:eastAsia="bg-BG"/>
        </w:rPr>
        <w:t>Вижте точка 4.4.</w:t>
      </w:r>
    </w:p>
    <w:p w14:paraId="07DDB6A0" w14:textId="7A695F2D" w:rsidR="00FD7418" w:rsidRPr="00860E17" w:rsidRDefault="00FD7418" w:rsidP="00FD7418">
      <w:pPr>
        <w:spacing w:line="240" w:lineRule="auto"/>
        <w:rPr>
          <w:rFonts w:eastAsia="Times New Roman" w:cs="Arial"/>
          <w:color w:val="000000"/>
          <w:lang w:eastAsia="bg-BG"/>
        </w:rPr>
      </w:pPr>
      <w:r w:rsidRPr="00860E17">
        <w:rPr>
          <w:rFonts w:cs="Arial"/>
          <w:vertAlign w:val="superscript"/>
        </w:rPr>
        <w:t>4</w:t>
      </w:r>
      <w:r w:rsidRPr="00860E17">
        <w:rPr>
          <w:rFonts w:eastAsia="Times New Roman" w:cs="Arial"/>
          <w:color w:val="000000"/>
          <w:lang w:eastAsia="bg-BG"/>
        </w:rPr>
        <w:t>Случаи на агресия и гняв са съобщавани особено в началото или след прекъсване на лечението.</w:t>
      </w:r>
    </w:p>
    <w:p w14:paraId="5FB3D9C3" w14:textId="37753078" w:rsidR="00FD7418" w:rsidRPr="00860E17" w:rsidRDefault="00FD7418" w:rsidP="00FD7418">
      <w:pPr>
        <w:spacing w:line="240" w:lineRule="auto"/>
        <w:rPr>
          <w:rFonts w:eastAsia="Times New Roman" w:cs="Arial"/>
          <w:color w:val="000000"/>
          <w:lang w:eastAsia="bg-BG"/>
        </w:rPr>
      </w:pPr>
      <w:r w:rsidRPr="00860E17">
        <w:rPr>
          <w:rFonts w:cs="Arial"/>
          <w:vertAlign w:val="superscript"/>
        </w:rPr>
        <w:t>5</w:t>
      </w:r>
      <w:r w:rsidRPr="00860E17">
        <w:rPr>
          <w:rFonts w:eastAsia="Times New Roman" w:cs="Arial"/>
          <w:color w:val="000000"/>
          <w:lang w:eastAsia="bg-BG"/>
        </w:rPr>
        <w:t xml:space="preserve">Случаи на суицидна </w:t>
      </w:r>
      <w:proofErr w:type="spellStart"/>
      <w:r w:rsidRPr="00860E17">
        <w:rPr>
          <w:rFonts w:eastAsia="Times New Roman" w:cs="Arial"/>
          <w:color w:val="000000"/>
          <w:lang w:eastAsia="bg-BG"/>
        </w:rPr>
        <w:t>идеация</w:t>
      </w:r>
      <w:proofErr w:type="spellEnd"/>
      <w:r w:rsidRPr="00860E17">
        <w:rPr>
          <w:rFonts w:eastAsia="Times New Roman" w:cs="Arial"/>
          <w:color w:val="000000"/>
          <w:lang w:eastAsia="bg-BG"/>
        </w:rPr>
        <w:t xml:space="preserve"> и суицидно поведение са съобщавани по време на лечение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или скоро след прекъсване на лечението (вж. точка 4.4).</w:t>
      </w:r>
    </w:p>
    <w:p w14:paraId="11B5EC2D" w14:textId="2833A704" w:rsidR="00FD7418" w:rsidRPr="00860E17" w:rsidRDefault="00FD7418" w:rsidP="00FD7418">
      <w:pPr>
        <w:spacing w:line="240" w:lineRule="auto"/>
        <w:rPr>
          <w:rFonts w:eastAsia="Times New Roman" w:cs="Arial"/>
          <w:color w:val="000000"/>
          <w:lang w:eastAsia="bg-BG"/>
        </w:rPr>
      </w:pPr>
      <w:r w:rsidRPr="00860E17">
        <w:rPr>
          <w:rFonts w:cs="Arial"/>
          <w:vertAlign w:val="superscript"/>
        </w:rPr>
        <w:t>6</w:t>
      </w:r>
      <w:r w:rsidRPr="00860E17">
        <w:rPr>
          <w:rFonts w:eastAsia="Times New Roman" w:cs="Arial"/>
          <w:color w:val="000000"/>
          <w:lang w:eastAsia="bg-BG"/>
        </w:rPr>
        <w:t xml:space="preserve">Оценена честота на нежелани реакции, съобщени при </w:t>
      </w:r>
      <w:proofErr w:type="spellStart"/>
      <w:r w:rsidRPr="00860E17">
        <w:rPr>
          <w:rFonts w:eastAsia="Times New Roman" w:cs="Arial"/>
          <w:color w:val="000000"/>
          <w:lang w:eastAsia="bg-BG"/>
        </w:rPr>
        <w:t>постмаркетингово</w:t>
      </w:r>
      <w:proofErr w:type="spellEnd"/>
      <w:r w:rsidRPr="00860E17">
        <w:rPr>
          <w:rFonts w:eastAsia="Times New Roman" w:cs="Arial"/>
          <w:color w:val="000000"/>
          <w:lang w:eastAsia="bg-BG"/>
        </w:rPr>
        <w:t xml:space="preserve"> наблюдение; не са наблюдавани в плацебо-контролирани клинични проучвания.</w:t>
      </w:r>
    </w:p>
    <w:p w14:paraId="0B324820" w14:textId="6FB51EB4" w:rsidR="00FD7418" w:rsidRPr="00860E17" w:rsidRDefault="00FD7418" w:rsidP="00FD7418">
      <w:pPr>
        <w:spacing w:line="240" w:lineRule="auto"/>
        <w:rPr>
          <w:rFonts w:eastAsia="Times New Roman" w:cs="Arial"/>
          <w:color w:val="000000"/>
          <w:lang w:eastAsia="bg-BG"/>
        </w:rPr>
      </w:pPr>
      <w:r w:rsidRPr="00860E17">
        <w:rPr>
          <w:rFonts w:cs="Arial"/>
          <w:vertAlign w:val="superscript"/>
        </w:rPr>
        <w:t>7</w:t>
      </w:r>
      <w:r w:rsidRPr="00860E17">
        <w:rPr>
          <w:rFonts w:eastAsia="Times New Roman" w:cs="Arial"/>
          <w:color w:val="000000"/>
          <w:lang w:eastAsia="bg-BG"/>
        </w:rPr>
        <w:t xml:space="preserve">Не е статистически </w:t>
      </w:r>
      <w:proofErr w:type="spellStart"/>
      <w:r w:rsidRPr="00860E17">
        <w:rPr>
          <w:rFonts w:eastAsia="Times New Roman" w:cs="Arial"/>
          <w:color w:val="000000"/>
          <w:lang w:eastAsia="bg-BG"/>
        </w:rPr>
        <w:t>сигнификантно</w:t>
      </w:r>
      <w:proofErr w:type="spellEnd"/>
      <w:r w:rsidRPr="00860E17">
        <w:rPr>
          <w:rFonts w:eastAsia="Times New Roman" w:cs="Arial"/>
          <w:color w:val="000000"/>
          <w:lang w:eastAsia="bg-BG"/>
        </w:rPr>
        <w:t xml:space="preserve"> различна от плацебо.</w:t>
      </w:r>
    </w:p>
    <w:p w14:paraId="2305BBEF" w14:textId="69B7B7CC" w:rsidR="00FD7418" w:rsidRPr="00860E17" w:rsidRDefault="00FD7418" w:rsidP="00FD7418">
      <w:pPr>
        <w:spacing w:line="240" w:lineRule="auto"/>
        <w:rPr>
          <w:rFonts w:eastAsia="Times New Roman" w:cs="Arial"/>
          <w:color w:val="000000"/>
          <w:lang w:eastAsia="bg-BG"/>
        </w:rPr>
      </w:pPr>
      <w:r w:rsidRPr="00860E17">
        <w:rPr>
          <w:rFonts w:cs="Arial"/>
          <w:vertAlign w:val="superscript"/>
        </w:rPr>
        <w:t>8</w:t>
      </w:r>
      <w:r w:rsidRPr="00860E17">
        <w:rPr>
          <w:rFonts w:eastAsia="Times New Roman" w:cs="Arial"/>
          <w:color w:val="000000"/>
          <w:lang w:eastAsia="bg-BG"/>
        </w:rPr>
        <w:t>Припадъците са по-чести при пациенти в старческа възраст (възраст ≥65 години).</w:t>
      </w:r>
    </w:p>
    <w:p w14:paraId="2E077E2A" w14:textId="5D635B3C" w:rsidR="00FD7418" w:rsidRPr="00860E17" w:rsidRDefault="00FD7418" w:rsidP="00FD7418">
      <w:pPr>
        <w:spacing w:line="240" w:lineRule="auto"/>
        <w:rPr>
          <w:rFonts w:eastAsia="Times New Roman" w:cs="Arial"/>
          <w:color w:val="000000"/>
          <w:lang w:eastAsia="bg-BG"/>
        </w:rPr>
      </w:pPr>
      <w:r w:rsidRPr="00860E17">
        <w:rPr>
          <w:rFonts w:cs="Arial"/>
          <w:vertAlign w:val="superscript"/>
        </w:rPr>
        <w:t>9</w:t>
      </w:r>
      <w:r w:rsidRPr="00860E17">
        <w:rPr>
          <w:rFonts w:eastAsia="Times New Roman" w:cs="Arial"/>
          <w:color w:val="000000"/>
          <w:lang w:eastAsia="bg-BG"/>
        </w:rPr>
        <w:t>Оценената честота се базира на данни от всички клинични проучвания.</w:t>
      </w:r>
    </w:p>
    <w:p w14:paraId="707FEFE4" w14:textId="6D73243F" w:rsidR="00FD7418" w:rsidRPr="00860E17" w:rsidRDefault="00FD7418" w:rsidP="00FD7418">
      <w:pPr>
        <w:spacing w:line="240" w:lineRule="auto"/>
        <w:rPr>
          <w:rFonts w:eastAsia="Times New Roman" w:cs="Arial"/>
          <w:color w:val="000000"/>
          <w:lang w:eastAsia="bg-BG"/>
        </w:rPr>
      </w:pPr>
      <w:r w:rsidRPr="00860E17">
        <w:rPr>
          <w:rFonts w:cs="Arial"/>
          <w:vertAlign w:val="superscript"/>
        </w:rPr>
        <w:t>10</w:t>
      </w:r>
      <w:r w:rsidRPr="00860E17">
        <w:rPr>
          <w:rFonts w:eastAsia="Times New Roman" w:cs="Arial"/>
          <w:color w:val="000000"/>
          <w:lang w:eastAsia="bg-BG"/>
        </w:rPr>
        <w:t>Честотата е изчислена въз основа на плацебо-контролирани клинични изпитвания.</w:t>
      </w:r>
    </w:p>
    <w:p w14:paraId="3637B294" w14:textId="77777777" w:rsidR="00FD7418" w:rsidRPr="00860E17" w:rsidRDefault="00FD7418" w:rsidP="00FD7418">
      <w:pPr>
        <w:spacing w:line="240" w:lineRule="auto"/>
        <w:rPr>
          <w:rFonts w:eastAsia="Times New Roman" w:cs="Arial"/>
          <w:i/>
          <w:iCs/>
          <w:color w:val="000000"/>
          <w:lang w:eastAsia="bg-BG"/>
        </w:rPr>
      </w:pPr>
    </w:p>
    <w:p w14:paraId="7722E779" w14:textId="4A72EE95" w:rsidR="00FD7418" w:rsidRPr="00860E17" w:rsidRDefault="00FD7418" w:rsidP="00FD7418">
      <w:pPr>
        <w:spacing w:line="240" w:lineRule="auto"/>
        <w:rPr>
          <w:rFonts w:eastAsia="Times New Roman" w:cs="Arial"/>
        </w:rPr>
      </w:pPr>
      <w:proofErr w:type="spellStart"/>
      <w:r w:rsidRPr="00860E17">
        <w:rPr>
          <w:rFonts w:eastAsia="Times New Roman" w:cs="Arial"/>
          <w:i/>
          <w:iCs/>
          <w:color w:val="000000"/>
          <w:lang w:eastAsia="bg-BG"/>
        </w:rPr>
        <w:t>в.Описание</w:t>
      </w:r>
      <w:proofErr w:type="spellEnd"/>
      <w:r w:rsidRPr="00860E17">
        <w:rPr>
          <w:rFonts w:eastAsia="Times New Roman" w:cs="Arial"/>
          <w:i/>
          <w:iCs/>
          <w:color w:val="000000"/>
          <w:lang w:eastAsia="bg-BG"/>
        </w:rPr>
        <w:t xml:space="preserve"> на избрани нежелани лекарствени реакции</w:t>
      </w:r>
    </w:p>
    <w:p w14:paraId="111711A9" w14:textId="77777777" w:rsidR="00FD7418" w:rsidRPr="00860E17" w:rsidRDefault="00FD7418" w:rsidP="00FD7418">
      <w:pPr>
        <w:spacing w:line="240" w:lineRule="auto"/>
        <w:rPr>
          <w:rFonts w:eastAsia="Times New Roman" w:cs="Arial"/>
        </w:rPr>
      </w:pPr>
      <w:r w:rsidRPr="00860E17">
        <w:rPr>
          <w:rFonts w:eastAsia="Times New Roman" w:cs="Arial"/>
          <w:color w:val="000000"/>
          <w:lang w:eastAsia="bg-BG"/>
        </w:rPr>
        <w:t xml:space="preserve">Спирането на приема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(особено когато е внезапно) чест води до симптоми на отнемане. Замайване, сензорни нарушения (включително </w:t>
      </w:r>
      <w:proofErr w:type="spellStart"/>
      <w:r w:rsidRPr="00860E17">
        <w:rPr>
          <w:rFonts w:eastAsia="Times New Roman" w:cs="Arial"/>
          <w:color w:val="000000"/>
          <w:lang w:eastAsia="bg-BG"/>
        </w:rPr>
        <w:t>парестезия</w:t>
      </w:r>
      <w:proofErr w:type="spellEnd"/>
      <w:r w:rsidRPr="00860E17">
        <w:rPr>
          <w:rFonts w:eastAsia="Times New Roman" w:cs="Arial"/>
          <w:color w:val="000000"/>
          <w:lang w:eastAsia="bg-BG"/>
        </w:rPr>
        <w:t xml:space="preserve"> или усещани, подобни на</w:t>
      </w:r>
    </w:p>
    <w:p w14:paraId="7FC28069" w14:textId="77777777" w:rsidR="00FD7418" w:rsidRPr="00860E17" w:rsidRDefault="00FD7418" w:rsidP="00FD7418">
      <w:pPr>
        <w:rPr>
          <w:rFonts w:eastAsia="Times New Roman" w:cs="Arial"/>
        </w:rPr>
      </w:pPr>
      <w:r w:rsidRPr="00860E17">
        <w:rPr>
          <w:rFonts w:eastAsia="Times New Roman" w:cs="Arial"/>
          <w:color w:val="000000"/>
          <w:lang w:eastAsia="bg-BG"/>
        </w:rPr>
        <w:t>преминаване на електрически ток, особено в областта на главата), нарушения на съня</w:t>
      </w:r>
      <w:r w:rsidRPr="00860E17">
        <w:rPr>
          <w:rFonts w:eastAsia="Times New Roman" w:cs="Arial"/>
          <w:i/>
          <w:iCs/>
          <w:color w:val="000000"/>
          <w:lang w:eastAsia="bg-BG"/>
        </w:rPr>
        <w:t xml:space="preserve"> </w:t>
      </w:r>
      <w:r w:rsidRPr="00860E17">
        <w:rPr>
          <w:rFonts w:eastAsia="Times New Roman" w:cs="Arial"/>
          <w:color w:val="000000"/>
          <w:lang w:eastAsia="bg-BG"/>
        </w:rPr>
        <w:t xml:space="preserve">(включително безсъние и интензивно сънуване), умора, </w:t>
      </w:r>
      <w:proofErr w:type="spellStart"/>
      <w:r w:rsidRPr="00860E17">
        <w:rPr>
          <w:rFonts w:eastAsia="Times New Roman" w:cs="Arial"/>
          <w:color w:val="000000"/>
          <w:lang w:eastAsia="bg-BG"/>
        </w:rPr>
        <w:t>сомнолентност</w:t>
      </w:r>
      <w:proofErr w:type="spellEnd"/>
      <w:r w:rsidRPr="00860E17">
        <w:rPr>
          <w:rFonts w:eastAsia="Times New Roman" w:cs="Arial"/>
          <w:color w:val="000000"/>
          <w:lang w:eastAsia="bg-BG"/>
        </w:rPr>
        <w:t xml:space="preserve">, възбуда или тревожност, гадене и/или повръщане, тремор, главоболие, </w:t>
      </w:r>
      <w:proofErr w:type="spellStart"/>
      <w:r w:rsidRPr="00860E17">
        <w:rPr>
          <w:rFonts w:eastAsia="Times New Roman" w:cs="Arial"/>
          <w:color w:val="000000"/>
          <w:lang w:eastAsia="bg-BG"/>
        </w:rPr>
        <w:t>миалгия</w:t>
      </w:r>
      <w:proofErr w:type="spellEnd"/>
      <w:r w:rsidRPr="00860E17">
        <w:rPr>
          <w:rFonts w:eastAsia="Times New Roman" w:cs="Arial"/>
          <w:color w:val="000000"/>
          <w:lang w:eastAsia="bg-BG"/>
        </w:rPr>
        <w:t xml:space="preserve">, раздразнителност, диария, </w:t>
      </w:r>
      <w:proofErr w:type="spellStart"/>
      <w:r w:rsidRPr="00860E17">
        <w:rPr>
          <w:rFonts w:eastAsia="Times New Roman" w:cs="Arial"/>
          <w:color w:val="000000"/>
          <w:lang w:eastAsia="bg-BG"/>
        </w:rPr>
        <w:t>хиперхидроза</w:t>
      </w:r>
      <w:proofErr w:type="spellEnd"/>
      <w:r w:rsidRPr="00860E17">
        <w:rPr>
          <w:rFonts w:eastAsia="Times New Roman" w:cs="Arial"/>
          <w:color w:val="000000"/>
          <w:lang w:eastAsia="bg-BG"/>
        </w:rPr>
        <w:t xml:space="preserve"> и </w:t>
      </w:r>
      <w:proofErr w:type="spellStart"/>
      <w:r w:rsidRPr="00860E17">
        <w:rPr>
          <w:rFonts w:eastAsia="Times New Roman" w:cs="Arial"/>
          <w:color w:val="000000"/>
          <w:lang w:eastAsia="bg-BG"/>
        </w:rPr>
        <w:t>вертиго</w:t>
      </w:r>
      <w:proofErr w:type="spellEnd"/>
      <w:r w:rsidRPr="00860E17">
        <w:rPr>
          <w:rFonts w:eastAsia="Times New Roman" w:cs="Arial"/>
          <w:color w:val="000000"/>
          <w:lang w:eastAsia="bg-BG"/>
        </w:rPr>
        <w:t xml:space="preserve"> са най-често съобщаваните нежелани реакции.</w:t>
      </w:r>
    </w:p>
    <w:p w14:paraId="1B6F8CC4" w14:textId="77777777" w:rsidR="00FD7418" w:rsidRPr="00860E17" w:rsidRDefault="00FD7418" w:rsidP="00FD7418">
      <w:pPr>
        <w:spacing w:line="240" w:lineRule="auto"/>
        <w:rPr>
          <w:rFonts w:eastAsia="Times New Roman" w:cs="Arial"/>
          <w:color w:val="000000"/>
          <w:lang w:eastAsia="bg-BG"/>
        </w:rPr>
      </w:pPr>
    </w:p>
    <w:p w14:paraId="63C529B0" w14:textId="7CC48D59" w:rsidR="00FD7418" w:rsidRPr="00860E17" w:rsidRDefault="00FD7418" w:rsidP="00FD7418">
      <w:pPr>
        <w:spacing w:line="240" w:lineRule="auto"/>
        <w:rPr>
          <w:rFonts w:eastAsia="Times New Roman" w:cs="Arial"/>
        </w:rPr>
      </w:pPr>
      <w:r w:rsidRPr="00860E17">
        <w:rPr>
          <w:rFonts w:eastAsia="Times New Roman" w:cs="Arial"/>
          <w:color w:val="000000"/>
          <w:lang w:eastAsia="bg-BG"/>
        </w:rPr>
        <w:t xml:space="preserve">Най-общо и за </w:t>
      </w:r>
      <w:proofErr w:type="spellStart"/>
      <w:r w:rsidRPr="00860E17">
        <w:rPr>
          <w:rFonts w:eastAsia="Times New Roman" w:cs="Arial"/>
          <w:color w:val="000000"/>
        </w:rPr>
        <w:t>SSRIs</w:t>
      </w:r>
      <w:proofErr w:type="spellEnd"/>
      <w:r w:rsidRPr="00860E17">
        <w:rPr>
          <w:rFonts w:eastAsia="Times New Roman" w:cs="Arial"/>
          <w:color w:val="000000"/>
        </w:rPr>
        <w:t xml:space="preserve">, </w:t>
      </w:r>
      <w:r w:rsidRPr="00860E17">
        <w:rPr>
          <w:rFonts w:eastAsia="Times New Roman" w:cs="Arial"/>
          <w:color w:val="000000"/>
          <w:lang w:eastAsia="bg-BG"/>
        </w:rPr>
        <w:t xml:space="preserve">и за </w:t>
      </w:r>
      <w:proofErr w:type="spellStart"/>
      <w:r w:rsidRPr="00860E17">
        <w:rPr>
          <w:rFonts w:eastAsia="Times New Roman" w:cs="Arial"/>
          <w:color w:val="000000"/>
        </w:rPr>
        <w:t>SNRIs</w:t>
      </w:r>
      <w:proofErr w:type="spellEnd"/>
      <w:r w:rsidRPr="00860E17">
        <w:rPr>
          <w:rFonts w:eastAsia="Times New Roman" w:cs="Arial"/>
          <w:color w:val="000000"/>
        </w:rPr>
        <w:t xml:space="preserve">, </w:t>
      </w:r>
      <w:r w:rsidRPr="00860E17">
        <w:rPr>
          <w:rFonts w:eastAsia="Times New Roman" w:cs="Arial"/>
          <w:color w:val="000000"/>
          <w:lang w:eastAsia="bg-BG"/>
        </w:rPr>
        <w:t xml:space="preserve">тези събития са леки до умерени и самоограничаващи се, въпреки че при някои пациенти те може да са тежки и/или продължителни. Затова се препоръчва, когато не се налага повече лечение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да бъде извършено постепенно спиране, чрез намаляване на дозата (вж. точка 4.2 и 4.4).</w:t>
      </w:r>
    </w:p>
    <w:p w14:paraId="1173D63B" w14:textId="77777777" w:rsidR="00FD7418" w:rsidRPr="00860E17" w:rsidRDefault="00FD7418" w:rsidP="00FD7418">
      <w:pPr>
        <w:spacing w:line="240" w:lineRule="auto"/>
        <w:rPr>
          <w:rFonts w:eastAsia="Times New Roman" w:cs="Arial"/>
          <w:color w:val="000000"/>
          <w:lang w:eastAsia="bg-BG"/>
        </w:rPr>
      </w:pPr>
    </w:p>
    <w:p w14:paraId="1DDD345C" w14:textId="2177F161" w:rsidR="00FD7418" w:rsidRPr="00860E17" w:rsidRDefault="00FD7418" w:rsidP="00FD7418">
      <w:pPr>
        <w:spacing w:line="240" w:lineRule="auto"/>
        <w:rPr>
          <w:rFonts w:eastAsia="Times New Roman" w:cs="Arial"/>
        </w:rPr>
      </w:pPr>
      <w:r w:rsidRPr="00860E17">
        <w:rPr>
          <w:rFonts w:eastAsia="Times New Roman" w:cs="Arial"/>
          <w:color w:val="000000"/>
          <w:lang w:eastAsia="bg-BG"/>
        </w:rPr>
        <w:t xml:space="preserve">През 12-седмичната остра фаза на три клинични проучвания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при пациенти с диабетна </w:t>
      </w:r>
      <w:proofErr w:type="spellStart"/>
      <w:r w:rsidRPr="00860E17">
        <w:rPr>
          <w:rFonts w:eastAsia="Times New Roman" w:cs="Arial"/>
          <w:color w:val="000000"/>
          <w:lang w:eastAsia="bg-BG"/>
        </w:rPr>
        <w:t>невропатна</w:t>
      </w:r>
      <w:proofErr w:type="spellEnd"/>
      <w:r w:rsidRPr="00860E17">
        <w:rPr>
          <w:rFonts w:eastAsia="Times New Roman" w:cs="Arial"/>
          <w:color w:val="000000"/>
          <w:lang w:eastAsia="bg-BG"/>
        </w:rPr>
        <w:t xml:space="preserve"> болка е наблюдавано малко, но статистически значимо повишение в кръвната глюкоза на гладно, при пациентите на лечение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w:t>
      </w:r>
      <w:proofErr w:type="spellStart"/>
      <w:r w:rsidRPr="00860E17">
        <w:rPr>
          <w:rFonts w:eastAsia="Times New Roman" w:cs="Arial"/>
          <w:color w:val="000000"/>
        </w:rPr>
        <w:t>HbAlc</w:t>
      </w:r>
      <w:proofErr w:type="spellEnd"/>
      <w:r w:rsidRPr="00860E17">
        <w:rPr>
          <w:rFonts w:eastAsia="Times New Roman" w:cs="Arial"/>
          <w:color w:val="000000"/>
        </w:rPr>
        <w:t xml:space="preserve"> </w:t>
      </w:r>
      <w:r w:rsidRPr="00860E17">
        <w:rPr>
          <w:rFonts w:eastAsia="Times New Roman" w:cs="Arial"/>
          <w:color w:val="000000"/>
          <w:lang w:eastAsia="bg-BG"/>
        </w:rPr>
        <w:t xml:space="preserve">е стабилен и при пациентите лекувани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и при пациентите лекувани с плацебо. През фазата на удължаване на тези проучвания, продължила до 52 седмици, е налично повишение на </w:t>
      </w:r>
      <w:proofErr w:type="spellStart"/>
      <w:r w:rsidRPr="00860E17">
        <w:rPr>
          <w:rFonts w:eastAsia="Times New Roman" w:cs="Arial"/>
          <w:color w:val="000000"/>
        </w:rPr>
        <w:t>HbAlc</w:t>
      </w:r>
      <w:proofErr w:type="spellEnd"/>
      <w:r w:rsidRPr="00860E17">
        <w:rPr>
          <w:rFonts w:eastAsia="Times New Roman" w:cs="Arial"/>
          <w:color w:val="000000"/>
        </w:rPr>
        <w:t xml:space="preserve"> </w:t>
      </w:r>
      <w:r w:rsidRPr="00860E17">
        <w:rPr>
          <w:rFonts w:eastAsia="Times New Roman" w:cs="Arial"/>
          <w:color w:val="000000"/>
          <w:lang w:eastAsia="bg-BG"/>
        </w:rPr>
        <w:t xml:space="preserve">и в групата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и в групата на рутинна терапия, но средното повишение е 0,3% по- голямо в групата на лечение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Налично е леко повишение в кръвната глюкоза на гладно и на общия холестерол при пациентите лекувани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докато тези лабораторни изследвания показват леко намаление в групата на рутинна терапия.</w:t>
      </w:r>
    </w:p>
    <w:p w14:paraId="08221C4D" w14:textId="77777777" w:rsidR="00FD7418" w:rsidRPr="00860E17" w:rsidRDefault="00FD7418" w:rsidP="00FD7418">
      <w:pPr>
        <w:spacing w:line="240" w:lineRule="auto"/>
        <w:rPr>
          <w:rFonts w:eastAsia="Times New Roman" w:cs="Arial"/>
          <w:color w:val="000000"/>
          <w:lang w:eastAsia="bg-BG"/>
        </w:rPr>
      </w:pPr>
    </w:p>
    <w:p w14:paraId="4A2E64B8" w14:textId="23EE4D8F" w:rsidR="00FD7418" w:rsidRPr="00860E17" w:rsidRDefault="00FD7418" w:rsidP="00FD7418">
      <w:pPr>
        <w:spacing w:line="240" w:lineRule="auto"/>
        <w:rPr>
          <w:rFonts w:eastAsia="Times New Roman" w:cs="Arial"/>
        </w:rPr>
      </w:pPr>
      <w:r w:rsidRPr="00860E17">
        <w:rPr>
          <w:rFonts w:eastAsia="Times New Roman" w:cs="Arial"/>
          <w:color w:val="000000"/>
          <w:lang w:eastAsia="bg-BG"/>
        </w:rPr>
        <w:t xml:space="preserve">Коригираният спрямо сърдечната честота </w:t>
      </w:r>
      <w:r w:rsidRPr="00860E17">
        <w:rPr>
          <w:rFonts w:eastAsia="Times New Roman" w:cs="Arial"/>
          <w:color w:val="000000"/>
        </w:rPr>
        <w:t xml:space="preserve">QT </w:t>
      </w:r>
      <w:r w:rsidRPr="00860E17">
        <w:rPr>
          <w:rFonts w:eastAsia="Times New Roman" w:cs="Arial"/>
          <w:color w:val="000000"/>
          <w:lang w:eastAsia="bg-BG"/>
        </w:rPr>
        <w:t xml:space="preserve">интервал при пациентите, лекувани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не се различава от този, наблюдаван при пациентите, лекувани с плацебо. Не са наблюдавани клинично значими разлики за </w:t>
      </w:r>
      <w:r w:rsidRPr="00860E17">
        <w:rPr>
          <w:rFonts w:eastAsia="Times New Roman" w:cs="Arial"/>
          <w:color w:val="000000"/>
        </w:rPr>
        <w:t xml:space="preserve">QT, PR, QRS </w:t>
      </w:r>
      <w:r w:rsidRPr="00860E17">
        <w:rPr>
          <w:rFonts w:eastAsia="Times New Roman" w:cs="Arial"/>
          <w:color w:val="000000"/>
          <w:lang w:eastAsia="bg-BG"/>
        </w:rPr>
        <w:t xml:space="preserve">или </w:t>
      </w:r>
      <w:proofErr w:type="spellStart"/>
      <w:r w:rsidRPr="00860E17">
        <w:rPr>
          <w:rFonts w:eastAsia="Times New Roman" w:cs="Arial"/>
          <w:color w:val="000000"/>
        </w:rPr>
        <w:t>QTcB</w:t>
      </w:r>
      <w:proofErr w:type="spellEnd"/>
      <w:r w:rsidRPr="00860E17">
        <w:rPr>
          <w:rFonts w:eastAsia="Times New Roman" w:cs="Arial"/>
          <w:color w:val="000000"/>
        </w:rPr>
        <w:t xml:space="preserve"> </w:t>
      </w:r>
      <w:r w:rsidRPr="00860E17">
        <w:rPr>
          <w:rFonts w:eastAsia="Times New Roman" w:cs="Arial"/>
          <w:color w:val="000000"/>
          <w:lang w:eastAsia="bg-BG"/>
        </w:rPr>
        <w:t xml:space="preserve">измервания между пациентите, лекуваните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и тези лекуваните с плацебо.</w:t>
      </w:r>
    </w:p>
    <w:p w14:paraId="03511CBA" w14:textId="77777777" w:rsidR="00FD7418" w:rsidRPr="00860E17" w:rsidRDefault="00FD7418" w:rsidP="00FD7418">
      <w:pPr>
        <w:spacing w:line="240" w:lineRule="auto"/>
        <w:rPr>
          <w:rFonts w:eastAsia="Times New Roman" w:cs="Arial"/>
          <w:i/>
          <w:iCs/>
          <w:color w:val="000000"/>
          <w:lang w:eastAsia="bg-BG"/>
        </w:rPr>
      </w:pPr>
    </w:p>
    <w:p w14:paraId="70DAC2A1" w14:textId="18A426AB" w:rsidR="00FD7418" w:rsidRPr="00860E17" w:rsidRDefault="00FD7418" w:rsidP="00FD7418">
      <w:pPr>
        <w:spacing w:line="240" w:lineRule="auto"/>
        <w:rPr>
          <w:rFonts w:eastAsia="Times New Roman" w:cs="Arial"/>
          <w:i/>
          <w:iCs/>
          <w:color w:val="000000"/>
          <w:lang w:eastAsia="bg-BG"/>
        </w:rPr>
      </w:pPr>
      <w:proofErr w:type="spellStart"/>
      <w:r w:rsidRPr="00860E17">
        <w:rPr>
          <w:rFonts w:eastAsia="Times New Roman" w:cs="Arial"/>
          <w:i/>
          <w:iCs/>
          <w:color w:val="000000"/>
          <w:lang w:eastAsia="bg-BG"/>
        </w:rPr>
        <w:t>г.Педиатрична</w:t>
      </w:r>
      <w:proofErr w:type="spellEnd"/>
      <w:r w:rsidRPr="00860E17">
        <w:rPr>
          <w:rFonts w:eastAsia="Times New Roman" w:cs="Arial"/>
          <w:i/>
          <w:iCs/>
          <w:color w:val="000000"/>
          <w:lang w:eastAsia="bg-BG"/>
        </w:rPr>
        <w:t xml:space="preserve"> популация</w:t>
      </w:r>
    </w:p>
    <w:p w14:paraId="136987E3" w14:textId="77777777" w:rsidR="00FD7418" w:rsidRPr="00860E17" w:rsidRDefault="00FD7418" w:rsidP="00FD7418">
      <w:pPr>
        <w:spacing w:line="240" w:lineRule="auto"/>
        <w:rPr>
          <w:rFonts w:eastAsia="Times New Roman" w:cs="Arial"/>
        </w:rPr>
      </w:pPr>
      <w:r w:rsidRPr="00860E17">
        <w:rPr>
          <w:rFonts w:eastAsia="Times New Roman" w:cs="Arial"/>
          <w:color w:val="000000"/>
          <w:lang w:eastAsia="bg-BG"/>
        </w:rPr>
        <w:t xml:space="preserve">Общо 509 пациенти деца на възраст от 7 до 17 години с голямо депресивно разстройство и 241 педиатрични пациенти на възраст от 7 до 17 години с генерализирано тревожно разстройство са лекувани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при клинични проучвания. Като цяло профилът на нежеланите лекарствени реакции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при деца и юноши е подобен на този, наблюдаван при възрастни.</w:t>
      </w:r>
    </w:p>
    <w:p w14:paraId="0D8DC285" w14:textId="77777777" w:rsidR="00FD7418" w:rsidRPr="00860E17" w:rsidRDefault="00FD7418" w:rsidP="00FD7418">
      <w:pPr>
        <w:spacing w:line="240" w:lineRule="auto"/>
        <w:rPr>
          <w:rFonts w:eastAsia="Times New Roman" w:cs="Arial"/>
          <w:color w:val="000000"/>
          <w:lang w:eastAsia="bg-BG"/>
        </w:rPr>
      </w:pPr>
    </w:p>
    <w:p w14:paraId="528ECA6F" w14:textId="6C6C3081" w:rsidR="00FD7418" w:rsidRPr="00860E17" w:rsidRDefault="00FD7418" w:rsidP="00FD7418">
      <w:pPr>
        <w:spacing w:line="240" w:lineRule="auto"/>
        <w:rPr>
          <w:rFonts w:eastAsia="Times New Roman" w:cs="Arial"/>
        </w:rPr>
      </w:pPr>
      <w:r w:rsidRPr="00860E17">
        <w:rPr>
          <w:rFonts w:eastAsia="Times New Roman" w:cs="Arial"/>
          <w:color w:val="000000"/>
          <w:lang w:eastAsia="bg-BG"/>
        </w:rPr>
        <w:lastRenderedPageBreak/>
        <w:t xml:space="preserve">Общо 467 пациенти от педиатричната популация, които първоначално са рандомизирани да получават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в клинични проучвания, изпитват средно намаление на теглото 0,1 </w:t>
      </w:r>
      <w:proofErr w:type="spellStart"/>
      <w:r w:rsidRPr="00860E17">
        <w:rPr>
          <w:rFonts w:eastAsia="Times New Roman" w:cs="Arial"/>
          <w:color w:val="000000"/>
        </w:rPr>
        <w:t>kg</w:t>
      </w:r>
      <w:proofErr w:type="spellEnd"/>
      <w:r w:rsidRPr="00860E17">
        <w:rPr>
          <w:rFonts w:eastAsia="Times New Roman" w:cs="Arial"/>
          <w:color w:val="000000"/>
        </w:rPr>
        <w:t xml:space="preserve"> </w:t>
      </w:r>
      <w:r w:rsidRPr="00860E17">
        <w:rPr>
          <w:rFonts w:eastAsia="Times New Roman" w:cs="Arial"/>
          <w:color w:val="000000"/>
          <w:lang w:eastAsia="bg-BG"/>
        </w:rPr>
        <w:t xml:space="preserve">към 10-та седмица в сравнение с 0,9 </w:t>
      </w:r>
      <w:proofErr w:type="spellStart"/>
      <w:r w:rsidRPr="00860E17">
        <w:rPr>
          <w:rFonts w:eastAsia="Times New Roman" w:cs="Arial"/>
          <w:color w:val="000000"/>
        </w:rPr>
        <w:t>kg</w:t>
      </w:r>
      <w:proofErr w:type="spellEnd"/>
      <w:r w:rsidRPr="00860E17">
        <w:rPr>
          <w:rFonts w:eastAsia="Times New Roman" w:cs="Arial"/>
          <w:color w:val="000000"/>
        </w:rPr>
        <w:t xml:space="preserve"> </w:t>
      </w:r>
      <w:r w:rsidRPr="00860E17">
        <w:rPr>
          <w:rFonts w:eastAsia="Times New Roman" w:cs="Arial"/>
          <w:color w:val="000000"/>
          <w:lang w:eastAsia="bg-BG"/>
        </w:rPr>
        <w:t xml:space="preserve">средно увеличение при 353 пациенти, получаващи плацебо. След това в течение на четири месечен до шест месечен период на продължение, пациентите проявяват склонност към възстановяване на очакваното си изходно тегло в </w:t>
      </w:r>
      <w:proofErr w:type="spellStart"/>
      <w:r w:rsidRPr="00860E17">
        <w:rPr>
          <w:rFonts w:eastAsia="Times New Roman" w:cs="Arial"/>
          <w:color w:val="000000"/>
          <w:lang w:eastAsia="bg-BG"/>
        </w:rPr>
        <w:t>перцентила</w:t>
      </w:r>
      <w:proofErr w:type="spellEnd"/>
      <w:r w:rsidRPr="00860E17">
        <w:rPr>
          <w:rFonts w:eastAsia="Times New Roman" w:cs="Arial"/>
          <w:color w:val="000000"/>
          <w:lang w:eastAsia="bg-BG"/>
        </w:rPr>
        <w:t xml:space="preserve"> на базата на </w:t>
      </w:r>
      <w:proofErr w:type="spellStart"/>
      <w:r w:rsidRPr="00860E17">
        <w:rPr>
          <w:rFonts w:eastAsia="Times New Roman" w:cs="Arial"/>
          <w:color w:val="000000"/>
          <w:lang w:eastAsia="bg-BG"/>
        </w:rPr>
        <w:t>популационните</w:t>
      </w:r>
      <w:proofErr w:type="spellEnd"/>
      <w:r w:rsidRPr="00860E17">
        <w:rPr>
          <w:rFonts w:eastAsia="Times New Roman" w:cs="Arial"/>
          <w:color w:val="000000"/>
          <w:lang w:eastAsia="bg-BG"/>
        </w:rPr>
        <w:t xml:space="preserve"> данни от връстниците, съответно по възраст и пол.</w:t>
      </w:r>
    </w:p>
    <w:p w14:paraId="5BF9A3CF" w14:textId="77777777" w:rsidR="00FD7418" w:rsidRPr="00860E17" w:rsidRDefault="00FD7418" w:rsidP="00FD7418">
      <w:pPr>
        <w:spacing w:line="240" w:lineRule="auto"/>
        <w:rPr>
          <w:rFonts w:eastAsia="Times New Roman" w:cs="Arial"/>
          <w:color w:val="000000"/>
          <w:lang w:eastAsia="bg-BG"/>
        </w:rPr>
      </w:pPr>
    </w:p>
    <w:p w14:paraId="4AF8DC4A" w14:textId="126C3353" w:rsidR="00FD7418" w:rsidRPr="00860E17" w:rsidRDefault="00FD7418" w:rsidP="00FD7418">
      <w:pPr>
        <w:spacing w:line="240" w:lineRule="auto"/>
        <w:rPr>
          <w:rFonts w:eastAsia="Times New Roman" w:cs="Arial"/>
        </w:rPr>
      </w:pPr>
      <w:r w:rsidRPr="00860E17">
        <w:rPr>
          <w:rFonts w:eastAsia="Times New Roman" w:cs="Arial"/>
          <w:color w:val="000000"/>
          <w:lang w:eastAsia="bg-BG"/>
        </w:rPr>
        <w:t xml:space="preserve">В проучвания с продължителност до 9 месеца при пациентите от педиатричната популация, лекувани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се наблюдава общо средно намаление от 1% на </w:t>
      </w:r>
      <w:proofErr w:type="spellStart"/>
      <w:r w:rsidRPr="00860E17">
        <w:rPr>
          <w:rFonts w:eastAsia="Times New Roman" w:cs="Arial"/>
          <w:color w:val="000000"/>
          <w:lang w:eastAsia="bg-BG"/>
        </w:rPr>
        <w:t>перцентила</w:t>
      </w:r>
      <w:proofErr w:type="spellEnd"/>
      <w:r w:rsidRPr="00860E17">
        <w:rPr>
          <w:rFonts w:eastAsia="Times New Roman" w:cs="Arial"/>
          <w:color w:val="000000"/>
          <w:lang w:eastAsia="bg-BG"/>
        </w:rPr>
        <w:t xml:space="preserve"> за ръст (намаление от 2% при деца (7-11 години) и увеличение с 0,3% при юноши (12-17 години)) (вж. точка 4.4).</w:t>
      </w:r>
    </w:p>
    <w:p w14:paraId="1FEBBE3C" w14:textId="77777777" w:rsidR="00FD7418" w:rsidRPr="00860E17" w:rsidRDefault="00FD7418" w:rsidP="00FD7418">
      <w:pPr>
        <w:spacing w:line="240" w:lineRule="auto"/>
        <w:rPr>
          <w:rFonts w:eastAsia="Times New Roman" w:cs="Arial"/>
          <w:color w:val="000000"/>
          <w:u w:val="single"/>
          <w:lang w:eastAsia="bg-BG"/>
        </w:rPr>
      </w:pPr>
    </w:p>
    <w:p w14:paraId="4827E62A" w14:textId="130E1FEF" w:rsidR="00FD7418" w:rsidRPr="00860E17" w:rsidRDefault="00FD7418" w:rsidP="00FD7418">
      <w:pPr>
        <w:spacing w:line="240" w:lineRule="auto"/>
        <w:rPr>
          <w:rFonts w:eastAsia="Times New Roman" w:cs="Arial"/>
        </w:rPr>
      </w:pPr>
      <w:r w:rsidRPr="00860E17">
        <w:rPr>
          <w:rFonts w:eastAsia="Times New Roman" w:cs="Arial"/>
          <w:color w:val="000000"/>
          <w:u w:val="single"/>
          <w:lang w:eastAsia="bg-BG"/>
        </w:rPr>
        <w:t>Съобщаване на подозирани нежелани реакции</w:t>
      </w:r>
    </w:p>
    <w:p w14:paraId="3D0D27E2" w14:textId="3DB5A696" w:rsidR="00FD7418" w:rsidRPr="00860E17" w:rsidRDefault="00FD7418" w:rsidP="00FD7418">
      <w:pPr>
        <w:spacing w:line="240" w:lineRule="auto"/>
        <w:rPr>
          <w:rFonts w:eastAsia="Times New Roman" w:cs="Arial"/>
        </w:rPr>
      </w:pPr>
      <w:r w:rsidRPr="00860E17">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Тел.:+35 928903417 уебсайт: </w:t>
      </w:r>
      <w:hyperlink r:id="rId7" w:history="1">
        <w:r w:rsidRPr="00860E17">
          <w:rPr>
            <w:rFonts w:eastAsia="Times New Roman" w:cs="Arial"/>
            <w:color w:val="000000"/>
            <w:u w:val="single"/>
          </w:rPr>
          <w:t>www.bda.bg</w:t>
        </w:r>
      </w:hyperlink>
    </w:p>
    <w:p w14:paraId="5473B223" w14:textId="77777777" w:rsidR="009E5AB1" w:rsidRPr="00860E17" w:rsidRDefault="009E5AB1" w:rsidP="009E5AB1"/>
    <w:p w14:paraId="5A87DBA3" w14:textId="5C0063C2" w:rsidR="007122AD" w:rsidRPr="00860E17" w:rsidRDefault="002C50EE" w:rsidP="00936AD0">
      <w:pPr>
        <w:pStyle w:val="Heading2"/>
      </w:pPr>
      <w:r w:rsidRPr="00860E17">
        <w:t>4.9. Предозиране</w:t>
      </w:r>
    </w:p>
    <w:p w14:paraId="15FFFBD2" w14:textId="186C61D0" w:rsidR="00FD7418" w:rsidRPr="00860E17" w:rsidRDefault="00FD7418" w:rsidP="00FD7418"/>
    <w:p w14:paraId="0CFF405F" w14:textId="77777777" w:rsidR="00FD7418" w:rsidRPr="00860E17" w:rsidRDefault="00FD7418" w:rsidP="00FD7418">
      <w:pPr>
        <w:rPr>
          <w:sz w:val="24"/>
          <w:szCs w:val="24"/>
        </w:rPr>
      </w:pPr>
      <w:r w:rsidRPr="00860E17">
        <w:rPr>
          <w:lang w:eastAsia="bg-BG"/>
        </w:rPr>
        <w:t xml:space="preserve">Съобщавани са случаи на предозиране, самостоятелно или в комбинация с други лекарствени продукти, с дози на </w:t>
      </w:r>
      <w:proofErr w:type="spellStart"/>
      <w:r w:rsidRPr="00860E17">
        <w:rPr>
          <w:lang w:eastAsia="bg-BG"/>
        </w:rPr>
        <w:t>дулоксетин</w:t>
      </w:r>
      <w:proofErr w:type="spellEnd"/>
      <w:r w:rsidRPr="00860E17">
        <w:rPr>
          <w:lang w:eastAsia="bg-BG"/>
        </w:rPr>
        <w:t xml:space="preserve"> от 5400 </w:t>
      </w:r>
      <w:proofErr w:type="spellStart"/>
      <w:r w:rsidRPr="00860E17">
        <w:t>mg</w:t>
      </w:r>
      <w:proofErr w:type="spellEnd"/>
      <w:r w:rsidRPr="00860E17">
        <w:t xml:space="preserve">. </w:t>
      </w:r>
      <w:r w:rsidRPr="00860E17">
        <w:rPr>
          <w:lang w:eastAsia="bg-BG"/>
        </w:rPr>
        <w:t xml:space="preserve">Има няколко смъртни случаи, основно при смесено предозиране, но също така с </w:t>
      </w:r>
      <w:proofErr w:type="spellStart"/>
      <w:r w:rsidRPr="00860E17">
        <w:rPr>
          <w:lang w:eastAsia="bg-BG"/>
        </w:rPr>
        <w:t>дулоксетин</w:t>
      </w:r>
      <w:proofErr w:type="spellEnd"/>
      <w:r w:rsidRPr="00860E17">
        <w:rPr>
          <w:lang w:eastAsia="bg-BG"/>
        </w:rPr>
        <w:t xml:space="preserve"> самостоятелно в доза от приблизително 1000 </w:t>
      </w:r>
      <w:proofErr w:type="spellStart"/>
      <w:r w:rsidRPr="00860E17">
        <w:t>mg</w:t>
      </w:r>
      <w:proofErr w:type="spellEnd"/>
      <w:r w:rsidRPr="00860E17">
        <w:t xml:space="preserve">. </w:t>
      </w:r>
      <w:r w:rsidRPr="00860E17">
        <w:rPr>
          <w:lang w:eastAsia="bg-BG"/>
        </w:rPr>
        <w:t>Признаците и симптомите на предозиране (</w:t>
      </w:r>
      <w:proofErr w:type="spellStart"/>
      <w:r w:rsidRPr="00860E17">
        <w:rPr>
          <w:lang w:eastAsia="bg-BG"/>
        </w:rPr>
        <w:t>дулоксетин</w:t>
      </w:r>
      <w:proofErr w:type="spellEnd"/>
      <w:r w:rsidRPr="00860E17">
        <w:rPr>
          <w:lang w:eastAsia="bg-BG"/>
        </w:rPr>
        <w:t xml:space="preserve"> самостоятелно или в комбинация с други лекарствени продукти) включват </w:t>
      </w:r>
      <w:proofErr w:type="spellStart"/>
      <w:r w:rsidRPr="00860E17">
        <w:rPr>
          <w:lang w:eastAsia="bg-BG"/>
        </w:rPr>
        <w:t>сомнолентност</w:t>
      </w:r>
      <w:proofErr w:type="spellEnd"/>
      <w:r w:rsidRPr="00860E17">
        <w:rPr>
          <w:lang w:eastAsia="bg-BG"/>
        </w:rPr>
        <w:t xml:space="preserve">, кома, </w:t>
      </w:r>
      <w:proofErr w:type="spellStart"/>
      <w:r w:rsidRPr="00860E17">
        <w:rPr>
          <w:lang w:eastAsia="bg-BG"/>
        </w:rPr>
        <w:t>серотонинов</w:t>
      </w:r>
      <w:proofErr w:type="spellEnd"/>
      <w:r w:rsidRPr="00860E17">
        <w:rPr>
          <w:lang w:eastAsia="bg-BG"/>
        </w:rPr>
        <w:t xml:space="preserve"> синдром, припадъци, повръщане и тахикардия.</w:t>
      </w:r>
    </w:p>
    <w:p w14:paraId="62EF1BF1" w14:textId="77777777" w:rsidR="00FD7418" w:rsidRPr="00860E17" w:rsidRDefault="00FD7418" w:rsidP="00FD7418">
      <w:pPr>
        <w:rPr>
          <w:lang w:eastAsia="bg-BG"/>
        </w:rPr>
      </w:pPr>
    </w:p>
    <w:p w14:paraId="375533CF" w14:textId="5AB167FC" w:rsidR="00FD7418" w:rsidRPr="00860E17" w:rsidRDefault="00FD7418" w:rsidP="00FD7418">
      <w:pPr>
        <w:rPr>
          <w:sz w:val="24"/>
          <w:szCs w:val="24"/>
        </w:rPr>
      </w:pPr>
      <w:r w:rsidRPr="00860E17">
        <w:rPr>
          <w:lang w:eastAsia="bg-BG"/>
        </w:rPr>
        <w:t xml:space="preserve">Не е известен специфичен антидот на </w:t>
      </w:r>
      <w:proofErr w:type="spellStart"/>
      <w:r w:rsidRPr="00860E17">
        <w:rPr>
          <w:lang w:eastAsia="bg-BG"/>
        </w:rPr>
        <w:t>дулоксетин</w:t>
      </w:r>
      <w:proofErr w:type="spellEnd"/>
      <w:r w:rsidRPr="00860E17">
        <w:rPr>
          <w:lang w:eastAsia="bg-BG"/>
        </w:rPr>
        <w:t xml:space="preserve">, но ако настъпи </w:t>
      </w:r>
      <w:proofErr w:type="spellStart"/>
      <w:r w:rsidRPr="00860E17">
        <w:rPr>
          <w:lang w:eastAsia="bg-BG"/>
        </w:rPr>
        <w:t>серотонинов</w:t>
      </w:r>
      <w:proofErr w:type="spellEnd"/>
      <w:r w:rsidRPr="00860E17">
        <w:rPr>
          <w:lang w:eastAsia="bg-BG"/>
        </w:rPr>
        <w:t xml:space="preserve"> синдром може да се има предвид специфично лечение (като с </w:t>
      </w:r>
      <w:proofErr w:type="spellStart"/>
      <w:r w:rsidRPr="00860E17">
        <w:rPr>
          <w:lang w:eastAsia="bg-BG"/>
        </w:rPr>
        <w:t>ципрохептадин</w:t>
      </w:r>
      <w:proofErr w:type="spellEnd"/>
      <w:r w:rsidRPr="00860E17">
        <w:rPr>
          <w:lang w:eastAsia="bg-BG"/>
        </w:rPr>
        <w:t xml:space="preserve"> и/или температурен контрол). Трябва да се поддържат свободни дихателните пътища. Препоръчва се проследяване на сърдечните и жизнени показатели, заедно с подходящи симптоматични и поддържащи мерки. Стомашна промивка може да е показана, ако се извърши възможно най-скоро след поглъщането или при пациенти със симптоми. Активният въглен може да полезен за ограничаване на резорбцията. </w:t>
      </w:r>
      <w:proofErr w:type="spellStart"/>
      <w:r w:rsidRPr="00860E17">
        <w:rPr>
          <w:lang w:eastAsia="bg-BG"/>
        </w:rPr>
        <w:t>Дулоксетин</w:t>
      </w:r>
      <w:proofErr w:type="spellEnd"/>
      <w:r w:rsidRPr="00860E17">
        <w:rPr>
          <w:lang w:eastAsia="bg-BG"/>
        </w:rPr>
        <w:t xml:space="preserve"> има голям обем на разпределение и форсираната </w:t>
      </w:r>
      <w:proofErr w:type="spellStart"/>
      <w:r w:rsidRPr="00860E17">
        <w:rPr>
          <w:lang w:eastAsia="bg-BG"/>
        </w:rPr>
        <w:t>диуреза</w:t>
      </w:r>
      <w:proofErr w:type="spellEnd"/>
      <w:r w:rsidRPr="00860E17">
        <w:rPr>
          <w:lang w:eastAsia="bg-BG"/>
        </w:rPr>
        <w:t xml:space="preserve">, </w:t>
      </w:r>
      <w:proofErr w:type="spellStart"/>
      <w:r w:rsidRPr="00860E17">
        <w:rPr>
          <w:lang w:eastAsia="bg-BG"/>
        </w:rPr>
        <w:t>хемоперфузия</w:t>
      </w:r>
      <w:proofErr w:type="spellEnd"/>
      <w:r w:rsidRPr="00860E17">
        <w:rPr>
          <w:lang w:eastAsia="bg-BG"/>
        </w:rPr>
        <w:t xml:space="preserve"> и обменна </w:t>
      </w:r>
      <w:proofErr w:type="spellStart"/>
      <w:r w:rsidRPr="00860E17">
        <w:rPr>
          <w:lang w:eastAsia="bg-BG"/>
        </w:rPr>
        <w:t>перфузия</w:t>
      </w:r>
      <w:proofErr w:type="spellEnd"/>
      <w:r w:rsidRPr="00860E17">
        <w:rPr>
          <w:lang w:eastAsia="bg-BG"/>
        </w:rPr>
        <w:t xml:space="preserve"> е малко вероятно да са от полза.</w:t>
      </w:r>
    </w:p>
    <w:p w14:paraId="10F116B9" w14:textId="77777777" w:rsidR="00FD7418" w:rsidRPr="00860E17" w:rsidRDefault="00FD7418" w:rsidP="00FD7418"/>
    <w:p w14:paraId="02081B24" w14:textId="1F46E296" w:rsidR="00395555" w:rsidRPr="00860E17" w:rsidRDefault="002C50EE" w:rsidP="008A6AF2">
      <w:pPr>
        <w:pStyle w:val="Heading1"/>
      </w:pPr>
      <w:r w:rsidRPr="00860E17">
        <w:t>5. ФАРМАКОЛОГИЧНИ СВОЙСТВА</w:t>
      </w:r>
    </w:p>
    <w:p w14:paraId="7DE36AC8" w14:textId="0A0FCDE3" w:rsidR="00B6672E" w:rsidRPr="00860E17" w:rsidRDefault="002C50EE" w:rsidP="00936AD0">
      <w:pPr>
        <w:pStyle w:val="Heading2"/>
      </w:pPr>
      <w:r w:rsidRPr="00860E17">
        <w:t xml:space="preserve">5.1. </w:t>
      </w:r>
      <w:proofErr w:type="spellStart"/>
      <w:r w:rsidRPr="00860E17">
        <w:t>Фармакодинамични</w:t>
      </w:r>
      <w:proofErr w:type="spellEnd"/>
      <w:r w:rsidRPr="00860E17">
        <w:t xml:space="preserve"> свойства</w:t>
      </w:r>
    </w:p>
    <w:p w14:paraId="1B5A2F12" w14:textId="6DCC8274" w:rsidR="00FD7418" w:rsidRPr="00860E17" w:rsidRDefault="00FD7418" w:rsidP="00FD7418"/>
    <w:p w14:paraId="7B2465C2" w14:textId="77777777" w:rsidR="00FD7418" w:rsidRPr="00860E17" w:rsidRDefault="00FD7418" w:rsidP="00FD7418">
      <w:pPr>
        <w:spacing w:line="240" w:lineRule="auto"/>
        <w:rPr>
          <w:rFonts w:eastAsia="Times New Roman" w:cs="Arial"/>
          <w:sz w:val="24"/>
          <w:szCs w:val="24"/>
        </w:rPr>
      </w:pPr>
      <w:r w:rsidRPr="00860E17">
        <w:rPr>
          <w:rFonts w:eastAsia="Times New Roman" w:cs="Arial"/>
          <w:color w:val="000000"/>
          <w:lang w:eastAsia="bg-BG"/>
        </w:rPr>
        <w:t xml:space="preserve">Фармакотерапевтична група: </w:t>
      </w:r>
      <w:proofErr w:type="spellStart"/>
      <w:r w:rsidRPr="00860E17">
        <w:rPr>
          <w:rFonts w:eastAsia="Times New Roman" w:cs="Arial"/>
          <w:color w:val="000000"/>
          <w:lang w:eastAsia="bg-BG"/>
        </w:rPr>
        <w:t>психоаналептици</w:t>
      </w:r>
      <w:proofErr w:type="spellEnd"/>
      <w:r w:rsidRPr="00860E17">
        <w:rPr>
          <w:rFonts w:eastAsia="Times New Roman" w:cs="Arial"/>
          <w:color w:val="000000"/>
          <w:lang w:eastAsia="bg-BG"/>
        </w:rPr>
        <w:t xml:space="preserve">, други антидепресанти. АТС код: </w:t>
      </w:r>
      <w:r w:rsidRPr="00860E17">
        <w:rPr>
          <w:rFonts w:eastAsia="Times New Roman" w:cs="Arial"/>
          <w:color w:val="000000"/>
        </w:rPr>
        <w:t>N06AX21</w:t>
      </w:r>
      <w:r w:rsidRPr="00860E17">
        <w:rPr>
          <w:rFonts w:eastAsia="Times New Roman" w:cs="Arial"/>
          <w:color w:val="000000"/>
          <w:lang w:eastAsia="bg-BG"/>
        </w:rPr>
        <w:t>.</w:t>
      </w:r>
    </w:p>
    <w:p w14:paraId="09406557" w14:textId="77777777" w:rsidR="00FD7418" w:rsidRPr="00860E17" w:rsidRDefault="00FD7418" w:rsidP="00FD7418">
      <w:pPr>
        <w:spacing w:line="240" w:lineRule="auto"/>
        <w:rPr>
          <w:rFonts w:eastAsia="Times New Roman" w:cs="Arial"/>
          <w:color w:val="000000"/>
          <w:u w:val="single"/>
          <w:lang w:eastAsia="bg-BG"/>
        </w:rPr>
      </w:pPr>
    </w:p>
    <w:p w14:paraId="3E60BBE3" w14:textId="6428B8A4" w:rsidR="00FD7418" w:rsidRPr="00860E17" w:rsidRDefault="00FD7418" w:rsidP="00FD7418">
      <w:pPr>
        <w:spacing w:line="240" w:lineRule="auto"/>
        <w:rPr>
          <w:rFonts w:eastAsia="Times New Roman" w:cs="Arial"/>
          <w:sz w:val="24"/>
          <w:szCs w:val="24"/>
        </w:rPr>
      </w:pPr>
      <w:r w:rsidRPr="00860E17">
        <w:rPr>
          <w:rFonts w:eastAsia="Times New Roman" w:cs="Arial"/>
          <w:color w:val="000000"/>
          <w:u w:val="single"/>
          <w:lang w:eastAsia="bg-BG"/>
        </w:rPr>
        <w:t>Механизъм на действие</w:t>
      </w:r>
    </w:p>
    <w:p w14:paraId="2014C969" w14:textId="77777777" w:rsidR="00FD7418" w:rsidRPr="00860E17" w:rsidRDefault="00FD7418" w:rsidP="00FD7418">
      <w:pPr>
        <w:spacing w:line="240" w:lineRule="auto"/>
        <w:rPr>
          <w:rFonts w:eastAsia="Times New Roman" w:cs="Arial"/>
          <w:sz w:val="24"/>
          <w:szCs w:val="24"/>
        </w:rPr>
      </w:pPr>
      <w:proofErr w:type="spellStart"/>
      <w:r w:rsidRPr="00860E17">
        <w:rPr>
          <w:rFonts w:eastAsia="Times New Roman" w:cs="Arial"/>
          <w:color w:val="000000"/>
          <w:lang w:eastAsia="bg-BG"/>
        </w:rPr>
        <w:lastRenderedPageBreak/>
        <w:t>Дулоксетин</w:t>
      </w:r>
      <w:proofErr w:type="spellEnd"/>
      <w:r w:rsidRPr="00860E17">
        <w:rPr>
          <w:rFonts w:eastAsia="Times New Roman" w:cs="Arial"/>
          <w:color w:val="000000"/>
          <w:lang w:eastAsia="bg-BG"/>
        </w:rPr>
        <w:t xml:space="preserve"> е комбиниран инхибитор на обратното захващане на </w:t>
      </w:r>
      <w:proofErr w:type="spellStart"/>
      <w:r w:rsidRPr="00860E17">
        <w:rPr>
          <w:rFonts w:eastAsia="Times New Roman" w:cs="Arial"/>
          <w:color w:val="000000"/>
          <w:lang w:eastAsia="bg-BG"/>
        </w:rPr>
        <w:t>серотонин</w:t>
      </w:r>
      <w:proofErr w:type="spellEnd"/>
      <w:r w:rsidRPr="00860E17">
        <w:rPr>
          <w:rFonts w:eastAsia="Times New Roman" w:cs="Arial"/>
          <w:color w:val="000000"/>
          <w:lang w:eastAsia="bg-BG"/>
        </w:rPr>
        <w:t xml:space="preserve"> (5-НТ) и </w:t>
      </w:r>
      <w:proofErr w:type="spellStart"/>
      <w:r w:rsidRPr="00860E17">
        <w:rPr>
          <w:rFonts w:eastAsia="Times New Roman" w:cs="Arial"/>
          <w:color w:val="000000"/>
          <w:lang w:eastAsia="bg-BG"/>
        </w:rPr>
        <w:t>норадреналин</w:t>
      </w:r>
      <w:proofErr w:type="spellEnd"/>
      <w:r w:rsidRPr="00860E17">
        <w:rPr>
          <w:rFonts w:eastAsia="Times New Roman" w:cs="Arial"/>
          <w:color w:val="000000"/>
          <w:lang w:eastAsia="bg-BG"/>
        </w:rPr>
        <w:t xml:space="preserve"> </w:t>
      </w:r>
      <w:r w:rsidRPr="00860E17">
        <w:rPr>
          <w:rFonts w:eastAsia="Times New Roman" w:cs="Arial"/>
          <w:color w:val="000000"/>
        </w:rPr>
        <w:t xml:space="preserve">(NA). </w:t>
      </w:r>
      <w:r w:rsidRPr="00860E17">
        <w:rPr>
          <w:rFonts w:eastAsia="Times New Roman" w:cs="Arial"/>
          <w:color w:val="000000"/>
          <w:lang w:eastAsia="bg-BG"/>
        </w:rPr>
        <w:t xml:space="preserve">Той слабо инхибира обратното захващане на </w:t>
      </w:r>
      <w:proofErr w:type="spellStart"/>
      <w:r w:rsidRPr="00860E17">
        <w:rPr>
          <w:rFonts w:eastAsia="Times New Roman" w:cs="Arial"/>
          <w:color w:val="000000"/>
          <w:lang w:eastAsia="bg-BG"/>
        </w:rPr>
        <w:t>допамина</w:t>
      </w:r>
      <w:proofErr w:type="spellEnd"/>
      <w:r w:rsidRPr="00860E17">
        <w:rPr>
          <w:rFonts w:eastAsia="Times New Roman" w:cs="Arial"/>
          <w:color w:val="000000"/>
          <w:lang w:eastAsia="bg-BG"/>
        </w:rPr>
        <w:t xml:space="preserve">, без значим афинитет към </w:t>
      </w:r>
      <w:proofErr w:type="spellStart"/>
      <w:r w:rsidRPr="00860E17">
        <w:rPr>
          <w:rFonts w:eastAsia="Times New Roman" w:cs="Arial"/>
          <w:color w:val="000000"/>
          <w:lang w:eastAsia="bg-BG"/>
        </w:rPr>
        <w:t>хистаминергичните</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допаминергични</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холинергични</w:t>
      </w:r>
      <w:proofErr w:type="spellEnd"/>
      <w:r w:rsidRPr="00860E17">
        <w:rPr>
          <w:rFonts w:eastAsia="Times New Roman" w:cs="Arial"/>
          <w:color w:val="000000"/>
          <w:lang w:eastAsia="bg-BG"/>
        </w:rPr>
        <w:t xml:space="preserve"> и </w:t>
      </w:r>
      <w:proofErr w:type="spellStart"/>
      <w:r w:rsidRPr="00860E17">
        <w:rPr>
          <w:rFonts w:eastAsia="Times New Roman" w:cs="Arial"/>
          <w:color w:val="000000"/>
          <w:lang w:eastAsia="bg-BG"/>
        </w:rPr>
        <w:t>адренергични</w:t>
      </w:r>
      <w:proofErr w:type="spellEnd"/>
      <w:r w:rsidRPr="00860E17">
        <w:rPr>
          <w:rFonts w:eastAsia="Times New Roman" w:cs="Arial"/>
          <w:color w:val="000000"/>
          <w:lang w:eastAsia="bg-BG"/>
        </w:rPr>
        <w:t xml:space="preserve"> рецептори.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дозо</w:t>
      </w:r>
      <w:proofErr w:type="spellEnd"/>
      <w:r w:rsidRPr="00860E17">
        <w:rPr>
          <w:rFonts w:eastAsia="Times New Roman" w:cs="Arial"/>
          <w:color w:val="000000"/>
          <w:lang w:eastAsia="bg-BG"/>
        </w:rPr>
        <w:t xml:space="preserve">-зависимо повишава </w:t>
      </w:r>
      <w:proofErr w:type="spellStart"/>
      <w:r w:rsidRPr="00860E17">
        <w:rPr>
          <w:rFonts w:eastAsia="Times New Roman" w:cs="Arial"/>
          <w:color w:val="000000"/>
          <w:lang w:eastAsia="bg-BG"/>
        </w:rPr>
        <w:t>екстрацелуларните</w:t>
      </w:r>
      <w:proofErr w:type="spellEnd"/>
      <w:r w:rsidRPr="00860E17">
        <w:rPr>
          <w:rFonts w:eastAsia="Times New Roman" w:cs="Arial"/>
          <w:color w:val="000000"/>
          <w:lang w:eastAsia="bg-BG"/>
        </w:rPr>
        <w:t xml:space="preserve"> нива на </w:t>
      </w:r>
      <w:proofErr w:type="spellStart"/>
      <w:r w:rsidRPr="00860E17">
        <w:rPr>
          <w:rFonts w:eastAsia="Times New Roman" w:cs="Arial"/>
          <w:color w:val="000000"/>
          <w:lang w:eastAsia="bg-BG"/>
        </w:rPr>
        <w:t>серотонина</w:t>
      </w:r>
      <w:proofErr w:type="spellEnd"/>
      <w:r w:rsidRPr="00860E17">
        <w:rPr>
          <w:rFonts w:eastAsia="Times New Roman" w:cs="Arial"/>
          <w:color w:val="000000"/>
          <w:lang w:eastAsia="bg-BG"/>
        </w:rPr>
        <w:t xml:space="preserve"> и </w:t>
      </w:r>
      <w:proofErr w:type="spellStart"/>
      <w:r w:rsidRPr="00860E17">
        <w:rPr>
          <w:rFonts w:eastAsia="Times New Roman" w:cs="Arial"/>
          <w:color w:val="000000"/>
          <w:lang w:eastAsia="bg-BG"/>
        </w:rPr>
        <w:t>норнорадреналин</w:t>
      </w:r>
      <w:proofErr w:type="spellEnd"/>
      <w:r w:rsidRPr="00860E17">
        <w:rPr>
          <w:rFonts w:eastAsia="Times New Roman" w:cs="Arial"/>
          <w:color w:val="000000"/>
          <w:lang w:eastAsia="bg-BG"/>
        </w:rPr>
        <w:t xml:space="preserve"> в различни мозъчни области при животни.</w:t>
      </w:r>
    </w:p>
    <w:p w14:paraId="6F8C424E" w14:textId="77777777" w:rsidR="00FD7418" w:rsidRPr="00860E17" w:rsidRDefault="00FD7418" w:rsidP="00FD7418">
      <w:pPr>
        <w:spacing w:line="240" w:lineRule="auto"/>
        <w:rPr>
          <w:rFonts w:eastAsia="Times New Roman" w:cs="Arial"/>
          <w:color w:val="000000"/>
          <w:u w:val="single"/>
          <w:lang w:eastAsia="bg-BG"/>
        </w:rPr>
      </w:pPr>
    </w:p>
    <w:p w14:paraId="587F81BB" w14:textId="067C7474" w:rsidR="00FD7418" w:rsidRPr="00860E17" w:rsidRDefault="00FD7418" w:rsidP="00FD7418">
      <w:pPr>
        <w:spacing w:line="240" w:lineRule="auto"/>
        <w:rPr>
          <w:rFonts w:eastAsia="Times New Roman" w:cs="Arial"/>
          <w:sz w:val="24"/>
          <w:szCs w:val="24"/>
        </w:rPr>
      </w:pPr>
      <w:proofErr w:type="spellStart"/>
      <w:r w:rsidRPr="00860E17">
        <w:rPr>
          <w:rFonts w:eastAsia="Times New Roman" w:cs="Arial"/>
          <w:color w:val="000000"/>
          <w:u w:val="single"/>
          <w:lang w:eastAsia="bg-BG"/>
        </w:rPr>
        <w:t>Фармакодинамични</w:t>
      </w:r>
      <w:proofErr w:type="spellEnd"/>
      <w:r w:rsidRPr="00860E17">
        <w:rPr>
          <w:rFonts w:eastAsia="Times New Roman" w:cs="Arial"/>
          <w:color w:val="000000"/>
          <w:u w:val="single"/>
          <w:lang w:eastAsia="bg-BG"/>
        </w:rPr>
        <w:t xml:space="preserve"> ефекти</w:t>
      </w:r>
    </w:p>
    <w:p w14:paraId="2EA0D2CE" w14:textId="77777777" w:rsidR="00FD7418" w:rsidRPr="00860E17" w:rsidRDefault="00FD7418" w:rsidP="00FD7418">
      <w:pPr>
        <w:spacing w:line="240" w:lineRule="auto"/>
        <w:rPr>
          <w:rFonts w:eastAsia="Times New Roman" w:cs="Arial"/>
          <w:sz w:val="24"/>
          <w:szCs w:val="24"/>
        </w:rPr>
      </w:pP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нормализира прага на болката при няколко предклинични модела на </w:t>
      </w:r>
      <w:proofErr w:type="spellStart"/>
      <w:r w:rsidRPr="00860E17">
        <w:rPr>
          <w:rFonts w:eastAsia="Times New Roman" w:cs="Arial"/>
          <w:color w:val="000000"/>
          <w:lang w:eastAsia="bg-BG"/>
        </w:rPr>
        <w:t>невропатна</w:t>
      </w:r>
      <w:proofErr w:type="spellEnd"/>
      <w:r w:rsidRPr="00860E17">
        <w:rPr>
          <w:rFonts w:eastAsia="Times New Roman" w:cs="Arial"/>
          <w:color w:val="000000"/>
          <w:lang w:eastAsia="bg-BG"/>
        </w:rPr>
        <w:t xml:space="preserve"> и възпалителна болка и смекчава поведението при болка в модел на персистираща болка. Счита се, че инхибиращото болката действие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е резултат от </w:t>
      </w:r>
      <w:proofErr w:type="spellStart"/>
      <w:r w:rsidRPr="00860E17">
        <w:rPr>
          <w:rFonts w:eastAsia="Times New Roman" w:cs="Arial"/>
          <w:color w:val="000000"/>
          <w:lang w:eastAsia="bg-BG"/>
        </w:rPr>
        <w:t>потенциирането</w:t>
      </w:r>
      <w:proofErr w:type="spellEnd"/>
      <w:r w:rsidRPr="00860E17">
        <w:rPr>
          <w:rFonts w:eastAsia="Times New Roman" w:cs="Arial"/>
          <w:color w:val="000000"/>
          <w:lang w:eastAsia="bg-BG"/>
        </w:rPr>
        <w:t xml:space="preserve"> на </w:t>
      </w:r>
      <w:proofErr w:type="spellStart"/>
      <w:r w:rsidRPr="00860E17">
        <w:rPr>
          <w:rFonts w:eastAsia="Times New Roman" w:cs="Arial"/>
          <w:color w:val="000000"/>
          <w:lang w:eastAsia="bg-BG"/>
        </w:rPr>
        <w:t>десцендентните</w:t>
      </w:r>
      <w:proofErr w:type="spellEnd"/>
      <w:r w:rsidRPr="00860E17">
        <w:rPr>
          <w:rFonts w:eastAsia="Times New Roman" w:cs="Arial"/>
          <w:color w:val="000000"/>
          <w:lang w:eastAsia="bg-BG"/>
        </w:rPr>
        <w:t xml:space="preserve"> </w:t>
      </w:r>
      <w:proofErr w:type="spellStart"/>
      <w:r w:rsidRPr="00860E17">
        <w:rPr>
          <w:rFonts w:eastAsia="Times New Roman" w:cs="Arial"/>
          <w:i/>
          <w:iCs/>
          <w:color w:val="000000"/>
          <w:lang w:eastAsia="bg-BG"/>
        </w:rPr>
        <w:t>инхибиторни</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болкови</w:t>
      </w:r>
      <w:proofErr w:type="spellEnd"/>
      <w:r w:rsidRPr="00860E17">
        <w:rPr>
          <w:rFonts w:eastAsia="Times New Roman" w:cs="Arial"/>
          <w:color w:val="000000"/>
          <w:lang w:eastAsia="bg-BG"/>
        </w:rPr>
        <w:t xml:space="preserve"> пътища на централната нервна система.</w:t>
      </w:r>
    </w:p>
    <w:p w14:paraId="7C416B64" w14:textId="77777777" w:rsidR="00FD7418" w:rsidRPr="00860E17" w:rsidRDefault="00FD7418" w:rsidP="00FD7418">
      <w:pPr>
        <w:spacing w:line="240" w:lineRule="auto"/>
        <w:rPr>
          <w:rFonts w:eastAsia="Times New Roman" w:cs="Arial"/>
          <w:color w:val="000000"/>
          <w:u w:val="single"/>
          <w:lang w:eastAsia="bg-BG"/>
        </w:rPr>
      </w:pPr>
    </w:p>
    <w:p w14:paraId="6AC3E394" w14:textId="72D8A511" w:rsidR="00FD7418" w:rsidRPr="00860E17" w:rsidRDefault="00FD7418" w:rsidP="00FD7418">
      <w:pPr>
        <w:spacing w:line="240" w:lineRule="auto"/>
        <w:rPr>
          <w:rFonts w:eastAsia="Times New Roman" w:cs="Arial"/>
          <w:sz w:val="24"/>
          <w:szCs w:val="24"/>
        </w:rPr>
      </w:pPr>
      <w:r w:rsidRPr="00860E17">
        <w:rPr>
          <w:rFonts w:eastAsia="Times New Roman" w:cs="Arial"/>
          <w:color w:val="000000"/>
          <w:u w:val="single"/>
          <w:lang w:eastAsia="bg-BG"/>
        </w:rPr>
        <w:t>Клинична ефикасност и безопасност</w:t>
      </w:r>
    </w:p>
    <w:p w14:paraId="77FE8E30" w14:textId="77777777" w:rsidR="00FD7418" w:rsidRPr="00860E17" w:rsidRDefault="00FD7418" w:rsidP="00FD7418">
      <w:pPr>
        <w:spacing w:line="240" w:lineRule="auto"/>
        <w:rPr>
          <w:rFonts w:eastAsia="Times New Roman" w:cs="Arial"/>
          <w:sz w:val="24"/>
          <w:szCs w:val="24"/>
        </w:rPr>
      </w:pPr>
      <w:r w:rsidRPr="00860E17">
        <w:rPr>
          <w:rFonts w:eastAsia="Times New Roman" w:cs="Arial"/>
          <w:i/>
          <w:iCs/>
          <w:color w:val="000000"/>
          <w:lang w:eastAsia="bg-BG"/>
        </w:rPr>
        <w:t>Голямо депресивно разстройство:</w:t>
      </w:r>
      <w:r w:rsidRPr="00860E17">
        <w:rPr>
          <w:rFonts w:eastAsia="Times New Roman" w:cs="Arial"/>
          <w:color w:val="000000"/>
          <w:lang w:eastAsia="bg-BG"/>
        </w:rPr>
        <w:t xml:space="preserve">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е изучаван в клинични програми, включващи 3 158 пациенти (експозиция от 1 285 </w:t>
      </w:r>
      <w:proofErr w:type="spellStart"/>
      <w:r w:rsidRPr="00860E17">
        <w:rPr>
          <w:rFonts w:eastAsia="Times New Roman" w:cs="Arial"/>
          <w:color w:val="000000"/>
          <w:lang w:eastAsia="bg-BG"/>
        </w:rPr>
        <w:t>пациенто</w:t>
      </w:r>
      <w:proofErr w:type="spellEnd"/>
      <w:r w:rsidRPr="00860E17">
        <w:rPr>
          <w:rFonts w:eastAsia="Times New Roman" w:cs="Arial"/>
          <w:color w:val="000000"/>
          <w:lang w:eastAsia="bg-BG"/>
        </w:rPr>
        <w:t xml:space="preserve">-години) отговарящи на </w:t>
      </w:r>
      <w:r w:rsidRPr="00860E17">
        <w:rPr>
          <w:rFonts w:eastAsia="Times New Roman" w:cs="Arial"/>
          <w:color w:val="000000"/>
        </w:rPr>
        <w:t xml:space="preserve">DMS-IV </w:t>
      </w:r>
      <w:r w:rsidRPr="00860E17">
        <w:rPr>
          <w:rFonts w:eastAsia="Times New Roman" w:cs="Arial"/>
          <w:color w:val="000000"/>
          <w:lang w:eastAsia="bg-BG"/>
        </w:rPr>
        <w:t xml:space="preserve">критериите за голяма депресия. Ефикасността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при препоръчителна дневна доза 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веднъж дневно е показана при три от трите рандомизирани, двойно-слепи, плацебо контролирани, с фиксирана доза проучвания в остра фаза при възрастни амбулаторни пациенти с голям депресивен епизод. Общо, ефикасността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е демонстрирана при дневна доза между 60 и 120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в общо пет от седемте рандомизирани, двойно-слепи, плацебо контролирани, с фиксирана доза проучвания в остра фаза при възрастни амбулаторни пациенти с голям депресивен епизод.</w:t>
      </w:r>
    </w:p>
    <w:p w14:paraId="7BA1B714" w14:textId="77777777" w:rsidR="00FD7418" w:rsidRPr="00860E17" w:rsidRDefault="00FD7418" w:rsidP="00FD7418">
      <w:pPr>
        <w:spacing w:line="240" w:lineRule="auto"/>
        <w:rPr>
          <w:rFonts w:eastAsia="Times New Roman" w:cs="Arial"/>
          <w:sz w:val="24"/>
          <w:szCs w:val="24"/>
        </w:rPr>
      </w:pP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показа статистическо предимство спрямо плацебо, проследено чрез подобрение на общия резултат по 17 точковата </w:t>
      </w:r>
      <w:proofErr w:type="spellStart"/>
      <w:r w:rsidRPr="00860E17">
        <w:rPr>
          <w:rFonts w:eastAsia="Times New Roman" w:cs="Arial"/>
          <w:color w:val="000000"/>
        </w:rPr>
        <w:t>Hamilton</w:t>
      </w:r>
      <w:proofErr w:type="spellEnd"/>
      <w:r w:rsidRPr="00860E17">
        <w:rPr>
          <w:rFonts w:eastAsia="Times New Roman" w:cs="Arial"/>
          <w:color w:val="000000"/>
        </w:rPr>
        <w:t xml:space="preserve"> </w:t>
      </w:r>
      <w:proofErr w:type="spellStart"/>
      <w:r w:rsidRPr="00860E17">
        <w:rPr>
          <w:rFonts w:eastAsia="Times New Roman" w:cs="Arial"/>
          <w:color w:val="000000"/>
        </w:rPr>
        <w:t>Depression</w:t>
      </w:r>
      <w:proofErr w:type="spellEnd"/>
      <w:r w:rsidRPr="00860E17">
        <w:rPr>
          <w:rFonts w:eastAsia="Times New Roman" w:cs="Arial"/>
          <w:color w:val="000000"/>
        </w:rPr>
        <w:t xml:space="preserve"> </w:t>
      </w:r>
      <w:proofErr w:type="spellStart"/>
      <w:r w:rsidRPr="00860E17">
        <w:rPr>
          <w:rFonts w:eastAsia="Times New Roman" w:cs="Arial"/>
          <w:color w:val="000000"/>
        </w:rPr>
        <w:t>Rating</w:t>
      </w:r>
      <w:proofErr w:type="spellEnd"/>
      <w:r w:rsidRPr="00860E17">
        <w:rPr>
          <w:rFonts w:eastAsia="Times New Roman" w:cs="Arial"/>
          <w:color w:val="000000"/>
        </w:rPr>
        <w:t xml:space="preserve"> </w:t>
      </w:r>
      <w:proofErr w:type="spellStart"/>
      <w:r w:rsidRPr="00860E17">
        <w:rPr>
          <w:rFonts w:eastAsia="Times New Roman" w:cs="Arial"/>
          <w:color w:val="000000"/>
        </w:rPr>
        <w:t>Scale</w:t>
      </w:r>
      <w:proofErr w:type="spellEnd"/>
      <w:r w:rsidRPr="00860E17">
        <w:rPr>
          <w:rFonts w:eastAsia="Times New Roman" w:cs="Arial"/>
          <w:color w:val="000000"/>
        </w:rPr>
        <w:t xml:space="preserve"> (HAM-D) </w:t>
      </w:r>
      <w:r w:rsidRPr="00860E17">
        <w:rPr>
          <w:rFonts w:eastAsia="Times New Roman" w:cs="Arial"/>
          <w:color w:val="000000"/>
          <w:lang w:eastAsia="bg-BG"/>
        </w:rPr>
        <w:t xml:space="preserve">(включително и на емоционалните, и на соматичните симптоми на депресия). Степента на отговор и ремисия са също статистически значимо по-високи при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в сравнение с плацебо. Само малка част от пациенти включени в пилотни клинични проучвания са били с тежка депресия (изходно ниво </w:t>
      </w:r>
      <w:r w:rsidRPr="00860E17">
        <w:rPr>
          <w:rFonts w:eastAsia="Times New Roman" w:cs="Arial"/>
          <w:color w:val="000000"/>
        </w:rPr>
        <w:t>HAM-D&gt;25).</w:t>
      </w:r>
    </w:p>
    <w:p w14:paraId="05F96CFC" w14:textId="77777777" w:rsidR="00FD7418" w:rsidRPr="00860E17" w:rsidRDefault="00FD7418" w:rsidP="00FD7418">
      <w:pPr>
        <w:spacing w:line="240" w:lineRule="auto"/>
        <w:rPr>
          <w:rFonts w:eastAsia="Times New Roman" w:cs="Arial"/>
          <w:sz w:val="24"/>
          <w:szCs w:val="24"/>
        </w:rPr>
      </w:pPr>
    </w:p>
    <w:p w14:paraId="3F7D9700" w14:textId="77777777" w:rsidR="00FD7418" w:rsidRPr="00860E17" w:rsidRDefault="00FD7418" w:rsidP="00FD7418">
      <w:pPr>
        <w:rPr>
          <w:rFonts w:eastAsia="Times New Roman" w:cs="Arial"/>
          <w:sz w:val="24"/>
          <w:szCs w:val="24"/>
        </w:rPr>
      </w:pPr>
      <w:r w:rsidRPr="00860E17">
        <w:rPr>
          <w:rFonts w:eastAsia="Times New Roman" w:cs="Arial"/>
          <w:color w:val="000000"/>
          <w:lang w:eastAsia="bg-BG"/>
        </w:rPr>
        <w:t xml:space="preserve">В проучване за предотвратяване на рецидив, пациентите, повлияли се от 12-седмичено открито, интензивно лечение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веднъж дневно, са рандомизирани или на </w:t>
      </w:r>
      <w:proofErr w:type="spellStart"/>
      <w:r w:rsidRPr="00860E17">
        <w:rPr>
          <w:rFonts w:eastAsia="Times New Roman" w:cs="Arial"/>
          <w:color w:val="000000"/>
          <w:lang w:eastAsia="bg-BG"/>
        </w:rPr>
        <w:t>дулоксатин</w:t>
      </w:r>
      <w:proofErr w:type="spellEnd"/>
      <w:r w:rsidRPr="00860E17">
        <w:rPr>
          <w:rFonts w:eastAsia="Times New Roman" w:cs="Arial"/>
          <w:color w:val="000000"/>
          <w:lang w:eastAsia="bg-BG"/>
        </w:rPr>
        <w:t xml:space="preserve"> 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веднъж дневно или на плацебо за още 6 месеца. Прилагането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веднъж дневно показа статистическо значимо предимство в сравнение с плацебо (р=0,004), по отношение на измерването за първичен изход, профилактиката на рецидив на депресия, измерена чрез времето до рецидива. Честотата на рецидивите по време на 6-месечния двойно- сляп период на проследяване е 17% и 29%, съответно, за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и за плацебо.</w:t>
      </w:r>
    </w:p>
    <w:p w14:paraId="18F2B8D4" w14:textId="77777777" w:rsidR="00FD7418" w:rsidRPr="00860E17" w:rsidRDefault="00FD7418" w:rsidP="00FD7418">
      <w:pPr>
        <w:spacing w:line="240" w:lineRule="auto"/>
        <w:rPr>
          <w:rFonts w:eastAsia="Times New Roman" w:cs="Arial"/>
          <w:color w:val="000000"/>
          <w:lang w:eastAsia="bg-BG"/>
        </w:rPr>
      </w:pPr>
    </w:p>
    <w:p w14:paraId="5016A7CD" w14:textId="4D8596B0" w:rsidR="00FD7418" w:rsidRPr="00860E17" w:rsidRDefault="00FD7418" w:rsidP="00FD7418">
      <w:pPr>
        <w:spacing w:line="240" w:lineRule="auto"/>
        <w:rPr>
          <w:rFonts w:eastAsia="Times New Roman" w:cs="Arial"/>
          <w:sz w:val="24"/>
          <w:szCs w:val="24"/>
        </w:rPr>
      </w:pPr>
      <w:r w:rsidRPr="00860E17">
        <w:rPr>
          <w:rFonts w:eastAsia="Times New Roman" w:cs="Arial"/>
          <w:color w:val="000000"/>
          <w:lang w:eastAsia="bg-BG"/>
        </w:rPr>
        <w:t xml:space="preserve">По време на 52-седмичното плацебо контролирано двойно-сляпо лечение, лекуваните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пациенти с рецидив на голямо депресивно разстройство имат </w:t>
      </w:r>
      <w:proofErr w:type="spellStart"/>
      <w:r w:rsidRPr="00860E17">
        <w:rPr>
          <w:rFonts w:eastAsia="Times New Roman" w:cs="Arial"/>
          <w:color w:val="000000"/>
          <w:lang w:eastAsia="bg-BG"/>
        </w:rPr>
        <w:t>сигнификантно</w:t>
      </w:r>
      <w:proofErr w:type="spellEnd"/>
      <w:r w:rsidRPr="00860E17">
        <w:rPr>
          <w:rFonts w:eastAsia="Times New Roman" w:cs="Arial"/>
          <w:color w:val="000000"/>
          <w:lang w:eastAsia="bg-BG"/>
        </w:rPr>
        <w:t xml:space="preserve"> по- дълъг безсимптомен период (р&lt;0,001) в сравнение с пациентите, рандомизирани на плацебо. Всички пациенти предварително са се повлияли от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по време на отворено лечение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(28 до 34 седмици) при доза от 60 до 120 </w:t>
      </w:r>
      <w:proofErr w:type="spellStart"/>
      <w:r w:rsidRPr="00860E17">
        <w:rPr>
          <w:rFonts w:eastAsia="Times New Roman" w:cs="Arial"/>
          <w:color w:val="000000"/>
        </w:rPr>
        <w:t>mg</w:t>
      </w:r>
      <w:proofErr w:type="spellEnd"/>
      <w:r w:rsidRPr="00860E17">
        <w:rPr>
          <w:rFonts w:eastAsia="Times New Roman" w:cs="Arial"/>
          <w:color w:val="000000"/>
          <w:lang w:eastAsia="bg-BG"/>
        </w:rPr>
        <w:t xml:space="preserve">/дневно. По време на 52-седмичната плацебо контролирана двойно-сляпа фаза на лечение 14,4% от пациентите, лекувани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и 33,1 % от пациентите, третирани с плацебо, преживяват повторна поява на симптоми на депресия (р&lt;0,001).</w:t>
      </w:r>
    </w:p>
    <w:p w14:paraId="26678D97" w14:textId="77777777" w:rsidR="00FD7418" w:rsidRPr="00860E17" w:rsidRDefault="00FD7418" w:rsidP="00FD7418">
      <w:pPr>
        <w:spacing w:line="240" w:lineRule="auto"/>
        <w:rPr>
          <w:rFonts w:eastAsia="Times New Roman" w:cs="Arial"/>
          <w:color w:val="000000"/>
          <w:lang w:eastAsia="bg-BG"/>
        </w:rPr>
      </w:pPr>
    </w:p>
    <w:p w14:paraId="10304449" w14:textId="32A95D28" w:rsidR="00FD7418" w:rsidRPr="00860E17" w:rsidRDefault="00FD7418" w:rsidP="00FD7418">
      <w:pPr>
        <w:spacing w:line="240" w:lineRule="auto"/>
        <w:rPr>
          <w:rFonts w:eastAsia="Times New Roman" w:cs="Arial"/>
          <w:sz w:val="24"/>
          <w:szCs w:val="24"/>
        </w:rPr>
      </w:pPr>
      <w:r w:rsidRPr="00860E17">
        <w:rPr>
          <w:rFonts w:eastAsia="Times New Roman" w:cs="Arial"/>
          <w:color w:val="000000"/>
          <w:lang w:eastAsia="bg-BG"/>
        </w:rPr>
        <w:t xml:space="preserve">Ефектът от прилагането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веднъж дневно при пациенти с депресия в старческа възраст (≥65 години) е оценен специфично в проучване, показващо </w:t>
      </w:r>
      <w:r w:rsidRPr="00860E17">
        <w:rPr>
          <w:rFonts w:eastAsia="Times New Roman" w:cs="Arial"/>
          <w:color w:val="000000"/>
          <w:lang w:eastAsia="bg-BG"/>
        </w:rPr>
        <w:lastRenderedPageBreak/>
        <w:t xml:space="preserve">статистически значима разлика в намаляването на </w:t>
      </w:r>
      <w:r w:rsidRPr="00860E17">
        <w:rPr>
          <w:rFonts w:eastAsia="Times New Roman" w:cs="Arial"/>
          <w:color w:val="000000"/>
        </w:rPr>
        <w:t xml:space="preserve">HAMD17 </w:t>
      </w:r>
      <w:r w:rsidRPr="00860E17">
        <w:rPr>
          <w:rFonts w:eastAsia="Times New Roman" w:cs="Arial"/>
          <w:color w:val="000000"/>
          <w:lang w:eastAsia="bg-BG"/>
        </w:rPr>
        <w:t xml:space="preserve">резултата за пациентите, лекувани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в сравнение с плацебо. </w:t>
      </w:r>
      <w:proofErr w:type="spellStart"/>
      <w:r w:rsidRPr="00860E17">
        <w:rPr>
          <w:rFonts w:eastAsia="Times New Roman" w:cs="Arial"/>
          <w:color w:val="000000"/>
          <w:lang w:eastAsia="bg-BG"/>
        </w:rPr>
        <w:t>Поносимостга</w:t>
      </w:r>
      <w:proofErr w:type="spellEnd"/>
      <w:r w:rsidRPr="00860E17">
        <w:rPr>
          <w:rFonts w:eastAsia="Times New Roman" w:cs="Arial"/>
          <w:color w:val="000000"/>
          <w:lang w:eastAsia="bg-BG"/>
        </w:rPr>
        <w:t xml:space="preserve">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веднъж дневно при пациенти в старческа възраст е сравнима с тази, наблюдавана при по-млади възрастни пациенти. Обаче данните за пациенти изложени на максималната доза (120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дневно) са ограничени и затова се препоръчва повишено внимание при лечение на тази популация.</w:t>
      </w:r>
    </w:p>
    <w:p w14:paraId="07993055" w14:textId="77777777" w:rsidR="00FD7418" w:rsidRPr="00860E17" w:rsidRDefault="00FD7418" w:rsidP="00FD7418">
      <w:pPr>
        <w:spacing w:line="240" w:lineRule="auto"/>
        <w:rPr>
          <w:rFonts w:eastAsia="Times New Roman" w:cs="Arial"/>
          <w:i/>
          <w:iCs/>
          <w:color w:val="000000"/>
          <w:lang w:eastAsia="bg-BG"/>
        </w:rPr>
      </w:pPr>
    </w:p>
    <w:p w14:paraId="26B84BB5" w14:textId="6DAFAD53" w:rsidR="00FD7418" w:rsidRPr="00860E17" w:rsidRDefault="00FD7418" w:rsidP="00FD7418">
      <w:pPr>
        <w:spacing w:line="240" w:lineRule="auto"/>
        <w:rPr>
          <w:rFonts w:eastAsia="Times New Roman" w:cs="Arial"/>
          <w:sz w:val="24"/>
          <w:szCs w:val="24"/>
        </w:rPr>
      </w:pPr>
      <w:r w:rsidRPr="00860E17">
        <w:rPr>
          <w:rFonts w:eastAsia="Times New Roman" w:cs="Arial"/>
          <w:i/>
          <w:iCs/>
          <w:color w:val="000000"/>
          <w:lang w:eastAsia="bg-BG"/>
        </w:rPr>
        <w:t>Генерализирано тревожно разстройство:</w:t>
      </w:r>
      <w:r w:rsidRPr="00860E17">
        <w:rPr>
          <w:rFonts w:eastAsia="Times New Roman" w:cs="Arial"/>
          <w:color w:val="000000"/>
          <w:lang w:eastAsia="bg-BG"/>
        </w:rPr>
        <w:t xml:space="preserve">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показа статистически значимо предимство спрямо плацебо при пет от пет проучвания, </w:t>
      </w:r>
      <w:proofErr w:type="spellStart"/>
      <w:r w:rsidRPr="00860E17">
        <w:rPr>
          <w:rFonts w:eastAsia="Times New Roman" w:cs="Arial"/>
          <w:color w:val="000000"/>
          <w:lang w:eastAsia="bg-BG"/>
        </w:rPr>
        <w:t>включащи</w:t>
      </w:r>
      <w:proofErr w:type="spellEnd"/>
      <w:r w:rsidRPr="00860E17">
        <w:rPr>
          <w:rFonts w:eastAsia="Times New Roman" w:cs="Arial"/>
          <w:color w:val="000000"/>
          <w:lang w:eastAsia="bg-BG"/>
        </w:rPr>
        <w:t xml:space="preserve"> четири рандомизирани, двойно- слепи, плацебо контролирани интензивни проучвания и проучване за профилактика на рецидив при възрастни с генерализирано тревожно разстройство.</w:t>
      </w:r>
    </w:p>
    <w:p w14:paraId="073D3886" w14:textId="77777777" w:rsidR="00FD7418" w:rsidRPr="00860E17" w:rsidRDefault="00FD7418" w:rsidP="00FD7418">
      <w:pPr>
        <w:spacing w:line="240" w:lineRule="auto"/>
        <w:rPr>
          <w:rFonts w:eastAsia="Times New Roman" w:cs="Arial"/>
          <w:sz w:val="24"/>
          <w:szCs w:val="24"/>
        </w:rPr>
      </w:pP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показа статистически значимо предимство спрямо плацебо, измерено чрез подобрение на общия резултат по скала за тревожност на </w:t>
      </w:r>
      <w:proofErr w:type="spellStart"/>
      <w:r w:rsidRPr="00860E17">
        <w:rPr>
          <w:rFonts w:eastAsia="Times New Roman" w:cs="Arial"/>
          <w:color w:val="000000"/>
        </w:rPr>
        <w:t>Hamilton</w:t>
      </w:r>
      <w:proofErr w:type="spellEnd"/>
      <w:r w:rsidRPr="00860E17">
        <w:rPr>
          <w:rFonts w:eastAsia="Times New Roman" w:cs="Arial"/>
          <w:color w:val="000000"/>
        </w:rPr>
        <w:t xml:space="preserve"> (</w:t>
      </w:r>
      <w:proofErr w:type="spellStart"/>
      <w:r w:rsidRPr="00860E17">
        <w:rPr>
          <w:rFonts w:eastAsia="Times New Roman" w:cs="Arial"/>
          <w:color w:val="000000"/>
        </w:rPr>
        <w:t>Hamilton</w:t>
      </w:r>
      <w:proofErr w:type="spellEnd"/>
      <w:r w:rsidRPr="00860E17">
        <w:rPr>
          <w:rFonts w:eastAsia="Times New Roman" w:cs="Arial"/>
          <w:color w:val="000000"/>
        </w:rPr>
        <w:t xml:space="preserve"> </w:t>
      </w:r>
      <w:proofErr w:type="spellStart"/>
      <w:r w:rsidRPr="00860E17">
        <w:rPr>
          <w:rFonts w:eastAsia="Times New Roman" w:cs="Arial"/>
          <w:color w:val="000000"/>
        </w:rPr>
        <w:t>Anxiety</w:t>
      </w:r>
      <w:proofErr w:type="spellEnd"/>
      <w:r w:rsidRPr="00860E17">
        <w:rPr>
          <w:rFonts w:eastAsia="Times New Roman" w:cs="Arial"/>
          <w:color w:val="000000"/>
        </w:rPr>
        <w:t xml:space="preserve"> </w:t>
      </w:r>
      <w:proofErr w:type="spellStart"/>
      <w:r w:rsidRPr="00860E17">
        <w:rPr>
          <w:rFonts w:eastAsia="Times New Roman" w:cs="Arial"/>
          <w:color w:val="000000"/>
        </w:rPr>
        <w:t>Scale</w:t>
      </w:r>
      <w:proofErr w:type="spellEnd"/>
      <w:r w:rsidRPr="00860E17">
        <w:rPr>
          <w:rFonts w:eastAsia="Times New Roman" w:cs="Arial"/>
          <w:color w:val="000000"/>
        </w:rPr>
        <w:t xml:space="preserve"> </w:t>
      </w:r>
      <w:r w:rsidRPr="00860E17">
        <w:rPr>
          <w:rFonts w:eastAsia="Times New Roman" w:cs="Arial"/>
          <w:color w:val="000000"/>
          <w:lang w:eastAsia="bg-BG"/>
        </w:rPr>
        <w:t xml:space="preserve">(НАМ-А)) и резултата за общо функционално разстройство по скала за инвалидност на </w:t>
      </w:r>
      <w:proofErr w:type="spellStart"/>
      <w:r w:rsidRPr="00860E17">
        <w:rPr>
          <w:rFonts w:eastAsia="Times New Roman" w:cs="Arial"/>
          <w:color w:val="000000"/>
        </w:rPr>
        <w:t>Sheehan</w:t>
      </w:r>
      <w:proofErr w:type="spellEnd"/>
      <w:r w:rsidRPr="00860E17">
        <w:rPr>
          <w:rFonts w:eastAsia="Times New Roman" w:cs="Arial"/>
          <w:color w:val="000000"/>
        </w:rPr>
        <w:t xml:space="preserve"> (</w:t>
      </w:r>
      <w:proofErr w:type="spellStart"/>
      <w:r w:rsidRPr="00860E17">
        <w:rPr>
          <w:rFonts w:eastAsia="Times New Roman" w:cs="Arial"/>
          <w:color w:val="000000"/>
        </w:rPr>
        <w:t>Sheehan</w:t>
      </w:r>
      <w:proofErr w:type="spellEnd"/>
      <w:r w:rsidRPr="00860E17">
        <w:rPr>
          <w:rFonts w:eastAsia="Times New Roman" w:cs="Arial"/>
          <w:color w:val="000000"/>
        </w:rPr>
        <w:t xml:space="preserve"> </w:t>
      </w:r>
      <w:proofErr w:type="spellStart"/>
      <w:r w:rsidRPr="00860E17">
        <w:rPr>
          <w:rFonts w:eastAsia="Times New Roman" w:cs="Arial"/>
          <w:color w:val="000000"/>
        </w:rPr>
        <w:t>Disability</w:t>
      </w:r>
      <w:proofErr w:type="spellEnd"/>
      <w:r w:rsidRPr="00860E17">
        <w:rPr>
          <w:rFonts w:eastAsia="Times New Roman" w:cs="Arial"/>
          <w:color w:val="000000"/>
        </w:rPr>
        <w:t xml:space="preserve"> </w:t>
      </w:r>
      <w:proofErr w:type="spellStart"/>
      <w:r w:rsidRPr="00860E17">
        <w:rPr>
          <w:rFonts w:eastAsia="Times New Roman" w:cs="Arial"/>
          <w:color w:val="000000"/>
        </w:rPr>
        <w:t>Scale</w:t>
      </w:r>
      <w:proofErr w:type="spellEnd"/>
      <w:r w:rsidRPr="00860E17">
        <w:rPr>
          <w:rFonts w:eastAsia="Times New Roman" w:cs="Arial"/>
          <w:color w:val="000000"/>
        </w:rPr>
        <w:t xml:space="preserve"> (SDS)). </w:t>
      </w:r>
      <w:r w:rsidRPr="00860E17">
        <w:rPr>
          <w:rFonts w:eastAsia="Times New Roman" w:cs="Arial"/>
          <w:color w:val="000000"/>
          <w:lang w:eastAsia="bg-BG"/>
        </w:rPr>
        <w:t xml:space="preserve">Степените на повлияване и ремисия са също по-високи при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в сравнение с плацебо.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показва сравними резултати за ефикасност с тези на </w:t>
      </w:r>
      <w:proofErr w:type="spellStart"/>
      <w:r w:rsidRPr="00860E17">
        <w:rPr>
          <w:rFonts w:eastAsia="Times New Roman" w:cs="Arial"/>
          <w:color w:val="000000"/>
          <w:lang w:eastAsia="bg-BG"/>
        </w:rPr>
        <w:t>венлафаксин</w:t>
      </w:r>
      <w:proofErr w:type="spellEnd"/>
      <w:r w:rsidRPr="00860E17">
        <w:rPr>
          <w:rFonts w:eastAsia="Times New Roman" w:cs="Arial"/>
          <w:color w:val="000000"/>
          <w:lang w:eastAsia="bg-BG"/>
        </w:rPr>
        <w:t xml:space="preserve"> от гледна точка подобрение на общия резултат по НАМ-А.</w:t>
      </w:r>
    </w:p>
    <w:p w14:paraId="1A610CB7" w14:textId="77777777" w:rsidR="00FD7418" w:rsidRPr="00860E17" w:rsidRDefault="00FD7418" w:rsidP="00FD7418">
      <w:pPr>
        <w:spacing w:line="240" w:lineRule="auto"/>
        <w:rPr>
          <w:rFonts w:eastAsia="Times New Roman" w:cs="Arial"/>
          <w:color w:val="000000"/>
          <w:lang w:eastAsia="bg-BG"/>
        </w:rPr>
      </w:pPr>
    </w:p>
    <w:p w14:paraId="52AE1105" w14:textId="1ADFE501" w:rsidR="00FD7418" w:rsidRPr="00860E17" w:rsidRDefault="00FD7418" w:rsidP="00FD7418">
      <w:pPr>
        <w:spacing w:line="240" w:lineRule="auto"/>
        <w:rPr>
          <w:rFonts w:eastAsia="Times New Roman" w:cs="Arial"/>
          <w:sz w:val="24"/>
          <w:szCs w:val="24"/>
        </w:rPr>
      </w:pPr>
      <w:r w:rsidRPr="00860E17">
        <w:rPr>
          <w:rFonts w:eastAsia="Times New Roman" w:cs="Arial"/>
          <w:color w:val="000000"/>
          <w:lang w:eastAsia="bg-BG"/>
        </w:rPr>
        <w:t xml:space="preserve">При проучване за профилактика на рецидив пациентите, повлияващи се от 6-месечно интензивно открито лечение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са рандомизирани да получават или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или плацебо за последващите 6 месеца.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до 120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веднъж дневно показва статистически значимо предимство в сравнение с плацебо (р &lt; 0,001) при профилактиката на рецидив, измерено чрез времето до поява на рецидив. Честотата на рецидив през 6-месечния период на последващото двойно-сляпо проследяване е 14% при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и 42% при плацебо.</w:t>
      </w:r>
    </w:p>
    <w:p w14:paraId="3F5021F3" w14:textId="77777777" w:rsidR="00FD7418" w:rsidRPr="00860E17" w:rsidRDefault="00FD7418" w:rsidP="00FD7418">
      <w:pPr>
        <w:spacing w:line="240" w:lineRule="auto"/>
        <w:rPr>
          <w:rFonts w:eastAsia="Times New Roman" w:cs="Arial"/>
          <w:color w:val="000000"/>
          <w:lang w:eastAsia="bg-BG"/>
        </w:rPr>
      </w:pPr>
    </w:p>
    <w:p w14:paraId="7ACFCA53" w14:textId="1831888C" w:rsidR="00FD7418" w:rsidRPr="00860E17" w:rsidRDefault="00FD7418" w:rsidP="00FD7418">
      <w:pPr>
        <w:spacing w:line="240" w:lineRule="auto"/>
        <w:rPr>
          <w:rFonts w:eastAsia="Times New Roman" w:cs="Arial"/>
          <w:sz w:val="24"/>
          <w:szCs w:val="24"/>
        </w:rPr>
      </w:pPr>
      <w:r w:rsidRPr="00860E17">
        <w:rPr>
          <w:rFonts w:eastAsia="Times New Roman" w:cs="Arial"/>
          <w:color w:val="000000"/>
          <w:lang w:eastAsia="bg-BG"/>
        </w:rPr>
        <w:t xml:space="preserve">Ефикасността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30-120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(гъвкаво дозиране) веднъж дневно при пациенти в старческа възраст (&gt;65 години) с генерализирано тревожно разстройство е оценена в едно проучване, което показва статистически значимо подобрение в общия резултат за НАМ-А за пациентите, лекувани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в сравнение с пациентите, получаващи плацебо. Ефикасността и безопасността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30-120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веднъж дневно при пациенти в старческа възраст с генерализирано тревожно разстройство са подобни на наблюдаваните в проучвания при по-млади възрастни пациенти. Въпреки това данните за пациенти в старческа възраст, изложени на максималната доза (120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дневно), са ограничени и по този начин се препоръчва повишено внимание при използването на тази доза при популацията в старческа възраст.</w:t>
      </w:r>
    </w:p>
    <w:p w14:paraId="1091C65F" w14:textId="77777777" w:rsidR="00FD7418" w:rsidRPr="00860E17" w:rsidRDefault="00FD7418" w:rsidP="00FD7418">
      <w:pPr>
        <w:spacing w:line="240" w:lineRule="auto"/>
        <w:rPr>
          <w:rFonts w:eastAsia="Times New Roman" w:cs="Arial"/>
          <w:sz w:val="24"/>
          <w:szCs w:val="24"/>
        </w:rPr>
      </w:pPr>
    </w:p>
    <w:p w14:paraId="18F7161E" w14:textId="77777777" w:rsidR="00FD7418" w:rsidRPr="00860E17" w:rsidRDefault="00FD7418" w:rsidP="00FD7418">
      <w:pPr>
        <w:rPr>
          <w:rFonts w:eastAsia="Times New Roman" w:cs="Arial"/>
          <w:sz w:val="24"/>
          <w:szCs w:val="24"/>
        </w:rPr>
      </w:pPr>
      <w:r w:rsidRPr="00860E17">
        <w:rPr>
          <w:rFonts w:eastAsia="Times New Roman" w:cs="Arial"/>
          <w:i/>
          <w:iCs/>
          <w:color w:val="000000"/>
          <w:lang w:eastAsia="bg-BG"/>
        </w:rPr>
        <w:t xml:space="preserve">Диабетна периферна </w:t>
      </w:r>
      <w:proofErr w:type="spellStart"/>
      <w:r w:rsidRPr="00860E17">
        <w:rPr>
          <w:rFonts w:eastAsia="Times New Roman" w:cs="Arial"/>
          <w:i/>
          <w:iCs/>
          <w:color w:val="000000"/>
          <w:lang w:eastAsia="bg-BG"/>
        </w:rPr>
        <w:t>невропатна</w:t>
      </w:r>
      <w:proofErr w:type="spellEnd"/>
      <w:r w:rsidRPr="00860E17">
        <w:rPr>
          <w:rFonts w:eastAsia="Times New Roman" w:cs="Arial"/>
          <w:i/>
          <w:iCs/>
          <w:color w:val="000000"/>
          <w:lang w:eastAsia="bg-BG"/>
        </w:rPr>
        <w:t xml:space="preserve"> болка:</w:t>
      </w:r>
      <w:r w:rsidRPr="00860E17">
        <w:rPr>
          <w:rFonts w:eastAsia="Times New Roman" w:cs="Arial"/>
          <w:color w:val="000000"/>
          <w:lang w:eastAsia="bg-BG"/>
        </w:rPr>
        <w:t xml:space="preserve"> ефикасността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за лечение на диабетна </w:t>
      </w:r>
      <w:proofErr w:type="spellStart"/>
      <w:r w:rsidRPr="00860E17">
        <w:rPr>
          <w:rFonts w:eastAsia="Times New Roman" w:cs="Arial"/>
          <w:color w:val="000000"/>
          <w:lang w:eastAsia="bg-BG"/>
        </w:rPr>
        <w:t>невропатна</w:t>
      </w:r>
      <w:proofErr w:type="spellEnd"/>
      <w:r w:rsidRPr="00860E17">
        <w:rPr>
          <w:rFonts w:eastAsia="Times New Roman" w:cs="Arial"/>
          <w:color w:val="000000"/>
          <w:lang w:eastAsia="bg-BG"/>
        </w:rPr>
        <w:t xml:space="preserve"> болка е установена при 2 рандомизирани, 12-седмични, двойно-слепи плацебо контролирани, проучвания с фиксирана доза при възрастни (22 до 88-годишни) с диабетна </w:t>
      </w:r>
      <w:proofErr w:type="spellStart"/>
      <w:r w:rsidRPr="00860E17">
        <w:rPr>
          <w:rFonts w:eastAsia="Times New Roman" w:cs="Arial"/>
          <w:color w:val="000000"/>
          <w:lang w:eastAsia="bg-BG"/>
        </w:rPr>
        <w:t>невропатна</w:t>
      </w:r>
      <w:proofErr w:type="spellEnd"/>
      <w:r w:rsidRPr="00860E17">
        <w:rPr>
          <w:rFonts w:eastAsia="Times New Roman" w:cs="Arial"/>
          <w:color w:val="000000"/>
          <w:lang w:eastAsia="bg-BG"/>
        </w:rPr>
        <w:t xml:space="preserve"> болка в продължение поне на 6 месеца. Пациентите, отговарящи на критериите за голямо депресивно разстройство, са изключени от тези проучвания. Измерител на първичния изход е седмичната средна стойност на 24-часовата болка, която е отразявана в ежедневен дневник на пациентите по 11-точковата скала на </w:t>
      </w:r>
      <w:proofErr w:type="spellStart"/>
      <w:r w:rsidRPr="00860E17">
        <w:rPr>
          <w:rFonts w:eastAsia="Times New Roman" w:cs="Arial"/>
          <w:color w:val="000000"/>
        </w:rPr>
        <w:t>Likert</w:t>
      </w:r>
      <w:proofErr w:type="spellEnd"/>
      <w:r w:rsidRPr="00860E17">
        <w:rPr>
          <w:rFonts w:eastAsia="Times New Roman" w:cs="Arial"/>
          <w:color w:val="000000"/>
        </w:rPr>
        <w:t>.</w:t>
      </w:r>
    </w:p>
    <w:p w14:paraId="5F49ADA3" w14:textId="77777777" w:rsidR="00FD7418" w:rsidRPr="00860E17" w:rsidRDefault="00FD7418" w:rsidP="00FD7418">
      <w:pPr>
        <w:spacing w:line="240" w:lineRule="auto"/>
        <w:rPr>
          <w:rFonts w:eastAsia="Times New Roman" w:cs="Arial"/>
          <w:color w:val="000000"/>
          <w:lang w:eastAsia="bg-BG"/>
        </w:rPr>
      </w:pPr>
    </w:p>
    <w:p w14:paraId="5A183B63" w14:textId="5D108EF8" w:rsidR="00FD7418" w:rsidRPr="00860E17" w:rsidRDefault="00FD7418" w:rsidP="00FD7418">
      <w:pPr>
        <w:spacing w:line="240" w:lineRule="auto"/>
        <w:rPr>
          <w:rFonts w:eastAsia="Times New Roman" w:cs="Arial"/>
          <w:sz w:val="24"/>
          <w:szCs w:val="24"/>
        </w:rPr>
      </w:pPr>
      <w:r w:rsidRPr="00860E17">
        <w:rPr>
          <w:rFonts w:eastAsia="Times New Roman" w:cs="Arial"/>
          <w:color w:val="000000"/>
          <w:lang w:eastAsia="bg-BG"/>
        </w:rPr>
        <w:t xml:space="preserve">В двете проучвания,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веднъж дневно и 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два пъти дневно значително намалява болката, в сравнение с плацебо. Ефектът при някои пациенти е </w:t>
      </w:r>
      <w:r w:rsidRPr="00860E17">
        <w:rPr>
          <w:rFonts w:eastAsia="Times New Roman" w:cs="Arial"/>
          <w:color w:val="000000"/>
          <w:lang w:eastAsia="bg-BG"/>
        </w:rPr>
        <w:lastRenderedPageBreak/>
        <w:t xml:space="preserve">видим през първите седмици на лечение. Разликата в средното подобрение между двете рамена на активно лечение не е значителна. Отбелязано е поне 30% съобщавано намаляване на болката при приблизително 65% от лекуваните с </w:t>
      </w:r>
      <w:proofErr w:type="spellStart"/>
      <w:r w:rsidRPr="00860E17">
        <w:rPr>
          <w:rFonts w:eastAsia="Times New Roman" w:cs="Arial"/>
          <w:color w:val="000000"/>
          <w:lang w:eastAsia="bg-BG"/>
        </w:rPr>
        <w:t>дулексетин</w:t>
      </w:r>
      <w:proofErr w:type="spellEnd"/>
      <w:r w:rsidRPr="00860E17">
        <w:rPr>
          <w:rFonts w:eastAsia="Times New Roman" w:cs="Arial"/>
          <w:color w:val="000000"/>
          <w:lang w:eastAsia="bg-BG"/>
        </w:rPr>
        <w:t xml:space="preserve"> пациенти срещу 40% за плацебо. Съответните цифри за поне 50% редукция на болката са съответно 50% и 26%. Степента на клиничен отговор (50% или повече подобрение на болката) е анализирана според това дали пациентът е проявил </w:t>
      </w:r>
      <w:proofErr w:type="spellStart"/>
      <w:r w:rsidRPr="00860E17">
        <w:rPr>
          <w:rFonts w:eastAsia="Times New Roman" w:cs="Arial"/>
          <w:color w:val="000000"/>
          <w:lang w:eastAsia="bg-BG"/>
        </w:rPr>
        <w:t>сомнолентност</w:t>
      </w:r>
      <w:proofErr w:type="spellEnd"/>
      <w:r w:rsidRPr="00860E17">
        <w:rPr>
          <w:rFonts w:eastAsia="Times New Roman" w:cs="Arial"/>
          <w:color w:val="000000"/>
          <w:lang w:eastAsia="bg-BG"/>
        </w:rPr>
        <w:t xml:space="preserve"> по време на лечението или не. За пациентите, които не са проявили </w:t>
      </w:r>
      <w:proofErr w:type="spellStart"/>
      <w:r w:rsidRPr="00860E17">
        <w:rPr>
          <w:rFonts w:eastAsia="Times New Roman" w:cs="Arial"/>
          <w:color w:val="000000"/>
          <w:lang w:eastAsia="bg-BG"/>
        </w:rPr>
        <w:t>сомнолентност</w:t>
      </w:r>
      <w:proofErr w:type="spellEnd"/>
      <w:r w:rsidRPr="00860E17">
        <w:rPr>
          <w:rFonts w:eastAsia="Times New Roman" w:cs="Arial"/>
          <w:color w:val="000000"/>
          <w:lang w:eastAsia="bg-BG"/>
        </w:rPr>
        <w:t xml:space="preserve"> е </w:t>
      </w:r>
      <w:proofErr w:type="spellStart"/>
      <w:r w:rsidRPr="00860E17">
        <w:rPr>
          <w:rFonts w:eastAsia="Times New Roman" w:cs="Arial"/>
          <w:color w:val="000000"/>
          <w:lang w:eastAsia="bg-BG"/>
        </w:rPr>
        <w:t>наблюдван</w:t>
      </w:r>
      <w:proofErr w:type="spellEnd"/>
      <w:r w:rsidRPr="00860E17">
        <w:rPr>
          <w:rFonts w:eastAsia="Times New Roman" w:cs="Arial"/>
          <w:color w:val="000000"/>
          <w:lang w:eastAsia="bg-BG"/>
        </w:rPr>
        <w:t xml:space="preserve"> клиничен отговор при 47% от пациентите, получаващи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и 27% от пациентите на плацебо. Степента на клиничен отговор при пациентите проявили </w:t>
      </w:r>
      <w:proofErr w:type="spellStart"/>
      <w:r w:rsidRPr="00860E17">
        <w:rPr>
          <w:rFonts w:eastAsia="Times New Roman" w:cs="Arial"/>
          <w:color w:val="000000"/>
          <w:lang w:eastAsia="bg-BG"/>
        </w:rPr>
        <w:t>сомнолентност</w:t>
      </w:r>
      <w:proofErr w:type="spellEnd"/>
      <w:r w:rsidRPr="00860E17">
        <w:rPr>
          <w:rFonts w:eastAsia="Times New Roman" w:cs="Arial"/>
          <w:color w:val="000000"/>
          <w:lang w:eastAsia="bg-BG"/>
        </w:rPr>
        <w:t xml:space="preserve"> е 60%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и 30% на плацебо. Пациентите, </w:t>
      </w:r>
      <w:proofErr w:type="spellStart"/>
      <w:r w:rsidRPr="00860E17">
        <w:rPr>
          <w:rFonts w:eastAsia="Times New Roman" w:cs="Arial"/>
          <w:color w:val="000000"/>
          <w:lang w:eastAsia="bg-BG"/>
        </w:rPr>
        <w:t>непроявяващи</w:t>
      </w:r>
      <w:proofErr w:type="spellEnd"/>
      <w:r w:rsidRPr="00860E17">
        <w:rPr>
          <w:rFonts w:eastAsia="Times New Roman" w:cs="Arial"/>
          <w:color w:val="000000"/>
          <w:lang w:eastAsia="bg-BG"/>
        </w:rPr>
        <w:t xml:space="preserve"> редукция на болката от 30% в рамките на 60 дни лечение е малко вероятно да достигнат това ниво при </w:t>
      </w:r>
      <w:proofErr w:type="spellStart"/>
      <w:r w:rsidRPr="00860E17">
        <w:rPr>
          <w:rFonts w:eastAsia="Times New Roman" w:cs="Arial"/>
          <w:color w:val="000000"/>
          <w:lang w:eastAsia="bg-BG"/>
        </w:rPr>
        <w:t>по</w:t>
      </w:r>
      <w:r w:rsidRPr="00860E17">
        <w:rPr>
          <w:rFonts w:eastAsia="Times New Roman" w:cs="Arial"/>
          <w:color w:val="000000"/>
          <w:lang w:eastAsia="bg-BG"/>
        </w:rPr>
        <w:softHyphen/>
        <w:t>нататъшно</w:t>
      </w:r>
      <w:proofErr w:type="spellEnd"/>
      <w:r w:rsidRPr="00860E17">
        <w:rPr>
          <w:rFonts w:eastAsia="Times New Roman" w:cs="Arial"/>
          <w:color w:val="000000"/>
          <w:lang w:eastAsia="bg-BG"/>
        </w:rPr>
        <w:t xml:space="preserve"> лечение.</w:t>
      </w:r>
    </w:p>
    <w:p w14:paraId="4BEBA5C5" w14:textId="77777777" w:rsidR="00FD7418" w:rsidRPr="00860E17" w:rsidRDefault="00FD7418" w:rsidP="00FD7418">
      <w:pPr>
        <w:spacing w:line="240" w:lineRule="auto"/>
        <w:rPr>
          <w:rFonts w:eastAsia="Times New Roman" w:cs="Arial"/>
          <w:color w:val="000000"/>
          <w:lang w:eastAsia="bg-BG"/>
        </w:rPr>
      </w:pPr>
    </w:p>
    <w:p w14:paraId="6EAB3189" w14:textId="2897357C" w:rsidR="00FD7418" w:rsidRPr="00860E17" w:rsidRDefault="00FD7418" w:rsidP="00FD7418">
      <w:pPr>
        <w:spacing w:line="240" w:lineRule="auto"/>
        <w:rPr>
          <w:rFonts w:eastAsia="Times New Roman" w:cs="Arial"/>
          <w:sz w:val="24"/>
          <w:szCs w:val="24"/>
        </w:rPr>
      </w:pPr>
      <w:r w:rsidRPr="00860E17">
        <w:rPr>
          <w:rFonts w:eastAsia="Times New Roman" w:cs="Arial"/>
          <w:color w:val="000000"/>
          <w:lang w:eastAsia="bg-BG"/>
        </w:rPr>
        <w:t xml:space="preserve">При отворено дългосрочно неконтролирано проучване понижаването на болката при пациенти, повлияни от 8-седмично остро лечение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еднократно дневно, се запазва за още 6 месеца, както е оценено с промяната по скалата за кратка оценка на болката </w:t>
      </w:r>
      <w:r w:rsidRPr="00860E17">
        <w:rPr>
          <w:rFonts w:eastAsia="Times New Roman" w:cs="Arial"/>
          <w:color w:val="000000"/>
        </w:rPr>
        <w:t>(</w:t>
      </w:r>
      <w:proofErr w:type="spellStart"/>
      <w:r w:rsidRPr="00860E17">
        <w:rPr>
          <w:rFonts w:eastAsia="Times New Roman" w:cs="Arial"/>
          <w:color w:val="000000"/>
        </w:rPr>
        <w:t>Brief</w:t>
      </w:r>
      <w:proofErr w:type="spellEnd"/>
      <w:r w:rsidRPr="00860E17">
        <w:rPr>
          <w:rFonts w:eastAsia="Times New Roman" w:cs="Arial"/>
          <w:color w:val="000000"/>
        </w:rPr>
        <w:t xml:space="preserve"> </w:t>
      </w:r>
      <w:proofErr w:type="spellStart"/>
      <w:r w:rsidRPr="00860E17">
        <w:rPr>
          <w:rFonts w:eastAsia="Times New Roman" w:cs="Arial"/>
          <w:color w:val="000000"/>
        </w:rPr>
        <w:t>Pain</w:t>
      </w:r>
      <w:proofErr w:type="spellEnd"/>
      <w:r w:rsidRPr="00860E17">
        <w:rPr>
          <w:rFonts w:eastAsia="Times New Roman" w:cs="Arial"/>
          <w:color w:val="000000"/>
        </w:rPr>
        <w:t xml:space="preserve"> </w:t>
      </w:r>
      <w:proofErr w:type="spellStart"/>
      <w:r w:rsidRPr="00860E17">
        <w:rPr>
          <w:rFonts w:eastAsia="Times New Roman" w:cs="Arial"/>
          <w:color w:val="000000"/>
        </w:rPr>
        <w:t>Inventory</w:t>
      </w:r>
      <w:proofErr w:type="spellEnd"/>
      <w:r w:rsidRPr="00860E17">
        <w:rPr>
          <w:rFonts w:eastAsia="Times New Roman" w:cs="Arial"/>
          <w:color w:val="000000"/>
        </w:rPr>
        <w:t xml:space="preserve"> (BP </w:t>
      </w:r>
      <w:r w:rsidRPr="00860E17">
        <w:rPr>
          <w:rFonts w:eastAsia="Times New Roman" w:cs="Arial"/>
          <w:color w:val="000000"/>
          <w:lang w:eastAsia="bg-BG"/>
        </w:rPr>
        <w:t>I)) на 24-часовия среден брой точки за болка.</w:t>
      </w:r>
    </w:p>
    <w:p w14:paraId="74F765DD" w14:textId="77777777" w:rsidR="00FD7418" w:rsidRPr="00860E17" w:rsidRDefault="00FD7418" w:rsidP="00FD7418">
      <w:pPr>
        <w:spacing w:line="240" w:lineRule="auto"/>
        <w:rPr>
          <w:rFonts w:eastAsia="Times New Roman" w:cs="Arial"/>
          <w:color w:val="000000"/>
          <w:u w:val="single"/>
          <w:lang w:eastAsia="bg-BG"/>
        </w:rPr>
      </w:pPr>
    </w:p>
    <w:p w14:paraId="3898362D" w14:textId="2A435A99" w:rsidR="00FD7418" w:rsidRPr="00860E17" w:rsidRDefault="00FD7418" w:rsidP="00FD7418">
      <w:pPr>
        <w:spacing w:line="240" w:lineRule="auto"/>
        <w:rPr>
          <w:rFonts w:eastAsia="Times New Roman" w:cs="Arial"/>
          <w:sz w:val="24"/>
          <w:szCs w:val="24"/>
        </w:rPr>
      </w:pPr>
      <w:r w:rsidRPr="00860E17">
        <w:rPr>
          <w:rFonts w:eastAsia="Times New Roman" w:cs="Arial"/>
          <w:color w:val="000000"/>
          <w:u w:val="single"/>
          <w:lang w:eastAsia="bg-BG"/>
        </w:rPr>
        <w:t>Педиатрична популация</w:t>
      </w:r>
    </w:p>
    <w:p w14:paraId="42633B48" w14:textId="77777777" w:rsidR="00FD7418" w:rsidRPr="00860E17" w:rsidRDefault="00FD7418" w:rsidP="00FD7418">
      <w:pPr>
        <w:spacing w:line="240" w:lineRule="auto"/>
        <w:rPr>
          <w:rFonts w:eastAsia="Times New Roman" w:cs="Arial"/>
          <w:sz w:val="24"/>
          <w:szCs w:val="24"/>
        </w:rPr>
      </w:pP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не е изследван при пациенти под 7-годишна възраст.</w:t>
      </w:r>
    </w:p>
    <w:p w14:paraId="73E61850" w14:textId="77777777" w:rsidR="00FD7418" w:rsidRPr="00860E17" w:rsidRDefault="00FD7418" w:rsidP="00FD7418">
      <w:pPr>
        <w:spacing w:line="240" w:lineRule="auto"/>
        <w:rPr>
          <w:rFonts w:eastAsia="Times New Roman" w:cs="Arial"/>
          <w:sz w:val="24"/>
          <w:szCs w:val="24"/>
        </w:rPr>
      </w:pPr>
      <w:r w:rsidRPr="00860E17">
        <w:rPr>
          <w:rFonts w:eastAsia="Times New Roman" w:cs="Arial"/>
          <w:color w:val="000000"/>
          <w:lang w:eastAsia="bg-BG"/>
        </w:rPr>
        <w:t>Проведени са две рандомизирани, двойнослепи, паралелни клинични проучвания при 800 педиатрични пациенти на възраст от 7 до 17 години с голямо депресивно разстройство (вж. точка 4.2). Тези две проучвания включват 10-седмична плацебо-контролирана и активно- контролирана (</w:t>
      </w:r>
      <w:proofErr w:type="spellStart"/>
      <w:r w:rsidRPr="00860E17">
        <w:rPr>
          <w:rFonts w:eastAsia="Times New Roman" w:cs="Arial"/>
          <w:color w:val="000000"/>
          <w:lang w:eastAsia="bg-BG"/>
        </w:rPr>
        <w:t>флуоксетин</w:t>
      </w:r>
      <w:proofErr w:type="spellEnd"/>
      <w:r w:rsidRPr="00860E17">
        <w:rPr>
          <w:rFonts w:eastAsia="Times New Roman" w:cs="Arial"/>
          <w:color w:val="000000"/>
          <w:lang w:eastAsia="bg-BG"/>
        </w:rPr>
        <w:t xml:space="preserve">) остра фаза, последвана от шестмесечен период на продължение на активно контролирано лечение. Пито групата, лекувана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(30-120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нито групата с активна контрола (</w:t>
      </w:r>
      <w:proofErr w:type="spellStart"/>
      <w:r w:rsidRPr="00860E17">
        <w:rPr>
          <w:rFonts w:eastAsia="Times New Roman" w:cs="Arial"/>
          <w:color w:val="000000"/>
          <w:lang w:eastAsia="bg-BG"/>
        </w:rPr>
        <w:t>флуоксетин</w:t>
      </w:r>
      <w:proofErr w:type="spellEnd"/>
      <w:r w:rsidRPr="00860E17">
        <w:rPr>
          <w:rFonts w:eastAsia="Times New Roman" w:cs="Arial"/>
          <w:color w:val="000000"/>
          <w:lang w:eastAsia="bg-BG"/>
        </w:rPr>
        <w:t xml:space="preserve"> 20-40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статистически се различават от плацебо по отношение на промяната в общите резултати по скалата </w:t>
      </w:r>
      <w:proofErr w:type="spellStart"/>
      <w:r w:rsidRPr="00860E17">
        <w:rPr>
          <w:rFonts w:eastAsia="Times New Roman" w:cs="Arial"/>
          <w:color w:val="000000"/>
        </w:rPr>
        <w:t>Children's</w:t>
      </w:r>
      <w:proofErr w:type="spellEnd"/>
      <w:r w:rsidRPr="00860E17">
        <w:rPr>
          <w:rFonts w:eastAsia="Times New Roman" w:cs="Arial"/>
          <w:color w:val="000000"/>
        </w:rPr>
        <w:t xml:space="preserve"> </w:t>
      </w:r>
      <w:proofErr w:type="spellStart"/>
      <w:r w:rsidRPr="00860E17">
        <w:rPr>
          <w:rFonts w:eastAsia="Times New Roman" w:cs="Arial"/>
          <w:color w:val="000000"/>
        </w:rPr>
        <w:t>Depression</w:t>
      </w:r>
      <w:proofErr w:type="spellEnd"/>
      <w:r w:rsidRPr="00860E17">
        <w:rPr>
          <w:rFonts w:eastAsia="Times New Roman" w:cs="Arial"/>
          <w:color w:val="000000"/>
        </w:rPr>
        <w:t xml:space="preserve"> </w:t>
      </w:r>
      <w:proofErr w:type="spellStart"/>
      <w:r w:rsidRPr="00860E17">
        <w:rPr>
          <w:rFonts w:eastAsia="Times New Roman" w:cs="Arial"/>
          <w:color w:val="000000"/>
        </w:rPr>
        <w:t>Rating</w:t>
      </w:r>
      <w:proofErr w:type="spellEnd"/>
      <w:r w:rsidRPr="00860E17">
        <w:rPr>
          <w:rFonts w:eastAsia="Times New Roman" w:cs="Arial"/>
          <w:color w:val="000000"/>
        </w:rPr>
        <w:t xml:space="preserve"> </w:t>
      </w:r>
      <w:proofErr w:type="spellStart"/>
      <w:r w:rsidRPr="00860E17">
        <w:rPr>
          <w:rFonts w:eastAsia="Times New Roman" w:cs="Arial"/>
          <w:color w:val="000000"/>
        </w:rPr>
        <w:t>Scale</w:t>
      </w:r>
      <w:proofErr w:type="spellEnd"/>
      <w:r w:rsidRPr="00860E17">
        <w:rPr>
          <w:rFonts w:eastAsia="Times New Roman" w:cs="Arial"/>
          <w:color w:val="000000"/>
        </w:rPr>
        <w:t xml:space="preserve">- </w:t>
      </w:r>
      <w:proofErr w:type="spellStart"/>
      <w:r w:rsidRPr="00860E17">
        <w:rPr>
          <w:rFonts w:eastAsia="Times New Roman" w:cs="Arial"/>
          <w:color w:val="000000"/>
        </w:rPr>
        <w:t>Revised</w:t>
      </w:r>
      <w:proofErr w:type="spellEnd"/>
      <w:r w:rsidRPr="00860E17">
        <w:rPr>
          <w:rFonts w:eastAsia="Times New Roman" w:cs="Arial"/>
          <w:color w:val="000000"/>
        </w:rPr>
        <w:t xml:space="preserve"> (CDRS-R) </w:t>
      </w:r>
      <w:r w:rsidRPr="00860E17">
        <w:rPr>
          <w:rFonts w:eastAsia="Times New Roman" w:cs="Arial"/>
          <w:color w:val="000000"/>
          <w:lang w:eastAsia="bg-BG"/>
        </w:rPr>
        <w:t xml:space="preserve">от изходния до крайния момент. Прекъсване на лечението поради нежелани събития е по-често при пациентите, приемащи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в сравнение с тези, лекувани с </w:t>
      </w:r>
      <w:proofErr w:type="spellStart"/>
      <w:r w:rsidRPr="00860E17">
        <w:rPr>
          <w:rFonts w:eastAsia="Times New Roman" w:cs="Arial"/>
          <w:color w:val="000000"/>
          <w:lang w:eastAsia="bg-BG"/>
        </w:rPr>
        <w:t>флуоксетин</w:t>
      </w:r>
      <w:proofErr w:type="spellEnd"/>
      <w:r w:rsidRPr="00860E17">
        <w:rPr>
          <w:rFonts w:eastAsia="Times New Roman" w:cs="Arial"/>
          <w:color w:val="000000"/>
          <w:lang w:eastAsia="bg-BG"/>
        </w:rPr>
        <w:t>, в повечето случаи поради гадене. По време на 10-седмичния период на активно лечение е съобщавано за суицидно поведение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0/333 [0%], </w:t>
      </w:r>
      <w:proofErr w:type="spellStart"/>
      <w:r w:rsidRPr="00860E17">
        <w:rPr>
          <w:rFonts w:eastAsia="Times New Roman" w:cs="Arial"/>
          <w:color w:val="000000"/>
          <w:lang w:eastAsia="bg-BG"/>
        </w:rPr>
        <w:t>флуоксетин</w:t>
      </w:r>
      <w:proofErr w:type="spellEnd"/>
      <w:r w:rsidRPr="00860E17">
        <w:rPr>
          <w:rFonts w:eastAsia="Times New Roman" w:cs="Arial"/>
          <w:color w:val="000000"/>
          <w:lang w:eastAsia="bg-BG"/>
        </w:rPr>
        <w:t xml:space="preserve"> 2/225 [0,9%], плацебо 1/220 [0,5% ]). През целия 36-седмичсн курс на изследването, 6 от 333 пациенти, които първоначално са рандомизирани да получават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и 3 от 225 пациенти, които първоначално са рандомизирани да получават </w:t>
      </w:r>
      <w:proofErr w:type="spellStart"/>
      <w:r w:rsidRPr="00860E17">
        <w:rPr>
          <w:rFonts w:eastAsia="Times New Roman" w:cs="Arial"/>
          <w:color w:val="000000"/>
          <w:lang w:eastAsia="bg-BG"/>
        </w:rPr>
        <w:t>флуоксетин</w:t>
      </w:r>
      <w:proofErr w:type="spellEnd"/>
      <w:r w:rsidRPr="00860E17">
        <w:rPr>
          <w:rFonts w:eastAsia="Times New Roman" w:cs="Arial"/>
          <w:color w:val="000000"/>
          <w:lang w:eastAsia="bg-BG"/>
        </w:rPr>
        <w:t xml:space="preserve">, проявяват суицидно поведение (експозиция-коригираната честота на суицидно поведение е 0,039 събития на пациент на година за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и 0,026 за </w:t>
      </w:r>
      <w:proofErr w:type="spellStart"/>
      <w:r w:rsidRPr="00860E17">
        <w:rPr>
          <w:rFonts w:eastAsia="Times New Roman" w:cs="Arial"/>
          <w:color w:val="000000"/>
          <w:lang w:eastAsia="bg-BG"/>
        </w:rPr>
        <w:t>флуоксетин</w:t>
      </w:r>
      <w:proofErr w:type="spellEnd"/>
      <w:r w:rsidRPr="00860E17">
        <w:rPr>
          <w:rFonts w:eastAsia="Times New Roman" w:cs="Arial"/>
          <w:color w:val="000000"/>
          <w:lang w:eastAsia="bg-BG"/>
        </w:rPr>
        <w:t xml:space="preserve">). Освен това, един пациент, който е преминал от плацебо на лечение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е имал суицидно поведение по време на приема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w:t>
      </w:r>
    </w:p>
    <w:p w14:paraId="2691A949" w14:textId="77777777" w:rsidR="00FD7418" w:rsidRPr="00860E17" w:rsidRDefault="00FD7418" w:rsidP="00FD7418">
      <w:pPr>
        <w:spacing w:line="240" w:lineRule="auto"/>
        <w:rPr>
          <w:rFonts w:eastAsia="Times New Roman" w:cs="Arial"/>
          <w:color w:val="000000"/>
          <w:lang w:eastAsia="bg-BG"/>
        </w:rPr>
      </w:pPr>
    </w:p>
    <w:p w14:paraId="5D3FA920" w14:textId="520BB7A9" w:rsidR="00FD7418" w:rsidRPr="00860E17" w:rsidRDefault="00FD7418" w:rsidP="00FD7418">
      <w:pPr>
        <w:spacing w:line="240" w:lineRule="auto"/>
        <w:rPr>
          <w:rFonts w:eastAsia="Times New Roman" w:cs="Arial"/>
          <w:sz w:val="24"/>
          <w:szCs w:val="24"/>
        </w:rPr>
      </w:pPr>
      <w:r w:rsidRPr="00860E17">
        <w:rPr>
          <w:rFonts w:eastAsia="Times New Roman" w:cs="Arial"/>
          <w:color w:val="000000"/>
          <w:lang w:eastAsia="bg-BG"/>
        </w:rPr>
        <w:t xml:space="preserve">Проведено е рандомизирано, двойносляпо, плацебо контролирано проучване при 272 пациенти от педиатричната популация на възраст 7-17 години с генерализирано тревожно разстройство. Проучването включва 10-седмична плацебо контролирана остра фаза, последвана от 18- седмичен период на продължение на лечението. В това проучване е използвана гъвкава схема на дозиране, за да се даде възможност за бавно повишаване на дозата от 30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веднъж дневно до по-високи дози (максимум 120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веднъж дневно). Лечението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показва статистически значимо по- голямо подобрение на симптомите на генерализираното тревожно разстройство, както е оценено с помощта на скалата за тежест на генерализирано тревожно разстройство </w:t>
      </w:r>
      <w:r w:rsidRPr="00860E17">
        <w:rPr>
          <w:rFonts w:eastAsia="Times New Roman" w:cs="Arial"/>
          <w:color w:val="000000"/>
        </w:rPr>
        <w:t>PARS</w:t>
      </w:r>
      <w:r w:rsidRPr="00860E17">
        <w:rPr>
          <w:rFonts w:eastAsia="Times New Roman" w:cs="Arial"/>
          <w:color w:val="000000"/>
          <w:lang w:eastAsia="bg-BG"/>
        </w:rPr>
        <w:t xml:space="preserve">(средна разлика между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и плацебо 2,7 точки 95% ДИ: 1,3-4,0]),</w:t>
      </w:r>
    </w:p>
    <w:p w14:paraId="6E481866" w14:textId="77777777" w:rsidR="00FD7418" w:rsidRPr="00860E17" w:rsidRDefault="00FD7418" w:rsidP="00FD7418">
      <w:pPr>
        <w:spacing w:line="240" w:lineRule="auto"/>
        <w:rPr>
          <w:rFonts w:eastAsia="Times New Roman" w:cs="Arial"/>
          <w:sz w:val="24"/>
          <w:szCs w:val="24"/>
        </w:rPr>
      </w:pPr>
      <w:r w:rsidRPr="00860E17">
        <w:rPr>
          <w:rFonts w:eastAsia="Times New Roman" w:cs="Arial"/>
          <w:color w:val="000000"/>
          <w:lang w:eastAsia="bg-BG"/>
        </w:rPr>
        <w:lastRenderedPageBreak/>
        <w:t>след 10 седмици на лечение. Поддържането на ефекта не е оценявано.</w:t>
      </w:r>
      <w:r w:rsidRPr="00860E17">
        <w:rPr>
          <w:rFonts w:eastAsia="Times New Roman" w:cs="Arial"/>
          <w:color w:val="000000"/>
        </w:rPr>
        <w:t xml:space="preserve"> </w:t>
      </w:r>
      <w:r w:rsidRPr="00860E17">
        <w:rPr>
          <w:rFonts w:eastAsia="Times New Roman" w:cs="Arial"/>
          <w:color w:val="000000"/>
          <w:lang w:eastAsia="bg-BG"/>
        </w:rPr>
        <w:t>Няма статистически</w:t>
      </w:r>
    </w:p>
    <w:p w14:paraId="7298E0C6" w14:textId="77777777" w:rsidR="00FD7418" w:rsidRPr="00860E17" w:rsidRDefault="00FD7418" w:rsidP="00FD7418">
      <w:pPr>
        <w:rPr>
          <w:rFonts w:eastAsia="Times New Roman" w:cs="Arial"/>
          <w:sz w:val="24"/>
          <w:szCs w:val="24"/>
        </w:rPr>
      </w:pPr>
      <w:r w:rsidRPr="00860E17">
        <w:rPr>
          <w:rFonts w:eastAsia="Times New Roman" w:cs="Arial"/>
          <w:color w:val="000000"/>
          <w:lang w:eastAsia="bg-BG"/>
        </w:rPr>
        <w:t xml:space="preserve">значима разлика в прекъсването на проучването поради нежелани събития между </w:t>
      </w:r>
      <w:proofErr w:type="spellStart"/>
      <w:r w:rsidRPr="00860E17">
        <w:rPr>
          <w:rFonts w:eastAsia="Times New Roman" w:cs="Arial"/>
          <w:color w:val="000000"/>
          <w:lang w:eastAsia="bg-BG"/>
        </w:rPr>
        <w:t>групитие</w:t>
      </w:r>
      <w:proofErr w:type="spellEnd"/>
      <w:r w:rsidRPr="00860E17">
        <w:rPr>
          <w:rFonts w:eastAsia="Times New Roman" w:cs="Arial"/>
          <w:color w:val="000000"/>
          <w:lang w:eastAsia="bg-BG"/>
        </w:rPr>
        <w:t xml:space="preserve"> е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w:t>
      </w:r>
      <w:r w:rsidRPr="00860E17">
        <w:rPr>
          <w:rFonts w:eastAsia="Times New Roman" w:cs="Arial"/>
          <w:i/>
          <w:iCs/>
          <w:color w:val="000000"/>
          <w:lang w:eastAsia="bg-BG"/>
        </w:rPr>
        <w:t>и</w:t>
      </w:r>
      <w:r w:rsidRPr="00860E17">
        <w:rPr>
          <w:rFonts w:eastAsia="Times New Roman" w:cs="Arial"/>
          <w:color w:val="000000"/>
          <w:lang w:eastAsia="bg-BG"/>
        </w:rPr>
        <w:t xml:space="preserve"> плацебо в течение на 10-седмичната фаза на остро лечение. Двама пациенти, които са прехвърлени от плацебо към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след острата фаза, изпитват суицидно поведение, докато приемат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по време на фазата на продължение. Не е направено заключение относно цялостното съотношение полза/риск в тази възрастова група (вж. също точки 4.2 и 4.8).</w:t>
      </w:r>
    </w:p>
    <w:p w14:paraId="40C13857" w14:textId="77777777" w:rsidR="00FD7418" w:rsidRPr="00860E17" w:rsidRDefault="00FD7418" w:rsidP="00FD7418">
      <w:pPr>
        <w:spacing w:line="240" w:lineRule="auto"/>
        <w:rPr>
          <w:rFonts w:eastAsia="Times New Roman" w:cs="Arial"/>
          <w:color w:val="000000"/>
          <w:lang w:eastAsia="bg-BG"/>
        </w:rPr>
      </w:pPr>
    </w:p>
    <w:p w14:paraId="6DF40C34" w14:textId="7D0B9788" w:rsidR="00FD7418" w:rsidRPr="00860E17" w:rsidRDefault="00FD7418" w:rsidP="00FD7418">
      <w:pPr>
        <w:spacing w:line="240" w:lineRule="auto"/>
        <w:rPr>
          <w:rFonts w:eastAsia="Times New Roman" w:cs="Arial"/>
          <w:sz w:val="24"/>
          <w:szCs w:val="24"/>
        </w:rPr>
      </w:pPr>
      <w:r w:rsidRPr="00860E17">
        <w:rPr>
          <w:rFonts w:eastAsia="Times New Roman" w:cs="Arial"/>
          <w:color w:val="000000"/>
          <w:lang w:eastAsia="bg-BG"/>
        </w:rPr>
        <w:t xml:space="preserve">Проведено е едно проучване при педиатрични пациенти със синдром на </w:t>
      </w:r>
      <w:proofErr w:type="spellStart"/>
      <w:r w:rsidRPr="00860E17">
        <w:rPr>
          <w:rFonts w:eastAsia="Times New Roman" w:cs="Arial"/>
          <w:color w:val="000000"/>
          <w:lang w:eastAsia="bg-BG"/>
        </w:rPr>
        <w:t>ювенилна</w:t>
      </w:r>
      <w:proofErr w:type="spellEnd"/>
      <w:r w:rsidRPr="00860E17">
        <w:rPr>
          <w:rFonts w:eastAsia="Times New Roman" w:cs="Arial"/>
          <w:color w:val="000000"/>
          <w:lang w:eastAsia="bg-BG"/>
        </w:rPr>
        <w:t xml:space="preserve"> първична </w:t>
      </w:r>
      <w:proofErr w:type="spellStart"/>
      <w:r w:rsidRPr="00860E17">
        <w:rPr>
          <w:rFonts w:eastAsia="Times New Roman" w:cs="Arial"/>
          <w:color w:val="000000"/>
          <w:lang w:eastAsia="bg-BG"/>
        </w:rPr>
        <w:t>фибромиалгия</w:t>
      </w:r>
      <w:proofErr w:type="spellEnd"/>
      <w:r w:rsidRPr="00860E17">
        <w:rPr>
          <w:rFonts w:eastAsia="Times New Roman" w:cs="Arial"/>
          <w:color w:val="000000"/>
          <w:lang w:eastAsia="bg-BG"/>
        </w:rPr>
        <w:t xml:space="preserve"> </w:t>
      </w:r>
      <w:r w:rsidRPr="00860E17">
        <w:rPr>
          <w:rFonts w:eastAsia="Times New Roman" w:cs="Arial"/>
          <w:color w:val="000000"/>
        </w:rPr>
        <w:t>(</w:t>
      </w:r>
      <w:proofErr w:type="spellStart"/>
      <w:r w:rsidRPr="00860E17">
        <w:rPr>
          <w:rFonts w:eastAsia="Times New Roman" w:cs="Arial"/>
          <w:color w:val="000000"/>
        </w:rPr>
        <w:t>juvenile</w:t>
      </w:r>
      <w:proofErr w:type="spellEnd"/>
      <w:r w:rsidRPr="00860E17">
        <w:rPr>
          <w:rFonts w:eastAsia="Times New Roman" w:cs="Arial"/>
          <w:color w:val="000000"/>
        </w:rPr>
        <w:t xml:space="preserve"> </w:t>
      </w:r>
      <w:proofErr w:type="spellStart"/>
      <w:r w:rsidRPr="00860E17">
        <w:rPr>
          <w:rFonts w:eastAsia="Times New Roman" w:cs="Arial"/>
          <w:color w:val="000000"/>
        </w:rPr>
        <w:t>primary</w:t>
      </w:r>
      <w:proofErr w:type="spellEnd"/>
      <w:r w:rsidRPr="00860E17">
        <w:rPr>
          <w:rFonts w:eastAsia="Times New Roman" w:cs="Arial"/>
          <w:color w:val="000000"/>
        </w:rPr>
        <w:t xml:space="preserve"> </w:t>
      </w:r>
      <w:proofErr w:type="spellStart"/>
      <w:r w:rsidRPr="00860E17">
        <w:rPr>
          <w:rFonts w:eastAsia="Times New Roman" w:cs="Arial"/>
          <w:color w:val="000000"/>
        </w:rPr>
        <w:t>fibromyalgia</w:t>
      </w:r>
      <w:proofErr w:type="spellEnd"/>
      <w:r w:rsidRPr="00860E17">
        <w:rPr>
          <w:rFonts w:eastAsia="Times New Roman" w:cs="Arial"/>
          <w:color w:val="000000"/>
        </w:rPr>
        <w:t xml:space="preserve"> </w:t>
      </w:r>
      <w:proofErr w:type="spellStart"/>
      <w:r w:rsidRPr="00860E17">
        <w:rPr>
          <w:rFonts w:eastAsia="Times New Roman" w:cs="Arial"/>
          <w:color w:val="000000"/>
        </w:rPr>
        <w:t>syndrome</w:t>
      </w:r>
      <w:proofErr w:type="spellEnd"/>
      <w:r w:rsidRPr="00860E17">
        <w:rPr>
          <w:rFonts w:eastAsia="Times New Roman" w:cs="Arial"/>
          <w:color w:val="000000"/>
        </w:rPr>
        <w:t xml:space="preserve">, JPFS), </w:t>
      </w:r>
      <w:r w:rsidRPr="00860E17">
        <w:rPr>
          <w:rFonts w:eastAsia="Times New Roman" w:cs="Arial"/>
          <w:color w:val="000000"/>
          <w:lang w:eastAsia="bg-BG"/>
        </w:rPr>
        <w:t xml:space="preserve">в което групата, лекувана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не е отделена от групата, получаваща плацебо, за оценка на измерителя за първична ефикасност. Затова липсват данни за ефикасност в тази популация педиатрични пациенти. Рандомизираното, двойносляпо, плацебо-контролирано, </w:t>
      </w:r>
      <w:proofErr w:type="spellStart"/>
      <w:r w:rsidRPr="00860E17">
        <w:rPr>
          <w:rFonts w:eastAsia="Times New Roman" w:cs="Arial"/>
          <w:color w:val="000000"/>
          <w:lang w:eastAsia="bg-BG"/>
        </w:rPr>
        <w:t>паралелногрупово</w:t>
      </w:r>
      <w:proofErr w:type="spellEnd"/>
      <w:r w:rsidRPr="00860E17">
        <w:rPr>
          <w:rFonts w:eastAsia="Times New Roman" w:cs="Arial"/>
          <w:color w:val="000000"/>
          <w:lang w:eastAsia="bg-BG"/>
        </w:rPr>
        <w:t xml:space="preserve"> проучване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е проведено при 184 юноши на възраст от 13 до 18 години (средна възраст 15,53 години) с </w:t>
      </w:r>
      <w:r w:rsidRPr="00860E17">
        <w:rPr>
          <w:rFonts w:eastAsia="Times New Roman" w:cs="Arial"/>
          <w:color w:val="000000"/>
        </w:rPr>
        <w:t xml:space="preserve">JPFS. </w:t>
      </w:r>
      <w:r w:rsidRPr="00860E17">
        <w:rPr>
          <w:rFonts w:eastAsia="Times New Roman" w:cs="Arial"/>
          <w:color w:val="000000"/>
          <w:lang w:eastAsia="bg-BG"/>
        </w:rPr>
        <w:t xml:space="preserve">Проучването включва 13-седмичен двойносляп период, през който пациентите са рандомизирани да получават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30 </w:t>
      </w:r>
      <w:proofErr w:type="spellStart"/>
      <w:r w:rsidRPr="00860E17">
        <w:rPr>
          <w:rFonts w:eastAsia="Times New Roman" w:cs="Arial"/>
          <w:color w:val="000000"/>
        </w:rPr>
        <w:t>mg</w:t>
      </w:r>
      <w:proofErr w:type="spellEnd"/>
      <w:r w:rsidRPr="00860E17">
        <w:rPr>
          <w:rFonts w:eastAsia="Times New Roman" w:cs="Arial"/>
          <w:color w:val="000000"/>
        </w:rPr>
        <w:t xml:space="preserve">/60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или плацебо всеки ден.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не показва ефикасност по отношение на намаляването на болката, измерена чрез измерителя на първичния резултат на крайната точка - среден </w:t>
      </w:r>
      <w:proofErr w:type="spellStart"/>
      <w:r w:rsidRPr="00860E17">
        <w:rPr>
          <w:rFonts w:eastAsia="Times New Roman" w:cs="Arial"/>
          <w:color w:val="000000"/>
          <w:lang w:eastAsia="bg-BG"/>
        </w:rPr>
        <w:t>скор</w:t>
      </w:r>
      <w:proofErr w:type="spellEnd"/>
      <w:r w:rsidRPr="00860E17">
        <w:rPr>
          <w:rFonts w:eastAsia="Times New Roman" w:cs="Arial"/>
          <w:color w:val="000000"/>
          <w:lang w:eastAsia="bg-BG"/>
        </w:rPr>
        <w:t xml:space="preserve"> за болка по </w:t>
      </w:r>
      <w:proofErr w:type="spellStart"/>
      <w:r w:rsidRPr="00860E17">
        <w:rPr>
          <w:rFonts w:eastAsia="Times New Roman" w:cs="Arial"/>
          <w:color w:val="000000"/>
        </w:rPr>
        <w:t>Brief</w:t>
      </w:r>
      <w:proofErr w:type="spellEnd"/>
      <w:r w:rsidRPr="00860E17">
        <w:rPr>
          <w:rFonts w:eastAsia="Times New Roman" w:cs="Arial"/>
          <w:color w:val="000000"/>
        </w:rPr>
        <w:t xml:space="preserve"> </w:t>
      </w:r>
      <w:proofErr w:type="spellStart"/>
      <w:r w:rsidRPr="00860E17">
        <w:rPr>
          <w:rFonts w:eastAsia="Times New Roman" w:cs="Arial"/>
          <w:color w:val="000000"/>
        </w:rPr>
        <w:t>Pain</w:t>
      </w:r>
      <w:proofErr w:type="spellEnd"/>
      <w:r w:rsidRPr="00860E17">
        <w:rPr>
          <w:rFonts w:eastAsia="Times New Roman" w:cs="Arial"/>
          <w:color w:val="000000"/>
        </w:rPr>
        <w:t xml:space="preserve"> </w:t>
      </w:r>
      <w:proofErr w:type="spellStart"/>
      <w:r w:rsidRPr="00860E17">
        <w:rPr>
          <w:rFonts w:eastAsia="Times New Roman" w:cs="Arial"/>
          <w:color w:val="000000"/>
        </w:rPr>
        <w:t>Inventory</w:t>
      </w:r>
      <w:proofErr w:type="spellEnd"/>
      <w:r w:rsidRPr="00860E17">
        <w:rPr>
          <w:rFonts w:eastAsia="Times New Roman" w:cs="Arial"/>
          <w:color w:val="000000"/>
        </w:rPr>
        <w:t xml:space="preserve"> (BPI): </w:t>
      </w:r>
      <w:r w:rsidRPr="00860E17">
        <w:rPr>
          <w:rFonts w:eastAsia="Times New Roman" w:cs="Arial"/>
          <w:color w:val="000000"/>
          <w:lang w:eastAsia="bg-BG"/>
        </w:rPr>
        <w:t xml:space="preserve">средната промяна на най-малките квадрати </w:t>
      </w:r>
      <w:r w:rsidRPr="00860E17">
        <w:rPr>
          <w:rFonts w:eastAsia="Times New Roman" w:cs="Arial"/>
          <w:color w:val="000000"/>
        </w:rPr>
        <w:t xml:space="preserve">(LS </w:t>
      </w:r>
      <w:r w:rsidRPr="00860E17">
        <w:rPr>
          <w:rFonts w:eastAsia="Times New Roman" w:cs="Arial"/>
          <w:color w:val="000000"/>
          <w:lang w:eastAsia="bg-BG"/>
        </w:rPr>
        <w:t xml:space="preserve">- </w:t>
      </w:r>
      <w:proofErr w:type="spellStart"/>
      <w:r w:rsidRPr="00860E17">
        <w:rPr>
          <w:rFonts w:eastAsia="Times New Roman" w:cs="Arial"/>
          <w:color w:val="000000"/>
        </w:rPr>
        <w:t>least</w:t>
      </w:r>
      <w:proofErr w:type="spellEnd"/>
      <w:r w:rsidRPr="00860E17">
        <w:rPr>
          <w:rFonts w:eastAsia="Times New Roman" w:cs="Arial"/>
          <w:color w:val="000000"/>
        </w:rPr>
        <w:t xml:space="preserve"> </w:t>
      </w:r>
      <w:proofErr w:type="spellStart"/>
      <w:r w:rsidRPr="00860E17">
        <w:rPr>
          <w:rFonts w:eastAsia="Times New Roman" w:cs="Arial"/>
          <w:color w:val="000000"/>
        </w:rPr>
        <w:t>squares</w:t>
      </w:r>
      <w:proofErr w:type="spellEnd"/>
      <w:r w:rsidRPr="00860E17">
        <w:rPr>
          <w:rFonts w:eastAsia="Times New Roman" w:cs="Arial"/>
          <w:color w:val="000000"/>
        </w:rPr>
        <w:t xml:space="preserve">) </w:t>
      </w:r>
      <w:r w:rsidRPr="00860E17">
        <w:rPr>
          <w:rFonts w:eastAsia="Times New Roman" w:cs="Arial"/>
          <w:color w:val="000000"/>
          <w:lang w:eastAsia="bg-BG"/>
        </w:rPr>
        <w:t xml:space="preserve">от изходната стойност на средния </w:t>
      </w:r>
      <w:proofErr w:type="spellStart"/>
      <w:r w:rsidRPr="00860E17">
        <w:rPr>
          <w:rFonts w:eastAsia="Times New Roman" w:cs="Arial"/>
          <w:color w:val="000000"/>
          <w:lang w:eastAsia="bg-BG"/>
        </w:rPr>
        <w:t>скор</w:t>
      </w:r>
      <w:proofErr w:type="spellEnd"/>
      <w:r w:rsidRPr="00860E17">
        <w:rPr>
          <w:rFonts w:eastAsia="Times New Roman" w:cs="Arial"/>
          <w:color w:val="000000"/>
          <w:lang w:eastAsia="bg-BG"/>
        </w:rPr>
        <w:t xml:space="preserve"> за болка по </w:t>
      </w:r>
      <w:r w:rsidRPr="00860E17">
        <w:rPr>
          <w:rFonts w:eastAsia="Times New Roman" w:cs="Arial"/>
          <w:color w:val="000000"/>
        </w:rPr>
        <w:t xml:space="preserve">BPI </w:t>
      </w:r>
      <w:r w:rsidRPr="00860E17">
        <w:rPr>
          <w:rFonts w:eastAsia="Times New Roman" w:cs="Arial"/>
          <w:color w:val="000000"/>
          <w:lang w:eastAsia="bg-BG"/>
        </w:rPr>
        <w:t xml:space="preserve">на 13-тата седмица 13 е -0,97 в групата, получаваща плацебо, в сравнение с -1,62 в групата, получаваща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30/60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(р = 0,052). Резултатите за безопасност от това проучване са съвместими с известния профил на безопасност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w:t>
      </w:r>
    </w:p>
    <w:p w14:paraId="0E087B56" w14:textId="77777777" w:rsidR="00FD7418" w:rsidRPr="00860E17" w:rsidRDefault="00FD7418" w:rsidP="00FD7418">
      <w:pPr>
        <w:spacing w:line="240" w:lineRule="auto"/>
        <w:rPr>
          <w:rFonts w:eastAsia="Times New Roman" w:cs="Arial"/>
          <w:color w:val="000000"/>
          <w:lang w:eastAsia="bg-BG"/>
        </w:rPr>
      </w:pPr>
    </w:p>
    <w:p w14:paraId="468525E5" w14:textId="4F9B25DD" w:rsidR="00FD7418" w:rsidRPr="00860E17" w:rsidRDefault="00FD7418" w:rsidP="00FD7418">
      <w:pPr>
        <w:spacing w:line="240" w:lineRule="auto"/>
        <w:rPr>
          <w:rFonts w:eastAsia="Times New Roman" w:cs="Arial"/>
          <w:sz w:val="24"/>
          <w:szCs w:val="24"/>
        </w:rPr>
      </w:pPr>
      <w:r w:rsidRPr="00860E17">
        <w:rPr>
          <w:rFonts w:eastAsia="Times New Roman" w:cs="Arial"/>
          <w:color w:val="000000"/>
          <w:lang w:eastAsia="bg-BG"/>
        </w:rPr>
        <w:t xml:space="preserve">Европейската агенция по лекарствата освобождава от задължението за предоставяне на резултатите от проучвания с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при всички подгрупи на педиатричната популация при лечение на голямо депресивно разстройство, диабетна </w:t>
      </w:r>
      <w:proofErr w:type="spellStart"/>
      <w:r w:rsidRPr="00860E17">
        <w:rPr>
          <w:rFonts w:eastAsia="Times New Roman" w:cs="Arial"/>
          <w:color w:val="000000"/>
          <w:lang w:eastAsia="bg-BG"/>
        </w:rPr>
        <w:t>невропатна</w:t>
      </w:r>
      <w:proofErr w:type="spellEnd"/>
      <w:r w:rsidRPr="00860E17">
        <w:rPr>
          <w:rFonts w:eastAsia="Times New Roman" w:cs="Arial"/>
          <w:color w:val="000000"/>
          <w:lang w:eastAsia="bg-BG"/>
        </w:rPr>
        <w:t xml:space="preserve"> болка и генерализирано тревожно разстройство. Вижте точка 4.2 за информация относно употребата при деца.</w:t>
      </w:r>
    </w:p>
    <w:p w14:paraId="59B58FD4" w14:textId="552A4A0B" w:rsidR="00FD7418" w:rsidRPr="00860E17" w:rsidRDefault="00FD7418" w:rsidP="00FD7418"/>
    <w:p w14:paraId="78DD93AA" w14:textId="526771B8" w:rsidR="00B6672E" w:rsidRPr="00860E17" w:rsidRDefault="002C50EE" w:rsidP="00936AD0">
      <w:pPr>
        <w:pStyle w:val="Heading2"/>
      </w:pPr>
      <w:r w:rsidRPr="00860E17">
        <w:t>5.2. Фармакокинетични свойства</w:t>
      </w:r>
    </w:p>
    <w:p w14:paraId="658284FF" w14:textId="5B350CB7" w:rsidR="00FD7418" w:rsidRPr="00860E17" w:rsidRDefault="00FD7418" w:rsidP="00FD7418"/>
    <w:p w14:paraId="74B5BDFA" w14:textId="77777777" w:rsidR="00FD7418" w:rsidRPr="00860E17" w:rsidRDefault="00FD7418" w:rsidP="00FD7418">
      <w:pPr>
        <w:spacing w:line="240" w:lineRule="auto"/>
        <w:rPr>
          <w:rFonts w:eastAsia="Times New Roman" w:cs="Arial"/>
          <w:sz w:val="24"/>
          <w:szCs w:val="24"/>
        </w:rPr>
      </w:pP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се прилага като самостоятелен </w:t>
      </w:r>
      <w:proofErr w:type="spellStart"/>
      <w:r w:rsidRPr="00860E17">
        <w:rPr>
          <w:rFonts w:eastAsia="Times New Roman" w:cs="Arial"/>
          <w:color w:val="000000"/>
          <w:lang w:eastAsia="bg-BG"/>
        </w:rPr>
        <w:t>енантиомер</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се </w:t>
      </w:r>
      <w:proofErr w:type="spellStart"/>
      <w:r w:rsidRPr="00860E17">
        <w:rPr>
          <w:rFonts w:eastAsia="Times New Roman" w:cs="Arial"/>
          <w:color w:val="000000"/>
          <w:lang w:eastAsia="bg-BG"/>
        </w:rPr>
        <w:t>метаболизира</w:t>
      </w:r>
      <w:proofErr w:type="spellEnd"/>
      <w:r w:rsidRPr="00860E17">
        <w:rPr>
          <w:rFonts w:eastAsia="Times New Roman" w:cs="Arial"/>
          <w:color w:val="000000"/>
          <w:lang w:eastAsia="bg-BG"/>
        </w:rPr>
        <w:t xml:space="preserve"> предимно от </w:t>
      </w:r>
      <w:proofErr w:type="spellStart"/>
      <w:r w:rsidRPr="00860E17">
        <w:rPr>
          <w:rFonts w:eastAsia="Times New Roman" w:cs="Arial"/>
          <w:color w:val="000000"/>
          <w:lang w:eastAsia="bg-BG"/>
        </w:rPr>
        <w:t>оксидативни</w:t>
      </w:r>
      <w:proofErr w:type="spellEnd"/>
      <w:r w:rsidRPr="00860E17">
        <w:rPr>
          <w:rFonts w:eastAsia="Times New Roman" w:cs="Arial"/>
          <w:color w:val="000000"/>
          <w:lang w:eastAsia="bg-BG"/>
        </w:rPr>
        <w:t xml:space="preserve"> ензими </w:t>
      </w:r>
      <w:r w:rsidRPr="00860E17">
        <w:rPr>
          <w:rFonts w:eastAsia="Times New Roman" w:cs="Arial"/>
          <w:color w:val="000000"/>
        </w:rPr>
        <w:t>(CYP1</w:t>
      </w:r>
      <w:r w:rsidRPr="00860E17">
        <w:rPr>
          <w:rFonts w:eastAsia="Times New Roman" w:cs="Arial"/>
          <w:color w:val="000000"/>
          <w:lang w:eastAsia="bg-BG"/>
        </w:rPr>
        <w:t xml:space="preserve">А2 и </w:t>
      </w:r>
      <w:proofErr w:type="spellStart"/>
      <w:r w:rsidRPr="00860E17">
        <w:rPr>
          <w:rFonts w:eastAsia="Times New Roman" w:cs="Arial"/>
          <w:color w:val="000000"/>
          <w:lang w:eastAsia="bg-BG"/>
        </w:rPr>
        <w:t>полиморфния</w:t>
      </w:r>
      <w:proofErr w:type="spellEnd"/>
      <w:r w:rsidRPr="00860E17">
        <w:rPr>
          <w:rFonts w:eastAsia="Times New Roman" w:cs="Arial"/>
          <w:color w:val="000000"/>
          <w:lang w:eastAsia="bg-BG"/>
        </w:rPr>
        <w:t xml:space="preserve"> </w:t>
      </w:r>
      <w:r w:rsidRPr="00860E17">
        <w:rPr>
          <w:rFonts w:eastAsia="Times New Roman" w:cs="Arial"/>
          <w:color w:val="000000"/>
        </w:rPr>
        <w:t xml:space="preserve">CYP2D6), </w:t>
      </w:r>
      <w:r w:rsidRPr="00860E17">
        <w:rPr>
          <w:rFonts w:eastAsia="Times New Roman" w:cs="Arial"/>
          <w:color w:val="000000"/>
          <w:lang w:eastAsia="bg-BG"/>
        </w:rPr>
        <w:t xml:space="preserve">последвано от </w:t>
      </w:r>
      <w:proofErr w:type="spellStart"/>
      <w:r w:rsidRPr="00860E17">
        <w:rPr>
          <w:rFonts w:eastAsia="Times New Roman" w:cs="Arial"/>
          <w:color w:val="000000"/>
          <w:lang w:eastAsia="bg-BG"/>
        </w:rPr>
        <w:t>конюгиране</w:t>
      </w:r>
      <w:proofErr w:type="spellEnd"/>
      <w:r w:rsidRPr="00860E17">
        <w:rPr>
          <w:rFonts w:eastAsia="Times New Roman" w:cs="Arial"/>
          <w:color w:val="000000"/>
          <w:lang w:eastAsia="bg-BG"/>
        </w:rPr>
        <w:t xml:space="preserve">. Фармакокинетиката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показва голяма вариабилност между отделните индивиди (общо 50-60%), дължаща се в известна степен на пола, възрастта, статуса на тютюнопушене и състоянието на </w:t>
      </w:r>
      <w:proofErr w:type="spellStart"/>
      <w:r w:rsidRPr="00860E17">
        <w:rPr>
          <w:rFonts w:eastAsia="Times New Roman" w:cs="Arial"/>
          <w:color w:val="000000"/>
          <w:lang w:eastAsia="bg-BG"/>
        </w:rPr>
        <w:t>метаболизиращата</w:t>
      </w:r>
      <w:proofErr w:type="spellEnd"/>
      <w:r w:rsidRPr="00860E17">
        <w:rPr>
          <w:rFonts w:eastAsia="Times New Roman" w:cs="Arial"/>
          <w:color w:val="000000"/>
          <w:lang w:eastAsia="bg-BG"/>
        </w:rPr>
        <w:t xml:space="preserve"> система </w:t>
      </w:r>
      <w:r w:rsidRPr="00860E17">
        <w:rPr>
          <w:rFonts w:eastAsia="Times New Roman" w:cs="Arial"/>
          <w:color w:val="000000"/>
        </w:rPr>
        <w:t>CYP2D6.</w:t>
      </w:r>
    </w:p>
    <w:p w14:paraId="6A63A3F5" w14:textId="77777777" w:rsidR="00FD7418" w:rsidRPr="00860E17" w:rsidRDefault="00FD7418" w:rsidP="00FD7418">
      <w:pPr>
        <w:spacing w:line="240" w:lineRule="auto"/>
        <w:rPr>
          <w:rFonts w:eastAsia="Times New Roman" w:cs="Arial"/>
          <w:color w:val="000000"/>
          <w:u w:val="single"/>
          <w:lang w:eastAsia="bg-BG"/>
        </w:rPr>
      </w:pPr>
    </w:p>
    <w:p w14:paraId="7B4624D1" w14:textId="28FF6F75" w:rsidR="00FD7418" w:rsidRPr="00860E17" w:rsidRDefault="00FD7418" w:rsidP="00FD7418">
      <w:pPr>
        <w:spacing w:line="240" w:lineRule="auto"/>
        <w:rPr>
          <w:rFonts w:eastAsia="Times New Roman" w:cs="Arial"/>
          <w:sz w:val="24"/>
          <w:szCs w:val="24"/>
        </w:rPr>
      </w:pPr>
      <w:r w:rsidRPr="00860E17">
        <w:rPr>
          <w:rStyle w:val="Heading3Char"/>
          <w:u w:val="single"/>
          <w:lang w:eastAsia="bg-BG"/>
        </w:rPr>
        <w:t>Абсорбция</w:t>
      </w:r>
      <w:r w:rsidRPr="00860E17">
        <w:rPr>
          <w:rFonts w:eastAsia="Times New Roman" w:cs="Arial"/>
          <w:color w:val="000000"/>
          <w:u w:val="single"/>
          <w:lang w:eastAsia="bg-BG"/>
        </w:rPr>
        <w:t>:</w:t>
      </w:r>
      <w:r w:rsidRPr="00860E17">
        <w:rPr>
          <w:rFonts w:eastAsia="Times New Roman" w:cs="Arial"/>
          <w:color w:val="000000"/>
          <w:lang w:eastAsia="bg-BG"/>
        </w:rPr>
        <w:t xml:space="preserve">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се резорбира добре след перорално приложение с </w:t>
      </w:r>
      <w:proofErr w:type="spellStart"/>
      <w:r w:rsidRPr="00860E17">
        <w:rPr>
          <w:rFonts w:eastAsia="Times New Roman" w:cs="Arial"/>
          <w:color w:val="000000"/>
          <w:lang w:eastAsia="bg-BG"/>
        </w:rPr>
        <w:t>С</w:t>
      </w:r>
      <w:r w:rsidRPr="00860E17">
        <w:rPr>
          <w:rFonts w:eastAsia="Times New Roman" w:cs="Arial"/>
          <w:color w:val="000000"/>
        </w:rPr>
        <w:t>max</w:t>
      </w:r>
      <w:proofErr w:type="spellEnd"/>
      <w:r w:rsidRPr="00860E17">
        <w:rPr>
          <w:rFonts w:eastAsia="Times New Roman" w:cs="Arial"/>
          <w:color w:val="000000"/>
          <w:lang w:eastAsia="bg-BG"/>
        </w:rPr>
        <w:t xml:space="preserve"> настъпваща 6 часа след дозиране. Абсолютната орална бионаличност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варира от 32% до 80% (средно 50%). Храната удължава времето за достигане на върхови концентрации от 6 на 10 часа и тя маргинално намалява степента на резорбция (приблизително 11%). Тези промени не са с някаква клинична значимост.</w:t>
      </w:r>
    </w:p>
    <w:p w14:paraId="0FD7F056" w14:textId="77777777" w:rsidR="00FD7418" w:rsidRPr="00860E17" w:rsidRDefault="00FD7418" w:rsidP="00FD7418">
      <w:pPr>
        <w:spacing w:line="240" w:lineRule="auto"/>
        <w:rPr>
          <w:rFonts w:eastAsia="Times New Roman" w:cs="Arial"/>
          <w:color w:val="000000"/>
          <w:u w:val="single"/>
          <w:lang w:eastAsia="bg-BG"/>
        </w:rPr>
      </w:pPr>
    </w:p>
    <w:p w14:paraId="4CFF4FA6" w14:textId="0B95E0A6" w:rsidR="00FD7418" w:rsidRPr="00860E17" w:rsidRDefault="00FD7418" w:rsidP="00FD7418">
      <w:pPr>
        <w:spacing w:line="240" w:lineRule="auto"/>
        <w:rPr>
          <w:rFonts w:eastAsia="Times New Roman" w:cs="Arial"/>
          <w:sz w:val="24"/>
          <w:szCs w:val="24"/>
        </w:rPr>
      </w:pPr>
      <w:r w:rsidRPr="00860E17">
        <w:rPr>
          <w:rStyle w:val="Heading3Char"/>
          <w:u w:val="single"/>
          <w:lang w:eastAsia="bg-BG"/>
        </w:rPr>
        <w:t>Разпределение</w:t>
      </w:r>
      <w:r w:rsidRPr="00860E17">
        <w:rPr>
          <w:rFonts w:eastAsia="Times New Roman" w:cs="Arial"/>
          <w:color w:val="000000"/>
          <w:u w:val="single"/>
          <w:lang w:eastAsia="bg-BG"/>
        </w:rPr>
        <w:t>:</w:t>
      </w:r>
      <w:r w:rsidRPr="00860E17">
        <w:rPr>
          <w:rFonts w:eastAsia="Times New Roman" w:cs="Arial"/>
          <w:color w:val="000000"/>
          <w:lang w:eastAsia="bg-BG"/>
        </w:rPr>
        <w:t xml:space="preserve">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се свързва приблизително 96% с човешките плазмени протеини.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се свързва и с албумин и с алфа-1 киселия </w:t>
      </w:r>
      <w:proofErr w:type="spellStart"/>
      <w:r w:rsidRPr="00860E17">
        <w:rPr>
          <w:rFonts w:eastAsia="Times New Roman" w:cs="Arial"/>
          <w:color w:val="000000"/>
          <w:lang w:eastAsia="bg-BG"/>
        </w:rPr>
        <w:t>гликопротеин</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Протеинното</w:t>
      </w:r>
      <w:proofErr w:type="spellEnd"/>
      <w:r w:rsidRPr="00860E17">
        <w:rPr>
          <w:rFonts w:eastAsia="Times New Roman" w:cs="Arial"/>
          <w:color w:val="000000"/>
          <w:lang w:eastAsia="bg-BG"/>
        </w:rPr>
        <w:t xml:space="preserve"> свързване не се повлиява от бъбречно или чернодробно увреждане.</w:t>
      </w:r>
    </w:p>
    <w:p w14:paraId="2EEE95F0" w14:textId="77777777" w:rsidR="00FD7418" w:rsidRPr="00860E17" w:rsidRDefault="00FD7418" w:rsidP="00FD7418">
      <w:pPr>
        <w:spacing w:line="240" w:lineRule="auto"/>
        <w:rPr>
          <w:rFonts w:eastAsia="Times New Roman" w:cs="Arial"/>
          <w:i/>
          <w:iCs/>
          <w:color w:val="000000"/>
          <w:lang w:eastAsia="bg-BG"/>
        </w:rPr>
      </w:pPr>
    </w:p>
    <w:p w14:paraId="799F7888" w14:textId="6A2BD746" w:rsidR="00FD7418" w:rsidRPr="00860E17" w:rsidRDefault="00FD7418" w:rsidP="00FD7418">
      <w:pPr>
        <w:spacing w:line="240" w:lineRule="auto"/>
        <w:rPr>
          <w:rFonts w:eastAsia="Times New Roman" w:cs="Arial"/>
          <w:sz w:val="24"/>
          <w:szCs w:val="24"/>
        </w:rPr>
      </w:pPr>
      <w:r w:rsidRPr="00860E17">
        <w:rPr>
          <w:rFonts w:eastAsia="Times New Roman" w:cs="Arial"/>
          <w:i/>
          <w:iCs/>
          <w:color w:val="000000"/>
          <w:lang w:eastAsia="bg-BG"/>
        </w:rPr>
        <w:lastRenderedPageBreak/>
        <w:t>Биотрансформация:</w:t>
      </w:r>
      <w:r w:rsidRPr="00860E17">
        <w:rPr>
          <w:rFonts w:eastAsia="Times New Roman" w:cs="Arial"/>
          <w:color w:val="000000"/>
          <w:lang w:eastAsia="bg-BG"/>
        </w:rPr>
        <w:t xml:space="preserve">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се </w:t>
      </w:r>
      <w:proofErr w:type="spellStart"/>
      <w:r w:rsidRPr="00860E17">
        <w:rPr>
          <w:rFonts w:eastAsia="Times New Roman" w:cs="Arial"/>
          <w:color w:val="000000"/>
          <w:lang w:eastAsia="bg-BG"/>
        </w:rPr>
        <w:t>метаболизира</w:t>
      </w:r>
      <w:proofErr w:type="spellEnd"/>
      <w:r w:rsidRPr="00860E17">
        <w:rPr>
          <w:rFonts w:eastAsia="Times New Roman" w:cs="Arial"/>
          <w:color w:val="000000"/>
          <w:lang w:eastAsia="bg-BG"/>
        </w:rPr>
        <w:t xml:space="preserve"> екстензивно и метаболитите са </w:t>
      </w:r>
      <w:proofErr w:type="spellStart"/>
      <w:r w:rsidRPr="00860E17">
        <w:rPr>
          <w:rFonts w:eastAsia="Times New Roman" w:cs="Arial"/>
          <w:color w:val="000000"/>
          <w:lang w:eastAsia="bg-BG"/>
        </w:rPr>
        <w:t>екскретират</w:t>
      </w:r>
      <w:proofErr w:type="spellEnd"/>
      <w:r w:rsidRPr="00860E17">
        <w:rPr>
          <w:rFonts w:eastAsia="Times New Roman" w:cs="Arial"/>
          <w:color w:val="000000"/>
          <w:lang w:eastAsia="bg-BG"/>
        </w:rPr>
        <w:t xml:space="preserve"> основно с урината. </w:t>
      </w:r>
      <w:proofErr w:type="spellStart"/>
      <w:r w:rsidRPr="00860E17">
        <w:rPr>
          <w:rFonts w:eastAsia="Times New Roman" w:cs="Arial"/>
          <w:color w:val="000000"/>
          <w:lang w:eastAsia="bg-BG"/>
        </w:rPr>
        <w:t>Цитохромите</w:t>
      </w:r>
      <w:proofErr w:type="spellEnd"/>
      <w:r w:rsidRPr="00860E17">
        <w:rPr>
          <w:rFonts w:eastAsia="Times New Roman" w:cs="Arial"/>
          <w:color w:val="000000"/>
          <w:lang w:eastAsia="bg-BG"/>
        </w:rPr>
        <w:t xml:space="preserve"> </w:t>
      </w:r>
      <w:r w:rsidRPr="00860E17">
        <w:rPr>
          <w:rFonts w:eastAsia="Times New Roman" w:cs="Arial"/>
          <w:color w:val="000000"/>
        </w:rPr>
        <w:t xml:space="preserve">P450-2D6 </w:t>
      </w:r>
      <w:r w:rsidRPr="00860E17">
        <w:rPr>
          <w:rFonts w:eastAsia="Times New Roman" w:cs="Arial"/>
          <w:color w:val="000000"/>
          <w:lang w:eastAsia="bg-BG"/>
        </w:rPr>
        <w:t xml:space="preserve">и 1А2 катализират образуването на два основни метаболита </w:t>
      </w:r>
      <w:proofErr w:type="spellStart"/>
      <w:r w:rsidRPr="00860E17">
        <w:rPr>
          <w:rFonts w:eastAsia="Times New Roman" w:cs="Arial"/>
          <w:color w:val="000000"/>
          <w:lang w:eastAsia="bg-BG"/>
        </w:rPr>
        <w:t>глюкоронид</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конюгат</w:t>
      </w:r>
      <w:proofErr w:type="spellEnd"/>
      <w:r w:rsidRPr="00860E17">
        <w:rPr>
          <w:rFonts w:eastAsia="Times New Roman" w:cs="Arial"/>
          <w:color w:val="000000"/>
          <w:lang w:eastAsia="bg-BG"/>
        </w:rPr>
        <w:t xml:space="preserve"> на 4-хидрокси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и сулфатен </w:t>
      </w:r>
      <w:proofErr w:type="spellStart"/>
      <w:r w:rsidRPr="00860E17">
        <w:rPr>
          <w:rFonts w:eastAsia="Times New Roman" w:cs="Arial"/>
          <w:color w:val="000000"/>
          <w:lang w:eastAsia="bg-BG"/>
        </w:rPr>
        <w:t>конюгат</w:t>
      </w:r>
      <w:proofErr w:type="spellEnd"/>
      <w:r w:rsidRPr="00860E17">
        <w:rPr>
          <w:rFonts w:eastAsia="Times New Roman" w:cs="Arial"/>
          <w:color w:val="000000"/>
          <w:lang w:eastAsia="bg-BG"/>
        </w:rPr>
        <w:t xml:space="preserve"> на 5-</w:t>
      </w:r>
      <w:r w:rsidRPr="00860E17">
        <w:rPr>
          <w:rFonts w:eastAsia="Times New Roman" w:cs="Arial"/>
          <w:color w:val="000000"/>
          <w:u w:val="single"/>
          <w:lang w:eastAsia="bg-BG"/>
        </w:rPr>
        <w:t xml:space="preserve"> </w:t>
      </w:r>
      <w:r w:rsidRPr="00860E17">
        <w:rPr>
          <w:rFonts w:eastAsia="Times New Roman" w:cs="Arial"/>
          <w:color w:val="000000"/>
          <w:lang w:eastAsia="bg-BG"/>
        </w:rPr>
        <w:t xml:space="preserve">хидрокси,6- </w:t>
      </w:r>
      <w:proofErr w:type="spellStart"/>
      <w:r w:rsidRPr="00860E17">
        <w:rPr>
          <w:rFonts w:eastAsia="Times New Roman" w:cs="Arial"/>
          <w:color w:val="000000"/>
          <w:lang w:eastAsia="bg-BG"/>
        </w:rPr>
        <w:t>метокси</w:t>
      </w:r>
      <w:proofErr w:type="spellEnd"/>
      <w:r w:rsidRPr="00860E17">
        <w:rPr>
          <w:rFonts w:eastAsia="Times New Roman" w:cs="Arial"/>
          <w:color w:val="000000"/>
          <w:lang w:eastAsia="bg-BG"/>
        </w:rPr>
        <w:t xml:space="preserve">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Въз основа на </w:t>
      </w:r>
      <w:proofErr w:type="spellStart"/>
      <w:r w:rsidRPr="00860E17">
        <w:rPr>
          <w:rFonts w:eastAsia="Times New Roman" w:cs="Arial"/>
          <w:i/>
          <w:iCs/>
          <w:color w:val="000000"/>
        </w:rPr>
        <w:t>in</w:t>
      </w:r>
      <w:proofErr w:type="spellEnd"/>
      <w:r w:rsidRPr="00860E17">
        <w:rPr>
          <w:rFonts w:eastAsia="Times New Roman" w:cs="Arial"/>
          <w:i/>
          <w:iCs/>
          <w:color w:val="000000"/>
        </w:rPr>
        <w:t xml:space="preserve"> </w:t>
      </w:r>
      <w:proofErr w:type="spellStart"/>
      <w:r w:rsidRPr="00860E17">
        <w:rPr>
          <w:rFonts w:eastAsia="Times New Roman" w:cs="Arial"/>
          <w:i/>
          <w:iCs/>
          <w:color w:val="000000"/>
        </w:rPr>
        <w:t>vitro</w:t>
      </w:r>
      <w:proofErr w:type="spellEnd"/>
      <w:r w:rsidRPr="00860E17">
        <w:rPr>
          <w:rFonts w:eastAsia="Times New Roman" w:cs="Arial"/>
          <w:color w:val="000000"/>
        </w:rPr>
        <w:t xml:space="preserve"> </w:t>
      </w:r>
      <w:r w:rsidRPr="00860E17">
        <w:rPr>
          <w:rFonts w:eastAsia="Times New Roman" w:cs="Arial"/>
          <w:color w:val="000000"/>
          <w:lang w:eastAsia="bg-BG"/>
        </w:rPr>
        <w:t xml:space="preserve">проучвания, циркулиращите метаболити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се считат фармакологично неактивни. Фармакокинетиката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при пациенти, които са лоши </w:t>
      </w:r>
      <w:proofErr w:type="spellStart"/>
      <w:r w:rsidRPr="00860E17">
        <w:rPr>
          <w:rFonts w:eastAsia="Times New Roman" w:cs="Arial"/>
          <w:color w:val="000000"/>
          <w:lang w:eastAsia="bg-BG"/>
        </w:rPr>
        <w:t>метаболизатори</w:t>
      </w:r>
      <w:proofErr w:type="spellEnd"/>
      <w:r w:rsidRPr="00860E17">
        <w:rPr>
          <w:rFonts w:eastAsia="Times New Roman" w:cs="Arial"/>
          <w:color w:val="000000"/>
          <w:lang w:eastAsia="bg-BG"/>
        </w:rPr>
        <w:t xml:space="preserve"> по отношение на </w:t>
      </w:r>
      <w:r w:rsidRPr="00860E17">
        <w:rPr>
          <w:rFonts w:eastAsia="Times New Roman" w:cs="Arial"/>
          <w:color w:val="000000"/>
        </w:rPr>
        <w:t xml:space="preserve">CYP2D6 </w:t>
      </w:r>
      <w:r w:rsidRPr="00860E17">
        <w:rPr>
          <w:rFonts w:eastAsia="Times New Roman" w:cs="Arial"/>
          <w:color w:val="000000"/>
          <w:lang w:eastAsia="bg-BG"/>
        </w:rPr>
        <w:t xml:space="preserve">не е специфично изучвана Ограничени данни предполагат, че при тези пациенти плазмените нива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са по- високи.</w:t>
      </w:r>
    </w:p>
    <w:p w14:paraId="5ED11A01" w14:textId="77777777" w:rsidR="00FD7418" w:rsidRPr="00860E17" w:rsidRDefault="00FD7418" w:rsidP="00FD7418">
      <w:pPr>
        <w:spacing w:line="240" w:lineRule="auto"/>
        <w:rPr>
          <w:rFonts w:eastAsia="Times New Roman" w:cs="Arial"/>
          <w:color w:val="000000"/>
          <w:u w:val="single"/>
          <w:lang w:eastAsia="bg-BG"/>
        </w:rPr>
      </w:pPr>
    </w:p>
    <w:p w14:paraId="56B5E5A6" w14:textId="77777777" w:rsidR="00FD7418" w:rsidRPr="00860E17" w:rsidRDefault="00FD7418" w:rsidP="00FD7418">
      <w:pPr>
        <w:rPr>
          <w:rFonts w:eastAsia="Times New Roman" w:cs="Arial"/>
          <w:sz w:val="24"/>
          <w:szCs w:val="24"/>
        </w:rPr>
      </w:pPr>
      <w:r w:rsidRPr="00860E17">
        <w:rPr>
          <w:rStyle w:val="Heading3Char"/>
          <w:u w:val="single"/>
          <w:lang w:eastAsia="bg-BG"/>
        </w:rPr>
        <w:t>Елиминиране</w:t>
      </w:r>
      <w:r w:rsidRPr="00860E17">
        <w:rPr>
          <w:rFonts w:eastAsia="Times New Roman" w:cs="Arial"/>
          <w:color w:val="000000"/>
          <w:u w:val="single"/>
          <w:lang w:eastAsia="bg-BG"/>
        </w:rPr>
        <w:t>:</w:t>
      </w:r>
      <w:r w:rsidRPr="00860E17">
        <w:rPr>
          <w:rFonts w:eastAsia="Times New Roman" w:cs="Arial"/>
          <w:color w:val="000000"/>
          <w:lang w:eastAsia="bg-BG"/>
        </w:rPr>
        <w:t xml:space="preserve"> елиминационният полуживот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варира от 8 до часа). След интравенозна доза, плазменият клирънс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варира от 22 1/час до 46 1/час (средно 36 </w:t>
      </w:r>
      <w:r w:rsidRPr="00860E17">
        <w:rPr>
          <w:rFonts w:eastAsia="Times New Roman" w:cs="Arial"/>
          <w:color w:val="000000"/>
        </w:rPr>
        <w:t>l</w:t>
      </w:r>
      <w:r w:rsidRPr="00860E17">
        <w:rPr>
          <w:rFonts w:eastAsia="Times New Roman" w:cs="Arial"/>
          <w:color w:val="000000"/>
          <w:lang w:eastAsia="bg-BG"/>
        </w:rPr>
        <w:t xml:space="preserve">/час). След перорална доза установеният плазмен клирънс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варира от 33 до 261 </w:t>
      </w:r>
      <w:r w:rsidRPr="00860E17">
        <w:rPr>
          <w:rFonts w:eastAsia="Times New Roman" w:cs="Arial"/>
          <w:color w:val="000000"/>
        </w:rPr>
        <w:t>l</w:t>
      </w:r>
      <w:r w:rsidRPr="00860E17">
        <w:rPr>
          <w:rFonts w:eastAsia="Times New Roman" w:cs="Arial"/>
          <w:color w:val="000000"/>
          <w:lang w:eastAsia="bg-BG"/>
        </w:rPr>
        <w:t>/час (средно 101 1/час).</w:t>
      </w:r>
    </w:p>
    <w:p w14:paraId="4A2D499E" w14:textId="77777777" w:rsidR="00FD7418" w:rsidRPr="00860E17" w:rsidRDefault="00FD7418" w:rsidP="00FD7418">
      <w:pPr>
        <w:spacing w:line="240" w:lineRule="auto"/>
        <w:rPr>
          <w:rFonts w:eastAsia="Times New Roman" w:cs="Arial"/>
          <w:color w:val="000000"/>
          <w:u w:val="single"/>
          <w:lang w:eastAsia="bg-BG"/>
        </w:rPr>
      </w:pPr>
    </w:p>
    <w:p w14:paraId="1B37EDC5" w14:textId="19BB86C1" w:rsidR="00FD7418" w:rsidRPr="00860E17" w:rsidRDefault="00FD7418" w:rsidP="00FD7418">
      <w:pPr>
        <w:pStyle w:val="Heading3"/>
        <w:rPr>
          <w:rFonts w:eastAsia="Times New Roman"/>
          <w:u w:val="single"/>
        </w:rPr>
      </w:pPr>
      <w:r w:rsidRPr="00860E17">
        <w:rPr>
          <w:rFonts w:eastAsia="Times New Roman"/>
          <w:u w:val="single"/>
          <w:lang w:eastAsia="bg-BG"/>
        </w:rPr>
        <w:t>Специални популации</w:t>
      </w:r>
    </w:p>
    <w:p w14:paraId="4BA95796" w14:textId="77777777" w:rsidR="00FD7418" w:rsidRPr="00860E17" w:rsidRDefault="00FD7418" w:rsidP="00FD7418">
      <w:pPr>
        <w:spacing w:line="240" w:lineRule="auto"/>
        <w:rPr>
          <w:rFonts w:eastAsia="Times New Roman" w:cs="Arial"/>
          <w:sz w:val="24"/>
          <w:szCs w:val="24"/>
        </w:rPr>
      </w:pPr>
      <w:r w:rsidRPr="00860E17">
        <w:rPr>
          <w:rFonts w:eastAsia="Times New Roman" w:cs="Arial"/>
          <w:i/>
          <w:iCs/>
          <w:color w:val="000000"/>
          <w:lang w:eastAsia="bg-BG"/>
        </w:rPr>
        <w:t>Пол:</w:t>
      </w:r>
      <w:r w:rsidRPr="00860E17">
        <w:rPr>
          <w:rFonts w:eastAsia="Times New Roman" w:cs="Arial"/>
          <w:color w:val="000000"/>
          <w:lang w:eastAsia="bg-BG"/>
        </w:rPr>
        <w:t xml:space="preserve"> Между мъже и жени са идентифицирани </w:t>
      </w:r>
      <w:proofErr w:type="spellStart"/>
      <w:r w:rsidRPr="00860E17">
        <w:rPr>
          <w:rFonts w:eastAsia="Times New Roman" w:cs="Arial"/>
          <w:color w:val="000000"/>
          <w:lang w:eastAsia="bg-BG"/>
        </w:rPr>
        <w:t>фармакокинетични</w:t>
      </w:r>
      <w:proofErr w:type="spellEnd"/>
      <w:r w:rsidRPr="00860E17">
        <w:rPr>
          <w:rFonts w:eastAsia="Times New Roman" w:cs="Arial"/>
          <w:color w:val="000000"/>
          <w:lang w:eastAsia="bg-BG"/>
        </w:rPr>
        <w:t xml:space="preserve"> разлики (</w:t>
      </w:r>
      <w:proofErr w:type="spellStart"/>
      <w:r w:rsidRPr="00860E17">
        <w:rPr>
          <w:rFonts w:eastAsia="Times New Roman" w:cs="Arial"/>
          <w:color w:val="000000"/>
          <w:lang w:eastAsia="bg-BG"/>
        </w:rPr>
        <w:t>аперентният</w:t>
      </w:r>
      <w:proofErr w:type="spellEnd"/>
      <w:r w:rsidRPr="00860E17">
        <w:rPr>
          <w:rFonts w:eastAsia="Times New Roman" w:cs="Arial"/>
          <w:color w:val="000000"/>
          <w:lang w:eastAsia="bg-BG"/>
        </w:rPr>
        <w:t xml:space="preserve"> плазмен клирънс е приблизително 50% по-нисък при жени). Въз основа на припокриване по отношение на </w:t>
      </w:r>
      <w:proofErr w:type="spellStart"/>
      <w:r w:rsidRPr="00860E17">
        <w:rPr>
          <w:rFonts w:eastAsia="Times New Roman" w:cs="Arial"/>
          <w:color w:val="000000"/>
          <w:lang w:eastAsia="bg-BG"/>
        </w:rPr>
        <w:t>клирънса</w:t>
      </w:r>
      <w:proofErr w:type="spellEnd"/>
      <w:r w:rsidRPr="00860E17">
        <w:rPr>
          <w:rFonts w:eastAsia="Times New Roman" w:cs="Arial"/>
          <w:color w:val="000000"/>
          <w:lang w:eastAsia="bg-BG"/>
        </w:rPr>
        <w:t xml:space="preserve">, основаните на пола </w:t>
      </w:r>
      <w:proofErr w:type="spellStart"/>
      <w:r w:rsidRPr="00860E17">
        <w:rPr>
          <w:rFonts w:eastAsia="Times New Roman" w:cs="Arial"/>
          <w:color w:val="000000"/>
          <w:lang w:eastAsia="bg-BG"/>
        </w:rPr>
        <w:t>фармакокинетични</w:t>
      </w:r>
      <w:proofErr w:type="spellEnd"/>
      <w:r w:rsidRPr="00860E17">
        <w:rPr>
          <w:rFonts w:eastAsia="Times New Roman" w:cs="Arial"/>
          <w:color w:val="000000"/>
          <w:lang w:eastAsia="bg-BG"/>
        </w:rPr>
        <w:t xml:space="preserve"> разлики не оправдават препоръката за използване на по-ниска доза при жени- пациенти.</w:t>
      </w:r>
    </w:p>
    <w:p w14:paraId="07C4073B" w14:textId="77777777" w:rsidR="00FD7418" w:rsidRPr="00860E17" w:rsidRDefault="00FD7418" w:rsidP="00FD7418">
      <w:pPr>
        <w:spacing w:line="240" w:lineRule="auto"/>
        <w:rPr>
          <w:rFonts w:eastAsia="Times New Roman" w:cs="Arial"/>
          <w:i/>
          <w:iCs/>
          <w:color w:val="000000"/>
          <w:lang w:eastAsia="bg-BG"/>
        </w:rPr>
      </w:pPr>
    </w:p>
    <w:p w14:paraId="3A91F819" w14:textId="466E1262" w:rsidR="00FD7418" w:rsidRPr="00860E17" w:rsidRDefault="00FD7418" w:rsidP="00FD7418">
      <w:pPr>
        <w:spacing w:line="240" w:lineRule="auto"/>
        <w:rPr>
          <w:rFonts w:eastAsia="Times New Roman" w:cs="Arial"/>
          <w:sz w:val="24"/>
          <w:szCs w:val="24"/>
        </w:rPr>
      </w:pPr>
      <w:r w:rsidRPr="00860E17">
        <w:rPr>
          <w:rFonts w:eastAsia="Times New Roman" w:cs="Arial"/>
          <w:i/>
          <w:iCs/>
          <w:color w:val="000000"/>
          <w:lang w:eastAsia="bg-BG"/>
        </w:rPr>
        <w:t>Възраст:</w:t>
      </w:r>
      <w:r w:rsidRPr="00860E17">
        <w:rPr>
          <w:rFonts w:eastAsia="Times New Roman" w:cs="Arial"/>
          <w:color w:val="000000"/>
          <w:lang w:eastAsia="bg-BG"/>
        </w:rPr>
        <w:t xml:space="preserve"> Идентифицирани са </w:t>
      </w:r>
      <w:proofErr w:type="spellStart"/>
      <w:r w:rsidRPr="00860E17">
        <w:rPr>
          <w:rFonts w:eastAsia="Times New Roman" w:cs="Arial"/>
          <w:color w:val="000000"/>
          <w:lang w:eastAsia="bg-BG"/>
        </w:rPr>
        <w:t>фармакокинетични</w:t>
      </w:r>
      <w:proofErr w:type="spellEnd"/>
      <w:r w:rsidRPr="00860E17">
        <w:rPr>
          <w:rFonts w:eastAsia="Times New Roman" w:cs="Arial"/>
          <w:color w:val="000000"/>
          <w:lang w:eastAsia="bg-BG"/>
        </w:rPr>
        <w:t xml:space="preserve"> разлики между по-млади и жени в старческа възраст (≥65 години) (повишение на </w:t>
      </w:r>
      <w:r w:rsidRPr="00860E17">
        <w:rPr>
          <w:rFonts w:eastAsia="Times New Roman" w:cs="Arial"/>
          <w:color w:val="000000"/>
        </w:rPr>
        <w:t xml:space="preserve">AUC </w:t>
      </w:r>
      <w:r w:rsidRPr="00860E17">
        <w:rPr>
          <w:rFonts w:eastAsia="Times New Roman" w:cs="Arial"/>
          <w:color w:val="000000"/>
          <w:lang w:eastAsia="bg-BG"/>
        </w:rPr>
        <w:t>с около 25%, а полуживотът е около 25% по-дълъг при тези в старческа възраст), въпреки че степента на тези промени не е достатъчна, за да се обоснове промяна на дозата. Като обща препоръка, лечението в старческа възраст трябва да става с повишено внимание (вж. точки 4.2 и 4.4).</w:t>
      </w:r>
    </w:p>
    <w:p w14:paraId="309BD16B" w14:textId="77777777" w:rsidR="00FD7418" w:rsidRPr="00860E17" w:rsidRDefault="00FD7418" w:rsidP="00FD7418">
      <w:pPr>
        <w:spacing w:line="240" w:lineRule="auto"/>
        <w:rPr>
          <w:rFonts w:eastAsia="Times New Roman" w:cs="Arial"/>
          <w:i/>
          <w:iCs/>
          <w:color w:val="000000"/>
          <w:lang w:eastAsia="bg-BG"/>
        </w:rPr>
      </w:pPr>
    </w:p>
    <w:p w14:paraId="0CE7B26C" w14:textId="06561CCE" w:rsidR="00FD7418" w:rsidRPr="00860E17" w:rsidRDefault="00FD7418" w:rsidP="00FD7418">
      <w:pPr>
        <w:spacing w:line="240" w:lineRule="auto"/>
        <w:rPr>
          <w:rFonts w:eastAsia="Times New Roman" w:cs="Arial"/>
          <w:sz w:val="24"/>
          <w:szCs w:val="24"/>
        </w:rPr>
      </w:pPr>
      <w:r w:rsidRPr="00860E17">
        <w:rPr>
          <w:rFonts w:eastAsia="Times New Roman" w:cs="Arial"/>
          <w:i/>
          <w:iCs/>
          <w:color w:val="000000"/>
          <w:lang w:eastAsia="bg-BG"/>
        </w:rPr>
        <w:t>Бъбречно увреждане:</w:t>
      </w:r>
      <w:r w:rsidRPr="00860E17">
        <w:rPr>
          <w:rFonts w:eastAsia="Times New Roman" w:cs="Arial"/>
          <w:color w:val="000000"/>
          <w:lang w:eastAsia="bg-BG"/>
        </w:rPr>
        <w:t xml:space="preserve"> Пациентите в крайна фаза на бъбречна недостатъчност на диализа </w:t>
      </w:r>
      <w:r w:rsidRPr="00860E17">
        <w:rPr>
          <w:rFonts w:eastAsia="Times New Roman" w:cs="Arial"/>
          <w:color w:val="000000"/>
        </w:rPr>
        <w:t xml:space="preserve">(ESRD) </w:t>
      </w:r>
      <w:r w:rsidRPr="00860E17">
        <w:rPr>
          <w:rFonts w:eastAsia="Times New Roman" w:cs="Arial"/>
          <w:color w:val="000000"/>
          <w:lang w:eastAsia="bg-BG"/>
        </w:rPr>
        <w:t xml:space="preserve">имат 2 пъти по-високи стойности на </w:t>
      </w:r>
      <w:proofErr w:type="spellStart"/>
      <w:r w:rsidRPr="00860E17">
        <w:rPr>
          <w:rFonts w:eastAsia="Times New Roman" w:cs="Arial"/>
          <w:color w:val="000000"/>
          <w:lang w:eastAsia="bg-BG"/>
        </w:rPr>
        <w:t>С</w:t>
      </w:r>
      <w:r w:rsidRPr="00860E17">
        <w:rPr>
          <w:rFonts w:eastAsia="Times New Roman" w:cs="Arial"/>
          <w:color w:val="000000"/>
          <w:vertAlign w:val="subscript"/>
        </w:rPr>
        <w:t>max</w:t>
      </w:r>
      <w:proofErr w:type="spellEnd"/>
      <w:r w:rsidRPr="00860E17">
        <w:rPr>
          <w:rFonts w:eastAsia="Times New Roman" w:cs="Arial"/>
          <w:color w:val="000000"/>
          <w:lang w:eastAsia="bg-BG"/>
        </w:rPr>
        <w:t xml:space="preserve"> и </w:t>
      </w:r>
      <w:r w:rsidRPr="00860E17">
        <w:rPr>
          <w:rFonts w:eastAsia="Times New Roman" w:cs="Arial"/>
          <w:color w:val="000000"/>
        </w:rPr>
        <w:t xml:space="preserve">AUC </w:t>
      </w:r>
      <w:r w:rsidRPr="00860E17">
        <w:rPr>
          <w:rFonts w:eastAsia="Times New Roman" w:cs="Arial"/>
          <w:color w:val="000000"/>
          <w:lang w:eastAsia="bg-BG"/>
        </w:rPr>
        <w:t xml:space="preserve">за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в сравнение със здрави лица. При пациенти с лека до умерена бъбречна недостатъчност </w:t>
      </w:r>
      <w:proofErr w:type="spellStart"/>
      <w:r w:rsidRPr="00860E17">
        <w:rPr>
          <w:rFonts w:eastAsia="Times New Roman" w:cs="Arial"/>
          <w:color w:val="000000"/>
          <w:lang w:eastAsia="bg-BG"/>
        </w:rPr>
        <w:t>фармакокинетичните</w:t>
      </w:r>
      <w:proofErr w:type="spellEnd"/>
      <w:r w:rsidRPr="00860E17">
        <w:rPr>
          <w:rFonts w:eastAsia="Times New Roman" w:cs="Arial"/>
          <w:color w:val="000000"/>
          <w:lang w:eastAsia="bg-BG"/>
        </w:rPr>
        <w:t xml:space="preserve"> данни за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са ограничени.</w:t>
      </w:r>
    </w:p>
    <w:p w14:paraId="617183CE" w14:textId="77777777" w:rsidR="00FD7418" w:rsidRPr="00860E17" w:rsidRDefault="00FD7418" w:rsidP="00FD7418">
      <w:pPr>
        <w:spacing w:line="240" w:lineRule="auto"/>
        <w:rPr>
          <w:rFonts w:eastAsia="Times New Roman" w:cs="Arial"/>
          <w:i/>
          <w:iCs/>
          <w:color w:val="000000"/>
          <w:lang w:eastAsia="bg-BG"/>
        </w:rPr>
      </w:pPr>
    </w:p>
    <w:p w14:paraId="2FB49CD2" w14:textId="64BDD3C1" w:rsidR="00FD7418" w:rsidRPr="00860E17" w:rsidRDefault="00FD7418" w:rsidP="00FD7418">
      <w:pPr>
        <w:spacing w:line="240" w:lineRule="auto"/>
        <w:rPr>
          <w:rFonts w:eastAsia="Times New Roman" w:cs="Arial"/>
          <w:sz w:val="24"/>
          <w:szCs w:val="24"/>
        </w:rPr>
      </w:pPr>
      <w:r w:rsidRPr="00860E17">
        <w:rPr>
          <w:rFonts w:eastAsia="Times New Roman" w:cs="Arial"/>
          <w:i/>
          <w:iCs/>
          <w:color w:val="000000"/>
          <w:lang w:eastAsia="bg-BG"/>
        </w:rPr>
        <w:t>Чернодробно увреждане:</w:t>
      </w:r>
      <w:r w:rsidRPr="00860E17">
        <w:rPr>
          <w:rFonts w:eastAsia="Times New Roman" w:cs="Arial"/>
          <w:color w:val="000000"/>
          <w:lang w:eastAsia="bg-BG"/>
        </w:rPr>
        <w:t xml:space="preserve"> Умерено чернодробно заболяване </w:t>
      </w:r>
      <w:r w:rsidRPr="00860E17">
        <w:rPr>
          <w:rFonts w:eastAsia="Times New Roman" w:cs="Arial"/>
          <w:color w:val="000000"/>
        </w:rPr>
        <w:t>(</w:t>
      </w:r>
      <w:proofErr w:type="spellStart"/>
      <w:r w:rsidRPr="00860E17">
        <w:rPr>
          <w:rFonts w:eastAsia="Times New Roman" w:cs="Arial"/>
          <w:color w:val="000000"/>
        </w:rPr>
        <w:t>Child</w:t>
      </w:r>
      <w:proofErr w:type="spellEnd"/>
      <w:r w:rsidRPr="00860E17">
        <w:rPr>
          <w:rFonts w:eastAsia="Times New Roman" w:cs="Arial"/>
          <w:color w:val="000000"/>
        </w:rPr>
        <w:t xml:space="preserve"> </w:t>
      </w:r>
      <w:proofErr w:type="spellStart"/>
      <w:r w:rsidRPr="00860E17">
        <w:rPr>
          <w:rFonts w:eastAsia="Times New Roman" w:cs="Arial"/>
          <w:color w:val="000000"/>
        </w:rPr>
        <w:t>Pugh</w:t>
      </w:r>
      <w:proofErr w:type="spellEnd"/>
      <w:r w:rsidRPr="00860E17">
        <w:rPr>
          <w:rFonts w:eastAsia="Times New Roman" w:cs="Arial"/>
          <w:color w:val="000000"/>
        </w:rPr>
        <w:t xml:space="preserve"> </w:t>
      </w:r>
      <w:r w:rsidRPr="00860E17">
        <w:rPr>
          <w:rFonts w:eastAsia="Times New Roman" w:cs="Arial"/>
          <w:color w:val="000000"/>
          <w:lang w:eastAsia="bg-BG"/>
        </w:rPr>
        <w:t xml:space="preserve">клас В) засяга фармакокинетиката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В сравнение със здрави лица, при пациенти с умерено чернодробно заболяване установеният плазмен клирънс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е 79% по-нисък, установеният терминален полуживот е 2,3 пъти по-дълъг, </w:t>
      </w:r>
      <w:r w:rsidRPr="00860E17">
        <w:rPr>
          <w:rFonts w:eastAsia="Times New Roman" w:cs="Arial"/>
          <w:color w:val="000000"/>
        </w:rPr>
        <w:t xml:space="preserve">a AUC </w:t>
      </w:r>
      <w:r w:rsidRPr="00860E17">
        <w:rPr>
          <w:rFonts w:eastAsia="Times New Roman" w:cs="Arial"/>
          <w:color w:val="000000"/>
          <w:lang w:eastAsia="bg-BG"/>
        </w:rPr>
        <w:t xml:space="preserve">е 3,7 пъти по-висока. Фармакокинетиката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и неговите метаболити не е изучавана при пациенти с лека или тежка чернодробна недостатъчност.</w:t>
      </w:r>
    </w:p>
    <w:p w14:paraId="0543651C" w14:textId="77777777" w:rsidR="00FD7418" w:rsidRPr="00860E17" w:rsidRDefault="00FD7418" w:rsidP="00FD7418">
      <w:pPr>
        <w:spacing w:line="240" w:lineRule="auto"/>
        <w:rPr>
          <w:rFonts w:eastAsia="Times New Roman" w:cs="Arial"/>
          <w:i/>
          <w:iCs/>
          <w:color w:val="000000"/>
          <w:lang w:eastAsia="bg-BG"/>
        </w:rPr>
      </w:pPr>
    </w:p>
    <w:p w14:paraId="3EF0F7FC" w14:textId="5ADA56DE" w:rsidR="00FD7418" w:rsidRPr="00860E17" w:rsidRDefault="00FD7418" w:rsidP="00FD7418">
      <w:pPr>
        <w:spacing w:line="240" w:lineRule="auto"/>
        <w:rPr>
          <w:rFonts w:eastAsia="Times New Roman" w:cs="Arial"/>
          <w:sz w:val="24"/>
          <w:szCs w:val="24"/>
        </w:rPr>
      </w:pPr>
      <w:r w:rsidRPr="00860E17">
        <w:rPr>
          <w:rFonts w:eastAsia="Times New Roman" w:cs="Arial"/>
          <w:i/>
          <w:iCs/>
          <w:color w:val="000000"/>
          <w:lang w:eastAsia="bg-BG"/>
        </w:rPr>
        <w:t>Кърмещи майки:</w:t>
      </w:r>
      <w:r w:rsidRPr="00860E17">
        <w:rPr>
          <w:rFonts w:eastAsia="Times New Roman" w:cs="Arial"/>
          <w:color w:val="000000"/>
          <w:lang w:eastAsia="bg-BG"/>
        </w:rPr>
        <w:t xml:space="preserve"> Диспозицията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е изучавана при 6 кърмещи жени, които са били поне 12 седмици след раждане.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се открива в кърмата и стационарните концентрации в майчиното мляко са около една-четвърт от тези в плазмата. Количеството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в кърмата е приблизително 7 </w:t>
      </w:r>
      <w:proofErr w:type="spellStart"/>
      <w:r w:rsidRPr="00860E17">
        <w:rPr>
          <w:rFonts w:eastAsia="Times New Roman" w:cs="Arial"/>
          <w:color w:val="000000"/>
        </w:rPr>
        <w:t>pg</w:t>
      </w:r>
      <w:proofErr w:type="spellEnd"/>
      <w:r w:rsidRPr="00860E17">
        <w:rPr>
          <w:rFonts w:eastAsia="Times New Roman" w:cs="Arial"/>
          <w:color w:val="000000"/>
          <w:lang w:eastAsia="bg-BG"/>
        </w:rPr>
        <w:t xml:space="preserve">/дневно при дозиране с 40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два пъти дневно. Кърменето не повлиява фармакокинетиката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w:t>
      </w:r>
    </w:p>
    <w:p w14:paraId="2EE50572" w14:textId="77777777" w:rsidR="00FD7418" w:rsidRPr="00860E17" w:rsidRDefault="00FD7418" w:rsidP="00FD7418">
      <w:pPr>
        <w:spacing w:line="240" w:lineRule="auto"/>
        <w:rPr>
          <w:rFonts w:eastAsia="Times New Roman" w:cs="Arial"/>
          <w:i/>
          <w:iCs/>
          <w:color w:val="000000"/>
          <w:lang w:eastAsia="bg-BG"/>
        </w:rPr>
      </w:pPr>
    </w:p>
    <w:p w14:paraId="75DFE274" w14:textId="5DCFF237" w:rsidR="00FD7418" w:rsidRPr="00860E17" w:rsidRDefault="00FD7418" w:rsidP="00FD7418">
      <w:pPr>
        <w:spacing w:line="240" w:lineRule="auto"/>
        <w:rPr>
          <w:rFonts w:eastAsia="Times New Roman" w:cs="Arial"/>
          <w:sz w:val="24"/>
          <w:szCs w:val="24"/>
        </w:rPr>
      </w:pPr>
      <w:r w:rsidRPr="00860E17">
        <w:rPr>
          <w:rFonts w:eastAsia="Times New Roman" w:cs="Arial"/>
          <w:i/>
          <w:iCs/>
          <w:color w:val="000000"/>
          <w:lang w:eastAsia="bg-BG"/>
        </w:rPr>
        <w:t>Педиатрична популация:</w:t>
      </w:r>
      <w:r w:rsidRPr="00860E17">
        <w:rPr>
          <w:rFonts w:eastAsia="Times New Roman" w:cs="Arial"/>
          <w:color w:val="000000"/>
          <w:lang w:eastAsia="bg-BG"/>
        </w:rPr>
        <w:t xml:space="preserve"> </w:t>
      </w:r>
      <w:proofErr w:type="spellStart"/>
      <w:r w:rsidRPr="00860E17">
        <w:rPr>
          <w:rFonts w:eastAsia="Times New Roman" w:cs="Arial"/>
          <w:color w:val="000000"/>
          <w:lang w:eastAsia="bg-BG"/>
        </w:rPr>
        <w:t>Фармакокинетичните</w:t>
      </w:r>
      <w:proofErr w:type="spellEnd"/>
      <w:r w:rsidRPr="00860E17">
        <w:rPr>
          <w:rFonts w:eastAsia="Times New Roman" w:cs="Arial"/>
          <w:color w:val="000000"/>
          <w:lang w:eastAsia="bg-BG"/>
        </w:rPr>
        <w:t xml:space="preserve"> свойства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при педиатрични пациенти на възраст от 7 до 17 години с голямо депресивно разстройство след перорално прилагане при схема на дозиране 20 до 120 </w:t>
      </w:r>
      <w:proofErr w:type="spellStart"/>
      <w:r w:rsidRPr="00860E17">
        <w:rPr>
          <w:rFonts w:eastAsia="Times New Roman" w:cs="Arial"/>
          <w:color w:val="000000"/>
        </w:rPr>
        <w:t>mg</w:t>
      </w:r>
      <w:proofErr w:type="spellEnd"/>
      <w:r w:rsidRPr="00860E17">
        <w:rPr>
          <w:rFonts w:eastAsia="Times New Roman" w:cs="Arial"/>
          <w:color w:val="000000"/>
        </w:rPr>
        <w:t xml:space="preserve"> </w:t>
      </w:r>
      <w:r w:rsidRPr="00860E17">
        <w:rPr>
          <w:rFonts w:eastAsia="Times New Roman" w:cs="Arial"/>
          <w:color w:val="000000"/>
          <w:lang w:eastAsia="bg-BG"/>
        </w:rPr>
        <w:t xml:space="preserve">веднъж дневно са характеризирани с помощта на </w:t>
      </w:r>
      <w:proofErr w:type="spellStart"/>
      <w:r w:rsidRPr="00860E17">
        <w:rPr>
          <w:rFonts w:eastAsia="Times New Roman" w:cs="Arial"/>
          <w:color w:val="000000"/>
          <w:lang w:eastAsia="bg-BG"/>
        </w:rPr>
        <w:t>популационно</w:t>
      </w:r>
      <w:proofErr w:type="spellEnd"/>
      <w:r w:rsidRPr="00860E17">
        <w:rPr>
          <w:rFonts w:eastAsia="Times New Roman" w:cs="Arial"/>
          <w:color w:val="000000"/>
          <w:lang w:eastAsia="bg-BG"/>
        </w:rPr>
        <w:t xml:space="preserve">-моделиран анализ на базата на данни от 3 проучвания. Предвидените от модела плазмени концентрации на </w:t>
      </w:r>
      <w:proofErr w:type="spellStart"/>
      <w:r w:rsidRPr="00860E17">
        <w:rPr>
          <w:rFonts w:eastAsia="Times New Roman" w:cs="Arial"/>
          <w:color w:val="000000"/>
          <w:lang w:eastAsia="bg-BG"/>
        </w:rPr>
        <w:t>дулоксетин</w:t>
      </w:r>
      <w:proofErr w:type="spellEnd"/>
      <w:r w:rsidRPr="00860E17">
        <w:rPr>
          <w:rFonts w:eastAsia="Times New Roman" w:cs="Arial"/>
          <w:color w:val="000000"/>
          <w:lang w:eastAsia="bg-BG"/>
        </w:rPr>
        <w:t xml:space="preserve"> в стационарно състояние </w:t>
      </w:r>
      <w:r w:rsidRPr="00860E17">
        <w:rPr>
          <w:rFonts w:eastAsia="Times New Roman" w:cs="Arial"/>
          <w:color w:val="000000"/>
          <w:lang w:eastAsia="bg-BG"/>
        </w:rPr>
        <w:lastRenderedPageBreak/>
        <w:t>при педиатрични пациенти в повечето случаи са в границите на диапазона на концентрациите, наблюдаван при възрастни пациенти.</w:t>
      </w:r>
    </w:p>
    <w:p w14:paraId="1D35BFC5" w14:textId="77777777" w:rsidR="00FD7418" w:rsidRPr="00860E17" w:rsidRDefault="00FD7418" w:rsidP="00FD7418"/>
    <w:p w14:paraId="4FB791BE" w14:textId="0D8C04D2" w:rsidR="00B6672E" w:rsidRPr="00860E17" w:rsidRDefault="002C50EE" w:rsidP="00936AD0">
      <w:pPr>
        <w:pStyle w:val="Heading2"/>
      </w:pPr>
      <w:r w:rsidRPr="00860E17">
        <w:t>5.3. Предклинични данни за безопасност</w:t>
      </w:r>
    </w:p>
    <w:p w14:paraId="4FA1A1CA" w14:textId="06C89063" w:rsidR="00FD7418" w:rsidRPr="00860E17" w:rsidRDefault="00FD7418" w:rsidP="00FD7418"/>
    <w:p w14:paraId="5757DCD0" w14:textId="5C9D33A1" w:rsidR="00FD7418" w:rsidRPr="00860E17" w:rsidRDefault="00FD7418" w:rsidP="00FD7418">
      <w:proofErr w:type="spellStart"/>
      <w:r w:rsidRPr="00860E17">
        <w:t>Дулоксетин</w:t>
      </w:r>
      <w:proofErr w:type="spellEnd"/>
      <w:r w:rsidRPr="00860E17">
        <w:t xml:space="preserve"> не е </w:t>
      </w:r>
      <w:proofErr w:type="spellStart"/>
      <w:r w:rsidRPr="00860E17">
        <w:t>генотоксичен</w:t>
      </w:r>
      <w:proofErr w:type="spellEnd"/>
      <w:r w:rsidRPr="00860E17">
        <w:t xml:space="preserve"> при стандартен набор от тестове, а при плъхове </w:t>
      </w:r>
      <w:r w:rsidRPr="00860E17">
        <w:rPr>
          <w:i/>
          <w:iCs/>
        </w:rPr>
        <w:t>не</w:t>
      </w:r>
      <w:r w:rsidRPr="00860E17">
        <w:t xml:space="preserve"> е карциногенен. При проучване за </w:t>
      </w:r>
      <w:proofErr w:type="spellStart"/>
      <w:r w:rsidRPr="00860E17">
        <w:t>карциногенност</w:t>
      </w:r>
      <w:proofErr w:type="spellEnd"/>
      <w:r w:rsidRPr="00860E17">
        <w:t xml:space="preserve"> при плъхове са наблюдавани многоядрени клетки в черния дроб при отсъствие на други </w:t>
      </w:r>
      <w:proofErr w:type="spellStart"/>
      <w:r w:rsidRPr="00860E17">
        <w:t>хистопатологични</w:t>
      </w:r>
      <w:proofErr w:type="spellEnd"/>
      <w:r w:rsidRPr="00860E17">
        <w:t xml:space="preserve"> промени. Механизмът, който е в основата им и клиничната значимост са неизвестни. Женски мишки получавали </w:t>
      </w:r>
      <w:proofErr w:type="spellStart"/>
      <w:r w:rsidRPr="00860E17">
        <w:t>дулоксетин</w:t>
      </w:r>
      <w:proofErr w:type="spellEnd"/>
      <w:r w:rsidRPr="00860E17">
        <w:t xml:space="preserve"> в продължение на 2 години имат повишена честота на </w:t>
      </w:r>
      <w:proofErr w:type="spellStart"/>
      <w:r w:rsidRPr="00860E17">
        <w:t>хепатоцелуларни</w:t>
      </w:r>
      <w:proofErr w:type="spellEnd"/>
      <w:r w:rsidRPr="00860E17">
        <w:t xml:space="preserve"> </w:t>
      </w:r>
      <w:proofErr w:type="spellStart"/>
      <w:r w:rsidRPr="00860E17">
        <w:t>аденом</w:t>
      </w:r>
      <w:r w:rsidRPr="00860E17">
        <w:rPr>
          <w:u w:val="single"/>
        </w:rPr>
        <w:t>и</w:t>
      </w:r>
      <w:proofErr w:type="spellEnd"/>
      <w:r w:rsidRPr="00860E17">
        <w:rPr>
          <w:u w:val="single"/>
        </w:rPr>
        <w:t xml:space="preserve"> и карц</w:t>
      </w:r>
      <w:r w:rsidRPr="00860E17">
        <w:t xml:space="preserve">иноми само при високите дози (144 </w:t>
      </w:r>
      <w:proofErr w:type="spellStart"/>
      <w:r w:rsidRPr="00860E17">
        <w:t>mg</w:t>
      </w:r>
      <w:proofErr w:type="spellEnd"/>
      <w:r w:rsidRPr="00860E17">
        <w:t>/</w:t>
      </w:r>
      <w:proofErr w:type="spellStart"/>
      <w:r w:rsidRPr="00860E17">
        <w:t>kg</w:t>
      </w:r>
      <w:proofErr w:type="spellEnd"/>
      <w:r w:rsidRPr="00860E17">
        <w:t xml:space="preserve">/дневно), но те са считат като вторични на чернодробната </w:t>
      </w:r>
      <w:proofErr w:type="spellStart"/>
      <w:r w:rsidRPr="00860E17">
        <w:t>микрозомална</w:t>
      </w:r>
      <w:proofErr w:type="spellEnd"/>
      <w:r w:rsidRPr="00860E17">
        <w:t xml:space="preserve"> ензимна индукция. Значимостта на тези данни при мишки по отношение на хората не е известна. Женски плъхове, получавали </w:t>
      </w:r>
      <w:proofErr w:type="spellStart"/>
      <w:r w:rsidRPr="00860E17">
        <w:t>дулоксетин</w:t>
      </w:r>
      <w:proofErr w:type="spellEnd"/>
      <w:r w:rsidRPr="00860E17">
        <w:t xml:space="preserve"> (45 </w:t>
      </w:r>
      <w:proofErr w:type="spellStart"/>
      <w:r w:rsidRPr="00860E17">
        <w:t>mg</w:t>
      </w:r>
      <w:proofErr w:type="spellEnd"/>
      <w:r w:rsidRPr="00860E17">
        <w:t>/</w:t>
      </w:r>
      <w:proofErr w:type="spellStart"/>
      <w:r w:rsidRPr="00860E17">
        <w:t>kg</w:t>
      </w:r>
      <w:proofErr w:type="spellEnd"/>
      <w:r w:rsidRPr="00860E17">
        <w:t xml:space="preserve">/дневно) преди и при </w:t>
      </w:r>
      <w:proofErr w:type="spellStart"/>
      <w:r w:rsidRPr="00860E17">
        <w:t>съвокупление</w:t>
      </w:r>
      <w:proofErr w:type="spellEnd"/>
      <w:r w:rsidRPr="00860E17">
        <w:t xml:space="preserve"> и по време </w:t>
      </w:r>
      <w:r w:rsidRPr="00860E17">
        <w:rPr>
          <w:i/>
          <w:iCs/>
        </w:rPr>
        <w:t>на</w:t>
      </w:r>
      <w:r w:rsidRPr="00860E17">
        <w:t xml:space="preserve"> ранна бременност, са показали намалена консумация на храна от майката и на телесното тегло, нарушаване на цикъла на разгонване, намалени показатели за броя </w:t>
      </w:r>
      <w:proofErr w:type="spellStart"/>
      <w:r w:rsidRPr="00860E17">
        <w:t>живородени</w:t>
      </w:r>
      <w:proofErr w:type="spellEnd"/>
      <w:r w:rsidRPr="00860E17">
        <w:t xml:space="preserve"> и преживяемостта на потомството и забавен растеж на</w:t>
      </w:r>
      <w:r w:rsidR="001D1194" w:rsidRPr="00860E17">
        <w:t xml:space="preserve"> потомството при нива.</w:t>
      </w:r>
    </w:p>
    <w:p w14:paraId="15D28993" w14:textId="48F476F6" w:rsidR="001D1194" w:rsidRPr="00860E17" w:rsidRDefault="001D1194" w:rsidP="00FD7418"/>
    <w:p w14:paraId="1EE3EDE5" w14:textId="77777777" w:rsidR="001D1194" w:rsidRPr="00860E17" w:rsidRDefault="001D1194" w:rsidP="001D1194">
      <w:pPr>
        <w:rPr>
          <w:sz w:val="24"/>
          <w:szCs w:val="24"/>
        </w:rPr>
      </w:pPr>
      <w:r w:rsidRPr="00860E17">
        <w:rPr>
          <w:lang w:eastAsia="bg-BG"/>
        </w:rPr>
        <w:t>Няма специални изисквания.</w:t>
      </w:r>
    </w:p>
    <w:p w14:paraId="292A2144" w14:textId="77777777" w:rsidR="001D1194" w:rsidRPr="00860E17" w:rsidRDefault="001D1194" w:rsidP="001D1194">
      <w:pPr>
        <w:rPr>
          <w:sz w:val="24"/>
          <w:szCs w:val="24"/>
        </w:rPr>
      </w:pPr>
      <w:r w:rsidRPr="00860E17">
        <w:rPr>
          <w:lang w:eastAsia="bg-BG"/>
        </w:rPr>
        <w:t>Неизползваният лекарствен продукт или отпадъчните материали от него трябва да се изхвърлят в съответствие с местните изисквания</w:t>
      </w:r>
    </w:p>
    <w:p w14:paraId="65849BCC" w14:textId="77777777" w:rsidR="001D1194" w:rsidRPr="00860E17" w:rsidRDefault="001D1194" w:rsidP="00FD7418"/>
    <w:p w14:paraId="1BA6531D" w14:textId="45A6D63B" w:rsidR="00B6672E" w:rsidRPr="00860E17" w:rsidRDefault="002C50EE" w:rsidP="00936AD0">
      <w:pPr>
        <w:pStyle w:val="Heading1"/>
      </w:pPr>
      <w:r w:rsidRPr="00860E17">
        <w:t>7. ПРИТЕЖАТЕЛ НА РАЗРЕШЕНИЕТО ЗА УПОТРЕБА</w:t>
      </w:r>
    </w:p>
    <w:p w14:paraId="2C75751E" w14:textId="311AD804" w:rsidR="00FD7418" w:rsidRPr="00860E17" w:rsidRDefault="00FD7418" w:rsidP="00FD7418"/>
    <w:p w14:paraId="6DDDDC4E" w14:textId="067F49BE" w:rsidR="00FD7418" w:rsidRPr="00860E17" w:rsidRDefault="00FD7418" w:rsidP="00FD7418">
      <w:pPr>
        <w:rPr>
          <w:lang w:eastAsia="bg-BG"/>
        </w:rPr>
      </w:pPr>
      <w:r w:rsidRPr="00860E17">
        <w:t xml:space="preserve">KRKA, d. d., </w:t>
      </w:r>
      <w:proofErr w:type="spellStart"/>
      <w:r w:rsidRPr="00860E17">
        <w:t>Novo</w:t>
      </w:r>
      <w:proofErr w:type="spellEnd"/>
      <w:r w:rsidRPr="00860E17">
        <w:t xml:space="preserve"> </w:t>
      </w:r>
      <w:proofErr w:type="spellStart"/>
      <w:r w:rsidRPr="00860E17">
        <w:t>mesto</w:t>
      </w:r>
      <w:proofErr w:type="spellEnd"/>
      <w:r w:rsidRPr="00860E17">
        <w:t xml:space="preserve">, </w:t>
      </w:r>
      <w:proofErr w:type="spellStart"/>
      <w:r w:rsidRPr="00860E17">
        <w:t>Smarjeska</w:t>
      </w:r>
      <w:proofErr w:type="spellEnd"/>
      <w:r w:rsidRPr="00860E17">
        <w:t xml:space="preserve"> </w:t>
      </w:r>
      <w:proofErr w:type="spellStart"/>
      <w:r w:rsidRPr="00860E17">
        <w:t>cesta</w:t>
      </w:r>
      <w:proofErr w:type="spellEnd"/>
      <w:r w:rsidRPr="00860E17">
        <w:t xml:space="preserve"> 6, 8501 </w:t>
      </w:r>
      <w:proofErr w:type="spellStart"/>
      <w:r w:rsidRPr="00860E17">
        <w:t>Novo</w:t>
      </w:r>
      <w:proofErr w:type="spellEnd"/>
      <w:r w:rsidRPr="00860E17">
        <w:t xml:space="preserve"> </w:t>
      </w:r>
      <w:proofErr w:type="spellStart"/>
      <w:r w:rsidRPr="00860E17">
        <w:t>mesto</w:t>
      </w:r>
      <w:proofErr w:type="spellEnd"/>
      <w:r w:rsidRPr="00860E17">
        <w:t xml:space="preserve">, </w:t>
      </w:r>
      <w:r w:rsidRPr="00860E17">
        <w:rPr>
          <w:lang w:eastAsia="bg-BG"/>
        </w:rPr>
        <w:t>Словения</w:t>
      </w:r>
    </w:p>
    <w:p w14:paraId="5C3CA01D" w14:textId="77777777" w:rsidR="00FD7418" w:rsidRPr="00860E17" w:rsidRDefault="00FD7418" w:rsidP="00FD7418">
      <w:pPr>
        <w:rPr>
          <w:sz w:val="24"/>
          <w:szCs w:val="24"/>
        </w:rPr>
      </w:pPr>
    </w:p>
    <w:p w14:paraId="508F3A54" w14:textId="1CD76B2E" w:rsidR="00B6672E" w:rsidRPr="00860E17" w:rsidRDefault="00936AD0" w:rsidP="00936AD0">
      <w:pPr>
        <w:pStyle w:val="Heading1"/>
      </w:pPr>
      <w:r w:rsidRPr="00860E17">
        <w:t>8.</w:t>
      </w:r>
      <w:r w:rsidR="002C50EE" w:rsidRPr="00860E17">
        <w:t>НОМЕР НА РАЗРЕШЕНИЕТО ЗА УПОТРЕБА</w:t>
      </w:r>
    </w:p>
    <w:p w14:paraId="0F3773BE" w14:textId="5D60040F" w:rsidR="00FD7418" w:rsidRPr="00860E17" w:rsidRDefault="00FD7418" w:rsidP="00FD7418"/>
    <w:p w14:paraId="1BBB6E45" w14:textId="77777777" w:rsidR="00FD7418" w:rsidRPr="00860E17" w:rsidRDefault="00FD7418" w:rsidP="00FD7418">
      <w:pPr>
        <w:rPr>
          <w:sz w:val="24"/>
          <w:szCs w:val="24"/>
        </w:rPr>
      </w:pPr>
      <w:proofErr w:type="spellStart"/>
      <w:r w:rsidRPr="00860E17">
        <w:rPr>
          <w:lang w:eastAsia="bg-BG"/>
        </w:rPr>
        <w:t>Дулсевиа</w:t>
      </w:r>
      <w:proofErr w:type="spellEnd"/>
      <w:r w:rsidRPr="00860E17">
        <w:rPr>
          <w:lang w:eastAsia="bg-BG"/>
        </w:rPr>
        <w:t xml:space="preserve"> 30 </w:t>
      </w:r>
      <w:proofErr w:type="spellStart"/>
      <w:r w:rsidRPr="00860E17">
        <w:t>mg</w:t>
      </w:r>
      <w:proofErr w:type="spellEnd"/>
      <w:r w:rsidRPr="00860E17">
        <w:t xml:space="preserve"> </w:t>
      </w:r>
      <w:r w:rsidRPr="00860E17">
        <w:rPr>
          <w:lang w:eastAsia="bg-BG"/>
        </w:rPr>
        <w:t>- Рег.№: 20150179</w:t>
      </w:r>
    </w:p>
    <w:p w14:paraId="00820771" w14:textId="77777777" w:rsidR="00FD7418" w:rsidRPr="00860E17" w:rsidRDefault="00FD7418" w:rsidP="00FD7418">
      <w:pPr>
        <w:rPr>
          <w:sz w:val="24"/>
          <w:szCs w:val="24"/>
        </w:rPr>
      </w:pPr>
      <w:proofErr w:type="spellStart"/>
      <w:r w:rsidRPr="00860E17">
        <w:rPr>
          <w:lang w:eastAsia="bg-BG"/>
        </w:rPr>
        <w:t>Дулсевиа</w:t>
      </w:r>
      <w:proofErr w:type="spellEnd"/>
      <w:r w:rsidRPr="00860E17">
        <w:rPr>
          <w:lang w:eastAsia="bg-BG"/>
        </w:rPr>
        <w:t xml:space="preserve"> 60 </w:t>
      </w:r>
      <w:proofErr w:type="spellStart"/>
      <w:r w:rsidRPr="00860E17">
        <w:t>mg</w:t>
      </w:r>
      <w:proofErr w:type="spellEnd"/>
      <w:r w:rsidRPr="00860E17">
        <w:t xml:space="preserve"> </w:t>
      </w:r>
      <w:r w:rsidRPr="00860E17">
        <w:rPr>
          <w:lang w:eastAsia="bg-BG"/>
        </w:rPr>
        <w:t>- Рег.№: 20150180</w:t>
      </w:r>
    </w:p>
    <w:p w14:paraId="47888A97" w14:textId="77777777" w:rsidR="00FD7418" w:rsidRPr="00860E17" w:rsidRDefault="00FD7418" w:rsidP="00FD7418"/>
    <w:p w14:paraId="2CCB5832" w14:textId="17641A46" w:rsidR="007C605B" w:rsidRPr="00860E17" w:rsidRDefault="002C50EE" w:rsidP="007C605B">
      <w:pPr>
        <w:pStyle w:val="Heading1"/>
      </w:pPr>
      <w:r w:rsidRPr="00860E17">
        <w:t>9. ДАТА НА ПЪРВО РАЗРЕШАВАНЕ/ПОДНОВЯВАНЕ НА РАЗРЕШЕНИЕТО ЗА УПОТРЕБА</w:t>
      </w:r>
    </w:p>
    <w:p w14:paraId="7650A6F3" w14:textId="0F21B479" w:rsidR="00FD7418" w:rsidRPr="00860E17" w:rsidRDefault="00FD7418" w:rsidP="00FD7418"/>
    <w:p w14:paraId="1F0E762F" w14:textId="77777777" w:rsidR="00FD7418" w:rsidRPr="00860E17" w:rsidRDefault="00FD7418" w:rsidP="00FD7418">
      <w:pPr>
        <w:rPr>
          <w:sz w:val="24"/>
          <w:szCs w:val="24"/>
        </w:rPr>
      </w:pPr>
      <w:r w:rsidRPr="00860E17">
        <w:rPr>
          <w:lang w:eastAsia="bg-BG"/>
        </w:rPr>
        <w:t>Дата на първо разрешаване за употреба: 26.05.2015</w:t>
      </w:r>
    </w:p>
    <w:p w14:paraId="08D8B20F" w14:textId="77777777" w:rsidR="00FD7418" w:rsidRPr="00860E17" w:rsidRDefault="00FD7418" w:rsidP="00FD7418">
      <w:pPr>
        <w:rPr>
          <w:sz w:val="24"/>
          <w:szCs w:val="24"/>
        </w:rPr>
      </w:pPr>
      <w:r w:rsidRPr="00860E17">
        <w:rPr>
          <w:lang w:eastAsia="bg-BG"/>
        </w:rPr>
        <w:t>Дата на последно подновяване: 13.04.2020</w:t>
      </w:r>
    </w:p>
    <w:p w14:paraId="1B154F50" w14:textId="77777777" w:rsidR="00FD7418" w:rsidRPr="00860E17" w:rsidRDefault="00FD7418" w:rsidP="00FD7418"/>
    <w:p w14:paraId="0E9D0119" w14:textId="0245C6D7" w:rsidR="002C50EE" w:rsidRPr="00860E17" w:rsidRDefault="002C50EE" w:rsidP="002C50EE">
      <w:pPr>
        <w:pStyle w:val="Heading1"/>
      </w:pPr>
      <w:r w:rsidRPr="00860E17">
        <w:t>10. ДАТА НА АКТУАЛИЗИРАНЕ НА ТЕКСТА</w:t>
      </w:r>
    </w:p>
    <w:bookmarkEnd w:id="0"/>
    <w:p w14:paraId="6A770F62" w14:textId="77777777" w:rsidR="00FD7418" w:rsidRPr="00860E17" w:rsidRDefault="00FD7418" w:rsidP="00FD7418">
      <w:pPr>
        <w:rPr>
          <w:sz w:val="24"/>
          <w:szCs w:val="24"/>
        </w:rPr>
      </w:pPr>
      <w:r w:rsidRPr="00860E17">
        <w:rPr>
          <w:lang w:eastAsia="bg-BG"/>
        </w:rPr>
        <w:t>26 Декември 2021</w:t>
      </w:r>
    </w:p>
    <w:p w14:paraId="43FB38A2" w14:textId="689F8F04" w:rsidR="007C605B" w:rsidRPr="00860E17" w:rsidRDefault="007C605B" w:rsidP="00B6672E"/>
    <w:sectPr w:rsidR="007C605B" w:rsidRPr="00860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139E" w14:textId="77777777" w:rsidR="00BE533D" w:rsidRDefault="00BE533D" w:rsidP="00BE533D">
      <w:pPr>
        <w:spacing w:line="240" w:lineRule="auto"/>
      </w:pPr>
      <w:r>
        <w:separator/>
      </w:r>
    </w:p>
  </w:endnote>
  <w:endnote w:type="continuationSeparator" w:id="0">
    <w:p w14:paraId="45361754" w14:textId="77777777" w:rsidR="00BE533D" w:rsidRDefault="00BE533D" w:rsidP="00BE5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D438" w14:textId="77777777" w:rsidR="00BE533D" w:rsidRDefault="00BE533D" w:rsidP="00BE533D">
      <w:pPr>
        <w:spacing w:line="240" w:lineRule="auto"/>
      </w:pPr>
      <w:r>
        <w:separator/>
      </w:r>
    </w:p>
  </w:footnote>
  <w:footnote w:type="continuationSeparator" w:id="0">
    <w:p w14:paraId="620634C9" w14:textId="77777777" w:rsidR="00BE533D" w:rsidRDefault="00BE533D" w:rsidP="00BE53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904290073">
    <w:abstractNumId w:val="28"/>
  </w:num>
  <w:num w:numId="2" w16cid:durableId="1422141734">
    <w:abstractNumId w:val="0"/>
  </w:num>
  <w:num w:numId="3" w16cid:durableId="41709498">
    <w:abstractNumId w:val="14"/>
  </w:num>
  <w:num w:numId="4" w16cid:durableId="1827823152">
    <w:abstractNumId w:val="3"/>
  </w:num>
  <w:num w:numId="5" w16cid:durableId="1464427911">
    <w:abstractNumId w:val="1"/>
  </w:num>
  <w:num w:numId="6" w16cid:durableId="1852330943">
    <w:abstractNumId w:val="17"/>
  </w:num>
  <w:num w:numId="7" w16cid:durableId="1278684547">
    <w:abstractNumId w:val="12"/>
  </w:num>
  <w:num w:numId="8" w16cid:durableId="1785152349">
    <w:abstractNumId w:val="16"/>
  </w:num>
  <w:num w:numId="9" w16cid:durableId="168377361">
    <w:abstractNumId w:val="2"/>
  </w:num>
  <w:num w:numId="10" w16cid:durableId="1924146332">
    <w:abstractNumId w:val="4"/>
  </w:num>
  <w:num w:numId="11" w16cid:durableId="590285963">
    <w:abstractNumId w:val="31"/>
  </w:num>
  <w:num w:numId="12" w16cid:durableId="616253899">
    <w:abstractNumId w:val="15"/>
  </w:num>
  <w:num w:numId="13" w16cid:durableId="633489016">
    <w:abstractNumId w:val="20"/>
  </w:num>
  <w:num w:numId="14" w16cid:durableId="1501001124">
    <w:abstractNumId w:val="13"/>
  </w:num>
  <w:num w:numId="15" w16cid:durableId="621109585">
    <w:abstractNumId w:val="30"/>
  </w:num>
  <w:num w:numId="16" w16cid:durableId="109396435">
    <w:abstractNumId w:val="11"/>
  </w:num>
  <w:num w:numId="17" w16cid:durableId="1267425308">
    <w:abstractNumId w:val="25"/>
  </w:num>
  <w:num w:numId="18" w16cid:durableId="663554002">
    <w:abstractNumId w:val="8"/>
  </w:num>
  <w:num w:numId="19" w16cid:durableId="665741333">
    <w:abstractNumId w:val="27"/>
  </w:num>
  <w:num w:numId="20" w16cid:durableId="62529015">
    <w:abstractNumId w:val="24"/>
  </w:num>
  <w:num w:numId="21" w16cid:durableId="1067924318">
    <w:abstractNumId w:val="18"/>
  </w:num>
  <w:num w:numId="22" w16cid:durableId="1014573235">
    <w:abstractNumId w:val="26"/>
  </w:num>
  <w:num w:numId="23" w16cid:durableId="1609048510">
    <w:abstractNumId w:val="19"/>
  </w:num>
  <w:num w:numId="24" w16cid:durableId="1694304819">
    <w:abstractNumId w:val="9"/>
  </w:num>
  <w:num w:numId="25" w16cid:durableId="1412238506">
    <w:abstractNumId w:val="23"/>
  </w:num>
  <w:num w:numId="26" w16cid:durableId="923488021">
    <w:abstractNumId w:val="22"/>
  </w:num>
  <w:num w:numId="27" w16cid:durableId="1331524328">
    <w:abstractNumId w:val="32"/>
  </w:num>
  <w:num w:numId="28" w16cid:durableId="1660646720">
    <w:abstractNumId w:val="6"/>
  </w:num>
  <w:num w:numId="29" w16cid:durableId="1519734695">
    <w:abstractNumId w:val="21"/>
  </w:num>
  <w:num w:numId="30" w16cid:durableId="765272068">
    <w:abstractNumId w:val="35"/>
  </w:num>
  <w:num w:numId="31" w16cid:durableId="1476802309">
    <w:abstractNumId w:val="5"/>
  </w:num>
  <w:num w:numId="32" w16cid:durableId="1371615199">
    <w:abstractNumId w:val="34"/>
  </w:num>
  <w:num w:numId="33" w16cid:durableId="1224875351">
    <w:abstractNumId w:val="29"/>
  </w:num>
  <w:num w:numId="34" w16cid:durableId="999772212">
    <w:abstractNumId w:val="33"/>
  </w:num>
  <w:num w:numId="35" w16cid:durableId="320891840">
    <w:abstractNumId w:val="7"/>
  </w:num>
  <w:num w:numId="36" w16cid:durableId="11537226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00"/>
    <w:rsid w:val="000534CE"/>
    <w:rsid w:val="00185A46"/>
    <w:rsid w:val="001915B6"/>
    <w:rsid w:val="001D1194"/>
    <w:rsid w:val="001D1B23"/>
    <w:rsid w:val="002B3C38"/>
    <w:rsid w:val="002B4DBB"/>
    <w:rsid w:val="002C50EE"/>
    <w:rsid w:val="00340A0A"/>
    <w:rsid w:val="003765DC"/>
    <w:rsid w:val="00395555"/>
    <w:rsid w:val="003E3126"/>
    <w:rsid w:val="00426E5F"/>
    <w:rsid w:val="00473C03"/>
    <w:rsid w:val="004A448E"/>
    <w:rsid w:val="004D4D6B"/>
    <w:rsid w:val="004F1CE7"/>
    <w:rsid w:val="004F498A"/>
    <w:rsid w:val="00517A5B"/>
    <w:rsid w:val="00593A00"/>
    <w:rsid w:val="005A66D9"/>
    <w:rsid w:val="00605BCA"/>
    <w:rsid w:val="006158A1"/>
    <w:rsid w:val="00617B1F"/>
    <w:rsid w:val="00672487"/>
    <w:rsid w:val="00672600"/>
    <w:rsid w:val="00681D4A"/>
    <w:rsid w:val="00685882"/>
    <w:rsid w:val="006D7EAD"/>
    <w:rsid w:val="007122AD"/>
    <w:rsid w:val="0075649D"/>
    <w:rsid w:val="007C605B"/>
    <w:rsid w:val="008134C8"/>
    <w:rsid w:val="00814073"/>
    <w:rsid w:val="00826F0D"/>
    <w:rsid w:val="00860E17"/>
    <w:rsid w:val="00893B92"/>
    <w:rsid w:val="008A6AF2"/>
    <w:rsid w:val="008C70A2"/>
    <w:rsid w:val="00936AD0"/>
    <w:rsid w:val="009773E4"/>
    <w:rsid w:val="009B171C"/>
    <w:rsid w:val="009E5AB1"/>
    <w:rsid w:val="009F1313"/>
    <w:rsid w:val="00A20351"/>
    <w:rsid w:val="00A65A81"/>
    <w:rsid w:val="00AA23EC"/>
    <w:rsid w:val="00AC63CE"/>
    <w:rsid w:val="00AE2107"/>
    <w:rsid w:val="00B25104"/>
    <w:rsid w:val="00B275A8"/>
    <w:rsid w:val="00B6672E"/>
    <w:rsid w:val="00BE533D"/>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 w:val="00FD7418"/>
    <w:rsid w:val="00FF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33D"/>
    <w:pPr>
      <w:tabs>
        <w:tab w:val="center" w:pos="4680"/>
        <w:tab w:val="right" w:pos="9360"/>
      </w:tabs>
      <w:spacing w:line="240" w:lineRule="auto"/>
    </w:pPr>
  </w:style>
  <w:style w:type="character" w:customStyle="1" w:styleId="HeaderChar">
    <w:name w:val="Header Char"/>
    <w:basedOn w:val="DefaultParagraphFont"/>
    <w:link w:val="Header"/>
    <w:uiPriority w:val="99"/>
    <w:rsid w:val="00BE533D"/>
    <w:rPr>
      <w:rFonts w:ascii="Arial" w:hAnsi="Arial"/>
      <w:lang w:val="bg-BG"/>
    </w:rPr>
  </w:style>
  <w:style w:type="paragraph" w:styleId="Footer">
    <w:name w:val="footer"/>
    <w:basedOn w:val="Normal"/>
    <w:link w:val="FooterChar"/>
    <w:uiPriority w:val="99"/>
    <w:unhideWhenUsed/>
    <w:rsid w:val="00BE533D"/>
    <w:pPr>
      <w:tabs>
        <w:tab w:val="center" w:pos="4680"/>
        <w:tab w:val="right" w:pos="9360"/>
      </w:tabs>
      <w:spacing w:line="240" w:lineRule="auto"/>
    </w:pPr>
  </w:style>
  <w:style w:type="character" w:customStyle="1" w:styleId="FooterChar">
    <w:name w:val="Footer Char"/>
    <w:basedOn w:val="DefaultParagraphFont"/>
    <w:link w:val="Footer"/>
    <w:uiPriority w:val="99"/>
    <w:rsid w:val="00BE533D"/>
    <w:rPr>
      <w:rFonts w:ascii="Arial" w:hAnsi="Arial"/>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d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8097</Words>
  <Characters>46155</Characters>
  <Application>Microsoft Office Word</Application>
  <DocSecurity>0</DocSecurity>
  <Lines>384</Lines>
  <Paragraphs>108</Paragraphs>
  <ScaleCrop>false</ScaleCrop>
  <Company/>
  <LinksUpToDate>false</LinksUpToDate>
  <CharactersWithSpaces>54144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2022-08-02T12:12:00Z</dcterms:created>
  <dcterms:modified xsi:type="dcterms:W3CDTF">2022-08-02T12:12:00Z</dcterms:modified>
</cp:coreProperties>
</file>