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3ECAACD6" w:rsidR="007122AD" w:rsidRDefault="00DD466D" w:rsidP="00936AD0">
      <w:pPr>
        <w:pStyle w:val="Heading1"/>
      </w:pPr>
      <w:r>
        <w:t>1.ИМЕ НА ЛЕКАРСТВЕНИЯ ПРОДУКТ</w:t>
      </w:r>
    </w:p>
    <w:p w14:paraId="00555D9F" w14:textId="65F54200" w:rsidR="000616C6" w:rsidRDefault="000616C6" w:rsidP="000616C6"/>
    <w:p w14:paraId="60FBE32C" w14:textId="77777777" w:rsidR="000616C6" w:rsidRPr="000616C6" w:rsidRDefault="000616C6" w:rsidP="000616C6">
      <w:pPr>
        <w:rPr>
          <w:sz w:val="24"/>
          <w:szCs w:val="24"/>
        </w:rPr>
      </w:pPr>
      <w:r w:rsidRPr="000616C6">
        <w:rPr>
          <w:lang w:eastAsia="bg-BG"/>
        </w:rPr>
        <w:t xml:space="preserve">Дуодопа 20 </w:t>
      </w:r>
      <w:r w:rsidRPr="000616C6">
        <w:rPr>
          <w:lang w:val="en-US"/>
        </w:rPr>
        <w:t>mg</w:t>
      </w:r>
      <w:r w:rsidRPr="000616C6">
        <w:rPr>
          <w:lang w:val="ru-RU"/>
        </w:rPr>
        <w:t>/</w:t>
      </w:r>
      <w:r w:rsidRPr="000616C6">
        <w:rPr>
          <w:lang w:val="en-US"/>
        </w:rPr>
        <w:t>ml</w:t>
      </w:r>
      <w:r w:rsidRPr="000616C6">
        <w:rPr>
          <w:lang w:val="ru-RU"/>
        </w:rPr>
        <w:t xml:space="preserve"> </w:t>
      </w:r>
      <w:r w:rsidRPr="000616C6">
        <w:rPr>
          <w:lang w:eastAsia="bg-BG"/>
        </w:rPr>
        <w:t xml:space="preserve">+ 5 </w:t>
      </w:r>
      <w:r w:rsidRPr="000616C6">
        <w:rPr>
          <w:lang w:val="en-US"/>
        </w:rPr>
        <w:t>mg</w:t>
      </w:r>
      <w:r w:rsidRPr="000616C6">
        <w:rPr>
          <w:lang w:val="ru-RU"/>
        </w:rPr>
        <w:t>/</w:t>
      </w:r>
      <w:r w:rsidRPr="000616C6">
        <w:rPr>
          <w:lang w:val="en-US"/>
        </w:rPr>
        <w:t>ml</w:t>
      </w:r>
      <w:r w:rsidRPr="000616C6">
        <w:rPr>
          <w:lang w:val="ru-RU"/>
        </w:rPr>
        <w:t xml:space="preserve"> </w:t>
      </w:r>
      <w:r w:rsidRPr="000616C6">
        <w:rPr>
          <w:lang w:eastAsia="bg-BG"/>
        </w:rPr>
        <w:t>гел за прилагане в червата</w:t>
      </w:r>
    </w:p>
    <w:p w14:paraId="3A46F689" w14:textId="77777777" w:rsidR="000616C6" w:rsidRPr="000616C6" w:rsidRDefault="000616C6" w:rsidP="000616C6">
      <w:pPr>
        <w:rPr>
          <w:sz w:val="24"/>
          <w:szCs w:val="24"/>
        </w:rPr>
      </w:pPr>
      <w:proofErr w:type="spellStart"/>
      <w:r w:rsidRPr="000616C6">
        <w:rPr>
          <w:lang w:val="en-US"/>
        </w:rPr>
        <w:t>Duodopa</w:t>
      </w:r>
      <w:proofErr w:type="spellEnd"/>
      <w:r w:rsidRPr="000616C6">
        <w:rPr>
          <w:lang w:val="en-US"/>
        </w:rPr>
        <w:t xml:space="preserve"> </w:t>
      </w:r>
      <w:r w:rsidRPr="000616C6">
        <w:rPr>
          <w:lang w:eastAsia="bg-BG"/>
        </w:rPr>
        <w:t xml:space="preserve">20 </w:t>
      </w:r>
      <w:r w:rsidRPr="000616C6">
        <w:rPr>
          <w:lang w:val="en-US"/>
        </w:rPr>
        <w:t xml:space="preserve">mg/ml </w:t>
      </w:r>
      <w:r w:rsidRPr="000616C6">
        <w:rPr>
          <w:lang w:eastAsia="bg-BG"/>
        </w:rPr>
        <w:t xml:space="preserve">+ </w:t>
      </w:r>
      <w:proofErr w:type="gramStart"/>
      <w:r w:rsidRPr="000616C6">
        <w:rPr>
          <w:lang w:eastAsia="bg-BG"/>
        </w:rPr>
        <w:t>5</w:t>
      </w:r>
      <w:proofErr w:type="gramEnd"/>
      <w:r w:rsidRPr="000616C6">
        <w:rPr>
          <w:lang w:eastAsia="bg-BG"/>
        </w:rPr>
        <w:t xml:space="preserve"> </w:t>
      </w:r>
      <w:r w:rsidRPr="000616C6">
        <w:rPr>
          <w:lang w:val="en-US"/>
        </w:rPr>
        <w:t>mg/ml intestinal gel</w:t>
      </w:r>
    </w:p>
    <w:p w14:paraId="0CF1DE69" w14:textId="77777777" w:rsidR="000616C6" w:rsidRPr="000616C6" w:rsidRDefault="000616C6" w:rsidP="000616C6"/>
    <w:p w14:paraId="6920A680" w14:textId="4F6CC0A8" w:rsidR="00C40420" w:rsidRDefault="00DD466D" w:rsidP="004A448E">
      <w:pPr>
        <w:pStyle w:val="Heading1"/>
      </w:pPr>
      <w:r>
        <w:t>2. КАЧЕСТВЕН И КОЛИЧЕСТВЕН СЪСТАВ</w:t>
      </w:r>
    </w:p>
    <w:p w14:paraId="1A27D389" w14:textId="04EAF4D5" w:rsidR="000616C6" w:rsidRDefault="000616C6" w:rsidP="000616C6"/>
    <w:p w14:paraId="44BF3C7C" w14:textId="7A212247" w:rsidR="000616C6" w:rsidRPr="000616C6" w:rsidRDefault="000616C6" w:rsidP="000616C6">
      <w:pPr>
        <w:rPr>
          <w:sz w:val="24"/>
          <w:szCs w:val="24"/>
        </w:rPr>
      </w:pPr>
      <w:r w:rsidRPr="000616C6">
        <w:rPr>
          <w:lang w:eastAsia="bg-BG"/>
        </w:rPr>
        <w:t xml:space="preserve">1 </w:t>
      </w:r>
      <w:r w:rsidRPr="000616C6">
        <w:rPr>
          <w:lang w:val="en-US"/>
        </w:rPr>
        <w:t>ml</w:t>
      </w:r>
      <w:r w:rsidRPr="000616C6">
        <w:t xml:space="preserve"> </w:t>
      </w:r>
      <w:r w:rsidRPr="000616C6">
        <w:rPr>
          <w:lang w:eastAsia="bg-BG"/>
        </w:rPr>
        <w:t xml:space="preserve">гел съдържа 20 </w:t>
      </w:r>
      <w:r w:rsidRPr="000616C6">
        <w:rPr>
          <w:lang w:val="en-US"/>
        </w:rPr>
        <w:t>mg</w:t>
      </w:r>
      <w:r w:rsidRPr="000616C6">
        <w:t xml:space="preserve"> </w:t>
      </w:r>
      <w:r w:rsidRPr="000616C6">
        <w:rPr>
          <w:lang w:eastAsia="bg-BG"/>
        </w:rPr>
        <w:t xml:space="preserve">леводопа </w:t>
      </w:r>
      <w:r w:rsidRPr="000616C6">
        <w:t>(</w:t>
      </w:r>
      <w:r w:rsidRPr="000616C6">
        <w:rPr>
          <w:lang w:val="en-US"/>
        </w:rPr>
        <w:t>levodopa</w:t>
      </w:r>
      <w:r w:rsidRPr="000616C6">
        <w:t xml:space="preserve">) </w:t>
      </w:r>
      <w:r w:rsidRPr="000616C6">
        <w:rPr>
          <w:lang w:eastAsia="bg-BG"/>
        </w:rPr>
        <w:t xml:space="preserve">и 5 </w:t>
      </w:r>
      <w:r w:rsidRPr="000616C6">
        <w:rPr>
          <w:lang w:val="en-US"/>
        </w:rPr>
        <w:t>mg</w:t>
      </w:r>
      <w:r w:rsidRPr="000616C6">
        <w:t xml:space="preserve"> </w:t>
      </w:r>
      <w:r w:rsidRPr="000616C6">
        <w:rPr>
          <w:lang w:eastAsia="bg-BG"/>
        </w:rPr>
        <w:t xml:space="preserve">карбидопа монохидрат </w:t>
      </w:r>
      <w:r w:rsidRPr="000616C6">
        <w:t>(</w:t>
      </w:r>
      <w:r w:rsidRPr="000616C6">
        <w:rPr>
          <w:lang w:val="en-US"/>
        </w:rPr>
        <w:t>carbidopa</w:t>
      </w:r>
      <w:r w:rsidRPr="000616C6">
        <w:t xml:space="preserve"> </w:t>
      </w:r>
      <w:r w:rsidRPr="000616C6">
        <w:rPr>
          <w:lang w:val="en-US"/>
        </w:rPr>
        <w:t>monohydrate</w:t>
      </w:r>
      <w:r w:rsidRPr="000616C6">
        <w:t xml:space="preserve">). </w:t>
      </w:r>
      <w:r w:rsidRPr="000616C6">
        <w:rPr>
          <w:lang w:eastAsia="bg-BG"/>
        </w:rPr>
        <w:t xml:space="preserve">100 </w:t>
      </w:r>
      <w:r w:rsidRPr="000616C6">
        <w:rPr>
          <w:lang w:val="en-US"/>
        </w:rPr>
        <w:t xml:space="preserve">ml </w:t>
      </w:r>
      <w:r w:rsidRPr="000616C6">
        <w:rPr>
          <w:lang w:eastAsia="bg-BG"/>
        </w:rPr>
        <w:t xml:space="preserve">съдържат </w:t>
      </w:r>
      <w:r w:rsidRPr="000616C6">
        <w:rPr>
          <w:lang w:val="en-US"/>
        </w:rPr>
        <w:t xml:space="preserve">2000 mg </w:t>
      </w:r>
      <w:r w:rsidRPr="000616C6">
        <w:rPr>
          <w:lang w:eastAsia="bg-BG"/>
        </w:rPr>
        <w:t xml:space="preserve">леводопа и 500 </w:t>
      </w:r>
      <w:r w:rsidRPr="000616C6">
        <w:rPr>
          <w:lang w:val="en-US"/>
        </w:rPr>
        <w:t xml:space="preserve">mg </w:t>
      </w:r>
      <w:r w:rsidRPr="000616C6">
        <w:rPr>
          <w:lang w:eastAsia="bg-BG"/>
        </w:rPr>
        <w:t>карбидопа монохидрат.</w:t>
      </w:r>
    </w:p>
    <w:p w14:paraId="614984C4" w14:textId="6EBE9E2D" w:rsidR="008A6AF2" w:rsidRDefault="00DD466D" w:rsidP="002C50EE">
      <w:pPr>
        <w:pStyle w:val="Heading1"/>
      </w:pPr>
      <w:r>
        <w:t>3. ЛЕКАРСТВЕНА ФОРМА</w:t>
      </w:r>
    </w:p>
    <w:p w14:paraId="21C71DF5" w14:textId="6ED51259" w:rsidR="000616C6" w:rsidRDefault="000616C6" w:rsidP="000616C6"/>
    <w:p w14:paraId="35D184D3" w14:textId="77777777" w:rsidR="000616C6" w:rsidRPr="000616C6" w:rsidRDefault="000616C6" w:rsidP="000616C6">
      <w:pPr>
        <w:rPr>
          <w:sz w:val="24"/>
          <w:szCs w:val="24"/>
        </w:rPr>
      </w:pPr>
      <w:r w:rsidRPr="000616C6">
        <w:rPr>
          <w:lang w:eastAsia="bg-BG"/>
        </w:rPr>
        <w:t>Гел за прилагане в червата.</w:t>
      </w:r>
    </w:p>
    <w:p w14:paraId="6AFFC550" w14:textId="77777777" w:rsidR="000616C6" w:rsidRDefault="000616C6" w:rsidP="000616C6">
      <w:pPr>
        <w:rPr>
          <w:lang w:eastAsia="bg-BG"/>
        </w:rPr>
      </w:pPr>
    </w:p>
    <w:p w14:paraId="41E165F9" w14:textId="7F11DAB1" w:rsidR="000616C6" w:rsidRPr="000616C6" w:rsidRDefault="000616C6" w:rsidP="000616C6">
      <w:pPr>
        <w:rPr>
          <w:sz w:val="24"/>
          <w:szCs w:val="24"/>
        </w:rPr>
      </w:pPr>
      <w:r w:rsidRPr="000616C6">
        <w:rPr>
          <w:lang w:eastAsia="bg-BG"/>
        </w:rPr>
        <w:t>Почти бял до леко жълт гел.</w:t>
      </w:r>
    </w:p>
    <w:p w14:paraId="7F2DD212" w14:textId="77777777" w:rsidR="000616C6" w:rsidRPr="000616C6" w:rsidRDefault="000616C6" w:rsidP="000616C6"/>
    <w:p w14:paraId="490FC2C4" w14:textId="0F4A4A75" w:rsidR="002C50EE" w:rsidRDefault="002C50EE" w:rsidP="002C50EE">
      <w:pPr>
        <w:pStyle w:val="Heading1"/>
      </w:pPr>
      <w:r>
        <w:t>4. КЛИНИЧНИ ДАННИ</w:t>
      </w:r>
    </w:p>
    <w:p w14:paraId="74330405" w14:textId="642CE485" w:rsidR="007122AD" w:rsidRDefault="002C50EE" w:rsidP="00936AD0">
      <w:pPr>
        <w:pStyle w:val="Heading2"/>
      </w:pPr>
      <w:r>
        <w:t>4.1. Терапевтични показания</w:t>
      </w:r>
    </w:p>
    <w:p w14:paraId="29479D5B" w14:textId="3B6C7A22" w:rsidR="000616C6" w:rsidRDefault="000616C6" w:rsidP="000616C6"/>
    <w:p w14:paraId="7416F922" w14:textId="77777777" w:rsidR="000616C6" w:rsidRPr="000616C6" w:rsidRDefault="000616C6" w:rsidP="000616C6">
      <w:pPr>
        <w:rPr>
          <w:sz w:val="24"/>
          <w:szCs w:val="24"/>
        </w:rPr>
      </w:pPr>
      <w:r w:rsidRPr="000616C6">
        <w:rPr>
          <w:lang w:eastAsia="bg-BG"/>
        </w:rPr>
        <w:t>За лечение на напреднала болест на Паркинсон, повлияваща се от лечение с леводопа, с тежки моторни флуктуации и хиперкинезия или дискинезия, когато с наличните комбинации от антипаркинсонови лекарствени продукти не са постигнати задоволителни резултати.</w:t>
      </w:r>
    </w:p>
    <w:p w14:paraId="4B964E88" w14:textId="77777777" w:rsidR="000616C6" w:rsidRPr="000616C6" w:rsidRDefault="000616C6" w:rsidP="000616C6"/>
    <w:p w14:paraId="53F5B866" w14:textId="30608C48" w:rsidR="007122AD" w:rsidRDefault="002C50EE" w:rsidP="00936AD0">
      <w:pPr>
        <w:pStyle w:val="Heading2"/>
      </w:pPr>
      <w:r>
        <w:t>4.2. Дозировка и начин на приложение</w:t>
      </w:r>
    </w:p>
    <w:p w14:paraId="02F2749C" w14:textId="2A703EF8" w:rsidR="000616C6" w:rsidRDefault="000616C6" w:rsidP="000616C6"/>
    <w:p w14:paraId="7D4E4C70"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Дуодопа е гел за продължително приложение в червата. За продължителното му въвеждане гелът трябва да се прилага с преносима помпа директно в дуоденума или горния йеюнум с постоянна сонда чрез перкутанна ендоскопска гастростомия с външна транс-абдоминална тръба и вътрешна интестинална тръба. Алтернативно може да се има предвид рентгенографска гастро-йеюностомия, ако по някаква причина перкутанната ендоскопска гастростомия не е подходяща. Поставянето на трансабдоминалния порт и уточняването на дозата трябва да се направи в колаборация с неврологична клиника.</w:t>
      </w:r>
    </w:p>
    <w:p w14:paraId="66CDD4DA" w14:textId="77777777" w:rsidR="000616C6" w:rsidRPr="000616C6" w:rsidRDefault="000616C6" w:rsidP="000616C6">
      <w:pPr>
        <w:rPr>
          <w:rFonts w:eastAsia="Times New Roman" w:cs="Arial"/>
          <w:color w:val="000000"/>
          <w:lang w:eastAsia="bg-BG"/>
        </w:rPr>
      </w:pPr>
    </w:p>
    <w:p w14:paraId="2F2C6FB6" w14:textId="016B9BEC" w:rsidR="000616C6" w:rsidRPr="000616C6" w:rsidRDefault="000616C6" w:rsidP="000616C6">
      <w:pPr>
        <w:rPr>
          <w:rFonts w:eastAsia="Times New Roman" w:cs="Arial"/>
          <w:color w:val="000000"/>
          <w:lang w:eastAsia="bg-BG"/>
        </w:rPr>
      </w:pPr>
      <w:r w:rsidRPr="000616C6">
        <w:rPr>
          <w:rFonts w:eastAsia="Times New Roman" w:cs="Arial"/>
          <w:color w:val="000000"/>
          <w:lang w:eastAsia="bg-BG"/>
        </w:rPr>
        <w:t xml:space="preserve">Преди поставянето на постоянна перкутанна ендоскопска гастростомия с йеюнална сонда </w:t>
      </w:r>
      <w:r w:rsidRPr="000616C6">
        <w:rPr>
          <w:rFonts w:eastAsia="Times New Roman" w:cs="Arial"/>
          <w:color w:val="000000"/>
          <w:lang w:val="ru-RU"/>
        </w:rPr>
        <w:t>(</w:t>
      </w:r>
      <w:r w:rsidRPr="000616C6">
        <w:rPr>
          <w:rFonts w:eastAsia="Times New Roman" w:cs="Arial"/>
          <w:color w:val="000000"/>
          <w:lang w:val="en-US"/>
        </w:rPr>
        <w:t>PEG</w:t>
      </w:r>
      <w:r w:rsidRPr="000616C6">
        <w:rPr>
          <w:rFonts w:eastAsia="Times New Roman" w:cs="Arial"/>
          <w:color w:val="000000"/>
          <w:lang w:val="ru-RU"/>
        </w:rPr>
        <w:t>-</w:t>
      </w:r>
      <w:r w:rsidRPr="000616C6">
        <w:rPr>
          <w:rFonts w:eastAsia="Times New Roman" w:cs="Arial"/>
          <w:color w:val="000000"/>
          <w:lang w:val="en-US"/>
        </w:rPr>
        <w:t>J</w:t>
      </w:r>
      <w:r w:rsidRPr="000616C6">
        <w:rPr>
          <w:rFonts w:eastAsia="Times New Roman" w:cs="Arial"/>
          <w:color w:val="000000"/>
          <w:lang w:val="ru-RU"/>
        </w:rPr>
        <w:t xml:space="preserve">) </w:t>
      </w:r>
      <w:r w:rsidRPr="000616C6">
        <w:rPr>
          <w:rFonts w:eastAsia="Times New Roman" w:cs="Arial"/>
          <w:color w:val="000000"/>
          <w:lang w:eastAsia="bg-BG"/>
        </w:rPr>
        <w:t xml:space="preserve">трябва да се помисли за временна назодуоденална/назойеюнална сонда, за да се определи дали пациентът се повлиява благоприятно от този метод на лечение. В случаите, когато лекарят прецени, че такава оценка не е необходима, тестването с назо-йеюналната сонда може да се пропусне и лечението да започне направо с поставяне на </w:t>
      </w:r>
      <w:r w:rsidRPr="000616C6">
        <w:rPr>
          <w:rFonts w:eastAsia="Times New Roman" w:cs="Arial"/>
          <w:color w:val="000000"/>
          <w:lang w:val="en-US"/>
        </w:rPr>
        <w:t>PEG</w:t>
      </w:r>
      <w:r w:rsidRPr="000616C6">
        <w:rPr>
          <w:rFonts w:eastAsia="Times New Roman" w:cs="Arial"/>
          <w:color w:val="000000"/>
          <w:lang w:val="ru-RU"/>
        </w:rPr>
        <w:t>-</w:t>
      </w:r>
      <w:r w:rsidRPr="000616C6">
        <w:rPr>
          <w:rFonts w:eastAsia="Times New Roman" w:cs="Arial"/>
          <w:color w:val="000000"/>
          <w:lang w:val="en-US"/>
        </w:rPr>
        <w:t>J</w:t>
      </w:r>
      <w:r w:rsidRPr="000616C6">
        <w:rPr>
          <w:rFonts w:eastAsia="Times New Roman" w:cs="Arial"/>
          <w:color w:val="000000"/>
          <w:lang w:val="ru-RU"/>
        </w:rPr>
        <w:t xml:space="preserve">. </w:t>
      </w:r>
      <w:r w:rsidRPr="000616C6">
        <w:rPr>
          <w:rFonts w:eastAsia="Times New Roman" w:cs="Arial"/>
          <w:color w:val="000000"/>
          <w:lang w:eastAsia="bg-BG"/>
        </w:rPr>
        <w:t xml:space="preserve">Дозата трябва да се адаптира до получаване на оптимален клиничен отговор за всеки отделен пациент, което означава увеличаване до максимум на времето на </w:t>
      </w:r>
      <w:r w:rsidRPr="000616C6">
        <w:rPr>
          <w:rFonts w:eastAsia="Times New Roman" w:cs="Arial"/>
          <w:color w:val="000000"/>
          <w:lang w:eastAsia="bg-BG"/>
        </w:rPr>
        <w:lastRenderedPageBreak/>
        <w:t xml:space="preserve">нормалното функциониране </w:t>
      </w:r>
      <w:r w:rsidRPr="000616C6">
        <w:rPr>
          <w:rFonts w:eastAsia="Times New Roman" w:cs="Arial"/>
          <w:color w:val="000000"/>
          <w:lang w:val="ru-RU"/>
        </w:rPr>
        <w:t>(</w:t>
      </w:r>
      <w:r w:rsidRPr="000616C6">
        <w:rPr>
          <w:rFonts w:eastAsia="Times New Roman" w:cs="Arial"/>
          <w:color w:val="000000"/>
          <w:lang w:val="en-US"/>
        </w:rPr>
        <w:t>ON</w:t>
      </w:r>
      <w:r w:rsidRPr="000616C6">
        <w:rPr>
          <w:rFonts w:eastAsia="Times New Roman" w:cs="Arial"/>
          <w:color w:val="000000"/>
          <w:lang w:eastAsia="bg-BG"/>
        </w:rPr>
        <w:t xml:space="preserve">-време) през деня чрез свеждане до минимум на броя и продължителността на </w:t>
      </w:r>
      <w:r w:rsidRPr="000616C6">
        <w:rPr>
          <w:rFonts w:eastAsia="Times New Roman" w:cs="Arial"/>
          <w:color w:val="000000"/>
          <w:lang w:val="en-US"/>
        </w:rPr>
        <w:t>OFF</w:t>
      </w:r>
      <w:r w:rsidRPr="000616C6">
        <w:rPr>
          <w:rFonts w:eastAsia="Times New Roman" w:cs="Arial"/>
          <w:color w:val="000000"/>
          <w:lang w:eastAsia="bg-BG"/>
        </w:rPr>
        <w:t xml:space="preserve">-епизодите (брадикинезия) и да се намали до минимум </w:t>
      </w:r>
      <w:r w:rsidRPr="000616C6">
        <w:rPr>
          <w:rFonts w:eastAsia="Times New Roman" w:cs="Arial"/>
          <w:color w:val="000000"/>
          <w:lang w:val="en-US"/>
        </w:rPr>
        <w:t>ON</w:t>
      </w:r>
      <w:r w:rsidRPr="000616C6">
        <w:rPr>
          <w:rFonts w:eastAsia="Times New Roman" w:cs="Arial"/>
          <w:color w:val="000000"/>
          <w:lang w:eastAsia="bg-BG"/>
        </w:rPr>
        <w:t>-времето с инвалидизираща дискинезия. Вижте препоръките в точка ''Дозировка".</w:t>
      </w:r>
    </w:p>
    <w:p w14:paraId="18494F5B" w14:textId="4F760663" w:rsidR="000616C6" w:rsidRPr="000616C6" w:rsidRDefault="000616C6" w:rsidP="000616C6">
      <w:pPr>
        <w:rPr>
          <w:rFonts w:eastAsia="Times New Roman" w:cs="Arial"/>
          <w:color w:val="000000"/>
          <w:lang w:eastAsia="bg-BG"/>
        </w:rPr>
      </w:pPr>
    </w:p>
    <w:p w14:paraId="68D28330"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 xml:space="preserve">Дуодопа трябва да се прилага в началото като монотерапия. При необходимост може едновременно да се приема друг антипаркинсонов лекарствен продукт. За приложението на Дуодопа трябва да се използва само помпата </w:t>
      </w:r>
      <w:r w:rsidRPr="000616C6">
        <w:rPr>
          <w:rFonts w:eastAsia="Times New Roman" w:cs="Arial"/>
          <w:color w:val="000000"/>
          <w:lang w:val="en-US"/>
        </w:rPr>
        <w:t>CADD</w:t>
      </w:r>
      <w:r w:rsidRPr="000616C6">
        <w:rPr>
          <w:rFonts w:eastAsia="Times New Roman" w:cs="Arial"/>
          <w:color w:val="000000"/>
          <w:lang w:val="ru-RU"/>
        </w:rPr>
        <w:t>-</w:t>
      </w:r>
      <w:r w:rsidRPr="000616C6">
        <w:rPr>
          <w:rFonts w:eastAsia="Times New Roman" w:cs="Arial"/>
          <w:color w:val="000000"/>
          <w:lang w:val="en-US"/>
        </w:rPr>
        <w:t>legacy</w:t>
      </w:r>
      <w:r w:rsidRPr="000616C6">
        <w:rPr>
          <w:rFonts w:eastAsia="Times New Roman" w:cs="Arial"/>
          <w:color w:val="000000"/>
          <w:lang w:val="ru-RU"/>
        </w:rPr>
        <w:t xml:space="preserve"> </w:t>
      </w:r>
      <w:r w:rsidRPr="000616C6">
        <w:rPr>
          <w:rFonts w:eastAsia="Times New Roman" w:cs="Arial"/>
          <w:color w:val="000000"/>
          <w:lang w:eastAsia="bg-BG"/>
        </w:rPr>
        <w:t xml:space="preserve">1400 (СЕ маркировка). </w:t>
      </w:r>
      <w:r w:rsidRPr="000616C6">
        <w:rPr>
          <w:rFonts w:eastAsia="Times New Roman" w:cs="Arial"/>
          <w:i/>
          <w:iCs/>
          <w:color w:val="000000"/>
          <w:lang w:eastAsia="bg-BG"/>
        </w:rPr>
        <w:t>Едновременно с портативната помпа се доставя и упътване с инструкции за използването й.</w:t>
      </w:r>
    </w:p>
    <w:p w14:paraId="6214FF3E" w14:textId="77777777" w:rsidR="000616C6" w:rsidRPr="000616C6" w:rsidRDefault="000616C6" w:rsidP="000616C6">
      <w:pPr>
        <w:spacing w:line="240" w:lineRule="auto"/>
        <w:rPr>
          <w:rFonts w:eastAsia="Times New Roman" w:cs="Arial"/>
          <w:color w:val="000000"/>
          <w:lang w:eastAsia="bg-BG"/>
        </w:rPr>
      </w:pPr>
    </w:p>
    <w:p w14:paraId="6EFFB9A7" w14:textId="06861D0C"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Терапията с Дуодопа с постоянна сонда може да бъде прекъсната по всяко време, като се отстрани сондата и раната се остави да заздравее. След това лечението трябва да бъде продължено с перорални лекарствени продукти, включително леводопа/карбидопа.</w:t>
      </w:r>
    </w:p>
    <w:p w14:paraId="5AA85307" w14:textId="77777777" w:rsidR="000616C6" w:rsidRPr="000616C6" w:rsidRDefault="000616C6" w:rsidP="000616C6">
      <w:pPr>
        <w:spacing w:line="240" w:lineRule="auto"/>
        <w:rPr>
          <w:rFonts w:eastAsia="Times New Roman" w:cs="Arial"/>
          <w:i/>
          <w:iCs/>
          <w:color w:val="000000"/>
          <w:lang w:eastAsia="bg-BG"/>
        </w:rPr>
      </w:pPr>
    </w:p>
    <w:p w14:paraId="6382271D" w14:textId="58B2B3CB" w:rsidR="000616C6" w:rsidRPr="000616C6" w:rsidRDefault="000616C6" w:rsidP="000616C6">
      <w:pPr>
        <w:spacing w:line="240" w:lineRule="auto"/>
        <w:rPr>
          <w:rFonts w:eastAsia="Times New Roman" w:cs="Arial"/>
          <w:sz w:val="24"/>
          <w:szCs w:val="24"/>
        </w:rPr>
      </w:pPr>
      <w:r w:rsidRPr="000616C6">
        <w:rPr>
          <w:rFonts w:eastAsia="Times New Roman" w:cs="Arial"/>
          <w:i/>
          <w:iCs/>
          <w:color w:val="000000"/>
          <w:lang w:eastAsia="bg-BG"/>
        </w:rPr>
        <w:t>Дозировка:</w:t>
      </w:r>
    </w:p>
    <w:p w14:paraId="13236FA9"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Общата дневна доза се състои от три индивидуално определени дози: сутрешна болус доза, продължителна поддържаща доза и допълнителна болус доза, приложена отново след около 16 часа. Терапията обикновено се прилага по време на будния период на пациента. Ако е оправдано от медицинска гледна точка, Дуодопа може да се прилага до 24 часа.</w:t>
      </w:r>
    </w:p>
    <w:p w14:paraId="025388E5" w14:textId="77777777" w:rsidR="000616C6" w:rsidRPr="000616C6" w:rsidRDefault="000616C6" w:rsidP="000616C6">
      <w:pPr>
        <w:spacing w:line="240" w:lineRule="auto"/>
        <w:rPr>
          <w:rFonts w:eastAsia="Times New Roman" w:cs="Arial"/>
          <w:color w:val="000000"/>
          <w:lang w:eastAsia="bg-BG"/>
        </w:rPr>
      </w:pPr>
    </w:p>
    <w:p w14:paraId="517F5DFE" w14:textId="5A90DBF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Касетите с лекарството са само за еднократна употреба и не трябва да се прилагат по- продължително от 24 часа, дори ако част от продукта остане неприложен. Отворена касета не се прилага повторно.</w:t>
      </w:r>
    </w:p>
    <w:p w14:paraId="6F62F02D" w14:textId="77777777" w:rsidR="000616C6" w:rsidRPr="000616C6" w:rsidRDefault="000616C6" w:rsidP="000616C6">
      <w:pPr>
        <w:spacing w:line="240" w:lineRule="auto"/>
        <w:rPr>
          <w:rFonts w:eastAsia="Times New Roman" w:cs="Arial"/>
          <w:color w:val="000000"/>
          <w:lang w:eastAsia="bg-BG"/>
        </w:rPr>
      </w:pPr>
    </w:p>
    <w:p w14:paraId="1E45AA93" w14:textId="59B77DD3"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До края на времето за съхранение гелът може да промени цвета си до леко жълт. Това не повлиява концентрацията на лекарството или лечението.</w:t>
      </w:r>
    </w:p>
    <w:p w14:paraId="6F4F29BE" w14:textId="77777777" w:rsidR="000616C6" w:rsidRPr="000616C6" w:rsidRDefault="000616C6" w:rsidP="000616C6">
      <w:pPr>
        <w:spacing w:line="240" w:lineRule="auto"/>
        <w:rPr>
          <w:rFonts w:eastAsia="Times New Roman" w:cs="Arial"/>
          <w:color w:val="000000"/>
          <w:u w:val="single"/>
          <w:lang w:eastAsia="bg-BG"/>
        </w:rPr>
      </w:pPr>
    </w:p>
    <w:p w14:paraId="71AD7FF3" w14:textId="41A4EE1A" w:rsidR="000616C6" w:rsidRPr="000616C6" w:rsidRDefault="000616C6" w:rsidP="000616C6">
      <w:pPr>
        <w:spacing w:line="240" w:lineRule="auto"/>
        <w:rPr>
          <w:rFonts w:eastAsia="Times New Roman" w:cs="Arial"/>
          <w:sz w:val="24"/>
          <w:szCs w:val="24"/>
        </w:rPr>
      </w:pPr>
      <w:r w:rsidRPr="000616C6">
        <w:rPr>
          <w:rFonts w:eastAsia="Times New Roman" w:cs="Arial"/>
          <w:color w:val="000000"/>
          <w:u w:val="single"/>
          <w:lang w:eastAsia="bg-BG"/>
        </w:rPr>
        <w:t>Сутрешна доза:</w:t>
      </w:r>
      <w:r w:rsidRPr="000616C6">
        <w:rPr>
          <w:rFonts w:eastAsia="Times New Roman" w:cs="Arial"/>
          <w:color w:val="000000"/>
          <w:lang w:eastAsia="bg-BG"/>
        </w:rPr>
        <w:t xml:space="preserve"> Сутрешната болус доза се прилага чрез помпата, за да се достигне бързо нивото на терапевтичната доза (до 10-30 минути). Дозата трябва да се основава на дозата на леводопа от предишната сутрин + обема за запълване на тръбите. Общата сутрешна доза обикновено е 5-10 </w:t>
      </w:r>
      <w:r w:rsidRPr="000616C6">
        <w:rPr>
          <w:rFonts w:eastAsia="Times New Roman" w:cs="Arial"/>
          <w:color w:val="000000"/>
          <w:lang w:val="en-US"/>
        </w:rPr>
        <w:t>ml</w:t>
      </w:r>
      <w:r w:rsidRPr="000616C6">
        <w:rPr>
          <w:rFonts w:eastAsia="Times New Roman" w:cs="Arial"/>
          <w:color w:val="000000"/>
          <w:lang w:val="ru-RU"/>
        </w:rPr>
        <w:t xml:space="preserve">, </w:t>
      </w:r>
      <w:r w:rsidRPr="000616C6">
        <w:rPr>
          <w:rFonts w:eastAsia="Times New Roman" w:cs="Arial"/>
          <w:color w:val="000000"/>
          <w:lang w:eastAsia="bg-BG"/>
        </w:rPr>
        <w:t xml:space="preserve">съответстваща на 100-200 </w:t>
      </w:r>
      <w:r w:rsidRPr="000616C6">
        <w:rPr>
          <w:rFonts w:eastAsia="Times New Roman" w:cs="Arial"/>
          <w:color w:val="000000"/>
          <w:lang w:val="en-US"/>
        </w:rPr>
        <w:t>mg</w:t>
      </w:r>
      <w:r w:rsidRPr="000616C6">
        <w:rPr>
          <w:rFonts w:eastAsia="Times New Roman" w:cs="Arial"/>
          <w:color w:val="000000"/>
          <w:lang w:val="ru-RU"/>
        </w:rPr>
        <w:t xml:space="preserve"> </w:t>
      </w:r>
      <w:r w:rsidRPr="000616C6">
        <w:rPr>
          <w:rFonts w:eastAsia="Times New Roman" w:cs="Arial"/>
          <w:color w:val="000000"/>
          <w:lang w:eastAsia="bg-BG"/>
        </w:rPr>
        <w:t xml:space="preserve">леводопа. Общата сутрешна доза не трябва да надхвърля 15 </w:t>
      </w:r>
      <w:r w:rsidRPr="000616C6">
        <w:rPr>
          <w:rFonts w:eastAsia="Times New Roman" w:cs="Arial"/>
          <w:color w:val="000000"/>
          <w:lang w:val="en-US"/>
        </w:rPr>
        <w:t>ml</w:t>
      </w:r>
      <w:r w:rsidRPr="000616C6">
        <w:rPr>
          <w:rFonts w:eastAsia="Times New Roman" w:cs="Arial"/>
          <w:color w:val="000000"/>
          <w:lang w:val="ru-RU"/>
        </w:rPr>
        <w:t xml:space="preserve"> </w:t>
      </w:r>
      <w:r w:rsidRPr="000616C6">
        <w:rPr>
          <w:rFonts w:eastAsia="Times New Roman" w:cs="Arial"/>
          <w:color w:val="000000"/>
          <w:lang w:eastAsia="bg-BG"/>
        </w:rPr>
        <w:t xml:space="preserve">(300 </w:t>
      </w:r>
      <w:r w:rsidRPr="000616C6">
        <w:rPr>
          <w:rFonts w:eastAsia="Times New Roman" w:cs="Arial"/>
          <w:color w:val="000000"/>
          <w:lang w:val="en-US"/>
        </w:rPr>
        <w:t>mg</w:t>
      </w:r>
      <w:r w:rsidRPr="000616C6">
        <w:rPr>
          <w:rFonts w:eastAsia="Times New Roman" w:cs="Arial"/>
          <w:color w:val="000000"/>
          <w:lang w:val="ru-RU"/>
        </w:rPr>
        <w:t xml:space="preserve"> </w:t>
      </w:r>
      <w:r w:rsidRPr="000616C6">
        <w:rPr>
          <w:rFonts w:eastAsia="Times New Roman" w:cs="Arial"/>
          <w:color w:val="000000"/>
          <w:lang w:eastAsia="bg-BG"/>
        </w:rPr>
        <w:t>леводопа).</w:t>
      </w:r>
    </w:p>
    <w:p w14:paraId="0D779508" w14:textId="77777777" w:rsidR="000616C6" w:rsidRPr="000616C6" w:rsidRDefault="000616C6" w:rsidP="000616C6">
      <w:pPr>
        <w:spacing w:line="240" w:lineRule="auto"/>
        <w:rPr>
          <w:rFonts w:eastAsia="Times New Roman" w:cs="Arial"/>
          <w:color w:val="000000"/>
          <w:u w:val="single"/>
          <w:lang w:eastAsia="bg-BG"/>
        </w:rPr>
      </w:pPr>
    </w:p>
    <w:p w14:paraId="2812701C" w14:textId="4B01571B" w:rsidR="000616C6" w:rsidRPr="000616C6" w:rsidRDefault="000616C6" w:rsidP="000616C6">
      <w:pPr>
        <w:spacing w:line="240" w:lineRule="auto"/>
        <w:rPr>
          <w:rFonts w:eastAsia="Times New Roman" w:cs="Arial"/>
          <w:sz w:val="24"/>
          <w:szCs w:val="24"/>
        </w:rPr>
      </w:pPr>
      <w:r w:rsidRPr="000616C6">
        <w:rPr>
          <w:rFonts w:eastAsia="Times New Roman" w:cs="Arial"/>
          <w:color w:val="000000"/>
          <w:u w:val="single"/>
          <w:lang w:eastAsia="bg-BG"/>
        </w:rPr>
        <w:t>Продължителна поддържаща доза:</w:t>
      </w:r>
      <w:r w:rsidRPr="000616C6">
        <w:rPr>
          <w:rFonts w:eastAsia="Times New Roman" w:cs="Arial"/>
          <w:color w:val="000000"/>
          <w:lang w:eastAsia="bg-BG"/>
        </w:rPr>
        <w:t xml:space="preserve"> Поддържащата доза подлежи на регулиране в стъпки от по 2 </w:t>
      </w:r>
      <w:r w:rsidRPr="000616C6">
        <w:rPr>
          <w:rFonts w:eastAsia="Times New Roman" w:cs="Arial"/>
          <w:color w:val="000000"/>
          <w:lang w:val="en-US"/>
        </w:rPr>
        <w:t>mg</w:t>
      </w:r>
      <w:r w:rsidRPr="000616C6">
        <w:rPr>
          <w:rFonts w:eastAsia="Times New Roman" w:cs="Arial"/>
          <w:color w:val="000000"/>
          <w:lang w:eastAsia="bg-BG"/>
        </w:rPr>
        <w:t xml:space="preserve">/час (0,1 </w:t>
      </w:r>
      <w:r w:rsidRPr="000616C6">
        <w:rPr>
          <w:rFonts w:eastAsia="Times New Roman" w:cs="Arial"/>
          <w:color w:val="000000"/>
          <w:lang w:val="en-US"/>
        </w:rPr>
        <w:t>ml</w:t>
      </w:r>
      <w:r w:rsidRPr="000616C6">
        <w:rPr>
          <w:rFonts w:eastAsia="Times New Roman" w:cs="Arial"/>
          <w:color w:val="000000"/>
          <w:lang w:eastAsia="bg-BG"/>
        </w:rPr>
        <w:t xml:space="preserve">/час). Дозата трябва да се изчисли според приема на леводопа от предишния ден. Когато се преустанови приложението на допълнителните лекарства, дозата на Дуодопа трябва да се коригира. Продължителната поддържаща доза трябва да се коригира индивидуално. Тя трябва да се поддържа в рамките на 1-10 </w:t>
      </w:r>
      <w:r w:rsidRPr="000616C6">
        <w:rPr>
          <w:rFonts w:eastAsia="Times New Roman" w:cs="Arial"/>
          <w:color w:val="000000"/>
          <w:lang w:val="en-US"/>
        </w:rPr>
        <w:t>ml</w:t>
      </w:r>
      <w:r w:rsidRPr="000616C6">
        <w:rPr>
          <w:rFonts w:eastAsia="Times New Roman" w:cs="Arial"/>
          <w:color w:val="000000"/>
          <w:lang w:eastAsia="bg-BG"/>
        </w:rPr>
        <w:t xml:space="preserve">/час (20-200 </w:t>
      </w:r>
      <w:r w:rsidRPr="000616C6">
        <w:rPr>
          <w:rFonts w:eastAsia="Times New Roman" w:cs="Arial"/>
          <w:color w:val="000000"/>
          <w:lang w:val="en-US"/>
        </w:rPr>
        <w:t>mg</w:t>
      </w:r>
      <w:r w:rsidRPr="000616C6">
        <w:rPr>
          <w:rFonts w:eastAsia="Times New Roman" w:cs="Arial"/>
          <w:color w:val="000000"/>
          <w:lang w:val="ru-RU"/>
        </w:rPr>
        <w:t xml:space="preserve"> </w:t>
      </w:r>
      <w:r w:rsidRPr="000616C6">
        <w:rPr>
          <w:rFonts w:eastAsia="Times New Roman" w:cs="Arial"/>
          <w:color w:val="000000"/>
          <w:lang w:eastAsia="bg-BG"/>
        </w:rPr>
        <w:t xml:space="preserve">леводопа/час) и обикновено е 2-6 </w:t>
      </w:r>
      <w:r w:rsidRPr="000616C6">
        <w:rPr>
          <w:rFonts w:eastAsia="Times New Roman" w:cs="Arial"/>
          <w:color w:val="000000"/>
          <w:lang w:val="en-US"/>
        </w:rPr>
        <w:t>ml</w:t>
      </w:r>
      <w:r w:rsidRPr="000616C6">
        <w:rPr>
          <w:rFonts w:eastAsia="Times New Roman" w:cs="Arial"/>
          <w:color w:val="000000"/>
          <w:lang w:eastAsia="bg-BG"/>
        </w:rPr>
        <w:t xml:space="preserve">/час (40- 120 </w:t>
      </w:r>
      <w:r w:rsidRPr="000616C6">
        <w:rPr>
          <w:rFonts w:eastAsia="Times New Roman" w:cs="Arial"/>
          <w:color w:val="000000"/>
          <w:lang w:val="en-US"/>
        </w:rPr>
        <w:t>mg</w:t>
      </w:r>
      <w:r w:rsidRPr="000616C6">
        <w:rPr>
          <w:rFonts w:eastAsia="Times New Roman" w:cs="Arial"/>
          <w:color w:val="000000"/>
          <w:lang w:val="ru-RU"/>
        </w:rPr>
        <w:t xml:space="preserve"> </w:t>
      </w:r>
      <w:r w:rsidRPr="000616C6">
        <w:rPr>
          <w:rFonts w:eastAsia="Times New Roman" w:cs="Arial"/>
          <w:color w:val="000000"/>
          <w:lang w:eastAsia="bg-BG"/>
        </w:rPr>
        <w:t xml:space="preserve">леводопа/час). Максималната препоръчителна дневна доза е 200 </w:t>
      </w:r>
      <w:r w:rsidRPr="000616C6">
        <w:rPr>
          <w:rFonts w:eastAsia="Times New Roman" w:cs="Arial"/>
          <w:color w:val="000000"/>
          <w:lang w:val="en-US"/>
        </w:rPr>
        <w:t>ml</w:t>
      </w:r>
      <w:r w:rsidRPr="000616C6">
        <w:rPr>
          <w:rFonts w:eastAsia="Times New Roman" w:cs="Arial"/>
          <w:color w:val="000000"/>
          <w:lang w:val="ru-RU"/>
        </w:rPr>
        <w:t xml:space="preserve"> </w:t>
      </w:r>
      <w:r w:rsidRPr="000616C6">
        <w:rPr>
          <w:rFonts w:eastAsia="Times New Roman" w:cs="Arial"/>
          <w:color w:val="000000"/>
          <w:lang w:eastAsia="bg-BG"/>
        </w:rPr>
        <w:t>(вж. точка 4.4). В изключителни случаи може да е необходима по-висока доза.</w:t>
      </w:r>
    </w:p>
    <w:p w14:paraId="074D9F79" w14:textId="77777777" w:rsidR="000616C6" w:rsidRPr="000616C6" w:rsidRDefault="000616C6" w:rsidP="000616C6">
      <w:pPr>
        <w:spacing w:line="240" w:lineRule="auto"/>
        <w:rPr>
          <w:rFonts w:eastAsia="Times New Roman" w:cs="Arial"/>
          <w:color w:val="000000"/>
          <w:lang w:eastAsia="bg-BG"/>
        </w:rPr>
      </w:pPr>
    </w:p>
    <w:p w14:paraId="6663AC20" w14:textId="3F9D0ECD"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Пример:</w:t>
      </w:r>
    </w:p>
    <w:p w14:paraId="18CF2C2E"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 xml:space="preserve">Дневен прием на леводопа като Дуодопа: 1640 </w:t>
      </w:r>
      <w:r w:rsidRPr="000616C6">
        <w:rPr>
          <w:rFonts w:eastAsia="Times New Roman" w:cs="Arial"/>
          <w:color w:val="000000"/>
          <w:lang w:val="en-US"/>
        </w:rPr>
        <w:t>mg</w:t>
      </w:r>
      <w:r w:rsidRPr="000616C6">
        <w:rPr>
          <w:rFonts w:eastAsia="Times New Roman" w:cs="Arial"/>
          <w:color w:val="000000"/>
          <w:lang w:eastAsia="bg-BG"/>
        </w:rPr>
        <w:t>/ден</w:t>
      </w:r>
    </w:p>
    <w:p w14:paraId="5EDEB168"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 xml:space="preserve">Сутрешна болус доза: 140 </w:t>
      </w:r>
      <w:r w:rsidRPr="000616C6">
        <w:rPr>
          <w:rFonts w:eastAsia="Times New Roman" w:cs="Arial"/>
          <w:color w:val="000000"/>
          <w:lang w:val="en-US"/>
        </w:rPr>
        <w:t>mg</w:t>
      </w:r>
      <w:r w:rsidRPr="000616C6">
        <w:rPr>
          <w:rFonts w:eastAsia="Times New Roman" w:cs="Arial"/>
          <w:color w:val="000000"/>
        </w:rPr>
        <w:t xml:space="preserve"> </w:t>
      </w:r>
      <w:r w:rsidRPr="000616C6">
        <w:rPr>
          <w:rFonts w:eastAsia="Times New Roman" w:cs="Arial"/>
          <w:color w:val="000000"/>
          <w:lang w:eastAsia="bg-BG"/>
        </w:rPr>
        <w:t xml:space="preserve">= 7 </w:t>
      </w:r>
      <w:r w:rsidRPr="000616C6">
        <w:rPr>
          <w:rFonts w:eastAsia="Times New Roman" w:cs="Arial"/>
          <w:color w:val="000000"/>
          <w:lang w:val="en-US"/>
        </w:rPr>
        <w:t>ml</w:t>
      </w:r>
      <w:r w:rsidRPr="000616C6">
        <w:rPr>
          <w:rFonts w:eastAsia="Times New Roman" w:cs="Arial"/>
          <w:color w:val="000000"/>
        </w:rPr>
        <w:t xml:space="preserve"> </w:t>
      </w:r>
      <w:r w:rsidRPr="000616C6">
        <w:rPr>
          <w:rFonts w:eastAsia="Times New Roman" w:cs="Arial"/>
          <w:color w:val="000000"/>
          <w:lang w:eastAsia="bg-BG"/>
        </w:rPr>
        <w:t xml:space="preserve">(като се изключи обемът за запълване на чревната тръба) Продължителна поддържаща доза: 1500 </w:t>
      </w:r>
      <w:r w:rsidRPr="000616C6">
        <w:rPr>
          <w:rFonts w:eastAsia="Times New Roman" w:cs="Arial"/>
          <w:color w:val="000000"/>
          <w:lang w:val="en-US"/>
        </w:rPr>
        <w:t>mg</w:t>
      </w:r>
      <w:r w:rsidRPr="000616C6">
        <w:rPr>
          <w:rFonts w:eastAsia="Times New Roman" w:cs="Arial"/>
          <w:color w:val="000000"/>
          <w:lang w:eastAsia="bg-BG"/>
        </w:rPr>
        <w:t xml:space="preserve">/ден 1500 </w:t>
      </w:r>
      <w:r w:rsidRPr="000616C6">
        <w:rPr>
          <w:rFonts w:eastAsia="Times New Roman" w:cs="Arial"/>
          <w:color w:val="000000"/>
          <w:lang w:val="en-US"/>
        </w:rPr>
        <w:t>mg</w:t>
      </w:r>
      <w:r w:rsidRPr="000616C6">
        <w:rPr>
          <w:rFonts w:eastAsia="Times New Roman" w:cs="Arial"/>
          <w:color w:val="000000"/>
          <w:lang w:eastAsia="bg-BG"/>
        </w:rPr>
        <w:t xml:space="preserve">/ден: 20 </w:t>
      </w:r>
      <w:r w:rsidRPr="000616C6">
        <w:rPr>
          <w:rFonts w:eastAsia="Times New Roman" w:cs="Arial"/>
          <w:color w:val="000000"/>
          <w:lang w:val="en-US"/>
        </w:rPr>
        <w:t>mg</w:t>
      </w:r>
      <w:r w:rsidRPr="000616C6">
        <w:rPr>
          <w:rFonts w:eastAsia="Times New Roman" w:cs="Arial"/>
          <w:color w:val="000000"/>
        </w:rPr>
        <w:t>/</w:t>
      </w:r>
      <w:r w:rsidRPr="000616C6">
        <w:rPr>
          <w:rFonts w:eastAsia="Times New Roman" w:cs="Arial"/>
          <w:color w:val="000000"/>
          <w:lang w:val="en-US"/>
        </w:rPr>
        <w:t>ml</w:t>
      </w:r>
      <w:r w:rsidRPr="000616C6">
        <w:rPr>
          <w:rFonts w:eastAsia="Times New Roman" w:cs="Arial"/>
          <w:color w:val="000000"/>
        </w:rPr>
        <w:t xml:space="preserve"> </w:t>
      </w:r>
      <w:r w:rsidRPr="000616C6">
        <w:rPr>
          <w:rFonts w:eastAsia="Times New Roman" w:cs="Arial"/>
          <w:color w:val="000000"/>
          <w:lang w:eastAsia="bg-BG"/>
        </w:rPr>
        <w:t xml:space="preserve">= 75 </w:t>
      </w:r>
      <w:r w:rsidRPr="000616C6">
        <w:rPr>
          <w:rFonts w:eastAsia="Times New Roman" w:cs="Arial"/>
          <w:color w:val="000000"/>
          <w:lang w:val="en-US"/>
        </w:rPr>
        <w:t>ml</w:t>
      </w:r>
      <w:r w:rsidRPr="000616C6">
        <w:rPr>
          <w:rFonts w:eastAsia="Times New Roman" w:cs="Arial"/>
          <w:color w:val="000000"/>
        </w:rPr>
        <w:t xml:space="preserve"> </w:t>
      </w:r>
      <w:r w:rsidRPr="000616C6">
        <w:rPr>
          <w:rFonts w:eastAsia="Times New Roman" w:cs="Arial"/>
          <w:color w:val="000000"/>
          <w:lang w:eastAsia="bg-BG"/>
        </w:rPr>
        <w:t>Дуодопа на ден</w:t>
      </w:r>
    </w:p>
    <w:p w14:paraId="2048D4AD"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 xml:space="preserve">Приемът се изчислява за 16 часа: 75 </w:t>
      </w:r>
      <w:r w:rsidRPr="000616C6">
        <w:rPr>
          <w:rFonts w:eastAsia="Times New Roman" w:cs="Arial"/>
          <w:color w:val="000000"/>
          <w:lang w:val="en-US"/>
        </w:rPr>
        <w:t>ml</w:t>
      </w:r>
      <w:r w:rsidRPr="000616C6">
        <w:rPr>
          <w:rFonts w:eastAsia="Times New Roman" w:cs="Arial"/>
          <w:color w:val="000000"/>
          <w:lang w:val="ru-RU"/>
        </w:rPr>
        <w:t xml:space="preserve">/16 </w:t>
      </w:r>
      <w:r w:rsidRPr="000616C6">
        <w:rPr>
          <w:rFonts w:eastAsia="Times New Roman" w:cs="Arial"/>
          <w:color w:val="000000"/>
          <w:lang w:eastAsia="bg-BG"/>
        </w:rPr>
        <w:t xml:space="preserve">часа = 4,7 </w:t>
      </w:r>
      <w:r w:rsidRPr="000616C6">
        <w:rPr>
          <w:rFonts w:eastAsia="Times New Roman" w:cs="Arial"/>
          <w:color w:val="000000"/>
          <w:lang w:val="en-US"/>
        </w:rPr>
        <w:t>ml</w:t>
      </w:r>
      <w:r w:rsidRPr="000616C6">
        <w:rPr>
          <w:rFonts w:eastAsia="Times New Roman" w:cs="Arial"/>
          <w:color w:val="000000"/>
          <w:lang w:eastAsia="bg-BG"/>
        </w:rPr>
        <w:t>/час.</w:t>
      </w:r>
    </w:p>
    <w:p w14:paraId="364BF497" w14:textId="77777777" w:rsidR="000616C6" w:rsidRPr="000616C6" w:rsidRDefault="000616C6" w:rsidP="000616C6">
      <w:pPr>
        <w:spacing w:line="240" w:lineRule="auto"/>
        <w:rPr>
          <w:rFonts w:eastAsia="Times New Roman" w:cs="Arial"/>
          <w:color w:val="000000"/>
          <w:u w:val="single"/>
          <w:lang w:eastAsia="bg-BG"/>
        </w:rPr>
      </w:pPr>
    </w:p>
    <w:p w14:paraId="2513A7EC" w14:textId="47EBA5FF" w:rsidR="000616C6" w:rsidRPr="000616C6" w:rsidRDefault="000616C6" w:rsidP="000616C6">
      <w:pPr>
        <w:spacing w:line="240" w:lineRule="auto"/>
        <w:rPr>
          <w:rFonts w:eastAsia="Times New Roman" w:cs="Arial"/>
          <w:sz w:val="24"/>
          <w:szCs w:val="24"/>
        </w:rPr>
      </w:pPr>
      <w:r w:rsidRPr="000616C6">
        <w:rPr>
          <w:rFonts w:eastAsia="Times New Roman" w:cs="Arial"/>
          <w:color w:val="000000"/>
          <w:u w:val="single"/>
          <w:lang w:eastAsia="bg-BG"/>
        </w:rPr>
        <w:lastRenderedPageBreak/>
        <w:t>Допълнителни болус дози</w:t>
      </w:r>
      <w:r w:rsidRPr="000616C6">
        <w:rPr>
          <w:rFonts w:eastAsia="Times New Roman" w:cs="Arial"/>
          <w:color w:val="000000"/>
          <w:lang w:eastAsia="bg-BG"/>
        </w:rPr>
        <w:t xml:space="preserve">: Те трябва да се прилагат при нужда, ако пациентът стане хипокинетичен през деня. Допълнителната доза трябва да се регулира индивидуално, обикновено 0,5-2,0 </w:t>
      </w:r>
      <w:r w:rsidRPr="000616C6">
        <w:rPr>
          <w:rFonts w:eastAsia="Times New Roman" w:cs="Arial"/>
          <w:color w:val="000000"/>
          <w:lang w:val="en-US"/>
        </w:rPr>
        <w:t>ml</w:t>
      </w:r>
      <w:r w:rsidRPr="000616C6">
        <w:rPr>
          <w:rFonts w:eastAsia="Times New Roman" w:cs="Arial"/>
          <w:color w:val="000000"/>
          <w:lang w:val="ru-RU"/>
        </w:rPr>
        <w:t xml:space="preserve">. </w:t>
      </w:r>
      <w:r w:rsidRPr="000616C6">
        <w:rPr>
          <w:rFonts w:eastAsia="Times New Roman" w:cs="Arial"/>
          <w:color w:val="000000"/>
          <w:lang w:eastAsia="bg-BG"/>
        </w:rPr>
        <w:t>В редки случаи може да е необходима по-висока доза. Ако нуждата от допълнителни болус дози надвиши 5 на ден, трябва да се увеличи поддържащата доза.</w:t>
      </w:r>
    </w:p>
    <w:p w14:paraId="7E1DCF9D" w14:textId="1AF30D3D" w:rsidR="000616C6" w:rsidRPr="000616C6" w:rsidRDefault="000616C6" w:rsidP="000616C6">
      <w:pPr>
        <w:spacing w:line="240" w:lineRule="auto"/>
        <w:rPr>
          <w:rFonts w:eastAsia="Times New Roman" w:cs="Arial"/>
          <w:color w:val="000000"/>
          <w:lang w:eastAsia="bg-BG"/>
        </w:rPr>
      </w:pPr>
      <w:r w:rsidRPr="000616C6">
        <w:rPr>
          <w:rFonts w:eastAsia="Times New Roman" w:cs="Arial"/>
          <w:color w:val="000000"/>
          <w:lang w:eastAsia="bg-BG"/>
        </w:rPr>
        <w:t>След първоначалното определяне на дозата трябва да се направи фино коригиране на сутрешната болус доза, поддържащата доза и допълнителните болус дози след няколко седмици.</w:t>
      </w:r>
    </w:p>
    <w:p w14:paraId="794FA277" w14:textId="7F18B01B" w:rsidR="000616C6" w:rsidRPr="000616C6" w:rsidRDefault="000616C6" w:rsidP="000616C6">
      <w:pPr>
        <w:spacing w:line="240" w:lineRule="auto"/>
        <w:rPr>
          <w:rFonts w:eastAsia="Times New Roman" w:cs="Arial"/>
          <w:color w:val="000000"/>
          <w:lang w:eastAsia="bg-BG"/>
        </w:rPr>
      </w:pPr>
    </w:p>
    <w:p w14:paraId="18171E30" w14:textId="77777777" w:rsidR="000616C6" w:rsidRPr="000616C6" w:rsidRDefault="000616C6" w:rsidP="000616C6">
      <w:pPr>
        <w:spacing w:line="240" w:lineRule="auto"/>
        <w:rPr>
          <w:rFonts w:eastAsia="Times New Roman" w:cs="Arial"/>
          <w:sz w:val="24"/>
          <w:szCs w:val="24"/>
        </w:rPr>
      </w:pPr>
      <w:r w:rsidRPr="000616C6">
        <w:rPr>
          <w:rFonts w:eastAsia="Times New Roman" w:cs="Arial"/>
          <w:i/>
          <w:iCs/>
          <w:color w:val="000000"/>
          <w:lang w:eastAsia="bg-BG"/>
        </w:rPr>
        <w:t>Мониториране на терапията:</w:t>
      </w:r>
      <w:r w:rsidRPr="000616C6">
        <w:rPr>
          <w:rFonts w:eastAsia="Times New Roman" w:cs="Arial"/>
          <w:color w:val="000000"/>
          <w:lang w:eastAsia="bg-BG"/>
        </w:rPr>
        <w:t xml:space="preserve"> внезапно влошаване на терапевтичния отговор с рецидивиращи моторни флуктуации трябва да предизвика подозрение за изместване на дисталната част на сондата от дуоденума/йеюнума към стомаха. Положението на сондата трябва да бъде установено чрез рентгенография и краят й да бъде върнат под рентгенов контрол в дуоденума/йеюнума.</w:t>
      </w:r>
    </w:p>
    <w:p w14:paraId="3664B357" w14:textId="77777777" w:rsidR="000616C6" w:rsidRPr="000616C6" w:rsidRDefault="000616C6" w:rsidP="000616C6">
      <w:pPr>
        <w:spacing w:line="240" w:lineRule="auto"/>
        <w:rPr>
          <w:rFonts w:eastAsia="Times New Roman" w:cs="Arial"/>
          <w:color w:val="000000"/>
          <w:u w:val="single"/>
          <w:lang w:eastAsia="bg-BG"/>
        </w:rPr>
      </w:pPr>
    </w:p>
    <w:p w14:paraId="49EDDD32" w14:textId="67FED600" w:rsidR="000616C6" w:rsidRPr="000616C6" w:rsidRDefault="000616C6" w:rsidP="000616C6">
      <w:pPr>
        <w:spacing w:line="240" w:lineRule="auto"/>
        <w:rPr>
          <w:rFonts w:eastAsia="Times New Roman" w:cs="Arial"/>
          <w:sz w:val="24"/>
          <w:szCs w:val="24"/>
        </w:rPr>
      </w:pPr>
      <w:r w:rsidRPr="000616C6">
        <w:rPr>
          <w:rFonts w:eastAsia="Times New Roman" w:cs="Arial"/>
          <w:color w:val="000000"/>
          <w:u w:val="single"/>
          <w:lang w:eastAsia="bg-BG"/>
        </w:rPr>
        <w:t>Специални популации</w:t>
      </w:r>
    </w:p>
    <w:p w14:paraId="454BA520" w14:textId="77777777" w:rsidR="000616C6" w:rsidRPr="000616C6" w:rsidRDefault="000616C6" w:rsidP="000616C6">
      <w:pPr>
        <w:spacing w:line="240" w:lineRule="auto"/>
        <w:rPr>
          <w:rFonts w:eastAsia="Times New Roman" w:cs="Arial"/>
          <w:sz w:val="24"/>
          <w:szCs w:val="24"/>
        </w:rPr>
      </w:pPr>
      <w:r w:rsidRPr="000616C6">
        <w:rPr>
          <w:rFonts w:eastAsia="Times New Roman" w:cs="Arial"/>
          <w:i/>
          <w:iCs/>
          <w:color w:val="000000"/>
          <w:lang w:eastAsia="bg-BG"/>
        </w:rPr>
        <w:t>Педиатрична популация</w:t>
      </w:r>
    </w:p>
    <w:p w14:paraId="020A8DED"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Не съществува релевантно приложение на Дуодопа в педиатричната популация при индикацията напреднала болест на Паркинсон, повлияваща се от леводопа, с тежки моторни флуктуации и хипер-/дискинезия.</w:t>
      </w:r>
    </w:p>
    <w:p w14:paraId="62444D8E" w14:textId="77777777" w:rsidR="000616C6" w:rsidRPr="000616C6" w:rsidRDefault="000616C6" w:rsidP="000616C6">
      <w:pPr>
        <w:spacing w:line="240" w:lineRule="auto"/>
        <w:rPr>
          <w:rFonts w:eastAsia="Times New Roman" w:cs="Arial"/>
          <w:i/>
          <w:iCs/>
          <w:color w:val="000000"/>
          <w:lang w:eastAsia="bg-BG"/>
        </w:rPr>
      </w:pPr>
    </w:p>
    <w:p w14:paraId="69F373A5" w14:textId="5040D550" w:rsidR="000616C6" w:rsidRPr="000616C6" w:rsidRDefault="000616C6" w:rsidP="000616C6">
      <w:pPr>
        <w:spacing w:line="240" w:lineRule="auto"/>
        <w:rPr>
          <w:rFonts w:eastAsia="Times New Roman" w:cs="Arial"/>
          <w:sz w:val="24"/>
          <w:szCs w:val="24"/>
        </w:rPr>
      </w:pPr>
      <w:r w:rsidRPr="000616C6">
        <w:rPr>
          <w:rFonts w:eastAsia="Times New Roman" w:cs="Arial"/>
          <w:i/>
          <w:iCs/>
          <w:color w:val="000000"/>
          <w:lang w:eastAsia="bg-BG"/>
        </w:rPr>
        <w:t>Гериатрична популация</w:t>
      </w:r>
    </w:p>
    <w:p w14:paraId="3BA863C6"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Има значителен опит от употребата на леводопа/карбидопа при пациенти в старческа възраст. Дозите на всички пациенти, включително на тези от гериатричната популация, се регулират индивидуално чрез титриране.</w:t>
      </w:r>
    </w:p>
    <w:p w14:paraId="108086A6" w14:textId="77777777" w:rsidR="000616C6" w:rsidRPr="000616C6" w:rsidRDefault="000616C6" w:rsidP="000616C6">
      <w:pPr>
        <w:spacing w:line="240" w:lineRule="auto"/>
        <w:rPr>
          <w:rFonts w:eastAsia="Times New Roman" w:cs="Arial"/>
          <w:i/>
          <w:iCs/>
          <w:color w:val="000000"/>
          <w:lang w:eastAsia="bg-BG"/>
        </w:rPr>
      </w:pPr>
    </w:p>
    <w:p w14:paraId="460883D0" w14:textId="71602536" w:rsidR="000616C6" w:rsidRPr="000616C6" w:rsidRDefault="000616C6" w:rsidP="000616C6">
      <w:pPr>
        <w:spacing w:line="240" w:lineRule="auto"/>
        <w:rPr>
          <w:rFonts w:eastAsia="Times New Roman" w:cs="Arial"/>
          <w:sz w:val="24"/>
          <w:szCs w:val="24"/>
        </w:rPr>
      </w:pPr>
      <w:r w:rsidRPr="000616C6">
        <w:rPr>
          <w:rFonts w:eastAsia="Times New Roman" w:cs="Arial"/>
          <w:i/>
          <w:iCs/>
          <w:color w:val="000000"/>
          <w:lang w:eastAsia="bg-BG"/>
        </w:rPr>
        <w:t>Бъбречно/чернодробно увреждане</w:t>
      </w:r>
    </w:p>
    <w:p w14:paraId="4FB59715"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Не съществуват проучвания на фармакокинетиката на карбидопа и леводопа при пациенти с чернодробно или бъбречно увреждане. Дозирането на Дуодопа се индивидуализира чрез титриране до оптимален ефект (което съответства на индивидуално оптимизираните експозиции на леводопа и карбидопа в плазмата). Поради това потенциалните ефекти на чернодробното и бъбречното увреждане върху експозицията на леводопа и карбидопа индиректно се вземат предвид при титрирането на дозата. При пациенти с тежко бъбречно и чернодробно увреждане титрирането на дозата трябва да се извършва с повишено внимание (вж. точка 4.4).</w:t>
      </w:r>
    </w:p>
    <w:p w14:paraId="607CC4AB" w14:textId="77777777" w:rsidR="000616C6" w:rsidRPr="000616C6" w:rsidRDefault="000616C6" w:rsidP="000616C6">
      <w:pPr>
        <w:spacing w:line="240" w:lineRule="auto"/>
        <w:rPr>
          <w:rFonts w:eastAsia="Times New Roman" w:cs="Arial"/>
          <w:color w:val="000000"/>
          <w:u w:val="single"/>
          <w:lang w:eastAsia="bg-BG"/>
        </w:rPr>
      </w:pPr>
    </w:p>
    <w:p w14:paraId="0471D647" w14:textId="2DBA55DD" w:rsidR="000616C6" w:rsidRPr="000616C6" w:rsidRDefault="000616C6" w:rsidP="000616C6">
      <w:pPr>
        <w:spacing w:line="240" w:lineRule="auto"/>
        <w:rPr>
          <w:rFonts w:eastAsia="Times New Roman" w:cs="Arial"/>
          <w:sz w:val="24"/>
          <w:szCs w:val="24"/>
        </w:rPr>
      </w:pPr>
      <w:r w:rsidRPr="000616C6">
        <w:rPr>
          <w:rFonts w:eastAsia="Times New Roman" w:cs="Arial"/>
          <w:color w:val="000000"/>
          <w:u w:val="single"/>
          <w:lang w:eastAsia="bg-BG"/>
        </w:rPr>
        <w:t>Прекъсване на терапията</w:t>
      </w:r>
    </w:p>
    <w:p w14:paraId="1E360683"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Пациентите трябва да се наблюдават внимателно, в случай че се наложи внезапно намаляване на дозата или ако стане необходимо терапията с Дуодопа да се преустанови, особено при пациенти, получаващи антипсихотици, вижте точка 4.4.</w:t>
      </w:r>
    </w:p>
    <w:p w14:paraId="49F0BAD9" w14:textId="77777777" w:rsidR="000616C6" w:rsidRPr="000616C6" w:rsidRDefault="000616C6" w:rsidP="000616C6">
      <w:pPr>
        <w:spacing w:line="240" w:lineRule="auto"/>
        <w:rPr>
          <w:rFonts w:eastAsia="Times New Roman" w:cs="Arial"/>
          <w:color w:val="000000"/>
          <w:lang w:eastAsia="bg-BG"/>
        </w:rPr>
      </w:pPr>
    </w:p>
    <w:p w14:paraId="19A48338" w14:textId="2D91B59B"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 xml:space="preserve">В случай на </w:t>
      </w:r>
      <w:r w:rsidRPr="000616C6">
        <w:rPr>
          <w:rFonts w:eastAsia="Times New Roman" w:cs="Arial"/>
          <w:i/>
          <w:iCs/>
          <w:color w:val="000000"/>
          <w:lang w:eastAsia="bg-BG"/>
        </w:rPr>
        <w:t>подозирана или диагностицирана</w:t>
      </w:r>
      <w:r w:rsidRPr="000616C6">
        <w:rPr>
          <w:rFonts w:eastAsia="Times New Roman" w:cs="Arial"/>
          <w:color w:val="000000"/>
          <w:lang w:eastAsia="bg-BG"/>
        </w:rPr>
        <w:t xml:space="preserve"> деменция с понижен праг на объркване помпата на пациента трябва да се управлява само от сестрински персонал или лице, което се грижи за пациента.</w:t>
      </w:r>
    </w:p>
    <w:p w14:paraId="4417C616" w14:textId="77777777" w:rsidR="000616C6" w:rsidRPr="000616C6" w:rsidRDefault="000616C6" w:rsidP="000616C6">
      <w:pPr>
        <w:spacing w:line="240" w:lineRule="auto"/>
        <w:rPr>
          <w:rFonts w:eastAsia="Times New Roman" w:cs="Arial"/>
          <w:color w:val="000000"/>
          <w:lang w:eastAsia="bg-BG"/>
        </w:rPr>
      </w:pPr>
    </w:p>
    <w:p w14:paraId="574AB496" w14:textId="333CF1DF"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Когато касетата ще бъде използвана,тя трябва да се прикрепи към преносимата помпа и системата да се свърже с назо-дуоденалната сонда или дуодено-йеюналната сонда за приложение, както е по дадените инструкции.</w:t>
      </w:r>
    </w:p>
    <w:p w14:paraId="7128E5D4" w14:textId="77777777" w:rsidR="000616C6" w:rsidRPr="000616C6" w:rsidRDefault="000616C6" w:rsidP="000616C6">
      <w:pPr>
        <w:spacing w:line="240" w:lineRule="auto"/>
        <w:rPr>
          <w:rFonts w:ascii="Times New Roman" w:eastAsia="Times New Roman" w:hAnsi="Times New Roman" w:cs="Times New Roman"/>
          <w:sz w:val="24"/>
          <w:szCs w:val="24"/>
        </w:rPr>
      </w:pPr>
    </w:p>
    <w:p w14:paraId="7DDFEF5F" w14:textId="77777777" w:rsidR="000616C6" w:rsidRPr="000616C6" w:rsidRDefault="000616C6" w:rsidP="000616C6"/>
    <w:p w14:paraId="0F253247" w14:textId="7AFA4BA9" w:rsidR="007122AD" w:rsidRDefault="002C50EE" w:rsidP="00936AD0">
      <w:pPr>
        <w:pStyle w:val="Heading2"/>
      </w:pPr>
      <w:r>
        <w:lastRenderedPageBreak/>
        <w:t>4.3. Противопоказания</w:t>
      </w:r>
    </w:p>
    <w:p w14:paraId="6F358E06" w14:textId="7496714A" w:rsidR="000616C6" w:rsidRDefault="000616C6" w:rsidP="000616C6"/>
    <w:p w14:paraId="1F34F496"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Дуодопа е противопоказан при пациенти с:</w:t>
      </w:r>
    </w:p>
    <w:p w14:paraId="2683F5E8" w14:textId="77777777" w:rsidR="000616C6" w:rsidRPr="000616C6" w:rsidRDefault="000616C6" w:rsidP="000616C6">
      <w:pPr>
        <w:pStyle w:val="ListParagraph"/>
        <w:numPr>
          <w:ilvl w:val="0"/>
          <w:numId w:val="37"/>
        </w:numPr>
        <w:spacing w:line="240" w:lineRule="auto"/>
        <w:rPr>
          <w:rFonts w:eastAsia="Times New Roman" w:cs="Arial"/>
          <w:color w:val="000000"/>
          <w:lang w:eastAsia="bg-BG"/>
        </w:rPr>
      </w:pPr>
      <w:r w:rsidRPr="000616C6">
        <w:rPr>
          <w:rFonts w:eastAsia="Times New Roman" w:cs="Arial"/>
          <w:color w:val="000000"/>
          <w:lang w:eastAsia="bg-BG"/>
        </w:rPr>
        <w:t>Свръхчувствителност към активните вещества или към някое от помощните вещества, изброени в точка 6.1</w:t>
      </w:r>
    </w:p>
    <w:p w14:paraId="5E964DF9" w14:textId="77777777" w:rsidR="000616C6" w:rsidRPr="000616C6" w:rsidRDefault="000616C6" w:rsidP="000616C6">
      <w:pPr>
        <w:pStyle w:val="ListParagraph"/>
        <w:numPr>
          <w:ilvl w:val="0"/>
          <w:numId w:val="37"/>
        </w:numPr>
        <w:spacing w:line="240" w:lineRule="auto"/>
        <w:rPr>
          <w:rFonts w:eastAsia="Times New Roman" w:cs="Arial"/>
          <w:color w:val="000000"/>
          <w:lang w:eastAsia="bg-BG"/>
        </w:rPr>
      </w:pPr>
      <w:r w:rsidRPr="000616C6">
        <w:rPr>
          <w:rFonts w:eastAsia="Times New Roman" w:cs="Arial"/>
          <w:color w:val="000000"/>
          <w:lang w:eastAsia="bg-BG"/>
        </w:rPr>
        <w:t>Тесноъгълна глаукома</w:t>
      </w:r>
    </w:p>
    <w:p w14:paraId="420FA90A" w14:textId="77777777" w:rsidR="000616C6" w:rsidRPr="000616C6" w:rsidRDefault="000616C6" w:rsidP="000616C6">
      <w:pPr>
        <w:pStyle w:val="ListParagraph"/>
        <w:numPr>
          <w:ilvl w:val="0"/>
          <w:numId w:val="37"/>
        </w:numPr>
        <w:spacing w:line="240" w:lineRule="auto"/>
        <w:rPr>
          <w:rFonts w:eastAsia="Times New Roman" w:cs="Arial"/>
          <w:color w:val="000000"/>
          <w:lang w:eastAsia="bg-BG"/>
        </w:rPr>
      </w:pPr>
      <w:r w:rsidRPr="000616C6">
        <w:rPr>
          <w:rFonts w:eastAsia="Times New Roman" w:cs="Arial"/>
          <w:color w:val="000000"/>
          <w:lang w:eastAsia="bg-BG"/>
        </w:rPr>
        <w:t>Тежка сърдечна недостатъчност</w:t>
      </w:r>
    </w:p>
    <w:p w14:paraId="0C0DEBE7" w14:textId="77777777" w:rsidR="000616C6" w:rsidRPr="000616C6" w:rsidRDefault="000616C6" w:rsidP="000616C6">
      <w:pPr>
        <w:pStyle w:val="ListParagraph"/>
        <w:numPr>
          <w:ilvl w:val="0"/>
          <w:numId w:val="37"/>
        </w:numPr>
        <w:spacing w:line="240" w:lineRule="auto"/>
        <w:rPr>
          <w:rFonts w:eastAsia="Times New Roman" w:cs="Arial"/>
          <w:color w:val="000000"/>
          <w:lang w:eastAsia="bg-BG"/>
        </w:rPr>
      </w:pPr>
      <w:r w:rsidRPr="000616C6">
        <w:rPr>
          <w:rFonts w:eastAsia="Times New Roman" w:cs="Arial"/>
          <w:color w:val="000000"/>
          <w:lang w:eastAsia="bg-BG"/>
        </w:rPr>
        <w:t>Тежка сърдечна аритмия</w:t>
      </w:r>
    </w:p>
    <w:p w14:paraId="1B8086B8" w14:textId="77777777" w:rsidR="000616C6" w:rsidRPr="000616C6" w:rsidRDefault="000616C6" w:rsidP="000616C6">
      <w:pPr>
        <w:pStyle w:val="ListParagraph"/>
        <w:numPr>
          <w:ilvl w:val="0"/>
          <w:numId w:val="37"/>
        </w:numPr>
        <w:spacing w:line="240" w:lineRule="auto"/>
        <w:rPr>
          <w:rFonts w:eastAsia="Times New Roman" w:cs="Arial"/>
          <w:color w:val="000000"/>
          <w:lang w:eastAsia="bg-BG"/>
        </w:rPr>
      </w:pPr>
      <w:r w:rsidRPr="000616C6">
        <w:rPr>
          <w:rFonts w:eastAsia="Times New Roman" w:cs="Arial"/>
          <w:color w:val="000000"/>
          <w:lang w:eastAsia="bg-BG"/>
        </w:rPr>
        <w:t>Остър инсулт</w:t>
      </w:r>
    </w:p>
    <w:p w14:paraId="03EFC7A6" w14:textId="77777777" w:rsidR="000616C6" w:rsidRPr="000616C6" w:rsidRDefault="000616C6" w:rsidP="000616C6">
      <w:pPr>
        <w:pStyle w:val="ListParagraph"/>
        <w:numPr>
          <w:ilvl w:val="0"/>
          <w:numId w:val="37"/>
        </w:numPr>
        <w:spacing w:line="240" w:lineRule="auto"/>
        <w:rPr>
          <w:rFonts w:eastAsia="Times New Roman" w:cs="Arial"/>
          <w:color w:val="000000"/>
          <w:lang w:eastAsia="bg-BG"/>
        </w:rPr>
      </w:pPr>
      <w:r w:rsidRPr="000616C6">
        <w:rPr>
          <w:rFonts w:eastAsia="Times New Roman" w:cs="Arial"/>
          <w:color w:val="000000"/>
          <w:lang w:eastAsia="bg-BG"/>
        </w:rPr>
        <w:t>Неселективните МАО инхибитори и селективните МАО инхибитори тип А са противопоказани за приложение с Дуодопа. Тези инхибитори трябва да се спрат най-малко две седмици преди началото на лечението с Дуодопа. Дуодопа може да се прилага едновременно с препоръчваната от производителя доза на МАО инхибитор със селективност тип В (например селегилин хидрохлорид) (вж. точка 4.5).</w:t>
      </w:r>
    </w:p>
    <w:p w14:paraId="05D6620F" w14:textId="025B4EEF" w:rsidR="000616C6" w:rsidRPr="000616C6" w:rsidRDefault="000616C6" w:rsidP="000616C6">
      <w:pPr>
        <w:pStyle w:val="ListParagraph"/>
        <w:numPr>
          <w:ilvl w:val="0"/>
          <w:numId w:val="37"/>
        </w:numPr>
        <w:spacing w:line="240" w:lineRule="auto"/>
        <w:rPr>
          <w:rFonts w:eastAsia="Times New Roman" w:cs="Arial"/>
          <w:color w:val="000000"/>
          <w:lang w:eastAsia="bg-BG"/>
        </w:rPr>
      </w:pPr>
      <w:r w:rsidRPr="000616C6">
        <w:rPr>
          <w:rFonts w:eastAsia="Times New Roman" w:cs="Arial"/>
          <w:color w:val="000000"/>
          <w:lang w:eastAsia="bg-BG"/>
        </w:rPr>
        <w:t xml:space="preserve">Състояния, при които адренергичните средства са противопоказани, например феохромоцитом, хипертиреоидизъм и синдром на </w:t>
      </w:r>
      <w:r w:rsidRPr="000616C6">
        <w:rPr>
          <w:rFonts w:eastAsia="Times New Roman" w:cs="Arial"/>
          <w:color w:val="000000"/>
          <w:lang w:val="en-US"/>
        </w:rPr>
        <w:t>Cushing</w:t>
      </w:r>
      <w:r w:rsidRPr="000616C6">
        <w:rPr>
          <w:rFonts w:eastAsia="Times New Roman" w:cs="Arial"/>
          <w:color w:val="000000"/>
          <w:lang w:val="ru-RU"/>
        </w:rPr>
        <w:t>.</w:t>
      </w:r>
    </w:p>
    <w:p w14:paraId="1F47E48D" w14:textId="77777777" w:rsidR="000616C6" w:rsidRPr="000616C6" w:rsidRDefault="000616C6" w:rsidP="000616C6">
      <w:pPr>
        <w:spacing w:line="240" w:lineRule="auto"/>
        <w:rPr>
          <w:rFonts w:eastAsia="Times New Roman" w:cs="Arial"/>
          <w:color w:val="000000"/>
          <w:lang w:eastAsia="bg-BG"/>
        </w:rPr>
      </w:pPr>
    </w:p>
    <w:p w14:paraId="0C7C9AF1" w14:textId="20CACDDA"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Тъй като леводопа може да активира малигнен меланом, Дуодопа не трябва да се прилага при пациенти с подозрителни недиагностицирани кожни лезии или анамнеза за меланом.</w:t>
      </w:r>
    </w:p>
    <w:p w14:paraId="6B8AB634" w14:textId="77777777" w:rsidR="000616C6" w:rsidRPr="000616C6" w:rsidRDefault="000616C6" w:rsidP="000616C6"/>
    <w:p w14:paraId="0E0BDCC7" w14:textId="34A6A5A4" w:rsidR="007122AD" w:rsidRDefault="002C50EE" w:rsidP="00936AD0">
      <w:pPr>
        <w:pStyle w:val="Heading2"/>
      </w:pPr>
      <w:r>
        <w:t>4.4. Специални предупреждения и предпазни мерки при употреба</w:t>
      </w:r>
    </w:p>
    <w:p w14:paraId="782D57E5" w14:textId="7E91EBCA" w:rsidR="000616C6" w:rsidRDefault="000616C6" w:rsidP="000616C6"/>
    <w:p w14:paraId="6F1FBB35"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Няколкото предупреждения и предпазни мерки по-долу се отнасят за генеричните продукти с леводопа и по тази причина също и за Дуодопа.</w:t>
      </w:r>
    </w:p>
    <w:p w14:paraId="1873A8F5"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Дуодопа не се препоръчва за лечение на лекарство-индуцирани екстрапирамидни реакции.</w:t>
      </w:r>
    </w:p>
    <w:p w14:paraId="7D6FF069"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Лечението с Дуодопа трябва да се извършва внимателно при пациенти с тежко сърдечно или белодробно заболяване, бронхиална астма, бъбречно, чернодробно или ендокринно заболяване или при анамнеза за пептична язва или конвулсии.</w:t>
      </w:r>
    </w:p>
    <w:p w14:paraId="45A95BD1"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При пациенти с анамнеза за миокарден инфаркт с остатъчни предсърдни нодални или камерни аритмии сърдечната функция трябва да се проследява особено внимателно в периода на началното регулиране на дозировката.</w:t>
      </w:r>
    </w:p>
    <w:p w14:paraId="68BC071B"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Всички пациенти, лекувани с Дуодопа, трябва да се проследяват внимателно за развитие на промени в психиката, депресия със суицидни тенденции и други сериозни психически промени. Пациенти с минала или налична психоза трябва да бъдат лекувани внимателно.</w:t>
      </w:r>
    </w:p>
    <w:p w14:paraId="06B9665B"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 xml:space="preserve">Едновременното приложение с антипсихотици, блокиращи допаминовите рецептори, особено </w:t>
      </w:r>
      <w:r w:rsidRPr="000616C6">
        <w:rPr>
          <w:rFonts w:eastAsia="Times New Roman" w:cs="Arial"/>
          <w:color w:val="000000"/>
          <w:lang w:val="en-US"/>
        </w:rPr>
        <w:t>D</w:t>
      </w:r>
      <w:r w:rsidRPr="000616C6">
        <w:rPr>
          <w:rFonts w:eastAsia="Times New Roman" w:cs="Arial"/>
          <w:color w:val="000000"/>
          <w:lang w:eastAsia="bg-BG"/>
        </w:rPr>
        <w:t>2-рецепторни антагонисти, трябва да се извършва предпазливо, като пациентът трябва да се наблюдава внимателно за загуба на антипаркинсоновия ефект или влошаване на паркинсоновите симптоми, вижте точка 4.5.</w:t>
      </w:r>
    </w:p>
    <w:p w14:paraId="75CF2C4E"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Пациенти с хронична широкоъгълна глаукома могат да се лекуват с Дуодопа с повишено внимание при добър контрол на вътреочното налягане, като пациентът внимателно се следи за промени във вътреочното налягане.</w:t>
      </w:r>
    </w:p>
    <w:p w14:paraId="1A1617A6"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Дуодопа може да предизвика ортостатична хипотония. Затова Дуодопа трябва да се прилага внимателно при пациенти, приемащи други лекарствени продукти, които могат да причинят ортостатична хипотония, вижте точка 4.5.</w:t>
      </w:r>
    </w:p>
    <w:p w14:paraId="0FF51E5C"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lastRenderedPageBreak/>
        <w:t>Леводопа се свързва със сомнолентност и епизоди на внезапно заспиване при пациенти с болест на Паркинсон и затова трябва да се внимава при шофиране и работа с машини (вж. точка 4.7).</w:t>
      </w:r>
    </w:p>
    <w:p w14:paraId="498CBE97"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При рязко прекъсване на антипаркинсонови лекарствени продукти е наблюдаван комплекс от симптоми, наподобяващ невролептичния малигнен синдром (НМС), включващ мускулна ригидност, повишена телесна температура, ментални промени (например ажитация, обърканост, кома) и повишени серумни нива на креатин фосфокиназата. При пациенти с болест на Паркинсон рядко са наблюдавани рабдомиолиза вследствие на невролептичен малигнен синдром или тежки дискинезии. Поради това пациентите трябва да се наблюдават внимателно при внезапно намаление или прекъсване на дозата на комбинациите леводопа/карбидопа, особено пациентите, получаващи антипсихотици. НМС и рабдомиолиза не съобщавани във връзка с Дуодопа.</w:t>
      </w:r>
    </w:p>
    <w:p w14:paraId="533A4841"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Пациентите трябва да се наблюдават редовно за развитие на нарушения на импулсивния контрол. Пациентите и грижещите се за тях лица трябва да са информирани, че поведенчески симптоми на нарушения на импулсивния контрол, включително патологично желание за залагане, повишено либидо и хиперсексуалност, компулсивно харчене или пазаруване, прекомерно и компулсивно хранене, могат да се появят при пациенти, лекувани с допаминови агонисти и/или други допаминергични терапии, съдържащи леводопа,</w:t>
      </w:r>
      <w:r w:rsidRPr="000616C6">
        <w:rPr>
          <w:rFonts w:eastAsia="Times New Roman" w:cs="Arial"/>
          <w:color w:val="000000"/>
          <w:lang w:val="ru-RU"/>
        </w:rPr>
        <w:t xml:space="preserve"> </w:t>
      </w:r>
      <w:r w:rsidRPr="000616C6">
        <w:rPr>
          <w:rFonts w:eastAsia="Times New Roman" w:cs="Arial"/>
          <w:color w:val="000000"/>
          <w:lang w:eastAsia="bg-BG"/>
        </w:rPr>
        <w:t>включително Дуодопа. Лечението трябва да се преоцени, ако се развият такива симптоми.</w:t>
      </w:r>
    </w:p>
    <w:p w14:paraId="34455D67"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Епидемиологични проучвания са показали, че пациентите с болест на Паркинсон имат по- висок риск от развитие на меланом отколкото общата популация. Не е ясно дали наблюдаваният повишен риск се дължи на болестта на Паркинсон или на други фактори, като приложението на лекарства за лечение на болестта. Поради това пациенти и лекари се съветват да следят редовно за меланом по време на приложението на Дуодопа за която и да е индикация. Най-добре е да се провеждат периодични прегледи на кожата от квалифицирани лица (например дерматолози).</w:t>
      </w:r>
    </w:p>
    <w:p w14:paraId="4A169E63"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Ако се налага обща анестезия, лечението с Дуодопа може да продължи толкова дълго, колкото е разрешено на пациента да приема течности и лекарствени продукти през устата. Ако лечението трябва временно да се прекрати, Дуодопа може да се започне отново в същата доза веднага след като се разреши приемане на течности през устата.</w:t>
      </w:r>
    </w:p>
    <w:p w14:paraId="370008C0"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Може да се наложи намаляване на дозата на Дуодопа, за да се избягнат индуцираните от леводопа дискинезии.</w:t>
      </w:r>
    </w:p>
    <w:p w14:paraId="5480395D"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При продължителна терапия с Дуодопа е препоръчително периодично да се изследват чернодробната, хемопоетичната, сърдечно-съдовата и бъбречната функция.</w:t>
      </w:r>
    </w:p>
    <w:p w14:paraId="593B1674"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 xml:space="preserve">Дуодопа съдържа хидразин, продукт от разграждането на карбидопа, който може да бъде генотоксичен и възможно канцерогенен. Средната препоръчителна дневна доза на Дуодопа е 100 </w:t>
      </w:r>
      <w:r w:rsidRPr="000616C6">
        <w:rPr>
          <w:rFonts w:eastAsia="Times New Roman" w:cs="Arial"/>
          <w:color w:val="000000"/>
          <w:lang w:val="en-US"/>
        </w:rPr>
        <w:t>ml</w:t>
      </w:r>
      <w:r w:rsidRPr="000616C6">
        <w:rPr>
          <w:rFonts w:eastAsia="Times New Roman" w:cs="Arial"/>
          <w:color w:val="000000"/>
          <w:lang w:val="ru-RU"/>
        </w:rPr>
        <w:t xml:space="preserve">, </w:t>
      </w:r>
      <w:r w:rsidRPr="000616C6">
        <w:rPr>
          <w:rFonts w:eastAsia="Times New Roman" w:cs="Arial"/>
          <w:color w:val="000000"/>
          <w:lang w:eastAsia="bg-BG"/>
        </w:rPr>
        <w:t xml:space="preserve">съдържаща 2 </w:t>
      </w:r>
      <w:r w:rsidRPr="000616C6">
        <w:rPr>
          <w:rFonts w:eastAsia="Times New Roman" w:cs="Arial"/>
          <w:color w:val="000000"/>
          <w:lang w:val="en-US"/>
        </w:rPr>
        <w:t>g</w:t>
      </w:r>
      <w:r w:rsidRPr="000616C6">
        <w:rPr>
          <w:rFonts w:eastAsia="Times New Roman" w:cs="Arial"/>
          <w:color w:val="000000"/>
          <w:lang w:val="ru-RU"/>
        </w:rPr>
        <w:t xml:space="preserve"> </w:t>
      </w:r>
      <w:r w:rsidRPr="000616C6">
        <w:rPr>
          <w:rFonts w:eastAsia="Times New Roman" w:cs="Arial"/>
          <w:color w:val="000000"/>
          <w:lang w:eastAsia="bg-BG"/>
        </w:rPr>
        <w:t xml:space="preserve">леводопа и 0,5 </w:t>
      </w:r>
      <w:r w:rsidRPr="000616C6">
        <w:rPr>
          <w:rFonts w:eastAsia="Times New Roman" w:cs="Arial"/>
          <w:color w:val="000000"/>
          <w:lang w:val="en-US"/>
        </w:rPr>
        <w:t>g</w:t>
      </w:r>
      <w:r w:rsidRPr="000616C6">
        <w:rPr>
          <w:rFonts w:eastAsia="Times New Roman" w:cs="Arial"/>
          <w:color w:val="000000"/>
          <w:lang w:val="ru-RU"/>
        </w:rPr>
        <w:t xml:space="preserve"> </w:t>
      </w:r>
      <w:r w:rsidRPr="000616C6">
        <w:rPr>
          <w:rFonts w:eastAsia="Times New Roman" w:cs="Arial"/>
          <w:color w:val="000000"/>
          <w:lang w:eastAsia="bg-BG"/>
        </w:rPr>
        <w:t xml:space="preserve">карбидопа. Максималната препоръчителна дневна доза е 200 </w:t>
      </w:r>
      <w:r w:rsidRPr="000616C6">
        <w:rPr>
          <w:rFonts w:eastAsia="Times New Roman" w:cs="Arial"/>
          <w:color w:val="000000"/>
          <w:lang w:val="en-US"/>
        </w:rPr>
        <w:t>ml</w:t>
      </w:r>
      <w:r w:rsidRPr="000616C6">
        <w:rPr>
          <w:rFonts w:eastAsia="Times New Roman" w:cs="Arial"/>
          <w:color w:val="000000"/>
          <w:lang w:val="ru-RU"/>
        </w:rPr>
        <w:t xml:space="preserve">. </w:t>
      </w:r>
      <w:r w:rsidRPr="000616C6">
        <w:rPr>
          <w:rFonts w:eastAsia="Times New Roman" w:cs="Arial"/>
          <w:color w:val="000000"/>
          <w:lang w:eastAsia="bg-BG"/>
        </w:rPr>
        <w:t xml:space="preserve">Това включва хидразин до средна експозиция от 4 </w:t>
      </w:r>
      <w:r w:rsidRPr="000616C6">
        <w:rPr>
          <w:rFonts w:eastAsia="Times New Roman" w:cs="Arial"/>
          <w:color w:val="000000"/>
          <w:lang w:val="en-US"/>
        </w:rPr>
        <w:t>mg</w:t>
      </w:r>
      <w:r w:rsidRPr="000616C6">
        <w:rPr>
          <w:rFonts w:eastAsia="Times New Roman" w:cs="Arial"/>
          <w:color w:val="000000"/>
          <w:lang w:val="ru-RU"/>
        </w:rPr>
        <w:t xml:space="preserve"> </w:t>
      </w:r>
      <w:r w:rsidRPr="000616C6">
        <w:rPr>
          <w:rFonts w:eastAsia="Times New Roman" w:cs="Arial"/>
          <w:color w:val="000000"/>
          <w:lang w:eastAsia="bg-BG"/>
        </w:rPr>
        <w:t xml:space="preserve">дневно с максимум от 8 </w:t>
      </w:r>
      <w:r w:rsidRPr="000616C6">
        <w:rPr>
          <w:rFonts w:eastAsia="Times New Roman" w:cs="Arial"/>
          <w:color w:val="000000"/>
          <w:lang w:val="en-US"/>
        </w:rPr>
        <w:t>mg</w:t>
      </w:r>
      <w:r w:rsidRPr="000616C6">
        <w:rPr>
          <w:rFonts w:eastAsia="Times New Roman" w:cs="Arial"/>
          <w:color w:val="000000"/>
          <w:lang w:val="ru-RU"/>
        </w:rPr>
        <w:t xml:space="preserve"> </w:t>
      </w:r>
      <w:r w:rsidRPr="000616C6">
        <w:rPr>
          <w:rFonts w:eastAsia="Times New Roman" w:cs="Arial"/>
          <w:color w:val="000000"/>
          <w:lang w:eastAsia="bg-BG"/>
        </w:rPr>
        <w:t>дневно. Не е известна клиничната значимост на тази експозиция на хидразин.</w:t>
      </w:r>
    </w:p>
    <w:p w14:paraId="572D4317"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Прекарана хирургична интервенция в горната част на коремната кухина може да доведе до трудности в извършването на гастростомията или йеюностомията.</w:t>
      </w:r>
    </w:p>
    <w:p w14:paraId="0ED6A547"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 xml:space="preserve">Получени са съобщения от клиничните проучвания и наблюдения след пускане на пазара, включващи абсцес, безоар, илеус, ерозии/язви на мястото на имплантиране, чревни хеморагии, чревна исхемия, чревна обструкция, чревна </w:t>
      </w:r>
      <w:r w:rsidRPr="000616C6">
        <w:rPr>
          <w:rFonts w:eastAsia="Times New Roman" w:cs="Arial"/>
          <w:color w:val="000000"/>
          <w:lang w:eastAsia="bg-BG"/>
        </w:rPr>
        <w:lastRenderedPageBreak/>
        <w:t>перфорация, инвагинация, панкреатит, перитонит, пневмония (включително аспирационна пневмония), пневмоперитонеум, постоперативни инфекции на раните и сепсис. Безоарите представляват задържани количества от несмилаем материал (като несмилаеми влакна от зеленчуци или плодове) в чревния тракт. Повечето от безоарите остават в стомаха, но могат да останат и в други отдели на чревния тракт. Безоар около върха на йеюналната тръба може да изпълни функцията на начална точка за чревна непроходимост или образуването на инвагинация. Коремната болка може да бъде симптом на изброените усложнения. Някои от тези събития могат да доведат до сериозни последствия, като хирургична интервенция и/или смърт. Пациентите трябва да се съветват да съобщават на лекаря си, ако получат някои от симптомите, свързани с изброените състояния.</w:t>
      </w:r>
    </w:p>
    <w:p w14:paraId="2294F564"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Намалената способност за боравене със системата (помпа и свързване на тръбите) може да доведе до усложнения. При такива пациенти грижещите се за тях лица (например медицински сестри, помощни медицински сестри или близки роднини) трябва да помагат на пациента.</w:t>
      </w:r>
    </w:p>
    <w:p w14:paraId="4C5389BA"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Внезапно или постепенно влошаване на брадикинезията може да показва запушване на уреда по някаква причина и трябва да бъде разследвано.</w:t>
      </w:r>
    </w:p>
    <w:p w14:paraId="2167BB2C" w14:textId="77777777"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 xml:space="preserve">Синдром на нарушената допаминова регулация </w:t>
      </w:r>
      <w:r w:rsidRPr="000616C6">
        <w:rPr>
          <w:rFonts w:eastAsia="Times New Roman" w:cs="Arial"/>
          <w:color w:val="000000"/>
          <w:lang w:val="ru-RU"/>
        </w:rPr>
        <w:t>(</w:t>
      </w:r>
      <w:r w:rsidRPr="000616C6">
        <w:rPr>
          <w:rFonts w:eastAsia="Times New Roman" w:cs="Arial"/>
          <w:color w:val="000000"/>
          <w:lang w:val="en-US"/>
        </w:rPr>
        <w:t>Dopamine</w:t>
      </w:r>
      <w:r w:rsidRPr="000616C6">
        <w:rPr>
          <w:rFonts w:eastAsia="Times New Roman" w:cs="Arial"/>
          <w:color w:val="000000"/>
          <w:lang w:val="ru-RU"/>
        </w:rPr>
        <w:t xml:space="preserve"> </w:t>
      </w:r>
      <w:r w:rsidRPr="000616C6">
        <w:rPr>
          <w:rFonts w:eastAsia="Times New Roman" w:cs="Arial"/>
          <w:color w:val="000000"/>
          <w:lang w:val="en-US"/>
        </w:rPr>
        <w:t>Dysregulation</w:t>
      </w:r>
      <w:r w:rsidRPr="000616C6">
        <w:rPr>
          <w:rFonts w:eastAsia="Times New Roman" w:cs="Arial"/>
          <w:color w:val="000000"/>
          <w:lang w:val="ru-RU"/>
        </w:rPr>
        <w:t xml:space="preserve"> </w:t>
      </w:r>
      <w:r w:rsidRPr="000616C6">
        <w:rPr>
          <w:rFonts w:eastAsia="Times New Roman" w:cs="Arial"/>
          <w:color w:val="000000"/>
          <w:lang w:val="en-US"/>
        </w:rPr>
        <w:t>Syndrome</w:t>
      </w:r>
      <w:r w:rsidRPr="000616C6">
        <w:rPr>
          <w:rFonts w:eastAsia="Times New Roman" w:cs="Arial"/>
          <w:color w:val="000000"/>
          <w:lang w:val="ru-RU"/>
        </w:rPr>
        <w:t xml:space="preserve">, </w:t>
      </w:r>
      <w:r w:rsidRPr="000616C6">
        <w:rPr>
          <w:rFonts w:eastAsia="Times New Roman" w:cs="Arial"/>
          <w:color w:val="000000"/>
          <w:lang w:val="en-US"/>
        </w:rPr>
        <w:t>DDS</w:t>
      </w:r>
      <w:r w:rsidRPr="000616C6">
        <w:rPr>
          <w:rFonts w:eastAsia="Times New Roman" w:cs="Arial"/>
          <w:color w:val="000000"/>
          <w:lang w:val="ru-RU"/>
        </w:rPr>
        <w:t xml:space="preserve">) </w:t>
      </w:r>
      <w:r w:rsidRPr="000616C6">
        <w:rPr>
          <w:rFonts w:eastAsia="Times New Roman" w:cs="Arial"/>
          <w:color w:val="000000"/>
          <w:lang w:eastAsia="bg-BG"/>
        </w:rPr>
        <w:t xml:space="preserve">е разстройство, свързано със зависимост, което води до прекомерно използване на продукта, наблюдавано при някои пациенти, лекувани с карбидопа/леводопа. Преди започване на лечение, пациентите и полагащите грижи за тях, трябва да бъдат предупредени за потенциалния риск от развитие на </w:t>
      </w:r>
      <w:r w:rsidRPr="000616C6">
        <w:rPr>
          <w:rFonts w:eastAsia="Times New Roman" w:cs="Arial"/>
          <w:color w:val="000000"/>
          <w:lang w:val="en-US"/>
        </w:rPr>
        <w:t>DDS</w:t>
      </w:r>
      <w:r w:rsidRPr="000616C6">
        <w:rPr>
          <w:rFonts w:eastAsia="Times New Roman" w:cs="Arial"/>
          <w:color w:val="000000"/>
          <w:lang w:val="ru-RU"/>
        </w:rPr>
        <w:t xml:space="preserve"> </w:t>
      </w:r>
      <w:r w:rsidRPr="000616C6">
        <w:rPr>
          <w:rFonts w:eastAsia="Times New Roman" w:cs="Arial"/>
          <w:color w:val="000000"/>
          <w:lang w:eastAsia="bg-BG"/>
        </w:rPr>
        <w:t>(вж. също точка 4.8).</w:t>
      </w:r>
    </w:p>
    <w:p w14:paraId="4B90420D" w14:textId="2BB6DDCD" w:rsidR="000616C6" w:rsidRPr="000616C6" w:rsidRDefault="000616C6" w:rsidP="000616C6">
      <w:pPr>
        <w:pStyle w:val="ListParagraph"/>
        <w:numPr>
          <w:ilvl w:val="0"/>
          <w:numId w:val="38"/>
        </w:numPr>
        <w:spacing w:line="240" w:lineRule="auto"/>
        <w:rPr>
          <w:rFonts w:eastAsia="Times New Roman" w:cs="Arial"/>
          <w:color w:val="000000"/>
          <w:lang w:eastAsia="bg-BG"/>
        </w:rPr>
      </w:pPr>
      <w:r w:rsidRPr="000616C6">
        <w:rPr>
          <w:rFonts w:eastAsia="Times New Roman" w:cs="Arial"/>
          <w:color w:val="000000"/>
          <w:lang w:eastAsia="bg-BG"/>
        </w:rPr>
        <w:t>Съобщава се за полиневропатия при пациенти, лекувани с леводопа/карбидопа гел за прилагане в червата. Преди започване на лечението пациентите трябва да бъдат оценени за наличие на анамнеза или признаци на полиневропатия и известни рискови фактори, както и периодично след това.</w:t>
      </w:r>
    </w:p>
    <w:p w14:paraId="2632CFB9" w14:textId="77777777" w:rsidR="000616C6" w:rsidRPr="000616C6" w:rsidRDefault="000616C6" w:rsidP="000616C6"/>
    <w:p w14:paraId="0734264C" w14:textId="3BD11B65"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014B8D6" w14:textId="1603C24F" w:rsidR="000616C6" w:rsidRDefault="000616C6" w:rsidP="000616C6"/>
    <w:p w14:paraId="7246B24E"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Не са провеждани проучвания на взаимодействията с Дуодопа. Изброените по-долу взаимодействия са известни от генеричната комбинация леводопа/карбидопа.</w:t>
      </w:r>
    </w:p>
    <w:p w14:paraId="1D18A9B9" w14:textId="77777777" w:rsidR="000616C6" w:rsidRPr="000616C6" w:rsidRDefault="000616C6" w:rsidP="000616C6">
      <w:pPr>
        <w:spacing w:line="240" w:lineRule="auto"/>
        <w:rPr>
          <w:rFonts w:eastAsia="Times New Roman" w:cs="Arial"/>
          <w:color w:val="000000"/>
          <w:lang w:eastAsia="bg-BG"/>
        </w:rPr>
      </w:pPr>
    </w:p>
    <w:p w14:paraId="1D335AB1" w14:textId="3FF7B64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Необходимо е да се внимава при едновременно приложение на Дуодопа със следните лекарствени продукти:</w:t>
      </w:r>
    </w:p>
    <w:p w14:paraId="1CA11C84" w14:textId="77777777" w:rsidR="000616C6" w:rsidRPr="000616C6" w:rsidRDefault="000616C6" w:rsidP="000616C6">
      <w:pPr>
        <w:spacing w:line="240" w:lineRule="auto"/>
        <w:rPr>
          <w:rFonts w:eastAsia="Times New Roman" w:cs="Arial"/>
          <w:color w:val="000000"/>
          <w:u w:val="single"/>
          <w:lang w:eastAsia="bg-BG"/>
        </w:rPr>
      </w:pPr>
    </w:p>
    <w:p w14:paraId="562AF19F" w14:textId="5633CF36" w:rsidR="000616C6" w:rsidRPr="000616C6" w:rsidRDefault="000616C6" w:rsidP="000616C6">
      <w:pPr>
        <w:spacing w:line="240" w:lineRule="auto"/>
        <w:rPr>
          <w:rFonts w:eastAsia="Times New Roman" w:cs="Arial"/>
          <w:sz w:val="24"/>
          <w:szCs w:val="24"/>
        </w:rPr>
      </w:pPr>
      <w:r w:rsidRPr="000616C6">
        <w:rPr>
          <w:rFonts w:eastAsia="Times New Roman" w:cs="Arial"/>
          <w:color w:val="000000"/>
          <w:u w:val="single"/>
          <w:lang w:eastAsia="bg-BG"/>
        </w:rPr>
        <w:t>Антихипертензивни средства</w:t>
      </w:r>
    </w:p>
    <w:p w14:paraId="488438E1"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Симптоматична ортостатична хипотония е наблюдавана при пациенти, получаващи антихипертензивни медикаменти, когато към терапията им са добавяни комбинации от леводопа и декарбоксилазен инхибитор. Може да се наложи корекция на дозата на антихипертензивното лекарство.</w:t>
      </w:r>
    </w:p>
    <w:p w14:paraId="1B67B554" w14:textId="77777777" w:rsidR="000616C6" w:rsidRPr="000616C6" w:rsidRDefault="000616C6" w:rsidP="000616C6">
      <w:pPr>
        <w:spacing w:line="240" w:lineRule="auto"/>
        <w:rPr>
          <w:rFonts w:eastAsia="Times New Roman" w:cs="Arial"/>
          <w:color w:val="000000"/>
          <w:u w:val="single"/>
          <w:lang w:eastAsia="bg-BG"/>
        </w:rPr>
      </w:pPr>
    </w:p>
    <w:p w14:paraId="1386DA98" w14:textId="6BCFBBE2" w:rsidR="000616C6" w:rsidRPr="000616C6" w:rsidRDefault="000616C6" w:rsidP="000616C6">
      <w:pPr>
        <w:spacing w:line="240" w:lineRule="auto"/>
        <w:rPr>
          <w:rFonts w:eastAsia="Times New Roman" w:cs="Arial"/>
          <w:sz w:val="24"/>
          <w:szCs w:val="24"/>
        </w:rPr>
      </w:pPr>
      <w:r w:rsidRPr="000616C6">
        <w:rPr>
          <w:rFonts w:eastAsia="Times New Roman" w:cs="Arial"/>
          <w:color w:val="000000"/>
          <w:u w:val="single"/>
          <w:lang w:eastAsia="bg-BG"/>
        </w:rPr>
        <w:t>Антидепресанти</w:t>
      </w:r>
    </w:p>
    <w:p w14:paraId="377CBE4E"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Рядко се съобщават нежелани лекарствени реакции, включително хипертония и дискинезия, в резултат на едновременно приложение на трициклични антидепресанти и продукти, съдържащи карбидопа/леводопа.</w:t>
      </w:r>
    </w:p>
    <w:p w14:paraId="5817D7F9" w14:textId="77777777" w:rsidR="000616C6" w:rsidRPr="000616C6" w:rsidRDefault="000616C6" w:rsidP="000616C6">
      <w:pPr>
        <w:spacing w:line="240" w:lineRule="auto"/>
        <w:rPr>
          <w:rFonts w:eastAsia="Times New Roman" w:cs="Arial"/>
          <w:color w:val="000000"/>
          <w:u w:val="single"/>
          <w:lang w:eastAsia="bg-BG"/>
        </w:rPr>
      </w:pPr>
    </w:p>
    <w:p w14:paraId="479D7BF2" w14:textId="74A42477" w:rsidR="000616C6" w:rsidRPr="000616C6" w:rsidRDefault="000616C6" w:rsidP="000616C6">
      <w:pPr>
        <w:spacing w:line="240" w:lineRule="auto"/>
        <w:rPr>
          <w:rFonts w:eastAsia="Times New Roman" w:cs="Arial"/>
          <w:sz w:val="24"/>
          <w:szCs w:val="24"/>
        </w:rPr>
      </w:pPr>
      <w:r w:rsidRPr="000616C6">
        <w:rPr>
          <w:rFonts w:eastAsia="Times New Roman" w:cs="Arial"/>
          <w:color w:val="000000"/>
          <w:u w:val="single"/>
          <w:lang w:eastAsia="bg-BG"/>
        </w:rPr>
        <w:t>Антихолинергици</w:t>
      </w:r>
    </w:p>
    <w:p w14:paraId="7FA8C2EF"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lastRenderedPageBreak/>
        <w:t>Антихолинергиците могат да действат синергично с леводопа за намаляване на тремора. Въпреки това комбинираното приложение може да обостри абнормните неволеви движения.</w:t>
      </w:r>
    </w:p>
    <w:p w14:paraId="084B4ABB"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Антихолинергиците могат да намалят ефектите на леводопа чрез забавяне на абсорбцията. Може да е необходимо коригиране на дозатана Дуодопа.</w:t>
      </w:r>
    </w:p>
    <w:p w14:paraId="1EB2273F" w14:textId="77777777" w:rsidR="000616C6" w:rsidRPr="000616C6" w:rsidRDefault="000616C6" w:rsidP="000616C6">
      <w:pPr>
        <w:spacing w:line="240" w:lineRule="auto"/>
        <w:rPr>
          <w:rFonts w:eastAsia="Times New Roman" w:cs="Arial"/>
          <w:color w:val="000000"/>
          <w:u w:val="single"/>
          <w:lang w:eastAsia="bg-BG"/>
        </w:rPr>
      </w:pPr>
    </w:p>
    <w:p w14:paraId="4B7E9DCF" w14:textId="25C55748" w:rsidR="000616C6" w:rsidRPr="000616C6" w:rsidRDefault="000616C6" w:rsidP="000616C6">
      <w:pPr>
        <w:spacing w:line="240" w:lineRule="auto"/>
        <w:rPr>
          <w:rFonts w:eastAsia="Times New Roman" w:cs="Arial"/>
          <w:sz w:val="24"/>
          <w:szCs w:val="24"/>
        </w:rPr>
      </w:pPr>
      <w:r w:rsidRPr="000616C6">
        <w:rPr>
          <w:rFonts w:eastAsia="Times New Roman" w:cs="Arial"/>
          <w:color w:val="000000"/>
          <w:u w:val="single"/>
          <w:lang w:eastAsia="bg-BG"/>
        </w:rPr>
        <w:t>Инхибитори на СОМТ (толкапон, ентакапон)</w:t>
      </w:r>
    </w:p>
    <w:p w14:paraId="5378D8AD"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Едновременната употреба на инхибитори на СОМТ (катехол-О-метил трансфераза) и Дуодопа може да увеличи бионаличността на леводопа. Може да се наложи корекция на дозата на Дуодопа.</w:t>
      </w:r>
    </w:p>
    <w:p w14:paraId="765A26BF" w14:textId="77777777" w:rsidR="000616C6" w:rsidRPr="000616C6" w:rsidRDefault="000616C6" w:rsidP="000616C6">
      <w:pPr>
        <w:spacing w:line="240" w:lineRule="auto"/>
        <w:rPr>
          <w:rFonts w:eastAsia="Times New Roman" w:cs="Arial"/>
          <w:color w:val="000000"/>
          <w:u w:val="single"/>
          <w:lang w:eastAsia="bg-BG"/>
        </w:rPr>
      </w:pPr>
    </w:p>
    <w:p w14:paraId="5E1D53D1" w14:textId="3398574E" w:rsidR="000616C6" w:rsidRPr="000616C6" w:rsidRDefault="000616C6" w:rsidP="000616C6">
      <w:pPr>
        <w:spacing w:line="240" w:lineRule="auto"/>
        <w:rPr>
          <w:rFonts w:eastAsia="Times New Roman" w:cs="Arial"/>
          <w:sz w:val="24"/>
          <w:szCs w:val="24"/>
        </w:rPr>
      </w:pPr>
      <w:r w:rsidRPr="000616C6">
        <w:rPr>
          <w:rFonts w:eastAsia="Times New Roman" w:cs="Arial"/>
          <w:color w:val="000000"/>
          <w:u w:val="single"/>
          <w:lang w:eastAsia="bg-BG"/>
        </w:rPr>
        <w:t>Други лекарствени продукти</w:t>
      </w:r>
    </w:p>
    <w:p w14:paraId="26255324"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Антагонистите на допаминовите рецептори (някои антипсихотици, например фенотиазини, бутирофенони и рисперидон, и антиеметици, например метоклопрамид), бензодиазепините, изониазид, фенитоин и папаверин могат да намалят терапевтичния ефект на леводопа.</w:t>
      </w:r>
    </w:p>
    <w:p w14:paraId="00F35A3C"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Пациентите, употребяващи тези лекарствени продукти заедно с Дуодопа, трябва да се наблюдават внимателно за загуба на терапевтичен отговор.</w:t>
      </w:r>
    </w:p>
    <w:p w14:paraId="7967A5FB" w14:textId="77777777" w:rsidR="000616C6" w:rsidRPr="000616C6" w:rsidRDefault="000616C6" w:rsidP="000616C6">
      <w:pPr>
        <w:spacing w:line="240" w:lineRule="auto"/>
        <w:rPr>
          <w:rFonts w:eastAsia="Times New Roman" w:cs="Arial"/>
          <w:color w:val="000000"/>
          <w:lang w:eastAsia="bg-BG"/>
        </w:rPr>
      </w:pPr>
    </w:p>
    <w:p w14:paraId="12D94E39" w14:textId="7B8D5E4D"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Дуодопа може да се прилага едновременно с препоръчителната доза МАО инхибитор, който е селективен за МАО тип В (например селегилин</w:t>
      </w:r>
      <w:r w:rsidRPr="000616C6">
        <w:rPr>
          <w:rFonts w:eastAsia="Times New Roman" w:cs="Arial"/>
          <w:color w:val="000000"/>
          <w:lang w:val="ru-RU"/>
        </w:rPr>
        <w:t>-</w:t>
      </w:r>
      <w:proofErr w:type="spellStart"/>
      <w:r w:rsidRPr="000616C6">
        <w:rPr>
          <w:rFonts w:eastAsia="Times New Roman" w:cs="Arial"/>
          <w:color w:val="000000"/>
          <w:lang w:val="en-US"/>
        </w:rPr>
        <w:t>HCl</w:t>
      </w:r>
      <w:proofErr w:type="spellEnd"/>
      <w:r w:rsidRPr="000616C6">
        <w:rPr>
          <w:rFonts w:eastAsia="Times New Roman" w:cs="Arial"/>
          <w:color w:val="000000"/>
          <w:lang w:val="ru-RU"/>
        </w:rPr>
        <w:t xml:space="preserve">). </w:t>
      </w:r>
      <w:r w:rsidRPr="000616C6">
        <w:rPr>
          <w:rFonts w:eastAsia="Times New Roman" w:cs="Arial"/>
          <w:color w:val="000000"/>
          <w:lang w:eastAsia="bg-BG"/>
        </w:rPr>
        <w:t>Може да се наложи да се намали дозата на леводопа, когато се добавя МАО инхибитор, селективен за тип В.</w:t>
      </w:r>
    </w:p>
    <w:p w14:paraId="727CB805" w14:textId="77777777" w:rsidR="000616C6" w:rsidRPr="000616C6" w:rsidRDefault="000616C6" w:rsidP="000616C6">
      <w:pPr>
        <w:spacing w:line="240" w:lineRule="auto"/>
        <w:rPr>
          <w:rFonts w:eastAsia="Times New Roman" w:cs="Arial"/>
          <w:color w:val="000000"/>
          <w:lang w:eastAsia="bg-BG"/>
        </w:rPr>
      </w:pPr>
    </w:p>
    <w:p w14:paraId="359A8A72" w14:textId="185791AF"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Едновременното приложение на селегилин и леводопа/карбидопа е свързано със сериозна ортостатична хипотония.</w:t>
      </w:r>
    </w:p>
    <w:p w14:paraId="361D8E7F" w14:textId="77777777" w:rsidR="000616C6" w:rsidRPr="000616C6" w:rsidRDefault="000616C6" w:rsidP="000616C6">
      <w:pPr>
        <w:spacing w:line="240" w:lineRule="auto"/>
        <w:rPr>
          <w:rFonts w:eastAsia="Times New Roman" w:cs="Arial"/>
          <w:color w:val="000000"/>
          <w:lang w:eastAsia="bg-BG"/>
        </w:rPr>
      </w:pPr>
    </w:p>
    <w:p w14:paraId="04BDFD10" w14:textId="35AC82AA"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Амантадин има синергичен ефект с леводопа и може да засили, свързаните с леводопа нежелани лекарствени събития. Може да се наложи коригиране на дозата на Дуодопа.</w:t>
      </w:r>
    </w:p>
    <w:p w14:paraId="7206A5B0" w14:textId="77777777" w:rsidR="000616C6" w:rsidRPr="000616C6" w:rsidRDefault="000616C6" w:rsidP="000616C6">
      <w:pPr>
        <w:spacing w:line="240" w:lineRule="auto"/>
        <w:rPr>
          <w:rFonts w:eastAsia="Times New Roman" w:cs="Arial"/>
          <w:color w:val="000000"/>
          <w:lang w:eastAsia="bg-BG"/>
        </w:rPr>
      </w:pPr>
    </w:p>
    <w:p w14:paraId="07A20F1B" w14:textId="26F076B4"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Симпатикомиметиците могат да увеличат сърдечно-съдовите нежелани събития, свързани с леводопа.</w:t>
      </w:r>
    </w:p>
    <w:p w14:paraId="59979009" w14:textId="77777777" w:rsidR="000616C6" w:rsidRPr="000616C6" w:rsidRDefault="000616C6" w:rsidP="000616C6">
      <w:pPr>
        <w:spacing w:line="240" w:lineRule="auto"/>
        <w:rPr>
          <w:rFonts w:eastAsia="Times New Roman" w:cs="Arial"/>
          <w:color w:val="000000"/>
          <w:lang w:eastAsia="bg-BG"/>
        </w:rPr>
      </w:pPr>
    </w:p>
    <w:p w14:paraId="6F2A2C70" w14:textId="040F4A0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Леводопа образува хелат с желязото в гастро-интестиналния тракт, което води до намалена абсорбция на леводопа.</w:t>
      </w:r>
    </w:p>
    <w:p w14:paraId="29421F00" w14:textId="267D8A87" w:rsidR="000616C6" w:rsidRPr="000616C6" w:rsidRDefault="000616C6" w:rsidP="000616C6">
      <w:pPr>
        <w:rPr>
          <w:rFonts w:cs="Arial"/>
        </w:rPr>
      </w:pPr>
    </w:p>
    <w:p w14:paraId="28A33800"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Тъй като леводопа се конкурира с някои аминокиселини, абсорбцията му може да бъде нарушена при пациенти, които са на богата на белтъчини диета.</w:t>
      </w:r>
    </w:p>
    <w:p w14:paraId="56FD1F3D" w14:textId="77777777" w:rsidR="000616C6" w:rsidRPr="000616C6" w:rsidRDefault="000616C6" w:rsidP="000616C6">
      <w:pPr>
        <w:spacing w:line="240" w:lineRule="auto"/>
        <w:rPr>
          <w:rFonts w:eastAsia="Times New Roman" w:cs="Arial"/>
          <w:color w:val="000000"/>
          <w:lang w:eastAsia="bg-BG"/>
        </w:rPr>
      </w:pPr>
    </w:p>
    <w:p w14:paraId="18A8288D" w14:textId="062866D1"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Ефектът от приложението на антиациди и Дуодопа върху бионаличността на леводопа не е изследван.</w:t>
      </w:r>
    </w:p>
    <w:p w14:paraId="39382E0B" w14:textId="77777777" w:rsidR="000616C6" w:rsidRPr="000616C6" w:rsidRDefault="000616C6" w:rsidP="000616C6"/>
    <w:p w14:paraId="5D9F40EA" w14:textId="4605DA94" w:rsidR="007122AD" w:rsidRDefault="002C50EE" w:rsidP="00936AD0">
      <w:pPr>
        <w:pStyle w:val="Heading2"/>
      </w:pPr>
      <w:r>
        <w:t>4.6. Фертилитет, бременност и кърмене</w:t>
      </w:r>
    </w:p>
    <w:p w14:paraId="699F35B5" w14:textId="1BDC47B5" w:rsidR="000616C6" w:rsidRDefault="000616C6" w:rsidP="000616C6"/>
    <w:p w14:paraId="1AA444A7" w14:textId="77777777" w:rsidR="000616C6" w:rsidRPr="000616C6" w:rsidRDefault="000616C6" w:rsidP="000616C6">
      <w:pPr>
        <w:pStyle w:val="Heading3"/>
        <w:rPr>
          <w:rFonts w:eastAsia="Times New Roman"/>
          <w:u w:val="single"/>
        </w:rPr>
      </w:pPr>
      <w:r w:rsidRPr="000616C6">
        <w:rPr>
          <w:rFonts w:eastAsia="Times New Roman"/>
          <w:u w:val="single"/>
          <w:lang w:eastAsia="bg-BG"/>
        </w:rPr>
        <w:t>Бременност</w:t>
      </w:r>
    </w:p>
    <w:p w14:paraId="2AEA7B1C"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Няма данни за приложението на леводопа/карбидопа при бременни жени или данните са ограничени. Проучвания при животни са показали репродуктивна токсичност (вж. точка 5.3). Дуодопа не се препоръчва по време на бременност и при жени с детероден потенциал, които не прилагат контрацепция, освен в случаите, когато ползата за майката превишава риска за плода.</w:t>
      </w:r>
    </w:p>
    <w:p w14:paraId="25A1E4CE" w14:textId="77777777" w:rsidR="000616C6" w:rsidRPr="000616C6" w:rsidRDefault="000616C6" w:rsidP="000616C6">
      <w:pPr>
        <w:spacing w:line="240" w:lineRule="auto"/>
        <w:rPr>
          <w:rFonts w:eastAsia="Times New Roman" w:cs="Arial"/>
          <w:color w:val="000000"/>
          <w:u w:val="single"/>
          <w:lang w:eastAsia="bg-BG"/>
        </w:rPr>
      </w:pPr>
    </w:p>
    <w:p w14:paraId="00819CBE" w14:textId="2A840433" w:rsidR="000616C6" w:rsidRPr="000616C6" w:rsidRDefault="000616C6" w:rsidP="000616C6">
      <w:pPr>
        <w:pStyle w:val="Heading3"/>
        <w:rPr>
          <w:rFonts w:eastAsia="Times New Roman"/>
          <w:u w:val="single"/>
        </w:rPr>
      </w:pPr>
      <w:r w:rsidRPr="000616C6">
        <w:rPr>
          <w:rFonts w:eastAsia="Times New Roman"/>
          <w:u w:val="single"/>
          <w:lang w:eastAsia="bg-BG"/>
        </w:rPr>
        <w:lastRenderedPageBreak/>
        <w:t>Кърмене</w:t>
      </w:r>
    </w:p>
    <w:p w14:paraId="0766E803"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Леводопа и вероятно метаболитите на леводопа се екскретират в кърмата. Има доказателства, че лактацията се потиска по време на терапия с леводопа.</w:t>
      </w:r>
    </w:p>
    <w:p w14:paraId="24446078" w14:textId="77777777" w:rsidR="000616C6" w:rsidRPr="000616C6" w:rsidRDefault="000616C6" w:rsidP="000616C6">
      <w:pPr>
        <w:spacing w:line="240" w:lineRule="auto"/>
        <w:rPr>
          <w:rFonts w:eastAsia="Times New Roman" w:cs="Arial"/>
          <w:color w:val="000000"/>
          <w:lang w:eastAsia="bg-BG"/>
        </w:rPr>
      </w:pPr>
    </w:p>
    <w:p w14:paraId="11DF7D68" w14:textId="4ED3893A"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Не е известно дали карбидопа или метаболитите й се екскретират в кърмата при човека. Проучвания при животни са показали екскреция на карбидопа в майчиното мляко.</w:t>
      </w:r>
    </w:p>
    <w:p w14:paraId="1D16B9A7" w14:textId="77777777" w:rsidR="000616C6" w:rsidRPr="000616C6" w:rsidRDefault="000616C6" w:rsidP="000616C6">
      <w:pPr>
        <w:spacing w:line="240" w:lineRule="auto"/>
        <w:rPr>
          <w:rFonts w:eastAsia="Times New Roman" w:cs="Arial"/>
          <w:color w:val="000000"/>
          <w:lang w:eastAsia="bg-BG"/>
        </w:rPr>
      </w:pPr>
    </w:p>
    <w:p w14:paraId="45DAB43E" w14:textId="6E35B2BC"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Има недостатъчна информация за ефектите на леводопа/карбидопа или техните метаболити при новородени/кърмачета. Кърменето трябва да се прекъсне по време на лечение с Дуодопа.</w:t>
      </w:r>
    </w:p>
    <w:p w14:paraId="3ABFF736" w14:textId="77777777" w:rsidR="000616C6" w:rsidRPr="000616C6" w:rsidRDefault="000616C6" w:rsidP="000616C6">
      <w:pPr>
        <w:spacing w:line="240" w:lineRule="auto"/>
        <w:rPr>
          <w:rFonts w:eastAsia="Times New Roman" w:cs="Arial"/>
          <w:color w:val="000000"/>
          <w:u w:val="single"/>
          <w:lang w:eastAsia="bg-BG"/>
        </w:rPr>
      </w:pPr>
    </w:p>
    <w:p w14:paraId="72418C38" w14:textId="0BDD101E" w:rsidR="000616C6" w:rsidRPr="000616C6" w:rsidRDefault="000616C6" w:rsidP="000616C6">
      <w:pPr>
        <w:pStyle w:val="Heading3"/>
        <w:rPr>
          <w:rFonts w:eastAsia="Times New Roman"/>
          <w:u w:val="single"/>
        </w:rPr>
      </w:pPr>
      <w:r w:rsidRPr="000616C6">
        <w:rPr>
          <w:rFonts w:eastAsia="Times New Roman"/>
          <w:u w:val="single"/>
          <w:lang w:eastAsia="bg-BG"/>
        </w:rPr>
        <w:t>Фертилитет</w:t>
      </w:r>
    </w:p>
    <w:p w14:paraId="57AD32D5"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Не са наблюдавани нежелани реакции върху фертилитета при предклинични изпитвания със самостоятелно приложение на карбидопа или леводопа. Проучвания на фертилитета при животни не са провеждани с комбинацията леводопа/карбидопа.</w:t>
      </w:r>
    </w:p>
    <w:p w14:paraId="6CB7B442" w14:textId="77777777" w:rsidR="000616C6" w:rsidRPr="000616C6" w:rsidRDefault="000616C6" w:rsidP="000616C6"/>
    <w:p w14:paraId="5DD7A76D" w14:textId="077D9944" w:rsidR="007122AD" w:rsidRDefault="002C50EE" w:rsidP="00936AD0">
      <w:pPr>
        <w:pStyle w:val="Heading2"/>
      </w:pPr>
      <w:r>
        <w:t>4.7. Ефекти върху способността за шофиране и работа с машини</w:t>
      </w:r>
    </w:p>
    <w:p w14:paraId="786D8517" w14:textId="1C97B6D3" w:rsidR="000616C6" w:rsidRDefault="000616C6" w:rsidP="000616C6"/>
    <w:p w14:paraId="4CFCC907" w14:textId="77777777" w:rsidR="000616C6" w:rsidRPr="000616C6" w:rsidRDefault="000616C6" w:rsidP="000616C6">
      <w:pPr>
        <w:rPr>
          <w:sz w:val="24"/>
          <w:szCs w:val="24"/>
        </w:rPr>
      </w:pPr>
      <w:r w:rsidRPr="000616C6">
        <w:rPr>
          <w:lang w:eastAsia="bg-BG"/>
        </w:rPr>
        <w:t>Дуодопа може да има значително въздействие върху способността за шофиране и работата с машини. Леводопа и карбидопа могат да предизвикат замайване и ортостатична хипотония. Ето защо е необходимо внимание при шофиране или работа с машини. Пациентите, които се лекуват с Дуодопа и получават сомнолентност и/или епизоди на внезапно заспиване, трябва да се посъветват да се въздържат от шофиране или извършване на дейности, при които нарушеното внимание може да изложи тях или други хора на риск от сериозна травма или смърт (например при работа с машини), докато такива повтарящи се епизоди и сомнолентността не преминат, вижте също точка 4.4.</w:t>
      </w:r>
    </w:p>
    <w:p w14:paraId="0C585BAD" w14:textId="34C1C5E1" w:rsidR="000616C6" w:rsidRPr="000616C6" w:rsidRDefault="000616C6" w:rsidP="000616C6"/>
    <w:p w14:paraId="44CE30A3" w14:textId="08D10DE7" w:rsidR="007122AD" w:rsidRDefault="002C50EE" w:rsidP="00936AD0">
      <w:pPr>
        <w:pStyle w:val="Heading2"/>
      </w:pPr>
      <w:r>
        <w:t>4.8. Нежелани лекарствени реакции</w:t>
      </w:r>
    </w:p>
    <w:p w14:paraId="570EFD21" w14:textId="7511CD40" w:rsidR="000616C6" w:rsidRDefault="000616C6" w:rsidP="000616C6"/>
    <w:p w14:paraId="6BC812A7"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Нежеланите лекарствени реакции, свързани с лекарството, които се появяват често при Дуодопа, включват гадене и дискинезия.</w:t>
      </w:r>
    </w:p>
    <w:p w14:paraId="3D687FD7" w14:textId="77777777" w:rsidR="000616C6" w:rsidRPr="000616C6" w:rsidRDefault="000616C6" w:rsidP="000616C6">
      <w:pPr>
        <w:spacing w:line="240" w:lineRule="auto"/>
        <w:rPr>
          <w:rFonts w:eastAsia="Times New Roman" w:cs="Arial"/>
          <w:color w:val="000000"/>
          <w:lang w:eastAsia="bg-BG"/>
        </w:rPr>
      </w:pPr>
    </w:p>
    <w:p w14:paraId="75807FC9" w14:textId="5DB32A3E"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Нежелани реакции, свързани с уреда и процедурата, които се появяват често при системата на Дуодопа, са коремна болка, усложнения на мястото на имплантиране на уреда, прекомерно разрастване на гранулационна тъкан, еритем на мястото на инцизията, постоперативна инфекция на раната, секретиране след процедурата, болка по време на процедурата и реакция на мястото на процедурата.</w:t>
      </w:r>
    </w:p>
    <w:p w14:paraId="46FC1087" w14:textId="6CFD237C" w:rsidR="000616C6" w:rsidRPr="000616C6" w:rsidRDefault="000616C6" w:rsidP="000616C6">
      <w:pPr>
        <w:rPr>
          <w:rFonts w:cs="Arial"/>
        </w:rPr>
      </w:pPr>
    </w:p>
    <w:p w14:paraId="4635A821"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Повечето от тези реакции се съобщават рано в проучванията, те са следствие от процедурата по перкутанната ендоскопска гастростомия и настъпват през първите 28 дни.</w:t>
      </w:r>
    </w:p>
    <w:p w14:paraId="4E81E4CC" w14:textId="77777777" w:rsidR="000616C6" w:rsidRPr="000616C6" w:rsidRDefault="000616C6" w:rsidP="000616C6">
      <w:pPr>
        <w:spacing w:line="240" w:lineRule="auto"/>
        <w:rPr>
          <w:rFonts w:eastAsia="Times New Roman" w:cs="Arial"/>
          <w:b/>
          <w:bCs/>
          <w:color w:val="000000"/>
          <w:lang w:eastAsia="bg-BG"/>
        </w:rPr>
      </w:pPr>
    </w:p>
    <w:p w14:paraId="137FCA8A" w14:textId="06D257E0" w:rsidR="000616C6" w:rsidRPr="000616C6" w:rsidRDefault="000616C6" w:rsidP="000616C6">
      <w:pPr>
        <w:spacing w:line="240" w:lineRule="auto"/>
        <w:rPr>
          <w:rFonts w:eastAsia="Times New Roman" w:cs="Arial"/>
          <w:sz w:val="24"/>
          <w:szCs w:val="24"/>
        </w:rPr>
      </w:pPr>
      <w:r w:rsidRPr="000616C6">
        <w:rPr>
          <w:rFonts w:eastAsia="Times New Roman" w:cs="Arial"/>
          <w:b/>
          <w:bCs/>
          <w:color w:val="000000"/>
          <w:lang w:eastAsia="bg-BG"/>
        </w:rPr>
        <w:t>Нежелани реакции, съобщавани с Дуодопа</w:t>
      </w:r>
    </w:p>
    <w:p w14:paraId="0FDE8DD3" w14:textId="77777777" w:rsidR="000616C6" w:rsidRPr="000616C6" w:rsidRDefault="000616C6" w:rsidP="000616C6">
      <w:pPr>
        <w:spacing w:line="240" w:lineRule="auto"/>
        <w:rPr>
          <w:rFonts w:eastAsia="Times New Roman" w:cs="Arial"/>
          <w:color w:val="000000"/>
          <w:lang w:eastAsia="bg-BG"/>
        </w:rPr>
      </w:pPr>
    </w:p>
    <w:p w14:paraId="2889CDBA" w14:textId="68333754"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 xml:space="preserve">Безопасността на Дуодопа е сравнявана със стандартната перорална комбинация леводопа/карбидопа (100 </w:t>
      </w:r>
      <w:r w:rsidRPr="000616C6">
        <w:rPr>
          <w:rFonts w:eastAsia="Times New Roman" w:cs="Arial"/>
          <w:color w:val="000000"/>
          <w:lang w:val="en-US"/>
        </w:rPr>
        <w:t>mg</w:t>
      </w:r>
      <w:r w:rsidRPr="000616C6">
        <w:rPr>
          <w:rFonts w:eastAsia="Times New Roman" w:cs="Arial"/>
          <w:color w:val="000000"/>
          <w:lang w:val="ru-RU"/>
        </w:rPr>
        <w:t xml:space="preserve">/25 </w:t>
      </w:r>
      <w:r w:rsidRPr="000616C6">
        <w:rPr>
          <w:rFonts w:eastAsia="Times New Roman" w:cs="Arial"/>
          <w:color w:val="000000"/>
          <w:lang w:val="en-US"/>
        </w:rPr>
        <w:t>mg</w:t>
      </w:r>
      <w:r w:rsidRPr="000616C6">
        <w:rPr>
          <w:rFonts w:eastAsia="Times New Roman" w:cs="Arial"/>
          <w:color w:val="000000"/>
          <w:lang w:val="ru-RU"/>
        </w:rPr>
        <w:t xml:space="preserve">) </w:t>
      </w:r>
      <w:r w:rsidRPr="000616C6">
        <w:rPr>
          <w:rFonts w:eastAsia="Times New Roman" w:cs="Arial"/>
          <w:color w:val="000000"/>
          <w:lang w:eastAsia="bg-BG"/>
        </w:rPr>
        <w:t xml:space="preserve">при общо 71 пациенти с напреднала форма на </w:t>
      </w:r>
      <w:r w:rsidRPr="000616C6">
        <w:rPr>
          <w:rFonts w:eastAsia="Times New Roman" w:cs="Arial"/>
          <w:color w:val="000000"/>
          <w:lang w:eastAsia="bg-BG"/>
        </w:rPr>
        <w:lastRenderedPageBreak/>
        <w:t>болест на Паркинсон, които са участвали в рандомизирано, двойно-сляпо с двойно плацебо, активно контролирано проучване с продължителност от 12 седмици.</w:t>
      </w:r>
    </w:p>
    <w:p w14:paraId="49A617E2" w14:textId="77777777"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Допълнителна информация за безопасност е събирана в открито 12-месечно проучване при 354 пациенти с напреднала форма на болестта на Паркинсон и в открити продължения.</w:t>
      </w:r>
    </w:p>
    <w:p w14:paraId="07244C08" w14:textId="77777777" w:rsidR="000616C6" w:rsidRPr="000616C6" w:rsidRDefault="000616C6" w:rsidP="000616C6">
      <w:pPr>
        <w:spacing w:line="240" w:lineRule="auto"/>
        <w:rPr>
          <w:rFonts w:eastAsia="Times New Roman" w:cs="Arial"/>
          <w:color w:val="000000"/>
          <w:lang w:eastAsia="bg-BG"/>
        </w:rPr>
      </w:pPr>
    </w:p>
    <w:p w14:paraId="03EF259A" w14:textId="67F3983D" w:rsidR="000616C6" w:rsidRPr="000616C6" w:rsidRDefault="000616C6" w:rsidP="000616C6">
      <w:pPr>
        <w:spacing w:line="240" w:lineRule="auto"/>
        <w:rPr>
          <w:rFonts w:eastAsia="Times New Roman" w:cs="Arial"/>
          <w:sz w:val="24"/>
          <w:szCs w:val="24"/>
        </w:rPr>
      </w:pPr>
      <w:r w:rsidRPr="000616C6">
        <w:rPr>
          <w:rFonts w:eastAsia="Times New Roman" w:cs="Arial"/>
          <w:color w:val="000000"/>
          <w:lang w:eastAsia="bg-BG"/>
        </w:rPr>
        <w:t xml:space="preserve">Направен е анализ на пациентите, получавали Дуодопа във всички проучвания, независимо от дизайна на проучванията (двойно-слепи или открити), който да позволи обобщаването на нежеланите реакции, свързани с лекарството. Направен е и друг анализ при пациенти, получавали Дуодопа или плацебо гел, подаван през </w:t>
      </w:r>
      <w:r w:rsidRPr="000616C6">
        <w:rPr>
          <w:rFonts w:eastAsia="Times New Roman" w:cs="Arial"/>
          <w:color w:val="000000"/>
          <w:lang w:val="en-US"/>
        </w:rPr>
        <w:t>PEG</w:t>
      </w:r>
      <w:r w:rsidRPr="000616C6">
        <w:rPr>
          <w:rFonts w:eastAsia="Times New Roman" w:cs="Arial"/>
          <w:color w:val="000000"/>
          <w:lang w:val="ru-RU"/>
        </w:rPr>
        <w:t>-</w:t>
      </w:r>
      <w:r w:rsidRPr="000616C6">
        <w:rPr>
          <w:rFonts w:eastAsia="Times New Roman" w:cs="Arial"/>
          <w:color w:val="000000"/>
          <w:lang w:val="en-US"/>
        </w:rPr>
        <w:t>J</w:t>
      </w:r>
      <w:r w:rsidRPr="000616C6">
        <w:rPr>
          <w:rFonts w:eastAsia="Times New Roman" w:cs="Arial"/>
          <w:color w:val="000000"/>
          <w:lang w:val="ru-RU"/>
        </w:rPr>
        <w:t xml:space="preserve">, </w:t>
      </w:r>
      <w:r w:rsidRPr="000616C6">
        <w:rPr>
          <w:rFonts w:eastAsia="Times New Roman" w:cs="Arial"/>
          <w:color w:val="000000"/>
          <w:lang w:eastAsia="bg-BG"/>
        </w:rPr>
        <w:t>за може да се обобщят свързаните с процедурата и с уреда реакции от всички проучвания, независимо от дизайна им (двойно-слепи или открити).</w:t>
      </w:r>
    </w:p>
    <w:p w14:paraId="1BFE8EBB" w14:textId="77777777" w:rsidR="000616C6" w:rsidRPr="000616C6" w:rsidRDefault="000616C6" w:rsidP="000616C6">
      <w:pPr>
        <w:spacing w:line="240" w:lineRule="auto"/>
        <w:rPr>
          <w:rFonts w:eastAsia="Times New Roman" w:cs="Arial"/>
          <w:color w:val="000000"/>
          <w:lang w:eastAsia="bg-BG"/>
        </w:rPr>
      </w:pPr>
    </w:p>
    <w:p w14:paraId="08823906" w14:textId="0FB66537" w:rsidR="000616C6" w:rsidRPr="000616C6" w:rsidRDefault="000616C6" w:rsidP="000616C6">
      <w:pPr>
        <w:spacing w:line="240" w:lineRule="auto"/>
        <w:rPr>
          <w:rFonts w:eastAsia="Times New Roman" w:cs="Arial"/>
          <w:color w:val="000000"/>
          <w:lang w:eastAsia="bg-BG"/>
        </w:rPr>
      </w:pPr>
      <w:r w:rsidRPr="000616C6">
        <w:rPr>
          <w:rFonts w:eastAsia="Times New Roman" w:cs="Arial"/>
          <w:color w:val="000000"/>
          <w:lang w:eastAsia="bg-BG"/>
        </w:rPr>
        <w:t>Нежелани реакции, свързани с лекарството, с процедурата и с уреда, въз основа на честотата на възникване по време на лечението, независимо от определената причинно-следствена връзка, в допълнение към нежеланите реакции, идентифицирани по време на постмаркетинговата употреба на Дуодопа са представени в Таблица 1.</w:t>
      </w:r>
    </w:p>
    <w:p w14:paraId="6355BB2E" w14:textId="6AFAC97F" w:rsidR="000616C6" w:rsidRPr="000616C6" w:rsidRDefault="000616C6" w:rsidP="000616C6">
      <w:pPr>
        <w:spacing w:line="240" w:lineRule="auto"/>
        <w:rPr>
          <w:rFonts w:eastAsia="Times New Roman" w:cs="Arial"/>
          <w:color w:val="000000"/>
          <w:lang w:eastAsia="bg-BG"/>
        </w:rPr>
      </w:pPr>
    </w:p>
    <w:p w14:paraId="3210FBA8" w14:textId="0D1596A1" w:rsidR="000616C6" w:rsidRPr="000616C6" w:rsidRDefault="000616C6" w:rsidP="000616C6">
      <w:pPr>
        <w:spacing w:line="240" w:lineRule="auto"/>
        <w:rPr>
          <w:rFonts w:eastAsia="Times New Roman" w:cs="Arial"/>
          <w:sz w:val="24"/>
          <w:szCs w:val="24"/>
        </w:rPr>
      </w:pPr>
      <w:r w:rsidRPr="000616C6">
        <w:rPr>
          <w:rFonts w:cs="Arial"/>
          <w:b/>
          <w:bCs/>
        </w:rPr>
        <w:t xml:space="preserve">Таблица 1. Данни за нежеланите реакции от клиничните изпитвания и постмаркетинговия </w:t>
      </w:r>
      <w:r w:rsidRPr="000616C6">
        <w:rPr>
          <w:rFonts w:cs="Arial"/>
          <w:b/>
          <w:bCs/>
          <w:u w:val="single"/>
        </w:rPr>
        <w:t>период</w:t>
      </w:r>
    </w:p>
    <w:tbl>
      <w:tblPr>
        <w:tblStyle w:val="TableGrid"/>
        <w:tblW w:w="0" w:type="auto"/>
        <w:tblLook w:val="04A0" w:firstRow="1" w:lastRow="0" w:firstColumn="1" w:lastColumn="0" w:noHBand="0" w:noVBand="1"/>
      </w:tblPr>
      <w:tblGrid>
        <w:gridCol w:w="1441"/>
        <w:gridCol w:w="1615"/>
        <w:gridCol w:w="1600"/>
        <w:gridCol w:w="1562"/>
        <w:gridCol w:w="1500"/>
        <w:gridCol w:w="1632"/>
      </w:tblGrid>
      <w:tr w:rsidR="00741E18" w14:paraId="00F30AFC" w14:textId="77777777" w:rsidTr="00741E18">
        <w:tc>
          <w:tcPr>
            <w:tcW w:w="1476" w:type="dxa"/>
            <w:vAlign w:val="bottom"/>
          </w:tcPr>
          <w:p w14:paraId="1DAE48FF" w14:textId="2D5B4F55" w:rsidR="000616C6" w:rsidRDefault="000616C6" w:rsidP="000616C6">
            <w:r>
              <w:rPr>
                <w:b/>
                <w:bCs/>
              </w:rPr>
              <w:t xml:space="preserve">Системо- органен клас по </w:t>
            </w:r>
            <w:proofErr w:type="spellStart"/>
            <w:r>
              <w:rPr>
                <w:b/>
                <w:bCs/>
                <w:lang w:val="en-US"/>
              </w:rPr>
              <w:t>MedDRA</w:t>
            </w:r>
            <w:proofErr w:type="spellEnd"/>
          </w:p>
        </w:tc>
        <w:tc>
          <w:tcPr>
            <w:tcW w:w="1654" w:type="dxa"/>
            <w:vAlign w:val="center"/>
          </w:tcPr>
          <w:p w14:paraId="423321EC" w14:textId="22FF4899" w:rsidR="000616C6" w:rsidRDefault="000616C6" w:rsidP="000616C6">
            <w:r>
              <w:rPr>
                <w:b/>
                <w:bCs/>
              </w:rPr>
              <w:t>Много чести</w:t>
            </w:r>
            <w:r>
              <w:rPr>
                <w:b/>
                <w:bCs/>
                <w:vertAlign w:val="superscript"/>
                <w:lang w:val="en-US"/>
              </w:rPr>
              <w:t>a</w:t>
            </w:r>
            <w:r>
              <w:rPr>
                <w:b/>
                <w:bCs/>
                <w:vertAlign w:val="superscript"/>
              </w:rPr>
              <w:t xml:space="preserve"> </w:t>
            </w:r>
            <w:r>
              <w:rPr>
                <w:b/>
                <w:bCs/>
              </w:rPr>
              <w:t>(≥ 1/10)</w:t>
            </w:r>
          </w:p>
        </w:tc>
        <w:tc>
          <w:tcPr>
            <w:tcW w:w="1639" w:type="dxa"/>
          </w:tcPr>
          <w:p w14:paraId="3EA938EB" w14:textId="3690CB75" w:rsidR="000616C6" w:rsidRDefault="000616C6" w:rsidP="000616C6">
            <w:r>
              <w:rPr>
                <w:b/>
                <w:bCs/>
              </w:rPr>
              <w:t>Чести</w:t>
            </w:r>
            <w:r>
              <w:rPr>
                <w:b/>
                <w:bCs/>
                <w:vertAlign w:val="superscript"/>
                <w:lang w:val="en-US"/>
              </w:rPr>
              <w:t>a</w:t>
            </w:r>
            <w:r>
              <w:rPr>
                <w:b/>
                <w:bCs/>
                <w:vertAlign w:val="superscript"/>
              </w:rPr>
              <w:t xml:space="preserve"> </w:t>
            </w:r>
            <w:r>
              <w:rPr>
                <w:b/>
                <w:bCs/>
              </w:rPr>
              <w:t>(≥ 1/100 до &lt; 1/10)</w:t>
            </w:r>
          </w:p>
        </w:tc>
        <w:tc>
          <w:tcPr>
            <w:tcW w:w="1600" w:type="dxa"/>
          </w:tcPr>
          <w:p w14:paraId="7CF97592" w14:textId="6BDA11FB" w:rsidR="000616C6" w:rsidRDefault="000616C6" w:rsidP="000616C6">
            <w:r>
              <w:rPr>
                <w:b/>
                <w:bCs/>
              </w:rPr>
              <w:t>Нечести</w:t>
            </w:r>
            <w:r>
              <w:rPr>
                <w:b/>
                <w:bCs/>
                <w:vertAlign w:val="superscript"/>
              </w:rPr>
              <w:t xml:space="preserve">6 </w:t>
            </w:r>
            <w:r>
              <w:rPr>
                <w:b/>
                <w:bCs/>
              </w:rPr>
              <w:t>(≥1/1,000 до &lt;1/100)</w:t>
            </w:r>
          </w:p>
        </w:tc>
        <w:tc>
          <w:tcPr>
            <w:tcW w:w="1536" w:type="dxa"/>
          </w:tcPr>
          <w:p w14:paraId="092058F4" w14:textId="27F0B927" w:rsidR="000616C6" w:rsidRDefault="000616C6" w:rsidP="000616C6">
            <w:r>
              <w:rPr>
                <w:b/>
                <w:bCs/>
              </w:rPr>
              <w:t>Редки</w:t>
            </w:r>
            <w:r>
              <w:rPr>
                <w:b/>
                <w:bCs/>
                <w:vertAlign w:val="superscript"/>
              </w:rPr>
              <w:t xml:space="preserve">б </w:t>
            </w:r>
            <w:r>
              <w:rPr>
                <w:b/>
                <w:bCs/>
              </w:rPr>
              <w:t>(&gt;1/10,000 до &lt;1/1,000)</w:t>
            </w:r>
          </w:p>
        </w:tc>
        <w:tc>
          <w:tcPr>
            <w:tcW w:w="1671" w:type="dxa"/>
            <w:vAlign w:val="bottom"/>
          </w:tcPr>
          <w:p w14:paraId="3901464F" w14:textId="58FBE775" w:rsidR="000616C6" w:rsidRDefault="000616C6" w:rsidP="000616C6">
            <w:r>
              <w:rPr>
                <w:b/>
                <w:bCs/>
              </w:rPr>
              <w:t>С неизвестна честота от постмаркетинго вия период</w:t>
            </w:r>
          </w:p>
        </w:tc>
      </w:tr>
      <w:tr w:rsidR="00741E18" w14:paraId="45C86ABE" w14:textId="77777777" w:rsidTr="00741E18">
        <w:tc>
          <w:tcPr>
            <w:tcW w:w="1476" w:type="dxa"/>
            <w:vAlign w:val="bottom"/>
          </w:tcPr>
          <w:p w14:paraId="06F92790" w14:textId="52EB489F" w:rsidR="000616C6" w:rsidRDefault="000616C6" w:rsidP="000616C6">
            <w:r>
              <w:t>Нарушения на кръвта и лимфната система</w:t>
            </w:r>
          </w:p>
        </w:tc>
        <w:tc>
          <w:tcPr>
            <w:tcW w:w="1654" w:type="dxa"/>
          </w:tcPr>
          <w:p w14:paraId="1F6F73C4" w14:textId="77777777" w:rsidR="000616C6" w:rsidRDefault="000616C6" w:rsidP="000616C6"/>
        </w:tc>
        <w:tc>
          <w:tcPr>
            <w:tcW w:w="1639" w:type="dxa"/>
          </w:tcPr>
          <w:p w14:paraId="11B8EAE1" w14:textId="274DE2CA" w:rsidR="000616C6" w:rsidRDefault="000616C6" w:rsidP="000616C6">
            <w:r>
              <w:t>Анемия</w:t>
            </w:r>
          </w:p>
        </w:tc>
        <w:tc>
          <w:tcPr>
            <w:tcW w:w="1600" w:type="dxa"/>
          </w:tcPr>
          <w:p w14:paraId="7E176C33" w14:textId="72022FDA" w:rsidR="000616C6" w:rsidRDefault="000616C6" w:rsidP="000616C6">
            <w:r>
              <w:t>Левкопения, тромбоцитопен ия</w:t>
            </w:r>
          </w:p>
        </w:tc>
        <w:tc>
          <w:tcPr>
            <w:tcW w:w="1536" w:type="dxa"/>
          </w:tcPr>
          <w:p w14:paraId="639EDA65" w14:textId="77777777" w:rsidR="000616C6" w:rsidRDefault="000616C6" w:rsidP="000616C6"/>
        </w:tc>
        <w:tc>
          <w:tcPr>
            <w:tcW w:w="1671" w:type="dxa"/>
          </w:tcPr>
          <w:p w14:paraId="602D52A5" w14:textId="77777777" w:rsidR="000616C6" w:rsidRDefault="000616C6" w:rsidP="000616C6"/>
        </w:tc>
      </w:tr>
      <w:tr w:rsidR="00741E18" w14:paraId="1134C2B7" w14:textId="77777777" w:rsidTr="00741E18">
        <w:tc>
          <w:tcPr>
            <w:tcW w:w="1476" w:type="dxa"/>
          </w:tcPr>
          <w:p w14:paraId="58F2C18B" w14:textId="77777777" w:rsidR="000616C6" w:rsidRDefault="000616C6" w:rsidP="000616C6">
            <w:r>
              <w:t>Нарушения на</w:t>
            </w:r>
          </w:p>
          <w:p w14:paraId="34B3DCF5" w14:textId="73F7DB5E" w:rsidR="000616C6" w:rsidRDefault="000616C6" w:rsidP="000616C6">
            <w:r>
              <w:t>имунната система</w:t>
            </w:r>
          </w:p>
        </w:tc>
        <w:tc>
          <w:tcPr>
            <w:tcW w:w="1654" w:type="dxa"/>
          </w:tcPr>
          <w:p w14:paraId="733065FD" w14:textId="77777777" w:rsidR="000616C6" w:rsidRDefault="000616C6" w:rsidP="000616C6"/>
        </w:tc>
        <w:tc>
          <w:tcPr>
            <w:tcW w:w="1639" w:type="dxa"/>
          </w:tcPr>
          <w:p w14:paraId="22C58396" w14:textId="77777777" w:rsidR="000616C6" w:rsidRDefault="000616C6" w:rsidP="000616C6"/>
        </w:tc>
        <w:tc>
          <w:tcPr>
            <w:tcW w:w="1600" w:type="dxa"/>
          </w:tcPr>
          <w:p w14:paraId="0E55E1E5" w14:textId="77777777" w:rsidR="000616C6" w:rsidRDefault="000616C6" w:rsidP="000616C6"/>
        </w:tc>
        <w:tc>
          <w:tcPr>
            <w:tcW w:w="1536" w:type="dxa"/>
          </w:tcPr>
          <w:p w14:paraId="0FC7BDD9" w14:textId="77777777" w:rsidR="000616C6" w:rsidRDefault="000616C6" w:rsidP="000616C6"/>
        </w:tc>
        <w:tc>
          <w:tcPr>
            <w:tcW w:w="1671" w:type="dxa"/>
          </w:tcPr>
          <w:p w14:paraId="7CCAF563" w14:textId="06A7983E" w:rsidR="000616C6" w:rsidRDefault="000616C6" w:rsidP="000616C6">
            <w:r>
              <w:t>Анафилактична реакция</w:t>
            </w:r>
          </w:p>
        </w:tc>
      </w:tr>
      <w:tr w:rsidR="00741E18" w14:paraId="749E313B" w14:textId="77777777" w:rsidTr="00741E18">
        <w:tc>
          <w:tcPr>
            <w:tcW w:w="1476" w:type="dxa"/>
          </w:tcPr>
          <w:p w14:paraId="301EA1C0" w14:textId="668835FF" w:rsidR="000616C6" w:rsidRDefault="000616C6" w:rsidP="000616C6">
            <w:r>
              <w:t>Нарушения на метаболизм а и храненето</w:t>
            </w:r>
          </w:p>
        </w:tc>
        <w:tc>
          <w:tcPr>
            <w:tcW w:w="1654" w:type="dxa"/>
          </w:tcPr>
          <w:p w14:paraId="2230103A" w14:textId="128C6FAD" w:rsidR="000616C6" w:rsidRDefault="000616C6" w:rsidP="000616C6">
            <w:r>
              <w:t>Намаление на теглото</w:t>
            </w:r>
          </w:p>
        </w:tc>
        <w:tc>
          <w:tcPr>
            <w:tcW w:w="1639" w:type="dxa"/>
            <w:vAlign w:val="bottom"/>
          </w:tcPr>
          <w:p w14:paraId="28EB53DE" w14:textId="72415E65" w:rsidR="000616C6" w:rsidRPr="000616C6" w:rsidRDefault="000616C6" w:rsidP="000616C6">
            <w:pPr>
              <w:rPr>
                <w:rFonts w:ascii="Times New Roman" w:eastAsia="Times New Roman" w:hAnsi="Times New Roman" w:cs="Times New Roman"/>
                <w:sz w:val="24"/>
                <w:szCs w:val="24"/>
              </w:rPr>
            </w:pPr>
            <w:r>
              <w:t xml:space="preserve">Повишение на теглото, Повишено ниво на аминокиселини (повишена метилмалонова киселина), повишен хомоцистеин в кръвта, </w:t>
            </w:r>
            <w:r w:rsidRPr="000616C6">
              <w:t xml:space="preserve">намален апетит, </w:t>
            </w:r>
            <w:r w:rsidRPr="000616C6">
              <w:rPr>
                <w:lang w:eastAsia="bg-BG"/>
              </w:rPr>
              <w:lastRenderedPageBreak/>
              <w:t>дефицит на витамин В6, дефицит на витамин В12</w:t>
            </w:r>
          </w:p>
        </w:tc>
        <w:tc>
          <w:tcPr>
            <w:tcW w:w="1600" w:type="dxa"/>
          </w:tcPr>
          <w:p w14:paraId="66FD3A79" w14:textId="77777777" w:rsidR="000616C6" w:rsidRDefault="000616C6" w:rsidP="000616C6"/>
        </w:tc>
        <w:tc>
          <w:tcPr>
            <w:tcW w:w="1536" w:type="dxa"/>
            <w:vAlign w:val="bottom"/>
          </w:tcPr>
          <w:p w14:paraId="1BB91118" w14:textId="77777777" w:rsidR="000616C6" w:rsidRDefault="000616C6" w:rsidP="000616C6"/>
        </w:tc>
        <w:tc>
          <w:tcPr>
            <w:tcW w:w="1671" w:type="dxa"/>
          </w:tcPr>
          <w:p w14:paraId="25D19718" w14:textId="77777777" w:rsidR="000616C6" w:rsidRDefault="000616C6" w:rsidP="000616C6"/>
        </w:tc>
      </w:tr>
      <w:tr w:rsidR="00741E18" w14:paraId="24D72D93" w14:textId="77777777" w:rsidTr="00741E18">
        <w:tc>
          <w:tcPr>
            <w:tcW w:w="1476" w:type="dxa"/>
          </w:tcPr>
          <w:p w14:paraId="73D3A981" w14:textId="7D29B954" w:rsidR="000616C6" w:rsidRDefault="000616C6" w:rsidP="000616C6">
            <w:r>
              <w:t>Психични нарушения</w:t>
            </w:r>
          </w:p>
        </w:tc>
        <w:tc>
          <w:tcPr>
            <w:tcW w:w="1654" w:type="dxa"/>
          </w:tcPr>
          <w:p w14:paraId="1A1AAA7C" w14:textId="44B7D7C8" w:rsidR="000616C6" w:rsidRDefault="000616C6" w:rsidP="000616C6">
            <w:r>
              <w:t>Тревожност, депресия, безсъние</w:t>
            </w:r>
          </w:p>
        </w:tc>
        <w:tc>
          <w:tcPr>
            <w:tcW w:w="1639" w:type="dxa"/>
            <w:vAlign w:val="bottom"/>
          </w:tcPr>
          <w:p w14:paraId="0C0B0AD3" w14:textId="5BDDEEB1" w:rsidR="000616C6" w:rsidRDefault="000616C6" w:rsidP="000616C6">
            <w:r>
              <w:t>Абнормни сънища, ажитация, обърканост, халюцинации, импулсивно поведение</w:t>
            </w:r>
            <w:r>
              <w:rPr>
                <w:vertAlign w:val="superscript"/>
              </w:rPr>
              <w:t>в</w:t>
            </w:r>
            <w:r>
              <w:t>, психотични разстройства, пристъпи на заспиване, нарушения на съня</w:t>
            </w:r>
          </w:p>
        </w:tc>
        <w:tc>
          <w:tcPr>
            <w:tcW w:w="1600" w:type="dxa"/>
            <w:vAlign w:val="bottom"/>
          </w:tcPr>
          <w:p w14:paraId="1EAB07D6" w14:textId="6C1AF0BD" w:rsidR="000616C6" w:rsidRDefault="000616C6" w:rsidP="000616C6">
            <w:r>
              <w:t>Завършено самоубийство, деменция, дезориентация, еуфорично настроение, страх, увеличено либидо (вж. точка 4.4), кошмари, суицидни опити</w:t>
            </w:r>
          </w:p>
        </w:tc>
        <w:tc>
          <w:tcPr>
            <w:tcW w:w="1536" w:type="dxa"/>
          </w:tcPr>
          <w:p w14:paraId="225865A6" w14:textId="609266D6" w:rsidR="000616C6" w:rsidRDefault="000616C6" w:rsidP="000616C6">
            <w:r>
              <w:t>Абнормно мислене</w:t>
            </w:r>
          </w:p>
        </w:tc>
        <w:tc>
          <w:tcPr>
            <w:tcW w:w="1671" w:type="dxa"/>
          </w:tcPr>
          <w:p w14:paraId="34406108" w14:textId="6B801A66" w:rsidR="000616C6" w:rsidRDefault="000616C6" w:rsidP="000616C6">
            <w:r>
              <w:t>Синдром на нарушената допаминова регулация</w:t>
            </w:r>
          </w:p>
        </w:tc>
      </w:tr>
      <w:tr w:rsidR="00741E18" w14:paraId="10C25790" w14:textId="77777777" w:rsidTr="00741E18">
        <w:tc>
          <w:tcPr>
            <w:tcW w:w="1476" w:type="dxa"/>
          </w:tcPr>
          <w:p w14:paraId="6DFC26AF" w14:textId="2C81A228" w:rsidR="000616C6" w:rsidRDefault="000616C6" w:rsidP="000616C6">
            <w:r>
              <w:t>Нарушения на нервната система</w:t>
            </w:r>
          </w:p>
        </w:tc>
        <w:tc>
          <w:tcPr>
            <w:tcW w:w="1654" w:type="dxa"/>
          </w:tcPr>
          <w:p w14:paraId="7D64EFF2" w14:textId="0436AFFA" w:rsidR="000616C6" w:rsidRDefault="000616C6" w:rsidP="000616C6">
            <w:r>
              <w:t>Дискинезия, болест на Паркинсон</w:t>
            </w:r>
          </w:p>
        </w:tc>
        <w:tc>
          <w:tcPr>
            <w:tcW w:w="1639" w:type="dxa"/>
            <w:vAlign w:val="bottom"/>
          </w:tcPr>
          <w:p w14:paraId="2456182B" w14:textId="4109BC52" w:rsidR="000616C6" w:rsidRDefault="000616C6" w:rsidP="000616C6">
            <w:r>
              <w:t>Замайване, дистония, главоболие, хипоестезия, феномен „</w:t>
            </w:r>
            <w:r>
              <w:rPr>
                <w:lang w:val="en-US"/>
              </w:rPr>
              <w:t>on</w:t>
            </w:r>
            <w:r>
              <w:t xml:space="preserve"> и </w:t>
            </w:r>
            <w:r>
              <w:rPr>
                <w:lang w:val="en-US"/>
              </w:rPr>
              <w:t>off</w:t>
            </w:r>
            <w:r w:rsidRPr="000616C6">
              <w:rPr>
                <w:lang w:val="ru-RU"/>
              </w:rPr>
              <w:t xml:space="preserve">’, </w:t>
            </w:r>
            <w:r>
              <w:t>парестезии, полиневропати я, сомнолентност, синкоп,тремор</w:t>
            </w:r>
          </w:p>
        </w:tc>
        <w:tc>
          <w:tcPr>
            <w:tcW w:w="1600" w:type="dxa"/>
          </w:tcPr>
          <w:p w14:paraId="15E9E9D6" w14:textId="2D8A7FF7" w:rsidR="000616C6" w:rsidRDefault="000616C6" w:rsidP="000616C6">
            <w:r>
              <w:t>Атаксия, конвулсии, нарушения на походката</w:t>
            </w:r>
          </w:p>
        </w:tc>
        <w:tc>
          <w:tcPr>
            <w:tcW w:w="1536" w:type="dxa"/>
          </w:tcPr>
          <w:p w14:paraId="49BC83C5" w14:textId="77777777" w:rsidR="000616C6" w:rsidRDefault="000616C6" w:rsidP="000616C6"/>
        </w:tc>
        <w:tc>
          <w:tcPr>
            <w:tcW w:w="1671" w:type="dxa"/>
          </w:tcPr>
          <w:p w14:paraId="6017EBEA" w14:textId="77777777" w:rsidR="000616C6" w:rsidRDefault="000616C6" w:rsidP="000616C6"/>
        </w:tc>
      </w:tr>
      <w:tr w:rsidR="00741E18" w14:paraId="045ED023" w14:textId="77777777" w:rsidTr="00741E18">
        <w:tc>
          <w:tcPr>
            <w:tcW w:w="1476" w:type="dxa"/>
          </w:tcPr>
          <w:p w14:paraId="0AA5E3D7" w14:textId="355BE8F8" w:rsidR="000616C6" w:rsidRDefault="000616C6" w:rsidP="000616C6">
            <w:r>
              <w:t>Очни нарушения</w:t>
            </w:r>
          </w:p>
        </w:tc>
        <w:tc>
          <w:tcPr>
            <w:tcW w:w="1654" w:type="dxa"/>
          </w:tcPr>
          <w:p w14:paraId="19226F3F" w14:textId="77777777" w:rsidR="000616C6" w:rsidRDefault="000616C6" w:rsidP="000616C6"/>
        </w:tc>
        <w:tc>
          <w:tcPr>
            <w:tcW w:w="1639" w:type="dxa"/>
          </w:tcPr>
          <w:p w14:paraId="591289F2" w14:textId="77777777" w:rsidR="000616C6" w:rsidRDefault="000616C6" w:rsidP="000616C6"/>
        </w:tc>
        <w:tc>
          <w:tcPr>
            <w:tcW w:w="1600" w:type="dxa"/>
            <w:vAlign w:val="bottom"/>
          </w:tcPr>
          <w:p w14:paraId="3742DC63" w14:textId="22053B73" w:rsidR="000616C6" w:rsidRDefault="000616C6" w:rsidP="000616C6">
            <w:r>
              <w:t>Закритоъгълна глаукома, блефароспазъм диплопия, исхемична невропатия на очния нерв, замъглено зрение</w:t>
            </w:r>
          </w:p>
        </w:tc>
        <w:tc>
          <w:tcPr>
            <w:tcW w:w="1536" w:type="dxa"/>
          </w:tcPr>
          <w:p w14:paraId="1B0D82C8" w14:textId="77777777" w:rsidR="000616C6" w:rsidRDefault="000616C6" w:rsidP="000616C6"/>
        </w:tc>
        <w:tc>
          <w:tcPr>
            <w:tcW w:w="1671" w:type="dxa"/>
          </w:tcPr>
          <w:p w14:paraId="705EEAB3" w14:textId="77777777" w:rsidR="000616C6" w:rsidRDefault="000616C6" w:rsidP="000616C6"/>
        </w:tc>
      </w:tr>
      <w:tr w:rsidR="00741E18" w14:paraId="14EFB1A2" w14:textId="77777777" w:rsidTr="00741E18">
        <w:tc>
          <w:tcPr>
            <w:tcW w:w="1476" w:type="dxa"/>
          </w:tcPr>
          <w:p w14:paraId="446392F9" w14:textId="3DC67DF3" w:rsidR="000616C6" w:rsidRDefault="000616C6" w:rsidP="000616C6">
            <w:r>
              <w:t>Сърдечни нарушения</w:t>
            </w:r>
          </w:p>
        </w:tc>
        <w:tc>
          <w:tcPr>
            <w:tcW w:w="1654" w:type="dxa"/>
          </w:tcPr>
          <w:p w14:paraId="3B0A4681" w14:textId="77777777" w:rsidR="000616C6" w:rsidRDefault="000616C6" w:rsidP="000616C6"/>
        </w:tc>
        <w:tc>
          <w:tcPr>
            <w:tcW w:w="1639" w:type="dxa"/>
            <w:vAlign w:val="bottom"/>
          </w:tcPr>
          <w:p w14:paraId="143F99DC" w14:textId="02DA9E96" w:rsidR="000616C6" w:rsidRDefault="000616C6" w:rsidP="000616C6">
            <w:r>
              <w:t>Неравномерна сърдечна дейност,</w:t>
            </w:r>
          </w:p>
        </w:tc>
        <w:tc>
          <w:tcPr>
            <w:tcW w:w="1600" w:type="dxa"/>
          </w:tcPr>
          <w:p w14:paraId="66FE3BFA" w14:textId="180282AA" w:rsidR="000616C6" w:rsidRDefault="000616C6" w:rsidP="000616C6">
            <w:r>
              <w:t>Сърцебиене</w:t>
            </w:r>
          </w:p>
        </w:tc>
        <w:tc>
          <w:tcPr>
            <w:tcW w:w="1536" w:type="dxa"/>
          </w:tcPr>
          <w:p w14:paraId="424FC25B" w14:textId="77777777" w:rsidR="000616C6" w:rsidRDefault="000616C6" w:rsidP="000616C6"/>
        </w:tc>
        <w:tc>
          <w:tcPr>
            <w:tcW w:w="1671" w:type="dxa"/>
          </w:tcPr>
          <w:p w14:paraId="08E0036A" w14:textId="77777777" w:rsidR="000616C6" w:rsidRDefault="000616C6" w:rsidP="000616C6"/>
        </w:tc>
      </w:tr>
      <w:tr w:rsidR="00741E18" w14:paraId="0FC70350" w14:textId="77777777" w:rsidTr="00741E18">
        <w:tc>
          <w:tcPr>
            <w:tcW w:w="1476" w:type="dxa"/>
            <w:vAlign w:val="bottom"/>
          </w:tcPr>
          <w:p w14:paraId="4A7E4933" w14:textId="335B60A5" w:rsidR="000616C6" w:rsidRDefault="000616C6" w:rsidP="000616C6">
            <w:r>
              <w:t>Съдови нарушения</w:t>
            </w:r>
          </w:p>
        </w:tc>
        <w:tc>
          <w:tcPr>
            <w:tcW w:w="1654" w:type="dxa"/>
            <w:vAlign w:val="bottom"/>
          </w:tcPr>
          <w:p w14:paraId="69CB0FF4" w14:textId="53975CDA" w:rsidR="000616C6" w:rsidRDefault="000616C6" w:rsidP="000616C6">
            <w:r>
              <w:t>Ортостатична хипотония</w:t>
            </w:r>
          </w:p>
        </w:tc>
        <w:tc>
          <w:tcPr>
            <w:tcW w:w="1639" w:type="dxa"/>
            <w:vAlign w:val="bottom"/>
          </w:tcPr>
          <w:p w14:paraId="2E2FE918" w14:textId="70D1F8E6" w:rsidR="000616C6" w:rsidRDefault="000616C6" w:rsidP="000616C6">
            <w:r>
              <w:t>Хипертония, хипотония,</w:t>
            </w:r>
          </w:p>
        </w:tc>
        <w:tc>
          <w:tcPr>
            <w:tcW w:w="1600" w:type="dxa"/>
          </w:tcPr>
          <w:p w14:paraId="7F0E154E" w14:textId="42468A5D" w:rsidR="000616C6" w:rsidRDefault="000616C6" w:rsidP="000616C6">
            <w:r>
              <w:t>Флебит</w:t>
            </w:r>
          </w:p>
        </w:tc>
        <w:tc>
          <w:tcPr>
            <w:tcW w:w="1536" w:type="dxa"/>
          </w:tcPr>
          <w:p w14:paraId="5A545E80" w14:textId="77777777" w:rsidR="000616C6" w:rsidRDefault="000616C6" w:rsidP="000616C6"/>
        </w:tc>
        <w:tc>
          <w:tcPr>
            <w:tcW w:w="1671" w:type="dxa"/>
          </w:tcPr>
          <w:p w14:paraId="71BA366E" w14:textId="77777777" w:rsidR="000616C6" w:rsidRDefault="000616C6" w:rsidP="000616C6"/>
        </w:tc>
      </w:tr>
      <w:tr w:rsidR="00741E18" w14:paraId="6DD4C3C3" w14:textId="77777777" w:rsidTr="00741E18">
        <w:tc>
          <w:tcPr>
            <w:tcW w:w="1476" w:type="dxa"/>
            <w:vAlign w:val="bottom"/>
          </w:tcPr>
          <w:p w14:paraId="60D6D686" w14:textId="2736E089" w:rsidR="000616C6" w:rsidRDefault="000616C6" w:rsidP="000616C6">
            <w:r>
              <w:lastRenderedPageBreak/>
              <w:t>Респиратор ни, гръдни и медиастина лни нарушения</w:t>
            </w:r>
          </w:p>
        </w:tc>
        <w:tc>
          <w:tcPr>
            <w:tcW w:w="1654" w:type="dxa"/>
          </w:tcPr>
          <w:p w14:paraId="2CF0B0F1" w14:textId="77777777" w:rsidR="000616C6" w:rsidRDefault="000616C6" w:rsidP="000616C6"/>
        </w:tc>
        <w:tc>
          <w:tcPr>
            <w:tcW w:w="1639" w:type="dxa"/>
          </w:tcPr>
          <w:p w14:paraId="28C0D45C" w14:textId="7F50BDEF" w:rsidR="000616C6" w:rsidRDefault="000616C6" w:rsidP="000616C6">
            <w:r>
              <w:t>Диспнея, отофарингеална болка</w:t>
            </w:r>
          </w:p>
        </w:tc>
        <w:tc>
          <w:tcPr>
            <w:tcW w:w="1600" w:type="dxa"/>
          </w:tcPr>
          <w:p w14:paraId="089F99DA" w14:textId="579375AE" w:rsidR="000616C6" w:rsidRDefault="000616C6" w:rsidP="000616C6">
            <w:r>
              <w:t>Гръдна болка, дисфония</w:t>
            </w:r>
          </w:p>
        </w:tc>
        <w:tc>
          <w:tcPr>
            <w:tcW w:w="1536" w:type="dxa"/>
          </w:tcPr>
          <w:p w14:paraId="6DDDFE29" w14:textId="4F1677CA" w:rsidR="000616C6" w:rsidRDefault="000616C6" w:rsidP="000616C6">
            <w:r>
              <w:t>Абнормно дишане</w:t>
            </w:r>
          </w:p>
        </w:tc>
        <w:tc>
          <w:tcPr>
            <w:tcW w:w="1671" w:type="dxa"/>
          </w:tcPr>
          <w:p w14:paraId="786C4D0C" w14:textId="77777777" w:rsidR="000616C6" w:rsidRDefault="000616C6" w:rsidP="000616C6"/>
        </w:tc>
      </w:tr>
      <w:tr w:rsidR="00741E18" w14:paraId="175E9F21" w14:textId="77777777" w:rsidTr="00741E18">
        <w:tc>
          <w:tcPr>
            <w:tcW w:w="1476" w:type="dxa"/>
            <w:vAlign w:val="bottom"/>
          </w:tcPr>
          <w:p w14:paraId="1666FA2A" w14:textId="19ACD4EC" w:rsidR="000616C6" w:rsidRDefault="000616C6" w:rsidP="000616C6">
            <w:r>
              <w:t xml:space="preserve">Стомашно- чревни </w:t>
            </w:r>
            <w:r>
              <w:t>нарушения</w:t>
            </w:r>
          </w:p>
        </w:tc>
        <w:tc>
          <w:tcPr>
            <w:tcW w:w="1654" w:type="dxa"/>
          </w:tcPr>
          <w:p w14:paraId="0797ED83" w14:textId="5A2553DE" w:rsidR="000616C6" w:rsidRDefault="000616C6" w:rsidP="000616C6">
            <w:r>
              <w:t>Гадене, запек</w:t>
            </w:r>
          </w:p>
        </w:tc>
        <w:tc>
          <w:tcPr>
            <w:tcW w:w="1639" w:type="dxa"/>
            <w:vAlign w:val="bottom"/>
          </w:tcPr>
          <w:p w14:paraId="6A7F5C4E" w14:textId="2268F9A6" w:rsidR="000616C6" w:rsidRPr="000616C6" w:rsidRDefault="000616C6" w:rsidP="000616C6">
            <w:pPr>
              <w:rPr>
                <w:rFonts w:ascii="Times New Roman" w:eastAsia="Times New Roman" w:hAnsi="Times New Roman" w:cs="Times New Roman"/>
                <w:sz w:val="24"/>
                <w:szCs w:val="24"/>
              </w:rPr>
            </w:pPr>
            <w:r>
              <w:t xml:space="preserve">Раздуване на корема, </w:t>
            </w:r>
            <w:r w:rsidRPr="000616C6">
              <w:rPr>
                <w:lang w:eastAsia="bg-BG"/>
              </w:rPr>
              <w:t>диария, сухота в устата, дисгеузия, диспепсия, метеоризъм, повръщане</w:t>
            </w:r>
          </w:p>
        </w:tc>
        <w:tc>
          <w:tcPr>
            <w:tcW w:w="1600" w:type="dxa"/>
            <w:vAlign w:val="bottom"/>
          </w:tcPr>
          <w:p w14:paraId="33051280" w14:textId="15B8C049" w:rsidR="000616C6" w:rsidRDefault="000616C6" w:rsidP="000616C6">
            <w:r>
              <w:t>Хиперсекреция на слюнка</w:t>
            </w:r>
          </w:p>
        </w:tc>
        <w:tc>
          <w:tcPr>
            <w:tcW w:w="1536" w:type="dxa"/>
            <w:vAlign w:val="bottom"/>
          </w:tcPr>
          <w:p w14:paraId="64A37D22" w14:textId="6D12890C" w:rsidR="000616C6" w:rsidRDefault="000616C6" w:rsidP="000616C6">
            <w:r>
              <w:t xml:space="preserve">Бруксизъм, обез цветя ване, </w:t>
            </w:r>
            <w:r>
              <w:rPr>
                <w:i/>
                <w:iCs/>
              </w:rPr>
              <w:t xml:space="preserve">на </w:t>
            </w:r>
            <w:r>
              <w:t>слюнката, глосодиния, хълцане</w:t>
            </w:r>
          </w:p>
        </w:tc>
        <w:tc>
          <w:tcPr>
            <w:tcW w:w="1671" w:type="dxa"/>
            <w:vAlign w:val="bottom"/>
          </w:tcPr>
          <w:p w14:paraId="6F0469E0" w14:textId="77777777" w:rsidR="000616C6" w:rsidRDefault="000616C6" w:rsidP="000616C6"/>
        </w:tc>
      </w:tr>
      <w:tr w:rsidR="00741E18" w14:paraId="2D0BE6ED" w14:textId="77777777" w:rsidTr="00741E18">
        <w:tc>
          <w:tcPr>
            <w:tcW w:w="1476" w:type="dxa"/>
          </w:tcPr>
          <w:p w14:paraId="240B6611" w14:textId="21976CAB" w:rsidR="000616C6" w:rsidRDefault="000616C6" w:rsidP="000616C6">
            <w:r>
              <w:t>Нарушения на кожата и подкожната тъкан</w:t>
            </w:r>
          </w:p>
        </w:tc>
        <w:tc>
          <w:tcPr>
            <w:tcW w:w="1654" w:type="dxa"/>
          </w:tcPr>
          <w:p w14:paraId="6457730A" w14:textId="77777777" w:rsidR="000616C6" w:rsidRDefault="000616C6" w:rsidP="000616C6"/>
        </w:tc>
        <w:tc>
          <w:tcPr>
            <w:tcW w:w="1639" w:type="dxa"/>
            <w:vAlign w:val="bottom"/>
          </w:tcPr>
          <w:p w14:paraId="09E530CF" w14:textId="49309EBB" w:rsidR="000616C6" w:rsidRDefault="000616C6" w:rsidP="000616C6">
            <w:r>
              <w:t>Контактен дерматит, хиперхидроза, периферен оток, сърбеж, обрив</w:t>
            </w:r>
          </w:p>
        </w:tc>
        <w:tc>
          <w:tcPr>
            <w:tcW w:w="1600" w:type="dxa"/>
          </w:tcPr>
          <w:p w14:paraId="388E3770" w14:textId="69465821" w:rsidR="000616C6" w:rsidRDefault="000616C6" w:rsidP="000616C6">
            <w:r>
              <w:t>Алопеция, еритем, уртикария</w:t>
            </w:r>
          </w:p>
        </w:tc>
        <w:tc>
          <w:tcPr>
            <w:tcW w:w="1536" w:type="dxa"/>
          </w:tcPr>
          <w:p w14:paraId="42F18D0B" w14:textId="4AAFCEEB" w:rsidR="000616C6" w:rsidRDefault="000616C6" w:rsidP="000616C6">
            <w:r>
              <w:t>Обезцветяване на потта, малигнен меланом (вж. точка 4.4)</w:t>
            </w:r>
          </w:p>
        </w:tc>
        <w:tc>
          <w:tcPr>
            <w:tcW w:w="1671" w:type="dxa"/>
          </w:tcPr>
          <w:p w14:paraId="47BCB22B" w14:textId="77777777" w:rsidR="000616C6" w:rsidRDefault="000616C6" w:rsidP="000616C6"/>
        </w:tc>
      </w:tr>
      <w:tr w:rsidR="00741E18" w14:paraId="7BC9AF00" w14:textId="77777777" w:rsidTr="00741E18">
        <w:tc>
          <w:tcPr>
            <w:tcW w:w="1476" w:type="dxa"/>
            <w:vAlign w:val="bottom"/>
          </w:tcPr>
          <w:p w14:paraId="3CA6DAA1" w14:textId="55A1DA8C" w:rsidR="000616C6" w:rsidRDefault="000616C6" w:rsidP="000616C6">
            <w:r>
              <w:t>Нарушения на мускуло- скелетната и съединител ната тъкан</w:t>
            </w:r>
          </w:p>
        </w:tc>
        <w:tc>
          <w:tcPr>
            <w:tcW w:w="1654" w:type="dxa"/>
          </w:tcPr>
          <w:p w14:paraId="681E25BB" w14:textId="77777777" w:rsidR="000616C6" w:rsidRDefault="000616C6" w:rsidP="000616C6"/>
        </w:tc>
        <w:tc>
          <w:tcPr>
            <w:tcW w:w="1639" w:type="dxa"/>
          </w:tcPr>
          <w:p w14:paraId="679A6F91" w14:textId="3D4A0A25" w:rsidR="000616C6" w:rsidRDefault="000616C6" w:rsidP="000616C6">
            <w:r>
              <w:t>Мускулни спазми, болка във врата</w:t>
            </w:r>
          </w:p>
        </w:tc>
        <w:tc>
          <w:tcPr>
            <w:tcW w:w="1600" w:type="dxa"/>
          </w:tcPr>
          <w:p w14:paraId="2AB6F873" w14:textId="77777777" w:rsidR="000616C6" w:rsidRDefault="000616C6" w:rsidP="000616C6"/>
        </w:tc>
        <w:tc>
          <w:tcPr>
            <w:tcW w:w="1536" w:type="dxa"/>
          </w:tcPr>
          <w:p w14:paraId="48662766" w14:textId="77777777" w:rsidR="000616C6" w:rsidRDefault="000616C6" w:rsidP="000616C6"/>
        </w:tc>
        <w:tc>
          <w:tcPr>
            <w:tcW w:w="1671" w:type="dxa"/>
          </w:tcPr>
          <w:p w14:paraId="120242CF" w14:textId="77777777" w:rsidR="000616C6" w:rsidRDefault="000616C6" w:rsidP="000616C6"/>
        </w:tc>
      </w:tr>
      <w:tr w:rsidR="00741E18" w14:paraId="676763CB" w14:textId="77777777" w:rsidTr="00741E18">
        <w:tc>
          <w:tcPr>
            <w:tcW w:w="1476" w:type="dxa"/>
            <w:vAlign w:val="bottom"/>
          </w:tcPr>
          <w:p w14:paraId="034B8EDC" w14:textId="5C740CC0" w:rsidR="000616C6" w:rsidRDefault="000616C6" w:rsidP="000616C6">
            <w:r>
              <w:t>Нарушения на бъбреците и пикочните пътища</w:t>
            </w:r>
          </w:p>
        </w:tc>
        <w:tc>
          <w:tcPr>
            <w:tcW w:w="1654" w:type="dxa"/>
          </w:tcPr>
          <w:p w14:paraId="04B44B24" w14:textId="77777777" w:rsidR="000616C6" w:rsidRDefault="000616C6" w:rsidP="000616C6"/>
        </w:tc>
        <w:tc>
          <w:tcPr>
            <w:tcW w:w="1639" w:type="dxa"/>
          </w:tcPr>
          <w:p w14:paraId="13B366EB" w14:textId="6B19FD63" w:rsidR="000616C6" w:rsidRDefault="000616C6" w:rsidP="000616C6">
            <w:r>
              <w:t>Инконтинеция на урина, задръжка на урина</w:t>
            </w:r>
          </w:p>
        </w:tc>
        <w:tc>
          <w:tcPr>
            <w:tcW w:w="1600" w:type="dxa"/>
          </w:tcPr>
          <w:p w14:paraId="648010BD" w14:textId="5F1A9E6C" w:rsidR="000616C6" w:rsidRDefault="000616C6" w:rsidP="000616C6">
            <w:r>
              <w:t>Хроматурия</w:t>
            </w:r>
          </w:p>
        </w:tc>
        <w:tc>
          <w:tcPr>
            <w:tcW w:w="1536" w:type="dxa"/>
          </w:tcPr>
          <w:p w14:paraId="200F0947" w14:textId="1B3C7EF6" w:rsidR="000616C6" w:rsidRDefault="000616C6" w:rsidP="000616C6">
            <w:r>
              <w:t>Приапизъм</w:t>
            </w:r>
          </w:p>
        </w:tc>
        <w:tc>
          <w:tcPr>
            <w:tcW w:w="1671" w:type="dxa"/>
          </w:tcPr>
          <w:p w14:paraId="7BE3A615" w14:textId="77777777" w:rsidR="000616C6" w:rsidRDefault="000616C6" w:rsidP="000616C6"/>
        </w:tc>
      </w:tr>
      <w:tr w:rsidR="00741E18" w14:paraId="05A5A6F5" w14:textId="77777777" w:rsidTr="00741E18">
        <w:tc>
          <w:tcPr>
            <w:tcW w:w="1476" w:type="dxa"/>
            <w:vAlign w:val="bottom"/>
          </w:tcPr>
          <w:p w14:paraId="046C5FCE" w14:textId="7ADF6227" w:rsidR="000616C6" w:rsidRDefault="000616C6" w:rsidP="000616C6">
            <w:r>
              <w:t>Общи нарушения и промени на мястото на приложени е</w:t>
            </w:r>
          </w:p>
        </w:tc>
        <w:tc>
          <w:tcPr>
            <w:tcW w:w="1654" w:type="dxa"/>
          </w:tcPr>
          <w:p w14:paraId="4CA41B61" w14:textId="77777777" w:rsidR="000616C6" w:rsidRDefault="000616C6" w:rsidP="000616C6"/>
        </w:tc>
        <w:tc>
          <w:tcPr>
            <w:tcW w:w="1639" w:type="dxa"/>
          </w:tcPr>
          <w:p w14:paraId="4EBB4542" w14:textId="66C57A9C" w:rsidR="000616C6" w:rsidRDefault="000616C6" w:rsidP="000616C6">
            <w:r>
              <w:t>Умора, болка, астения</w:t>
            </w:r>
          </w:p>
        </w:tc>
        <w:tc>
          <w:tcPr>
            <w:tcW w:w="1600" w:type="dxa"/>
          </w:tcPr>
          <w:p w14:paraId="015CD9D6" w14:textId="40FDAA08" w:rsidR="000616C6" w:rsidRDefault="000616C6" w:rsidP="000616C6">
            <w:r>
              <w:t>Общо неразположени е</w:t>
            </w:r>
          </w:p>
        </w:tc>
        <w:tc>
          <w:tcPr>
            <w:tcW w:w="1536" w:type="dxa"/>
          </w:tcPr>
          <w:p w14:paraId="621D8696" w14:textId="77777777" w:rsidR="000616C6" w:rsidRDefault="000616C6" w:rsidP="000616C6"/>
        </w:tc>
        <w:tc>
          <w:tcPr>
            <w:tcW w:w="1671" w:type="dxa"/>
          </w:tcPr>
          <w:p w14:paraId="21C109E7" w14:textId="77777777" w:rsidR="000616C6" w:rsidRDefault="000616C6" w:rsidP="000616C6"/>
        </w:tc>
      </w:tr>
      <w:tr w:rsidR="00741E18" w14:paraId="15F6F6B3" w14:textId="77777777" w:rsidTr="00741E18">
        <w:tc>
          <w:tcPr>
            <w:tcW w:w="1476" w:type="dxa"/>
          </w:tcPr>
          <w:p w14:paraId="3F02B5C8" w14:textId="5E70DC4E" w:rsidR="000616C6" w:rsidRDefault="000616C6" w:rsidP="000616C6">
            <w:r>
              <w:t>Увреждане, отравяне и процедурни усложнени я</w:t>
            </w:r>
          </w:p>
        </w:tc>
        <w:tc>
          <w:tcPr>
            <w:tcW w:w="1654" w:type="dxa"/>
          </w:tcPr>
          <w:p w14:paraId="66049D02" w14:textId="2AC08FA7" w:rsidR="000616C6" w:rsidRDefault="000616C6" w:rsidP="000616C6">
            <w:r>
              <w:t>Падане</w:t>
            </w:r>
          </w:p>
        </w:tc>
        <w:tc>
          <w:tcPr>
            <w:tcW w:w="1639" w:type="dxa"/>
          </w:tcPr>
          <w:p w14:paraId="5A085062" w14:textId="77777777" w:rsidR="000616C6" w:rsidRDefault="000616C6" w:rsidP="000616C6"/>
        </w:tc>
        <w:tc>
          <w:tcPr>
            <w:tcW w:w="1600" w:type="dxa"/>
          </w:tcPr>
          <w:p w14:paraId="0C00A6B5" w14:textId="77777777" w:rsidR="000616C6" w:rsidRDefault="000616C6" w:rsidP="000616C6"/>
        </w:tc>
        <w:tc>
          <w:tcPr>
            <w:tcW w:w="1536" w:type="dxa"/>
          </w:tcPr>
          <w:p w14:paraId="10081ED6" w14:textId="77777777" w:rsidR="000616C6" w:rsidRDefault="000616C6" w:rsidP="000616C6"/>
        </w:tc>
        <w:tc>
          <w:tcPr>
            <w:tcW w:w="1671" w:type="dxa"/>
          </w:tcPr>
          <w:p w14:paraId="2293AA3F" w14:textId="77777777" w:rsidR="000616C6" w:rsidRDefault="000616C6" w:rsidP="000616C6"/>
        </w:tc>
      </w:tr>
      <w:tr w:rsidR="000616C6" w14:paraId="5DB9A7AD" w14:textId="77777777" w:rsidTr="000F1915">
        <w:tc>
          <w:tcPr>
            <w:tcW w:w="9576" w:type="dxa"/>
            <w:gridSpan w:val="6"/>
          </w:tcPr>
          <w:p w14:paraId="62A48CC7" w14:textId="0D99588E" w:rsidR="000616C6" w:rsidRPr="000616C6" w:rsidRDefault="000616C6" w:rsidP="000616C6">
            <w:pPr>
              <w:jc w:val="center"/>
              <w:rPr>
                <w:b/>
              </w:rPr>
            </w:pPr>
            <w:r w:rsidRPr="000616C6">
              <w:rPr>
                <w:b/>
                <w:lang w:eastAsia="bg-BG"/>
              </w:rPr>
              <w:lastRenderedPageBreak/>
              <w:t>Нежелани реакции, свързани с уреда и процедурата</w:t>
            </w:r>
          </w:p>
        </w:tc>
      </w:tr>
      <w:tr w:rsidR="00741E18" w14:paraId="423E8706" w14:textId="77777777" w:rsidTr="00741E18">
        <w:tc>
          <w:tcPr>
            <w:tcW w:w="1476" w:type="dxa"/>
            <w:vAlign w:val="bottom"/>
          </w:tcPr>
          <w:p w14:paraId="36627B94" w14:textId="0CC20963" w:rsidR="000616C6" w:rsidRDefault="000616C6" w:rsidP="000616C6">
            <w:r>
              <w:rPr>
                <w:b/>
                <w:bCs/>
              </w:rPr>
              <w:t xml:space="preserve">Системо- органен клас по </w:t>
            </w:r>
            <w:proofErr w:type="spellStart"/>
            <w:r>
              <w:rPr>
                <w:b/>
                <w:bCs/>
                <w:lang w:val="en-US"/>
              </w:rPr>
              <w:t>MedDRA</w:t>
            </w:r>
            <w:proofErr w:type="spellEnd"/>
          </w:p>
        </w:tc>
        <w:tc>
          <w:tcPr>
            <w:tcW w:w="1654" w:type="dxa"/>
            <w:vAlign w:val="center"/>
          </w:tcPr>
          <w:p w14:paraId="7B2BAD89" w14:textId="0AEECBBF" w:rsidR="000616C6" w:rsidRDefault="000616C6" w:rsidP="000616C6">
            <w:r>
              <w:rPr>
                <w:b/>
                <w:bCs/>
              </w:rPr>
              <w:t>Много чести</w:t>
            </w:r>
            <w:r>
              <w:rPr>
                <w:b/>
                <w:bCs/>
                <w:vertAlign w:val="superscript"/>
              </w:rPr>
              <w:t xml:space="preserve">а </w:t>
            </w:r>
            <w:r>
              <w:rPr>
                <w:b/>
                <w:bCs/>
              </w:rPr>
              <w:t>(≥ 1/10)</w:t>
            </w:r>
          </w:p>
        </w:tc>
        <w:tc>
          <w:tcPr>
            <w:tcW w:w="1639" w:type="dxa"/>
          </w:tcPr>
          <w:p w14:paraId="55AD59A1" w14:textId="060B1B62" w:rsidR="000616C6" w:rsidRDefault="000616C6" w:rsidP="000616C6">
            <w:r>
              <w:rPr>
                <w:b/>
                <w:bCs/>
              </w:rPr>
              <w:t>Чести</w:t>
            </w:r>
            <w:r>
              <w:rPr>
                <w:b/>
                <w:bCs/>
                <w:vertAlign w:val="superscript"/>
                <w:lang w:val="en-US"/>
              </w:rPr>
              <w:t>a</w:t>
            </w:r>
            <w:r>
              <w:rPr>
                <w:b/>
                <w:bCs/>
              </w:rPr>
              <w:t xml:space="preserve"> (≥ 1/100 до &lt; 1/10)</w:t>
            </w:r>
          </w:p>
        </w:tc>
        <w:tc>
          <w:tcPr>
            <w:tcW w:w="1600" w:type="dxa"/>
          </w:tcPr>
          <w:p w14:paraId="76544EE0" w14:textId="73262C88" w:rsidR="000616C6" w:rsidRDefault="000616C6" w:rsidP="000616C6">
            <w:r>
              <w:rPr>
                <w:b/>
                <w:bCs/>
              </w:rPr>
              <w:t>Нечести</w:t>
            </w:r>
            <w:r>
              <w:rPr>
                <w:b/>
                <w:bCs/>
                <w:vertAlign w:val="superscript"/>
              </w:rPr>
              <w:t xml:space="preserve">6 </w:t>
            </w:r>
            <w:r>
              <w:rPr>
                <w:b/>
                <w:bCs/>
              </w:rPr>
              <w:t>(≥1/1,000 до &lt;1/100)</w:t>
            </w:r>
          </w:p>
        </w:tc>
        <w:tc>
          <w:tcPr>
            <w:tcW w:w="1536" w:type="dxa"/>
          </w:tcPr>
          <w:p w14:paraId="1B62DBF7" w14:textId="1A874483" w:rsidR="000616C6" w:rsidRDefault="000616C6" w:rsidP="000616C6">
            <w:r>
              <w:rPr>
                <w:b/>
                <w:bCs/>
              </w:rPr>
              <w:t>Редки</w:t>
            </w:r>
            <w:r>
              <w:rPr>
                <w:b/>
                <w:bCs/>
                <w:vertAlign w:val="superscript"/>
              </w:rPr>
              <w:t xml:space="preserve">6 </w:t>
            </w:r>
            <w:r>
              <w:rPr>
                <w:b/>
                <w:bCs/>
              </w:rPr>
              <w:t>(&gt;1/10,000 до &lt;1/1,000)</w:t>
            </w:r>
          </w:p>
        </w:tc>
        <w:tc>
          <w:tcPr>
            <w:tcW w:w="1671" w:type="dxa"/>
            <w:vAlign w:val="bottom"/>
          </w:tcPr>
          <w:p w14:paraId="3A9D5E7C" w14:textId="525C06AB" w:rsidR="000616C6" w:rsidRDefault="000616C6" w:rsidP="000616C6">
            <w:r>
              <w:rPr>
                <w:i/>
                <w:iCs/>
              </w:rPr>
              <w:t>С</w:t>
            </w:r>
            <w:r>
              <w:rPr>
                <w:b/>
                <w:bCs/>
              </w:rPr>
              <w:t xml:space="preserve"> неизвестна честота от постмаркетинго вия период</w:t>
            </w:r>
          </w:p>
        </w:tc>
      </w:tr>
      <w:tr w:rsidR="00741E18" w14:paraId="03C02DE9" w14:textId="77777777" w:rsidTr="00741E18">
        <w:tc>
          <w:tcPr>
            <w:tcW w:w="1476" w:type="dxa"/>
          </w:tcPr>
          <w:p w14:paraId="73CED20F" w14:textId="2F78A6FD" w:rsidR="000616C6" w:rsidRDefault="000616C6" w:rsidP="000616C6">
            <w:r>
              <w:t>Инфекции и инфестации</w:t>
            </w:r>
          </w:p>
        </w:tc>
        <w:tc>
          <w:tcPr>
            <w:tcW w:w="1654" w:type="dxa"/>
          </w:tcPr>
          <w:p w14:paraId="605D8454" w14:textId="42AAFBB8" w:rsidR="000616C6" w:rsidRDefault="000616C6" w:rsidP="000616C6">
            <w:r>
              <w:t>Следоперативна инфекция на раната</w:t>
            </w:r>
          </w:p>
        </w:tc>
        <w:tc>
          <w:tcPr>
            <w:tcW w:w="1639" w:type="dxa"/>
            <w:vAlign w:val="bottom"/>
          </w:tcPr>
          <w:p w14:paraId="7EAA8685" w14:textId="3487AA72" w:rsidR="000616C6" w:rsidRDefault="000616C6" w:rsidP="000616C6">
            <w:r>
              <w:t>Целулит на мястото на инцизията, инфекция след процедурата</w:t>
            </w:r>
          </w:p>
        </w:tc>
        <w:tc>
          <w:tcPr>
            <w:tcW w:w="1600" w:type="dxa"/>
          </w:tcPr>
          <w:p w14:paraId="6EF78DC1" w14:textId="53A2A0C5" w:rsidR="000616C6" w:rsidRDefault="000616C6" w:rsidP="000616C6">
            <w:r>
              <w:t>Следоперативе н абсцес</w:t>
            </w:r>
          </w:p>
        </w:tc>
        <w:tc>
          <w:tcPr>
            <w:tcW w:w="1536" w:type="dxa"/>
          </w:tcPr>
          <w:p w14:paraId="2A06259E" w14:textId="77777777" w:rsidR="000616C6" w:rsidRDefault="000616C6" w:rsidP="000616C6"/>
        </w:tc>
        <w:tc>
          <w:tcPr>
            <w:tcW w:w="1671" w:type="dxa"/>
          </w:tcPr>
          <w:p w14:paraId="48DDE5A8" w14:textId="20FE78BD" w:rsidR="000616C6" w:rsidRDefault="000616C6" w:rsidP="000616C6">
            <w:r>
              <w:t>Сепсис</w:t>
            </w:r>
          </w:p>
        </w:tc>
      </w:tr>
      <w:tr w:rsidR="00741E18" w14:paraId="249A0D35" w14:textId="77777777" w:rsidTr="00741E18">
        <w:tc>
          <w:tcPr>
            <w:tcW w:w="1476" w:type="dxa"/>
          </w:tcPr>
          <w:p w14:paraId="7EADE8E1" w14:textId="5D6AB5F6" w:rsidR="000616C6" w:rsidRDefault="000616C6" w:rsidP="000616C6">
            <w:r>
              <w:t>Стомашно- чревни нарушения</w:t>
            </w:r>
          </w:p>
        </w:tc>
        <w:tc>
          <w:tcPr>
            <w:tcW w:w="1654" w:type="dxa"/>
          </w:tcPr>
          <w:p w14:paraId="70CC0A81" w14:textId="61D38D42" w:rsidR="000616C6" w:rsidRDefault="000616C6" w:rsidP="000616C6">
            <w:r>
              <w:t>Коремна болка</w:t>
            </w:r>
          </w:p>
        </w:tc>
        <w:tc>
          <w:tcPr>
            <w:tcW w:w="1639" w:type="dxa"/>
            <w:vAlign w:val="bottom"/>
          </w:tcPr>
          <w:p w14:paraId="5EBBDFFC" w14:textId="79C3CCD1" w:rsidR="000616C6" w:rsidRPr="00741E18" w:rsidRDefault="000616C6" w:rsidP="000616C6">
            <w:pPr>
              <w:rPr>
                <w:rFonts w:ascii="Times New Roman" w:eastAsia="Times New Roman" w:hAnsi="Times New Roman" w:cs="Times New Roman"/>
                <w:sz w:val="24"/>
                <w:szCs w:val="24"/>
              </w:rPr>
            </w:pPr>
            <w:r>
              <w:t>Коремен дискомфорт, Болка в горните отдели</w:t>
            </w:r>
            <w:r w:rsidR="00741E18">
              <w:t xml:space="preserve"> </w:t>
            </w:r>
            <w:r w:rsidR="00741E18" w:rsidRPr="00741E18">
              <w:rPr>
                <w:lang w:eastAsia="bg-BG"/>
              </w:rPr>
              <w:t>на корема, перитонит, пневмоперитон е-ум</w:t>
            </w:r>
          </w:p>
        </w:tc>
        <w:tc>
          <w:tcPr>
            <w:tcW w:w="1600" w:type="dxa"/>
            <w:vAlign w:val="bottom"/>
          </w:tcPr>
          <w:p w14:paraId="688CC0C1" w14:textId="6150C02F" w:rsidR="000616C6" w:rsidRDefault="000616C6" w:rsidP="000616C6">
            <w:r>
              <w:t>Безоар (вж. точка 4.4), исхемичен колит, гастро-</w:t>
            </w:r>
            <w:r w:rsidR="00741E18">
              <w:t>интестинална исхемия, гастро- интестинална обструкция, инвагинация, панкреатит, хеморагия на тънките черва, язва на тънките черва, перфорация на дебелото черво</w:t>
            </w:r>
          </w:p>
        </w:tc>
        <w:tc>
          <w:tcPr>
            <w:tcW w:w="1536" w:type="dxa"/>
          </w:tcPr>
          <w:p w14:paraId="7ACB8FC4" w14:textId="77777777" w:rsidR="000616C6" w:rsidRDefault="000616C6" w:rsidP="000616C6"/>
        </w:tc>
        <w:tc>
          <w:tcPr>
            <w:tcW w:w="1671" w:type="dxa"/>
            <w:vAlign w:val="bottom"/>
          </w:tcPr>
          <w:p w14:paraId="6E57425E" w14:textId="4719442A" w:rsidR="000616C6" w:rsidRDefault="000616C6" w:rsidP="000616C6">
            <w:r>
              <w:t>Перфорация на стомаха, гастро- интестинална</w:t>
            </w:r>
            <w:r w:rsidR="00741E18">
              <w:t xml:space="preserve"> </w:t>
            </w:r>
            <w:r w:rsidR="00741E18">
              <w:t>перфорация, исхемия на тънките черва, перфорация на тънките черва</w:t>
            </w:r>
          </w:p>
        </w:tc>
      </w:tr>
      <w:tr w:rsidR="00741E18" w14:paraId="03AE7FF6" w14:textId="77777777" w:rsidTr="00741E18">
        <w:tc>
          <w:tcPr>
            <w:tcW w:w="1476" w:type="dxa"/>
            <w:vAlign w:val="bottom"/>
          </w:tcPr>
          <w:p w14:paraId="44F963E0" w14:textId="30C573A0" w:rsidR="00741E18" w:rsidRDefault="00741E18" w:rsidP="00741E18">
            <w:r>
              <w:t>Респираторни, гръдни и медиастина лни нарушения</w:t>
            </w:r>
          </w:p>
        </w:tc>
        <w:tc>
          <w:tcPr>
            <w:tcW w:w="1654" w:type="dxa"/>
          </w:tcPr>
          <w:p w14:paraId="2E795601" w14:textId="77777777" w:rsidR="00741E18" w:rsidRDefault="00741E18" w:rsidP="00741E18"/>
        </w:tc>
        <w:tc>
          <w:tcPr>
            <w:tcW w:w="1639" w:type="dxa"/>
          </w:tcPr>
          <w:p w14:paraId="7FE51EBB" w14:textId="5BAD50FE" w:rsidR="00741E18" w:rsidRDefault="00741E18" w:rsidP="00741E18">
            <w:r>
              <w:t>Пневмония/ Аспирационна пневмония</w:t>
            </w:r>
          </w:p>
        </w:tc>
        <w:tc>
          <w:tcPr>
            <w:tcW w:w="1600" w:type="dxa"/>
          </w:tcPr>
          <w:p w14:paraId="13D8D8E2" w14:textId="77777777" w:rsidR="00741E18" w:rsidRDefault="00741E18" w:rsidP="00741E18"/>
        </w:tc>
        <w:tc>
          <w:tcPr>
            <w:tcW w:w="1536" w:type="dxa"/>
          </w:tcPr>
          <w:p w14:paraId="01050DC7" w14:textId="77777777" w:rsidR="00741E18" w:rsidRDefault="00741E18" w:rsidP="00741E18"/>
        </w:tc>
        <w:tc>
          <w:tcPr>
            <w:tcW w:w="1671" w:type="dxa"/>
          </w:tcPr>
          <w:p w14:paraId="39EE3D32" w14:textId="77777777" w:rsidR="00741E18" w:rsidRDefault="00741E18" w:rsidP="00741E18"/>
        </w:tc>
      </w:tr>
      <w:tr w:rsidR="00741E18" w14:paraId="1F1B7433" w14:textId="77777777" w:rsidTr="00741E18">
        <w:tc>
          <w:tcPr>
            <w:tcW w:w="1476" w:type="dxa"/>
            <w:vAlign w:val="bottom"/>
          </w:tcPr>
          <w:p w14:paraId="586FA24F" w14:textId="23091324" w:rsidR="00741E18" w:rsidRDefault="00741E18" w:rsidP="00741E18">
            <w:r>
              <w:t>Нарушения на кожата и подкожната тъкан</w:t>
            </w:r>
          </w:p>
        </w:tc>
        <w:tc>
          <w:tcPr>
            <w:tcW w:w="1654" w:type="dxa"/>
            <w:vAlign w:val="bottom"/>
          </w:tcPr>
          <w:p w14:paraId="4DB29567" w14:textId="2E301103" w:rsidR="00741E18" w:rsidRDefault="00741E18" w:rsidP="00741E18">
            <w:r>
              <w:t>Прекомерно разрастване на гранулационна тъкан</w:t>
            </w:r>
          </w:p>
        </w:tc>
        <w:tc>
          <w:tcPr>
            <w:tcW w:w="1639" w:type="dxa"/>
          </w:tcPr>
          <w:p w14:paraId="571A6F0D" w14:textId="77777777" w:rsidR="00741E18" w:rsidRDefault="00741E18" w:rsidP="00741E18"/>
        </w:tc>
        <w:tc>
          <w:tcPr>
            <w:tcW w:w="1600" w:type="dxa"/>
          </w:tcPr>
          <w:p w14:paraId="2C232F60" w14:textId="77777777" w:rsidR="00741E18" w:rsidRDefault="00741E18" w:rsidP="00741E18"/>
        </w:tc>
        <w:tc>
          <w:tcPr>
            <w:tcW w:w="1536" w:type="dxa"/>
          </w:tcPr>
          <w:p w14:paraId="5CDD2DB2" w14:textId="77777777" w:rsidR="00741E18" w:rsidRDefault="00741E18" w:rsidP="00741E18"/>
        </w:tc>
        <w:tc>
          <w:tcPr>
            <w:tcW w:w="1671" w:type="dxa"/>
          </w:tcPr>
          <w:p w14:paraId="2C2EEBDE" w14:textId="77777777" w:rsidR="00741E18" w:rsidRDefault="00741E18" w:rsidP="00741E18"/>
        </w:tc>
      </w:tr>
      <w:tr w:rsidR="00741E18" w14:paraId="51742090" w14:textId="77777777" w:rsidTr="00741E18">
        <w:tc>
          <w:tcPr>
            <w:tcW w:w="1476" w:type="dxa"/>
            <w:vAlign w:val="bottom"/>
          </w:tcPr>
          <w:p w14:paraId="7B45861D" w14:textId="05097E21" w:rsidR="00741E18" w:rsidRDefault="00741E18" w:rsidP="00741E18">
            <w:r>
              <w:t xml:space="preserve">Общи нарушения </w:t>
            </w:r>
            <w:r>
              <w:lastRenderedPageBreak/>
              <w:t>и ефекти на мястото на приложени е</w:t>
            </w:r>
          </w:p>
        </w:tc>
        <w:tc>
          <w:tcPr>
            <w:tcW w:w="1654" w:type="dxa"/>
          </w:tcPr>
          <w:p w14:paraId="35371294" w14:textId="583869E4" w:rsidR="00741E18" w:rsidRDefault="00741E18" w:rsidP="00741E18">
            <w:r>
              <w:lastRenderedPageBreak/>
              <w:t xml:space="preserve">Усложнения от </w:t>
            </w:r>
            <w:r>
              <w:lastRenderedPageBreak/>
              <w:t>поставянето на уреда</w:t>
            </w:r>
            <w:r>
              <w:rPr>
                <w:vertAlign w:val="superscript"/>
              </w:rPr>
              <w:t>д</w:t>
            </w:r>
          </w:p>
        </w:tc>
        <w:tc>
          <w:tcPr>
            <w:tcW w:w="1639" w:type="dxa"/>
          </w:tcPr>
          <w:p w14:paraId="1CD07DFA" w14:textId="0743289F" w:rsidR="00741E18" w:rsidRDefault="00741E18" w:rsidP="00741E18">
            <w:r>
              <w:lastRenderedPageBreak/>
              <w:t xml:space="preserve">Разместване на уреда, </w:t>
            </w:r>
            <w:r>
              <w:lastRenderedPageBreak/>
              <w:t>Запушване на уреда</w:t>
            </w:r>
          </w:p>
        </w:tc>
        <w:tc>
          <w:tcPr>
            <w:tcW w:w="1600" w:type="dxa"/>
          </w:tcPr>
          <w:p w14:paraId="057D9ADE" w14:textId="77777777" w:rsidR="00741E18" w:rsidRDefault="00741E18" w:rsidP="00741E18"/>
        </w:tc>
        <w:tc>
          <w:tcPr>
            <w:tcW w:w="1536" w:type="dxa"/>
          </w:tcPr>
          <w:p w14:paraId="3EAAEF38" w14:textId="77777777" w:rsidR="00741E18" w:rsidRDefault="00741E18" w:rsidP="00741E18"/>
        </w:tc>
        <w:tc>
          <w:tcPr>
            <w:tcW w:w="1671" w:type="dxa"/>
          </w:tcPr>
          <w:p w14:paraId="3EA81681" w14:textId="77777777" w:rsidR="00741E18" w:rsidRDefault="00741E18" w:rsidP="00741E18"/>
        </w:tc>
      </w:tr>
      <w:tr w:rsidR="00741E18" w14:paraId="16FBADDF" w14:textId="77777777" w:rsidTr="00741E18">
        <w:tc>
          <w:tcPr>
            <w:tcW w:w="1476" w:type="dxa"/>
          </w:tcPr>
          <w:p w14:paraId="6F121C03" w14:textId="367A189B" w:rsidR="00741E18" w:rsidRDefault="00741E18" w:rsidP="00741E18">
            <w:r>
              <w:t>Наранявани я, отравяния и усложнени я, възникнали в резултат на процедурат а</w:t>
            </w:r>
          </w:p>
        </w:tc>
        <w:tc>
          <w:tcPr>
            <w:tcW w:w="1654" w:type="dxa"/>
          </w:tcPr>
          <w:p w14:paraId="24C987EB" w14:textId="050EB8AC" w:rsidR="00741E18" w:rsidRDefault="00741E18" w:rsidP="00741E18">
            <w:r>
              <w:t>Еритем на мястото на инцизията, отделяне на секрет след процедурата, болка от процедурата, реакция на мястото на процедурата</w:t>
            </w:r>
          </w:p>
        </w:tc>
        <w:tc>
          <w:tcPr>
            <w:tcW w:w="1639" w:type="dxa"/>
            <w:vAlign w:val="bottom"/>
          </w:tcPr>
          <w:p w14:paraId="626FFA57" w14:textId="20CF411A" w:rsidR="00741E18" w:rsidRDefault="00741E18" w:rsidP="00741E18">
            <w:r>
              <w:t>Усложнения от гастро- интестиналната стома, болка на мястото на инцизията, постоперативе н илеус, следпроцедурн и усложнения, следпроцедуре н дискомфорт, следпроцедуре н кръвоизлив</w:t>
            </w:r>
          </w:p>
        </w:tc>
        <w:tc>
          <w:tcPr>
            <w:tcW w:w="1600" w:type="dxa"/>
          </w:tcPr>
          <w:p w14:paraId="7CE3CFBE" w14:textId="77777777" w:rsidR="00741E18" w:rsidRDefault="00741E18" w:rsidP="00741E18"/>
        </w:tc>
        <w:tc>
          <w:tcPr>
            <w:tcW w:w="1536" w:type="dxa"/>
          </w:tcPr>
          <w:p w14:paraId="4AA59AB1" w14:textId="77777777" w:rsidR="00741E18" w:rsidRDefault="00741E18" w:rsidP="00741E18"/>
        </w:tc>
        <w:tc>
          <w:tcPr>
            <w:tcW w:w="1671" w:type="dxa"/>
          </w:tcPr>
          <w:p w14:paraId="4E2C5D14" w14:textId="77777777" w:rsidR="00741E18" w:rsidRDefault="00741E18" w:rsidP="00741E18"/>
        </w:tc>
      </w:tr>
    </w:tbl>
    <w:p w14:paraId="3E51EC3F" w14:textId="77777777" w:rsidR="00741E18" w:rsidRPr="00741E18" w:rsidRDefault="00741E18" w:rsidP="00741E18">
      <w:pPr>
        <w:rPr>
          <w:rFonts w:cs="Arial"/>
          <w:sz w:val="24"/>
          <w:szCs w:val="24"/>
        </w:rPr>
      </w:pPr>
      <w:r w:rsidRPr="00741E18">
        <w:rPr>
          <w:rFonts w:cs="Arial"/>
          <w:vertAlign w:val="superscript"/>
          <w:lang w:eastAsia="bg-BG"/>
        </w:rPr>
        <w:t>а</w:t>
      </w:r>
      <w:r w:rsidRPr="00741E18">
        <w:rPr>
          <w:rFonts w:cs="Arial"/>
          <w:lang w:eastAsia="bg-BG"/>
        </w:rPr>
        <w:t>НЛР, наблюдавани в клиничните изпитвания. Определената честота отразява честотата на нежеланото събитие и не зависи от причинно-следствената връзка, определена от изследователя.</w:t>
      </w:r>
    </w:p>
    <w:p w14:paraId="464737B8" w14:textId="3FC5F3FE" w:rsidR="000616C6" w:rsidRPr="00741E18" w:rsidRDefault="00741E18" w:rsidP="00741E18">
      <w:pPr>
        <w:rPr>
          <w:rFonts w:cs="Arial"/>
          <w:lang w:eastAsia="bg-BG"/>
        </w:rPr>
      </w:pPr>
      <w:r w:rsidRPr="00741E18">
        <w:rPr>
          <w:rFonts w:cs="Arial"/>
          <w:vertAlign w:val="superscript"/>
          <w:lang w:eastAsia="bg-BG"/>
        </w:rPr>
        <w:t>б</w:t>
      </w:r>
      <w:r w:rsidRPr="00741E18">
        <w:rPr>
          <w:rFonts w:cs="Arial"/>
          <w:lang w:eastAsia="bg-BG"/>
        </w:rPr>
        <w:t>НЛР, наблюдавани с Дуодопа, при които няма изчисления на честотата. Определената честота се основава на исторически данни за перорално приложение на леводопа/карбидопа.</w:t>
      </w:r>
    </w:p>
    <w:p w14:paraId="68501D29" w14:textId="77777777" w:rsidR="00741E18" w:rsidRPr="00741E18" w:rsidRDefault="00741E18" w:rsidP="00741E18">
      <w:pPr>
        <w:spacing w:line="240" w:lineRule="auto"/>
        <w:rPr>
          <w:rFonts w:eastAsia="Times New Roman" w:cs="Arial"/>
          <w:sz w:val="24"/>
          <w:szCs w:val="24"/>
        </w:rPr>
      </w:pPr>
      <w:r w:rsidRPr="00741E18">
        <w:rPr>
          <w:rFonts w:eastAsia="Times New Roman" w:cs="Arial"/>
          <w:color w:val="000000"/>
          <w:vertAlign w:val="superscript"/>
          <w:lang w:eastAsia="bg-BG"/>
        </w:rPr>
        <w:t>в</w:t>
      </w:r>
      <w:r w:rsidRPr="00741E18">
        <w:rPr>
          <w:rFonts w:eastAsia="Times New Roman" w:cs="Arial"/>
          <w:color w:val="000000"/>
          <w:lang w:eastAsia="bg-BG"/>
        </w:rPr>
        <w:t xml:space="preserve"> Нарушения на импулсивния контрол: патологично залагане, повишено либидо и хиперсексуалност, компулсивно харчене или пазаруване, прекомерно и компулсивно хранене може да се появят при пациенти, лекувани с допаминови агонисти и/или допаминергични терапии, съдържащи леводопа, включително Дуодопа (вж. точка 4.4 Специални предупреждения и специални предпазни мерки при употреба).</w:t>
      </w:r>
    </w:p>
    <w:p w14:paraId="647B92D2" w14:textId="77777777" w:rsidR="00741E18" w:rsidRPr="00741E18" w:rsidRDefault="00741E18" w:rsidP="00741E18">
      <w:pPr>
        <w:spacing w:line="240" w:lineRule="auto"/>
        <w:rPr>
          <w:rFonts w:eastAsia="Times New Roman" w:cs="Arial"/>
          <w:sz w:val="24"/>
          <w:szCs w:val="24"/>
        </w:rPr>
      </w:pPr>
      <w:r w:rsidRPr="00741E18">
        <w:rPr>
          <w:rFonts w:eastAsia="Times New Roman" w:cs="Arial"/>
          <w:color w:val="000000"/>
          <w:vertAlign w:val="superscript"/>
          <w:lang w:eastAsia="bg-BG"/>
        </w:rPr>
        <w:t>г</w:t>
      </w:r>
      <w:r w:rsidRPr="00741E18">
        <w:rPr>
          <w:rFonts w:eastAsia="Times New Roman" w:cs="Arial"/>
          <w:color w:val="000000"/>
          <w:lang w:eastAsia="bg-BG"/>
        </w:rPr>
        <w:t xml:space="preserve">Синдром на нарушена допаминова регулация </w:t>
      </w:r>
      <w:r w:rsidRPr="00741E18">
        <w:rPr>
          <w:rFonts w:eastAsia="Times New Roman" w:cs="Arial"/>
          <w:color w:val="000000"/>
          <w:lang w:val="ru-RU"/>
        </w:rPr>
        <w:t>(</w:t>
      </w:r>
      <w:r w:rsidRPr="00741E18">
        <w:rPr>
          <w:rFonts w:eastAsia="Times New Roman" w:cs="Arial"/>
          <w:color w:val="000000"/>
          <w:lang w:val="en-US"/>
        </w:rPr>
        <w:t>DDS</w:t>
      </w:r>
      <w:r w:rsidRPr="00741E18">
        <w:rPr>
          <w:rFonts w:eastAsia="Times New Roman" w:cs="Arial"/>
          <w:color w:val="000000"/>
          <w:lang w:val="ru-RU"/>
        </w:rPr>
        <w:t xml:space="preserve">) </w:t>
      </w:r>
      <w:r w:rsidRPr="00741E18">
        <w:rPr>
          <w:rFonts w:eastAsia="Times New Roman" w:cs="Arial"/>
          <w:color w:val="000000"/>
          <w:lang w:eastAsia="bg-BG"/>
        </w:rPr>
        <w:t>е разстройство, свързано със зависимост, наблюдавано при някои пациенти, лекувани с карбидопа/леводопа. Засегнатите пациенти показват компулсивен модел на злоупотреба с допаминергични лекарства в дози, над подходящите за овладяване на моторните симптоми, които в някои случаи може да доведат до тежка дискинезия (вж. също точка 4.4).</w:t>
      </w:r>
    </w:p>
    <w:p w14:paraId="73BC75D3" w14:textId="77777777" w:rsidR="00741E18" w:rsidRPr="00741E18" w:rsidRDefault="00741E18" w:rsidP="00741E18">
      <w:pPr>
        <w:spacing w:line="240" w:lineRule="auto"/>
        <w:rPr>
          <w:rFonts w:eastAsia="Times New Roman" w:cs="Arial"/>
          <w:sz w:val="24"/>
          <w:szCs w:val="24"/>
        </w:rPr>
      </w:pPr>
      <w:r w:rsidRPr="00741E18">
        <w:rPr>
          <w:rFonts w:eastAsia="Times New Roman" w:cs="Arial"/>
          <w:color w:val="000000"/>
          <w:vertAlign w:val="superscript"/>
          <w:lang w:eastAsia="bg-BG"/>
        </w:rPr>
        <w:t>д</w:t>
      </w:r>
      <w:r w:rsidRPr="00741E18">
        <w:rPr>
          <w:rFonts w:eastAsia="Times New Roman" w:cs="Arial"/>
          <w:color w:val="000000"/>
          <w:lang w:eastAsia="bg-BG"/>
        </w:rPr>
        <w:t xml:space="preserve">Усложнението от уреда е нежелана реакция, често съобщавана както за назо-йеюналната сонда, така и за </w:t>
      </w:r>
      <w:r w:rsidRPr="00741E18">
        <w:rPr>
          <w:rFonts w:eastAsia="Times New Roman" w:cs="Arial"/>
          <w:color w:val="000000"/>
          <w:lang w:val="en-US"/>
        </w:rPr>
        <w:t>PEG</w:t>
      </w:r>
      <w:r w:rsidRPr="00741E18">
        <w:rPr>
          <w:rFonts w:eastAsia="Times New Roman" w:cs="Arial"/>
          <w:color w:val="000000"/>
          <w:lang w:val="ru-RU"/>
        </w:rPr>
        <w:t>-</w:t>
      </w:r>
      <w:r w:rsidRPr="00741E18">
        <w:rPr>
          <w:rFonts w:eastAsia="Times New Roman" w:cs="Arial"/>
          <w:color w:val="000000"/>
          <w:lang w:val="en-US"/>
        </w:rPr>
        <w:t>J</w:t>
      </w:r>
      <w:r w:rsidRPr="00741E18">
        <w:rPr>
          <w:rFonts w:eastAsia="Times New Roman" w:cs="Arial"/>
          <w:color w:val="000000"/>
          <w:lang w:val="ru-RU"/>
        </w:rPr>
        <w:t xml:space="preserve">. </w:t>
      </w:r>
      <w:r w:rsidRPr="00741E18">
        <w:rPr>
          <w:rFonts w:eastAsia="Times New Roman" w:cs="Arial"/>
          <w:color w:val="000000"/>
          <w:lang w:eastAsia="bg-BG"/>
        </w:rPr>
        <w:t xml:space="preserve">Тази нежелана реакция се съобщава заедно с 1 или повече от следните нежелани реакции от страна на назо-йеюналната сонда: орофарингеална болка, раздуване на корема, коремна болка, коремен дискомфорт, болка, дразнене в гърлото, стомашно-чревно нараняване, езофагеален кръвоизлив, тревожност, дисфагия и повръщане. При </w:t>
      </w:r>
      <w:r w:rsidRPr="00741E18">
        <w:rPr>
          <w:rFonts w:eastAsia="Times New Roman" w:cs="Arial"/>
          <w:color w:val="000000"/>
          <w:lang w:val="en-US"/>
        </w:rPr>
        <w:t>PEG</w:t>
      </w:r>
      <w:r w:rsidRPr="00741E18">
        <w:rPr>
          <w:rFonts w:eastAsia="Times New Roman" w:cs="Arial"/>
          <w:color w:val="000000"/>
          <w:lang w:val="ru-RU"/>
        </w:rPr>
        <w:t>-</w:t>
      </w:r>
      <w:r w:rsidRPr="00741E18">
        <w:rPr>
          <w:rFonts w:eastAsia="Times New Roman" w:cs="Arial"/>
          <w:color w:val="000000"/>
          <w:lang w:val="en-US"/>
        </w:rPr>
        <w:t>J</w:t>
      </w:r>
      <w:r w:rsidRPr="00741E18">
        <w:rPr>
          <w:rFonts w:eastAsia="Times New Roman" w:cs="Arial"/>
          <w:color w:val="000000"/>
          <w:lang w:val="ru-RU"/>
        </w:rPr>
        <w:t xml:space="preserve"> </w:t>
      </w:r>
      <w:r w:rsidRPr="00741E18">
        <w:rPr>
          <w:rFonts w:eastAsia="Times New Roman" w:cs="Arial"/>
          <w:color w:val="000000"/>
          <w:lang w:eastAsia="bg-BG"/>
        </w:rPr>
        <w:t xml:space="preserve">тази нежелана реакция се съобщава заедно с 1 или повече от следните нежелани реакции: коремна болка, коремен дискомфорт, раздуване на корема, метеоризъм или пневмоперитонеум. Други несериозни реакции, които се съобщават с усложнения от поставянето на уреда, включват коремен дискомфорт, коремна болка в горните отдели на корема, дуоденална язва, кръвоизлив от </w:t>
      </w:r>
      <w:r w:rsidRPr="00741E18">
        <w:rPr>
          <w:rFonts w:eastAsia="Times New Roman" w:cs="Arial"/>
          <w:color w:val="000000"/>
          <w:lang w:eastAsia="bg-BG"/>
        </w:rPr>
        <w:lastRenderedPageBreak/>
        <w:t>дуоденална язва, ерозивен дуоденит, ерозивен гастрит, кръвоизлив от стомашно-чревния тракт, перитонит, пневмоперитонеум, язва на тънките черва.</w:t>
      </w:r>
    </w:p>
    <w:p w14:paraId="5A2370AB" w14:textId="77777777" w:rsidR="00741E18" w:rsidRPr="00741E18" w:rsidRDefault="00741E18" w:rsidP="00741E18">
      <w:pPr>
        <w:spacing w:line="240" w:lineRule="auto"/>
        <w:rPr>
          <w:rFonts w:eastAsia="Times New Roman" w:cs="Arial"/>
          <w:color w:val="000000"/>
          <w:lang w:eastAsia="bg-BG"/>
        </w:rPr>
      </w:pPr>
    </w:p>
    <w:p w14:paraId="2001234E" w14:textId="6293C618" w:rsidR="00741E18" w:rsidRPr="00741E18" w:rsidRDefault="00741E18" w:rsidP="00741E18">
      <w:pPr>
        <w:spacing w:line="240" w:lineRule="auto"/>
        <w:rPr>
          <w:rFonts w:eastAsia="Times New Roman" w:cs="Arial"/>
          <w:sz w:val="24"/>
          <w:szCs w:val="24"/>
        </w:rPr>
      </w:pPr>
      <w:r w:rsidRPr="00741E18">
        <w:rPr>
          <w:rFonts w:eastAsia="Times New Roman" w:cs="Arial"/>
          <w:color w:val="000000"/>
          <w:lang w:eastAsia="bg-BG"/>
        </w:rPr>
        <w:t>Разместването на интестиналната тръба назад към стомаха или обструкция на уреда води до подновяване на моторните флуктуации.</w:t>
      </w:r>
    </w:p>
    <w:p w14:paraId="2CB8DEA5" w14:textId="77777777" w:rsidR="00741E18" w:rsidRPr="00741E18" w:rsidRDefault="00741E18" w:rsidP="00741E18">
      <w:pPr>
        <w:spacing w:line="240" w:lineRule="auto"/>
        <w:rPr>
          <w:rFonts w:eastAsia="Times New Roman" w:cs="Arial"/>
          <w:color w:val="000000"/>
          <w:lang w:eastAsia="bg-BG"/>
        </w:rPr>
      </w:pPr>
    </w:p>
    <w:p w14:paraId="66B4205B" w14:textId="1CA623D2" w:rsidR="00741E18" w:rsidRPr="00741E18" w:rsidRDefault="00741E18" w:rsidP="00741E18">
      <w:pPr>
        <w:spacing w:line="240" w:lineRule="auto"/>
        <w:rPr>
          <w:rFonts w:eastAsia="Times New Roman" w:cs="Arial"/>
          <w:sz w:val="24"/>
          <w:szCs w:val="24"/>
        </w:rPr>
      </w:pPr>
      <w:r w:rsidRPr="00741E18">
        <w:rPr>
          <w:rFonts w:eastAsia="Times New Roman" w:cs="Arial"/>
          <w:color w:val="000000"/>
          <w:lang w:eastAsia="bg-BG"/>
        </w:rPr>
        <w:t xml:space="preserve">Следните допълнителни нежелани реакции (изброени по предпочитани термини по </w:t>
      </w:r>
      <w:proofErr w:type="spellStart"/>
      <w:r w:rsidRPr="00741E18">
        <w:rPr>
          <w:rFonts w:eastAsia="Times New Roman" w:cs="Arial"/>
          <w:color w:val="000000"/>
          <w:lang w:val="en-US"/>
        </w:rPr>
        <w:t>MedDRA</w:t>
      </w:r>
      <w:proofErr w:type="spellEnd"/>
      <w:r w:rsidRPr="00741E18">
        <w:rPr>
          <w:rFonts w:eastAsia="Times New Roman" w:cs="Arial"/>
          <w:color w:val="000000"/>
          <w:lang w:val="ru-RU"/>
        </w:rPr>
        <w:t xml:space="preserve">) </w:t>
      </w:r>
      <w:r w:rsidRPr="00741E18">
        <w:rPr>
          <w:rFonts w:eastAsia="Times New Roman" w:cs="Arial"/>
          <w:color w:val="000000"/>
          <w:lang w:eastAsia="bg-BG"/>
        </w:rPr>
        <w:t>са наблюдавани при перорално приложение на леводопа/карбидопа и могат да се появят и при Дуодопа.</w:t>
      </w:r>
    </w:p>
    <w:p w14:paraId="45848CC7" w14:textId="77777777" w:rsidR="00741E18" w:rsidRPr="00741E18" w:rsidRDefault="00741E18" w:rsidP="00741E18">
      <w:pPr>
        <w:spacing w:line="240" w:lineRule="auto"/>
        <w:rPr>
          <w:rFonts w:eastAsia="Times New Roman" w:cs="Arial"/>
          <w:b/>
          <w:bCs/>
          <w:color w:val="000000"/>
          <w:lang w:eastAsia="bg-BG"/>
        </w:rPr>
      </w:pPr>
    </w:p>
    <w:p w14:paraId="274A25AB" w14:textId="4B4231FD" w:rsidR="00741E18" w:rsidRPr="00741E18" w:rsidRDefault="00741E18" w:rsidP="00741E18">
      <w:pPr>
        <w:spacing w:line="240" w:lineRule="auto"/>
        <w:rPr>
          <w:rFonts w:ascii="Times New Roman" w:eastAsia="Times New Roman" w:hAnsi="Times New Roman" w:cs="Times New Roman"/>
          <w:sz w:val="24"/>
          <w:szCs w:val="24"/>
        </w:rPr>
      </w:pPr>
      <w:r w:rsidRPr="00741E18">
        <w:rPr>
          <w:rFonts w:eastAsia="Times New Roman" w:cs="Arial"/>
          <w:b/>
          <w:bCs/>
          <w:color w:val="000000"/>
          <w:lang w:eastAsia="bg-BG"/>
        </w:rPr>
        <w:t>Таблица 2. Нежелани реакции, наблюдавани при перорално приложение на леводопа/карбидопа</w:t>
      </w:r>
    </w:p>
    <w:tbl>
      <w:tblPr>
        <w:tblStyle w:val="TableGrid"/>
        <w:tblW w:w="0" w:type="auto"/>
        <w:tblLook w:val="04A0" w:firstRow="1" w:lastRow="0" w:firstColumn="1" w:lastColumn="0" w:noHBand="0" w:noVBand="1"/>
      </w:tblPr>
      <w:tblGrid>
        <w:gridCol w:w="3103"/>
        <w:gridCol w:w="3121"/>
        <w:gridCol w:w="3126"/>
      </w:tblGrid>
      <w:tr w:rsidR="00741E18" w14:paraId="44236B8F" w14:textId="77777777" w:rsidTr="00741E18">
        <w:tc>
          <w:tcPr>
            <w:tcW w:w="3192" w:type="dxa"/>
          </w:tcPr>
          <w:p w14:paraId="4E2FF5B4" w14:textId="263BB906" w:rsidR="00741E18" w:rsidRDefault="00741E18" w:rsidP="00741E18">
            <w:r>
              <w:rPr>
                <w:b/>
                <w:bCs/>
              </w:rPr>
              <w:t xml:space="preserve">Системо-органен клас по </w:t>
            </w:r>
            <w:proofErr w:type="spellStart"/>
            <w:r>
              <w:rPr>
                <w:b/>
                <w:bCs/>
                <w:lang w:val="en-US"/>
              </w:rPr>
              <w:t>MedDRA</w:t>
            </w:r>
            <w:proofErr w:type="spellEnd"/>
          </w:p>
        </w:tc>
        <w:tc>
          <w:tcPr>
            <w:tcW w:w="3192" w:type="dxa"/>
          </w:tcPr>
          <w:p w14:paraId="20F1DA27" w14:textId="5C35E462" w:rsidR="00741E18" w:rsidRDefault="00741E18" w:rsidP="00741E18">
            <w:r>
              <w:rPr>
                <w:b/>
                <w:bCs/>
              </w:rPr>
              <w:t>Редки (≥1/10 000 до &lt;1/1 000)</w:t>
            </w:r>
          </w:p>
        </w:tc>
        <w:tc>
          <w:tcPr>
            <w:tcW w:w="3192" w:type="dxa"/>
          </w:tcPr>
          <w:p w14:paraId="794AC2E3" w14:textId="1A876F34" w:rsidR="00741E18" w:rsidRDefault="00741E18" w:rsidP="00741E18">
            <w:r>
              <w:rPr>
                <w:b/>
                <w:bCs/>
              </w:rPr>
              <w:t>Много редки (&lt;1/10 000)</w:t>
            </w:r>
          </w:p>
        </w:tc>
      </w:tr>
      <w:tr w:rsidR="00741E18" w14:paraId="21EEFE36" w14:textId="77777777" w:rsidTr="00741E18">
        <w:tc>
          <w:tcPr>
            <w:tcW w:w="3192" w:type="dxa"/>
          </w:tcPr>
          <w:p w14:paraId="1DE238C6" w14:textId="58C1CB12" w:rsidR="00741E18" w:rsidRDefault="00741E18" w:rsidP="00741E18">
            <w:r>
              <w:t>Нарушения на кръвта и лимфната система</w:t>
            </w:r>
          </w:p>
        </w:tc>
        <w:tc>
          <w:tcPr>
            <w:tcW w:w="3192" w:type="dxa"/>
          </w:tcPr>
          <w:p w14:paraId="0AA8C605" w14:textId="1D985FB0" w:rsidR="00741E18" w:rsidRDefault="00741E18" w:rsidP="00741E18">
            <w:r>
              <w:t>Хемолитична анемия</w:t>
            </w:r>
          </w:p>
        </w:tc>
        <w:tc>
          <w:tcPr>
            <w:tcW w:w="3192" w:type="dxa"/>
          </w:tcPr>
          <w:p w14:paraId="07C1693D" w14:textId="799B96DC" w:rsidR="00741E18" w:rsidRDefault="00741E18" w:rsidP="00741E18">
            <w:r>
              <w:t>Агранулоцитоза</w:t>
            </w:r>
          </w:p>
        </w:tc>
      </w:tr>
      <w:tr w:rsidR="00741E18" w14:paraId="3527CF86" w14:textId="77777777" w:rsidTr="00741E18">
        <w:tc>
          <w:tcPr>
            <w:tcW w:w="3192" w:type="dxa"/>
          </w:tcPr>
          <w:p w14:paraId="689B282B" w14:textId="60F77167" w:rsidR="00741E18" w:rsidRDefault="00741E18" w:rsidP="00741E18">
            <w:r>
              <w:t>Нарушения на нервната система</w:t>
            </w:r>
          </w:p>
        </w:tc>
        <w:tc>
          <w:tcPr>
            <w:tcW w:w="3192" w:type="dxa"/>
          </w:tcPr>
          <w:p w14:paraId="2360EF8F" w14:textId="0FC66373" w:rsidR="00741E18" w:rsidRDefault="00741E18" w:rsidP="00741E18">
            <w:r>
              <w:t>Тризмус, малигнен невролептичен синдром (вж. точка 4.4)</w:t>
            </w:r>
          </w:p>
        </w:tc>
        <w:tc>
          <w:tcPr>
            <w:tcW w:w="3192" w:type="dxa"/>
          </w:tcPr>
          <w:p w14:paraId="58D3170A" w14:textId="77777777" w:rsidR="00741E18" w:rsidRDefault="00741E18" w:rsidP="00741E18"/>
        </w:tc>
      </w:tr>
      <w:tr w:rsidR="00741E18" w14:paraId="7BCB08B0" w14:textId="77777777" w:rsidTr="00741E18">
        <w:tc>
          <w:tcPr>
            <w:tcW w:w="3192" w:type="dxa"/>
          </w:tcPr>
          <w:p w14:paraId="535108F1" w14:textId="48E1DCE3" w:rsidR="00741E18" w:rsidRDefault="00741E18" w:rsidP="00741E18">
            <w:r>
              <w:t>Очни нарушения</w:t>
            </w:r>
          </w:p>
        </w:tc>
        <w:tc>
          <w:tcPr>
            <w:tcW w:w="3192" w:type="dxa"/>
          </w:tcPr>
          <w:p w14:paraId="66D0E768" w14:textId="1BE3CD74" w:rsidR="00741E18" w:rsidRDefault="00741E18" w:rsidP="00741E18">
            <w:r>
              <w:t xml:space="preserve">Синдром на </w:t>
            </w:r>
            <w:r>
              <w:rPr>
                <w:lang w:val="en-US"/>
              </w:rPr>
              <w:t>Horner</w:t>
            </w:r>
            <w:r w:rsidRPr="00741E18">
              <w:rPr>
                <w:lang w:val="ru-RU"/>
              </w:rPr>
              <w:t xml:space="preserve"> </w:t>
            </w:r>
            <w:r>
              <w:t>Мидриаза Окулогирни кризи</w:t>
            </w:r>
          </w:p>
        </w:tc>
        <w:tc>
          <w:tcPr>
            <w:tcW w:w="3192" w:type="dxa"/>
          </w:tcPr>
          <w:p w14:paraId="774A6329" w14:textId="77777777" w:rsidR="00741E18" w:rsidRDefault="00741E18" w:rsidP="00741E18"/>
        </w:tc>
      </w:tr>
      <w:tr w:rsidR="00741E18" w14:paraId="0AA0D36F" w14:textId="77777777" w:rsidTr="00741E18">
        <w:tc>
          <w:tcPr>
            <w:tcW w:w="3192" w:type="dxa"/>
          </w:tcPr>
          <w:p w14:paraId="37193E40" w14:textId="0D4D9E94" w:rsidR="00741E18" w:rsidRDefault="00741E18" w:rsidP="00741E18">
            <w:r>
              <w:t>Нарушения на кожата и подкожната тъкан</w:t>
            </w:r>
          </w:p>
        </w:tc>
        <w:tc>
          <w:tcPr>
            <w:tcW w:w="3192" w:type="dxa"/>
          </w:tcPr>
          <w:p w14:paraId="75C95985" w14:textId="77777777" w:rsidR="00741E18" w:rsidRDefault="00741E18" w:rsidP="00741E18">
            <w:r>
              <w:t>Ангиоедем</w:t>
            </w:r>
          </w:p>
          <w:p w14:paraId="5E75EFE5" w14:textId="487C47A4" w:rsidR="00741E18" w:rsidRDefault="00741E18" w:rsidP="00741E18">
            <w:r>
              <w:t xml:space="preserve">Пурпура на </w:t>
            </w:r>
            <w:r>
              <w:rPr>
                <w:lang w:val="en-US"/>
              </w:rPr>
              <w:t>Henoch</w:t>
            </w:r>
            <w:r w:rsidRPr="00741E18">
              <w:t xml:space="preserve">- </w:t>
            </w:r>
            <w:proofErr w:type="spellStart"/>
            <w:r>
              <w:rPr>
                <w:lang w:val="en-US"/>
              </w:rPr>
              <w:t>Schonlein</w:t>
            </w:r>
            <w:proofErr w:type="spellEnd"/>
          </w:p>
        </w:tc>
        <w:tc>
          <w:tcPr>
            <w:tcW w:w="3192" w:type="dxa"/>
          </w:tcPr>
          <w:p w14:paraId="6D810B71" w14:textId="77777777" w:rsidR="00741E18" w:rsidRDefault="00741E18" w:rsidP="00741E18"/>
        </w:tc>
      </w:tr>
    </w:tbl>
    <w:p w14:paraId="75B957BC" w14:textId="77777777" w:rsidR="00741E18" w:rsidRDefault="00741E18" w:rsidP="00741E18">
      <w:pPr>
        <w:rPr>
          <w:i/>
          <w:iCs/>
        </w:rPr>
      </w:pPr>
    </w:p>
    <w:p w14:paraId="0FE3E24C" w14:textId="77777777" w:rsidR="00741E18" w:rsidRPr="00741E18" w:rsidRDefault="00741E18" w:rsidP="00741E18">
      <w:pPr>
        <w:rPr>
          <w:rFonts w:eastAsia="Times New Roman" w:cs="Arial"/>
        </w:rPr>
      </w:pPr>
      <w:r w:rsidRPr="00741E18">
        <w:rPr>
          <w:rFonts w:cs="Arial"/>
          <w:i/>
          <w:iCs/>
        </w:rPr>
        <w:t>Лабораторни стойности:</w:t>
      </w:r>
      <w:r w:rsidRPr="00741E18">
        <w:rPr>
          <w:rFonts w:cs="Arial"/>
        </w:rPr>
        <w:t xml:space="preserve"> При лечение с леводопа/карбидопа са наблюдавани следните отклонения в лабораторните показатели и поради това трябва да се имат предвид при терапията на пациентите с Дуодопа: повишени нива на уреен азот, алкалната фосфатаза, </w:t>
      </w:r>
      <w:r w:rsidRPr="00741E18">
        <w:rPr>
          <w:rFonts w:cs="Arial"/>
          <w:lang w:val="en-US"/>
        </w:rPr>
        <w:t>S</w:t>
      </w:r>
      <w:r w:rsidRPr="00741E18">
        <w:rPr>
          <w:rFonts w:cs="Arial"/>
          <w:lang w:val="ru-RU"/>
        </w:rPr>
        <w:t>-</w:t>
      </w:r>
      <w:r w:rsidRPr="00741E18">
        <w:rPr>
          <w:rFonts w:cs="Arial"/>
          <w:lang w:val="en-US"/>
        </w:rPr>
        <w:t>AST</w:t>
      </w:r>
      <w:r w:rsidRPr="00741E18">
        <w:rPr>
          <w:rFonts w:cs="Arial"/>
          <w:lang w:val="ru-RU"/>
        </w:rPr>
        <w:t xml:space="preserve">, </w:t>
      </w:r>
      <w:r w:rsidRPr="00741E18">
        <w:rPr>
          <w:rFonts w:cs="Arial"/>
          <w:lang w:val="en-US"/>
        </w:rPr>
        <w:t>S</w:t>
      </w:r>
      <w:r w:rsidRPr="00741E18">
        <w:rPr>
          <w:rFonts w:cs="Arial"/>
          <w:lang w:val="ru-RU"/>
        </w:rPr>
        <w:t>-</w:t>
      </w:r>
      <w:r w:rsidRPr="00741E18">
        <w:rPr>
          <w:rFonts w:cs="Arial"/>
          <w:lang w:val="en-US"/>
        </w:rPr>
        <w:t>ALT</w:t>
      </w:r>
      <w:r w:rsidRPr="00741E18">
        <w:rPr>
          <w:rFonts w:cs="Arial"/>
          <w:lang w:val="ru-RU"/>
        </w:rPr>
        <w:t xml:space="preserve">, </w:t>
      </w:r>
      <w:r w:rsidRPr="00741E18">
        <w:rPr>
          <w:rFonts w:cs="Arial"/>
          <w:lang w:val="en-US"/>
        </w:rPr>
        <w:t>LDH</w:t>
      </w:r>
      <w:r w:rsidRPr="00741E18">
        <w:rPr>
          <w:rFonts w:cs="Arial"/>
          <w:lang w:val="ru-RU"/>
        </w:rPr>
        <w:t xml:space="preserve">, </w:t>
      </w:r>
      <w:r w:rsidRPr="00741E18">
        <w:rPr>
          <w:rFonts w:cs="Arial"/>
        </w:rPr>
        <w:t xml:space="preserve">билирубина, кръвната захар, креатинина, пикочната киселина и положителен тест на </w:t>
      </w:r>
      <w:proofErr w:type="spellStart"/>
      <w:r w:rsidRPr="00741E18">
        <w:rPr>
          <w:rFonts w:cs="Arial"/>
          <w:lang w:val="en-US"/>
        </w:rPr>
        <w:t>Coomb</w:t>
      </w:r>
      <w:proofErr w:type="spellEnd"/>
      <w:r w:rsidRPr="00741E18">
        <w:rPr>
          <w:rFonts w:cs="Arial"/>
          <w:lang w:val="ru-RU"/>
        </w:rPr>
        <w:t xml:space="preserve"> </w:t>
      </w:r>
      <w:r w:rsidRPr="00741E18">
        <w:rPr>
          <w:rFonts w:cs="Arial"/>
        </w:rPr>
        <w:t>и намалени стойности на хемоглобин и хематокрит. Съобщава се за левкоцити, бактерии и кръв в</w:t>
      </w:r>
      <w:r w:rsidRPr="00741E18">
        <w:rPr>
          <w:rFonts w:cs="Arial"/>
        </w:rPr>
        <w:t xml:space="preserve"> </w:t>
      </w:r>
      <w:r w:rsidRPr="00741E18">
        <w:rPr>
          <w:rFonts w:eastAsia="Times New Roman" w:cs="Arial"/>
          <w:color w:val="000000"/>
          <w:lang w:eastAsia="bg-BG"/>
        </w:rPr>
        <w:t>урината. Леводопа/карбидола и съответно Дуодопа могат да причинят фалшиво положителни резултати при използване на тест-лентички за отчитане на кетони в урината; тази реакция не се променя при нагряване на уринната проба. Използването на глкжозооксидазни методи може да даде фалшиво-отрицателни резултати за глюкозурия.</w:t>
      </w:r>
    </w:p>
    <w:p w14:paraId="78175827" w14:textId="77777777" w:rsidR="00741E18" w:rsidRPr="00741E18" w:rsidRDefault="00741E18" w:rsidP="00741E18">
      <w:pPr>
        <w:spacing w:line="240" w:lineRule="auto"/>
        <w:rPr>
          <w:rFonts w:eastAsia="Times New Roman" w:cs="Arial"/>
          <w:color w:val="000000"/>
          <w:u w:val="single"/>
          <w:lang w:eastAsia="bg-BG"/>
        </w:rPr>
      </w:pPr>
    </w:p>
    <w:p w14:paraId="346D42EB" w14:textId="5884C21B" w:rsidR="00741E18" w:rsidRPr="00741E18" w:rsidRDefault="00741E18" w:rsidP="00741E18">
      <w:pPr>
        <w:spacing w:line="240" w:lineRule="auto"/>
        <w:rPr>
          <w:rFonts w:eastAsia="Times New Roman" w:cs="Arial"/>
        </w:rPr>
      </w:pPr>
      <w:r w:rsidRPr="00741E18">
        <w:rPr>
          <w:rFonts w:eastAsia="Times New Roman" w:cs="Arial"/>
          <w:color w:val="000000"/>
          <w:u w:val="single"/>
          <w:lang w:eastAsia="bg-BG"/>
        </w:rPr>
        <w:t>Съобщаване на подозирани нежелани реакции</w:t>
      </w:r>
    </w:p>
    <w:p w14:paraId="5EAD0BE2" w14:textId="77777777" w:rsidR="00741E18" w:rsidRPr="00741E18" w:rsidRDefault="00741E18" w:rsidP="00741E18">
      <w:pPr>
        <w:spacing w:line="240" w:lineRule="auto"/>
        <w:rPr>
          <w:rFonts w:eastAsia="Times New Roman" w:cs="Arial"/>
        </w:rPr>
      </w:pPr>
      <w:r w:rsidRPr="00741E18">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2FADC720" w14:textId="77777777" w:rsidR="00741E18" w:rsidRPr="00741E18" w:rsidRDefault="00741E18" w:rsidP="00741E18">
      <w:pPr>
        <w:spacing w:line="240" w:lineRule="auto"/>
        <w:rPr>
          <w:rFonts w:eastAsia="Times New Roman" w:cs="Arial"/>
        </w:rPr>
      </w:pPr>
      <w:r w:rsidRPr="00741E18">
        <w:rPr>
          <w:rFonts w:eastAsia="Times New Roman" w:cs="Arial"/>
          <w:color w:val="000000"/>
          <w:lang w:eastAsia="bg-BG"/>
        </w:rPr>
        <w:t>Националната система за съобщаване:</w:t>
      </w:r>
    </w:p>
    <w:p w14:paraId="38BCF14A" w14:textId="77777777" w:rsidR="00741E18" w:rsidRPr="00741E18" w:rsidRDefault="00741E18" w:rsidP="00741E18">
      <w:pPr>
        <w:spacing w:line="240" w:lineRule="auto"/>
        <w:rPr>
          <w:rFonts w:eastAsia="Times New Roman" w:cs="Arial"/>
        </w:rPr>
      </w:pPr>
      <w:r w:rsidRPr="00741E18">
        <w:rPr>
          <w:rFonts w:eastAsia="Times New Roman" w:cs="Arial"/>
          <w:color w:val="000000"/>
          <w:lang w:eastAsia="bg-BG"/>
        </w:rPr>
        <w:t>Изпълнителна агенция по лекарствата,</w:t>
      </w:r>
    </w:p>
    <w:p w14:paraId="4381757B" w14:textId="77777777" w:rsidR="00741E18" w:rsidRPr="00741E18" w:rsidRDefault="00741E18" w:rsidP="00741E18">
      <w:pPr>
        <w:spacing w:line="240" w:lineRule="auto"/>
        <w:rPr>
          <w:rFonts w:eastAsia="Times New Roman" w:cs="Arial"/>
        </w:rPr>
      </w:pPr>
      <w:r w:rsidRPr="00741E18">
        <w:rPr>
          <w:rFonts w:eastAsia="Times New Roman" w:cs="Arial"/>
          <w:color w:val="000000"/>
          <w:lang w:eastAsia="bg-BG"/>
        </w:rPr>
        <w:t xml:space="preserve">София 1303, ул.,Дамян Груев“ №8, тел.+359 2 8903417, </w:t>
      </w:r>
      <w:r w:rsidRPr="00741E18">
        <w:rPr>
          <w:rFonts w:eastAsia="Times New Roman" w:cs="Arial"/>
        </w:rPr>
        <w:fldChar w:fldCharType="begin"/>
      </w:r>
      <w:r w:rsidRPr="00741E18">
        <w:rPr>
          <w:rFonts w:eastAsia="Times New Roman" w:cs="Arial"/>
        </w:rPr>
        <w:instrText xml:space="preserve"> HYPERLINK "http://www.bda.bg" </w:instrText>
      </w:r>
      <w:r w:rsidRPr="00741E18">
        <w:rPr>
          <w:rFonts w:eastAsia="Times New Roman" w:cs="Arial"/>
        </w:rPr>
      </w:r>
      <w:r w:rsidRPr="00741E18">
        <w:rPr>
          <w:rFonts w:eastAsia="Times New Roman" w:cs="Arial"/>
        </w:rPr>
        <w:fldChar w:fldCharType="separate"/>
      </w:r>
      <w:r w:rsidRPr="00741E18">
        <w:rPr>
          <w:rFonts w:eastAsia="Times New Roman" w:cs="Arial"/>
          <w:color w:val="000000"/>
          <w:lang w:val="en-US"/>
        </w:rPr>
        <w:t>www</w:t>
      </w:r>
      <w:r w:rsidRPr="00741E18">
        <w:rPr>
          <w:rFonts w:eastAsia="Times New Roman" w:cs="Arial"/>
          <w:color w:val="000000"/>
          <w:lang w:val="ru-RU"/>
        </w:rPr>
        <w:t>.</w:t>
      </w:r>
      <w:proofErr w:type="spellStart"/>
      <w:r w:rsidRPr="00741E18">
        <w:rPr>
          <w:rFonts w:eastAsia="Times New Roman" w:cs="Arial"/>
          <w:color w:val="000000"/>
          <w:lang w:val="en-US"/>
        </w:rPr>
        <w:t>bda</w:t>
      </w:r>
      <w:proofErr w:type="spellEnd"/>
      <w:r w:rsidRPr="00741E18">
        <w:rPr>
          <w:rFonts w:eastAsia="Times New Roman" w:cs="Arial"/>
          <w:color w:val="000000"/>
          <w:lang w:val="ru-RU"/>
        </w:rPr>
        <w:t>.</w:t>
      </w:r>
      <w:proofErr w:type="spellStart"/>
      <w:r w:rsidRPr="00741E18">
        <w:rPr>
          <w:rFonts w:eastAsia="Times New Roman" w:cs="Arial"/>
          <w:color w:val="000000"/>
          <w:lang w:val="en-US"/>
        </w:rPr>
        <w:t>bg</w:t>
      </w:r>
      <w:proofErr w:type="spellEnd"/>
      <w:r w:rsidRPr="00741E18">
        <w:rPr>
          <w:rFonts w:eastAsia="Times New Roman" w:cs="Arial"/>
        </w:rPr>
        <w:fldChar w:fldCharType="end"/>
      </w:r>
      <w:r w:rsidRPr="00741E18">
        <w:rPr>
          <w:rFonts w:eastAsia="Times New Roman" w:cs="Arial"/>
          <w:color w:val="000000"/>
          <w:lang w:val="ru-RU"/>
        </w:rPr>
        <w:t>.</w:t>
      </w:r>
    </w:p>
    <w:p w14:paraId="5DA8D3A7" w14:textId="6267CBFE" w:rsidR="00741E18" w:rsidRPr="000616C6" w:rsidRDefault="00741E18" w:rsidP="00741E18"/>
    <w:p w14:paraId="5A87DBA3" w14:textId="1538130A" w:rsidR="007122AD" w:rsidRDefault="002C50EE" w:rsidP="00936AD0">
      <w:pPr>
        <w:pStyle w:val="Heading2"/>
      </w:pPr>
      <w:r>
        <w:t>4.9. Предозиране</w:t>
      </w:r>
    </w:p>
    <w:p w14:paraId="233F1EE8" w14:textId="47916D91" w:rsidR="000C7A06" w:rsidRDefault="000C7A06" w:rsidP="000C7A06"/>
    <w:p w14:paraId="00C8A21F" w14:textId="77777777" w:rsidR="000C7A06" w:rsidRPr="000C7A06" w:rsidRDefault="000C7A06" w:rsidP="000C7A06">
      <w:pPr>
        <w:rPr>
          <w:sz w:val="24"/>
          <w:szCs w:val="24"/>
        </w:rPr>
      </w:pPr>
      <w:r w:rsidRPr="000C7A06">
        <w:rPr>
          <w:lang w:eastAsia="bg-BG"/>
        </w:rPr>
        <w:lastRenderedPageBreak/>
        <w:t>Най-изявените клинични симптоми на предозиране с леводопа/карбидопа са дистония и дискинезия. Блефароспазмът може да бъде ранен белег на предозиране.</w:t>
      </w:r>
    </w:p>
    <w:p w14:paraId="23896667" w14:textId="77777777" w:rsidR="000C7A06" w:rsidRDefault="000C7A06" w:rsidP="000C7A06">
      <w:pPr>
        <w:rPr>
          <w:lang w:eastAsia="bg-BG"/>
        </w:rPr>
      </w:pPr>
    </w:p>
    <w:p w14:paraId="2C0041E0" w14:textId="170485B0" w:rsidR="000C7A06" w:rsidRPr="000C7A06" w:rsidRDefault="000C7A06" w:rsidP="000C7A06">
      <w:pPr>
        <w:rPr>
          <w:sz w:val="24"/>
          <w:szCs w:val="24"/>
        </w:rPr>
      </w:pPr>
      <w:r w:rsidRPr="000C7A06">
        <w:rPr>
          <w:lang w:eastAsia="bg-BG"/>
        </w:rPr>
        <w:t>Терапията на острото предозиране с Дуодопа като цяло е същата като тази при остро предозиране с леводопа. Пиридоксин обаче няма ефект върху обръщането на действието на Дуодопа.</w:t>
      </w:r>
    </w:p>
    <w:p w14:paraId="20EBF436" w14:textId="77777777" w:rsidR="000C7A06" w:rsidRPr="000C7A06" w:rsidRDefault="000C7A06" w:rsidP="000C7A06">
      <w:pPr>
        <w:rPr>
          <w:sz w:val="24"/>
          <w:szCs w:val="24"/>
        </w:rPr>
      </w:pPr>
      <w:r w:rsidRPr="000C7A06">
        <w:rPr>
          <w:lang w:eastAsia="bg-BG"/>
        </w:rPr>
        <w:t>Необходимо е електрокардиографско мониториране и внимателно наблюдение на пациента за развитие на сърдечни аритмии. При необходимост трябва да се приложи подходяща антиаритмична терапия. Трябва да се отчете и възможността пациентът да е приел и други лекарствени продукти едновременно с Дуодопа. До момента няма съобщения за приложението на диализа, затова не е известно дали то е от полза при лечението на предозирането.</w:t>
      </w:r>
    </w:p>
    <w:p w14:paraId="312531DD" w14:textId="77777777" w:rsidR="000C7A06" w:rsidRPr="000C7A06" w:rsidRDefault="000C7A06" w:rsidP="000C7A06"/>
    <w:p w14:paraId="02081B24" w14:textId="1F46E296" w:rsidR="00395555" w:rsidRPr="00395555" w:rsidRDefault="002C50EE" w:rsidP="008A6AF2">
      <w:pPr>
        <w:pStyle w:val="Heading1"/>
      </w:pPr>
      <w:r>
        <w:t>5. ФАРМАКОЛОГИЧНИ СВОЙСТВА</w:t>
      </w:r>
    </w:p>
    <w:p w14:paraId="7DE36AC8" w14:textId="692A34C0" w:rsidR="00B6672E" w:rsidRDefault="002C50EE" w:rsidP="00936AD0">
      <w:pPr>
        <w:pStyle w:val="Heading2"/>
      </w:pPr>
      <w:r>
        <w:t>5.1. Фармакодинамични свойства</w:t>
      </w:r>
    </w:p>
    <w:p w14:paraId="13369C35" w14:textId="31134F02" w:rsidR="000C7A06" w:rsidRDefault="000C7A06" w:rsidP="000C7A06"/>
    <w:p w14:paraId="620442A8" w14:textId="77777777" w:rsidR="000C7A06" w:rsidRPr="000C7A06" w:rsidRDefault="000C7A06" w:rsidP="000C7A06">
      <w:pPr>
        <w:spacing w:line="240" w:lineRule="auto"/>
        <w:rPr>
          <w:rFonts w:eastAsia="Times New Roman" w:cs="Arial"/>
          <w:color w:val="000000"/>
          <w:lang w:eastAsia="bg-BG"/>
        </w:rPr>
      </w:pPr>
      <w:r w:rsidRPr="000C7A06">
        <w:rPr>
          <w:rFonts w:eastAsia="Times New Roman" w:cs="Arial"/>
          <w:color w:val="000000"/>
          <w:lang w:eastAsia="bg-BG"/>
        </w:rPr>
        <w:t xml:space="preserve">Фармакотерапевтична група: Антипаркинсонови лекарства, леводопа и инхибитор на </w:t>
      </w:r>
    </w:p>
    <w:p w14:paraId="18082051" w14:textId="4DB63461"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 xml:space="preserve">декарбоксилазата, АТС код: </w:t>
      </w:r>
      <w:r w:rsidRPr="000C7A06">
        <w:rPr>
          <w:rFonts w:eastAsia="Times New Roman" w:cs="Arial"/>
          <w:color w:val="000000"/>
          <w:lang w:val="en-US"/>
        </w:rPr>
        <w:t>N</w:t>
      </w:r>
      <w:r w:rsidRPr="000C7A06">
        <w:rPr>
          <w:rFonts w:eastAsia="Times New Roman" w:cs="Arial"/>
          <w:color w:val="000000"/>
          <w:lang w:val="ru-RU"/>
        </w:rPr>
        <w:t>04</w:t>
      </w:r>
      <w:r w:rsidRPr="000C7A06">
        <w:rPr>
          <w:rFonts w:eastAsia="Times New Roman" w:cs="Arial"/>
          <w:color w:val="000000"/>
          <w:lang w:val="en-US"/>
        </w:rPr>
        <w:t>BA</w:t>
      </w:r>
      <w:r w:rsidRPr="000C7A06">
        <w:rPr>
          <w:rFonts w:eastAsia="Times New Roman" w:cs="Arial"/>
          <w:color w:val="000000"/>
          <w:lang w:val="ru-RU"/>
        </w:rPr>
        <w:t>02.</w:t>
      </w:r>
    </w:p>
    <w:p w14:paraId="755BB806" w14:textId="77777777" w:rsidR="000C7A06" w:rsidRPr="000C7A06" w:rsidRDefault="000C7A06" w:rsidP="000C7A06">
      <w:pPr>
        <w:spacing w:line="240" w:lineRule="auto"/>
        <w:rPr>
          <w:rFonts w:eastAsia="Times New Roman" w:cs="Arial"/>
          <w:color w:val="000000"/>
          <w:u w:val="single"/>
          <w:lang w:eastAsia="bg-BG"/>
        </w:rPr>
      </w:pPr>
    </w:p>
    <w:p w14:paraId="0ACC91D8" w14:textId="587E0391" w:rsidR="000C7A06" w:rsidRPr="000C7A06" w:rsidRDefault="000C7A06" w:rsidP="000C7A06">
      <w:pPr>
        <w:spacing w:line="240" w:lineRule="auto"/>
        <w:rPr>
          <w:rFonts w:eastAsia="Times New Roman" w:cs="Arial"/>
          <w:sz w:val="24"/>
          <w:szCs w:val="24"/>
        </w:rPr>
      </w:pPr>
      <w:r w:rsidRPr="000C7A06">
        <w:rPr>
          <w:rFonts w:eastAsia="Times New Roman" w:cs="Arial"/>
          <w:color w:val="000000"/>
          <w:u w:val="single"/>
          <w:lang w:eastAsia="bg-BG"/>
        </w:rPr>
        <w:t>Механизъм на действие:</w:t>
      </w:r>
    </w:p>
    <w:p w14:paraId="6503AF18" w14:textId="77777777"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Дуодопа е комбинация от леводопа и карбидопа (в съотношение 4:1) под формата на гел за постоянна интестинална инфузия при напреднала болест на Паркинсон с тежки моторни флуктуации и хипер-/дискинезия. Леводопа е метаболитен прекурсор на допамина, който облекчава симптомите на болестта на Паркинсон след декарбоксилиране до допамин в мозъка. Карбидопа, който не преминава кръвно-мозъчната бариера, инхибира екстрацеребралното декарбоксилиране на леводопа, което означава, че по-голямо количество леводопа може да бъде транспортирано до мозъка и трансформирано в допамин. Без едновременния прием на карбидопа биха били необходими значително по-големи количества леводопа, за да се постигне желаният ефект. Интестиналната инфузия на индивидуализирани дози Дуодопа поддържа плазмените концентрации на леводопа на постоянни нива в индивидуалните терапевтични прозорци.</w:t>
      </w:r>
    </w:p>
    <w:p w14:paraId="5EB7D6BF" w14:textId="77777777" w:rsidR="000C7A06" w:rsidRPr="000C7A06" w:rsidRDefault="000C7A06" w:rsidP="000C7A06">
      <w:pPr>
        <w:spacing w:line="240" w:lineRule="auto"/>
        <w:rPr>
          <w:rFonts w:eastAsia="Times New Roman" w:cs="Arial"/>
          <w:color w:val="000000"/>
          <w:u w:val="single"/>
          <w:lang w:eastAsia="bg-BG"/>
        </w:rPr>
      </w:pPr>
    </w:p>
    <w:p w14:paraId="596126F0" w14:textId="7C583360" w:rsidR="000C7A06" w:rsidRPr="000C7A06" w:rsidRDefault="000C7A06" w:rsidP="000C7A06">
      <w:pPr>
        <w:spacing w:line="240" w:lineRule="auto"/>
        <w:rPr>
          <w:rFonts w:eastAsia="Times New Roman" w:cs="Arial"/>
          <w:sz w:val="24"/>
          <w:szCs w:val="24"/>
        </w:rPr>
      </w:pPr>
      <w:r w:rsidRPr="000C7A06">
        <w:rPr>
          <w:rFonts w:eastAsia="Times New Roman" w:cs="Arial"/>
          <w:color w:val="000000"/>
          <w:u w:val="single"/>
          <w:lang w:eastAsia="bg-BG"/>
        </w:rPr>
        <w:t>Фармакодинамични ефекти:</w:t>
      </w:r>
    </w:p>
    <w:p w14:paraId="3906919F" w14:textId="77777777" w:rsidR="000C7A06" w:rsidRPr="000C7A06" w:rsidRDefault="000C7A06" w:rsidP="000C7A06">
      <w:pPr>
        <w:rPr>
          <w:rFonts w:eastAsia="Times New Roman" w:cs="Arial"/>
          <w:sz w:val="24"/>
          <w:szCs w:val="24"/>
        </w:rPr>
      </w:pPr>
      <w:r w:rsidRPr="000C7A06">
        <w:rPr>
          <w:rFonts w:eastAsia="Times New Roman" w:cs="Arial"/>
          <w:color w:val="000000"/>
          <w:lang w:eastAsia="bg-BG"/>
        </w:rPr>
        <w:t>Интестиналната терапия с Дуодопа намалява моторните флуктуации и намалява "</w:t>
      </w:r>
      <w:r w:rsidRPr="000C7A06">
        <w:rPr>
          <w:rFonts w:eastAsia="Times New Roman" w:cs="Arial"/>
          <w:color w:val="000000"/>
          <w:lang w:val="en-US"/>
        </w:rPr>
        <w:t>off</w:t>
      </w:r>
      <w:r w:rsidRPr="000C7A06">
        <w:rPr>
          <w:rFonts w:eastAsia="Times New Roman" w:cs="Arial"/>
          <w:color w:val="000000"/>
          <w:lang w:val="ru-RU"/>
        </w:rPr>
        <w:t xml:space="preserve">" </w:t>
      </w:r>
      <w:r w:rsidRPr="000C7A06">
        <w:rPr>
          <w:rFonts w:eastAsia="Times New Roman" w:cs="Arial"/>
          <w:color w:val="000000"/>
          <w:lang w:eastAsia="bg-BG"/>
        </w:rPr>
        <w:t>времето при пациентите с напреднала болест на Паркинсон, които са получавали лечение с таблетки леводопа/инхибитор на декарбоксилазата в продължение на много години. Моторните флуктуации и хипер- /дискинезиите се намаляват благодарение на факта, че плазмените концентрации на леводопа варират в по-малка степен, отколкото при перорално приложение на карбидопа/леводопа, което позволява лечение в тесен терапевтичен прозорец. Терапевтичните ефекти върху моторните флуктуации и хипер-/дискинезиите често се постигат в първия ден на лечение.</w:t>
      </w:r>
    </w:p>
    <w:p w14:paraId="3F366F91" w14:textId="77777777" w:rsidR="000C7A06" w:rsidRPr="000C7A06" w:rsidRDefault="000C7A06" w:rsidP="000C7A06">
      <w:pPr>
        <w:spacing w:line="240" w:lineRule="auto"/>
        <w:rPr>
          <w:rFonts w:eastAsia="Times New Roman" w:cs="Arial"/>
          <w:color w:val="000000"/>
          <w:u w:val="single"/>
          <w:lang w:eastAsia="bg-BG"/>
        </w:rPr>
      </w:pPr>
    </w:p>
    <w:p w14:paraId="4C0D612D" w14:textId="15A39276" w:rsidR="000C7A06" w:rsidRPr="000C7A06" w:rsidRDefault="000C7A06" w:rsidP="000C7A06">
      <w:pPr>
        <w:spacing w:line="240" w:lineRule="auto"/>
        <w:rPr>
          <w:rFonts w:eastAsia="Times New Roman" w:cs="Arial"/>
          <w:sz w:val="24"/>
          <w:szCs w:val="24"/>
        </w:rPr>
      </w:pPr>
      <w:r w:rsidRPr="000C7A06">
        <w:rPr>
          <w:rFonts w:eastAsia="Times New Roman" w:cs="Arial"/>
          <w:color w:val="000000"/>
          <w:u w:val="single"/>
          <w:lang w:eastAsia="bg-BG"/>
        </w:rPr>
        <w:t>Клинична ефикасност и безопасност:</w:t>
      </w:r>
    </w:p>
    <w:p w14:paraId="3855D44A" w14:textId="77777777"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 xml:space="preserve">Ефикасността на Дуодопа се потвърждава от две 12-седмични, рандомизирани, двойно-слепи с двойно плацебо, многоцентрови проучвания фаза 3 с активни контроли, с паралелни групи и с идентичен дизайн за оценка на ефикасността, безопасността и </w:t>
      </w:r>
      <w:r w:rsidRPr="000C7A06">
        <w:rPr>
          <w:rFonts w:eastAsia="Times New Roman" w:cs="Arial"/>
          <w:color w:val="000000"/>
          <w:lang w:eastAsia="bg-BG"/>
        </w:rPr>
        <w:lastRenderedPageBreak/>
        <w:t xml:space="preserve">поносимостта на Дуодопа спрямо леводопа/карбидопа 100/25 </w:t>
      </w:r>
      <w:r w:rsidRPr="000C7A06">
        <w:rPr>
          <w:rFonts w:eastAsia="Times New Roman" w:cs="Arial"/>
          <w:color w:val="000000"/>
          <w:lang w:val="en-US"/>
        </w:rPr>
        <w:t>mg</w:t>
      </w:r>
      <w:r w:rsidRPr="000C7A06">
        <w:rPr>
          <w:rFonts w:eastAsia="Times New Roman" w:cs="Arial"/>
          <w:color w:val="000000"/>
          <w:lang w:val="ru-RU"/>
        </w:rPr>
        <w:t xml:space="preserve"> </w:t>
      </w:r>
      <w:r w:rsidRPr="000C7A06">
        <w:rPr>
          <w:rFonts w:eastAsia="Times New Roman" w:cs="Arial"/>
          <w:color w:val="000000"/>
          <w:lang w:eastAsia="bg-BG"/>
        </w:rPr>
        <w:t>таблетки. Проучванията са проведени при пациенти с напреднала болест на Паркинсон, които се повлияват от леводопа, с персистиращи моторни флуктуации въпреки оптимизираната перорална терапия с леводопа/карбидопа и други налични антипаркинсонови лекарства. Включени са общо 71 пациенти. Резултатите от двете проучвания са комбинирани и е извършен един общ анализ.</w:t>
      </w:r>
    </w:p>
    <w:p w14:paraId="265F637C" w14:textId="77777777" w:rsidR="000C7A06" w:rsidRPr="000C7A06" w:rsidRDefault="000C7A06" w:rsidP="000C7A06">
      <w:pPr>
        <w:spacing w:line="240" w:lineRule="auto"/>
        <w:rPr>
          <w:rFonts w:eastAsia="Times New Roman" w:cs="Arial"/>
          <w:color w:val="000000"/>
          <w:lang w:eastAsia="bg-BG"/>
        </w:rPr>
      </w:pPr>
    </w:p>
    <w:p w14:paraId="4FBDE5A9" w14:textId="7F4C1F72" w:rsidR="000C7A06" w:rsidRPr="000C7A06" w:rsidRDefault="000C7A06" w:rsidP="000C7A06">
      <w:pPr>
        <w:spacing w:line="240" w:lineRule="auto"/>
        <w:rPr>
          <w:rFonts w:eastAsia="Times New Roman" w:cs="Arial"/>
          <w:color w:val="000000"/>
          <w:lang w:eastAsia="bg-BG"/>
        </w:rPr>
      </w:pPr>
      <w:r w:rsidRPr="000C7A06">
        <w:rPr>
          <w:rFonts w:eastAsia="Times New Roman" w:cs="Arial"/>
          <w:color w:val="000000"/>
          <w:lang w:eastAsia="bg-BG"/>
        </w:rPr>
        <w:t xml:space="preserve">Първичната крайна точка за ефикасност, промяна в нормализираното </w:t>
      </w:r>
      <w:r w:rsidRPr="000C7A06">
        <w:rPr>
          <w:rFonts w:eastAsia="Times New Roman" w:cs="Arial"/>
          <w:color w:val="000000"/>
          <w:lang w:val="ru-RU"/>
        </w:rPr>
        <w:t>„</w:t>
      </w:r>
      <w:r w:rsidRPr="000C7A06">
        <w:rPr>
          <w:rFonts w:eastAsia="Times New Roman" w:cs="Arial"/>
          <w:color w:val="000000"/>
          <w:lang w:val="en-US"/>
        </w:rPr>
        <w:t>Off</w:t>
      </w:r>
      <w:r w:rsidRPr="000C7A06">
        <w:rPr>
          <w:rFonts w:eastAsia="Times New Roman" w:cs="Arial"/>
          <w:color w:val="000000"/>
          <w:lang w:val="ru-RU"/>
        </w:rPr>
        <w:t xml:space="preserve"> </w:t>
      </w:r>
      <w:r w:rsidRPr="000C7A06">
        <w:rPr>
          <w:rFonts w:eastAsia="Times New Roman" w:cs="Arial"/>
          <w:color w:val="000000"/>
          <w:lang w:eastAsia="bg-BG"/>
        </w:rPr>
        <w:t xml:space="preserve">‘ време (от изходно ниво до крайната точка), базирана на данни от Дневника при болестта на Паркинсон </w:t>
      </w:r>
      <w:r w:rsidRPr="000C7A06">
        <w:rPr>
          <w:rFonts w:eastAsia="Times New Roman" w:cs="Arial"/>
          <w:color w:val="000000"/>
          <w:lang w:val="ru-RU"/>
        </w:rPr>
        <w:t>(</w:t>
      </w:r>
      <w:r w:rsidRPr="000C7A06">
        <w:rPr>
          <w:rFonts w:eastAsia="Times New Roman" w:cs="Arial"/>
          <w:color w:val="000000"/>
          <w:lang w:val="en-US"/>
        </w:rPr>
        <w:t>Parkinson</w:t>
      </w:r>
      <w:r w:rsidRPr="000C7A06">
        <w:rPr>
          <w:rFonts w:eastAsia="Times New Roman" w:cs="Arial"/>
          <w:color w:val="000000"/>
          <w:lang w:val="ru-RU"/>
        </w:rPr>
        <w:t>’</w:t>
      </w:r>
      <w:r w:rsidRPr="000C7A06">
        <w:rPr>
          <w:rFonts w:eastAsia="Times New Roman" w:cs="Arial"/>
          <w:color w:val="000000"/>
          <w:lang w:val="en-US"/>
        </w:rPr>
        <w:t>s</w:t>
      </w:r>
      <w:r w:rsidRPr="000C7A06">
        <w:rPr>
          <w:rFonts w:eastAsia="Times New Roman" w:cs="Arial"/>
          <w:color w:val="000000"/>
          <w:lang w:val="ru-RU"/>
        </w:rPr>
        <w:t xml:space="preserve"> </w:t>
      </w:r>
      <w:r w:rsidRPr="000C7A06">
        <w:rPr>
          <w:rFonts w:eastAsia="Times New Roman" w:cs="Arial"/>
          <w:color w:val="000000"/>
          <w:lang w:val="en-US"/>
        </w:rPr>
        <w:t>Disease</w:t>
      </w:r>
      <w:r w:rsidRPr="000C7A06">
        <w:rPr>
          <w:rFonts w:eastAsia="Times New Roman" w:cs="Arial"/>
          <w:color w:val="000000"/>
          <w:lang w:val="ru-RU"/>
        </w:rPr>
        <w:t xml:space="preserve"> </w:t>
      </w:r>
      <w:r w:rsidRPr="000C7A06">
        <w:rPr>
          <w:rFonts w:eastAsia="Times New Roman" w:cs="Arial"/>
          <w:color w:val="000000"/>
          <w:lang w:val="en-US"/>
        </w:rPr>
        <w:t>Diary</w:t>
      </w:r>
      <w:r w:rsidRPr="000C7A06">
        <w:rPr>
          <w:rFonts w:eastAsia="Times New Roman" w:cs="Arial"/>
          <w:color w:val="000000"/>
          <w:vertAlign w:val="superscript"/>
          <w:lang w:val="ru-RU"/>
        </w:rPr>
        <w:t>©</w:t>
      </w:r>
      <w:r w:rsidRPr="000C7A06">
        <w:rPr>
          <w:rFonts w:eastAsia="Times New Roman" w:cs="Arial"/>
          <w:color w:val="000000"/>
          <w:lang w:eastAsia="bg-BG"/>
        </w:rPr>
        <w:t xml:space="preserve">) и при използване на последното наблюдение показва статистически значима средна разлика в най-малките квадрати </w:t>
      </w:r>
      <w:r w:rsidRPr="000C7A06">
        <w:rPr>
          <w:rFonts w:eastAsia="Times New Roman" w:cs="Arial"/>
          <w:color w:val="000000"/>
          <w:lang w:val="ru-RU"/>
        </w:rPr>
        <w:t>(</w:t>
      </w:r>
      <w:r w:rsidRPr="000C7A06">
        <w:rPr>
          <w:rFonts w:eastAsia="Times New Roman" w:cs="Arial"/>
          <w:color w:val="000000"/>
          <w:lang w:val="en-US"/>
        </w:rPr>
        <w:t>LS</w:t>
      </w:r>
      <w:r w:rsidRPr="000C7A06">
        <w:rPr>
          <w:rFonts w:eastAsia="Times New Roman" w:cs="Arial"/>
          <w:color w:val="000000"/>
          <w:lang w:val="ru-RU"/>
        </w:rPr>
        <w:t xml:space="preserve">) </w:t>
      </w:r>
      <w:r w:rsidRPr="000C7A06">
        <w:rPr>
          <w:rFonts w:eastAsia="Times New Roman" w:cs="Arial"/>
          <w:color w:val="000000"/>
          <w:lang w:eastAsia="bg-BG"/>
        </w:rPr>
        <w:t>в полза на групата на лечение с Дуодопа (Таблица 3).</w:t>
      </w:r>
    </w:p>
    <w:p w14:paraId="04E1C114" w14:textId="77777777" w:rsidR="000C7A06" w:rsidRPr="000C7A06" w:rsidRDefault="000C7A06" w:rsidP="000C7A06">
      <w:pPr>
        <w:spacing w:line="240" w:lineRule="auto"/>
        <w:rPr>
          <w:rFonts w:eastAsia="Times New Roman" w:cs="Arial"/>
          <w:color w:val="000000"/>
          <w:lang w:eastAsia="bg-BG"/>
        </w:rPr>
      </w:pPr>
    </w:p>
    <w:p w14:paraId="432068E0" w14:textId="34784452"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 xml:space="preserve">Резултатите от първичните крайни точки са подкрепени с анализ чрез смесен модел на многократни измервания </w:t>
      </w:r>
      <w:r w:rsidRPr="000C7A06">
        <w:rPr>
          <w:rFonts w:eastAsia="Times New Roman" w:cs="Arial"/>
          <w:color w:val="000000"/>
          <w:lang w:val="ru-RU"/>
        </w:rPr>
        <w:t>(</w:t>
      </w:r>
      <w:r w:rsidRPr="000C7A06">
        <w:rPr>
          <w:rFonts w:eastAsia="Times New Roman" w:cs="Arial"/>
          <w:color w:val="000000"/>
          <w:lang w:val="en-US"/>
        </w:rPr>
        <w:t>Mixed</w:t>
      </w:r>
      <w:r w:rsidRPr="000C7A06">
        <w:rPr>
          <w:rFonts w:eastAsia="Times New Roman" w:cs="Arial"/>
          <w:color w:val="000000"/>
          <w:lang w:val="ru-RU"/>
        </w:rPr>
        <w:t xml:space="preserve"> </w:t>
      </w:r>
      <w:r w:rsidRPr="000C7A06">
        <w:rPr>
          <w:rFonts w:eastAsia="Times New Roman" w:cs="Arial"/>
          <w:color w:val="000000"/>
          <w:lang w:val="en-US"/>
        </w:rPr>
        <w:t>Model</w:t>
      </w:r>
      <w:r w:rsidRPr="000C7A06">
        <w:rPr>
          <w:rFonts w:eastAsia="Times New Roman" w:cs="Arial"/>
          <w:color w:val="000000"/>
          <w:lang w:val="ru-RU"/>
        </w:rPr>
        <w:t xml:space="preserve"> </w:t>
      </w:r>
      <w:r w:rsidRPr="000C7A06">
        <w:rPr>
          <w:rFonts w:eastAsia="Times New Roman" w:cs="Arial"/>
          <w:color w:val="000000"/>
          <w:lang w:val="en-US"/>
        </w:rPr>
        <w:t>Repeated</w:t>
      </w:r>
      <w:r w:rsidRPr="000C7A06">
        <w:rPr>
          <w:rFonts w:eastAsia="Times New Roman" w:cs="Arial"/>
          <w:color w:val="000000"/>
          <w:lang w:val="ru-RU"/>
        </w:rPr>
        <w:t xml:space="preserve"> </w:t>
      </w:r>
      <w:r w:rsidRPr="000C7A06">
        <w:rPr>
          <w:rFonts w:eastAsia="Times New Roman" w:cs="Arial"/>
          <w:color w:val="000000"/>
          <w:lang w:val="en-US"/>
        </w:rPr>
        <w:t>Measures</w:t>
      </w:r>
      <w:r w:rsidRPr="000C7A06">
        <w:rPr>
          <w:rFonts w:eastAsia="Times New Roman" w:cs="Arial"/>
          <w:color w:val="000000"/>
          <w:lang w:val="ru-RU"/>
        </w:rPr>
        <w:t xml:space="preserve"> - </w:t>
      </w:r>
      <w:r w:rsidRPr="000C7A06">
        <w:rPr>
          <w:rFonts w:eastAsia="Times New Roman" w:cs="Arial"/>
          <w:color w:val="000000"/>
          <w:lang w:val="en-US"/>
        </w:rPr>
        <w:t>MMRM</w:t>
      </w:r>
      <w:r w:rsidRPr="000C7A06">
        <w:rPr>
          <w:rFonts w:eastAsia="Times New Roman" w:cs="Arial"/>
          <w:color w:val="000000"/>
          <w:lang w:val="ru-RU"/>
        </w:rPr>
        <w:t xml:space="preserve">), </w:t>
      </w:r>
      <w:r w:rsidRPr="000C7A06">
        <w:rPr>
          <w:rFonts w:eastAsia="Times New Roman" w:cs="Arial"/>
          <w:color w:val="000000"/>
          <w:lang w:eastAsia="bg-BG"/>
        </w:rPr>
        <w:t xml:space="preserve">който изследва промяната от изходното ниво до всяко посещение в проучването след изходното ниво. Този анализ на </w:t>
      </w:r>
      <w:r w:rsidRPr="000C7A06">
        <w:rPr>
          <w:rFonts w:eastAsia="Times New Roman" w:cs="Arial"/>
          <w:color w:val="000000"/>
          <w:lang w:val="ru-RU"/>
        </w:rPr>
        <w:t>„</w:t>
      </w:r>
      <w:r w:rsidRPr="000C7A06">
        <w:rPr>
          <w:rFonts w:eastAsia="Times New Roman" w:cs="Arial"/>
          <w:color w:val="000000"/>
          <w:lang w:val="en-US"/>
        </w:rPr>
        <w:t>Off</w:t>
      </w:r>
      <w:r w:rsidRPr="000C7A06">
        <w:rPr>
          <w:rFonts w:eastAsia="Times New Roman" w:cs="Arial"/>
          <w:color w:val="000000"/>
          <w:lang w:eastAsia="bg-BG"/>
        </w:rPr>
        <w:t xml:space="preserve">‘ времето показва статистически значимо по-голямо подобрение в групата с Дуодопа в сравнение с групата с перорален прием на </w:t>
      </w:r>
      <w:r w:rsidRPr="000C7A06">
        <w:rPr>
          <w:rFonts w:eastAsia="Times New Roman" w:cs="Arial"/>
          <w:color w:val="000000"/>
          <w:lang w:val="en-US"/>
        </w:rPr>
        <w:t>LC</w:t>
      </w:r>
      <w:r w:rsidRPr="000C7A06">
        <w:rPr>
          <w:rFonts w:eastAsia="Times New Roman" w:cs="Arial"/>
          <w:color w:val="000000"/>
          <w:lang w:val="ru-RU"/>
        </w:rPr>
        <w:t xml:space="preserve"> </w:t>
      </w:r>
      <w:r w:rsidRPr="000C7A06">
        <w:rPr>
          <w:rFonts w:eastAsia="Times New Roman" w:cs="Arial"/>
          <w:color w:val="000000"/>
          <w:lang w:eastAsia="bg-BG"/>
        </w:rPr>
        <w:t>на седмица 4 и е доказано, че това подобрение е статистически значимо на седмици 8, 10 и 12.</w:t>
      </w:r>
    </w:p>
    <w:p w14:paraId="44AD3632" w14:textId="77777777" w:rsidR="000C7A06" w:rsidRPr="000C7A06" w:rsidRDefault="000C7A06" w:rsidP="000C7A06">
      <w:pPr>
        <w:spacing w:line="240" w:lineRule="auto"/>
        <w:rPr>
          <w:rFonts w:eastAsia="Times New Roman" w:cs="Arial"/>
          <w:color w:val="000000"/>
          <w:lang w:eastAsia="bg-BG"/>
        </w:rPr>
      </w:pPr>
    </w:p>
    <w:p w14:paraId="4D64231B" w14:textId="63B8D416"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 xml:space="preserve">Тази промяна в </w:t>
      </w:r>
      <w:r w:rsidRPr="000C7A06">
        <w:rPr>
          <w:rFonts w:eastAsia="Times New Roman" w:cs="Arial"/>
          <w:color w:val="000000"/>
          <w:lang w:val="ru-RU"/>
        </w:rPr>
        <w:t>„</w:t>
      </w:r>
      <w:r w:rsidRPr="000C7A06">
        <w:rPr>
          <w:rFonts w:eastAsia="Times New Roman" w:cs="Arial"/>
          <w:color w:val="000000"/>
          <w:lang w:val="en-US"/>
        </w:rPr>
        <w:t>Off</w:t>
      </w:r>
      <w:r w:rsidRPr="000C7A06">
        <w:rPr>
          <w:rFonts w:eastAsia="Times New Roman" w:cs="Arial"/>
          <w:color w:val="000000"/>
          <w:lang w:eastAsia="bg-BG"/>
        </w:rPr>
        <w:t xml:space="preserve">‘ времето е свързана със статистически значима средна разлика на </w:t>
      </w:r>
      <w:r w:rsidRPr="000C7A06">
        <w:rPr>
          <w:rFonts w:eastAsia="Times New Roman" w:cs="Arial"/>
          <w:color w:val="000000"/>
          <w:lang w:val="en-US"/>
        </w:rPr>
        <w:t>LS</w:t>
      </w:r>
      <w:r w:rsidRPr="000C7A06">
        <w:rPr>
          <w:rFonts w:eastAsia="Times New Roman" w:cs="Arial"/>
          <w:color w:val="000000"/>
          <w:lang w:val="ru-RU"/>
        </w:rPr>
        <w:t xml:space="preserve"> </w:t>
      </w:r>
      <w:r w:rsidRPr="000C7A06">
        <w:rPr>
          <w:rFonts w:eastAsia="Times New Roman" w:cs="Arial"/>
          <w:color w:val="000000"/>
          <w:lang w:eastAsia="bg-BG"/>
        </w:rPr>
        <w:t>от изходното ниво на средното дневно нормализирано „Оп“ време без проблемни дискинезии между групата на лечение с Дуодопа и групата за активен контрол, според данните от Дневника при болестта на Паркинсон. Изходните стойности са събирани три дни преди рандомизацията и 28 дни след стандартизирането на пероралната терапия.</w:t>
      </w:r>
    </w:p>
    <w:p w14:paraId="7F1FA70A" w14:textId="4404ECB6" w:rsidR="000C7A06" w:rsidRPr="000C7A06" w:rsidRDefault="000C7A06" w:rsidP="000C7A06">
      <w:pPr>
        <w:spacing w:line="240" w:lineRule="auto"/>
        <w:rPr>
          <w:rFonts w:eastAsia="Times New Roman" w:cs="Arial"/>
          <w:sz w:val="24"/>
          <w:szCs w:val="24"/>
        </w:rPr>
      </w:pPr>
    </w:p>
    <w:p w14:paraId="4F4EE62F" w14:textId="77777777" w:rsidR="000C7A06" w:rsidRPr="000C7A06" w:rsidRDefault="000C7A06" w:rsidP="000C7A06">
      <w:pPr>
        <w:spacing w:line="240" w:lineRule="auto"/>
        <w:rPr>
          <w:rFonts w:eastAsia="Times New Roman" w:cs="Arial"/>
          <w:sz w:val="24"/>
          <w:szCs w:val="24"/>
        </w:rPr>
      </w:pPr>
      <w:r w:rsidRPr="000C7A06">
        <w:rPr>
          <w:rFonts w:eastAsia="Times New Roman" w:cs="Arial"/>
          <w:b/>
          <w:bCs/>
          <w:color w:val="000000"/>
          <w:lang w:eastAsia="bg-BG"/>
        </w:rPr>
        <w:t xml:space="preserve">Таблица 3. Промяна на </w:t>
      </w:r>
      <w:r w:rsidRPr="000C7A06">
        <w:rPr>
          <w:rFonts w:eastAsia="Times New Roman" w:cs="Arial"/>
          <w:b/>
          <w:bCs/>
          <w:color w:val="000000"/>
          <w:lang w:val="ru-RU"/>
        </w:rPr>
        <w:t>„</w:t>
      </w:r>
      <w:r w:rsidRPr="000C7A06">
        <w:rPr>
          <w:rFonts w:eastAsia="Times New Roman" w:cs="Arial"/>
          <w:b/>
          <w:bCs/>
          <w:color w:val="000000"/>
          <w:lang w:val="en-US"/>
        </w:rPr>
        <w:t>Off</w:t>
      </w:r>
      <w:r w:rsidRPr="000C7A06">
        <w:rPr>
          <w:rFonts w:eastAsia="Times New Roman" w:cs="Arial"/>
          <w:b/>
          <w:bCs/>
          <w:color w:val="000000"/>
          <w:lang w:val="ru-RU"/>
        </w:rPr>
        <w:t xml:space="preserve">“ </w:t>
      </w:r>
      <w:r w:rsidRPr="000C7A06">
        <w:rPr>
          <w:rFonts w:eastAsia="Times New Roman" w:cs="Arial"/>
          <w:b/>
          <w:bCs/>
          <w:color w:val="000000"/>
          <w:lang w:eastAsia="bg-BG"/>
        </w:rPr>
        <w:t>времето и „Оп“ времето без проблемна дискинезия от изходното ниво до крайната точка</w:t>
      </w:r>
    </w:p>
    <w:tbl>
      <w:tblPr>
        <w:tblStyle w:val="TableGrid"/>
        <w:tblW w:w="0" w:type="auto"/>
        <w:tblLook w:val="04A0" w:firstRow="1" w:lastRow="0" w:firstColumn="1" w:lastColumn="0" w:noHBand="0" w:noVBand="1"/>
      </w:tblPr>
      <w:tblGrid>
        <w:gridCol w:w="1461"/>
        <w:gridCol w:w="1177"/>
        <w:gridCol w:w="1336"/>
        <w:gridCol w:w="1318"/>
        <w:gridCol w:w="1395"/>
        <w:gridCol w:w="1357"/>
        <w:gridCol w:w="1306"/>
      </w:tblGrid>
      <w:tr w:rsidR="000C7A06" w14:paraId="50A47D19" w14:textId="77777777" w:rsidTr="000C7A06">
        <w:tc>
          <w:tcPr>
            <w:tcW w:w="1495" w:type="dxa"/>
          </w:tcPr>
          <w:p w14:paraId="1829F34D" w14:textId="176A2E08" w:rsidR="000C7A06" w:rsidRDefault="000C7A06" w:rsidP="000C7A06">
            <w:r>
              <w:rPr>
                <w:b/>
                <w:bCs/>
              </w:rPr>
              <w:t>Група на лечение</w:t>
            </w:r>
          </w:p>
        </w:tc>
        <w:tc>
          <w:tcPr>
            <w:tcW w:w="1283" w:type="dxa"/>
          </w:tcPr>
          <w:p w14:paraId="1C678EF1" w14:textId="5F74A0E0" w:rsidR="000C7A06" w:rsidRDefault="000C7A06" w:rsidP="000C7A06">
            <w:r>
              <w:rPr>
                <w:b/>
                <w:bCs/>
                <w:lang w:val="en-US"/>
              </w:rPr>
              <w:t>N</w:t>
            </w:r>
          </w:p>
        </w:tc>
        <w:tc>
          <w:tcPr>
            <w:tcW w:w="1353" w:type="dxa"/>
          </w:tcPr>
          <w:p w14:paraId="4BE36F58" w14:textId="184CA584" w:rsidR="000C7A06" w:rsidRDefault="000C7A06" w:rsidP="000C7A06">
            <w:r>
              <w:rPr>
                <w:b/>
                <w:bCs/>
              </w:rPr>
              <w:t xml:space="preserve">Изходно средно </w:t>
            </w:r>
            <w:r>
              <w:rPr>
                <w:b/>
                <w:bCs/>
                <w:lang w:val="en-US"/>
              </w:rPr>
              <w:t xml:space="preserve">(SD) </w:t>
            </w:r>
            <w:r>
              <w:rPr>
                <w:b/>
                <w:bCs/>
              </w:rPr>
              <w:t>(часове)</w:t>
            </w:r>
          </w:p>
        </w:tc>
        <w:tc>
          <w:tcPr>
            <w:tcW w:w="1346" w:type="dxa"/>
          </w:tcPr>
          <w:p w14:paraId="6F335ADB" w14:textId="4F768142" w:rsidR="000C7A06" w:rsidRDefault="000C7A06" w:rsidP="000C7A06">
            <w:r>
              <w:rPr>
                <w:b/>
                <w:bCs/>
              </w:rPr>
              <w:t xml:space="preserve">Крайна точка </w:t>
            </w:r>
            <w:r>
              <w:rPr>
                <w:b/>
                <w:bCs/>
                <w:lang w:val="en-US"/>
              </w:rPr>
              <w:t xml:space="preserve">(SD) </w:t>
            </w:r>
            <w:r>
              <w:rPr>
                <w:b/>
                <w:bCs/>
              </w:rPr>
              <w:t>(часове)</w:t>
            </w:r>
          </w:p>
        </w:tc>
        <w:tc>
          <w:tcPr>
            <w:tcW w:w="1395" w:type="dxa"/>
          </w:tcPr>
          <w:p w14:paraId="2031863C" w14:textId="1049A5AF" w:rsidR="000C7A06" w:rsidRDefault="000C7A06" w:rsidP="000C7A06">
            <w:r>
              <w:rPr>
                <w:b/>
                <w:bCs/>
              </w:rPr>
              <w:t xml:space="preserve">Средни </w:t>
            </w:r>
            <w:r>
              <w:rPr>
                <w:b/>
                <w:bCs/>
                <w:lang w:val="en-US"/>
              </w:rPr>
              <w:t>LS</w:t>
            </w:r>
            <w:r w:rsidRPr="000C7A06">
              <w:rPr>
                <w:b/>
                <w:bCs/>
                <w:lang w:val="ru-RU"/>
              </w:rPr>
              <w:t xml:space="preserve"> (</w:t>
            </w:r>
            <w:r>
              <w:rPr>
                <w:b/>
                <w:bCs/>
                <w:lang w:val="en-US"/>
              </w:rPr>
              <w:t>SE</w:t>
            </w:r>
            <w:r w:rsidRPr="000C7A06">
              <w:rPr>
                <w:b/>
                <w:bCs/>
                <w:lang w:val="ru-RU"/>
              </w:rPr>
              <w:t xml:space="preserve">) </w:t>
            </w:r>
            <w:r>
              <w:rPr>
                <w:b/>
                <w:bCs/>
              </w:rPr>
              <w:t>на промяната (часове)</w:t>
            </w:r>
          </w:p>
        </w:tc>
        <w:tc>
          <w:tcPr>
            <w:tcW w:w="1363" w:type="dxa"/>
          </w:tcPr>
          <w:p w14:paraId="26F77D3F" w14:textId="7465E2D8" w:rsidR="000C7A06" w:rsidRDefault="000C7A06" w:rsidP="000C7A06">
            <w:r>
              <w:rPr>
                <w:b/>
                <w:bCs/>
              </w:rPr>
              <w:t xml:space="preserve">Средни </w:t>
            </w:r>
            <w:r>
              <w:rPr>
                <w:b/>
                <w:bCs/>
                <w:lang w:val="en-US"/>
              </w:rPr>
              <w:t>LS</w:t>
            </w:r>
            <w:r w:rsidRPr="000C7A06">
              <w:rPr>
                <w:b/>
                <w:bCs/>
                <w:lang w:val="ru-RU"/>
              </w:rPr>
              <w:t xml:space="preserve"> (</w:t>
            </w:r>
            <w:r>
              <w:rPr>
                <w:b/>
                <w:bCs/>
                <w:lang w:val="en-US"/>
              </w:rPr>
              <w:t>SE</w:t>
            </w:r>
            <w:r w:rsidRPr="000C7A06">
              <w:rPr>
                <w:b/>
                <w:bCs/>
                <w:lang w:val="ru-RU"/>
              </w:rPr>
              <w:t xml:space="preserve">) </w:t>
            </w:r>
            <w:r>
              <w:rPr>
                <w:b/>
                <w:bCs/>
              </w:rPr>
              <w:t>на разликата (часове)</w:t>
            </w:r>
          </w:p>
        </w:tc>
        <w:tc>
          <w:tcPr>
            <w:tcW w:w="1341" w:type="dxa"/>
          </w:tcPr>
          <w:p w14:paraId="7F8C9E5E" w14:textId="03BC621F" w:rsidR="000C7A06" w:rsidRDefault="000C7A06" w:rsidP="000C7A06">
            <w:r>
              <w:rPr>
                <w:b/>
                <w:bCs/>
                <w:i/>
                <w:iCs/>
              </w:rPr>
              <w:t xml:space="preserve">Р стойно </w:t>
            </w:r>
            <w:r>
              <w:rPr>
                <w:b/>
                <w:bCs/>
                <w:i/>
                <w:iCs/>
                <w:lang w:val="en-US"/>
              </w:rPr>
              <w:t>cm</w:t>
            </w:r>
          </w:p>
        </w:tc>
      </w:tr>
      <w:tr w:rsidR="000C7A06" w14:paraId="5504674C" w14:textId="77777777" w:rsidTr="00ED400F">
        <w:tc>
          <w:tcPr>
            <w:tcW w:w="9576" w:type="dxa"/>
            <w:gridSpan w:val="7"/>
          </w:tcPr>
          <w:p w14:paraId="3DCBF861" w14:textId="34EF4060" w:rsidR="000C7A06" w:rsidRPr="000C7A06" w:rsidRDefault="000C7A06" w:rsidP="000C7A06">
            <w:pPr>
              <w:jc w:val="center"/>
              <w:rPr>
                <w:b/>
              </w:rPr>
            </w:pPr>
            <w:r w:rsidRPr="000C7A06">
              <w:rPr>
                <w:b/>
                <w:lang w:eastAsia="bg-BG"/>
              </w:rPr>
              <w:t>Първично измерване</w:t>
            </w:r>
          </w:p>
        </w:tc>
      </w:tr>
      <w:tr w:rsidR="000C7A06" w14:paraId="472E2152" w14:textId="77777777" w:rsidTr="00011B25">
        <w:tc>
          <w:tcPr>
            <w:tcW w:w="9576" w:type="dxa"/>
            <w:gridSpan w:val="7"/>
            <w:vAlign w:val="bottom"/>
          </w:tcPr>
          <w:p w14:paraId="79658862" w14:textId="194E3149" w:rsidR="000C7A06" w:rsidRDefault="000C7A06" w:rsidP="000C7A06">
            <w:r>
              <w:rPr>
                <w:b/>
                <w:bCs/>
                <w:lang w:val="en-US"/>
              </w:rPr>
              <w:t xml:space="preserve">„Off“ </w:t>
            </w:r>
            <w:r>
              <w:rPr>
                <w:b/>
                <w:bCs/>
              </w:rPr>
              <w:t>време</w:t>
            </w:r>
          </w:p>
        </w:tc>
      </w:tr>
      <w:tr w:rsidR="000C7A06" w14:paraId="3961E395" w14:textId="77777777" w:rsidTr="000C7A06">
        <w:tc>
          <w:tcPr>
            <w:tcW w:w="1495" w:type="dxa"/>
          </w:tcPr>
          <w:p w14:paraId="4FC11B3C" w14:textId="20639639" w:rsidR="000C7A06" w:rsidRDefault="000C7A06" w:rsidP="000C7A06">
            <w:r>
              <w:t>Активна контрола</w:t>
            </w:r>
            <w:r>
              <w:rPr>
                <w:vertAlign w:val="superscript"/>
              </w:rPr>
              <w:t>а</w:t>
            </w:r>
          </w:p>
        </w:tc>
        <w:tc>
          <w:tcPr>
            <w:tcW w:w="1283" w:type="dxa"/>
          </w:tcPr>
          <w:p w14:paraId="3E3E9B79" w14:textId="36ADD16B" w:rsidR="000C7A06" w:rsidRDefault="000C7A06" w:rsidP="000C7A06">
            <w:r>
              <w:t>31</w:t>
            </w:r>
          </w:p>
        </w:tc>
        <w:tc>
          <w:tcPr>
            <w:tcW w:w="1353" w:type="dxa"/>
          </w:tcPr>
          <w:p w14:paraId="02DF4029" w14:textId="4547C957" w:rsidR="000C7A06" w:rsidRDefault="000C7A06" w:rsidP="000C7A06">
            <w:r>
              <w:t>6,90 (2,06)</w:t>
            </w:r>
          </w:p>
        </w:tc>
        <w:tc>
          <w:tcPr>
            <w:tcW w:w="1346" w:type="dxa"/>
          </w:tcPr>
          <w:p w14:paraId="62B6466F" w14:textId="1EA04090" w:rsidR="000C7A06" w:rsidRDefault="000C7A06" w:rsidP="000C7A06">
            <w:r>
              <w:t>4,95</w:t>
            </w:r>
          </w:p>
          <w:p w14:paraId="49AD1825" w14:textId="05A33F0B" w:rsidR="000C7A06" w:rsidRDefault="000C7A06" w:rsidP="000C7A06">
            <w:r>
              <w:t>(2,04)</w:t>
            </w:r>
          </w:p>
        </w:tc>
        <w:tc>
          <w:tcPr>
            <w:tcW w:w="1395" w:type="dxa"/>
          </w:tcPr>
          <w:p w14:paraId="10842694" w14:textId="28F8D811" w:rsidR="000C7A06" w:rsidRDefault="000C7A06" w:rsidP="000C7A06">
            <w:r>
              <w:t>-2,14(0,66)</w:t>
            </w:r>
          </w:p>
        </w:tc>
        <w:tc>
          <w:tcPr>
            <w:tcW w:w="1363" w:type="dxa"/>
          </w:tcPr>
          <w:p w14:paraId="38C8ABCC" w14:textId="77777777" w:rsidR="000C7A06" w:rsidRDefault="000C7A06" w:rsidP="000C7A06"/>
        </w:tc>
        <w:tc>
          <w:tcPr>
            <w:tcW w:w="1341" w:type="dxa"/>
          </w:tcPr>
          <w:p w14:paraId="05737526" w14:textId="77777777" w:rsidR="000C7A06" w:rsidRDefault="000C7A06" w:rsidP="000C7A06"/>
        </w:tc>
      </w:tr>
      <w:tr w:rsidR="000C7A06" w14:paraId="414D09A2" w14:textId="77777777" w:rsidTr="000C7A06">
        <w:tc>
          <w:tcPr>
            <w:tcW w:w="1495" w:type="dxa"/>
          </w:tcPr>
          <w:p w14:paraId="7B64AE7B" w14:textId="6D85D8EB" w:rsidR="000C7A06" w:rsidRDefault="000C7A06" w:rsidP="000C7A06">
            <w:r>
              <w:t>Дуодопа</w:t>
            </w:r>
          </w:p>
        </w:tc>
        <w:tc>
          <w:tcPr>
            <w:tcW w:w="1283" w:type="dxa"/>
          </w:tcPr>
          <w:p w14:paraId="60869F57" w14:textId="42DF99EB" w:rsidR="000C7A06" w:rsidRDefault="000C7A06" w:rsidP="000C7A06">
            <w:r>
              <w:t>35</w:t>
            </w:r>
          </w:p>
        </w:tc>
        <w:tc>
          <w:tcPr>
            <w:tcW w:w="1353" w:type="dxa"/>
          </w:tcPr>
          <w:p w14:paraId="279BB3C9" w14:textId="1720B19A" w:rsidR="000C7A06" w:rsidRDefault="000C7A06" w:rsidP="000C7A06">
            <w:r>
              <w:t>6,32(1,72)</w:t>
            </w:r>
          </w:p>
        </w:tc>
        <w:tc>
          <w:tcPr>
            <w:tcW w:w="1346" w:type="dxa"/>
            <w:vAlign w:val="bottom"/>
          </w:tcPr>
          <w:p w14:paraId="1B4CDE12" w14:textId="5C4A23A1" w:rsidR="000C7A06" w:rsidRDefault="000C7A06" w:rsidP="000C7A06">
            <w:r>
              <w:t>3,05 (2,52)</w:t>
            </w:r>
          </w:p>
        </w:tc>
        <w:tc>
          <w:tcPr>
            <w:tcW w:w="1395" w:type="dxa"/>
          </w:tcPr>
          <w:p w14:paraId="6EF006EB" w14:textId="2345CAA8" w:rsidR="000C7A06" w:rsidRDefault="000C7A06" w:rsidP="000C7A06">
            <w:r>
              <w:t>-4,04 (0,65)</w:t>
            </w:r>
          </w:p>
        </w:tc>
        <w:tc>
          <w:tcPr>
            <w:tcW w:w="1363" w:type="dxa"/>
          </w:tcPr>
          <w:p w14:paraId="09464FEC" w14:textId="477C497A" w:rsidR="000C7A06" w:rsidRDefault="000C7A06" w:rsidP="000C7A06">
            <w:r>
              <w:t>-1,91 (0,57)</w:t>
            </w:r>
          </w:p>
        </w:tc>
        <w:tc>
          <w:tcPr>
            <w:tcW w:w="1341" w:type="dxa"/>
          </w:tcPr>
          <w:p w14:paraId="6974CF99" w14:textId="061B9AE0" w:rsidR="000C7A06" w:rsidRDefault="000C7A06" w:rsidP="000C7A06">
            <w:r>
              <w:t>0,0015</w:t>
            </w:r>
          </w:p>
        </w:tc>
      </w:tr>
      <w:tr w:rsidR="000C7A06" w14:paraId="67F59B4E" w14:textId="77777777" w:rsidTr="00FF1AC1">
        <w:tc>
          <w:tcPr>
            <w:tcW w:w="9576" w:type="dxa"/>
            <w:gridSpan w:val="7"/>
          </w:tcPr>
          <w:p w14:paraId="7DF62BA7" w14:textId="20644B3B" w:rsidR="000C7A06" w:rsidRPr="000C7A06" w:rsidRDefault="000C7A06" w:rsidP="000C7A06">
            <w:pPr>
              <w:jc w:val="center"/>
              <w:rPr>
                <w:b/>
              </w:rPr>
            </w:pPr>
            <w:r w:rsidRPr="000C7A06">
              <w:rPr>
                <w:b/>
                <w:lang w:eastAsia="bg-BG"/>
              </w:rPr>
              <w:t>Вторично измерване</w:t>
            </w:r>
          </w:p>
        </w:tc>
      </w:tr>
      <w:tr w:rsidR="000C7A06" w14:paraId="69F80605" w14:textId="77777777" w:rsidTr="009E4387">
        <w:tc>
          <w:tcPr>
            <w:tcW w:w="9576" w:type="dxa"/>
            <w:gridSpan w:val="7"/>
            <w:vAlign w:val="bottom"/>
          </w:tcPr>
          <w:p w14:paraId="744DDBD9" w14:textId="49779BA8" w:rsidR="000C7A06" w:rsidRDefault="000C7A06" w:rsidP="000C7A06">
            <w:r>
              <w:rPr>
                <w:b/>
                <w:bCs/>
              </w:rPr>
              <w:t>„Оп“ време без проблемни дискинезии</w:t>
            </w:r>
          </w:p>
        </w:tc>
      </w:tr>
      <w:tr w:rsidR="000C7A06" w14:paraId="254F0999" w14:textId="77777777" w:rsidTr="000C7A06">
        <w:tc>
          <w:tcPr>
            <w:tcW w:w="1495" w:type="dxa"/>
            <w:vAlign w:val="bottom"/>
          </w:tcPr>
          <w:p w14:paraId="6B0BE71F" w14:textId="3450ACF7" w:rsidR="000C7A06" w:rsidRDefault="000C7A06" w:rsidP="000C7A06">
            <w:r>
              <w:t>Активна контрола</w:t>
            </w:r>
          </w:p>
        </w:tc>
        <w:tc>
          <w:tcPr>
            <w:tcW w:w="1283" w:type="dxa"/>
            <w:vAlign w:val="bottom"/>
          </w:tcPr>
          <w:p w14:paraId="42AE9363" w14:textId="160843D8" w:rsidR="000C7A06" w:rsidRDefault="000C7A06" w:rsidP="000C7A06">
            <w:r>
              <w:t>31</w:t>
            </w:r>
          </w:p>
        </w:tc>
        <w:tc>
          <w:tcPr>
            <w:tcW w:w="1353" w:type="dxa"/>
            <w:vAlign w:val="bottom"/>
          </w:tcPr>
          <w:p w14:paraId="3E591202" w14:textId="561F6D37" w:rsidR="000C7A06" w:rsidRDefault="000C7A06" w:rsidP="000C7A06">
            <w:r>
              <w:t>8,04 (2,09)</w:t>
            </w:r>
          </w:p>
        </w:tc>
        <w:tc>
          <w:tcPr>
            <w:tcW w:w="1346" w:type="dxa"/>
            <w:vAlign w:val="bottom"/>
          </w:tcPr>
          <w:p w14:paraId="61D92F8F" w14:textId="280BCBF6" w:rsidR="000C7A06" w:rsidRDefault="000C7A06" w:rsidP="000C7A06">
            <w:r>
              <w:t>9,92</w:t>
            </w:r>
          </w:p>
          <w:p w14:paraId="7A14B6C8" w14:textId="0841DD73" w:rsidR="000C7A06" w:rsidRDefault="000C7A06" w:rsidP="000C7A06">
            <w:r>
              <w:t>(2,62)</w:t>
            </w:r>
          </w:p>
        </w:tc>
        <w:tc>
          <w:tcPr>
            <w:tcW w:w="1395" w:type="dxa"/>
            <w:vAlign w:val="bottom"/>
          </w:tcPr>
          <w:p w14:paraId="07B5119E" w14:textId="393430A6" w:rsidR="000C7A06" w:rsidRDefault="000C7A06" w:rsidP="000C7A06">
            <w:r>
              <w:t>2,24 (0,76)</w:t>
            </w:r>
          </w:p>
        </w:tc>
        <w:tc>
          <w:tcPr>
            <w:tcW w:w="1363" w:type="dxa"/>
          </w:tcPr>
          <w:p w14:paraId="487190B9" w14:textId="77777777" w:rsidR="000C7A06" w:rsidRDefault="000C7A06" w:rsidP="000C7A06"/>
        </w:tc>
        <w:tc>
          <w:tcPr>
            <w:tcW w:w="1341" w:type="dxa"/>
          </w:tcPr>
          <w:p w14:paraId="47C9D722" w14:textId="77777777" w:rsidR="000C7A06" w:rsidRDefault="000C7A06" w:rsidP="000C7A06"/>
        </w:tc>
      </w:tr>
      <w:tr w:rsidR="000C7A06" w14:paraId="680E25B9" w14:textId="77777777" w:rsidTr="000C7A06">
        <w:tc>
          <w:tcPr>
            <w:tcW w:w="1495" w:type="dxa"/>
          </w:tcPr>
          <w:p w14:paraId="642FE8AE" w14:textId="223B33E3" w:rsidR="000C7A06" w:rsidRDefault="000C7A06" w:rsidP="000C7A06">
            <w:r>
              <w:t>Дуодопа</w:t>
            </w:r>
          </w:p>
        </w:tc>
        <w:tc>
          <w:tcPr>
            <w:tcW w:w="1283" w:type="dxa"/>
          </w:tcPr>
          <w:p w14:paraId="1CFE3A99" w14:textId="54424E4D" w:rsidR="000C7A06" w:rsidRDefault="000C7A06" w:rsidP="000C7A06">
            <w:r>
              <w:t>35</w:t>
            </w:r>
          </w:p>
        </w:tc>
        <w:tc>
          <w:tcPr>
            <w:tcW w:w="1353" w:type="dxa"/>
          </w:tcPr>
          <w:p w14:paraId="601ABBD3" w14:textId="0EC2BAB7" w:rsidR="000C7A06" w:rsidRDefault="000C7A06" w:rsidP="000C7A06">
            <w:r>
              <w:t>8,70 (2,01)</w:t>
            </w:r>
          </w:p>
        </w:tc>
        <w:tc>
          <w:tcPr>
            <w:tcW w:w="1346" w:type="dxa"/>
          </w:tcPr>
          <w:p w14:paraId="7CA468FD" w14:textId="5F81B0AE" w:rsidR="000C7A06" w:rsidRDefault="000C7A06" w:rsidP="000C7A06">
            <w:r>
              <w:t>11,95 (2,67)</w:t>
            </w:r>
          </w:p>
        </w:tc>
        <w:tc>
          <w:tcPr>
            <w:tcW w:w="1395" w:type="dxa"/>
          </w:tcPr>
          <w:p w14:paraId="4A5C9BDC" w14:textId="0D63F7E1" w:rsidR="000C7A06" w:rsidRDefault="000C7A06" w:rsidP="000C7A06">
            <w:r>
              <w:t>4,11 (0,75)</w:t>
            </w:r>
          </w:p>
        </w:tc>
        <w:tc>
          <w:tcPr>
            <w:tcW w:w="1363" w:type="dxa"/>
          </w:tcPr>
          <w:p w14:paraId="5DD41AC4" w14:textId="4F291F18" w:rsidR="000C7A06" w:rsidRDefault="000C7A06" w:rsidP="000C7A06">
            <w:r>
              <w:t>1,86 (0,65)</w:t>
            </w:r>
          </w:p>
        </w:tc>
        <w:tc>
          <w:tcPr>
            <w:tcW w:w="1341" w:type="dxa"/>
          </w:tcPr>
          <w:p w14:paraId="2D13B4DC" w14:textId="779AC9EF" w:rsidR="000C7A06" w:rsidRDefault="000C7A06" w:rsidP="000C7A06">
            <w:r>
              <w:t>0,0059</w:t>
            </w:r>
          </w:p>
        </w:tc>
      </w:tr>
    </w:tbl>
    <w:p w14:paraId="0ADD79E2" w14:textId="77777777" w:rsidR="000C7A06" w:rsidRPr="000C7A06" w:rsidRDefault="000C7A06" w:rsidP="000C7A06">
      <w:pPr>
        <w:spacing w:line="240" w:lineRule="auto"/>
        <w:rPr>
          <w:rFonts w:eastAsia="Times New Roman" w:cs="Arial"/>
          <w:color w:val="000000"/>
          <w:lang w:eastAsia="bg-BG"/>
        </w:rPr>
      </w:pPr>
      <w:r w:rsidRPr="000C7A06">
        <w:rPr>
          <w:rFonts w:eastAsia="Times New Roman" w:cs="Arial"/>
          <w:color w:val="000000"/>
          <w:lang w:val="en-US"/>
        </w:rPr>
        <w:t>SD</w:t>
      </w:r>
      <w:r w:rsidRPr="000C7A06">
        <w:rPr>
          <w:rFonts w:eastAsia="Times New Roman" w:cs="Arial"/>
          <w:color w:val="000000"/>
          <w:lang w:val="ru-RU"/>
        </w:rPr>
        <w:t xml:space="preserve"> - </w:t>
      </w:r>
      <w:r w:rsidRPr="000C7A06">
        <w:rPr>
          <w:rFonts w:eastAsia="Times New Roman" w:cs="Arial"/>
          <w:color w:val="000000"/>
          <w:lang w:eastAsia="bg-BG"/>
        </w:rPr>
        <w:t xml:space="preserve">стандартно отклонение; </w:t>
      </w:r>
      <w:r w:rsidRPr="000C7A06">
        <w:rPr>
          <w:rFonts w:eastAsia="Times New Roman" w:cs="Arial"/>
          <w:color w:val="000000"/>
          <w:lang w:val="en-US"/>
        </w:rPr>
        <w:t>SE</w:t>
      </w:r>
      <w:r w:rsidRPr="000C7A06">
        <w:rPr>
          <w:rFonts w:eastAsia="Times New Roman" w:cs="Arial"/>
          <w:color w:val="000000"/>
          <w:lang w:val="ru-RU"/>
        </w:rPr>
        <w:t xml:space="preserve">- </w:t>
      </w:r>
      <w:r w:rsidRPr="000C7A06">
        <w:rPr>
          <w:rFonts w:eastAsia="Times New Roman" w:cs="Arial"/>
          <w:color w:val="000000"/>
          <w:lang w:eastAsia="bg-BG"/>
        </w:rPr>
        <w:t xml:space="preserve">стандартна грешка </w:t>
      </w:r>
    </w:p>
    <w:p w14:paraId="5F0483C1" w14:textId="7DD260EE" w:rsidR="000C7A06" w:rsidRPr="000C7A06" w:rsidRDefault="000C7A06" w:rsidP="000C7A06">
      <w:pPr>
        <w:spacing w:line="240" w:lineRule="auto"/>
        <w:rPr>
          <w:rFonts w:eastAsia="Times New Roman" w:cs="Arial"/>
          <w:sz w:val="24"/>
          <w:szCs w:val="24"/>
        </w:rPr>
      </w:pPr>
      <w:r w:rsidRPr="000C7A06">
        <w:rPr>
          <w:rFonts w:eastAsia="Times New Roman" w:cs="Arial"/>
          <w:color w:val="000000"/>
          <w:vertAlign w:val="superscript"/>
          <w:lang w:eastAsia="bg-BG"/>
        </w:rPr>
        <w:t>а</w:t>
      </w:r>
      <w:r w:rsidRPr="000C7A06">
        <w:rPr>
          <w:rFonts w:eastAsia="Times New Roman" w:cs="Arial"/>
          <w:color w:val="000000"/>
          <w:lang w:eastAsia="bg-BG"/>
        </w:rPr>
        <w:t xml:space="preserve">Активна контрола, перорално приложение на леводопа/карбидопа 100/25 </w:t>
      </w:r>
      <w:r w:rsidRPr="000C7A06">
        <w:rPr>
          <w:rFonts w:eastAsia="Times New Roman" w:cs="Arial"/>
          <w:color w:val="000000"/>
          <w:lang w:val="en-US"/>
        </w:rPr>
        <w:t>mg</w:t>
      </w:r>
      <w:r w:rsidRPr="000C7A06">
        <w:rPr>
          <w:rFonts w:eastAsia="Times New Roman" w:cs="Arial"/>
          <w:color w:val="000000"/>
          <w:lang w:val="ru-RU"/>
        </w:rPr>
        <w:t xml:space="preserve"> </w:t>
      </w:r>
      <w:r w:rsidRPr="000C7A06">
        <w:rPr>
          <w:rFonts w:eastAsia="Times New Roman" w:cs="Arial"/>
          <w:color w:val="000000"/>
          <w:lang w:eastAsia="bg-BG"/>
        </w:rPr>
        <w:t>таблетки</w:t>
      </w:r>
    </w:p>
    <w:p w14:paraId="7E96E4BF" w14:textId="77777777" w:rsidR="000C7A06" w:rsidRPr="000C7A06" w:rsidRDefault="000C7A06" w:rsidP="000C7A06">
      <w:pPr>
        <w:spacing w:line="240" w:lineRule="auto"/>
        <w:rPr>
          <w:rFonts w:eastAsia="Times New Roman" w:cs="Arial"/>
          <w:color w:val="000000"/>
          <w:lang w:eastAsia="bg-BG"/>
        </w:rPr>
      </w:pPr>
    </w:p>
    <w:p w14:paraId="4B3F6B57" w14:textId="5560D34C"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 xml:space="preserve">Анализите на другите вторични крайни точки за ефикасност по реда на йерархичната процедура на тестване показват статистически значими резултати за Дуодопа в сравнение с пероралната комбинация леводопа/карбидопа според </w:t>
      </w:r>
      <w:r w:rsidRPr="000C7A06">
        <w:rPr>
          <w:rFonts w:eastAsia="Times New Roman" w:cs="Arial"/>
          <w:color w:val="000000"/>
          <w:lang w:val="en-US"/>
        </w:rPr>
        <w:t>Parkinson</w:t>
      </w:r>
      <w:r w:rsidRPr="000C7A06">
        <w:rPr>
          <w:rFonts w:eastAsia="Times New Roman" w:cs="Arial"/>
          <w:color w:val="000000"/>
        </w:rPr>
        <w:t>'</w:t>
      </w:r>
      <w:r w:rsidRPr="000C7A06">
        <w:rPr>
          <w:rFonts w:eastAsia="Times New Roman" w:cs="Arial"/>
          <w:color w:val="000000"/>
          <w:lang w:val="en-US"/>
        </w:rPr>
        <w:t>s</w:t>
      </w:r>
      <w:r w:rsidRPr="000C7A06">
        <w:rPr>
          <w:rFonts w:eastAsia="Times New Roman" w:cs="Arial"/>
          <w:color w:val="000000"/>
        </w:rPr>
        <w:t xml:space="preserve"> </w:t>
      </w:r>
      <w:r w:rsidRPr="000C7A06">
        <w:rPr>
          <w:rFonts w:eastAsia="Times New Roman" w:cs="Arial"/>
          <w:color w:val="000000"/>
          <w:lang w:val="en-US"/>
        </w:rPr>
        <w:t>Disease</w:t>
      </w:r>
      <w:r w:rsidRPr="000C7A06">
        <w:rPr>
          <w:rFonts w:eastAsia="Times New Roman" w:cs="Arial"/>
          <w:color w:val="000000"/>
        </w:rPr>
        <w:t xml:space="preserve"> </w:t>
      </w:r>
      <w:r w:rsidRPr="000C7A06">
        <w:rPr>
          <w:rFonts w:eastAsia="Times New Roman" w:cs="Arial"/>
          <w:color w:val="000000"/>
          <w:lang w:val="en-US"/>
        </w:rPr>
        <w:lastRenderedPageBreak/>
        <w:t>Questionnaire</w:t>
      </w:r>
      <w:r w:rsidRPr="000C7A06">
        <w:rPr>
          <w:rFonts w:eastAsia="Times New Roman" w:cs="Arial"/>
          <w:color w:val="000000"/>
        </w:rPr>
        <w:t xml:space="preserve"> (</w:t>
      </w:r>
      <w:r w:rsidRPr="000C7A06">
        <w:rPr>
          <w:rFonts w:eastAsia="Times New Roman" w:cs="Arial"/>
          <w:color w:val="000000"/>
          <w:lang w:val="en-US"/>
        </w:rPr>
        <w:t>PDQ</w:t>
      </w:r>
      <w:r w:rsidRPr="000C7A06">
        <w:rPr>
          <w:rFonts w:eastAsia="Times New Roman" w:cs="Arial"/>
          <w:color w:val="000000"/>
        </w:rPr>
        <w:t xml:space="preserve">-39) </w:t>
      </w:r>
      <w:r w:rsidRPr="000C7A06">
        <w:rPr>
          <w:rFonts w:eastAsia="Times New Roman" w:cs="Arial"/>
          <w:color w:val="000000"/>
          <w:lang w:val="en-US"/>
        </w:rPr>
        <w:t>Summary</w:t>
      </w:r>
      <w:r w:rsidRPr="000C7A06">
        <w:rPr>
          <w:rFonts w:eastAsia="Times New Roman" w:cs="Arial"/>
          <w:color w:val="000000"/>
        </w:rPr>
        <w:t xml:space="preserve"> </w:t>
      </w:r>
      <w:r w:rsidRPr="000C7A06">
        <w:rPr>
          <w:rFonts w:eastAsia="Times New Roman" w:cs="Arial"/>
          <w:color w:val="000000"/>
          <w:lang w:val="en-US"/>
        </w:rPr>
        <w:t>Index</w:t>
      </w:r>
      <w:r w:rsidRPr="000C7A06">
        <w:rPr>
          <w:rFonts w:eastAsia="Times New Roman" w:cs="Arial"/>
          <w:color w:val="000000"/>
        </w:rPr>
        <w:t xml:space="preserve"> </w:t>
      </w:r>
      <w:r w:rsidRPr="000C7A06">
        <w:rPr>
          <w:rFonts w:eastAsia="Times New Roman" w:cs="Arial"/>
          <w:color w:val="000000"/>
          <w:lang w:eastAsia="bg-BG"/>
        </w:rPr>
        <w:t xml:space="preserve">(индекс, свързан </w:t>
      </w:r>
      <w:r w:rsidRPr="000C7A06">
        <w:rPr>
          <w:rFonts w:eastAsia="Times New Roman" w:cs="Arial"/>
          <w:color w:val="000000"/>
          <w:lang w:val="en-US"/>
        </w:rPr>
        <w:t>c</w:t>
      </w:r>
      <w:r w:rsidRPr="000C7A06">
        <w:rPr>
          <w:rFonts w:eastAsia="Times New Roman" w:cs="Arial"/>
          <w:color w:val="000000"/>
        </w:rPr>
        <w:t xml:space="preserve"> </w:t>
      </w:r>
      <w:r w:rsidRPr="000C7A06">
        <w:rPr>
          <w:rFonts w:eastAsia="Times New Roman" w:cs="Arial"/>
          <w:color w:val="000000"/>
          <w:lang w:eastAsia="bg-BG"/>
        </w:rPr>
        <w:t xml:space="preserve">качеството на живот при при Паркинсон), скора от </w:t>
      </w:r>
      <w:r w:rsidRPr="000C7A06">
        <w:rPr>
          <w:rFonts w:eastAsia="Times New Roman" w:cs="Arial"/>
          <w:color w:val="000000"/>
          <w:lang w:val="en-US"/>
        </w:rPr>
        <w:t>Clinical</w:t>
      </w:r>
      <w:r w:rsidRPr="000C7A06">
        <w:rPr>
          <w:rFonts w:eastAsia="Times New Roman" w:cs="Arial"/>
          <w:color w:val="000000"/>
        </w:rPr>
        <w:t xml:space="preserve"> </w:t>
      </w:r>
      <w:r w:rsidRPr="000C7A06">
        <w:rPr>
          <w:rFonts w:eastAsia="Times New Roman" w:cs="Arial"/>
          <w:color w:val="000000"/>
          <w:lang w:val="en-US"/>
        </w:rPr>
        <w:t>Global</w:t>
      </w:r>
      <w:r w:rsidRPr="000C7A06">
        <w:rPr>
          <w:rFonts w:eastAsia="Times New Roman" w:cs="Arial"/>
          <w:color w:val="000000"/>
        </w:rPr>
        <w:t xml:space="preserve"> </w:t>
      </w:r>
      <w:r w:rsidRPr="000C7A06">
        <w:rPr>
          <w:rFonts w:eastAsia="Times New Roman" w:cs="Arial"/>
          <w:color w:val="000000"/>
          <w:lang w:val="en-US"/>
        </w:rPr>
        <w:t>Impression</w:t>
      </w:r>
      <w:r w:rsidRPr="000C7A06">
        <w:rPr>
          <w:rFonts w:eastAsia="Times New Roman" w:cs="Arial"/>
          <w:color w:val="000000"/>
        </w:rPr>
        <w:t xml:space="preserve"> (</w:t>
      </w:r>
      <w:r w:rsidRPr="000C7A06">
        <w:rPr>
          <w:rFonts w:eastAsia="Times New Roman" w:cs="Arial"/>
          <w:color w:val="000000"/>
          <w:lang w:val="en-US"/>
        </w:rPr>
        <w:t>CGI</w:t>
      </w:r>
      <w:r w:rsidRPr="000C7A06">
        <w:rPr>
          <w:rFonts w:eastAsia="Times New Roman" w:cs="Arial"/>
          <w:color w:val="000000"/>
        </w:rPr>
        <w:t>-</w:t>
      </w:r>
      <w:r w:rsidRPr="000C7A06">
        <w:rPr>
          <w:rFonts w:eastAsia="Times New Roman" w:cs="Arial"/>
          <w:color w:val="000000"/>
          <w:lang w:val="en-US"/>
        </w:rPr>
        <w:t>I</w:t>
      </w:r>
      <w:r w:rsidRPr="000C7A06">
        <w:rPr>
          <w:rFonts w:eastAsia="Times New Roman" w:cs="Arial"/>
          <w:color w:val="000000"/>
        </w:rPr>
        <w:t xml:space="preserve">) </w:t>
      </w:r>
      <w:r w:rsidRPr="000C7A06">
        <w:rPr>
          <w:rFonts w:eastAsia="Times New Roman" w:cs="Arial"/>
          <w:color w:val="000000"/>
          <w:lang w:eastAsia="bg-BG"/>
        </w:rPr>
        <w:t xml:space="preserve">и скора от </w:t>
      </w:r>
      <w:r w:rsidRPr="000C7A06">
        <w:rPr>
          <w:rFonts w:eastAsia="Times New Roman" w:cs="Arial"/>
          <w:color w:val="000000"/>
          <w:lang w:val="en-US"/>
        </w:rPr>
        <w:t>Unified</w:t>
      </w:r>
      <w:r w:rsidRPr="000C7A06">
        <w:rPr>
          <w:rFonts w:eastAsia="Times New Roman" w:cs="Arial"/>
          <w:color w:val="000000"/>
        </w:rPr>
        <w:t xml:space="preserve"> </w:t>
      </w:r>
      <w:r w:rsidRPr="000C7A06">
        <w:rPr>
          <w:rFonts w:eastAsia="Times New Roman" w:cs="Arial"/>
          <w:color w:val="000000"/>
          <w:lang w:val="en-US"/>
        </w:rPr>
        <w:t>Parkinson</w:t>
      </w:r>
      <w:r w:rsidRPr="000C7A06">
        <w:rPr>
          <w:rFonts w:eastAsia="Times New Roman" w:cs="Arial"/>
          <w:color w:val="000000"/>
        </w:rPr>
        <w:t>’</w:t>
      </w:r>
      <w:r w:rsidRPr="000C7A06">
        <w:rPr>
          <w:rFonts w:eastAsia="Times New Roman" w:cs="Arial"/>
          <w:color w:val="000000"/>
          <w:lang w:val="en-US"/>
        </w:rPr>
        <w:t>s</w:t>
      </w:r>
      <w:r w:rsidRPr="000C7A06">
        <w:rPr>
          <w:rFonts w:eastAsia="Times New Roman" w:cs="Arial"/>
          <w:color w:val="000000"/>
        </w:rPr>
        <w:t xml:space="preserve"> </w:t>
      </w:r>
      <w:r w:rsidRPr="000C7A06">
        <w:rPr>
          <w:rFonts w:eastAsia="Times New Roman" w:cs="Arial"/>
          <w:color w:val="000000"/>
          <w:lang w:val="en-US"/>
        </w:rPr>
        <w:t>Disease</w:t>
      </w:r>
      <w:r w:rsidRPr="000C7A06">
        <w:rPr>
          <w:rFonts w:eastAsia="Times New Roman" w:cs="Arial"/>
          <w:color w:val="000000"/>
        </w:rPr>
        <w:t xml:space="preserve"> </w:t>
      </w:r>
      <w:r w:rsidRPr="000C7A06">
        <w:rPr>
          <w:rFonts w:eastAsia="Times New Roman" w:cs="Arial"/>
          <w:color w:val="000000"/>
          <w:lang w:val="en-US"/>
        </w:rPr>
        <w:t>Rating</w:t>
      </w:r>
      <w:r w:rsidRPr="000C7A06">
        <w:rPr>
          <w:rFonts w:eastAsia="Times New Roman" w:cs="Arial"/>
          <w:color w:val="000000"/>
        </w:rPr>
        <w:t xml:space="preserve"> </w:t>
      </w:r>
      <w:r w:rsidRPr="000C7A06">
        <w:rPr>
          <w:rFonts w:eastAsia="Times New Roman" w:cs="Arial"/>
          <w:color w:val="000000"/>
          <w:lang w:val="en-US"/>
        </w:rPr>
        <w:t>Scale</w:t>
      </w:r>
      <w:r w:rsidRPr="000C7A06">
        <w:rPr>
          <w:rFonts w:eastAsia="Times New Roman" w:cs="Arial"/>
          <w:color w:val="000000"/>
        </w:rPr>
        <w:t xml:space="preserve"> (</w:t>
      </w:r>
      <w:r w:rsidRPr="000C7A06">
        <w:rPr>
          <w:rFonts w:eastAsia="Times New Roman" w:cs="Arial"/>
          <w:color w:val="000000"/>
          <w:lang w:val="en-US"/>
        </w:rPr>
        <w:t>UPDRS</w:t>
      </w:r>
      <w:r w:rsidRPr="000C7A06">
        <w:rPr>
          <w:rFonts w:eastAsia="Times New Roman" w:cs="Arial"/>
          <w:color w:val="000000"/>
        </w:rPr>
        <w:t xml:space="preserve">) </w:t>
      </w:r>
      <w:r w:rsidRPr="000C7A06">
        <w:rPr>
          <w:rFonts w:eastAsia="Times New Roman" w:cs="Arial"/>
          <w:color w:val="000000"/>
          <w:lang w:val="en-US"/>
        </w:rPr>
        <w:t>Part</w:t>
      </w:r>
      <w:r w:rsidRPr="000C7A06">
        <w:rPr>
          <w:rFonts w:eastAsia="Times New Roman" w:cs="Arial"/>
          <w:color w:val="000000"/>
        </w:rPr>
        <w:t xml:space="preserve"> </w:t>
      </w:r>
      <w:r w:rsidRPr="000C7A06">
        <w:rPr>
          <w:rFonts w:eastAsia="Times New Roman" w:cs="Arial"/>
          <w:color w:val="000000"/>
          <w:lang w:val="en-US"/>
        </w:rPr>
        <w:t>II</w:t>
      </w:r>
      <w:r w:rsidRPr="000C7A06">
        <w:rPr>
          <w:rFonts w:eastAsia="Times New Roman" w:cs="Arial"/>
          <w:color w:val="000000"/>
        </w:rPr>
        <w:t xml:space="preserve"> (</w:t>
      </w:r>
      <w:r w:rsidRPr="000C7A06">
        <w:rPr>
          <w:rFonts w:eastAsia="Times New Roman" w:cs="Arial"/>
          <w:color w:val="000000"/>
          <w:lang w:val="en-US"/>
        </w:rPr>
        <w:t>Activities</w:t>
      </w:r>
      <w:r w:rsidRPr="000C7A06">
        <w:rPr>
          <w:rFonts w:eastAsia="Times New Roman" w:cs="Arial"/>
          <w:color w:val="000000"/>
        </w:rPr>
        <w:t xml:space="preserve"> </w:t>
      </w:r>
      <w:r w:rsidRPr="000C7A06">
        <w:rPr>
          <w:rFonts w:eastAsia="Times New Roman" w:cs="Arial"/>
          <w:color w:val="000000"/>
          <w:lang w:val="en-US"/>
        </w:rPr>
        <w:t>of</w:t>
      </w:r>
      <w:r w:rsidRPr="000C7A06">
        <w:rPr>
          <w:rFonts w:eastAsia="Times New Roman" w:cs="Arial"/>
          <w:color w:val="000000"/>
        </w:rPr>
        <w:t xml:space="preserve"> </w:t>
      </w:r>
      <w:r w:rsidRPr="000C7A06">
        <w:rPr>
          <w:rFonts w:eastAsia="Times New Roman" w:cs="Arial"/>
          <w:color w:val="000000"/>
          <w:lang w:val="en-US"/>
        </w:rPr>
        <w:t>Daily</w:t>
      </w:r>
      <w:r w:rsidRPr="000C7A06">
        <w:rPr>
          <w:rFonts w:eastAsia="Times New Roman" w:cs="Arial"/>
          <w:color w:val="000000"/>
        </w:rPr>
        <w:t xml:space="preserve"> </w:t>
      </w:r>
      <w:r w:rsidRPr="000C7A06">
        <w:rPr>
          <w:rFonts w:eastAsia="Times New Roman" w:cs="Arial"/>
          <w:color w:val="000000"/>
          <w:lang w:val="en-US"/>
        </w:rPr>
        <w:t>Living</w:t>
      </w:r>
      <w:r w:rsidRPr="000C7A06">
        <w:rPr>
          <w:rFonts w:eastAsia="Times New Roman" w:cs="Arial"/>
          <w:color w:val="000000"/>
        </w:rPr>
        <w:t xml:space="preserve"> (</w:t>
      </w:r>
      <w:r w:rsidRPr="000C7A06">
        <w:rPr>
          <w:rFonts w:eastAsia="Times New Roman" w:cs="Arial"/>
          <w:color w:val="000000"/>
          <w:lang w:val="en-US"/>
        </w:rPr>
        <w:t>ADL</w:t>
      </w:r>
      <w:r w:rsidRPr="000C7A06">
        <w:rPr>
          <w:rFonts w:eastAsia="Times New Roman" w:cs="Arial"/>
          <w:color w:val="000000"/>
        </w:rPr>
        <w:t xml:space="preserve">)). </w:t>
      </w:r>
      <w:r w:rsidRPr="000C7A06">
        <w:rPr>
          <w:rFonts w:eastAsia="Times New Roman" w:cs="Arial"/>
          <w:color w:val="000000"/>
          <w:lang w:eastAsia="bg-BG"/>
        </w:rPr>
        <w:t xml:space="preserve">Обобщеният индекс </w:t>
      </w:r>
      <w:r w:rsidRPr="000C7A06">
        <w:rPr>
          <w:rFonts w:eastAsia="Times New Roman" w:cs="Arial"/>
          <w:color w:val="000000"/>
          <w:lang w:val="en-US"/>
        </w:rPr>
        <w:t>PDQ</w:t>
      </w:r>
      <w:r w:rsidRPr="000C7A06">
        <w:rPr>
          <w:rFonts w:eastAsia="Times New Roman" w:cs="Arial"/>
          <w:color w:val="000000"/>
          <w:lang w:val="ru-RU"/>
        </w:rPr>
        <w:t xml:space="preserve">-39 </w:t>
      </w:r>
      <w:r w:rsidRPr="000C7A06">
        <w:rPr>
          <w:rFonts w:eastAsia="Times New Roman" w:cs="Arial"/>
          <w:color w:val="000000"/>
          <w:lang w:eastAsia="bg-BG"/>
        </w:rPr>
        <w:t xml:space="preserve">показва намаление от изходното ниво от 10,9 точки на седмица 12. Другите вторични крайни точки, скорът от </w:t>
      </w:r>
      <w:r w:rsidRPr="000C7A06">
        <w:rPr>
          <w:rFonts w:eastAsia="Times New Roman" w:cs="Arial"/>
          <w:color w:val="000000"/>
          <w:lang w:val="en-US"/>
        </w:rPr>
        <w:t>UPDRS</w:t>
      </w:r>
      <w:r w:rsidRPr="000C7A06">
        <w:rPr>
          <w:rFonts w:eastAsia="Times New Roman" w:cs="Arial"/>
          <w:color w:val="000000"/>
          <w:lang w:val="ru-RU"/>
        </w:rPr>
        <w:t xml:space="preserve"> </w:t>
      </w:r>
      <w:r w:rsidRPr="000C7A06">
        <w:rPr>
          <w:rFonts w:eastAsia="Times New Roman" w:cs="Arial"/>
          <w:color w:val="000000"/>
          <w:lang w:val="en-US"/>
        </w:rPr>
        <w:t>Part</w:t>
      </w:r>
      <w:r w:rsidRPr="000C7A06">
        <w:rPr>
          <w:rFonts w:eastAsia="Times New Roman" w:cs="Arial"/>
          <w:color w:val="000000"/>
          <w:lang w:val="ru-RU"/>
        </w:rPr>
        <w:t xml:space="preserve"> </w:t>
      </w:r>
      <w:r w:rsidRPr="000C7A06">
        <w:rPr>
          <w:rFonts w:eastAsia="Times New Roman" w:cs="Arial"/>
          <w:color w:val="000000"/>
          <w:lang w:val="en-US"/>
        </w:rPr>
        <w:t>III</w:t>
      </w:r>
      <w:r w:rsidRPr="000C7A06">
        <w:rPr>
          <w:rFonts w:eastAsia="Times New Roman" w:cs="Arial"/>
          <w:color w:val="000000"/>
          <w:lang w:val="ru-RU"/>
        </w:rPr>
        <w:t xml:space="preserve">, </w:t>
      </w:r>
      <w:r w:rsidRPr="000C7A06">
        <w:rPr>
          <w:rFonts w:eastAsia="Times New Roman" w:cs="Arial"/>
          <w:color w:val="000000"/>
          <w:lang w:val="en-US"/>
        </w:rPr>
        <w:t>EQ</w:t>
      </w:r>
      <w:r w:rsidRPr="000C7A06">
        <w:rPr>
          <w:rFonts w:eastAsia="Times New Roman" w:cs="Arial"/>
          <w:color w:val="000000"/>
          <w:lang w:val="ru-RU"/>
        </w:rPr>
        <w:t>-5</w:t>
      </w:r>
      <w:r w:rsidRPr="000C7A06">
        <w:rPr>
          <w:rFonts w:eastAsia="Times New Roman" w:cs="Arial"/>
          <w:color w:val="000000"/>
          <w:lang w:val="en-US"/>
        </w:rPr>
        <w:t>D</w:t>
      </w:r>
      <w:r w:rsidRPr="000C7A06">
        <w:rPr>
          <w:rFonts w:eastAsia="Times New Roman" w:cs="Arial"/>
          <w:color w:val="000000"/>
          <w:lang w:val="ru-RU"/>
        </w:rPr>
        <w:t xml:space="preserve"> </w:t>
      </w:r>
      <w:r w:rsidRPr="000C7A06">
        <w:rPr>
          <w:rFonts w:eastAsia="Times New Roman" w:cs="Arial"/>
          <w:color w:val="000000"/>
          <w:lang w:val="en-US"/>
        </w:rPr>
        <w:t>Summary</w:t>
      </w:r>
      <w:r w:rsidRPr="000C7A06">
        <w:rPr>
          <w:rFonts w:eastAsia="Times New Roman" w:cs="Arial"/>
          <w:color w:val="000000"/>
          <w:lang w:val="ru-RU"/>
        </w:rPr>
        <w:t xml:space="preserve"> </w:t>
      </w:r>
      <w:r w:rsidRPr="000C7A06">
        <w:rPr>
          <w:rFonts w:eastAsia="Times New Roman" w:cs="Arial"/>
          <w:color w:val="000000"/>
          <w:lang w:val="en-US"/>
        </w:rPr>
        <w:t>Index</w:t>
      </w:r>
      <w:r w:rsidRPr="000C7A06">
        <w:rPr>
          <w:rFonts w:eastAsia="Times New Roman" w:cs="Arial"/>
          <w:color w:val="000000"/>
          <w:lang w:val="ru-RU"/>
        </w:rPr>
        <w:t xml:space="preserve"> </w:t>
      </w:r>
      <w:r w:rsidRPr="000C7A06">
        <w:rPr>
          <w:rFonts w:eastAsia="Times New Roman" w:cs="Arial"/>
          <w:color w:val="000000"/>
          <w:lang w:eastAsia="bg-BG"/>
        </w:rPr>
        <w:t xml:space="preserve">и общият скор от </w:t>
      </w:r>
      <w:r w:rsidRPr="000C7A06">
        <w:rPr>
          <w:rFonts w:eastAsia="Times New Roman" w:cs="Arial"/>
          <w:color w:val="000000"/>
          <w:lang w:val="en-US"/>
        </w:rPr>
        <w:t>ZBI</w:t>
      </w:r>
      <w:r w:rsidRPr="000C7A06">
        <w:rPr>
          <w:rFonts w:eastAsia="Times New Roman" w:cs="Arial"/>
          <w:color w:val="000000"/>
          <w:lang w:val="ru-RU"/>
        </w:rPr>
        <w:t xml:space="preserve"> </w:t>
      </w:r>
      <w:r w:rsidRPr="000C7A06">
        <w:rPr>
          <w:rFonts w:eastAsia="Times New Roman" w:cs="Arial"/>
          <w:color w:val="000000"/>
          <w:lang w:eastAsia="bg-BG"/>
        </w:rPr>
        <w:t>не достигат статистическата значимост въз основа на йерархичната процедура на тестване.</w:t>
      </w:r>
    </w:p>
    <w:p w14:paraId="366226B7" w14:textId="77777777" w:rsidR="000C7A06" w:rsidRPr="000C7A06" w:rsidRDefault="000C7A06" w:rsidP="000C7A06">
      <w:pPr>
        <w:spacing w:line="240" w:lineRule="auto"/>
        <w:rPr>
          <w:rFonts w:eastAsia="Times New Roman" w:cs="Arial"/>
          <w:color w:val="000000"/>
          <w:lang w:eastAsia="bg-BG"/>
        </w:rPr>
      </w:pPr>
    </w:p>
    <w:p w14:paraId="5B05B57B" w14:textId="6D998A79"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 xml:space="preserve">Проведено е едно открито, многоцентрово проучване фаза 3 с едно рамо за оценка на безопасността и поносимостта на Дуодопа при продължително лечение (над 12 месеца) при 354 пациенти. Таргетната популация са пациенти, повлияващи се от лечение с леводопа, с напреднала болест на Паркинсон и моторни флуктуации въпреки оптимизираното лечение с наличните лекарства. Средното дневно нормализирано </w:t>
      </w:r>
      <w:r w:rsidRPr="000C7A06">
        <w:rPr>
          <w:rFonts w:eastAsia="Times New Roman" w:cs="Arial"/>
          <w:color w:val="000000"/>
          <w:lang w:val="ru-RU"/>
        </w:rPr>
        <w:t>„</w:t>
      </w:r>
      <w:r w:rsidRPr="000C7A06">
        <w:rPr>
          <w:rFonts w:eastAsia="Times New Roman" w:cs="Arial"/>
          <w:color w:val="000000"/>
          <w:lang w:val="en-US"/>
        </w:rPr>
        <w:t>Off</w:t>
      </w:r>
      <w:r w:rsidRPr="000C7A06">
        <w:rPr>
          <w:rFonts w:eastAsia="Times New Roman" w:cs="Arial"/>
          <w:color w:val="000000"/>
          <w:lang w:val="ru-RU"/>
        </w:rPr>
        <w:t xml:space="preserve"> </w:t>
      </w:r>
      <w:r w:rsidRPr="000C7A06">
        <w:rPr>
          <w:rFonts w:eastAsia="Times New Roman" w:cs="Arial"/>
          <w:color w:val="000000"/>
          <w:lang w:eastAsia="bg-BG"/>
        </w:rPr>
        <w:t>‘ време се променя с - 4,44 часа от изходното ниво до крайната точка (6,77 часа на изходно ниво и 2,32 часа в крайната точка) със съответно повишение на „Оп“ времето от 4,8 часа без дискинезия.</w:t>
      </w:r>
    </w:p>
    <w:p w14:paraId="72D286C6" w14:textId="77777777" w:rsidR="000C7A06" w:rsidRPr="000C7A06" w:rsidRDefault="000C7A06" w:rsidP="000C7A06">
      <w:pPr>
        <w:spacing w:line="240" w:lineRule="auto"/>
        <w:rPr>
          <w:rFonts w:eastAsia="Times New Roman" w:cs="Arial"/>
          <w:color w:val="000000"/>
          <w:lang w:eastAsia="bg-BG"/>
        </w:rPr>
      </w:pPr>
    </w:p>
    <w:p w14:paraId="6F08D3B0" w14:textId="77777777" w:rsidR="000C7A06" w:rsidRPr="000C7A06" w:rsidRDefault="000C7A06" w:rsidP="000C7A06">
      <w:pPr>
        <w:rPr>
          <w:rFonts w:eastAsia="Times New Roman" w:cs="Arial"/>
          <w:sz w:val="24"/>
          <w:szCs w:val="24"/>
        </w:rPr>
      </w:pPr>
      <w:r w:rsidRPr="000C7A06">
        <w:rPr>
          <w:rFonts w:eastAsia="Times New Roman" w:cs="Arial"/>
          <w:color w:val="000000"/>
          <w:lang w:eastAsia="bg-BG"/>
        </w:rPr>
        <w:t xml:space="preserve">Проведено е открито, рандомизирано, многоцентрово проучване фаза три за оценка на ефекта на Дуодопа върху дискинезия в сравнение с оптимизирано медицинско лечение (ОМЛ) в продължение на 12 седмици при 61 пациенти. Целевата популация са повлияващи се от лечение с леводопа пациенти с напреднала болест на Паркинсон и моторни флуктуации, неадекватно контролирани с оптимизирано медицинско лечение, и с изходен общ скор от </w:t>
      </w:r>
      <w:r w:rsidRPr="000C7A06">
        <w:rPr>
          <w:rFonts w:eastAsia="Times New Roman" w:cs="Arial"/>
          <w:color w:val="000000"/>
          <w:lang w:val="en-US"/>
        </w:rPr>
        <w:t>Unified</w:t>
      </w:r>
      <w:r w:rsidRPr="000C7A06">
        <w:rPr>
          <w:rFonts w:eastAsia="Times New Roman" w:cs="Arial"/>
          <w:color w:val="000000"/>
          <w:lang w:val="ru-RU"/>
        </w:rPr>
        <w:t xml:space="preserve"> </w:t>
      </w:r>
      <w:r w:rsidRPr="000C7A06">
        <w:rPr>
          <w:rFonts w:eastAsia="Times New Roman" w:cs="Arial"/>
          <w:color w:val="000000"/>
          <w:lang w:val="en-US"/>
        </w:rPr>
        <w:t>Dyskinesia</w:t>
      </w:r>
      <w:r w:rsidRPr="000C7A06">
        <w:rPr>
          <w:rFonts w:eastAsia="Times New Roman" w:cs="Arial"/>
          <w:color w:val="000000"/>
          <w:lang w:val="ru-RU"/>
        </w:rPr>
        <w:t xml:space="preserve"> </w:t>
      </w:r>
      <w:r w:rsidRPr="000C7A06">
        <w:rPr>
          <w:rFonts w:eastAsia="Times New Roman" w:cs="Arial"/>
          <w:color w:val="000000"/>
          <w:lang w:val="en-US"/>
        </w:rPr>
        <w:t>Rating</w:t>
      </w:r>
      <w:r w:rsidRPr="000C7A06">
        <w:rPr>
          <w:rFonts w:eastAsia="Times New Roman" w:cs="Arial"/>
          <w:color w:val="000000"/>
          <w:lang w:val="ru-RU"/>
        </w:rPr>
        <w:t xml:space="preserve"> </w:t>
      </w:r>
      <w:r w:rsidRPr="000C7A06">
        <w:rPr>
          <w:rFonts w:eastAsia="Times New Roman" w:cs="Arial"/>
          <w:color w:val="000000"/>
          <w:lang w:val="en-US"/>
        </w:rPr>
        <w:t>Scale</w:t>
      </w:r>
      <w:r w:rsidRPr="000C7A06">
        <w:rPr>
          <w:rFonts w:eastAsia="Times New Roman" w:cs="Arial"/>
          <w:color w:val="000000"/>
          <w:lang w:val="ru-RU"/>
        </w:rPr>
        <w:t xml:space="preserve"> (</w:t>
      </w:r>
      <w:proofErr w:type="spellStart"/>
      <w:r w:rsidRPr="000C7A06">
        <w:rPr>
          <w:rFonts w:eastAsia="Times New Roman" w:cs="Arial"/>
          <w:color w:val="000000"/>
          <w:lang w:val="en-US"/>
        </w:rPr>
        <w:t>UDysRS</w:t>
      </w:r>
      <w:proofErr w:type="spellEnd"/>
      <w:r w:rsidRPr="000C7A06">
        <w:rPr>
          <w:rFonts w:eastAsia="Times New Roman" w:cs="Arial"/>
          <w:color w:val="000000"/>
          <w:lang w:val="ru-RU"/>
        </w:rPr>
        <w:t xml:space="preserve">) &gt;30. </w:t>
      </w:r>
      <w:r w:rsidRPr="000C7A06">
        <w:rPr>
          <w:rFonts w:eastAsia="Times New Roman" w:cs="Arial"/>
          <w:color w:val="000000"/>
          <w:lang w:eastAsia="bg-BG"/>
        </w:rPr>
        <w:t xml:space="preserve">Промяната от изходното ниво до седмица 12 на общия скор от </w:t>
      </w:r>
      <w:proofErr w:type="spellStart"/>
      <w:r w:rsidRPr="000C7A06">
        <w:rPr>
          <w:rFonts w:eastAsia="Times New Roman" w:cs="Arial"/>
          <w:color w:val="000000"/>
          <w:lang w:val="en-US"/>
        </w:rPr>
        <w:t>UDysRS</w:t>
      </w:r>
      <w:proofErr w:type="spellEnd"/>
      <w:r w:rsidRPr="000C7A06">
        <w:rPr>
          <w:rFonts w:eastAsia="Times New Roman" w:cs="Arial"/>
          <w:color w:val="000000"/>
          <w:lang w:val="ru-RU"/>
        </w:rPr>
        <w:t xml:space="preserve"> </w:t>
      </w:r>
      <w:r w:rsidRPr="000C7A06">
        <w:rPr>
          <w:rFonts w:eastAsia="Times New Roman" w:cs="Arial"/>
          <w:color w:val="000000"/>
          <w:lang w:eastAsia="bg-BG"/>
        </w:rPr>
        <w:t>(първична крайна точка за ефикасност) демонстрира статистически значима средна промяна по метода на най-малките квадрати (-15,05; Р &lt; 0,0001) в полза на групата с лечение с Дуодопав сравнение с групата с оптимизирано медицинско лечение. Анализът на вторичните крайни точки за ефикасност с използване на тестова процедура с фиксирана последователност демонстрира статистически значими резултати в полза на Дуодопа в сравнение с оптимизирано медицинско лечение за „</w:t>
      </w:r>
      <w:r w:rsidRPr="000C7A06">
        <w:rPr>
          <w:rFonts w:eastAsia="Times New Roman" w:cs="Arial"/>
          <w:color w:val="000000"/>
          <w:lang w:val="en-US"/>
        </w:rPr>
        <w:t>On</w:t>
      </w:r>
      <w:r w:rsidRPr="000C7A06">
        <w:rPr>
          <w:rFonts w:eastAsia="Times New Roman" w:cs="Arial"/>
          <w:color w:val="000000"/>
          <w:lang w:eastAsia="bg-BG"/>
        </w:rPr>
        <w:t xml:space="preserve">“ времето без проблемна дискинезия според измереното чрез Дневника при болестта на Паркинсон, за обобщения индекс на </w:t>
      </w:r>
      <w:r w:rsidRPr="000C7A06">
        <w:rPr>
          <w:rFonts w:eastAsia="Times New Roman" w:cs="Arial"/>
          <w:color w:val="000000"/>
          <w:lang w:val="en-US"/>
        </w:rPr>
        <w:t>Parkinson</w:t>
      </w:r>
      <w:r w:rsidRPr="000C7A06">
        <w:rPr>
          <w:rFonts w:eastAsia="Times New Roman" w:cs="Arial"/>
          <w:color w:val="000000"/>
          <w:lang w:val="ru-RU"/>
        </w:rPr>
        <w:t>'</w:t>
      </w:r>
      <w:r w:rsidRPr="000C7A06">
        <w:rPr>
          <w:rFonts w:eastAsia="Times New Roman" w:cs="Arial"/>
          <w:color w:val="000000"/>
          <w:lang w:val="en-US"/>
        </w:rPr>
        <w:t>s</w:t>
      </w:r>
      <w:r w:rsidRPr="000C7A06">
        <w:rPr>
          <w:rFonts w:eastAsia="Times New Roman" w:cs="Arial"/>
          <w:color w:val="000000"/>
          <w:lang w:val="ru-RU"/>
        </w:rPr>
        <w:t xml:space="preserve"> </w:t>
      </w:r>
      <w:r w:rsidRPr="000C7A06">
        <w:rPr>
          <w:rFonts w:eastAsia="Times New Roman" w:cs="Arial"/>
          <w:color w:val="000000"/>
          <w:lang w:val="en-US"/>
        </w:rPr>
        <w:t>Disease</w:t>
      </w:r>
      <w:r w:rsidRPr="000C7A06">
        <w:rPr>
          <w:rFonts w:eastAsia="Times New Roman" w:cs="Arial"/>
          <w:color w:val="000000"/>
          <w:lang w:val="ru-RU"/>
        </w:rPr>
        <w:t xml:space="preserve"> </w:t>
      </w:r>
      <w:r w:rsidRPr="000C7A06">
        <w:rPr>
          <w:rFonts w:eastAsia="Times New Roman" w:cs="Arial"/>
          <w:color w:val="000000"/>
          <w:lang w:val="en-US"/>
        </w:rPr>
        <w:t>Questionnaire</w:t>
      </w:r>
      <w:r w:rsidRPr="000C7A06">
        <w:rPr>
          <w:rFonts w:eastAsia="Times New Roman" w:cs="Arial"/>
          <w:color w:val="000000"/>
          <w:lang w:val="ru-RU"/>
        </w:rPr>
        <w:t>-8 (</w:t>
      </w:r>
      <w:r w:rsidRPr="000C7A06">
        <w:rPr>
          <w:rFonts w:eastAsia="Times New Roman" w:cs="Arial"/>
          <w:color w:val="000000"/>
          <w:lang w:val="en-US"/>
        </w:rPr>
        <w:t>PDQ</w:t>
      </w:r>
      <w:r w:rsidRPr="000C7A06">
        <w:rPr>
          <w:rFonts w:eastAsia="Times New Roman" w:cs="Arial"/>
          <w:color w:val="000000"/>
          <w:lang w:val="ru-RU"/>
        </w:rPr>
        <w:t xml:space="preserve"> 8), </w:t>
      </w:r>
      <w:r w:rsidRPr="000C7A06">
        <w:rPr>
          <w:rFonts w:eastAsia="Times New Roman" w:cs="Arial"/>
          <w:color w:val="000000"/>
          <w:lang w:eastAsia="bg-BG"/>
        </w:rPr>
        <w:t xml:space="preserve">скора от </w:t>
      </w:r>
      <w:r w:rsidRPr="000C7A06">
        <w:rPr>
          <w:rFonts w:eastAsia="Times New Roman" w:cs="Arial"/>
          <w:color w:val="000000"/>
          <w:lang w:val="en-US"/>
        </w:rPr>
        <w:t>Clinical</w:t>
      </w:r>
      <w:r w:rsidRPr="000C7A06">
        <w:rPr>
          <w:rFonts w:eastAsia="Times New Roman" w:cs="Arial"/>
          <w:color w:val="000000"/>
          <w:lang w:val="ru-RU"/>
        </w:rPr>
        <w:t xml:space="preserve"> </w:t>
      </w:r>
      <w:r w:rsidRPr="000C7A06">
        <w:rPr>
          <w:rFonts w:eastAsia="Times New Roman" w:cs="Arial"/>
          <w:color w:val="000000"/>
          <w:lang w:val="en-US"/>
        </w:rPr>
        <w:t>Global</w:t>
      </w:r>
      <w:r w:rsidRPr="000C7A06">
        <w:rPr>
          <w:rFonts w:eastAsia="Times New Roman" w:cs="Arial"/>
          <w:color w:val="000000"/>
          <w:lang w:val="ru-RU"/>
        </w:rPr>
        <w:t xml:space="preserve"> </w:t>
      </w:r>
      <w:r w:rsidRPr="000C7A06">
        <w:rPr>
          <w:rFonts w:eastAsia="Times New Roman" w:cs="Arial"/>
          <w:color w:val="000000"/>
          <w:lang w:val="en-US"/>
        </w:rPr>
        <w:t>Impression</w:t>
      </w:r>
      <w:r w:rsidRPr="000C7A06">
        <w:rPr>
          <w:rFonts w:eastAsia="Times New Roman" w:cs="Arial"/>
          <w:color w:val="000000"/>
          <w:lang w:val="ru-RU"/>
        </w:rPr>
        <w:t xml:space="preserve"> </w:t>
      </w:r>
      <w:r w:rsidRPr="000C7A06">
        <w:rPr>
          <w:rFonts w:eastAsia="Times New Roman" w:cs="Arial"/>
          <w:color w:val="000000"/>
          <w:lang w:val="en-US"/>
        </w:rPr>
        <w:t>Change</w:t>
      </w:r>
      <w:r w:rsidRPr="000C7A06">
        <w:rPr>
          <w:rFonts w:eastAsia="Times New Roman" w:cs="Arial"/>
          <w:color w:val="000000"/>
          <w:lang w:val="ru-RU"/>
        </w:rPr>
        <w:t xml:space="preserve"> (</w:t>
      </w:r>
      <w:r w:rsidRPr="000C7A06">
        <w:rPr>
          <w:rFonts w:eastAsia="Times New Roman" w:cs="Arial"/>
          <w:color w:val="000000"/>
          <w:lang w:val="en-US"/>
        </w:rPr>
        <w:t>CGI</w:t>
      </w:r>
      <w:r w:rsidRPr="000C7A06">
        <w:rPr>
          <w:rFonts w:eastAsia="Times New Roman" w:cs="Arial"/>
          <w:color w:val="000000"/>
          <w:lang w:val="ru-RU"/>
        </w:rPr>
        <w:t xml:space="preserve"> </w:t>
      </w:r>
      <w:r w:rsidRPr="000C7A06">
        <w:rPr>
          <w:rFonts w:eastAsia="Times New Roman" w:cs="Arial"/>
          <w:color w:val="000000"/>
          <w:lang w:val="en-US"/>
        </w:rPr>
        <w:t>C</w:t>
      </w:r>
      <w:r w:rsidRPr="000C7A06">
        <w:rPr>
          <w:rFonts w:eastAsia="Times New Roman" w:cs="Arial"/>
          <w:color w:val="000000"/>
          <w:lang w:val="ru-RU"/>
        </w:rPr>
        <w:t xml:space="preserve">), </w:t>
      </w:r>
      <w:r w:rsidRPr="000C7A06">
        <w:rPr>
          <w:rFonts w:eastAsia="Times New Roman" w:cs="Arial"/>
          <w:color w:val="000000"/>
          <w:lang w:eastAsia="bg-BG"/>
        </w:rPr>
        <w:t xml:space="preserve">скора от </w:t>
      </w:r>
      <w:r w:rsidRPr="000C7A06">
        <w:rPr>
          <w:rFonts w:eastAsia="Times New Roman" w:cs="Arial"/>
          <w:color w:val="000000"/>
          <w:lang w:val="en-US"/>
        </w:rPr>
        <w:t>Unified</w:t>
      </w:r>
      <w:r w:rsidRPr="000C7A06">
        <w:rPr>
          <w:rFonts w:eastAsia="Times New Roman" w:cs="Arial"/>
          <w:color w:val="000000"/>
          <w:lang w:val="ru-RU"/>
        </w:rPr>
        <w:t xml:space="preserve"> </w:t>
      </w:r>
      <w:r w:rsidRPr="000C7A06">
        <w:rPr>
          <w:rFonts w:eastAsia="Times New Roman" w:cs="Arial"/>
          <w:color w:val="000000"/>
          <w:lang w:val="en-US"/>
        </w:rPr>
        <w:t>Parkinson</w:t>
      </w:r>
      <w:r w:rsidRPr="000C7A06">
        <w:rPr>
          <w:rFonts w:eastAsia="Times New Roman" w:cs="Arial"/>
          <w:color w:val="000000"/>
          <w:lang w:val="ru-RU"/>
        </w:rPr>
        <w:t>'</w:t>
      </w:r>
      <w:r w:rsidRPr="000C7A06">
        <w:rPr>
          <w:rFonts w:eastAsia="Times New Roman" w:cs="Arial"/>
          <w:color w:val="000000"/>
          <w:lang w:val="en-US"/>
        </w:rPr>
        <w:t>s</w:t>
      </w:r>
      <w:r w:rsidRPr="000C7A06">
        <w:rPr>
          <w:rFonts w:eastAsia="Times New Roman" w:cs="Arial"/>
          <w:color w:val="000000"/>
          <w:lang w:val="ru-RU"/>
        </w:rPr>
        <w:t xml:space="preserve"> </w:t>
      </w:r>
      <w:r w:rsidRPr="000C7A06">
        <w:rPr>
          <w:rFonts w:eastAsia="Times New Roman" w:cs="Arial"/>
          <w:color w:val="000000"/>
          <w:lang w:val="en-US"/>
        </w:rPr>
        <w:t>Disease</w:t>
      </w:r>
      <w:r w:rsidRPr="000C7A06">
        <w:rPr>
          <w:rFonts w:eastAsia="Times New Roman" w:cs="Arial"/>
          <w:color w:val="000000"/>
          <w:lang w:val="ru-RU"/>
        </w:rPr>
        <w:t xml:space="preserve"> </w:t>
      </w:r>
      <w:r w:rsidRPr="000C7A06">
        <w:rPr>
          <w:rFonts w:eastAsia="Times New Roman" w:cs="Arial"/>
          <w:color w:val="000000"/>
          <w:lang w:val="en-US"/>
        </w:rPr>
        <w:t>Rating</w:t>
      </w:r>
      <w:r w:rsidRPr="000C7A06">
        <w:rPr>
          <w:rFonts w:eastAsia="Times New Roman" w:cs="Arial"/>
          <w:color w:val="000000"/>
          <w:lang w:val="ru-RU"/>
        </w:rPr>
        <w:t xml:space="preserve"> (</w:t>
      </w:r>
      <w:r w:rsidRPr="000C7A06">
        <w:rPr>
          <w:rFonts w:eastAsia="Times New Roman" w:cs="Arial"/>
          <w:color w:val="000000"/>
          <w:lang w:val="en-US"/>
        </w:rPr>
        <w:t>UPDRS</w:t>
      </w:r>
      <w:r w:rsidRPr="000C7A06">
        <w:rPr>
          <w:rFonts w:eastAsia="Times New Roman" w:cs="Arial"/>
          <w:color w:val="000000"/>
          <w:lang w:val="ru-RU"/>
        </w:rPr>
        <w:t xml:space="preserve">) </w:t>
      </w:r>
      <w:r w:rsidRPr="000C7A06">
        <w:rPr>
          <w:rFonts w:eastAsia="Times New Roman" w:cs="Arial"/>
          <w:color w:val="000000"/>
          <w:lang w:val="en-US"/>
        </w:rPr>
        <w:t>Part</w:t>
      </w:r>
      <w:r w:rsidRPr="000C7A06">
        <w:rPr>
          <w:rFonts w:eastAsia="Times New Roman" w:cs="Arial"/>
          <w:color w:val="000000"/>
          <w:lang w:val="ru-RU"/>
        </w:rPr>
        <w:t xml:space="preserve"> </w:t>
      </w:r>
      <w:r w:rsidRPr="000C7A06">
        <w:rPr>
          <w:rFonts w:eastAsia="Times New Roman" w:cs="Arial"/>
          <w:color w:val="000000"/>
          <w:lang w:val="en-US"/>
        </w:rPr>
        <w:t>II</w:t>
      </w:r>
      <w:r w:rsidRPr="000C7A06">
        <w:rPr>
          <w:rFonts w:eastAsia="Times New Roman" w:cs="Arial"/>
          <w:color w:val="000000"/>
          <w:lang w:val="ru-RU"/>
        </w:rPr>
        <w:t xml:space="preserve">, </w:t>
      </w:r>
      <w:r w:rsidRPr="000C7A06">
        <w:rPr>
          <w:rFonts w:eastAsia="Times New Roman" w:cs="Arial"/>
          <w:color w:val="000000"/>
          <w:lang w:eastAsia="bg-BG"/>
        </w:rPr>
        <w:t xml:space="preserve">и за </w:t>
      </w:r>
      <w:r w:rsidRPr="000C7A06">
        <w:rPr>
          <w:rFonts w:eastAsia="Times New Roman" w:cs="Arial"/>
          <w:color w:val="000000"/>
          <w:lang w:val="ru-RU"/>
        </w:rPr>
        <w:t>„</w:t>
      </w:r>
      <w:r w:rsidRPr="000C7A06">
        <w:rPr>
          <w:rFonts w:eastAsia="Times New Roman" w:cs="Arial"/>
          <w:color w:val="000000"/>
          <w:lang w:val="en-US"/>
        </w:rPr>
        <w:t>Off</w:t>
      </w:r>
      <w:r w:rsidRPr="000C7A06">
        <w:rPr>
          <w:rFonts w:eastAsia="Times New Roman" w:cs="Arial"/>
          <w:color w:val="000000"/>
          <w:vertAlign w:val="superscript"/>
          <w:lang w:val="ru-RU"/>
        </w:rPr>
        <w:t>4</w:t>
      </w:r>
      <w:r w:rsidRPr="000C7A06">
        <w:rPr>
          <w:rFonts w:eastAsia="Times New Roman" w:cs="Arial"/>
          <w:color w:val="000000"/>
          <w:lang w:val="ru-RU"/>
        </w:rPr>
        <w:t xml:space="preserve"> </w:t>
      </w:r>
      <w:r w:rsidRPr="000C7A06">
        <w:rPr>
          <w:rFonts w:eastAsia="Times New Roman" w:cs="Arial"/>
          <w:color w:val="000000"/>
          <w:lang w:eastAsia="bg-BG"/>
        </w:rPr>
        <w:t xml:space="preserve">времето според измереното чрез Дневника при болестта на Паркинсон. Скорът от </w:t>
      </w:r>
      <w:r w:rsidRPr="000C7A06">
        <w:rPr>
          <w:rFonts w:eastAsia="Times New Roman" w:cs="Arial"/>
          <w:color w:val="000000"/>
          <w:lang w:val="en-US"/>
        </w:rPr>
        <w:t>UPDRS</w:t>
      </w:r>
      <w:r w:rsidRPr="000C7A06">
        <w:rPr>
          <w:rFonts w:eastAsia="Times New Roman" w:cs="Arial"/>
          <w:color w:val="000000"/>
          <w:lang w:val="ru-RU"/>
        </w:rPr>
        <w:t xml:space="preserve"> </w:t>
      </w:r>
      <w:r w:rsidRPr="000C7A06">
        <w:rPr>
          <w:rFonts w:eastAsia="Times New Roman" w:cs="Arial"/>
          <w:color w:val="000000"/>
          <w:lang w:val="en-US"/>
        </w:rPr>
        <w:t>Part</w:t>
      </w:r>
      <w:r w:rsidRPr="000C7A06">
        <w:rPr>
          <w:rFonts w:eastAsia="Times New Roman" w:cs="Arial"/>
          <w:color w:val="000000"/>
          <w:lang w:val="ru-RU"/>
        </w:rPr>
        <w:t xml:space="preserve"> </w:t>
      </w:r>
      <w:r w:rsidRPr="000C7A06">
        <w:rPr>
          <w:rFonts w:eastAsia="Times New Roman" w:cs="Arial"/>
          <w:color w:val="000000"/>
          <w:lang w:val="en-US"/>
        </w:rPr>
        <w:t>III</w:t>
      </w:r>
      <w:r w:rsidRPr="000C7A06">
        <w:rPr>
          <w:rFonts w:eastAsia="Times New Roman" w:cs="Arial"/>
          <w:color w:val="000000"/>
          <w:lang w:val="ru-RU"/>
        </w:rPr>
        <w:t xml:space="preserve"> </w:t>
      </w:r>
      <w:r w:rsidRPr="000C7A06">
        <w:rPr>
          <w:rFonts w:eastAsia="Times New Roman" w:cs="Arial"/>
          <w:color w:val="000000"/>
          <w:lang w:eastAsia="bg-BG"/>
        </w:rPr>
        <w:t>не постига статистическа значимост.</w:t>
      </w:r>
    </w:p>
    <w:p w14:paraId="09D7BA1E" w14:textId="77777777" w:rsidR="000C7A06" w:rsidRPr="000C7A06" w:rsidRDefault="000C7A06" w:rsidP="000C7A06">
      <w:pPr>
        <w:spacing w:line="240" w:lineRule="auto"/>
        <w:rPr>
          <w:rFonts w:eastAsia="Times New Roman" w:cs="Arial"/>
          <w:color w:val="000000"/>
          <w:u w:val="single"/>
          <w:lang w:eastAsia="bg-BG"/>
        </w:rPr>
      </w:pPr>
    </w:p>
    <w:p w14:paraId="40ADE9EB" w14:textId="22574AA7" w:rsidR="000C7A06" w:rsidRPr="000C7A06" w:rsidRDefault="000C7A06" w:rsidP="000C7A06">
      <w:pPr>
        <w:spacing w:line="240" w:lineRule="auto"/>
        <w:rPr>
          <w:rFonts w:eastAsia="Times New Roman" w:cs="Arial"/>
          <w:sz w:val="24"/>
          <w:szCs w:val="24"/>
        </w:rPr>
      </w:pPr>
      <w:r w:rsidRPr="000C7A06">
        <w:rPr>
          <w:rFonts w:eastAsia="Times New Roman" w:cs="Arial"/>
          <w:color w:val="000000"/>
          <w:u w:val="single"/>
          <w:lang w:eastAsia="bg-BG"/>
        </w:rPr>
        <w:t>Педиатрична популация</w:t>
      </w:r>
    </w:p>
    <w:p w14:paraId="6AF3B442" w14:textId="77777777"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Безопасността на Дуодопа при пациенти под 18 години не е установена и употребата на продукта при лица под 18 години не се препоръчва.</w:t>
      </w:r>
    </w:p>
    <w:p w14:paraId="4CCACA94" w14:textId="79CD98C1" w:rsidR="000C7A06" w:rsidRPr="000C7A06" w:rsidRDefault="000C7A06" w:rsidP="000C7A06"/>
    <w:p w14:paraId="78DD93AA" w14:textId="5F6A1EB2" w:rsidR="00B6672E" w:rsidRDefault="002C50EE" w:rsidP="00936AD0">
      <w:pPr>
        <w:pStyle w:val="Heading2"/>
      </w:pPr>
      <w:r>
        <w:t>5.2. Фармакокинетични свойства</w:t>
      </w:r>
    </w:p>
    <w:p w14:paraId="052872CD" w14:textId="7BC8D7AB" w:rsidR="000C7A06" w:rsidRDefault="000C7A06" w:rsidP="000C7A06"/>
    <w:p w14:paraId="2DCFCFB1" w14:textId="77777777" w:rsidR="000C7A06" w:rsidRPr="000C7A06" w:rsidRDefault="000C7A06" w:rsidP="000C7A06">
      <w:pPr>
        <w:pStyle w:val="Heading3"/>
        <w:rPr>
          <w:rFonts w:eastAsia="Times New Roman"/>
          <w:u w:val="single"/>
        </w:rPr>
      </w:pPr>
      <w:r w:rsidRPr="000C7A06">
        <w:rPr>
          <w:rFonts w:eastAsia="Times New Roman"/>
          <w:u w:val="single"/>
          <w:lang w:eastAsia="bg-BG"/>
        </w:rPr>
        <w:t>Абсорбция</w:t>
      </w:r>
    </w:p>
    <w:p w14:paraId="185F7A1E" w14:textId="6D1C0708" w:rsidR="000C7A06" w:rsidRPr="000C7A06" w:rsidRDefault="000C7A06" w:rsidP="000C7A06">
      <w:pPr>
        <w:spacing w:line="240" w:lineRule="auto"/>
        <w:rPr>
          <w:rFonts w:eastAsia="Times New Roman" w:cs="Arial"/>
          <w:color w:val="000000"/>
          <w:lang w:eastAsia="bg-BG"/>
        </w:rPr>
      </w:pPr>
      <w:r w:rsidRPr="000C7A06">
        <w:rPr>
          <w:rFonts w:eastAsia="Times New Roman" w:cs="Arial"/>
          <w:color w:val="000000"/>
          <w:lang w:eastAsia="bg-BG"/>
        </w:rPr>
        <w:t xml:space="preserve">Дуодопа се прилага чрез сонда, поставена директно в дуоденума или йеюнума. Леводопа се резорбира бързо и ефективно от червата чрез транспортна система за аминокиселини с висок капацитет. Съобщава се за абсолютна бионаличност на леводопа от перорални таблетки с незабавно освобождаване леводопа/карбидопа от 84-99 %. Кръстосан популационен фармакокинетичен анализ показва, че Дуодопа има сравнима бионаличност с пероралните леводопа/карбидопа (100/25 </w:t>
      </w:r>
      <w:r w:rsidRPr="000C7A06">
        <w:rPr>
          <w:rFonts w:eastAsia="Times New Roman" w:cs="Arial"/>
          <w:color w:val="000000"/>
          <w:lang w:val="en-US"/>
        </w:rPr>
        <w:t>mg</w:t>
      </w:r>
      <w:r w:rsidRPr="000C7A06">
        <w:rPr>
          <w:rFonts w:eastAsia="Times New Roman" w:cs="Arial"/>
          <w:color w:val="000000"/>
          <w:lang w:val="ru-RU"/>
        </w:rPr>
        <w:t xml:space="preserve"> </w:t>
      </w:r>
      <w:r w:rsidRPr="000C7A06">
        <w:rPr>
          <w:rFonts w:eastAsia="Times New Roman" w:cs="Arial"/>
          <w:color w:val="000000"/>
          <w:lang w:eastAsia="bg-BG"/>
        </w:rPr>
        <w:t>таблетки).</w:t>
      </w:r>
    </w:p>
    <w:p w14:paraId="4156F32C" w14:textId="77777777" w:rsidR="000C7A06" w:rsidRPr="000C7A06" w:rsidRDefault="000C7A06" w:rsidP="000C7A06">
      <w:pPr>
        <w:spacing w:line="240" w:lineRule="auto"/>
        <w:rPr>
          <w:rFonts w:eastAsia="Times New Roman" w:cs="Arial"/>
          <w:color w:val="000000"/>
          <w:lang w:eastAsia="bg-BG"/>
        </w:rPr>
      </w:pPr>
    </w:p>
    <w:p w14:paraId="21DC88F2" w14:textId="4EF25295"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В едно проучване фаза 1 след интрайеюнално приложение на Дуодопа бързо се достигат терапевтични плазмени нива на леводопа, като се поддържат постоянни нива по време на инфузията. След завършване на инфузията нивата на леводопа спадат бързо (Фигура 1). Интраиндивидуалната вариабилност на плазмените концентрации на леводопа и карбидопа от час 2 до час 16 след началото на инфузията е ниска (13 %).</w:t>
      </w:r>
    </w:p>
    <w:p w14:paraId="209CDD98" w14:textId="77777777" w:rsidR="000C7A06" w:rsidRPr="000C7A06" w:rsidRDefault="000C7A06" w:rsidP="000C7A06">
      <w:pPr>
        <w:spacing w:line="240" w:lineRule="auto"/>
        <w:rPr>
          <w:rFonts w:eastAsia="Times New Roman" w:cs="Arial"/>
          <w:b/>
          <w:bCs/>
          <w:color w:val="000000"/>
          <w:lang w:eastAsia="bg-BG"/>
        </w:rPr>
      </w:pPr>
    </w:p>
    <w:p w14:paraId="247E80A9" w14:textId="3FBBBF0B" w:rsidR="000C7A06" w:rsidRPr="000C7A06" w:rsidRDefault="000C7A06" w:rsidP="000C7A06">
      <w:pPr>
        <w:spacing w:line="240" w:lineRule="auto"/>
        <w:rPr>
          <w:rFonts w:ascii="Times New Roman" w:eastAsia="Times New Roman" w:hAnsi="Times New Roman" w:cs="Times New Roman"/>
          <w:sz w:val="24"/>
          <w:szCs w:val="24"/>
        </w:rPr>
      </w:pPr>
      <w:r w:rsidRPr="000C7A06">
        <w:rPr>
          <w:rFonts w:eastAsia="Times New Roman" w:cs="Arial"/>
          <w:b/>
          <w:bCs/>
          <w:color w:val="000000"/>
          <w:lang w:eastAsia="bg-BG"/>
        </w:rPr>
        <w:t>Фигура 1. Плазмени концентрации (средно ± стандартно отклонение) в сравнение с времевия профил на леводопа при 16-часова инфузия на Дуодопа</w:t>
      </w:r>
    </w:p>
    <w:p w14:paraId="6306B9F9" w14:textId="6358156B" w:rsidR="000C7A06" w:rsidRDefault="000C7A06" w:rsidP="000C7A06">
      <w:r>
        <w:rPr>
          <w:noProof/>
          <w:lang w:val="en-US"/>
        </w:rPr>
        <w:drawing>
          <wp:inline distT="0" distB="0" distL="0" distR="0" wp14:anchorId="4C3DDEC6" wp14:editId="7DF2B6B4">
            <wp:extent cx="5943600" cy="444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447540"/>
                    </a:xfrm>
                    <a:prstGeom prst="rect">
                      <a:avLst/>
                    </a:prstGeom>
                  </pic:spPr>
                </pic:pic>
              </a:graphicData>
            </a:graphic>
          </wp:inline>
        </w:drawing>
      </w:r>
    </w:p>
    <w:p w14:paraId="453A97CA" w14:textId="023C670D" w:rsidR="000C7A06" w:rsidRDefault="000C7A06" w:rsidP="000C7A06"/>
    <w:p w14:paraId="3E763D9E" w14:textId="77777777"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 xml:space="preserve">В едно двойно-сляпо проучване фаза 3 с активна контрола на Дуодопа интраиндивидуалната вариабилност на плазмените концентрации на леводопа и карбидопа е по-ниска при пациентите, лекувани с Дуодопа (21 %), отколкото при пациентите, лекувани с перорални капсулирани таблетки леводопа/карбидопа 100/25 </w:t>
      </w:r>
      <w:r w:rsidRPr="000C7A06">
        <w:rPr>
          <w:rFonts w:eastAsia="Times New Roman" w:cs="Arial"/>
          <w:color w:val="000000"/>
          <w:lang w:val="en-US"/>
        </w:rPr>
        <w:t>mg</w:t>
      </w:r>
      <w:r w:rsidRPr="000C7A06">
        <w:rPr>
          <w:rFonts w:eastAsia="Times New Roman" w:cs="Arial"/>
          <w:color w:val="000000"/>
          <w:lang w:val="ru-RU"/>
        </w:rPr>
        <w:t xml:space="preserve"> </w:t>
      </w:r>
      <w:r w:rsidRPr="000C7A06">
        <w:rPr>
          <w:rFonts w:eastAsia="Times New Roman" w:cs="Arial"/>
          <w:color w:val="000000"/>
          <w:lang w:eastAsia="bg-BG"/>
        </w:rPr>
        <w:t>(67 %).</w:t>
      </w:r>
    </w:p>
    <w:p w14:paraId="3D2272F5" w14:textId="77777777" w:rsidR="000C7A06" w:rsidRPr="000C7A06" w:rsidRDefault="000C7A06" w:rsidP="000C7A06">
      <w:pPr>
        <w:spacing w:line="240" w:lineRule="auto"/>
        <w:rPr>
          <w:rFonts w:eastAsia="Times New Roman" w:cs="Arial"/>
          <w:color w:val="000000"/>
          <w:u w:val="single"/>
          <w:lang w:eastAsia="bg-BG"/>
        </w:rPr>
      </w:pPr>
    </w:p>
    <w:p w14:paraId="59269EB4" w14:textId="075E0640" w:rsidR="000C7A06" w:rsidRPr="000C7A06" w:rsidRDefault="000C7A06" w:rsidP="000C7A06">
      <w:pPr>
        <w:pStyle w:val="Heading3"/>
        <w:rPr>
          <w:rFonts w:eastAsia="Times New Roman"/>
          <w:u w:val="single"/>
        </w:rPr>
      </w:pPr>
      <w:r w:rsidRPr="000C7A06">
        <w:rPr>
          <w:rFonts w:eastAsia="Times New Roman"/>
          <w:u w:val="single"/>
          <w:lang w:eastAsia="bg-BG"/>
        </w:rPr>
        <w:t>Разпределение</w:t>
      </w:r>
    </w:p>
    <w:p w14:paraId="39A34418" w14:textId="77777777"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 xml:space="preserve">Леводопа се въвежда едновременно с карбидопа, инхибитор на декарбоксилазата, който увеличава бионаличността и намалява клирънса на леводопа. Клирънсът и обемът на разпределение за леводопа са съответно 0,3 </w:t>
      </w:r>
      <w:r w:rsidRPr="000C7A06">
        <w:rPr>
          <w:rFonts w:eastAsia="Times New Roman" w:cs="Arial"/>
          <w:color w:val="000000"/>
          <w:lang w:val="ru-RU"/>
        </w:rPr>
        <w:t>1/</w:t>
      </w:r>
      <w:r w:rsidRPr="000C7A06">
        <w:rPr>
          <w:rFonts w:eastAsia="Times New Roman" w:cs="Arial"/>
          <w:color w:val="000000"/>
          <w:lang w:val="en-US"/>
        </w:rPr>
        <w:t>h</w:t>
      </w:r>
      <w:r w:rsidRPr="000C7A06">
        <w:rPr>
          <w:rFonts w:eastAsia="Times New Roman" w:cs="Arial"/>
          <w:color w:val="000000"/>
          <w:lang w:val="ru-RU"/>
        </w:rPr>
        <w:t>/</w:t>
      </w:r>
      <w:r w:rsidRPr="000C7A06">
        <w:rPr>
          <w:rFonts w:eastAsia="Times New Roman" w:cs="Arial"/>
          <w:color w:val="000000"/>
          <w:lang w:val="en-US"/>
        </w:rPr>
        <w:t>kg</w:t>
      </w:r>
      <w:r w:rsidRPr="000C7A06">
        <w:rPr>
          <w:rFonts w:eastAsia="Times New Roman" w:cs="Arial"/>
          <w:color w:val="000000"/>
          <w:lang w:val="ru-RU"/>
        </w:rPr>
        <w:t xml:space="preserve"> </w:t>
      </w:r>
      <w:r w:rsidRPr="000C7A06">
        <w:rPr>
          <w:rFonts w:eastAsia="Times New Roman" w:cs="Arial"/>
          <w:color w:val="000000"/>
          <w:lang w:eastAsia="bg-BG"/>
        </w:rPr>
        <w:t xml:space="preserve">и 0,9-1,6 </w:t>
      </w:r>
      <w:r w:rsidRPr="000C7A06">
        <w:rPr>
          <w:rFonts w:eastAsia="Times New Roman" w:cs="Arial"/>
          <w:color w:val="000000"/>
          <w:lang w:val="ru-RU"/>
        </w:rPr>
        <w:t>1/</w:t>
      </w:r>
      <w:r w:rsidRPr="000C7A06">
        <w:rPr>
          <w:rFonts w:eastAsia="Times New Roman" w:cs="Arial"/>
          <w:color w:val="000000"/>
          <w:lang w:val="en-US"/>
        </w:rPr>
        <w:t>h</w:t>
      </w:r>
      <w:r w:rsidRPr="000C7A06">
        <w:rPr>
          <w:rFonts w:eastAsia="Times New Roman" w:cs="Arial"/>
          <w:color w:val="000000"/>
          <w:lang w:val="ru-RU"/>
        </w:rPr>
        <w:t>/</w:t>
      </w:r>
      <w:r w:rsidRPr="000C7A06">
        <w:rPr>
          <w:rFonts w:eastAsia="Times New Roman" w:cs="Arial"/>
          <w:color w:val="000000"/>
          <w:lang w:val="en-US"/>
        </w:rPr>
        <w:t>kg</w:t>
      </w:r>
      <w:r w:rsidRPr="000C7A06">
        <w:rPr>
          <w:rFonts w:eastAsia="Times New Roman" w:cs="Arial"/>
          <w:color w:val="000000"/>
          <w:lang w:val="ru-RU"/>
        </w:rPr>
        <w:t xml:space="preserve">, </w:t>
      </w:r>
      <w:r w:rsidRPr="000C7A06">
        <w:rPr>
          <w:rFonts w:eastAsia="Times New Roman" w:cs="Arial"/>
          <w:color w:val="000000"/>
          <w:lang w:eastAsia="bg-BG"/>
        </w:rPr>
        <w:t xml:space="preserve">когато се прилага заедно с инхибитор на декарбоксилазата. Коефициентът на разпределение на леводопа между еритроцитите и плазмата е около 1. Леводопа се свързва в незначителна степен с </w:t>
      </w:r>
      <w:r w:rsidRPr="000C7A06">
        <w:rPr>
          <w:rFonts w:eastAsia="Times New Roman" w:cs="Arial"/>
          <w:color w:val="000000"/>
          <w:lang w:eastAsia="bg-BG"/>
        </w:rPr>
        <w:lastRenderedPageBreak/>
        <w:t>плазмените протеини (около 10 %-30 %). Леводопа се транспортира в мозъка от пренасящ механизъм за големи неутрални аминокиселини.</w:t>
      </w:r>
    </w:p>
    <w:p w14:paraId="529ECF55" w14:textId="77777777" w:rsidR="000C7A06" w:rsidRPr="000C7A06" w:rsidRDefault="000C7A06" w:rsidP="000C7A06">
      <w:pPr>
        <w:spacing w:line="240" w:lineRule="auto"/>
        <w:rPr>
          <w:rFonts w:eastAsia="Times New Roman" w:cs="Arial"/>
          <w:color w:val="000000"/>
          <w:lang w:eastAsia="bg-BG"/>
        </w:rPr>
      </w:pPr>
    </w:p>
    <w:p w14:paraId="47782B5A" w14:textId="6DA0F333"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Карбидопа се свързва в около 36 % с плазмените протеини. Карбидопа не преминава кръвно- мозъчната бариера.</w:t>
      </w:r>
    </w:p>
    <w:p w14:paraId="4DEAED23" w14:textId="77777777" w:rsidR="000C7A06" w:rsidRPr="000C7A06" w:rsidRDefault="000C7A06" w:rsidP="000C7A06">
      <w:pPr>
        <w:spacing w:line="240" w:lineRule="auto"/>
        <w:rPr>
          <w:rFonts w:eastAsia="Times New Roman" w:cs="Arial"/>
          <w:color w:val="000000"/>
          <w:u w:val="single"/>
          <w:lang w:eastAsia="bg-BG"/>
        </w:rPr>
      </w:pPr>
    </w:p>
    <w:p w14:paraId="68240558" w14:textId="3184C79F" w:rsidR="000C7A06" w:rsidRPr="000C7A06" w:rsidRDefault="000C7A06" w:rsidP="000C7A06">
      <w:pPr>
        <w:pStyle w:val="Heading3"/>
        <w:rPr>
          <w:rFonts w:eastAsia="Times New Roman"/>
          <w:u w:val="single"/>
        </w:rPr>
      </w:pPr>
      <w:r w:rsidRPr="000C7A06">
        <w:rPr>
          <w:rFonts w:eastAsia="Times New Roman"/>
          <w:u w:val="single"/>
          <w:lang w:eastAsia="bg-BG"/>
        </w:rPr>
        <w:t>Биотрансформация и елиминиране</w:t>
      </w:r>
    </w:p>
    <w:p w14:paraId="48EDDF27" w14:textId="77777777"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 xml:space="preserve">Когато се прилага с карбидопа, елиминационният полуживот на леводопа е около 1,5 часа. Леводопа се метаболизира напълно и образуваните метаболити се екскретират главно с урината. Известни са 4 метаболитни пътя, но леводопа се елиминира главно през метаболизиране от ароматната аминокиселинна декарбоксилаза </w:t>
      </w:r>
      <w:r w:rsidRPr="000C7A06">
        <w:rPr>
          <w:rFonts w:eastAsia="Times New Roman" w:cs="Arial"/>
          <w:color w:val="000000"/>
          <w:lang w:val="ru-RU"/>
        </w:rPr>
        <w:t>(</w:t>
      </w:r>
      <w:r w:rsidRPr="000C7A06">
        <w:rPr>
          <w:rFonts w:eastAsia="Times New Roman" w:cs="Arial"/>
          <w:color w:val="000000"/>
          <w:lang w:val="en-US"/>
        </w:rPr>
        <w:t>AAAD</w:t>
      </w:r>
      <w:r w:rsidRPr="000C7A06">
        <w:rPr>
          <w:rFonts w:eastAsia="Times New Roman" w:cs="Arial"/>
          <w:color w:val="000000"/>
          <w:lang w:val="ru-RU"/>
        </w:rPr>
        <w:t xml:space="preserve">) </w:t>
      </w:r>
      <w:r w:rsidRPr="000C7A06">
        <w:rPr>
          <w:rFonts w:eastAsia="Times New Roman" w:cs="Arial"/>
          <w:color w:val="000000"/>
          <w:lang w:eastAsia="bg-BG"/>
        </w:rPr>
        <w:t xml:space="preserve">и катехол-О-метил трансферазата (СОМТ). Другите пътища са трансаминиране и оксидиране. Декарбоксилирането на леводопа до допамин от </w:t>
      </w:r>
      <w:r w:rsidRPr="000C7A06">
        <w:rPr>
          <w:rFonts w:eastAsia="Times New Roman" w:cs="Arial"/>
          <w:color w:val="000000"/>
          <w:lang w:val="en-US"/>
        </w:rPr>
        <w:t>AAAD</w:t>
      </w:r>
      <w:r w:rsidRPr="000C7A06">
        <w:rPr>
          <w:rFonts w:eastAsia="Times New Roman" w:cs="Arial"/>
          <w:color w:val="000000"/>
          <w:lang w:val="ru-RU"/>
        </w:rPr>
        <w:t xml:space="preserve"> </w:t>
      </w:r>
      <w:r w:rsidRPr="000C7A06">
        <w:rPr>
          <w:rFonts w:eastAsia="Times New Roman" w:cs="Arial"/>
          <w:color w:val="000000"/>
          <w:lang w:eastAsia="bg-BG"/>
        </w:rPr>
        <w:t>е главният ензимен път, когато не се прилага ензимен инхибитор. Когато леводопа се приема едновременно с карбидопа, ензимът декарбоксилаза се инхибира, така че метаболизмът чрез катехол-О-метил трансферазата (СОМТ) остава доминиращият метаболитен път. При О- метилирането на леводопа от СОМТ се образува З-О-метилдопа.</w:t>
      </w:r>
    </w:p>
    <w:p w14:paraId="11AC2685" w14:textId="77777777" w:rsidR="000C7A06" w:rsidRPr="000C7A06" w:rsidRDefault="000C7A06" w:rsidP="000C7A06">
      <w:pPr>
        <w:spacing w:line="240" w:lineRule="auto"/>
        <w:rPr>
          <w:rFonts w:eastAsia="Times New Roman" w:cs="Arial"/>
          <w:color w:val="000000"/>
          <w:lang w:eastAsia="bg-BG"/>
        </w:rPr>
      </w:pPr>
    </w:p>
    <w:p w14:paraId="6896C15E" w14:textId="48983167"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Карбидопа се метаболизира до два главни метаболита (а-метил-З-метокси-4- хидроксифенилпропионова киселина и а-метил-3,4-дихидроксифенилпропионова киселина). Тези два метаболита се елиминират предимно с урината в непроменен вид или като глюкуронидни конюгати. Непроменената карбидопа е около 30 % от общата уринна екскреция. Елиминационният полуживот на карбидопа е около 2 часа.</w:t>
      </w:r>
    </w:p>
    <w:p w14:paraId="214E82F8" w14:textId="77777777" w:rsidR="000C7A06" w:rsidRPr="000C7A06" w:rsidRDefault="000C7A06" w:rsidP="000C7A06">
      <w:pPr>
        <w:spacing w:line="240" w:lineRule="auto"/>
        <w:rPr>
          <w:rFonts w:eastAsia="Times New Roman" w:cs="Arial"/>
          <w:color w:val="000000"/>
          <w:u w:val="single"/>
          <w:lang w:eastAsia="bg-BG"/>
        </w:rPr>
      </w:pPr>
    </w:p>
    <w:p w14:paraId="7A852A0E" w14:textId="144E7796" w:rsidR="000C7A06" w:rsidRPr="000C7A06" w:rsidRDefault="000C7A06" w:rsidP="000C7A06">
      <w:pPr>
        <w:spacing w:line="240" w:lineRule="auto"/>
        <w:rPr>
          <w:rFonts w:eastAsia="Times New Roman" w:cs="Arial"/>
          <w:sz w:val="24"/>
          <w:szCs w:val="24"/>
        </w:rPr>
      </w:pPr>
      <w:r w:rsidRPr="000C7A06">
        <w:rPr>
          <w:rFonts w:eastAsia="Times New Roman" w:cs="Arial"/>
          <w:color w:val="000000"/>
          <w:u w:val="single"/>
          <w:lang w:eastAsia="bg-BG"/>
        </w:rPr>
        <w:t>Връзка фармакокинетика-фармакодинамика</w:t>
      </w:r>
    </w:p>
    <w:p w14:paraId="61AB6567" w14:textId="77777777" w:rsidR="000C7A06" w:rsidRPr="000C7A06" w:rsidRDefault="000C7A06" w:rsidP="000C7A06">
      <w:pPr>
        <w:spacing w:line="240" w:lineRule="auto"/>
        <w:rPr>
          <w:rFonts w:eastAsia="Times New Roman" w:cs="Arial"/>
          <w:sz w:val="24"/>
          <w:szCs w:val="24"/>
        </w:rPr>
      </w:pPr>
      <w:r w:rsidRPr="000C7A06">
        <w:rPr>
          <w:rFonts w:eastAsia="Times New Roman" w:cs="Arial"/>
          <w:color w:val="000000"/>
          <w:lang w:eastAsia="bg-BG"/>
        </w:rPr>
        <w:t>Намаляването на флуктуациите на плазмената концентрация на леводопа води до намаление и на флуктуациите в терапевтичния отговор. Необходимата доза леводопа варира значително при напреднала болест на Паркинсон, като е важно, че дозата се регулира индивидуално в зависимост от клиничния отговор. Не е наблюдавано развитието на толеранс при терапия с Дуодопа.</w:t>
      </w:r>
    </w:p>
    <w:p w14:paraId="624A0150" w14:textId="77777777" w:rsidR="000C7A06" w:rsidRPr="000C7A06" w:rsidRDefault="000C7A06" w:rsidP="000C7A06"/>
    <w:p w14:paraId="4FB791BE" w14:textId="3B360A23" w:rsidR="00B6672E" w:rsidRDefault="002C50EE" w:rsidP="00936AD0">
      <w:pPr>
        <w:pStyle w:val="Heading2"/>
      </w:pPr>
      <w:r>
        <w:t>5.3. Предклинични данни за безопасност</w:t>
      </w:r>
    </w:p>
    <w:p w14:paraId="232FB65C" w14:textId="7873B27F" w:rsidR="000C7A06" w:rsidRDefault="000C7A06" w:rsidP="000C7A06"/>
    <w:p w14:paraId="08478726" w14:textId="77777777" w:rsidR="000C7A06" w:rsidRPr="000C7A06" w:rsidRDefault="000C7A06" w:rsidP="000C7A06">
      <w:pPr>
        <w:rPr>
          <w:sz w:val="24"/>
          <w:szCs w:val="24"/>
        </w:rPr>
      </w:pPr>
      <w:r w:rsidRPr="000C7A06">
        <w:rPr>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и карциногенен потенциал. При проучвания на репродуктивната токсичност леводопа и комбинацията карбидопа/леводопа предизвиква висцерални и скелетни малформации при зайци.</w:t>
      </w:r>
    </w:p>
    <w:p w14:paraId="08425795" w14:textId="77777777" w:rsidR="000C7A06" w:rsidRDefault="000C7A06" w:rsidP="000C7A06">
      <w:pPr>
        <w:rPr>
          <w:lang w:eastAsia="bg-BG"/>
        </w:rPr>
      </w:pPr>
    </w:p>
    <w:p w14:paraId="0993B27E" w14:textId="33FCE74E" w:rsidR="000C7A06" w:rsidRPr="000C7A06" w:rsidRDefault="000C7A06" w:rsidP="000C7A06">
      <w:r w:rsidRPr="000C7A06">
        <w:rPr>
          <w:lang w:eastAsia="bg-BG"/>
        </w:rPr>
        <w:t>Хидразин е продукт от разграждането на карбидопа. В изследвания при животни хидразин е показал забележима системна токсичност, особено при инхалаторна експозиция. В тези проучвания се съобщава, че хидразин е хепатотоксичен, има токсичност за ЦНС (въпреки че не е описана след перорално приложение) и е генотоксичен, както и канцерогенен (вж. точка 4.4).</w:t>
      </w:r>
    </w:p>
    <w:p w14:paraId="1BA6531D" w14:textId="7426A41A" w:rsidR="00B6672E" w:rsidRDefault="002C50EE" w:rsidP="00936AD0">
      <w:pPr>
        <w:pStyle w:val="Heading1"/>
      </w:pPr>
      <w:r>
        <w:t>7. ПРИТЕЖАТЕЛ НА РАЗРЕШЕНИЕТО ЗА УПОТРЕБА</w:t>
      </w:r>
    </w:p>
    <w:p w14:paraId="09726366" w14:textId="045BED8A" w:rsidR="000C7A06" w:rsidRDefault="000C7A06" w:rsidP="000C7A06"/>
    <w:p w14:paraId="3C4AE5B8" w14:textId="77777777" w:rsidR="000C7A06" w:rsidRPr="000C7A06" w:rsidRDefault="000C7A06" w:rsidP="000C7A06">
      <w:pPr>
        <w:rPr>
          <w:sz w:val="24"/>
          <w:szCs w:val="24"/>
          <w:lang w:val="en-US"/>
        </w:rPr>
      </w:pPr>
      <w:r w:rsidRPr="000C7A06">
        <w:rPr>
          <w:lang w:val="en-US"/>
        </w:rPr>
        <w:t>AbbVie Deutschland GmbH &amp; Co. KG,</w:t>
      </w:r>
    </w:p>
    <w:p w14:paraId="205BA0E8" w14:textId="77777777" w:rsidR="000C7A06" w:rsidRPr="000C7A06" w:rsidRDefault="000C7A06" w:rsidP="000C7A06">
      <w:pPr>
        <w:rPr>
          <w:sz w:val="24"/>
          <w:szCs w:val="24"/>
          <w:lang w:val="ru-RU"/>
        </w:rPr>
      </w:pPr>
      <w:proofErr w:type="spellStart"/>
      <w:r w:rsidRPr="000C7A06">
        <w:rPr>
          <w:lang w:val="en-US"/>
        </w:rPr>
        <w:lastRenderedPageBreak/>
        <w:t>Mainzer</w:t>
      </w:r>
      <w:proofErr w:type="spellEnd"/>
      <w:r w:rsidRPr="000C7A06">
        <w:rPr>
          <w:lang w:val="ru-RU"/>
        </w:rPr>
        <w:t xml:space="preserve"> </w:t>
      </w:r>
      <w:proofErr w:type="spellStart"/>
      <w:r w:rsidRPr="000C7A06">
        <w:rPr>
          <w:lang w:val="en-US"/>
        </w:rPr>
        <w:t>StraBe</w:t>
      </w:r>
      <w:proofErr w:type="spellEnd"/>
      <w:r w:rsidRPr="000C7A06">
        <w:rPr>
          <w:lang w:val="ru-RU"/>
        </w:rPr>
        <w:t xml:space="preserve"> 81</w:t>
      </w:r>
    </w:p>
    <w:p w14:paraId="7638AEAF" w14:textId="77777777" w:rsidR="000C7A06" w:rsidRPr="000C7A06" w:rsidRDefault="000C7A06" w:rsidP="000C7A06">
      <w:pPr>
        <w:rPr>
          <w:sz w:val="24"/>
          <w:szCs w:val="24"/>
          <w:lang w:val="ru-RU"/>
        </w:rPr>
      </w:pPr>
      <w:r w:rsidRPr="000C7A06">
        <w:rPr>
          <w:lang w:val="ru-RU"/>
        </w:rPr>
        <w:t xml:space="preserve">65189 </w:t>
      </w:r>
      <w:r w:rsidRPr="000C7A06">
        <w:rPr>
          <w:lang w:val="en-US"/>
        </w:rPr>
        <w:t>Wiesbaden</w:t>
      </w:r>
    </w:p>
    <w:p w14:paraId="55B4846C" w14:textId="77925792" w:rsidR="000C7A06" w:rsidRPr="000C7A06" w:rsidRDefault="000C7A06" w:rsidP="000C7A06">
      <w:r w:rsidRPr="000C7A06">
        <w:rPr>
          <w:lang w:eastAsia="bg-BG"/>
        </w:rPr>
        <w:t>Германия</w:t>
      </w:r>
    </w:p>
    <w:p w14:paraId="508F3A54" w14:textId="443680BD" w:rsidR="00B6672E" w:rsidRDefault="00936AD0" w:rsidP="00936AD0">
      <w:pPr>
        <w:pStyle w:val="Heading1"/>
      </w:pPr>
      <w:r>
        <w:t>8.</w:t>
      </w:r>
      <w:r w:rsidR="002C50EE">
        <w:t>НОМЕР НА РАЗРЕШЕНИЕТО ЗА УПОТРЕБА</w:t>
      </w:r>
    </w:p>
    <w:p w14:paraId="79F5A082" w14:textId="07D47FFC" w:rsidR="000C7A06" w:rsidRPr="000C7A06" w:rsidRDefault="000C7A06" w:rsidP="000C7A06">
      <w:r>
        <w:t>20060683</w:t>
      </w:r>
    </w:p>
    <w:p w14:paraId="2CCB5832" w14:textId="7E3EABB4" w:rsidR="007C605B" w:rsidRDefault="002C50EE" w:rsidP="007C605B">
      <w:pPr>
        <w:pStyle w:val="Heading1"/>
      </w:pPr>
      <w:r>
        <w:t>9. ДАТА НА ПЪРВО РАЗРЕШАВАНЕ/ПОДНОВЯВАНЕ НА РАЗРЕШЕНИЕТО ЗА УПОТРЕБА</w:t>
      </w:r>
    </w:p>
    <w:p w14:paraId="757A0865" w14:textId="77777777" w:rsidR="000C7A06" w:rsidRPr="000C7A06" w:rsidRDefault="000C7A06" w:rsidP="000C7A06">
      <w:pPr>
        <w:rPr>
          <w:sz w:val="24"/>
          <w:szCs w:val="24"/>
        </w:rPr>
      </w:pPr>
      <w:bookmarkStart w:id="1" w:name="_GoBack"/>
      <w:r w:rsidRPr="000C7A06">
        <w:rPr>
          <w:lang w:eastAsia="bg-BG"/>
        </w:rPr>
        <w:t>Дата на първо разрешаване: 29 ноември 2006 г.</w:t>
      </w:r>
    </w:p>
    <w:p w14:paraId="454E0B55" w14:textId="65A108DE" w:rsidR="000C7A06" w:rsidRPr="000C7A06" w:rsidRDefault="000C7A06" w:rsidP="000C7A06">
      <w:r w:rsidRPr="000C7A06">
        <w:rPr>
          <w:lang w:eastAsia="bg-BG"/>
        </w:rPr>
        <w:t>Дата на последно подновяване: 08 юли 2019 г.</w:t>
      </w:r>
    </w:p>
    <w:bookmarkEnd w:id="1"/>
    <w:p w14:paraId="0E9D0119" w14:textId="0245C6D7" w:rsidR="002C50EE" w:rsidRDefault="002C50EE" w:rsidP="002C50EE">
      <w:pPr>
        <w:pStyle w:val="Heading1"/>
      </w:pPr>
      <w:r>
        <w:t>10. ДАТА НА АКТУАЛИЗИРАНЕ НА ТЕКСТА</w:t>
      </w:r>
    </w:p>
    <w:bookmarkEnd w:id="0"/>
    <w:p w14:paraId="43FB38A2" w14:textId="689F8F04" w:rsidR="007C605B" w:rsidRPr="003E3126" w:rsidRDefault="007C605B" w:rsidP="00B6672E"/>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2EE16C1"/>
    <w:multiLevelType w:val="hybridMultilevel"/>
    <w:tmpl w:val="4CE0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3F07319B"/>
    <w:multiLevelType w:val="hybridMultilevel"/>
    <w:tmpl w:val="9C3A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5"/>
  </w:num>
  <w:num w:numId="4">
    <w:abstractNumId w:val="3"/>
  </w:num>
  <w:num w:numId="5">
    <w:abstractNumId w:val="1"/>
  </w:num>
  <w:num w:numId="6">
    <w:abstractNumId w:val="19"/>
  </w:num>
  <w:num w:numId="7">
    <w:abstractNumId w:val="13"/>
  </w:num>
  <w:num w:numId="8">
    <w:abstractNumId w:val="17"/>
  </w:num>
  <w:num w:numId="9">
    <w:abstractNumId w:val="2"/>
  </w:num>
  <w:num w:numId="10">
    <w:abstractNumId w:val="5"/>
  </w:num>
  <w:num w:numId="11">
    <w:abstractNumId w:val="33"/>
  </w:num>
  <w:num w:numId="12">
    <w:abstractNumId w:val="16"/>
  </w:num>
  <w:num w:numId="13">
    <w:abstractNumId w:val="22"/>
  </w:num>
  <w:num w:numId="14">
    <w:abstractNumId w:val="14"/>
  </w:num>
  <w:num w:numId="15">
    <w:abstractNumId w:val="32"/>
  </w:num>
  <w:num w:numId="16">
    <w:abstractNumId w:val="12"/>
  </w:num>
  <w:num w:numId="17">
    <w:abstractNumId w:val="27"/>
  </w:num>
  <w:num w:numId="18">
    <w:abstractNumId w:val="9"/>
  </w:num>
  <w:num w:numId="19">
    <w:abstractNumId w:val="29"/>
  </w:num>
  <w:num w:numId="20">
    <w:abstractNumId w:val="26"/>
  </w:num>
  <w:num w:numId="21">
    <w:abstractNumId w:val="20"/>
  </w:num>
  <w:num w:numId="22">
    <w:abstractNumId w:val="28"/>
  </w:num>
  <w:num w:numId="23">
    <w:abstractNumId w:val="21"/>
  </w:num>
  <w:num w:numId="24">
    <w:abstractNumId w:val="10"/>
  </w:num>
  <w:num w:numId="25">
    <w:abstractNumId w:val="25"/>
  </w:num>
  <w:num w:numId="26">
    <w:abstractNumId w:val="24"/>
  </w:num>
  <w:num w:numId="27">
    <w:abstractNumId w:val="34"/>
  </w:num>
  <w:num w:numId="28">
    <w:abstractNumId w:val="7"/>
  </w:num>
  <w:num w:numId="29">
    <w:abstractNumId w:val="23"/>
  </w:num>
  <w:num w:numId="30">
    <w:abstractNumId w:val="37"/>
  </w:num>
  <w:num w:numId="31">
    <w:abstractNumId w:val="6"/>
  </w:num>
  <w:num w:numId="32">
    <w:abstractNumId w:val="36"/>
  </w:num>
  <w:num w:numId="33">
    <w:abstractNumId w:val="31"/>
  </w:num>
  <w:num w:numId="34">
    <w:abstractNumId w:val="35"/>
  </w:num>
  <w:num w:numId="35">
    <w:abstractNumId w:val="8"/>
  </w:num>
  <w:num w:numId="36">
    <w:abstractNumId w:val="11"/>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616C6"/>
    <w:rsid w:val="000C7A06"/>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41E18"/>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6368</Words>
  <Characters>36302</Characters>
  <Application>Microsoft Office Word</Application>
  <DocSecurity>0</DocSecurity>
  <Lines>302</Lines>
  <Paragraphs>85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2022-07-31T00:19:00Z</dcterms:created>
  <dcterms:modified xsi:type="dcterms:W3CDTF">2022-07-31T00:19:00Z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